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6EB388A1">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A24222">
        <w:t>Reconsideration of the</w:t>
      </w:r>
      <w:r w:rsidRPr="005D0593" w:rsidR="00B02557">
        <w:t xml:space="preserve"> Greenhouse Gas Reporting </w:t>
      </w:r>
      <w:r w:rsidR="00A24222">
        <w:t>Program</w:t>
      </w:r>
      <w:r w:rsidRPr="005D0593" w:rsidR="00B02557">
        <w:t xml:space="preserve">; </w:t>
      </w:r>
      <w:r w:rsidR="00A24222">
        <w:t>Proposed</w:t>
      </w:r>
      <w:r w:rsidRPr="005D0593" w:rsidR="00B02557">
        <w:t xml:space="preserve"> Rule (</w:t>
      </w:r>
      <w:r w:rsidR="00503C38">
        <w:t>September</w:t>
      </w:r>
      <w:r w:rsidR="00984FFA">
        <w:t xml:space="preserve"> </w:t>
      </w:r>
      <w:r w:rsidR="00A24222">
        <w:t>2025</w:t>
      </w:r>
      <w:r w:rsidRPr="005D0593" w:rsidR="00B02557">
        <w:t>)</w:t>
      </w:r>
    </w:p>
    <w:p w:rsidR="00EE2403" w:rsidRPr="00720E38" w:rsidP="00BB432F" w14:paraId="71D5121E" w14:textId="688B226D">
      <w:pPr>
        <w:spacing w:line="240" w:lineRule="auto"/>
      </w:pPr>
      <w:r w:rsidRPr="11F54C53">
        <w:rPr>
          <w:b/>
        </w:rPr>
        <w:t>OMB Control Number:</w:t>
      </w:r>
      <w:r w:rsidRPr="11F54C53" w:rsidR="00BB432F">
        <w:t xml:space="preserve"> </w:t>
      </w:r>
      <w:r w:rsidRPr="11F54C53" w:rsidR="00B02557">
        <w:t>2060-</w:t>
      </w:r>
      <w:r w:rsidRPr="11F54C53" w:rsidR="5DE460F5">
        <w:t>NEW</w:t>
      </w:r>
    </w:p>
    <w:p w:rsidR="00EE2403" w:rsidRPr="00BB3410" w:rsidP="00ED57A4" w14:paraId="4FB77BCA" w14:textId="3CB4B100">
      <w:pPr>
        <w:spacing w:before="240" w:line="240" w:lineRule="auto"/>
      </w:pPr>
      <w:r w:rsidRPr="11F54C53">
        <w:rPr>
          <w:b/>
        </w:rPr>
        <w:t>EPA ICR Number:</w:t>
      </w:r>
      <w:r w:rsidRPr="11F54C53" w:rsidR="00BB432F">
        <w:t xml:space="preserve"> </w:t>
      </w:r>
      <w:r w:rsidRPr="11F54C53" w:rsidR="3D4C74BD">
        <w:t>7815.01</w:t>
      </w:r>
    </w:p>
    <w:p w:rsidR="00EE08E4" w:rsidRPr="005D0593" w:rsidP="00EE08E4" w14:paraId="0E970E81" w14:textId="74D68C14">
      <w:pPr>
        <w:ind w:firstLine="720"/>
      </w:pPr>
      <w:r w:rsidRPr="4BDBF0A0">
        <w:rPr>
          <w:b/>
          <w:bCs/>
        </w:rPr>
        <w:t>Abstract:</w:t>
      </w:r>
      <w:r w:rsidRPr="4BDBF0A0" w:rsidR="00BB432F">
        <w:t xml:space="preserve"> </w:t>
      </w:r>
      <w:r w:rsidRPr="005D0593">
        <w:t xml:space="preserve">In response to the FY2008 Consolidated Appropriations Act (H.R. 2764; Public Law 110-161) and under authority of the Clean Air Act (CAA), the </w:t>
      </w:r>
      <w:r w:rsidRPr="00F4549B" w:rsidR="00556DC0">
        <w:t>U.S. Environmental Protection Agency (EPA)</w:t>
      </w:r>
      <w:r w:rsidRPr="005D0593">
        <w:t xml:space="preserve"> finalized a greenhouse gas reporting rule in October of 2009 (</w:t>
      </w:r>
      <w:r w:rsidRPr="005D0593" w:rsidR="00B405FB">
        <w:t>he</w:t>
      </w:r>
      <w:r w:rsidR="00B405FB">
        <w:t>reafter</w:t>
      </w:r>
      <w:r w:rsidRPr="005D0593" w:rsidR="00B405FB">
        <w:t xml:space="preserve"> </w:t>
      </w:r>
      <w:r w:rsidRPr="005D0593">
        <w:t xml:space="preserve">referred to as the </w:t>
      </w:r>
      <w:r w:rsidR="00B405FB">
        <w:t>“</w:t>
      </w:r>
      <w:r w:rsidRPr="005D0593">
        <w:t>Greenhouse Gas Reporting Program</w:t>
      </w:r>
      <w:r w:rsidR="00B405FB">
        <w:t>”</w:t>
      </w:r>
      <w:r w:rsidRPr="005D0593">
        <w:t xml:space="preserve"> or GHGRP) (74 FR 56260; October 30, 2009). The rule, which became effective on December 29, 2009, requires reporting of greenhouse gases (GHGs) from certain large facilities and suppliers. </w:t>
      </w:r>
    </w:p>
    <w:p w:rsidR="00EE08E4" w:rsidRPr="005D0593" w:rsidP="00EE08E4" w14:paraId="23C596CE" w14:textId="6FDFBC96">
      <w:pPr>
        <w:ind w:firstLine="720"/>
      </w:pPr>
      <w:r w:rsidRPr="005D0593">
        <w:t xml:space="preserve">The GHGRP </w:t>
      </w:r>
      <w:r w:rsidRPr="005D0593">
        <w:t>requires that</w:t>
      </w:r>
      <w:r w:rsidRPr="005D0593">
        <w:t xml:space="preserve"> </w:t>
      </w:r>
      <w:r w:rsidR="004D6F3E">
        <w:t>certain</w:t>
      </w:r>
      <w:r w:rsidRPr="005D0593">
        <w:t xml:space="preserve"> sources emitting GHGs, </w:t>
      </w:r>
      <w:r w:rsidR="004D6F3E">
        <w:t xml:space="preserve">suppliers of fuels or industrial gases, and sources that </w:t>
      </w:r>
      <w:r w:rsidRPr="005D0593">
        <w:t>inject carbon dioxide (CO</w:t>
      </w:r>
      <w:r w:rsidRPr="005D0593">
        <w:rPr>
          <w:vertAlign w:val="subscript"/>
        </w:rPr>
        <w:t>2</w:t>
      </w:r>
      <w:r w:rsidRPr="005D0593">
        <w:t>) underground</w:t>
      </w:r>
      <w:r w:rsidR="0074777C">
        <w:t>,</w:t>
      </w:r>
      <w:r w:rsidRPr="005D0593">
        <w:t xml:space="preserve"> monitor and report GHG data and other relevant information. Subsequent rules have promulgated requirements for additional facilities and suppliers; provided clarification and corrections to existing requirements; and finalized confidential business information (CBI) determinations, amended recordkeeping requirements, and implemented an alternative verification approach. </w:t>
      </w:r>
    </w:p>
    <w:p w:rsidR="00F178EF" w:rsidRPr="00F178EF" w:rsidP="00F178EF" w14:paraId="04470D87" w14:textId="5E4480BF">
      <w:pPr>
        <w:ind w:firstLine="720"/>
        <w:rPr>
          <w:bCs/>
        </w:rPr>
      </w:pPr>
      <w:r w:rsidRPr="00900A63">
        <w:t xml:space="preserve">This supporting statement addresses </w:t>
      </w:r>
      <w:r w:rsidRPr="00900A63" w:rsidR="00871170">
        <w:t xml:space="preserve">the removal of </w:t>
      </w:r>
      <w:r w:rsidRPr="00900A63">
        <w:t xml:space="preserve">information collection activities </w:t>
      </w:r>
      <w:r w:rsidRPr="00900A63" w:rsidR="002008B3">
        <w:t>as</w:t>
      </w:r>
      <w:r w:rsidRPr="00900A63" w:rsidR="00C220B5">
        <w:t xml:space="preserve"> proposed under</w:t>
      </w:r>
      <w:r w:rsidRPr="00900A63">
        <w:t xml:space="preserve"> “</w:t>
      </w:r>
      <w:r w:rsidRPr="00900A63" w:rsidR="00C220B5">
        <w:t>Reconsideration of</w:t>
      </w:r>
      <w:r w:rsidRPr="00900A63">
        <w:t xml:space="preserve"> the Greenhouse Gas Reporting </w:t>
      </w:r>
      <w:r w:rsidRPr="00900A63" w:rsidR="00C220B5">
        <w:t>Program</w:t>
      </w:r>
      <w:r w:rsidRPr="00900A63">
        <w:t>” (hereafter referred to as the “</w:t>
      </w:r>
      <w:r w:rsidRPr="00900A63" w:rsidR="00C220B5">
        <w:t>proposed reconsideration</w:t>
      </w:r>
      <w:r w:rsidRPr="00900A63">
        <w:t>”).</w:t>
      </w:r>
      <w:r w:rsidRPr="00900A63" w:rsidR="00224207">
        <w:t xml:space="preserve"> </w:t>
      </w:r>
      <w:r w:rsidR="00375F82">
        <w:t>T</w:t>
      </w:r>
      <w:r w:rsidRPr="00900A63" w:rsidR="00224207">
        <w:t>he EPA is proposing to remove the requirements of 40 CFR Part 98 for all source categories</w:t>
      </w:r>
      <w:r w:rsidR="00AD28FE">
        <w:t xml:space="preserve"> other than </w:t>
      </w:r>
      <w:r w:rsidRPr="00900A63" w:rsidR="00224207">
        <w:t>petroleum and natural gas systems</w:t>
      </w:r>
      <w:r w:rsidR="001174ED">
        <w:t xml:space="preserve"> and is also proposing to remove the</w:t>
      </w:r>
      <w:r w:rsidRPr="00900A63" w:rsidR="00224207">
        <w:t xml:space="preserve"> </w:t>
      </w:r>
      <w:r w:rsidRPr="00900A63" w:rsidR="00F44EBD">
        <w:t xml:space="preserve">natural gas distribution </w:t>
      </w:r>
      <w:r w:rsidR="001174ED">
        <w:t>industry segment from the petroleum and natural gas systems source category (</w:t>
      </w:r>
      <w:r w:rsidRPr="00900A63" w:rsidR="00224207">
        <w:t>subpart W</w:t>
      </w:r>
      <w:r w:rsidR="001174ED">
        <w:t>)</w:t>
      </w:r>
      <w:r w:rsidRPr="00900A63" w:rsidR="00224207">
        <w:t xml:space="preserve">. </w:t>
      </w:r>
      <w:r w:rsidRPr="00900A63">
        <w:rPr>
          <w:bCs/>
        </w:rPr>
        <w:t>For th</w:t>
      </w:r>
      <w:r w:rsidR="00BE7755">
        <w:rPr>
          <w:bCs/>
        </w:rPr>
        <w:t>e remaining</w:t>
      </w:r>
      <w:r w:rsidRPr="00900A63">
        <w:rPr>
          <w:bCs/>
        </w:rPr>
        <w:t xml:space="preserve"> subpart W provisions</w:t>
      </w:r>
      <w:r w:rsidR="00BE7755">
        <w:rPr>
          <w:bCs/>
        </w:rPr>
        <w:t xml:space="preserve"> </w:t>
      </w:r>
      <w:r w:rsidRPr="00900A63" w:rsidR="00BE7755">
        <w:t>and the subpart W-related requirements of the general provisions</w:t>
      </w:r>
      <w:r w:rsidRPr="00900A63">
        <w:rPr>
          <w:bCs/>
        </w:rPr>
        <w:t xml:space="preserve">, the EPA is proposing to modify the years of applicability for reporting under subpart W to suspend reporting after </w:t>
      </w:r>
      <w:r w:rsidR="00C110B5">
        <w:rPr>
          <w:bCs/>
        </w:rPr>
        <w:t>reporting year</w:t>
      </w:r>
      <w:r w:rsidR="00C110B5">
        <w:rPr>
          <w:bCs/>
        </w:rPr>
        <w:t xml:space="preserve"> (</w:t>
      </w:r>
      <w:r w:rsidRPr="00900A63">
        <w:rPr>
          <w:bCs/>
        </w:rPr>
        <w:t>RY</w:t>
      </w:r>
      <w:r w:rsidR="00C110B5">
        <w:rPr>
          <w:bCs/>
        </w:rPr>
        <w:t xml:space="preserve">) </w:t>
      </w:r>
      <w:r w:rsidRPr="00900A63">
        <w:rPr>
          <w:bCs/>
        </w:rPr>
        <w:t>2024 until RY2034.</w:t>
      </w:r>
      <w:r>
        <w:rPr>
          <w:bCs/>
        </w:rPr>
        <w:t xml:space="preserve"> </w:t>
      </w:r>
    </w:p>
    <w:p w:rsidR="00EE08E4" w:rsidRPr="005D0593" w:rsidP="00EE08E4" w14:paraId="18C3FAD8" w14:textId="418C8028">
      <w:pPr>
        <w:ind w:firstLine="720"/>
      </w:pPr>
      <w:r>
        <w:t xml:space="preserve">The proposed changes would revise the general provisions to modify the applicability of the rule to remove the data collection, monitoring, recordkeeping, and reporting requirements for all direct emitter, supplier, and carbon sequestration source categories after RY2024, </w:t>
      </w:r>
      <w:r>
        <w:t>with the exception of</w:t>
      </w:r>
      <w:r>
        <w:t xml:space="preserve"> </w:t>
      </w:r>
      <w:r w:rsidR="00266DAA">
        <w:t xml:space="preserve">requirements specific to </w:t>
      </w:r>
      <w:r>
        <w:t>the petroleum and natural gas source category. The proposed amendments would remove and reserve the subpart-specific applicability, definitions, thresholds, calculation methodologies, monitoring and quality assurance requirements, missing data procedures, and recordkeeping and reporting requirements for all specified direct emitter, supplier source, and carbon sequestrations categories. The result of these proposed changes would be that mandatory reporting under the GHGRP would cease following RY2024</w:t>
      </w:r>
      <w:r w:rsidR="00A710B8">
        <w:t>. A</w:t>
      </w:r>
      <w:r w:rsidRPr="00A710B8" w:rsidR="00A710B8">
        <w:t xml:space="preserve">ll segments </w:t>
      </w:r>
      <w:r w:rsidR="00A710B8">
        <w:t xml:space="preserve">of subpart W, </w:t>
      </w:r>
      <w:r w:rsidRPr="00A710B8" w:rsidR="00A710B8">
        <w:t>except natural gas distributio</w:t>
      </w:r>
      <w:r w:rsidR="00A710B8">
        <w:t xml:space="preserve">n </w:t>
      </w:r>
      <w:r w:rsidR="00F079B8">
        <w:t xml:space="preserve">would resume reporting </w:t>
      </w:r>
      <w:r w:rsidR="00A3448A">
        <w:t xml:space="preserve">obligations in </w:t>
      </w:r>
      <w:r w:rsidR="00F079B8">
        <w:t>RY2034</w:t>
      </w:r>
      <w:r w:rsidRPr="00A24386">
        <w:t xml:space="preserve">. </w:t>
      </w:r>
      <w:r w:rsidRPr="00A24386" w:rsidR="001528A9">
        <w:t>Thi</w:t>
      </w:r>
      <w:r w:rsidRPr="003B611D" w:rsidR="001528A9">
        <w:t>s information collection reflects</w:t>
      </w:r>
      <w:r w:rsidR="6D6276C8">
        <w:t xml:space="preserve"> the change in burden associated with the Reconsideration of the Greenhouse Gas Reporting </w:t>
      </w:r>
      <w:r w:rsidR="6D6276C8">
        <w:t>Pro</w:t>
      </w:r>
      <w:r w:rsidR="002F5AAC">
        <w:t>gra</w:t>
      </w:r>
      <w:r w:rsidR="6D6276C8">
        <w:t>m</w:t>
      </w:r>
      <w:r w:rsidR="00412490">
        <w:t>;</w:t>
      </w:r>
      <w:r w:rsidR="6D6276C8">
        <w:t xml:space="preserve"> Proposed Rule</w:t>
      </w:r>
      <w:r w:rsidRPr="003B611D" w:rsidR="00CA2546">
        <w:t>.</w:t>
      </w:r>
      <w:r w:rsidRPr="003B611D" w:rsidR="00CD1010">
        <w:t xml:space="preserve"> </w:t>
      </w:r>
      <w:r w:rsidRPr="003B611D" w:rsidR="004E581D">
        <w:t>The proposed reconsideration is</w:t>
      </w:r>
      <w:r w:rsidRPr="003B611D">
        <w:t xml:space="preserve"> expected to result in a </w:t>
      </w:r>
      <w:r w:rsidRPr="003B611D" w:rsidR="004E581D">
        <w:t xml:space="preserve">decrease </w:t>
      </w:r>
      <w:r w:rsidRPr="003B611D">
        <w:t xml:space="preserve">in </w:t>
      </w:r>
      <w:r w:rsidRPr="003B611D">
        <w:t>respondent</w:t>
      </w:r>
      <w:r w:rsidRPr="003B611D">
        <w:t xml:space="preserve"> burden</w:t>
      </w:r>
      <w:r w:rsidR="39CF1956">
        <w:t xml:space="preserve">. </w:t>
      </w:r>
    </w:p>
    <w:p w:rsidR="00EE08E4" w:rsidRPr="005D0593" w:rsidP="00EE08E4" w14:paraId="52B58A84" w14:textId="271F3D8D">
      <w:pPr>
        <w:ind w:firstLine="720"/>
      </w:pPr>
      <w:r w:rsidRPr="005D0593">
        <w:t xml:space="preserve">The EPA previously submitted </w:t>
      </w:r>
      <w:r w:rsidR="000663C1">
        <w:t>information collection requests</w:t>
      </w:r>
      <w:r>
        <w:t xml:space="preserve"> </w:t>
      </w:r>
      <w:r w:rsidR="000663C1">
        <w:t>(</w:t>
      </w:r>
      <w:r w:rsidRPr="005D0593">
        <w:t>ICRs</w:t>
      </w:r>
      <w:r w:rsidR="000663C1">
        <w:t>)</w:t>
      </w:r>
      <w:r w:rsidRPr="005D0593">
        <w:t xml:space="preserve"> on </w:t>
      </w:r>
      <w:r w:rsidR="006A2623">
        <w:t xml:space="preserve">the GHGRP </w:t>
      </w:r>
      <w:r w:rsidRPr="005D0593">
        <w:t xml:space="preserve">under </w:t>
      </w:r>
      <w:r w:rsidR="00C26DCA">
        <w:t>Office of Management and Budget (</w:t>
      </w:r>
      <w:r w:rsidRPr="005D0593">
        <w:t>OMB</w:t>
      </w:r>
      <w:r w:rsidR="00C26DCA">
        <w:t>)</w:t>
      </w:r>
      <w:r w:rsidRPr="005D0593">
        <w:t xml:space="preserve"> 2060-0629</w:t>
      </w:r>
      <w:r w:rsidR="00E3786B">
        <w:t>,</w:t>
      </w:r>
      <w:r w:rsidR="003B1FAC">
        <w:t xml:space="preserve"> </w:t>
      </w:r>
      <w:r w:rsidRPr="005D0593">
        <w:t>ICR No. 2300.</w:t>
      </w:r>
      <w:r w:rsidR="00D50067">
        <w:t>20</w:t>
      </w:r>
      <w:r w:rsidR="004F3CBE">
        <w:t>,</w:t>
      </w:r>
      <w:r w:rsidR="00D50067">
        <w:t xml:space="preserve"> a 2024 final rule under</w:t>
      </w:r>
      <w:r w:rsidRPr="005D0593">
        <w:t xml:space="preserve"> OMB 2060-0748, ICR No. 2773.</w:t>
      </w:r>
      <w:r w:rsidRPr="005D0593" w:rsidR="00D50067">
        <w:t>0</w:t>
      </w:r>
      <w:r w:rsidR="00D50067">
        <w:t>2</w:t>
      </w:r>
      <w:r w:rsidR="004F3CBE">
        <w:t>, and a 2024 final rule for subpart W under OMB 2060-0751, ICR No. 2774.02</w:t>
      </w:r>
      <w:r w:rsidRPr="005D0593">
        <w:t>.</w:t>
      </w:r>
      <w:r w:rsidR="009E56FA">
        <w:t xml:space="preserve"> </w:t>
      </w:r>
      <w:r w:rsidRPr="005D0593">
        <w:t xml:space="preserve">This ICR reflects the </w:t>
      </w:r>
      <w:r w:rsidR="003B20EA">
        <w:t xml:space="preserve">proposed </w:t>
      </w:r>
      <w:r w:rsidR="00D50067">
        <w:t xml:space="preserve">removal of </w:t>
      </w:r>
      <w:r w:rsidRPr="005D0593">
        <w:t xml:space="preserve">requirements </w:t>
      </w:r>
      <w:r w:rsidR="00EA3BA7">
        <w:t xml:space="preserve">for existing reporters </w:t>
      </w:r>
      <w:r w:rsidR="00D50067">
        <w:t xml:space="preserve">including burden from </w:t>
      </w:r>
      <w:r w:rsidR="00EA3BA7">
        <w:t>ICR No. 2300.20</w:t>
      </w:r>
      <w:r w:rsidR="00755C00">
        <w:t>,</w:t>
      </w:r>
      <w:r w:rsidR="00EA3BA7">
        <w:t xml:space="preserve"> ICR No. 2773.02</w:t>
      </w:r>
      <w:r w:rsidR="00755C00">
        <w:t>, and ICR No. 2774.02</w:t>
      </w:r>
      <w:r w:rsidRPr="005D0593">
        <w:t xml:space="preserve">. </w:t>
      </w:r>
      <w:r w:rsidR="009C27F7">
        <w:t xml:space="preserve">Once finalized and approved, this ICR will consolidate reporting requirements from </w:t>
      </w:r>
      <w:r w:rsidR="5E5D48FB">
        <w:t xml:space="preserve">EPA ICR number 2300.20, </w:t>
      </w:r>
      <w:r w:rsidR="009C27F7">
        <w:t>ICR No. 2773.02</w:t>
      </w:r>
      <w:r w:rsidR="61144984">
        <w:t>,</w:t>
      </w:r>
      <w:r w:rsidR="009C27F7">
        <w:t xml:space="preserve"> and ICR No. 2774.02, and thus those ICRs will be discontinued. </w:t>
      </w:r>
      <w:r w:rsidR="00EA3BA7">
        <w:t>T</w:t>
      </w:r>
      <w:r w:rsidRPr="005D0593">
        <w:t xml:space="preserve">his information collection will affect </w:t>
      </w:r>
      <w:r w:rsidRPr="00A24386">
        <w:t xml:space="preserve">approximately </w:t>
      </w:r>
      <w:r w:rsidRPr="00C53D09" w:rsidR="009C5A81">
        <w:t>8</w:t>
      </w:r>
      <w:r w:rsidRPr="00C53D09" w:rsidR="004746B5">
        <w:t>,</w:t>
      </w:r>
      <w:r w:rsidRPr="00C53D09" w:rsidR="007F7C12">
        <w:t>971</w:t>
      </w:r>
      <w:r w:rsidRPr="00A24386">
        <w:t xml:space="preserve"> respondents and result in an average annual burden of </w:t>
      </w:r>
      <w:r w:rsidRPr="00A24386" w:rsidR="00EA3BA7">
        <w:t>0</w:t>
      </w:r>
      <w:r w:rsidRPr="00A24386">
        <w:t xml:space="preserve"> hours and $</w:t>
      </w:r>
      <w:r w:rsidRPr="00A24386" w:rsidR="00EA3BA7">
        <w:t>0</w:t>
      </w:r>
      <w:r w:rsidRPr="00A24386">
        <w:t xml:space="preserve"> ($202</w:t>
      </w:r>
      <w:r w:rsidRPr="00A24386" w:rsidR="004746B5">
        <w:t>4</w:t>
      </w:r>
      <w:r w:rsidRPr="00A24386">
        <w:t>) over the three years covered by this information collection, which includes an annual average of $</w:t>
      </w:r>
      <w:r w:rsidRPr="00A24386" w:rsidR="00EA3BA7">
        <w:t>0</w:t>
      </w:r>
      <w:r w:rsidRPr="00A24386">
        <w:t xml:space="preserve"> operation and maintenance costs. The annual average burden to the EPA for this period is </w:t>
      </w:r>
      <w:r w:rsidRPr="00A24386">
        <w:rPr>
          <w:bCs/>
        </w:rPr>
        <w:t xml:space="preserve">anticipated at </w:t>
      </w:r>
      <w:r w:rsidRPr="00A24386">
        <w:t>0</w:t>
      </w:r>
      <w:r w:rsidRPr="00A24386">
        <w:t xml:space="preserve"> </w:t>
      </w:r>
      <w:r w:rsidRPr="00A24386">
        <w:rPr>
          <w:bCs/>
        </w:rPr>
        <w:t>hours and $</w:t>
      </w:r>
      <w:r w:rsidRPr="00A24386">
        <w:t>0</w:t>
      </w:r>
      <w:r w:rsidRPr="00A24386">
        <w:rPr>
          <w:bCs/>
        </w:rPr>
        <w:t xml:space="preserve"> ($202</w:t>
      </w:r>
      <w:r w:rsidRPr="00A24386" w:rsidR="004746B5">
        <w:rPr>
          <w:bCs/>
        </w:rPr>
        <w:t>4</w:t>
      </w:r>
      <w:r w:rsidRPr="00A24386">
        <w:rPr>
          <w:bCs/>
        </w:rPr>
        <w:t>) over the three years covered by this information collection.</w:t>
      </w:r>
      <w:r w:rsidRPr="00A24386">
        <w:t xml:space="preserve"> </w:t>
      </w:r>
      <w:r w:rsidRPr="00A24386" w:rsidR="00EA3BA7">
        <w:t>Th</w:t>
      </w:r>
      <w:r w:rsidRPr="00A24386" w:rsidR="003B20EA">
        <w:t xml:space="preserve">e proposed revisions to this </w:t>
      </w:r>
      <w:r w:rsidRPr="00A24386" w:rsidR="004B3B8B">
        <w:t xml:space="preserve">information collection </w:t>
      </w:r>
      <w:r w:rsidRPr="00A24386" w:rsidR="003B20EA">
        <w:t xml:space="preserve">would </w:t>
      </w:r>
      <w:r w:rsidRPr="00A24386" w:rsidR="004B3B8B">
        <w:t>result in a</w:t>
      </w:r>
      <w:r w:rsidRPr="00A24386" w:rsidR="003B20EA">
        <w:t>n</w:t>
      </w:r>
      <w:r w:rsidRPr="00A24386" w:rsidR="004B3B8B">
        <w:t xml:space="preserve"> annual average burden and cost savings of </w:t>
      </w:r>
      <w:r w:rsidRPr="00A24386" w:rsidR="009C5A81">
        <w:t>2,</w:t>
      </w:r>
      <w:r w:rsidR="00243101">
        <w:t>600,000</w:t>
      </w:r>
      <w:r w:rsidRPr="00A24386" w:rsidR="004B3B8B">
        <w:t xml:space="preserve"> hours and </w:t>
      </w:r>
      <w:r w:rsidRPr="00A24386" w:rsidR="003B20EA">
        <w:t>$</w:t>
      </w:r>
      <w:r w:rsidRPr="00A24386" w:rsidR="007314F8">
        <w:t>30</w:t>
      </w:r>
      <w:r w:rsidRPr="00A24386" w:rsidR="00A24386">
        <w:t>3</w:t>
      </w:r>
      <w:r w:rsidRPr="00A24386" w:rsidR="007314F8">
        <w:t xml:space="preserve"> million</w:t>
      </w:r>
      <w:r w:rsidRPr="00A24386" w:rsidR="003B20EA">
        <w:t xml:space="preserve"> over the next three years, which includes an annual average of $</w:t>
      </w:r>
      <w:r w:rsidRPr="00A24386" w:rsidR="007314F8">
        <w:t>5</w:t>
      </w:r>
      <w:r w:rsidR="00243101">
        <w:t>5</w:t>
      </w:r>
      <w:r w:rsidR="00C874DC">
        <w:t>.0</w:t>
      </w:r>
      <w:r w:rsidRPr="00A24386" w:rsidR="007314F8">
        <w:t xml:space="preserve"> million</w:t>
      </w:r>
      <w:r w:rsidRPr="00A24386" w:rsidR="003B20EA">
        <w:t xml:space="preserve"> </w:t>
      </w:r>
      <w:r w:rsidRPr="00A24386" w:rsidR="007471A1">
        <w:t>in</w:t>
      </w:r>
      <w:r w:rsidR="007471A1">
        <w:t xml:space="preserve"> </w:t>
      </w:r>
      <w:r w:rsidR="003B20EA">
        <w:t>operation and maintenance costs.</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565AEA" w14:paraId="73FF37C3" w14:textId="77C3FA07">
      <w:pPr>
        <w:pStyle w:val="ListParagraph"/>
        <w:numPr>
          <w:ilvl w:val="0"/>
          <w:numId w:val="2"/>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360BA" w:rsidP="003B1BEA" w14:paraId="5A70102A" w14:textId="2FC4BC1F">
      <w:pPr>
        <w:ind w:firstLine="720"/>
      </w:pPr>
      <w:r>
        <w:t xml:space="preserve">The EPA is proposing to remove regulatory obligations </w:t>
      </w:r>
      <w:r w:rsidR="0030225F">
        <w:t>going forward for all non-subpart W sectors</w:t>
      </w:r>
      <w:r w:rsidR="001C2BC3">
        <w:t xml:space="preserve"> and the natural gas distribution segment</w:t>
      </w:r>
      <w:r w:rsidR="0030225F">
        <w:t xml:space="preserve">, and to suspend </w:t>
      </w:r>
      <w:r w:rsidRPr="005360BA">
        <w:t xml:space="preserve">reporting for </w:t>
      </w:r>
      <w:r w:rsidR="0030225F">
        <w:t xml:space="preserve">subpart W </w:t>
      </w:r>
      <w:r w:rsidR="00EC7210">
        <w:t xml:space="preserve">until RY2034. These regulatory obligations were </w:t>
      </w:r>
      <w:r>
        <w:t>previously imposed under CAA section 114, which forms the basis of the GHGRP</w:t>
      </w:r>
      <w:r w:rsidRPr="005360BA">
        <w:t xml:space="preserve"> </w:t>
      </w:r>
      <w:r w:rsidR="00EC7210">
        <w:t>for</w:t>
      </w:r>
      <w:r>
        <w:t xml:space="preserve"> most industry segments </w:t>
      </w:r>
      <w:r w:rsidRPr="005360BA">
        <w:t xml:space="preserve">except </w:t>
      </w:r>
      <w:r>
        <w:t>subpart W</w:t>
      </w:r>
      <w:r w:rsidR="00732026">
        <w:t xml:space="preserve"> starting in RY2034 under CAA section 136</w:t>
      </w:r>
      <w:r>
        <w:t xml:space="preserve">. The authority for this proposed action is CAA section 114 and the Agency’s implied authority to reconsider prior actions taken under </w:t>
      </w:r>
      <w:r>
        <w:t>a grant</w:t>
      </w:r>
      <w:r>
        <w:t xml:space="preserve"> of statutory authority. </w:t>
      </w:r>
      <w:r w:rsidRPr="005360BA">
        <w:t xml:space="preserve">See the preamble section I.D of the proposed rule “Reconsideration of the Greenhouse Gas Reporting Program” for </w:t>
      </w:r>
      <w:r w:rsidR="00A91F6A">
        <w:t>further</w:t>
      </w:r>
      <w:r w:rsidR="006E52FF">
        <w:t xml:space="preserve"> discussion </w:t>
      </w:r>
      <w:r w:rsidRPr="005360BA">
        <w:t>o</w:t>
      </w:r>
      <w:r w:rsidR="006E52FF">
        <w:t>f</w:t>
      </w:r>
      <w:r w:rsidRPr="005360BA">
        <w:t xml:space="preserve"> EPA’s legal authority for this actio</w:t>
      </w:r>
      <w:r>
        <w:t>n.</w:t>
      </w:r>
    </w:p>
    <w:p w:rsidR="00D47CB3" w:rsidRPr="00E3122D" w:rsidP="00896048" w14:paraId="24F38A28" w14:textId="570342AD">
      <w:pPr>
        <w:pStyle w:val="ListParagraph"/>
        <w:numPr>
          <w:ilvl w:val="0"/>
          <w:numId w:val="2"/>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C64A2" w:rsidP="0072255E" w14:paraId="29A4C086" w14:textId="39BEDCF0">
      <w:pPr>
        <w:spacing w:after="0" w:line="240" w:lineRule="auto"/>
        <w:ind w:firstLine="720"/>
      </w:pPr>
      <w:r w:rsidRPr="005D0593">
        <w:t xml:space="preserve">The </w:t>
      </w:r>
      <w:r w:rsidR="003D5FE2">
        <w:t>proposed reconsideration of the</w:t>
      </w:r>
      <w:r w:rsidRPr="005D0593">
        <w:t xml:space="preserve"> GHGRP</w:t>
      </w:r>
      <w:r w:rsidRPr="003D5FE2" w:rsidR="003D5FE2">
        <w:t xml:space="preserve"> </w:t>
      </w:r>
      <w:r w:rsidR="003D5FE2">
        <w:t xml:space="preserve">would </w:t>
      </w:r>
      <w:r w:rsidRPr="001A75E7" w:rsidR="003D5FE2">
        <w:t xml:space="preserve">remove existing </w:t>
      </w:r>
      <w:r w:rsidR="003D5FE2">
        <w:t xml:space="preserve">recordkeeping and </w:t>
      </w:r>
      <w:r w:rsidRPr="001A75E7" w:rsidR="003D5FE2">
        <w:t>reporting requirements</w:t>
      </w:r>
      <w:r w:rsidR="00E56A3E">
        <w:t xml:space="preserve"> </w:t>
      </w:r>
      <w:r w:rsidR="00BA350B">
        <w:t xml:space="preserve">going forward </w:t>
      </w:r>
      <w:r w:rsidR="00E56A3E">
        <w:t>for affected sources</w:t>
      </w:r>
      <w:r w:rsidR="00BA350B">
        <w:t xml:space="preserve"> in all non-subpart W sectors and the natural gas distribution segment</w:t>
      </w:r>
      <w:r w:rsidR="00CA010D">
        <w:t xml:space="preserve"> of </w:t>
      </w:r>
      <w:r w:rsidR="00D645A7">
        <w:t>subpart W</w:t>
      </w:r>
      <w:r w:rsidR="005B0115">
        <w:t>. It would also</w:t>
      </w:r>
      <w:r w:rsidR="00912A36">
        <w:t xml:space="preserve"> </w:t>
      </w:r>
      <w:r w:rsidR="003E4F89">
        <w:t>suspend</w:t>
      </w:r>
      <w:r w:rsidR="00D645A7">
        <w:t xml:space="preserve"> the</w:t>
      </w:r>
      <w:r w:rsidR="003E4F89">
        <w:t xml:space="preserve"> reporting requirements </w:t>
      </w:r>
      <w:r w:rsidR="006A3092">
        <w:t xml:space="preserve">under subpart W </w:t>
      </w:r>
      <w:r w:rsidR="003E4F89">
        <w:t>until RY2034</w:t>
      </w:r>
      <w:r w:rsidR="00E56A3E">
        <w:t xml:space="preserve">. </w:t>
      </w:r>
      <w:r w:rsidR="002136BA">
        <w:t>For the last 15 years, the EPA has collected data from GHGRP sources</w:t>
      </w:r>
      <w:r w:rsidRPr="00E805BB" w:rsidR="002136BA">
        <w:t xml:space="preserve">. </w:t>
      </w:r>
      <w:r>
        <w:t>With limited exceptions, to date, the EPA has not proceeded with developing</w:t>
      </w:r>
      <w:r w:rsidR="00D506F3">
        <w:t xml:space="preserve"> </w:t>
      </w:r>
      <w:r>
        <w:t xml:space="preserve">emissions standards that would apply to </w:t>
      </w:r>
      <w:r>
        <w:t>the majority of</w:t>
      </w:r>
      <w:r>
        <w:t xml:space="preserve"> source categories reporting to the</w:t>
      </w:r>
      <w:r w:rsidR="00CB3DF2">
        <w:t xml:space="preserve"> </w:t>
      </w:r>
      <w:r>
        <w:t>GHGRP. For example, GHGRP data from the petroleum and natural gas, municipal solid</w:t>
      </w:r>
      <w:r w:rsidR="00D506F3">
        <w:t xml:space="preserve"> </w:t>
      </w:r>
      <w:r>
        <w:t>waste landfill, and carbon capture and sequestration source categories were previously</w:t>
      </w:r>
      <w:r w:rsidR="00D506F3">
        <w:t xml:space="preserve"> </w:t>
      </w:r>
      <w:r>
        <w:t>analyzed to inform the development of new source performance standards (NSPS) and</w:t>
      </w:r>
      <w:r w:rsidR="00D506F3">
        <w:t xml:space="preserve"> </w:t>
      </w:r>
      <w:r>
        <w:t>emission guidelines (EG) under CAA section 111 for oil and natural gas facilities (81 FR</w:t>
      </w:r>
      <w:r w:rsidR="00D506F3">
        <w:t xml:space="preserve"> </w:t>
      </w:r>
      <w:r>
        <w:t>35824; June 3, 2016), municipal solid waste landfills (81 FR 59332; August 29, 2016),</w:t>
      </w:r>
      <w:r w:rsidR="00D506F3">
        <w:t xml:space="preserve"> </w:t>
      </w:r>
      <w:r>
        <w:t>and fossil-fuel fired electricity generating units (89 FR 39798; May 9, 2024); however,</w:t>
      </w:r>
      <w:r w:rsidR="00D506F3">
        <w:t xml:space="preserve"> </w:t>
      </w:r>
      <w:r>
        <w:t>the EPA has not implemented standards for most additional source categories covered by</w:t>
      </w:r>
      <w:r w:rsidR="00D506F3">
        <w:t xml:space="preserve"> </w:t>
      </w:r>
      <w:r>
        <w:t>the GHGRP.</w:t>
      </w:r>
      <w:r w:rsidRPr="00FD3E8A" w:rsidR="00FD3E8A">
        <w:t xml:space="preserve"> The EPA is not planning to develop such regulations </w:t>
      </w:r>
      <w:r w:rsidRPr="00FD3E8A" w:rsidR="00FD3E8A">
        <w:t>at this time</w:t>
      </w:r>
      <w:r w:rsidRPr="00FD3E8A" w:rsidR="00FD3E8A">
        <w:t>.</w:t>
      </w:r>
      <w:r w:rsidR="005836EB">
        <w:t xml:space="preserve">  </w:t>
      </w:r>
      <w:r w:rsidR="00FA09EC">
        <w:t>Additionally, the information collected under the GHGRP is also not necessary nor</w:t>
      </w:r>
      <w:r w:rsidR="006946C9">
        <w:t xml:space="preserve"> </w:t>
      </w:r>
      <w:r w:rsidR="00FA09EC">
        <w:t>helpful to develop such regulations or to inform development of new source performance</w:t>
      </w:r>
      <w:r w:rsidR="006946C9">
        <w:t xml:space="preserve"> </w:t>
      </w:r>
      <w:r w:rsidR="00FA09EC">
        <w:t>standards under CAA section 111, given the EPA’s authority to collect such information</w:t>
      </w:r>
      <w:r w:rsidR="006946C9">
        <w:t xml:space="preserve"> </w:t>
      </w:r>
      <w:r w:rsidR="00FA09EC">
        <w:t>on a more targeted and relevant basis through particularized CAA section 114 ICRs and</w:t>
      </w:r>
      <w:r w:rsidR="006946C9">
        <w:t xml:space="preserve"> </w:t>
      </w:r>
      <w:r w:rsidR="00FA09EC">
        <w:t>other sources of information</w:t>
      </w:r>
      <w:r w:rsidR="006946C9">
        <w:t>.</w:t>
      </w:r>
      <w:r w:rsidR="00E56FA5">
        <w:t xml:space="preserve"> </w:t>
      </w:r>
      <w:r w:rsidRPr="001E321E" w:rsidR="001E321E">
        <w:t xml:space="preserve">This proposal does not prevent private companies from continuing to collect information on GHGs independently. Additionally, any other Federal, state, or local agencies or Tribes that may rely on the publicly available GHGRP data could utilize other more efficient and potentially more accurate methods for collecting the necessary information that </w:t>
      </w:r>
      <w:r w:rsidRPr="001E321E" w:rsidR="001E321E">
        <w:t>are</w:t>
      </w:r>
      <w:r w:rsidRPr="001E321E" w:rsidR="001E321E">
        <w:t xml:space="preserve"> utilized throughout other parts of the Federal government (e.g., voluntary consensus standards). </w:t>
      </w:r>
      <w:r w:rsidR="00E56FA5">
        <w:t xml:space="preserve"> </w:t>
      </w:r>
      <w:r w:rsidRPr="00E56FA5" w:rsidR="00E56FA5">
        <w:t>See the preamble section II</w:t>
      </w:r>
      <w:r w:rsidR="004E5CD1">
        <w:t>.A</w:t>
      </w:r>
      <w:r w:rsidRPr="00E56FA5" w:rsidR="00E56FA5">
        <w:t xml:space="preserve"> of the proposed rule “Reconsideration of the Greenhouse Gas Reporting Program” for</w:t>
      </w:r>
      <w:r w:rsidR="00D6475B">
        <w:t xml:space="preserve"> a complete discussion of the </w:t>
      </w:r>
      <w:r w:rsidR="00300F8B">
        <w:t>purposes and uses of this collection</w:t>
      </w:r>
      <w:r w:rsidR="00E507FC">
        <w:t xml:space="preserve"> and the proposed amendments to the collection</w:t>
      </w:r>
      <w:r w:rsidRPr="00E56FA5" w:rsidR="00E56FA5">
        <w:t>.</w:t>
      </w:r>
    </w:p>
    <w:p w:rsidR="00074917" w:rsidRPr="00E3122D" w:rsidP="00896048" w14:paraId="1522D565" w14:textId="553E3A2D">
      <w:pPr>
        <w:pStyle w:val="ListParagraph"/>
        <w:numPr>
          <w:ilvl w:val="0"/>
          <w:numId w:val="2"/>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F0834">
        <w:rPr>
          <w:rFonts w:ascii="Calibri" w:hAnsi="Calibri" w:cs="Calibri"/>
          <w:i/>
          <w:iCs/>
          <w:color w:val="000000"/>
          <w:shd w:val="clear" w:color="auto" w:fill="FFFFFF"/>
        </w:rPr>
        <w:t>for adopting</w:t>
      </w:r>
      <w:r w:rsidRPr="001F0834">
        <w:rPr>
          <w:rFonts w:ascii="Calibri" w:hAnsi="Calibri" w:cs="Calibri"/>
          <w:i/>
          <w:iCs/>
          <w:color w:val="000000"/>
          <w:shd w:val="clear" w:color="auto" w:fill="FFFFFF"/>
        </w:rPr>
        <w:t xml:space="preserve"> this means of collection. Also describe any consideration of using information technology to reduce burden.</w:t>
      </w:r>
    </w:p>
    <w:p w:rsidR="00EE08E4" w:rsidRPr="005D0593" w:rsidP="0072255E" w14:paraId="62798ED1" w14:textId="5890B50C">
      <w:pPr>
        <w:ind w:firstLine="720"/>
        <w:rPr>
          <w:rFonts w:eastAsia="Calibri"/>
        </w:rPr>
      </w:pPr>
      <w:r w:rsidRPr="008203B5">
        <w:rPr>
          <w:rFonts w:eastAsia="Calibri"/>
        </w:rPr>
        <w:t>Th</w:t>
      </w:r>
      <w:r w:rsidRPr="008203B5" w:rsidR="00DE6C4B">
        <w:rPr>
          <w:rFonts w:eastAsia="Calibri"/>
        </w:rPr>
        <w:t xml:space="preserve">e proposed reconsideration of this information collection does not </w:t>
      </w:r>
      <w:r w:rsidRPr="008203B5" w:rsidR="00EA54CD">
        <w:rPr>
          <w:rFonts w:eastAsia="Calibri"/>
        </w:rPr>
        <w:t>require any new electronic collection techniques.</w:t>
      </w:r>
      <w:r w:rsidR="00EA54CD">
        <w:rPr>
          <w:rFonts w:eastAsia="Calibri"/>
        </w:rPr>
        <w:t xml:space="preserve"> </w:t>
      </w:r>
      <w:r w:rsidRPr="005D0593">
        <w:rPr>
          <w:rFonts w:eastAsia="Calibri"/>
        </w:rPr>
        <w:t xml:space="preserve">The EPA </w:t>
      </w:r>
      <w:r w:rsidR="00583CBC">
        <w:rPr>
          <w:rFonts w:eastAsia="Calibri"/>
        </w:rPr>
        <w:t>previously</w:t>
      </w:r>
      <w:r w:rsidRPr="005D0593" w:rsidR="00583CBC">
        <w:rPr>
          <w:rFonts w:eastAsia="Calibri"/>
        </w:rPr>
        <w:t xml:space="preserve"> </w:t>
      </w:r>
      <w:r w:rsidRPr="005D0593">
        <w:rPr>
          <w:rFonts w:eastAsia="Calibri"/>
        </w:rPr>
        <w:t xml:space="preserve">established a central repository of data for all respondents, the web-based Electronic Greenhouse Gas Reporting Tool (e-GGRT). Respondents report data electronically, and the EPA stores the data in the database. Facilities and suppliers subject to the GHGRP register online through the e-GGRT system. </w:t>
      </w:r>
      <w:r w:rsidRPr="005D0593">
        <w:rPr>
          <w:rFonts w:eastAsia="Calibri"/>
          <w:bCs/>
        </w:rPr>
        <w:t xml:space="preserve">The e-GGRT system has an XML reporting schema that allows facilities to upload GHG data directly in lieu of using the guided web forms provided through e-GGRT. </w:t>
      </w:r>
      <w:r w:rsidRPr="005D0593">
        <w:rPr>
          <w:rFonts w:eastAsia="Calibri"/>
        </w:rPr>
        <w:t>The XML reporting schema contains all data elements needed to comply with the GHGRP. The electronic reports submitted under the GHGRP are subject to the provisions of 40 CFR Part 3, specifying EPA systems to which electronic submissions must be made and the requirements for valid electronic signatures. Additionally, e-GGRT is designed to collect and store CBI.</w:t>
      </w:r>
      <w:r w:rsidR="000169B7">
        <w:rPr>
          <w:rFonts w:eastAsia="Calibri"/>
        </w:rPr>
        <w:t xml:space="preserve"> </w:t>
      </w:r>
    </w:p>
    <w:p w:rsidR="005263EC" w:rsidRPr="00E3122D" w:rsidP="008203B5" w14:paraId="2CB3B868" w14:textId="58CBB947">
      <w:pPr>
        <w:pStyle w:val="ListParagraph"/>
        <w:numPr>
          <w:ilvl w:val="0"/>
          <w:numId w:val="2"/>
        </w:numP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0169B7"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192358" w:rsidRPr="005D0593" w:rsidP="00192358" w14:paraId="440135EA" w14:textId="4320A08E">
      <w:pPr>
        <w:ind w:firstLine="720"/>
      </w:pPr>
      <w:r>
        <w:t xml:space="preserve"> </w:t>
      </w:r>
      <w:r>
        <w:t xml:space="preserve">The proposed reconsideration does not include </w:t>
      </w:r>
      <w:r w:rsidRPr="001A75E7">
        <w:t>any new reporting requirements to the GHGRP. Instead, the EPA is proposing to remove</w:t>
      </w:r>
      <w:r w:rsidR="00CB76C2">
        <w:t xml:space="preserve"> or suspend</w:t>
      </w:r>
      <w:r w:rsidRPr="001A75E7">
        <w:t xml:space="preserve"> existing reporting requirements, and so the Agency anticipates that </w:t>
      </w:r>
      <w:r>
        <w:t>no duplication exists in this information collection</w:t>
      </w:r>
      <w:r w:rsidRPr="001A75E7">
        <w:t>.</w:t>
      </w:r>
      <w:r>
        <w:t xml:space="preserve"> </w:t>
      </w:r>
    </w:p>
    <w:p w:rsidR="00251151" w:rsidRPr="00E3122D" w:rsidP="008203B5" w14:paraId="79D36B3F" w14:textId="440DD77F">
      <w:pPr>
        <w:pStyle w:val="ListParagraph"/>
        <w:numPr>
          <w:ilvl w:val="0"/>
          <w:numId w:val="2"/>
        </w:numP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192358"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192358" w:rsidRPr="00192358" w:rsidP="008203B5" w14:paraId="1A4BF5CE" w14:textId="4547A165">
      <w:r>
        <w:tab/>
      </w:r>
      <w:r w:rsidRPr="0061099C">
        <w:t xml:space="preserve">This information collection will not have a significant economic impact on a substantial number of small entities. The small entities directly regulated by </w:t>
      </w:r>
      <w:r>
        <w:t>the GHGRP</w:t>
      </w:r>
      <w:r w:rsidRPr="0061099C">
        <w:t xml:space="preserve"> include small businesses across all sectors of the economy encompassed by part 98, small governmental jurisdictions, and small non-profits.</w:t>
      </w:r>
      <w:r>
        <w:t xml:space="preserve"> The</w:t>
      </w:r>
      <w:r w:rsidRPr="00E072FC">
        <w:t xml:space="preserve"> proposed r</w:t>
      </w:r>
      <w:r>
        <w:t>econsideration</w:t>
      </w:r>
      <w:r w:rsidRPr="00E072FC">
        <w:t xml:space="preserve"> would not have a significant economic impact on a substantial number of small entities because the proposed</w:t>
      </w:r>
      <w:r>
        <w:t xml:space="preserve"> rule</w:t>
      </w:r>
      <w:r w:rsidRPr="00E072FC">
        <w:t xml:space="preserve"> relieves regulatory burden on the small entities subject to the rule. </w:t>
      </w:r>
      <w:r w:rsidR="007E38D0">
        <w:t>There are over 5,000 entities reporting across the sectors (including Natural Gas Distribution under subpart W</w:t>
      </w:r>
      <w:r w:rsidRPr="00DF44C7" w:rsidR="007E38D0">
        <w:rPr>
          <w:rFonts w:eastAsia="Calibri"/>
        </w:rPr>
        <w:t>–</w:t>
      </w:r>
      <w:r w:rsidR="007E38D0">
        <w:rPr>
          <w:rFonts w:eastAsia="Calibri"/>
        </w:rPr>
        <w:t>Petroleum and Natural Gas Systems</w:t>
      </w:r>
      <w:r w:rsidR="007E38D0">
        <w:t xml:space="preserve">) where the EPA is proposing to permanently remove requirements and approximately 2,800 entities reporting under subpart W (excluding Natural Gas Distribution) where the EPA is proposing to suspend reporting until 2034. The EPA anticipates that some of these would be small entities. </w:t>
      </w:r>
      <w:r w:rsidRPr="00E072FC">
        <w:t xml:space="preserve">The EPA’s analysis in past rules has found that small entities were likely subject to the requirements of the GHGRP for sources </w:t>
      </w:r>
      <w:r w:rsidR="009A4AF4">
        <w:t>such as</w:t>
      </w:r>
      <w:r w:rsidR="00720069">
        <w:t xml:space="preserve"> </w:t>
      </w:r>
      <w:r w:rsidRPr="00E072FC">
        <w:t xml:space="preserve">municipal solid waste landfills (subpart HH of Part 98) (78 FR 71904, November 29, 2013) or general stationary fuel combustion (subpart C of Part 98) (81 FR 89188, December 9, 2016). Removing requirements </w:t>
      </w:r>
      <w:r>
        <w:t>for reporting and recordkeeping</w:t>
      </w:r>
      <w:r w:rsidR="00097438">
        <w:t xml:space="preserve"> for all non-W sectors and the natural gas distribution segment</w:t>
      </w:r>
      <w:r w:rsidR="001115CB">
        <w:t>, or, in the case of subpart W, suspending reporting until RY2034</w:t>
      </w:r>
      <w:r w:rsidR="00097438">
        <w:t xml:space="preserve"> for all remaining subpart W segments</w:t>
      </w:r>
      <w:r w:rsidR="001115CB">
        <w:t>,</w:t>
      </w:r>
      <w:r w:rsidRPr="00E072FC">
        <w:t xml:space="preserve"> would relieve burden for all regulated entities, including small entities. </w:t>
      </w:r>
      <w:r w:rsidR="00EF3A9D">
        <w:t>The EPA has</w:t>
      </w:r>
      <w:r w:rsidRPr="00E072FC">
        <w:t xml:space="preserve"> therefore concluded that this action would relieve regulatory burden for all directly regulated small entities.</w:t>
      </w:r>
    </w:p>
    <w:p w:rsidR="004252C1" w:rsidRPr="00E3122D" w:rsidP="008203B5" w14:paraId="1FF5A778" w14:textId="3D793D73">
      <w:pPr>
        <w:pStyle w:val="ListParagraph"/>
        <w:numPr>
          <w:ilvl w:val="0"/>
          <w:numId w:val="2"/>
        </w:numPr>
        <w:spacing w:before="240" w:after="0"/>
        <w:rPr>
          <w:b/>
          <w:bCs/>
        </w:rPr>
      </w:pPr>
      <w:r>
        <w:t xml:space="preserve"> </w:t>
      </w:r>
      <w:bookmarkStart w:id="6" w:name="_Toc156593373"/>
      <w:r w:rsidRPr="4BDBF0A0" w:rsidR="4EA0E14A">
        <w:rPr>
          <w:b/>
          <w:bCs/>
        </w:rPr>
        <w:t>CONSEQUENCES</w:t>
      </w:r>
      <w:r w:rsidRPr="4BDBF0A0" w:rsidR="00061A77">
        <w:rPr>
          <w:b/>
          <w:bCs/>
        </w:rPr>
        <w:t xml:space="preserve"> OF LESS FREQUENT COLLECTION</w:t>
      </w:r>
      <w:bookmarkEnd w:id="6"/>
    </w:p>
    <w:p w:rsidR="00D47CB3" w:rsidRPr="001F0834" w:rsidP="00192358"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 xml:space="preserve">Describe the </w:t>
      </w:r>
      <w:r w:rsidRPr="001F0834">
        <w:rPr>
          <w:rFonts w:ascii="Calibri" w:hAnsi="Calibri" w:cs="Calibri"/>
          <w:i/>
          <w:iCs/>
          <w:color w:val="000000"/>
          <w:shd w:val="clear" w:color="auto" w:fill="FFFFFF"/>
        </w:rPr>
        <w:t>consequence</w:t>
      </w:r>
      <w:r w:rsidRPr="001F0834">
        <w:rPr>
          <w:rFonts w:ascii="Calibri" w:hAnsi="Calibri" w:cs="Calibri"/>
          <w:i/>
          <w:iCs/>
          <w:color w:val="000000"/>
          <w:shd w:val="clear" w:color="auto" w:fill="FFFFFF"/>
        </w:rPr>
        <w:t xml:space="preserve"> </w:t>
      </w:r>
      <w:r w:rsidRPr="001F0834">
        <w:rPr>
          <w:rFonts w:ascii="Calibri" w:hAnsi="Calibri" w:cs="Calibri"/>
          <w:i/>
          <w:iCs/>
          <w:color w:val="000000"/>
          <w:shd w:val="clear" w:color="auto" w:fill="FFFFFF"/>
        </w:rPr>
        <w:t>to</w:t>
      </w:r>
      <w:r w:rsidRPr="001F0834">
        <w:rPr>
          <w:rFonts w:ascii="Calibri" w:hAnsi="Calibri" w:cs="Calibri"/>
          <w:i/>
          <w:iCs/>
          <w:color w:val="000000"/>
          <w:shd w:val="clear" w:color="auto" w:fill="FFFFFF"/>
        </w:rPr>
        <w:t xml:space="preserve"> Federal program or policy activities if the collection is not conducted or is conducted less frequently, as well as any technical or legal obstacles to reducing burden.</w:t>
      </w:r>
    </w:p>
    <w:p w:rsidR="00ED57A4" w:rsidRPr="00BB3410" w:rsidP="00BC20C3" w14:paraId="5934FB28" w14:textId="1D79E7CD">
      <w:pPr>
        <w:ind w:firstLine="720"/>
        <w:rPr>
          <w:rFonts w:cstheme="minorHAnsi"/>
          <w:color w:val="000000"/>
        </w:rPr>
      </w:pPr>
      <w:r>
        <w:t xml:space="preserve">The proposed reconsideration would remove annual reporting requirements for the majority of </w:t>
      </w:r>
      <w:r w:rsidR="00015CF4">
        <w:t xml:space="preserve">GHGRP respondents, </w:t>
      </w:r>
      <w:r w:rsidR="00015CF4">
        <w:t>with the exception of</w:t>
      </w:r>
      <w:r w:rsidR="007756E0">
        <w:t xml:space="preserve"> most</w:t>
      </w:r>
      <w:r w:rsidR="00015CF4">
        <w:t xml:space="preserve"> petroleum and natural gas facilities</w:t>
      </w:r>
      <w:r w:rsidR="00E066FF">
        <w:t xml:space="preserve">, </w:t>
      </w:r>
      <w:r w:rsidR="00D632A9">
        <w:t>where the EPA is proposing to suspend reporting until 2034</w:t>
      </w:r>
      <w:r w:rsidR="00015CF4">
        <w:t xml:space="preserve">. </w:t>
      </w:r>
      <w:r w:rsidR="00883527">
        <w:t>In this action, the EPA reviewed the source categories for which reporting is required under the GHGRP and considered whether ongoing data collection may continue to be useful to meet the Agency’s statutory obligations (</w:t>
      </w:r>
      <w:r w:rsidRPr="000D64B3" w:rsidR="00883527">
        <w:rPr>
          <w:i/>
        </w:rPr>
        <w:t>e.g</w:t>
      </w:r>
      <w:r w:rsidR="00883527">
        <w:t xml:space="preserve">., for development of standards for similar source categories under the regulations enumerated in CAA section 114(a)). </w:t>
      </w:r>
      <w:r w:rsidR="00210E42">
        <w:t>As discussed under section 2 of this document</w:t>
      </w:r>
      <w:r w:rsidR="00E150EA">
        <w:t>,</w:t>
      </w:r>
      <w:r w:rsidR="00A16615">
        <w:t xml:space="preserve"> </w:t>
      </w:r>
      <w:r w:rsidRPr="00A16615" w:rsidR="00A16615">
        <w:t xml:space="preserve">the information collected under the GHGRP </w:t>
      </w:r>
      <w:r w:rsidR="00AA2908">
        <w:t xml:space="preserve">is </w:t>
      </w:r>
      <w:r w:rsidR="00A16615">
        <w:t xml:space="preserve">not </w:t>
      </w:r>
      <w:r w:rsidR="00AA2908">
        <w:t xml:space="preserve">necessary nor </w:t>
      </w:r>
      <w:r w:rsidRPr="00A16615" w:rsidR="00A16615">
        <w:t xml:space="preserve">helpful </w:t>
      </w:r>
      <w:r w:rsidR="00AA2908">
        <w:t>to develop such regulations</w:t>
      </w:r>
      <w:r w:rsidRPr="00A16615" w:rsidR="00A16615">
        <w:t>, given the EPA’s authority to collect such information on a more targeted and relevant basis through particularized CAA section 114 ICRs and other sources of information.</w:t>
      </w:r>
      <w:r w:rsidR="00BF7049">
        <w:t xml:space="preserve"> </w:t>
      </w:r>
      <w:r w:rsidRPr="00A16615" w:rsidR="00A16615">
        <w:t xml:space="preserve">The EPA is not intending to use further continuous annual collection of reported data from numerous source categories, as such continuous collection is unnecessary to inform the EPA’s knowledge of these industry sectors, emissions, or trends </w:t>
      </w:r>
      <w:r w:rsidRPr="00A16615" w:rsidR="00A16615">
        <w:t>at this time</w:t>
      </w:r>
      <w:r w:rsidRPr="00A16615" w:rsidR="00A16615">
        <w:t>.</w:t>
      </w:r>
    </w:p>
    <w:p w:rsidR="00A233E0" w:rsidRPr="00E3122D" w:rsidP="00565AEA" w14:paraId="27596CC0" w14:textId="77777777">
      <w:pPr>
        <w:pStyle w:val="ListParagraph"/>
        <w:numPr>
          <w:ilvl w:val="0"/>
          <w:numId w:val="2"/>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92358" w:rsidP="00BC20C3" w14:paraId="568AF370" w14:textId="68BE7478">
      <w:pPr>
        <w:ind w:firstLine="720"/>
      </w:pPr>
      <w:r w:rsidRPr="005D0593">
        <w:t>This collection of information is consistent with all other OMB guidelines under 5 CFR 1320.5</w:t>
      </w:r>
      <w:r>
        <w:t xml:space="preserve">. This proposed revision to the collection does not add recordkeeping or reporting </w:t>
      </w:r>
      <w:r w:rsidR="009E56DB">
        <w:t>requirements but</w:t>
      </w:r>
      <w:r>
        <w:t xml:space="preserve"> </w:t>
      </w:r>
      <w:r w:rsidRPr="001A75E7">
        <w:t>propos</w:t>
      </w:r>
      <w:r>
        <w:t>es</w:t>
      </w:r>
      <w:r w:rsidRPr="001A75E7">
        <w:t xml:space="preserve"> to remove existing reporting requirements</w:t>
      </w:r>
      <w:r>
        <w:t xml:space="preserve"> and to </w:t>
      </w:r>
      <w:r w:rsidRPr="001A75E7">
        <w:t>relieve</w:t>
      </w:r>
      <w:r>
        <w:t xml:space="preserve"> the</w:t>
      </w:r>
      <w:r w:rsidRPr="001A75E7">
        <w:t xml:space="preserve"> information collection burden</w:t>
      </w:r>
      <w:r>
        <w:t xml:space="preserve">. </w:t>
      </w:r>
    </w:p>
    <w:p w:rsidR="006036CD" w:rsidRPr="00E3122D" w:rsidP="00565AEA" w14:paraId="02EE9B8D" w14:textId="77777777">
      <w:pPr>
        <w:pStyle w:val="ListParagraph"/>
        <w:numPr>
          <w:ilvl w:val="0"/>
          <w:numId w:val="2"/>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F5B6A" w:rsidRPr="005D0593" w:rsidP="00DF5B6A" w14:paraId="15D3B75D" w14:textId="2D412CC4">
      <w:pPr>
        <w:ind w:firstLine="720"/>
      </w:pPr>
      <w:r w:rsidRPr="005D0593">
        <w:t xml:space="preserve">A public notice is provided in the </w:t>
      </w:r>
      <w:r w:rsidRPr="005D0593">
        <w:rPr>
          <w:i/>
          <w:iCs/>
        </w:rPr>
        <w:t>Federal Register</w:t>
      </w:r>
      <w:r w:rsidRPr="005D0593">
        <w:t xml:space="preserve"> notice of “</w:t>
      </w:r>
      <w:r w:rsidR="00FD044E">
        <w:t>Reconsideration of</w:t>
      </w:r>
      <w:r w:rsidRPr="005D0593">
        <w:t xml:space="preserve"> the Greenhouse Gas Reporting </w:t>
      </w:r>
      <w:r w:rsidR="00FD044E">
        <w:t>Program</w:t>
      </w:r>
      <w:r w:rsidRPr="005D0593">
        <w:t xml:space="preserve">; </w:t>
      </w:r>
      <w:r w:rsidR="00FD044E">
        <w:t>Proposed</w:t>
      </w:r>
      <w:r w:rsidRPr="005D0593" w:rsidR="00FD044E">
        <w:t xml:space="preserve"> </w:t>
      </w:r>
      <w:r w:rsidRPr="005D0593">
        <w:t>rule”.</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w:t>
      </w:r>
      <w:r w:rsidRPr="00A233E0">
        <w:rPr>
          <w:rFonts w:cstheme="minorHAnsi"/>
          <w:i/>
          <w:iCs/>
        </w:rPr>
        <w:t>persons</w:t>
      </w:r>
      <w:r w:rsidRPr="00A233E0">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F5B6A" w:rsidRPr="005D0593" w:rsidP="00DF5B6A" w14:paraId="6F15FC21" w14:textId="70243196">
      <w:pPr>
        <w:ind w:firstLine="720"/>
      </w:pPr>
      <w:r w:rsidRPr="005D0593">
        <w:t xml:space="preserve">To learn of ways to minimize burden on reporters, the EPA engages in consultations with reporters on a regular basis. The EPA communicates with GHGRP reporters directly after every data submission deadline during </w:t>
      </w:r>
      <w:r w:rsidR="00D468B6">
        <w:t>the</w:t>
      </w:r>
      <w:r w:rsidRPr="005D0593">
        <w:t xml:space="preserve"> annual verification period. The program maintains an open-door policy and has consulted on numerous occasions with trade associations as well as individual companies with issues or concerns.</w:t>
      </w:r>
    </w:p>
    <w:p w:rsidR="00DF5B6A" w:rsidP="00DF5B6A" w14:paraId="7C2E7FFC" w14:textId="77777777">
      <w:pPr>
        <w:ind w:firstLine="720"/>
      </w:pPr>
      <w:r w:rsidRPr="005D0593">
        <w:t xml:space="preserve">To monitor the usefulness of this data collection, the GHGRP staff are in regular communication with other EPA programs that use the data, such as voluntary and mandatory GHG reduction programs within the Office of Air and Radiation. The EPA also consults regularly with state, local, and tribal environmental control agencies, environmental groups, research entities, and other </w:t>
      </w:r>
      <w:r w:rsidRPr="005D0593">
        <w:t>nongovernmental</w:t>
      </w:r>
      <w:r w:rsidRPr="005D0593">
        <w:t xml:space="preserve"> organizations.</w:t>
      </w:r>
    </w:p>
    <w:p w:rsidR="00192358" w:rsidRPr="005D0593" w:rsidP="00DF5B6A" w14:paraId="6C2663D9" w14:textId="6755EABD">
      <w:pPr>
        <w:ind w:firstLine="720"/>
      </w:pPr>
      <w:r w:rsidRPr="00947664">
        <w:t xml:space="preserve">This proposed revision </w:t>
      </w:r>
      <w:r w:rsidRPr="00947664">
        <w:t>to</w:t>
      </w:r>
      <w:r w:rsidRPr="00947664">
        <w:t xml:space="preserve"> the collection does not add recordkeeping or reporting requirements, but proposes to remove existing reporting requirements</w:t>
      </w:r>
      <w:r w:rsidR="00303F3C">
        <w:t xml:space="preserve"> or, for subpart W sources, to suspend reporting requirements until RY2034 consistent with CAA section </w:t>
      </w:r>
      <w:r w:rsidR="00303F3C">
        <w:t>136,</w:t>
      </w:r>
      <w:r w:rsidRPr="00947664">
        <w:t xml:space="preserve"> and</w:t>
      </w:r>
      <w:r w:rsidRPr="00947664">
        <w:t xml:space="preserve"> </w:t>
      </w:r>
      <w:r w:rsidR="00303F3C">
        <w:t>is anticipated to</w:t>
      </w:r>
      <w:r w:rsidRPr="00947664">
        <w:t xml:space="preserve"> relieve the information collection burden</w:t>
      </w:r>
      <w:r>
        <w:t xml:space="preserve"> for </w:t>
      </w:r>
      <w:r>
        <w:t>the majority of</w:t>
      </w:r>
      <w:r>
        <w:t xml:space="preserve"> reporters</w:t>
      </w:r>
      <w:r w:rsidRPr="00947664">
        <w:t xml:space="preserve">. </w:t>
      </w:r>
    </w:p>
    <w:p w:rsidR="00A233E0" w:rsidRPr="00E3122D" w:rsidP="00565AEA" w14:paraId="191560B2" w14:textId="77777777">
      <w:pPr>
        <w:pStyle w:val="ListParagraph"/>
        <w:numPr>
          <w:ilvl w:val="0"/>
          <w:numId w:val="2"/>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F87F52" w14:paraId="0D75D3D3" w14:textId="174FA76D">
      <w:pPr>
        <w:ind w:firstLine="720"/>
        <w:rPr>
          <w:rFonts w:cstheme="minorHAnsi"/>
        </w:rPr>
      </w:pPr>
      <w:r w:rsidRPr="00F573CC">
        <w:t>No payments or gifts are provided to respondents.</w:t>
      </w:r>
    </w:p>
    <w:p w:rsidR="4C04BBF2" w:rsidP="00B40023" w14:paraId="333FE36D" w14:textId="45DEA41F">
      <w:pPr>
        <w:pStyle w:val="ListParagraph"/>
        <w:numPr>
          <w:ilvl w:val="0"/>
          <w:numId w:val="2"/>
        </w:numPr>
        <w:spacing w:before="240" w:after="0"/>
        <w:rPr>
          <w:b/>
          <w:bCs/>
        </w:rPr>
      </w:pPr>
      <w:r w:rsidRPr="4BDBF0A0">
        <w:rPr>
          <w:b/>
          <w:bCs/>
        </w:rPr>
        <w:t>ASSURANCE OF CONFIDENTIALITY</w:t>
      </w:r>
    </w:p>
    <w:p w:rsidR="00A233E0" w:rsidP="00192358" w14:paraId="429AF986" w14:textId="40745D8B">
      <w:pPr>
        <w:pBdr>
          <w:bottom w:val="single" w:sz="4" w:space="1" w:color="auto"/>
        </w:pBdr>
        <w:spacing w:before="60"/>
        <w:rPr>
          <w:rFonts w:cstheme="minorHAnsi"/>
          <w:i/>
          <w:iCs/>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w:t>
      </w:r>
      <w:r w:rsidRPr="00A233E0">
        <w:rPr>
          <w:rFonts w:cstheme="minorHAnsi"/>
          <w:i/>
          <w:iCs/>
        </w:rPr>
        <w:t xml:space="preserve"> of records notice (SORN) or privacy impact assessment (PIA), those should be cited and described here.</w:t>
      </w:r>
    </w:p>
    <w:p w:rsidR="00192358" w:rsidRPr="00A233E0" w:rsidP="00B40023" w14:paraId="277343DB" w14:textId="661B5370">
      <w:pPr>
        <w:spacing w:before="60"/>
        <w:ind w:firstLine="720"/>
        <w:rPr>
          <w:rFonts w:cstheme="minorHAnsi"/>
        </w:rPr>
      </w:pPr>
      <w:r w:rsidRPr="00B518B6">
        <w:t>This proposed revision to the collection does not add recordkeeping or reporting requirements</w:t>
      </w:r>
      <w:r>
        <w:t xml:space="preserve"> or include determinations of confidentiality. This action</w:t>
      </w:r>
      <w:r w:rsidRPr="00B518B6">
        <w:t xml:space="preserve"> proposes to remove </w:t>
      </w:r>
      <w:r w:rsidR="00303F3C">
        <w:t xml:space="preserve">or suspend the </w:t>
      </w:r>
      <w:r w:rsidRPr="00B518B6">
        <w:t xml:space="preserve">existing reporting requirements and to relieve the information collection burden. </w:t>
      </w:r>
    </w:p>
    <w:p w:rsidR="00A233E0" w:rsidRPr="00E3122D" w:rsidP="00B40023" w14:paraId="36FBAEFB" w14:textId="378F3650">
      <w:pPr>
        <w:pStyle w:val="ListParagraph"/>
        <w:numPr>
          <w:ilvl w:val="0"/>
          <w:numId w:val="2"/>
        </w:numPr>
        <w:spacing w:before="240" w:after="0"/>
        <w:rPr>
          <w:rFonts w:cstheme="minorHAnsi"/>
          <w:b/>
          <w:bCs/>
        </w:rPr>
      </w:pPr>
      <w:r w:rsidRPr="00B518B6">
        <w:t xml:space="preserve"> </w:t>
      </w:r>
      <w:bookmarkStart w:id="12" w:name="_Toc156593380"/>
      <w:r w:rsidRPr="4BDBF0A0" w:rsidR="002420F2">
        <w:rPr>
          <w:b/>
          <w:bCs/>
        </w:rPr>
        <w:t>JUSTIFICATION FOR SENSITIVE QUESTIONS</w:t>
      </w:r>
      <w:bookmarkEnd w:id="12"/>
    </w:p>
    <w:p w:rsidR="00A233E0" w:rsidRPr="00A233E0" w:rsidP="00192358"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A233E0">
        <w:rPr>
          <w:rFonts w:cstheme="minorHAnsi"/>
          <w:i/>
          <w:iCs/>
        </w:rPr>
        <w:t>persons</w:t>
      </w:r>
      <w:r w:rsidRPr="00A233E0">
        <w:rPr>
          <w:rFonts w:cstheme="minorHAnsi"/>
          <w:i/>
          <w:iCs/>
        </w:rPr>
        <w:t xml:space="preserve"> from whom the information is requested, and any steps to be taken to obtain their consent.</w:t>
      </w:r>
    </w:p>
    <w:p w:rsidR="009F1E00" w:rsidRPr="00E61F2F" w:rsidP="00E61F2F" w14:paraId="77467D05" w14:textId="3D02F72D">
      <w:pPr>
        <w:pStyle w:val="Default"/>
        <w:ind w:firstLine="720"/>
        <w:rPr>
          <w:rFonts w:asciiTheme="minorHAnsi" w:eastAsiaTheme="minorEastAsia" w:hAnsiTheme="minorHAnsi" w:cstheme="minorBidi"/>
          <w:color w:val="auto"/>
          <w:sz w:val="22"/>
          <w:szCs w:val="22"/>
        </w:rPr>
      </w:pPr>
      <w:r w:rsidRPr="00DF5B6A">
        <w:rPr>
          <w:rFonts w:asciiTheme="minorHAnsi" w:eastAsiaTheme="minorEastAsia" w:hAnsiTheme="minorHAnsi" w:cstheme="minorBidi"/>
          <w:color w:val="auto"/>
          <w:sz w:val="22"/>
          <w:szCs w:val="22"/>
        </w:rPr>
        <w:t>The revisions to calculation, monitoring, reporting and recordkeeping requirements in the</w:t>
      </w:r>
      <w:r w:rsidR="00C20FCA">
        <w:rPr>
          <w:rFonts w:asciiTheme="minorHAnsi" w:eastAsiaTheme="minorEastAsia" w:hAnsiTheme="minorHAnsi" w:cstheme="minorBidi"/>
          <w:color w:val="auto"/>
          <w:sz w:val="22"/>
          <w:szCs w:val="22"/>
        </w:rPr>
        <w:t xml:space="preserve"> proposed </w:t>
      </w:r>
      <w:r w:rsidR="0032076C">
        <w:rPr>
          <w:rFonts w:asciiTheme="minorHAnsi" w:eastAsiaTheme="minorEastAsia" w:hAnsiTheme="minorHAnsi" w:cstheme="minorBidi"/>
          <w:color w:val="auto"/>
          <w:sz w:val="22"/>
          <w:szCs w:val="22"/>
        </w:rPr>
        <w:t>re</w:t>
      </w:r>
      <w:r w:rsidR="00C20FCA">
        <w:rPr>
          <w:rFonts w:asciiTheme="minorHAnsi" w:eastAsiaTheme="minorEastAsia" w:hAnsiTheme="minorHAnsi" w:cstheme="minorBidi"/>
          <w:color w:val="auto"/>
          <w:sz w:val="22"/>
          <w:szCs w:val="22"/>
        </w:rPr>
        <w:t xml:space="preserve">consideration </w:t>
      </w:r>
      <w:r w:rsidRPr="00DF5B6A">
        <w:rPr>
          <w:rFonts w:asciiTheme="minorHAnsi" w:eastAsiaTheme="minorEastAsia" w:hAnsiTheme="minorHAnsi" w:cstheme="minorBidi"/>
          <w:color w:val="auto"/>
          <w:sz w:val="22"/>
          <w:szCs w:val="22"/>
        </w:rPr>
        <w:t>do not include sensitive questions.</w:t>
      </w:r>
    </w:p>
    <w:p w:rsidR="001172FE" w:rsidRPr="00E3122D" w:rsidP="00565AEA" w14:paraId="637A8E82" w14:textId="77777777">
      <w:pPr>
        <w:pStyle w:val="ListParagraph"/>
        <w:numPr>
          <w:ilvl w:val="0"/>
          <w:numId w:val="2"/>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565AEA" w14:paraId="11BD2D70"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565AEA" w14:paraId="2184CE92"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565AEA" w14:paraId="7EF5894F" w14:textId="5EEBA470">
      <w:pPr>
        <w:pStyle w:val="ListParagraph"/>
        <w:numPr>
          <w:ilvl w:val="0"/>
          <w:numId w:val="1"/>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DF5B6A" w:rsidRPr="005D0593" w:rsidP="00B40023" w14:paraId="097E7676" w14:textId="21C94150">
      <w:pPr>
        <w:keepNext/>
        <w:autoSpaceDE w:val="0"/>
        <w:autoSpaceDN w:val="0"/>
        <w:adjustRightInd w:val="0"/>
        <w:ind w:firstLine="540"/>
      </w:pPr>
      <w:r w:rsidRPr="005D0593">
        <w:t xml:space="preserve">The respondents in this information collection include owners and operators of facilities that </w:t>
      </w:r>
      <w:r w:rsidRPr="005D0593" w:rsidR="003B2BB9">
        <w:t>comply with the GHGRP rule</w:t>
      </w:r>
      <w:r w:rsidRPr="005D0593" w:rsidR="003B2BB9">
        <w:t xml:space="preserve"> </w:t>
      </w:r>
      <w:r w:rsidR="003B2BB9">
        <w:t xml:space="preserve">by </w:t>
      </w:r>
      <w:r w:rsidRPr="005D0593">
        <w:t>report</w:t>
      </w:r>
      <w:r w:rsidR="00B50CF7">
        <w:t>ing</w:t>
      </w:r>
      <w:r w:rsidRPr="005D0593">
        <w:t xml:space="preserve"> </w:t>
      </w:r>
      <w:r w:rsidRPr="005D0593" w:rsidR="00C04696">
        <w:t xml:space="preserve">to the EPA </w:t>
      </w:r>
      <w:r w:rsidRPr="005D0593">
        <w:t>their GHG emissions</w:t>
      </w:r>
      <w:r w:rsidR="006B6703">
        <w:t xml:space="preserve"> or </w:t>
      </w:r>
      <w:r w:rsidR="006608E7">
        <w:t>th</w:t>
      </w:r>
      <w:r w:rsidR="00C04696">
        <w:t xml:space="preserve">e </w:t>
      </w:r>
      <w:r w:rsidR="00FA195C">
        <w:t xml:space="preserve">amount of </w:t>
      </w:r>
      <w:r w:rsidR="003B2BB9">
        <w:t xml:space="preserve">GHGs they </w:t>
      </w:r>
      <w:r w:rsidR="006B6703">
        <w:t>supply</w:t>
      </w:r>
      <w:r w:rsidRPr="005D0593">
        <w:t xml:space="preserve">. To facilitate the analysis, the EPA has divided respondents into groups that align with the source categories identified in the </w:t>
      </w:r>
      <w:r w:rsidR="002B1A51">
        <w:t>proposed reconsideration</w:t>
      </w:r>
      <w:r w:rsidRPr="005D0593">
        <w:t xml:space="preserve">. </w:t>
      </w:r>
      <w:r w:rsidRPr="002B6858" w:rsidR="00735101">
        <w:t>Because the requirements for petroleum and natural gas facilities are unchanged in the proposed reconsideration, these respondents and their associated burden are not included in this information collection.</w:t>
      </w:r>
    </w:p>
    <w:p w:rsidR="00DF5B6A" w:rsidRPr="00DF5B6A" w:rsidP="00B40023" w14:paraId="2920CD33" w14:textId="40DB5DDF">
      <w:pPr>
        <w:autoSpaceDE w:val="0"/>
        <w:autoSpaceDN w:val="0"/>
        <w:adjustRightInd w:val="0"/>
        <w:ind w:firstLine="540"/>
      </w:pPr>
      <w:r w:rsidRPr="002B6858">
        <w:t xml:space="preserve">This section lists the </w:t>
      </w:r>
      <w:bookmarkStart w:id="15" w:name="OLE_LINK9"/>
      <w:bookmarkStart w:id="16" w:name="OLE_LINK10"/>
      <w:r w:rsidRPr="002B6858">
        <w:t xml:space="preserve">industry sectors </w:t>
      </w:r>
      <w:bookmarkEnd w:id="15"/>
      <w:bookmarkEnd w:id="16"/>
      <w:r w:rsidRPr="002B6858">
        <w:t>(</w:t>
      </w:r>
      <w:r w:rsidRPr="002B6858">
        <w:rPr>
          <w:i/>
        </w:rPr>
        <w:t>i.e.,</w:t>
      </w:r>
      <w:r w:rsidRPr="002B6858">
        <w:t xml:space="preserve"> GHG source categories) that </w:t>
      </w:r>
      <w:r w:rsidRPr="002B6858" w:rsidR="00735101">
        <w:t>would cease</w:t>
      </w:r>
      <w:r w:rsidRPr="002B6858" w:rsidR="002B1A51">
        <w:t xml:space="preserve"> </w:t>
      </w:r>
      <w:r w:rsidRPr="002B6858">
        <w:t>report</w:t>
      </w:r>
      <w:r w:rsidRPr="002B6858" w:rsidR="00735101">
        <w:t>ing</w:t>
      </w:r>
      <w:r w:rsidRPr="002B6858">
        <w:t xml:space="preserve"> to the GHGRP</w:t>
      </w:r>
      <w:r w:rsidRPr="002B6858" w:rsidR="002B6858">
        <w:t>.</w:t>
      </w:r>
      <w:r w:rsidRPr="002B6858">
        <w:t xml:space="preserve"> </w:t>
      </w:r>
      <w:r w:rsidRPr="002B6858" w:rsidR="002B6858">
        <w:t>T</w:t>
      </w:r>
      <w:r w:rsidRPr="002B6858">
        <w:t>he data items required of program participants, and the activities in which participants must engage to collect, assess, and submit the required data items</w:t>
      </w:r>
      <w:r w:rsidRPr="002B6858" w:rsidR="002B6858">
        <w:t>, are described in OMB 2060-0629, ICR No. 2300.20</w:t>
      </w:r>
      <w:r w:rsidR="004F3CBE">
        <w:t>;</w:t>
      </w:r>
      <w:r w:rsidRPr="002B6858" w:rsidR="002B6858">
        <w:t xml:space="preserve"> OMB 2060-0748, ICR No. 2773.02</w:t>
      </w:r>
      <w:r w:rsidR="004F3CBE">
        <w:t>;</w:t>
      </w:r>
      <w:r w:rsidR="00300DEE">
        <w:t xml:space="preserve"> and OMB 2060</w:t>
      </w:r>
      <w:r w:rsidR="00A82641">
        <w:t>-0751</w:t>
      </w:r>
      <w:r w:rsidR="004F3CBE">
        <w:t xml:space="preserve">, </w:t>
      </w:r>
      <w:r w:rsidR="00A82641">
        <w:t>ICR No. 2774.02</w:t>
      </w:r>
      <w:r w:rsidRPr="002B6858">
        <w:t>.</w:t>
      </w:r>
      <w:r w:rsidRPr="005D0593">
        <w:t xml:space="preserve"> </w:t>
      </w:r>
    </w:p>
    <w:p w:rsidR="001172FE" w:rsidRPr="00E3122D" w:rsidP="00854AAE" w14:paraId="571186E5" w14:textId="2EEBDA41">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4"/>
    </w:p>
    <w:p w:rsidR="00DF5B6A" w:rsidRPr="00F56CF7" w:rsidP="002B6858" w14:paraId="0AEE8D0B" w14:textId="76F79E17">
      <w:pPr>
        <w:keepNext/>
        <w:keepLines/>
        <w:ind w:firstLine="540"/>
        <w:rPr>
          <w:rFonts w:eastAsia="Calibri"/>
        </w:rPr>
      </w:pPr>
      <w:r w:rsidRPr="005D0593">
        <w:t>Reporting facilities include</w:t>
      </w:r>
      <w:r w:rsidRPr="005D0593">
        <w:rPr>
          <w:rStyle w:val="CommentReference"/>
          <w:sz w:val="24"/>
          <w:szCs w:val="24"/>
        </w:rPr>
        <w:t xml:space="preserve">, but are not limited to, </w:t>
      </w:r>
      <w:r w:rsidRPr="005D0593">
        <w:t xml:space="preserve">those in the categories in which all must report, </w:t>
      </w:r>
      <w:r w:rsidRPr="00154EFF">
        <w:t>such as large emitters listed in Table A-3 of 40 CFR 98.2(a)(1)</w:t>
      </w:r>
      <w:r w:rsidRPr="00154EFF" w:rsidR="002B609B">
        <w:t xml:space="preserve">, and </w:t>
      </w:r>
      <w:r w:rsidRPr="00154EFF" w:rsidR="002B609B">
        <w:rPr>
          <w:rStyle w:val="CommentReference"/>
          <w:sz w:val="24"/>
          <w:szCs w:val="24"/>
        </w:rPr>
        <w:t>t</w:t>
      </w:r>
      <w:r w:rsidRPr="00154EFF" w:rsidR="002B609B">
        <w:t xml:space="preserve">hose operating one or more source categories listed in Table A-4 of 40 CFR 98.2(a)(2) </w:t>
      </w:r>
      <w:r w:rsidRPr="00154EFF" w:rsidR="00B82C1C">
        <w:t xml:space="preserve">and </w:t>
      </w:r>
      <w:r w:rsidRPr="00154EFF" w:rsidR="002B609B">
        <w:t>that exceed the CO</w:t>
      </w:r>
      <w:r w:rsidRPr="00154EFF" w:rsidR="002B609B">
        <w:rPr>
          <w:vertAlign w:val="subscript"/>
        </w:rPr>
        <w:t>2</w:t>
      </w:r>
      <w:r w:rsidRPr="00154EFF" w:rsidR="002B609B">
        <w:t>e threshold on a facility-wide basis</w:t>
      </w:r>
      <w:r w:rsidRPr="00154EFF" w:rsidR="3C6A34D8">
        <w:t xml:space="preserve"> </w:t>
      </w:r>
      <w:r w:rsidRPr="00720E38" w:rsidR="3C6A34D8">
        <w:t>or those supplier source categories listed in Table A-5</w:t>
      </w:r>
      <w:r w:rsidRPr="00720E38" w:rsidR="7C70B723">
        <w:t>.</w:t>
      </w:r>
      <w:r w:rsidRPr="00154EFF">
        <w:t xml:space="preserve"> The </w:t>
      </w:r>
      <w:r w:rsidRPr="00154EFF" w:rsidR="002F72BF">
        <w:t>proposed reconsideration</w:t>
      </w:r>
      <w:r w:rsidRPr="00154EFF">
        <w:t xml:space="preserve"> </w:t>
      </w:r>
      <w:r w:rsidRPr="00154EFF" w:rsidR="002F72BF">
        <w:t>would remove the reporting requirements for all</w:t>
      </w:r>
      <w:r w:rsidRPr="00154EFF">
        <w:t xml:space="preserve"> reporting facilities</w:t>
      </w:r>
      <w:r w:rsidRPr="00154EFF" w:rsidR="002F72BF">
        <w:t xml:space="preserve">, </w:t>
      </w:r>
      <w:r w:rsidRPr="00154EFF" w:rsidR="002976E8">
        <w:t>except for</w:t>
      </w:r>
      <w:r w:rsidR="002F72BF">
        <w:t xml:space="preserve"> petroleum and natural gas systems</w:t>
      </w:r>
      <w:r w:rsidRPr="19D83ACA" w:rsidR="002B1A51">
        <w:t>.</w:t>
      </w:r>
    </w:p>
    <w:p w:rsidR="00DF5B6A" w:rsidRPr="005D0593" w:rsidP="00F56CF7" w14:paraId="78EAE6DD" w14:textId="1478CBF9">
      <w:pPr>
        <w:keepNext/>
        <w:keepLines/>
        <w:ind w:firstLine="540"/>
      </w:pPr>
      <w:r w:rsidRPr="005D0593">
        <w:t xml:space="preserve">Industry sectors are listed below by their corresponding subpart of the rule and their NAICS code for reference. The NAICS codes are not </w:t>
      </w:r>
      <w:r w:rsidRPr="005D0593" w:rsidR="005C6F59">
        <w:t>exhaustive but</w:t>
      </w:r>
      <w:r w:rsidRPr="005D0593">
        <w:t xml:space="preserve"> rather provide a list of facilities likely to be affected by the </w:t>
      </w:r>
      <w:r w:rsidR="004843E1">
        <w:t>proposed reconsideration</w:t>
      </w:r>
      <w:r w:rsidRPr="005D0593">
        <w:t xml:space="preserve">. </w:t>
      </w:r>
    </w:p>
    <w:p w:rsidR="00DF5B6A" w:rsidRPr="000238A7" w:rsidP="00DF5B6A" w14:paraId="66A7AFC8" w14:textId="4017CD8B">
      <w:pPr>
        <w:pStyle w:val="GHGPARAGRAPH"/>
        <w:rPr>
          <w:rFonts w:asciiTheme="minorHAnsi" w:hAnsiTheme="minorHAnsi" w:cstheme="minorHAnsi"/>
          <w:b/>
          <w:sz w:val="22"/>
          <w:szCs w:val="22"/>
        </w:rPr>
      </w:pPr>
      <w:r w:rsidRPr="000238A7">
        <w:rPr>
          <w:rFonts w:asciiTheme="minorHAnsi" w:hAnsiTheme="minorHAnsi" w:cstheme="minorHAnsi"/>
          <w:b/>
          <w:sz w:val="22"/>
          <w:szCs w:val="22"/>
        </w:rPr>
        <w:t>Table 1. Examples of Affected Entities by Category</w:t>
      </w:r>
    </w:p>
    <w:tbl>
      <w:tblPr>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
      <w:tblGrid>
        <w:gridCol w:w="3753"/>
        <w:gridCol w:w="1661"/>
        <w:gridCol w:w="3936"/>
      </w:tblGrid>
      <w:tr w14:paraId="12AFC031" w14:textId="77777777" w:rsidTr="00413C7C">
        <w:tblPrEx>
          <w:tblW w:w="5000" w:type="pct"/>
          <w:tblInd w:w="11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CellMar>
            <w:left w:w="110" w:type="dxa"/>
            <w:right w:w="110" w:type="dxa"/>
          </w:tblCellMar>
          <w:tblLook w:val="0000"/>
        </w:tblPrEx>
        <w:trPr>
          <w:cantSplit/>
          <w:tblHeader/>
        </w:trPr>
        <w:tc>
          <w:tcPr>
            <w:tcW w:w="2007" w:type="pct"/>
            <w:tcBorders>
              <w:top w:val="double" w:sz="4" w:space="0" w:color="auto"/>
              <w:bottom w:val="single" w:sz="4" w:space="0" w:color="auto"/>
            </w:tcBorders>
            <w:vAlign w:val="bottom"/>
          </w:tcPr>
          <w:p w:rsidR="00DF5B6A" w:rsidRPr="005D0593" w:rsidP="00413C7C" w14:paraId="4A0F8377" w14:textId="77777777">
            <w:pPr>
              <w:widowControl w:val="0"/>
              <w:jc w:val="center"/>
              <w:rPr>
                <w:b/>
                <w:bCs/>
              </w:rPr>
            </w:pPr>
            <w:r w:rsidRPr="005D0593">
              <w:rPr>
                <w:b/>
                <w:bCs/>
              </w:rPr>
              <w:t>Subpart</w:t>
            </w:r>
          </w:p>
        </w:tc>
        <w:tc>
          <w:tcPr>
            <w:tcW w:w="888" w:type="pct"/>
            <w:tcBorders>
              <w:top w:val="double" w:sz="4" w:space="0" w:color="auto"/>
              <w:bottom w:val="single" w:sz="4" w:space="0" w:color="auto"/>
              <w:right w:val="nil"/>
            </w:tcBorders>
            <w:vAlign w:val="bottom"/>
          </w:tcPr>
          <w:p w:rsidR="00DF5B6A" w:rsidRPr="005D0593" w:rsidP="00413C7C" w14:paraId="50335714" w14:textId="77777777">
            <w:pPr>
              <w:widowControl w:val="0"/>
              <w:jc w:val="center"/>
              <w:rPr>
                <w:b/>
                <w:bCs/>
              </w:rPr>
            </w:pPr>
            <w:r w:rsidRPr="005D0593">
              <w:rPr>
                <w:b/>
                <w:bCs/>
              </w:rPr>
              <w:t>NAICS Codes</w:t>
            </w:r>
          </w:p>
        </w:tc>
        <w:tc>
          <w:tcPr>
            <w:tcW w:w="2105" w:type="pct"/>
            <w:tcBorders>
              <w:top w:val="double" w:sz="4" w:space="0" w:color="auto"/>
              <w:left w:val="nil"/>
              <w:bottom w:val="single" w:sz="4" w:space="0" w:color="auto"/>
            </w:tcBorders>
            <w:vAlign w:val="bottom"/>
          </w:tcPr>
          <w:p w:rsidR="00DF5B6A" w:rsidRPr="005D0593" w:rsidP="00413C7C" w14:paraId="5CA074DA" w14:textId="77777777">
            <w:pPr>
              <w:widowControl w:val="0"/>
              <w:jc w:val="center"/>
              <w:rPr>
                <w:b/>
                <w:bCs/>
              </w:rPr>
            </w:pPr>
          </w:p>
        </w:tc>
      </w:tr>
      <w:tr w14:paraId="0C89A2CF"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413C7C" w14:paraId="7B6CC7FA" w14:textId="77777777">
            <w:pPr>
              <w:widowControl w:val="0"/>
              <w:rPr>
                <w:rFonts w:cstheme="minorHAnsi"/>
              </w:rPr>
            </w:pPr>
            <w:r w:rsidRPr="00F56CF7">
              <w:rPr>
                <w:rFonts w:cstheme="minorHAnsi"/>
              </w:rPr>
              <w:t>C. General Stationary Fuel Combustion Sources</w:t>
            </w:r>
          </w:p>
        </w:tc>
        <w:tc>
          <w:tcPr>
            <w:tcW w:w="888" w:type="pct"/>
            <w:tcBorders>
              <w:top w:val="single" w:sz="4" w:space="0" w:color="auto"/>
              <w:bottom w:val="single" w:sz="4" w:space="0" w:color="auto"/>
              <w:right w:val="nil"/>
            </w:tcBorders>
          </w:tcPr>
          <w:p w:rsidR="00DF5B6A" w:rsidRPr="00F56CF7" w:rsidP="00413C7C" w14:paraId="1740BA28" w14:textId="77777777">
            <w:pPr>
              <w:widowControl w:val="0"/>
              <w:rPr>
                <w:rFonts w:cstheme="minorHAnsi"/>
                <w:bCs/>
              </w:rPr>
            </w:pPr>
            <w:r w:rsidRPr="00F56CF7">
              <w:rPr>
                <w:rFonts w:cstheme="minorHAnsi"/>
                <w:bCs/>
              </w:rPr>
              <w:t>.........</w:t>
            </w:r>
          </w:p>
        </w:tc>
        <w:tc>
          <w:tcPr>
            <w:tcW w:w="2105" w:type="pct"/>
            <w:tcBorders>
              <w:top w:val="single" w:sz="4" w:space="0" w:color="auto"/>
              <w:left w:val="nil"/>
              <w:bottom w:val="single" w:sz="4" w:space="0" w:color="auto"/>
            </w:tcBorders>
          </w:tcPr>
          <w:p w:rsidR="00DF5B6A" w:rsidRPr="000238A7" w:rsidP="00413C7C" w14:paraId="29325F95" w14:textId="77777777">
            <w:pPr>
              <w:pStyle w:val="Default"/>
              <w:widowControl w:val="0"/>
              <w:rPr>
                <w:rFonts w:asciiTheme="minorHAnsi" w:hAnsiTheme="minorHAnsi" w:cstheme="minorHAnsi"/>
                <w:bCs/>
                <w:color w:val="auto"/>
                <w:sz w:val="22"/>
                <w:szCs w:val="22"/>
              </w:rPr>
            </w:pPr>
            <w:r w:rsidRPr="000238A7">
              <w:rPr>
                <w:rFonts w:asciiTheme="minorHAnsi" w:hAnsiTheme="minorHAnsi" w:cstheme="minorHAnsi"/>
                <w:color w:val="auto"/>
                <w:sz w:val="22"/>
                <w:szCs w:val="22"/>
              </w:rPr>
              <w:t xml:space="preserve">Facilities </w:t>
            </w:r>
            <w:r w:rsidRPr="000238A7">
              <w:rPr>
                <w:rFonts w:asciiTheme="minorHAnsi" w:hAnsiTheme="minorHAnsi" w:cstheme="minorHAnsi"/>
                <w:color w:val="auto"/>
                <w:sz w:val="22"/>
                <w:szCs w:val="22"/>
              </w:rPr>
              <w:t>operating</w:t>
            </w:r>
            <w:r w:rsidRPr="000238A7">
              <w:rPr>
                <w:rFonts w:asciiTheme="minorHAnsi" w:hAnsiTheme="minorHAnsi" w:cstheme="minorHAnsi"/>
                <w:color w:val="auto"/>
                <w:sz w:val="22"/>
                <w:szCs w:val="22"/>
              </w:rPr>
              <w:t xml:space="preserve"> boilers, process heaters, incinerators, turbines, and internal combustion engines.</w:t>
            </w:r>
          </w:p>
        </w:tc>
      </w:tr>
      <w:tr w14:paraId="3932906D"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1737A436" w14:textId="77777777">
            <w:pPr>
              <w:widowControl w:val="0"/>
              <w:rPr>
                <w:rFonts w:cstheme="minorHAnsi"/>
              </w:rPr>
            </w:pPr>
          </w:p>
        </w:tc>
        <w:tc>
          <w:tcPr>
            <w:tcW w:w="888" w:type="pct"/>
            <w:tcBorders>
              <w:top w:val="single" w:sz="4" w:space="0" w:color="auto"/>
              <w:bottom w:val="single" w:sz="4" w:space="0" w:color="auto"/>
              <w:right w:val="nil"/>
            </w:tcBorders>
          </w:tcPr>
          <w:p w:rsidR="00DF5B6A" w:rsidRPr="000238A7" w:rsidP="00413C7C" w14:paraId="4CA36A42" w14:textId="77777777">
            <w:pPr>
              <w:pStyle w:val="Default"/>
              <w:widowControl w:val="0"/>
              <w:rPr>
                <w:rFonts w:asciiTheme="minorHAnsi" w:hAnsiTheme="minorHAnsi" w:cstheme="minorHAnsi"/>
                <w:bCs/>
                <w:color w:val="auto"/>
                <w:sz w:val="22"/>
                <w:szCs w:val="22"/>
              </w:rPr>
            </w:pPr>
            <w:r w:rsidRPr="000238A7">
              <w:rPr>
                <w:rFonts w:asciiTheme="minorHAnsi" w:hAnsiTheme="minorHAnsi" w:cstheme="minorHAnsi"/>
                <w:bCs/>
                <w:color w:val="auto"/>
                <w:sz w:val="22"/>
                <w:szCs w:val="22"/>
              </w:rPr>
              <w:t>211</w:t>
            </w:r>
          </w:p>
        </w:tc>
        <w:tc>
          <w:tcPr>
            <w:tcW w:w="2105" w:type="pct"/>
            <w:tcBorders>
              <w:top w:val="single" w:sz="4" w:space="0" w:color="auto"/>
              <w:left w:val="nil"/>
              <w:bottom w:val="single" w:sz="4" w:space="0" w:color="auto"/>
            </w:tcBorders>
          </w:tcPr>
          <w:p w:rsidR="00DF5B6A" w:rsidRPr="00F56CF7" w:rsidP="00413C7C" w14:paraId="34303A1F" w14:textId="77777777">
            <w:pPr>
              <w:widowControl w:val="0"/>
              <w:rPr>
                <w:rFonts w:cstheme="minorHAnsi"/>
                <w:bCs/>
              </w:rPr>
            </w:pPr>
            <w:r w:rsidRPr="00F56CF7">
              <w:rPr>
                <w:rFonts w:cstheme="minorHAnsi"/>
              </w:rPr>
              <w:t>Extractors of crude petroleum and natural gas.</w:t>
            </w:r>
          </w:p>
        </w:tc>
      </w:tr>
      <w:tr w14:paraId="21D1E7CA"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63DB8547" w14:textId="77777777">
            <w:pPr>
              <w:widowControl w:val="0"/>
              <w:rPr>
                <w:rFonts w:cstheme="minorHAnsi"/>
              </w:rPr>
            </w:pPr>
          </w:p>
        </w:tc>
        <w:tc>
          <w:tcPr>
            <w:tcW w:w="888" w:type="pct"/>
            <w:tcBorders>
              <w:top w:val="single" w:sz="4" w:space="0" w:color="auto"/>
              <w:bottom w:val="single" w:sz="4" w:space="0" w:color="auto"/>
              <w:right w:val="nil"/>
            </w:tcBorders>
          </w:tcPr>
          <w:p w:rsidR="00DF5B6A" w:rsidRPr="000238A7" w:rsidP="00413C7C" w14:paraId="7794F345"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321 </w:t>
            </w:r>
          </w:p>
          <w:p w:rsidR="00DF5B6A" w:rsidRPr="00F56CF7" w:rsidP="00413C7C" w14:paraId="28458F49" w14:textId="77777777">
            <w:pPr>
              <w:widowControl w:val="0"/>
              <w:rPr>
                <w:rFonts w:cstheme="minorHAnsi"/>
                <w:bCs/>
              </w:rPr>
            </w:pPr>
          </w:p>
        </w:tc>
        <w:tc>
          <w:tcPr>
            <w:tcW w:w="2105" w:type="pct"/>
            <w:tcBorders>
              <w:top w:val="single" w:sz="4" w:space="0" w:color="auto"/>
              <w:left w:val="nil"/>
              <w:bottom w:val="single" w:sz="4" w:space="0" w:color="auto"/>
            </w:tcBorders>
          </w:tcPr>
          <w:p w:rsidR="00DF5B6A" w:rsidRPr="00F56CF7" w:rsidP="00413C7C" w14:paraId="0F96A8AE" w14:textId="77777777">
            <w:pPr>
              <w:widowControl w:val="0"/>
              <w:rPr>
                <w:rFonts w:cstheme="minorHAnsi"/>
                <w:bCs/>
              </w:rPr>
            </w:pPr>
            <w:r w:rsidRPr="00F56CF7">
              <w:rPr>
                <w:rFonts w:cstheme="minorHAnsi"/>
              </w:rPr>
              <w:t>Manufacturers of lumber and wood products.</w:t>
            </w:r>
          </w:p>
        </w:tc>
      </w:tr>
      <w:tr w14:paraId="0140B101"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0CB5FC4A"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3C9C566F" w14:textId="77777777">
            <w:pPr>
              <w:widowControl w:val="0"/>
              <w:rPr>
                <w:rFonts w:cstheme="minorHAnsi"/>
                <w:bCs/>
              </w:rPr>
            </w:pPr>
            <w:r w:rsidRPr="00F56CF7">
              <w:rPr>
                <w:rFonts w:cstheme="minorHAnsi"/>
              </w:rPr>
              <w:t>322</w:t>
            </w:r>
          </w:p>
        </w:tc>
        <w:tc>
          <w:tcPr>
            <w:tcW w:w="2105" w:type="pct"/>
            <w:tcBorders>
              <w:top w:val="single" w:sz="4" w:space="0" w:color="auto"/>
              <w:left w:val="nil"/>
              <w:bottom w:val="single" w:sz="4" w:space="0" w:color="auto"/>
            </w:tcBorders>
          </w:tcPr>
          <w:p w:rsidR="00DF5B6A" w:rsidRPr="00F56CF7" w:rsidP="00413C7C" w14:paraId="54ACB8F7" w14:textId="77777777">
            <w:pPr>
              <w:widowControl w:val="0"/>
              <w:rPr>
                <w:rFonts w:cstheme="minorHAnsi"/>
                <w:bCs/>
              </w:rPr>
            </w:pPr>
            <w:r w:rsidRPr="00F56CF7">
              <w:rPr>
                <w:rFonts w:cstheme="minorHAnsi"/>
              </w:rPr>
              <w:t>Pulp and paper mills.</w:t>
            </w:r>
          </w:p>
        </w:tc>
      </w:tr>
      <w:tr w14:paraId="47DC3388"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29D31B9A"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22D6AB2E" w14:textId="77777777">
            <w:pPr>
              <w:widowControl w:val="0"/>
              <w:rPr>
                <w:rFonts w:cstheme="minorHAnsi"/>
                <w:bCs/>
              </w:rPr>
            </w:pPr>
            <w:r w:rsidRPr="00F56CF7">
              <w:rPr>
                <w:rFonts w:cstheme="minorHAnsi"/>
              </w:rPr>
              <w:t>325</w:t>
            </w:r>
          </w:p>
        </w:tc>
        <w:tc>
          <w:tcPr>
            <w:tcW w:w="2105" w:type="pct"/>
            <w:tcBorders>
              <w:top w:val="single" w:sz="4" w:space="0" w:color="auto"/>
              <w:left w:val="nil"/>
              <w:bottom w:val="single" w:sz="4" w:space="0" w:color="auto"/>
            </w:tcBorders>
          </w:tcPr>
          <w:p w:rsidR="00DF5B6A" w:rsidRPr="00F56CF7" w:rsidP="00413C7C" w14:paraId="2071C696" w14:textId="77777777">
            <w:pPr>
              <w:widowControl w:val="0"/>
              <w:rPr>
                <w:rFonts w:cstheme="minorHAnsi"/>
                <w:bCs/>
              </w:rPr>
            </w:pPr>
            <w:r w:rsidRPr="00F56CF7">
              <w:rPr>
                <w:rFonts w:cstheme="minorHAnsi"/>
              </w:rPr>
              <w:t>Chemical manufacturers.</w:t>
            </w:r>
          </w:p>
        </w:tc>
      </w:tr>
      <w:tr w14:paraId="7103B6BC"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65B1D217"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71D5B13E" w14:textId="77777777">
            <w:pPr>
              <w:widowControl w:val="0"/>
              <w:rPr>
                <w:rFonts w:cstheme="minorHAnsi"/>
                <w:bCs/>
              </w:rPr>
            </w:pPr>
            <w:r w:rsidRPr="00F56CF7">
              <w:rPr>
                <w:rFonts w:cstheme="minorHAnsi"/>
              </w:rPr>
              <w:t>324</w:t>
            </w:r>
          </w:p>
        </w:tc>
        <w:tc>
          <w:tcPr>
            <w:tcW w:w="2105" w:type="pct"/>
            <w:tcBorders>
              <w:top w:val="single" w:sz="4" w:space="0" w:color="auto"/>
              <w:left w:val="nil"/>
              <w:bottom w:val="single" w:sz="4" w:space="0" w:color="auto"/>
            </w:tcBorders>
          </w:tcPr>
          <w:p w:rsidR="00DF5B6A" w:rsidRPr="00F56CF7" w:rsidP="00413C7C" w14:paraId="2DFD7F27" w14:textId="77777777">
            <w:pPr>
              <w:widowControl w:val="0"/>
              <w:rPr>
                <w:rFonts w:cstheme="minorHAnsi"/>
                <w:bCs/>
              </w:rPr>
            </w:pPr>
            <w:r w:rsidRPr="00F56CF7">
              <w:rPr>
                <w:rFonts w:cstheme="minorHAnsi"/>
              </w:rPr>
              <w:t>Petroleum refineries, and manufacturers of coal products.</w:t>
            </w:r>
          </w:p>
        </w:tc>
      </w:tr>
      <w:tr w14:paraId="2721F60A"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368633A6"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557829C4" w14:textId="77777777">
            <w:pPr>
              <w:widowControl w:val="0"/>
              <w:rPr>
                <w:rFonts w:cstheme="minorHAnsi"/>
                <w:bCs/>
              </w:rPr>
            </w:pPr>
            <w:r w:rsidRPr="00F56CF7">
              <w:rPr>
                <w:rFonts w:cstheme="minorHAnsi"/>
              </w:rPr>
              <w:t>316, 326, 339</w:t>
            </w:r>
          </w:p>
        </w:tc>
        <w:tc>
          <w:tcPr>
            <w:tcW w:w="2105" w:type="pct"/>
            <w:tcBorders>
              <w:top w:val="single" w:sz="4" w:space="0" w:color="auto"/>
              <w:left w:val="nil"/>
              <w:bottom w:val="single" w:sz="4" w:space="0" w:color="auto"/>
            </w:tcBorders>
          </w:tcPr>
          <w:p w:rsidR="00DF5B6A" w:rsidRPr="00F56CF7" w:rsidP="00413C7C" w14:paraId="7DE72276" w14:textId="77777777">
            <w:pPr>
              <w:widowControl w:val="0"/>
              <w:rPr>
                <w:rFonts w:cstheme="minorHAnsi"/>
                <w:bCs/>
              </w:rPr>
            </w:pPr>
            <w:r w:rsidRPr="00F56CF7">
              <w:rPr>
                <w:rFonts w:cstheme="minorHAnsi"/>
              </w:rPr>
              <w:t>Manufacturers of rubber and miscellaneous plastic products.</w:t>
            </w:r>
          </w:p>
        </w:tc>
      </w:tr>
      <w:tr w14:paraId="0FBA94E0"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5CE8AA22"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64D3C5A6" w14:textId="77777777">
            <w:pPr>
              <w:widowControl w:val="0"/>
              <w:rPr>
                <w:rFonts w:cstheme="minorHAnsi"/>
                <w:bCs/>
              </w:rPr>
            </w:pPr>
            <w:r w:rsidRPr="00F56CF7">
              <w:rPr>
                <w:rFonts w:cstheme="minorHAnsi"/>
              </w:rPr>
              <w:t>331</w:t>
            </w:r>
          </w:p>
        </w:tc>
        <w:tc>
          <w:tcPr>
            <w:tcW w:w="2105" w:type="pct"/>
            <w:tcBorders>
              <w:top w:val="single" w:sz="4" w:space="0" w:color="auto"/>
              <w:left w:val="nil"/>
              <w:bottom w:val="single" w:sz="4" w:space="0" w:color="auto"/>
            </w:tcBorders>
          </w:tcPr>
          <w:p w:rsidR="00DF5B6A" w:rsidRPr="00F56CF7" w:rsidP="00413C7C" w14:paraId="2B524F57" w14:textId="77777777">
            <w:pPr>
              <w:widowControl w:val="0"/>
              <w:rPr>
                <w:rFonts w:cstheme="minorHAnsi"/>
                <w:bCs/>
              </w:rPr>
            </w:pPr>
            <w:r w:rsidRPr="00F56CF7">
              <w:rPr>
                <w:rFonts w:cstheme="minorHAnsi"/>
              </w:rPr>
              <w:t>Steel works, blast furnaces.</w:t>
            </w:r>
          </w:p>
        </w:tc>
      </w:tr>
      <w:tr w14:paraId="363F5505"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03EE07CE"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5DAE26AD" w14:textId="77777777">
            <w:pPr>
              <w:widowControl w:val="0"/>
              <w:rPr>
                <w:rFonts w:cstheme="minorHAnsi"/>
                <w:bCs/>
              </w:rPr>
            </w:pPr>
            <w:r w:rsidRPr="00F56CF7">
              <w:rPr>
                <w:rFonts w:cstheme="minorHAnsi"/>
              </w:rPr>
              <w:t>332</w:t>
            </w:r>
          </w:p>
        </w:tc>
        <w:tc>
          <w:tcPr>
            <w:tcW w:w="2105" w:type="pct"/>
            <w:tcBorders>
              <w:top w:val="single" w:sz="4" w:space="0" w:color="auto"/>
              <w:left w:val="nil"/>
              <w:bottom w:val="single" w:sz="4" w:space="0" w:color="auto"/>
            </w:tcBorders>
          </w:tcPr>
          <w:p w:rsidR="00DF5B6A" w:rsidRPr="00F56CF7" w:rsidP="00413C7C" w14:paraId="7D0EA791" w14:textId="77777777">
            <w:pPr>
              <w:widowControl w:val="0"/>
              <w:rPr>
                <w:rFonts w:cstheme="minorHAnsi"/>
                <w:bCs/>
              </w:rPr>
            </w:pPr>
            <w:r w:rsidRPr="00F56CF7">
              <w:rPr>
                <w:rFonts w:cstheme="minorHAnsi"/>
              </w:rPr>
              <w:t>Electroplating, plating, polishing, anodizing, and coloring.</w:t>
            </w:r>
          </w:p>
        </w:tc>
      </w:tr>
      <w:tr w14:paraId="63EF58C5"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36AD77A9"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37D455E0" w14:textId="77777777">
            <w:pPr>
              <w:widowControl w:val="0"/>
              <w:rPr>
                <w:rFonts w:cstheme="minorHAnsi"/>
                <w:bCs/>
              </w:rPr>
            </w:pPr>
            <w:r w:rsidRPr="00F56CF7">
              <w:rPr>
                <w:rFonts w:cstheme="minorHAnsi"/>
              </w:rPr>
              <w:t>336</w:t>
            </w:r>
          </w:p>
        </w:tc>
        <w:tc>
          <w:tcPr>
            <w:tcW w:w="2105" w:type="pct"/>
            <w:tcBorders>
              <w:top w:val="single" w:sz="4" w:space="0" w:color="auto"/>
              <w:left w:val="nil"/>
              <w:bottom w:val="single" w:sz="4" w:space="0" w:color="auto"/>
            </w:tcBorders>
          </w:tcPr>
          <w:p w:rsidR="00DF5B6A" w:rsidRPr="000238A7" w:rsidP="00413C7C" w14:paraId="67EF5727"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Manufacturers of motor vehicle parts and accessories. </w:t>
            </w:r>
          </w:p>
        </w:tc>
      </w:tr>
      <w:tr w14:paraId="6097D001"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702D6317"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183F6E48" w14:textId="77777777">
            <w:pPr>
              <w:widowControl w:val="0"/>
              <w:rPr>
                <w:rFonts w:cstheme="minorHAnsi"/>
                <w:bCs/>
              </w:rPr>
            </w:pPr>
            <w:r w:rsidRPr="00F56CF7">
              <w:rPr>
                <w:rFonts w:cstheme="minorHAnsi"/>
              </w:rPr>
              <w:t>221</w:t>
            </w:r>
          </w:p>
        </w:tc>
        <w:tc>
          <w:tcPr>
            <w:tcW w:w="2105" w:type="pct"/>
            <w:tcBorders>
              <w:top w:val="single" w:sz="4" w:space="0" w:color="auto"/>
              <w:left w:val="nil"/>
              <w:bottom w:val="single" w:sz="4" w:space="0" w:color="auto"/>
            </w:tcBorders>
          </w:tcPr>
          <w:p w:rsidR="00DF5B6A" w:rsidRPr="00F56CF7" w:rsidP="00413C7C" w14:paraId="54767C9F" w14:textId="77777777">
            <w:pPr>
              <w:widowControl w:val="0"/>
              <w:rPr>
                <w:rFonts w:cstheme="minorHAnsi"/>
                <w:bCs/>
              </w:rPr>
            </w:pPr>
            <w:r w:rsidRPr="00F56CF7">
              <w:rPr>
                <w:rFonts w:cstheme="minorHAnsi"/>
              </w:rPr>
              <w:t>Electric, gas, and sanitary services.</w:t>
            </w:r>
          </w:p>
        </w:tc>
      </w:tr>
      <w:tr w14:paraId="35FB56D4"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3B1393F3"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791FA618" w14:textId="77777777">
            <w:pPr>
              <w:widowControl w:val="0"/>
              <w:rPr>
                <w:rFonts w:cstheme="minorHAnsi"/>
                <w:bCs/>
              </w:rPr>
            </w:pPr>
            <w:r w:rsidRPr="00F56CF7">
              <w:rPr>
                <w:rFonts w:cstheme="minorHAnsi"/>
              </w:rPr>
              <w:t>622</w:t>
            </w:r>
          </w:p>
        </w:tc>
        <w:tc>
          <w:tcPr>
            <w:tcW w:w="2105" w:type="pct"/>
            <w:tcBorders>
              <w:top w:val="single" w:sz="4" w:space="0" w:color="auto"/>
              <w:left w:val="nil"/>
              <w:bottom w:val="single" w:sz="4" w:space="0" w:color="auto"/>
            </w:tcBorders>
          </w:tcPr>
          <w:p w:rsidR="00DF5B6A" w:rsidRPr="00F56CF7" w:rsidP="00413C7C" w14:paraId="4E33D83C" w14:textId="77777777">
            <w:pPr>
              <w:widowControl w:val="0"/>
              <w:rPr>
                <w:rFonts w:cstheme="minorHAnsi"/>
                <w:bCs/>
              </w:rPr>
            </w:pPr>
            <w:r w:rsidRPr="00F56CF7">
              <w:rPr>
                <w:rFonts w:cstheme="minorHAnsi"/>
              </w:rPr>
              <w:t>Health services.</w:t>
            </w:r>
          </w:p>
        </w:tc>
      </w:tr>
      <w:tr w14:paraId="59BBAB32"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063EE57A"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35F6205C" w14:textId="77777777">
            <w:pPr>
              <w:widowControl w:val="0"/>
              <w:rPr>
                <w:rFonts w:cstheme="minorHAnsi"/>
                <w:bCs/>
              </w:rPr>
            </w:pPr>
            <w:r w:rsidRPr="00F56CF7">
              <w:rPr>
                <w:rFonts w:cstheme="minorHAnsi"/>
              </w:rPr>
              <w:t>611</w:t>
            </w:r>
          </w:p>
        </w:tc>
        <w:tc>
          <w:tcPr>
            <w:tcW w:w="2105" w:type="pct"/>
            <w:tcBorders>
              <w:top w:val="single" w:sz="4" w:space="0" w:color="auto"/>
              <w:left w:val="nil"/>
              <w:bottom w:val="single" w:sz="4" w:space="0" w:color="auto"/>
            </w:tcBorders>
          </w:tcPr>
          <w:p w:rsidR="00DF5B6A" w:rsidRPr="00F56CF7" w:rsidP="00413C7C" w14:paraId="3E443540" w14:textId="77777777">
            <w:pPr>
              <w:widowControl w:val="0"/>
              <w:rPr>
                <w:rFonts w:cstheme="minorHAnsi"/>
                <w:bCs/>
              </w:rPr>
            </w:pPr>
            <w:r w:rsidRPr="00F56CF7">
              <w:rPr>
                <w:rFonts w:cstheme="minorHAnsi"/>
              </w:rPr>
              <w:t>Educational services.</w:t>
            </w:r>
          </w:p>
        </w:tc>
      </w:tr>
      <w:tr w14:paraId="7BCA8E86"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A04806" w:rsidRPr="002B6858" w:rsidP="00A04806" w14:paraId="0FA379EE" w14:textId="0CC69455">
            <w:pPr>
              <w:pStyle w:val="Default"/>
              <w:widowControl w:val="0"/>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D. </w:t>
            </w:r>
            <w:r w:rsidRPr="002B6858">
              <w:rPr>
                <w:rFonts w:asciiTheme="minorHAnsi" w:eastAsiaTheme="minorEastAsia" w:hAnsiTheme="minorHAnsi" w:cstheme="minorBidi"/>
                <w:color w:val="auto"/>
                <w:sz w:val="22"/>
                <w:szCs w:val="22"/>
              </w:rPr>
              <w:t>Electricity generation units that report through 40 CFR part 75</w:t>
            </w:r>
          </w:p>
        </w:tc>
        <w:tc>
          <w:tcPr>
            <w:tcW w:w="888" w:type="pct"/>
            <w:tcBorders>
              <w:top w:val="single" w:sz="4" w:space="0" w:color="auto"/>
              <w:bottom w:val="single" w:sz="4" w:space="0" w:color="auto"/>
              <w:right w:val="nil"/>
            </w:tcBorders>
          </w:tcPr>
          <w:p w:rsidR="00A04806" w:rsidRPr="002B6858" w:rsidP="00A04806" w14:paraId="0D894DFF" w14:textId="6C35F6DA">
            <w:pPr>
              <w:pStyle w:val="Default"/>
              <w:widowControl w:val="0"/>
              <w:rPr>
                <w:rFonts w:asciiTheme="minorHAnsi" w:eastAsiaTheme="minorEastAsia" w:hAnsiTheme="minorHAnsi" w:cstheme="minorBidi"/>
                <w:color w:val="auto"/>
                <w:sz w:val="22"/>
                <w:szCs w:val="22"/>
              </w:rPr>
            </w:pPr>
            <w:r w:rsidRPr="002B6858">
              <w:rPr>
                <w:rFonts w:asciiTheme="minorHAnsi" w:eastAsiaTheme="minorEastAsia" w:hAnsiTheme="minorHAnsi" w:cstheme="minorBidi"/>
                <w:color w:val="auto"/>
                <w:sz w:val="22"/>
                <w:szCs w:val="22"/>
              </w:rPr>
              <w:t>221112</w:t>
            </w:r>
          </w:p>
        </w:tc>
        <w:tc>
          <w:tcPr>
            <w:tcW w:w="2105" w:type="pct"/>
            <w:tcBorders>
              <w:top w:val="single" w:sz="4" w:space="0" w:color="auto"/>
              <w:left w:val="nil"/>
              <w:bottom w:val="single" w:sz="4" w:space="0" w:color="auto"/>
            </w:tcBorders>
          </w:tcPr>
          <w:p w:rsidR="00A04806" w:rsidRPr="00F56CF7" w:rsidP="00A04806" w14:paraId="6781DB65" w14:textId="6881FA7F">
            <w:pPr>
              <w:widowControl w:val="0"/>
              <w:rPr>
                <w:rFonts w:cstheme="minorHAnsi"/>
              </w:rPr>
            </w:pPr>
            <w:r w:rsidRPr="003A6A01">
              <w:t xml:space="preserve">Electric power generation, fossil fuel (e.g., coal, oil, gas). </w:t>
            </w:r>
          </w:p>
        </w:tc>
      </w:tr>
      <w:tr w14:paraId="09826B46"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24CAACE8"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E. Adipic Acid Production</w:t>
            </w:r>
          </w:p>
        </w:tc>
        <w:tc>
          <w:tcPr>
            <w:tcW w:w="888" w:type="pct"/>
            <w:tcBorders>
              <w:top w:val="single" w:sz="4" w:space="0" w:color="auto"/>
              <w:bottom w:val="single" w:sz="4" w:space="0" w:color="auto"/>
              <w:right w:val="nil"/>
            </w:tcBorders>
          </w:tcPr>
          <w:p w:rsidR="00DF5B6A" w:rsidRPr="000238A7" w:rsidP="00413C7C" w14:paraId="0E580E6F" w14:textId="77777777">
            <w:pPr>
              <w:pStyle w:val="Default"/>
              <w:widowControl w:val="0"/>
              <w:rPr>
                <w:rFonts w:asciiTheme="minorHAnsi" w:hAnsiTheme="minorHAnsi" w:cstheme="minorHAnsi"/>
                <w:color w:val="auto"/>
                <w:sz w:val="22"/>
                <w:szCs w:val="22"/>
              </w:rPr>
            </w:pPr>
            <w:r w:rsidRPr="000238A7">
              <w:rPr>
                <w:rFonts w:eastAsia="Calibri" w:asciiTheme="minorHAnsi" w:hAnsiTheme="minorHAnsi" w:cstheme="minorHAnsi"/>
                <w:color w:val="auto"/>
                <w:sz w:val="22"/>
                <w:szCs w:val="22"/>
              </w:rPr>
              <w:t>325199</w:t>
            </w:r>
          </w:p>
        </w:tc>
        <w:tc>
          <w:tcPr>
            <w:tcW w:w="2105" w:type="pct"/>
            <w:tcBorders>
              <w:top w:val="single" w:sz="4" w:space="0" w:color="auto"/>
              <w:left w:val="nil"/>
              <w:bottom w:val="single" w:sz="4" w:space="0" w:color="auto"/>
            </w:tcBorders>
          </w:tcPr>
          <w:p w:rsidR="00DF5B6A" w:rsidRPr="00F56CF7" w:rsidP="00413C7C" w14:paraId="632E7D1B" w14:textId="77777777">
            <w:pPr>
              <w:widowControl w:val="0"/>
              <w:rPr>
                <w:rFonts w:cstheme="minorHAnsi"/>
              </w:rPr>
            </w:pPr>
            <w:r w:rsidRPr="00F56CF7">
              <w:rPr>
                <w:rFonts w:eastAsia="Calibri" w:cstheme="minorHAnsi"/>
              </w:rPr>
              <w:t>All other basic organic chemical manufacturing: Adipic acid manufacturing.</w:t>
            </w:r>
          </w:p>
        </w:tc>
      </w:tr>
      <w:tr w14:paraId="6D1F8D1F"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6B5A1692"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F. Aluminum Production</w:t>
            </w:r>
          </w:p>
        </w:tc>
        <w:tc>
          <w:tcPr>
            <w:tcW w:w="888" w:type="pct"/>
            <w:tcBorders>
              <w:top w:val="single" w:sz="4" w:space="0" w:color="auto"/>
              <w:bottom w:val="single" w:sz="4" w:space="0" w:color="auto"/>
              <w:right w:val="nil"/>
            </w:tcBorders>
          </w:tcPr>
          <w:p w:rsidR="00DF5B6A" w:rsidRPr="000238A7" w:rsidP="00413C7C" w14:paraId="7A20DD71"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331313</w:t>
            </w:r>
          </w:p>
        </w:tc>
        <w:tc>
          <w:tcPr>
            <w:tcW w:w="2105" w:type="pct"/>
            <w:tcBorders>
              <w:top w:val="single" w:sz="4" w:space="0" w:color="auto"/>
              <w:left w:val="nil"/>
              <w:bottom w:val="single" w:sz="4" w:space="0" w:color="auto"/>
            </w:tcBorders>
          </w:tcPr>
          <w:p w:rsidR="00DF5B6A" w:rsidRPr="00F56CF7" w:rsidP="00413C7C" w14:paraId="59DC225F" w14:textId="6417F15C">
            <w:pPr>
              <w:widowControl w:val="0"/>
              <w:rPr>
                <w:rFonts w:cstheme="minorHAnsi"/>
              </w:rPr>
            </w:pPr>
            <w:r w:rsidRPr="00F56CF7">
              <w:rPr>
                <w:rFonts w:cstheme="minorHAnsi"/>
              </w:rPr>
              <w:t>Primary aluminum production.</w:t>
            </w:r>
          </w:p>
        </w:tc>
      </w:tr>
      <w:tr w14:paraId="5345FF85"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6E75CCB4"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G. Ammonia Manufacturing</w:t>
            </w:r>
          </w:p>
        </w:tc>
        <w:tc>
          <w:tcPr>
            <w:tcW w:w="888" w:type="pct"/>
            <w:tcBorders>
              <w:top w:val="single" w:sz="4" w:space="0" w:color="auto"/>
              <w:bottom w:val="single" w:sz="4" w:space="0" w:color="auto"/>
              <w:right w:val="nil"/>
            </w:tcBorders>
          </w:tcPr>
          <w:p w:rsidR="00DF5B6A" w:rsidRPr="000238A7" w:rsidP="00413C7C" w14:paraId="383B0BB4"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325311</w:t>
            </w:r>
          </w:p>
        </w:tc>
        <w:tc>
          <w:tcPr>
            <w:tcW w:w="2105" w:type="pct"/>
            <w:tcBorders>
              <w:top w:val="single" w:sz="4" w:space="0" w:color="auto"/>
              <w:left w:val="nil"/>
              <w:bottom w:val="single" w:sz="4" w:space="0" w:color="auto"/>
            </w:tcBorders>
          </w:tcPr>
          <w:p w:rsidR="00DF5B6A" w:rsidRPr="00F56CF7" w:rsidP="00413C7C" w14:paraId="4C3CCB09" w14:textId="34F5F67D">
            <w:pPr>
              <w:widowControl w:val="0"/>
              <w:rPr>
                <w:rFonts w:cstheme="minorHAnsi"/>
              </w:rPr>
            </w:pPr>
            <w:r w:rsidRPr="00F56CF7">
              <w:rPr>
                <w:rFonts w:cstheme="minorHAnsi"/>
              </w:rPr>
              <w:t>Anhydrous and aqueous ammonia manufacturing.</w:t>
            </w:r>
          </w:p>
        </w:tc>
      </w:tr>
      <w:tr w14:paraId="54CED29B"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3F6876B2" w14:textId="7935CD6B">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H. Cement Production</w:t>
            </w:r>
          </w:p>
        </w:tc>
        <w:tc>
          <w:tcPr>
            <w:tcW w:w="888" w:type="pct"/>
            <w:tcBorders>
              <w:top w:val="single" w:sz="4" w:space="0" w:color="auto"/>
              <w:bottom w:val="single" w:sz="4" w:space="0" w:color="auto"/>
              <w:right w:val="nil"/>
            </w:tcBorders>
          </w:tcPr>
          <w:p w:rsidR="00DF5B6A" w:rsidRPr="000238A7" w:rsidP="00413C7C" w14:paraId="259E5B4A"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327310</w:t>
            </w:r>
          </w:p>
        </w:tc>
        <w:tc>
          <w:tcPr>
            <w:tcW w:w="2105" w:type="pct"/>
            <w:tcBorders>
              <w:top w:val="single" w:sz="4" w:space="0" w:color="auto"/>
              <w:left w:val="nil"/>
              <w:bottom w:val="single" w:sz="4" w:space="0" w:color="auto"/>
            </w:tcBorders>
          </w:tcPr>
          <w:p w:rsidR="00DF5B6A" w:rsidRPr="00F56CF7" w:rsidP="00413C7C" w14:paraId="4720EA71" w14:textId="115963EB">
            <w:pPr>
              <w:widowControl w:val="0"/>
              <w:rPr>
                <w:rFonts w:cstheme="minorHAnsi"/>
                <w:bCs/>
              </w:rPr>
            </w:pPr>
            <w:r>
              <w:rPr>
                <w:rFonts w:cstheme="minorHAnsi"/>
              </w:rPr>
              <w:t>C</w:t>
            </w:r>
            <w:r w:rsidRPr="00F56CF7">
              <w:rPr>
                <w:rFonts w:cstheme="minorHAnsi"/>
              </w:rPr>
              <w:t>ement manufacturing.</w:t>
            </w:r>
          </w:p>
        </w:tc>
      </w:tr>
      <w:tr w14:paraId="29EA2573"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413C7C" w14:paraId="1D72712F" w14:textId="20168A65">
            <w:pPr>
              <w:widowControl w:val="0"/>
              <w:rPr>
                <w:rFonts w:cstheme="minorHAnsi"/>
              </w:rPr>
            </w:pPr>
            <w:r w:rsidRPr="00F56CF7">
              <w:rPr>
                <w:rFonts w:cstheme="minorHAnsi"/>
              </w:rPr>
              <w:t>I. Electronics Manufacturing</w:t>
            </w:r>
          </w:p>
          <w:p w:rsidR="00DF5B6A" w:rsidRPr="00F56CF7" w:rsidP="00413C7C" w14:paraId="4A6CC8A1" w14:textId="77777777">
            <w:pPr>
              <w:widowControl w:val="0"/>
              <w:rPr>
                <w:rFonts w:cstheme="minorHAnsi"/>
              </w:rPr>
            </w:pPr>
          </w:p>
        </w:tc>
        <w:tc>
          <w:tcPr>
            <w:tcW w:w="888" w:type="pct"/>
            <w:tcBorders>
              <w:top w:val="single" w:sz="4" w:space="0" w:color="auto"/>
              <w:bottom w:val="single" w:sz="4" w:space="0" w:color="auto"/>
              <w:right w:val="nil"/>
            </w:tcBorders>
          </w:tcPr>
          <w:p w:rsidR="00DF5B6A" w:rsidRPr="00F56CF7" w:rsidP="00413C7C" w14:paraId="4A5996F0" w14:textId="77777777">
            <w:pPr>
              <w:widowControl w:val="0"/>
              <w:rPr>
                <w:rFonts w:cstheme="minorHAnsi"/>
                <w:bCs/>
              </w:rPr>
            </w:pPr>
            <w:r w:rsidRPr="00F56CF7">
              <w:rPr>
                <w:rFonts w:cstheme="minorHAnsi"/>
              </w:rPr>
              <w:t>334111</w:t>
            </w:r>
          </w:p>
        </w:tc>
        <w:tc>
          <w:tcPr>
            <w:tcW w:w="2105" w:type="pct"/>
            <w:tcBorders>
              <w:top w:val="single" w:sz="4" w:space="0" w:color="auto"/>
              <w:left w:val="nil"/>
              <w:bottom w:val="single" w:sz="4" w:space="0" w:color="auto"/>
            </w:tcBorders>
          </w:tcPr>
          <w:p w:rsidR="00DF5B6A" w:rsidRPr="00F56CF7" w:rsidP="00413C7C" w14:paraId="6A0055D8" w14:textId="6BFCC917">
            <w:pPr>
              <w:widowControl w:val="0"/>
              <w:rPr>
                <w:rFonts w:cstheme="minorHAnsi"/>
                <w:bCs/>
              </w:rPr>
            </w:pPr>
            <w:r w:rsidRPr="00F56CF7">
              <w:rPr>
                <w:rFonts w:cstheme="minorHAnsi"/>
              </w:rPr>
              <w:t>Microcomputers manufacturing</w:t>
            </w:r>
            <w:r w:rsidR="007452BA">
              <w:rPr>
                <w:rFonts w:cstheme="minorHAnsi"/>
              </w:rPr>
              <w:t xml:space="preserve"> facilities</w:t>
            </w:r>
            <w:r w:rsidRPr="00F56CF7">
              <w:rPr>
                <w:rFonts w:cstheme="minorHAnsi"/>
              </w:rPr>
              <w:t>.</w:t>
            </w:r>
          </w:p>
        </w:tc>
      </w:tr>
      <w:tr w14:paraId="73CA0AF8" w14:textId="77777777" w:rsidTr="00413C7C">
        <w:tblPrEx>
          <w:tblW w:w="5000" w:type="pct"/>
          <w:tblInd w:w="110" w:type="dxa"/>
          <w:tblCellMar>
            <w:left w:w="110" w:type="dxa"/>
            <w:right w:w="110" w:type="dxa"/>
          </w:tblCellMar>
          <w:tblLook w:val="0000"/>
        </w:tblPrEx>
        <w:trPr>
          <w:cantSplit/>
          <w:trHeight w:val="854"/>
        </w:trPr>
        <w:tc>
          <w:tcPr>
            <w:tcW w:w="2007" w:type="pct"/>
            <w:vMerge/>
            <w:tcBorders>
              <w:top w:val="single" w:sz="4" w:space="0" w:color="auto"/>
              <w:bottom w:val="single" w:sz="4" w:space="0" w:color="auto"/>
            </w:tcBorders>
          </w:tcPr>
          <w:p w:rsidR="00DF5B6A" w:rsidRPr="000238A7" w:rsidP="00413C7C" w14:paraId="16AB686C"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0238A7" w:rsidP="00413C7C" w14:paraId="48D1C130"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334413</w:t>
            </w:r>
          </w:p>
        </w:tc>
        <w:tc>
          <w:tcPr>
            <w:tcW w:w="2105" w:type="pct"/>
            <w:tcBorders>
              <w:top w:val="single" w:sz="4" w:space="0" w:color="auto"/>
              <w:left w:val="nil"/>
              <w:bottom w:val="single" w:sz="4" w:space="0" w:color="auto"/>
            </w:tcBorders>
          </w:tcPr>
          <w:p w:rsidR="00DF5B6A" w:rsidRPr="00F56CF7" w:rsidP="00413C7C" w14:paraId="31ED32FE" w14:textId="7460CCBF">
            <w:pPr>
              <w:widowControl w:val="0"/>
              <w:rPr>
                <w:rFonts w:cstheme="minorHAnsi"/>
                <w:bCs/>
              </w:rPr>
            </w:pPr>
            <w:r w:rsidRPr="00F56CF7">
              <w:rPr>
                <w:rFonts w:cstheme="minorHAnsi"/>
              </w:rPr>
              <w:t>Semiconductor, photovoltaic (PV) (solid-state) device manufacturing</w:t>
            </w:r>
            <w:r w:rsidR="00E81E53">
              <w:rPr>
                <w:rFonts w:cstheme="minorHAnsi"/>
              </w:rPr>
              <w:t xml:space="preserve"> facilities</w:t>
            </w:r>
            <w:r w:rsidRPr="00F56CF7">
              <w:rPr>
                <w:rFonts w:cstheme="minorHAnsi"/>
              </w:rPr>
              <w:t>.</w:t>
            </w:r>
          </w:p>
        </w:tc>
      </w:tr>
      <w:tr w14:paraId="17DFC282"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413C7C" w14:paraId="2913BDFD"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0238A7" w:rsidP="00413C7C" w14:paraId="756C49FB"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334419</w:t>
            </w:r>
          </w:p>
        </w:tc>
        <w:tc>
          <w:tcPr>
            <w:tcW w:w="2105" w:type="pct"/>
            <w:tcBorders>
              <w:top w:val="single" w:sz="4" w:space="0" w:color="auto"/>
              <w:left w:val="nil"/>
              <w:bottom w:val="single" w:sz="4" w:space="0" w:color="auto"/>
            </w:tcBorders>
          </w:tcPr>
          <w:p w:rsidR="00DF5B6A" w:rsidRPr="00F56CF7" w:rsidP="00413C7C" w14:paraId="565F0F6E" w14:textId="50D51487">
            <w:pPr>
              <w:widowControl w:val="0"/>
              <w:rPr>
                <w:rFonts w:cstheme="minorHAnsi"/>
                <w:bCs/>
              </w:rPr>
            </w:pPr>
            <w:r w:rsidRPr="00F56CF7">
              <w:rPr>
                <w:rFonts w:cstheme="minorHAnsi"/>
              </w:rPr>
              <w:t>Liquid crystal display (LCD) unit screens manufacturing facilities; Microelectromechanical (MEMS) manufacturing</w:t>
            </w:r>
            <w:r w:rsidR="00E81E53">
              <w:rPr>
                <w:rFonts w:cstheme="minorHAnsi"/>
              </w:rPr>
              <w:t xml:space="preserve"> facilities</w:t>
            </w:r>
            <w:r w:rsidRPr="00F56CF7">
              <w:rPr>
                <w:rFonts w:cstheme="minorHAnsi"/>
              </w:rPr>
              <w:t>.</w:t>
            </w:r>
          </w:p>
        </w:tc>
      </w:tr>
      <w:tr w14:paraId="332DEE03"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7E35BD01"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K. Ferroalloy Production</w:t>
            </w:r>
          </w:p>
        </w:tc>
        <w:tc>
          <w:tcPr>
            <w:tcW w:w="888" w:type="pct"/>
            <w:tcBorders>
              <w:top w:val="single" w:sz="4" w:space="0" w:color="auto"/>
              <w:bottom w:val="single" w:sz="4" w:space="0" w:color="auto"/>
              <w:right w:val="nil"/>
            </w:tcBorders>
          </w:tcPr>
          <w:p w:rsidR="00DF5B6A" w:rsidRPr="00F56CF7" w:rsidP="00413C7C" w14:paraId="6EA0D003" w14:textId="77777777">
            <w:pPr>
              <w:widowControl w:val="0"/>
              <w:rPr>
                <w:rFonts w:cstheme="minorHAnsi"/>
              </w:rPr>
            </w:pPr>
            <w:r w:rsidRPr="00F56CF7">
              <w:rPr>
                <w:rFonts w:cstheme="minorHAnsi"/>
              </w:rPr>
              <w:t>331110</w:t>
            </w:r>
          </w:p>
        </w:tc>
        <w:tc>
          <w:tcPr>
            <w:tcW w:w="2105" w:type="pct"/>
            <w:tcBorders>
              <w:top w:val="single" w:sz="4" w:space="0" w:color="auto"/>
              <w:left w:val="nil"/>
              <w:bottom w:val="single" w:sz="4" w:space="0" w:color="auto"/>
            </w:tcBorders>
          </w:tcPr>
          <w:p w:rsidR="00DF5B6A" w:rsidRPr="00F56CF7" w:rsidP="00413C7C" w14:paraId="2A58FEA6" w14:textId="7E8412E2">
            <w:pPr>
              <w:widowControl w:val="0"/>
              <w:rPr>
                <w:rFonts w:cstheme="minorHAnsi"/>
              </w:rPr>
            </w:pPr>
            <w:r w:rsidRPr="00F56CF7">
              <w:rPr>
                <w:rFonts w:cstheme="minorHAnsi"/>
              </w:rPr>
              <w:t>Ferroalloys manufacturing.</w:t>
            </w:r>
          </w:p>
        </w:tc>
      </w:tr>
      <w:tr w14:paraId="3605B89C"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0410BC6A"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L. Fluorinated GHG Production</w:t>
            </w:r>
          </w:p>
        </w:tc>
        <w:tc>
          <w:tcPr>
            <w:tcW w:w="888" w:type="pct"/>
            <w:tcBorders>
              <w:top w:val="single" w:sz="4" w:space="0" w:color="auto"/>
              <w:bottom w:val="single" w:sz="4" w:space="0" w:color="auto"/>
              <w:right w:val="nil"/>
            </w:tcBorders>
          </w:tcPr>
          <w:p w:rsidR="00DF5B6A" w:rsidRPr="00F56CF7" w:rsidP="00413C7C" w14:paraId="1118E163" w14:textId="77777777">
            <w:pPr>
              <w:widowControl w:val="0"/>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413C7C" w14:paraId="028B5342" w14:textId="71C3E808">
            <w:pPr>
              <w:widowControl w:val="0"/>
              <w:rPr>
                <w:rFonts w:cstheme="minorHAnsi"/>
              </w:rPr>
            </w:pPr>
            <w:r w:rsidRPr="00F56CF7">
              <w:rPr>
                <w:rFonts w:cstheme="minorHAnsi"/>
              </w:rPr>
              <w:t>Industrial gases manufacturing</w:t>
            </w:r>
            <w:r w:rsidR="00E81E53">
              <w:rPr>
                <w:rFonts w:cstheme="minorHAnsi"/>
              </w:rPr>
              <w:t xml:space="preserve"> facilities</w:t>
            </w:r>
            <w:r w:rsidRPr="00F56CF7">
              <w:rPr>
                <w:rFonts w:cstheme="minorHAnsi"/>
              </w:rPr>
              <w:t>.</w:t>
            </w:r>
          </w:p>
        </w:tc>
      </w:tr>
      <w:tr w14:paraId="2C94D50E"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0238A7" w:rsidP="00413C7C" w14:paraId="148803E8"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N. Glass Production</w:t>
            </w:r>
          </w:p>
        </w:tc>
        <w:tc>
          <w:tcPr>
            <w:tcW w:w="888" w:type="pct"/>
            <w:tcBorders>
              <w:top w:val="single" w:sz="4" w:space="0" w:color="auto"/>
              <w:bottom w:val="single" w:sz="4" w:space="0" w:color="auto"/>
              <w:right w:val="nil"/>
            </w:tcBorders>
          </w:tcPr>
          <w:p w:rsidR="00DF5B6A" w:rsidRPr="00F56CF7" w:rsidP="00413C7C" w14:paraId="410A8D7C" w14:textId="77777777">
            <w:pPr>
              <w:widowControl w:val="0"/>
              <w:rPr>
                <w:rFonts w:cstheme="minorHAnsi"/>
              </w:rPr>
            </w:pPr>
            <w:r w:rsidRPr="00F56CF7">
              <w:rPr>
                <w:rFonts w:cstheme="minorHAnsi"/>
              </w:rPr>
              <w:t>327211</w:t>
            </w:r>
          </w:p>
        </w:tc>
        <w:tc>
          <w:tcPr>
            <w:tcW w:w="2105" w:type="pct"/>
            <w:tcBorders>
              <w:top w:val="single" w:sz="4" w:space="0" w:color="auto"/>
              <w:left w:val="nil"/>
              <w:bottom w:val="single" w:sz="4" w:space="0" w:color="auto"/>
            </w:tcBorders>
          </w:tcPr>
          <w:p w:rsidR="00DF5B6A" w:rsidRPr="00F56CF7" w:rsidP="00413C7C" w14:paraId="4CE29C59" w14:textId="77777777">
            <w:pPr>
              <w:widowControl w:val="0"/>
              <w:rPr>
                <w:rFonts w:cstheme="minorHAnsi"/>
              </w:rPr>
            </w:pPr>
            <w:r w:rsidRPr="00F56CF7">
              <w:rPr>
                <w:rFonts w:cstheme="minorHAnsi"/>
              </w:rPr>
              <w:t>Flat glass manufacturing facilities.</w:t>
            </w:r>
          </w:p>
        </w:tc>
      </w:tr>
      <w:tr w14:paraId="3041D6A4"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413C7C" w14:paraId="64BE41F1"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413C7C" w14:paraId="71F49BCE" w14:textId="77777777">
            <w:pPr>
              <w:widowControl w:val="0"/>
              <w:rPr>
                <w:rFonts w:cstheme="minorHAnsi"/>
              </w:rPr>
            </w:pPr>
            <w:r w:rsidRPr="00F56CF7">
              <w:rPr>
                <w:rFonts w:cstheme="minorHAnsi"/>
              </w:rPr>
              <w:t>327213</w:t>
            </w:r>
          </w:p>
        </w:tc>
        <w:tc>
          <w:tcPr>
            <w:tcW w:w="2105" w:type="pct"/>
            <w:tcBorders>
              <w:top w:val="single" w:sz="4" w:space="0" w:color="auto"/>
              <w:left w:val="nil"/>
              <w:bottom w:val="single" w:sz="4" w:space="0" w:color="auto"/>
            </w:tcBorders>
          </w:tcPr>
          <w:p w:rsidR="00DF5B6A" w:rsidRPr="00F56CF7" w:rsidP="00413C7C" w14:paraId="500A2532" w14:textId="77777777">
            <w:pPr>
              <w:widowControl w:val="0"/>
              <w:rPr>
                <w:rFonts w:cstheme="minorHAnsi"/>
              </w:rPr>
            </w:pPr>
            <w:r w:rsidRPr="00F56CF7">
              <w:rPr>
                <w:rFonts w:cstheme="minorHAnsi"/>
              </w:rPr>
              <w:t>Glass container manufacturing facilities.</w:t>
            </w:r>
          </w:p>
        </w:tc>
      </w:tr>
      <w:tr w14:paraId="6CE1ECAB"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413C7C" w14:paraId="68D4257F"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413C7C" w14:paraId="2DAF63C3" w14:textId="77777777">
            <w:pPr>
              <w:widowControl w:val="0"/>
              <w:rPr>
                <w:rFonts w:cstheme="minorHAnsi"/>
              </w:rPr>
            </w:pPr>
            <w:r w:rsidRPr="00F56CF7">
              <w:rPr>
                <w:rFonts w:cstheme="minorHAnsi"/>
              </w:rPr>
              <w:t>327212</w:t>
            </w:r>
          </w:p>
        </w:tc>
        <w:tc>
          <w:tcPr>
            <w:tcW w:w="2105" w:type="pct"/>
            <w:tcBorders>
              <w:top w:val="single" w:sz="4" w:space="0" w:color="auto"/>
              <w:left w:val="nil"/>
              <w:bottom w:val="single" w:sz="4" w:space="0" w:color="auto"/>
            </w:tcBorders>
          </w:tcPr>
          <w:p w:rsidR="00DF5B6A" w:rsidRPr="00F56CF7" w:rsidP="00413C7C" w14:paraId="3C92F586" w14:textId="77777777">
            <w:pPr>
              <w:widowControl w:val="0"/>
              <w:rPr>
                <w:rFonts w:cstheme="minorHAnsi"/>
              </w:rPr>
            </w:pPr>
            <w:r w:rsidRPr="00F56CF7">
              <w:rPr>
                <w:rFonts w:cstheme="minorHAnsi"/>
              </w:rPr>
              <w:t>Other pressed and blown glass and glassware manufacturing facilities.</w:t>
            </w:r>
          </w:p>
        </w:tc>
      </w:tr>
      <w:tr w14:paraId="1B676543"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324157E7" w14:textId="1A10451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O. </w:t>
            </w:r>
            <w:r w:rsidRPr="008D001E" w:rsidR="008D001E">
              <w:rPr>
                <w:rFonts w:asciiTheme="minorHAnsi" w:hAnsiTheme="minorHAnsi" w:cstheme="minorHAnsi"/>
                <w:color w:val="auto"/>
                <w:sz w:val="22"/>
                <w:szCs w:val="22"/>
              </w:rPr>
              <w:t xml:space="preserve">Hydrochlorofluorocarbon </w:t>
            </w:r>
            <w:r w:rsidR="008D001E">
              <w:rPr>
                <w:rFonts w:asciiTheme="minorHAnsi" w:hAnsiTheme="minorHAnsi" w:cstheme="minorHAnsi"/>
                <w:color w:val="auto"/>
                <w:sz w:val="22"/>
                <w:szCs w:val="22"/>
              </w:rPr>
              <w:t>(</w:t>
            </w:r>
            <w:r w:rsidRPr="000238A7">
              <w:rPr>
                <w:rFonts w:asciiTheme="minorHAnsi" w:hAnsiTheme="minorHAnsi" w:cstheme="minorHAnsi"/>
                <w:color w:val="auto"/>
                <w:sz w:val="22"/>
                <w:szCs w:val="22"/>
              </w:rPr>
              <w:t>HCFC</w:t>
            </w:r>
            <w:r w:rsidR="008D001E">
              <w:rPr>
                <w:rFonts w:asciiTheme="minorHAnsi" w:hAnsiTheme="minorHAnsi" w:cstheme="minorHAnsi"/>
                <w:color w:val="auto"/>
                <w:sz w:val="22"/>
                <w:szCs w:val="22"/>
              </w:rPr>
              <w:t>)</w:t>
            </w:r>
            <w:r w:rsidRPr="000238A7">
              <w:rPr>
                <w:rFonts w:asciiTheme="minorHAnsi" w:hAnsiTheme="minorHAnsi" w:cstheme="minorHAnsi"/>
                <w:color w:val="auto"/>
                <w:sz w:val="22"/>
                <w:szCs w:val="22"/>
              </w:rPr>
              <w:t xml:space="preserve">-22 Production and </w:t>
            </w:r>
            <w:r w:rsidRPr="001350FF" w:rsidR="001350FF">
              <w:rPr>
                <w:rFonts w:asciiTheme="minorHAnsi" w:hAnsiTheme="minorHAnsi" w:cstheme="minorHAnsi"/>
                <w:color w:val="auto"/>
                <w:sz w:val="22"/>
                <w:szCs w:val="22"/>
              </w:rPr>
              <w:t xml:space="preserve">Hydrofluorocarbon </w:t>
            </w:r>
            <w:r w:rsidR="001350FF">
              <w:rPr>
                <w:rFonts w:asciiTheme="minorHAnsi" w:hAnsiTheme="minorHAnsi" w:cstheme="minorHAnsi"/>
                <w:color w:val="auto"/>
                <w:sz w:val="22"/>
                <w:szCs w:val="22"/>
              </w:rPr>
              <w:t>(</w:t>
            </w:r>
            <w:r w:rsidRPr="000238A7">
              <w:rPr>
                <w:rFonts w:asciiTheme="minorHAnsi" w:hAnsiTheme="minorHAnsi" w:cstheme="minorHAnsi"/>
                <w:color w:val="auto"/>
                <w:sz w:val="22"/>
                <w:szCs w:val="22"/>
              </w:rPr>
              <w:t>HFC</w:t>
            </w:r>
            <w:r w:rsidR="001350FF">
              <w:rPr>
                <w:rFonts w:asciiTheme="minorHAnsi" w:hAnsiTheme="minorHAnsi" w:cstheme="minorHAnsi"/>
                <w:color w:val="auto"/>
                <w:sz w:val="22"/>
                <w:szCs w:val="22"/>
              </w:rPr>
              <w:t>)</w:t>
            </w:r>
            <w:r w:rsidRPr="000238A7">
              <w:rPr>
                <w:rFonts w:asciiTheme="minorHAnsi" w:hAnsiTheme="minorHAnsi" w:cstheme="minorHAnsi"/>
                <w:color w:val="auto"/>
                <w:sz w:val="22"/>
                <w:szCs w:val="22"/>
              </w:rPr>
              <w:t>-23 destruction processes that are not collocated with a HCFC-22 production facility and that destroy more than 2.14 metric tons of HFC-23 per year</w:t>
            </w:r>
          </w:p>
        </w:tc>
        <w:tc>
          <w:tcPr>
            <w:tcW w:w="888" w:type="pct"/>
            <w:tcBorders>
              <w:top w:val="single" w:sz="4" w:space="0" w:color="auto"/>
              <w:bottom w:val="single" w:sz="4" w:space="0" w:color="auto"/>
              <w:right w:val="nil"/>
            </w:tcBorders>
          </w:tcPr>
          <w:p w:rsidR="00DF5B6A" w:rsidRPr="00F56CF7" w:rsidP="00413C7C" w14:paraId="0FD61575" w14:textId="77777777">
            <w:pPr>
              <w:widowControl w:val="0"/>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413C7C" w14:paraId="2301E97F" w14:textId="42FFB095">
            <w:pPr>
              <w:widowControl w:val="0"/>
              <w:rPr>
                <w:rFonts w:cstheme="minorHAnsi"/>
              </w:rPr>
            </w:pPr>
            <w:r w:rsidRPr="00F56CF7">
              <w:rPr>
                <w:rFonts w:cstheme="minorHAnsi"/>
              </w:rPr>
              <w:t>Industrial gas manufacturing: HCFC</w:t>
            </w:r>
            <w:r w:rsidR="003A6F39">
              <w:rPr>
                <w:rFonts w:cstheme="minorHAnsi"/>
              </w:rPr>
              <w:t xml:space="preserve"> and HFC</w:t>
            </w:r>
            <w:r w:rsidRPr="00F56CF7">
              <w:rPr>
                <w:rFonts w:cstheme="minorHAnsi"/>
              </w:rPr>
              <w:t xml:space="preserve"> gases manufacturing.</w:t>
            </w:r>
          </w:p>
        </w:tc>
      </w:tr>
      <w:tr w14:paraId="377DE6A1"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68A470B0" w14:textId="1BC7F65F">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P. Hydrogen Production</w:t>
            </w:r>
          </w:p>
          <w:p w:rsidR="00DF5B6A" w:rsidRPr="000238A7" w:rsidP="00413C7C" w14:paraId="0783F65E" w14:textId="77777777">
            <w:pPr>
              <w:pStyle w:val="Default"/>
              <w:widowControl w:val="0"/>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413C7C" w14:paraId="6C8F333C" w14:textId="77777777">
            <w:pPr>
              <w:widowControl w:val="0"/>
              <w:rPr>
                <w:rFonts w:cstheme="minorHAnsi"/>
                <w:bCs/>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413C7C" w14:paraId="4CAD82C0" w14:textId="77777777">
            <w:pPr>
              <w:widowControl w:val="0"/>
              <w:rPr>
                <w:rFonts w:cstheme="minorHAnsi"/>
              </w:rPr>
            </w:pPr>
            <w:r w:rsidRPr="00F56CF7">
              <w:rPr>
                <w:rFonts w:cstheme="minorHAnsi"/>
              </w:rPr>
              <w:t>Hydrogen manufacturing facilities.</w:t>
            </w:r>
          </w:p>
        </w:tc>
      </w:tr>
      <w:tr w14:paraId="3853F60D"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74057106" w14:textId="77777777">
            <w:pPr>
              <w:pStyle w:val="Default"/>
              <w:widowControl w:val="0"/>
              <w:rPr>
                <w:rFonts w:asciiTheme="minorHAnsi" w:hAnsiTheme="minorHAnsi" w:cstheme="minorHAnsi"/>
                <w:color w:val="auto"/>
                <w:sz w:val="22"/>
                <w:szCs w:val="22"/>
              </w:rPr>
            </w:pPr>
            <w:r w:rsidRPr="000238A7">
              <w:rPr>
                <w:rFonts w:asciiTheme="minorHAnsi" w:hAnsiTheme="minorHAnsi" w:cstheme="minorHAnsi"/>
                <w:color w:val="auto"/>
                <w:sz w:val="22"/>
                <w:szCs w:val="22"/>
              </w:rPr>
              <w:t>Q. Iron and Steel Production</w:t>
            </w:r>
          </w:p>
        </w:tc>
        <w:tc>
          <w:tcPr>
            <w:tcW w:w="888" w:type="pct"/>
            <w:tcBorders>
              <w:top w:val="single" w:sz="4" w:space="0" w:color="auto"/>
              <w:bottom w:val="single" w:sz="4" w:space="0" w:color="auto"/>
              <w:right w:val="nil"/>
            </w:tcBorders>
          </w:tcPr>
          <w:p w:rsidR="00DF5B6A" w:rsidRPr="00F56CF7" w:rsidP="00413C7C" w14:paraId="0FCDD869" w14:textId="77777777">
            <w:pPr>
              <w:widowControl w:val="0"/>
              <w:rPr>
                <w:rFonts w:cstheme="minorHAnsi"/>
                <w:bCs/>
              </w:rPr>
            </w:pPr>
            <w:r w:rsidRPr="00F56CF7">
              <w:rPr>
                <w:rFonts w:cstheme="minorHAnsi"/>
                <w:bCs/>
              </w:rPr>
              <w:t>333110</w:t>
            </w:r>
          </w:p>
        </w:tc>
        <w:tc>
          <w:tcPr>
            <w:tcW w:w="2105" w:type="pct"/>
            <w:tcBorders>
              <w:top w:val="single" w:sz="4" w:space="0" w:color="auto"/>
              <w:left w:val="nil"/>
              <w:bottom w:val="single" w:sz="4" w:space="0" w:color="auto"/>
            </w:tcBorders>
          </w:tcPr>
          <w:p w:rsidR="00DF5B6A" w:rsidRPr="00F56CF7" w:rsidP="00413C7C" w14:paraId="66F3F6E7" w14:textId="77777777">
            <w:pPr>
              <w:widowControl w:val="0"/>
              <w:rPr>
                <w:rFonts w:cstheme="minorHAnsi"/>
              </w:rPr>
            </w:pPr>
            <w:r w:rsidRPr="00F56CF7">
              <w:rPr>
                <w:rFonts w:cstheme="minorHAnsi"/>
              </w:rPr>
              <w:t>Integrated iron and steel mills, steel companies, sinter plants, blast furnaces, basic oxygen process furnace (BOPF) shops.</w:t>
            </w:r>
          </w:p>
        </w:tc>
      </w:tr>
      <w:tr w14:paraId="49D1781E"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08132D6A"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R. Lead Production</w:t>
            </w:r>
          </w:p>
        </w:tc>
        <w:tc>
          <w:tcPr>
            <w:tcW w:w="888" w:type="pct"/>
            <w:tcBorders>
              <w:top w:val="single" w:sz="4" w:space="0" w:color="auto"/>
              <w:bottom w:val="single" w:sz="4" w:space="0" w:color="auto"/>
              <w:right w:val="nil"/>
            </w:tcBorders>
          </w:tcPr>
          <w:p w:rsidR="00DF5B6A" w:rsidRPr="00F56CF7" w:rsidP="00413C7C" w14:paraId="62C1E311" w14:textId="77777777">
            <w:pPr>
              <w:rPr>
                <w:rFonts w:cstheme="minorHAnsi"/>
                <w:bCs/>
              </w:rPr>
            </w:pPr>
            <w:r w:rsidRPr="00F56CF7">
              <w:rPr>
                <w:rFonts w:cstheme="minorHAnsi"/>
                <w:bCs/>
              </w:rPr>
              <w:t>331</w:t>
            </w:r>
          </w:p>
        </w:tc>
        <w:tc>
          <w:tcPr>
            <w:tcW w:w="2105" w:type="pct"/>
            <w:tcBorders>
              <w:top w:val="single" w:sz="4" w:space="0" w:color="auto"/>
              <w:left w:val="nil"/>
              <w:bottom w:val="single" w:sz="4" w:space="0" w:color="auto"/>
            </w:tcBorders>
          </w:tcPr>
          <w:p w:rsidR="00DF5B6A" w:rsidRPr="00F56CF7" w:rsidP="00413C7C" w14:paraId="4330FFC8" w14:textId="77777777">
            <w:pPr>
              <w:rPr>
                <w:rFonts w:cstheme="minorHAnsi"/>
                <w:bCs/>
              </w:rPr>
            </w:pPr>
            <w:r w:rsidRPr="00F56CF7">
              <w:rPr>
                <w:rFonts w:cstheme="minorHAnsi"/>
                <w:bCs/>
              </w:rPr>
              <w:t>Primary metal manufacturing.</w:t>
            </w:r>
          </w:p>
        </w:tc>
      </w:tr>
      <w:tr w14:paraId="69F8C64B"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03F9F649"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S. Lime Manufacturing</w:t>
            </w:r>
          </w:p>
        </w:tc>
        <w:tc>
          <w:tcPr>
            <w:tcW w:w="888" w:type="pct"/>
            <w:tcBorders>
              <w:top w:val="single" w:sz="4" w:space="0" w:color="auto"/>
              <w:bottom w:val="single" w:sz="4" w:space="0" w:color="auto"/>
              <w:right w:val="nil"/>
            </w:tcBorders>
          </w:tcPr>
          <w:p w:rsidR="00DF5B6A" w:rsidRPr="00F56CF7" w:rsidP="00413C7C" w14:paraId="276A0AC4" w14:textId="77777777">
            <w:pPr>
              <w:rPr>
                <w:rFonts w:cstheme="minorHAnsi"/>
                <w:bCs/>
              </w:rPr>
            </w:pPr>
            <w:r w:rsidRPr="00F56CF7">
              <w:rPr>
                <w:rFonts w:cstheme="minorHAnsi"/>
                <w:bCs/>
              </w:rPr>
              <w:t>327410</w:t>
            </w:r>
          </w:p>
        </w:tc>
        <w:tc>
          <w:tcPr>
            <w:tcW w:w="2105" w:type="pct"/>
            <w:tcBorders>
              <w:top w:val="single" w:sz="4" w:space="0" w:color="auto"/>
              <w:left w:val="nil"/>
              <w:bottom w:val="single" w:sz="4" w:space="0" w:color="auto"/>
            </w:tcBorders>
          </w:tcPr>
          <w:p w:rsidR="00DF5B6A" w:rsidRPr="00F56CF7" w:rsidP="00413C7C" w14:paraId="2A2BB62E" w14:textId="7631ADED">
            <w:pPr>
              <w:rPr>
                <w:rFonts w:cstheme="minorHAnsi"/>
                <w:bCs/>
              </w:rPr>
            </w:pPr>
            <w:r>
              <w:rPr>
                <w:rFonts w:cstheme="minorHAnsi"/>
                <w:bCs/>
              </w:rPr>
              <w:t>Lime production</w:t>
            </w:r>
            <w:r w:rsidRPr="00F56CF7">
              <w:rPr>
                <w:rFonts w:cstheme="minorHAnsi"/>
                <w:bCs/>
              </w:rPr>
              <w:t>.</w:t>
            </w:r>
          </w:p>
        </w:tc>
      </w:tr>
      <w:tr w14:paraId="24C33C39"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07DC254F"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T. Magnesium Production</w:t>
            </w:r>
          </w:p>
        </w:tc>
        <w:tc>
          <w:tcPr>
            <w:tcW w:w="888" w:type="pct"/>
            <w:tcBorders>
              <w:top w:val="single" w:sz="4" w:space="0" w:color="auto"/>
              <w:bottom w:val="single" w:sz="4" w:space="0" w:color="auto"/>
              <w:right w:val="nil"/>
            </w:tcBorders>
          </w:tcPr>
          <w:p w:rsidR="00DF5B6A" w:rsidRPr="00F56CF7" w:rsidP="00413C7C" w14:paraId="238FF70E" w14:textId="77777777">
            <w:pPr>
              <w:rPr>
                <w:rFonts w:cstheme="minorHAnsi"/>
                <w:bCs/>
              </w:rPr>
            </w:pPr>
            <w:r w:rsidRPr="00F56CF7">
              <w:rPr>
                <w:rFonts w:cstheme="minorHAnsi"/>
                <w:bCs/>
              </w:rPr>
              <w:t>331410</w:t>
            </w:r>
          </w:p>
        </w:tc>
        <w:tc>
          <w:tcPr>
            <w:tcW w:w="2105" w:type="pct"/>
            <w:tcBorders>
              <w:top w:val="single" w:sz="4" w:space="0" w:color="auto"/>
              <w:left w:val="nil"/>
              <w:bottom w:val="single" w:sz="4" w:space="0" w:color="auto"/>
            </w:tcBorders>
          </w:tcPr>
          <w:p w:rsidR="00DF5B6A" w:rsidRPr="00F56CF7" w:rsidP="00413C7C" w14:paraId="6505A621" w14:textId="77777777">
            <w:pPr>
              <w:rPr>
                <w:rFonts w:cstheme="minorHAnsi"/>
                <w:bCs/>
              </w:rPr>
            </w:pPr>
            <w:r w:rsidRPr="00F56CF7">
              <w:rPr>
                <w:rFonts w:cstheme="minorHAnsi"/>
                <w:bCs/>
              </w:rPr>
              <w:t>Nonferrous metal (except aluminum) smelting and refining: Magnesium refining, primary.</w:t>
            </w:r>
          </w:p>
        </w:tc>
      </w:tr>
      <w:tr w14:paraId="1DBA29D0"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70EA1053"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U. Miscellaneous Uses of Carbonate</w:t>
            </w:r>
          </w:p>
        </w:tc>
        <w:tc>
          <w:tcPr>
            <w:tcW w:w="2993" w:type="pct"/>
            <w:gridSpan w:val="2"/>
            <w:tcBorders>
              <w:top w:val="single" w:sz="4" w:space="0" w:color="auto"/>
              <w:bottom w:val="single" w:sz="4" w:space="0" w:color="auto"/>
            </w:tcBorders>
          </w:tcPr>
          <w:p w:rsidR="00DF5B6A" w:rsidRPr="00F56CF7" w:rsidP="00413C7C" w14:paraId="5E813424" w14:textId="77777777">
            <w:pPr>
              <w:rPr>
                <w:rFonts w:cstheme="minorHAnsi"/>
                <w:bCs/>
              </w:rPr>
            </w:pPr>
            <w:r w:rsidRPr="00F56CF7">
              <w:rPr>
                <w:rFonts w:cstheme="minorHAnsi"/>
                <w:bCs/>
              </w:rPr>
              <w:t>Facilities included elsewhere</w:t>
            </w:r>
          </w:p>
        </w:tc>
      </w:tr>
      <w:tr w14:paraId="0604C381"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0238A7" w:rsidP="00413C7C" w14:paraId="09E2D726"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V. Nitric Acid Production</w:t>
            </w:r>
          </w:p>
        </w:tc>
        <w:tc>
          <w:tcPr>
            <w:tcW w:w="888" w:type="pct"/>
            <w:tcBorders>
              <w:top w:val="single" w:sz="4" w:space="0" w:color="auto"/>
              <w:bottom w:val="single" w:sz="4" w:space="0" w:color="auto"/>
              <w:right w:val="nil"/>
            </w:tcBorders>
          </w:tcPr>
          <w:p w:rsidR="00DF5B6A" w:rsidRPr="00F56CF7" w:rsidP="00413C7C" w14:paraId="5E648453" w14:textId="77777777">
            <w:pPr>
              <w:rPr>
                <w:rFonts w:cstheme="minorHAnsi"/>
                <w:bCs/>
              </w:rPr>
            </w:pPr>
            <w:r w:rsidRPr="00F56CF7">
              <w:rPr>
                <w:rFonts w:cstheme="minorHAnsi"/>
                <w:bCs/>
              </w:rPr>
              <w:t>325311</w:t>
            </w:r>
          </w:p>
        </w:tc>
        <w:tc>
          <w:tcPr>
            <w:tcW w:w="2105" w:type="pct"/>
            <w:tcBorders>
              <w:top w:val="single" w:sz="4" w:space="0" w:color="auto"/>
              <w:left w:val="nil"/>
              <w:bottom w:val="single" w:sz="4" w:space="0" w:color="auto"/>
            </w:tcBorders>
          </w:tcPr>
          <w:p w:rsidR="00DF5B6A" w:rsidRPr="00F56CF7" w:rsidP="00413C7C" w14:paraId="513554D8" w14:textId="77777777">
            <w:pPr>
              <w:rPr>
                <w:rFonts w:cstheme="minorHAnsi"/>
                <w:bCs/>
              </w:rPr>
            </w:pPr>
            <w:r w:rsidRPr="00F56CF7">
              <w:rPr>
                <w:rFonts w:cstheme="minorHAnsi"/>
                <w:bCs/>
              </w:rPr>
              <w:t>Nitrogenous fertilizer manufacturing: Nitric acid manufacturing.</w:t>
            </w:r>
          </w:p>
        </w:tc>
      </w:tr>
      <w:tr w14:paraId="0B5CAEED"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0238A7" w:rsidP="00413C7C" w14:paraId="7FCCE7F4"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W. Petroleum and Natural Gas Systems</w:t>
            </w:r>
          </w:p>
        </w:tc>
        <w:tc>
          <w:tcPr>
            <w:tcW w:w="888" w:type="pct"/>
            <w:tcBorders>
              <w:top w:val="single" w:sz="4" w:space="0" w:color="auto"/>
              <w:bottom w:val="single" w:sz="4" w:space="0" w:color="auto"/>
              <w:right w:val="nil"/>
            </w:tcBorders>
          </w:tcPr>
          <w:p w:rsidR="00DF5B6A" w:rsidRPr="00F56CF7" w:rsidP="00413C7C" w14:paraId="72EB6F67" w14:textId="77777777">
            <w:pPr>
              <w:rPr>
                <w:rFonts w:cstheme="minorHAnsi"/>
                <w:bCs/>
              </w:rPr>
            </w:pPr>
            <w:r w:rsidRPr="00F56CF7">
              <w:rPr>
                <w:rFonts w:cstheme="minorHAnsi"/>
                <w:bCs/>
              </w:rPr>
              <w:t xml:space="preserve">486210 </w:t>
            </w:r>
          </w:p>
          <w:p w:rsidR="00DF5B6A" w:rsidRPr="00F56CF7" w:rsidP="00413C7C" w14:paraId="4D1DB4AF" w14:textId="77777777">
            <w:pPr>
              <w:rPr>
                <w:rFonts w:cstheme="minorHAnsi"/>
                <w:bCs/>
              </w:rPr>
            </w:pPr>
          </w:p>
        </w:tc>
        <w:tc>
          <w:tcPr>
            <w:tcW w:w="2105" w:type="pct"/>
            <w:tcBorders>
              <w:top w:val="single" w:sz="4" w:space="0" w:color="auto"/>
              <w:left w:val="nil"/>
              <w:bottom w:val="single" w:sz="4" w:space="0" w:color="auto"/>
            </w:tcBorders>
          </w:tcPr>
          <w:p w:rsidR="00DF5B6A" w:rsidRPr="00F56CF7" w:rsidP="00413C7C" w14:paraId="07A97791" w14:textId="77777777">
            <w:pPr>
              <w:rPr>
                <w:rFonts w:cstheme="minorHAnsi"/>
                <w:bCs/>
              </w:rPr>
            </w:pPr>
            <w:r w:rsidRPr="00F56CF7">
              <w:rPr>
                <w:rFonts w:cstheme="minorHAnsi"/>
                <w:bCs/>
              </w:rPr>
              <w:t>Pipeline transportation of natural gas.</w:t>
            </w:r>
          </w:p>
        </w:tc>
      </w:tr>
      <w:tr w14:paraId="0DCF9FB2"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413C7C" w14:paraId="7DAF64E1" w14:textId="77777777">
            <w:pPr>
              <w:pStyle w:val="Default"/>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413C7C" w14:paraId="4CBE0113" w14:textId="77777777">
            <w:pPr>
              <w:rPr>
                <w:rFonts w:cstheme="minorHAnsi"/>
                <w:bCs/>
              </w:rPr>
            </w:pPr>
            <w:r w:rsidRPr="00F56CF7">
              <w:rPr>
                <w:rFonts w:cstheme="minorHAnsi"/>
                <w:bCs/>
              </w:rPr>
              <w:t>221210</w:t>
            </w:r>
          </w:p>
        </w:tc>
        <w:tc>
          <w:tcPr>
            <w:tcW w:w="2105" w:type="pct"/>
            <w:tcBorders>
              <w:top w:val="single" w:sz="4" w:space="0" w:color="auto"/>
              <w:left w:val="nil"/>
              <w:bottom w:val="single" w:sz="4" w:space="0" w:color="auto"/>
            </w:tcBorders>
          </w:tcPr>
          <w:p w:rsidR="00DF5B6A" w:rsidRPr="00F56CF7" w:rsidP="00413C7C" w14:paraId="303C2120" w14:textId="77777777">
            <w:pPr>
              <w:rPr>
                <w:rFonts w:cstheme="minorHAnsi"/>
                <w:bCs/>
              </w:rPr>
            </w:pPr>
            <w:r w:rsidRPr="00F56CF7">
              <w:rPr>
                <w:rFonts w:cstheme="minorHAnsi"/>
                <w:bCs/>
              </w:rPr>
              <w:t>Natural gas distribution facilities.</w:t>
            </w:r>
          </w:p>
        </w:tc>
      </w:tr>
      <w:tr w14:paraId="2E56B233"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413C7C" w14:paraId="712E25AF" w14:textId="77777777">
            <w:pPr>
              <w:pStyle w:val="Default"/>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413C7C" w14:paraId="1268A95B" w14:textId="77777777">
            <w:pPr>
              <w:rPr>
                <w:rFonts w:cstheme="minorHAnsi"/>
                <w:bCs/>
              </w:rPr>
            </w:pPr>
            <w:r w:rsidRPr="00F56CF7">
              <w:rPr>
                <w:rFonts w:cstheme="minorHAnsi"/>
                <w:bCs/>
              </w:rPr>
              <w:t xml:space="preserve">211120 </w:t>
            </w:r>
          </w:p>
        </w:tc>
        <w:tc>
          <w:tcPr>
            <w:tcW w:w="2105" w:type="pct"/>
            <w:tcBorders>
              <w:top w:val="single" w:sz="4" w:space="0" w:color="auto"/>
              <w:left w:val="nil"/>
              <w:bottom w:val="single" w:sz="4" w:space="0" w:color="auto"/>
            </w:tcBorders>
          </w:tcPr>
          <w:p w:rsidR="00DF5B6A" w:rsidRPr="00F56CF7" w:rsidP="00413C7C" w14:paraId="5435C86C" w14:textId="77777777">
            <w:pPr>
              <w:rPr>
                <w:rFonts w:cstheme="minorHAnsi"/>
                <w:bCs/>
              </w:rPr>
            </w:pPr>
            <w:r w:rsidRPr="00F56CF7">
              <w:rPr>
                <w:rFonts w:cstheme="minorHAnsi"/>
                <w:bCs/>
              </w:rPr>
              <w:t>Crude petroleum extraction.</w:t>
            </w:r>
          </w:p>
        </w:tc>
      </w:tr>
      <w:tr w14:paraId="2DA622BF"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0238A7" w:rsidP="00413C7C" w14:paraId="4EFF15A2" w14:textId="77777777">
            <w:pPr>
              <w:pStyle w:val="Default"/>
              <w:rPr>
                <w:rFonts w:asciiTheme="minorHAnsi" w:hAnsiTheme="minorHAnsi" w:cstheme="minorHAnsi"/>
                <w:color w:val="auto"/>
                <w:sz w:val="22"/>
                <w:szCs w:val="22"/>
              </w:rPr>
            </w:pPr>
          </w:p>
        </w:tc>
        <w:tc>
          <w:tcPr>
            <w:tcW w:w="888" w:type="pct"/>
            <w:tcBorders>
              <w:top w:val="single" w:sz="4" w:space="0" w:color="auto"/>
              <w:bottom w:val="single" w:sz="4" w:space="0" w:color="auto"/>
              <w:right w:val="nil"/>
            </w:tcBorders>
          </w:tcPr>
          <w:p w:rsidR="00DF5B6A" w:rsidRPr="00F56CF7" w:rsidP="00413C7C" w14:paraId="2AEDD027" w14:textId="77777777">
            <w:pPr>
              <w:rPr>
                <w:rFonts w:cstheme="minorHAnsi"/>
                <w:bCs/>
              </w:rPr>
            </w:pPr>
            <w:r w:rsidRPr="00F56CF7">
              <w:rPr>
                <w:rFonts w:cstheme="minorHAnsi"/>
                <w:bCs/>
              </w:rPr>
              <w:t>211130</w:t>
            </w:r>
          </w:p>
        </w:tc>
        <w:tc>
          <w:tcPr>
            <w:tcW w:w="2105" w:type="pct"/>
            <w:tcBorders>
              <w:top w:val="single" w:sz="4" w:space="0" w:color="auto"/>
              <w:left w:val="nil"/>
              <w:bottom w:val="single" w:sz="4" w:space="0" w:color="auto"/>
            </w:tcBorders>
          </w:tcPr>
          <w:p w:rsidR="00DF5B6A" w:rsidRPr="00F56CF7" w:rsidP="00413C7C" w14:paraId="00573C04" w14:textId="77777777">
            <w:pPr>
              <w:rPr>
                <w:rFonts w:cstheme="minorHAnsi"/>
                <w:bCs/>
              </w:rPr>
            </w:pPr>
            <w:r w:rsidRPr="00F56CF7">
              <w:rPr>
                <w:rFonts w:cstheme="minorHAnsi"/>
                <w:bCs/>
              </w:rPr>
              <w:t>Natural gas extraction.</w:t>
            </w:r>
          </w:p>
        </w:tc>
      </w:tr>
      <w:tr w14:paraId="2845A62C"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565338" w:rsidRPr="000238A7" w:rsidP="00565338" w14:paraId="598FC331" w14:textId="77777777">
            <w:pPr>
              <w:pStyle w:val="Default"/>
              <w:rPr>
                <w:rFonts w:asciiTheme="minorHAnsi" w:hAnsiTheme="minorHAnsi" w:cstheme="minorHAnsi"/>
                <w:color w:val="auto"/>
                <w:sz w:val="22"/>
                <w:szCs w:val="22"/>
              </w:rPr>
            </w:pPr>
            <w:r w:rsidRPr="000238A7">
              <w:rPr>
                <w:rFonts w:asciiTheme="minorHAnsi" w:hAnsiTheme="minorHAnsi" w:cstheme="minorHAnsi"/>
                <w:color w:val="auto"/>
                <w:sz w:val="22"/>
                <w:szCs w:val="22"/>
              </w:rPr>
              <w:t xml:space="preserve">X. Petrochemical Production </w:t>
            </w:r>
          </w:p>
          <w:p w:rsidR="00565338" w:rsidRPr="00F56CF7" w:rsidP="00565338" w14:paraId="7B4013CD" w14:textId="77777777">
            <w:pPr>
              <w:rPr>
                <w:rFonts w:cstheme="minorHAnsi"/>
              </w:rPr>
            </w:pPr>
          </w:p>
        </w:tc>
        <w:tc>
          <w:tcPr>
            <w:tcW w:w="888" w:type="pct"/>
            <w:tcBorders>
              <w:top w:val="single" w:sz="4" w:space="0" w:color="auto"/>
              <w:bottom w:val="single" w:sz="4" w:space="0" w:color="auto"/>
              <w:right w:val="nil"/>
            </w:tcBorders>
          </w:tcPr>
          <w:p w:rsidR="00565338" w:rsidRPr="00F56CF7" w:rsidP="00565338" w14:paraId="7FC714E2" w14:textId="15D1C2BE">
            <w:pPr>
              <w:rPr>
                <w:rFonts w:cstheme="minorHAnsi"/>
                <w:bCs/>
              </w:rPr>
            </w:pPr>
            <w:r w:rsidRPr="0044505D">
              <w:t>324110</w:t>
            </w:r>
          </w:p>
        </w:tc>
        <w:tc>
          <w:tcPr>
            <w:tcW w:w="2105" w:type="pct"/>
            <w:tcBorders>
              <w:top w:val="single" w:sz="4" w:space="0" w:color="auto"/>
              <w:left w:val="nil"/>
              <w:bottom w:val="single" w:sz="4" w:space="0" w:color="auto"/>
            </w:tcBorders>
          </w:tcPr>
          <w:p w:rsidR="00565338" w:rsidRPr="00F56CF7" w:rsidP="00565338" w14:paraId="13791C76" w14:textId="33A1420F">
            <w:pPr>
              <w:rPr>
                <w:rFonts w:cstheme="minorHAnsi"/>
                <w:bCs/>
              </w:rPr>
            </w:pPr>
            <w:r w:rsidRPr="0044505D">
              <w:t xml:space="preserve">Petrochemicals </w:t>
            </w:r>
            <w:r w:rsidRPr="0044505D">
              <w:t>made</w:t>
            </w:r>
            <w:r w:rsidRPr="0044505D">
              <w:t xml:space="preserve"> in petroleum refineries. </w:t>
            </w:r>
          </w:p>
        </w:tc>
      </w:tr>
      <w:tr w14:paraId="2F6EA67B"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08223CD5" w14:textId="77777777">
            <w:pPr>
              <w:rPr>
                <w:rFonts w:cstheme="minorHAnsi"/>
              </w:rPr>
            </w:pPr>
            <w:r w:rsidRPr="00F56CF7">
              <w:rPr>
                <w:rFonts w:cstheme="minorHAnsi"/>
              </w:rPr>
              <w:t xml:space="preserve">Y. Petroleum Refineries </w:t>
            </w:r>
          </w:p>
        </w:tc>
        <w:tc>
          <w:tcPr>
            <w:tcW w:w="888" w:type="pct"/>
            <w:tcBorders>
              <w:top w:val="single" w:sz="4" w:space="0" w:color="auto"/>
              <w:bottom w:val="single" w:sz="4" w:space="0" w:color="auto"/>
              <w:right w:val="nil"/>
            </w:tcBorders>
          </w:tcPr>
          <w:p w:rsidR="00DF5B6A" w:rsidRPr="00F56CF7" w:rsidP="00413C7C" w14:paraId="24846A68" w14:textId="77777777">
            <w:pPr>
              <w:rPr>
                <w:rFonts w:cstheme="minorHAnsi"/>
              </w:rPr>
            </w:pPr>
            <w:r w:rsidRPr="00F56CF7">
              <w:rPr>
                <w:rFonts w:cstheme="minorHAnsi"/>
              </w:rPr>
              <w:t>324110</w:t>
            </w:r>
          </w:p>
        </w:tc>
        <w:tc>
          <w:tcPr>
            <w:tcW w:w="2105" w:type="pct"/>
            <w:tcBorders>
              <w:top w:val="single" w:sz="4" w:space="0" w:color="auto"/>
              <w:left w:val="nil"/>
              <w:bottom w:val="single" w:sz="4" w:space="0" w:color="auto"/>
            </w:tcBorders>
          </w:tcPr>
          <w:p w:rsidR="00DF5B6A" w:rsidRPr="00F56CF7" w:rsidP="00413C7C" w14:paraId="06F2E603" w14:textId="77777777">
            <w:pPr>
              <w:rPr>
                <w:rFonts w:cstheme="minorHAnsi"/>
              </w:rPr>
            </w:pPr>
            <w:r w:rsidRPr="00F56CF7">
              <w:rPr>
                <w:rFonts w:cstheme="minorHAnsi"/>
              </w:rPr>
              <w:t>Petroleum refineries.</w:t>
            </w:r>
          </w:p>
        </w:tc>
      </w:tr>
      <w:tr w14:paraId="78DDE6B4" w14:textId="77777777" w:rsidTr="00413C7C">
        <w:tblPrEx>
          <w:tblW w:w="5000" w:type="pct"/>
          <w:tblInd w:w="110" w:type="dxa"/>
          <w:tblCellMar>
            <w:left w:w="110" w:type="dxa"/>
            <w:right w:w="110" w:type="dxa"/>
          </w:tblCellMar>
          <w:tblLook w:val="0000"/>
        </w:tblPrEx>
        <w:trPr>
          <w:cantSplit/>
          <w:trHeight w:val="341"/>
        </w:trPr>
        <w:tc>
          <w:tcPr>
            <w:tcW w:w="2007" w:type="pct"/>
            <w:tcBorders>
              <w:top w:val="single" w:sz="4" w:space="0" w:color="auto"/>
              <w:bottom w:val="single" w:sz="4" w:space="0" w:color="auto"/>
            </w:tcBorders>
          </w:tcPr>
          <w:p w:rsidR="00DF5B6A" w:rsidRPr="00F56CF7" w:rsidP="00413C7C" w14:paraId="42F588A9" w14:textId="77777777">
            <w:pPr>
              <w:rPr>
                <w:rFonts w:cstheme="minorHAnsi"/>
              </w:rPr>
            </w:pPr>
            <w:r w:rsidRPr="00F56CF7">
              <w:rPr>
                <w:rFonts w:cstheme="minorHAnsi"/>
              </w:rPr>
              <w:t>Z. Phosphoric Acid Production</w:t>
            </w:r>
          </w:p>
        </w:tc>
        <w:tc>
          <w:tcPr>
            <w:tcW w:w="888" w:type="pct"/>
            <w:tcBorders>
              <w:top w:val="single" w:sz="4" w:space="0" w:color="auto"/>
              <w:bottom w:val="single" w:sz="4" w:space="0" w:color="auto"/>
              <w:right w:val="nil"/>
            </w:tcBorders>
          </w:tcPr>
          <w:p w:rsidR="00DF5B6A" w:rsidRPr="00F56CF7" w:rsidP="00413C7C" w14:paraId="60889C46" w14:textId="77777777">
            <w:pPr>
              <w:rPr>
                <w:rFonts w:cstheme="minorHAnsi"/>
              </w:rPr>
            </w:pPr>
            <w:r w:rsidRPr="00F56CF7">
              <w:rPr>
                <w:rFonts w:cstheme="minorHAnsi"/>
              </w:rPr>
              <w:t>325312</w:t>
            </w:r>
          </w:p>
        </w:tc>
        <w:tc>
          <w:tcPr>
            <w:tcW w:w="2105" w:type="pct"/>
            <w:tcBorders>
              <w:top w:val="single" w:sz="4" w:space="0" w:color="auto"/>
              <w:left w:val="nil"/>
              <w:bottom w:val="single" w:sz="4" w:space="0" w:color="auto"/>
            </w:tcBorders>
          </w:tcPr>
          <w:p w:rsidR="00DF5B6A" w:rsidRPr="00F56CF7" w:rsidP="00413C7C" w14:paraId="73E0244F" w14:textId="77777777">
            <w:pPr>
              <w:rPr>
                <w:rFonts w:cstheme="minorHAnsi"/>
              </w:rPr>
            </w:pPr>
            <w:r w:rsidRPr="00F56CF7">
              <w:rPr>
                <w:rFonts w:cstheme="minorHAnsi"/>
              </w:rPr>
              <w:t>Phosphatic fertilizer manufacturing.</w:t>
            </w:r>
          </w:p>
        </w:tc>
      </w:tr>
      <w:tr w14:paraId="0DCA8397" w14:textId="77777777" w:rsidTr="00413C7C">
        <w:tblPrEx>
          <w:tblW w:w="5000" w:type="pct"/>
          <w:tblInd w:w="110" w:type="dxa"/>
          <w:tblCellMar>
            <w:left w:w="110" w:type="dxa"/>
            <w:right w:w="110" w:type="dxa"/>
          </w:tblCellMar>
          <w:tblLook w:val="0000"/>
        </w:tblPrEx>
        <w:trPr>
          <w:cantSplit/>
          <w:trHeight w:val="350"/>
        </w:trPr>
        <w:tc>
          <w:tcPr>
            <w:tcW w:w="2007" w:type="pct"/>
            <w:vMerge w:val="restart"/>
            <w:tcBorders>
              <w:top w:val="single" w:sz="4" w:space="0" w:color="auto"/>
            </w:tcBorders>
          </w:tcPr>
          <w:p w:rsidR="00DF5B6A" w:rsidRPr="00F56CF7" w:rsidP="00413C7C" w14:paraId="73E878E7" w14:textId="77777777">
            <w:pPr>
              <w:rPr>
                <w:rFonts w:cstheme="minorHAnsi"/>
              </w:rPr>
            </w:pPr>
            <w:r w:rsidRPr="00F56CF7">
              <w:rPr>
                <w:rFonts w:cstheme="minorHAnsi"/>
              </w:rPr>
              <w:t>AA. Pulp and Paper Manufacturing</w:t>
            </w:r>
          </w:p>
        </w:tc>
        <w:tc>
          <w:tcPr>
            <w:tcW w:w="888" w:type="pct"/>
            <w:tcBorders>
              <w:top w:val="single" w:sz="4" w:space="0" w:color="auto"/>
              <w:bottom w:val="single" w:sz="4" w:space="0" w:color="auto"/>
              <w:right w:val="nil"/>
            </w:tcBorders>
          </w:tcPr>
          <w:p w:rsidR="00DF5B6A" w:rsidRPr="00F56CF7" w:rsidP="00413C7C" w14:paraId="38733D50" w14:textId="77777777">
            <w:pPr>
              <w:rPr>
                <w:rFonts w:cstheme="minorHAnsi"/>
              </w:rPr>
            </w:pPr>
            <w:r w:rsidRPr="00F56CF7">
              <w:rPr>
                <w:rFonts w:cstheme="minorHAnsi"/>
              </w:rPr>
              <w:t>322110</w:t>
            </w:r>
          </w:p>
        </w:tc>
        <w:tc>
          <w:tcPr>
            <w:tcW w:w="2105" w:type="pct"/>
            <w:tcBorders>
              <w:top w:val="single" w:sz="4" w:space="0" w:color="auto"/>
              <w:left w:val="nil"/>
              <w:bottom w:val="single" w:sz="4" w:space="0" w:color="auto"/>
            </w:tcBorders>
          </w:tcPr>
          <w:p w:rsidR="00DF5B6A" w:rsidRPr="00F56CF7" w:rsidP="00413C7C" w14:paraId="38040898" w14:textId="77777777">
            <w:pPr>
              <w:rPr>
                <w:rFonts w:cstheme="minorHAnsi"/>
              </w:rPr>
            </w:pPr>
            <w:r w:rsidRPr="00F56CF7">
              <w:rPr>
                <w:rFonts w:cstheme="minorHAnsi"/>
              </w:rPr>
              <w:t>Pulp mills.</w:t>
            </w:r>
          </w:p>
        </w:tc>
      </w:tr>
      <w:tr w14:paraId="0D55D303" w14:textId="77777777" w:rsidTr="00413C7C">
        <w:tblPrEx>
          <w:tblW w:w="5000" w:type="pct"/>
          <w:tblInd w:w="110" w:type="dxa"/>
          <w:tblCellMar>
            <w:left w:w="110" w:type="dxa"/>
            <w:right w:w="110" w:type="dxa"/>
          </w:tblCellMar>
          <w:tblLook w:val="0000"/>
        </w:tblPrEx>
        <w:trPr>
          <w:cantSplit/>
          <w:trHeight w:val="83"/>
        </w:trPr>
        <w:tc>
          <w:tcPr>
            <w:tcW w:w="2007" w:type="pct"/>
            <w:vMerge/>
          </w:tcPr>
          <w:p w:rsidR="00DF5B6A" w:rsidRPr="00F56CF7" w:rsidP="00413C7C" w14:paraId="2D26FF90"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4C270AA2" w14:textId="77777777">
            <w:pPr>
              <w:rPr>
                <w:rFonts w:cstheme="minorHAnsi"/>
              </w:rPr>
            </w:pPr>
            <w:r w:rsidRPr="00F56CF7">
              <w:rPr>
                <w:rFonts w:cstheme="minorHAnsi"/>
              </w:rPr>
              <w:t>322120</w:t>
            </w:r>
          </w:p>
        </w:tc>
        <w:tc>
          <w:tcPr>
            <w:tcW w:w="2105" w:type="pct"/>
            <w:tcBorders>
              <w:top w:val="single" w:sz="4" w:space="0" w:color="auto"/>
              <w:left w:val="nil"/>
              <w:bottom w:val="single" w:sz="4" w:space="0" w:color="auto"/>
            </w:tcBorders>
          </w:tcPr>
          <w:p w:rsidR="00DF5B6A" w:rsidRPr="00F56CF7" w:rsidP="00413C7C" w14:paraId="10CFC218" w14:textId="77777777">
            <w:pPr>
              <w:rPr>
                <w:rFonts w:cstheme="minorHAnsi"/>
              </w:rPr>
            </w:pPr>
            <w:r w:rsidRPr="00F56CF7">
              <w:rPr>
                <w:rFonts w:cstheme="minorHAnsi"/>
              </w:rPr>
              <w:t>Paper mills.</w:t>
            </w:r>
          </w:p>
        </w:tc>
      </w:tr>
      <w:tr w14:paraId="02C9179F" w14:textId="77777777" w:rsidTr="00413C7C">
        <w:tblPrEx>
          <w:tblW w:w="5000" w:type="pct"/>
          <w:tblInd w:w="110" w:type="dxa"/>
          <w:tblCellMar>
            <w:left w:w="110" w:type="dxa"/>
            <w:right w:w="110" w:type="dxa"/>
          </w:tblCellMar>
          <w:tblLook w:val="0000"/>
        </w:tblPrEx>
        <w:trPr>
          <w:cantSplit/>
          <w:trHeight w:val="314"/>
        </w:trPr>
        <w:tc>
          <w:tcPr>
            <w:tcW w:w="2007" w:type="pct"/>
            <w:vMerge/>
            <w:tcBorders>
              <w:bottom w:val="single" w:sz="4" w:space="0" w:color="auto"/>
            </w:tcBorders>
          </w:tcPr>
          <w:p w:rsidR="00DF5B6A" w:rsidRPr="00F56CF7" w:rsidP="00413C7C" w14:paraId="308CC7B9"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23D6CF70" w14:textId="77777777">
            <w:pPr>
              <w:rPr>
                <w:rFonts w:cstheme="minorHAnsi"/>
              </w:rPr>
            </w:pPr>
            <w:r w:rsidRPr="00F56CF7">
              <w:rPr>
                <w:rFonts w:cstheme="minorHAnsi"/>
              </w:rPr>
              <w:t>322130</w:t>
            </w:r>
          </w:p>
        </w:tc>
        <w:tc>
          <w:tcPr>
            <w:tcW w:w="2105" w:type="pct"/>
            <w:tcBorders>
              <w:top w:val="single" w:sz="4" w:space="0" w:color="auto"/>
              <w:left w:val="nil"/>
              <w:bottom w:val="single" w:sz="4" w:space="0" w:color="auto"/>
            </w:tcBorders>
          </w:tcPr>
          <w:p w:rsidR="00DF5B6A" w:rsidRPr="00F56CF7" w:rsidP="00413C7C" w14:paraId="02E0BD41" w14:textId="77777777">
            <w:pPr>
              <w:rPr>
                <w:rFonts w:cstheme="minorHAnsi"/>
              </w:rPr>
            </w:pPr>
            <w:r w:rsidRPr="00F56CF7">
              <w:rPr>
                <w:rFonts w:cstheme="minorHAnsi"/>
              </w:rPr>
              <w:t>Paperboard mills.</w:t>
            </w:r>
          </w:p>
        </w:tc>
      </w:tr>
      <w:tr w14:paraId="6815B961" w14:textId="77777777" w:rsidTr="007A0A0B">
        <w:tblPrEx>
          <w:tblW w:w="5000" w:type="pct"/>
          <w:tblInd w:w="110" w:type="dxa"/>
          <w:tblCellMar>
            <w:left w:w="110" w:type="dxa"/>
            <w:right w:w="110" w:type="dxa"/>
          </w:tblCellMar>
          <w:tblLook w:val="0000"/>
        </w:tblPrEx>
        <w:trPr>
          <w:cantSplit/>
          <w:trHeight w:val="422"/>
        </w:trPr>
        <w:tc>
          <w:tcPr>
            <w:tcW w:w="2007" w:type="pct"/>
            <w:tcBorders>
              <w:top w:val="single" w:sz="4" w:space="0" w:color="auto"/>
              <w:bottom w:val="single" w:sz="4" w:space="0" w:color="auto"/>
            </w:tcBorders>
          </w:tcPr>
          <w:p w:rsidR="00DF5B6A" w:rsidRPr="00F56CF7" w:rsidP="00413C7C" w14:paraId="779BDA4B" w14:textId="77777777">
            <w:pPr>
              <w:rPr>
                <w:rFonts w:cstheme="minorHAnsi"/>
              </w:rPr>
            </w:pPr>
            <w:r w:rsidRPr="00F56CF7">
              <w:rPr>
                <w:rFonts w:cstheme="minorHAnsi"/>
              </w:rPr>
              <w:t>BB. Silicon Carbide Production</w:t>
            </w:r>
          </w:p>
        </w:tc>
        <w:tc>
          <w:tcPr>
            <w:tcW w:w="888" w:type="pct"/>
            <w:tcBorders>
              <w:top w:val="single" w:sz="4" w:space="0" w:color="auto"/>
              <w:bottom w:val="single" w:sz="4" w:space="0" w:color="auto"/>
              <w:right w:val="nil"/>
            </w:tcBorders>
          </w:tcPr>
          <w:p w:rsidR="00DF5B6A" w:rsidRPr="00F56CF7" w:rsidP="00413C7C" w14:paraId="23350503" w14:textId="0A945D72">
            <w:pPr>
              <w:rPr>
                <w:rFonts w:cstheme="minorHAnsi"/>
                <w:bCs/>
              </w:rPr>
            </w:pPr>
            <w:r w:rsidRPr="00F56CF7">
              <w:rPr>
                <w:rFonts w:cstheme="minorHAnsi"/>
              </w:rPr>
              <w:t>327910</w:t>
            </w:r>
          </w:p>
        </w:tc>
        <w:tc>
          <w:tcPr>
            <w:tcW w:w="2105" w:type="pct"/>
            <w:tcBorders>
              <w:top w:val="single" w:sz="4" w:space="0" w:color="auto"/>
              <w:left w:val="nil"/>
              <w:bottom w:val="single" w:sz="4" w:space="0" w:color="auto"/>
            </w:tcBorders>
          </w:tcPr>
          <w:p w:rsidR="00DF5B6A" w:rsidRPr="00F56CF7" w:rsidP="00413C7C" w14:paraId="440DFFA8" w14:textId="162E8281">
            <w:pPr>
              <w:rPr>
                <w:rFonts w:cstheme="minorHAnsi"/>
                <w:bCs/>
              </w:rPr>
            </w:pPr>
            <w:r w:rsidRPr="00F56CF7">
              <w:rPr>
                <w:rFonts w:cstheme="minorHAnsi"/>
              </w:rPr>
              <w:t>Silicon carbide abrasives manufacturing.</w:t>
            </w:r>
          </w:p>
        </w:tc>
      </w:tr>
      <w:tr w14:paraId="40CADC24"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2475A6EA" w14:textId="0F065B43">
            <w:pPr>
              <w:rPr>
                <w:rFonts w:cstheme="minorHAnsi"/>
              </w:rPr>
            </w:pPr>
            <w:r w:rsidRPr="00F56CF7">
              <w:rPr>
                <w:rFonts w:cstheme="minorHAnsi"/>
              </w:rPr>
              <w:t xml:space="preserve">CC. Soda Ash </w:t>
            </w:r>
            <w:r w:rsidR="004824C2">
              <w:rPr>
                <w:rFonts w:cstheme="minorHAnsi"/>
              </w:rPr>
              <w:t>Production</w:t>
            </w:r>
          </w:p>
        </w:tc>
        <w:tc>
          <w:tcPr>
            <w:tcW w:w="888" w:type="pct"/>
            <w:tcBorders>
              <w:top w:val="single" w:sz="4" w:space="0" w:color="auto"/>
              <w:bottom w:val="single" w:sz="4" w:space="0" w:color="auto"/>
              <w:right w:val="nil"/>
            </w:tcBorders>
          </w:tcPr>
          <w:p w:rsidR="00DF5B6A" w:rsidRPr="00F56CF7" w:rsidP="00413C7C" w14:paraId="50912F55" w14:textId="77777777">
            <w:pPr>
              <w:rPr>
                <w:rFonts w:cstheme="minorHAnsi"/>
              </w:rPr>
            </w:pPr>
            <w:r w:rsidRPr="00F56CF7">
              <w:rPr>
                <w:rFonts w:cstheme="minorHAnsi"/>
              </w:rPr>
              <w:t>325180</w:t>
            </w:r>
          </w:p>
        </w:tc>
        <w:tc>
          <w:tcPr>
            <w:tcW w:w="2105" w:type="pct"/>
            <w:tcBorders>
              <w:top w:val="single" w:sz="4" w:space="0" w:color="auto"/>
              <w:left w:val="nil"/>
              <w:bottom w:val="single" w:sz="4" w:space="0" w:color="auto"/>
            </w:tcBorders>
          </w:tcPr>
          <w:p w:rsidR="00DF5B6A" w:rsidRPr="00F56CF7" w:rsidP="00413C7C" w14:paraId="6CD19EED" w14:textId="77777777">
            <w:pPr>
              <w:rPr>
                <w:rFonts w:cstheme="minorHAnsi"/>
              </w:rPr>
            </w:pPr>
            <w:r w:rsidRPr="00F56CF7">
              <w:rPr>
                <w:rFonts w:cstheme="minorHAnsi"/>
              </w:rPr>
              <w:t>Other basic inorganic chemical manufacturing: Soda ash manufacturing.</w:t>
            </w:r>
          </w:p>
        </w:tc>
      </w:tr>
      <w:tr w14:paraId="743C3239"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416C163D" w14:textId="77777777">
            <w:pPr>
              <w:rPr>
                <w:rFonts w:cstheme="minorHAnsi"/>
              </w:rPr>
            </w:pPr>
            <w:r w:rsidRPr="00F56CF7">
              <w:rPr>
                <w:rFonts w:cstheme="minorHAnsi"/>
              </w:rPr>
              <w:t>DD. Electrical Equipment Use</w:t>
            </w:r>
          </w:p>
        </w:tc>
        <w:tc>
          <w:tcPr>
            <w:tcW w:w="888" w:type="pct"/>
            <w:tcBorders>
              <w:top w:val="single" w:sz="4" w:space="0" w:color="auto"/>
              <w:bottom w:val="single" w:sz="4" w:space="0" w:color="auto"/>
              <w:right w:val="nil"/>
            </w:tcBorders>
          </w:tcPr>
          <w:p w:rsidR="00DF5B6A" w:rsidRPr="00F56CF7" w:rsidP="00413C7C" w14:paraId="6A9DEEBC" w14:textId="77777777">
            <w:pPr>
              <w:rPr>
                <w:rFonts w:cstheme="minorHAnsi"/>
                <w:bCs/>
              </w:rPr>
            </w:pPr>
            <w:r w:rsidRPr="00F56CF7">
              <w:rPr>
                <w:rFonts w:cstheme="minorHAnsi"/>
              </w:rPr>
              <w:t>221121</w:t>
            </w:r>
          </w:p>
        </w:tc>
        <w:tc>
          <w:tcPr>
            <w:tcW w:w="2105" w:type="pct"/>
            <w:tcBorders>
              <w:top w:val="single" w:sz="4" w:space="0" w:color="auto"/>
              <w:left w:val="nil"/>
              <w:bottom w:val="single" w:sz="4" w:space="0" w:color="auto"/>
            </w:tcBorders>
          </w:tcPr>
          <w:p w:rsidR="00DF5B6A" w:rsidRPr="00F56CF7" w:rsidP="00413C7C" w14:paraId="47DC9490" w14:textId="77777777">
            <w:pPr>
              <w:rPr>
                <w:rFonts w:cstheme="minorHAnsi"/>
                <w:bCs/>
              </w:rPr>
            </w:pPr>
            <w:r w:rsidRPr="00F56CF7">
              <w:rPr>
                <w:rFonts w:cstheme="minorHAnsi"/>
              </w:rPr>
              <w:t>Electric bulk power transmission and control facilities.</w:t>
            </w:r>
          </w:p>
        </w:tc>
      </w:tr>
      <w:tr w14:paraId="32EE32CC"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445FB3B6" w14:textId="77777777">
            <w:pPr>
              <w:rPr>
                <w:rFonts w:cstheme="minorHAnsi"/>
              </w:rPr>
            </w:pPr>
            <w:r w:rsidRPr="00F56CF7">
              <w:rPr>
                <w:rFonts w:cstheme="minorHAnsi"/>
                <w:bCs/>
              </w:rPr>
              <w:t>EE. Titanium Dioxide Production</w:t>
            </w:r>
          </w:p>
        </w:tc>
        <w:tc>
          <w:tcPr>
            <w:tcW w:w="888" w:type="pct"/>
            <w:tcBorders>
              <w:top w:val="single" w:sz="4" w:space="0" w:color="auto"/>
              <w:bottom w:val="single" w:sz="4" w:space="0" w:color="auto"/>
              <w:right w:val="nil"/>
            </w:tcBorders>
          </w:tcPr>
          <w:p w:rsidR="00DF5B6A" w:rsidRPr="00F56CF7" w:rsidP="00413C7C" w14:paraId="267E2276" w14:textId="77777777">
            <w:pPr>
              <w:rPr>
                <w:rFonts w:cstheme="minorHAnsi"/>
              </w:rPr>
            </w:pPr>
            <w:r w:rsidRPr="00F56CF7">
              <w:rPr>
                <w:rFonts w:cstheme="minorHAnsi"/>
              </w:rPr>
              <w:t>325180</w:t>
            </w:r>
          </w:p>
        </w:tc>
        <w:tc>
          <w:tcPr>
            <w:tcW w:w="2105" w:type="pct"/>
            <w:tcBorders>
              <w:top w:val="single" w:sz="4" w:space="0" w:color="auto"/>
              <w:left w:val="nil"/>
              <w:bottom w:val="single" w:sz="4" w:space="0" w:color="auto"/>
            </w:tcBorders>
          </w:tcPr>
          <w:p w:rsidR="00DF5B6A" w:rsidRPr="00F56CF7" w:rsidP="00413C7C" w14:paraId="4FFCDE6F" w14:textId="77777777">
            <w:pPr>
              <w:rPr>
                <w:rFonts w:cstheme="minorHAnsi"/>
              </w:rPr>
            </w:pPr>
            <w:r w:rsidRPr="00F56CF7">
              <w:rPr>
                <w:rFonts w:cstheme="minorHAnsi"/>
              </w:rPr>
              <w:t>Other basic inorganic chemical manufacturing: Titanium dioxide manufacturing.</w:t>
            </w:r>
          </w:p>
        </w:tc>
      </w:tr>
      <w:tr w14:paraId="7E68DD01" w14:textId="77777777" w:rsidTr="00F614F8">
        <w:tblPrEx>
          <w:tblW w:w="5000" w:type="pct"/>
          <w:tblInd w:w="110" w:type="dxa"/>
          <w:tblCellMar>
            <w:left w:w="110" w:type="dxa"/>
            <w:right w:w="110" w:type="dxa"/>
          </w:tblCellMar>
          <w:tblLook w:val="0000"/>
        </w:tblPrEx>
        <w:trPr>
          <w:cantSplit/>
          <w:trHeight w:val="395"/>
        </w:trPr>
        <w:tc>
          <w:tcPr>
            <w:tcW w:w="2007" w:type="pct"/>
            <w:tcBorders>
              <w:top w:val="single" w:sz="4" w:space="0" w:color="auto"/>
              <w:bottom w:val="single" w:sz="4" w:space="0" w:color="auto"/>
            </w:tcBorders>
          </w:tcPr>
          <w:p w:rsidR="00DF5B6A" w:rsidRPr="00F56CF7" w:rsidP="00F614F8" w14:paraId="126C3595" w14:textId="582FD526">
            <w:pPr>
              <w:rPr>
                <w:rFonts w:cstheme="minorHAnsi"/>
              </w:rPr>
            </w:pPr>
            <w:r w:rsidRPr="00F56CF7">
              <w:rPr>
                <w:rFonts w:cstheme="minorHAnsi"/>
              </w:rPr>
              <w:t>FF. Underground Coal Mines</w:t>
            </w:r>
          </w:p>
        </w:tc>
        <w:tc>
          <w:tcPr>
            <w:tcW w:w="888" w:type="pct"/>
            <w:tcBorders>
              <w:top w:val="single" w:sz="4" w:space="0" w:color="auto"/>
              <w:bottom w:val="single" w:sz="4" w:space="0" w:color="auto"/>
              <w:right w:val="nil"/>
            </w:tcBorders>
          </w:tcPr>
          <w:p w:rsidR="00DF5B6A" w:rsidRPr="00F56CF7" w:rsidP="00413C7C" w14:paraId="5C504382" w14:textId="324439A6">
            <w:pPr>
              <w:rPr>
                <w:rFonts w:cstheme="minorHAnsi"/>
                <w:bCs/>
              </w:rPr>
            </w:pPr>
            <w:r w:rsidRPr="00F56CF7">
              <w:rPr>
                <w:rFonts w:cstheme="minorHAnsi"/>
              </w:rPr>
              <w:t>21211</w:t>
            </w:r>
            <w:r w:rsidR="00B71B75">
              <w:rPr>
                <w:rFonts w:cstheme="minorHAnsi"/>
              </w:rPr>
              <w:t>5</w:t>
            </w:r>
          </w:p>
        </w:tc>
        <w:tc>
          <w:tcPr>
            <w:tcW w:w="2105" w:type="pct"/>
            <w:tcBorders>
              <w:top w:val="single" w:sz="4" w:space="0" w:color="auto"/>
              <w:left w:val="nil"/>
              <w:bottom w:val="single" w:sz="4" w:space="0" w:color="auto"/>
            </w:tcBorders>
          </w:tcPr>
          <w:p w:rsidR="00DF5B6A" w:rsidRPr="00F56CF7" w:rsidP="00413C7C" w14:paraId="0E3ABCC7" w14:textId="6DF6E03D">
            <w:pPr>
              <w:rPr>
                <w:rFonts w:cstheme="minorHAnsi"/>
                <w:bCs/>
              </w:rPr>
            </w:pPr>
            <w:r w:rsidRPr="00F56CF7">
              <w:rPr>
                <w:rFonts w:cstheme="minorHAnsi"/>
              </w:rPr>
              <w:t>Underground coal mining.</w:t>
            </w:r>
          </w:p>
        </w:tc>
      </w:tr>
      <w:tr w14:paraId="57AF1183"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106B30" w:rsidRPr="00F56CF7" w:rsidP="00106B30" w14:paraId="6349C817" w14:textId="77777777">
            <w:pPr>
              <w:rPr>
                <w:rFonts w:cstheme="minorHAnsi"/>
              </w:rPr>
            </w:pPr>
            <w:r w:rsidRPr="00F56CF7">
              <w:rPr>
                <w:rFonts w:cstheme="minorHAnsi"/>
              </w:rPr>
              <w:t>GG. Zinc Production</w:t>
            </w:r>
          </w:p>
        </w:tc>
        <w:tc>
          <w:tcPr>
            <w:tcW w:w="888" w:type="pct"/>
            <w:tcBorders>
              <w:top w:val="single" w:sz="4" w:space="0" w:color="auto"/>
              <w:bottom w:val="single" w:sz="4" w:space="0" w:color="auto"/>
              <w:right w:val="nil"/>
            </w:tcBorders>
          </w:tcPr>
          <w:p w:rsidR="00106B30" w:rsidRPr="00F56CF7" w:rsidP="00106B30" w14:paraId="208DFF96" w14:textId="7A99DBDF">
            <w:pPr>
              <w:rPr>
                <w:rFonts w:cstheme="minorHAnsi"/>
                <w:bCs/>
              </w:rPr>
            </w:pPr>
            <w:r w:rsidRPr="00327E0D">
              <w:t>331410</w:t>
            </w:r>
          </w:p>
        </w:tc>
        <w:tc>
          <w:tcPr>
            <w:tcW w:w="2105" w:type="pct"/>
            <w:tcBorders>
              <w:top w:val="single" w:sz="4" w:space="0" w:color="auto"/>
              <w:left w:val="nil"/>
              <w:bottom w:val="single" w:sz="4" w:space="0" w:color="auto"/>
            </w:tcBorders>
          </w:tcPr>
          <w:p w:rsidR="00106B30" w:rsidRPr="00F56CF7" w:rsidP="00106B30" w14:paraId="0292E02F" w14:textId="21FC1F9D">
            <w:pPr>
              <w:rPr>
                <w:rFonts w:cstheme="minorHAnsi"/>
                <w:bCs/>
              </w:rPr>
            </w:pPr>
            <w:r w:rsidRPr="00327E0D">
              <w:t xml:space="preserve">Nonferrous metal (except aluminum) smelting and refining: Zinc refining, primary. </w:t>
            </w:r>
          </w:p>
        </w:tc>
      </w:tr>
      <w:tr w14:paraId="2B7AC1AC"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413C7C" w14:paraId="17ED766E" w14:textId="77777777">
            <w:pPr>
              <w:rPr>
                <w:rFonts w:cstheme="minorHAnsi"/>
              </w:rPr>
            </w:pPr>
            <w:r w:rsidRPr="00F56CF7">
              <w:rPr>
                <w:rFonts w:cstheme="minorHAnsi"/>
              </w:rPr>
              <w:t>HH. Municipal Solid Waste Landfills</w:t>
            </w:r>
          </w:p>
        </w:tc>
        <w:tc>
          <w:tcPr>
            <w:tcW w:w="888" w:type="pct"/>
            <w:tcBorders>
              <w:top w:val="single" w:sz="4" w:space="0" w:color="auto"/>
              <w:bottom w:val="single" w:sz="4" w:space="0" w:color="auto"/>
              <w:right w:val="nil"/>
            </w:tcBorders>
          </w:tcPr>
          <w:p w:rsidR="00DF5B6A" w:rsidRPr="00F56CF7" w:rsidP="00413C7C" w14:paraId="0BE50C2B" w14:textId="77777777">
            <w:pPr>
              <w:rPr>
                <w:rFonts w:cstheme="minorHAnsi"/>
              </w:rPr>
            </w:pPr>
            <w:r w:rsidRPr="00F56CF7">
              <w:rPr>
                <w:rFonts w:cstheme="minorHAnsi"/>
                <w:bCs/>
              </w:rPr>
              <w:t>562212</w:t>
            </w:r>
          </w:p>
        </w:tc>
        <w:tc>
          <w:tcPr>
            <w:tcW w:w="2105" w:type="pct"/>
            <w:tcBorders>
              <w:top w:val="single" w:sz="4" w:space="0" w:color="auto"/>
              <w:left w:val="nil"/>
              <w:bottom w:val="single" w:sz="4" w:space="0" w:color="auto"/>
            </w:tcBorders>
          </w:tcPr>
          <w:p w:rsidR="00DF5B6A" w:rsidRPr="00F56CF7" w:rsidP="00413C7C" w14:paraId="6D10758E" w14:textId="77777777">
            <w:pPr>
              <w:rPr>
                <w:rFonts w:cstheme="minorHAnsi"/>
              </w:rPr>
            </w:pPr>
            <w:r w:rsidRPr="00F56CF7">
              <w:rPr>
                <w:rFonts w:cstheme="minorHAnsi"/>
                <w:bCs/>
              </w:rPr>
              <w:t>Solid waste landfills.</w:t>
            </w:r>
          </w:p>
        </w:tc>
      </w:tr>
      <w:tr w14:paraId="7EEB95A1"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1F64AB58"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740E09DC" w14:textId="77777777">
            <w:pPr>
              <w:rPr>
                <w:rFonts w:cstheme="minorHAnsi"/>
              </w:rPr>
            </w:pPr>
            <w:r w:rsidRPr="00F56CF7">
              <w:rPr>
                <w:rFonts w:cstheme="minorHAnsi"/>
              </w:rPr>
              <w:t>221320</w:t>
            </w:r>
          </w:p>
        </w:tc>
        <w:tc>
          <w:tcPr>
            <w:tcW w:w="2105" w:type="pct"/>
            <w:tcBorders>
              <w:top w:val="single" w:sz="4" w:space="0" w:color="auto"/>
              <w:left w:val="nil"/>
              <w:bottom w:val="single" w:sz="4" w:space="0" w:color="auto"/>
            </w:tcBorders>
          </w:tcPr>
          <w:p w:rsidR="00DF5B6A" w:rsidRPr="00F56CF7" w:rsidP="00413C7C" w14:paraId="599D3448" w14:textId="77777777">
            <w:pPr>
              <w:rPr>
                <w:rFonts w:cstheme="minorHAnsi"/>
              </w:rPr>
            </w:pPr>
            <w:r w:rsidRPr="00F56CF7">
              <w:rPr>
                <w:rFonts w:cstheme="minorHAnsi"/>
                <w:bCs/>
              </w:rPr>
              <w:t>Sewage treatment facilities.</w:t>
            </w:r>
          </w:p>
        </w:tc>
      </w:tr>
      <w:tr w14:paraId="200F0C0A"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2ED83BC6" w14:textId="77777777">
            <w:pPr>
              <w:rPr>
                <w:rFonts w:cstheme="minorHAnsi"/>
              </w:rPr>
            </w:pPr>
            <w:r w:rsidRPr="00F56CF7">
              <w:rPr>
                <w:rFonts w:cstheme="minorHAnsi"/>
              </w:rPr>
              <w:t>II. Industrial Wastewater Treatment</w:t>
            </w:r>
          </w:p>
        </w:tc>
        <w:tc>
          <w:tcPr>
            <w:tcW w:w="888" w:type="pct"/>
            <w:tcBorders>
              <w:top w:val="single" w:sz="4" w:space="0" w:color="auto"/>
              <w:bottom w:val="single" w:sz="4" w:space="0" w:color="auto"/>
              <w:right w:val="nil"/>
            </w:tcBorders>
          </w:tcPr>
          <w:p w:rsidR="00DF5B6A" w:rsidRPr="00F56CF7" w:rsidP="00413C7C" w14:paraId="3879DF31" w14:textId="77777777">
            <w:pPr>
              <w:rPr>
                <w:rFonts w:cstheme="minorHAnsi"/>
              </w:rPr>
            </w:pPr>
            <w:r w:rsidRPr="00F56CF7">
              <w:rPr>
                <w:rFonts w:cstheme="minorHAnsi"/>
                <w:bCs/>
              </w:rPr>
              <w:t>221310</w:t>
            </w:r>
          </w:p>
        </w:tc>
        <w:tc>
          <w:tcPr>
            <w:tcW w:w="2105" w:type="pct"/>
            <w:tcBorders>
              <w:top w:val="single" w:sz="4" w:space="0" w:color="auto"/>
              <w:left w:val="nil"/>
              <w:bottom w:val="single" w:sz="4" w:space="0" w:color="auto"/>
            </w:tcBorders>
          </w:tcPr>
          <w:p w:rsidR="00DF5B6A" w:rsidRPr="00F56CF7" w:rsidP="00413C7C" w14:paraId="3674207C" w14:textId="77777777">
            <w:pPr>
              <w:rPr>
                <w:rFonts w:cstheme="minorHAnsi"/>
              </w:rPr>
            </w:pPr>
            <w:r w:rsidRPr="00F56CF7">
              <w:rPr>
                <w:rFonts w:cstheme="minorHAnsi"/>
              </w:rPr>
              <w:t>Water treatment plants.</w:t>
            </w:r>
          </w:p>
        </w:tc>
      </w:tr>
      <w:tr w14:paraId="759FB2DE"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7C4DB10C" w14:textId="77777777">
            <w:pPr>
              <w:rPr>
                <w:rFonts w:cstheme="minorHAnsi"/>
              </w:rPr>
            </w:pPr>
            <w:r w:rsidRPr="00F56CF7">
              <w:rPr>
                <w:rFonts w:cstheme="minorHAnsi"/>
              </w:rPr>
              <w:t>LL. Suppliers of Coal-based Liquid Fuels</w:t>
            </w:r>
          </w:p>
        </w:tc>
        <w:tc>
          <w:tcPr>
            <w:tcW w:w="888" w:type="pct"/>
            <w:tcBorders>
              <w:top w:val="single" w:sz="4" w:space="0" w:color="auto"/>
              <w:bottom w:val="single" w:sz="4" w:space="0" w:color="auto"/>
              <w:right w:val="nil"/>
            </w:tcBorders>
          </w:tcPr>
          <w:p w:rsidR="00DF5B6A" w:rsidRPr="00F56CF7" w:rsidP="00413C7C" w14:paraId="4B8E1C42" w14:textId="77777777">
            <w:pPr>
              <w:rPr>
                <w:rFonts w:cstheme="minorHAnsi"/>
              </w:rPr>
            </w:pPr>
            <w:r w:rsidRPr="00F56CF7">
              <w:rPr>
                <w:rFonts w:cstheme="minorHAnsi"/>
              </w:rPr>
              <w:t>211130</w:t>
            </w:r>
          </w:p>
        </w:tc>
        <w:tc>
          <w:tcPr>
            <w:tcW w:w="2105" w:type="pct"/>
            <w:tcBorders>
              <w:top w:val="single" w:sz="4" w:space="0" w:color="auto"/>
              <w:left w:val="nil"/>
              <w:bottom w:val="single" w:sz="4" w:space="0" w:color="auto"/>
            </w:tcBorders>
          </w:tcPr>
          <w:p w:rsidR="00DF5B6A" w:rsidRPr="00F56CF7" w:rsidP="00413C7C" w14:paraId="25DEF668" w14:textId="77777777">
            <w:pPr>
              <w:rPr>
                <w:rFonts w:cstheme="minorHAnsi"/>
              </w:rPr>
            </w:pPr>
            <w:r w:rsidRPr="00F56CF7">
              <w:rPr>
                <w:rFonts w:cstheme="minorHAnsi"/>
              </w:rPr>
              <w:t>Coal liquefaction at mine sites</w:t>
            </w:r>
          </w:p>
        </w:tc>
      </w:tr>
      <w:tr w14:paraId="0EE039AB"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0A9DEC9B" w14:textId="77777777">
            <w:pPr>
              <w:rPr>
                <w:rFonts w:cstheme="minorHAnsi"/>
              </w:rPr>
            </w:pPr>
            <w:r w:rsidRPr="00F56CF7">
              <w:rPr>
                <w:rFonts w:cstheme="minorHAnsi"/>
              </w:rPr>
              <w:t>MM. Suppliers of Petroleum Products</w:t>
            </w:r>
          </w:p>
        </w:tc>
        <w:tc>
          <w:tcPr>
            <w:tcW w:w="888" w:type="pct"/>
            <w:tcBorders>
              <w:top w:val="single" w:sz="4" w:space="0" w:color="auto"/>
              <w:bottom w:val="single" w:sz="4" w:space="0" w:color="auto"/>
              <w:right w:val="nil"/>
            </w:tcBorders>
          </w:tcPr>
          <w:p w:rsidR="00DF5B6A" w:rsidRPr="00F56CF7" w:rsidP="00413C7C" w14:paraId="678AB6D2" w14:textId="77777777">
            <w:pPr>
              <w:rPr>
                <w:rFonts w:cstheme="minorHAnsi"/>
              </w:rPr>
            </w:pPr>
            <w:r w:rsidRPr="00F56CF7">
              <w:rPr>
                <w:rFonts w:cstheme="minorHAnsi"/>
              </w:rPr>
              <w:t>324110</w:t>
            </w:r>
          </w:p>
        </w:tc>
        <w:tc>
          <w:tcPr>
            <w:tcW w:w="2105" w:type="pct"/>
            <w:tcBorders>
              <w:top w:val="single" w:sz="4" w:space="0" w:color="auto"/>
              <w:left w:val="nil"/>
              <w:bottom w:val="single" w:sz="4" w:space="0" w:color="auto"/>
            </w:tcBorders>
          </w:tcPr>
          <w:p w:rsidR="00DF5B6A" w:rsidRPr="00F56CF7" w:rsidP="00413C7C" w14:paraId="4F947F30" w14:textId="77777777">
            <w:pPr>
              <w:rPr>
                <w:rFonts w:cstheme="minorHAnsi"/>
              </w:rPr>
            </w:pPr>
            <w:r w:rsidRPr="00F56CF7">
              <w:rPr>
                <w:rFonts w:cstheme="minorHAnsi"/>
              </w:rPr>
              <w:t>Petroleum refineries.</w:t>
            </w:r>
          </w:p>
        </w:tc>
      </w:tr>
      <w:tr w14:paraId="7BD887BF"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bottom w:val="single" w:sz="4" w:space="0" w:color="auto"/>
            </w:tcBorders>
          </w:tcPr>
          <w:p w:rsidR="00DF5B6A" w:rsidRPr="00F56CF7" w:rsidP="00413C7C" w14:paraId="4B1117CF" w14:textId="77777777">
            <w:pPr>
              <w:rPr>
                <w:rFonts w:cstheme="minorHAnsi"/>
              </w:rPr>
            </w:pPr>
            <w:r w:rsidRPr="00F56CF7">
              <w:rPr>
                <w:rFonts w:cstheme="minorHAnsi"/>
              </w:rPr>
              <w:t>NN. Suppliers of Natural Gas and Natural Gas Liquids</w:t>
            </w:r>
          </w:p>
        </w:tc>
        <w:tc>
          <w:tcPr>
            <w:tcW w:w="888" w:type="pct"/>
            <w:tcBorders>
              <w:top w:val="single" w:sz="4" w:space="0" w:color="auto"/>
              <w:bottom w:val="single" w:sz="4" w:space="0" w:color="auto"/>
              <w:right w:val="nil"/>
            </w:tcBorders>
          </w:tcPr>
          <w:p w:rsidR="00DF5B6A" w:rsidRPr="00F56CF7" w:rsidP="00413C7C" w14:paraId="69CB2D00" w14:textId="77777777">
            <w:pPr>
              <w:rPr>
                <w:rFonts w:cstheme="minorHAnsi"/>
              </w:rPr>
            </w:pPr>
            <w:r w:rsidRPr="00F56CF7">
              <w:rPr>
                <w:rFonts w:cstheme="minorHAnsi"/>
              </w:rPr>
              <w:t xml:space="preserve">221210 </w:t>
            </w:r>
          </w:p>
        </w:tc>
        <w:tc>
          <w:tcPr>
            <w:tcW w:w="2105" w:type="pct"/>
            <w:tcBorders>
              <w:top w:val="single" w:sz="4" w:space="0" w:color="auto"/>
              <w:left w:val="nil"/>
              <w:bottom w:val="single" w:sz="4" w:space="0" w:color="auto"/>
            </w:tcBorders>
          </w:tcPr>
          <w:p w:rsidR="00DF5B6A" w:rsidRPr="00F56CF7" w:rsidP="00413C7C" w14:paraId="328A39CF" w14:textId="77777777">
            <w:pPr>
              <w:rPr>
                <w:rFonts w:cstheme="minorHAnsi"/>
              </w:rPr>
            </w:pPr>
            <w:r w:rsidRPr="00F56CF7">
              <w:rPr>
                <w:rFonts w:cstheme="minorHAnsi"/>
              </w:rPr>
              <w:t xml:space="preserve">Natural gas distribution facilities. </w:t>
            </w:r>
          </w:p>
        </w:tc>
      </w:tr>
      <w:tr w14:paraId="73780C46" w14:textId="77777777" w:rsidTr="00413C7C">
        <w:tblPrEx>
          <w:tblW w:w="5000" w:type="pct"/>
          <w:tblInd w:w="110" w:type="dxa"/>
          <w:tblCellMar>
            <w:left w:w="110" w:type="dxa"/>
            <w:right w:w="110" w:type="dxa"/>
          </w:tblCellMar>
          <w:tblLook w:val="0000"/>
        </w:tblPrEx>
        <w:trPr>
          <w:cantSplit/>
        </w:trPr>
        <w:tc>
          <w:tcPr>
            <w:tcW w:w="2007" w:type="pct"/>
            <w:vMerge/>
            <w:tcBorders>
              <w:top w:val="single" w:sz="4" w:space="0" w:color="auto"/>
              <w:bottom w:val="single" w:sz="4" w:space="0" w:color="auto"/>
            </w:tcBorders>
          </w:tcPr>
          <w:p w:rsidR="00DF5B6A" w:rsidRPr="00F56CF7" w:rsidP="00413C7C" w14:paraId="3CDCAA84"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788654CE" w14:textId="77777777">
            <w:pPr>
              <w:rPr>
                <w:rFonts w:cstheme="minorHAnsi"/>
              </w:rPr>
            </w:pPr>
            <w:r w:rsidRPr="00F56CF7">
              <w:rPr>
                <w:rFonts w:cstheme="minorHAnsi"/>
              </w:rPr>
              <w:t xml:space="preserve">211112 </w:t>
            </w:r>
          </w:p>
        </w:tc>
        <w:tc>
          <w:tcPr>
            <w:tcW w:w="2105" w:type="pct"/>
            <w:tcBorders>
              <w:top w:val="single" w:sz="4" w:space="0" w:color="auto"/>
              <w:left w:val="nil"/>
              <w:bottom w:val="single" w:sz="4" w:space="0" w:color="auto"/>
            </w:tcBorders>
          </w:tcPr>
          <w:p w:rsidR="00DF5B6A" w:rsidRPr="00F56CF7" w:rsidP="00413C7C" w14:paraId="54704E48" w14:textId="77777777">
            <w:pPr>
              <w:rPr>
                <w:rFonts w:cstheme="minorHAnsi"/>
              </w:rPr>
            </w:pPr>
            <w:r w:rsidRPr="00F56CF7">
              <w:rPr>
                <w:rFonts w:cstheme="minorHAnsi"/>
              </w:rPr>
              <w:t xml:space="preserve">Natural gas liquid extraction facilities. </w:t>
            </w:r>
          </w:p>
        </w:tc>
      </w:tr>
      <w:tr w14:paraId="00171AB4"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5F7BDDC0" w14:textId="77777777">
            <w:pPr>
              <w:rPr>
                <w:rFonts w:cstheme="minorHAnsi"/>
              </w:rPr>
            </w:pPr>
            <w:r w:rsidRPr="00F56CF7">
              <w:rPr>
                <w:rFonts w:cstheme="minorHAnsi"/>
              </w:rPr>
              <w:t>OO. Suppliers of Industrial Greenhouse Gases</w:t>
            </w:r>
          </w:p>
        </w:tc>
        <w:tc>
          <w:tcPr>
            <w:tcW w:w="888" w:type="pct"/>
            <w:tcBorders>
              <w:top w:val="single" w:sz="4" w:space="0" w:color="auto"/>
              <w:bottom w:val="single" w:sz="4" w:space="0" w:color="auto"/>
              <w:right w:val="nil"/>
            </w:tcBorders>
          </w:tcPr>
          <w:p w:rsidR="00DF5B6A" w:rsidRPr="00F56CF7" w:rsidP="00413C7C" w14:paraId="2DF70690" w14:textId="77777777">
            <w:pPr>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413C7C" w14:paraId="78C386CB" w14:textId="77777777">
            <w:pPr>
              <w:rPr>
                <w:rFonts w:cstheme="minorHAnsi"/>
              </w:rPr>
            </w:pPr>
            <w:r w:rsidRPr="00F56CF7">
              <w:rPr>
                <w:rFonts w:cstheme="minorHAnsi"/>
              </w:rPr>
              <w:t>Industrial greenhouse gas manufacturing facilities.</w:t>
            </w:r>
          </w:p>
        </w:tc>
      </w:tr>
      <w:tr w14:paraId="4621DD64"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11680FBC" w14:textId="77777777">
            <w:pPr>
              <w:rPr>
                <w:rFonts w:cstheme="minorHAnsi"/>
              </w:rPr>
            </w:pPr>
            <w:r w:rsidRPr="00F56CF7">
              <w:rPr>
                <w:rFonts w:cstheme="minorHAnsi"/>
              </w:rPr>
              <w:t>PP. Suppliers of Carbon Dioxide</w:t>
            </w:r>
          </w:p>
        </w:tc>
        <w:tc>
          <w:tcPr>
            <w:tcW w:w="888" w:type="pct"/>
            <w:tcBorders>
              <w:top w:val="single" w:sz="4" w:space="0" w:color="auto"/>
              <w:bottom w:val="single" w:sz="4" w:space="0" w:color="auto"/>
              <w:right w:val="nil"/>
            </w:tcBorders>
          </w:tcPr>
          <w:p w:rsidR="00DF5B6A" w:rsidRPr="00F56CF7" w:rsidP="00413C7C" w14:paraId="60305672" w14:textId="77777777">
            <w:pPr>
              <w:rPr>
                <w:rFonts w:cstheme="minorHAnsi"/>
              </w:rPr>
            </w:pPr>
            <w:r w:rsidRPr="00F56CF7">
              <w:rPr>
                <w:rFonts w:cstheme="minorHAnsi"/>
              </w:rPr>
              <w:t>325120</w:t>
            </w:r>
          </w:p>
        </w:tc>
        <w:tc>
          <w:tcPr>
            <w:tcW w:w="2105" w:type="pct"/>
            <w:tcBorders>
              <w:top w:val="single" w:sz="4" w:space="0" w:color="auto"/>
              <w:left w:val="nil"/>
              <w:bottom w:val="single" w:sz="4" w:space="0" w:color="auto"/>
            </w:tcBorders>
          </w:tcPr>
          <w:p w:rsidR="00DF5B6A" w:rsidRPr="00F56CF7" w:rsidP="00413C7C" w14:paraId="39712EEC" w14:textId="77777777">
            <w:pPr>
              <w:rPr>
                <w:rFonts w:cstheme="minorHAnsi"/>
              </w:rPr>
            </w:pPr>
            <w:r w:rsidRPr="00F56CF7">
              <w:rPr>
                <w:rFonts w:cstheme="minorHAnsi"/>
              </w:rPr>
              <w:t>Industrial gas manufacturing facilities.</w:t>
            </w:r>
          </w:p>
        </w:tc>
      </w:tr>
      <w:tr w14:paraId="34C7B102"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DF5B6A" w:rsidRPr="00F56CF7" w:rsidP="00413C7C" w14:paraId="1C370E03" w14:textId="77777777">
            <w:pPr>
              <w:rPr>
                <w:rFonts w:cstheme="minorHAnsi"/>
              </w:rPr>
            </w:pPr>
            <w:r w:rsidRPr="00F56CF7">
              <w:rPr>
                <w:rFonts w:cstheme="minorHAnsi"/>
                <w:bCs/>
              </w:rPr>
              <w:t>QQ. Importers and Exporters of Pre-charged Equipment and Closed-Cell Foams</w:t>
            </w:r>
          </w:p>
        </w:tc>
        <w:tc>
          <w:tcPr>
            <w:tcW w:w="888" w:type="pct"/>
            <w:tcBorders>
              <w:top w:val="single" w:sz="4" w:space="0" w:color="auto"/>
              <w:bottom w:val="single" w:sz="4" w:space="0" w:color="auto"/>
              <w:right w:val="nil"/>
            </w:tcBorders>
          </w:tcPr>
          <w:p w:rsidR="00DF5B6A" w:rsidRPr="00F56CF7" w:rsidP="00413C7C" w14:paraId="072143EA" w14:textId="7D52CB75">
            <w:pPr>
              <w:rPr>
                <w:rFonts w:cstheme="minorHAnsi"/>
              </w:rPr>
            </w:pPr>
            <w:r w:rsidRPr="00F56CF7">
              <w:rPr>
                <w:rFonts w:cstheme="minorHAnsi"/>
              </w:rPr>
              <w:t>423730</w:t>
            </w:r>
          </w:p>
        </w:tc>
        <w:tc>
          <w:tcPr>
            <w:tcW w:w="2105" w:type="pct"/>
            <w:tcBorders>
              <w:top w:val="single" w:sz="4" w:space="0" w:color="auto"/>
              <w:left w:val="nil"/>
              <w:bottom w:val="single" w:sz="4" w:space="0" w:color="auto"/>
            </w:tcBorders>
          </w:tcPr>
          <w:p w:rsidR="00DF5B6A" w:rsidRPr="00F56CF7" w:rsidP="00413C7C" w14:paraId="22370BAD" w14:textId="77777777">
            <w:pPr>
              <w:rPr>
                <w:rFonts w:cstheme="minorHAnsi"/>
              </w:rPr>
            </w:pPr>
            <w:r w:rsidRPr="00F56CF7">
              <w:rPr>
                <w:rFonts w:cstheme="minorHAnsi"/>
              </w:rPr>
              <w:t>Air-conditioning equipment (except room units) merchant wholesalers.</w:t>
            </w:r>
          </w:p>
        </w:tc>
      </w:tr>
      <w:tr w14:paraId="0091316B" w14:textId="77777777" w:rsidTr="00413C7C">
        <w:tblPrEx>
          <w:tblW w:w="5000" w:type="pct"/>
          <w:tblInd w:w="110" w:type="dxa"/>
          <w:tblCellMar>
            <w:left w:w="110" w:type="dxa"/>
            <w:right w:w="110" w:type="dxa"/>
          </w:tblCellMar>
          <w:tblLook w:val="0000"/>
        </w:tblPrEx>
        <w:trPr>
          <w:cantSplit/>
        </w:trPr>
        <w:tc>
          <w:tcPr>
            <w:tcW w:w="2007" w:type="pct"/>
            <w:vMerge/>
          </w:tcPr>
          <w:p w:rsidR="00DF5B6A" w:rsidRPr="00F56CF7" w:rsidP="00413C7C" w14:paraId="6BDE664D"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4E078A3D" w14:textId="77777777">
            <w:pPr>
              <w:rPr>
                <w:rFonts w:cstheme="minorHAnsi"/>
              </w:rPr>
            </w:pPr>
            <w:r w:rsidRPr="00F56CF7">
              <w:rPr>
                <w:rFonts w:cstheme="minorHAnsi"/>
              </w:rPr>
              <w:t>333415</w:t>
            </w:r>
          </w:p>
        </w:tc>
        <w:tc>
          <w:tcPr>
            <w:tcW w:w="2105" w:type="pct"/>
            <w:tcBorders>
              <w:top w:val="single" w:sz="4" w:space="0" w:color="auto"/>
              <w:left w:val="nil"/>
              <w:bottom w:val="single" w:sz="4" w:space="0" w:color="auto"/>
            </w:tcBorders>
          </w:tcPr>
          <w:p w:rsidR="00DF5B6A" w:rsidRPr="00F56CF7" w:rsidP="00413C7C" w14:paraId="124F2027" w14:textId="77777777">
            <w:pPr>
              <w:rPr>
                <w:rFonts w:cstheme="minorHAnsi"/>
              </w:rPr>
            </w:pPr>
            <w:r w:rsidRPr="00F56CF7">
              <w:rPr>
                <w:rFonts w:cstheme="minorHAnsi"/>
              </w:rPr>
              <w:t>Air-conditioning equipment (except motor vehicle) manufacturing.</w:t>
            </w:r>
          </w:p>
        </w:tc>
      </w:tr>
      <w:tr w14:paraId="3EA0E708" w14:textId="77777777" w:rsidTr="00413C7C">
        <w:tblPrEx>
          <w:tblW w:w="5000" w:type="pct"/>
          <w:tblInd w:w="110" w:type="dxa"/>
          <w:tblCellMar>
            <w:left w:w="110" w:type="dxa"/>
            <w:right w:w="110" w:type="dxa"/>
          </w:tblCellMar>
          <w:tblLook w:val="0000"/>
        </w:tblPrEx>
        <w:trPr>
          <w:cantSplit/>
        </w:trPr>
        <w:tc>
          <w:tcPr>
            <w:tcW w:w="2007" w:type="pct"/>
            <w:vMerge/>
          </w:tcPr>
          <w:p w:rsidR="00DF5B6A" w:rsidRPr="00F56CF7" w:rsidP="00413C7C" w14:paraId="5D2180A7"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69517C01" w14:textId="77777777">
            <w:pPr>
              <w:rPr>
                <w:rFonts w:cstheme="minorHAnsi"/>
              </w:rPr>
            </w:pPr>
            <w:r w:rsidRPr="00F56CF7">
              <w:rPr>
                <w:rFonts w:cstheme="minorHAnsi"/>
              </w:rPr>
              <w:t>423620</w:t>
            </w:r>
          </w:p>
        </w:tc>
        <w:tc>
          <w:tcPr>
            <w:tcW w:w="2105" w:type="pct"/>
            <w:tcBorders>
              <w:top w:val="single" w:sz="4" w:space="0" w:color="auto"/>
              <w:left w:val="nil"/>
              <w:bottom w:val="single" w:sz="4" w:space="0" w:color="auto"/>
            </w:tcBorders>
          </w:tcPr>
          <w:p w:rsidR="00DF5B6A" w:rsidRPr="00F56CF7" w:rsidP="00413C7C" w14:paraId="760F28E6" w14:textId="77777777">
            <w:pPr>
              <w:rPr>
                <w:rFonts w:cstheme="minorHAnsi"/>
              </w:rPr>
            </w:pPr>
            <w:r w:rsidRPr="00F56CF7">
              <w:rPr>
                <w:rFonts w:cstheme="minorHAnsi"/>
              </w:rPr>
              <w:t>Air-conditioners, room, merchant wholesalers.</w:t>
            </w:r>
          </w:p>
        </w:tc>
      </w:tr>
      <w:tr w14:paraId="09E2DA85" w14:textId="77777777" w:rsidTr="00413C7C">
        <w:tblPrEx>
          <w:tblW w:w="5000" w:type="pct"/>
          <w:tblInd w:w="110" w:type="dxa"/>
          <w:tblCellMar>
            <w:left w:w="110" w:type="dxa"/>
            <w:right w:w="110" w:type="dxa"/>
          </w:tblCellMar>
          <w:tblLook w:val="0000"/>
        </w:tblPrEx>
        <w:trPr>
          <w:cantSplit/>
        </w:trPr>
        <w:tc>
          <w:tcPr>
            <w:tcW w:w="2007" w:type="pct"/>
            <w:vMerge/>
          </w:tcPr>
          <w:p w:rsidR="00DF5B6A" w:rsidRPr="00F56CF7" w:rsidP="00413C7C" w14:paraId="3DCBF1E7"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540BF625" w14:textId="77777777">
            <w:pPr>
              <w:rPr>
                <w:rFonts w:cstheme="minorHAnsi"/>
              </w:rPr>
            </w:pPr>
            <w:r w:rsidRPr="00F56CF7">
              <w:rPr>
                <w:rFonts w:cstheme="minorHAnsi"/>
              </w:rPr>
              <w:t>449210</w:t>
            </w:r>
          </w:p>
        </w:tc>
        <w:tc>
          <w:tcPr>
            <w:tcW w:w="2105" w:type="pct"/>
            <w:tcBorders>
              <w:top w:val="single" w:sz="4" w:space="0" w:color="auto"/>
              <w:left w:val="nil"/>
              <w:bottom w:val="single" w:sz="4" w:space="0" w:color="auto"/>
            </w:tcBorders>
          </w:tcPr>
          <w:p w:rsidR="00DF5B6A" w:rsidRPr="00F56CF7" w:rsidP="00413C7C" w14:paraId="69EED15D" w14:textId="77777777">
            <w:pPr>
              <w:rPr>
                <w:rFonts w:cstheme="minorHAnsi"/>
              </w:rPr>
            </w:pPr>
            <w:r w:rsidRPr="00F56CF7">
              <w:rPr>
                <w:rFonts w:cstheme="minorHAnsi"/>
              </w:rPr>
              <w:t>Electronics and Appliance retailers.</w:t>
            </w:r>
          </w:p>
        </w:tc>
      </w:tr>
      <w:tr w14:paraId="74D8C112" w14:textId="77777777" w:rsidTr="00413C7C">
        <w:tblPrEx>
          <w:tblW w:w="5000" w:type="pct"/>
          <w:tblInd w:w="110" w:type="dxa"/>
          <w:tblCellMar>
            <w:left w:w="110" w:type="dxa"/>
            <w:right w:w="110" w:type="dxa"/>
          </w:tblCellMar>
          <w:tblLook w:val="0000"/>
        </w:tblPrEx>
        <w:trPr>
          <w:cantSplit/>
        </w:trPr>
        <w:tc>
          <w:tcPr>
            <w:tcW w:w="2007" w:type="pct"/>
            <w:vMerge/>
          </w:tcPr>
          <w:p w:rsidR="00DF5B6A" w:rsidRPr="00F56CF7" w:rsidP="00413C7C" w14:paraId="5EE5CBD9"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30CA3221" w14:textId="77777777">
            <w:pPr>
              <w:rPr>
                <w:rFonts w:cstheme="minorHAnsi"/>
              </w:rPr>
            </w:pPr>
            <w:r w:rsidRPr="00F56CF7">
              <w:rPr>
                <w:rFonts w:cstheme="minorHAnsi"/>
              </w:rPr>
              <w:t>326150</w:t>
            </w:r>
          </w:p>
        </w:tc>
        <w:tc>
          <w:tcPr>
            <w:tcW w:w="2105" w:type="pct"/>
            <w:tcBorders>
              <w:top w:val="single" w:sz="4" w:space="0" w:color="auto"/>
              <w:left w:val="nil"/>
              <w:bottom w:val="single" w:sz="4" w:space="0" w:color="auto"/>
            </w:tcBorders>
          </w:tcPr>
          <w:p w:rsidR="00DF5B6A" w:rsidRPr="00F56CF7" w:rsidP="00413C7C" w14:paraId="57F1DDD9" w14:textId="77777777">
            <w:pPr>
              <w:rPr>
                <w:rFonts w:cstheme="minorHAnsi"/>
              </w:rPr>
            </w:pPr>
            <w:r w:rsidRPr="00F56CF7">
              <w:rPr>
                <w:rFonts w:cstheme="minorHAnsi"/>
              </w:rPr>
              <w:t>Polyurethane foam products manufacturing.</w:t>
            </w:r>
          </w:p>
        </w:tc>
      </w:tr>
      <w:tr w14:paraId="516F0219" w14:textId="77777777" w:rsidTr="00413C7C">
        <w:tblPrEx>
          <w:tblW w:w="5000" w:type="pct"/>
          <w:tblInd w:w="110" w:type="dxa"/>
          <w:tblCellMar>
            <w:left w:w="110" w:type="dxa"/>
            <w:right w:w="110" w:type="dxa"/>
          </w:tblCellMar>
          <w:tblLook w:val="0000"/>
        </w:tblPrEx>
        <w:trPr>
          <w:cantSplit/>
        </w:trPr>
        <w:tc>
          <w:tcPr>
            <w:tcW w:w="2007" w:type="pct"/>
            <w:vMerge/>
          </w:tcPr>
          <w:p w:rsidR="00DF5B6A" w:rsidRPr="00F56CF7" w:rsidP="00413C7C" w14:paraId="3A73B751"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044C67EF" w14:textId="77777777">
            <w:pPr>
              <w:rPr>
                <w:rFonts w:cstheme="minorHAnsi"/>
              </w:rPr>
            </w:pPr>
            <w:r w:rsidRPr="00F56CF7">
              <w:rPr>
                <w:rFonts w:cstheme="minorHAnsi"/>
              </w:rPr>
              <w:t>335313</w:t>
            </w:r>
          </w:p>
        </w:tc>
        <w:tc>
          <w:tcPr>
            <w:tcW w:w="2105" w:type="pct"/>
            <w:tcBorders>
              <w:top w:val="single" w:sz="4" w:space="0" w:color="auto"/>
              <w:left w:val="nil"/>
              <w:bottom w:val="single" w:sz="4" w:space="0" w:color="auto"/>
            </w:tcBorders>
          </w:tcPr>
          <w:p w:rsidR="00DF5B6A" w:rsidRPr="00F56CF7" w:rsidP="00413C7C" w14:paraId="023BF692" w14:textId="77777777">
            <w:pPr>
              <w:rPr>
                <w:rFonts w:cstheme="minorHAnsi"/>
              </w:rPr>
            </w:pPr>
            <w:r w:rsidRPr="00F56CF7">
              <w:rPr>
                <w:rFonts w:cstheme="minorHAnsi"/>
              </w:rPr>
              <w:t>Circuit breakers, power, manufacturing.</w:t>
            </w:r>
          </w:p>
        </w:tc>
      </w:tr>
      <w:tr w14:paraId="531B61A6" w14:textId="77777777" w:rsidTr="00413C7C">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DF5B6A" w:rsidRPr="00F56CF7" w:rsidP="00413C7C" w14:paraId="2AB068BB"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4CAE8AC6" w14:textId="77777777">
            <w:pPr>
              <w:rPr>
                <w:rFonts w:cstheme="minorHAnsi"/>
              </w:rPr>
            </w:pPr>
            <w:r w:rsidRPr="00F56CF7">
              <w:rPr>
                <w:rFonts w:cstheme="minorHAnsi"/>
              </w:rPr>
              <w:t>423610</w:t>
            </w:r>
          </w:p>
        </w:tc>
        <w:tc>
          <w:tcPr>
            <w:tcW w:w="2105" w:type="pct"/>
            <w:tcBorders>
              <w:top w:val="single" w:sz="4" w:space="0" w:color="auto"/>
              <w:left w:val="nil"/>
              <w:bottom w:val="single" w:sz="4" w:space="0" w:color="auto"/>
            </w:tcBorders>
          </w:tcPr>
          <w:p w:rsidR="00DF5B6A" w:rsidRPr="00F56CF7" w:rsidP="00413C7C" w14:paraId="5F0EBAA6" w14:textId="77777777">
            <w:pPr>
              <w:rPr>
                <w:rFonts w:cstheme="minorHAnsi"/>
              </w:rPr>
            </w:pPr>
            <w:r w:rsidRPr="00F56CF7">
              <w:rPr>
                <w:rFonts w:cstheme="minorHAnsi"/>
              </w:rPr>
              <w:t>Circuit breakers and related equipment merchant wholesalers.</w:t>
            </w:r>
          </w:p>
        </w:tc>
      </w:tr>
      <w:tr w14:paraId="72B1CECE"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tcBorders>
          </w:tcPr>
          <w:p w:rsidR="00DF5B6A" w:rsidRPr="00F56CF7" w:rsidP="00413C7C" w14:paraId="5C7DF3FF" w14:textId="77777777">
            <w:pPr>
              <w:rPr>
                <w:rFonts w:cstheme="minorHAnsi"/>
              </w:rPr>
            </w:pPr>
            <w:r w:rsidRPr="00F56CF7">
              <w:rPr>
                <w:rFonts w:cstheme="minorHAnsi"/>
              </w:rPr>
              <w:t xml:space="preserve">RR. Geologic Sequestration </w:t>
            </w:r>
          </w:p>
        </w:tc>
        <w:tc>
          <w:tcPr>
            <w:tcW w:w="888" w:type="pct"/>
            <w:tcBorders>
              <w:top w:val="single" w:sz="4" w:space="0" w:color="auto"/>
              <w:bottom w:val="single" w:sz="4" w:space="0" w:color="auto"/>
              <w:right w:val="nil"/>
            </w:tcBorders>
          </w:tcPr>
          <w:p w:rsidR="00DF5B6A" w:rsidRPr="00F56CF7" w:rsidP="00413C7C" w14:paraId="67065D8B" w14:textId="77777777">
            <w:pPr>
              <w:rPr>
                <w:rFonts w:cstheme="minorHAnsi"/>
              </w:rPr>
            </w:pPr>
            <w:r w:rsidRPr="00F56CF7">
              <w:rPr>
                <w:rFonts w:cstheme="minorHAnsi"/>
              </w:rPr>
              <w:t>NA</w:t>
            </w:r>
          </w:p>
        </w:tc>
        <w:tc>
          <w:tcPr>
            <w:tcW w:w="2105" w:type="pct"/>
            <w:tcBorders>
              <w:top w:val="single" w:sz="4" w:space="0" w:color="auto"/>
              <w:left w:val="nil"/>
              <w:bottom w:val="single" w:sz="4" w:space="0" w:color="auto"/>
            </w:tcBorders>
          </w:tcPr>
          <w:p w:rsidR="00DF5B6A" w:rsidRPr="00F56CF7" w:rsidP="00413C7C" w14:paraId="7A3F8A83" w14:textId="77777777">
            <w:pPr>
              <w:rPr>
                <w:rFonts w:cstheme="minorHAnsi"/>
              </w:rPr>
            </w:pPr>
            <w:r w:rsidRPr="00F56CF7">
              <w:rPr>
                <w:rFonts w:cstheme="minorHAnsi"/>
              </w:rPr>
              <w:t>CO</w:t>
            </w:r>
            <w:r w:rsidRPr="00F56CF7">
              <w:rPr>
                <w:rFonts w:cstheme="minorHAnsi"/>
                <w:vertAlign w:val="subscript"/>
              </w:rPr>
              <w:t>2</w:t>
            </w:r>
            <w:r w:rsidRPr="00F56CF7">
              <w:rPr>
                <w:rFonts w:cstheme="minorHAnsi"/>
              </w:rPr>
              <w:t xml:space="preserve"> geologic sequestration sites.</w:t>
            </w:r>
          </w:p>
        </w:tc>
      </w:tr>
      <w:tr w14:paraId="2BF7C00B"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59FD75DE" w14:textId="77777777">
            <w:pPr>
              <w:rPr>
                <w:rFonts w:cstheme="minorHAnsi"/>
              </w:rPr>
            </w:pPr>
            <w:r w:rsidRPr="00F56CF7">
              <w:rPr>
                <w:rFonts w:cstheme="minorHAnsi"/>
              </w:rPr>
              <w:t>SS. Electrical Equipment Manufacture or Refurbishment</w:t>
            </w:r>
          </w:p>
        </w:tc>
        <w:tc>
          <w:tcPr>
            <w:tcW w:w="888" w:type="pct"/>
            <w:tcBorders>
              <w:top w:val="single" w:sz="4" w:space="0" w:color="auto"/>
              <w:bottom w:val="single" w:sz="4" w:space="0" w:color="auto"/>
              <w:right w:val="nil"/>
            </w:tcBorders>
          </w:tcPr>
          <w:p w:rsidR="00DF5B6A" w:rsidRPr="00F56CF7" w:rsidP="00413C7C" w14:paraId="6B9F9EE3" w14:textId="77777777">
            <w:pPr>
              <w:rPr>
                <w:rFonts w:cstheme="minorHAnsi"/>
              </w:rPr>
            </w:pPr>
            <w:r w:rsidRPr="00F56CF7">
              <w:rPr>
                <w:rFonts w:cstheme="minorHAnsi"/>
              </w:rPr>
              <w:t>33531</w:t>
            </w:r>
          </w:p>
        </w:tc>
        <w:tc>
          <w:tcPr>
            <w:tcW w:w="2105" w:type="pct"/>
            <w:tcBorders>
              <w:top w:val="single" w:sz="4" w:space="0" w:color="auto"/>
              <w:left w:val="nil"/>
              <w:bottom w:val="single" w:sz="4" w:space="0" w:color="auto"/>
            </w:tcBorders>
          </w:tcPr>
          <w:p w:rsidR="00DF5B6A" w:rsidRPr="00F56CF7" w:rsidP="00413C7C" w14:paraId="659F511D" w14:textId="77777777">
            <w:pPr>
              <w:rPr>
                <w:rFonts w:cstheme="minorHAnsi"/>
              </w:rPr>
            </w:pPr>
            <w:r w:rsidRPr="00F56CF7">
              <w:rPr>
                <w:rFonts w:cstheme="minorHAnsi"/>
              </w:rPr>
              <w:t>Power transmission and distribution switchgear and specialty transformers manufacturing facilities</w:t>
            </w:r>
          </w:p>
        </w:tc>
      </w:tr>
      <w:tr w14:paraId="0D990128"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tcBorders>
          </w:tcPr>
          <w:p w:rsidR="00467729" w:rsidRPr="00F56CF7" w:rsidP="00467729" w14:paraId="663B401D" w14:textId="71CED925">
            <w:pPr>
              <w:rPr>
                <w:rFonts w:cstheme="minorHAnsi"/>
              </w:rPr>
            </w:pPr>
            <w:r>
              <w:t xml:space="preserve">TT. </w:t>
            </w:r>
            <w:r w:rsidRPr="001B072A">
              <w:t>Industrial Waste Landfill</w:t>
            </w:r>
          </w:p>
        </w:tc>
        <w:tc>
          <w:tcPr>
            <w:tcW w:w="888" w:type="pct"/>
            <w:tcBorders>
              <w:top w:val="single" w:sz="4" w:space="0" w:color="auto"/>
              <w:bottom w:val="single" w:sz="4" w:space="0" w:color="auto"/>
              <w:right w:val="nil"/>
            </w:tcBorders>
          </w:tcPr>
          <w:p w:rsidR="00467729" w:rsidRPr="00F56CF7" w:rsidP="00467729" w14:paraId="0A178A6E" w14:textId="49CE77F3">
            <w:pPr>
              <w:rPr>
                <w:rFonts w:cstheme="minorHAnsi"/>
              </w:rPr>
            </w:pPr>
            <w:r w:rsidRPr="001B072A">
              <w:t>562212</w:t>
            </w:r>
          </w:p>
        </w:tc>
        <w:tc>
          <w:tcPr>
            <w:tcW w:w="2105" w:type="pct"/>
            <w:tcBorders>
              <w:top w:val="single" w:sz="4" w:space="0" w:color="auto"/>
              <w:left w:val="nil"/>
              <w:bottom w:val="single" w:sz="4" w:space="0" w:color="auto"/>
            </w:tcBorders>
          </w:tcPr>
          <w:p w:rsidR="00467729" w:rsidRPr="00F56CF7" w:rsidP="00467729" w14:paraId="44265509" w14:textId="10DC7B60">
            <w:pPr>
              <w:rPr>
                <w:rFonts w:cstheme="minorHAnsi"/>
              </w:rPr>
            </w:pPr>
            <w:r w:rsidRPr="001B072A">
              <w:t xml:space="preserve">Solid waste landfill. </w:t>
            </w:r>
          </w:p>
        </w:tc>
      </w:tr>
      <w:tr w14:paraId="0C8BD8F5" w14:textId="77777777" w:rsidTr="00413C7C">
        <w:tblPrEx>
          <w:tblW w:w="5000" w:type="pct"/>
          <w:tblInd w:w="110" w:type="dxa"/>
          <w:tblCellMar>
            <w:left w:w="110" w:type="dxa"/>
            <w:right w:w="110" w:type="dxa"/>
          </w:tblCellMar>
          <w:tblLook w:val="0000"/>
        </w:tblPrEx>
        <w:trPr>
          <w:cantSplit/>
        </w:trPr>
        <w:tc>
          <w:tcPr>
            <w:tcW w:w="2007" w:type="pct"/>
            <w:vMerge w:val="restart"/>
            <w:tcBorders>
              <w:top w:val="single" w:sz="4" w:space="0" w:color="auto"/>
            </w:tcBorders>
          </w:tcPr>
          <w:p w:rsidR="00DF5B6A" w:rsidRPr="00F56CF7" w:rsidP="00413C7C" w14:paraId="5A8F3F29" w14:textId="29666F1A">
            <w:pPr>
              <w:rPr>
                <w:rFonts w:cstheme="minorHAnsi"/>
              </w:rPr>
            </w:pPr>
            <w:r w:rsidRPr="00F56CF7">
              <w:rPr>
                <w:rFonts w:cstheme="minorHAnsi"/>
              </w:rPr>
              <w:t xml:space="preserve">UU. </w:t>
            </w:r>
            <w:r w:rsidRPr="00F56CF7" w:rsidR="004929FB">
              <w:rPr>
                <w:rFonts w:cstheme="minorHAnsi"/>
              </w:rPr>
              <w:t xml:space="preserve">Injection </w:t>
            </w:r>
            <w:r w:rsidR="004929FB">
              <w:rPr>
                <w:rFonts w:cstheme="minorHAnsi"/>
              </w:rPr>
              <w:t xml:space="preserve">of </w:t>
            </w:r>
            <w:r w:rsidRPr="00F56CF7">
              <w:rPr>
                <w:rFonts w:cstheme="minorHAnsi"/>
              </w:rPr>
              <w:t xml:space="preserve">Carbon Dioxide </w:t>
            </w:r>
          </w:p>
        </w:tc>
        <w:tc>
          <w:tcPr>
            <w:tcW w:w="888" w:type="pct"/>
            <w:tcBorders>
              <w:top w:val="single" w:sz="4" w:space="0" w:color="auto"/>
              <w:bottom w:val="single" w:sz="4" w:space="0" w:color="auto"/>
              <w:right w:val="nil"/>
            </w:tcBorders>
          </w:tcPr>
          <w:p w:rsidR="00DF5B6A" w:rsidRPr="00F56CF7" w:rsidP="00413C7C" w14:paraId="4476E794" w14:textId="77777777">
            <w:pPr>
              <w:rPr>
                <w:rFonts w:cstheme="minorHAnsi"/>
              </w:rPr>
            </w:pPr>
            <w:r w:rsidRPr="00F56CF7">
              <w:rPr>
                <w:rFonts w:cstheme="minorHAnsi"/>
              </w:rPr>
              <w:t>211</w:t>
            </w:r>
          </w:p>
        </w:tc>
        <w:tc>
          <w:tcPr>
            <w:tcW w:w="2105" w:type="pct"/>
            <w:tcBorders>
              <w:top w:val="single" w:sz="4" w:space="0" w:color="auto"/>
              <w:left w:val="nil"/>
              <w:bottom w:val="single" w:sz="4" w:space="0" w:color="auto"/>
            </w:tcBorders>
          </w:tcPr>
          <w:p w:rsidR="00DF5B6A" w:rsidRPr="00F56CF7" w:rsidP="00413C7C" w14:paraId="209EF0E2" w14:textId="77777777">
            <w:pPr>
              <w:rPr>
                <w:rFonts w:cstheme="minorHAnsi"/>
              </w:rPr>
            </w:pPr>
            <w:r w:rsidRPr="00F56CF7">
              <w:rPr>
                <w:rFonts w:cstheme="minorHAnsi"/>
              </w:rPr>
              <w:t>Oil and gas extraction projects using carbon dioxide enhanced oil recovery.</w:t>
            </w:r>
          </w:p>
        </w:tc>
      </w:tr>
      <w:tr w14:paraId="09D93F87" w14:textId="77777777" w:rsidTr="00413C7C">
        <w:tblPrEx>
          <w:tblW w:w="5000" w:type="pct"/>
          <w:tblInd w:w="110" w:type="dxa"/>
          <w:tblCellMar>
            <w:left w:w="110" w:type="dxa"/>
            <w:right w:w="110" w:type="dxa"/>
          </w:tblCellMar>
          <w:tblLook w:val="0000"/>
        </w:tblPrEx>
        <w:trPr>
          <w:cantSplit/>
        </w:trPr>
        <w:tc>
          <w:tcPr>
            <w:tcW w:w="2007" w:type="pct"/>
            <w:vMerge/>
            <w:tcBorders>
              <w:bottom w:val="single" w:sz="4" w:space="0" w:color="auto"/>
            </w:tcBorders>
          </w:tcPr>
          <w:p w:rsidR="00DF5B6A" w:rsidRPr="00F56CF7" w:rsidP="00413C7C" w14:paraId="6C0EF416" w14:textId="77777777">
            <w:pPr>
              <w:rPr>
                <w:rFonts w:cstheme="minorHAnsi"/>
              </w:rPr>
            </w:pPr>
          </w:p>
        </w:tc>
        <w:tc>
          <w:tcPr>
            <w:tcW w:w="888" w:type="pct"/>
            <w:tcBorders>
              <w:top w:val="single" w:sz="4" w:space="0" w:color="auto"/>
              <w:bottom w:val="single" w:sz="4" w:space="0" w:color="auto"/>
              <w:right w:val="nil"/>
            </w:tcBorders>
          </w:tcPr>
          <w:p w:rsidR="00DF5B6A" w:rsidRPr="00F56CF7" w:rsidP="00413C7C" w14:paraId="14B6DBF8" w14:textId="77777777">
            <w:pPr>
              <w:rPr>
                <w:rFonts w:cstheme="minorHAnsi"/>
              </w:rPr>
            </w:pPr>
            <w:r w:rsidRPr="00F56CF7">
              <w:rPr>
                <w:rFonts w:cstheme="minorHAnsi"/>
              </w:rPr>
              <w:t>211111 or 211112</w:t>
            </w:r>
          </w:p>
        </w:tc>
        <w:tc>
          <w:tcPr>
            <w:tcW w:w="2105" w:type="pct"/>
            <w:tcBorders>
              <w:top w:val="single" w:sz="4" w:space="0" w:color="auto"/>
              <w:left w:val="nil"/>
              <w:bottom w:val="single" w:sz="4" w:space="0" w:color="auto"/>
            </w:tcBorders>
          </w:tcPr>
          <w:p w:rsidR="00DF5B6A" w:rsidRPr="00F56CF7" w:rsidP="00413C7C" w14:paraId="462162D4" w14:textId="77777777">
            <w:pPr>
              <w:rPr>
                <w:rFonts w:cstheme="minorHAnsi"/>
              </w:rPr>
            </w:pPr>
            <w:r w:rsidRPr="00F56CF7">
              <w:rPr>
                <w:rFonts w:cstheme="minorHAnsi"/>
              </w:rPr>
              <w:t>Projects that inject acid gas containing carbon dioxide underground.</w:t>
            </w:r>
          </w:p>
        </w:tc>
      </w:tr>
      <w:tr w14:paraId="6F5C7625"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6E66CFB8" w14:textId="77777777">
            <w:pPr>
              <w:rPr>
                <w:rFonts w:cstheme="minorHAnsi"/>
              </w:rPr>
            </w:pPr>
            <w:r w:rsidRPr="00F56CF7">
              <w:rPr>
                <w:rFonts w:cstheme="minorHAnsi"/>
              </w:rPr>
              <w:t>VV. Carbon Dioxide Enhanced Oil Recovery Projects</w:t>
            </w:r>
          </w:p>
        </w:tc>
        <w:tc>
          <w:tcPr>
            <w:tcW w:w="888" w:type="pct"/>
            <w:tcBorders>
              <w:top w:val="single" w:sz="4" w:space="0" w:color="auto"/>
              <w:bottom w:val="single" w:sz="4" w:space="0" w:color="auto"/>
              <w:right w:val="nil"/>
            </w:tcBorders>
          </w:tcPr>
          <w:p w:rsidR="00DF5B6A" w:rsidRPr="00F56CF7" w:rsidP="00413C7C" w14:paraId="793BB017" w14:textId="557C63A5">
            <w:pPr>
              <w:rPr>
                <w:rFonts w:cstheme="minorHAnsi"/>
              </w:rPr>
            </w:pPr>
            <w:r w:rsidRPr="00F56CF7">
              <w:rPr>
                <w:rFonts w:cstheme="minorHAnsi"/>
              </w:rPr>
              <w:t>211</w:t>
            </w:r>
            <w:r w:rsidR="000B43B1">
              <w:rPr>
                <w:rFonts w:cstheme="minorHAnsi"/>
              </w:rPr>
              <w:t>120</w:t>
            </w:r>
          </w:p>
        </w:tc>
        <w:tc>
          <w:tcPr>
            <w:tcW w:w="2105" w:type="pct"/>
            <w:tcBorders>
              <w:top w:val="single" w:sz="4" w:space="0" w:color="auto"/>
              <w:left w:val="nil"/>
              <w:bottom w:val="single" w:sz="4" w:space="0" w:color="auto"/>
            </w:tcBorders>
          </w:tcPr>
          <w:p w:rsidR="00DF5B6A" w:rsidRPr="00F56CF7" w:rsidP="00413C7C" w14:paraId="01DF5214" w14:textId="77777777">
            <w:pPr>
              <w:rPr>
                <w:rFonts w:cstheme="minorHAnsi"/>
              </w:rPr>
            </w:pPr>
            <w:r w:rsidRPr="00F56CF7">
              <w:rPr>
                <w:rFonts w:cstheme="minorHAnsi"/>
              </w:rPr>
              <w:t>Oil and gas extraction projects using carbon dioxide enhanced oil recovery.</w:t>
            </w:r>
          </w:p>
        </w:tc>
      </w:tr>
      <w:tr w14:paraId="6D33F5AA"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492D6214" w14:textId="69735D0C">
            <w:pPr>
              <w:rPr>
                <w:rFonts w:cstheme="minorHAnsi"/>
              </w:rPr>
            </w:pPr>
            <w:r w:rsidRPr="00F56CF7">
              <w:rPr>
                <w:rFonts w:cstheme="minorHAnsi"/>
              </w:rPr>
              <w:t>WW. Coke Calcin</w:t>
            </w:r>
            <w:r w:rsidR="00555861">
              <w:rPr>
                <w:rFonts w:cstheme="minorHAnsi"/>
              </w:rPr>
              <w:t>ing</w:t>
            </w:r>
          </w:p>
        </w:tc>
        <w:tc>
          <w:tcPr>
            <w:tcW w:w="888" w:type="pct"/>
            <w:tcBorders>
              <w:top w:val="single" w:sz="4" w:space="0" w:color="auto"/>
              <w:bottom w:val="single" w:sz="4" w:space="0" w:color="auto"/>
              <w:right w:val="nil"/>
            </w:tcBorders>
          </w:tcPr>
          <w:p w:rsidR="00DF5B6A" w:rsidRPr="00F56CF7" w:rsidP="00413C7C" w14:paraId="6D1874C0" w14:textId="77777777">
            <w:pPr>
              <w:rPr>
                <w:rFonts w:cstheme="minorHAnsi"/>
              </w:rPr>
            </w:pPr>
            <w:r w:rsidRPr="00F56CF7">
              <w:rPr>
                <w:rFonts w:cstheme="minorHAnsi"/>
              </w:rPr>
              <w:t>299901</w:t>
            </w:r>
          </w:p>
        </w:tc>
        <w:tc>
          <w:tcPr>
            <w:tcW w:w="2105" w:type="pct"/>
            <w:tcBorders>
              <w:top w:val="single" w:sz="4" w:space="0" w:color="auto"/>
              <w:left w:val="nil"/>
              <w:bottom w:val="single" w:sz="4" w:space="0" w:color="auto"/>
            </w:tcBorders>
          </w:tcPr>
          <w:p w:rsidR="00DF5B6A" w:rsidRPr="00F56CF7" w:rsidP="00413C7C" w14:paraId="5E43E1A2" w14:textId="77777777">
            <w:pPr>
              <w:rPr>
                <w:rFonts w:cstheme="minorHAnsi"/>
              </w:rPr>
            </w:pPr>
            <w:r w:rsidRPr="00F56CF7">
              <w:rPr>
                <w:rFonts w:cstheme="minorHAnsi"/>
              </w:rPr>
              <w:t>Coke; coke, petroleum; coke, calcined petroleum.</w:t>
            </w:r>
          </w:p>
        </w:tc>
      </w:tr>
      <w:tr w14:paraId="721B6CEE" w14:textId="77777777" w:rsidTr="00413C7C">
        <w:tblPrEx>
          <w:tblW w:w="5000" w:type="pct"/>
          <w:tblInd w:w="110" w:type="dxa"/>
          <w:tblCellMar>
            <w:left w:w="110" w:type="dxa"/>
            <w:right w:w="110" w:type="dxa"/>
          </w:tblCellMar>
          <w:tblLook w:val="0000"/>
        </w:tblPrEx>
        <w:trPr>
          <w:cantSplit/>
        </w:trPr>
        <w:tc>
          <w:tcPr>
            <w:tcW w:w="2007" w:type="pct"/>
            <w:tcBorders>
              <w:top w:val="single" w:sz="4" w:space="0" w:color="auto"/>
              <w:bottom w:val="single" w:sz="4" w:space="0" w:color="auto"/>
            </w:tcBorders>
          </w:tcPr>
          <w:p w:rsidR="00DF5B6A" w:rsidRPr="00F56CF7" w:rsidP="00413C7C" w14:paraId="7D647796" w14:textId="77777777">
            <w:pPr>
              <w:rPr>
                <w:rFonts w:cstheme="minorHAnsi"/>
              </w:rPr>
            </w:pPr>
            <w:r w:rsidRPr="00F56CF7">
              <w:rPr>
                <w:rFonts w:cstheme="minorHAnsi"/>
              </w:rPr>
              <w:t>XX. Calcium Carbide Production</w:t>
            </w:r>
          </w:p>
        </w:tc>
        <w:tc>
          <w:tcPr>
            <w:tcW w:w="888" w:type="pct"/>
            <w:tcBorders>
              <w:top w:val="single" w:sz="4" w:space="0" w:color="auto"/>
              <w:bottom w:val="single" w:sz="4" w:space="0" w:color="auto"/>
              <w:right w:val="nil"/>
            </w:tcBorders>
          </w:tcPr>
          <w:p w:rsidR="00DF5B6A" w:rsidRPr="00F56CF7" w:rsidP="00413C7C" w14:paraId="124CA703" w14:textId="77777777">
            <w:pPr>
              <w:rPr>
                <w:rFonts w:cstheme="minorHAnsi"/>
              </w:rPr>
            </w:pPr>
            <w:r w:rsidRPr="00F56CF7">
              <w:rPr>
                <w:rFonts w:cstheme="minorHAnsi"/>
              </w:rPr>
              <w:t>325180</w:t>
            </w:r>
          </w:p>
        </w:tc>
        <w:tc>
          <w:tcPr>
            <w:tcW w:w="2105" w:type="pct"/>
            <w:tcBorders>
              <w:top w:val="single" w:sz="4" w:space="0" w:color="auto"/>
              <w:left w:val="nil"/>
              <w:bottom w:val="single" w:sz="4" w:space="0" w:color="auto"/>
            </w:tcBorders>
          </w:tcPr>
          <w:p w:rsidR="00DF5B6A" w:rsidRPr="00F56CF7" w:rsidP="00413C7C" w14:paraId="21AFD8C3" w14:textId="77777777">
            <w:pPr>
              <w:rPr>
                <w:rFonts w:cstheme="minorHAnsi"/>
              </w:rPr>
            </w:pPr>
            <w:r w:rsidRPr="00F56CF7">
              <w:rPr>
                <w:rFonts w:cstheme="minorHAnsi"/>
              </w:rPr>
              <w:t>Other basic inorganic chemical manufacturing: calcium carbide manufacturing.</w:t>
            </w:r>
          </w:p>
        </w:tc>
      </w:tr>
      <w:tr w14:paraId="0134F528" w14:textId="77777777" w:rsidTr="00413C7C">
        <w:tblPrEx>
          <w:tblW w:w="5000" w:type="pct"/>
          <w:tblInd w:w="110" w:type="dxa"/>
          <w:tblCellMar>
            <w:left w:w="110" w:type="dxa"/>
            <w:right w:w="110" w:type="dxa"/>
          </w:tblCellMar>
          <w:tblLook w:val="0000"/>
        </w:tblPrEx>
        <w:trPr>
          <w:cantSplit/>
          <w:trHeight w:val="458"/>
        </w:trPr>
        <w:tc>
          <w:tcPr>
            <w:tcW w:w="2007" w:type="pct"/>
            <w:tcBorders>
              <w:top w:val="single" w:sz="4" w:space="0" w:color="auto"/>
              <w:bottom w:val="single" w:sz="4" w:space="0" w:color="auto"/>
            </w:tcBorders>
          </w:tcPr>
          <w:p w:rsidR="00DF5B6A" w:rsidRPr="00F56CF7" w:rsidP="00413C7C" w14:paraId="212EDA3A" w14:textId="77777777">
            <w:pPr>
              <w:rPr>
                <w:rFonts w:cstheme="minorHAnsi"/>
              </w:rPr>
            </w:pPr>
            <w:r w:rsidRPr="00F56CF7">
              <w:rPr>
                <w:rFonts w:cstheme="minorHAnsi"/>
              </w:rPr>
              <w:t>YY. Caprolactam, Glyoxal, and Glyoxylic Acid Production</w:t>
            </w:r>
          </w:p>
        </w:tc>
        <w:tc>
          <w:tcPr>
            <w:tcW w:w="888" w:type="pct"/>
            <w:tcBorders>
              <w:top w:val="single" w:sz="4" w:space="0" w:color="auto"/>
              <w:bottom w:val="single" w:sz="4" w:space="0" w:color="auto"/>
              <w:right w:val="nil"/>
            </w:tcBorders>
          </w:tcPr>
          <w:p w:rsidR="00DF5B6A" w:rsidRPr="00F56CF7" w:rsidP="00413C7C" w14:paraId="1D76AEFA" w14:textId="77777777">
            <w:pPr>
              <w:rPr>
                <w:rFonts w:cstheme="minorHAnsi"/>
              </w:rPr>
            </w:pPr>
            <w:r w:rsidRPr="00F56CF7">
              <w:rPr>
                <w:rFonts w:cstheme="minorHAnsi"/>
              </w:rPr>
              <w:t>325199</w:t>
            </w:r>
          </w:p>
        </w:tc>
        <w:tc>
          <w:tcPr>
            <w:tcW w:w="2105" w:type="pct"/>
            <w:tcBorders>
              <w:top w:val="single" w:sz="4" w:space="0" w:color="auto"/>
              <w:left w:val="nil"/>
              <w:bottom w:val="single" w:sz="4" w:space="0" w:color="auto"/>
            </w:tcBorders>
          </w:tcPr>
          <w:p w:rsidR="00DF5B6A" w:rsidRPr="00F56CF7" w:rsidP="00413C7C" w14:paraId="6D23605E" w14:textId="77777777">
            <w:pPr>
              <w:rPr>
                <w:rFonts w:cstheme="minorHAnsi"/>
              </w:rPr>
            </w:pPr>
            <w:r w:rsidRPr="00F56CF7">
              <w:rPr>
                <w:rFonts w:cstheme="minorHAnsi"/>
              </w:rPr>
              <w:t>All other basic organic chemical manufacturing.</w:t>
            </w:r>
          </w:p>
        </w:tc>
      </w:tr>
      <w:tr w14:paraId="6EE64AAF" w14:textId="77777777" w:rsidTr="00413C7C">
        <w:tblPrEx>
          <w:tblW w:w="5000" w:type="pct"/>
          <w:tblInd w:w="110" w:type="dxa"/>
          <w:tblCellMar>
            <w:left w:w="110" w:type="dxa"/>
            <w:right w:w="110" w:type="dxa"/>
          </w:tblCellMar>
          <w:tblLook w:val="0000"/>
        </w:tblPrEx>
        <w:trPr>
          <w:cantSplit/>
          <w:trHeight w:val="458"/>
        </w:trPr>
        <w:tc>
          <w:tcPr>
            <w:tcW w:w="2007" w:type="pct"/>
            <w:vMerge w:val="restart"/>
            <w:tcBorders>
              <w:top w:val="single" w:sz="4" w:space="0" w:color="auto"/>
            </w:tcBorders>
          </w:tcPr>
          <w:p w:rsidR="00DF5B6A" w:rsidRPr="00F56CF7" w:rsidP="00413C7C" w14:paraId="67ADAE82" w14:textId="77777777">
            <w:pPr>
              <w:rPr>
                <w:rFonts w:cstheme="minorHAnsi"/>
              </w:rPr>
            </w:pPr>
            <w:r w:rsidRPr="00F56CF7">
              <w:rPr>
                <w:rFonts w:cstheme="minorHAnsi"/>
              </w:rPr>
              <w:t>ZZ. Ceramics Manufacturing</w:t>
            </w:r>
          </w:p>
        </w:tc>
        <w:tc>
          <w:tcPr>
            <w:tcW w:w="888" w:type="pct"/>
            <w:tcBorders>
              <w:top w:val="single" w:sz="4" w:space="0" w:color="auto"/>
              <w:bottom w:val="single" w:sz="4" w:space="0" w:color="auto"/>
              <w:right w:val="nil"/>
            </w:tcBorders>
          </w:tcPr>
          <w:p w:rsidR="00DF5B6A" w:rsidRPr="00F56CF7" w:rsidP="00413C7C" w14:paraId="0D0CAD2A" w14:textId="77777777">
            <w:pPr>
              <w:rPr>
                <w:rFonts w:cstheme="minorHAnsi"/>
              </w:rPr>
            </w:pPr>
            <w:r w:rsidRPr="00F56CF7">
              <w:rPr>
                <w:rFonts w:cstheme="minorHAnsi"/>
              </w:rPr>
              <w:t>327110</w:t>
            </w:r>
          </w:p>
        </w:tc>
        <w:tc>
          <w:tcPr>
            <w:tcW w:w="2105" w:type="pct"/>
            <w:tcBorders>
              <w:top w:val="single" w:sz="4" w:space="0" w:color="auto"/>
              <w:left w:val="nil"/>
              <w:bottom w:val="single" w:sz="4" w:space="0" w:color="auto"/>
            </w:tcBorders>
          </w:tcPr>
          <w:p w:rsidR="00DF5B6A" w:rsidRPr="00F56CF7" w:rsidP="00413C7C" w14:paraId="3A5BCD78" w14:textId="77777777">
            <w:pPr>
              <w:rPr>
                <w:rFonts w:cstheme="minorHAnsi"/>
              </w:rPr>
            </w:pPr>
            <w:r w:rsidRPr="00F56CF7">
              <w:rPr>
                <w:rFonts w:cstheme="minorHAnsi"/>
              </w:rPr>
              <w:t>Pottery, ceramics, and plumbing fixture manufacturing.</w:t>
            </w:r>
          </w:p>
        </w:tc>
      </w:tr>
      <w:tr w14:paraId="75DEEFDE" w14:textId="77777777" w:rsidTr="00413C7C">
        <w:tblPrEx>
          <w:tblW w:w="5000" w:type="pct"/>
          <w:tblInd w:w="110" w:type="dxa"/>
          <w:tblCellMar>
            <w:left w:w="110" w:type="dxa"/>
            <w:right w:w="110" w:type="dxa"/>
          </w:tblCellMar>
          <w:tblLook w:val="0000"/>
        </w:tblPrEx>
        <w:trPr>
          <w:cantSplit/>
        </w:trPr>
        <w:tc>
          <w:tcPr>
            <w:tcW w:w="2007" w:type="pct"/>
            <w:vMerge/>
            <w:tcBorders>
              <w:bottom w:val="double" w:sz="4" w:space="0" w:color="auto"/>
            </w:tcBorders>
          </w:tcPr>
          <w:p w:rsidR="00DF5B6A" w:rsidRPr="00F56CF7" w:rsidP="00413C7C" w14:paraId="13CC1077" w14:textId="77777777">
            <w:pPr>
              <w:rPr>
                <w:rFonts w:cstheme="minorHAnsi"/>
              </w:rPr>
            </w:pPr>
          </w:p>
        </w:tc>
        <w:tc>
          <w:tcPr>
            <w:tcW w:w="888" w:type="pct"/>
            <w:tcBorders>
              <w:top w:val="single" w:sz="4" w:space="0" w:color="auto"/>
              <w:bottom w:val="double" w:sz="4" w:space="0" w:color="auto"/>
              <w:right w:val="nil"/>
            </w:tcBorders>
          </w:tcPr>
          <w:p w:rsidR="00DF5B6A" w:rsidRPr="00F56CF7" w:rsidP="00413C7C" w14:paraId="16A0667F" w14:textId="77777777">
            <w:pPr>
              <w:rPr>
                <w:rFonts w:cstheme="minorHAnsi"/>
              </w:rPr>
            </w:pPr>
            <w:r w:rsidRPr="00F56CF7">
              <w:rPr>
                <w:rFonts w:cstheme="minorHAnsi"/>
              </w:rPr>
              <w:t>327120</w:t>
            </w:r>
          </w:p>
        </w:tc>
        <w:tc>
          <w:tcPr>
            <w:tcW w:w="2105" w:type="pct"/>
            <w:tcBorders>
              <w:top w:val="single" w:sz="4" w:space="0" w:color="auto"/>
              <w:left w:val="nil"/>
              <w:bottom w:val="double" w:sz="4" w:space="0" w:color="auto"/>
            </w:tcBorders>
          </w:tcPr>
          <w:p w:rsidR="00DF5B6A" w:rsidRPr="00F56CF7" w:rsidP="00413C7C" w14:paraId="2288D1A2" w14:textId="77777777">
            <w:pPr>
              <w:rPr>
                <w:rFonts w:cstheme="minorHAnsi"/>
              </w:rPr>
            </w:pPr>
            <w:r w:rsidRPr="00F56CF7">
              <w:rPr>
                <w:rFonts w:cstheme="minorHAnsi"/>
              </w:rPr>
              <w:t xml:space="preserve">Clay building material and </w:t>
            </w:r>
            <w:r w:rsidRPr="00F56CF7">
              <w:rPr>
                <w:rFonts w:cstheme="minorHAnsi"/>
              </w:rPr>
              <w:t>refractories</w:t>
            </w:r>
            <w:r w:rsidRPr="00F56CF7">
              <w:rPr>
                <w:rFonts w:cstheme="minorHAnsi"/>
              </w:rPr>
              <w:t xml:space="preserve"> manufacturing. </w:t>
            </w:r>
          </w:p>
        </w:tc>
      </w:tr>
    </w:tbl>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7"/>
    </w:p>
    <w:p w:rsidR="00A0039C" w:rsidP="00F56CF7" w14:paraId="464EBED4" w14:textId="77777777">
      <w:pPr>
        <w:keepNext/>
        <w:keepLines/>
        <w:spacing w:after="0" w:line="240" w:lineRule="auto"/>
        <w:ind w:firstLine="720"/>
        <w:rPr>
          <w:i/>
          <w:iCs/>
        </w:rPr>
      </w:pPr>
    </w:p>
    <w:p w:rsidR="000D7CFB" w:rsidP="00F56CF7" w14:paraId="2EE5A3C6" w14:textId="1BF5F899">
      <w:pPr>
        <w:keepNext/>
        <w:keepLines/>
        <w:spacing w:after="0" w:line="240" w:lineRule="auto"/>
        <w:ind w:firstLine="720"/>
        <w:rPr>
          <w:i/>
          <w:iCs/>
        </w:rPr>
      </w:pPr>
      <w:r w:rsidRPr="004647B0">
        <w:rPr>
          <w:i/>
          <w:iCs/>
        </w:rPr>
        <w:t>Data Items</w:t>
      </w:r>
    </w:p>
    <w:p w:rsidR="00F56CF7" w:rsidRPr="00F56CF7" w:rsidP="00F56CF7" w14:paraId="5789D005" w14:textId="77777777">
      <w:pPr>
        <w:keepNext/>
        <w:keepLines/>
        <w:spacing w:after="0" w:line="240" w:lineRule="auto"/>
        <w:ind w:firstLine="720"/>
        <w:rPr>
          <w:i/>
          <w:iCs/>
        </w:rPr>
      </w:pPr>
    </w:p>
    <w:p w:rsidR="00F56CF7" w:rsidRPr="005D0593" w:rsidP="00F56CF7" w14:paraId="09430FBF" w14:textId="5B402792">
      <w:pPr>
        <w:ind w:firstLine="720"/>
      </w:pPr>
      <w:r w:rsidRPr="002D66CB">
        <w:t xml:space="preserve">There are no data </w:t>
      </w:r>
      <w:r w:rsidRPr="002D66CB" w:rsidR="00AA05CD">
        <w:t xml:space="preserve">items </w:t>
      </w:r>
      <w:r w:rsidRPr="002D66CB">
        <w:t>under the proposed reconsideration</w:t>
      </w:r>
      <w:r w:rsidRPr="002D66CB" w:rsidR="000D7CFB">
        <w:t>.</w:t>
      </w:r>
      <w:r w:rsidRPr="002D66CB">
        <w:t xml:space="preserve"> This proposed revision </w:t>
      </w:r>
      <w:r w:rsidRPr="002D66CB">
        <w:t>to</w:t>
      </w:r>
      <w:r w:rsidRPr="002D66CB">
        <w:t xml:space="preserve"> the collection proposes to remove </w:t>
      </w:r>
      <w:r w:rsidR="004C034B">
        <w:t>or suspend</w:t>
      </w:r>
      <w:r w:rsidRPr="002D66CB" w:rsidR="00021859">
        <w:t xml:space="preserve"> </w:t>
      </w:r>
      <w:r w:rsidRPr="002D66CB">
        <w:t>existing data reporting requirements</w:t>
      </w:r>
      <w:r w:rsidRPr="002D66CB" w:rsidR="00021859">
        <w:t xml:space="preserve">. </w:t>
      </w:r>
      <w:r w:rsidRPr="002D66CB" w:rsidR="00722652">
        <w:t xml:space="preserve">The existing data </w:t>
      </w:r>
      <w:r w:rsidRPr="002D66CB" w:rsidR="00021859">
        <w:t>items</w:t>
      </w:r>
      <w:r w:rsidRPr="002D66CB" w:rsidR="00722652">
        <w:t xml:space="preserve"> </w:t>
      </w:r>
      <w:r w:rsidR="002D66CB">
        <w:t xml:space="preserve">and reporting requirements </w:t>
      </w:r>
      <w:r w:rsidRPr="002D66CB" w:rsidR="00722652">
        <w:t>to be removed are described in OMB 2060-0629, ICR No. 2300.20</w:t>
      </w:r>
      <w:r w:rsidR="00A4045B">
        <w:t>,</w:t>
      </w:r>
      <w:r w:rsidRPr="002D66CB" w:rsidR="00722652">
        <w:t xml:space="preserve"> OMB 2060-0748, ICR No. 2773.02</w:t>
      </w:r>
      <w:r w:rsidR="00A4045B">
        <w:t>, and OMB 2060-0751, ICR No. 2774.02</w:t>
      </w:r>
      <w:r w:rsidRPr="002D66CB" w:rsidR="00722652">
        <w:t>.</w:t>
      </w:r>
      <w:r w:rsidRPr="002D66CB" w:rsidR="00021859">
        <w:t xml:space="preserve"> </w:t>
      </w:r>
    </w:p>
    <w:p w:rsidR="000D7CFB" w:rsidRPr="005D0593" w:rsidP="00F56CF7" w14:paraId="12B4B241" w14:textId="720E38A3">
      <w:pPr>
        <w:keepNext/>
        <w:keepLines/>
        <w:ind w:left="720"/>
        <w:rPr>
          <w:i/>
          <w:iCs/>
        </w:rPr>
      </w:pPr>
      <w:r w:rsidRPr="005D0593">
        <w:rPr>
          <w:i/>
          <w:iCs/>
        </w:rPr>
        <w:t>Reporting and Recordkeeping Requirements</w:t>
      </w:r>
    </w:p>
    <w:p w:rsidR="00021859" w:rsidRPr="005D0593" w:rsidP="00021859" w14:paraId="373113C6" w14:textId="3E60030F">
      <w:pPr>
        <w:ind w:firstLine="720"/>
      </w:pPr>
      <w:r>
        <w:t>There are no recordkeeping and reporting requirements under the proposed reconsideration</w:t>
      </w:r>
      <w:r w:rsidRPr="005D0593">
        <w:t>.</w:t>
      </w:r>
      <w:r>
        <w:t xml:space="preserve"> This proposed revision to the collection </w:t>
      </w:r>
      <w:r w:rsidRPr="001A75E7">
        <w:t>propos</w:t>
      </w:r>
      <w:r>
        <w:t>es</w:t>
      </w:r>
      <w:r w:rsidRPr="001A75E7">
        <w:t xml:space="preserve"> to remove </w:t>
      </w:r>
      <w:r w:rsidR="004C034B">
        <w:t xml:space="preserve">or suspend </w:t>
      </w:r>
      <w:r w:rsidRPr="001A75E7">
        <w:t xml:space="preserve">existing </w:t>
      </w:r>
      <w:r>
        <w:t xml:space="preserve">recordkeeping and </w:t>
      </w:r>
      <w:r w:rsidRPr="001A75E7">
        <w:t>reporting requirements</w:t>
      </w:r>
      <w:r>
        <w:t xml:space="preserve">. </w:t>
      </w:r>
      <w:r w:rsidRPr="002D66CB">
        <w:t>The existing recordkeeping and reporting requirements to be removed are described in OMB 2060-0629, ICR No. 2300.20</w:t>
      </w:r>
      <w:r w:rsidR="00A4045B">
        <w:t>,</w:t>
      </w:r>
      <w:r w:rsidRPr="002D66CB">
        <w:t xml:space="preserve"> OMB 2060-0748, ICR No. 2773.02</w:t>
      </w:r>
      <w:r w:rsidR="00A4045B">
        <w:t>, and OMB 2060-0751, ICR No. 2774.02</w:t>
      </w:r>
      <w:r w:rsidRPr="002D66CB">
        <w:t>.</w:t>
      </w:r>
    </w:p>
    <w:p w:rsidR="001172FE"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0238A7" w:rsidP="000238A7" w14:paraId="1726DB5B" w14:textId="77777777">
      <w:pPr>
        <w:spacing w:after="0" w:line="240" w:lineRule="auto"/>
        <w:ind w:firstLine="720"/>
      </w:pPr>
    </w:p>
    <w:p w:rsidR="000D7CFB" w:rsidP="002D66CB" w14:paraId="39AD2BAC" w14:textId="67B58B39">
      <w:pPr>
        <w:ind w:firstLine="720"/>
      </w:pPr>
      <w:r>
        <w:t xml:space="preserve">There </w:t>
      </w:r>
      <w:r>
        <w:t>are</w:t>
      </w:r>
      <w:r>
        <w:t xml:space="preserve"> no r</w:t>
      </w:r>
      <w:r w:rsidRPr="005D0593">
        <w:t xml:space="preserve">espondent activities associated with </w:t>
      </w:r>
      <w:r>
        <w:t xml:space="preserve">the proposed revisions to this information collection. This proposed revision to the collection </w:t>
      </w:r>
      <w:r w:rsidRPr="001A75E7">
        <w:t>propos</w:t>
      </w:r>
      <w:r>
        <w:t>es</w:t>
      </w:r>
      <w:r w:rsidRPr="001A75E7">
        <w:t xml:space="preserve"> to remove </w:t>
      </w:r>
      <w:r w:rsidR="0074415E">
        <w:t>or suspend</w:t>
      </w:r>
      <w:r w:rsidRPr="001A75E7">
        <w:t xml:space="preserve"> existing </w:t>
      </w:r>
      <w:r>
        <w:t xml:space="preserve">data </w:t>
      </w:r>
      <w:r w:rsidRPr="001A75E7">
        <w:t>reporting requirements</w:t>
      </w:r>
      <w:r>
        <w:t xml:space="preserve"> and any required respondent activities.</w:t>
      </w:r>
      <w:r w:rsidR="001513D5">
        <w:t xml:space="preserve"> </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4647B0" w:rsidRPr="005D0593" w:rsidP="004D40E6" w14:paraId="3E7089BC" w14:textId="74792D28">
      <w:pPr>
        <w:spacing w:before="120"/>
        <w:ind w:firstLine="720"/>
      </w:pPr>
      <w:r w:rsidRPr="005D0593">
        <w:t xml:space="preserve">This section presents the EPA’s estimates of the burden and costs to respondents associated with the activities described in section </w:t>
      </w:r>
      <w:r w:rsidR="00700070">
        <w:t>12b</w:t>
      </w:r>
      <w:r w:rsidRPr="005D0593">
        <w:t xml:space="preserve">. The EPA estimates that, over the three years covered by this request, the average total respondent burden associated with this reporting will be </w:t>
      </w:r>
      <w:r w:rsidRPr="002D66CB" w:rsidR="00AA05CD">
        <w:t>0</w:t>
      </w:r>
      <w:r w:rsidRPr="005D0593">
        <w:t xml:space="preserve"> hours per year and the cost of all respondents of the information collection will </w:t>
      </w:r>
      <w:r w:rsidR="00AA05CD">
        <w:t>be an</w:t>
      </w:r>
      <w:r w:rsidRPr="005D0593">
        <w:t xml:space="preserve"> average of $</w:t>
      </w:r>
      <w:r w:rsidRPr="002D66CB" w:rsidR="00AA05CD">
        <w:t>0</w:t>
      </w:r>
      <w:r w:rsidRPr="005D0593">
        <w:t xml:space="preserve"> per year, which includes $</w:t>
      </w:r>
      <w:r w:rsidRPr="002D66CB" w:rsidR="00AA05CD">
        <w:t>0</w:t>
      </w:r>
      <w:r w:rsidRPr="005D0593">
        <w:t xml:space="preserve"> in non-labor costs per year.</w:t>
      </w:r>
      <w:r w:rsidR="0003511E">
        <w:t xml:space="preserve"> </w:t>
      </w:r>
      <w:r w:rsidR="00F17DD0">
        <w:t xml:space="preserve">The estimated </w:t>
      </w:r>
      <w:r w:rsidRPr="006B523B" w:rsidR="00F17DD0">
        <w:t xml:space="preserve">total </w:t>
      </w:r>
      <w:r w:rsidRPr="006B523B" w:rsidR="0010746F">
        <w:t xml:space="preserve">respondent </w:t>
      </w:r>
      <w:r w:rsidRPr="006B523B" w:rsidR="00F17DD0">
        <w:t xml:space="preserve">burden </w:t>
      </w:r>
      <w:r w:rsidRPr="006B523B" w:rsidR="0010746F">
        <w:t xml:space="preserve">will be reduced by </w:t>
      </w:r>
      <w:r w:rsidRPr="006B523B" w:rsidR="00154EFF">
        <w:t>2,</w:t>
      </w:r>
      <w:r w:rsidR="00D92EC3">
        <w:t>600,000</w:t>
      </w:r>
      <w:r w:rsidRPr="006B523B" w:rsidR="00614514">
        <w:t xml:space="preserve"> hours and </w:t>
      </w:r>
      <w:r w:rsidRPr="006B523B" w:rsidR="00885696">
        <w:t>$</w:t>
      </w:r>
      <w:r w:rsidR="00D92EC3">
        <w:t>303,000,000</w:t>
      </w:r>
      <w:r w:rsidR="00885696">
        <w:t xml:space="preserve"> </w:t>
      </w:r>
      <w:r w:rsidR="003C0DAD">
        <w:t xml:space="preserve">per year. </w:t>
      </w:r>
    </w:p>
    <w:p w:rsidR="004647B0" w:rsidRPr="005D0593" w:rsidP="004647B0" w14:paraId="7E60D686" w14:textId="67C64CA4">
      <w:pPr>
        <w:ind w:firstLine="720"/>
      </w:pPr>
      <w:r w:rsidRPr="005D0593">
        <w:t xml:space="preserve">Section </w:t>
      </w:r>
      <w:r>
        <w:t>12d</w:t>
      </w:r>
      <w:r w:rsidRPr="005D0593">
        <w:t>(</w:t>
      </w:r>
      <w:r>
        <w:t>i</w:t>
      </w:r>
      <w:r w:rsidRPr="005D0593">
        <w:t xml:space="preserve">) of this ICR provides estimates of burden (hours) for all respondent types. Section </w:t>
      </w:r>
      <w:r>
        <w:t>12</w:t>
      </w:r>
      <w:r w:rsidR="00A945E1">
        <w:t>d</w:t>
      </w:r>
      <w:r w:rsidRPr="005D0593">
        <w:t>(</w:t>
      </w:r>
      <w:r>
        <w:t>ii</w:t>
      </w:r>
      <w:r w:rsidRPr="005D0593">
        <w:t xml:space="preserve">) contains estimates of respondent costs for the information collection. Section </w:t>
      </w:r>
      <w:r w:rsidR="00F90DC9">
        <w:t>14</w:t>
      </w:r>
      <w:r w:rsidRPr="005D0593">
        <w:t xml:space="preserve"> summarizes federal burden and costs. Section </w:t>
      </w:r>
      <w:r w:rsidR="00A945E1">
        <w:t>12d</w:t>
      </w:r>
      <w:r w:rsidRPr="005D0593">
        <w:t>(</w:t>
      </w:r>
      <w:r w:rsidR="00A945E1">
        <w:t>i</w:t>
      </w:r>
      <w:r w:rsidR="004742B2">
        <w:t>ii</w:t>
      </w:r>
      <w:r w:rsidRPr="005D0593">
        <w:t xml:space="preserve">) describes the respondent universe and the total burden and cost of this collection to respondents. Section </w:t>
      </w:r>
      <w:r w:rsidR="00A945E1">
        <w:t>12d</w:t>
      </w:r>
      <w:r w:rsidRPr="005D0593">
        <w:t>(</w:t>
      </w:r>
      <w:r w:rsidR="004742B2">
        <w:t>i</w:t>
      </w:r>
      <w:r w:rsidR="00A945E1">
        <w:t>v</w:t>
      </w:r>
      <w:r w:rsidRPr="005D0593">
        <w:t xml:space="preserve">) presents the bottom-line burden and cost. Section </w:t>
      </w:r>
      <w:r w:rsidR="00B15D11">
        <w:t>15</w:t>
      </w:r>
      <w:r w:rsidRPr="005D0593">
        <w:t xml:space="preserve"> provides reasons for any change in burden. </w:t>
      </w:r>
      <w:bookmarkStart w:id="20" w:name="_Toc336985092"/>
    </w:p>
    <w:p w:rsidR="004647B0" w:rsidRPr="005D0593" w:rsidP="004647B0" w14:paraId="6412BBBA" w14:textId="04F8AE44">
      <w:pPr>
        <w:pStyle w:val="Heading2"/>
        <w:spacing w:before="200" w:line="360" w:lineRule="auto"/>
      </w:pPr>
      <w:r w:rsidRPr="00A945E1">
        <w:rPr>
          <w:rFonts w:asciiTheme="minorHAnsi" w:eastAsiaTheme="minorEastAsia" w:hAnsiTheme="minorHAnsi" w:cstheme="minorHAnsi"/>
          <w:color w:val="auto"/>
          <w:sz w:val="22"/>
          <w:szCs w:val="22"/>
        </w:rPr>
        <w:t>12d(</w:t>
      </w:r>
      <w:r w:rsidRPr="00A945E1">
        <w:rPr>
          <w:rFonts w:asciiTheme="minorHAnsi" w:eastAsiaTheme="minorEastAsia" w:hAnsiTheme="minorHAnsi" w:cstheme="minorHAnsi"/>
          <w:color w:val="auto"/>
          <w:sz w:val="22"/>
          <w:szCs w:val="22"/>
        </w:rPr>
        <w:t>i</w:t>
      </w:r>
      <w:r w:rsidRPr="00A945E1">
        <w:rPr>
          <w:rFonts w:asciiTheme="minorHAnsi" w:eastAsiaTheme="minorEastAsia" w:hAnsiTheme="minorHAnsi" w:cstheme="minorHAnsi"/>
          <w:color w:val="auto"/>
          <w:sz w:val="22"/>
          <w:szCs w:val="22"/>
        </w:rPr>
        <w:t>) Estimating Respondent Burden</w:t>
      </w:r>
      <w:bookmarkEnd w:id="20"/>
    </w:p>
    <w:p w:rsidR="004647B0" w:rsidRPr="005D0593" w:rsidP="00A0039C" w14:paraId="73F2E9D8" w14:textId="77B3DE26">
      <w:pPr>
        <w:ind w:firstLine="720"/>
      </w:pPr>
      <w:bookmarkStart w:id="21" w:name="_Toc336985093"/>
      <w:r w:rsidRPr="005D0593">
        <w:t xml:space="preserve">Respondent burden estimates are presented in Exhibit </w:t>
      </w:r>
      <w:r w:rsidR="00A0039C">
        <w:t>12</w:t>
      </w:r>
      <w:r w:rsidRPr="005D0593">
        <w:t xml:space="preserve">.1. The EPA estimates that the total annual burden to all affected entities will </w:t>
      </w:r>
      <w:r w:rsidR="004C6634">
        <w:t>de</w:t>
      </w:r>
      <w:r w:rsidRPr="005D0593" w:rsidR="004C6634">
        <w:t xml:space="preserve">crease </w:t>
      </w:r>
      <w:r w:rsidRPr="005D0593">
        <w:t xml:space="preserve">by </w:t>
      </w:r>
      <w:r w:rsidR="006B523B">
        <w:t>2,</w:t>
      </w:r>
      <w:r w:rsidR="00C21D1A">
        <w:t>600</w:t>
      </w:r>
      <w:r w:rsidR="006B523B">
        <w:t>,</w:t>
      </w:r>
      <w:r w:rsidR="00C21D1A">
        <w:t>000</w:t>
      </w:r>
      <w:r w:rsidRPr="005D0593">
        <w:t xml:space="preserve"> hours per year, on average, over the three years covered by this information collection. </w:t>
      </w:r>
    </w:p>
    <w:p w:rsidR="004647B0" w:rsidRPr="005D0593" w:rsidP="00A0039C" w14:paraId="6A4012AA" w14:textId="132206A6">
      <w:pPr>
        <w:ind w:firstLine="720"/>
      </w:pPr>
      <w:r w:rsidRPr="005D0593">
        <w:t xml:space="preserve">Exhibit </w:t>
      </w:r>
      <w:r w:rsidR="00A0039C">
        <w:t>12</w:t>
      </w:r>
      <w:r w:rsidRPr="005D0593">
        <w:t>.1</w:t>
      </w:r>
      <w:r w:rsidR="001A6754">
        <w:t>a</w:t>
      </w:r>
      <w:r w:rsidRPr="005D0593">
        <w:t xml:space="preserve"> of this document presents the aggregate and average annual respondent burden. </w:t>
      </w:r>
      <w:r w:rsidR="00ED71B6">
        <w:t>Exhibit 12.1b o</w:t>
      </w:r>
      <w:r w:rsidR="006A45FE">
        <w:t>f</w:t>
      </w:r>
      <w:r w:rsidR="00ED71B6">
        <w:t xml:space="preserve"> this document </w:t>
      </w:r>
      <w:r w:rsidR="006A45FE">
        <w:t xml:space="preserve">presents the </w:t>
      </w:r>
      <w:r w:rsidR="00185DD0">
        <w:t xml:space="preserve">reduced burden </w:t>
      </w:r>
      <w:r w:rsidR="00EA7F5D">
        <w:t>in</w:t>
      </w:r>
      <w:r w:rsidR="00EA7F5D">
        <w:t xml:space="preserve"> hours, labor costs, </w:t>
      </w:r>
      <w:r w:rsidR="00C110B5">
        <w:t>operation</w:t>
      </w:r>
      <w:r w:rsidR="00C43BBD">
        <w:t>s</w:t>
      </w:r>
      <w:r w:rsidR="00C110B5">
        <w:t xml:space="preserve"> and maintenance (</w:t>
      </w:r>
      <w:r w:rsidR="00EA7F5D">
        <w:t>O&amp;M</w:t>
      </w:r>
      <w:r w:rsidR="00C110B5">
        <w:t>)</w:t>
      </w:r>
      <w:r w:rsidR="00EA7F5D">
        <w:t xml:space="preserve"> costs</w:t>
      </w:r>
      <w:r w:rsidR="008C0136">
        <w:t>, and total costs</w:t>
      </w:r>
      <w:r w:rsidR="00CA2299">
        <w:t xml:space="preserve">, based on the reduced </w:t>
      </w:r>
      <w:r w:rsidR="00665123">
        <w:t xml:space="preserve">(negative) </w:t>
      </w:r>
      <w:r w:rsidR="00CA2299">
        <w:t>number of respondents</w:t>
      </w:r>
      <w:r w:rsidR="008C0136">
        <w:t xml:space="preserve">. </w:t>
      </w:r>
      <w:r w:rsidR="003535D2">
        <w:t xml:space="preserve">All </w:t>
      </w:r>
      <w:r w:rsidR="00665123">
        <w:t xml:space="preserve">other </w:t>
      </w:r>
      <w:r w:rsidR="003535D2">
        <w:t xml:space="preserve">numbers in Table 12.1b are </w:t>
      </w:r>
      <w:r w:rsidR="00665123">
        <w:t xml:space="preserve">also </w:t>
      </w:r>
      <w:r w:rsidR="003535D2">
        <w:t>negative to represent the reduced burden</w:t>
      </w:r>
      <w:r w:rsidR="00665123">
        <w:t xml:space="preserve">. </w:t>
      </w:r>
      <w:r w:rsidRPr="00374438">
        <w:t xml:space="preserve">For the annual burden </w:t>
      </w:r>
      <w:r w:rsidRPr="00374438" w:rsidR="002148F7">
        <w:t>reduction</w:t>
      </w:r>
      <w:r w:rsidRPr="00374438">
        <w:t xml:space="preserve"> by source category, see</w:t>
      </w:r>
      <w:r w:rsidRPr="00F7740C">
        <w:t xml:space="preserve"> </w:t>
      </w:r>
      <w:r w:rsidR="002148F7">
        <w:t>Ex</w:t>
      </w:r>
      <w:r w:rsidR="00374438">
        <w:t>h</w:t>
      </w:r>
      <w:r w:rsidR="002148F7">
        <w:t>ibi</w:t>
      </w:r>
      <w:r w:rsidR="007A6E6E">
        <w:t xml:space="preserve">t </w:t>
      </w:r>
      <w:r w:rsidR="00374438">
        <w:t>12.2</w:t>
      </w:r>
      <w:r w:rsidRPr="005D0593">
        <w:t xml:space="preserve">. Note that the total cost numbers in Exhibit </w:t>
      </w:r>
      <w:r w:rsidR="00A0039C">
        <w:t>12</w:t>
      </w:r>
      <w:r w:rsidRPr="005D0593">
        <w:t>.1</w:t>
      </w:r>
      <w:r w:rsidR="001F07C4">
        <w:t>b</w:t>
      </w:r>
      <w:r w:rsidRPr="005D0593">
        <w:t xml:space="preserve"> </w:t>
      </w:r>
      <w:r w:rsidR="00686E62">
        <w:t>are rounded to three significant figures</w:t>
      </w:r>
      <w:r w:rsidR="00DA08EB">
        <w:t xml:space="preserve"> and are the same for </w:t>
      </w:r>
      <w:r w:rsidR="001B7234">
        <w:t xml:space="preserve">each of </w:t>
      </w:r>
      <w:r w:rsidR="00DA08EB">
        <w:t xml:space="preserve">the </w:t>
      </w:r>
      <w:r w:rsidR="001B7234">
        <w:t>three years after the rule is final</w:t>
      </w:r>
      <w:r w:rsidRPr="005D0593">
        <w:t xml:space="preserve">. </w:t>
      </w:r>
    </w:p>
    <w:p w:rsidR="004647B0" w:rsidRPr="005D0593" w:rsidP="004647B0" w14:paraId="3718F4C0" w14:textId="03943C75">
      <w:pPr>
        <w:keepNext/>
      </w:pPr>
      <w:r w:rsidRPr="005D0593">
        <w:rPr>
          <w:b/>
        </w:rPr>
        <w:t xml:space="preserve">Exhibit </w:t>
      </w:r>
      <w:r w:rsidR="00A0039C">
        <w:rPr>
          <w:b/>
        </w:rPr>
        <w:t>12</w:t>
      </w:r>
      <w:r w:rsidRPr="005D0593">
        <w:rPr>
          <w:b/>
        </w:rPr>
        <w:t>.1</w:t>
      </w:r>
      <w:r w:rsidR="00352260">
        <w:rPr>
          <w:b/>
        </w:rPr>
        <w:t>a</w:t>
      </w:r>
      <w:r w:rsidRPr="005D0593">
        <w:rPr>
          <w:b/>
        </w:rPr>
        <w:t>. Summary of Annual Respondent Burden and Cost of Final Revisions for the Greenhouse Gas Reporting Rule</w:t>
      </w:r>
    </w:p>
    <w:tbl>
      <w:tblPr>
        <w:tblW w:w="9360" w:type="dxa"/>
        <w:tblLook w:val="04A0"/>
      </w:tblPr>
      <w:tblGrid>
        <w:gridCol w:w="1097"/>
        <w:gridCol w:w="1264"/>
        <w:gridCol w:w="1320"/>
        <w:gridCol w:w="1893"/>
        <w:gridCol w:w="1893"/>
        <w:gridCol w:w="1893"/>
      </w:tblGrid>
      <w:tr w14:paraId="61194F37" w14:textId="77777777" w:rsidTr="00413C7C">
        <w:tblPrEx>
          <w:tblW w:w="9360" w:type="dxa"/>
          <w:tblLook w:val="04A0"/>
        </w:tblPrEx>
        <w:trPr>
          <w:trHeight w:val="300"/>
          <w:tblHeader/>
        </w:trPr>
        <w:tc>
          <w:tcPr>
            <w:tcW w:w="9360" w:type="dxa"/>
            <w:gridSpan w:val="6"/>
            <w:tcBorders>
              <w:top w:val="nil"/>
              <w:left w:val="nil"/>
              <w:bottom w:val="single" w:sz="12" w:space="0" w:color="auto"/>
              <w:right w:val="nil"/>
            </w:tcBorders>
            <w:vAlign w:val="bottom"/>
            <w:hideMark/>
          </w:tcPr>
          <w:p w:rsidR="004647B0" w:rsidRPr="005D0593" w:rsidP="00413C7C" w14:paraId="5372404B" w14:textId="77777777">
            <w:pPr>
              <w:keepNext/>
              <w:jc w:val="center"/>
              <w:rPr>
                <w:rFonts w:ascii="Arial" w:hAnsi="Arial" w:cs="Arial"/>
                <w:b/>
                <w:bCs/>
              </w:rPr>
            </w:pPr>
          </w:p>
        </w:tc>
      </w:tr>
      <w:tr w14:paraId="5C08E987" w14:textId="77777777" w:rsidTr="00413C7C">
        <w:tblPrEx>
          <w:tblW w:w="9360" w:type="dxa"/>
          <w:tblLook w:val="04A0"/>
        </w:tblPrEx>
        <w:trPr>
          <w:trHeight w:val="530"/>
          <w:tblHeader/>
        </w:trPr>
        <w:tc>
          <w:tcPr>
            <w:tcW w:w="1097" w:type="dxa"/>
            <w:tcBorders>
              <w:top w:val="single" w:sz="12" w:space="0" w:color="auto"/>
              <w:left w:val="single" w:sz="12" w:space="0" w:color="auto"/>
              <w:bottom w:val="double" w:sz="6" w:space="0" w:color="auto"/>
              <w:right w:val="single" w:sz="4" w:space="0" w:color="auto"/>
            </w:tcBorders>
            <w:shd w:val="clear" w:color="auto" w:fill="F2F2F2" w:themeFill="background1" w:themeFillShade="F2"/>
            <w:noWrap/>
            <w:vAlign w:val="center"/>
            <w:hideMark/>
          </w:tcPr>
          <w:p w:rsidR="004647B0" w:rsidRPr="005D0593" w:rsidP="00413C7C" w14:paraId="2300E63F" w14:textId="77777777">
            <w:pPr>
              <w:keepNext/>
              <w:jc w:val="center"/>
              <w:rPr>
                <w:rFonts w:ascii="Arial" w:hAnsi="Arial" w:cs="Arial"/>
                <w:b/>
                <w:sz w:val="16"/>
                <w:szCs w:val="16"/>
              </w:rPr>
            </w:pPr>
            <w:r w:rsidRPr="005D0593">
              <w:rPr>
                <w:rFonts w:ascii="Arial" w:hAnsi="Arial" w:cs="Arial"/>
                <w:b/>
                <w:bCs/>
                <w:sz w:val="16"/>
                <w:szCs w:val="16"/>
              </w:rPr>
              <w:t>Year</w:t>
            </w:r>
          </w:p>
        </w:tc>
        <w:tc>
          <w:tcPr>
            <w:tcW w:w="1264"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413C7C" w14:paraId="748DBCA0" w14:textId="77777777">
            <w:pPr>
              <w:keepNext/>
              <w:jc w:val="center"/>
              <w:rPr>
                <w:rFonts w:ascii="Arial" w:hAnsi="Arial" w:cs="Arial"/>
                <w:b/>
                <w:sz w:val="16"/>
                <w:szCs w:val="16"/>
              </w:rPr>
            </w:pPr>
            <w:r w:rsidRPr="005D0593">
              <w:rPr>
                <w:rFonts w:ascii="Arial" w:hAnsi="Arial" w:cs="Arial"/>
                <w:b/>
                <w:bCs/>
                <w:sz w:val="16"/>
                <w:szCs w:val="16"/>
              </w:rPr>
              <w:t>Number of Respondents</w:t>
            </w:r>
          </w:p>
        </w:tc>
        <w:tc>
          <w:tcPr>
            <w:tcW w:w="1320"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413C7C" w14:paraId="7C8A39BC" w14:textId="77777777">
            <w:pPr>
              <w:keepNext/>
              <w:jc w:val="center"/>
              <w:rPr>
                <w:rFonts w:ascii="Arial" w:hAnsi="Arial" w:cs="Arial"/>
                <w:b/>
                <w:sz w:val="16"/>
                <w:szCs w:val="16"/>
              </w:rPr>
            </w:pPr>
            <w:r w:rsidRPr="005D0593">
              <w:rPr>
                <w:rFonts w:ascii="Arial" w:hAnsi="Arial" w:cs="Arial"/>
                <w:b/>
                <w:bCs/>
                <w:sz w:val="16"/>
                <w:szCs w:val="16"/>
              </w:rPr>
              <w:t>Total Labor Hours</w:t>
            </w:r>
          </w:p>
        </w:tc>
        <w:tc>
          <w:tcPr>
            <w:tcW w:w="1893"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413C7C" w14:paraId="5DD5EBFD" w14:textId="77777777">
            <w:pPr>
              <w:keepNext/>
              <w:jc w:val="center"/>
              <w:rPr>
                <w:rFonts w:ascii="Arial" w:hAnsi="Arial" w:cs="Arial"/>
                <w:b/>
                <w:sz w:val="16"/>
                <w:szCs w:val="16"/>
              </w:rPr>
            </w:pPr>
            <w:r w:rsidRPr="005D0593">
              <w:rPr>
                <w:rFonts w:ascii="Arial" w:hAnsi="Arial" w:cs="Arial"/>
                <w:b/>
                <w:bCs/>
                <w:sz w:val="16"/>
                <w:szCs w:val="16"/>
              </w:rPr>
              <w:t>Labor Costs</w:t>
            </w:r>
          </w:p>
        </w:tc>
        <w:tc>
          <w:tcPr>
            <w:tcW w:w="1893"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4647B0" w:rsidRPr="005D0593" w:rsidP="00413C7C" w14:paraId="72CB2B23" w14:textId="77777777">
            <w:pPr>
              <w:keepNext/>
              <w:jc w:val="center"/>
              <w:rPr>
                <w:rFonts w:ascii="Arial" w:hAnsi="Arial" w:cs="Arial"/>
                <w:b/>
                <w:sz w:val="16"/>
                <w:szCs w:val="16"/>
              </w:rPr>
            </w:pPr>
            <w:r w:rsidRPr="005D0593">
              <w:rPr>
                <w:rFonts w:ascii="Arial" w:hAnsi="Arial" w:cs="Arial"/>
                <w:b/>
                <w:bCs/>
                <w:sz w:val="16"/>
                <w:szCs w:val="16"/>
              </w:rPr>
              <w:t>Non-Labor Costs (Annualized Capital/Startup and O&amp;M)</w:t>
            </w:r>
          </w:p>
        </w:tc>
        <w:tc>
          <w:tcPr>
            <w:tcW w:w="1893" w:type="dxa"/>
            <w:tcBorders>
              <w:top w:val="single" w:sz="12" w:space="0" w:color="auto"/>
              <w:left w:val="nil"/>
              <w:bottom w:val="double" w:sz="6" w:space="0" w:color="auto"/>
              <w:right w:val="single" w:sz="12" w:space="0" w:color="auto"/>
            </w:tcBorders>
            <w:shd w:val="clear" w:color="auto" w:fill="F2F2F2" w:themeFill="background1" w:themeFillShade="F2"/>
            <w:vAlign w:val="center"/>
            <w:hideMark/>
          </w:tcPr>
          <w:p w:rsidR="004647B0" w:rsidRPr="005D0593" w:rsidP="00413C7C" w14:paraId="7742E2EF" w14:textId="77777777">
            <w:pPr>
              <w:keepNext/>
              <w:jc w:val="center"/>
              <w:rPr>
                <w:rFonts w:ascii="Arial" w:hAnsi="Arial" w:cs="Arial"/>
                <w:b/>
                <w:sz w:val="16"/>
                <w:szCs w:val="16"/>
              </w:rPr>
            </w:pPr>
            <w:r w:rsidRPr="005D0593">
              <w:rPr>
                <w:rFonts w:ascii="Arial" w:hAnsi="Arial" w:cs="Arial"/>
                <w:b/>
                <w:bCs/>
                <w:sz w:val="16"/>
                <w:szCs w:val="16"/>
              </w:rPr>
              <w:t>Total Costs</w:t>
            </w:r>
          </w:p>
        </w:tc>
      </w:tr>
      <w:tr w14:paraId="678DDBAC" w14:textId="77777777" w:rsidTr="00413C7C">
        <w:tblPrEx>
          <w:tblW w:w="9360" w:type="dxa"/>
          <w:tblLook w:val="04A0"/>
        </w:tblPrEx>
        <w:trPr>
          <w:trHeight w:val="30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681428" w:rsidRPr="005D0593" w:rsidP="00681428" w14:paraId="5CF3BFE0" w14:textId="77777777">
            <w:pPr>
              <w:keepNext/>
              <w:rPr>
                <w:rFonts w:ascii="Arial" w:hAnsi="Arial" w:cs="Arial"/>
                <w:sz w:val="16"/>
                <w:szCs w:val="16"/>
              </w:rPr>
            </w:pPr>
            <w:r w:rsidRPr="005D0593">
              <w:rPr>
                <w:rFonts w:ascii="Arial" w:hAnsi="Arial" w:cs="Arial"/>
                <w:sz w:val="16"/>
                <w:szCs w:val="16"/>
              </w:rPr>
              <w:t xml:space="preserve">1 </w:t>
            </w:r>
          </w:p>
        </w:tc>
        <w:tc>
          <w:tcPr>
            <w:tcW w:w="1264" w:type="dxa"/>
            <w:tcBorders>
              <w:top w:val="nil"/>
              <w:left w:val="nil"/>
              <w:bottom w:val="single" w:sz="4" w:space="0" w:color="auto"/>
              <w:right w:val="single" w:sz="4" w:space="0" w:color="auto"/>
            </w:tcBorders>
            <w:noWrap/>
            <w:vAlign w:val="bottom"/>
          </w:tcPr>
          <w:p w:rsidR="00681428" w:rsidRPr="005D0593" w:rsidP="00681428" w14:paraId="0E14DA6E" w14:textId="7BA7F286">
            <w:pPr>
              <w:keepNext/>
              <w:jc w:val="center"/>
              <w:rPr>
                <w:rFonts w:ascii="Arial" w:hAnsi="Arial" w:cs="Arial"/>
                <w:sz w:val="16"/>
                <w:szCs w:val="16"/>
              </w:rPr>
            </w:pPr>
            <w:r>
              <w:rPr>
                <w:rFonts w:ascii="Arial" w:hAnsi="Arial" w:cs="Arial"/>
                <w:sz w:val="16"/>
                <w:szCs w:val="16"/>
              </w:rPr>
              <w:t>0</w:t>
            </w:r>
          </w:p>
        </w:tc>
        <w:tc>
          <w:tcPr>
            <w:tcW w:w="1320" w:type="dxa"/>
            <w:tcBorders>
              <w:top w:val="nil"/>
              <w:left w:val="nil"/>
              <w:bottom w:val="single" w:sz="4" w:space="0" w:color="auto"/>
              <w:right w:val="single" w:sz="4" w:space="0" w:color="auto"/>
            </w:tcBorders>
            <w:shd w:val="clear" w:color="000000" w:fill="FFFFFF"/>
            <w:noWrap/>
            <w:vAlign w:val="bottom"/>
          </w:tcPr>
          <w:p w:rsidR="00681428" w:rsidRPr="005D0593" w:rsidP="00681428" w14:paraId="510C7092" w14:textId="75100579">
            <w:pPr>
              <w:keepNext/>
              <w:jc w:val="center"/>
              <w:rPr>
                <w:rFonts w:ascii="Arial" w:hAnsi="Arial" w:cs="Arial"/>
                <w:sz w:val="16"/>
                <w:szCs w:val="16"/>
              </w:rPr>
            </w:pPr>
            <w:r>
              <w:rPr>
                <w:rFonts w:ascii="Arial" w:hAnsi="Arial" w:cs="Arial"/>
                <w:sz w:val="16"/>
                <w:szCs w:val="16"/>
              </w:rPr>
              <w:t>0</w:t>
            </w:r>
          </w:p>
        </w:tc>
        <w:tc>
          <w:tcPr>
            <w:tcW w:w="1893" w:type="dxa"/>
            <w:tcBorders>
              <w:top w:val="nil"/>
              <w:left w:val="nil"/>
              <w:bottom w:val="single" w:sz="4" w:space="0" w:color="auto"/>
              <w:right w:val="single" w:sz="4" w:space="0" w:color="auto"/>
            </w:tcBorders>
            <w:shd w:val="clear" w:color="000000" w:fill="FFFFFF"/>
            <w:noWrap/>
            <w:vAlign w:val="bottom"/>
          </w:tcPr>
          <w:p w:rsidR="00681428" w:rsidRPr="005D0593" w:rsidP="00681428" w14:paraId="65477D3C" w14:textId="5B68A19F">
            <w:pPr>
              <w:keepNext/>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4" w:space="0" w:color="auto"/>
              <w:right w:val="single" w:sz="4" w:space="0" w:color="auto"/>
            </w:tcBorders>
            <w:shd w:val="clear" w:color="000000" w:fill="FFFFFF"/>
            <w:noWrap/>
            <w:vAlign w:val="bottom"/>
          </w:tcPr>
          <w:p w:rsidR="00681428" w:rsidRPr="005D0593" w:rsidP="00681428" w14:paraId="029C4BBB" w14:textId="580D2CC3">
            <w:pPr>
              <w:keepNext/>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4" w:space="0" w:color="auto"/>
              <w:right w:val="single" w:sz="12" w:space="0" w:color="auto"/>
            </w:tcBorders>
            <w:shd w:val="clear" w:color="000000" w:fill="FFFFFF"/>
            <w:noWrap/>
            <w:vAlign w:val="bottom"/>
          </w:tcPr>
          <w:p w:rsidR="00681428" w:rsidRPr="005D0593" w:rsidP="00681428" w14:paraId="4111EBBF" w14:textId="0C7B27DC">
            <w:pPr>
              <w:keepNext/>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r>
      <w:tr w14:paraId="1C0331EB" w14:textId="77777777" w:rsidTr="00413C7C">
        <w:tblPrEx>
          <w:tblW w:w="9360" w:type="dxa"/>
          <w:tblLook w:val="04A0"/>
        </w:tblPrEx>
        <w:trPr>
          <w:trHeight w:val="29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681428" w:rsidRPr="005D0593" w:rsidP="00681428" w14:paraId="48314BCC" w14:textId="77777777">
            <w:pPr>
              <w:rPr>
                <w:rFonts w:ascii="Arial" w:hAnsi="Arial" w:cs="Arial"/>
                <w:sz w:val="16"/>
                <w:szCs w:val="16"/>
              </w:rPr>
            </w:pPr>
            <w:r w:rsidRPr="005D0593">
              <w:rPr>
                <w:rFonts w:ascii="Arial" w:hAnsi="Arial" w:cs="Arial"/>
                <w:sz w:val="16"/>
                <w:szCs w:val="16"/>
              </w:rPr>
              <w:t xml:space="preserve">2 </w:t>
            </w:r>
          </w:p>
        </w:tc>
        <w:tc>
          <w:tcPr>
            <w:tcW w:w="1264" w:type="dxa"/>
            <w:tcBorders>
              <w:top w:val="nil"/>
              <w:left w:val="nil"/>
              <w:bottom w:val="single" w:sz="4" w:space="0" w:color="auto"/>
              <w:right w:val="single" w:sz="4" w:space="0" w:color="auto"/>
            </w:tcBorders>
            <w:noWrap/>
            <w:vAlign w:val="bottom"/>
          </w:tcPr>
          <w:p w:rsidR="00681428" w:rsidRPr="005D0593" w:rsidP="00681428" w14:paraId="2635A3AF" w14:textId="6BB4CF6D">
            <w:pPr>
              <w:keepNext/>
              <w:jc w:val="center"/>
              <w:rPr>
                <w:rFonts w:ascii="Arial" w:hAnsi="Arial" w:cs="Arial"/>
                <w:sz w:val="16"/>
                <w:szCs w:val="16"/>
              </w:rPr>
            </w:pPr>
            <w:r>
              <w:rPr>
                <w:rFonts w:ascii="Arial" w:hAnsi="Arial" w:cs="Arial"/>
                <w:sz w:val="16"/>
                <w:szCs w:val="16"/>
              </w:rPr>
              <w:t>0</w:t>
            </w:r>
          </w:p>
        </w:tc>
        <w:tc>
          <w:tcPr>
            <w:tcW w:w="1320" w:type="dxa"/>
            <w:tcBorders>
              <w:top w:val="nil"/>
              <w:left w:val="nil"/>
              <w:bottom w:val="single" w:sz="4" w:space="0" w:color="auto"/>
              <w:right w:val="single" w:sz="4" w:space="0" w:color="auto"/>
            </w:tcBorders>
            <w:shd w:val="clear" w:color="000000" w:fill="FFFFFF"/>
            <w:noWrap/>
            <w:vAlign w:val="bottom"/>
          </w:tcPr>
          <w:p w:rsidR="00681428" w:rsidRPr="005D0593" w:rsidP="00681428" w14:paraId="72D52A7E" w14:textId="128684C2">
            <w:pPr>
              <w:jc w:val="center"/>
              <w:rPr>
                <w:rFonts w:ascii="Arial" w:hAnsi="Arial" w:cs="Arial"/>
                <w:sz w:val="16"/>
                <w:szCs w:val="16"/>
              </w:rPr>
            </w:pPr>
            <w:r>
              <w:rPr>
                <w:rFonts w:ascii="Arial" w:hAnsi="Arial" w:cs="Arial"/>
                <w:sz w:val="16"/>
                <w:szCs w:val="16"/>
              </w:rPr>
              <w:t>0</w:t>
            </w:r>
          </w:p>
        </w:tc>
        <w:tc>
          <w:tcPr>
            <w:tcW w:w="1893" w:type="dxa"/>
            <w:tcBorders>
              <w:top w:val="nil"/>
              <w:left w:val="nil"/>
              <w:bottom w:val="single" w:sz="4" w:space="0" w:color="auto"/>
              <w:right w:val="single" w:sz="4" w:space="0" w:color="auto"/>
            </w:tcBorders>
            <w:shd w:val="clear" w:color="000000" w:fill="FFFFFF"/>
            <w:noWrap/>
            <w:vAlign w:val="bottom"/>
          </w:tcPr>
          <w:p w:rsidR="00681428" w:rsidRPr="005D0593" w:rsidP="00681428" w14:paraId="76CC0D45" w14:textId="4D9FB934">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4" w:space="0" w:color="auto"/>
              <w:right w:val="single" w:sz="4" w:space="0" w:color="auto"/>
            </w:tcBorders>
            <w:shd w:val="clear" w:color="000000" w:fill="FFFFFF"/>
            <w:noWrap/>
            <w:vAlign w:val="bottom"/>
          </w:tcPr>
          <w:p w:rsidR="00681428" w:rsidRPr="005D0593" w:rsidP="00681428" w14:paraId="0D2606AE" w14:textId="0390D89C">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4" w:space="0" w:color="auto"/>
              <w:right w:val="single" w:sz="12" w:space="0" w:color="auto"/>
            </w:tcBorders>
            <w:shd w:val="clear" w:color="000000" w:fill="FFFFFF"/>
            <w:noWrap/>
            <w:vAlign w:val="bottom"/>
          </w:tcPr>
          <w:p w:rsidR="00681428" w:rsidRPr="005D0593" w:rsidP="00681428" w14:paraId="06DB095F" w14:textId="66D28E8B">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r>
      <w:tr w14:paraId="5FFBE3BF" w14:textId="77777777" w:rsidTr="00413C7C">
        <w:tblPrEx>
          <w:tblW w:w="9360" w:type="dxa"/>
          <w:tblLook w:val="04A0"/>
        </w:tblPrEx>
        <w:trPr>
          <w:trHeight w:val="300"/>
          <w:tblHeader/>
        </w:trPr>
        <w:tc>
          <w:tcPr>
            <w:tcW w:w="1097" w:type="dxa"/>
            <w:tcBorders>
              <w:top w:val="nil"/>
              <w:left w:val="single" w:sz="12" w:space="0" w:color="auto"/>
              <w:bottom w:val="double" w:sz="6" w:space="0" w:color="auto"/>
              <w:right w:val="single" w:sz="4" w:space="0" w:color="auto"/>
            </w:tcBorders>
            <w:shd w:val="clear" w:color="000000" w:fill="FFFFFF"/>
            <w:noWrap/>
            <w:vAlign w:val="bottom"/>
            <w:hideMark/>
          </w:tcPr>
          <w:p w:rsidR="00681428" w:rsidRPr="005D0593" w:rsidP="00681428" w14:paraId="419EC4E2" w14:textId="77777777">
            <w:pPr>
              <w:rPr>
                <w:rFonts w:ascii="Arial" w:hAnsi="Arial" w:cs="Arial"/>
                <w:sz w:val="16"/>
                <w:szCs w:val="16"/>
              </w:rPr>
            </w:pPr>
            <w:r w:rsidRPr="005D0593">
              <w:rPr>
                <w:rFonts w:ascii="Arial" w:hAnsi="Arial" w:cs="Arial"/>
                <w:sz w:val="16"/>
                <w:szCs w:val="16"/>
              </w:rPr>
              <w:t xml:space="preserve">3 </w:t>
            </w:r>
          </w:p>
        </w:tc>
        <w:tc>
          <w:tcPr>
            <w:tcW w:w="1264" w:type="dxa"/>
            <w:tcBorders>
              <w:top w:val="nil"/>
              <w:left w:val="nil"/>
              <w:bottom w:val="double" w:sz="6" w:space="0" w:color="auto"/>
              <w:right w:val="single" w:sz="4" w:space="0" w:color="auto"/>
            </w:tcBorders>
            <w:noWrap/>
            <w:vAlign w:val="bottom"/>
          </w:tcPr>
          <w:p w:rsidR="00681428" w:rsidRPr="005D0593" w:rsidP="00681428" w14:paraId="02F3FB01" w14:textId="36B35B57">
            <w:pPr>
              <w:keepNext/>
              <w:jc w:val="center"/>
              <w:rPr>
                <w:rFonts w:ascii="Arial" w:hAnsi="Arial" w:cs="Arial"/>
                <w:sz w:val="16"/>
                <w:szCs w:val="16"/>
              </w:rPr>
            </w:pPr>
            <w:r>
              <w:rPr>
                <w:rFonts w:ascii="Arial" w:hAnsi="Arial" w:cs="Arial"/>
                <w:sz w:val="16"/>
                <w:szCs w:val="16"/>
              </w:rPr>
              <w:t>0</w:t>
            </w:r>
          </w:p>
        </w:tc>
        <w:tc>
          <w:tcPr>
            <w:tcW w:w="1320" w:type="dxa"/>
            <w:tcBorders>
              <w:top w:val="nil"/>
              <w:left w:val="nil"/>
              <w:bottom w:val="double" w:sz="6" w:space="0" w:color="auto"/>
              <w:right w:val="single" w:sz="4" w:space="0" w:color="auto"/>
            </w:tcBorders>
            <w:shd w:val="clear" w:color="000000" w:fill="FFFFFF"/>
            <w:noWrap/>
            <w:vAlign w:val="bottom"/>
          </w:tcPr>
          <w:p w:rsidR="00681428" w:rsidRPr="005D0593" w:rsidP="00681428" w14:paraId="64F1143A" w14:textId="19C3E137">
            <w:pPr>
              <w:jc w:val="center"/>
              <w:rPr>
                <w:rFonts w:ascii="Arial" w:hAnsi="Arial" w:cs="Arial"/>
                <w:sz w:val="16"/>
                <w:szCs w:val="16"/>
              </w:rPr>
            </w:pPr>
            <w:r>
              <w:rPr>
                <w:rFonts w:ascii="Arial" w:hAnsi="Arial" w:cs="Arial"/>
                <w:sz w:val="16"/>
                <w:szCs w:val="16"/>
              </w:rPr>
              <w:t>0</w:t>
            </w:r>
          </w:p>
        </w:tc>
        <w:tc>
          <w:tcPr>
            <w:tcW w:w="1893" w:type="dxa"/>
            <w:tcBorders>
              <w:top w:val="nil"/>
              <w:left w:val="nil"/>
              <w:bottom w:val="double" w:sz="6" w:space="0" w:color="auto"/>
              <w:right w:val="single" w:sz="4" w:space="0" w:color="auto"/>
            </w:tcBorders>
            <w:shd w:val="clear" w:color="000000" w:fill="FFFFFF"/>
            <w:noWrap/>
            <w:vAlign w:val="bottom"/>
          </w:tcPr>
          <w:p w:rsidR="00681428" w:rsidRPr="005D0593" w:rsidP="00681428" w14:paraId="0FA1DE20" w14:textId="0AA3AED6">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double" w:sz="6" w:space="0" w:color="auto"/>
              <w:right w:val="single" w:sz="4" w:space="0" w:color="auto"/>
            </w:tcBorders>
            <w:shd w:val="clear" w:color="000000" w:fill="FFFFFF"/>
            <w:noWrap/>
            <w:vAlign w:val="bottom"/>
          </w:tcPr>
          <w:p w:rsidR="00681428" w:rsidRPr="005D0593" w:rsidP="00681428" w14:paraId="4FD32F11" w14:textId="4476EF87">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double" w:sz="6" w:space="0" w:color="auto"/>
              <w:right w:val="single" w:sz="12" w:space="0" w:color="auto"/>
            </w:tcBorders>
            <w:shd w:val="clear" w:color="000000" w:fill="FFFFFF"/>
            <w:noWrap/>
            <w:vAlign w:val="bottom"/>
          </w:tcPr>
          <w:p w:rsidR="00681428" w:rsidRPr="005D0593" w:rsidP="00681428" w14:paraId="73C176EA" w14:textId="21CFF931">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r>
      <w:tr w14:paraId="533A7DC8" w14:textId="77777777" w:rsidTr="00413C7C">
        <w:tblPrEx>
          <w:tblW w:w="9360" w:type="dxa"/>
          <w:tblLook w:val="04A0"/>
        </w:tblPrEx>
        <w:trPr>
          <w:trHeight w:val="30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681428" w:rsidRPr="005D0593" w:rsidP="00681428" w14:paraId="5D5CF039" w14:textId="77777777">
            <w:pPr>
              <w:rPr>
                <w:rFonts w:ascii="Arial" w:hAnsi="Arial" w:cs="Arial"/>
                <w:sz w:val="16"/>
                <w:szCs w:val="16"/>
              </w:rPr>
            </w:pPr>
            <w:r w:rsidRPr="005D0593">
              <w:rPr>
                <w:rFonts w:ascii="Arial" w:hAnsi="Arial" w:cs="Arial"/>
                <w:sz w:val="16"/>
                <w:szCs w:val="16"/>
              </w:rPr>
              <w:t>Total</w:t>
            </w:r>
          </w:p>
        </w:tc>
        <w:tc>
          <w:tcPr>
            <w:tcW w:w="1264" w:type="dxa"/>
            <w:tcBorders>
              <w:top w:val="nil"/>
              <w:left w:val="nil"/>
              <w:bottom w:val="single" w:sz="4" w:space="0" w:color="auto"/>
              <w:right w:val="single" w:sz="4" w:space="0" w:color="auto"/>
            </w:tcBorders>
            <w:noWrap/>
            <w:vAlign w:val="bottom"/>
          </w:tcPr>
          <w:p w:rsidR="00681428" w:rsidRPr="005D0593" w:rsidP="00681428" w14:paraId="5178B2BE" w14:textId="42979CE6">
            <w:pPr>
              <w:keepNext/>
              <w:jc w:val="center"/>
              <w:rPr>
                <w:rFonts w:ascii="Arial" w:hAnsi="Arial" w:cs="Arial"/>
                <w:sz w:val="16"/>
                <w:szCs w:val="16"/>
              </w:rPr>
            </w:pPr>
            <w:r>
              <w:rPr>
                <w:rFonts w:ascii="Arial" w:hAnsi="Arial" w:cs="Arial"/>
                <w:sz w:val="16"/>
                <w:szCs w:val="16"/>
              </w:rPr>
              <w:t>0</w:t>
            </w:r>
          </w:p>
        </w:tc>
        <w:tc>
          <w:tcPr>
            <w:tcW w:w="1320" w:type="dxa"/>
            <w:tcBorders>
              <w:top w:val="nil"/>
              <w:left w:val="nil"/>
              <w:bottom w:val="single" w:sz="4" w:space="0" w:color="auto"/>
              <w:right w:val="single" w:sz="4" w:space="0" w:color="auto"/>
            </w:tcBorders>
            <w:noWrap/>
            <w:vAlign w:val="bottom"/>
          </w:tcPr>
          <w:p w:rsidR="00681428" w:rsidRPr="005D0593" w:rsidP="00681428" w14:paraId="1E6DFC6A" w14:textId="4D6B0410">
            <w:pPr>
              <w:jc w:val="center"/>
              <w:rPr>
                <w:rFonts w:ascii="Arial" w:hAnsi="Arial" w:cs="Arial"/>
                <w:sz w:val="16"/>
                <w:szCs w:val="16"/>
              </w:rPr>
            </w:pPr>
            <w:r>
              <w:rPr>
                <w:rFonts w:ascii="Arial" w:hAnsi="Arial" w:cs="Arial"/>
                <w:sz w:val="16"/>
                <w:szCs w:val="16"/>
              </w:rPr>
              <w:t>0</w:t>
            </w:r>
          </w:p>
        </w:tc>
        <w:tc>
          <w:tcPr>
            <w:tcW w:w="1893" w:type="dxa"/>
            <w:tcBorders>
              <w:top w:val="nil"/>
              <w:left w:val="nil"/>
              <w:bottom w:val="single" w:sz="4" w:space="0" w:color="auto"/>
              <w:right w:val="single" w:sz="4" w:space="0" w:color="auto"/>
            </w:tcBorders>
            <w:shd w:val="clear" w:color="000000" w:fill="FFFFFF"/>
            <w:noWrap/>
            <w:vAlign w:val="bottom"/>
          </w:tcPr>
          <w:p w:rsidR="00681428" w:rsidRPr="005D0593" w:rsidP="00681428" w14:paraId="7C793CBB" w14:textId="1D87B1DB">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4" w:space="0" w:color="auto"/>
              <w:right w:val="single" w:sz="4" w:space="0" w:color="auto"/>
            </w:tcBorders>
            <w:shd w:val="clear" w:color="000000" w:fill="FFFFFF"/>
            <w:noWrap/>
            <w:vAlign w:val="bottom"/>
          </w:tcPr>
          <w:p w:rsidR="00681428" w:rsidRPr="005D0593" w:rsidP="00681428" w14:paraId="521BC40C" w14:textId="79BEE271">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4" w:space="0" w:color="auto"/>
              <w:right w:val="single" w:sz="12" w:space="0" w:color="auto"/>
            </w:tcBorders>
            <w:shd w:val="clear" w:color="000000" w:fill="FFFFFF"/>
            <w:noWrap/>
            <w:vAlign w:val="bottom"/>
          </w:tcPr>
          <w:p w:rsidR="00681428" w:rsidRPr="005D0593" w:rsidP="00681428" w14:paraId="0E3CF2C7" w14:textId="2B01F89F">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r>
      <w:tr w14:paraId="7A2C742F" w14:textId="77777777" w:rsidTr="00413C7C">
        <w:tblPrEx>
          <w:tblW w:w="9360" w:type="dxa"/>
          <w:tblLook w:val="04A0"/>
        </w:tblPrEx>
        <w:trPr>
          <w:trHeight w:val="300"/>
          <w:tblHeader/>
        </w:trPr>
        <w:tc>
          <w:tcPr>
            <w:tcW w:w="1097" w:type="dxa"/>
            <w:tcBorders>
              <w:top w:val="nil"/>
              <w:left w:val="single" w:sz="12" w:space="0" w:color="auto"/>
              <w:bottom w:val="single" w:sz="12" w:space="0" w:color="auto"/>
              <w:right w:val="single" w:sz="4" w:space="0" w:color="auto"/>
            </w:tcBorders>
            <w:noWrap/>
            <w:vAlign w:val="bottom"/>
            <w:hideMark/>
          </w:tcPr>
          <w:p w:rsidR="00681428" w:rsidRPr="005D0593" w:rsidP="00681428" w14:paraId="05F8320F" w14:textId="77777777">
            <w:pPr>
              <w:rPr>
                <w:rFonts w:ascii="Arial" w:hAnsi="Arial" w:cs="Arial"/>
                <w:sz w:val="16"/>
                <w:szCs w:val="16"/>
              </w:rPr>
            </w:pPr>
            <w:r w:rsidRPr="005D0593">
              <w:rPr>
                <w:rFonts w:ascii="Arial" w:hAnsi="Arial" w:cs="Arial"/>
                <w:sz w:val="16"/>
                <w:szCs w:val="16"/>
              </w:rPr>
              <w:t>3-Yr Annual Average</w:t>
            </w:r>
          </w:p>
        </w:tc>
        <w:tc>
          <w:tcPr>
            <w:tcW w:w="1264" w:type="dxa"/>
            <w:tcBorders>
              <w:top w:val="nil"/>
              <w:left w:val="nil"/>
              <w:bottom w:val="single" w:sz="12" w:space="0" w:color="auto"/>
              <w:right w:val="single" w:sz="4" w:space="0" w:color="auto"/>
            </w:tcBorders>
            <w:noWrap/>
            <w:vAlign w:val="bottom"/>
          </w:tcPr>
          <w:p w:rsidR="00681428" w:rsidRPr="005D0593" w:rsidP="00681428" w14:paraId="1DA5191B" w14:textId="05ABB113">
            <w:pPr>
              <w:keepNext/>
              <w:jc w:val="center"/>
              <w:rPr>
                <w:rFonts w:ascii="Arial" w:hAnsi="Arial" w:cs="Arial"/>
                <w:sz w:val="16"/>
                <w:szCs w:val="16"/>
              </w:rPr>
            </w:pPr>
            <w:r>
              <w:rPr>
                <w:rFonts w:ascii="Arial" w:hAnsi="Arial" w:cs="Arial"/>
                <w:sz w:val="16"/>
                <w:szCs w:val="16"/>
              </w:rPr>
              <w:t>0</w:t>
            </w:r>
          </w:p>
        </w:tc>
        <w:tc>
          <w:tcPr>
            <w:tcW w:w="1320" w:type="dxa"/>
            <w:tcBorders>
              <w:top w:val="nil"/>
              <w:left w:val="nil"/>
              <w:bottom w:val="single" w:sz="12" w:space="0" w:color="auto"/>
              <w:right w:val="single" w:sz="4" w:space="0" w:color="auto"/>
            </w:tcBorders>
            <w:noWrap/>
            <w:vAlign w:val="bottom"/>
          </w:tcPr>
          <w:p w:rsidR="00681428" w:rsidRPr="005D0593" w:rsidP="00681428" w14:paraId="61C0E85D" w14:textId="26B4DA0E">
            <w:pPr>
              <w:jc w:val="center"/>
              <w:rPr>
                <w:rFonts w:ascii="Arial" w:hAnsi="Arial" w:cs="Arial"/>
                <w:sz w:val="16"/>
                <w:szCs w:val="16"/>
              </w:rPr>
            </w:pPr>
            <w:r>
              <w:rPr>
                <w:rFonts w:ascii="Arial" w:hAnsi="Arial" w:cs="Arial"/>
                <w:sz w:val="16"/>
                <w:szCs w:val="16"/>
              </w:rPr>
              <w:t>0</w:t>
            </w:r>
          </w:p>
        </w:tc>
        <w:tc>
          <w:tcPr>
            <w:tcW w:w="1893" w:type="dxa"/>
            <w:tcBorders>
              <w:top w:val="nil"/>
              <w:left w:val="nil"/>
              <w:bottom w:val="single" w:sz="12" w:space="0" w:color="auto"/>
              <w:right w:val="single" w:sz="4" w:space="0" w:color="auto"/>
            </w:tcBorders>
            <w:noWrap/>
            <w:vAlign w:val="bottom"/>
          </w:tcPr>
          <w:p w:rsidR="00681428" w:rsidRPr="005D0593" w:rsidP="00681428" w14:paraId="409F2388" w14:textId="031E0EC0">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12" w:space="0" w:color="auto"/>
              <w:right w:val="single" w:sz="4" w:space="0" w:color="auto"/>
            </w:tcBorders>
            <w:noWrap/>
            <w:vAlign w:val="bottom"/>
          </w:tcPr>
          <w:p w:rsidR="00681428" w:rsidRPr="005D0593" w:rsidP="00681428" w14:paraId="3422F9E4" w14:textId="3328900D">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c>
          <w:tcPr>
            <w:tcW w:w="1893" w:type="dxa"/>
            <w:tcBorders>
              <w:top w:val="nil"/>
              <w:left w:val="nil"/>
              <w:bottom w:val="single" w:sz="12" w:space="0" w:color="auto"/>
              <w:right w:val="single" w:sz="12" w:space="0" w:color="auto"/>
            </w:tcBorders>
            <w:noWrap/>
            <w:vAlign w:val="bottom"/>
          </w:tcPr>
          <w:p w:rsidR="00681428" w:rsidRPr="005D0593" w:rsidP="00681428" w14:paraId="3CD95F5E" w14:textId="362B1453">
            <w:pPr>
              <w:jc w:val="center"/>
              <w:rPr>
                <w:rFonts w:ascii="Arial" w:hAnsi="Arial" w:cs="Arial"/>
                <w:sz w:val="16"/>
                <w:szCs w:val="16"/>
              </w:rPr>
            </w:pPr>
            <w:r w:rsidRPr="005D0593">
              <w:rPr>
                <w:rFonts w:ascii="Arial" w:hAnsi="Arial" w:cs="Arial"/>
                <w:sz w:val="16"/>
                <w:szCs w:val="16"/>
              </w:rPr>
              <w:t>$</w:t>
            </w:r>
            <w:r>
              <w:rPr>
                <w:rFonts w:ascii="Arial" w:hAnsi="Arial" w:cs="Arial"/>
                <w:sz w:val="16"/>
                <w:szCs w:val="16"/>
              </w:rPr>
              <w:t>0</w:t>
            </w:r>
            <w:r w:rsidRPr="005D0593">
              <w:rPr>
                <w:rFonts w:ascii="Arial" w:hAnsi="Arial" w:cs="Arial"/>
                <w:sz w:val="16"/>
                <w:szCs w:val="16"/>
              </w:rPr>
              <w:t xml:space="preserve"> </w:t>
            </w:r>
          </w:p>
        </w:tc>
      </w:tr>
    </w:tbl>
    <w:p w:rsidR="004647B0" w:rsidP="004647B0" w14:paraId="16722384" w14:textId="77777777">
      <w:pPr>
        <w:ind w:firstLine="720"/>
      </w:pPr>
    </w:p>
    <w:p w:rsidR="00E60CDA" w:rsidP="00267BDF" w14:paraId="7D47E32D" w14:textId="77777777">
      <w:pPr>
        <w:keepNext/>
        <w:rPr>
          <w:b/>
        </w:rPr>
      </w:pPr>
      <w:r w:rsidRPr="005D0593">
        <w:rPr>
          <w:b/>
        </w:rPr>
        <w:t xml:space="preserve">Exhibit </w:t>
      </w:r>
      <w:r>
        <w:rPr>
          <w:b/>
        </w:rPr>
        <w:t>12</w:t>
      </w:r>
      <w:r w:rsidRPr="005D0593">
        <w:rPr>
          <w:b/>
        </w:rPr>
        <w:t>.1</w:t>
      </w:r>
      <w:r>
        <w:rPr>
          <w:b/>
        </w:rPr>
        <w:t>b</w:t>
      </w:r>
      <w:r w:rsidRPr="005D0593">
        <w:rPr>
          <w:b/>
        </w:rPr>
        <w:t xml:space="preserve">. Summary of </w:t>
      </w:r>
      <w:r>
        <w:rPr>
          <w:b/>
        </w:rPr>
        <w:t xml:space="preserve">Reduced </w:t>
      </w:r>
      <w:r w:rsidRPr="005D0593">
        <w:rPr>
          <w:b/>
        </w:rPr>
        <w:t>Annual Respondent Burden and Cost of Final Revisions for the Greenhouse Gas Reporting Rule</w:t>
      </w:r>
      <w:r w:rsidR="007528AD">
        <w:rPr>
          <w:b/>
        </w:rPr>
        <w:t xml:space="preserve"> </w:t>
      </w:r>
    </w:p>
    <w:p w:rsidR="00267BDF" w:rsidRPr="005D0593" w:rsidP="00267BDF" w14:paraId="649EFF82" w14:textId="58D1A230">
      <w:pPr>
        <w:keepNext/>
      </w:pPr>
      <w:r>
        <w:rPr>
          <w:b/>
        </w:rPr>
        <w:t>(</w:t>
      </w:r>
      <w:r w:rsidR="00E60CDA">
        <w:rPr>
          <w:b/>
        </w:rPr>
        <w:t>V</w:t>
      </w:r>
      <w:r>
        <w:rPr>
          <w:b/>
        </w:rPr>
        <w:t>alues in parentheses indicate negative values)</w:t>
      </w:r>
    </w:p>
    <w:tbl>
      <w:tblPr>
        <w:tblW w:w="9360" w:type="dxa"/>
        <w:tblLook w:val="04A0"/>
      </w:tblPr>
      <w:tblGrid>
        <w:gridCol w:w="1097"/>
        <w:gridCol w:w="1264"/>
        <w:gridCol w:w="1320"/>
        <w:gridCol w:w="1893"/>
        <w:gridCol w:w="1893"/>
        <w:gridCol w:w="1893"/>
      </w:tblGrid>
      <w:tr w14:paraId="6AC6E4D5" w14:textId="77777777" w:rsidTr="00413C7C">
        <w:tblPrEx>
          <w:tblW w:w="9360" w:type="dxa"/>
          <w:tblLook w:val="04A0"/>
        </w:tblPrEx>
        <w:trPr>
          <w:trHeight w:val="300"/>
          <w:tblHeader/>
        </w:trPr>
        <w:tc>
          <w:tcPr>
            <w:tcW w:w="9360" w:type="dxa"/>
            <w:gridSpan w:val="6"/>
            <w:tcBorders>
              <w:top w:val="nil"/>
              <w:left w:val="nil"/>
              <w:bottom w:val="single" w:sz="12" w:space="0" w:color="auto"/>
              <w:right w:val="nil"/>
            </w:tcBorders>
            <w:vAlign w:val="bottom"/>
            <w:hideMark/>
          </w:tcPr>
          <w:p w:rsidR="00267BDF" w:rsidRPr="005D0593" w:rsidP="00413C7C" w14:paraId="42BD1477" w14:textId="77777777">
            <w:pPr>
              <w:keepNext/>
              <w:jc w:val="center"/>
              <w:rPr>
                <w:rFonts w:ascii="Arial" w:hAnsi="Arial" w:cs="Arial"/>
                <w:b/>
                <w:bCs/>
              </w:rPr>
            </w:pPr>
          </w:p>
        </w:tc>
      </w:tr>
      <w:tr w14:paraId="3D432BDD" w14:textId="77777777" w:rsidTr="00413C7C">
        <w:tblPrEx>
          <w:tblW w:w="9360" w:type="dxa"/>
          <w:tblLook w:val="04A0"/>
        </w:tblPrEx>
        <w:trPr>
          <w:trHeight w:val="530"/>
          <w:tblHeader/>
        </w:trPr>
        <w:tc>
          <w:tcPr>
            <w:tcW w:w="1097" w:type="dxa"/>
            <w:tcBorders>
              <w:top w:val="single" w:sz="12" w:space="0" w:color="auto"/>
              <w:left w:val="single" w:sz="12" w:space="0" w:color="auto"/>
              <w:bottom w:val="double" w:sz="6" w:space="0" w:color="auto"/>
              <w:right w:val="single" w:sz="4" w:space="0" w:color="auto"/>
            </w:tcBorders>
            <w:shd w:val="clear" w:color="auto" w:fill="F2F2F2" w:themeFill="background1" w:themeFillShade="F2"/>
            <w:noWrap/>
            <w:vAlign w:val="center"/>
            <w:hideMark/>
          </w:tcPr>
          <w:p w:rsidR="00267BDF" w:rsidRPr="005D0593" w:rsidP="00052FBB" w14:paraId="6B45A3C8" w14:textId="77777777">
            <w:pPr>
              <w:keepNext/>
              <w:spacing w:after="120"/>
              <w:jc w:val="center"/>
              <w:rPr>
                <w:rFonts w:ascii="Arial" w:hAnsi="Arial" w:cs="Arial"/>
                <w:b/>
                <w:sz w:val="16"/>
                <w:szCs w:val="16"/>
              </w:rPr>
            </w:pPr>
            <w:r w:rsidRPr="005D0593">
              <w:rPr>
                <w:rFonts w:ascii="Arial" w:hAnsi="Arial" w:cs="Arial"/>
                <w:b/>
                <w:bCs/>
                <w:sz w:val="16"/>
                <w:szCs w:val="16"/>
              </w:rPr>
              <w:t>Year</w:t>
            </w:r>
          </w:p>
        </w:tc>
        <w:tc>
          <w:tcPr>
            <w:tcW w:w="1264"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267BDF" w:rsidRPr="005D0593" w:rsidP="00052FBB" w14:paraId="69A918C7" w14:textId="77777777">
            <w:pPr>
              <w:keepNext/>
              <w:spacing w:after="120"/>
              <w:jc w:val="center"/>
              <w:rPr>
                <w:rFonts w:ascii="Arial" w:hAnsi="Arial" w:cs="Arial"/>
                <w:b/>
                <w:sz w:val="16"/>
                <w:szCs w:val="16"/>
              </w:rPr>
            </w:pPr>
            <w:r w:rsidRPr="005D0593">
              <w:rPr>
                <w:rFonts w:ascii="Arial" w:hAnsi="Arial" w:cs="Arial"/>
                <w:b/>
                <w:bCs/>
                <w:sz w:val="16"/>
                <w:szCs w:val="16"/>
              </w:rPr>
              <w:t>Number of Respondents</w:t>
            </w:r>
          </w:p>
        </w:tc>
        <w:tc>
          <w:tcPr>
            <w:tcW w:w="1320"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267BDF" w:rsidRPr="005D0593" w:rsidP="00052FBB" w14:paraId="17288481" w14:textId="77777777">
            <w:pPr>
              <w:keepNext/>
              <w:spacing w:after="120"/>
              <w:jc w:val="center"/>
              <w:rPr>
                <w:rFonts w:ascii="Arial" w:hAnsi="Arial" w:cs="Arial"/>
                <w:b/>
                <w:sz w:val="16"/>
                <w:szCs w:val="16"/>
              </w:rPr>
            </w:pPr>
            <w:r w:rsidRPr="005D0593">
              <w:rPr>
                <w:rFonts w:ascii="Arial" w:hAnsi="Arial" w:cs="Arial"/>
                <w:b/>
                <w:bCs/>
                <w:sz w:val="16"/>
                <w:szCs w:val="16"/>
              </w:rPr>
              <w:t>Total Labor Hours</w:t>
            </w:r>
          </w:p>
        </w:tc>
        <w:tc>
          <w:tcPr>
            <w:tcW w:w="1893"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267BDF" w:rsidRPr="005D0593" w:rsidP="00052FBB" w14:paraId="08700629" w14:textId="77777777">
            <w:pPr>
              <w:keepNext/>
              <w:spacing w:after="120"/>
              <w:jc w:val="center"/>
              <w:rPr>
                <w:rFonts w:ascii="Arial" w:hAnsi="Arial" w:cs="Arial"/>
                <w:b/>
                <w:sz w:val="16"/>
                <w:szCs w:val="16"/>
              </w:rPr>
            </w:pPr>
            <w:r w:rsidRPr="005D0593">
              <w:rPr>
                <w:rFonts w:ascii="Arial" w:hAnsi="Arial" w:cs="Arial"/>
                <w:b/>
                <w:bCs/>
                <w:sz w:val="16"/>
                <w:szCs w:val="16"/>
              </w:rPr>
              <w:t>Labor Costs</w:t>
            </w:r>
          </w:p>
        </w:tc>
        <w:tc>
          <w:tcPr>
            <w:tcW w:w="1893" w:type="dxa"/>
            <w:tcBorders>
              <w:top w:val="single" w:sz="12" w:space="0" w:color="auto"/>
              <w:left w:val="nil"/>
              <w:bottom w:val="double" w:sz="6" w:space="0" w:color="auto"/>
              <w:right w:val="single" w:sz="4" w:space="0" w:color="auto"/>
            </w:tcBorders>
            <w:shd w:val="clear" w:color="auto" w:fill="F2F2F2" w:themeFill="background1" w:themeFillShade="F2"/>
            <w:vAlign w:val="center"/>
            <w:hideMark/>
          </w:tcPr>
          <w:p w:rsidR="00267BDF" w:rsidRPr="005D0593" w:rsidP="00413C7C" w14:paraId="4CA8F656" w14:textId="77777777">
            <w:pPr>
              <w:keepNext/>
              <w:jc w:val="center"/>
              <w:rPr>
                <w:rFonts w:ascii="Arial" w:hAnsi="Arial" w:cs="Arial"/>
                <w:b/>
                <w:sz w:val="16"/>
                <w:szCs w:val="16"/>
              </w:rPr>
            </w:pPr>
            <w:r w:rsidRPr="005D0593">
              <w:rPr>
                <w:rFonts w:ascii="Arial" w:hAnsi="Arial" w:cs="Arial"/>
                <w:b/>
                <w:bCs/>
                <w:sz w:val="16"/>
                <w:szCs w:val="16"/>
              </w:rPr>
              <w:t>Non-Labor Costs (Annualized Capital/Startup and O&amp;M)</w:t>
            </w:r>
          </w:p>
        </w:tc>
        <w:tc>
          <w:tcPr>
            <w:tcW w:w="1893" w:type="dxa"/>
            <w:tcBorders>
              <w:top w:val="single" w:sz="12" w:space="0" w:color="auto"/>
              <w:left w:val="nil"/>
              <w:bottom w:val="double" w:sz="6" w:space="0" w:color="auto"/>
              <w:right w:val="single" w:sz="12" w:space="0" w:color="auto"/>
            </w:tcBorders>
            <w:shd w:val="clear" w:color="auto" w:fill="F2F2F2" w:themeFill="background1" w:themeFillShade="F2"/>
            <w:vAlign w:val="center"/>
            <w:hideMark/>
          </w:tcPr>
          <w:p w:rsidR="00267BDF" w:rsidRPr="005D0593" w:rsidP="00413C7C" w14:paraId="08FF17DD" w14:textId="77777777">
            <w:pPr>
              <w:keepNext/>
              <w:jc w:val="center"/>
              <w:rPr>
                <w:rFonts w:ascii="Arial" w:hAnsi="Arial" w:cs="Arial"/>
                <w:b/>
                <w:sz w:val="16"/>
                <w:szCs w:val="16"/>
              </w:rPr>
            </w:pPr>
            <w:r w:rsidRPr="005D0593">
              <w:rPr>
                <w:rFonts w:ascii="Arial" w:hAnsi="Arial" w:cs="Arial"/>
                <w:b/>
                <w:bCs/>
                <w:sz w:val="16"/>
                <w:szCs w:val="16"/>
              </w:rPr>
              <w:t>Total Costs</w:t>
            </w:r>
          </w:p>
        </w:tc>
      </w:tr>
      <w:tr w14:paraId="5D3999BF" w14:textId="77777777" w:rsidTr="00900A63">
        <w:tblPrEx>
          <w:tblW w:w="9360" w:type="dxa"/>
          <w:tblLook w:val="04A0"/>
        </w:tblPrEx>
        <w:trPr>
          <w:trHeight w:val="30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7528AD" w:rsidRPr="005D0593" w:rsidP="007528AD" w14:paraId="54F68810" w14:textId="77777777">
            <w:pPr>
              <w:keepNext/>
              <w:spacing w:after="120"/>
              <w:rPr>
                <w:rFonts w:ascii="Arial" w:hAnsi="Arial" w:cs="Arial"/>
                <w:sz w:val="16"/>
                <w:szCs w:val="16"/>
              </w:rPr>
            </w:pPr>
            <w:r w:rsidRPr="005D0593">
              <w:rPr>
                <w:rFonts w:ascii="Arial" w:hAnsi="Arial" w:cs="Arial"/>
                <w:sz w:val="16"/>
                <w:szCs w:val="16"/>
              </w:rPr>
              <w:t xml:space="preserve">1 </w:t>
            </w:r>
          </w:p>
        </w:tc>
        <w:tc>
          <w:tcPr>
            <w:tcW w:w="1264" w:type="dxa"/>
            <w:tcBorders>
              <w:top w:val="nil"/>
              <w:left w:val="nil"/>
              <w:bottom w:val="single" w:sz="4" w:space="0" w:color="auto"/>
              <w:right w:val="single" w:sz="4" w:space="0" w:color="auto"/>
            </w:tcBorders>
            <w:noWrap/>
            <w:vAlign w:val="center"/>
          </w:tcPr>
          <w:p w:rsidR="007528AD" w:rsidRPr="00900A63" w:rsidP="007528AD" w14:paraId="10CEB24B" w14:textId="51974058">
            <w:pPr>
              <w:keepNext/>
              <w:spacing w:after="120"/>
              <w:jc w:val="center"/>
              <w:rPr>
                <w:rFonts w:ascii="Arial" w:hAnsi="Arial" w:cs="Arial"/>
                <w:sz w:val="16"/>
                <w:szCs w:val="16"/>
                <w:highlight w:val="cyan"/>
              </w:rPr>
            </w:pPr>
            <w:r>
              <w:rPr>
                <w:rFonts w:ascii="Arial" w:hAnsi="Arial" w:cs="Arial"/>
                <w:color w:val="000000"/>
                <w:sz w:val="16"/>
                <w:szCs w:val="16"/>
              </w:rPr>
              <w:t>(8,971)</w:t>
            </w:r>
          </w:p>
        </w:tc>
        <w:tc>
          <w:tcPr>
            <w:tcW w:w="1320" w:type="dxa"/>
            <w:tcBorders>
              <w:top w:val="nil"/>
              <w:left w:val="nil"/>
              <w:bottom w:val="single" w:sz="4" w:space="0" w:color="auto"/>
              <w:right w:val="single" w:sz="4" w:space="0" w:color="auto"/>
            </w:tcBorders>
            <w:shd w:val="clear" w:color="000000" w:fill="FFFFFF"/>
            <w:noWrap/>
            <w:vAlign w:val="center"/>
          </w:tcPr>
          <w:p w:rsidR="007528AD" w:rsidRPr="00900A63" w:rsidP="007528AD" w14:paraId="649AB0F9" w14:textId="328C50C7">
            <w:pPr>
              <w:keepNext/>
              <w:spacing w:after="120"/>
              <w:jc w:val="center"/>
              <w:rPr>
                <w:rFonts w:ascii="Arial" w:hAnsi="Arial" w:cs="Arial"/>
                <w:sz w:val="16"/>
                <w:szCs w:val="16"/>
                <w:highlight w:val="cyan"/>
              </w:rPr>
            </w:pPr>
            <w:r>
              <w:rPr>
                <w:rFonts w:ascii="Arial" w:hAnsi="Arial" w:cs="Arial"/>
                <w:color w:val="000000"/>
                <w:sz w:val="16"/>
                <w:szCs w:val="16"/>
              </w:rPr>
              <w:t>(2,596,244)</w:t>
            </w:r>
          </w:p>
        </w:tc>
        <w:tc>
          <w:tcPr>
            <w:tcW w:w="1893" w:type="dxa"/>
            <w:tcBorders>
              <w:top w:val="nil"/>
              <w:left w:val="nil"/>
              <w:bottom w:val="single" w:sz="4" w:space="0" w:color="auto"/>
              <w:right w:val="single" w:sz="4" w:space="0" w:color="auto"/>
            </w:tcBorders>
            <w:shd w:val="clear" w:color="000000" w:fill="FFFFFF"/>
            <w:noWrap/>
            <w:vAlign w:val="center"/>
          </w:tcPr>
          <w:p w:rsidR="007528AD" w:rsidRPr="00900A63" w:rsidP="007528AD" w14:paraId="1D843679" w14:textId="0A0F9B2E">
            <w:pPr>
              <w:keepNext/>
              <w:spacing w:after="120"/>
              <w:jc w:val="center"/>
              <w:rPr>
                <w:rFonts w:ascii="Arial" w:hAnsi="Arial" w:cs="Arial"/>
                <w:sz w:val="16"/>
                <w:szCs w:val="16"/>
                <w:highlight w:val="cyan"/>
              </w:rPr>
            </w:pPr>
            <w:r>
              <w:rPr>
                <w:rFonts w:ascii="Arial" w:hAnsi="Arial" w:cs="Arial"/>
                <w:sz w:val="16"/>
                <w:szCs w:val="16"/>
              </w:rPr>
              <w:t>($247,693,715)</w:t>
            </w:r>
          </w:p>
        </w:tc>
        <w:tc>
          <w:tcPr>
            <w:tcW w:w="1893" w:type="dxa"/>
            <w:tcBorders>
              <w:top w:val="nil"/>
              <w:left w:val="nil"/>
              <w:bottom w:val="single" w:sz="4" w:space="0" w:color="auto"/>
              <w:right w:val="single" w:sz="4" w:space="0" w:color="auto"/>
            </w:tcBorders>
            <w:shd w:val="clear" w:color="000000" w:fill="FFFFFF"/>
            <w:noWrap/>
            <w:vAlign w:val="center"/>
          </w:tcPr>
          <w:p w:rsidR="007528AD" w:rsidRPr="00900A63" w:rsidP="007528AD" w14:paraId="742A76A7" w14:textId="6D68CBF7">
            <w:pPr>
              <w:keepNext/>
              <w:jc w:val="center"/>
              <w:rPr>
                <w:rFonts w:ascii="Arial" w:hAnsi="Arial" w:cs="Arial"/>
                <w:sz w:val="16"/>
                <w:szCs w:val="16"/>
                <w:highlight w:val="cyan"/>
              </w:rPr>
            </w:pPr>
            <w:r>
              <w:rPr>
                <w:rFonts w:ascii="Arial" w:hAnsi="Arial" w:cs="Arial"/>
                <w:sz w:val="16"/>
                <w:szCs w:val="16"/>
              </w:rPr>
              <w:t>($54,990,106)</w:t>
            </w:r>
          </w:p>
        </w:tc>
        <w:tc>
          <w:tcPr>
            <w:tcW w:w="1893" w:type="dxa"/>
            <w:tcBorders>
              <w:top w:val="nil"/>
              <w:left w:val="nil"/>
              <w:bottom w:val="single" w:sz="4" w:space="0" w:color="auto"/>
              <w:right w:val="single" w:sz="12" w:space="0" w:color="auto"/>
            </w:tcBorders>
            <w:shd w:val="clear" w:color="000000" w:fill="FFFFFF"/>
            <w:noWrap/>
            <w:vAlign w:val="center"/>
          </w:tcPr>
          <w:p w:rsidR="007528AD" w:rsidRPr="00900A63" w:rsidP="007528AD" w14:paraId="1C16D570" w14:textId="20D1F525">
            <w:pPr>
              <w:keepNext/>
              <w:jc w:val="center"/>
              <w:rPr>
                <w:rFonts w:ascii="Arial" w:hAnsi="Arial" w:cs="Arial"/>
                <w:sz w:val="16"/>
                <w:szCs w:val="16"/>
                <w:highlight w:val="cyan"/>
              </w:rPr>
            </w:pPr>
            <w:r>
              <w:rPr>
                <w:rFonts w:ascii="Arial" w:hAnsi="Arial" w:cs="Arial"/>
                <w:sz w:val="16"/>
                <w:szCs w:val="16"/>
              </w:rPr>
              <w:t>($302,683,821)</w:t>
            </w:r>
          </w:p>
        </w:tc>
      </w:tr>
      <w:tr w14:paraId="4AA77885" w14:textId="77777777" w:rsidTr="00900A63">
        <w:tblPrEx>
          <w:tblW w:w="9360" w:type="dxa"/>
          <w:tblLook w:val="04A0"/>
        </w:tblPrEx>
        <w:trPr>
          <w:trHeight w:val="290"/>
          <w:tblHeader/>
        </w:trPr>
        <w:tc>
          <w:tcPr>
            <w:tcW w:w="1097" w:type="dxa"/>
            <w:tcBorders>
              <w:top w:val="nil"/>
              <w:left w:val="single" w:sz="12" w:space="0" w:color="auto"/>
              <w:bottom w:val="single" w:sz="4" w:space="0" w:color="auto"/>
              <w:right w:val="single" w:sz="4" w:space="0" w:color="auto"/>
            </w:tcBorders>
            <w:shd w:val="clear" w:color="000000" w:fill="FFFFFF"/>
            <w:noWrap/>
            <w:vAlign w:val="bottom"/>
            <w:hideMark/>
          </w:tcPr>
          <w:p w:rsidR="007528AD" w:rsidRPr="005D0593" w:rsidP="007528AD" w14:paraId="2B818D5C" w14:textId="77777777">
            <w:pPr>
              <w:spacing w:after="120"/>
              <w:rPr>
                <w:rFonts w:ascii="Arial" w:hAnsi="Arial" w:cs="Arial"/>
                <w:sz w:val="16"/>
                <w:szCs w:val="16"/>
              </w:rPr>
            </w:pPr>
            <w:r w:rsidRPr="005D0593">
              <w:rPr>
                <w:rFonts w:ascii="Arial" w:hAnsi="Arial" w:cs="Arial"/>
                <w:sz w:val="16"/>
                <w:szCs w:val="16"/>
              </w:rPr>
              <w:t xml:space="preserve">2 </w:t>
            </w:r>
          </w:p>
        </w:tc>
        <w:tc>
          <w:tcPr>
            <w:tcW w:w="1264" w:type="dxa"/>
            <w:tcBorders>
              <w:top w:val="nil"/>
              <w:left w:val="nil"/>
              <w:bottom w:val="single" w:sz="4" w:space="0" w:color="auto"/>
              <w:right w:val="single" w:sz="4" w:space="0" w:color="auto"/>
            </w:tcBorders>
            <w:noWrap/>
            <w:vAlign w:val="center"/>
          </w:tcPr>
          <w:p w:rsidR="007528AD" w:rsidRPr="00900A63" w:rsidP="007528AD" w14:paraId="2418CC14" w14:textId="4C03AFD8">
            <w:pPr>
              <w:keepNext/>
              <w:spacing w:after="120"/>
              <w:jc w:val="center"/>
              <w:rPr>
                <w:rFonts w:ascii="Arial" w:hAnsi="Arial" w:cs="Arial"/>
                <w:sz w:val="16"/>
                <w:szCs w:val="16"/>
                <w:highlight w:val="cyan"/>
              </w:rPr>
            </w:pPr>
            <w:r>
              <w:rPr>
                <w:rFonts w:ascii="Arial" w:hAnsi="Arial" w:cs="Arial"/>
                <w:color w:val="000000"/>
                <w:sz w:val="16"/>
                <w:szCs w:val="16"/>
              </w:rPr>
              <w:t>(8,971)</w:t>
            </w:r>
          </w:p>
        </w:tc>
        <w:tc>
          <w:tcPr>
            <w:tcW w:w="1320" w:type="dxa"/>
            <w:tcBorders>
              <w:top w:val="nil"/>
              <w:left w:val="nil"/>
              <w:bottom w:val="single" w:sz="4" w:space="0" w:color="auto"/>
              <w:right w:val="single" w:sz="4" w:space="0" w:color="auto"/>
            </w:tcBorders>
            <w:shd w:val="clear" w:color="000000" w:fill="FFFFFF"/>
            <w:noWrap/>
            <w:vAlign w:val="center"/>
          </w:tcPr>
          <w:p w:rsidR="007528AD" w:rsidRPr="00900A63" w:rsidP="007528AD" w14:paraId="6659E3F2" w14:textId="447DCB3C">
            <w:pPr>
              <w:spacing w:after="120"/>
              <w:jc w:val="center"/>
              <w:rPr>
                <w:rFonts w:ascii="Arial" w:hAnsi="Arial" w:cs="Arial"/>
                <w:sz w:val="16"/>
                <w:szCs w:val="16"/>
                <w:highlight w:val="cyan"/>
              </w:rPr>
            </w:pPr>
            <w:r>
              <w:rPr>
                <w:rFonts w:ascii="Arial" w:hAnsi="Arial" w:cs="Arial"/>
                <w:color w:val="000000"/>
                <w:sz w:val="16"/>
                <w:szCs w:val="16"/>
              </w:rPr>
              <w:t>(2,596,244)</w:t>
            </w:r>
          </w:p>
        </w:tc>
        <w:tc>
          <w:tcPr>
            <w:tcW w:w="1893" w:type="dxa"/>
            <w:tcBorders>
              <w:top w:val="nil"/>
              <w:left w:val="nil"/>
              <w:bottom w:val="single" w:sz="4" w:space="0" w:color="auto"/>
              <w:right w:val="single" w:sz="4" w:space="0" w:color="auto"/>
            </w:tcBorders>
            <w:shd w:val="clear" w:color="000000" w:fill="FFFFFF"/>
            <w:noWrap/>
            <w:vAlign w:val="center"/>
          </w:tcPr>
          <w:p w:rsidR="007528AD" w:rsidRPr="00900A63" w:rsidP="007528AD" w14:paraId="218A9C19" w14:textId="556354C6">
            <w:pPr>
              <w:spacing w:after="120"/>
              <w:jc w:val="center"/>
              <w:rPr>
                <w:rFonts w:ascii="Arial" w:hAnsi="Arial" w:cs="Arial"/>
                <w:sz w:val="16"/>
                <w:szCs w:val="16"/>
                <w:highlight w:val="cyan"/>
              </w:rPr>
            </w:pPr>
            <w:r>
              <w:rPr>
                <w:rFonts w:ascii="Arial" w:hAnsi="Arial" w:cs="Arial"/>
                <w:sz w:val="16"/>
                <w:szCs w:val="16"/>
              </w:rPr>
              <w:t>($247,693,715)</w:t>
            </w:r>
          </w:p>
        </w:tc>
        <w:tc>
          <w:tcPr>
            <w:tcW w:w="1893" w:type="dxa"/>
            <w:tcBorders>
              <w:top w:val="nil"/>
              <w:left w:val="nil"/>
              <w:bottom w:val="single" w:sz="4" w:space="0" w:color="auto"/>
              <w:right w:val="single" w:sz="4" w:space="0" w:color="auto"/>
            </w:tcBorders>
            <w:shd w:val="clear" w:color="000000" w:fill="FFFFFF"/>
            <w:noWrap/>
            <w:vAlign w:val="center"/>
          </w:tcPr>
          <w:p w:rsidR="007528AD" w:rsidRPr="00900A63" w:rsidP="007528AD" w14:paraId="5D93351C" w14:textId="594C8ED8">
            <w:pPr>
              <w:jc w:val="center"/>
              <w:rPr>
                <w:rFonts w:ascii="Arial" w:hAnsi="Arial" w:cs="Arial"/>
                <w:sz w:val="16"/>
                <w:szCs w:val="16"/>
                <w:highlight w:val="cyan"/>
              </w:rPr>
            </w:pPr>
            <w:r>
              <w:rPr>
                <w:rFonts w:ascii="Arial" w:hAnsi="Arial" w:cs="Arial"/>
                <w:sz w:val="16"/>
                <w:szCs w:val="16"/>
              </w:rPr>
              <w:t>($54,990,106)</w:t>
            </w:r>
          </w:p>
        </w:tc>
        <w:tc>
          <w:tcPr>
            <w:tcW w:w="1893" w:type="dxa"/>
            <w:tcBorders>
              <w:top w:val="nil"/>
              <w:left w:val="nil"/>
              <w:bottom w:val="single" w:sz="4" w:space="0" w:color="auto"/>
              <w:right w:val="single" w:sz="12" w:space="0" w:color="auto"/>
            </w:tcBorders>
            <w:shd w:val="clear" w:color="000000" w:fill="FFFFFF"/>
            <w:noWrap/>
            <w:vAlign w:val="center"/>
          </w:tcPr>
          <w:p w:rsidR="007528AD" w:rsidRPr="00900A63" w:rsidP="007528AD" w14:paraId="73695EB1" w14:textId="46684B9E">
            <w:pPr>
              <w:jc w:val="center"/>
              <w:rPr>
                <w:rFonts w:ascii="Arial" w:hAnsi="Arial" w:cs="Arial"/>
                <w:sz w:val="16"/>
                <w:szCs w:val="16"/>
                <w:highlight w:val="cyan"/>
              </w:rPr>
            </w:pPr>
            <w:r>
              <w:rPr>
                <w:rFonts w:ascii="Arial" w:hAnsi="Arial" w:cs="Arial"/>
                <w:sz w:val="16"/>
                <w:szCs w:val="16"/>
              </w:rPr>
              <w:t>($302,683,821)</w:t>
            </w:r>
          </w:p>
        </w:tc>
      </w:tr>
      <w:tr w14:paraId="114E4CD2" w14:textId="77777777" w:rsidTr="00900A63">
        <w:tblPrEx>
          <w:tblW w:w="9360" w:type="dxa"/>
          <w:tblLook w:val="04A0"/>
        </w:tblPrEx>
        <w:trPr>
          <w:trHeight w:val="300"/>
          <w:tblHeader/>
        </w:trPr>
        <w:tc>
          <w:tcPr>
            <w:tcW w:w="1097" w:type="dxa"/>
            <w:tcBorders>
              <w:top w:val="nil"/>
              <w:left w:val="single" w:sz="12" w:space="0" w:color="auto"/>
              <w:bottom w:val="double" w:sz="6" w:space="0" w:color="auto"/>
              <w:right w:val="single" w:sz="4" w:space="0" w:color="auto"/>
            </w:tcBorders>
            <w:shd w:val="clear" w:color="000000" w:fill="FFFFFF"/>
            <w:noWrap/>
            <w:vAlign w:val="bottom"/>
            <w:hideMark/>
          </w:tcPr>
          <w:p w:rsidR="007528AD" w:rsidRPr="005D0593" w:rsidP="007528AD" w14:paraId="5E83D993" w14:textId="77777777">
            <w:pPr>
              <w:spacing w:after="120"/>
              <w:rPr>
                <w:rFonts w:ascii="Arial" w:hAnsi="Arial" w:cs="Arial"/>
                <w:sz w:val="16"/>
                <w:szCs w:val="16"/>
              </w:rPr>
            </w:pPr>
            <w:r w:rsidRPr="005D0593">
              <w:rPr>
                <w:rFonts w:ascii="Arial" w:hAnsi="Arial" w:cs="Arial"/>
                <w:sz w:val="16"/>
                <w:szCs w:val="16"/>
              </w:rPr>
              <w:t xml:space="preserve">3 </w:t>
            </w:r>
          </w:p>
        </w:tc>
        <w:tc>
          <w:tcPr>
            <w:tcW w:w="1264" w:type="dxa"/>
            <w:tcBorders>
              <w:top w:val="nil"/>
              <w:left w:val="nil"/>
              <w:bottom w:val="double" w:sz="6" w:space="0" w:color="auto"/>
              <w:right w:val="single" w:sz="4" w:space="0" w:color="auto"/>
            </w:tcBorders>
            <w:noWrap/>
            <w:vAlign w:val="center"/>
          </w:tcPr>
          <w:p w:rsidR="007528AD" w:rsidRPr="00900A63" w:rsidP="007528AD" w14:paraId="033EC442" w14:textId="28EA8781">
            <w:pPr>
              <w:keepNext/>
              <w:spacing w:after="120"/>
              <w:jc w:val="center"/>
              <w:rPr>
                <w:rFonts w:ascii="Arial" w:hAnsi="Arial" w:cs="Arial"/>
                <w:sz w:val="16"/>
                <w:szCs w:val="16"/>
                <w:highlight w:val="cyan"/>
              </w:rPr>
            </w:pPr>
            <w:r>
              <w:rPr>
                <w:rFonts w:ascii="Arial" w:hAnsi="Arial" w:cs="Arial"/>
                <w:color w:val="000000"/>
                <w:sz w:val="16"/>
                <w:szCs w:val="16"/>
              </w:rPr>
              <w:t>(8,971)</w:t>
            </w:r>
          </w:p>
        </w:tc>
        <w:tc>
          <w:tcPr>
            <w:tcW w:w="1320" w:type="dxa"/>
            <w:tcBorders>
              <w:top w:val="nil"/>
              <w:left w:val="nil"/>
              <w:bottom w:val="double" w:sz="6" w:space="0" w:color="auto"/>
              <w:right w:val="single" w:sz="4" w:space="0" w:color="auto"/>
            </w:tcBorders>
            <w:shd w:val="clear" w:color="000000" w:fill="FFFFFF"/>
            <w:noWrap/>
            <w:vAlign w:val="center"/>
          </w:tcPr>
          <w:p w:rsidR="007528AD" w:rsidRPr="00900A63" w:rsidP="007528AD" w14:paraId="19FBC204" w14:textId="485D1703">
            <w:pPr>
              <w:spacing w:after="120"/>
              <w:jc w:val="center"/>
              <w:rPr>
                <w:rFonts w:ascii="Arial" w:hAnsi="Arial" w:cs="Arial"/>
                <w:sz w:val="16"/>
                <w:szCs w:val="16"/>
                <w:highlight w:val="cyan"/>
              </w:rPr>
            </w:pPr>
            <w:r>
              <w:rPr>
                <w:rFonts w:ascii="Arial" w:hAnsi="Arial" w:cs="Arial"/>
                <w:color w:val="000000"/>
                <w:sz w:val="16"/>
                <w:szCs w:val="16"/>
              </w:rPr>
              <w:t>(2,596,244)</w:t>
            </w:r>
          </w:p>
        </w:tc>
        <w:tc>
          <w:tcPr>
            <w:tcW w:w="1893" w:type="dxa"/>
            <w:tcBorders>
              <w:top w:val="nil"/>
              <w:left w:val="nil"/>
              <w:bottom w:val="double" w:sz="6" w:space="0" w:color="auto"/>
              <w:right w:val="single" w:sz="4" w:space="0" w:color="auto"/>
            </w:tcBorders>
            <w:shd w:val="clear" w:color="000000" w:fill="FFFFFF"/>
            <w:noWrap/>
            <w:vAlign w:val="center"/>
          </w:tcPr>
          <w:p w:rsidR="007528AD" w:rsidRPr="00900A63" w:rsidP="007528AD" w14:paraId="6A4EC31C" w14:textId="7A5C6CBC">
            <w:pPr>
              <w:spacing w:after="120"/>
              <w:jc w:val="center"/>
              <w:rPr>
                <w:rFonts w:ascii="Arial" w:hAnsi="Arial" w:cs="Arial"/>
                <w:sz w:val="16"/>
                <w:szCs w:val="16"/>
                <w:highlight w:val="cyan"/>
              </w:rPr>
            </w:pPr>
            <w:r>
              <w:rPr>
                <w:rFonts w:ascii="Arial" w:hAnsi="Arial" w:cs="Arial"/>
                <w:sz w:val="16"/>
                <w:szCs w:val="16"/>
              </w:rPr>
              <w:t>($247,693,715)</w:t>
            </w:r>
          </w:p>
        </w:tc>
        <w:tc>
          <w:tcPr>
            <w:tcW w:w="1893" w:type="dxa"/>
            <w:tcBorders>
              <w:top w:val="nil"/>
              <w:left w:val="nil"/>
              <w:bottom w:val="double" w:sz="6" w:space="0" w:color="auto"/>
              <w:right w:val="single" w:sz="4" w:space="0" w:color="auto"/>
            </w:tcBorders>
            <w:shd w:val="clear" w:color="000000" w:fill="FFFFFF"/>
            <w:noWrap/>
            <w:vAlign w:val="center"/>
          </w:tcPr>
          <w:p w:rsidR="007528AD" w:rsidRPr="00900A63" w:rsidP="007528AD" w14:paraId="6A9FE7BB" w14:textId="74F8AA21">
            <w:pPr>
              <w:jc w:val="center"/>
              <w:rPr>
                <w:rFonts w:ascii="Arial" w:hAnsi="Arial" w:cs="Arial"/>
                <w:sz w:val="16"/>
                <w:szCs w:val="16"/>
                <w:highlight w:val="cyan"/>
              </w:rPr>
            </w:pPr>
            <w:r>
              <w:rPr>
                <w:rFonts w:ascii="Arial" w:hAnsi="Arial" w:cs="Arial"/>
                <w:sz w:val="16"/>
                <w:szCs w:val="16"/>
              </w:rPr>
              <w:t>($54,990,106)</w:t>
            </w:r>
          </w:p>
        </w:tc>
        <w:tc>
          <w:tcPr>
            <w:tcW w:w="1893" w:type="dxa"/>
            <w:tcBorders>
              <w:top w:val="nil"/>
              <w:left w:val="nil"/>
              <w:bottom w:val="double" w:sz="6" w:space="0" w:color="auto"/>
              <w:right w:val="single" w:sz="12" w:space="0" w:color="auto"/>
            </w:tcBorders>
            <w:shd w:val="clear" w:color="000000" w:fill="FFFFFF"/>
            <w:noWrap/>
            <w:vAlign w:val="center"/>
          </w:tcPr>
          <w:p w:rsidR="007528AD" w:rsidRPr="00900A63" w:rsidP="007528AD" w14:paraId="1389D39E" w14:textId="59539ADD">
            <w:pPr>
              <w:jc w:val="center"/>
              <w:rPr>
                <w:rFonts w:ascii="Arial" w:hAnsi="Arial" w:cs="Arial"/>
                <w:sz w:val="16"/>
                <w:szCs w:val="16"/>
                <w:highlight w:val="cyan"/>
              </w:rPr>
            </w:pPr>
            <w:r>
              <w:rPr>
                <w:rFonts w:ascii="Arial" w:hAnsi="Arial" w:cs="Arial"/>
                <w:sz w:val="16"/>
                <w:szCs w:val="16"/>
              </w:rPr>
              <w:t>($302,683,821)</w:t>
            </w:r>
          </w:p>
        </w:tc>
      </w:tr>
      <w:tr w14:paraId="479699FC" w14:textId="77777777">
        <w:tblPrEx>
          <w:tblW w:w="9360" w:type="dxa"/>
          <w:tblLook w:val="04A0"/>
        </w:tblPrEx>
        <w:trPr>
          <w:trHeight w:val="300"/>
          <w:tblHeader/>
        </w:trPr>
        <w:tc>
          <w:tcPr>
            <w:tcW w:w="1097" w:type="dxa"/>
            <w:tcBorders>
              <w:top w:val="nil"/>
              <w:left w:val="single" w:sz="12" w:space="0" w:color="auto"/>
              <w:bottom w:val="single" w:sz="4" w:space="0" w:color="auto"/>
              <w:right w:val="single" w:sz="4" w:space="0" w:color="auto"/>
            </w:tcBorders>
            <w:shd w:val="clear" w:color="000000" w:fill="FFFFFF"/>
            <w:noWrap/>
            <w:vAlign w:val="center"/>
            <w:hideMark/>
          </w:tcPr>
          <w:p w:rsidR="007528AD" w:rsidRPr="005D0593" w:rsidP="007528AD" w14:paraId="63E7BF6E" w14:textId="428A1FA1">
            <w:pPr>
              <w:spacing w:after="120"/>
              <w:rPr>
                <w:rFonts w:ascii="Arial" w:hAnsi="Arial" w:cs="Arial"/>
                <w:sz w:val="16"/>
                <w:szCs w:val="16"/>
              </w:rPr>
            </w:pPr>
            <w:r>
              <w:rPr>
                <w:rFonts w:ascii="Arial" w:hAnsi="Arial" w:cs="Arial"/>
                <w:color w:val="000000"/>
                <w:sz w:val="16"/>
                <w:szCs w:val="16"/>
              </w:rPr>
              <w:t>Total (rounded)</w:t>
            </w:r>
          </w:p>
        </w:tc>
        <w:tc>
          <w:tcPr>
            <w:tcW w:w="1264" w:type="dxa"/>
            <w:tcBorders>
              <w:top w:val="nil"/>
              <w:left w:val="nil"/>
              <w:bottom w:val="single" w:sz="4" w:space="0" w:color="auto"/>
              <w:right w:val="single" w:sz="4" w:space="0" w:color="auto"/>
            </w:tcBorders>
            <w:noWrap/>
            <w:vAlign w:val="center"/>
          </w:tcPr>
          <w:p w:rsidR="007528AD" w:rsidRPr="00900A63" w:rsidP="007528AD" w14:paraId="4CA7D965" w14:textId="36489BF1">
            <w:pPr>
              <w:keepNext/>
              <w:spacing w:after="120"/>
              <w:jc w:val="center"/>
              <w:rPr>
                <w:rFonts w:ascii="Arial" w:hAnsi="Arial" w:cs="Arial"/>
                <w:sz w:val="16"/>
                <w:szCs w:val="16"/>
                <w:highlight w:val="cyan"/>
              </w:rPr>
            </w:pPr>
            <w:r>
              <w:rPr>
                <w:rFonts w:ascii="Arial" w:hAnsi="Arial" w:cs="Arial"/>
                <w:color w:val="000000"/>
                <w:sz w:val="16"/>
                <w:szCs w:val="16"/>
              </w:rPr>
              <w:t>(26,900)</w:t>
            </w:r>
          </w:p>
        </w:tc>
        <w:tc>
          <w:tcPr>
            <w:tcW w:w="1320" w:type="dxa"/>
            <w:tcBorders>
              <w:top w:val="nil"/>
              <w:left w:val="nil"/>
              <w:bottom w:val="single" w:sz="4" w:space="0" w:color="auto"/>
              <w:right w:val="single" w:sz="4" w:space="0" w:color="auto"/>
            </w:tcBorders>
            <w:noWrap/>
            <w:vAlign w:val="center"/>
          </w:tcPr>
          <w:p w:rsidR="007528AD" w:rsidRPr="00900A63" w:rsidP="007528AD" w14:paraId="5E4BC9E3" w14:textId="1A933BD4">
            <w:pPr>
              <w:spacing w:after="120"/>
              <w:jc w:val="center"/>
              <w:rPr>
                <w:rFonts w:ascii="Arial" w:hAnsi="Arial" w:cs="Arial"/>
                <w:sz w:val="16"/>
                <w:szCs w:val="16"/>
                <w:highlight w:val="cyan"/>
              </w:rPr>
            </w:pPr>
            <w:r>
              <w:rPr>
                <w:rFonts w:ascii="Arial" w:hAnsi="Arial" w:cs="Arial"/>
                <w:color w:val="000000"/>
                <w:sz w:val="16"/>
                <w:szCs w:val="16"/>
              </w:rPr>
              <w:t>(7,790,000)</w:t>
            </w:r>
          </w:p>
        </w:tc>
        <w:tc>
          <w:tcPr>
            <w:tcW w:w="1893" w:type="dxa"/>
            <w:tcBorders>
              <w:top w:val="nil"/>
              <w:left w:val="nil"/>
              <w:bottom w:val="single" w:sz="4" w:space="0" w:color="auto"/>
              <w:right w:val="single" w:sz="4" w:space="0" w:color="auto"/>
            </w:tcBorders>
            <w:shd w:val="clear" w:color="000000" w:fill="FFFFFF"/>
            <w:noWrap/>
            <w:vAlign w:val="center"/>
          </w:tcPr>
          <w:p w:rsidR="007528AD" w:rsidRPr="00900A63" w:rsidP="007528AD" w14:paraId="1C8CED46" w14:textId="77AAB4D6">
            <w:pPr>
              <w:spacing w:after="120"/>
              <w:jc w:val="center"/>
              <w:rPr>
                <w:rFonts w:ascii="Arial" w:hAnsi="Arial" w:cs="Arial"/>
                <w:sz w:val="16"/>
                <w:szCs w:val="16"/>
                <w:highlight w:val="cyan"/>
              </w:rPr>
            </w:pPr>
            <w:r>
              <w:rPr>
                <w:rFonts w:ascii="Arial" w:hAnsi="Arial" w:cs="Arial"/>
                <w:sz w:val="16"/>
                <w:szCs w:val="16"/>
              </w:rPr>
              <w:t>($743,000,000)</w:t>
            </w:r>
          </w:p>
        </w:tc>
        <w:tc>
          <w:tcPr>
            <w:tcW w:w="1893" w:type="dxa"/>
            <w:tcBorders>
              <w:top w:val="nil"/>
              <w:left w:val="nil"/>
              <w:bottom w:val="single" w:sz="4" w:space="0" w:color="auto"/>
              <w:right w:val="single" w:sz="4" w:space="0" w:color="auto"/>
            </w:tcBorders>
            <w:shd w:val="clear" w:color="000000" w:fill="FFFFFF"/>
            <w:noWrap/>
            <w:vAlign w:val="center"/>
          </w:tcPr>
          <w:p w:rsidR="007528AD" w:rsidRPr="00900A63" w:rsidP="007528AD" w14:paraId="657747CE" w14:textId="7257FE37">
            <w:pPr>
              <w:jc w:val="center"/>
              <w:rPr>
                <w:rFonts w:ascii="Arial" w:hAnsi="Arial" w:cs="Arial"/>
                <w:sz w:val="16"/>
                <w:szCs w:val="16"/>
                <w:highlight w:val="cyan"/>
              </w:rPr>
            </w:pPr>
            <w:r>
              <w:rPr>
                <w:rFonts w:ascii="Arial" w:hAnsi="Arial" w:cs="Arial"/>
                <w:sz w:val="16"/>
                <w:szCs w:val="16"/>
              </w:rPr>
              <w:t>($165,000,000)</w:t>
            </w:r>
          </w:p>
        </w:tc>
        <w:tc>
          <w:tcPr>
            <w:tcW w:w="1893" w:type="dxa"/>
            <w:tcBorders>
              <w:top w:val="nil"/>
              <w:left w:val="nil"/>
              <w:bottom w:val="single" w:sz="4" w:space="0" w:color="auto"/>
              <w:right w:val="single" w:sz="12" w:space="0" w:color="auto"/>
            </w:tcBorders>
            <w:shd w:val="clear" w:color="000000" w:fill="FFFFFF"/>
            <w:noWrap/>
            <w:vAlign w:val="center"/>
          </w:tcPr>
          <w:p w:rsidR="007528AD" w:rsidRPr="00900A63" w:rsidP="007528AD" w14:paraId="2C0A9E93" w14:textId="54BEFD4F">
            <w:pPr>
              <w:jc w:val="center"/>
              <w:rPr>
                <w:rFonts w:ascii="Arial" w:hAnsi="Arial" w:cs="Arial"/>
                <w:sz w:val="16"/>
                <w:szCs w:val="16"/>
                <w:highlight w:val="cyan"/>
              </w:rPr>
            </w:pPr>
            <w:r>
              <w:rPr>
                <w:rFonts w:ascii="Arial" w:hAnsi="Arial" w:cs="Arial"/>
                <w:sz w:val="16"/>
                <w:szCs w:val="16"/>
              </w:rPr>
              <w:t>($908,000,000)</w:t>
            </w:r>
          </w:p>
        </w:tc>
      </w:tr>
      <w:tr w14:paraId="6ACDA503" w14:textId="77777777">
        <w:tblPrEx>
          <w:tblW w:w="9360" w:type="dxa"/>
          <w:tblLook w:val="04A0"/>
        </w:tblPrEx>
        <w:trPr>
          <w:trHeight w:val="300"/>
          <w:tblHeader/>
        </w:trPr>
        <w:tc>
          <w:tcPr>
            <w:tcW w:w="1097" w:type="dxa"/>
            <w:tcBorders>
              <w:top w:val="nil"/>
              <w:left w:val="single" w:sz="12" w:space="0" w:color="auto"/>
              <w:bottom w:val="single" w:sz="12" w:space="0" w:color="auto"/>
              <w:right w:val="single" w:sz="4" w:space="0" w:color="auto"/>
            </w:tcBorders>
            <w:noWrap/>
            <w:vAlign w:val="center"/>
            <w:hideMark/>
          </w:tcPr>
          <w:p w:rsidR="007528AD" w:rsidRPr="005D0593" w:rsidP="007528AD" w14:paraId="711E2774" w14:textId="6BAC2CA8">
            <w:pPr>
              <w:spacing w:after="120"/>
              <w:rPr>
                <w:rFonts w:ascii="Arial" w:hAnsi="Arial" w:cs="Arial"/>
                <w:sz w:val="16"/>
                <w:szCs w:val="16"/>
              </w:rPr>
            </w:pPr>
            <w:r>
              <w:rPr>
                <w:rFonts w:ascii="Arial" w:hAnsi="Arial" w:cs="Arial"/>
                <w:color w:val="000000"/>
                <w:sz w:val="16"/>
                <w:szCs w:val="16"/>
              </w:rPr>
              <w:t>3-Yr Annual Average (rounded)</w:t>
            </w:r>
          </w:p>
        </w:tc>
        <w:tc>
          <w:tcPr>
            <w:tcW w:w="1264" w:type="dxa"/>
            <w:tcBorders>
              <w:top w:val="nil"/>
              <w:left w:val="nil"/>
              <w:bottom w:val="single" w:sz="12" w:space="0" w:color="auto"/>
              <w:right w:val="single" w:sz="4" w:space="0" w:color="auto"/>
            </w:tcBorders>
            <w:noWrap/>
            <w:vAlign w:val="center"/>
          </w:tcPr>
          <w:p w:rsidR="007528AD" w:rsidRPr="00900A63" w:rsidP="007528AD" w14:paraId="2CDC6EC6" w14:textId="1D6AEE3D">
            <w:pPr>
              <w:keepNext/>
              <w:spacing w:after="120"/>
              <w:jc w:val="center"/>
              <w:rPr>
                <w:rFonts w:ascii="Arial" w:hAnsi="Arial" w:cs="Arial"/>
                <w:sz w:val="16"/>
                <w:szCs w:val="16"/>
                <w:highlight w:val="cyan"/>
              </w:rPr>
            </w:pPr>
            <w:r>
              <w:rPr>
                <w:rFonts w:ascii="Arial" w:hAnsi="Arial" w:cs="Arial"/>
                <w:color w:val="000000"/>
                <w:sz w:val="16"/>
                <w:szCs w:val="16"/>
              </w:rPr>
              <w:t>(8,970)</w:t>
            </w:r>
          </w:p>
        </w:tc>
        <w:tc>
          <w:tcPr>
            <w:tcW w:w="1320" w:type="dxa"/>
            <w:tcBorders>
              <w:top w:val="nil"/>
              <w:left w:val="nil"/>
              <w:bottom w:val="single" w:sz="12" w:space="0" w:color="auto"/>
              <w:right w:val="single" w:sz="4" w:space="0" w:color="auto"/>
            </w:tcBorders>
            <w:noWrap/>
            <w:vAlign w:val="center"/>
          </w:tcPr>
          <w:p w:rsidR="007528AD" w:rsidRPr="00900A63" w:rsidP="007528AD" w14:paraId="1F926F7C" w14:textId="2A4252CF">
            <w:pPr>
              <w:spacing w:after="120"/>
              <w:jc w:val="center"/>
              <w:rPr>
                <w:rFonts w:ascii="Arial" w:hAnsi="Arial" w:cs="Arial"/>
                <w:sz w:val="16"/>
                <w:szCs w:val="16"/>
                <w:highlight w:val="cyan"/>
              </w:rPr>
            </w:pPr>
            <w:r>
              <w:rPr>
                <w:rFonts w:ascii="Arial" w:hAnsi="Arial" w:cs="Arial"/>
                <w:color w:val="000000"/>
                <w:sz w:val="16"/>
                <w:szCs w:val="16"/>
              </w:rPr>
              <w:t>(2,600,000)</w:t>
            </w:r>
          </w:p>
        </w:tc>
        <w:tc>
          <w:tcPr>
            <w:tcW w:w="1893" w:type="dxa"/>
            <w:tcBorders>
              <w:top w:val="nil"/>
              <w:left w:val="nil"/>
              <w:bottom w:val="single" w:sz="12" w:space="0" w:color="auto"/>
              <w:right w:val="single" w:sz="4" w:space="0" w:color="auto"/>
            </w:tcBorders>
            <w:noWrap/>
            <w:vAlign w:val="center"/>
          </w:tcPr>
          <w:p w:rsidR="007528AD" w:rsidRPr="00900A63" w:rsidP="007528AD" w14:paraId="4FCB9B72" w14:textId="6FE1E9E1">
            <w:pPr>
              <w:spacing w:after="120"/>
              <w:jc w:val="center"/>
              <w:rPr>
                <w:rFonts w:ascii="Arial" w:hAnsi="Arial" w:cs="Arial"/>
                <w:sz w:val="16"/>
                <w:szCs w:val="16"/>
                <w:highlight w:val="cyan"/>
              </w:rPr>
            </w:pPr>
            <w:r>
              <w:rPr>
                <w:rFonts w:ascii="Arial" w:hAnsi="Arial" w:cs="Arial"/>
                <w:sz w:val="16"/>
                <w:szCs w:val="16"/>
              </w:rPr>
              <w:t>($248,000,000)</w:t>
            </w:r>
          </w:p>
        </w:tc>
        <w:tc>
          <w:tcPr>
            <w:tcW w:w="1893" w:type="dxa"/>
            <w:tcBorders>
              <w:top w:val="nil"/>
              <w:left w:val="nil"/>
              <w:bottom w:val="single" w:sz="12" w:space="0" w:color="auto"/>
              <w:right w:val="single" w:sz="4" w:space="0" w:color="auto"/>
            </w:tcBorders>
            <w:noWrap/>
            <w:vAlign w:val="center"/>
          </w:tcPr>
          <w:p w:rsidR="007528AD" w:rsidRPr="00900A63" w:rsidP="007528AD" w14:paraId="5117557B" w14:textId="61008F28">
            <w:pPr>
              <w:jc w:val="center"/>
              <w:rPr>
                <w:rFonts w:ascii="Arial" w:hAnsi="Arial" w:cs="Arial"/>
                <w:sz w:val="16"/>
                <w:szCs w:val="16"/>
                <w:highlight w:val="cyan"/>
              </w:rPr>
            </w:pPr>
            <w:r>
              <w:rPr>
                <w:rFonts w:ascii="Arial" w:hAnsi="Arial" w:cs="Arial"/>
                <w:sz w:val="16"/>
                <w:szCs w:val="16"/>
              </w:rPr>
              <w:t>($55,000,000)</w:t>
            </w:r>
          </w:p>
        </w:tc>
        <w:tc>
          <w:tcPr>
            <w:tcW w:w="1893" w:type="dxa"/>
            <w:tcBorders>
              <w:top w:val="nil"/>
              <w:left w:val="nil"/>
              <w:bottom w:val="single" w:sz="12" w:space="0" w:color="auto"/>
              <w:right w:val="single" w:sz="12" w:space="0" w:color="auto"/>
            </w:tcBorders>
            <w:noWrap/>
            <w:vAlign w:val="center"/>
          </w:tcPr>
          <w:p w:rsidR="007528AD" w:rsidRPr="00900A63" w:rsidP="007528AD" w14:paraId="07372D33" w14:textId="058D3912">
            <w:pPr>
              <w:jc w:val="center"/>
              <w:rPr>
                <w:rFonts w:ascii="Arial" w:hAnsi="Arial" w:cs="Arial"/>
                <w:sz w:val="16"/>
                <w:szCs w:val="16"/>
                <w:highlight w:val="cyan"/>
              </w:rPr>
            </w:pPr>
            <w:r>
              <w:rPr>
                <w:rFonts w:ascii="Arial" w:hAnsi="Arial" w:cs="Arial"/>
                <w:sz w:val="16"/>
                <w:szCs w:val="16"/>
              </w:rPr>
              <w:t>($303,000,000)</w:t>
            </w:r>
          </w:p>
        </w:tc>
      </w:tr>
    </w:tbl>
    <w:p w:rsidR="009570C8" w:rsidP="009570C8" w14:paraId="68CCBE4C" w14:textId="77777777">
      <w:pPr>
        <w:rPr>
          <w:rFonts w:cstheme="minorHAnsi"/>
        </w:rPr>
      </w:pPr>
    </w:p>
    <w:p w:rsidR="004647B0" w:rsidRPr="00A945E1" w:rsidP="004647B0" w14:paraId="33C93CEB" w14:textId="41A818D0">
      <w:pPr>
        <w:pStyle w:val="Heading2"/>
        <w:spacing w:line="360" w:lineRule="auto"/>
        <w:rPr>
          <w:rFonts w:asciiTheme="minorHAnsi" w:eastAsiaTheme="minorEastAsia" w:hAnsiTheme="minorHAnsi" w:cstheme="minorHAnsi"/>
          <w:color w:val="auto"/>
          <w:sz w:val="22"/>
          <w:szCs w:val="22"/>
        </w:rPr>
      </w:pPr>
      <w:r w:rsidRPr="00A945E1">
        <w:rPr>
          <w:rFonts w:asciiTheme="minorHAnsi" w:eastAsiaTheme="minorEastAsia" w:hAnsiTheme="minorHAnsi" w:cstheme="minorHAnsi"/>
          <w:color w:val="auto"/>
          <w:sz w:val="22"/>
          <w:szCs w:val="22"/>
        </w:rPr>
        <w:t>12</w:t>
      </w:r>
      <w:r w:rsidR="00A166B7">
        <w:rPr>
          <w:rFonts w:asciiTheme="minorHAnsi" w:eastAsiaTheme="minorEastAsia" w:hAnsiTheme="minorHAnsi" w:cstheme="minorHAnsi"/>
          <w:color w:val="auto"/>
          <w:sz w:val="22"/>
          <w:szCs w:val="22"/>
        </w:rPr>
        <w:t>d</w:t>
      </w:r>
      <w:r w:rsidRPr="00A945E1">
        <w:rPr>
          <w:rFonts w:asciiTheme="minorHAnsi" w:eastAsiaTheme="minorEastAsia" w:hAnsiTheme="minorHAnsi" w:cstheme="minorHAnsi"/>
          <w:color w:val="auto"/>
          <w:sz w:val="22"/>
          <w:szCs w:val="22"/>
        </w:rPr>
        <w:t>(ii) Estimating Respondent Costs</w:t>
      </w:r>
      <w:bookmarkEnd w:id="21"/>
    </w:p>
    <w:p w:rsidR="00E12350" w:rsidRPr="00442406" w:rsidP="00E12350" w14:paraId="2B5FC719" w14:textId="69E1342E">
      <w:pPr>
        <w:keepNext/>
        <w:keepLines/>
        <w:autoSpaceDE w:val="0"/>
        <w:autoSpaceDN w:val="0"/>
        <w:adjustRightInd w:val="0"/>
        <w:ind w:firstLine="720"/>
      </w:pPr>
      <w:r w:rsidRPr="002C377E">
        <w:t>The burden of the current reporting requirements</w:t>
      </w:r>
      <w:r w:rsidR="00296129">
        <w:t xml:space="preserve"> for the </w:t>
      </w:r>
      <w:r w:rsidR="00296129">
        <w:t>2025 reporting year</w:t>
      </w:r>
      <w:r w:rsidR="00442406">
        <w:t xml:space="preserve"> </w:t>
      </w:r>
      <w:r w:rsidR="00442406">
        <w:t>were</w:t>
      </w:r>
      <w:r w:rsidR="00442406">
        <w:t xml:space="preserve"> estimated </w:t>
      </w:r>
      <w:r w:rsidR="00B1388F">
        <w:t xml:space="preserve">to serve as a baseline for estimating the reduced burden </w:t>
      </w:r>
      <w:r w:rsidR="000D462D">
        <w:t>resulting from the proposed reconsideration</w:t>
      </w:r>
      <w:r w:rsidR="0051021D">
        <w:t xml:space="preserve"> in the following manner</w:t>
      </w:r>
      <w:r w:rsidRPr="00442406">
        <w:t>:</w:t>
      </w:r>
    </w:p>
    <w:p w:rsidR="00E12350" w:rsidRPr="00442406" w:rsidP="00E12350" w14:paraId="1465CE58" w14:textId="7F9BB787">
      <w:pPr>
        <w:keepNext/>
        <w:keepLines/>
        <w:autoSpaceDE w:val="0"/>
        <w:autoSpaceDN w:val="0"/>
        <w:adjustRightInd w:val="0"/>
        <w:ind w:firstLine="720"/>
      </w:pPr>
      <w:r w:rsidRPr="00442406">
        <w:t>1.</w:t>
      </w:r>
      <w:r w:rsidR="002C377E">
        <w:t xml:space="preserve"> </w:t>
      </w:r>
      <w:r w:rsidR="00DA35BE">
        <w:t xml:space="preserve">The </w:t>
      </w:r>
      <w:r w:rsidR="00700D5E">
        <w:t xml:space="preserve">burden estimate from the </w:t>
      </w:r>
      <w:r w:rsidR="00DA35BE">
        <w:t xml:space="preserve">most recent ICR </w:t>
      </w:r>
      <w:r w:rsidRPr="00442406">
        <w:t>renewal 2300.20</w:t>
      </w:r>
      <w:r w:rsidR="005867EC">
        <w:t xml:space="preserve">, </w:t>
      </w:r>
      <w:r w:rsidRPr="00442406" w:rsidR="005867EC">
        <w:t>Exhibit 6.1</w:t>
      </w:r>
      <w:r w:rsidR="007C6C4E">
        <w:t xml:space="preserve">, was used for the </w:t>
      </w:r>
      <w:r w:rsidR="000733CE">
        <w:t xml:space="preserve">burden of the </w:t>
      </w:r>
      <w:r w:rsidR="007C6C4E">
        <w:t xml:space="preserve">GHGRP as of </w:t>
      </w:r>
      <w:r w:rsidR="000733CE">
        <w:t>2024</w:t>
      </w:r>
      <w:r w:rsidRPr="00442406">
        <w:t xml:space="preserve"> for annual reporting </w:t>
      </w:r>
      <w:r w:rsidR="001B3926">
        <w:t xml:space="preserve">in 2025 </w:t>
      </w:r>
      <w:r w:rsidRPr="00442406">
        <w:t>for all subparts</w:t>
      </w:r>
      <w:r w:rsidR="00D4216F">
        <w:t xml:space="preserve">. </w:t>
      </w:r>
      <w:r w:rsidR="006A4ABE">
        <w:t xml:space="preserve">These values included </w:t>
      </w:r>
      <w:r w:rsidR="00D85294">
        <w:t xml:space="preserve">for each subpart </w:t>
      </w:r>
      <w:r w:rsidR="006A4ABE">
        <w:t xml:space="preserve">the </w:t>
      </w:r>
      <w:r w:rsidRPr="00442406">
        <w:t xml:space="preserve">number of respondents per year, the number of responses per respondent, and the technical, managerial, clerical, and legal hours per year, </w:t>
      </w:r>
      <w:r w:rsidR="007D5C41">
        <w:t xml:space="preserve">the total labor cost, and </w:t>
      </w:r>
      <w:r w:rsidRPr="00442406">
        <w:t>the O&amp;M costs</w:t>
      </w:r>
      <w:r w:rsidR="00043262">
        <w:t xml:space="preserve"> and the total costs</w:t>
      </w:r>
      <w:r w:rsidRPr="00442406">
        <w:t xml:space="preserve">. </w:t>
      </w:r>
      <w:r w:rsidR="00043262">
        <w:t xml:space="preserve">These values were converted to the average </w:t>
      </w:r>
      <w:r w:rsidRPr="00442406">
        <w:t>h</w:t>
      </w:r>
      <w:r w:rsidR="00ED5D5E">
        <w:t>ou</w:t>
      </w:r>
      <w:r w:rsidRPr="00442406">
        <w:t>rs and</w:t>
      </w:r>
      <w:r w:rsidR="00ED5D5E">
        <w:t xml:space="preserve"> dollars per </w:t>
      </w:r>
      <w:r w:rsidRPr="00442406">
        <w:t>respondent</w:t>
      </w:r>
      <w:r w:rsidR="00E07D64">
        <w:t xml:space="preserve"> (Table 1 of Attachment 1)</w:t>
      </w:r>
      <w:r w:rsidRPr="00442406">
        <w:t xml:space="preserve">. </w:t>
      </w:r>
      <w:r w:rsidR="004962F6">
        <w:t>The a</w:t>
      </w:r>
      <w:r w:rsidR="0049485A">
        <w:t>c</w:t>
      </w:r>
      <w:r w:rsidR="004962F6">
        <w:t>tivi</w:t>
      </w:r>
      <w:r w:rsidR="0049485A">
        <w:t>ti</w:t>
      </w:r>
      <w:r w:rsidR="004962F6">
        <w:t xml:space="preserve">es for each respondent for each subpart are documented in the supporting statement for </w:t>
      </w:r>
      <w:r w:rsidRPr="005D0593" w:rsidR="009D5300">
        <w:t>OMB 2060-0629</w:t>
      </w:r>
      <w:r w:rsidR="009D5300">
        <w:t xml:space="preserve">, </w:t>
      </w:r>
      <w:r w:rsidR="0049485A">
        <w:t xml:space="preserve">ICR </w:t>
      </w:r>
      <w:r w:rsidR="00E3786B">
        <w:t xml:space="preserve">No. </w:t>
      </w:r>
      <w:r w:rsidRPr="00442406">
        <w:t>2300.20.</w:t>
      </w:r>
    </w:p>
    <w:p w:rsidR="00E12350" w:rsidRPr="00442406" w:rsidP="00E12350" w14:paraId="2CF69CA9" w14:textId="07CB04A0">
      <w:pPr>
        <w:keepNext/>
        <w:keepLines/>
        <w:autoSpaceDE w:val="0"/>
        <w:autoSpaceDN w:val="0"/>
        <w:adjustRightInd w:val="0"/>
        <w:ind w:firstLine="720"/>
      </w:pPr>
      <w:r w:rsidRPr="00442406">
        <w:t>2.</w:t>
      </w:r>
      <w:r w:rsidR="002C377E">
        <w:t xml:space="preserve"> </w:t>
      </w:r>
      <w:r w:rsidR="00874A3D">
        <w:t xml:space="preserve">The GHGRP was </w:t>
      </w:r>
      <w:r w:rsidR="0034132C">
        <w:t xml:space="preserve">broadly </w:t>
      </w:r>
      <w:r w:rsidR="00874A3D">
        <w:t>amended in 2024</w:t>
      </w:r>
      <w:r w:rsidR="00AC44B5">
        <w:t>, which revised some reporting requirements</w:t>
      </w:r>
      <w:r w:rsidR="00CD6C8C">
        <w:t>, revised global warming potentials (GWP),</w:t>
      </w:r>
      <w:r w:rsidR="00AC44B5">
        <w:t xml:space="preserve"> and added several new subparts</w:t>
      </w:r>
      <w:r w:rsidR="00B06B5D">
        <w:t xml:space="preserve">. The incremental burden of these amendments </w:t>
      </w:r>
      <w:r w:rsidR="00CC35AA">
        <w:t xml:space="preserve">in the 2024 final rule </w:t>
      </w:r>
      <w:r w:rsidR="00CC35AA">
        <w:t>were</w:t>
      </w:r>
      <w:r w:rsidR="00CC35AA">
        <w:t xml:space="preserve"> </w:t>
      </w:r>
      <w:r w:rsidR="00901723">
        <w:t>documented in</w:t>
      </w:r>
      <w:r w:rsidR="00D01F79">
        <w:t xml:space="preserve"> </w:t>
      </w:r>
      <w:r w:rsidRPr="005D0593" w:rsidR="00D01F79">
        <w:t>OMB 2060-0748,</w:t>
      </w:r>
      <w:r w:rsidR="00901723">
        <w:t xml:space="preserve"> </w:t>
      </w:r>
      <w:r w:rsidRPr="00442406">
        <w:t>ICR 2773.02</w:t>
      </w:r>
      <w:r w:rsidR="00296EA7">
        <w:t>.</w:t>
      </w:r>
      <w:r w:rsidRPr="00442406">
        <w:t xml:space="preserve"> For </w:t>
      </w:r>
      <w:r w:rsidR="00311348">
        <w:t xml:space="preserve">the estimate of burden from </w:t>
      </w:r>
      <w:r w:rsidRPr="00442406">
        <w:t xml:space="preserve">all subparts except W, </w:t>
      </w:r>
      <w:r w:rsidR="002D2257">
        <w:t xml:space="preserve">the </w:t>
      </w:r>
      <w:r w:rsidR="00A617D1">
        <w:t xml:space="preserve">incremental </w:t>
      </w:r>
      <w:r w:rsidRPr="00442406">
        <w:t xml:space="preserve">burden </w:t>
      </w:r>
      <w:r w:rsidR="00205808">
        <w:t xml:space="preserve">for reporting in 2025 was selected </w:t>
      </w:r>
      <w:r w:rsidRPr="00442406">
        <w:t xml:space="preserve">from Table 1 (Year 1 - 2025) including the number of respondents, the technical, managerial, clerical, and legal hours per year, and the total O&amp;M costs. </w:t>
      </w:r>
      <w:r w:rsidR="00CE4712">
        <w:t>The activities for each respondent for each subpart are documented in the supporting statement for ICR</w:t>
      </w:r>
      <w:r w:rsidRPr="00442406">
        <w:t xml:space="preserve"> 2773.02.</w:t>
      </w:r>
      <w:r w:rsidR="00374409">
        <w:t xml:space="preserve"> The incremental burden was converted to the </w:t>
      </w:r>
      <w:r w:rsidR="00857BFC">
        <w:t xml:space="preserve">average hours and dollars per respondent </w:t>
      </w:r>
      <w:r w:rsidR="00195995">
        <w:t xml:space="preserve">using the same number of respondents as in step </w:t>
      </w:r>
      <w:r w:rsidR="006245DC">
        <w:t>1; the incremental number of respondents</w:t>
      </w:r>
      <w:r w:rsidR="00C478BB">
        <w:t xml:space="preserve"> </w:t>
      </w:r>
      <w:r w:rsidR="00D01F79">
        <w:t xml:space="preserve">included in ICR 2773.02 was not used </w:t>
      </w:r>
      <w:r w:rsidR="00C478BB">
        <w:t xml:space="preserve">to calculate the average </w:t>
      </w:r>
      <w:r w:rsidR="00DE591A">
        <w:t xml:space="preserve">per respondent </w:t>
      </w:r>
      <w:r w:rsidR="00C478BB">
        <w:t xml:space="preserve">because </w:t>
      </w:r>
      <w:r w:rsidR="00D01F79">
        <w:t>it</w:t>
      </w:r>
      <w:r w:rsidR="00C478BB">
        <w:t xml:space="preserve"> would overestimate the </w:t>
      </w:r>
      <w:r w:rsidR="0018127B">
        <w:t xml:space="preserve">burden </w:t>
      </w:r>
      <w:r w:rsidR="00DE591A">
        <w:t>when applied to all respondents</w:t>
      </w:r>
      <w:r w:rsidR="00E07D64">
        <w:t xml:space="preserve"> (Table 2 of Attachment 1)</w:t>
      </w:r>
      <w:r w:rsidR="006245DC">
        <w:t>.</w:t>
      </w:r>
      <w:r w:rsidR="000C53DF">
        <w:t xml:space="preserve"> </w:t>
      </w:r>
    </w:p>
    <w:p w:rsidR="00413C7C" w:rsidP="006B523B" w14:paraId="5B2F7BFE" w14:textId="74D81B43">
      <w:pPr>
        <w:widowControl w:val="0"/>
        <w:autoSpaceDE w:val="0"/>
        <w:autoSpaceDN w:val="0"/>
        <w:adjustRightInd w:val="0"/>
        <w:spacing w:after="0" w:line="240" w:lineRule="auto"/>
        <w:ind w:firstLine="720"/>
      </w:pPr>
      <w:r w:rsidRPr="00442406">
        <w:t>3.</w:t>
      </w:r>
      <w:r w:rsidR="005A5203">
        <w:t xml:space="preserve"> </w:t>
      </w:r>
      <w:r w:rsidR="005329A2">
        <w:t xml:space="preserve">The total hours per respondent </w:t>
      </w:r>
      <w:r w:rsidRPr="00442406">
        <w:t xml:space="preserve">per labor category </w:t>
      </w:r>
      <w:r w:rsidR="00505CAE">
        <w:t xml:space="preserve">and the </w:t>
      </w:r>
      <w:r w:rsidRPr="00442406">
        <w:t>total O&amp;M</w:t>
      </w:r>
      <w:r w:rsidR="00502345">
        <w:t xml:space="preserve"> cost </w:t>
      </w:r>
      <w:r w:rsidR="00013FDC">
        <w:t xml:space="preserve">per </w:t>
      </w:r>
      <w:r w:rsidRPr="00442406">
        <w:t xml:space="preserve">respondent for </w:t>
      </w:r>
      <w:r w:rsidR="00311348">
        <w:t>all non-W sectors</w:t>
      </w:r>
      <w:r w:rsidR="007D3E6A">
        <w:t xml:space="preserve"> </w:t>
      </w:r>
      <w:r w:rsidR="00013D74">
        <w:t>are</w:t>
      </w:r>
      <w:r w:rsidR="006D73B3">
        <w:t xml:space="preserve"> </w:t>
      </w:r>
      <w:r w:rsidR="007965AE">
        <w:t xml:space="preserve">equal to the </w:t>
      </w:r>
      <w:r w:rsidR="00DA632E">
        <w:t xml:space="preserve">sum of the </w:t>
      </w:r>
      <w:r w:rsidR="007965AE">
        <w:t xml:space="preserve">values per respondent </w:t>
      </w:r>
      <w:r w:rsidR="00F46459">
        <w:t xml:space="preserve">from </w:t>
      </w:r>
      <w:r w:rsidR="009D6405">
        <w:t>steps 1 and 2, above</w:t>
      </w:r>
      <w:r w:rsidR="0061241D">
        <w:t xml:space="preserve"> (Table 3 of Attachment 1)</w:t>
      </w:r>
      <w:r w:rsidR="009D6405">
        <w:t xml:space="preserve">. </w:t>
      </w:r>
      <w:r w:rsidR="00FE039A">
        <w:t>That is, t</w:t>
      </w:r>
      <w:r w:rsidR="006D73B3">
        <w:t xml:space="preserve">he sum of the </w:t>
      </w:r>
      <w:r w:rsidR="00007FFC">
        <w:t xml:space="preserve">average </w:t>
      </w:r>
      <w:r w:rsidR="006D73B3">
        <w:t>hours</w:t>
      </w:r>
      <w:r w:rsidR="00166423">
        <w:t xml:space="preserve"> </w:t>
      </w:r>
      <w:r w:rsidR="00007FFC">
        <w:t xml:space="preserve">per respondent </w:t>
      </w:r>
      <w:r w:rsidR="00166423">
        <w:t xml:space="preserve">for each labor category and the sum of the </w:t>
      </w:r>
      <w:r w:rsidR="004E7FEB">
        <w:t xml:space="preserve">average </w:t>
      </w:r>
      <w:r w:rsidR="00166423">
        <w:t>O&amp;M costs</w:t>
      </w:r>
      <w:r w:rsidR="009B58B6">
        <w:t xml:space="preserve"> per respondent</w:t>
      </w:r>
      <w:r w:rsidR="000D76B9">
        <w:t xml:space="preserve">, and the sum of the total </w:t>
      </w:r>
      <w:r w:rsidR="009B58B6">
        <w:t xml:space="preserve">average </w:t>
      </w:r>
      <w:r w:rsidR="000D76B9">
        <w:t>costs</w:t>
      </w:r>
      <w:r w:rsidR="00166423">
        <w:t xml:space="preserve"> </w:t>
      </w:r>
      <w:r w:rsidR="00D363F4">
        <w:t xml:space="preserve">per respondent </w:t>
      </w:r>
      <w:r w:rsidRPr="00442406">
        <w:t xml:space="preserve">from </w:t>
      </w:r>
      <w:r w:rsidR="00F20358">
        <w:t xml:space="preserve">ICR </w:t>
      </w:r>
      <w:r w:rsidRPr="00442406">
        <w:t xml:space="preserve">2300.20 and </w:t>
      </w:r>
      <w:r w:rsidR="00F20358">
        <w:t xml:space="preserve">ICR </w:t>
      </w:r>
      <w:r w:rsidRPr="00442406">
        <w:t xml:space="preserve">2773.02 </w:t>
      </w:r>
      <w:r w:rsidR="00DB1445">
        <w:t>for each subpart in the GHGRP</w:t>
      </w:r>
      <w:r w:rsidR="001338D5">
        <w:t xml:space="preserve"> were </w:t>
      </w:r>
      <w:r w:rsidR="00504A0B">
        <w:t>estim</w:t>
      </w:r>
      <w:r w:rsidR="00621836">
        <w:t xml:space="preserve">ated to calculate the adjusted costs </w:t>
      </w:r>
      <w:r w:rsidR="00E45BA1">
        <w:t xml:space="preserve">to </w:t>
      </w:r>
      <w:r w:rsidR="00311348">
        <w:t>all non</w:t>
      </w:r>
      <w:r w:rsidR="006A5A1F">
        <w:t>-</w:t>
      </w:r>
      <w:r w:rsidR="00387F24">
        <w:t xml:space="preserve">subpart </w:t>
      </w:r>
      <w:r w:rsidR="006A5A1F">
        <w:t>W sectors</w:t>
      </w:r>
      <w:r w:rsidR="00E45BA1">
        <w:t xml:space="preserve"> from the 2024 final rule amendments</w:t>
      </w:r>
      <w:r w:rsidR="00DB1445">
        <w:t>.</w:t>
      </w:r>
    </w:p>
    <w:p w:rsidR="006B523B" w:rsidP="006B523B" w14:paraId="63955D54" w14:textId="77777777">
      <w:pPr>
        <w:widowControl w:val="0"/>
        <w:autoSpaceDE w:val="0"/>
        <w:autoSpaceDN w:val="0"/>
        <w:adjustRightInd w:val="0"/>
        <w:spacing w:after="0" w:line="240" w:lineRule="auto"/>
        <w:ind w:firstLine="720"/>
      </w:pPr>
    </w:p>
    <w:p w:rsidR="00C24420" w:rsidP="006B523B" w14:paraId="76663253" w14:textId="6F0F7478">
      <w:pPr>
        <w:widowControl w:val="0"/>
        <w:autoSpaceDE w:val="0"/>
        <w:autoSpaceDN w:val="0"/>
        <w:adjustRightInd w:val="0"/>
        <w:spacing w:after="0" w:line="240" w:lineRule="auto"/>
        <w:ind w:firstLine="720"/>
      </w:pPr>
      <w:r>
        <w:t>4</w:t>
      </w:r>
      <w:r w:rsidR="00AF439C">
        <w:t xml:space="preserve">. For </w:t>
      </w:r>
      <w:r w:rsidR="00387F24">
        <w:t>s</w:t>
      </w:r>
      <w:r w:rsidR="00AF439C">
        <w:t>ubpart W, the baseline burden was estimated on an industry segment basis</w:t>
      </w:r>
      <w:r w:rsidR="0099190E">
        <w:t xml:space="preserve"> according to</w:t>
      </w:r>
      <w:r w:rsidR="00AF439C">
        <w:t xml:space="preserve"> the burden from the most recent ICR </w:t>
      </w:r>
      <w:r w:rsidRPr="00442406" w:rsidR="00AF439C">
        <w:t>renewal 2300.20</w:t>
      </w:r>
      <w:r w:rsidR="00AF439C">
        <w:t>, the incremental burden of the</w:t>
      </w:r>
      <w:r w:rsidR="0099190E">
        <w:t xml:space="preserve"> GWP</w:t>
      </w:r>
      <w:r w:rsidR="00AF439C">
        <w:t xml:space="preserve"> amendments in the 2024 final rule </w:t>
      </w:r>
      <w:r w:rsidR="0099190E">
        <w:t>(</w:t>
      </w:r>
      <w:r w:rsidRPr="005D0593" w:rsidR="00AF439C">
        <w:t>OMB 2060-0748,</w:t>
      </w:r>
      <w:r w:rsidR="00AF439C">
        <w:t xml:space="preserve"> </w:t>
      </w:r>
      <w:r w:rsidRPr="00442406" w:rsidR="00AF439C">
        <w:t>ICR 2773.02</w:t>
      </w:r>
      <w:r w:rsidR="0099190E">
        <w:t xml:space="preserve">), and the incremental burden from additional amendments </w:t>
      </w:r>
      <w:r w:rsidR="00873954">
        <w:t xml:space="preserve">from the 2024 final rule for subpart W, </w:t>
      </w:r>
      <w:r w:rsidR="00AF439C">
        <w:t>which revised the petroleum and natural gas source category to base reporting requirements on empirical data and accurately reflect total methane emissions and waste emissions from applicable facilities</w:t>
      </w:r>
      <w:r w:rsidR="00D742BD">
        <w:t xml:space="preserve"> (OMB</w:t>
      </w:r>
      <w:r w:rsidR="001B4E64">
        <w:t xml:space="preserve"> 2060-0751, ICR No. 2774.02).</w:t>
      </w:r>
      <w:r w:rsidR="009D7881">
        <w:t xml:space="preserve"> The incremental burden from ICR renewal 2300.20 was converted to the average </w:t>
      </w:r>
      <w:r w:rsidRPr="00442406" w:rsidR="009D7881">
        <w:t>h</w:t>
      </w:r>
      <w:r w:rsidR="009D7881">
        <w:t>ou</w:t>
      </w:r>
      <w:r w:rsidRPr="00442406" w:rsidR="009D7881">
        <w:t>rs and</w:t>
      </w:r>
      <w:r w:rsidR="009D7881">
        <w:t xml:space="preserve"> dollars per </w:t>
      </w:r>
      <w:r w:rsidRPr="00442406" w:rsidR="009D7881">
        <w:t>respondent</w:t>
      </w:r>
      <w:r w:rsidR="009D7881">
        <w:t xml:space="preserve"> </w:t>
      </w:r>
      <w:r w:rsidR="00D9395D">
        <w:t xml:space="preserve">per industry segment </w:t>
      </w:r>
      <w:r w:rsidRPr="00284DA9" w:rsidR="009D7881">
        <w:t xml:space="preserve">(Table </w:t>
      </w:r>
      <w:r w:rsidRPr="00284DA9" w:rsidR="008316BD">
        <w:t>5</w:t>
      </w:r>
      <w:r w:rsidRPr="00284DA9" w:rsidR="009D7881">
        <w:t xml:space="preserve"> of Attachment 1). The activities for each respondent </w:t>
      </w:r>
      <w:r w:rsidRPr="00284DA9" w:rsidR="0028677D">
        <w:t xml:space="preserve">in each segment </w:t>
      </w:r>
      <w:r w:rsidRPr="00284DA9" w:rsidR="009D7881">
        <w:t>are documented in the supporting statement for OMB 2060-0629, ICR No. 2300.20. T</w:t>
      </w:r>
      <w:r w:rsidRPr="00284DA9" w:rsidR="00D742BD">
        <w:t>he incremental burden</w:t>
      </w:r>
      <w:r w:rsidRPr="00284DA9" w:rsidR="009D7881">
        <w:t xml:space="preserve"> applicable to subpart W</w:t>
      </w:r>
      <w:r w:rsidRPr="00284DA9" w:rsidR="00D742BD">
        <w:t xml:space="preserve"> from ICR 2773.02 only accounts for the burden to new facilities and d</w:t>
      </w:r>
      <w:r w:rsidRPr="00284DA9" w:rsidR="008F1119">
        <w:t>oes</w:t>
      </w:r>
      <w:r w:rsidRPr="00284DA9" w:rsidR="00D742BD">
        <w:t xml:space="preserve"> not include any burden associated with </w:t>
      </w:r>
      <w:r w:rsidRPr="00284DA9" w:rsidR="008F1119">
        <w:t xml:space="preserve">revisions to </w:t>
      </w:r>
      <w:r w:rsidRPr="00284DA9" w:rsidR="00D742BD">
        <w:t xml:space="preserve">W reporting requirements, which were unchanged in ICR 2773.02. Therefore, the </w:t>
      </w:r>
      <w:r w:rsidRPr="00284DA9" w:rsidR="005C184F">
        <w:t>adjustments to</w:t>
      </w:r>
      <w:r w:rsidRPr="00284DA9" w:rsidR="00D742BD">
        <w:t xml:space="preserve"> burden for W reporters included from ICR 2773.02 is </w:t>
      </w:r>
      <w:r w:rsidRPr="00284DA9" w:rsidR="005C184F">
        <w:t>only to a</w:t>
      </w:r>
      <w:r w:rsidRPr="00284DA9" w:rsidR="00873954">
        <w:t>djust the</w:t>
      </w:r>
      <w:r w:rsidRPr="00284DA9" w:rsidR="00035688">
        <w:t xml:space="preserve"> total</w:t>
      </w:r>
      <w:r w:rsidRPr="00284DA9" w:rsidR="00873954">
        <w:t xml:space="preserve"> number of </w:t>
      </w:r>
      <w:r w:rsidRPr="00284DA9" w:rsidR="00035688">
        <w:t>respondents</w:t>
      </w:r>
      <w:r w:rsidRPr="00284DA9" w:rsidR="00873954">
        <w:t xml:space="preserve"> to add 188 reporters</w:t>
      </w:r>
      <w:r w:rsidRPr="00284DA9" w:rsidR="00D742BD">
        <w:t xml:space="preserve">. </w:t>
      </w:r>
      <w:r w:rsidRPr="00284DA9" w:rsidR="00E67D2D">
        <w:t xml:space="preserve">The incremental burden </w:t>
      </w:r>
      <w:r w:rsidRPr="00284DA9" w:rsidR="005C6711">
        <w:t xml:space="preserve">applicable to </w:t>
      </w:r>
      <w:r w:rsidRPr="00284DA9" w:rsidR="00167B00">
        <w:t xml:space="preserve">each industry segment </w:t>
      </w:r>
      <w:r w:rsidRPr="00284DA9" w:rsidR="00D9395D">
        <w:t>to</w:t>
      </w:r>
      <w:r w:rsidRPr="00284DA9" w:rsidR="00167B00">
        <w:t xml:space="preserve"> </w:t>
      </w:r>
      <w:r w:rsidRPr="00284DA9" w:rsidR="005C6711">
        <w:t xml:space="preserve">subpart W from </w:t>
      </w:r>
      <w:r w:rsidRPr="00284DA9" w:rsidR="00D9395D">
        <w:t>the</w:t>
      </w:r>
      <w:r w:rsidRPr="00284DA9" w:rsidR="00167B00">
        <w:t xml:space="preserve"> </w:t>
      </w:r>
      <w:r w:rsidRPr="00284DA9" w:rsidR="005C6711">
        <w:t xml:space="preserve">2024 </w:t>
      </w:r>
      <w:r w:rsidRPr="00284DA9" w:rsidR="00D9395D">
        <w:t>final amendments to subpart W</w:t>
      </w:r>
      <w:r w:rsidRPr="00284DA9" w:rsidR="00983F25">
        <w:t>, including t</w:t>
      </w:r>
      <w:r w:rsidRPr="00284DA9" w:rsidR="00AF439C">
        <w:t xml:space="preserve">he total number of </w:t>
      </w:r>
      <w:r w:rsidRPr="00284DA9" w:rsidR="00983F25">
        <w:t xml:space="preserve">new </w:t>
      </w:r>
      <w:r w:rsidRPr="00284DA9" w:rsidR="00AF439C">
        <w:t xml:space="preserve">respondents, total hours per labor category and the total O&amp;M costs </w:t>
      </w:r>
      <w:r w:rsidRPr="00284DA9" w:rsidR="00D9395D">
        <w:t xml:space="preserve">by industry segment, </w:t>
      </w:r>
      <w:r w:rsidRPr="00284DA9" w:rsidR="00AF439C">
        <w:t xml:space="preserve">were obtained from ICR No. 2774.02, Table A-1 to Appendix A (“Subpart W Labor Costs by Emission Source/Event and Industry Segment”). </w:t>
      </w:r>
      <w:r w:rsidRPr="00284DA9" w:rsidR="00D9395D">
        <w:t xml:space="preserve">This burden was converted to the average hours and dollars per respondent per industry segment (Table </w:t>
      </w:r>
      <w:r w:rsidRPr="00900A63" w:rsidR="008316BD">
        <w:t>6</w:t>
      </w:r>
      <w:r w:rsidRPr="00284DA9" w:rsidR="00D9395D">
        <w:t xml:space="preserve"> of Attachment 1).</w:t>
      </w:r>
      <w:r w:rsidRPr="00284DA9">
        <w:t xml:space="preserve"> </w:t>
      </w:r>
    </w:p>
    <w:p w:rsidR="006B523B" w:rsidRPr="00284DA9" w:rsidP="006B523B" w14:paraId="5BD2A80E" w14:textId="77777777">
      <w:pPr>
        <w:widowControl w:val="0"/>
        <w:autoSpaceDE w:val="0"/>
        <w:autoSpaceDN w:val="0"/>
        <w:adjustRightInd w:val="0"/>
        <w:spacing w:after="0" w:line="240" w:lineRule="auto"/>
        <w:ind w:firstLine="720"/>
      </w:pPr>
    </w:p>
    <w:p w:rsidR="00AF60B2" w:rsidP="00C53D09" w14:paraId="2F2D8289" w14:textId="77777777">
      <w:pPr>
        <w:widowControl w:val="0"/>
        <w:autoSpaceDE w:val="0"/>
        <w:autoSpaceDN w:val="0"/>
        <w:adjustRightInd w:val="0"/>
        <w:ind w:firstLine="720"/>
      </w:pPr>
      <w:r>
        <w:t>5</w:t>
      </w:r>
      <w:r w:rsidRPr="00284DA9" w:rsidR="00C24420">
        <w:t>. For subpart W, for each industry segment, the total hours per respondent per labor category</w:t>
      </w:r>
      <w:r w:rsidRPr="00442406" w:rsidR="00C24420">
        <w:t xml:space="preserve"> </w:t>
      </w:r>
      <w:r w:rsidR="00C24420">
        <w:t xml:space="preserve">and the </w:t>
      </w:r>
      <w:r w:rsidRPr="00442406" w:rsidR="00C24420">
        <w:t>total O&amp;M</w:t>
      </w:r>
      <w:r w:rsidR="00C24420">
        <w:t xml:space="preserve"> cost per </w:t>
      </w:r>
      <w:r w:rsidRPr="00442406" w:rsidR="00C24420">
        <w:t xml:space="preserve">respondent </w:t>
      </w:r>
      <w:r w:rsidR="00C24420">
        <w:t>are equal to the sum of the values per respondent from ICR No</w:t>
      </w:r>
      <w:r w:rsidR="00D36189">
        <w:t>s</w:t>
      </w:r>
      <w:r w:rsidR="00C24420">
        <w:t>. 2300.20 and 277</w:t>
      </w:r>
      <w:r w:rsidR="005A70FF">
        <w:t>4</w:t>
      </w:r>
      <w:r w:rsidR="00C24420">
        <w:t>.02. That is, the sum of the average hours per respondent for each labor category</w:t>
      </w:r>
      <w:r w:rsidR="005A70FF">
        <w:t xml:space="preserve"> for each industry segment</w:t>
      </w:r>
      <w:r w:rsidR="00C24420">
        <w:t xml:space="preserve"> and the sum of the average O&amp;M costs per respondent</w:t>
      </w:r>
      <w:r w:rsidR="00B60C45">
        <w:t xml:space="preserve"> for each industry segment</w:t>
      </w:r>
      <w:r w:rsidR="00C24420">
        <w:t>, and the sum of the total average</w:t>
      </w:r>
      <w:r w:rsidR="005A70FF">
        <w:t xml:space="preserve"> O&amp;M</w:t>
      </w:r>
      <w:r w:rsidR="00C24420">
        <w:t xml:space="preserve"> costs per respondent </w:t>
      </w:r>
      <w:r w:rsidR="00B60C45">
        <w:t>for each industry segment we</w:t>
      </w:r>
      <w:r w:rsidR="00C24420">
        <w:t xml:space="preserve">re </w:t>
      </w:r>
      <w:r w:rsidR="00B60C45">
        <w:t>used to</w:t>
      </w:r>
      <w:r w:rsidR="00C24420">
        <w:t xml:space="preserve"> calculate the adjusted costs to</w:t>
      </w:r>
      <w:r w:rsidR="00B60C45">
        <w:t xml:space="preserve"> subpart W </w:t>
      </w:r>
      <w:r w:rsidR="00C24420">
        <w:t>from the 2024 final rule amendments.</w:t>
      </w:r>
    </w:p>
    <w:p w:rsidR="00E12350" w:rsidRPr="00442406" w:rsidP="00C53D09" w14:paraId="7539DDCE" w14:textId="34162212">
      <w:pPr>
        <w:widowControl w:val="0"/>
        <w:autoSpaceDE w:val="0"/>
        <w:autoSpaceDN w:val="0"/>
        <w:adjustRightInd w:val="0"/>
        <w:ind w:firstLine="720"/>
      </w:pPr>
      <w:r>
        <w:t>6</w:t>
      </w:r>
      <w:r w:rsidRPr="00442406">
        <w:t>.</w:t>
      </w:r>
      <w:r w:rsidR="002C377E">
        <w:t xml:space="preserve"> </w:t>
      </w:r>
      <w:r w:rsidR="00140ED3">
        <w:t>T</w:t>
      </w:r>
      <w:r w:rsidRPr="00442406">
        <w:t xml:space="preserve">he number of respondents impacted </w:t>
      </w:r>
      <w:r w:rsidR="00140ED3">
        <w:t xml:space="preserve">per </w:t>
      </w:r>
      <w:r w:rsidR="00B60C45">
        <w:t xml:space="preserve">each non-W </w:t>
      </w:r>
      <w:r w:rsidRPr="00442406">
        <w:t xml:space="preserve">subpart </w:t>
      </w:r>
      <w:r w:rsidR="004F3B3B">
        <w:t>was updated to reflect</w:t>
      </w:r>
      <w:r w:rsidRPr="00442406">
        <w:t xml:space="preserve"> </w:t>
      </w:r>
      <w:r w:rsidR="00A50299">
        <w:t xml:space="preserve">the most </w:t>
      </w:r>
      <w:r w:rsidRPr="00442406">
        <w:t>recent 202</w:t>
      </w:r>
      <w:r w:rsidR="00D760F0">
        <w:t>3</w:t>
      </w:r>
      <w:r w:rsidRPr="00442406">
        <w:t xml:space="preserve"> </w:t>
      </w:r>
      <w:r w:rsidR="00187E29">
        <w:t xml:space="preserve">reporting </w:t>
      </w:r>
      <w:r w:rsidR="00187E29">
        <w:t xml:space="preserve">year </w:t>
      </w:r>
      <w:r w:rsidRPr="00442406">
        <w:t>data</w:t>
      </w:r>
      <w:r w:rsidR="00D760F0">
        <w:t xml:space="preserve"> that </w:t>
      </w:r>
      <w:r w:rsidR="00D760F0">
        <w:t>were</w:t>
      </w:r>
      <w:r w:rsidR="00D760F0">
        <w:t xml:space="preserve"> in EPA’s on-line </w:t>
      </w:r>
      <w:r w:rsidRPr="00771081" w:rsidR="00771081">
        <w:t xml:space="preserve">Facility Level Information on </w:t>
      </w:r>
      <w:r w:rsidRPr="00771081" w:rsidR="00771081">
        <w:t>GreenHouse</w:t>
      </w:r>
      <w:r w:rsidRPr="00771081" w:rsidR="00771081">
        <w:t xml:space="preserve"> gases Tool (FLIGHT</w:t>
      </w:r>
      <w:r w:rsidR="00B54DD3">
        <w:t>)</w:t>
      </w:r>
      <w:r w:rsidR="00350586">
        <w:t xml:space="preserve"> and to reflect additional new reporters </w:t>
      </w:r>
      <w:r w:rsidR="00CF4446">
        <w:t>from the 2024 final rule amendments</w:t>
      </w:r>
      <w:r w:rsidRPr="00442406">
        <w:t xml:space="preserve">. </w:t>
      </w:r>
      <w:r w:rsidR="00B60C45">
        <w:t xml:space="preserve">For subpart W, </w:t>
      </w:r>
      <w:r w:rsidR="00B07AA1">
        <w:t>the total number of reporters was taken from the PNGS sector summary for 2023</w:t>
      </w:r>
      <w:r w:rsidR="00331F34">
        <w:t xml:space="preserve"> and adjusted to reflect additional new reporters </w:t>
      </w:r>
      <w:r w:rsidR="00594FFE">
        <w:t xml:space="preserve">in each industry segment </w:t>
      </w:r>
      <w:r w:rsidR="00331F34">
        <w:t xml:space="preserve">from </w:t>
      </w:r>
      <w:r w:rsidR="0017605E">
        <w:t xml:space="preserve">both </w:t>
      </w:r>
      <w:r w:rsidR="00331F34">
        <w:t>2024 final rule</w:t>
      </w:r>
      <w:r w:rsidR="00CD6C8C">
        <w:t>s (ICR No. 2</w:t>
      </w:r>
      <w:r w:rsidR="009564D7">
        <w:t>773.02 and ICR No. 2774.02)</w:t>
      </w:r>
      <w:r w:rsidR="00331F34">
        <w:t>.</w:t>
      </w:r>
      <w:r w:rsidR="00B60C45">
        <w:t xml:space="preserve"> </w:t>
      </w:r>
      <w:r w:rsidRPr="00442406">
        <w:t xml:space="preserve">For new subparts, </w:t>
      </w:r>
      <w:r w:rsidR="00EF3A9D">
        <w:t>the EPA</w:t>
      </w:r>
      <w:r w:rsidRPr="00442406">
        <w:t xml:space="preserve"> retain</w:t>
      </w:r>
      <w:r w:rsidR="00187E29">
        <w:t>ed</w:t>
      </w:r>
      <w:r w:rsidRPr="00442406">
        <w:t xml:space="preserve"> the number of respondents estimated from the </w:t>
      </w:r>
      <w:r w:rsidR="00181A3D">
        <w:t xml:space="preserve">2024 </w:t>
      </w:r>
      <w:r w:rsidRPr="00442406">
        <w:t>final rule</w:t>
      </w:r>
      <w:r w:rsidR="00181A3D">
        <w:t xml:space="preserve"> amendments</w:t>
      </w:r>
      <w:r w:rsidRPr="00442406">
        <w:t>.</w:t>
      </w:r>
    </w:p>
    <w:p w:rsidR="00E12350" w:rsidRPr="00442406" w:rsidP="00C53D09" w14:paraId="22FA9605" w14:textId="57071FCD">
      <w:pPr>
        <w:widowControl w:val="0"/>
        <w:autoSpaceDE w:val="0"/>
        <w:autoSpaceDN w:val="0"/>
        <w:adjustRightInd w:val="0"/>
        <w:ind w:firstLine="720"/>
      </w:pPr>
      <w:r>
        <w:t>7</w:t>
      </w:r>
      <w:r w:rsidRPr="00442406">
        <w:t>.</w:t>
      </w:r>
      <w:r w:rsidR="002C377E">
        <w:t xml:space="preserve"> </w:t>
      </w:r>
      <w:r w:rsidR="00EF3A9D">
        <w:t>The EPA</w:t>
      </w:r>
      <w:r w:rsidR="00F838E7">
        <w:t xml:space="preserve"> estimated</w:t>
      </w:r>
      <w:r w:rsidRPr="00442406">
        <w:t xml:space="preserve"> the number of labor hours by subpart by multiplying the updated number of respondents by </w:t>
      </w:r>
      <w:r w:rsidR="006A60E8">
        <w:t>calculated</w:t>
      </w:r>
      <w:r w:rsidRPr="00442406">
        <w:t xml:space="preserve"> h</w:t>
      </w:r>
      <w:r w:rsidR="006A60E8">
        <w:t>ou</w:t>
      </w:r>
      <w:r w:rsidRPr="00442406">
        <w:t>rs</w:t>
      </w:r>
      <w:r w:rsidR="006A60E8">
        <w:t xml:space="preserve"> per </w:t>
      </w:r>
      <w:r w:rsidRPr="00442406">
        <w:t>respondent in each labor category</w:t>
      </w:r>
      <w:r w:rsidR="00757EEB">
        <w:t xml:space="preserve"> and </w:t>
      </w:r>
      <w:r w:rsidR="005E0E4C">
        <w:t xml:space="preserve">summed them </w:t>
      </w:r>
      <w:r w:rsidR="00757EEB">
        <w:t>for the total number of hours</w:t>
      </w:r>
      <w:r w:rsidR="000536AE">
        <w:t xml:space="preserve"> per subpart</w:t>
      </w:r>
      <w:r w:rsidRPr="00442406">
        <w:t xml:space="preserve">. </w:t>
      </w:r>
      <w:r w:rsidR="00C36BCC">
        <w:t xml:space="preserve">For subpart W, </w:t>
      </w:r>
      <w:r w:rsidR="00EF3A9D">
        <w:t>the EPA</w:t>
      </w:r>
      <w:r w:rsidR="00C36BCC">
        <w:t xml:space="preserve"> estimated the </w:t>
      </w:r>
      <w:r w:rsidRPr="00442406" w:rsidR="00C36BCC">
        <w:t xml:space="preserve">number of labor hours by </w:t>
      </w:r>
      <w:r w:rsidR="00C36BCC">
        <w:t>industry segment</w:t>
      </w:r>
      <w:r w:rsidRPr="00442406" w:rsidR="00C36BCC">
        <w:t xml:space="preserve"> by multiplying the updated number of respondents</w:t>
      </w:r>
      <w:r w:rsidR="00594FFE">
        <w:t xml:space="preserve"> in each segment</w:t>
      </w:r>
      <w:r w:rsidRPr="00442406" w:rsidR="00C36BCC">
        <w:t xml:space="preserve"> by </w:t>
      </w:r>
      <w:r w:rsidR="00C36BCC">
        <w:t>calculated</w:t>
      </w:r>
      <w:r w:rsidRPr="00442406" w:rsidR="00C36BCC">
        <w:t xml:space="preserve"> h</w:t>
      </w:r>
      <w:r w:rsidR="00C36BCC">
        <w:t>ou</w:t>
      </w:r>
      <w:r w:rsidRPr="00442406" w:rsidR="00C36BCC">
        <w:t>rs</w:t>
      </w:r>
      <w:r w:rsidR="00C36BCC">
        <w:t xml:space="preserve"> per </w:t>
      </w:r>
      <w:r w:rsidRPr="00442406" w:rsidR="00C36BCC">
        <w:t>respondent in each labor category</w:t>
      </w:r>
      <w:r w:rsidR="00AE0C05">
        <w:t xml:space="preserve"> and summed them for the total hours per segment</w:t>
      </w:r>
      <w:r w:rsidRPr="00442406" w:rsidR="00C36BCC">
        <w:t>.</w:t>
      </w:r>
    </w:p>
    <w:p w:rsidR="004647B0" w:rsidRPr="005D0593" w:rsidP="00A0039C" w14:paraId="1D9C43F0" w14:textId="29160F9B">
      <w:pPr>
        <w:keepNext/>
        <w:keepLines/>
        <w:autoSpaceDE w:val="0"/>
        <w:autoSpaceDN w:val="0"/>
        <w:adjustRightInd w:val="0"/>
        <w:ind w:firstLine="720"/>
      </w:pPr>
      <w:r>
        <w:t>8</w:t>
      </w:r>
      <w:r w:rsidRPr="00442406" w:rsidR="00E12350">
        <w:t>.</w:t>
      </w:r>
      <w:r w:rsidR="002C377E">
        <w:t xml:space="preserve"> </w:t>
      </w:r>
      <w:r w:rsidR="00EF3A9D">
        <w:t>The EPA</w:t>
      </w:r>
      <w:r w:rsidR="0051402F">
        <w:t xml:space="preserve"> a</w:t>
      </w:r>
      <w:r w:rsidRPr="00442406" w:rsidR="00E12350">
        <w:t>djust</w:t>
      </w:r>
      <w:r w:rsidR="0051402F">
        <w:t>ed</w:t>
      </w:r>
      <w:r w:rsidRPr="00442406" w:rsidR="00E12350">
        <w:t xml:space="preserve"> the total O&amp;M costs</w:t>
      </w:r>
      <w:r w:rsidR="00A96573">
        <w:t xml:space="preserve"> per </w:t>
      </w:r>
      <w:r w:rsidRPr="00442406" w:rsidR="00E12350">
        <w:t>subpart</w:t>
      </w:r>
      <w:r w:rsidR="003639B9">
        <w:t xml:space="preserve"> (and for subpart W, by industry segment)</w:t>
      </w:r>
      <w:r w:rsidRPr="00442406" w:rsidR="00E12350">
        <w:t xml:space="preserve"> by multiplying the updated number of respondents by the adjusted total O&amp;M</w:t>
      </w:r>
      <w:r w:rsidR="00A96573">
        <w:t xml:space="preserve"> cost per </w:t>
      </w:r>
      <w:r w:rsidRPr="00442406" w:rsidR="00E12350">
        <w:t xml:space="preserve">respondent. For O&amp;M costs, </w:t>
      </w:r>
      <w:r w:rsidR="00EF3A9D">
        <w:t>the EPA</w:t>
      </w:r>
      <w:r w:rsidRPr="00442406" w:rsidR="00E12350">
        <w:t xml:space="preserve"> adjust</w:t>
      </w:r>
      <w:r w:rsidR="004B1399">
        <w:t>ed</w:t>
      </w:r>
      <w:r w:rsidRPr="00442406" w:rsidR="00E12350">
        <w:t xml:space="preserve"> </w:t>
      </w:r>
      <w:r w:rsidR="004B1399">
        <w:t xml:space="preserve">the costs </w:t>
      </w:r>
      <w:r w:rsidRPr="00442406" w:rsidR="00E12350">
        <w:t xml:space="preserve">from $2021 </w:t>
      </w:r>
      <w:r w:rsidR="004B1399">
        <w:t xml:space="preserve">to </w:t>
      </w:r>
      <w:r w:rsidR="002C377E">
        <w:t>$</w:t>
      </w:r>
      <w:r w:rsidR="004B1399">
        <w:t>2024</w:t>
      </w:r>
      <w:r w:rsidR="002C377E">
        <w:t xml:space="preserve"> </w:t>
      </w:r>
      <w:r w:rsidRPr="00442406" w:rsidR="00E12350">
        <w:t xml:space="preserve">using </w:t>
      </w:r>
      <w:r w:rsidR="004537C2">
        <w:t>the annual Chemical Engineering Plant Cost Index</w:t>
      </w:r>
      <w:r w:rsidR="00FB6A34">
        <w:t xml:space="preserve"> </w:t>
      </w:r>
      <w:r w:rsidR="00BC07B1">
        <w:t>(CEPCI)</w:t>
      </w:r>
      <w:r w:rsidR="00FB6A34">
        <w:t xml:space="preserve"> </w:t>
      </w:r>
      <w:r w:rsidRPr="00442406" w:rsidR="00E12350">
        <w:t xml:space="preserve">values </w:t>
      </w:r>
      <w:r w:rsidR="00FB6A34">
        <w:t>for 2021 (</w:t>
      </w:r>
      <w:r w:rsidR="00B93987">
        <w:t>708) and 2024 (79</w:t>
      </w:r>
      <w:r w:rsidR="00FE11AE">
        <w:t>6</w:t>
      </w:r>
      <w:r w:rsidR="00B93987">
        <w:t xml:space="preserve">.2), </w:t>
      </w:r>
      <w:r w:rsidR="00C849E8">
        <w:t>which resulted in a multiplier of 1.12</w:t>
      </w:r>
      <w:r w:rsidR="00AB7771">
        <w:t>4</w:t>
      </w:r>
      <w:r w:rsidR="00FB0146">
        <w:t xml:space="preserve"> (i.e., </w:t>
      </w:r>
      <w:r w:rsidR="00FA15E8">
        <w:t>79</w:t>
      </w:r>
      <w:r w:rsidR="00FE11AE">
        <w:t>6</w:t>
      </w:r>
      <w:r w:rsidR="00FA15E8">
        <w:t>.2/708 = 1.12</w:t>
      </w:r>
      <w:r w:rsidR="00AB7771">
        <w:t>4</w:t>
      </w:r>
      <w:r w:rsidR="00FA15E8">
        <w:t>)</w:t>
      </w:r>
      <w:r w:rsidR="007B6325">
        <w:t>.</w:t>
      </w:r>
      <w:r w:rsidR="00EF3A9D">
        <w:t xml:space="preserve"> </w:t>
      </w:r>
      <w:r w:rsidR="00AD69AC">
        <w:t>Baseline c</w:t>
      </w:r>
      <w:r w:rsidRPr="005D0593">
        <w:t xml:space="preserve">osts to respondents associated with </w:t>
      </w:r>
      <w:r w:rsidR="00AD69AC">
        <w:t>the current</w:t>
      </w:r>
      <w:r w:rsidRPr="005D0593" w:rsidR="00AD69AC">
        <w:t xml:space="preserve"> </w:t>
      </w:r>
      <w:r w:rsidRPr="005D0593">
        <w:t>information collection include labor costs (</w:t>
      </w:r>
      <w:r w:rsidRPr="005D0593">
        <w:rPr>
          <w:i/>
        </w:rPr>
        <w:t>i.e.,</w:t>
      </w:r>
      <w:r w:rsidRPr="005D0593">
        <w:t xml:space="preserve"> the cost of labor by facility staff to meet the rule’s information collection requirements) and non-labor costs (</w:t>
      </w:r>
      <w:r w:rsidRPr="005D0593">
        <w:rPr>
          <w:i/>
        </w:rPr>
        <w:t>e.g.,</w:t>
      </w:r>
      <w:r w:rsidRPr="005D0593">
        <w:t xml:space="preserve"> the cost of purchasing and installing monitoring equipment or contractor costs associated with providing the required information</w:t>
      </w:r>
      <w:r w:rsidR="00F71ADC">
        <w:t xml:space="preserve">, and O&amp;M costs of </w:t>
      </w:r>
      <w:r w:rsidR="000C4AD1">
        <w:t>equipment needed to collect information</w:t>
      </w:r>
      <w:r w:rsidRPr="005D0593">
        <w:t>).</w:t>
      </w:r>
      <w:r w:rsidR="000C4AD1">
        <w:t xml:space="preserve"> These baseline costs represent the </w:t>
      </w:r>
      <w:r w:rsidR="002167E0">
        <w:t xml:space="preserve">potential </w:t>
      </w:r>
      <w:r w:rsidR="000C4AD1">
        <w:t xml:space="preserve">reduced burden </w:t>
      </w:r>
      <w:r w:rsidR="000C4AD1">
        <w:t xml:space="preserve">as a </w:t>
      </w:r>
      <w:r w:rsidR="002167E0">
        <w:t>result of</w:t>
      </w:r>
      <w:r w:rsidR="002167E0">
        <w:t xml:space="preserve"> no longer having to collect </w:t>
      </w:r>
      <w:r w:rsidRPr="00635464" w:rsidR="002167E0">
        <w:t xml:space="preserve">this information </w:t>
      </w:r>
      <w:r w:rsidRPr="00635464" w:rsidR="006D5D67">
        <w:t>under this proposed reconsideration.</w:t>
      </w:r>
      <w:r w:rsidRPr="00635464">
        <w:t xml:space="preserve"> </w:t>
      </w:r>
      <w:r w:rsidRPr="00635464" w:rsidR="0061241D">
        <w:t xml:space="preserve">These baseline costs are included </w:t>
      </w:r>
      <w:r w:rsidRPr="00900A63" w:rsidR="0061241D">
        <w:t>in Table</w:t>
      </w:r>
      <w:r w:rsidRPr="00900A63" w:rsidR="00635464">
        <w:t>s</w:t>
      </w:r>
      <w:r w:rsidRPr="00900A63" w:rsidR="0061241D">
        <w:t xml:space="preserve"> 4 </w:t>
      </w:r>
      <w:r w:rsidRPr="00900A63" w:rsidR="00635464">
        <w:t xml:space="preserve">and 7 </w:t>
      </w:r>
      <w:r w:rsidRPr="00900A63" w:rsidR="0061241D">
        <w:t>of Attachment</w:t>
      </w:r>
      <w:r w:rsidRPr="00635464" w:rsidR="0061241D">
        <w:t xml:space="preserve"> 1.</w:t>
      </w:r>
    </w:p>
    <w:p w:rsidR="004647B0" w:rsidRPr="005D0593" w:rsidP="00A0039C" w14:paraId="4F968429" w14:textId="4E618294">
      <w:pPr>
        <w:autoSpaceDE w:val="0"/>
        <w:autoSpaceDN w:val="0"/>
        <w:ind w:firstLine="720"/>
      </w:pPr>
      <w:r w:rsidRPr="005D0593">
        <w:t>To calculate labor costs, the EPA used an approach consistent with the ICR associated with the GHGRP currently approved by OMB, updated to incorporate 202</w:t>
      </w:r>
      <w:r w:rsidR="00705BBA">
        <w:t>4</w:t>
      </w:r>
      <w:r w:rsidRPr="005D0593">
        <w:t xml:space="preserve"> BLS labor rates. For all subparts except subpart</w:t>
      </w:r>
      <w:r w:rsidR="005C3DC4">
        <w:t>s W and</w:t>
      </w:r>
      <w:r w:rsidRPr="005D0593">
        <w:t xml:space="preserve"> </w:t>
      </w:r>
      <w:r w:rsidR="006173B9">
        <w:t>RR</w:t>
      </w:r>
      <w:r w:rsidR="005C3DC4">
        <w:t xml:space="preserve"> (</w:t>
      </w:r>
      <w:r w:rsidRPr="00BD3CBD" w:rsidR="005C3DC4">
        <w:t>Geologic Sequestration of Carbon Dioxide</w:t>
      </w:r>
      <w:r w:rsidR="005C3DC4">
        <w:t>)</w:t>
      </w:r>
      <w:r w:rsidRPr="005D0593">
        <w:t>, the labor rates are: $</w:t>
      </w:r>
      <w:r w:rsidR="006C63BC">
        <w:t>82.63</w:t>
      </w:r>
      <w:r w:rsidRPr="005D0593">
        <w:t xml:space="preserve"> for technical workers, $</w:t>
      </w:r>
      <w:r w:rsidR="00C64F7F">
        <w:t>98.94</w:t>
      </w:r>
      <w:r w:rsidRPr="005D0593">
        <w:t xml:space="preserve"> for managers, $</w:t>
      </w:r>
      <w:r w:rsidR="009E31E8">
        <w:t>36.83</w:t>
      </w:r>
      <w:r w:rsidRPr="005D0593">
        <w:t xml:space="preserve"> for clerical support, and $</w:t>
      </w:r>
      <w:r w:rsidR="009E31E8">
        <w:t>139.96</w:t>
      </w:r>
      <w:r w:rsidRPr="005D0593">
        <w:t xml:space="preserve"> for legal support. Sector-specific labor rates are used for subpart</w:t>
      </w:r>
      <w:r w:rsidR="00AF439C">
        <w:t>s W and</w:t>
      </w:r>
      <w:r w:rsidRPr="005D0593">
        <w:t xml:space="preserve"> </w:t>
      </w:r>
      <w:r w:rsidRPr="00BD3CBD" w:rsidR="00BA7051">
        <w:t>RR</w:t>
      </w:r>
      <w:r w:rsidRPr="005D0593">
        <w:t>: $</w:t>
      </w:r>
      <w:r w:rsidR="006A524A">
        <w:t>141.14</w:t>
      </w:r>
      <w:r w:rsidRPr="005D0593">
        <w:t xml:space="preserve"> for senior managers, $</w:t>
      </w:r>
      <w:r w:rsidR="008D5419">
        <w:t>151.15</w:t>
      </w:r>
      <w:r w:rsidRPr="005D0593">
        <w:t xml:space="preserve"> for middle managers, $</w:t>
      </w:r>
      <w:r w:rsidR="008D5419">
        <w:t>131.28</w:t>
      </w:r>
      <w:r w:rsidRPr="005D0593">
        <w:t xml:space="preserve"> for engineers, $</w:t>
      </w:r>
      <w:r w:rsidR="008D5419">
        <w:t>79.83</w:t>
      </w:r>
      <w:r w:rsidRPr="005D0593">
        <w:t xml:space="preserve"> for technicians</w:t>
      </w:r>
      <w:r w:rsidR="00E11C86">
        <w:t xml:space="preserve">, </w:t>
      </w:r>
      <w:r w:rsidRPr="005D0593" w:rsidR="00E11C86">
        <w:t>and $</w:t>
      </w:r>
      <w:r w:rsidR="00827A1A">
        <w:t>166.96</w:t>
      </w:r>
      <w:r w:rsidRPr="005D0593" w:rsidR="00E11C86">
        <w:t xml:space="preserve"> for legal support</w:t>
      </w:r>
      <w:r w:rsidRPr="005D0593">
        <w:t>. These labor rates</w:t>
      </w:r>
      <w:r w:rsidR="00EF20A5">
        <w:t xml:space="preserve">, which also </w:t>
      </w:r>
      <w:r w:rsidR="00567295">
        <w:t>include benefits and overhead,</w:t>
      </w:r>
      <w:r w:rsidRPr="005D0593">
        <w:t xml:space="preserve"> were applied to the total burden estimates for each labor category to obtain the total costs for each subpart. Labor and non-labor costs (capital and O&amp;M) for all subparts are summarized in Exhibit </w:t>
      </w:r>
      <w:r w:rsidR="00A166B7">
        <w:t>12</w:t>
      </w:r>
      <w:r w:rsidRPr="005D0593">
        <w:t xml:space="preserve">.1. These labor and non-labor costs, as well as additional detail regarding the calculation methodology for the final revisions are presented in more detail in the Impacts </w:t>
      </w:r>
      <w:r w:rsidR="00144764">
        <w:t>Memorandum</w:t>
      </w:r>
      <w:r w:rsidRPr="005D0593">
        <w:t>.</w:t>
      </w:r>
    </w:p>
    <w:p w:rsidR="004647B0" w:rsidRPr="005D0593" w:rsidP="00A166B7" w14:paraId="6F2BF74C" w14:textId="6293EAB2">
      <w:pPr>
        <w:tabs>
          <w:tab w:val="left" w:pos="720"/>
        </w:tabs>
        <w:ind w:firstLine="720"/>
      </w:pPr>
      <w:r w:rsidRPr="005D0593">
        <w:t xml:space="preserve">The EPA estimates that the total annual </w:t>
      </w:r>
      <w:r w:rsidR="004E6E66">
        <w:t xml:space="preserve">reduced </w:t>
      </w:r>
      <w:r w:rsidRPr="005D0593">
        <w:t xml:space="preserve">costs to all affected </w:t>
      </w:r>
      <w:r w:rsidR="0012494F">
        <w:t>reporting</w:t>
      </w:r>
      <w:r w:rsidRPr="005D0593">
        <w:t xml:space="preserve"> entities would </w:t>
      </w:r>
      <w:r w:rsidR="001E0DA1">
        <w:t xml:space="preserve">be </w:t>
      </w:r>
      <w:r w:rsidRPr="00C629E4">
        <w:t>$</w:t>
      </w:r>
      <w:r w:rsidR="007619CC">
        <w:t>303</w:t>
      </w:r>
      <w:r w:rsidRPr="00C629E4" w:rsidR="00F973C2">
        <w:t xml:space="preserve"> </w:t>
      </w:r>
      <w:r w:rsidRPr="00C629E4">
        <w:t>million</w:t>
      </w:r>
      <w:r w:rsidRPr="005D0593">
        <w:t xml:space="preserve"> </w:t>
      </w:r>
      <w:r w:rsidR="00A55C75">
        <w:t xml:space="preserve">per year </w:t>
      </w:r>
      <w:r w:rsidR="00A55C75">
        <w:t>as a result of</w:t>
      </w:r>
      <w:r w:rsidR="00A55C75">
        <w:t xml:space="preserve"> the proposed reconsideration</w:t>
      </w:r>
      <w:r w:rsidRPr="005D0593">
        <w:t xml:space="preserve">. Exhibit </w:t>
      </w:r>
      <w:r w:rsidR="00A166B7">
        <w:t>12</w:t>
      </w:r>
      <w:r w:rsidRPr="005D0593">
        <w:t xml:space="preserve">.2 presents the annual average burden and cost </w:t>
      </w:r>
      <w:r w:rsidR="00E57050">
        <w:t xml:space="preserve">reductions </w:t>
      </w:r>
      <w:r w:rsidRPr="005D0593">
        <w:t>for each source category for which a burden decrease is anticipated over the first three years of the information collection.</w:t>
      </w:r>
      <w:r>
        <w:t xml:space="preserve"> </w:t>
      </w:r>
    </w:p>
    <w:p w:rsidR="004647B0" w:rsidRPr="005D0593" w:rsidP="004647B0" w14:paraId="04BB16F3" w14:textId="3BEDEA50">
      <w:pPr>
        <w:keepNext/>
        <w:rPr>
          <w:b/>
        </w:rPr>
      </w:pPr>
      <w:r w:rsidRPr="005D0593">
        <w:rPr>
          <w:b/>
        </w:rPr>
        <w:t xml:space="preserve">Exhibit </w:t>
      </w:r>
      <w:r w:rsidR="00A166B7">
        <w:rPr>
          <w:b/>
        </w:rPr>
        <w:t>12</w:t>
      </w:r>
      <w:r w:rsidRPr="005D0593">
        <w:rPr>
          <w:b/>
        </w:rPr>
        <w:t xml:space="preserve">.2. Annual Burden </w:t>
      </w:r>
      <w:r w:rsidR="00967277">
        <w:rPr>
          <w:b/>
        </w:rPr>
        <w:t xml:space="preserve">Reduction </w:t>
      </w:r>
      <w:r w:rsidRPr="005D0593">
        <w:rPr>
          <w:b/>
        </w:rPr>
        <w:t>Over the First Three Years of the Information Collection, by Source Category</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1604"/>
        <w:gridCol w:w="1711"/>
        <w:gridCol w:w="1678"/>
        <w:gridCol w:w="1459"/>
        <w:gridCol w:w="1558"/>
      </w:tblGrid>
      <w:tr w14:paraId="0841A69F" w14:textId="77777777" w:rsidTr="00F7740C">
        <w:tblPrEx>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10" w:type="dxa"/>
            <w:shd w:val="clear" w:color="000000" w:fill="F2F2F2"/>
            <w:vAlign w:val="center"/>
            <w:hideMark/>
          </w:tcPr>
          <w:p w:rsidR="00F53EBB" w:rsidRPr="00F90DC9" w:rsidP="008574D4" w14:paraId="2DDD192D" w14:textId="77777777">
            <w:pPr>
              <w:spacing w:after="0" w:line="240" w:lineRule="auto"/>
              <w:rPr>
                <w:rFonts w:eastAsia="Times New Roman" w:cstheme="minorHAnsi"/>
                <w:b/>
              </w:rPr>
            </w:pPr>
            <w:r w:rsidRPr="00F90DC9">
              <w:rPr>
                <w:rFonts w:eastAsia="Times New Roman" w:cstheme="minorHAnsi"/>
                <w:b/>
              </w:rPr>
              <w:t>Source Category</w:t>
            </w:r>
          </w:p>
        </w:tc>
        <w:tc>
          <w:tcPr>
            <w:tcW w:w="1604" w:type="dxa"/>
            <w:shd w:val="clear" w:color="000000" w:fill="F2F2F2"/>
            <w:vAlign w:val="center"/>
            <w:hideMark/>
          </w:tcPr>
          <w:p w:rsidR="00F53EBB" w:rsidRPr="00F90DC9" w:rsidP="008574D4" w14:paraId="3D8B0AB9" w14:textId="71E5F85E">
            <w:pPr>
              <w:spacing w:after="0" w:line="240" w:lineRule="auto"/>
              <w:jc w:val="center"/>
              <w:rPr>
                <w:rFonts w:eastAsia="Times New Roman" w:cstheme="minorHAnsi"/>
                <w:b/>
              </w:rPr>
            </w:pPr>
            <w:r w:rsidRPr="00F90DC9">
              <w:rPr>
                <w:rFonts w:eastAsia="Times New Roman" w:cstheme="minorHAnsi"/>
                <w:b/>
              </w:rPr>
              <w:t xml:space="preserve"> Number of Respondents </w:t>
            </w:r>
          </w:p>
        </w:tc>
        <w:tc>
          <w:tcPr>
            <w:tcW w:w="1711" w:type="dxa"/>
            <w:shd w:val="clear" w:color="000000" w:fill="F2F2F2"/>
            <w:vAlign w:val="center"/>
            <w:hideMark/>
          </w:tcPr>
          <w:p w:rsidR="00D60988" w:rsidP="008574D4" w14:paraId="3C7A4861" w14:textId="77777777">
            <w:pPr>
              <w:spacing w:after="0" w:line="240" w:lineRule="auto"/>
              <w:jc w:val="center"/>
              <w:rPr>
                <w:rFonts w:eastAsia="Times New Roman" w:cstheme="minorHAnsi"/>
                <w:b/>
              </w:rPr>
            </w:pPr>
            <w:r w:rsidRPr="00F90DC9">
              <w:rPr>
                <w:rFonts w:eastAsia="Times New Roman" w:cstheme="minorHAnsi"/>
                <w:b/>
              </w:rPr>
              <w:t xml:space="preserve"> Total Burden </w:t>
            </w:r>
            <w:r w:rsidRPr="00F90DC9" w:rsidR="006D5A5C">
              <w:rPr>
                <w:rFonts w:eastAsia="Times New Roman" w:cstheme="minorHAnsi"/>
                <w:b/>
              </w:rPr>
              <w:t xml:space="preserve">Reduced </w:t>
            </w:r>
          </w:p>
          <w:p w:rsidR="00F53EBB" w:rsidRPr="00F90DC9" w:rsidP="008574D4" w14:paraId="370AE039" w14:textId="217FBCCA">
            <w:pPr>
              <w:spacing w:after="0" w:line="240" w:lineRule="auto"/>
              <w:jc w:val="center"/>
              <w:rPr>
                <w:rFonts w:eastAsia="Times New Roman" w:cstheme="minorHAnsi"/>
                <w:b/>
              </w:rPr>
            </w:pPr>
            <w:r w:rsidRPr="00F90DC9">
              <w:rPr>
                <w:rFonts w:eastAsia="Times New Roman" w:cstheme="minorHAnsi"/>
                <w:b/>
              </w:rPr>
              <w:t>(</w:t>
            </w:r>
            <w:r w:rsidRPr="00F90DC9">
              <w:rPr>
                <w:rFonts w:eastAsia="Times New Roman" w:cstheme="minorHAnsi"/>
                <w:b/>
              </w:rPr>
              <w:t>hrs</w:t>
            </w:r>
            <w:r w:rsidRPr="00F90DC9">
              <w:rPr>
                <w:rFonts w:eastAsia="Times New Roman" w:cstheme="minorHAnsi"/>
                <w:b/>
              </w:rPr>
              <w:t xml:space="preserve">) </w:t>
            </w:r>
          </w:p>
        </w:tc>
        <w:tc>
          <w:tcPr>
            <w:tcW w:w="1678" w:type="dxa"/>
            <w:shd w:val="clear" w:color="000000" w:fill="F2F2F2"/>
            <w:vAlign w:val="center"/>
            <w:hideMark/>
          </w:tcPr>
          <w:p w:rsidR="00F53EBB" w:rsidRPr="00F90DC9" w:rsidP="00FD49F5" w14:paraId="3748B1D1" w14:textId="73C32B50">
            <w:pPr>
              <w:spacing w:after="0" w:line="240" w:lineRule="auto"/>
              <w:ind w:right="138"/>
              <w:jc w:val="center"/>
              <w:rPr>
                <w:rFonts w:eastAsia="Times New Roman" w:cstheme="minorHAnsi"/>
                <w:b/>
              </w:rPr>
            </w:pPr>
            <w:r w:rsidRPr="00F90DC9">
              <w:rPr>
                <w:rFonts w:eastAsia="Times New Roman" w:cstheme="minorHAnsi"/>
                <w:b/>
              </w:rPr>
              <w:t xml:space="preserve">Total </w:t>
            </w:r>
            <w:r w:rsidRPr="00F90DC9" w:rsidR="006D5A5C">
              <w:rPr>
                <w:rFonts w:eastAsia="Times New Roman" w:cstheme="minorHAnsi"/>
                <w:b/>
              </w:rPr>
              <w:t xml:space="preserve">Reduced </w:t>
            </w:r>
            <w:r w:rsidRPr="00F90DC9">
              <w:rPr>
                <w:rFonts w:eastAsia="Times New Roman" w:cstheme="minorHAnsi"/>
                <w:b/>
              </w:rPr>
              <w:t>Labor Cost</w:t>
            </w:r>
            <w:r w:rsidRPr="00F90DC9" w:rsidR="00E53D69">
              <w:rPr>
                <w:rFonts w:eastAsia="Times New Roman" w:cstheme="minorHAnsi"/>
                <w:b/>
                <w:bCs/>
              </w:rPr>
              <w:t xml:space="preserve"> </w:t>
            </w:r>
            <w:r w:rsidRPr="00F90DC9" w:rsidR="00910F5E">
              <w:rPr>
                <w:rFonts w:eastAsia="Times New Roman" w:cstheme="minorHAnsi"/>
                <w:b/>
                <w:bCs/>
              </w:rPr>
              <w:t>($</w:t>
            </w:r>
            <w:r w:rsidRPr="00F90DC9" w:rsidR="00602DF2">
              <w:rPr>
                <w:rFonts w:eastAsia="Times New Roman" w:cstheme="minorHAnsi"/>
                <w:b/>
                <w:bCs/>
              </w:rPr>
              <w:t>/year</w:t>
            </w:r>
            <w:r w:rsidRPr="00F90DC9" w:rsidR="00910F5E">
              <w:rPr>
                <w:rFonts w:eastAsia="Times New Roman" w:cstheme="minorHAnsi"/>
                <w:b/>
                <w:bCs/>
              </w:rPr>
              <w:t>)</w:t>
            </w:r>
          </w:p>
        </w:tc>
        <w:tc>
          <w:tcPr>
            <w:tcW w:w="1459" w:type="dxa"/>
            <w:shd w:val="clear" w:color="000000" w:fill="F2F2F2"/>
            <w:vAlign w:val="center"/>
            <w:hideMark/>
          </w:tcPr>
          <w:p w:rsidR="00F53EBB" w:rsidRPr="00F90DC9" w:rsidP="008574D4" w14:paraId="26C2D222" w14:textId="3D87F715">
            <w:pPr>
              <w:spacing w:after="0" w:line="240" w:lineRule="auto"/>
              <w:jc w:val="center"/>
              <w:rPr>
                <w:rFonts w:eastAsia="Times New Roman" w:cstheme="minorHAnsi"/>
                <w:b/>
              </w:rPr>
            </w:pPr>
            <w:r w:rsidRPr="00F90DC9">
              <w:rPr>
                <w:rFonts w:eastAsia="Times New Roman" w:cstheme="minorHAnsi"/>
                <w:b/>
              </w:rPr>
              <w:t xml:space="preserve">Total Reduced </w:t>
            </w:r>
            <w:r w:rsidRPr="00F90DC9">
              <w:rPr>
                <w:rFonts w:eastAsia="Times New Roman" w:cstheme="minorHAnsi"/>
                <w:b/>
              </w:rPr>
              <w:t>O&amp;M Cost</w:t>
            </w:r>
            <w:r w:rsidRPr="00F90DC9" w:rsidR="00910F5E">
              <w:rPr>
                <w:rFonts w:eastAsia="Times New Roman" w:cstheme="minorHAnsi"/>
                <w:b/>
                <w:bCs/>
              </w:rPr>
              <w:t xml:space="preserve"> ($</w:t>
            </w:r>
            <w:r w:rsidRPr="00F90DC9" w:rsidR="00602DF2">
              <w:rPr>
                <w:rFonts w:eastAsia="Times New Roman" w:cstheme="minorHAnsi"/>
                <w:b/>
                <w:bCs/>
              </w:rPr>
              <w:t>/year</w:t>
            </w:r>
            <w:r w:rsidRPr="00F90DC9" w:rsidR="00910F5E">
              <w:rPr>
                <w:rFonts w:eastAsia="Times New Roman" w:cstheme="minorHAnsi"/>
                <w:b/>
                <w:bCs/>
              </w:rPr>
              <w:t>)</w:t>
            </w:r>
          </w:p>
        </w:tc>
        <w:tc>
          <w:tcPr>
            <w:tcW w:w="1558" w:type="dxa"/>
            <w:shd w:val="clear" w:color="000000" w:fill="F2F2F2"/>
            <w:vAlign w:val="center"/>
            <w:hideMark/>
          </w:tcPr>
          <w:p w:rsidR="00F53EBB" w:rsidRPr="00F90DC9" w:rsidP="008574D4" w14:paraId="1B041FB8" w14:textId="20ACDFEA">
            <w:pPr>
              <w:spacing w:after="0" w:line="240" w:lineRule="auto"/>
              <w:jc w:val="center"/>
              <w:rPr>
                <w:rFonts w:eastAsia="Times New Roman" w:cstheme="minorHAnsi"/>
                <w:b/>
              </w:rPr>
            </w:pPr>
            <w:r w:rsidRPr="00F90DC9">
              <w:rPr>
                <w:rFonts w:eastAsia="Times New Roman" w:cstheme="minorHAnsi"/>
                <w:b/>
              </w:rPr>
              <w:t>Total Cost</w:t>
            </w:r>
            <w:r w:rsidRPr="00F90DC9" w:rsidR="006D5A5C">
              <w:rPr>
                <w:rFonts w:eastAsia="Times New Roman" w:cstheme="minorHAnsi"/>
                <w:b/>
              </w:rPr>
              <w:t xml:space="preserve"> Savings</w:t>
            </w:r>
            <w:r w:rsidRPr="00F90DC9" w:rsidR="00602DF2">
              <w:rPr>
                <w:rFonts w:eastAsia="Times New Roman" w:cstheme="minorHAnsi"/>
                <w:b/>
                <w:bCs/>
              </w:rPr>
              <w:t xml:space="preserve"> </w:t>
            </w:r>
            <w:r w:rsidRPr="00F90DC9" w:rsidR="00910F5E">
              <w:rPr>
                <w:rFonts w:eastAsia="Times New Roman" w:cstheme="minorHAnsi"/>
                <w:b/>
                <w:bCs/>
              </w:rPr>
              <w:t>($</w:t>
            </w:r>
            <w:r w:rsidRPr="00F90DC9" w:rsidR="00602DF2">
              <w:rPr>
                <w:rFonts w:eastAsia="Times New Roman" w:cstheme="minorHAnsi"/>
                <w:b/>
                <w:bCs/>
              </w:rPr>
              <w:t>/year</w:t>
            </w:r>
            <w:r w:rsidRPr="00F90DC9" w:rsidR="00910F5E">
              <w:rPr>
                <w:rFonts w:eastAsia="Times New Roman" w:cstheme="minorHAnsi"/>
                <w:b/>
                <w:bCs/>
              </w:rPr>
              <w:t>)</w:t>
            </w:r>
          </w:p>
        </w:tc>
      </w:tr>
      <w:tr w14:paraId="3A76873B" w14:textId="77777777" w:rsidTr="00F7740C">
        <w:tblPrEx>
          <w:tblW w:w="9820" w:type="dxa"/>
          <w:tblLook w:val="04A0"/>
        </w:tblPrEx>
        <w:tc>
          <w:tcPr>
            <w:tcW w:w="1810" w:type="dxa"/>
            <w:vAlign w:val="center"/>
            <w:hideMark/>
          </w:tcPr>
          <w:p w:rsidR="00E55A94" w:rsidRPr="00C53D09" w:rsidP="00E55A94" w14:paraId="59A1CDE5" w14:textId="601EEE78">
            <w:pPr>
              <w:spacing w:after="0" w:line="240" w:lineRule="auto"/>
              <w:rPr>
                <w:rFonts w:eastAsia="Times New Roman" w:cstheme="minorHAnsi"/>
                <w:color w:val="000000"/>
              </w:rPr>
            </w:pPr>
            <w:r w:rsidRPr="00C53D09">
              <w:rPr>
                <w:rFonts w:cstheme="minorHAnsi"/>
                <w:color w:val="000000"/>
              </w:rPr>
              <w:t>C. Stationary Combustion (C only)</w:t>
            </w:r>
          </w:p>
        </w:tc>
        <w:tc>
          <w:tcPr>
            <w:tcW w:w="1604" w:type="dxa"/>
            <w:noWrap/>
            <w:vAlign w:val="center"/>
            <w:hideMark/>
          </w:tcPr>
          <w:p w:rsidR="00E55A94" w:rsidRPr="00C53D09" w:rsidP="00E55A94" w14:paraId="42E1797C" w14:textId="6C436C95">
            <w:pPr>
              <w:spacing w:after="0" w:line="240" w:lineRule="auto"/>
              <w:jc w:val="right"/>
              <w:rPr>
                <w:rFonts w:eastAsia="Times New Roman" w:cstheme="minorHAnsi"/>
                <w:color w:val="000000"/>
              </w:rPr>
            </w:pPr>
            <w:r w:rsidRPr="00C53D09">
              <w:rPr>
                <w:rFonts w:cstheme="minorHAnsi"/>
                <w:color w:val="000000"/>
              </w:rPr>
              <w:t>1,813</w:t>
            </w:r>
          </w:p>
        </w:tc>
        <w:tc>
          <w:tcPr>
            <w:tcW w:w="1711" w:type="dxa"/>
            <w:noWrap/>
            <w:vAlign w:val="center"/>
            <w:hideMark/>
          </w:tcPr>
          <w:p w:rsidR="00E55A94" w:rsidRPr="00C53D09" w:rsidP="00E55A94" w14:paraId="4C844BF2" w14:textId="118E7925">
            <w:pPr>
              <w:spacing w:after="0" w:line="240" w:lineRule="auto"/>
              <w:jc w:val="right"/>
              <w:rPr>
                <w:rFonts w:eastAsia="Times New Roman" w:cstheme="minorHAnsi"/>
                <w:color w:val="000000"/>
              </w:rPr>
            </w:pPr>
            <w:r w:rsidRPr="00C53D09">
              <w:rPr>
                <w:rFonts w:cstheme="minorHAnsi"/>
                <w:color w:val="000000"/>
              </w:rPr>
              <w:t>76,007</w:t>
            </w:r>
          </w:p>
        </w:tc>
        <w:tc>
          <w:tcPr>
            <w:tcW w:w="1678" w:type="dxa"/>
            <w:noWrap/>
            <w:vAlign w:val="center"/>
            <w:hideMark/>
          </w:tcPr>
          <w:p w:rsidR="00E55A94" w:rsidRPr="00C53D09" w:rsidP="00900A63" w14:paraId="0A625F9B" w14:textId="614B35AC">
            <w:pPr>
              <w:spacing w:after="0" w:line="240" w:lineRule="auto"/>
              <w:jc w:val="right"/>
              <w:rPr>
                <w:rFonts w:eastAsia="Times New Roman" w:cstheme="minorHAnsi"/>
                <w:color w:val="000000"/>
              </w:rPr>
            </w:pPr>
            <w:r w:rsidRPr="00C53D09">
              <w:rPr>
                <w:rFonts w:cstheme="minorHAnsi"/>
                <w:color w:val="000000"/>
              </w:rPr>
              <w:t>$6,200,357</w:t>
            </w:r>
          </w:p>
        </w:tc>
        <w:tc>
          <w:tcPr>
            <w:tcW w:w="1459" w:type="dxa"/>
            <w:noWrap/>
            <w:vAlign w:val="center"/>
            <w:hideMark/>
          </w:tcPr>
          <w:p w:rsidR="00E55A94" w:rsidRPr="00C53D09" w:rsidP="00900A63" w14:paraId="72FC9540" w14:textId="2B060832">
            <w:pPr>
              <w:spacing w:after="0" w:line="240" w:lineRule="auto"/>
              <w:jc w:val="right"/>
              <w:rPr>
                <w:rFonts w:eastAsia="Times New Roman" w:cstheme="minorHAnsi"/>
                <w:color w:val="000000"/>
              </w:rPr>
            </w:pPr>
            <w:r w:rsidRPr="00C53D09">
              <w:rPr>
                <w:rFonts w:cstheme="minorHAnsi"/>
                <w:color w:val="000000"/>
              </w:rPr>
              <w:t>$2,151,529</w:t>
            </w:r>
          </w:p>
        </w:tc>
        <w:tc>
          <w:tcPr>
            <w:tcW w:w="1558" w:type="dxa"/>
            <w:noWrap/>
            <w:vAlign w:val="center"/>
            <w:hideMark/>
          </w:tcPr>
          <w:p w:rsidR="00E55A94" w:rsidRPr="00C53D09" w:rsidP="00900A63" w14:paraId="5EF6BB26" w14:textId="257C4DB5">
            <w:pPr>
              <w:spacing w:after="0" w:line="240" w:lineRule="auto"/>
              <w:jc w:val="right"/>
              <w:rPr>
                <w:rFonts w:eastAsia="Times New Roman" w:cstheme="minorHAnsi"/>
                <w:color w:val="000000"/>
              </w:rPr>
            </w:pPr>
            <w:r w:rsidRPr="00C53D09">
              <w:rPr>
                <w:rFonts w:cstheme="minorHAnsi"/>
                <w:color w:val="000000"/>
              </w:rPr>
              <w:t>$8,351,887</w:t>
            </w:r>
          </w:p>
        </w:tc>
      </w:tr>
      <w:tr w14:paraId="3CF7B409" w14:textId="77777777" w:rsidTr="00F7740C">
        <w:tblPrEx>
          <w:tblW w:w="9820" w:type="dxa"/>
          <w:tblLook w:val="04A0"/>
        </w:tblPrEx>
        <w:tc>
          <w:tcPr>
            <w:tcW w:w="1810" w:type="dxa"/>
            <w:vAlign w:val="center"/>
            <w:hideMark/>
          </w:tcPr>
          <w:p w:rsidR="00E55A94" w:rsidRPr="00C53D09" w:rsidP="00E55A94" w14:paraId="702EC7E2" w14:textId="5F9FA400">
            <w:pPr>
              <w:spacing w:after="0" w:line="240" w:lineRule="auto"/>
              <w:rPr>
                <w:rFonts w:eastAsia="Times New Roman" w:cstheme="minorHAnsi"/>
                <w:color w:val="000000"/>
              </w:rPr>
            </w:pPr>
            <w:r w:rsidRPr="00C53D09">
              <w:rPr>
                <w:rFonts w:cstheme="minorHAnsi"/>
                <w:color w:val="000000"/>
              </w:rPr>
              <w:t>C-plus at least one other subpart</w:t>
            </w:r>
          </w:p>
        </w:tc>
        <w:tc>
          <w:tcPr>
            <w:tcW w:w="1604" w:type="dxa"/>
            <w:noWrap/>
            <w:vAlign w:val="center"/>
            <w:hideMark/>
          </w:tcPr>
          <w:p w:rsidR="00E55A94" w:rsidRPr="00C53D09" w:rsidP="00E55A94" w14:paraId="06622AF7" w14:textId="2E4195C4">
            <w:pPr>
              <w:spacing w:after="0" w:line="240" w:lineRule="auto"/>
              <w:jc w:val="right"/>
              <w:rPr>
                <w:rFonts w:eastAsia="Times New Roman" w:cstheme="minorHAnsi"/>
                <w:color w:val="000000"/>
              </w:rPr>
            </w:pPr>
            <w:r w:rsidRPr="00C53D09">
              <w:rPr>
                <w:rFonts w:cstheme="minorHAnsi"/>
                <w:color w:val="000000"/>
              </w:rPr>
              <w:t>3,587</w:t>
            </w:r>
          </w:p>
        </w:tc>
        <w:tc>
          <w:tcPr>
            <w:tcW w:w="1711" w:type="dxa"/>
            <w:noWrap/>
            <w:vAlign w:val="center"/>
            <w:hideMark/>
          </w:tcPr>
          <w:p w:rsidR="00E55A94" w:rsidRPr="00C53D09" w:rsidP="00E55A94" w14:paraId="7C099906" w14:textId="2600E22B">
            <w:pPr>
              <w:spacing w:after="0" w:line="240" w:lineRule="auto"/>
              <w:jc w:val="right"/>
              <w:rPr>
                <w:rFonts w:eastAsia="Times New Roman" w:cstheme="minorHAnsi"/>
                <w:color w:val="000000"/>
              </w:rPr>
            </w:pPr>
            <w:r w:rsidRPr="00C53D09">
              <w:rPr>
                <w:rFonts w:cstheme="minorHAnsi"/>
                <w:color w:val="000000"/>
              </w:rPr>
              <w:t>155,900</w:t>
            </w:r>
          </w:p>
        </w:tc>
        <w:tc>
          <w:tcPr>
            <w:tcW w:w="1678" w:type="dxa"/>
            <w:noWrap/>
            <w:vAlign w:val="center"/>
            <w:hideMark/>
          </w:tcPr>
          <w:p w:rsidR="00E55A94" w:rsidRPr="00C53D09" w:rsidP="00900A63" w14:paraId="17406F79" w14:textId="0B953F7A">
            <w:pPr>
              <w:spacing w:after="0" w:line="240" w:lineRule="auto"/>
              <w:jc w:val="right"/>
              <w:rPr>
                <w:rFonts w:eastAsia="Times New Roman" w:cstheme="minorHAnsi"/>
                <w:color w:val="000000"/>
              </w:rPr>
            </w:pPr>
            <w:r w:rsidRPr="00C53D09">
              <w:rPr>
                <w:rFonts w:cstheme="minorHAnsi"/>
                <w:color w:val="000000"/>
              </w:rPr>
              <w:t>$12,723,325</w:t>
            </w:r>
          </w:p>
        </w:tc>
        <w:tc>
          <w:tcPr>
            <w:tcW w:w="1459" w:type="dxa"/>
            <w:noWrap/>
            <w:vAlign w:val="center"/>
            <w:hideMark/>
          </w:tcPr>
          <w:p w:rsidR="00E55A94" w:rsidRPr="00C53D09" w:rsidP="00900A63" w14:paraId="2CEF0235" w14:textId="55D07BC2">
            <w:pPr>
              <w:spacing w:after="0" w:line="240" w:lineRule="auto"/>
              <w:jc w:val="right"/>
              <w:rPr>
                <w:rFonts w:eastAsia="Times New Roman" w:cstheme="minorHAnsi"/>
                <w:color w:val="000000"/>
              </w:rPr>
            </w:pPr>
            <w:r w:rsidRPr="00C53D09">
              <w:rPr>
                <w:rFonts w:cstheme="minorHAnsi"/>
                <w:color w:val="000000"/>
              </w:rPr>
              <w:t>$3,878,496</w:t>
            </w:r>
          </w:p>
        </w:tc>
        <w:tc>
          <w:tcPr>
            <w:tcW w:w="1558" w:type="dxa"/>
            <w:noWrap/>
            <w:vAlign w:val="center"/>
            <w:hideMark/>
          </w:tcPr>
          <w:p w:rsidR="00E55A94" w:rsidRPr="00C53D09" w:rsidP="00900A63" w14:paraId="68346446" w14:textId="42684945">
            <w:pPr>
              <w:spacing w:after="0" w:line="240" w:lineRule="auto"/>
              <w:jc w:val="right"/>
              <w:rPr>
                <w:rFonts w:eastAsia="Times New Roman" w:cstheme="minorHAnsi"/>
                <w:color w:val="000000"/>
              </w:rPr>
            </w:pPr>
            <w:r w:rsidRPr="00C53D09">
              <w:rPr>
                <w:rFonts w:cstheme="minorHAnsi"/>
                <w:color w:val="000000"/>
              </w:rPr>
              <w:t>$16,601,821</w:t>
            </w:r>
          </w:p>
        </w:tc>
      </w:tr>
      <w:tr w14:paraId="5B84520E" w14:textId="77777777" w:rsidTr="00F7740C">
        <w:tblPrEx>
          <w:tblW w:w="9820" w:type="dxa"/>
          <w:tblLook w:val="04A0"/>
        </w:tblPrEx>
        <w:tc>
          <w:tcPr>
            <w:tcW w:w="1810" w:type="dxa"/>
            <w:vAlign w:val="center"/>
            <w:hideMark/>
          </w:tcPr>
          <w:p w:rsidR="00E55A94" w:rsidRPr="00C53D09" w:rsidP="00E55A94" w14:paraId="05C2989C" w14:textId="037AE75E">
            <w:pPr>
              <w:spacing w:after="0" w:line="240" w:lineRule="auto"/>
              <w:rPr>
                <w:rFonts w:eastAsia="Times New Roman" w:cstheme="minorHAnsi"/>
                <w:color w:val="000000"/>
              </w:rPr>
            </w:pPr>
            <w:r w:rsidRPr="00C53D09">
              <w:rPr>
                <w:rFonts w:cstheme="minorHAnsi"/>
                <w:color w:val="000000"/>
              </w:rPr>
              <w:t>D. Electricity Generation</w:t>
            </w:r>
          </w:p>
        </w:tc>
        <w:tc>
          <w:tcPr>
            <w:tcW w:w="1604" w:type="dxa"/>
            <w:noWrap/>
            <w:vAlign w:val="center"/>
            <w:hideMark/>
          </w:tcPr>
          <w:p w:rsidR="00E55A94" w:rsidRPr="00C53D09" w:rsidP="00E55A94" w14:paraId="6C9123AB" w14:textId="3CEE9267">
            <w:pPr>
              <w:spacing w:after="0" w:line="240" w:lineRule="auto"/>
              <w:jc w:val="right"/>
              <w:rPr>
                <w:rFonts w:eastAsia="Times New Roman" w:cstheme="minorHAnsi"/>
                <w:color w:val="000000"/>
              </w:rPr>
            </w:pPr>
            <w:r w:rsidRPr="00C53D09">
              <w:rPr>
                <w:rFonts w:cstheme="minorHAnsi"/>
                <w:color w:val="000000"/>
              </w:rPr>
              <w:t>1,086</w:t>
            </w:r>
          </w:p>
        </w:tc>
        <w:tc>
          <w:tcPr>
            <w:tcW w:w="1711" w:type="dxa"/>
            <w:noWrap/>
            <w:vAlign w:val="center"/>
            <w:hideMark/>
          </w:tcPr>
          <w:p w:rsidR="00E55A94" w:rsidRPr="00C53D09" w:rsidP="00E55A94" w14:paraId="46C1B92A" w14:textId="0FB52C7C">
            <w:pPr>
              <w:spacing w:after="0" w:line="240" w:lineRule="auto"/>
              <w:jc w:val="right"/>
              <w:rPr>
                <w:rFonts w:eastAsia="Times New Roman" w:cstheme="minorHAnsi"/>
                <w:color w:val="000000"/>
              </w:rPr>
            </w:pPr>
            <w:r w:rsidRPr="00C53D09">
              <w:rPr>
                <w:rFonts w:cstheme="minorHAnsi"/>
                <w:color w:val="000000"/>
              </w:rPr>
              <w:t>4,996</w:t>
            </w:r>
          </w:p>
        </w:tc>
        <w:tc>
          <w:tcPr>
            <w:tcW w:w="1678" w:type="dxa"/>
            <w:noWrap/>
            <w:vAlign w:val="center"/>
            <w:hideMark/>
          </w:tcPr>
          <w:p w:rsidR="00E55A94" w:rsidRPr="00C53D09" w:rsidP="00900A63" w14:paraId="10E960FE" w14:textId="7E260411">
            <w:pPr>
              <w:spacing w:after="0" w:line="240" w:lineRule="auto"/>
              <w:jc w:val="right"/>
              <w:rPr>
                <w:rFonts w:eastAsia="Times New Roman" w:cstheme="minorHAnsi"/>
                <w:color w:val="000000"/>
              </w:rPr>
            </w:pPr>
            <w:r w:rsidRPr="00C53D09">
              <w:rPr>
                <w:rFonts w:cstheme="minorHAnsi"/>
                <w:color w:val="000000"/>
              </w:rPr>
              <w:t>$387,166</w:t>
            </w:r>
          </w:p>
        </w:tc>
        <w:tc>
          <w:tcPr>
            <w:tcW w:w="1459" w:type="dxa"/>
            <w:noWrap/>
            <w:vAlign w:val="center"/>
            <w:hideMark/>
          </w:tcPr>
          <w:p w:rsidR="00E55A94" w:rsidRPr="00C53D09" w:rsidP="00900A63" w14:paraId="3B85CD72" w14:textId="5916C6CF">
            <w:pPr>
              <w:spacing w:after="0" w:line="240" w:lineRule="auto"/>
              <w:jc w:val="right"/>
              <w:rPr>
                <w:rFonts w:eastAsia="Times New Roman" w:cstheme="minorHAnsi"/>
                <w:color w:val="000000"/>
              </w:rPr>
            </w:pPr>
            <w:r w:rsidRPr="00C53D09">
              <w:rPr>
                <w:rFonts w:cstheme="minorHAnsi"/>
                <w:color w:val="000000"/>
              </w:rPr>
              <w:t>$67,171</w:t>
            </w:r>
          </w:p>
        </w:tc>
        <w:tc>
          <w:tcPr>
            <w:tcW w:w="1558" w:type="dxa"/>
            <w:noWrap/>
            <w:vAlign w:val="center"/>
            <w:hideMark/>
          </w:tcPr>
          <w:p w:rsidR="00E55A94" w:rsidRPr="00C53D09" w:rsidP="00900A63" w14:paraId="172758BF" w14:textId="7C864F03">
            <w:pPr>
              <w:spacing w:after="0" w:line="240" w:lineRule="auto"/>
              <w:jc w:val="right"/>
              <w:rPr>
                <w:rFonts w:eastAsia="Times New Roman" w:cstheme="minorHAnsi"/>
                <w:color w:val="000000"/>
              </w:rPr>
            </w:pPr>
            <w:r w:rsidRPr="00C53D09">
              <w:rPr>
                <w:rFonts w:cstheme="minorHAnsi"/>
                <w:color w:val="000000"/>
              </w:rPr>
              <w:t>$454,336</w:t>
            </w:r>
          </w:p>
        </w:tc>
      </w:tr>
      <w:tr w14:paraId="3A441B1F" w14:textId="77777777" w:rsidTr="00F7740C">
        <w:tblPrEx>
          <w:tblW w:w="9820" w:type="dxa"/>
          <w:tblLook w:val="04A0"/>
        </w:tblPrEx>
        <w:tc>
          <w:tcPr>
            <w:tcW w:w="1810" w:type="dxa"/>
            <w:vAlign w:val="center"/>
            <w:hideMark/>
          </w:tcPr>
          <w:p w:rsidR="00E55A94" w:rsidRPr="00C53D09" w:rsidP="00E55A94" w14:paraId="7E4CC58A" w14:textId="0A637F13">
            <w:pPr>
              <w:spacing w:after="0" w:line="240" w:lineRule="auto"/>
              <w:rPr>
                <w:rFonts w:eastAsia="Times New Roman" w:cstheme="minorHAnsi"/>
                <w:color w:val="000000"/>
              </w:rPr>
            </w:pPr>
            <w:r w:rsidRPr="00C53D09">
              <w:rPr>
                <w:rFonts w:cstheme="minorHAnsi"/>
                <w:color w:val="000000"/>
              </w:rPr>
              <w:t>E. Adipic Acid Prod</w:t>
            </w:r>
            <w:r w:rsidR="000E3C86">
              <w:rPr>
                <w:rFonts w:cstheme="minorHAnsi"/>
                <w:color w:val="000000"/>
              </w:rPr>
              <w:t>uction</w:t>
            </w:r>
          </w:p>
        </w:tc>
        <w:tc>
          <w:tcPr>
            <w:tcW w:w="1604" w:type="dxa"/>
            <w:noWrap/>
            <w:vAlign w:val="center"/>
            <w:hideMark/>
          </w:tcPr>
          <w:p w:rsidR="00E55A94" w:rsidRPr="00C53D09" w:rsidP="00E55A94" w14:paraId="47046D75" w14:textId="1533968D">
            <w:pPr>
              <w:spacing w:after="0" w:line="240" w:lineRule="auto"/>
              <w:jc w:val="right"/>
              <w:rPr>
                <w:rFonts w:eastAsia="Times New Roman" w:cstheme="minorHAnsi"/>
                <w:color w:val="000000"/>
              </w:rPr>
            </w:pPr>
            <w:r w:rsidRPr="00C53D09">
              <w:rPr>
                <w:rFonts w:cstheme="minorHAnsi"/>
                <w:color w:val="000000"/>
              </w:rPr>
              <w:t>2</w:t>
            </w:r>
          </w:p>
        </w:tc>
        <w:tc>
          <w:tcPr>
            <w:tcW w:w="1711" w:type="dxa"/>
            <w:noWrap/>
            <w:vAlign w:val="center"/>
            <w:hideMark/>
          </w:tcPr>
          <w:p w:rsidR="00E55A94" w:rsidRPr="00C53D09" w:rsidP="00E55A94" w14:paraId="5079C0E9" w14:textId="233C36C7">
            <w:pPr>
              <w:spacing w:after="0" w:line="240" w:lineRule="auto"/>
              <w:jc w:val="right"/>
              <w:rPr>
                <w:rFonts w:eastAsia="Times New Roman" w:cstheme="minorHAnsi"/>
                <w:color w:val="000000"/>
              </w:rPr>
            </w:pPr>
            <w:r w:rsidRPr="00C53D09">
              <w:rPr>
                <w:rFonts w:cstheme="minorHAnsi"/>
                <w:color w:val="000000"/>
              </w:rPr>
              <w:t>44</w:t>
            </w:r>
          </w:p>
        </w:tc>
        <w:tc>
          <w:tcPr>
            <w:tcW w:w="1678" w:type="dxa"/>
            <w:noWrap/>
            <w:vAlign w:val="center"/>
            <w:hideMark/>
          </w:tcPr>
          <w:p w:rsidR="00E55A94" w:rsidRPr="00C53D09" w:rsidP="00900A63" w14:paraId="69EA8861" w14:textId="4EAE2794">
            <w:pPr>
              <w:spacing w:after="0" w:line="240" w:lineRule="auto"/>
              <w:jc w:val="right"/>
              <w:rPr>
                <w:rFonts w:eastAsia="Times New Roman" w:cstheme="minorHAnsi"/>
                <w:color w:val="000000"/>
              </w:rPr>
            </w:pPr>
            <w:r w:rsidRPr="00C53D09">
              <w:rPr>
                <w:rFonts w:cstheme="minorHAnsi"/>
                <w:color w:val="000000"/>
              </w:rPr>
              <w:t>$3,660</w:t>
            </w:r>
          </w:p>
        </w:tc>
        <w:tc>
          <w:tcPr>
            <w:tcW w:w="1459" w:type="dxa"/>
            <w:noWrap/>
            <w:vAlign w:val="center"/>
            <w:hideMark/>
          </w:tcPr>
          <w:p w:rsidR="00E55A94" w:rsidRPr="00C53D09" w:rsidP="00900A63" w14:paraId="4D97A08C" w14:textId="1DF34486">
            <w:pPr>
              <w:spacing w:after="0" w:line="240" w:lineRule="auto"/>
              <w:jc w:val="right"/>
              <w:rPr>
                <w:rFonts w:eastAsia="Times New Roman" w:cstheme="minorHAnsi"/>
                <w:color w:val="000000"/>
              </w:rPr>
            </w:pPr>
            <w:r w:rsidRPr="00C53D09">
              <w:rPr>
                <w:rFonts w:cstheme="minorHAnsi"/>
                <w:color w:val="000000"/>
              </w:rPr>
              <w:t>$6,880</w:t>
            </w:r>
          </w:p>
        </w:tc>
        <w:tc>
          <w:tcPr>
            <w:tcW w:w="1558" w:type="dxa"/>
            <w:noWrap/>
            <w:vAlign w:val="center"/>
            <w:hideMark/>
          </w:tcPr>
          <w:p w:rsidR="00E55A94" w:rsidRPr="00C53D09" w:rsidP="00900A63" w14:paraId="4CF6FC91" w14:textId="2FAB9C01">
            <w:pPr>
              <w:spacing w:after="0" w:line="240" w:lineRule="auto"/>
              <w:jc w:val="right"/>
              <w:rPr>
                <w:rFonts w:eastAsia="Times New Roman" w:cstheme="minorHAnsi"/>
                <w:color w:val="000000"/>
              </w:rPr>
            </w:pPr>
            <w:r w:rsidRPr="00C53D09">
              <w:rPr>
                <w:rFonts w:cstheme="minorHAnsi"/>
                <w:color w:val="000000"/>
              </w:rPr>
              <w:t>$10,541</w:t>
            </w:r>
          </w:p>
        </w:tc>
      </w:tr>
      <w:tr w14:paraId="17D5D687" w14:textId="77777777" w:rsidTr="00F7740C">
        <w:tblPrEx>
          <w:tblW w:w="9820" w:type="dxa"/>
          <w:tblLook w:val="04A0"/>
        </w:tblPrEx>
        <w:tc>
          <w:tcPr>
            <w:tcW w:w="1810" w:type="dxa"/>
            <w:vAlign w:val="center"/>
            <w:hideMark/>
          </w:tcPr>
          <w:p w:rsidR="00E55A94" w:rsidRPr="00C53D09" w:rsidP="00E55A94" w14:paraId="61D142EF" w14:textId="774F6EF3">
            <w:pPr>
              <w:spacing w:after="0" w:line="240" w:lineRule="auto"/>
              <w:rPr>
                <w:rFonts w:eastAsia="Times New Roman" w:cstheme="minorHAnsi"/>
                <w:color w:val="000000"/>
              </w:rPr>
            </w:pPr>
            <w:r w:rsidRPr="00C53D09">
              <w:rPr>
                <w:rFonts w:cstheme="minorHAnsi"/>
                <w:color w:val="000000"/>
              </w:rPr>
              <w:t xml:space="preserve">F. Aluminum Production </w:t>
            </w:r>
          </w:p>
        </w:tc>
        <w:tc>
          <w:tcPr>
            <w:tcW w:w="1604" w:type="dxa"/>
            <w:noWrap/>
            <w:vAlign w:val="center"/>
            <w:hideMark/>
          </w:tcPr>
          <w:p w:rsidR="00E55A94" w:rsidRPr="00C53D09" w:rsidP="00E55A94" w14:paraId="423E6F94" w14:textId="33FDB078">
            <w:pPr>
              <w:spacing w:after="0" w:line="240" w:lineRule="auto"/>
              <w:jc w:val="right"/>
              <w:rPr>
                <w:rFonts w:eastAsia="Times New Roman" w:cstheme="minorHAnsi"/>
                <w:color w:val="000000"/>
              </w:rPr>
            </w:pPr>
            <w:r w:rsidRPr="00C53D09">
              <w:rPr>
                <w:rFonts w:cstheme="minorHAnsi"/>
                <w:color w:val="000000"/>
              </w:rPr>
              <w:t>7</w:t>
            </w:r>
          </w:p>
        </w:tc>
        <w:tc>
          <w:tcPr>
            <w:tcW w:w="1711" w:type="dxa"/>
            <w:noWrap/>
            <w:vAlign w:val="center"/>
            <w:hideMark/>
          </w:tcPr>
          <w:p w:rsidR="00E55A94" w:rsidRPr="00C53D09" w:rsidP="00E55A94" w14:paraId="5AA2C9C7" w14:textId="731FC6BF">
            <w:pPr>
              <w:spacing w:after="0" w:line="240" w:lineRule="auto"/>
              <w:jc w:val="right"/>
              <w:rPr>
                <w:rFonts w:eastAsia="Times New Roman" w:cstheme="minorHAnsi"/>
                <w:color w:val="000000"/>
              </w:rPr>
            </w:pPr>
            <w:r w:rsidRPr="00C53D09">
              <w:rPr>
                <w:rFonts w:cstheme="minorHAnsi"/>
                <w:color w:val="000000"/>
              </w:rPr>
              <w:t>446</w:t>
            </w:r>
          </w:p>
        </w:tc>
        <w:tc>
          <w:tcPr>
            <w:tcW w:w="1678" w:type="dxa"/>
            <w:noWrap/>
            <w:vAlign w:val="center"/>
            <w:hideMark/>
          </w:tcPr>
          <w:p w:rsidR="00E55A94" w:rsidRPr="00C53D09" w:rsidP="00900A63" w14:paraId="3223B362" w14:textId="5C58EADE">
            <w:pPr>
              <w:spacing w:after="0" w:line="240" w:lineRule="auto"/>
              <w:jc w:val="right"/>
              <w:rPr>
                <w:rFonts w:eastAsia="Times New Roman" w:cstheme="minorHAnsi"/>
                <w:color w:val="000000"/>
              </w:rPr>
            </w:pPr>
            <w:r w:rsidRPr="00C53D09">
              <w:rPr>
                <w:rFonts w:cstheme="minorHAnsi"/>
                <w:color w:val="000000"/>
              </w:rPr>
              <w:t>$37,440</w:t>
            </w:r>
          </w:p>
        </w:tc>
        <w:tc>
          <w:tcPr>
            <w:tcW w:w="1459" w:type="dxa"/>
            <w:noWrap/>
            <w:vAlign w:val="center"/>
            <w:hideMark/>
          </w:tcPr>
          <w:p w:rsidR="00E55A94" w:rsidRPr="00C53D09" w:rsidP="00900A63" w14:paraId="4C3F234A" w14:textId="145B59BE">
            <w:pPr>
              <w:spacing w:after="0" w:line="240" w:lineRule="auto"/>
              <w:jc w:val="right"/>
              <w:rPr>
                <w:rFonts w:eastAsia="Times New Roman" w:cstheme="minorHAnsi"/>
                <w:color w:val="000000"/>
              </w:rPr>
            </w:pPr>
            <w:r w:rsidRPr="00C53D09">
              <w:rPr>
                <w:rFonts w:cstheme="minorHAnsi"/>
                <w:color w:val="000000"/>
              </w:rPr>
              <w:t>$5,028</w:t>
            </w:r>
          </w:p>
        </w:tc>
        <w:tc>
          <w:tcPr>
            <w:tcW w:w="1558" w:type="dxa"/>
            <w:noWrap/>
            <w:vAlign w:val="center"/>
            <w:hideMark/>
          </w:tcPr>
          <w:p w:rsidR="00E55A94" w:rsidRPr="00C53D09" w:rsidP="00900A63" w14:paraId="2D39A759" w14:textId="6B01E68A">
            <w:pPr>
              <w:spacing w:after="0" w:line="240" w:lineRule="auto"/>
              <w:jc w:val="right"/>
              <w:rPr>
                <w:rFonts w:eastAsia="Times New Roman" w:cstheme="minorHAnsi"/>
                <w:color w:val="000000"/>
              </w:rPr>
            </w:pPr>
            <w:r w:rsidRPr="00C53D09">
              <w:rPr>
                <w:rFonts w:cstheme="minorHAnsi"/>
                <w:color w:val="000000"/>
              </w:rPr>
              <w:t>$42,468</w:t>
            </w:r>
          </w:p>
        </w:tc>
      </w:tr>
      <w:tr w14:paraId="69FD415D" w14:textId="77777777" w:rsidTr="00F7740C">
        <w:tblPrEx>
          <w:tblW w:w="9820" w:type="dxa"/>
          <w:tblLook w:val="04A0"/>
        </w:tblPrEx>
        <w:tc>
          <w:tcPr>
            <w:tcW w:w="1810" w:type="dxa"/>
            <w:vAlign w:val="center"/>
            <w:hideMark/>
          </w:tcPr>
          <w:p w:rsidR="00E55A94" w:rsidRPr="00C53D09" w:rsidP="00E55A94" w14:paraId="0193C0AE" w14:textId="42F12BF1">
            <w:pPr>
              <w:spacing w:after="0" w:line="240" w:lineRule="auto"/>
              <w:rPr>
                <w:rFonts w:eastAsia="Times New Roman" w:cstheme="minorHAnsi"/>
                <w:color w:val="000000"/>
              </w:rPr>
            </w:pPr>
            <w:r w:rsidRPr="00C53D09">
              <w:rPr>
                <w:rFonts w:cstheme="minorHAnsi"/>
                <w:color w:val="000000"/>
              </w:rPr>
              <w:t>G. Ammonia Manufacturing</w:t>
            </w:r>
          </w:p>
        </w:tc>
        <w:tc>
          <w:tcPr>
            <w:tcW w:w="1604" w:type="dxa"/>
            <w:noWrap/>
            <w:vAlign w:val="center"/>
            <w:hideMark/>
          </w:tcPr>
          <w:p w:rsidR="00E55A94" w:rsidRPr="00C53D09" w:rsidP="00E55A94" w14:paraId="495D76E4" w14:textId="73A0555D">
            <w:pPr>
              <w:spacing w:after="0" w:line="240" w:lineRule="auto"/>
              <w:jc w:val="right"/>
              <w:rPr>
                <w:rFonts w:eastAsia="Times New Roman" w:cstheme="minorHAnsi"/>
                <w:color w:val="000000"/>
              </w:rPr>
            </w:pPr>
            <w:r w:rsidRPr="00C53D09">
              <w:rPr>
                <w:rFonts w:cstheme="minorHAnsi"/>
                <w:color w:val="000000"/>
              </w:rPr>
              <w:t>29</w:t>
            </w:r>
          </w:p>
        </w:tc>
        <w:tc>
          <w:tcPr>
            <w:tcW w:w="1711" w:type="dxa"/>
            <w:noWrap/>
            <w:vAlign w:val="center"/>
            <w:hideMark/>
          </w:tcPr>
          <w:p w:rsidR="00E55A94" w:rsidRPr="00C53D09" w:rsidP="00E55A94" w14:paraId="375A5F06" w14:textId="07301F0B">
            <w:pPr>
              <w:spacing w:after="0" w:line="240" w:lineRule="auto"/>
              <w:jc w:val="right"/>
              <w:rPr>
                <w:rFonts w:eastAsia="Times New Roman" w:cstheme="minorHAnsi"/>
                <w:color w:val="000000"/>
              </w:rPr>
            </w:pPr>
            <w:r w:rsidRPr="00C53D09">
              <w:rPr>
                <w:rFonts w:cstheme="minorHAnsi"/>
                <w:color w:val="000000"/>
              </w:rPr>
              <w:t>1,237</w:t>
            </w:r>
          </w:p>
        </w:tc>
        <w:tc>
          <w:tcPr>
            <w:tcW w:w="1678" w:type="dxa"/>
            <w:noWrap/>
            <w:vAlign w:val="center"/>
            <w:hideMark/>
          </w:tcPr>
          <w:p w:rsidR="00E55A94" w:rsidRPr="00C53D09" w:rsidP="00900A63" w14:paraId="20FC3D40" w14:textId="76CC9695">
            <w:pPr>
              <w:spacing w:after="0" w:line="240" w:lineRule="auto"/>
              <w:jc w:val="right"/>
              <w:rPr>
                <w:rFonts w:eastAsia="Times New Roman" w:cstheme="minorHAnsi"/>
                <w:color w:val="000000"/>
              </w:rPr>
            </w:pPr>
            <w:r w:rsidRPr="00C53D09">
              <w:rPr>
                <w:rFonts w:cstheme="minorHAnsi"/>
                <w:color w:val="000000"/>
              </w:rPr>
              <w:t>$102,205</w:t>
            </w:r>
          </w:p>
        </w:tc>
        <w:tc>
          <w:tcPr>
            <w:tcW w:w="1459" w:type="dxa"/>
            <w:noWrap/>
            <w:vAlign w:val="center"/>
            <w:hideMark/>
          </w:tcPr>
          <w:p w:rsidR="00E55A94" w:rsidRPr="00C53D09" w:rsidP="00900A63" w14:paraId="67ED0337" w14:textId="6E4B9547">
            <w:pPr>
              <w:spacing w:after="0" w:line="240" w:lineRule="auto"/>
              <w:jc w:val="right"/>
              <w:rPr>
                <w:rFonts w:eastAsia="Times New Roman" w:cstheme="minorHAnsi"/>
                <w:color w:val="000000"/>
              </w:rPr>
            </w:pPr>
            <w:r w:rsidRPr="00C53D09">
              <w:rPr>
                <w:rFonts w:cstheme="minorHAnsi"/>
                <w:color w:val="000000"/>
              </w:rPr>
              <w:t>$160,854</w:t>
            </w:r>
          </w:p>
        </w:tc>
        <w:tc>
          <w:tcPr>
            <w:tcW w:w="1558" w:type="dxa"/>
            <w:noWrap/>
            <w:vAlign w:val="center"/>
            <w:hideMark/>
          </w:tcPr>
          <w:p w:rsidR="00E55A94" w:rsidRPr="00C53D09" w:rsidP="00900A63" w14:paraId="0AA15317" w14:textId="06DB5662">
            <w:pPr>
              <w:spacing w:after="0" w:line="240" w:lineRule="auto"/>
              <w:jc w:val="right"/>
              <w:rPr>
                <w:rFonts w:eastAsia="Times New Roman" w:cstheme="minorHAnsi"/>
                <w:color w:val="000000"/>
              </w:rPr>
            </w:pPr>
            <w:r w:rsidRPr="00C53D09">
              <w:rPr>
                <w:rFonts w:cstheme="minorHAnsi"/>
                <w:color w:val="000000"/>
              </w:rPr>
              <w:t>$263,059</w:t>
            </w:r>
          </w:p>
        </w:tc>
      </w:tr>
      <w:tr w14:paraId="0A92DBA5" w14:textId="77777777" w:rsidTr="00F7740C">
        <w:tblPrEx>
          <w:tblW w:w="9820" w:type="dxa"/>
          <w:tblLook w:val="04A0"/>
        </w:tblPrEx>
        <w:tc>
          <w:tcPr>
            <w:tcW w:w="1810" w:type="dxa"/>
            <w:vAlign w:val="center"/>
            <w:hideMark/>
          </w:tcPr>
          <w:p w:rsidR="00E55A94" w:rsidRPr="00C53D09" w:rsidP="00E55A94" w14:paraId="33C18CD7" w14:textId="371D1254">
            <w:pPr>
              <w:spacing w:after="0" w:line="240" w:lineRule="auto"/>
              <w:rPr>
                <w:rFonts w:eastAsia="Times New Roman" w:cstheme="minorHAnsi"/>
                <w:color w:val="000000"/>
              </w:rPr>
            </w:pPr>
            <w:r w:rsidRPr="00C53D09">
              <w:rPr>
                <w:rFonts w:cstheme="minorHAnsi"/>
                <w:color w:val="000000"/>
              </w:rPr>
              <w:t>H. Cement Production</w:t>
            </w:r>
          </w:p>
        </w:tc>
        <w:tc>
          <w:tcPr>
            <w:tcW w:w="1604" w:type="dxa"/>
            <w:noWrap/>
            <w:vAlign w:val="center"/>
            <w:hideMark/>
          </w:tcPr>
          <w:p w:rsidR="00E55A94" w:rsidRPr="00C53D09" w:rsidP="00E55A94" w14:paraId="231934BD" w14:textId="609D0EB1">
            <w:pPr>
              <w:spacing w:after="0" w:line="240" w:lineRule="auto"/>
              <w:jc w:val="right"/>
              <w:rPr>
                <w:rFonts w:eastAsia="Times New Roman" w:cstheme="minorHAnsi"/>
                <w:color w:val="000000"/>
              </w:rPr>
            </w:pPr>
            <w:r w:rsidRPr="00C53D09">
              <w:rPr>
                <w:rFonts w:cstheme="minorHAnsi"/>
                <w:color w:val="000000"/>
              </w:rPr>
              <w:t>90</w:t>
            </w:r>
          </w:p>
        </w:tc>
        <w:tc>
          <w:tcPr>
            <w:tcW w:w="1711" w:type="dxa"/>
            <w:noWrap/>
            <w:vAlign w:val="center"/>
            <w:hideMark/>
          </w:tcPr>
          <w:p w:rsidR="00E55A94" w:rsidRPr="00C53D09" w:rsidP="00E55A94" w14:paraId="40B37764" w14:textId="12544899">
            <w:pPr>
              <w:spacing w:after="0" w:line="240" w:lineRule="auto"/>
              <w:jc w:val="right"/>
              <w:rPr>
                <w:rFonts w:eastAsia="Times New Roman" w:cstheme="minorHAnsi"/>
                <w:color w:val="000000"/>
              </w:rPr>
            </w:pPr>
            <w:r w:rsidRPr="00C53D09">
              <w:rPr>
                <w:rFonts w:cstheme="minorHAnsi"/>
                <w:color w:val="000000"/>
              </w:rPr>
              <w:t>2,209</w:t>
            </w:r>
          </w:p>
        </w:tc>
        <w:tc>
          <w:tcPr>
            <w:tcW w:w="1678" w:type="dxa"/>
            <w:noWrap/>
            <w:vAlign w:val="center"/>
            <w:hideMark/>
          </w:tcPr>
          <w:p w:rsidR="00E55A94" w:rsidRPr="00C53D09" w:rsidP="00900A63" w14:paraId="3FF7FBD0" w14:textId="0126D9E5">
            <w:pPr>
              <w:spacing w:after="0" w:line="240" w:lineRule="auto"/>
              <w:jc w:val="right"/>
              <w:rPr>
                <w:rFonts w:eastAsia="Times New Roman" w:cstheme="minorHAnsi"/>
                <w:color w:val="000000"/>
              </w:rPr>
            </w:pPr>
            <w:r w:rsidRPr="00C53D09">
              <w:rPr>
                <w:rFonts w:cstheme="minorHAnsi"/>
                <w:color w:val="000000"/>
              </w:rPr>
              <w:t>$172,971</w:t>
            </w:r>
          </w:p>
        </w:tc>
        <w:tc>
          <w:tcPr>
            <w:tcW w:w="1459" w:type="dxa"/>
            <w:noWrap/>
            <w:vAlign w:val="center"/>
            <w:hideMark/>
          </w:tcPr>
          <w:p w:rsidR="00E55A94" w:rsidRPr="00C53D09" w:rsidP="00900A63" w14:paraId="15F7E3CD" w14:textId="7479906B">
            <w:pPr>
              <w:spacing w:after="0" w:line="240" w:lineRule="auto"/>
              <w:jc w:val="right"/>
              <w:rPr>
                <w:rFonts w:eastAsia="Times New Roman" w:cstheme="minorHAnsi"/>
                <w:color w:val="000000"/>
              </w:rPr>
            </w:pPr>
            <w:r w:rsidRPr="00C53D09">
              <w:rPr>
                <w:rFonts w:cstheme="minorHAnsi"/>
                <w:color w:val="000000"/>
              </w:rPr>
              <w:t>$5,567</w:t>
            </w:r>
          </w:p>
        </w:tc>
        <w:tc>
          <w:tcPr>
            <w:tcW w:w="1558" w:type="dxa"/>
            <w:noWrap/>
            <w:vAlign w:val="center"/>
            <w:hideMark/>
          </w:tcPr>
          <w:p w:rsidR="00E55A94" w:rsidRPr="00C53D09" w:rsidP="00900A63" w14:paraId="61EADFA6" w14:textId="64FF134E">
            <w:pPr>
              <w:spacing w:after="0" w:line="240" w:lineRule="auto"/>
              <w:jc w:val="right"/>
              <w:rPr>
                <w:rFonts w:eastAsia="Times New Roman" w:cstheme="minorHAnsi"/>
                <w:color w:val="000000"/>
              </w:rPr>
            </w:pPr>
            <w:r w:rsidRPr="00C53D09">
              <w:rPr>
                <w:rFonts w:cstheme="minorHAnsi"/>
                <w:color w:val="000000"/>
              </w:rPr>
              <w:t>$178,537</w:t>
            </w:r>
          </w:p>
        </w:tc>
      </w:tr>
      <w:tr w14:paraId="7B6263BD" w14:textId="77777777" w:rsidTr="00F7740C">
        <w:tblPrEx>
          <w:tblW w:w="9820" w:type="dxa"/>
          <w:tblLook w:val="04A0"/>
        </w:tblPrEx>
        <w:tc>
          <w:tcPr>
            <w:tcW w:w="1810" w:type="dxa"/>
            <w:vAlign w:val="center"/>
            <w:hideMark/>
          </w:tcPr>
          <w:p w:rsidR="00E55A94" w:rsidRPr="00C53D09" w:rsidP="00E55A94" w14:paraId="3F00F17A" w14:textId="416378F1">
            <w:pPr>
              <w:spacing w:after="0" w:line="240" w:lineRule="auto"/>
              <w:rPr>
                <w:rFonts w:eastAsia="Times New Roman" w:cstheme="minorHAnsi"/>
                <w:color w:val="000000"/>
              </w:rPr>
            </w:pPr>
            <w:r w:rsidRPr="00C53D09">
              <w:rPr>
                <w:rFonts w:cstheme="minorHAnsi"/>
                <w:color w:val="000000"/>
              </w:rPr>
              <w:t>I. Electronics Manufacturing</w:t>
            </w:r>
          </w:p>
        </w:tc>
        <w:tc>
          <w:tcPr>
            <w:tcW w:w="1604" w:type="dxa"/>
            <w:noWrap/>
            <w:vAlign w:val="center"/>
            <w:hideMark/>
          </w:tcPr>
          <w:p w:rsidR="00E55A94" w:rsidRPr="00C53D09" w:rsidP="00E55A94" w14:paraId="0EA257DA" w14:textId="10DEAE61">
            <w:pPr>
              <w:spacing w:after="0" w:line="240" w:lineRule="auto"/>
              <w:jc w:val="right"/>
              <w:rPr>
                <w:rFonts w:eastAsia="Times New Roman" w:cstheme="minorHAnsi"/>
                <w:color w:val="000000"/>
              </w:rPr>
            </w:pPr>
            <w:r w:rsidRPr="00C53D09">
              <w:rPr>
                <w:rFonts w:cstheme="minorHAnsi"/>
                <w:color w:val="000000"/>
              </w:rPr>
              <w:t>47</w:t>
            </w:r>
          </w:p>
        </w:tc>
        <w:tc>
          <w:tcPr>
            <w:tcW w:w="1711" w:type="dxa"/>
            <w:noWrap/>
            <w:vAlign w:val="center"/>
            <w:hideMark/>
          </w:tcPr>
          <w:p w:rsidR="00E55A94" w:rsidRPr="00C53D09" w:rsidP="00E55A94" w14:paraId="5C794869" w14:textId="793E45C0">
            <w:pPr>
              <w:spacing w:after="0" w:line="240" w:lineRule="auto"/>
              <w:jc w:val="right"/>
              <w:rPr>
                <w:rFonts w:eastAsia="Times New Roman" w:cstheme="minorHAnsi"/>
                <w:color w:val="000000"/>
              </w:rPr>
            </w:pPr>
            <w:r w:rsidRPr="00C53D09">
              <w:rPr>
                <w:rFonts w:cstheme="minorHAnsi"/>
                <w:color w:val="000000"/>
              </w:rPr>
              <w:t>11,454</w:t>
            </w:r>
          </w:p>
        </w:tc>
        <w:tc>
          <w:tcPr>
            <w:tcW w:w="1678" w:type="dxa"/>
            <w:noWrap/>
            <w:vAlign w:val="center"/>
            <w:hideMark/>
          </w:tcPr>
          <w:p w:rsidR="00E55A94" w:rsidRPr="00C53D09" w:rsidP="00900A63" w14:paraId="33DBBD3C" w14:textId="64A67BE9">
            <w:pPr>
              <w:spacing w:after="0" w:line="240" w:lineRule="auto"/>
              <w:jc w:val="right"/>
              <w:rPr>
                <w:rFonts w:eastAsia="Times New Roman" w:cstheme="minorHAnsi"/>
                <w:color w:val="000000"/>
              </w:rPr>
            </w:pPr>
            <w:r w:rsidRPr="00C53D09">
              <w:rPr>
                <w:rFonts w:cstheme="minorHAnsi"/>
                <w:color w:val="000000"/>
              </w:rPr>
              <w:t>$939,466</w:t>
            </w:r>
          </w:p>
        </w:tc>
        <w:tc>
          <w:tcPr>
            <w:tcW w:w="1459" w:type="dxa"/>
            <w:noWrap/>
            <w:vAlign w:val="center"/>
            <w:hideMark/>
          </w:tcPr>
          <w:p w:rsidR="00E55A94" w:rsidRPr="00C53D09" w:rsidP="00900A63" w14:paraId="24E3A0D4" w14:textId="49E5CD63">
            <w:pPr>
              <w:spacing w:after="0" w:line="240" w:lineRule="auto"/>
              <w:jc w:val="right"/>
              <w:rPr>
                <w:rFonts w:eastAsia="Times New Roman" w:cstheme="minorHAnsi"/>
                <w:color w:val="000000"/>
              </w:rPr>
            </w:pPr>
            <w:r w:rsidRPr="00C53D09">
              <w:rPr>
                <w:rFonts w:cstheme="minorHAnsi"/>
                <w:color w:val="000000"/>
              </w:rPr>
              <w:t>$299,345</w:t>
            </w:r>
          </w:p>
        </w:tc>
        <w:tc>
          <w:tcPr>
            <w:tcW w:w="1558" w:type="dxa"/>
            <w:noWrap/>
            <w:vAlign w:val="center"/>
            <w:hideMark/>
          </w:tcPr>
          <w:p w:rsidR="00E55A94" w:rsidRPr="00C53D09" w:rsidP="00900A63" w14:paraId="4B9DAF7E" w14:textId="31BEAFB7">
            <w:pPr>
              <w:spacing w:after="0" w:line="240" w:lineRule="auto"/>
              <w:jc w:val="right"/>
              <w:rPr>
                <w:rFonts w:eastAsia="Times New Roman" w:cstheme="minorHAnsi"/>
                <w:color w:val="000000"/>
              </w:rPr>
            </w:pPr>
            <w:r w:rsidRPr="00C53D09">
              <w:rPr>
                <w:rFonts w:cstheme="minorHAnsi"/>
                <w:color w:val="000000"/>
              </w:rPr>
              <w:t>$1,238,810</w:t>
            </w:r>
          </w:p>
        </w:tc>
      </w:tr>
      <w:tr w14:paraId="1F74162E" w14:textId="77777777" w:rsidTr="00F7740C">
        <w:tblPrEx>
          <w:tblW w:w="9820" w:type="dxa"/>
          <w:tblLook w:val="04A0"/>
        </w:tblPrEx>
        <w:tc>
          <w:tcPr>
            <w:tcW w:w="1810" w:type="dxa"/>
            <w:vAlign w:val="center"/>
            <w:hideMark/>
          </w:tcPr>
          <w:p w:rsidR="00E55A94" w:rsidRPr="00C53D09" w:rsidP="00E55A94" w14:paraId="08994A3E" w14:textId="528B36A5">
            <w:pPr>
              <w:spacing w:after="0" w:line="240" w:lineRule="auto"/>
              <w:rPr>
                <w:rFonts w:eastAsia="Times New Roman" w:cstheme="minorHAnsi"/>
                <w:color w:val="000000"/>
              </w:rPr>
            </w:pPr>
            <w:r w:rsidRPr="00C53D09">
              <w:rPr>
                <w:rFonts w:cstheme="minorHAnsi"/>
                <w:color w:val="000000"/>
              </w:rPr>
              <w:t>K. Ferroalloy Production</w:t>
            </w:r>
          </w:p>
        </w:tc>
        <w:tc>
          <w:tcPr>
            <w:tcW w:w="1604" w:type="dxa"/>
            <w:noWrap/>
            <w:vAlign w:val="center"/>
            <w:hideMark/>
          </w:tcPr>
          <w:p w:rsidR="00E55A94" w:rsidRPr="00C53D09" w:rsidP="00E55A94" w14:paraId="55FAC5D8" w14:textId="6C5B70FD">
            <w:pPr>
              <w:spacing w:after="0" w:line="240" w:lineRule="auto"/>
              <w:jc w:val="right"/>
              <w:rPr>
                <w:rFonts w:eastAsia="Times New Roman" w:cstheme="minorHAnsi"/>
                <w:color w:val="000000"/>
              </w:rPr>
            </w:pPr>
            <w:r w:rsidRPr="00C53D09">
              <w:rPr>
                <w:rFonts w:cstheme="minorHAnsi"/>
                <w:color w:val="000000"/>
              </w:rPr>
              <w:t>8</w:t>
            </w:r>
          </w:p>
        </w:tc>
        <w:tc>
          <w:tcPr>
            <w:tcW w:w="1711" w:type="dxa"/>
            <w:noWrap/>
            <w:vAlign w:val="center"/>
            <w:hideMark/>
          </w:tcPr>
          <w:p w:rsidR="00E55A94" w:rsidRPr="00C53D09" w:rsidP="00E55A94" w14:paraId="345E7EE4" w14:textId="2F31CE98">
            <w:pPr>
              <w:spacing w:after="0" w:line="240" w:lineRule="auto"/>
              <w:jc w:val="right"/>
              <w:rPr>
                <w:rFonts w:eastAsia="Times New Roman" w:cstheme="minorHAnsi"/>
                <w:color w:val="000000"/>
              </w:rPr>
            </w:pPr>
            <w:r w:rsidRPr="00C53D09">
              <w:rPr>
                <w:rFonts w:cstheme="minorHAnsi"/>
                <w:color w:val="000000"/>
              </w:rPr>
              <w:t>316</w:t>
            </w:r>
          </w:p>
        </w:tc>
        <w:tc>
          <w:tcPr>
            <w:tcW w:w="1678" w:type="dxa"/>
            <w:noWrap/>
            <w:vAlign w:val="center"/>
            <w:hideMark/>
          </w:tcPr>
          <w:p w:rsidR="00E55A94" w:rsidRPr="00C53D09" w:rsidP="00900A63" w14:paraId="2836B34B" w14:textId="58374569">
            <w:pPr>
              <w:spacing w:after="0" w:line="240" w:lineRule="auto"/>
              <w:jc w:val="right"/>
              <w:rPr>
                <w:rFonts w:eastAsia="Times New Roman" w:cstheme="minorHAnsi"/>
                <w:color w:val="000000"/>
              </w:rPr>
            </w:pPr>
            <w:r w:rsidRPr="00C53D09">
              <w:rPr>
                <w:rFonts w:cstheme="minorHAnsi"/>
                <w:color w:val="000000"/>
              </w:rPr>
              <w:t>$26,618</w:t>
            </w:r>
          </w:p>
        </w:tc>
        <w:tc>
          <w:tcPr>
            <w:tcW w:w="1459" w:type="dxa"/>
            <w:noWrap/>
            <w:vAlign w:val="center"/>
            <w:hideMark/>
          </w:tcPr>
          <w:p w:rsidR="00E55A94" w:rsidRPr="00C53D09" w:rsidP="00900A63" w14:paraId="033DDE41" w14:textId="4147C95B">
            <w:pPr>
              <w:spacing w:after="0" w:line="240" w:lineRule="auto"/>
              <w:jc w:val="right"/>
              <w:rPr>
                <w:rFonts w:eastAsia="Times New Roman" w:cstheme="minorHAnsi"/>
                <w:color w:val="000000"/>
              </w:rPr>
            </w:pPr>
            <w:r w:rsidRPr="00C53D09">
              <w:rPr>
                <w:rFonts w:cstheme="minorHAnsi"/>
                <w:color w:val="000000"/>
              </w:rPr>
              <w:t>$495</w:t>
            </w:r>
          </w:p>
        </w:tc>
        <w:tc>
          <w:tcPr>
            <w:tcW w:w="1558" w:type="dxa"/>
            <w:noWrap/>
            <w:vAlign w:val="center"/>
            <w:hideMark/>
          </w:tcPr>
          <w:p w:rsidR="00E55A94" w:rsidRPr="00C53D09" w:rsidP="00900A63" w14:paraId="778409AC" w14:textId="171E0714">
            <w:pPr>
              <w:spacing w:after="0" w:line="240" w:lineRule="auto"/>
              <w:jc w:val="right"/>
              <w:rPr>
                <w:rFonts w:eastAsia="Times New Roman" w:cstheme="minorHAnsi"/>
                <w:color w:val="000000"/>
              </w:rPr>
            </w:pPr>
            <w:r w:rsidRPr="00C53D09">
              <w:rPr>
                <w:rFonts w:cstheme="minorHAnsi"/>
                <w:color w:val="000000"/>
              </w:rPr>
              <w:t>$27,113</w:t>
            </w:r>
          </w:p>
        </w:tc>
      </w:tr>
      <w:tr w14:paraId="6371DF71" w14:textId="77777777" w:rsidTr="00F7740C">
        <w:tblPrEx>
          <w:tblW w:w="9820" w:type="dxa"/>
          <w:tblLook w:val="04A0"/>
        </w:tblPrEx>
        <w:tc>
          <w:tcPr>
            <w:tcW w:w="1810" w:type="dxa"/>
            <w:vAlign w:val="center"/>
            <w:hideMark/>
          </w:tcPr>
          <w:p w:rsidR="00E55A94" w:rsidRPr="00C53D09" w:rsidP="00E55A94" w14:paraId="4383B582" w14:textId="0C677A31">
            <w:pPr>
              <w:spacing w:after="0" w:line="240" w:lineRule="auto"/>
              <w:rPr>
                <w:rFonts w:eastAsia="Times New Roman" w:cstheme="minorHAnsi"/>
                <w:color w:val="000000"/>
              </w:rPr>
            </w:pPr>
            <w:r w:rsidRPr="00C53D09">
              <w:rPr>
                <w:rFonts w:cstheme="minorHAnsi"/>
                <w:color w:val="000000"/>
              </w:rPr>
              <w:t>L. Fluorinated Greenhouse Gas Prod</w:t>
            </w:r>
            <w:r w:rsidR="00E638B8">
              <w:rPr>
                <w:rFonts w:cstheme="minorHAnsi"/>
                <w:color w:val="000000"/>
              </w:rPr>
              <w:t>uction</w:t>
            </w:r>
          </w:p>
        </w:tc>
        <w:tc>
          <w:tcPr>
            <w:tcW w:w="1604" w:type="dxa"/>
            <w:noWrap/>
            <w:vAlign w:val="center"/>
            <w:hideMark/>
          </w:tcPr>
          <w:p w:rsidR="00E55A94" w:rsidRPr="00C53D09" w:rsidP="00E55A94" w14:paraId="0ACFCEDD" w14:textId="165918F9">
            <w:pPr>
              <w:spacing w:after="0" w:line="240" w:lineRule="auto"/>
              <w:jc w:val="right"/>
              <w:rPr>
                <w:rFonts w:eastAsia="Times New Roman" w:cstheme="minorHAnsi"/>
                <w:color w:val="000000"/>
              </w:rPr>
            </w:pPr>
            <w:r w:rsidRPr="00C53D09">
              <w:rPr>
                <w:rFonts w:cstheme="minorHAnsi"/>
                <w:color w:val="000000"/>
              </w:rPr>
              <w:t>15</w:t>
            </w:r>
          </w:p>
        </w:tc>
        <w:tc>
          <w:tcPr>
            <w:tcW w:w="1711" w:type="dxa"/>
            <w:noWrap/>
            <w:vAlign w:val="center"/>
            <w:hideMark/>
          </w:tcPr>
          <w:p w:rsidR="00E55A94" w:rsidRPr="00C53D09" w:rsidP="00E55A94" w14:paraId="56ACA946" w14:textId="246826C4">
            <w:pPr>
              <w:spacing w:after="0" w:line="240" w:lineRule="auto"/>
              <w:jc w:val="right"/>
              <w:rPr>
                <w:rFonts w:eastAsia="Times New Roman" w:cstheme="minorHAnsi"/>
                <w:color w:val="000000"/>
              </w:rPr>
            </w:pPr>
            <w:r w:rsidRPr="00C53D09">
              <w:rPr>
                <w:rFonts w:cstheme="minorHAnsi"/>
                <w:color w:val="000000"/>
              </w:rPr>
              <w:t>12,594</w:t>
            </w:r>
          </w:p>
        </w:tc>
        <w:tc>
          <w:tcPr>
            <w:tcW w:w="1678" w:type="dxa"/>
            <w:noWrap/>
            <w:vAlign w:val="center"/>
            <w:hideMark/>
          </w:tcPr>
          <w:p w:rsidR="00E55A94" w:rsidRPr="00C53D09" w:rsidP="00900A63" w14:paraId="38E6D00D" w14:textId="5099E197">
            <w:pPr>
              <w:spacing w:after="0" w:line="240" w:lineRule="auto"/>
              <w:jc w:val="right"/>
              <w:rPr>
                <w:rFonts w:eastAsia="Times New Roman" w:cstheme="minorHAnsi"/>
                <w:color w:val="000000"/>
              </w:rPr>
            </w:pPr>
            <w:r w:rsidRPr="00C53D09">
              <w:rPr>
                <w:rFonts w:cstheme="minorHAnsi"/>
                <w:color w:val="000000"/>
              </w:rPr>
              <w:t>$1,006,509</w:t>
            </w:r>
          </w:p>
        </w:tc>
        <w:tc>
          <w:tcPr>
            <w:tcW w:w="1459" w:type="dxa"/>
            <w:noWrap/>
            <w:vAlign w:val="center"/>
            <w:hideMark/>
          </w:tcPr>
          <w:p w:rsidR="00E55A94" w:rsidRPr="00C53D09" w:rsidP="00900A63" w14:paraId="6515832F" w14:textId="7DD07C70">
            <w:pPr>
              <w:spacing w:after="0" w:line="240" w:lineRule="auto"/>
              <w:jc w:val="right"/>
              <w:rPr>
                <w:rFonts w:eastAsia="Times New Roman" w:cstheme="minorHAnsi"/>
                <w:color w:val="000000"/>
              </w:rPr>
            </w:pPr>
            <w:r w:rsidRPr="00C53D09">
              <w:rPr>
                <w:rFonts w:cstheme="minorHAnsi"/>
                <w:color w:val="000000"/>
              </w:rPr>
              <w:t>$928</w:t>
            </w:r>
          </w:p>
        </w:tc>
        <w:tc>
          <w:tcPr>
            <w:tcW w:w="1558" w:type="dxa"/>
            <w:noWrap/>
            <w:vAlign w:val="center"/>
            <w:hideMark/>
          </w:tcPr>
          <w:p w:rsidR="00E55A94" w:rsidRPr="00C53D09" w:rsidP="00900A63" w14:paraId="0556867B" w14:textId="166FDD4A">
            <w:pPr>
              <w:spacing w:after="0" w:line="240" w:lineRule="auto"/>
              <w:jc w:val="right"/>
              <w:rPr>
                <w:rFonts w:eastAsia="Times New Roman" w:cstheme="minorHAnsi"/>
                <w:color w:val="000000"/>
              </w:rPr>
            </w:pPr>
            <w:r w:rsidRPr="00C53D09">
              <w:rPr>
                <w:rFonts w:cstheme="minorHAnsi"/>
                <w:color w:val="000000"/>
              </w:rPr>
              <w:t>$1,007,437</w:t>
            </w:r>
          </w:p>
        </w:tc>
      </w:tr>
      <w:tr w14:paraId="5026653A" w14:textId="77777777" w:rsidTr="00F7740C">
        <w:tblPrEx>
          <w:tblW w:w="9820" w:type="dxa"/>
          <w:tblLook w:val="04A0"/>
        </w:tblPrEx>
        <w:tc>
          <w:tcPr>
            <w:tcW w:w="1810" w:type="dxa"/>
            <w:vAlign w:val="center"/>
            <w:hideMark/>
          </w:tcPr>
          <w:p w:rsidR="00E55A94" w:rsidRPr="00C53D09" w:rsidP="00E55A94" w14:paraId="2295EC30" w14:textId="650AF8D5">
            <w:pPr>
              <w:spacing w:after="0" w:line="240" w:lineRule="auto"/>
              <w:rPr>
                <w:rFonts w:eastAsia="Times New Roman" w:cstheme="minorHAnsi"/>
                <w:color w:val="000000"/>
              </w:rPr>
            </w:pPr>
            <w:r w:rsidRPr="00C53D09">
              <w:rPr>
                <w:rFonts w:cstheme="minorHAnsi"/>
                <w:color w:val="000000"/>
              </w:rPr>
              <w:t>N. Glass Production</w:t>
            </w:r>
          </w:p>
        </w:tc>
        <w:tc>
          <w:tcPr>
            <w:tcW w:w="1604" w:type="dxa"/>
            <w:noWrap/>
            <w:vAlign w:val="center"/>
            <w:hideMark/>
          </w:tcPr>
          <w:p w:rsidR="00E55A94" w:rsidRPr="00C53D09" w:rsidP="00E55A94" w14:paraId="50A13DC4" w14:textId="166B1D99">
            <w:pPr>
              <w:spacing w:after="0" w:line="240" w:lineRule="auto"/>
              <w:jc w:val="right"/>
              <w:rPr>
                <w:rFonts w:eastAsia="Times New Roman" w:cstheme="minorHAnsi"/>
                <w:color w:val="000000"/>
              </w:rPr>
            </w:pPr>
            <w:r w:rsidRPr="00C53D09">
              <w:rPr>
                <w:rFonts w:cstheme="minorHAnsi"/>
                <w:color w:val="000000"/>
              </w:rPr>
              <w:t>102</w:t>
            </w:r>
          </w:p>
        </w:tc>
        <w:tc>
          <w:tcPr>
            <w:tcW w:w="1711" w:type="dxa"/>
            <w:noWrap/>
            <w:vAlign w:val="center"/>
            <w:hideMark/>
          </w:tcPr>
          <w:p w:rsidR="00E55A94" w:rsidRPr="00C53D09" w:rsidP="00E55A94" w14:paraId="3F8964F8" w14:textId="114F9FCC">
            <w:pPr>
              <w:spacing w:after="0" w:line="240" w:lineRule="auto"/>
              <w:jc w:val="right"/>
              <w:rPr>
                <w:rFonts w:eastAsia="Times New Roman" w:cstheme="minorHAnsi"/>
                <w:color w:val="000000"/>
              </w:rPr>
            </w:pPr>
            <w:r w:rsidRPr="00C53D09">
              <w:rPr>
                <w:rFonts w:cstheme="minorHAnsi"/>
                <w:color w:val="000000"/>
              </w:rPr>
              <w:t>4,940</w:t>
            </w:r>
          </w:p>
        </w:tc>
        <w:tc>
          <w:tcPr>
            <w:tcW w:w="1678" w:type="dxa"/>
            <w:noWrap/>
            <w:vAlign w:val="center"/>
            <w:hideMark/>
          </w:tcPr>
          <w:p w:rsidR="00E55A94" w:rsidRPr="00C53D09" w:rsidP="00900A63" w14:paraId="14F341AF" w14:textId="11D260EF">
            <w:pPr>
              <w:spacing w:after="0" w:line="240" w:lineRule="auto"/>
              <w:jc w:val="right"/>
              <w:rPr>
                <w:rFonts w:eastAsia="Times New Roman" w:cstheme="minorHAnsi"/>
                <w:color w:val="000000"/>
              </w:rPr>
            </w:pPr>
            <w:r w:rsidRPr="00C53D09">
              <w:rPr>
                <w:rFonts w:cstheme="minorHAnsi"/>
                <w:color w:val="000000"/>
              </w:rPr>
              <w:t>$406,936</w:t>
            </w:r>
          </w:p>
        </w:tc>
        <w:tc>
          <w:tcPr>
            <w:tcW w:w="1459" w:type="dxa"/>
            <w:noWrap/>
            <w:vAlign w:val="center"/>
            <w:hideMark/>
          </w:tcPr>
          <w:p w:rsidR="00E55A94" w:rsidRPr="00C53D09" w:rsidP="00900A63" w14:paraId="47703100" w14:textId="1E7D4E39">
            <w:pPr>
              <w:spacing w:after="0" w:line="240" w:lineRule="auto"/>
              <w:jc w:val="right"/>
              <w:rPr>
                <w:rFonts w:eastAsia="Times New Roman" w:cstheme="minorHAnsi"/>
                <w:color w:val="000000"/>
              </w:rPr>
            </w:pPr>
            <w:r w:rsidRPr="00C53D09">
              <w:rPr>
                <w:rFonts w:cstheme="minorHAnsi"/>
                <w:color w:val="000000"/>
              </w:rPr>
              <w:t>$12,930</w:t>
            </w:r>
          </w:p>
        </w:tc>
        <w:tc>
          <w:tcPr>
            <w:tcW w:w="1558" w:type="dxa"/>
            <w:noWrap/>
            <w:vAlign w:val="center"/>
            <w:hideMark/>
          </w:tcPr>
          <w:p w:rsidR="00E55A94" w:rsidRPr="00C53D09" w:rsidP="00900A63" w14:paraId="36149F0C" w14:textId="429ACB56">
            <w:pPr>
              <w:spacing w:after="0" w:line="240" w:lineRule="auto"/>
              <w:jc w:val="right"/>
              <w:rPr>
                <w:rFonts w:eastAsia="Times New Roman" w:cstheme="minorHAnsi"/>
                <w:color w:val="000000"/>
              </w:rPr>
            </w:pPr>
            <w:r w:rsidRPr="00C53D09">
              <w:rPr>
                <w:rFonts w:cstheme="minorHAnsi"/>
                <w:color w:val="000000"/>
              </w:rPr>
              <w:t>$419,867</w:t>
            </w:r>
          </w:p>
        </w:tc>
      </w:tr>
      <w:tr w14:paraId="1687C9E7" w14:textId="77777777" w:rsidTr="00F7740C">
        <w:tblPrEx>
          <w:tblW w:w="9820" w:type="dxa"/>
          <w:tblLook w:val="04A0"/>
        </w:tblPrEx>
        <w:tc>
          <w:tcPr>
            <w:tcW w:w="1810" w:type="dxa"/>
            <w:vAlign w:val="center"/>
            <w:hideMark/>
          </w:tcPr>
          <w:p w:rsidR="00E55A94" w:rsidRPr="00C53D09" w:rsidP="00E55A94" w14:paraId="6C06420D" w14:textId="0214BB9A">
            <w:pPr>
              <w:spacing w:after="0" w:line="240" w:lineRule="auto"/>
              <w:rPr>
                <w:rFonts w:eastAsia="Times New Roman" w:cstheme="minorHAnsi"/>
                <w:color w:val="000000"/>
              </w:rPr>
            </w:pPr>
            <w:r w:rsidRPr="00C53D09">
              <w:rPr>
                <w:rFonts w:cstheme="minorHAnsi"/>
                <w:color w:val="000000"/>
              </w:rPr>
              <w:t>O. HCFC-22 Production and HFC-23 Destruction</w:t>
            </w:r>
          </w:p>
        </w:tc>
        <w:tc>
          <w:tcPr>
            <w:tcW w:w="1604" w:type="dxa"/>
            <w:noWrap/>
            <w:vAlign w:val="center"/>
            <w:hideMark/>
          </w:tcPr>
          <w:p w:rsidR="00E55A94" w:rsidRPr="00C53D09" w:rsidP="00E55A94" w14:paraId="535986D9" w14:textId="3927BF80">
            <w:pPr>
              <w:spacing w:after="0" w:line="240" w:lineRule="auto"/>
              <w:jc w:val="right"/>
              <w:rPr>
                <w:rFonts w:eastAsia="Times New Roman" w:cstheme="minorHAnsi"/>
                <w:color w:val="000000"/>
              </w:rPr>
            </w:pPr>
            <w:r w:rsidRPr="00C53D09">
              <w:rPr>
                <w:rFonts w:cstheme="minorHAnsi"/>
                <w:color w:val="000000"/>
              </w:rPr>
              <w:t>5</w:t>
            </w:r>
          </w:p>
        </w:tc>
        <w:tc>
          <w:tcPr>
            <w:tcW w:w="1711" w:type="dxa"/>
            <w:noWrap/>
            <w:vAlign w:val="center"/>
            <w:hideMark/>
          </w:tcPr>
          <w:p w:rsidR="00E55A94" w:rsidRPr="00C53D09" w:rsidP="00E55A94" w14:paraId="73756236" w14:textId="6E3090C7">
            <w:pPr>
              <w:spacing w:after="0" w:line="240" w:lineRule="auto"/>
              <w:jc w:val="right"/>
              <w:rPr>
                <w:rFonts w:eastAsia="Times New Roman" w:cstheme="minorHAnsi"/>
                <w:color w:val="000000"/>
              </w:rPr>
            </w:pPr>
            <w:r w:rsidRPr="00C53D09">
              <w:rPr>
                <w:rFonts w:cstheme="minorHAnsi"/>
                <w:color w:val="000000"/>
              </w:rPr>
              <w:t>570</w:t>
            </w:r>
          </w:p>
        </w:tc>
        <w:tc>
          <w:tcPr>
            <w:tcW w:w="1678" w:type="dxa"/>
            <w:noWrap/>
            <w:vAlign w:val="center"/>
            <w:hideMark/>
          </w:tcPr>
          <w:p w:rsidR="00E55A94" w:rsidRPr="00C53D09" w:rsidP="00900A63" w14:paraId="7945A561" w14:textId="4BB53C43">
            <w:pPr>
              <w:spacing w:after="0" w:line="240" w:lineRule="auto"/>
              <w:jc w:val="right"/>
              <w:rPr>
                <w:rFonts w:eastAsia="Times New Roman" w:cstheme="minorHAnsi"/>
                <w:color w:val="000000"/>
              </w:rPr>
            </w:pPr>
            <w:r w:rsidRPr="00C53D09">
              <w:rPr>
                <w:rFonts w:cstheme="minorHAnsi"/>
                <w:color w:val="000000"/>
              </w:rPr>
              <w:t>$46,027</w:t>
            </w:r>
          </w:p>
        </w:tc>
        <w:tc>
          <w:tcPr>
            <w:tcW w:w="1459" w:type="dxa"/>
            <w:noWrap/>
            <w:vAlign w:val="center"/>
            <w:hideMark/>
          </w:tcPr>
          <w:p w:rsidR="00E55A94" w:rsidRPr="00C53D09" w:rsidP="00900A63" w14:paraId="494D0347" w14:textId="593998E0">
            <w:pPr>
              <w:spacing w:after="0" w:line="240" w:lineRule="auto"/>
              <w:jc w:val="right"/>
              <w:rPr>
                <w:rFonts w:eastAsia="Times New Roman" w:cstheme="minorHAnsi"/>
                <w:color w:val="000000"/>
              </w:rPr>
            </w:pPr>
            <w:r w:rsidRPr="00C53D09">
              <w:rPr>
                <w:rFonts w:cstheme="minorHAnsi"/>
                <w:color w:val="000000"/>
              </w:rPr>
              <w:t>$309</w:t>
            </w:r>
          </w:p>
        </w:tc>
        <w:tc>
          <w:tcPr>
            <w:tcW w:w="1558" w:type="dxa"/>
            <w:noWrap/>
            <w:vAlign w:val="center"/>
            <w:hideMark/>
          </w:tcPr>
          <w:p w:rsidR="00E55A94" w:rsidRPr="00C53D09" w:rsidP="00900A63" w14:paraId="2A839F6C" w14:textId="5C46E681">
            <w:pPr>
              <w:spacing w:after="0" w:line="240" w:lineRule="auto"/>
              <w:jc w:val="right"/>
              <w:rPr>
                <w:rFonts w:eastAsia="Times New Roman" w:cstheme="minorHAnsi"/>
                <w:color w:val="000000"/>
              </w:rPr>
            </w:pPr>
            <w:r w:rsidRPr="00C53D09">
              <w:rPr>
                <w:rFonts w:cstheme="minorHAnsi"/>
                <w:color w:val="000000"/>
              </w:rPr>
              <w:t>$46,336</w:t>
            </w:r>
          </w:p>
        </w:tc>
      </w:tr>
      <w:tr w14:paraId="5CE32B5A" w14:textId="77777777" w:rsidTr="00F7740C">
        <w:tblPrEx>
          <w:tblW w:w="9820" w:type="dxa"/>
          <w:tblLook w:val="04A0"/>
        </w:tblPrEx>
        <w:tc>
          <w:tcPr>
            <w:tcW w:w="1810" w:type="dxa"/>
            <w:vAlign w:val="center"/>
            <w:hideMark/>
          </w:tcPr>
          <w:p w:rsidR="00E55A94" w:rsidRPr="00C53D09" w:rsidP="00E55A94" w14:paraId="72596A52" w14:textId="20497BDF">
            <w:pPr>
              <w:spacing w:after="0" w:line="240" w:lineRule="auto"/>
              <w:rPr>
                <w:rFonts w:eastAsia="Times New Roman" w:cstheme="minorHAnsi"/>
                <w:color w:val="000000"/>
              </w:rPr>
            </w:pPr>
            <w:r w:rsidRPr="00C53D09">
              <w:rPr>
                <w:rFonts w:cstheme="minorHAnsi"/>
                <w:color w:val="000000"/>
              </w:rPr>
              <w:t>P. Hydrogen Production</w:t>
            </w:r>
          </w:p>
        </w:tc>
        <w:tc>
          <w:tcPr>
            <w:tcW w:w="1604" w:type="dxa"/>
            <w:noWrap/>
            <w:vAlign w:val="center"/>
            <w:hideMark/>
          </w:tcPr>
          <w:p w:rsidR="00E55A94" w:rsidRPr="00C53D09" w:rsidP="00E55A94" w14:paraId="1646FA18" w14:textId="318D2951">
            <w:pPr>
              <w:spacing w:after="0" w:line="240" w:lineRule="auto"/>
              <w:jc w:val="right"/>
              <w:rPr>
                <w:rFonts w:eastAsia="Times New Roman" w:cstheme="minorHAnsi"/>
                <w:color w:val="000000"/>
              </w:rPr>
            </w:pPr>
            <w:r w:rsidRPr="00C53D09">
              <w:rPr>
                <w:rFonts w:cstheme="minorHAnsi"/>
                <w:color w:val="000000"/>
              </w:rPr>
              <w:t>115</w:t>
            </w:r>
          </w:p>
        </w:tc>
        <w:tc>
          <w:tcPr>
            <w:tcW w:w="1711" w:type="dxa"/>
            <w:noWrap/>
            <w:vAlign w:val="center"/>
            <w:hideMark/>
          </w:tcPr>
          <w:p w:rsidR="00E55A94" w:rsidRPr="00C53D09" w:rsidP="00E55A94" w14:paraId="3157F39B" w14:textId="5CF311F9">
            <w:pPr>
              <w:spacing w:after="0" w:line="240" w:lineRule="auto"/>
              <w:jc w:val="right"/>
              <w:rPr>
                <w:rFonts w:eastAsia="Times New Roman" w:cstheme="minorHAnsi"/>
                <w:color w:val="000000"/>
              </w:rPr>
            </w:pPr>
            <w:r w:rsidRPr="00C53D09">
              <w:rPr>
                <w:rFonts w:cstheme="minorHAnsi"/>
                <w:color w:val="000000"/>
              </w:rPr>
              <w:t>4,900</w:t>
            </w:r>
          </w:p>
        </w:tc>
        <w:tc>
          <w:tcPr>
            <w:tcW w:w="1678" w:type="dxa"/>
            <w:noWrap/>
            <w:vAlign w:val="center"/>
            <w:hideMark/>
          </w:tcPr>
          <w:p w:rsidR="00E55A94" w:rsidRPr="00C53D09" w:rsidP="00900A63" w14:paraId="16295B13" w14:textId="25277468">
            <w:pPr>
              <w:spacing w:after="0" w:line="240" w:lineRule="auto"/>
              <w:jc w:val="right"/>
              <w:rPr>
                <w:rFonts w:eastAsia="Times New Roman" w:cstheme="minorHAnsi"/>
                <w:color w:val="000000"/>
              </w:rPr>
            </w:pPr>
            <w:r w:rsidRPr="00C53D09">
              <w:rPr>
                <w:rFonts w:cstheme="minorHAnsi"/>
                <w:color w:val="000000"/>
              </w:rPr>
              <w:t>$398,516</w:t>
            </w:r>
          </w:p>
        </w:tc>
        <w:tc>
          <w:tcPr>
            <w:tcW w:w="1459" w:type="dxa"/>
            <w:noWrap/>
            <w:vAlign w:val="center"/>
            <w:hideMark/>
          </w:tcPr>
          <w:p w:rsidR="00E55A94" w:rsidRPr="00C53D09" w:rsidP="00900A63" w14:paraId="15ABC1D2" w14:textId="00F68176">
            <w:pPr>
              <w:spacing w:after="0" w:line="240" w:lineRule="auto"/>
              <w:jc w:val="right"/>
              <w:rPr>
                <w:rFonts w:eastAsia="Times New Roman" w:cstheme="minorHAnsi"/>
                <w:color w:val="000000"/>
              </w:rPr>
            </w:pPr>
            <w:r w:rsidRPr="00C53D09">
              <w:rPr>
                <w:rFonts w:cstheme="minorHAnsi"/>
                <w:color w:val="000000"/>
              </w:rPr>
              <w:t>$58,907</w:t>
            </w:r>
          </w:p>
        </w:tc>
        <w:tc>
          <w:tcPr>
            <w:tcW w:w="1558" w:type="dxa"/>
            <w:noWrap/>
            <w:vAlign w:val="center"/>
            <w:hideMark/>
          </w:tcPr>
          <w:p w:rsidR="00E55A94" w:rsidRPr="00C53D09" w:rsidP="00900A63" w14:paraId="79376323" w14:textId="75A5E292">
            <w:pPr>
              <w:spacing w:after="0" w:line="240" w:lineRule="auto"/>
              <w:jc w:val="right"/>
              <w:rPr>
                <w:rFonts w:eastAsia="Times New Roman" w:cstheme="minorHAnsi"/>
                <w:color w:val="000000"/>
              </w:rPr>
            </w:pPr>
            <w:r w:rsidRPr="00C53D09">
              <w:rPr>
                <w:rFonts w:cstheme="minorHAnsi"/>
                <w:color w:val="000000"/>
              </w:rPr>
              <w:t>$457,422</w:t>
            </w:r>
          </w:p>
        </w:tc>
      </w:tr>
      <w:tr w14:paraId="66F41141" w14:textId="77777777" w:rsidTr="00F7740C">
        <w:tblPrEx>
          <w:tblW w:w="9820" w:type="dxa"/>
          <w:tblLook w:val="04A0"/>
        </w:tblPrEx>
        <w:tc>
          <w:tcPr>
            <w:tcW w:w="1810" w:type="dxa"/>
            <w:vAlign w:val="center"/>
            <w:hideMark/>
          </w:tcPr>
          <w:p w:rsidR="00E55A94" w:rsidRPr="00C53D09" w:rsidP="00E55A94" w14:paraId="1202FC6E" w14:textId="45730F64">
            <w:pPr>
              <w:spacing w:after="0" w:line="240" w:lineRule="auto"/>
              <w:rPr>
                <w:rFonts w:eastAsia="Times New Roman" w:cstheme="minorHAnsi"/>
                <w:color w:val="000000"/>
              </w:rPr>
            </w:pPr>
            <w:r w:rsidRPr="00C53D09">
              <w:rPr>
                <w:rFonts w:cstheme="minorHAnsi"/>
                <w:color w:val="000000"/>
              </w:rPr>
              <w:t>Q. Iron and Steel Production</w:t>
            </w:r>
          </w:p>
        </w:tc>
        <w:tc>
          <w:tcPr>
            <w:tcW w:w="1604" w:type="dxa"/>
            <w:noWrap/>
            <w:vAlign w:val="center"/>
            <w:hideMark/>
          </w:tcPr>
          <w:p w:rsidR="00E55A94" w:rsidRPr="00C53D09" w:rsidP="00E55A94" w14:paraId="28F28862" w14:textId="421E341E">
            <w:pPr>
              <w:spacing w:after="0" w:line="240" w:lineRule="auto"/>
              <w:jc w:val="right"/>
              <w:rPr>
                <w:rFonts w:eastAsia="Times New Roman" w:cstheme="minorHAnsi"/>
                <w:color w:val="000000"/>
              </w:rPr>
            </w:pPr>
            <w:r w:rsidRPr="00C53D09">
              <w:rPr>
                <w:rFonts w:cstheme="minorHAnsi"/>
                <w:color w:val="000000"/>
              </w:rPr>
              <w:t>121</w:t>
            </w:r>
          </w:p>
        </w:tc>
        <w:tc>
          <w:tcPr>
            <w:tcW w:w="1711" w:type="dxa"/>
            <w:noWrap/>
            <w:vAlign w:val="center"/>
            <w:hideMark/>
          </w:tcPr>
          <w:p w:rsidR="00E55A94" w:rsidRPr="00C53D09" w:rsidP="00E55A94" w14:paraId="5B5C2775" w14:textId="06F42113">
            <w:pPr>
              <w:spacing w:after="0" w:line="240" w:lineRule="auto"/>
              <w:jc w:val="right"/>
              <w:rPr>
                <w:rFonts w:eastAsia="Times New Roman" w:cstheme="minorHAnsi"/>
                <w:color w:val="000000"/>
              </w:rPr>
            </w:pPr>
            <w:r w:rsidRPr="00C53D09">
              <w:rPr>
                <w:rFonts w:cstheme="minorHAnsi"/>
                <w:color w:val="000000"/>
              </w:rPr>
              <w:t>2,934</w:t>
            </w:r>
          </w:p>
        </w:tc>
        <w:tc>
          <w:tcPr>
            <w:tcW w:w="1678" w:type="dxa"/>
            <w:noWrap/>
            <w:vAlign w:val="center"/>
            <w:hideMark/>
          </w:tcPr>
          <w:p w:rsidR="00E55A94" w:rsidRPr="00C53D09" w:rsidP="00900A63" w14:paraId="7962AD2F" w14:textId="16C677D4">
            <w:pPr>
              <w:spacing w:after="0" w:line="240" w:lineRule="auto"/>
              <w:jc w:val="right"/>
              <w:rPr>
                <w:rFonts w:eastAsia="Times New Roman" w:cstheme="minorHAnsi"/>
                <w:color w:val="000000"/>
              </w:rPr>
            </w:pPr>
            <w:r w:rsidRPr="00C53D09">
              <w:rPr>
                <w:rFonts w:cstheme="minorHAnsi"/>
                <w:color w:val="000000"/>
              </w:rPr>
              <w:t>$245,313</w:t>
            </w:r>
          </w:p>
        </w:tc>
        <w:tc>
          <w:tcPr>
            <w:tcW w:w="1459" w:type="dxa"/>
            <w:noWrap/>
            <w:vAlign w:val="center"/>
            <w:hideMark/>
          </w:tcPr>
          <w:p w:rsidR="00E55A94" w:rsidRPr="00C53D09" w:rsidP="00900A63" w14:paraId="261D4A94" w14:textId="447AFDCF">
            <w:pPr>
              <w:spacing w:after="0" w:line="240" w:lineRule="auto"/>
              <w:jc w:val="right"/>
              <w:rPr>
                <w:rFonts w:eastAsia="Times New Roman" w:cstheme="minorHAnsi"/>
                <w:color w:val="000000"/>
              </w:rPr>
            </w:pPr>
            <w:r w:rsidRPr="00C53D09">
              <w:rPr>
                <w:rFonts w:cstheme="minorHAnsi"/>
                <w:color w:val="000000"/>
              </w:rPr>
              <w:t>$143,056</w:t>
            </w:r>
          </w:p>
        </w:tc>
        <w:tc>
          <w:tcPr>
            <w:tcW w:w="1558" w:type="dxa"/>
            <w:noWrap/>
            <w:vAlign w:val="center"/>
            <w:hideMark/>
          </w:tcPr>
          <w:p w:rsidR="00E55A94" w:rsidRPr="00C53D09" w:rsidP="00900A63" w14:paraId="4CC2C45D" w14:textId="503007CA">
            <w:pPr>
              <w:spacing w:after="0" w:line="240" w:lineRule="auto"/>
              <w:jc w:val="right"/>
              <w:rPr>
                <w:rFonts w:eastAsia="Times New Roman" w:cstheme="minorHAnsi"/>
                <w:color w:val="000000"/>
              </w:rPr>
            </w:pPr>
            <w:r w:rsidRPr="00C53D09">
              <w:rPr>
                <w:rFonts w:cstheme="minorHAnsi"/>
                <w:color w:val="000000"/>
              </w:rPr>
              <w:t>$388,369</w:t>
            </w:r>
          </w:p>
        </w:tc>
      </w:tr>
      <w:tr w14:paraId="0408587E" w14:textId="77777777" w:rsidTr="00F7740C">
        <w:tblPrEx>
          <w:tblW w:w="9820" w:type="dxa"/>
          <w:tblLook w:val="04A0"/>
        </w:tblPrEx>
        <w:tc>
          <w:tcPr>
            <w:tcW w:w="1810" w:type="dxa"/>
            <w:vAlign w:val="center"/>
            <w:hideMark/>
          </w:tcPr>
          <w:p w:rsidR="00E55A94" w:rsidRPr="00C53D09" w:rsidP="00E55A94" w14:paraId="3C46D2EA" w14:textId="5635750F">
            <w:pPr>
              <w:spacing w:after="0" w:line="240" w:lineRule="auto"/>
              <w:rPr>
                <w:rFonts w:eastAsia="Times New Roman" w:cstheme="minorHAnsi"/>
                <w:color w:val="000000"/>
              </w:rPr>
            </w:pPr>
            <w:r w:rsidRPr="00C53D09">
              <w:rPr>
                <w:rFonts w:cstheme="minorHAnsi"/>
                <w:color w:val="000000"/>
              </w:rPr>
              <w:t>R. Lead Production</w:t>
            </w:r>
          </w:p>
        </w:tc>
        <w:tc>
          <w:tcPr>
            <w:tcW w:w="1604" w:type="dxa"/>
            <w:noWrap/>
            <w:vAlign w:val="center"/>
            <w:hideMark/>
          </w:tcPr>
          <w:p w:rsidR="00E55A94" w:rsidRPr="00C53D09" w:rsidP="00E55A94" w14:paraId="621044D9" w14:textId="20CEE41C">
            <w:pPr>
              <w:spacing w:after="0" w:line="240" w:lineRule="auto"/>
              <w:jc w:val="right"/>
              <w:rPr>
                <w:rFonts w:eastAsia="Times New Roman" w:cstheme="minorHAnsi"/>
                <w:color w:val="000000"/>
              </w:rPr>
            </w:pPr>
            <w:r w:rsidRPr="00C53D09">
              <w:rPr>
                <w:rFonts w:cstheme="minorHAnsi"/>
                <w:color w:val="000000"/>
              </w:rPr>
              <w:t>11</w:t>
            </w:r>
          </w:p>
        </w:tc>
        <w:tc>
          <w:tcPr>
            <w:tcW w:w="1711" w:type="dxa"/>
            <w:noWrap/>
            <w:vAlign w:val="center"/>
            <w:hideMark/>
          </w:tcPr>
          <w:p w:rsidR="00E55A94" w:rsidRPr="00C53D09" w:rsidP="00E55A94" w14:paraId="073254F4" w14:textId="1261A092">
            <w:pPr>
              <w:spacing w:after="0" w:line="240" w:lineRule="auto"/>
              <w:jc w:val="right"/>
              <w:rPr>
                <w:rFonts w:eastAsia="Times New Roman" w:cstheme="minorHAnsi"/>
                <w:color w:val="000000"/>
              </w:rPr>
            </w:pPr>
            <w:r w:rsidRPr="00C53D09">
              <w:rPr>
                <w:rFonts w:cstheme="minorHAnsi"/>
                <w:color w:val="000000"/>
              </w:rPr>
              <w:t>273</w:t>
            </w:r>
          </w:p>
        </w:tc>
        <w:tc>
          <w:tcPr>
            <w:tcW w:w="1678" w:type="dxa"/>
            <w:noWrap/>
            <w:vAlign w:val="center"/>
            <w:hideMark/>
          </w:tcPr>
          <w:p w:rsidR="00E55A94" w:rsidRPr="00C53D09" w:rsidP="00900A63" w14:paraId="30F1DA40" w14:textId="0456DD17">
            <w:pPr>
              <w:spacing w:after="0" w:line="240" w:lineRule="auto"/>
              <w:jc w:val="right"/>
              <w:rPr>
                <w:rFonts w:eastAsia="Times New Roman" w:cstheme="minorHAnsi"/>
                <w:color w:val="000000"/>
              </w:rPr>
            </w:pPr>
            <w:r w:rsidRPr="00C53D09">
              <w:rPr>
                <w:rFonts w:cstheme="minorHAnsi"/>
                <w:color w:val="000000"/>
              </w:rPr>
              <w:t>$23,229</w:t>
            </w:r>
          </w:p>
        </w:tc>
        <w:tc>
          <w:tcPr>
            <w:tcW w:w="1459" w:type="dxa"/>
            <w:noWrap/>
            <w:vAlign w:val="center"/>
            <w:hideMark/>
          </w:tcPr>
          <w:p w:rsidR="00E55A94" w:rsidRPr="00C53D09" w:rsidP="00900A63" w14:paraId="675AEBF8" w14:textId="416638BE">
            <w:pPr>
              <w:spacing w:after="0" w:line="240" w:lineRule="auto"/>
              <w:jc w:val="right"/>
              <w:rPr>
                <w:rFonts w:eastAsia="Times New Roman" w:cstheme="minorHAnsi"/>
                <w:color w:val="000000"/>
              </w:rPr>
            </w:pPr>
            <w:r w:rsidRPr="00C53D09">
              <w:rPr>
                <w:rFonts w:cstheme="minorHAnsi"/>
                <w:color w:val="000000"/>
              </w:rPr>
              <w:t>$14,350</w:t>
            </w:r>
          </w:p>
        </w:tc>
        <w:tc>
          <w:tcPr>
            <w:tcW w:w="1558" w:type="dxa"/>
            <w:noWrap/>
            <w:vAlign w:val="center"/>
            <w:hideMark/>
          </w:tcPr>
          <w:p w:rsidR="00E55A94" w:rsidRPr="00C53D09" w:rsidP="00900A63" w14:paraId="261B6542" w14:textId="325304D7">
            <w:pPr>
              <w:spacing w:after="0" w:line="240" w:lineRule="auto"/>
              <w:jc w:val="right"/>
              <w:rPr>
                <w:rFonts w:eastAsia="Times New Roman" w:cstheme="minorHAnsi"/>
                <w:color w:val="000000"/>
              </w:rPr>
            </w:pPr>
            <w:r w:rsidRPr="00C53D09">
              <w:rPr>
                <w:rFonts w:cstheme="minorHAnsi"/>
                <w:color w:val="000000"/>
              </w:rPr>
              <w:t>$37,579</w:t>
            </w:r>
          </w:p>
        </w:tc>
      </w:tr>
      <w:tr w14:paraId="5C9D89DF" w14:textId="77777777" w:rsidTr="00F7740C">
        <w:tblPrEx>
          <w:tblW w:w="9820" w:type="dxa"/>
          <w:tblLook w:val="04A0"/>
        </w:tblPrEx>
        <w:tc>
          <w:tcPr>
            <w:tcW w:w="1810" w:type="dxa"/>
            <w:vAlign w:val="center"/>
            <w:hideMark/>
          </w:tcPr>
          <w:p w:rsidR="00E55A94" w:rsidRPr="00C53D09" w:rsidP="00E55A94" w14:paraId="4F378023" w14:textId="4FA5A3CC">
            <w:pPr>
              <w:spacing w:after="0" w:line="240" w:lineRule="auto"/>
              <w:rPr>
                <w:rFonts w:eastAsia="Times New Roman" w:cstheme="minorHAnsi"/>
                <w:color w:val="000000"/>
              </w:rPr>
            </w:pPr>
            <w:r w:rsidRPr="00C53D09">
              <w:rPr>
                <w:rFonts w:cstheme="minorHAnsi"/>
                <w:color w:val="000000"/>
              </w:rPr>
              <w:t>S. Lime Manufacturing</w:t>
            </w:r>
          </w:p>
        </w:tc>
        <w:tc>
          <w:tcPr>
            <w:tcW w:w="1604" w:type="dxa"/>
            <w:noWrap/>
            <w:vAlign w:val="center"/>
            <w:hideMark/>
          </w:tcPr>
          <w:p w:rsidR="00E55A94" w:rsidRPr="00C53D09" w:rsidP="00E55A94" w14:paraId="4C585142" w14:textId="5CFD81C6">
            <w:pPr>
              <w:spacing w:after="0" w:line="240" w:lineRule="auto"/>
              <w:jc w:val="right"/>
              <w:rPr>
                <w:rFonts w:eastAsia="Times New Roman" w:cstheme="minorHAnsi"/>
                <w:color w:val="000000"/>
              </w:rPr>
            </w:pPr>
            <w:r w:rsidRPr="00C53D09">
              <w:rPr>
                <w:rFonts w:cstheme="minorHAnsi"/>
                <w:color w:val="000000"/>
              </w:rPr>
              <w:t>68</w:t>
            </w:r>
          </w:p>
        </w:tc>
        <w:tc>
          <w:tcPr>
            <w:tcW w:w="1711" w:type="dxa"/>
            <w:noWrap/>
            <w:vAlign w:val="center"/>
            <w:hideMark/>
          </w:tcPr>
          <w:p w:rsidR="00E55A94" w:rsidRPr="00C53D09" w:rsidP="00E55A94" w14:paraId="0E5E4E1E" w14:textId="34F521FB">
            <w:pPr>
              <w:spacing w:after="0" w:line="240" w:lineRule="auto"/>
              <w:jc w:val="right"/>
              <w:rPr>
                <w:rFonts w:eastAsia="Times New Roman" w:cstheme="minorHAnsi"/>
                <w:color w:val="000000"/>
              </w:rPr>
            </w:pPr>
            <w:r w:rsidRPr="00C53D09">
              <w:rPr>
                <w:rFonts w:cstheme="minorHAnsi"/>
                <w:color w:val="000000"/>
              </w:rPr>
              <w:t>1,910</w:t>
            </w:r>
          </w:p>
        </w:tc>
        <w:tc>
          <w:tcPr>
            <w:tcW w:w="1678" w:type="dxa"/>
            <w:noWrap/>
            <w:vAlign w:val="center"/>
            <w:hideMark/>
          </w:tcPr>
          <w:p w:rsidR="00E55A94" w:rsidRPr="00C53D09" w:rsidP="00900A63" w14:paraId="52E7830E" w14:textId="72557C4F">
            <w:pPr>
              <w:spacing w:after="0" w:line="240" w:lineRule="auto"/>
              <w:jc w:val="right"/>
              <w:rPr>
                <w:rFonts w:eastAsia="Times New Roman" w:cstheme="minorHAnsi"/>
                <w:color w:val="000000"/>
              </w:rPr>
            </w:pPr>
            <w:r w:rsidRPr="00C53D09">
              <w:rPr>
                <w:rFonts w:cstheme="minorHAnsi"/>
                <w:color w:val="000000"/>
              </w:rPr>
              <w:t>$161,542</w:t>
            </w:r>
          </w:p>
        </w:tc>
        <w:tc>
          <w:tcPr>
            <w:tcW w:w="1459" w:type="dxa"/>
            <w:noWrap/>
            <w:vAlign w:val="center"/>
            <w:hideMark/>
          </w:tcPr>
          <w:p w:rsidR="00E55A94" w:rsidRPr="00C53D09" w:rsidP="00900A63" w14:paraId="67662202" w14:textId="08D74757">
            <w:pPr>
              <w:spacing w:after="0" w:line="240" w:lineRule="auto"/>
              <w:jc w:val="right"/>
              <w:rPr>
                <w:rFonts w:eastAsia="Times New Roman" w:cstheme="minorHAnsi"/>
                <w:color w:val="000000"/>
              </w:rPr>
            </w:pPr>
            <w:r w:rsidRPr="00C53D09">
              <w:rPr>
                <w:rFonts w:cstheme="minorHAnsi"/>
                <w:color w:val="000000"/>
              </w:rPr>
              <w:t>$4,206</w:t>
            </w:r>
          </w:p>
        </w:tc>
        <w:tc>
          <w:tcPr>
            <w:tcW w:w="1558" w:type="dxa"/>
            <w:noWrap/>
            <w:vAlign w:val="center"/>
            <w:hideMark/>
          </w:tcPr>
          <w:p w:rsidR="00E55A94" w:rsidRPr="00C53D09" w:rsidP="00900A63" w14:paraId="5433A714" w14:textId="20452FA8">
            <w:pPr>
              <w:spacing w:after="0" w:line="240" w:lineRule="auto"/>
              <w:jc w:val="right"/>
              <w:rPr>
                <w:rFonts w:eastAsia="Times New Roman" w:cstheme="minorHAnsi"/>
                <w:color w:val="000000"/>
              </w:rPr>
            </w:pPr>
            <w:r w:rsidRPr="00C53D09">
              <w:rPr>
                <w:rFonts w:cstheme="minorHAnsi"/>
                <w:color w:val="000000"/>
              </w:rPr>
              <w:t>$165,748</w:t>
            </w:r>
          </w:p>
        </w:tc>
      </w:tr>
      <w:tr w14:paraId="68DC5BB5" w14:textId="77777777" w:rsidTr="00F7740C">
        <w:tblPrEx>
          <w:tblW w:w="9820" w:type="dxa"/>
          <w:tblLook w:val="04A0"/>
        </w:tblPrEx>
        <w:tc>
          <w:tcPr>
            <w:tcW w:w="1810" w:type="dxa"/>
            <w:vAlign w:val="center"/>
            <w:hideMark/>
          </w:tcPr>
          <w:p w:rsidR="00E55A94" w:rsidRPr="00C53D09" w:rsidP="00E55A94" w14:paraId="22BF2786" w14:textId="064886C9">
            <w:pPr>
              <w:spacing w:after="0" w:line="240" w:lineRule="auto"/>
              <w:rPr>
                <w:rFonts w:eastAsia="Times New Roman" w:cstheme="minorHAnsi"/>
                <w:color w:val="000000"/>
              </w:rPr>
            </w:pPr>
            <w:r w:rsidRPr="00C53D09">
              <w:rPr>
                <w:rFonts w:cstheme="minorHAnsi"/>
                <w:color w:val="000000"/>
              </w:rPr>
              <w:t>T. Magnesium Production</w:t>
            </w:r>
          </w:p>
        </w:tc>
        <w:tc>
          <w:tcPr>
            <w:tcW w:w="1604" w:type="dxa"/>
            <w:noWrap/>
            <w:vAlign w:val="center"/>
            <w:hideMark/>
          </w:tcPr>
          <w:p w:rsidR="00E55A94" w:rsidRPr="00C53D09" w:rsidP="00E55A94" w14:paraId="58AB07BD" w14:textId="49B36E8F">
            <w:pPr>
              <w:spacing w:after="0" w:line="240" w:lineRule="auto"/>
              <w:jc w:val="right"/>
              <w:rPr>
                <w:rFonts w:eastAsia="Times New Roman" w:cstheme="minorHAnsi"/>
                <w:color w:val="000000"/>
              </w:rPr>
            </w:pPr>
            <w:r w:rsidRPr="00C53D09">
              <w:rPr>
                <w:rFonts w:cstheme="minorHAnsi"/>
                <w:color w:val="000000"/>
              </w:rPr>
              <w:t>8</w:t>
            </w:r>
          </w:p>
        </w:tc>
        <w:tc>
          <w:tcPr>
            <w:tcW w:w="1711" w:type="dxa"/>
            <w:noWrap/>
            <w:vAlign w:val="center"/>
            <w:hideMark/>
          </w:tcPr>
          <w:p w:rsidR="00E55A94" w:rsidRPr="00C53D09" w:rsidP="00E55A94" w14:paraId="1AE5BFD7" w14:textId="733237B8">
            <w:pPr>
              <w:spacing w:after="0" w:line="240" w:lineRule="auto"/>
              <w:jc w:val="right"/>
              <w:rPr>
                <w:rFonts w:eastAsia="Times New Roman" w:cstheme="minorHAnsi"/>
                <w:color w:val="000000"/>
              </w:rPr>
            </w:pPr>
            <w:r w:rsidRPr="00C53D09">
              <w:rPr>
                <w:rFonts w:cstheme="minorHAnsi"/>
                <w:color w:val="000000"/>
              </w:rPr>
              <w:t>144</w:t>
            </w:r>
          </w:p>
        </w:tc>
        <w:tc>
          <w:tcPr>
            <w:tcW w:w="1678" w:type="dxa"/>
            <w:noWrap/>
            <w:vAlign w:val="center"/>
            <w:hideMark/>
          </w:tcPr>
          <w:p w:rsidR="00E55A94" w:rsidRPr="00C53D09" w:rsidP="00900A63" w14:paraId="7AFD5E77" w14:textId="1219348C">
            <w:pPr>
              <w:spacing w:after="0" w:line="240" w:lineRule="auto"/>
              <w:jc w:val="right"/>
              <w:rPr>
                <w:rFonts w:eastAsia="Times New Roman" w:cstheme="minorHAnsi"/>
                <w:color w:val="000000"/>
              </w:rPr>
            </w:pPr>
            <w:r w:rsidRPr="00C53D09">
              <w:rPr>
                <w:rFonts w:cstheme="minorHAnsi"/>
                <w:color w:val="000000"/>
              </w:rPr>
              <w:t>$11,931</w:t>
            </w:r>
          </w:p>
        </w:tc>
        <w:tc>
          <w:tcPr>
            <w:tcW w:w="1459" w:type="dxa"/>
            <w:noWrap/>
            <w:vAlign w:val="center"/>
            <w:hideMark/>
          </w:tcPr>
          <w:p w:rsidR="00E55A94" w:rsidRPr="00C53D09" w:rsidP="00900A63" w14:paraId="49A86A0E" w14:textId="165CFC21">
            <w:pPr>
              <w:spacing w:after="0" w:line="240" w:lineRule="auto"/>
              <w:jc w:val="right"/>
              <w:rPr>
                <w:rFonts w:eastAsia="Times New Roman" w:cstheme="minorHAnsi"/>
                <w:color w:val="000000"/>
              </w:rPr>
            </w:pPr>
            <w:r w:rsidRPr="00C53D09">
              <w:rPr>
                <w:rFonts w:cstheme="minorHAnsi"/>
                <w:color w:val="000000"/>
              </w:rPr>
              <w:t>$495</w:t>
            </w:r>
          </w:p>
        </w:tc>
        <w:tc>
          <w:tcPr>
            <w:tcW w:w="1558" w:type="dxa"/>
            <w:noWrap/>
            <w:vAlign w:val="center"/>
            <w:hideMark/>
          </w:tcPr>
          <w:p w:rsidR="00E55A94" w:rsidRPr="00C53D09" w:rsidP="00900A63" w14:paraId="5CF973CD" w14:textId="489D6DB2">
            <w:pPr>
              <w:spacing w:after="0" w:line="240" w:lineRule="auto"/>
              <w:jc w:val="right"/>
              <w:rPr>
                <w:rFonts w:eastAsia="Times New Roman" w:cstheme="minorHAnsi"/>
                <w:color w:val="000000"/>
              </w:rPr>
            </w:pPr>
            <w:r w:rsidRPr="00C53D09">
              <w:rPr>
                <w:rFonts w:cstheme="minorHAnsi"/>
                <w:color w:val="000000"/>
              </w:rPr>
              <w:t>$12,426</w:t>
            </w:r>
          </w:p>
        </w:tc>
      </w:tr>
      <w:tr w14:paraId="517709FD" w14:textId="77777777" w:rsidTr="00F7740C">
        <w:tblPrEx>
          <w:tblW w:w="9820" w:type="dxa"/>
          <w:tblLook w:val="04A0"/>
        </w:tblPrEx>
        <w:tc>
          <w:tcPr>
            <w:tcW w:w="1810" w:type="dxa"/>
            <w:vAlign w:val="center"/>
            <w:hideMark/>
          </w:tcPr>
          <w:p w:rsidR="00E55A94" w:rsidRPr="00C53D09" w:rsidP="00E55A94" w14:paraId="68B71F98" w14:textId="5FB5C59E">
            <w:pPr>
              <w:spacing w:after="0" w:line="240" w:lineRule="auto"/>
              <w:rPr>
                <w:rFonts w:eastAsia="Times New Roman" w:cstheme="minorHAnsi"/>
                <w:color w:val="000000"/>
              </w:rPr>
            </w:pPr>
            <w:r w:rsidRPr="00C53D09">
              <w:rPr>
                <w:rFonts w:cstheme="minorHAnsi"/>
                <w:color w:val="000000"/>
              </w:rPr>
              <w:t>U. Misc. Uses of Carbonate</w:t>
            </w:r>
          </w:p>
        </w:tc>
        <w:tc>
          <w:tcPr>
            <w:tcW w:w="1604" w:type="dxa"/>
            <w:noWrap/>
            <w:vAlign w:val="center"/>
            <w:hideMark/>
          </w:tcPr>
          <w:p w:rsidR="00E55A94" w:rsidRPr="00C53D09" w:rsidP="00E55A94" w14:paraId="4EBB80A7" w14:textId="36E10A15">
            <w:pPr>
              <w:spacing w:after="0" w:line="240" w:lineRule="auto"/>
              <w:jc w:val="right"/>
              <w:rPr>
                <w:rFonts w:eastAsia="Times New Roman" w:cstheme="minorHAnsi"/>
                <w:color w:val="000000"/>
              </w:rPr>
            </w:pPr>
            <w:r w:rsidRPr="00C53D09">
              <w:rPr>
                <w:rFonts w:cstheme="minorHAnsi"/>
                <w:color w:val="000000"/>
              </w:rPr>
              <w:t>6</w:t>
            </w:r>
          </w:p>
        </w:tc>
        <w:tc>
          <w:tcPr>
            <w:tcW w:w="1711" w:type="dxa"/>
            <w:noWrap/>
            <w:vAlign w:val="center"/>
            <w:hideMark/>
          </w:tcPr>
          <w:p w:rsidR="00E55A94" w:rsidRPr="00C53D09" w:rsidP="00E55A94" w14:paraId="14672945" w14:textId="002072AD">
            <w:pPr>
              <w:spacing w:after="0" w:line="240" w:lineRule="auto"/>
              <w:jc w:val="right"/>
              <w:rPr>
                <w:rFonts w:eastAsia="Times New Roman" w:cstheme="minorHAnsi"/>
                <w:color w:val="000000"/>
              </w:rPr>
            </w:pPr>
            <w:r w:rsidRPr="00C53D09">
              <w:rPr>
                <w:rFonts w:cstheme="minorHAnsi"/>
                <w:color w:val="000000"/>
              </w:rPr>
              <w:t>54</w:t>
            </w:r>
          </w:p>
        </w:tc>
        <w:tc>
          <w:tcPr>
            <w:tcW w:w="1678" w:type="dxa"/>
            <w:noWrap/>
            <w:vAlign w:val="center"/>
            <w:hideMark/>
          </w:tcPr>
          <w:p w:rsidR="00E55A94" w:rsidRPr="00C53D09" w:rsidP="00900A63" w14:paraId="54A6FFF3" w14:textId="657C34A8">
            <w:pPr>
              <w:spacing w:after="0" w:line="240" w:lineRule="auto"/>
              <w:jc w:val="right"/>
              <w:rPr>
                <w:rFonts w:eastAsia="Times New Roman" w:cstheme="minorHAnsi"/>
                <w:color w:val="000000"/>
              </w:rPr>
            </w:pPr>
            <w:r w:rsidRPr="00C53D09">
              <w:rPr>
                <w:rFonts w:cstheme="minorHAnsi"/>
                <w:color w:val="000000"/>
              </w:rPr>
              <w:t>$4,197</w:t>
            </w:r>
          </w:p>
        </w:tc>
        <w:tc>
          <w:tcPr>
            <w:tcW w:w="1459" w:type="dxa"/>
            <w:noWrap/>
            <w:vAlign w:val="center"/>
            <w:hideMark/>
          </w:tcPr>
          <w:p w:rsidR="00E55A94" w:rsidRPr="00C53D09" w:rsidP="00900A63" w14:paraId="51B1D611" w14:textId="4B18AFAE">
            <w:pPr>
              <w:spacing w:after="0" w:line="240" w:lineRule="auto"/>
              <w:jc w:val="right"/>
              <w:rPr>
                <w:rFonts w:eastAsia="Times New Roman" w:cstheme="minorHAnsi"/>
                <w:color w:val="000000"/>
              </w:rPr>
            </w:pPr>
            <w:r w:rsidRPr="00C53D09">
              <w:rPr>
                <w:rFonts w:cstheme="minorHAnsi"/>
                <w:color w:val="000000"/>
              </w:rPr>
              <w:t>$371</w:t>
            </w:r>
          </w:p>
        </w:tc>
        <w:tc>
          <w:tcPr>
            <w:tcW w:w="1558" w:type="dxa"/>
            <w:noWrap/>
            <w:vAlign w:val="center"/>
            <w:hideMark/>
          </w:tcPr>
          <w:p w:rsidR="00E55A94" w:rsidRPr="00C53D09" w:rsidP="00900A63" w14:paraId="2E6E1DB9" w14:textId="02FD617B">
            <w:pPr>
              <w:spacing w:after="0" w:line="240" w:lineRule="auto"/>
              <w:jc w:val="right"/>
              <w:rPr>
                <w:rFonts w:eastAsia="Times New Roman" w:cstheme="minorHAnsi"/>
                <w:color w:val="000000"/>
              </w:rPr>
            </w:pPr>
            <w:r w:rsidRPr="00C53D09">
              <w:rPr>
                <w:rFonts w:cstheme="minorHAnsi"/>
                <w:color w:val="000000"/>
              </w:rPr>
              <w:t>$4,568</w:t>
            </w:r>
          </w:p>
        </w:tc>
      </w:tr>
      <w:tr w14:paraId="645E13DF" w14:textId="77777777" w:rsidTr="00F7740C">
        <w:tblPrEx>
          <w:tblW w:w="9820" w:type="dxa"/>
          <w:tblLook w:val="04A0"/>
        </w:tblPrEx>
        <w:tc>
          <w:tcPr>
            <w:tcW w:w="1810" w:type="dxa"/>
            <w:vAlign w:val="center"/>
            <w:hideMark/>
          </w:tcPr>
          <w:p w:rsidR="00E55A94" w:rsidRPr="00C53D09" w:rsidP="00E55A94" w14:paraId="5EC70932" w14:textId="3C835C54">
            <w:pPr>
              <w:spacing w:after="0" w:line="240" w:lineRule="auto"/>
              <w:rPr>
                <w:rFonts w:eastAsia="Times New Roman" w:cstheme="minorHAnsi"/>
                <w:color w:val="000000"/>
              </w:rPr>
            </w:pPr>
            <w:r w:rsidRPr="00C53D09">
              <w:rPr>
                <w:rFonts w:cstheme="minorHAnsi"/>
                <w:color w:val="000000"/>
              </w:rPr>
              <w:t>V. Nitric Acid Production</w:t>
            </w:r>
          </w:p>
        </w:tc>
        <w:tc>
          <w:tcPr>
            <w:tcW w:w="1604" w:type="dxa"/>
            <w:noWrap/>
            <w:vAlign w:val="center"/>
            <w:hideMark/>
          </w:tcPr>
          <w:p w:rsidR="00E55A94" w:rsidRPr="00C53D09" w:rsidP="00E55A94" w14:paraId="0E76A6F9" w14:textId="5B3E29C8">
            <w:pPr>
              <w:spacing w:after="0" w:line="240" w:lineRule="auto"/>
              <w:jc w:val="right"/>
              <w:rPr>
                <w:rFonts w:eastAsia="Times New Roman" w:cstheme="minorHAnsi"/>
                <w:color w:val="000000"/>
              </w:rPr>
            </w:pPr>
            <w:r w:rsidRPr="00C53D09">
              <w:rPr>
                <w:rFonts w:cstheme="minorHAnsi"/>
                <w:color w:val="000000"/>
              </w:rPr>
              <w:t>28</w:t>
            </w:r>
          </w:p>
        </w:tc>
        <w:tc>
          <w:tcPr>
            <w:tcW w:w="1711" w:type="dxa"/>
            <w:noWrap/>
            <w:vAlign w:val="center"/>
            <w:hideMark/>
          </w:tcPr>
          <w:p w:rsidR="00E55A94" w:rsidRPr="00C53D09" w:rsidP="00E55A94" w14:paraId="5C9B9C95" w14:textId="76D8B32E">
            <w:pPr>
              <w:spacing w:after="0" w:line="240" w:lineRule="auto"/>
              <w:jc w:val="right"/>
              <w:rPr>
                <w:rFonts w:eastAsia="Times New Roman" w:cstheme="minorHAnsi"/>
                <w:color w:val="000000"/>
              </w:rPr>
            </w:pPr>
            <w:r w:rsidRPr="00C53D09">
              <w:rPr>
                <w:rFonts w:cstheme="minorHAnsi"/>
                <w:color w:val="000000"/>
              </w:rPr>
              <w:t>907</w:t>
            </w:r>
          </w:p>
        </w:tc>
        <w:tc>
          <w:tcPr>
            <w:tcW w:w="1678" w:type="dxa"/>
            <w:noWrap/>
            <w:vAlign w:val="center"/>
            <w:hideMark/>
          </w:tcPr>
          <w:p w:rsidR="00E55A94" w:rsidRPr="00C53D09" w:rsidP="00900A63" w14:paraId="58D2F82A" w14:textId="5CE57A9A">
            <w:pPr>
              <w:spacing w:after="0" w:line="240" w:lineRule="auto"/>
              <w:jc w:val="right"/>
              <w:rPr>
                <w:rFonts w:eastAsia="Times New Roman" w:cstheme="minorHAnsi"/>
                <w:color w:val="000000"/>
              </w:rPr>
            </w:pPr>
            <w:r w:rsidRPr="00C53D09">
              <w:rPr>
                <w:rFonts w:cstheme="minorHAnsi"/>
                <w:color w:val="000000"/>
              </w:rPr>
              <w:t>$75,317</w:t>
            </w:r>
          </w:p>
        </w:tc>
        <w:tc>
          <w:tcPr>
            <w:tcW w:w="1459" w:type="dxa"/>
            <w:noWrap/>
            <w:vAlign w:val="center"/>
            <w:hideMark/>
          </w:tcPr>
          <w:p w:rsidR="00E55A94" w:rsidRPr="00C53D09" w:rsidP="00900A63" w14:paraId="4F2E7A87" w14:textId="30371614">
            <w:pPr>
              <w:spacing w:after="0" w:line="240" w:lineRule="auto"/>
              <w:jc w:val="right"/>
              <w:rPr>
                <w:rFonts w:eastAsia="Times New Roman" w:cstheme="minorHAnsi"/>
                <w:color w:val="000000"/>
              </w:rPr>
            </w:pPr>
            <w:r w:rsidRPr="00C53D09">
              <w:rPr>
                <w:rFonts w:cstheme="minorHAnsi"/>
                <w:color w:val="000000"/>
              </w:rPr>
              <w:t>$258,224</w:t>
            </w:r>
          </w:p>
        </w:tc>
        <w:tc>
          <w:tcPr>
            <w:tcW w:w="1558" w:type="dxa"/>
            <w:noWrap/>
            <w:vAlign w:val="center"/>
            <w:hideMark/>
          </w:tcPr>
          <w:p w:rsidR="00E55A94" w:rsidRPr="00C53D09" w:rsidP="00900A63" w14:paraId="451F7F29" w14:textId="370340F6">
            <w:pPr>
              <w:spacing w:after="0" w:line="240" w:lineRule="auto"/>
              <w:jc w:val="right"/>
              <w:rPr>
                <w:rFonts w:eastAsia="Times New Roman" w:cstheme="minorHAnsi"/>
                <w:color w:val="000000"/>
              </w:rPr>
            </w:pPr>
            <w:r w:rsidRPr="00C53D09">
              <w:rPr>
                <w:rFonts w:cstheme="minorHAnsi"/>
                <w:color w:val="000000"/>
              </w:rPr>
              <w:t>$333,542</w:t>
            </w:r>
          </w:p>
        </w:tc>
      </w:tr>
      <w:tr w14:paraId="783DBE8B" w14:textId="77777777" w:rsidTr="00F7740C">
        <w:tblPrEx>
          <w:tblW w:w="9820" w:type="dxa"/>
          <w:tblLook w:val="04A0"/>
        </w:tblPrEx>
        <w:tc>
          <w:tcPr>
            <w:tcW w:w="1810" w:type="dxa"/>
            <w:vAlign w:val="center"/>
          </w:tcPr>
          <w:p w:rsidR="00E55A94" w:rsidRPr="00C53D09" w:rsidP="00900A63" w14:paraId="1D32EE99" w14:textId="093DC818">
            <w:pPr>
              <w:spacing w:after="0" w:line="240" w:lineRule="auto"/>
              <w:rPr>
                <w:rFonts w:eastAsia="Times New Roman" w:cstheme="minorHAnsi"/>
                <w:color w:val="000000"/>
              </w:rPr>
            </w:pPr>
            <w:r w:rsidRPr="00C53D09">
              <w:rPr>
                <w:rFonts w:cstheme="minorHAnsi"/>
                <w:color w:val="000000"/>
              </w:rPr>
              <w:t>W. Petroleum and Natural Gas Systems</w:t>
            </w:r>
          </w:p>
        </w:tc>
        <w:tc>
          <w:tcPr>
            <w:tcW w:w="1604" w:type="dxa"/>
            <w:noWrap/>
            <w:vAlign w:val="center"/>
          </w:tcPr>
          <w:p w:rsidR="00E55A94" w:rsidRPr="00C53D09" w:rsidP="00E55A94" w14:paraId="45F82824" w14:textId="749F6F3C">
            <w:pPr>
              <w:spacing w:after="0" w:line="240" w:lineRule="auto"/>
              <w:jc w:val="right"/>
              <w:rPr>
                <w:rFonts w:eastAsia="Times New Roman" w:cstheme="minorHAnsi"/>
                <w:color w:val="000000"/>
                <w:highlight w:val="cyan"/>
              </w:rPr>
            </w:pPr>
            <w:r w:rsidRPr="00C53D09">
              <w:rPr>
                <w:rFonts w:cstheme="minorHAnsi"/>
                <w:color w:val="000000"/>
              </w:rPr>
              <w:t>3,000</w:t>
            </w:r>
          </w:p>
        </w:tc>
        <w:tc>
          <w:tcPr>
            <w:tcW w:w="1711" w:type="dxa"/>
            <w:noWrap/>
            <w:vAlign w:val="center"/>
          </w:tcPr>
          <w:p w:rsidR="00E55A94" w:rsidRPr="00C53D09" w:rsidP="00E55A94" w14:paraId="5C28CEA2" w14:textId="4A80B9F6">
            <w:pPr>
              <w:spacing w:after="0" w:line="240" w:lineRule="auto"/>
              <w:jc w:val="right"/>
              <w:rPr>
                <w:rFonts w:eastAsia="Times New Roman" w:cstheme="minorHAnsi"/>
                <w:color w:val="000000"/>
                <w:highlight w:val="cyan"/>
              </w:rPr>
            </w:pPr>
            <w:r w:rsidRPr="00C53D09">
              <w:rPr>
                <w:rFonts w:cstheme="minorHAnsi"/>
                <w:color w:val="000000"/>
              </w:rPr>
              <w:t>2,148,942</w:t>
            </w:r>
          </w:p>
        </w:tc>
        <w:tc>
          <w:tcPr>
            <w:tcW w:w="1678" w:type="dxa"/>
            <w:noWrap/>
            <w:vAlign w:val="center"/>
          </w:tcPr>
          <w:p w:rsidR="00E55A94" w:rsidRPr="00C53D09" w:rsidP="00900A63" w14:paraId="248C09B9" w14:textId="32DF77AA">
            <w:pPr>
              <w:spacing w:after="0" w:line="240" w:lineRule="auto"/>
              <w:jc w:val="right"/>
              <w:rPr>
                <w:rFonts w:eastAsia="Times New Roman" w:cstheme="minorHAnsi"/>
                <w:color w:val="000000"/>
                <w:highlight w:val="cyan"/>
              </w:rPr>
            </w:pPr>
            <w:r w:rsidRPr="00C53D09">
              <w:rPr>
                <w:rFonts w:cstheme="minorHAnsi"/>
                <w:color w:val="000000"/>
              </w:rPr>
              <w:t>$210,845,768</w:t>
            </w:r>
          </w:p>
        </w:tc>
        <w:tc>
          <w:tcPr>
            <w:tcW w:w="1459" w:type="dxa"/>
            <w:noWrap/>
            <w:vAlign w:val="center"/>
          </w:tcPr>
          <w:p w:rsidR="00E55A94" w:rsidRPr="00C53D09" w:rsidP="00900A63" w14:paraId="2B5DD520" w14:textId="5A0B1F49">
            <w:pPr>
              <w:spacing w:after="0" w:line="240" w:lineRule="auto"/>
              <w:jc w:val="right"/>
              <w:rPr>
                <w:rFonts w:eastAsia="Times New Roman" w:cstheme="minorHAnsi"/>
                <w:color w:val="000000"/>
                <w:highlight w:val="cyan"/>
              </w:rPr>
            </w:pPr>
            <w:r w:rsidRPr="00C53D09">
              <w:rPr>
                <w:rFonts w:cstheme="minorHAnsi"/>
                <w:color w:val="000000"/>
              </w:rPr>
              <w:t>$44,955,344</w:t>
            </w:r>
          </w:p>
        </w:tc>
        <w:tc>
          <w:tcPr>
            <w:tcW w:w="1558" w:type="dxa"/>
            <w:noWrap/>
            <w:vAlign w:val="center"/>
          </w:tcPr>
          <w:p w:rsidR="00E55A94" w:rsidRPr="00C53D09" w:rsidP="00900A63" w14:paraId="49C5FB13" w14:textId="03C6BAB1">
            <w:pPr>
              <w:spacing w:after="0" w:line="240" w:lineRule="auto"/>
              <w:jc w:val="right"/>
              <w:rPr>
                <w:rFonts w:eastAsia="Times New Roman" w:cstheme="minorHAnsi"/>
                <w:color w:val="000000"/>
                <w:highlight w:val="cyan"/>
              </w:rPr>
            </w:pPr>
            <w:r w:rsidRPr="00C53D09">
              <w:rPr>
                <w:rFonts w:cstheme="minorHAnsi"/>
                <w:color w:val="000000"/>
              </w:rPr>
              <w:t>$255,801,112</w:t>
            </w:r>
          </w:p>
        </w:tc>
      </w:tr>
      <w:tr w14:paraId="5C54C92E" w14:textId="77777777" w:rsidTr="00F7740C">
        <w:tblPrEx>
          <w:tblW w:w="9820" w:type="dxa"/>
          <w:tblLook w:val="04A0"/>
        </w:tblPrEx>
        <w:tc>
          <w:tcPr>
            <w:tcW w:w="1810" w:type="dxa"/>
            <w:vAlign w:val="center"/>
            <w:hideMark/>
          </w:tcPr>
          <w:p w:rsidR="00E55A94" w:rsidRPr="00C53D09" w:rsidP="00E55A94" w14:paraId="1096CFE3" w14:textId="260EC509">
            <w:pPr>
              <w:spacing w:after="0" w:line="240" w:lineRule="auto"/>
              <w:rPr>
                <w:rFonts w:eastAsia="Times New Roman" w:cstheme="minorHAnsi"/>
                <w:color w:val="000000"/>
              </w:rPr>
            </w:pPr>
            <w:r w:rsidRPr="00C53D09">
              <w:rPr>
                <w:rFonts w:cstheme="minorHAnsi"/>
                <w:color w:val="000000"/>
              </w:rPr>
              <w:t>X. Petrochemical Prod</w:t>
            </w:r>
            <w:r w:rsidR="00302C61">
              <w:rPr>
                <w:rFonts w:cstheme="minorHAnsi"/>
                <w:color w:val="000000"/>
              </w:rPr>
              <w:t>uction</w:t>
            </w:r>
          </w:p>
        </w:tc>
        <w:tc>
          <w:tcPr>
            <w:tcW w:w="1604" w:type="dxa"/>
            <w:noWrap/>
            <w:vAlign w:val="center"/>
            <w:hideMark/>
          </w:tcPr>
          <w:p w:rsidR="00E55A94" w:rsidRPr="00C53D09" w:rsidP="00E55A94" w14:paraId="3AFEB529" w14:textId="4B347C80">
            <w:pPr>
              <w:spacing w:after="0" w:line="240" w:lineRule="auto"/>
              <w:jc w:val="right"/>
              <w:rPr>
                <w:rFonts w:eastAsia="Times New Roman" w:cstheme="minorHAnsi"/>
                <w:color w:val="000000"/>
              </w:rPr>
            </w:pPr>
            <w:r w:rsidRPr="00C53D09">
              <w:rPr>
                <w:rFonts w:cstheme="minorHAnsi"/>
                <w:color w:val="000000"/>
              </w:rPr>
              <w:t>74</w:t>
            </w:r>
          </w:p>
        </w:tc>
        <w:tc>
          <w:tcPr>
            <w:tcW w:w="1711" w:type="dxa"/>
            <w:noWrap/>
            <w:vAlign w:val="center"/>
            <w:hideMark/>
          </w:tcPr>
          <w:p w:rsidR="00E55A94" w:rsidRPr="00C53D09" w:rsidP="00E55A94" w14:paraId="1FE2AB4D" w14:textId="07633722">
            <w:pPr>
              <w:spacing w:after="0" w:line="240" w:lineRule="auto"/>
              <w:jc w:val="right"/>
              <w:rPr>
                <w:rFonts w:eastAsia="Times New Roman" w:cstheme="minorHAnsi"/>
                <w:color w:val="000000"/>
              </w:rPr>
            </w:pPr>
            <w:r w:rsidRPr="00C53D09">
              <w:rPr>
                <w:rFonts w:cstheme="minorHAnsi"/>
                <w:color w:val="000000"/>
              </w:rPr>
              <w:t>11,065</w:t>
            </w:r>
          </w:p>
        </w:tc>
        <w:tc>
          <w:tcPr>
            <w:tcW w:w="1678" w:type="dxa"/>
            <w:noWrap/>
            <w:vAlign w:val="center"/>
            <w:hideMark/>
          </w:tcPr>
          <w:p w:rsidR="00E55A94" w:rsidRPr="00C53D09" w:rsidP="00900A63" w14:paraId="55D2667D" w14:textId="41EC43ED">
            <w:pPr>
              <w:spacing w:after="0" w:line="240" w:lineRule="auto"/>
              <w:jc w:val="right"/>
              <w:rPr>
                <w:rFonts w:eastAsia="Times New Roman" w:cstheme="minorHAnsi"/>
                <w:color w:val="000000"/>
              </w:rPr>
            </w:pPr>
            <w:r w:rsidRPr="00C53D09">
              <w:rPr>
                <w:rFonts w:cstheme="minorHAnsi"/>
                <w:color w:val="000000"/>
              </w:rPr>
              <w:t>$892,178</w:t>
            </w:r>
          </w:p>
        </w:tc>
        <w:tc>
          <w:tcPr>
            <w:tcW w:w="1459" w:type="dxa"/>
            <w:noWrap/>
            <w:vAlign w:val="center"/>
            <w:hideMark/>
          </w:tcPr>
          <w:p w:rsidR="00E55A94" w:rsidRPr="00C53D09" w:rsidP="00900A63" w14:paraId="77E87783" w14:textId="57BE9EE4">
            <w:pPr>
              <w:spacing w:after="0" w:line="240" w:lineRule="auto"/>
              <w:jc w:val="right"/>
              <w:rPr>
                <w:rFonts w:eastAsia="Times New Roman" w:cstheme="minorHAnsi"/>
                <w:color w:val="000000"/>
              </w:rPr>
            </w:pPr>
            <w:r w:rsidRPr="00C53D09">
              <w:rPr>
                <w:rFonts w:cstheme="minorHAnsi"/>
                <w:color w:val="000000"/>
              </w:rPr>
              <w:t>$145,728</w:t>
            </w:r>
          </w:p>
        </w:tc>
        <w:tc>
          <w:tcPr>
            <w:tcW w:w="1558" w:type="dxa"/>
            <w:noWrap/>
            <w:vAlign w:val="center"/>
            <w:hideMark/>
          </w:tcPr>
          <w:p w:rsidR="00E55A94" w:rsidRPr="00C53D09" w:rsidP="00900A63" w14:paraId="2C3DDD05" w14:textId="795C1A2F">
            <w:pPr>
              <w:spacing w:after="0" w:line="240" w:lineRule="auto"/>
              <w:jc w:val="right"/>
              <w:rPr>
                <w:rFonts w:eastAsia="Times New Roman" w:cstheme="minorHAnsi"/>
                <w:color w:val="000000"/>
              </w:rPr>
            </w:pPr>
            <w:r w:rsidRPr="00C53D09">
              <w:rPr>
                <w:rFonts w:cstheme="minorHAnsi"/>
                <w:color w:val="000000"/>
              </w:rPr>
              <w:t>$1,037,906</w:t>
            </w:r>
          </w:p>
        </w:tc>
      </w:tr>
      <w:tr w14:paraId="021E357A" w14:textId="77777777" w:rsidTr="00F7740C">
        <w:tblPrEx>
          <w:tblW w:w="9820" w:type="dxa"/>
          <w:tblLook w:val="04A0"/>
        </w:tblPrEx>
        <w:tc>
          <w:tcPr>
            <w:tcW w:w="1810" w:type="dxa"/>
            <w:vAlign w:val="center"/>
            <w:hideMark/>
          </w:tcPr>
          <w:p w:rsidR="00E55A94" w:rsidRPr="00C53D09" w:rsidP="00E55A94" w14:paraId="3BB6C4AD" w14:textId="0B053D1C">
            <w:pPr>
              <w:spacing w:after="0" w:line="240" w:lineRule="auto"/>
              <w:rPr>
                <w:rFonts w:eastAsia="Times New Roman" w:cstheme="minorHAnsi"/>
                <w:color w:val="000000"/>
              </w:rPr>
            </w:pPr>
            <w:r w:rsidRPr="00C53D09">
              <w:rPr>
                <w:rFonts w:cstheme="minorHAnsi"/>
                <w:color w:val="000000"/>
              </w:rPr>
              <w:t>Y. Petroleum Refineries</w:t>
            </w:r>
          </w:p>
        </w:tc>
        <w:tc>
          <w:tcPr>
            <w:tcW w:w="1604" w:type="dxa"/>
            <w:noWrap/>
            <w:vAlign w:val="center"/>
            <w:hideMark/>
          </w:tcPr>
          <w:p w:rsidR="00E55A94" w:rsidRPr="00C53D09" w:rsidP="00E55A94" w14:paraId="440663F1" w14:textId="7CDC8BE9">
            <w:pPr>
              <w:spacing w:after="0" w:line="240" w:lineRule="auto"/>
              <w:jc w:val="right"/>
              <w:rPr>
                <w:rFonts w:eastAsia="Times New Roman" w:cstheme="minorHAnsi"/>
                <w:color w:val="000000"/>
              </w:rPr>
            </w:pPr>
            <w:r w:rsidRPr="00C53D09">
              <w:rPr>
                <w:rFonts w:cstheme="minorHAnsi"/>
                <w:color w:val="000000"/>
              </w:rPr>
              <w:t>122</w:t>
            </w:r>
          </w:p>
        </w:tc>
        <w:tc>
          <w:tcPr>
            <w:tcW w:w="1711" w:type="dxa"/>
            <w:noWrap/>
            <w:vAlign w:val="center"/>
            <w:hideMark/>
          </w:tcPr>
          <w:p w:rsidR="00E55A94" w:rsidRPr="00C53D09" w:rsidP="00E55A94" w14:paraId="67B1DCD1" w14:textId="273F30FF">
            <w:pPr>
              <w:spacing w:after="0" w:line="240" w:lineRule="auto"/>
              <w:jc w:val="right"/>
              <w:rPr>
                <w:rFonts w:eastAsia="Times New Roman" w:cstheme="minorHAnsi"/>
                <w:color w:val="000000"/>
              </w:rPr>
            </w:pPr>
            <w:r w:rsidRPr="00C53D09">
              <w:rPr>
                <w:rFonts w:cstheme="minorHAnsi"/>
                <w:color w:val="000000"/>
              </w:rPr>
              <w:t>6,726</w:t>
            </w:r>
          </w:p>
        </w:tc>
        <w:tc>
          <w:tcPr>
            <w:tcW w:w="1678" w:type="dxa"/>
            <w:noWrap/>
            <w:vAlign w:val="center"/>
            <w:hideMark/>
          </w:tcPr>
          <w:p w:rsidR="00E55A94" w:rsidRPr="00C53D09" w:rsidP="00900A63" w14:paraId="2D712F12" w14:textId="17E5F12A">
            <w:pPr>
              <w:spacing w:after="0" w:line="240" w:lineRule="auto"/>
              <w:jc w:val="right"/>
              <w:rPr>
                <w:rFonts w:eastAsia="Times New Roman" w:cstheme="minorHAnsi"/>
                <w:color w:val="000000"/>
              </w:rPr>
            </w:pPr>
            <w:r w:rsidRPr="00C53D09">
              <w:rPr>
                <w:rFonts w:cstheme="minorHAnsi"/>
                <w:color w:val="000000"/>
              </w:rPr>
              <w:t>$553,408</w:t>
            </w:r>
          </w:p>
        </w:tc>
        <w:tc>
          <w:tcPr>
            <w:tcW w:w="1459" w:type="dxa"/>
            <w:noWrap/>
            <w:vAlign w:val="center"/>
            <w:hideMark/>
          </w:tcPr>
          <w:p w:rsidR="00E55A94" w:rsidRPr="00C53D09" w:rsidP="00900A63" w14:paraId="08F28DC4" w14:textId="1BE672AF">
            <w:pPr>
              <w:spacing w:after="0" w:line="240" w:lineRule="auto"/>
              <w:jc w:val="right"/>
              <w:rPr>
                <w:rFonts w:eastAsia="Times New Roman" w:cstheme="minorHAnsi"/>
                <w:color w:val="000000"/>
              </w:rPr>
            </w:pPr>
            <w:r w:rsidRPr="00C53D09">
              <w:rPr>
                <w:rFonts w:cstheme="minorHAnsi"/>
                <w:color w:val="000000"/>
              </w:rPr>
              <w:t>$3,522</w:t>
            </w:r>
          </w:p>
        </w:tc>
        <w:tc>
          <w:tcPr>
            <w:tcW w:w="1558" w:type="dxa"/>
            <w:noWrap/>
            <w:vAlign w:val="center"/>
            <w:hideMark/>
          </w:tcPr>
          <w:p w:rsidR="00E55A94" w:rsidRPr="00C53D09" w:rsidP="00900A63" w14:paraId="5C35417D" w14:textId="56B12872">
            <w:pPr>
              <w:spacing w:after="0" w:line="240" w:lineRule="auto"/>
              <w:jc w:val="right"/>
              <w:rPr>
                <w:rFonts w:eastAsia="Times New Roman" w:cstheme="minorHAnsi"/>
                <w:color w:val="000000"/>
              </w:rPr>
            </w:pPr>
            <w:r w:rsidRPr="00C53D09">
              <w:rPr>
                <w:rFonts w:cstheme="minorHAnsi"/>
                <w:color w:val="000000"/>
              </w:rPr>
              <w:t>$556,931</w:t>
            </w:r>
          </w:p>
        </w:tc>
      </w:tr>
      <w:tr w14:paraId="757CFDAE" w14:textId="77777777" w:rsidTr="00F7740C">
        <w:tblPrEx>
          <w:tblW w:w="9820" w:type="dxa"/>
          <w:tblLook w:val="04A0"/>
        </w:tblPrEx>
        <w:tc>
          <w:tcPr>
            <w:tcW w:w="1810" w:type="dxa"/>
            <w:vAlign w:val="center"/>
            <w:hideMark/>
          </w:tcPr>
          <w:p w:rsidR="00E55A94" w:rsidRPr="00C53D09" w:rsidP="00E55A94" w14:paraId="5BF62D5C" w14:textId="37A4D6F0">
            <w:pPr>
              <w:spacing w:after="0" w:line="240" w:lineRule="auto"/>
              <w:rPr>
                <w:rFonts w:eastAsia="Times New Roman" w:cstheme="minorHAnsi"/>
                <w:color w:val="000000"/>
              </w:rPr>
            </w:pPr>
            <w:r w:rsidRPr="00C53D09">
              <w:rPr>
                <w:rFonts w:cstheme="minorHAnsi"/>
                <w:color w:val="000000"/>
              </w:rPr>
              <w:t>Z. Phosphoric Acid Prod</w:t>
            </w:r>
            <w:r w:rsidR="00302C61">
              <w:rPr>
                <w:rFonts w:cstheme="minorHAnsi"/>
                <w:color w:val="000000"/>
              </w:rPr>
              <w:t>uction</w:t>
            </w:r>
          </w:p>
        </w:tc>
        <w:tc>
          <w:tcPr>
            <w:tcW w:w="1604" w:type="dxa"/>
            <w:noWrap/>
            <w:vAlign w:val="center"/>
            <w:hideMark/>
          </w:tcPr>
          <w:p w:rsidR="00E55A94" w:rsidRPr="00C53D09" w:rsidP="00E55A94" w14:paraId="7097C692" w14:textId="4E74D107">
            <w:pPr>
              <w:spacing w:after="0" w:line="240" w:lineRule="auto"/>
              <w:jc w:val="right"/>
              <w:rPr>
                <w:rFonts w:eastAsia="Times New Roman" w:cstheme="minorHAnsi"/>
                <w:color w:val="000000"/>
              </w:rPr>
            </w:pPr>
            <w:r w:rsidRPr="00C53D09">
              <w:rPr>
                <w:rFonts w:cstheme="minorHAnsi"/>
                <w:color w:val="000000"/>
              </w:rPr>
              <w:t>9</w:t>
            </w:r>
          </w:p>
        </w:tc>
        <w:tc>
          <w:tcPr>
            <w:tcW w:w="1711" w:type="dxa"/>
            <w:noWrap/>
            <w:vAlign w:val="center"/>
            <w:hideMark/>
          </w:tcPr>
          <w:p w:rsidR="00E55A94" w:rsidRPr="00C53D09" w:rsidP="00E55A94" w14:paraId="63378476" w14:textId="46BB837D">
            <w:pPr>
              <w:spacing w:after="0" w:line="240" w:lineRule="auto"/>
              <w:jc w:val="right"/>
              <w:rPr>
                <w:rFonts w:eastAsia="Times New Roman" w:cstheme="minorHAnsi"/>
                <w:color w:val="000000"/>
              </w:rPr>
            </w:pPr>
            <w:r w:rsidRPr="00C53D09">
              <w:rPr>
                <w:rFonts w:cstheme="minorHAnsi"/>
                <w:color w:val="000000"/>
              </w:rPr>
              <w:t>90</w:t>
            </w:r>
          </w:p>
        </w:tc>
        <w:tc>
          <w:tcPr>
            <w:tcW w:w="1678" w:type="dxa"/>
            <w:noWrap/>
            <w:vAlign w:val="center"/>
            <w:hideMark/>
          </w:tcPr>
          <w:p w:rsidR="00E55A94" w:rsidRPr="00C53D09" w:rsidP="00900A63" w14:paraId="63E17D27" w14:textId="1CFC28AA">
            <w:pPr>
              <w:spacing w:after="0" w:line="240" w:lineRule="auto"/>
              <w:jc w:val="right"/>
              <w:rPr>
                <w:rFonts w:eastAsia="Times New Roman" w:cstheme="minorHAnsi"/>
                <w:color w:val="000000"/>
              </w:rPr>
            </w:pPr>
            <w:r w:rsidRPr="00C53D09">
              <w:rPr>
                <w:rFonts w:cstheme="minorHAnsi"/>
                <w:color w:val="000000"/>
              </w:rPr>
              <w:t>$7,555</w:t>
            </w:r>
          </w:p>
        </w:tc>
        <w:tc>
          <w:tcPr>
            <w:tcW w:w="1459" w:type="dxa"/>
            <w:noWrap/>
            <w:vAlign w:val="center"/>
            <w:hideMark/>
          </w:tcPr>
          <w:p w:rsidR="00E55A94" w:rsidRPr="00C53D09" w:rsidP="00900A63" w14:paraId="64A29354" w14:textId="667BCC96">
            <w:pPr>
              <w:spacing w:after="0" w:line="240" w:lineRule="auto"/>
              <w:jc w:val="right"/>
              <w:rPr>
                <w:rFonts w:eastAsia="Times New Roman" w:cstheme="minorHAnsi"/>
                <w:color w:val="000000"/>
              </w:rPr>
            </w:pPr>
            <w:r w:rsidRPr="00C53D09">
              <w:rPr>
                <w:rFonts w:cstheme="minorHAnsi"/>
                <w:color w:val="000000"/>
              </w:rPr>
              <w:t>$557</w:t>
            </w:r>
          </w:p>
        </w:tc>
        <w:tc>
          <w:tcPr>
            <w:tcW w:w="1558" w:type="dxa"/>
            <w:noWrap/>
            <w:vAlign w:val="center"/>
            <w:hideMark/>
          </w:tcPr>
          <w:p w:rsidR="00E55A94" w:rsidRPr="00C53D09" w:rsidP="00900A63" w14:paraId="4BFAF45A" w14:textId="4A9D0BDB">
            <w:pPr>
              <w:spacing w:after="0" w:line="240" w:lineRule="auto"/>
              <w:jc w:val="right"/>
              <w:rPr>
                <w:rFonts w:eastAsia="Times New Roman" w:cstheme="minorHAnsi"/>
                <w:color w:val="000000"/>
              </w:rPr>
            </w:pPr>
            <w:r w:rsidRPr="00C53D09">
              <w:rPr>
                <w:rFonts w:cstheme="minorHAnsi"/>
                <w:color w:val="000000"/>
              </w:rPr>
              <w:t>$8,111</w:t>
            </w:r>
          </w:p>
        </w:tc>
      </w:tr>
      <w:tr w14:paraId="732320CB" w14:textId="77777777" w:rsidTr="00F7740C">
        <w:tblPrEx>
          <w:tblW w:w="9820" w:type="dxa"/>
          <w:tblLook w:val="04A0"/>
        </w:tblPrEx>
        <w:tc>
          <w:tcPr>
            <w:tcW w:w="1810" w:type="dxa"/>
            <w:vAlign w:val="center"/>
            <w:hideMark/>
          </w:tcPr>
          <w:p w:rsidR="00E55A94" w:rsidRPr="00C53D09" w:rsidP="00E55A94" w14:paraId="571CE602" w14:textId="4888F61E">
            <w:pPr>
              <w:spacing w:after="0" w:line="240" w:lineRule="auto"/>
              <w:rPr>
                <w:rFonts w:eastAsia="Times New Roman" w:cstheme="minorHAnsi"/>
                <w:color w:val="000000"/>
              </w:rPr>
            </w:pPr>
            <w:r w:rsidRPr="00C53D09">
              <w:rPr>
                <w:rFonts w:cstheme="minorHAnsi"/>
                <w:color w:val="000000"/>
              </w:rPr>
              <w:t>AA. Pulp &amp; Paper Manufacturing</w:t>
            </w:r>
          </w:p>
        </w:tc>
        <w:tc>
          <w:tcPr>
            <w:tcW w:w="1604" w:type="dxa"/>
            <w:noWrap/>
            <w:vAlign w:val="center"/>
            <w:hideMark/>
          </w:tcPr>
          <w:p w:rsidR="00E55A94" w:rsidRPr="00C53D09" w:rsidP="00E55A94" w14:paraId="3AC950CB" w14:textId="1C4EBD9F">
            <w:pPr>
              <w:spacing w:after="0" w:line="240" w:lineRule="auto"/>
              <w:jc w:val="right"/>
              <w:rPr>
                <w:rFonts w:eastAsia="Times New Roman" w:cstheme="minorHAnsi"/>
                <w:color w:val="000000"/>
              </w:rPr>
            </w:pPr>
            <w:r w:rsidRPr="00C53D09">
              <w:rPr>
                <w:rFonts w:cstheme="minorHAnsi"/>
                <w:color w:val="000000"/>
              </w:rPr>
              <w:t>98</w:t>
            </w:r>
          </w:p>
        </w:tc>
        <w:tc>
          <w:tcPr>
            <w:tcW w:w="1711" w:type="dxa"/>
            <w:noWrap/>
            <w:vAlign w:val="center"/>
            <w:hideMark/>
          </w:tcPr>
          <w:p w:rsidR="00E55A94" w:rsidRPr="00C53D09" w:rsidP="00E55A94" w14:paraId="74E6A017" w14:textId="45835A82">
            <w:pPr>
              <w:spacing w:after="0" w:line="240" w:lineRule="auto"/>
              <w:jc w:val="right"/>
              <w:rPr>
                <w:rFonts w:eastAsia="Times New Roman" w:cstheme="minorHAnsi"/>
                <w:color w:val="000000"/>
              </w:rPr>
            </w:pPr>
            <w:r w:rsidRPr="00C53D09">
              <w:rPr>
                <w:rFonts w:cstheme="minorHAnsi"/>
                <w:color w:val="000000"/>
              </w:rPr>
              <w:t>2,785</w:t>
            </w:r>
          </w:p>
        </w:tc>
        <w:tc>
          <w:tcPr>
            <w:tcW w:w="1678" w:type="dxa"/>
            <w:noWrap/>
            <w:vAlign w:val="center"/>
            <w:hideMark/>
          </w:tcPr>
          <w:p w:rsidR="00E55A94" w:rsidRPr="00C53D09" w:rsidP="00900A63" w14:paraId="4E988D89" w14:textId="7CCFA4BE">
            <w:pPr>
              <w:spacing w:after="0" w:line="240" w:lineRule="auto"/>
              <w:jc w:val="right"/>
              <w:rPr>
                <w:rFonts w:eastAsia="Times New Roman" w:cstheme="minorHAnsi"/>
                <w:color w:val="000000"/>
              </w:rPr>
            </w:pPr>
            <w:r w:rsidRPr="00C53D09">
              <w:rPr>
                <w:rFonts w:cstheme="minorHAnsi"/>
                <w:color w:val="000000"/>
              </w:rPr>
              <w:t>$231,469</w:t>
            </w:r>
          </w:p>
        </w:tc>
        <w:tc>
          <w:tcPr>
            <w:tcW w:w="1459" w:type="dxa"/>
            <w:noWrap/>
            <w:vAlign w:val="center"/>
            <w:hideMark/>
          </w:tcPr>
          <w:p w:rsidR="00E55A94" w:rsidRPr="00C53D09" w:rsidP="00900A63" w14:paraId="77167B79" w14:textId="4632D318">
            <w:pPr>
              <w:spacing w:after="0" w:line="240" w:lineRule="auto"/>
              <w:jc w:val="right"/>
              <w:rPr>
                <w:rFonts w:eastAsia="Times New Roman" w:cstheme="minorHAnsi"/>
                <w:color w:val="000000"/>
              </w:rPr>
            </w:pPr>
            <w:r w:rsidRPr="00C53D09">
              <w:rPr>
                <w:rFonts w:cstheme="minorHAnsi"/>
                <w:color w:val="000000"/>
              </w:rPr>
              <w:t>$29,426</w:t>
            </w:r>
          </w:p>
        </w:tc>
        <w:tc>
          <w:tcPr>
            <w:tcW w:w="1558" w:type="dxa"/>
            <w:noWrap/>
            <w:vAlign w:val="center"/>
            <w:hideMark/>
          </w:tcPr>
          <w:p w:rsidR="00E55A94" w:rsidRPr="00C53D09" w:rsidP="00900A63" w14:paraId="348BD2CF" w14:textId="749ED31F">
            <w:pPr>
              <w:spacing w:after="0" w:line="240" w:lineRule="auto"/>
              <w:jc w:val="right"/>
              <w:rPr>
                <w:rFonts w:eastAsia="Times New Roman" w:cstheme="minorHAnsi"/>
                <w:color w:val="000000"/>
              </w:rPr>
            </w:pPr>
            <w:r w:rsidRPr="00C53D09">
              <w:rPr>
                <w:rFonts w:cstheme="minorHAnsi"/>
                <w:color w:val="000000"/>
              </w:rPr>
              <w:t>$260,894</w:t>
            </w:r>
          </w:p>
        </w:tc>
      </w:tr>
      <w:tr w14:paraId="55734D50" w14:textId="77777777" w:rsidTr="00F7740C">
        <w:tblPrEx>
          <w:tblW w:w="9820" w:type="dxa"/>
          <w:tblLook w:val="04A0"/>
        </w:tblPrEx>
        <w:tc>
          <w:tcPr>
            <w:tcW w:w="1810" w:type="dxa"/>
            <w:vAlign w:val="center"/>
            <w:hideMark/>
          </w:tcPr>
          <w:p w:rsidR="00E55A94" w:rsidRPr="00C53D09" w:rsidP="00E55A94" w14:paraId="25AE0488" w14:textId="7D345C75">
            <w:pPr>
              <w:spacing w:after="0" w:line="240" w:lineRule="auto"/>
              <w:rPr>
                <w:rFonts w:eastAsia="Times New Roman" w:cstheme="minorHAnsi"/>
                <w:color w:val="000000"/>
              </w:rPr>
            </w:pPr>
            <w:r w:rsidRPr="00C53D09">
              <w:rPr>
                <w:rFonts w:cstheme="minorHAnsi"/>
                <w:color w:val="000000"/>
              </w:rPr>
              <w:t>BB. Silicon Carbide Production</w:t>
            </w:r>
          </w:p>
        </w:tc>
        <w:tc>
          <w:tcPr>
            <w:tcW w:w="1604" w:type="dxa"/>
            <w:noWrap/>
            <w:vAlign w:val="center"/>
            <w:hideMark/>
          </w:tcPr>
          <w:p w:rsidR="00E55A94" w:rsidRPr="00C53D09" w:rsidP="00E55A94" w14:paraId="6E60627D" w14:textId="18382CEA">
            <w:pPr>
              <w:spacing w:after="0" w:line="240" w:lineRule="auto"/>
              <w:jc w:val="right"/>
              <w:rPr>
                <w:rFonts w:eastAsia="Times New Roman" w:cstheme="minorHAnsi"/>
                <w:color w:val="000000"/>
              </w:rPr>
            </w:pPr>
            <w:r w:rsidRPr="00C53D09">
              <w:rPr>
                <w:rFonts w:cstheme="minorHAnsi"/>
                <w:color w:val="000000"/>
              </w:rPr>
              <w:t>1</w:t>
            </w:r>
          </w:p>
        </w:tc>
        <w:tc>
          <w:tcPr>
            <w:tcW w:w="1711" w:type="dxa"/>
            <w:noWrap/>
            <w:vAlign w:val="center"/>
            <w:hideMark/>
          </w:tcPr>
          <w:p w:rsidR="00E55A94" w:rsidRPr="00C53D09" w:rsidP="00E55A94" w14:paraId="0B160E75" w14:textId="640B3C80">
            <w:pPr>
              <w:spacing w:after="0" w:line="240" w:lineRule="auto"/>
              <w:jc w:val="right"/>
              <w:rPr>
                <w:rFonts w:eastAsia="Times New Roman" w:cstheme="minorHAnsi"/>
                <w:color w:val="000000"/>
              </w:rPr>
            </w:pPr>
            <w:r w:rsidRPr="00C53D09">
              <w:rPr>
                <w:rFonts w:cstheme="minorHAnsi"/>
                <w:color w:val="000000"/>
              </w:rPr>
              <w:t>16</w:t>
            </w:r>
          </w:p>
        </w:tc>
        <w:tc>
          <w:tcPr>
            <w:tcW w:w="1678" w:type="dxa"/>
            <w:noWrap/>
            <w:vAlign w:val="center"/>
            <w:hideMark/>
          </w:tcPr>
          <w:p w:rsidR="00E55A94" w:rsidRPr="00C53D09" w:rsidP="00900A63" w14:paraId="68354624" w14:textId="4F7497E9">
            <w:pPr>
              <w:spacing w:after="0" w:line="240" w:lineRule="auto"/>
              <w:jc w:val="right"/>
              <w:rPr>
                <w:rFonts w:eastAsia="Times New Roman" w:cstheme="minorHAnsi"/>
                <w:color w:val="000000"/>
              </w:rPr>
            </w:pPr>
            <w:r w:rsidRPr="00C53D09">
              <w:rPr>
                <w:rFonts w:cstheme="minorHAnsi"/>
                <w:color w:val="000000"/>
              </w:rPr>
              <w:t>$1,178</w:t>
            </w:r>
          </w:p>
        </w:tc>
        <w:tc>
          <w:tcPr>
            <w:tcW w:w="1459" w:type="dxa"/>
            <w:noWrap/>
            <w:vAlign w:val="center"/>
            <w:hideMark/>
          </w:tcPr>
          <w:p w:rsidR="00E55A94" w:rsidRPr="00C53D09" w:rsidP="00900A63" w14:paraId="0707DF3A" w14:textId="30C55329">
            <w:pPr>
              <w:spacing w:after="0" w:line="240" w:lineRule="auto"/>
              <w:jc w:val="right"/>
              <w:rPr>
                <w:rFonts w:eastAsia="Times New Roman" w:cstheme="minorHAnsi"/>
                <w:color w:val="000000"/>
              </w:rPr>
            </w:pPr>
            <w:r w:rsidRPr="00C53D09">
              <w:rPr>
                <w:rFonts w:cstheme="minorHAnsi"/>
                <w:color w:val="000000"/>
              </w:rPr>
              <w:t>$285</w:t>
            </w:r>
          </w:p>
        </w:tc>
        <w:tc>
          <w:tcPr>
            <w:tcW w:w="1558" w:type="dxa"/>
            <w:noWrap/>
            <w:vAlign w:val="center"/>
            <w:hideMark/>
          </w:tcPr>
          <w:p w:rsidR="00E55A94" w:rsidRPr="00C53D09" w:rsidP="00900A63" w14:paraId="540B6D77" w14:textId="27FE5A39">
            <w:pPr>
              <w:spacing w:after="0" w:line="240" w:lineRule="auto"/>
              <w:jc w:val="right"/>
              <w:rPr>
                <w:rFonts w:eastAsia="Times New Roman" w:cstheme="minorHAnsi"/>
                <w:color w:val="000000"/>
              </w:rPr>
            </w:pPr>
            <w:r w:rsidRPr="00C53D09">
              <w:rPr>
                <w:rFonts w:cstheme="minorHAnsi"/>
                <w:color w:val="000000"/>
              </w:rPr>
              <w:t>$1,462</w:t>
            </w:r>
          </w:p>
        </w:tc>
      </w:tr>
      <w:tr w14:paraId="61FB6561" w14:textId="77777777" w:rsidTr="00F7740C">
        <w:tblPrEx>
          <w:tblW w:w="9820" w:type="dxa"/>
          <w:tblLook w:val="04A0"/>
        </w:tblPrEx>
        <w:tc>
          <w:tcPr>
            <w:tcW w:w="1810" w:type="dxa"/>
            <w:vAlign w:val="center"/>
            <w:hideMark/>
          </w:tcPr>
          <w:p w:rsidR="00E55A94" w:rsidRPr="00C53D09" w:rsidP="00E55A94" w14:paraId="4369E329" w14:textId="2D110AC9">
            <w:pPr>
              <w:spacing w:after="0" w:line="240" w:lineRule="auto"/>
              <w:rPr>
                <w:rFonts w:eastAsia="Times New Roman" w:cstheme="minorHAnsi"/>
                <w:color w:val="000000"/>
              </w:rPr>
            </w:pPr>
            <w:r w:rsidRPr="00C53D09">
              <w:rPr>
                <w:rFonts w:cstheme="minorHAnsi"/>
                <w:color w:val="000000"/>
              </w:rPr>
              <w:t>CC. Soda Ash Manufacturing</w:t>
            </w:r>
          </w:p>
        </w:tc>
        <w:tc>
          <w:tcPr>
            <w:tcW w:w="1604" w:type="dxa"/>
            <w:noWrap/>
            <w:vAlign w:val="center"/>
            <w:hideMark/>
          </w:tcPr>
          <w:p w:rsidR="00E55A94" w:rsidRPr="00C53D09" w:rsidP="00E55A94" w14:paraId="376FA225" w14:textId="435D69A2">
            <w:pPr>
              <w:spacing w:after="0" w:line="240" w:lineRule="auto"/>
              <w:jc w:val="right"/>
              <w:rPr>
                <w:rFonts w:eastAsia="Times New Roman" w:cstheme="minorHAnsi"/>
                <w:color w:val="000000"/>
              </w:rPr>
            </w:pPr>
            <w:r w:rsidRPr="00C53D09">
              <w:rPr>
                <w:rFonts w:cstheme="minorHAnsi"/>
                <w:color w:val="000000"/>
              </w:rPr>
              <w:t>4</w:t>
            </w:r>
          </w:p>
        </w:tc>
        <w:tc>
          <w:tcPr>
            <w:tcW w:w="1711" w:type="dxa"/>
            <w:noWrap/>
            <w:vAlign w:val="center"/>
            <w:hideMark/>
          </w:tcPr>
          <w:p w:rsidR="00E55A94" w:rsidRPr="00C53D09" w:rsidP="00E55A94" w14:paraId="5605FD76" w14:textId="2D93B0B7">
            <w:pPr>
              <w:spacing w:after="0" w:line="240" w:lineRule="auto"/>
              <w:jc w:val="right"/>
              <w:rPr>
                <w:rFonts w:eastAsia="Times New Roman" w:cstheme="minorHAnsi"/>
                <w:color w:val="000000"/>
              </w:rPr>
            </w:pPr>
            <w:r w:rsidRPr="00C53D09">
              <w:rPr>
                <w:rFonts w:cstheme="minorHAnsi"/>
                <w:color w:val="000000"/>
              </w:rPr>
              <w:t>37</w:t>
            </w:r>
          </w:p>
        </w:tc>
        <w:tc>
          <w:tcPr>
            <w:tcW w:w="1678" w:type="dxa"/>
            <w:noWrap/>
            <w:vAlign w:val="center"/>
            <w:hideMark/>
          </w:tcPr>
          <w:p w:rsidR="00E55A94" w:rsidRPr="00C53D09" w:rsidP="00900A63" w14:paraId="3ED988A2" w14:textId="701196A1">
            <w:pPr>
              <w:spacing w:after="0" w:line="240" w:lineRule="auto"/>
              <w:jc w:val="right"/>
              <w:rPr>
                <w:rFonts w:eastAsia="Times New Roman" w:cstheme="minorHAnsi"/>
                <w:color w:val="000000"/>
              </w:rPr>
            </w:pPr>
            <w:r w:rsidRPr="00C53D09">
              <w:rPr>
                <w:rFonts w:cstheme="minorHAnsi"/>
                <w:color w:val="000000"/>
              </w:rPr>
              <w:t>$2,855</w:t>
            </w:r>
          </w:p>
        </w:tc>
        <w:tc>
          <w:tcPr>
            <w:tcW w:w="1459" w:type="dxa"/>
            <w:noWrap/>
            <w:vAlign w:val="center"/>
            <w:hideMark/>
          </w:tcPr>
          <w:p w:rsidR="00E55A94" w:rsidRPr="00C53D09" w:rsidP="00900A63" w14:paraId="66B70787" w14:textId="5BC03731">
            <w:pPr>
              <w:spacing w:after="0" w:line="240" w:lineRule="auto"/>
              <w:jc w:val="right"/>
              <w:rPr>
                <w:rFonts w:eastAsia="Times New Roman" w:cstheme="minorHAnsi"/>
                <w:color w:val="000000"/>
              </w:rPr>
            </w:pPr>
            <w:r w:rsidRPr="00C53D09">
              <w:rPr>
                <w:rFonts w:cstheme="minorHAnsi"/>
                <w:color w:val="000000"/>
              </w:rPr>
              <w:t>$2,506</w:t>
            </w:r>
          </w:p>
        </w:tc>
        <w:tc>
          <w:tcPr>
            <w:tcW w:w="1558" w:type="dxa"/>
            <w:noWrap/>
            <w:vAlign w:val="center"/>
            <w:hideMark/>
          </w:tcPr>
          <w:p w:rsidR="00E55A94" w:rsidRPr="00C53D09" w:rsidP="00900A63" w14:paraId="16A8BA2F" w14:textId="6BEB6563">
            <w:pPr>
              <w:spacing w:after="0" w:line="240" w:lineRule="auto"/>
              <w:jc w:val="right"/>
              <w:rPr>
                <w:rFonts w:eastAsia="Times New Roman" w:cstheme="minorHAnsi"/>
                <w:color w:val="000000"/>
              </w:rPr>
            </w:pPr>
            <w:r w:rsidRPr="00C53D09">
              <w:rPr>
                <w:rFonts w:cstheme="minorHAnsi"/>
                <w:color w:val="000000"/>
              </w:rPr>
              <w:t>$5,361</w:t>
            </w:r>
          </w:p>
        </w:tc>
      </w:tr>
      <w:tr w14:paraId="7ECDBCFF" w14:textId="77777777" w:rsidTr="00F7740C">
        <w:tblPrEx>
          <w:tblW w:w="9820" w:type="dxa"/>
          <w:tblLook w:val="04A0"/>
        </w:tblPrEx>
        <w:tc>
          <w:tcPr>
            <w:tcW w:w="1810" w:type="dxa"/>
            <w:vAlign w:val="center"/>
            <w:hideMark/>
          </w:tcPr>
          <w:p w:rsidR="00E55A94" w:rsidRPr="00C53D09" w:rsidP="00E55A94" w14:paraId="046D1EF2" w14:textId="7DCBB4CB">
            <w:pPr>
              <w:spacing w:after="0" w:line="240" w:lineRule="auto"/>
              <w:rPr>
                <w:rFonts w:eastAsia="Times New Roman" w:cstheme="minorHAnsi"/>
                <w:color w:val="000000"/>
              </w:rPr>
            </w:pPr>
            <w:r w:rsidRPr="00C53D09">
              <w:rPr>
                <w:rFonts w:cstheme="minorHAnsi"/>
                <w:color w:val="000000"/>
              </w:rPr>
              <w:t>DD. Sulfur Hexafluoride (SF6) from Electric Power Systems</w:t>
            </w:r>
          </w:p>
        </w:tc>
        <w:tc>
          <w:tcPr>
            <w:tcW w:w="1604" w:type="dxa"/>
            <w:noWrap/>
            <w:vAlign w:val="center"/>
            <w:hideMark/>
          </w:tcPr>
          <w:p w:rsidR="00E55A94" w:rsidRPr="00C53D09" w:rsidP="00E55A94" w14:paraId="2C1A0EBA" w14:textId="6228DDF4">
            <w:pPr>
              <w:spacing w:after="0" w:line="240" w:lineRule="auto"/>
              <w:jc w:val="right"/>
              <w:rPr>
                <w:rFonts w:eastAsia="Times New Roman" w:cstheme="minorHAnsi"/>
                <w:color w:val="000000"/>
              </w:rPr>
            </w:pPr>
            <w:r w:rsidRPr="00C53D09">
              <w:rPr>
                <w:rFonts w:cstheme="minorHAnsi"/>
                <w:color w:val="000000"/>
              </w:rPr>
              <w:t>82</w:t>
            </w:r>
          </w:p>
        </w:tc>
        <w:tc>
          <w:tcPr>
            <w:tcW w:w="1711" w:type="dxa"/>
            <w:noWrap/>
            <w:vAlign w:val="center"/>
            <w:hideMark/>
          </w:tcPr>
          <w:p w:rsidR="00E55A94" w:rsidRPr="00C53D09" w:rsidP="00E55A94" w14:paraId="21F5F0E6" w14:textId="71FEE800">
            <w:pPr>
              <w:spacing w:after="0" w:line="240" w:lineRule="auto"/>
              <w:jc w:val="right"/>
              <w:rPr>
                <w:rFonts w:eastAsia="Times New Roman" w:cstheme="minorHAnsi"/>
                <w:color w:val="000000"/>
              </w:rPr>
            </w:pPr>
            <w:r w:rsidRPr="00C53D09">
              <w:rPr>
                <w:rFonts w:cstheme="minorHAnsi"/>
                <w:color w:val="000000"/>
              </w:rPr>
              <w:t>3,652</w:t>
            </w:r>
          </w:p>
        </w:tc>
        <w:tc>
          <w:tcPr>
            <w:tcW w:w="1678" w:type="dxa"/>
            <w:noWrap/>
            <w:vAlign w:val="center"/>
            <w:hideMark/>
          </w:tcPr>
          <w:p w:rsidR="00E55A94" w:rsidRPr="00C53D09" w:rsidP="00900A63" w14:paraId="73276DAF" w14:textId="730FF421">
            <w:pPr>
              <w:spacing w:after="0" w:line="240" w:lineRule="auto"/>
              <w:jc w:val="right"/>
              <w:rPr>
                <w:rFonts w:eastAsia="Times New Roman" w:cstheme="minorHAnsi"/>
                <w:color w:val="000000"/>
              </w:rPr>
            </w:pPr>
            <w:r w:rsidRPr="00C53D09">
              <w:rPr>
                <w:rFonts w:cstheme="minorHAnsi"/>
                <w:color w:val="000000"/>
              </w:rPr>
              <w:t>$291,184</w:t>
            </w:r>
          </w:p>
        </w:tc>
        <w:tc>
          <w:tcPr>
            <w:tcW w:w="1459" w:type="dxa"/>
            <w:noWrap/>
            <w:vAlign w:val="center"/>
            <w:hideMark/>
          </w:tcPr>
          <w:p w:rsidR="00E55A94" w:rsidRPr="00C53D09" w:rsidP="00900A63" w14:paraId="2364ED02" w14:textId="42866646">
            <w:pPr>
              <w:spacing w:after="0" w:line="240" w:lineRule="auto"/>
              <w:jc w:val="right"/>
              <w:rPr>
                <w:rFonts w:eastAsia="Times New Roman" w:cstheme="minorHAnsi"/>
                <w:color w:val="000000"/>
              </w:rPr>
            </w:pPr>
            <w:r w:rsidRPr="00C53D09">
              <w:rPr>
                <w:rFonts w:cstheme="minorHAnsi"/>
                <w:color w:val="000000"/>
              </w:rPr>
              <w:t>$130,545</w:t>
            </w:r>
          </w:p>
        </w:tc>
        <w:tc>
          <w:tcPr>
            <w:tcW w:w="1558" w:type="dxa"/>
            <w:noWrap/>
            <w:vAlign w:val="center"/>
            <w:hideMark/>
          </w:tcPr>
          <w:p w:rsidR="00E55A94" w:rsidRPr="00C53D09" w:rsidP="00900A63" w14:paraId="71E5251D" w14:textId="77390648">
            <w:pPr>
              <w:spacing w:after="0" w:line="240" w:lineRule="auto"/>
              <w:jc w:val="right"/>
              <w:rPr>
                <w:rFonts w:eastAsia="Times New Roman" w:cstheme="minorHAnsi"/>
                <w:color w:val="000000"/>
              </w:rPr>
            </w:pPr>
            <w:r w:rsidRPr="00C53D09">
              <w:rPr>
                <w:rFonts w:cstheme="minorHAnsi"/>
                <w:color w:val="000000"/>
              </w:rPr>
              <w:t>$421,729</w:t>
            </w:r>
          </w:p>
        </w:tc>
      </w:tr>
      <w:tr w14:paraId="06CE1263" w14:textId="77777777" w:rsidTr="00F7740C">
        <w:tblPrEx>
          <w:tblW w:w="9820" w:type="dxa"/>
          <w:tblLook w:val="04A0"/>
        </w:tblPrEx>
        <w:tc>
          <w:tcPr>
            <w:tcW w:w="1810" w:type="dxa"/>
            <w:vAlign w:val="center"/>
            <w:hideMark/>
          </w:tcPr>
          <w:p w:rsidR="00E55A94" w:rsidRPr="00C53D09" w:rsidP="00E55A94" w14:paraId="35D87F65" w14:textId="3040015C">
            <w:pPr>
              <w:spacing w:after="0" w:line="240" w:lineRule="auto"/>
              <w:rPr>
                <w:rFonts w:eastAsia="Times New Roman" w:cstheme="minorHAnsi"/>
                <w:color w:val="000000"/>
              </w:rPr>
            </w:pPr>
            <w:r w:rsidRPr="00C53D09">
              <w:rPr>
                <w:rFonts w:cstheme="minorHAnsi"/>
                <w:color w:val="000000"/>
              </w:rPr>
              <w:t>EE. Titanium Dioxide Production</w:t>
            </w:r>
          </w:p>
        </w:tc>
        <w:tc>
          <w:tcPr>
            <w:tcW w:w="1604" w:type="dxa"/>
            <w:noWrap/>
            <w:vAlign w:val="center"/>
            <w:hideMark/>
          </w:tcPr>
          <w:p w:rsidR="00E55A94" w:rsidRPr="00C53D09" w:rsidP="00E55A94" w14:paraId="7630DB94" w14:textId="46F45E8B">
            <w:pPr>
              <w:spacing w:after="0" w:line="240" w:lineRule="auto"/>
              <w:jc w:val="right"/>
              <w:rPr>
                <w:rFonts w:eastAsia="Times New Roman" w:cstheme="minorHAnsi"/>
                <w:color w:val="000000"/>
              </w:rPr>
            </w:pPr>
            <w:r w:rsidRPr="00C53D09">
              <w:rPr>
                <w:rFonts w:cstheme="minorHAnsi"/>
                <w:color w:val="000000"/>
              </w:rPr>
              <w:t>6</w:t>
            </w:r>
          </w:p>
        </w:tc>
        <w:tc>
          <w:tcPr>
            <w:tcW w:w="1711" w:type="dxa"/>
            <w:noWrap/>
            <w:vAlign w:val="center"/>
            <w:hideMark/>
          </w:tcPr>
          <w:p w:rsidR="00E55A94" w:rsidRPr="00C53D09" w:rsidP="00E55A94" w14:paraId="7128FFAD" w14:textId="3587EEC5">
            <w:pPr>
              <w:spacing w:after="0" w:line="240" w:lineRule="auto"/>
              <w:jc w:val="right"/>
              <w:rPr>
                <w:rFonts w:eastAsia="Times New Roman" w:cstheme="minorHAnsi"/>
                <w:color w:val="000000"/>
              </w:rPr>
            </w:pPr>
            <w:r w:rsidRPr="00C53D09">
              <w:rPr>
                <w:rFonts w:cstheme="minorHAnsi"/>
                <w:color w:val="000000"/>
              </w:rPr>
              <w:t>92</w:t>
            </w:r>
          </w:p>
        </w:tc>
        <w:tc>
          <w:tcPr>
            <w:tcW w:w="1678" w:type="dxa"/>
            <w:noWrap/>
            <w:vAlign w:val="center"/>
            <w:hideMark/>
          </w:tcPr>
          <w:p w:rsidR="00E55A94" w:rsidRPr="00C53D09" w:rsidP="00900A63" w14:paraId="4CE58303" w14:textId="2687BA48">
            <w:pPr>
              <w:spacing w:after="0" w:line="240" w:lineRule="auto"/>
              <w:jc w:val="right"/>
              <w:rPr>
                <w:rFonts w:eastAsia="Times New Roman" w:cstheme="minorHAnsi"/>
                <w:color w:val="000000"/>
              </w:rPr>
            </w:pPr>
            <w:r w:rsidRPr="00C53D09">
              <w:rPr>
                <w:rFonts w:cstheme="minorHAnsi"/>
                <w:color w:val="000000"/>
              </w:rPr>
              <w:t>$6,929</w:t>
            </w:r>
          </w:p>
        </w:tc>
        <w:tc>
          <w:tcPr>
            <w:tcW w:w="1459" w:type="dxa"/>
            <w:noWrap/>
            <w:vAlign w:val="center"/>
            <w:hideMark/>
          </w:tcPr>
          <w:p w:rsidR="00E55A94" w:rsidRPr="00C53D09" w:rsidP="00900A63" w14:paraId="784626F9" w14:textId="2D3507F6">
            <w:pPr>
              <w:spacing w:after="0" w:line="240" w:lineRule="auto"/>
              <w:jc w:val="right"/>
              <w:rPr>
                <w:rFonts w:eastAsia="Times New Roman" w:cstheme="minorHAnsi"/>
                <w:color w:val="000000"/>
              </w:rPr>
            </w:pPr>
            <w:r w:rsidRPr="00C53D09">
              <w:rPr>
                <w:rFonts w:cstheme="minorHAnsi"/>
                <w:color w:val="000000"/>
              </w:rPr>
              <w:t>$3,043</w:t>
            </w:r>
          </w:p>
        </w:tc>
        <w:tc>
          <w:tcPr>
            <w:tcW w:w="1558" w:type="dxa"/>
            <w:noWrap/>
            <w:vAlign w:val="center"/>
            <w:hideMark/>
          </w:tcPr>
          <w:p w:rsidR="00E55A94" w:rsidRPr="00C53D09" w:rsidP="00900A63" w14:paraId="36521A77" w14:textId="37EE4187">
            <w:pPr>
              <w:spacing w:after="0" w:line="240" w:lineRule="auto"/>
              <w:jc w:val="right"/>
              <w:rPr>
                <w:rFonts w:eastAsia="Times New Roman" w:cstheme="minorHAnsi"/>
                <w:color w:val="000000"/>
              </w:rPr>
            </w:pPr>
            <w:r w:rsidRPr="00C53D09">
              <w:rPr>
                <w:rFonts w:cstheme="minorHAnsi"/>
                <w:color w:val="000000"/>
              </w:rPr>
              <w:t>$9,973</w:t>
            </w:r>
          </w:p>
        </w:tc>
      </w:tr>
      <w:tr w14:paraId="59495FE5" w14:textId="77777777" w:rsidTr="00F7740C">
        <w:tblPrEx>
          <w:tblW w:w="9820" w:type="dxa"/>
          <w:tblLook w:val="04A0"/>
        </w:tblPrEx>
        <w:tc>
          <w:tcPr>
            <w:tcW w:w="1810" w:type="dxa"/>
            <w:vAlign w:val="center"/>
            <w:hideMark/>
          </w:tcPr>
          <w:p w:rsidR="00E55A94" w:rsidRPr="00C53D09" w:rsidP="00E55A94" w14:paraId="2AA41A8F" w14:textId="431112C2">
            <w:pPr>
              <w:spacing w:after="0" w:line="240" w:lineRule="auto"/>
              <w:rPr>
                <w:rFonts w:eastAsia="Times New Roman" w:cstheme="minorHAnsi"/>
                <w:color w:val="000000"/>
              </w:rPr>
            </w:pPr>
            <w:r w:rsidRPr="00C53D09">
              <w:rPr>
                <w:rFonts w:cstheme="minorHAnsi"/>
                <w:color w:val="000000"/>
              </w:rPr>
              <w:t>FF. Underground Coal Mines</w:t>
            </w:r>
          </w:p>
        </w:tc>
        <w:tc>
          <w:tcPr>
            <w:tcW w:w="1604" w:type="dxa"/>
            <w:noWrap/>
            <w:vAlign w:val="center"/>
            <w:hideMark/>
          </w:tcPr>
          <w:p w:rsidR="00E55A94" w:rsidRPr="00C53D09" w:rsidP="00E55A94" w14:paraId="15728936" w14:textId="6226DD71">
            <w:pPr>
              <w:spacing w:after="0" w:line="240" w:lineRule="auto"/>
              <w:jc w:val="right"/>
              <w:rPr>
                <w:rFonts w:eastAsia="Times New Roman" w:cstheme="minorHAnsi"/>
                <w:color w:val="000000"/>
              </w:rPr>
            </w:pPr>
            <w:r w:rsidRPr="00C53D09">
              <w:rPr>
                <w:rFonts w:cstheme="minorHAnsi"/>
                <w:color w:val="000000"/>
              </w:rPr>
              <w:t>58</w:t>
            </w:r>
          </w:p>
        </w:tc>
        <w:tc>
          <w:tcPr>
            <w:tcW w:w="1711" w:type="dxa"/>
            <w:noWrap/>
            <w:vAlign w:val="center"/>
            <w:hideMark/>
          </w:tcPr>
          <w:p w:rsidR="00E55A94" w:rsidRPr="00C53D09" w:rsidP="00E55A94" w14:paraId="27B6D05F" w14:textId="08B5CE6E">
            <w:pPr>
              <w:spacing w:after="0" w:line="240" w:lineRule="auto"/>
              <w:jc w:val="right"/>
              <w:rPr>
                <w:rFonts w:eastAsia="Times New Roman" w:cstheme="minorHAnsi"/>
                <w:color w:val="000000"/>
              </w:rPr>
            </w:pPr>
            <w:r w:rsidRPr="00C53D09">
              <w:rPr>
                <w:rFonts w:cstheme="minorHAnsi"/>
                <w:color w:val="000000"/>
              </w:rPr>
              <w:t>4,023</w:t>
            </w:r>
          </w:p>
        </w:tc>
        <w:tc>
          <w:tcPr>
            <w:tcW w:w="1678" w:type="dxa"/>
            <w:noWrap/>
            <w:vAlign w:val="center"/>
            <w:hideMark/>
          </w:tcPr>
          <w:p w:rsidR="00E55A94" w:rsidRPr="00C53D09" w:rsidP="00900A63" w14:paraId="2B649D5C" w14:textId="2AB54541">
            <w:pPr>
              <w:spacing w:after="0" w:line="240" w:lineRule="auto"/>
              <w:jc w:val="right"/>
              <w:rPr>
                <w:rFonts w:eastAsia="Times New Roman" w:cstheme="minorHAnsi"/>
                <w:color w:val="000000"/>
              </w:rPr>
            </w:pPr>
            <w:r w:rsidRPr="00C53D09">
              <w:rPr>
                <w:rFonts w:cstheme="minorHAnsi"/>
                <w:color w:val="000000"/>
              </w:rPr>
              <w:t>$329,186</w:t>
            </w:r>
          </w:p>
        </w:tc>
        <w:tc>
          <w:tcPr>
            <w:tcW w:w="1459" w:type="dxa"/>
            <w:noWrap/>
            <w:vAlign w:val="center"/>
            <w:hideMark/>
          </w:tcPr>
          <w:p w:rsidR="00E55A94" w:rsidRPr="00C53D09" w:rsidP="00900A63" w14:paraId="64CFF8A8" w14:textId="21C5358D">
            <w:pPr>
              <w:spacing w:after="0" w:line="240" w:lineRule="auto"/>
              <w:jc w:val="right"/>
              <w:rPr>
                <w:rFonts w:eastAsia="Times New Roman" w:cstheme="minorHAnsi"/>
                <w:color w:val="000000"/>
              </w:rPr>
            </w:pPr>
            <w:r w:rsidRPr="00C53D09">
              <w:rPr>
                <w:rFonts w:cstheme="minorHAnsi"/>
                <w:color w:val="000000"/>
              </w:rPr>
              <w:t>$55,429</w:t>
            </w:r>
          </w:p>
        </w:tc>
        <w:tc>
          <w:tcPr>
            <w:tcW w:w="1558" w:type="dxa"/>
            <w:noWrap/>
            <w:vAlign w:val="center"/>
            <w:hideMark/>
          </w:tcPr>
          <w:p w:rsidR="00E55A94" w:rsidRPr="00C53D09" w:rsidP="00900A63" w14:paraId="19833307" w14:textId="24FACD84">
            <w:pPr>
              <w:spacing w:after="0" w:line="240" w:lineRule="auto"/>
              <w:jc w:val="right"/>
              <w:rPr>
                <w:rFonts w:eastAsia="Times New Roman" w:cstheme="minorHAnsi"/>
                <w:color w:val="000000"/>
              </w:rPr>
            </w:pPr>
            <w:r w:rsidRPr="00C53D09">
              <w:rPr>
                <w:rFonts w:cstheme="minorHAnsi"/>
                <w:color w:val="000000"/>
              </w:rPr>
              <w:t>$384,615</w:t>
            </w:r>
          </w:p>
        </w:tc>
      </w:tr>
      <w:tr w14:paraId="4E120B71" w14:textId="77777777" w:rsidTr="00F7740C">
        <w:tblPrEx>
          <w:tblW w:w="9820" w:type="dxa"/>
          <w:tblLook w:val="04A0"/>
        </w:tblPrEx>
        <w:tc>
          <w:tcPr>
            <w:tcW w:w="1810" w:type="dxa"/>
            <w:vAlign w:val="center"/>
            <w:hideMark/>
          </w:tcPr>
          <w:p w:rsidR="00E55A94" w:rsidRPr="00C53D09" w:rsidP="00E55A94" w14:paraId="6EF0B18D" w14:textId="486887D6">
            <w:pPr>
              <w:spacing w:after="0" w:line="240" w:lineRule="auto"/>
              <w:rPr>
                <w:rFonts w:eastAsia="Times New Roman" w:cstheme="minorHAnsi"/>
                <w:color w:val="000000"/>
              </w:rPr>
            </w:pPr>
            <w:r w:rsidRPr="00C53D09">
              <w:rPr>
                <w:rFonts w:cstheme="minorHAnsi"/>
                <w:color w:val="000000"/>
              </w:rPr>
              <w:t>GG. Zinc Production</w:t>
            </w:r>
          </w:p>
        </w:tc>
        <w:tc>
          <w:tcPr>
            <w:tcW w:w="1604" w:type="dxa"/>
            <w:noWrap/>
            <w:vAlign w:val="center"/>
            <w:hideMark/>
          </w:tcPr>
          <w:p w:rsidR="00E55A94" w:rsidRPr="00C53D09" w:rsidP="00E55A94" w14:paraId="602E8A17" w14:textId="665269EF">
            <w:pPr>
              <w:spacing w:after="0" w:line="240" w:lineRule="auto"/>
              <w:jc w:val="right"/>
              <w:rPr>
                <w:rFonts w:eastAsia="Times New Roman" w:cstheme="minorHAnsi"/>
                <w:color w:val="000000"/>
              </w:rPr>
            </w:pPr>
            <w:r w:rsidRPr="00C53D09">
              <w:rPr>
                <w:rFonts w:cstheme="minorHAnsi"/>
                <w:color w:val="000000"/>
              </w:rPr>
              <w:t>6</w:t>
            </w:r>
          </w:p>
        </w:tc>
        <w:tc>
          <w:tcPr>
            <w:tcW w:w="1711" w:type="dxa"/>
            <w:noWrap/>
            <w:vAlign w:val="center"/>
            <w:hideMark/>
          </w:tcPr>
          <w:p w:rsidR="00E55A94" w:rsidRPr="00C53D09" w:rsidP="00E55A94" w14:paraId="03F05866" w14:textId="3D34DCCE">
            <w:pPr>
              <w:spacing w:after="0" w:line="240" w:lineRule="auto"/>
              <w:jc w:val="right"/>
              <w:rPr>
                <w:rFonts w:eastAsia="Times New Roman" w:cstheme="minorHAnsi"/>
                <w:color w:val="000000"/>
              </w:rPr>
            </w:pPr>
            <w:r w:rsidRPr="00C53D09">
              <w:rPr>
                <w:rFonts w:cstheme="minorHAnsi"/>
                <w:color w:val="000000"/>
              </w:rPr>
              <w:t>191</w:t>
            </w:r>
          </w:p>
        </w:tc>
        <w:tc>
          <w:tcPr>
            <w:tcW w:w="1678" w:type="dxa"/>
            <w:noWrap/>
            <w:vAlign w:val="center"/>
            <w:hideMark/>
          </w:tcPr>
          <w:p w:rsidR="00E55A94" w:rsidRPr="00C53D09" w:rsidP="00900A63" w14:paraId="367BF821" w14:textId="729D1603">
            <w:pPr>
              <w:spacing w:after="0" w:line="240" w:lineRule="auto"/>
              <w:jc w:val="right"/>
              <w:rPr>
                <w:rFonts w:eastAsia="Times New Roman" w:cstheme="minorHAnsi"/>
                <w:color w:val="000000"/>
              </w:rPr>
            </w:pPr>
            <w:r w:rsidRPr="00C53D09">
              <w:rPr>
                <w:rFonts w:cstheme="minorHAnsi"/>
                <w:color w:val="000000"/>
              </w:rPr>
              <w:t>$16,122</w:t>
            </w:r>
          </w:p>
        </w:tc>
        <w:tc>
          <w:tcPr>
            <w:tcW w:w="1459" w:type="dxa"/>
            <w:noWrap/>
            <w:vAlign w:val="center"/>
            <w:hideMark/>
          </w:tcPr>
          <w:p w:rsidR="00E55A94" w:rsidRPr="00C53D09" w:rsidP="00900A63" w14:paraId="675BCE68" w14:textId="4B905F60">
            <w:pPr>
              <w:spacing w:after="0" w:line="240" w:lineRule="auto"/>
              <w:jc w:val="right"/>
              <w:rPr>
                <w:rFonts w:eastAsia="Times New Roman" w:cstheme="minorHAnsi"/>
                <w:color w:val="000000"/>
              </w:rPr>
            </w:pPr>
            <w:r w:rsidRPr="00C53D09">
              <w:rPr>
                <w:rFonts w:cstheme="minorHAnsi"/>
                <w:color w:val="000000"/>
              </w:rPr>
              <w:t>$10,438</w:t>
            </w:r>
          </w:p>
        </w:tc>
        <w:tc>
          <w:tcPr>
            <w:tcW w:w="1558" w:type="dxa"/>
            <w:noWrap/>
            <w:vAlign w:val="center"/>
            <w:hideMark/>
          </w:tcPr>
          <w:p w:rsidR="00E55A94" w:rsidRPr="00C53D09" w:rsidP="00900A63" w14:paraId="480A4BFD" w14:textId="4898567E">
            <w:pPr>
              <w:spacing w:after="0" w:line="240" w:lineRule="auto"/>
              <w:jc w:val="right"/>
              <w:rPr>
                <w:rFonts w:eastAsia="Times New Roman" w:cstheme="minorHAnsi"/>
                <w:color w:val="000000"/>
              </w:rPr>
            </w:pPr>
            <w:r w:rsidRPr="00C53D09">
              <w:rPr>
                <w:rFonts w:cstheme="minorHAnsi"/>
                <w:color w:val="000000"/>
              </w:rPr>
              <w:t>$26,561</w:t>
            </w:r>
          </w:p>
        </w:tc>
      </w:tr>
      <w:tr w14:paraId="538EC6E4" w14:textId="77777777" w:rsidTr="00F7740C">
        <w:tblPrEx>
          <w:tblW w:w="9820" w:type="dxa"/>
          <w:tblLook w:val="04A0"/>
        </w:tblPrEx>
        <w:tc>
          <w:tcPr>
            <w:tcW w:w="1810" w:type="dxa"/>
            <w:vAlign w:val="center"/>
            <w:hideMark/>
          </w:tcPr>
          <w:p w:rsidR="00E55A94" w:rsidRPr="00C53D09" w:rsidP="00E55A94" w14:paraId="254DC26C" w14:textId="179AC5B6">
            <w:pPr>
              <w:spacing w:after="0" w:line="240" w:lineRule="auto"/>
              <w:rPr>
                <w:rFonts w:eastAsia="Times New Roman" w:cstheme="minorHAnsi"/>
                <w:color w:val="000000"/>
              </w:rPr>
            </w:pPr>
            <w:r w:rsidRPr="00C53D09">
              <w:rPr>
                <w:rFonts w:cstheme="minorHAnsi"/>
                <w:color w:val="000000"/>
              </w:rPr>
              <w:t>HH. Landfills</w:t>
            </w:r>
          </w:p>
        </w:tc>
        <w:tc>
          <w:tcPr>
            <w:tcW w:w="1604" w:type="dxa"/>
            <w:noWrap/>
            <w:vAlign w:val="center"/>
            <w:hideMark/>
          </w:tcPr>
          <w:p w:rsidR="00E55A94" w:rsidRPr="00C53D09" w:rsidP="00E55A94" w14:paraId="3181A0DF" w14:textId="30F8FF58">
            <w:pPr>
              <w:spacing w:after="0" w:line="240" w:lineRule="auto"/>
              <w:jc w:val="right"/>
              <w:rPr>
                <w:rFonts w:eastAsia="Times New Roman" w:cstheme="minorHAnsi"/>
                <w:color w:val="000000"/>
              </w:rPr>
            </w:pPr>
            <w:r w:rsidRPr="00C53D09">
              <w:rPr>
                <w:rFonts w:cstheme="minorHAnsi"/>
                <w:color w:val="000000"/>
              </w:rPr>
              <w:t>1,131</w:t>
            </w:r>
          </w:p>
        </w:tc>
        <w:tc>
          <w:tcPr>
            <w:tcW w:w="1711" w:type="dxa"/>
            <w:noWrap/>
            <w:vAlign w:val="center"/>
            <w:hideMark/>
          </w:tcPr>
          <w:p w:rsidR="00E55A94" w:rsidRPr="00C53D09" w:rsidP="00E55A94" w14:paraId="78889FB8" w14:textId="5A586BC2">
            <w:pPr>
              <w:spacing w:after="0" w:line="240" w:lineRule="auto"/>
              <w:jc w:val="right"/>
              <w:rPr>
                <w:rFonts w:eastAsia="Times New Roman" w:cstheme="minorHAnsi"/>
                <w:color w:val="000000"/>
              </w:rPr>
            </w:pPr>
            <w:r w:rsidRPr="00C53D09">
              <w:rPr>
                <w:rFonts w:cstheme="minorHAnsi"/>
                <w:color w:val="000000"/>
              </w:rPr>
              <w:t>74,147</w:t>
            </w:r>
          </w:p>
        </w:tc>
        <w:tc>
          <w:tcPr>
            <w:tcW w:w="1678" w:type="dxa"/>
            <w:noWrap/>
            <w:vAlign w:val="center"/>
            <w:hideMark/>
          </w:tcPr>
          <w:p w:rsidR="00E55A94" w:rsidRPr="00C53D09" w:rsidP="00900A63" w14:paraId="2C6453A6" w14:textId="4AE32097">
            <w:pPr>
              <w:spacing w:after="0" w:line="240" w:lineRule="auto"/>
              <w:jc w:val="right"/>
              <w:rPr>
                <w:rFonts w:eastAsia="Times New Roman" w:cstheme="minorHAnsi"/>
                <w:color w:val="000000"/>
              </w:rPr>
            </w:pPr>
            <w:r w:rsidRPr="00C53D09">
              <w:rPr>
                <w:rFonts w:cstheme="minorHAnsi"/>
                <w:color w:val="000000"/>
              </w:rPr>
              <w:t>$5,969,330</w:t>
            </w:r>
          </w:p>
        </w:tc>
        <w:tc>
          <w:tcPr>
            <w:tcW w:w="1459" w:type="dxa"/>
            <w:noWrap/>
            <w:vAlign w:val="center"/>
            <w:hideMark/>
          </w:tcPr>
          <w:p w:rsidR="00E55A94" w:rsidRPr="00C53D09" w:rsidP="00900A63" w14:paraId="6A4C9BAA" w14:textId="14380611">
            <w:pPr>
              <w:spacing w:after="0" w:line="240" w:lineRule="auto"/>
              <w:jc w:val="right"/>
              <w:rPr>
                <w:rFonts w:eastAsia="Times New Roman" w:cstheme="minorHAnsi"/>
                <w:color w:val="000000"/>
              </w:rPr>
            </w:pPr>
            <w:r w:rsidRPr="00C53D09">
              <w:rPr>
                <w:rFonts w:cstheme="minorHAnsi"/>
                <w:color w:val="000000"/>
              </w:rPr>
              <w:t>$2,243,666</w:t>
            </w:r>
          </w:p>
        </w:tc>
        <w:tc>
          <w:tcPr>
            <w:tcW w:w="1558" w:type="dxa"/>
            <w:noWrap/>
            <w:vAlign w:val="center"/>
            <w:hideMark/>
          </w:tcPr>
          <w:p w:rsidR="00E55A94" w:rsidRPr="00C53D09" w:rsidP="00900A63" w14:paraId="17FCAD3D" w14:textId="69A82F02">
            <w:pPr>
              <w:spacing w:after="0" w:line="240" w:lineRule="auto"/>
              <w:jc w:val="right"/>
              <w:rPr>
                <w:rFonts w:eastAsia="Times New Roman" w:cstheme="minorHAnsi"/>
                <w:color w:val="000000"/>
              </w:rPr>
            </w:pPr>
            <w:r w:rsidRPr="00C53D09">
              <w:rPr>
                <w:rFonts w:cstheme="minorHAnsi"/>
                <w:color w:val="000000"/>
              </w:rPr>
              <w:t>$8,212,996</w:t>
            </w:r>
          </w:p>
        </w:tc>
      </w:tr>
      <w:tr w14:paraId="19ED6F1A" w14:textId="77777777" w:rsidTr="00F7740C">
        <w:tblPrEx>
          <w:tblW w:w="9820" w:type="dxa"/>
          <w:tblLook w:val="04A0"/>
        </w:tblPrEx>
        <w:tc>
          <w:tcPr>
            <w:tcW w:w="1810" w:type="dxa"/>
            <w:vAlign w:val="center"/>
            <w:hideMark/>
          </w:tcPr>
          <w:p w:rsidR="00E55A94" w:rsidRPr="00C53D09" w:rsidP="00E55A94" w14:paraId="2770E87B" w14:textId="4A338BE6">
            <w:pPr>
              <w:spacing w:after="0" w:line="240" w:lineRule="auto"/>
              <w:rPr>
                <w:rFonts w:eastAsia="Times New Roman" w:cstheme="minorHAnsi"/>
                <w:color w:val="000000"/>
              </w:rPr>
            </w:pPr>
            <w:r w:rsidRPr="00C53D09">
              <w:rPr>
                <w:rFonts w:cstheme="minorHAnsi"/>
                <w:color w:val="000000"/>
              </w:rPr>
              <w:t>II. Wastewater</w:t>
            </w:r>
          </w:p>
        </w:tc>
        <w:tc>
          <w:tcPr>
            <w:tcW w:w="1604" w:type="dxa"/>
            <w:noWrap/>
            <w:vAlign w:val="center"/>
            <w:hideMark/>
          </w:tcPr>
          <w:p w:rsidR="00E55A94" w:rsidRPr="00C53D09" w:rsidP="00E55A94" w14:paraId="7FD81300" w14:textId="052A72B9">
            <w:pPr>
              <w:spacing w:after="0" w:line="240" w:lineRule="auto"/>
              <w:jc w:val="right"/>
              <w:rPr>
                <w:rFonts w:eastAsia="Times New Roman" w:cstheme="minorHAnsi"/>
                <w:color w:val="000000"/>
              </w:rPr>
            </w:pPr>
            <w:r w:rsidRPr="00C53D09">
              <w:rPr>
                <w:rFonts w:cstheme="minorHAnsi"/>
                <w:color w:val="000000"/>
              </w:rPr>
              <w:t>120</w:t>
            </w:r>
          </w:p>
        </w:tc>
        <w:tc>
          <w:tcPr>
            <w:tcW w:w="1711" w:type="dxa"/>
            <w:noWrap/>
            <w:vAlign w:val="center"/>
            <w:hideMark/>
          </w:tcPr>
          <w:p w:rsidR="00E55A94" w:rsidRPr="00C53D09" w:rsidP="00E55A94" w14:paraId="4948BCA2" w14:textId="6ADA6F10">
            <w:pPr>
              <w:spacing w:after="0" w:line="240" w:lineRule="auto"/>
              <w:jc w:val="right"/>
              <w:rPr>
                <w:rFonts w:eastAsia="Times New Roman" w:cstheme="minorHAnsi"/>
                <w:color w:val="000000"/>
              </w:rPr>
            </w:pPr>
            <w:r w:rsidRPr="00C53D09">
              <w:rPr>
                <w:rFonts w:cstheme="minorHAnsi"/>
                <w:color w:val="000000"/>
              </w:rPr>
              <w:t>3,841</w:t>
            </w:r>
          </w:p>
        </w:tc>
        <w:tc>
          <w:tcPr>
            <w:tcW w:w="1678" w:type="dxa"/>
            <w:noWrap/>
            <w:vAlign w:val="center"/>
            <w:hideMark/>
          </w:tcPr>
          <w:p w:rsidR="00E55A94" w:rsidRPr="00C53D09" w:rsidP="00900A63" w14:paraId="0679693F" w14:textId="195D7B84">
            <w:pPr>
              <w:spacing w:after="0" w:line="240" w:lineRule="auto"/>
              <w:jc w:val="right"/>
              <w:rPr>
                <w:rFonts w:eastAsia="Times New Roman" w:cstheme="minorHAnsi"/>
                <w:color w:val="000000"/>
              </w:rPr>
            </w:pPr>
            <w:r w:rsidRPr="00C53D09">
              <w:rPr>
                <w:rFonts w:cstheme="minorHAnsi"/>
                <w:color w:val="000000"/>
              </w:rPr>
              <w:t>$322,374</w:t>
            </w:r>
          </w:p>
        </w:tc>
        <w:tc>
          <w:tcPr>
            <w:tcW w:w="1459" w:type="dxa"/>
            <w:noWrap/>
            <w:vAlign w:val="center"/>
            <w:hideMark/>
          </w:tcPr>
          <w:p w:rsidR="00E55A94" w:rsidRPr="00C53D09" w:rsidP="00900A63" w14:paraId="4CD189E0" w14:textId="7B4990AA">
            <w:pPr>
              <w:spacing w:after="0" w:line="240" w:lineRule="auto"/>
              <w:jc w:val="right"/>
              <w:rPr>
                <w:rFonts w:eastAsia="Times New Roman" w:cstheme="minorHAnsi"/>
                <w:color w:val="000000"/>
              </w:rPr>
            </w:pPr>
            <w:r w:rsidRPr="00C53D09">
              <w:rPr>
                <w:rFonts w:cstheme="minorHAnsi"/>
                <w:color w:val="000000"/>
              </w:rPr>
              <w:t>$186,768</w:t>
            </w:r>
          </w:p>
        </w:tc>
        <w:tc>
          <w:tcPr>
            <w:tcW w:w="1558" w:type="dxa"/>
            <w:noWrap/>
            <w:vAlign w:val="center"/>
            <w:hideMark/>
          </w:tcPr>
          <w:p w:rsidR="00E55A94" w:rsidRPr="00C53D09" w:rsidP="00900A63" w14:paraId="1DA339CF" w14:textId="39537E34">
            <w:pPr>
              <w:spacing w:after="0" w:line="240" w:lineRule="auto"/>
              <w:jc w:val="right"/>
              <w:rPr>
                <w:rFonts w:eastAsia="Times New Roman" w:cstheme="minorHAnsi"/>
                <w:color w:val="000000"/>
              </w:rPr>
            </w:pPr>
            <w:r w:rsidRPr="00C53D09">
              <w:rPr>
                <w:rFonts w:cstheme="minorHAnsi"/>
                <w:color w:val="000000"/>
              </w:rPr>
              <w:t>$509,142</w:t>
            </w:r>
          </w:p>
        </w:tc>
      </w:tr>
      <w:tr w14:paraId="01D18705" w14:textId="77777777" w:rsidTr="00F7740C">
        <w:tblPrEx>
          <w:tblW w:w="9820" w:type="dxa"/>
          <w:tblLook w:val="04A0"/>
        </w:tblPrEx>
        <w:tc>
          <w:tcPr>
            <w:tcW w:w="1810" w:type="dxa"/>
            <w:vAlign w:val="center"/>
            <w:hideMark/>
          </w:tcPr>
          <w:p w:rsidR="00E55A94" w:rsidRPr="00C53D09" w:rsidP="00E55A94" w14:paraId="44CBF510" w14:textId="6226FEAD">
            <w:pPr>
              <w:spacing w:after="0" w:line="240" w:lineRule="auto"/>
              <w:rPr>
                <w:rFonts w:eastAsia="Times New Roman" w:cstheme="minorHAnsi"/>
                <w:color w:val="000000"/>
              </w:rPr>
            </w:pPr>
            <w:r w:rsidRPr="00C53D09">
              <w:rPr>
                <w:rFonts w:cstheme="minorHAnsi"/>
                <w:color w:val="000000"/>
              </w:rPr>
              <w:t>LL. Suppliers of Coal-based Liquid Fuels</w:t>
            </w:r>
          </w:p>
        </w:tc>
        <w:tc>
          <w:tcPr>
            <w:tcW w:w="1604" w:type="dxa"/>
            <w:noWrap/>
            <w:vAlign w:val="center"/>
            <w:hideMark/>
          </w:tcPr>
          <w:p w:rsidR="00E55A94" w:rsidRPr="00C53D09" w:rsidP="00E55A94" w14:paraId="15C07BD6" w14:textId="17C9F655">
            <w:pPr>
              <w:spacing w:after="0" w:line="240" w:lineRule="auto"/>
              <w:jc w:val="right"/>
              <w:rPr>
                <w:rFonts w:eastAsia="Times New Roman" w:cstheme="minorHAnsi"/>
                <w:color w:val="000000"/>
              </w:rPr>
            </w:pPr>
            <w:r w:rsidRPr="00C53D09">
              <w:rPr>
                <w:rFonts w:cstheme="minorHAnsi"/>
                <w:color w:val="000000"/>
              </w:rPr>
              <w:t>1</w:t>
            </w:r>
          </w:p>
        </w:tc>
        <w:tc>
          <w:tcPr>
            <w:tcW w:w="1711" w:type="dxa"/>
            <w:noWrap/>
            <w:vAlign w:val="center"/>
            <w:hideMark/>
          </w:tcPr>
          <w:p w:rsidR="00E55A94" w:rsidRPr="00C53D09" w:rsidP="00E55A94" w14:paraId="73F0C462" w14:textId="0FE85F8A">
            <w:pPr>
              <w:spacing w:after="0" w:line="240" w:lineRule="auto"/>
              <w:jc w:val="right"/>
              <w:rPr>
                <w:rFonts w:eastAsia="Times New Roman" w:cstheme="minorHAnsi"/>
                <w:color w:val="000000"/>
              </w:rPr>
            </w:pPr>
            <w:r w:rsidRPr="00C53D09">
              <w:rPr>
                <w:rFonts w:cstheme="minorHAnsi"/>
                <w:color w:val="000000"/>
              </w:rPr>
              <w:t>22</w:t>
            </w:r>
          </w:p>
        </w:tc>
        <w:tc>
          <w:tcPr>
            <w:tcW w:w="1678" w:type="dxa"/>
            <w:noWrap/>
            <w:vAlign w:val="center"/>
            <w:hideMark/>
          </w:tcPr>
          <w:p w:rsidR="00E55A94" w:rsidRPr="00C53D09" w:rsidP="00900A63" w14:paraId="76AAC72E" w14:textId="27FC577B">
            <w:pPr>
              <w:spacing w:after="0" w:line="240" w:lineRule="auto"/>
              <w:jc w:val="right"/>
              <w:rPr>
                <w:rFonts w:eastAsia="Times New Roman" w:cstheme="minorHAnsi"/>
                <w:color w:val="000000"/>
              </w:rPr>
            </w:pPr>
            <w:r w:rsidRPr="00C53D09">
              <w:rPr>
                <w:rFonts w:cstheme="minorHAnsi"/>
                <w:color w:val="000000"/>
              </w:rPr>
              <w:t>$1,824</w:t>
            </w:r>
          </w:p>
        </w:tc>
        <w:tc>
          <w:tcPr>
            <w:tcW w:w="1459" w:type="dxa"/>
            <w:noWrap/>
            <w:vAlign w:val="center"/>
            <w:hideMark/>
          </w:tcPr>
          <w:p w:rsidR="00E55A94" w:rsidRPr="00C53D09" w:rsidP="00900A63" w14:paraId="1BD35D55" w14:textId="33670A6A">
            <w:pPr>
              <w:spacing w:after="0" w:line="240" w:lineRule="auto"/>
              <w:jc w:val="right"/>
              <w:rPr>
                <w:rFonts w:eastAsia="Times New Roman" w:cstheme="minorHAnsi"/>
                <w:color w:val="000000"/>
              </w:rPr>
            </w:pPr>
            <w:r w:rsidRPr="00C53D09">
              <w:rPr>
                <w:rFonts w:cstheme="minorHAnsi"/>
                <w:color w:val="000000"/>
              </w:rPr>
              <w:t>$62</w:t>
            </w:r>
          </w:p>
        </w:tc>
        <w:tc>
          <w:tcPr>
            <w:tcW w:w="1558" w:type="dxa"/>
            <w:noWrap/>
            <w:vAlign w:val="center"/>
            <w:hideMark/>
          </w:tcPr>
          <w:p w:rsidR="00E55A94" w:rsidRPr="00C53D09" w:rsidP="00900A63" w14:paraId="16B03AEE" w14:textId="1BCCB8BE">
            <w:pPr>
              <w:spacing w:after="0" w:line="240" w:lineRule="auto"/>
              <w:jc w:val="right"/>
              <w:rPr>
                <w:rFonts w:eastAsia="Times New Roman" w:cstheme="minorHAnsi"/>
                <w:color w:val="000000"/>
              </w:rPr>
            </w:pPr>
            <w:r w:rsidRPr="00C53D09">
              <w:rPr>
                <w:rFonts w:cstheme="minorHAnsi"/>
                <w:color w:val="000000"/>
              </w:rPr>
              <w:t>$1,886</w:t>
            </w:r>
          </w:p>
        </w:tc>
      </w:tr>
      <w:tr w14:paraId="77C1E309" w14:textId="77777777" w:rsidTr="00F7740C">
        <w:tblPrEx>
          <w:tblW w:w="9820" w:type="dxa"/>
          <w:tblLook w:val="04A0"/>
        </w:tblPrEx>
        <w:tc>
          <w:tcPr>
            <w:tcW w:w="1810" w:type="dxa"/>
            <w:vAlign w:val="center"/>
            <w:hideMark/>
          </w:tcPr>
          <w:p w:rsidR="00E55A94" w:rsidRPr="00C53D09" w:rsidP="00E55A94" w14:paraId="5E357407" w14:textId="1FA9A88A">
            <w:pPr>
              <w:spacing w:after="0" w:line="240" w:lineRule="auto"/>
              <w:rPr>
                <w:rFonts w:eastAsia="Times New Roman" w:cstheme="minorHAnsi"/>
                <w:color w:val="000000"/>
              </w:rPr>
            </w:pPr>
            <w:r w:rsidRPr="00C53D09">
              <w:rPr>
                <w:rFonts w:cstheme="minorHAnsi"/>
                <w:color w:val="000000"/>
              </w:rPr>
              <w:t>MM. Suppliers of Petrol. Prod</w:t>
            </w:r>
            <w:r w:rsidR="00302C61">
              <w:rPr>
                <w:rFonts w:cstheme="minorHAnsi"/>
                <w:color w:val="000000"/>
              </w:rPr>
              <w:t>uction</w:t>
            </w:r>
          </w:p>
        </w:tc>
        <w:tc>
          <w:tcPr>
            <w:tcW w:w="1604" w:type="dxa"/>
            <w:noWrap/>
            <w:vAlign w:val="center"/>
            <w:hideMark/>
          </w:tcPr>
          <w:p w:rsidR="00E55A94" w:rsidRPr="00C53D09" w:rsidP="00E55A94" w14:paraId="795880BD" w14:textId="28EAB95D">
            <w:pPr>
              <w:spacing w:after="0" w:line="240" w:lineRule="auto"/>
              <w:jc w:val="right"/>
              <w:rPr>
                <w:rFonts w:eastAsia="Times New Roman" w:cstheme="minorHAnsi"/>
                <w:color w:val="000000"/>
              </w:rPr>
            </w:pPr>
            <w:r w:rsidRPr="00C53D09">
              <w:rPr>
                <w:rFonts w:cstheme="minorHAnsi"/>
                <w:color w:val="000000"/>
              </w:rPr>
              <w:t>274</w:t>
            </w:r>
          </w:p>
        </w:tc>
        <w:tc>
          <w:tcPr>
            <w:tcW w:w="1711" w:type="dxa"/>
            <w:noWrap/>
            <w:vAlign w:val="center"/>
            <w:hideMark/>
          </w:tcPr>
          <w:p w:rsidR="00E55A94" w:rsidRPr="00C53D09" w:rsidP="00E55A94" w14:paraId="6CA400D9" w14:textId="5CB35308">
            <w:pPr>
              <w:spacing w:after="0" w:line="240" w:lineRule="auto"/>
              <w:jc w:val="right"/>
              <w:rPr>
                <w:rFonts w:eastAsia="Times New Roman" w:cstheme="minorHAnsi"/>
                <w:color w:val="000000"/>
              </w:rPr>
            </w:pPr>
            <w:r w:rsidRPr="00C53D09">
              <w:rPr>
                <w:rFonts w:cstheme="minorHAnsi"/>
                <w:color w:val="000000"/>
              </w:rPr>
              <w:t>10,576</w:t>
            </w:r>
          </w:p>
        </w:tc>
        <w:tc>
          <w:tcPr>
            <w:tcW w:w="1678" w:type="dxa"/>
            <w:noWrap/>
            <w:vAlign w:val="center"/>
            <w:hideMark/>
          </w:tcPr>
          <w:p w:rsidR="00E55A94" w:rsidRPr="00C53D09" w:rsidP="00900A63" w14:paraId="6AC17D50" w14:textId="54A49A82">
            <w:pPr>
              <w:spacing w:after="0" w:line="240" w:lineRule="auto"/>
              <w:jc w:val="right"/>
              <w:rPr>
                <w:rFonts w:eastAsia="Times New Roman" w:cstheme="minorHAnsi"/>
                <w:color w:val="000000"/>
              </w:rPr>
            </w:pPr>
            <w:r w:rsidRPr="00C53D09">
              <w:rPr>
                <w:rFonts w:cstheme="minorHAnsi"/>
                <w:color w:val="000000"/>
              </w:rPr>
              <w:t>$876,515</w:t>
            </w:r>
          </w:p>
        </w:tc>
        <w:tc>
          <w:tcPr>
            <w:tcW w:w="1459" w:type="dxa"/>
            <w:noWrap/>
            <w:vAlign w:val="center"/>
            <w:hideMark/>
          </w:tcPr>
          <w:p w:rsidR="00E55A94" w:rsidRPr="00C53D09" w:rsidP="00900A63" w14:paraId="17600B34" w14:textId="24CDF82B">
            <w:pPr>
              <w:spacing w:after="0" w:line="240" w:lineRule="auto"/>
              <w:jc w:val="right"/>
              <w:rPr>
                <w:rFonts w:eastAsia="Times New Roman" w:cstheme="minorHAnsi"/>
                <w:color w:val="000000"/>
              </w:rPr>
            </w:pPr>
            <w:r w:rsidRPr="00C53D09">
              <w:rPr>
                <w:rFonts w:cstheme="minorHAnsi"/>
                <w:color w:val="000000"/>
              </w:rPr>
              <w:t>$16,947</w:t>
            </w:r>
          </w:p>
        </w:tc>
        <w:tc>
          <w:tcPr>
            <w:tcW w:w="1558" w:type="dxa"/>
            <w:noWrap/>
            <w:vAlign w:val="center"/>
            <w:hideMark/>
          </w:tcPr>
          <w:p w:rsidR="00E55A94" w:rsidRPr="00C53D09" w:rsidP="00900A63" w14:paraId="5A9A97E4" w14:textId="47135117">
            <w:pPr>
              <w:spacing w:after="0" w:line="240" w:lineRule="auto"/>
              <w:jc w:val="right"/>
              <w:rPr>
                <w:rFonts w:eastAsia="Times New Roman" w:cstheme="minorHAnsi"/>
                <w:color w:val="000000"/>
              </w:rPr>
            </w:pPr>
            <w:r w:rsidRPr="00C53D09">
              <w:rPr>
                <w:rFonts w:cstheme="minorHAnsi"/>
                <w:color w:val="000000"/>
              </w:rPr>
              <w:t>$893,462</w:t>
            </w:r>
          </w:p>
        </w:tc>
      </w:tr>
      <w:tr w14:paraId="0FC52BB8" w14:textId="77777777" w:rsidTr="00F7740C">
        <w:tblPrEx>
          <w:tblW w:w="9820" w:type="dxa"/>
          <w:tblLook w:val="04A0"/>
        </w:tblPrEx>
        <w:tc>
          <w:tcPr>
            <w:tcW w:w="1810" w:type="dxa"/>
            <w:vAlign w:val="center"/>
            <w:hideMark/>
          </w:tcPr>
          <w:p w:rsidR="00E55A94" w:rsidRPr="00C53D09" w:rsidP="00E55A94" w14:paraId="642FCEF9" w14:textId="4202629F">
            <w:pPr>
              <w:spacing w:after="0" w:line="240" w:lineRule="auto"/>
              <w:rPr>
                <w:rFonts w:eastAsia="Times New Roman" w:cstheme="minorHAnsi"/>
                <w:color w:val="000000"/>
              </w:rPr>
            </w:pPr>
            <w:r w:rsidRPr="00C53D09">
              <w:rPr>
                <w:rFonts w:cstheme="minorHAnsi"/>
                <w:color w:val="000000"/>
              </w:rPr>
              <w:t>NN. Supplies of Nat Gas and Nat Gas Liquids</w:t>
            </w:r>
          </w:p>
        </w:tc>
        <w:tc>
          <w:tcPr>
            <w:tcW w:w="1604" w:type="dxa"/>
            <w:noWrap/>
            <w:vAlign w:val="center"/>
            <w:hideMark/>
          </w:tcPr>
          <w:p w:rsidR="00E55A94" w:rsidRPr="00C53D09" w:rsidP="00E55A94" w14:paraId="16122AF0" w14:textId="1C359DF1">
            <w:pPr>
              <w:spacing w:after="0" w:line="240" w:lineRule="auto"/>
              <w:jc w:val="right"/>
              <w:rPr>
                <w:rFonts w:eastAsia="Times New Roman" w:cstheme="minorHAnsi"/>
                <w:color w:val="000000"/>
              </w:rPr>
            </w:pPr>
            <w:r w:rsidRPr="00C53D09">
              <w:rPr>
                <w:rFonts w:cstheme="minorHAnsi"/>
                <w:color w:val="000000"/>
              </w:rPr>
              <w:t>522</w:t>
            </w:r>
          </w:p>
        </w:tc>
        <w:tc>
          <w:tcPr>
            <w:tcW w:w="1711" w:type="dxa"/>
            <w:noWrap/>
            <w:vAlign w:val="center"/>
            <w:hideMark/>
          </w:tcPr>
          <w:p w:rsidR="00E55A94" w:rsidRPr="00C53D09" w:rsidP="00E55A94" w14:paraId="0E8CDC07" w14:textId="19218C99">
            <w:pPr>
              <w:spacing w:after="0" w:line="240" w:lineRule="auto"/>
              <w:jc w:val="right"/>
              <w:rPr>
                <w:rFonts w:eastAsia="Times New Roman" w:cstheme="minorHAnsi"/>
                <w:color w:val="000000"/>
              </w:rPr>
            </w:pPr>
            <w:r w:rsidRPr="00C53D09">
              <w:rPr>
                <w:rFonts w:cstheme="minorHAnsi"/>
                <w:color w:val="000000"/>
              </w:rPr>
              <w:t>8,786</w:t>
            </w:r>
          </w:p>
        </w:tc>
        <w:tc>
          <w:tcPr>
            <w:tcW w:w="1678" w:type="dxa"/>
            <w:noWrap/>
            <w:vAlign w:val="center"/>
            <w:hideMark/>
          </w:tcPr>
          <w:p w:rsidR="00E55A94" w:rsidRPr="00C53D09" w:rsidP="00900A63" w14:paraId="4CE1B17D" w14:textId="5A0BF2AC">
            <w:pPr>
              <w:spacing w:after="0" w:line="240" w:lineRule="auto"/>
              <w:jc w:val="right"/>
              <w:rPr>
                <w:rFonts w:eastAsia="Times New Roman" w:cstheme="minorHAnsi"/>
                <w:color w:val="000000"/>
              </w:rPr>
            </w:pPr>
            <w:r w:rsidRPr="00C53D09">
              <w:rPr>
                <w:rFonts w:cstheme="minorHAnsi"/>
                <w:color w:val="000000"/>
              </w:rPr>
              <w:t>$735,287</w:t>
            </w:r>
          </w:p>
        </w:tc>
        <w:tc>
          <w:tcPr>
            <w:tcW w:w="1459" w:type="dxa"/>
            <w:noWrap/>
            <w:vAlign w:val="center"/>
            <w:hideMark/>
          </w:tcPr>
          <w:p w:rsidR="00E55A94" w:rsidRPr="00C53D09" w:rsidP="00900A63" w14:paraId="31D37FD2" w14:textId="49B263E1">
            <w:pPr>
              <w:spacing w:after="0" w:line="240" w:lineRule="auto"/>
              <w:jc w:val="right"/>
              <w:rPr>
                <w:rFonts w:eastAsia="Times New Roman" w:cstheme="minorHAnsi"/>
                <w:color w:val="000000"/>
              </w:rPr>
            </w:pPr>
            <w:r w:rsidRPr="00C53D09">
              <w:rPr>
                <w:rFonts w:cstheme="minorHAnsi"/>
                <w:color w:val="000000"/>
              </w:rPr>
              <w:t>$32,287</w:t>
            </w:r>
          </w:p>
        </w:tc>
        <w:tc>
          <w:tcPr>
            <w:tcW w:w="1558" w:type="dxa"/>
            <w:noWrap/>
            <w:vAlign w:val="center"/>
            <w:hideMark/>
          </w:tcPr>
          <w:p w:rsidR="00E55A94" w:rsidRPr="00C53D09" w:rsidP="00900A63" w14:paraId="19DB5E81" w14:textId="5458294E">
            <w:pPr>
              <w:spacing w:after="0" w:line="240" w:lineRule="auto"/>
              <w:jc w:val="right"/>
              <w:rPr>
                <w:rFonts w:eastAsia="Times New Roman" w:cstheme="minorHAnsi"/>
                <w:color w:val="000000"/>
              </w:rPr>
            </w:pPr>
            <w:r w:rsidRPr="00C53D09">
              <w:rPr>
                <w:rFonts w:cstheme="minorHAnsi"/>
                <w:color w:val="000000"/>
              </w:rPr>
              <w:t>$767,574</w:t>
            </w:r>
          </w:p>
        </w:tc>
      </w:tr>
      <w:tr w14:paraId="27F145F7" w14:textId="77777777" w:rsidTr="00F7740C">
        <w:tblPrEx>
          <w:tblW w:w="9820" w:type="dxa"/>
          <w:tblLook w:val="04A0"/>
        </w:tblPrEx>
        <w:tc>
          <w:tcPr>
            <w:tcW w:w="1810" w:type="dxa"/>
            <w:vAlign w:val="center"/>
            <w:hideMark/>
          </w:tcPr>
          <w:p w:rsidR="00E55A94" w:rsidRPr="00C53D09" w:rsidP="00E55A94" w14:paraId="1A2AF5CE" w14:textId="5AAC4F67">
            <w:pPr>
              <w:spacing w:after="0" w:line="240" w:lineRule="auto"/>
              <w:rPr>
                <w:rFonts w:eastAsia="Times New Roman" w:cstheme="minorHAnsi"/>
                <w:color w:val="000000"/>
              </w:rPr>
            </w:pPr>
            <w:r w:rsidRPr="00C53D09">
              <w:rPr>
                <w:rFonts w:cstheme="minorHAnsi"/>
                <w:color w:val="000000"/>
              </w:rPr>
              <w:t>OO. Suppliers of Industrial GHG</w:t>
            </w:r>
          </w:p>
        </w:tc>
        <w:tc>
          <w:tcPr>
            <w:tcW w:w="1604" w:type="dxa"/>
            <w:noWrap/>
            <w:vAlign w:val="center"/>
            <w:hideMark/>
          </w:tcPr>
          <w:p w:rsidR="00E55A94" w:rsidRPr="00C53D09" w:rsidP="00E55A94" w14:paraId="03812435" w14:textId="041A5BB7">
            <w:pPr>
              <w:spacing w:after="0" w:line="240" w:lineRule="auto"/>
              <w:jc w:val="right"/>
              <w:rPr>
                <w:rFonts w:eastAsia="Times New Roman" w:cstheme="minorHAnsi"/>
                <w:color w:val="000000"/>
              </w:rPr>
            </w:pPr>
            <w:r w:rsidRPr="00C53D09">
              <w:rPr>
                <w:rFonts w:cstheme="minorHAnsi"/>
                <w:color w:val="000000"/>
              </w:rPr>
              <w:t>150</w:t>
            </w:r>
          </w:p>
        </w:tc>
        <w:tc>
          <w:tcPr>
            <w:tcW w:w="1711" w:type="dxa"/>
            <w:noWrap/>
            <w:vAlign w:val="center"/>
            <w:hideMark/>
          </w:tcPr>
          <w:p w:rsidR="00E55A94" w:rsidRPr="00C53D09" w:rsidP="00E55A94" w14:paraId="0F559D88" w14:textId="7EC6AF9D">
            <w:pPr>
              <w:spacing w:after="0" w:line="240" w:lineRule="auto"/>
              <w:jc w:val="right"/>
              <w:rPr>
                <w:rFonts w:eastAsia="Times New Roman" w:cstheme="minorHAnsi"/>
                <w:color w:val="000000"/>
              </w:rPr>
            </w:pPr>
            <w:r w:rsidRPr="00C53D09">
              <w:rPr>
                <w:rFonts w:cstheme="minorHAnsi"/>
                <w:color w:val="000000"/>
              </w:rPr>
              <w:t>14,309</w:t>
            </w:r>
          </w:p>
        </w:tc>
        <w:tc>
          <w:tcPr>
            <w:tcW w:w="1678" w:type="dxa"/>
            <w:noWrap/>
            <w:vAlign w:val="center"/>
            <w:hideMark/>
          </w:tcPr>
          <w:p w:rsidR="00E55A94" w:rsidRPr="00C53D09" w:rsidP="00900A63" w14:paraId="6289352F" w14:textId="7DBA85BB">
            <w:pPr>
              <w:spacing w:after="0" w:line="240" w:lineRule="auto"/>
              <w:jc w:val="right"/>
              <w:rPr>
                <w:rFonts w:eastAsia="Times New Roman" w:cstheme="minorHAnsi"/>
                <w:color w:val="000000"/>
              </w:rPr>
            </w:pPr>
            <w:r w:rsidRPr="00C53D09">
              <w:rPr>
                <w:rFonts w:cstheme="minorHAnsi"/>
                <w:color w:val="000000"/>
              </w:rPr>
              <w:t>$1,187,658</w:t>
            </w:r>
          </w:p>
        </w:tc>
        <w:tc>
          <w:tcPr>
            <w:tcW w:w="1459" w:type="dxa"/>
            <w:noWrap/>
            <w:vAlign w:val="center"/>
            <w:hideMark/>
          </w:tcPr>
          <w:p w:rsidR="00E55A94" w:rsidRPr="00C53D09" w:rsidP="00900A63" w14:paraId="1BB58151" w14:textId="37E7FB39">
            <w:pPr>
              <w:spacing w:after="0" w:line="240" w:lineRule="auto"/>
              <w:jc w:val="right"/>
              <w:rPr>
                <w:rFonts w:eastAsia="Times New Roman" w:cstheme="minorHAnsi"/>
                <w:color w:val="000000"/>
              </w:rPr>
            </w:pPr>
            <w:r w:rsidRPr="00C53D09">
              <w:rPr>
                <w:rFonts w:cstheme="minorHAnsi"/>
                <w:color w:val="000000"/>
              </w:rPr>
              <w:t>$9,380</w:t>
            </w:r>
          </w:p>
        </w:tc>
        <w:tc>
          <w:tcPr>
            <w:tcW w:w="1558" w:type="dxa"/>
            <w:noWrap/>
            <w:vAlign w:val="center"/>
            <w:hideMark/>
          </w:tcPr>
          <w:p w:rsidR="00E55A94" w:rsidRPr="00C53D09" w:rsidP="00900A63" w14:paraId="1D2ED014" w14:textId="0AAE5081">
            <w:pPr>
              <w:spacing w:after="0" w:line="240" w:lineRule="auto"/>
              <w:jc w:val="right"/>
              <w:rPr>
                <w:rFonts w:eastAsia="Times New Roman" w:cstheme="minorHAnsi"/>
                <w:color w:val="000000"/>
              </w:rPr>
            </w:pPr>
            <w:r w:rsidRPr="00C53D09">
              <w:rPr>
                <w:rFonts w:cstheme="minorHAnsi"/>
                <w:color w:val="000000"/>
              </w:rPr>
              <w:t>$1,197,038</w:t>
            </w:r>
          </w:p>
        </w:tc>
      </w:tr>
      <w:tr w14:paraId="7905A3AF" w14:textId="77777777" w:rsidTr="00F7740C">
        <w:tblPrEx>
          <w:tblW w:w="9820" w:type="dxa"/>
          <w:tblLook w:val="04A0"/>
        </w:tblPrEx>
        <w:tc>
          <w:tcPr>
            <w:tcW w:w="1810" w:type="dxa"/>
            <w:vAlign w:val="center"/>
            <w:hideMark/>
          </w:tcPr>
          <w:p w:rsidR="00E55A94" w:rsidRPr="00C53D09" w:rsidP="00E55A94" w14:paraId="6E15DF22" w14:textId="5D154408">
            <w:pPr>
              <w:spacing w:after="0" w:line="240" w:lineRule="auto"/>
              <w:rPr>
                <w:rFonts w:eastAsia="Times New Roman" w:cstheme="minorHAnsi"/>
                <w:color w:val="000000"/>
              </w:rPr>
            </w:pPr>
            <w:r w:rsidRPr="00C53D09">
              <w:rPr>
                <w:rFonts w:cstheme="minorHAnsi"/>
                <w:color w:val="000000"/>
              </w:rPr>
              <w:t>PP. Suppliers of CO2</w:t>
            </w:r>
          </w:p>
        </w:tc>
        <w:tc>
          <w:tcPr>
            <w:tcW w:w="1604" w:type="dxa"/>
            <w:noWrap/>
            <w:vAlign w:val="center"/>
            <w:hideMark/>
          </w:tcPr>
          <w:p w:rsidR="00E55A94" w:rsidRPr="00C53D09" w:rsidP="00E55A94" w14:paraId="12737208" w14:textId="0B7EDF37">
            <w:pPr>
              <w:spacing w:after="0" w:line="240" w:lineRule="auto"/>
              <w:jc w:val="right"/>
              <w:rPr>
                <w:rFonts w:eastAsia="Times New Roman" w:cstheme="minorHAnsi"/>
                <w:color w:val="000000"/>
              </w:rPr>
            </w:pPr>
            <w:r w:rsidRPr="00C53D09">
              <w:rPr>
                <w:rFonts w:cstheme="minorHAnsi"/>
                <w:color w:val="000000"/>
              </w:rPr>
              <w:t>160</w:t>
            </w:r>
          </w:p>
        </w:tc>
        <w:tc>
          <w:tcPr>
            <w:tcW w:w="1711" w:type="dxa"/>
            <w:noWrap/>
            <w:vAlign w:val="center"/>
            <w:hideMark/>
          </w:tcPr>
          <w:p w:rsidR="00E55A94" w:rsidRPr="00C53D09" w:rsidP="00E55A94" w14:paraId="5905111D" w14:textId="20B17351">
            <w:pPr>
              <w:spacing w:after="0" w:line="240" w:lineRule="auto"/>
              <w:jc w:val="right"/>
              <w:rPr>
                <w:rFonts w:eastAsia="Times New Roman" w:cstheme="minorHAnsi"/>
                <w:color w:val="000000"/>
              </w:rPr>
            </w:pPr>
            <w:r w:rsidRPr="00C53D09">
              <w:rPr>
                <w:rFonts w:cstheme="minorHAnsi"/>
                <w:color w:val="000000"/>
              </w:rPr>
              <w:t>2,095</w:t>
            </w:r>
          </w:p>
        </w:tc>
        <w:tc>
          <w:tcPr>
            <w:tcW w:w="1678" w:type="dxa"/>
            <w:noWrap/>
            <w:vAlign w:val="center"/>
            <w:hideMark/>
          </w:tcPr>
          <w:p w:rsidR="00E55A94" w:rsidRPr="00C53D09" w:rsidP="00900A63" w14:paraId="326E642C" w14:textId="7B244FE9">
            <w:pPr>
              <w:spacing w:after="0" w:line="240" w:lineRule="auto"/>
              <w:jc w:val="right"/>
              <w:rPr>
                <w:rFonts w:eastAsia="Times New Roman" w:cstheme="minorHAnsi"/>
                <w:color w:val="000000"/>
              </w:rPr>
            </w:pPr>
            <w:r w:rsidRPr="00C53D09">
              <w:rPr>
                <w:rFonts w:cstheme="minorHAnsi"/>
                <w:color w:val="000000"/>
              </w:rPr>
              <w:t>$168,618</w:t>
            </w:r>
          </w:p>
        </w:tc>
        <w:tc>
          <w:tcPr>
            <w:tcW w:w="1459" w:type="dxa"/>
            <w:noWrap/>
            <w:vAlign w:val="center"/>
            <w:hideMark/>
          </w:tcPr>
          <w:p w:rsidR="00E55A94" w:rsidRPr="00C53D09" w:rsidP="00900A63" w14:paraId="0521C841" w14:textId="0845D2A6">
            <w:pPr>
              <w:spacing w:after="0" w:line="240" w:lineRule="auto"/>
              <w:jc w:val="right"/>
              <w:rPr>
                <w:rFonts w:eastAsia="Times New Roman" w:cstheme="minorHAnsi"/>
                <w:color w:val="000000"/>
              </w:rPr>
            </w:pPr>
            <w:r w:rsidRPr="00C53D09">
              <w:rPr>
                <w:rFonts w:cstheme="minorHAnsi"/>
                <w:color w:val="000000"/>
              </w:rPr>
              <w:t>$9,896</w:t>
            </w:r>
          </w:p>
        </w:tc>
        <w:tc>
          <w:tcPr>
            <w:tcW w:w="1558" w:type="dxa"/>
            <w:noWrap/>
            <w:vAlign w:val="center"/>
            <w:hideMark/>
          </w:tcPr>
          <w:p w:rsidR="00E55A94" w:rsidRPr="00C53D09" w:rsidP="00900A63" w14:paraId="7C0C2573" w14:textId="46F49701">
            <w:pPr>
              <w:spacing w:after="0" w:line="240" w:lineRule="auto"/>
              <w:jc w:val="right"/>
              <w:rPr>
                <w:rFonts w:eastAsia="Times New Roman" w:cstheme="minorHAnsi"/>
                <w:color w:val="000000"/>
              </w:rPr>
            </w:pPr>
            <w:r w:rsidRPr="00C53D09">
              <w:rPr>
                <w:rFonts w:cstheme="minorHAnsi"/>
                <w:color w:val="000000"/>
              </w:rPr>
              <w:t>$178,515</w:t>
            </w:r>
          </w:p>
        </w:tc>
      </w:tr>
      <w:tr w14:paraId="28E67568" w14:textId="77777777" w:rsidTr="00F7740C">
        <w:tblPrEx>
          <w:tblW w:w="9820" w:type="dxa"/>
          <w:tblLook w:val="04A0"/>
        </w:tblPrEx>
        <w:tc>
          <w:tcPr>
            <w:tcW w:w="1810" w:type="dxa"/>
            <w:vAlign w:val="center"/>
            <w:hideMark/>
          </w:tcPr>
          <w:p w:rsidR="00E55A94" w:rsidRPr="00C53D09" w:rsidP="00E55A94" w14:paraId="68657AF7" w14:textId="1A9B8B94">
            <w:pPr>
              <w:spacing w:after="0" w:line="240" w:lineRule="auto"/>
              <w:rPr>
                <w:rFonts w:eastAsia="Times New Roman" w:cstheme="minorHAnsi"/>
                <w:color w:val="000000"/>
              </w:rPr>
            </w:pPr>
            <w:r w:rsidRPr="00C53D09">
              <w:rPr>
                <w:rFonts w:cstheme="minorHAnsi"/>
                <w:color w:val="000000"/>
              </w:rPr>
              <w:t>QQ - Imports and Exports of Fluorinated GHGs in Products</w:t>
            </w:r>
          </w:p>
        </w:tc>
        <w:tc>
          <w:tcPr>
            <w:tcW w:w="1604" w:type="dxa"/>
            <w:noWrap/>
            <w:vAlign w:val="center"/>
            <w:hideMark/>
          </w:tcPr>
          <w:p w:rsidR="00E55A94" w:rsidRPr="00C53D09" w:rsidP="00E55A94" w14:paraId="4EA1251F" w14:textId="14B5C760">
            <w:pPr>
              <w:spacing w:after="0" w:line="240" w:lineRule="auto"/>
              <w:jc w:val="right"/>
              <w:rPr>
                <w:rFonts w:eastAsia="Times New Roman" w:cstheme="minorHAnsi"/>
                <w:color w:val="000000"/>
              </w:rPr>
            </w:pPr>
            <w:r w:rsidRPr="00C53D09">
              <w:rPr>
                <w:rFonts w:cstheme="minorHAnsi"/>
                <w:color w:val="000000"/>
              </w:rPr>
              <w:t>57</w:t>
            </w:r>
          </w:p>
        </w:tc>
        <w:tc>
          <w:tcPr>
            <w:tcW w:w="1711" w:type="dxa"/>
            <w:noWrap/>
            <w:vAlign w:val="center"/>
            <w:hideMark/>
          </w:tcPr>
          <w:p w:rsidR="00E55A94" w:rsidRPr="00C53D09" w:rsidP="00E55A94" w14:paraId="55F8746D" w14:textId="6CD5FD74">
            <w:pPr>
              <w:spacing w:after="0" w:line="240" w:lineRule="auto"/>
              <w:jc w:val="right"/>
              <w:rPr>
                <w:rFonts w:eastAsia="Times New Roman" w:cstheme="minorHAnsi"/>
                <w:color w:val="000000"/>
              </w:rPr>
            </w:pPr>
            <w:r w:rsidRPr="00C53D09">
              <w:rPr>
                <w:rFonts w:cstheme="minorHAnsi"/>
                <w:color w:val="000000"/>
              </w:rPr>
              <w:t>3,653</w:t>
            </w:r>
          </w:p>
        </w:tc>
        <w:tc>
          <w:tcPr>
            <w:tcW w:w="1678" w:type="dxa"/>
            <w:noWrap/>
            <w:vAlign w:val="center"/>
            <w:hideMark/>
          </w:tcPr>
          <w:p w:rsidR="00E55A94" w:rsidRPr="00C53D09" w:rsidP="00900A63" w14:paraId="37975B01" w14:textId="51FF4CC8">
            <w:pPr>
              <w:spacing w:after="0" w:line="240" w:lineRule="auto"/>
              <w:jc w:val="right"/>
              <w:rPr>
                <w:rFonts w:eastAsia="Times New Roman" w:cstheme="minorHAnsi"/>
                <w:color w:val="000000"/>
              </w:rPr>
            </w:pPr>
            <w:r w:rsidRPr="00C53D09">
              <w:rPr>
                <w:rFonts w:cstheme="minorHAnsi"/>
                <w:color w:val="000000"/>
              </w:rPr>
              <w:t>$296,777</w:t>
            </w:r>
          </w:p>
        </w:tc>
        <w:tc>
          <w:tcPr>
            <w:tcW w:w="1459" w:type="dxa"/>
            <w:noWrap/>
            <w:vAlign w:val="center"/>
            <w:hideMark/>
          </w:tcPr>
          <w:p w:rsidR="00E55A94" w:rsidRPr="00C53D09" w:rsidP="00900A63" w14:paraId="269686C5" w14:textId="67D5B3DF">
            <w:pPr>
              <w:spacing w:after="0" w:line="240" w:lineRule="auto"/>
              <w:jc w:val="right"/>
              <w:rPr>
                <w:rFonts w:eastAsia="Times New Roman" w:cstheme="minorHAnsi"/>
                <w:color w:val="000000"/>
              </w:rPr>
            </w:pPr>
            <w:r w:rsidRPr="00C53D09">
              <w:rPr>
                <w:rFonts w:cstheme="minorHAnsi"/>
                <w:color w:val="000000"/>
              </w:rPr>
              <w:t>$3,526</w:t>
            </w:r>
          </w:p>
        </w:tc>
        <w:tc>
          <w:tcPr>
            <w:tcW w:w="1558" w:type="dxa"/>
            <w:noWrap/>
            <w:vAlign w:val="center"/>
            <w:hideMark/>
          </w:tcPr>
          <w:p w:rsidR="00E55A94" w:rsidRPr="00C53D09" w:rsidP="00900A63" w14:paraId="77BD0144" w14:textId="368847E1">
            <w:pPr>
              <w:spacing w:after="0" w:line="240" w:lineRule="auto"/>
              <w:jc w:val="right"/>
              <w:rPr>
                <w:rFonts w:eastAsia="Times New Roman" w:cstheme="minorHAnsi"/>
                <w:color w:val="000000"/>
              </w:rPr>
            </w:pPr>
            <w:r w:rsidRPr="00C53D09">
              <w:rPr>
                <w:rFonts w:cstheme="minorHAnsi"/>
                <w:color w:val="000000"/>
              </w:rPr>
              <w:t>$300,302</w:t>
            </w:r>
          </w:p>
        </w:tc>
      </w:tr>
      <w:tr w14:paraId="650F4305" w14:textId="77777777" w:rsidTr="00F7740C">
        <w:tblPrEx>
          <w:tblW w:w="9820" w:type="dxa"/>
          <w:tblLook w:val="04A0"/>
        </w:tblPrEx>
        <w:tc>
          <w:tcPr>
            <w:tcW w:w="1810" w:type="dxa"/>
            <w:vAlign w:val="center"/>
            <w:hideMark/>
          </w:tcPr>
          <w:p w:rsidR="00E55A94" w:rsidRPr="00C53D09" w:rsidP="00E55A94" w14:paraId="2C32D93F" w14:textId="2F3BDA65">
            <w:pPr>
              <w:spacing w:after="0" w:line="240" w:lineRule="auto"/>
              <w:rPr>
                <w:rFonts w:eastAsia="Times New Roman" w:cstheme="minorHAnsi"/>
                <w:color w:val="000000"/>
              </w:rPr>
            </w:pPr>
            <w:r w:rsidRPr="00C53D09">
              <w:rPr>
                <w:rFonts w:cstheme="minorHAnsi"/>
                <w:color w:val="000000"/>
              </w:rPr>
              <w:t>RR. Geologic Sequestration of Carbon Dioxide</w:t>
            </w:r>
          </w:p>
        </w:tc>
        <w:tc>
          <w:tcPr>
            <w:tcW w:w="1604" w:type="dxa"/>
            <w:noWrap/>
            <w:vAlign w:val="center"/>
            <w:hideMark/>
          </w:tcPr>
          <w:p w:rsidR="00E55A94" w:rsidRPr="00C53D09" w:rsidP="00E55A94" w14:paraId="6148CED3" w14:textId="03A776FE">
            <w:pPr>
              <w:spacing w:after="0" w:line="240" w:lineRule="auto"/>
              <w:jc w:val="right"/>
              <w:rPr>
                <w:rFonts w:eastAsia="Times New Roman" w:cstheme="minorHAnsi"/>
                <w:color w:val="000000"/>
              </w:rPr>
            </w:pPr>
            <w:r w:rsidRPr="00C53D09">
              <w:rPr>
                <w:rFonts w:cstheme="minorHAnsi"/>
                <w:color w:val="000000"/>
              </w:rPr>
              <w:t>19</w:t>
            </w:r>
          </w:p>
        </w:tc>
        <w:tc>
          <w:tcPr>
            <w:tcW w:w="1711" w:type="dxa"/>
            <w:noWrap/>
            <w:vAlign w:val="center"/>
            <w:hideMark/>
          </w:tcPr>
          <w:p w:rsidR="00E55A94" w:rsidRPr="00C53D09" w:rsidP="00E55A94" w14:paraId="7DC9FB2E" w14:textId="10DB2C47">
            <w:pPr>
              <w:spacing w:after="0" w:line="240" w:lineRule="auto"/>
              <w:jc w:val="right"/>
              <w:rPr>
                <w:rFonts w:eastAsia="Times New Roman" w:cstheme="minorHAnsi"/>
                <w:color w:val="000000"/>
              </w:rPr>
            </w:pPr>
            <w:r w:rsidRPr="00C53D09">
              <w:rPr>
                <w:rFonts w:cstheme="minorHAnsi"/>
                <w:color w:val="000000"/>
              </w:rPr>
              <w:t>7,820</w:t>
            </w:r>
          </w:p>
        </w:tc>
        <w:tc>
          <w:tcPr>
            <w:tcW w:w="1678" w:type="dxa"/>
            <w:noWrap/>
            <w:vAlign w:val="center"/>
            <w:hideMark/>
          </w:tcPr>
          <w:p w:rsidR="00E55A94" w:rsidRPr="00C53D09" w:rsidP="00900A63" w14:paraId="48B60347" w14:textId="49DEF85F">
            <w:pPr>
              <w:spacing w:after="0" w:line="240" w:lineRule="auto"/>
              <w:jc w:val="right"/>
              <w:rPr>
                <w:rFonts w:eastAsia="Times New Roman" w:cstheme="minorHAnsi"/>
                <w:color w:val="000000"/>
              </w:rPr>
            </w:pPr>
            <w:r w:rsidRPr="00C53D09">
              <w:rPr>
                <w:rFonts w:cstheme="minorHAnsi"/>
                <w:color w:val="000000"/>
              </w:rPr>
              <w:t>$1,042,965</w:t>
            </w:r>
          </w:p>
        </w:tc>
        <w:tc>
          <w:tcPr>
            <w:tcW w:w="1459" w:type="dxa"/>
            <w:noWrap/>
            <w:vAlign w:val="center"/>
            <w:hideMark/>
          </w:tcPr>
          <w:p w:rsidR="00E55A94" w:rsidRPr="00C53D09" w:rsidP="00900A63" w14:paraId="2606FDBF" w14:textId="1CD15637">
            <w:pPr>
              <w:spacing w:after="0" w:line="240" w:lineRule="auto"/>
              <w:jc w:val="right"/>
              <w:rPr>
                <w:rFonts w:eastAsia="Times New Roman" w:cstheme="minorHAnsi"/>
                <w:color w:val="000000"/>
              </w:rPr>
            </w:pPr>
            <w:r w:rsidRPr="00C53D09">
              <w:rPr>
                <w:rFonts w:cstheme="minorHAnsi"/>
                <w:color w:val="000000"/>
              </w:rPr>
              <w:t>$41,974</w:t>
            </w:r>
          </w:p>
        </w:tc>
        <w:tc>
          <w:tcPr>
            <w:tcW w:w="1558" w:type="dxa"/>
            <w:noWrap/>
            <w:vAlign w:val="center"/>
            <w:hideMark/>
          </w:tcPr>
          <w:p w:rsidR="00E55A94" w:rsidRPr="00C53D09" w:rsidP="00900A63" w14:paraId="75414C0B" w14:textId="69063760">
            <w:pPr>
              <w:spacing w:after="0" w:line="240" w:lineRule="auto"/>
              <w:jc w:val="right"/>
              <w:rPr>
                <w:rFonts w:eastAsia="Times New Roman" w:cstheme="minorHAnsi"/>
                <w:color w:val="000000"/>
              </w:rPr>
            </w:pPr>
            <w:r w:rsidRPr="00C53D09">
              <w:rPr>
                <w:rFonts w:cstheme="minorHAnsi"/>
                <w:color w:val="000000"/>
              </w:rPr>
              <w:t>$1,084,939</w:t>
            </w:r>
          </w:p>
        </w:tc>
      </w:tr>
      <w:tr w14:paraId="5BFBC7A4" w14:textId="77777777" w:rsidTr="00F7740C">
        <w:tblPrEx>
          <w:tblW w:w="9820" w:type="dxa"/>
          <w:tblLook w:val="04A0"/>
        </w:tblPrEx>
        <w:tc>
          <w:tcPr>
            <w:tcW w:w="1810" w:type="dxa"/>
            <w:vAlign w:val="center"/>
            <w:hideMark/>
          </w:tcPr>
          <w:p w:rsidR="00E55A94" w:rsidRPr="00C53D09" w:rsidP="00E55A94" w14:paraId="158B0EEE" w14:textId="6B2AA186">
            <w:pPr>
              <w:spacing w:after="0" w:line="240" w:lineRule="auto"/>
              <w:rPr>
                <w:rFonts w:eastAsia="Times New Roman" w:cstheme="minorHAnsi"/>
                <w:color w:val="000000"/>
              </w:rPr>
            </w:pPr>
            <w:r w:rsidRPr="00C53D09">
              <w:rPr>
                <w:rFonts w:cstheme="minorHAnsi"/>
                <w:color w:val="000000"/>
              </w:rPr>
              <w:t>SS - SF6 Equipment Producers</w:t>
            </w:r>
          </w:p>
        </w:tc>
        <w:tc>
          <w:tcPr>
            <w:tcW w:w="1604" w:type="dxa"/>
            <w:noWrap/>
            <w:vAlign w:val="center"/>
            <w:hideMark/>
          </w:tcPr>
          <w:p w:rsidR="00E55A94" w:rsidRPr="00C53D09" w:rsidP="00E55A94" w14:paraId="300EA49C" w14:textId="1A49EAD1">
            <w:pPr>
              <w:spacing w:after="0" w:line="240" w:lineRule="auto"/>
              <w:jc w:val="right"/>
              <w:rPr>
                <w:rFonts w:eastAsia="Times New Roman" w:cstheme="minorHAnsi"/>
                <w:color w:val="000000"/>
              </w:rPr>
            </w:pPr>
            <w:r w:rsidRPr="00C53D09">
              <w:rPr>
                <w:rFonts w:cstheme="minorHAnsi"/>
                <w:color w:val="000000"/>
              </w:rPr>
              <w:t>5</w:t>
            </w:r>
          </w:p>
        </w:tc>
        <w:tc>
          <w:tcPr>
            <w:tcW w:w="1711" w:type="dxa"/>
            <w:noWrap/>
            <w:vAlign w:val="center"/>
            <w:hideMark/>
          </w:tcPr>
          <w:p w:rsidR="00E55A94" w:rsidRPr="00C53D09" w:rsidP="00E55A94" w14:paraId="2F56A81F" w14:textId="53123901">
            <w:pPr>
              <w:spacing w:after="0" w:line="240" w:lineRule="auto"/>
              <w:jc w:val="right"/>
              <w:rPr>
                <w:rFonts w:eastAsia="Times New Roman" w:cstheme="minorHAnsi"/>
                <w:color w:val="000000"/>
              </w:rPr>
            </w:pPr>
            <w:r w:rsidRPr="00C53D09">
              <w:rPr>
                <w:rFonts w:cstheme="minorHAnsi"/>
                <w:color w:val="000000"/>
              </w:rPr>
              <w:t>240</w:t>
            </w:r>
          </w:p>
        </w:tc>
        <w:tc>
          <w:tcPr>
            <w:tcW w:w="1678" w:type="dxa"/>
            <w:noWrap/>
            <w:vAlign w:val="center"/>
            <w:hideMark/>
          </w:tcPr>
          <w:p w:rsidR="00E55A94" w:rsidRPr="00C53D09" w:rsidP="00900A63" w14:paraId="2A7C8468" w14:textId="162BE53D">
            <w:pPr>
              <w:spacing w:after="0" w:line="240" w:lineRule="auto"/>
              <w:jc w:val="right"/>
              <w:rPr>
                <w:rFonts w:eastAsia="Times New Roman" w:cstheme="minorHAnsi"/>
                <w:color w:val="000000"/>
              </w:rPr>
            </w:pPr>
            <w:r w:rsidRPr="00C53D09">
              <w:rPr>
                <w:rFonts w:cstheme="minorHAnsi"/>
                <w:color w:val="000000"/>
              </w:rPr>
              <w:t>$19,607</w:t>
            </w:r>
          </w:p>
        </w:tc>
        <w:tc>
          <w:tcPr>
            <w:tcW w:w="1459" w:type="dxa"/>
            <w:noWrap/>
            <w:vAlign w:val="center"/>
            <w:hideMark/>
          </w:tcPr>
          <w:p w:rsidR="00E55A94" w:rsidRPr="00C53D09" w:rsidP="00900A63" w14:paraId="6DD7EE39" w14:textId="5E158966">
            <w:pPr>
              <w:spacing w:after="0" w:line="240" w:lineRule="auto"/>
              <w:jc w:val="right"/>
              <w:rPr>
                <w:rFonts w:eastAsia="Times New Roman" w:cstheme="minorHAnsi"/>
                <w:color w:val="000000"/>
              </w:rPr>
            </w:pPr>
            <w:r w:rsidRPr="00C53D09">
              <w:rPr>
                <w:rFonts w:cstheme="minorHAnsi"/>
                <w:color w:val="000000"/>
              </w:rPr>
              <w:t>$309</w:t>
            </w:r>
          </w:p>
        </w:tc>
        <w:tc>
          <w:tcPr>
            <w:tcW w:w="1558" w:type="dxa"/>
            <w:noWrap/>
            <w:vAlign w:val="center"/>
            <w:hideMark/>
          </w:tcPr>
          <w:p w:rsidR="00E55A94" w:rsidRPr="00C53D09" w:rsidP="00900A63" w14:paraId="0FDAE7D0" w14:textId="205B2D04">
            <w:pPr>
              <w:spacing w:after="0" w:line="240" w:lineRule="auto"/>
              <w:jc w:val="right"/>
              <w:rPr>
                <w:rFonts w:eastAsia="Times New Roman" w:cstheme="minorHAnsi"/>
                <w:color w:val="000000"/>
              </w:rPr>
            </w:pPr>
            <w:r w:rsidRPr="00C53D09">
              <w:rPr>
                <w:rFonts w:cstheme="minorHAnsi"/>
                <w:color w:val="000000"/>
              </w:rPr>
              <w:t>$19,916</w:t>
            </w:r>
          </w:p>
        </w:tc>
      </w:tr>
      <w:tr w14:paraId="6B9AF444" w14:textId="77777777" w:rsidTr="00F7740C">
        <w:tblPrEx>
          <w:tblW w:w="9820" w:type="dxa"/>
          <w:tblLook w:val="04A0"/>
        </w:tblPrEx>
        <w:tc>
          <w:tcPr>
            <w:tcW w:w="1810" w:type="dxa"/>
            <w:vAlign w:val="center"/>
            <w:hideMark/>
          </w:tcPr>
          <w:p w:rsidR="00E55A94" w:rsidRPr="00C53D09" w:rsidP="00E55A94" w14:paraId="6526B771" w14:textId="52117D24">
            <w:pPr>
              <w:spacing w:after="0" w:line="240" w:lineRule="auto"/>
              <w:rPr>
                <w:rFonts w:eastAsia="Times New Roman" w:cstheme="minorHAnsi"/>
                <w:color w:val="000000"/>
              </w:rPr>
            </w:pPr>
            <w:r w:rsidRPr="00C53D09">
              <w:rPr>
                <w:rFonts w:cstheme="minorHAnsi"/>
                <w:color w:val="000000"/>
              </w:rPr>
              <w:t>TT -Industrial Landfills</w:t>
            </w:r>
          </w:p>
        </w:tc>
        <w:tc>
          <w:tcPr>
            <w:tcW w:w="1604" w:type="dxa"/>
            <w:noWrap/>
            <w:vAlign w:val="center"/>
            <w:hideMark/>
          </w:tcPr>
          <w:p w:rsidR="00E55A94" w:rsidRPr="00C53D09" w:rsidP="00E55A94" w14:paraId="6CA3F74E" w14:textId="453BEF2F">
            <w:pPr>
              <w:spacing w:after="0" w:line="240" w:lineRule="auto"/>
              <w:jc w:val="right"/>
              <w:rPr>
                <w:rFonts w:eastAsia="Times New Roman" w:cstheme="minorHAnsi"/>
                <w:color w:val="000000"/>
              </w:rPr>
            </w:pPr>
            <w:r w:rsidRPr="00C53D09">
              <w:rPr>
                <w:rFonts w:cstheme="minorHAnsi"/>
                <w:color w:val="000000"/>
              </w:rPr>
              <w:t>162</w:t>
            </w:r>
          </w:p>
        </w:tc>
        <w:tc>
          <w:tcPr>
            <w:tcW w:w="1711" w:type="dxa"/>
            <w:noWrap/>
            <w:vAlign w:val="center"/>
            <w:hideMark/>
          </w:tcPr>
          <w:p w:rsidR="00E55A94" w:rsidRPr="00C53D09" w:rsidP="00E55A94" w14:paraId="2506DB63" w14:textId="53E864FA">
            <w:pPr>
              <w:spacing w:after="0" w:line="240" w:lineRule="auto"/>
              <w:jc w:val="right"/>
              <w:rPr>
                <w:rFonts w:eastAsia="Times New Roman" w:cstheme="minorHAnsi"/>
                <w:color w:val="000000"/>
              </w:rPr>
            </w:pPr>
            <w:r w:rsidRPr="00C53D09">
              <w:rPr>
                <w:rFonts w:cstheme="minorHAnsi"/>
                <w:color w:val="000000"/>
              </w:rPr>
              <w:t>8,812</w:t>
            </w:r>
          </w:p>
        </w:tc>
        <w:tc>
          <w:tcPr>
            <w:tcW w:w="1678" w:type="dxa"/>
            <w:noWrap/>
            <w:vAlign w:val="center"/>
            <w:hideMark/>
          </w:tcPr>
          <w:p w:rsidR="00E55A94" w:rsidRPr="00C53D09" w:rsidP="00900A63" w14:paraId="131B33B8" w14:textId="37273E94">
            <w:pPr>
              <w:spacing w:after="0" w:line="240" w:lineRule="auto"/>
              <w:jc w:val="right"/>
              <w:rPr>
                <w:rFonts w:eastAsia="Times New Roman" w:cstheme="minorHAnsi"/>
                <w:color w:val="000000"/>
              </w:rPr>
            </w:pPr>
            <w:r w:rsidRPr="00C53D09">
              <w:rPr>
                <w:rFonts w:cstheme="minorHAnsi"/>
                <w:color w:val="000000"/>
              </w:rPr>
              <w:t>$716,150</w:t>
            </w:r>
          </w:p>
        </w:tc>
        <w:tc>
          <w:tcPr>
            <w:tcW w:w="1459" w:type="dxa"/>
            <w:noWrap/>
            <w:vAlign w:val="center"/>
            <w:hideMark/>
          </w:tcPr>
          <w:p w:rsidR="00E55A94" w:rsidRPr="00C53D09" w:rsidP="00900A63" w14:paraId="1493BACD" w14:textId="2E8F323F">
            <w:pPr>
              <w:spacing w:after="0" w:line="240" w:lineRule="auto"/>
              <w:jc w:val="right"/>
              <w:rPr>
                <w:rFonts w:eastAsia="Times New Roman" w:cstheme="minorHAnsi"/>
                <w:color w:val="000000"/>
              </w:rPr>
            </w:pPr>
            <w:r w:rsidRPr="00C53D09">
              <w:rPr>
                <w:rFonts w:cstheme="minorHAnsi"/>
                <w:color w:val="000000"/>
              </w:rPr>
              <w:t>$10,088</w:t>
            </w:r>
          </w:p>
        </w:tc>
        <w:tc>
          <w:tcPr>
            <w:tcW w:w="1558" w:type="dxa"/>
            <w:noWrap/>
            <w:vAlign w:val="center"/>
            <w:hideMark/>
          </w:tcPr>
          <w:p w:rsidR="00E55A94" w:rsidRPr="00C53D09" w:rsidP="00900A63" w14:paraId="0272079E" w14:textId="533470A9">
            <w:pPr>
              <w:spacing w:after="0" w:line="240" w:lineRule="auto"/>
              <w:jc w:val="right"/>
              <w:rPr>
                <w:rFonts w:eastAsia="Times New Roman" w:cstheme="minorHAnsi"/>
                <w:color w:val="000000"/>
              </w:rPr>
            </w:pPr>
            <w:r w:rsidRPr="00C53D09">
              <w:rPr>
                <w:rFonts w:cstheme="minorHAnsi"/>
                <w:color w:val="000000"/>
              </w:rPr>
              <w:t>$726,238</w:t>
            </w:r>
          </w:p>
        </w:tc>
      </w:tr>
      <w:tr w14:paraId="12838FBB" w14:textId="77777777" w:rsidTr="00F7740C">
        <w:tblPrEx>
          <w:tblW w:w="9820" w:type="dxa"/>
          <w:tblLook w:val="04A0"/>
        </w:tblPrEx>
        <w:tc>
          <w:tcPr>
            <w:tcW w:w="1810" w:type="dxa"/>
            <w:vAlign w:val="center"/>
            <w:hideMark/>
          </w:tcPr>
          <w:p w:rsidR="00E55A94" w:rsidRPr="00C53D09" w:rsidP="00E55A94" w14:paraId="3299B391" w14:textId="48BDA0BD">
            <w:pPr>
              <w:spacing w:after="0" w:line="240" w:lineRule="auto"/>
              <w:rPr>
                <w:rFonts w:eastAsia="Times New Roman" w:cstheme="minorHAnsi"/>
                <w:color w:val="000000"/>
              </w:rPr>
            </w:pPr>
            <w:r w:rsidRPr="00C53D09">
              <w:rPr>
                <w:rFonts w:cstheme="minorHAnsi"/>
                <w:color w:val="000000"/>
              </w:rPr>
              <w:t>UU. Injection of Carbon Dioxide</w:t>
            </w:r>
          </w:p>
        </w:tc>
        <w:tc>
          <w:tcPr>
            <w:tcW w:w="1604" w:type="dxa"/>
            <w:noWrap/>
            <w:vAlign w:val="center"/>
            <w:hideMark/>
          </w:tcPr>
          <w:p w:rsidR="00E55A94" w:rsidRPr="00C53D09" w:rsidP="00E55A94" w14:paraId="56F345DA" w14:textId="0FBF91C6">
            <w:pPr>
              <w:spacing w:after="0" w:line="240" w:lineRule="auto"/>
              <w:jc w:val="right"/>
              <w:rPr>
                <w:rFonts w:eastAsia="Times New Roman" w:cstheme="minorHAnsi"/>
                <w:color w:val="000000"/>
              </w:rPr>
            </w:pPr>
            <w:r w:rsidRPr="00C53D09">
              <w:rPr>
                <w:rFonts w:cstheme="minorHAnsi"/>
                <w:color w:val="000000"/>
              </w:rPr>
              <w:t>79</w:t>
            </w:r>
          </w:p>
        </w:tc>
        <w:tc>
          <w:tcPr>
            <w:tcW w:w="1711" w:type="dxa"/>
            <w:noWrap/>
            <w:vAlign w:val="center"/>
            <w:hideMark/>
          </w:tcPr>
          <w:p w:rsidR="00E55A94" w:rsidRPr="00C53D09" w:rsidP="00E55A94" w14:paraId="2FF9D53B" w14:textId="3DA6683D">
            <w:pPr>
              <w:spacing w:after="0" w:line="240" w:lineRule="auto"/>
              <w:jc w:val="right"/>
              <w:rPr>
                <w:rFonts w:eastAsia="Times New Roman" w:cstheme="minorHAnsi"/>
                <w:color w:val="000000"/>
              </w:rPr>
            </w:pPr>
            <w:r w:rsidRPr="00C53D09">
              <w:rPr>
                <w:rFonts w:cstheme="minorHAnsi"/>
                <w:color w:val="000000"/>
              </w:rPr>
              <w:t>1,003</w:t>
            </w:r>
          </w:p>
        </w:tc>
        <w:tc>
          <w:tcPr>
            <w:tcW w:w="1678" w:type="dxa"/>
            <w:noWrap/>
            <w:vAlign w:val="center"/>
            <w:hideMark/>
          </w:tcPr>
          <w:p w:rsidR="00E55A94" w:rsidRPr="00C53D09" w:rsidP="00900A63" w14:paraId="1E76029D" w14:textId="3C1F683F">
            <w:pPr>
              <w:spacing w:after="0" w:line="240" w:lineRule="auto"/>
              <w:jc w:val="right"/>
              <w:rPr>
                <w:rFonts w:eastAsia="Times New Roman" w:cstheme="minorHAnsi"/>
                <w:color w:val="000000"/>
              </w:rPr>
            </w:pPr>
            <w:r w:rsidRPr="00C53D09">
              <w:rPr>
                <w:rFonts w:cstheme="minorHAnsi"/>
                <w:color w:val="000000"/>
              </w:rPr>
              <w:t>$80,755</w:t>
            </w:r>
          </w:p>
        </w:tc>
        <w:tc>
          <w:tcPr>
            <w:tcW w:w="1459" w:type="dxa"/>
            <w:noWrap/>
            <w:vAlign w:val="center"/>
            <w:hideMark/>
          </w:tcPr>
          <w:p w:rsidR="00E55A94" w:rsidRPr="00C53D09" w:rsidP="00900A63" w14:paraId="64C420AF" w14:textId="3E383509">
            <w:pPr>
              <w:spacing w:after="0" w:line="240" w:lineRule="auto"/>
              <w:jc w:val="right"/>
              <w:rPr>
                <w:rFonts w:eastAsia="Times New Roman" w:cstheme="minorHAnsi"/>
                <w:color w:val="000000"/>
              </w:rPr>
            </w:pPr>
            <w:r w:rsidRPr="00C53D09">
              <w:rPr>
                <w:rFonts w:cstheme="minorHAnsi"/>
                <w:color w:val="000000"/>
              </w:rPr>
              <w:t>$4,759</w:t>
            </w:r>
          </w:p>
        </w:tc>
        <w:tc>
          <w:tcPr>
            <w:tcW w:w="1558" w:type="dxa"/>
            <w:noWrap/>
            <w:vAlign w:val="center"/>
            <w:hideMark/>
          </w:tcPr>
          <w:p w:rsidR="00E55A94" w:rsidRPr="00C53D09" w:rsidP="00900A63" w14:paraId="5326CC97" w14:textId="6E16F2F7">
            <w:pPr>
              <w:spacing w:after="0" w:line="240" w:lineRule="auto"/>
              <w:jc w:val="right"/>
              <w:rPr>
                <w:rFonts w:eastAsia="Times New Roman" w:cstheme="minorHAnsi"/>
                <w:color w:val="000000"/>
              </w:rPr>
            </w:pPr>
            <w:r w:rsidRPr="00C53D09">
              <w:rPr>
                <w:rFonts w:cstheme="minorHAnsi"/>
                <w:color w:val="000000"/>
              </w:rPr>
              <w:t>$85,514</w:t>
            </w:r>
          </w:p>
        </w:tc>
      </w:tr>
      <w:tr w14:paraId="12E8C0FD" w14:textId="77777777" w:rsidTr="00F7740C">
        <w:tblPrEx>
          <w:tblW w:w="9820" w:type="dxa"/>
          <w:tblLook w:val="04A0"/>
        </w:tblPrEx>
        <w:tc>
          <w:tcPr>
            <w:tcW w:w="1810" w:type="dxa"/>
            <w:vAlign w:val="center"/>
            <w:hideMark/>
          </w:tcPr>
          <w:p w:rsidR="00E55A94" w:rsidRPr="00C53D09" w:rsidP="00E55A94" w14:paraId="5C2DA85D" w14:textId="1F5D95DF">
            <w:pPr>
              <w:spacing w:after="0" w:line="240" w:lineRule="auto"/>
              <w:rPr>
                <w:rFonts w:eastAsia="Times New Roman" w:cstheme="minorHAnsi"/>
                <w:color w:val="000000"/>
              </w:rPr>
            </w:pPr>
            <w:r w:rsidRPr="00C53D09">
              <w:rPr>
                <w:rFonts w:cstheme="minorHAnsi"/>
                <w:color w:val="000000"/>
              </w:rPr>
              <w:t>VV. Geologic Sequestration of CO2 with EOR</w:t>
            </w:r>
          </w:p>
        </w:tc>
        <w:tc>
          <w:tcPr>
            <w:tcW w:w="1604" w:type="dxa"/>
            <w:noWrap/>
            <w:vAlign w:val="center"/>
            <w:hideMark/>
          </w:tcPr>
          <w:p w:rsidR="00E55A94" w:rsidRPr="00C53D09" w:rsidP="00E55A94" w14:paraId="5A771A38" w14:textId="3556B584">
            <w:pPr>
              <w:spacing w:after="0" w:line="240" w:lineRule="auto"/>
              <w:jc w:val="right"/>
              <w:rPr>
                <w:rFonts w:eastAsia="Times New Roman" w:cstheme="minorHAnsi"/>
                <w:color w:val="000000"/>
              </w:rPr>
            </w:pPr>
            <w:r w:rsidRPr="00C53D09">
              <w:rPr>
                <w:rFonts w:cstheme="minorHAnsi"/>
                <w:color w:val="000000"/>
              </w:rPr>
              <w:t>2</w:t>
            </w:r>
          </w:p>
        </w:tc>
        <w:tc>
          <w:tcPr>
            <w:tcW w:w="1711" w:type="dxa"/>
            <w:noWrap/>
            <w:vAlign w:val="center"/>
            <w:hideMark/>
          </w:tcPr>
          <w:p w:rsidR="00E55A94" w:rsidRPr="00C53D09" w:rsidP="00E55A94" w14:paraId="32153F2C" w14:textId="3AC0F887">
            <w:pPr>
              <w:spacing w:after="0" w:line="240" w:lineRule="auto"/>
              <w:jc w:val="right"/>
              <w:rPr>
                <w:rFonts w:eastAsia="Times New Roman" w:cstheme="minorHAnsi"/>
                <w:color w:val="000000"/>
              </w:rPr>
            </w:pPr>
            <w:r w:rsidRPr="00C53D09">
              <w:rPr>
                <w:rFonts w:cstheme="minorHAnsi"/>
                <w:color w:val="000000"/>
              </w:rPr>
              <w:t>27</w:t>
            </w:r>
          </w:p>
        </w:tc>
        <w:tc>
          <w:tcPr>
            <w:tcW w:w="1678" w:type="dxa"/>
            <w:noWrap/>
            <w:vAlign w:val="center"/>
            <w:hideMark/>
          </w:tcPr>
          <w:p w:rsidR="00E55A94" w:rsidRPr="00C53D09" w:rsidP="00900A63" w14:paraId="74255160" w14:textId="53096EC8">
            <w:pPr>
              <w:spacing w:after="0" w:line="240" w:lineRule="auto"/>
              <w:jc w:val="right"/>
              <w:rPr>
                <w:rFonts w:eastAsia="Times New Roman" w:cstheme="minorHAnsi"/>
                <w:color w:val="000000"/>
              </w:rPr>
            </w:pPr>
            <w:r w:rsidRPr="00C53D09">
              <w:rPr>
                <w:rFonts w:cstheme="minorHAnsi"/>
                <w:color w:val="000000"/>
              </w:rPr>
              <w:t>$2,084</w:t>
            </w:r>
          </w:p>
        </w:tc>
        <w:tc>
          <w:tcPr>
            <w:tcW w:w="1459" w:type="dxa"/>
            <w:noWrap/>
            <w:vAlign w:val="center"/>
            <w:hideMark/>
          </w:tcPr>
          <w:p w:rsidR="00E55A94" w:rsidRPr="00C53D09" w:rsidP="00900A63" w14:paraId="2E89E693" w14:textId="138AFE55">
            <w:pPr>
              <w:spacing w:after="0" w:line="240" w:lineRule="auto"/>
              <w:jc w:val="right"/>
              <w:rPr>
                <w:rFonts w:eastAsia="Times New Roman" w:cstheme="minorHAnsi"/>
                <w:color w:val="000000"/>
              </w:rPr>
            </w:pPr>
            <w:r w:rsidRPr="00C53D09">
              <w:rPr>
                <w:rFonts w:cstheme="minorHAnsi"/>
                <w:color w:val="000000"/>
              </w:rPr>
              <w:t>$140</w:t>
            </w:r>
          </w:p>
        </w:tc>
        <w:tc>
          <w:tcPr>
            <w:tcW w:w="1558" w:type="dxa"/>
            <w:noWrap/>
            <w:vAlign w:val="center"/>
            <w:hideMark/>
          </w:tcPr>
          <w:p w:rsidR="00E55A94" w:rsidRPr="00C53D09" w:rsidP="00900A63" w14:paraId="7B5F5264" w14:textId="306360F5">
            <w:pPr>
              <w:spacing w:after="0" w:line="240" w:lineRule="auto"/>
              <w:jc w:val="right"/>
              <w:rPr>
                <w:rFonts w:eastAsia="Times New Roman" w:cstheme="minorHAnsi"/>
                <w:color w:val="000000"/>
              </w:rPr>
            </w:pPr>
            <w:r w:rsidRPr="00C53D09">
              <w:rPr>
                <w:rFonts w:cstheme="minorHAnsi"/>
                <w:color w:val="000000"/>
              </w:rPr>
              <w:t>$2,224</w:t>
            </w:r>
          </w:p>
        </w:tc>
      </w:tr>
      <w:tr w14:paraId="5131CF0F" w14:textId="77777777" w:rsidTr="00F7740C">
        <w:tblPrEx>
          <w:tblW w:w="9820" w:type="dxa"/>
          <w:tblLook w:val="04A0"/>
        </w:tblPrEx>
        <w:tc>
          <w:tcPr>
            <w:tcW w:w="1810" w:type="dxa"/>
            <w:vAlign w:val="center"/>
            <w:hideMark/>
          </w:tcPr>
          <w:p w:rsidR="00E55A94" w:rsidRPr="00C53D09" w:rsidP="00E55A94" w14:paraId="06406ABA" w14:textId="055FC0BC">
            <w:pPr>
              <w:spacing w:after="0" w:line="240" w:lineRule="auto"/>
              <w:rPr>
                <w:rFonts w:eastAsia="Times New Roman" w:cstheme="minorHAnsi"/>
                <w:color w:val="000000"/>
              </w:rPr>
            </w:pPr>
            <w:r w:rsidRPr="00C53D09">
              <w:rPr>
                <w:rFonts w:cstheme="minorHAnsi"/>
                <w:color w:val="000000"/>
              </w:rPr>
              <w:t>WW. Coke Calciners</w:t>
            </w:r>
          </w:p>
        </w:tc>
        <w:tc>
          <w:tcPr>
            <w:tcW w:w="1604" w:type="dxa"/>
            <w:noWrap/>
            <w:vAlign w:val="center"/>
            <w:hideMark/>
          </w:tcPr>
          <w:p w:rsidR="00E55A94" w:rsidRPr="00C53D09" w:rsidP="00E55A94" w14:paraId="0C229725" w14:textId="35B1A215">
            <w:pPr>
              <w:spacing w:after="0" w:line="240" w:lineRule="auto"/>
              <w:jc w:val="right"/>
              <w:rPr>
                <w:rFonts w:eastAsia="Times New Roman" w:cstheme="minorHAnsi"/>
                <w:color w:val="000000"/>
              </w:rPr>
            </w:pPr>
            <w:r w:rsidRPr="00C53D09">
              <w:rPr>
                <w:rFonts w:cstheme="minorHAnsi"/>
                <w:color w:val="000000"/>
              </w:rPr>
              <w:t>15</w:t>
            </w:r>
          </w:p>
        </w:tc>
        <w:tc>
          <w:tcPr>
            <w:tcW w:w="1711" w:type="dxa"/>
            <w:noWrap/>
            <w:vAlign w:val="center"/>
            <w:hideMark/>
          </w:tcPr>
          <w:p w:rsidR="00E55A94" w:rsidRPr="00C53D09" w:rsidP="00E55A94" w14:paraId="7E107734" w14:textId="78C3FA51">
            <w:pPr>
              <w:spacing w:after="0" w:line="240" w:lineRule="auto"/>
              <w:jc w:val="right"/>
              <w:rPr>
                <w:rFonts w:eastAsia="Times New Roman" w:cstheme="minorHAnsi"/>
                <w:color w:val="000000"/>
              </w:rPr>
            </w:pPr>
            <w:r w:rsidRPr="00C53D09">
              <w:rPr>
                <w:rFonts w:cstheme="minorHAnsi"/>
                <w:color w:val="000000"/>
              </w:rPr>
              <w:t>504</w:t>
            </w:r>
          </w:p>
        </w:tc>
        <w:tc>
          <w:tcPr>
            <w:tcW w:w="1678" w:type="dxa"/>
            <w:noWrap/>
            <w:vAlign w:val="center"/>
            <w:hideMark/>
          </w:tcPr>
          <w:p w:rsidR="00E55A94" w:rsidRPr="00C53D09" w:rsidP="00900A63" w14:paraId="58BA129B" w14:textId="52556D13">
            <w:pPr>
              <w:spacing w:after="0" w:line="240" w:lineRule="auto"/>
              <w:jc w:val="right"/>
              <w:rPr>
                <w:rFonts w:eastAsia="Times New Roman" w:cstheme="minorHAnsi"/>
                <w:color w:val="000000"/>
              </w:rPr>
            </w:pPr>
            <w:r w:rsidRPr="00C53D09">
              <w:rPr>
                <w:rFonts w:cstheme="minorHAnsi"/>
                <w:color w:val="000000"/>
              </w:rPr>
              <w:t>$42,500</w:t>
            </w:r>
          </w:p>
        </w:tc>
        <w:tc>
          <w:tcPr>
            <w:tcW w:w="1459" w:type="dxa"/>
            <w:noWrap/>
            <w:vAlign w:val="center"/>
            <w:hideMark/>
          </w:tcPr>
          <w:p w:rsidR="00E55A94" w:rsidRPr="00C53D09" w:rsidP="00900A63" w14:paraId="4A3FE133" w14:textId="4C4D9B48">
            <w:pPr>
              <w:spacing w:after="0" w:line="240" w:lineRule="auto"/>
              <w:jc w:val="right"/>
              <w:rPr>
                <w:rFonts w:eastAsia="Times New Roman" w:cstheme="minorHAnsi"/>
                <w:color w:val="000000"/>
              </w:rPr>
            </w:pPr>
            <w:r w:rsidRPr="00C53D09">
              <w:rPr>
                <w:rFonts w:cstheme="minorHAnsi"/>
                <w:color w:val="000000"/>
              </w:rPr>
              <w:t>$22,097</w:t>
            </w:r>
          </w:p>
        </w:tc>
        <w:tc>
          <w:tcPr>
            <w:tcW w:w="1558" w:type="dxa"/>
            <w:noWrap/>
            <w:vAlign w:val="center"/>
            <w:hideMark/>
          </w:tcPr>
          <w:p w:rsidR="00E55A94" w:rsidRPr="00C53D09" w:rsidP="00900A63" w14:paraId="0FAF3FDE" w14:textId="51C88ABC">
            <w:pPr>
              <w:spacing w:after="0" w:line="240" w:lineRule="auto"/>
              <w:jc w:val="right"/>
              <w:rPr>
                <w:rFonts w:eastAsia="Times New Roman" w:cstheme="minorHAnsi"/>
                <w:color w:val="000000"/>
              </w:rPr>
            </w:pPr>
            <w:r w:rsidRPr="00C53D09">
              <w:rPr>
                <w:rFonts w:cstheme="minorHAnsi"/>
                <w:color w:val="000000"/>
              </w:rPr>
              <w:t>$64,597</w:t>
            </w:r>
          </w:p>
        </w:tc>
      </w:tr>
      <w:tr w14:paraId="3ACDFDAC" w14:textId="77777777" w:rsidTr="00F7740C">
        <w:tblPrEx>
          <w:tblW w:w="9820" w:type="dxa"/>
          <w:tblLook w:val="04A0"/>
        </w:tblPrEx>
        <w:tc>
          <w:tcPr>
            <w:tcW w:w="1810" w:type="dxa"/>
            <w:vAlign w:val="center"/>
            <w:hideMark/>
          </w:tcPr>
          <w:p w:rsidR="00E55A94" w:rsidRPr="00C53D09" w:rsidP="00E55A94" w14:paraId="7EE1611D" w14:textId="2BAB55FF">
            <w:pPr>
              <w:spacing w:after="0" w:line="240" w:lineRule="auto"/>
              <w:rPr>
                <w:rFonts w:eastAsia="Times New Roman" w:cstheme="minorHAnsi"/>
                <w:color w:val="000000"/>
              </w:rPr>
            </w:pPr>
            <w:r w:rsidRPr="00C53D09">
              <w:rPr>
                <w:rFonts w:cstheme="minorHAnsi"/>
                <w:color w:val="000000"/>
              </w:rPr>
              <w:t>XX. Calcium Carbide</w:t>
            </w:r>
            <w:r w:rsidR="00CD40A9">
              <w:rPr>
                <w:rFonts w:cstheme="minorHAnsi"/>
                <w:color w:val="000000"/>
              </w:rPr>
              <w:t xml:space="preserve"> Production</w:t>
            </w:r>
          </w:p>
        </w:tc>
        <w:tc>
          <w:tcPr>
            <w:tcW w:w="1604" w:type="dxa"/>
            <w:noWrap/>
            <w:vAlign w:val="center"/>
            <w:hideMark/>
          </w:tcPr>
          <w:p w:rsidR="00E55A94" w:rsidRPr="00C53D09" w:rsidP="00E55A94" w14:paraId="67B91294" w14:textId="4CD34AC2">
            <w:pPr>
              <w:spacing w:after="0" w:line="240" w:lineRule="auto"/>
              <w:jc w:val="right"/>
              <w:rPr>
                <w:rFonts w:eastAsia="Times New Roman" w:cstheme="minorHAnsi"/>
                <w:color w:val="000000"/>
              </w:rPr>
            </w:pPr>
            <w:r w:rsidRPr="00C53D09">
              <w:rPr>
                <w:rFonts w:cstheme="minorHAnsi"/>
                <w:color w:val="000000"/>
              </w:rPr>
              <w:t>1</w:t>
            </w:r>
          </w:p>
        </w:tc>
        <w:tc>
          <w:tcPr>
            <w:tcW w:w="1711" w:type="dxa"/>
            <w:noWrap/>
            <w:vAlign w:val="center"/>
            <w:hideMark/>
          </w:tcPr>
          <w:p w:rsidR="00E55A94" w:rsidRPr="00C53D09" w:rsidP="00E55A94" w14:paraId="4AFC0E19" w14:textId="38362759">
            <w:pPr>
              <w:spacing w:after="0" w:line="240" w:lineRule="auto"/>
              <w:jc w:val="right"/>
              <w:rPr>
                <w:rFonts w:eastAsia="Times New Roman" w:cstheme="minorHAnsi"/>
                <w:color w:val="000000"/>
              </w:rPr>
            </w:pPr>
            <w:r w:rsidRPr="00C53D09">
              <w:rPr>
                <w:rFonts w:cstheme="minorHAnsi"/>
                <w:color w:val="000000"/>
              </w:rPr>
              <w:t>38</w:t>
            </w:r>
          </w:p>
        </w:tc>
        <w:tc>
          <w:tcPr>
            <w:tcW w:w="1678" w:type="dxa"/>
            <w:noWrap/>
            <w:vAlign w:val="center"/>
            <w:hideMark/>
          </w:tcPr>
          <w:p w:rsidR="00E55A94" w:rsidRPr="00C53D09" w:rsidP="00900A63" w14:paraId="42B5BAC3" w14:textId="4AE010A0">
            <w:pPr>
              <w:spacing w:after="0" w:line="240" w:lineRule="auto"/>
              <w:jc w:val="right"/>
              <w:rPr>
                <w:rFonts w:eastAsia="Times New Roman" w:cstheme="minorHAnsi"/>
                <w:color w:val="000000"/>
              </w:rPr>
            </w:pPr>
            <w:r w:rsidRPr="00C53D09">
              <w:rPr>
                <w:rFonts w:cstheme="minorHAnsi"/>
                <w:color w:val="000000"/>
              </w:rPr>
              <w:t>$3,200</w:t>
            </w:r>
          </w:p>
        </w:tc>
        <w:tc>
          <w:tcPr>
            <w:tcW w:w="1459" w:type="dxa"/>
            <w:noWrap/>
            <w:vAlign w:val="center"/>
            <w:hideMark/>
          </w:tcPr>
          <w:p w:rsidR="00E55A94" w:rsidRPr="00C53D09" w:rsidP="00900A63" w14:paraId="06287AE6" w14:textId="17C02874">
            <w:pPr>
              <w:spacing w:after="0" w:line="240" w:lineRule="auto"/>
              <w:jc w:val="right"/>
              <w:rPr>
                <w:rFonts w:eastAsia="Times New Roman" w:cstheme="minorHAnsi"/>
                <w:color w:val="000000"/>
              </w:rPr>
            </w:pPr>
            <w:r w:rsidRPr="00C53D09">
              <w:rPr>
                <w:rFonts w:cstheme="minorHAnsi"/>
                <w:color w:val="000000"/>
              </w:rPr>
              <w:t>$70</w:t>
            </w:r>
          </w:p>
        </w:tc>
        <w:tc>
          <w:tcPr>
            <w:tcW w:w="1558" w:type="dxa"/>
            <w:noWrap/>
            <w:vAlign w:val="center"/>
            <w:hideMark/>
          </w:tcPr>
          <w:p w:rsidR="00E55A94" w:rsidRPr="00C53D09" w:rsidP="00900A63" w14:paraId="59FF863F" w14:textId="484F7FCB">
            <w:pPr>
              <w:spacing w:after="0" w:line="240" w:lineRule="auto"/>
              <w:jc w:val="right"/>
              <w:rPr>
                <w:rFonts w:eastAsia="Times New Roman" w:cstheme="minorHAnsi"/>
                <w:color w:val="000000"/>
              </w:rPr>
            </w:pPr>
            <w:r w:rsidRPr="00C53D09">
              <w:rPr>
                <w:rFonts w:cstheme="minorHAnsi"/>
                <w:color w:val="000000"/>
              </w:rPr>
              <w:t>$3,270</w:t>
            </w:r>
          </w:p>
        </w:tc>
      </w:tr>
      <w:tr w14:paraId="24F032AD" w14:textId="77777777" w:rsidTr="00F7740C">
        <w:tblPrEx>
          <w:tblW w:w="9820" w:type="dxa"/>
          <w:tblLook w:val="04A0"/>
        </w:tblPrEx>
        <w:tc>
          <w:tcPr>
            <w:tcW w:w="1810" w:type="dxa"/>
            <w:vAlign w:val="center"/>
            <w:hideMark/>
          </w:tcPr>
          <w:p w:rsidR="00E55A94" w:rsidRPr="00C53D09" w:rsidP="00E55A94" w14:paraId="0B8980B6" w14:textId="0DDB365E">
            <w:pPr>
              <w:spacing w:after="0" w:line="240" w:lineRule="auto"/>
              <w:rPr>
                <w:rFonts w:eastAsia="Times New Roman" w:cstheme="minorHAnsi"/>
                <w:color w:val="000000"/>
              </w:rPr>
            </w:pPr>
            <w:r w:rsidRPr="00C53D09">
              <w:rPr>
                <w:rFonts w:cstheme="minorHAnsi"/>
                <w:color w:val="000000"/>
              </w:rPr>
              <w:t xml:space="preserve">YY. Caprolactam, Glyoxal, and </w:t>
            </w:r>
            <w:r w:rsidRPr="00C53D09" w:rsidR="000404AD">
              <w:rPr>
                <w:rFonts w:cstheme="minorHAnsi"/>
                <w:color w:val="000000"/>
              </w:rPr>
              <w:t>Glyoxylic</w:t>
            </w:r>
            <w:r w:rsidRPr="00C53D09">
              <w:rPr>
                <w:rFonts w:cstheme="minorHAnsi"/>
                <w:color w:val="000000"/>
              </w:rPr>
              <w:t xml:space="preserve"> Acid Production</w:t>
            </w:r>
          </w:p>
        </w:tc>
        <w:tc>
          <w:tcPr>
            <w:tcW w:w="1604" w:type="dxa"/>
            <w:noWrap/>
            <w:vAlign w:val="center"/>
            <w:hideMark/>
          </w:tcPr>
          <w:p w:rsidR="00E55A94" w:rsidRPr="00C53D09" w:rsidP="00E55A94" w14:paraId="797F149D" w14:textId="77D20E41">
            <w:pPr>
              <w:spacing w:after="0" w:line="240" w:lineRule="auto"/>
              <w:jc w:val="right"/>
              <w:rPr>
                <w:rFonts w:eastAsia="Times New Roman" w:cstheme="minorHAnsi"/>
                <w:color w:val="000000"/>
              </w:rPr>
            </w:pPr>
            <w:r w:rsidRPr="00C53D09">
              <w:rPr>
                <w:rFonts w:cstheme="minorHAnsi"/>
                <w:color w:val="000000"/>
              </w:rPr>
              <w:t>6</w:t>
            </w:r>
          </w:p>
        </w:tc>
        <w:tc>
          <w:tcPr>
            <w:tcW w:w="1711" w:type="dxa"/>
            <w:noWrap/>
            <w:vAlign w:val="center"/>
            <w:hideMark/>
          </w:tcPr>
          <w:p w:rsidR="00E55A94" w:rsidRPr="00C53D09" w:rsidP="00E55A94" w14:paraId="7D5AB055" w14:textId="6DC27F08">
            <w:pPr>
              <w:spacing w:after="0" w:line="240" w:lineRule="auto"/>
              <w:jc w:val="right"/>
              <w:rPr>
                <w:rFonts w:eastAsia="Times New Roman" w:cstheme="minorHAnsi"/>
                <w:color w:val="000000"/>
              </w:rPr>
            </w:pPr>
            <w:r w:rsidRPr="00C53D09">
              <w:rPr>
                <w:rFonts w:cstheme="minorHAnsi"/>
                <w:color w:val="000000"/>
              </w:rPr>
              <w:t>166</w:t>
            </w:r>
          </w:p>
        </w:tc>
        <w:tc>
          <w:tcPr>
            <w:tcW w:w="1678" w:type="dxa"/>
            <w:noWrap/>
            <w:vAlign w:val="center"/>
            <w:hideMark/>
          </w:tcPr>
          <w:p w:rsidR="00E55A94" w:rsidRPr="00C53D09" w:rsidP="00900A63" w14:paraId="1B2BA61E" w14:textId="1EEDCCAA">
            <w:pPr>
              <w:spacing w:after="0" w:line="240" w:lineRule="auto"/>
              <w:jc w:val="right"/>
              <w:rPr>
                <w:rFonts w:eastAsia="Times New Roman" w:cstheme="minorHAnsi"/>
                <w:color w:val="000000"/>
              </w:rPr>
            </w:pPr>
            <w:r w:rsidRPr="00C53D09">
              <w:rPr>
                <w:rFonts w:cstheme="minorHAnsi"/>
                <w:color w:val="000000"/>
              </w:rPr>
              <w:t>$13,747</w:t>
            </w:r>
          </w:p>
        </w:tc>
        <w:tc>
          <w:tcPr>
            <w:tcW w:w="1459" w:type="dxa"/>
            <w:noWrap/>
            <w:vAlign w:val="center"/>
            <w:hideMark/>
          </w:tcPr>
          <w:p w:rsidR="00E55A94" w:rsidRPr="00C53D09" w:rsidP="00900A63" w14:paraId="66043B45" w14:textId="334EA24B">
            <w:pPr>
              <w:spacing w:after="0" w:line="240" w:lineRule="auto"/>
              <w:jc w:val="right"/>
              <w:rPr>
                <w:rFonts w:eastAsia="Times New Roman" w:cstheme="minorHAnsi"/>
                <w:color w:val="000000"/>
              </w:rPr>
            </w:pPr>
            <w:r w:rsidRPr="00C53D09">
              <w:rPr>
                <w:rFonts w:cstheme="minorHAnsi"/>
                <w:color w:val="000000"/>
              </w:rPr>
              <w:t>$421</w:t>
            </w:r>
          </w:p>
        </w:tc>
        <w:tc>
          <w:tcPr>
            <w:tcW w:w="1558" w:type="dxa"/>
            <w:noWrap/>
            <w:vAlign w:val="center"/>
            <w:hideMark/>
          </w:tcPr>
          <w:p w:rsidR="00E55A94" w:rsidRPr="00C53D09" w:rsidP="00900A63" w14:paraId="4B62B615" w14:textId="36981872">
            <w:pPr>
              <w:spacing w:after="0" w:line="240" w:lineRule="auto"/>
              <w:jc w:val="right"/>
              <w:rPr>
                <w:rFonts w:eastAsia="Times New Roman" w:cstheme="minorHAnsi"/>
                <w:color w:val="000000"/>
              </w:rPr>
            </w:pPr>
            <w:r w:rsidRPr="00C53D09">
              <w:rPr>
                <w:rFonts w:cstheme="minorHAnsi"/>
                <w:color w:val="000000"/>
              </w:rPr>
              <w:t>$14,167</w:t>
            </w:r>
          </w:p>
        </w:tc>
      </w:tr>
      <w:tr w14:paraId="55D63D7C" w14:textId="77777777" w:rsidTr="00F7740C">
        <w:tblPrEx>
          <w:tblW w:w="9820" w:type="dxa"/>
          <w:tblLook w:val="04A0"/>
        </w:tblPrEx>
        <w:tc>
          <w:tcPr>
            <w:tcW w:w="1810" w:type="dxa"/>
            <w:vAlign w:val="center"/>
            <w:hideMark/>
          </w:tcPr>
          <w:p w:rsidR="00E55A94" w:rsidRPr="00C53D09" w:rsidP="00E55A94" w14:paraId="2DD4D1AB" w14:textId="02BCA251">
            <w:pPr>
              <w:spacing w:after="0" w:line="240" w:lineRule="auto"/>
              <w:rPr>
                <w:rFonts w:eastAsia="Times New Roman" w:cstheme="minorHAnsi"/>
                <w:color w:val="000000"/>
              </w:rPr>
            </w:pPr>
            <w:r w:rsidRPr="00C53D09">
              <w:rPr>
                <w:rFonts w:cstheme="minorHAnsi"/>
                <w:color w:val="000000"/>
              </w:rPr>
              <w:t>ZZ. Ceramics Production</w:t>
            </w:r>
          </w:p>
        </w:tc>
        <w:tc>
          <w:tcPr>
            <w:tcW w:w="1604" w:type="dxa"/>
            <w:noWrap/>
            <w:vAlign w:val="center"/>
            <w:hideMark/>
          </w:tcPr>
          <w:p w:rsidR="00E55A94" w:rsidRPr="00C53D09" w:rsidP="00E55A94" w14:paraId="35283854" w14:textId="68FC531E">
            <w:pPr>
              <w:spacing w:after="0" w:line="240" w:lineRule="auto"/>
              <w:jc w:val="right"/>
              <w:rPr>
                <w:rFonts w:eastAsia="Times New Roman" w:cstheme="minorHAnsi"/>
                <w:color w:val="000000"/>
              </w:rPr>
            </w:pPr>
            <w:r w:rsidRPr="00C53D09">
              <w:rPr>
                <w:rFonts w:cstheme="minorHAnsi"/>
                <w:color w:val="000000"/>
              </w:rPr>
              <w:t>25</w:t>
            </w:r>
          </w:p>
        </w:tc>
        <w:tc>
          <w:tcPr>
            <w:tcW w:w="1711" w:type="dxa"/>
            <w:noWrap/>
            <w:vAlign w:val="center"/>
            <w:hideMark/>
          </w:tcPr>
          <w:p w:rsidR="00E55A94" w:rsidRPr="00C53D09" w:rsidP="00E55A94" w14:paraId="775495AD" w14:textId="2C9051CB">
            <w:pPr>
              <w:spacing w:after="0" w:line="240" w:lineRule="auto"/>
              <w:jc w:val="right"/>
              <w:rPr>
                <w:rFonts w:eastAsia="Times New Roman" w:cstheme="minorHAnsi"/>
                <w:color w:val="000000"/>
              </w:rPr>
            </w:pPr>
            <w:r w:rsidRPr="00C53D09">
              <w:rPr>
                <w:rFonts w:cstheme="minorHAnsi"/>
                <w:color w:val="000000"/>
              </w:rPr>
              <w:t>753</w:t>
            </w:r>
          </w:p>
        </w:tc>
        <w:tc>
          <w:tcPr>
            <w:tcW w:w="1678" w:type="dxa"/>
            <w:noWrap/>
            <w:vAlign w:val="center"/>
            <w:hideMark/>
          </w:tcPr>
          <w:p w:rsidR="00E55A94" w:rsidRPr="00C53D09" w:rsidP="00900A63" w14:paraId="02FF02D1" w14:textId="75AA393F">
            <w:pPr>
              <w:spacing w:after="0" w:line="240" w:lineRule="auto"/>
              <w:jc w:val="right"/>
              <w:rPr>
                <w:rFonts w:eastAsia="Times New Roman" w:cstheme="minorHAnsi"/>
                <w:color w:val="000000"/>
              </w:rPr>
            </w:pPr>
            <w:r w:rsidRPr="00C53D09">
              <w:rPr>
                <w:rFonts w:cstheme="minorHAnsi"/>
                <w:color w:val="000000"/>
              </w:rPr>
              <w:t>$63,767</w:t>
            </w:r>
          </w:p>
        </w:tc>
        <w:tc>
          <w:tcPr>
            <w:tcW w:w="1459" w:type="dxa"/>
            <w:noWrap/>
            <w:vAlign w:val="center"/>
            <w:hideMark/>
          </w:tcPr>
          <w:p w:rsidR="00E55A94" w:rsidRPr="00C53D09" w:rsidP="00900A63" w14:paraId="1CEA025B" w14:textId="5D76C991">
            <w:pPr>
              <w:spacing w:after="0" w:line="240" w:lineRule="auto"/>
              <w:jc w:val="right"/>
              <w:rPr>
                <w:rFonts w:eastAsia="Times New Roman" w:cstheme="minorHAnsi"/>
                <w:color w:val="000000"/>
              </w:rPr>
            </w:pPr>
            <w:r w:rsidRPr="00C53D09">
              <w:rPr>
                <w:rFonts w:cstheme="minorHAnsi"/>
                <w:color w:val="000000"/>
              </w:rPr>
              <w:t>$1,754</w:t>
            </w:r>
          </w:p>
        </w:tc>
        <w:tc>
          <w:tcPr>
            <w:tcW w:w="1558" w:type="dxa"/>
            <w:noWrap/>
            <w:vAlign w:val="center"/>
            <w:hideMark/>
          </w:tcPr>
          <w:p w:rsidR="00E55A94" w:rsidRPr="00C53D09" w:rsidP="00900A63" w14:paraId="58692C52" w14:textId="24C70953">
            <w:pPr>
              <w:spacing w:after="0" w:line="240" w:lineRule="auto"/>
              <w:jc w:val="right"/>
              <w:rPr>
                <w:rFonts w:eastAsia="Times New Roman" w:cstheme="minorHAnsi"/>
                <w:color w:val="000000"/>
              </w:rPr>
            </w:pPr>
            <w:r w:rsidRPr="00C53D09">
              <w:rPr>
                <w:rFonts w:cstheme="minorHAnsi"/>
                <w:color w:val="000000"/>
              </w:rPr>
              <w:t>$65,521</w:t>
            </w:r>
          </w:p>
        </w:tc>
      </w:tr>
      <w:tr w14:paraId="6D2A75BB" w14:textId="77777777" w:rsidTr="00F7740C">
        <w:tblPrEx>
          <w:tblW w:w="9820" w:type="dxa"/>
          <w:tblLook w:val="04A0"/>
        </w:tblPrEx>
        <w:tc>
          <w:tcPr>
            <w:tcW w:w="1810" w:type="dxa"/>
            <w:vAlign w:val="center"/>
          </w:tcPr>
          <w:p w:rsidR="00FD49F5" w:rsidRPr="00C53D09" w:rsidP="00FD49F5" w14:paraId="4C76CEDE" w14:textId="3B529537">
            <w:pPr>
              <w:spacing w:after="0" w:line="240" w:lineRule="auto"/>
              <w:rPr>
                <w:rFonts w:eastAsia="Times New Roman" w:cstheme="minorHAnsi"/>
                <w:color w:val="000000"/>
              </w:rPr>
            </w:pPr>
            <w:r w:rsidRPr="00C53D09">
              <w:rPr>
                <w:rFonts w:cstheme="minorHAnsi"/>
                <w:b/>
                <w:bCs/>
                <w:color w:val="000000"/>
              </w:rPr>
              <w:t xml:space="preserve">Totals </w:t>
            </w:r>
          </w:p>
        </w:tc>
        <w:tc>
          <w:tcPr>
            <w:tcW w:w="1604" w:type="dxa"/>
            <w:noWrap/>
            <w:vAlign w:val="center"/>
          </w:tcPr>
          <w:p w:rsidR="00FD49F5" w:rsidRPr="00C53D09" w:rsidP="00FD49F5" w14:paraId="04EAF6E4" w14:textId="498AC84C">
            <w:pPr>
              <w:spacing w:after="0" w:line="240" w:lineRule="auto"/>
              <w:jc w:val="right"/>
              <w:rPr>
                <w:rFonts w:eastAsia="Times New Roman" w:cstheme="minorHAnsi"/>
                <w:color w:val="000000"/>
              </w:rPr>
            </w:pPr>
            <w:r w:rsidRPr="00C53D09">
              <w:rPr>
                <w:rFonts w:cstheme="minorHAnsi"/>
                <w:color w:val="000000"/>
              </w:rPr>
              <w:t>8,971</w:t>
            </w:r>
          </w:p>
        </w:tc>
        <w:tc>
          <w:tcPr>
            <w:tcW w:w="1711" w:type="dxa"/>
            <w:noWrap/>
            <w:vAlign w:val="center"/>
          </w:tcPr>
          <w:p w:rsidR="00FD49F5" w:rsidRPr="00C53D09" w:rsidP="00FD49F5" w14:paraId="450E2CF2" w14:textId="790C0DC3">
            <w:pPr>
              <w:spacing w:after="0" w:line="240" w:lineRule="auto"/>
              <w:jc w:val="right"/>
              <w:rPr>
                <w:rFonts w:eastAsia="Times New Roman" w:cstheme="minorHAnsi"/>
                <w:highlight w:val="cyan"/>
              </w:rPr>
            </w:pPr>
            <w:r w:rsidRPr="00C53D09">
              <w:rPr>
                <w:rFonts w:cstheme="minorHAnsi"/>
              </w:rPr>
              <w:t>2,596,244</w:t>
            </w:r>
          </w:p>
        </w:tc>
        <w:tc>
          <w:tcPr>
            <w:tcW w:w="1678" w:type="dxa"/>
            <w:noWrap/>
            <w:vAlign w:val="center"/>
          </w:tcPr>
          <w:p w:rsidR="00FD49F5" w:rsidRPr="00C53D09" w:rsidP="00FD49F5" w14:paraId="4BDF0885" w14:textId="61ADD8F2">
            <w:pPr>
              <w:spacing w:after="0" w:line="240" w:lineRule="auto"/>
              <w:jc w:val="right"/>
              <w:rPr>
                <w:rFonts w:eastAsia="Times New Roman" w:cstheme="minorHAnsi"/>
                <w:highlight w:val="cyan"/>
              </w:rPr>
            </w:pPr>
            <w:r w:rsidRPr="00C53D09">
              <w:rPr>
                <w:rFonts w:cstheme="minorHAnsi"/>
              </w:rPr>
              <w:t xml:space="preserve">$247,693,715 </w:t>
            </w:r>
          </w:p>
        </w:tc>
        <w:tc>
          <w:tcPr>
            <w:tcW w:w="1459" w:type="dxa"/>
            <w:noWrap/>
            <w:vAlign w:val="center"/>
          </w:tcPr>
          <w:p w:rsidR="00FD49F5" w:rsidRPr="00C53D09" w:rsidP="00FD49F5" w14:paraId="4656B088" w14:textId="7D3F457E">
            <w:pPr>
              <w:spacing w:after="0" w:line="240" w:lineRule="auto"/>
              <w:jc w:val="right"/>
              <w:rPr>
                <w:rFonts w:eastAsia="Times New Roman" w:cstheme="minorHAnsi"/>
                <w:highlight w:val="cyan"/>
              </w:rPr>
            </w:pPr>
            <w:r w:rsidRPr="00C53D09">
              <w:rPr>
                <w:rFonts w:cstheme="minorHAnsi"/>
              </w:rPr>
              <w:t xml:space="preserve">$54,990,106 </w:t>
            </w:r>
          </w:p>
        </w:tc>
        <w:tc>
          <w:tcPr>
            <w:tcW w:w="1558" w:type="dxa"/>
            <w:noWrap/>
            <w:vAlign w:val="center"/>
          </w:tcPr>
          <w:p w:rsidR="00FD49F5" w:rsidRPr="00C53D09" w:rsidP="00FD49F5" w14:paraId="06BF1F8F" w14:textId="3558BA32">
            <w:pPr>
              <w:spacing w:after="0" w:line="240" w:lineRule="auto"/>
              <w:jc w:val="right"/>
              <w:rPr>
                <w:rFonts w:eastAsia="Times New Roman" w:cstheme="minorHAnsi"/>
                <w:highlight w:val="cyan"/>
              </w:rPr>
            </w:pPr>
            <w:r w:rsidRPr="00C53D09">
              <w:rPr>
                <w:rFonts w:cstheme="minorHAnsi"/>
              </w:rPr>
              <w:t xml:space="preserve">$302,683,821 </w:t>
            </w:r>
          </w:p>
        </w:tc>
      </w:tr>
      <w:tr w14:paraId="22A56A6C" w14:textId="77777777" w:rsidTr="00F7740C">
        <w:tblPrEx>
          <w:tblW w:w="9820" w:type="dxa"/>
          <w:tblLook w:val="04A0"/>
        </w:tblPrEx>
        <w:tc>
          <w:tcPr>
            <w:tcW w:w="1810" w:type="dxa"/>
            <w:vAlign w:val="center"/>
          </w:tcPr>
          <w:p w:rsidR="009A67C2" w:rsidRPr="00C53D09" w:rsidP="009A67C2" w14:paraId="6B1F5B92" w14:textId="305D850A">
            <w:pPr>
              <w:spacing w:after="0" w:line="240" w:lineRule="auto"/>
              <w:rPr>
                <w:rFonts w:cstheme="minorHAnsi"/>
                <w:b/>
                <w:bCs/>
                <w:color w:val="000000"/>
              </w:rPr>
            </w:pPr>
            <w:r>
              <w:rPr>
                <w:rFonts w:cstheme="minorHAnsi"/>
                <w:b/>
                <w:bCs/>
                <w:color w:val="000000"/>
              </w:rPr>
              <w:t>Totals (Rounded)</w:t>
            </w:r>
          </w:p>
        </w:tc>
        <w:tc>
          <w:tcPr>
            <w:tcW w:w="1604" w:type="dxa"/>
            <w:noWrap/>
            <w:vAlign w:val="center"/>
          </w:tcPr>
          <w:p w:rsidR="009A67C2" w:rsidRPr="00C53D09" w:rsidP="009A67C2" w14:paraId="2D08D665" w14:textId="53397EE9">
            <w:pPr>
              <w:spacing w:after="0" w:line="240" w:lineRule="auto"/>
              <w:jc w:val="right"/>
              <w:rPr>
                <w:rFonts w:cstheme="minorHAnsi"/>
                <w:color w:val="000000"/>
              </w:rPr>
            </w:pPr>
            <w:r>
              <w:rPr>
                <w:rFonts w:cstheme="minorHAnsi"/>
                <w:color w:val="000000"/>
              </w:rPr>
              <w:t>--</w:t>
            </w:r>
          </w:p>
        </w:tc>
        <w:tc>
          <w:tcPr>
            <w:tcW w:w="1711" w:type="dxa"/>
            <w:noWrap/>
            <w:vAlign w:val="center"/>
          </w:tcPr>
          <w:p w:rsidR="009A67C2" w:rsidRPr="00C53D09" w:rsidP="009A67C2" w14:paraId="471598F6" w14:textId="50CF505F">
            <w:pPr>
              <w:spacing w:after="0" w:line="240" w:lineRule="auto"/>
              <w:jc w:val="right"/>
              <w:rPr>
                <w:rFonts w:cstheme="minorHAnsi"/>
              </w:rPr>
            </w:pPr>
            <w:r>
              <w:rPr>
                <w:rFonts w:cstheme="minorHAnsi"/>
              </w:rPr>
              <w:t>2,600,000</w:t>
            </w:r>
          </w:p>
        </w:tc>
        <w:tc>
          <w:tcPr>
            <w:tcW w:w="1678" w:type="dxa"/>
            <w:noWrap/>
            <w:vAlign w:val="center"/>
          </w:tcPr>
          <w:p w:rsidR="009A67C2" w:rsidRPr="00720E38" w:rsidP="009A67C2" w14:paraId="2299FF05" w14:textId="5C9BCD1D">
            <w:pPr>
              <w:spacing w:after="0" w:line="240" w:lineRule="auto"/>
              <w:jc w:val="right"/>
              <w:rPr>
                <w:rFonts w:cstheme="minorHAnsi"/>
              </w:rPr>
            </w:pPr>
            <w:r w:rsidRPr="00720E38">
              <w:rPr>
                <w:rFonts w:ascii="Calibri" w:hAnsi="Calibri" w:cs="Calibri"/>
              </w:rPr>
              <w:t xml:space="preserve">$248,000,000 </w:t>
            </w:r>
          </w:p>
        </w:tc>
        <w:tc>
          <w:tcPr>
            <w:tcW w:w="1459" w:type="dxa"/>
            <w:noWrap/>
            <w:vAlign w:val="center"/>
          </w:tcPr>
          <w:p w:rsidR="009A67C2" w:rsidRPr="00720E38" w:rsidP="009A67C2" w14:paraId="08D91AA4" w14:textId="6018AD65">
            <w:pPr>
              <w:spacing w:after="0" w:line="240" w:lineRule="auto"/>
              <w:jc w:val="right"/>
              <w:rPr>
                <w:rFonts w:cstheme="minorHAnsi"/>
              </w:rPr>
            </w:pPr>
            <w:r w:rsidRPr="00720E38">
              <w:rPr>
                <w:rFonts w:ascii="Calibri" w:hAnsi="Calibri" w:cs="Calibri"/>
              </w:rPr>
              <w:t xml:space="preserve">$55,000,000 </w:t>
            </w:r>
          </w:p>
        </w:tc>
        <w:tc>
          <w:tcPr>
            <w:tcW w:w="1558" w:type="dxa"/>
            <w:noWrap/>
            <w:vAlign w:val="center"/>
          </w:tcPr>
          <w:p w:rsidR="009A67C2" w:rsidRPr="00720E38" w:rsidP="009A67C2" w14:paraId="0BDFC56C" w14:textId="2DC0F00E">
            <w:pPr>
              <w:spacing w:after="0" w:line="240" w:lineRule="auto"/>
              <w:jc w:val="right"/>
              <w:rPr>
                <w:rFonts w:cstheme="minorHAnsi"/>
              </w:rPr>
            </w:pPr>
            <w:r w:rsidRPr="00720E38">
              <w:rPr>
                <w:rFonts w:ascii="Calibri" w:hAnsi="Calibri" w:cs="Calibri"/>
              </w:rPr>
              <w:t xml:space="preserve">$303,000,000 </w:t>
            </w:r>
          </w:p>
        </w:tc>
      </w:tr>
    </w:tbl>
    <w:p w:rsidR="007619CC" w:rsidP="007619CC" w14:paraId="7B021A94" w14:textId="77777777">
      <w:pPr>
        <w:rPr>
          <w:rFonts w:cstheme="minorHAnsi"/>
        </w:rPr>
      </w:pPr>
    </w:p>
    <w:p w:rsidR="007F711B" w:rsidP="007619CC" w14:paraId="29C47820" w14:textId="02F1381B">
      <w:pPr>
        <w:ind w:firstLine="720"/>
        <w:rPr>
          <w:rFonts w:cstheme="minorHAnsi"/>
        </w:rPr>
      </w:pPr>
      <w:r>
        <w:rPr>
          <w:rFonts w:cstheme="minorHAnsi"/>
        </w:rPr>
        <w:t>The total number o</w:t>
      </w:r>
      <w:r w:rsidR="00E874D4">
        <w:rPr>
          <w:rFonts w:cstheme="minorHAnsi"/>
        </w:rPr>
        <w:t xml:space="preserve">f respondents is less than the sum of the respondents for each subpart because many respondents report under multiple subparts. </w:t>
      </w:r>
    </w:p>
    <w:p w:rsidR="00A945E1" w:rsidRPr="00A945E1" w:rsidP="00A945E1" w14:paraId="1AEDCB5B" w14:textId="4AB3676F">
      <w:pPr>
        <w:pStyle w:val="Heading2"/>
        <w:spacing w:before="200" w:line="360" w:lineRule="auto"/>
        <w:rPr>
          <w:rFonts w:asciiTheme="minorHAnsi" w:eastAsiaTheme="minorEastAsia" w:hAnsiTheme="minorHAnsi" w:cstheme="minorHAnsi"/>
          <w:color w:val="auto"/>
          <w:sz w:val="22"/>
          <w:szCs w:val="22"/>
        </w:rPr>
      </w:pPr>
      <w:r>
        <w:rPr>
          <w:rFonts w:asciiTheme="minorHAnsi" w:eastAsiaTheme="minorEastAsia" w:hAnsiTheme="minorHAnsi" w:cstheme="minorHAnsi"/>
          <w:color w:val="auto"/>
          <w:sz w:val="22"/>
          <w:szCs w:val="22"/>
        </w:rPr>
        <w:t>12d(i</w:t>
      </w:r>
      <w:r w:rsidR="006C26FB">
        <w:rPr>
          <w:rFonts w:asciiTheme="minorHAnsi" w:eastAsiaTheme="minorEastAsia" w:hAnsiTheme="minorHAnsi" w:cstheme="minorHAnsi"/>
          <w:color w:val="auto"/>
          <w:sz w:val="22"/>
          <w:szCs w:val="22"/>
        </w:rPr>
        <w:t>ii</w:t>
      </w:r>
      <w:r>
        <w:rPr>
          <w:rFonts w:asciiTheme="minorHAnsi" w:eastAsiaTheme="minorEastAsia" w:hAnsiTheme="minorHAnsi" w:cstheme="minorHAnsi"/>
          <w:color w:val="auto"/>
          <w:sz w:val="22"/>
          <w:szCs w:val="22"/>
        </w:rPr>
        <w:t>)</w:t>
      </w:r>
      <w:r w:rsidR="00A166B7">
        <w:rPr>
          <w:rFonts w:asciiTheme="minorHAnsi" w:eastAsiaTheme="minorEastAsia" w:hAnsiTheme="minorHAnsi" w:cstheme="minorHAnsi"/>
          <w:color w:val="auto"/>
          <w:sz w:val="22"/>
          <w:szCs w:val="22"/>
        </w:rPr>
        <w:t xml:space="preserve"> </w:t>
      </w:r>
      <w:r w:rsidRPr="00A945E1">
        <w:rPr>
          <w:rFonts w:asciiTheme="minorHAnsi" w:eastAsiaTheme="minorEastAsia" w:hAnsiTheme="minorHAnsi" w:cstheme="minorHAnsi"/>
          <w:color w:val="auto"/>
          <w:sz w:val="22"/>
          <w:szCs w:val="22"/>
        </w:rPr>
        <w:t>Estimating the Respondent Universe and Total Burden and Costs</w:t>
      </w:r>
    </w:p>
    <w:p w:rsidR="00A945E1" w:rsidRPr="005D0593" w:rsidP="00A945E1" w14:paraId="2F9F128A" w14:textId="1A4D82DE">
      <w:pPr>
        <w:ind w:firstLine="720"/>
      </w:pPr>
      <w:r w:rsidRPr="005D0593">
        <w:t xml:space="preserve">The estimated number of respondents in each subpart </w:t>
      </w:r>
      <w:r w:rsidR="00316092">
        <w:t>who will no longer be expected to report</w:t>
      </w:r>
      <w:r w:rsidRPr="005D0593">
        <w:t xml:space="preserve"> </w:t>
      </w:r>
      <w:r w:rsidR="00EF77FB">
        <w:t>and</w:t>
      </w:r>
      <w:r w:rsidRPr="005D0593">
        <w:t xml:space="preserve"> perform the required activities under this information collection </w:t>
      </w:r>
      <w:r w:rsidR="00A91BD3">
        <w:t>as a result of</w:t>
      </w:r>
      <w:r w:rsidR="00A91BD3">
        <w:t xml:space="preserve"> the proposed reconsideration </w:t>
      </w:r>
      <w:r w:rsidRPr="005D0593">
        <w:t xml:space="preserve">is presented </w:t>
      </w:r>
      <w:r w:rsidR="00362ECA">
        <w:t>Exhibit 12.2</w:t>
      </w:r>
      <w:r w:rsidRPr="005D0593">
        <w:t>. The</w:t>
      </w:r>
      <w:r w:rsidR="00713246">
        <w:t>re are no</w:t>
      </w:r>
      <w:r w:rsidRPr="005D0593">
        <w:t xml:space="preserve"> required activities </w:t>
      </w:r>
      <w:r w:rsidR="00713246">
        <w:t>or</w:t>
      </w:r>
      <w:r w:rsidRPr="005D0593">
        <w:t xml:space="preserve"> sector-specific reporting requirements, as described </w:t>
      </w:r>
      <w:r w:rsidR="00717707">
        <w:t xml:space="preserve">above in </w:t>
      </w:r>
      <w:r w:rsidR="00BB0164">
        <w:t>sec</w:t>
      </w:r>
      <w:r w:rsidR="00717707">
        <w:t>tion</w:t>
      </w:r>
      <w:r w:rsidR="00A166B7">
        <w:t>s</w:t>
      </w:r>
      <w:r w:rsidR="00717707">
        <w:t xml:space="preserve"> 12</w:t>
      </w:r>
      <w:r w:rsidR="00A166B7">
        <w:t>b and 12c</w:t>
      </w:r>
      <w:r w:rsidRPr="005D0593">
        <w:t>. The number of respondents subject to the required activities was estimated separately for each subpart, and in situations where a facility reports under multiple subparts, the facility was counted once per subpart (</w:t>
      </w:r>
      <w:r w:rsidRPr="005D0593">
        <w:rPr>
          <w:i/>
        </w:rPr>
        <w:t>e.g.,</w:t>
      </w:r>
      <w:r w:rsidRPr="005D0593">
        <w:t xml:space="preserve"> facilities that report emissions under both subpart P and subpart C were counted as separate facilities under each subpart). As a result, the actual total number of respondents that will perform the required activities for each year across all subparts is lower than </w:t>
      </w:r>
      <w:r w:rsidR="00DF317D">
        <w:t xml:space="preserve">the sum of </w:t>
      </w:r>
      <w:r w:rsidR="00583088">
        <w:t xml:space="preserve">the respondents </w:t>
      </w:r>
      <w:r w:rsidR="00025F72">
        <w:t>for each subpart</w:t>
      </w:r>
      <w:r w:rsidRPr="005D0593">
        <w:t>.</w:t>
      </w:r>
    </w:p>
    <w:p w:rsidR="00A945E1" w:rsidRPr="000238A7" w:rsidP="00A945E1" w14:paraId="0D181F3A" w14:textId="376E462E">
      <w:pPr>
        <w:pStyle w:val="Heading2"/>
        <w:spacing w:before="200" w:line="360" w:lineRule="auto"/>
        <w:rPr>
          <w:rFonts w:asciiTheme="minorHAnsi" w:eastAsiaTheme="minorEastAsia" w:hAnsiTheme="minorHAnsi" w:cstheme="minorHAnsi"/>
          <w:color w:val="auto"/>
          <w:sz w:val="22"/>
          <w:szCs w:val="22"/>
        </w:rPr>
      </w:pPr>
      <w:r>
        <w:rPr>
          <w:rFonts w:asciiTheme="minorHAnsi" w:eastAsiaTheme="minorEastAsia" w:hAnsiTheme="minorHAnsi" w:cstheme="minorHAnsi"/>
          <w:color w:val="auto"/>
          <w:sz w:val="22"/>
          <w:szCs w:val="22"/>
        </w:rPr>
        <w:t>12d(</w:t>
      </w:r>
      <w:r w:rsidR="006C26FB">
        <w:rPr>
          <w:rFonts w:asciiTheme="minorHAnsi" w:eastAsiaTheme="minorEastAsia" w:hAnsiTheme="minorHAnsi" w:cstheme="minorHAnsi"/>
          <w:color w:val="auto"/>
          <w:sz w:val="22"/>
          <w:szCs w:val="22"/>
        </w:rPr>
        <w:t>i</w:t>
      </w:r>
      <w:r>
        <w:rPr>
          <w:rFonts w:asciiTheme="minorHAnsi" w:eastAsiaTheme="minorEastAsia" w:hAnsiTheme="minorHAnsi" w:cstheme="minorHAnsi"/>
          <w:color w:val="auto"/>
          <w:sz w:val="22"/>
          <w:szCs w:val="22"/>
        </w:rPr>
        <w:t>v)</w:t>
      </w:r>
      <w:r w:rsidR="00A166B7">
        <w:rPr>
          <w:rFonts w:asciiTheme="minorHAnsi" w:eastAsiaTheme="minorEastAsia" w:hAnsiTheme="minorHAnsi" w:cstheme="minorHAnsi"/>
          <w:color w:val="auto"/>
          <w:sz w:val="22"/>
          <w:szCs w:val="22"/>
        </w:rPr>
        <w:t xml:space="preserve"> </w:t>
      </w:r>
      <w:r w:rsidRPr="000238A7">
        <w:rPr>
          <w:rFonts w:asciiTheme="minorHAnsi" w:eastAsiaTheme="minorEastAsia" w:hAnsiTheme="minorHAnsi" w:cstheme="minorHAnsi"/>
          <w:color w:val="auto"/>
          <w:sz w:val="22"/>
          <w:szCs w:val="22"/>
        </w:rPr>
        <w:t>Bottom Line Burden Hours and Costs</w:t>
      </w:r>
    </w:p>
    <w:p w:rsidR="00AD4955" w:rsidP="00C26C75" w14:paraId="6DD74FCC" w14:textId="77777777">
      <w:pPr>
        <w:ind w:firstLine="720"/>
        <w:sectPr w:rsidSect="005100FD">
          <w:headerReference w:type="default" r:id="rId10"/>
          <w:footerReference w:type="default" r:id="rId11"/>
          <w:pgSz w:w="12240" w:h="15840" w:code="1"/>
          <w:pgMar w:top="1440" w:right="1440" w:bottom="1440" w:left="1440" w:header="720" w:footer="432" w:gutter="0"/>
          <w:cols w:space="720"/>
          <w:docGrid w:linePitch="360"/>
        </w:sectPr>
      </w:pPr>
      <w:bookmarkStart w:id="22" w:name="_Toc199057246"/>
      <w:r w:rsidRPr="005D0593">
        <w:t xml:space="preserve">The bottom-line burden hours </w:t>
      </w:r>
      <w:r w:rsidR="0029226D">
        <w:t xml:space="preserve">are 0 and the bottom-line </w:t>
      </w:r>
      <w:r w:rsidRPr="005D0593">
        <w:t xml:space="preserve">costs are </w:t>
      </w:r>
      <w:r w:rsidR="0029226D">
        <w:t>$0</w:t>
      </w:r>
      <w:r w:rsidR="00A51E74">
        <w:t xml:space="preserve"> for the proposed reconsideration </w:t>
      </w:r>
      <w:r w:rsidR="009B6AA5">
        <w:t xml:space="preserve">because </w:t>
      </w:r>
      <w:r w:rsidR="0029226D">
        <w:t xml:space="preserve">the </w:t>
      </w:r>
      <w:r w:rsidR="002B6A78">
        <w:t>respondents</w:t>
      </w:r>
      <w:r w:rsidR="0029226D">
        <w:t xml:space="preserve"> </w:t>
      </w:r>
      <w:r w:rsidR="00D0152F">
        <w:t>included in the proposed reconsideration (including all respondents except</w:t>
      </w:r>
      <w:r w:rsidR="002B6A78">
        <w:t xml:space="preserve"> those subject to subpart W</w:t>
      </w:r>
      <w:r w:rsidR="00D0152F">
        <w:t>)</w:t>
      </w:r>
      <w:r w:rsidR="002B6A78">
        <w:t xml:space="preserve">, will no longer need to report their </w:t>
      </w:r>
      <w:r w:rsidR="00A30223">
        <w:t>annual GHG emiss</w:t>
      </w:r>
      <w:r w:rsidR="00972390">
        <w:t>i</w:t>
      </w:r>
      <w:r w:rsidR="00A30223">
        <w:t>ons</w:t>
      </w:r>
      <w:r w:rsidR="00972390">
        <w:t xml:space="preserve">. </w:t>
      </w:r>
      <w:r w:rsidR="002F12FF">
        <w:t xml:space="preserve">The </w:t>
      </w:r>
      <w:r w:rsidR="00792E98">
        <w:t xml:space="preserve">reduction in burden hours </w:t>
      </w:r>
      <w:r w:rsidR="003E2FD4">
        <w:t xml:space="preserve">over the next three </w:t>
      </w:r>
      <w:r w:rsidR="00E41431">
        <w:t xml:space="preserve">reporting </w:t>
      </w:r>
      <w:r w:rsidR="003E2FD4">
        <w:t xml:space="preserve">years </w:t>
      </w:r>
      <w:r w:rsidR="00792E98">
        <w:t xml:space="preserve">are </w:t>
      </w:r>
      <w:r w:rsidRPr="005D0593">
        <w:t xml:space="preserve">shown in Exhibit </w:t>
      </w:r>
      <w:r w:rsidR="007B2E04">
        <w:t>12</w:t>
      </w:r>
      <w:r w:rsidRPr="005D0593">
        <w:t>.</w:t>
      </w:r>
      <w:r w:rsidR="007B2E04">
        <w:t>3</w:t>
      </w:r>
      <w:r w:rsidRPr="005D0593">
        <w:t>.</w:t>
      </w:r>
    </w:p>
    <w:p w:rsidR="00A945E1" w:rsidRPr="005D0593" w:rsidP="00C26C75" w14:paraId="7172B7BA" w14:textId="69A73568">
      <w:pPr>
        <w:ind w:firstLine="720"/>
      </w:pPr>
    </w:p>
    <w:tbl>
      <w:tblPr>
        <w:tblW w:w="12960" w:type="dxa"/>
        <w:tblLook w:val="04A0"/>
      </w:tblPr>
      <w:tblGrid>
        <w:gridCol w:w="3011"/>
        <w:gridCol w:w="1974"/>
        <w:gridCol w:w="1975"/>
        <w:gridCol w:w="1975"/>
        <w:gridCol w:w="2050"/>
        <w:gridCol w:w="1975"/>
      </w:tblGrid>
      <w:tr w14:paraId="2194F5D0" w14:textId="77777777" w:rsidTr="00912BE3">
        <w:tblPrEx>
          <w:tblW w:w="12960" w:type="dxa"/>
          <w:tblLook w:val="04A0"/>
        </w:tblPrEx>
        <w:trPr>
          <w:trHeight w:val="300"/>
        </w:trPr>
        <w:tc>
          <w:tcPr>
            <w:tcW w:w="12960" w:type="dxa"/>
            <w:gridSpan w:val="6"/>
            <w:tcBorders>
              <w:top w:val="nil"/>
              <w:left w:val="nil"/>
              <w:bottom w:val="nil"/>
              <w:right w:val="nil"/>
            </w:tcBorders>
            <w:noWrap/>
            <w:vAlign w:val="bottom"/>
            <w:hideMark/>
          </w:tcPr>
          <w:p w:rsidR="003036B4" w:rsidRPr="00E21963" w:rsidP="00E21963" w14:paraId="0D91927A" w14:textId="77777777">
            <w:pPr>
              <w:keepNext/>
              <w:rPr>
                <w:b/>
              </w:rPr>
            </w:pPr>
            <w:r w:rsidRPr="00E21963">
              <w:rPr>
                <w:b/>
              </w:rPr>
              <w:t xml:space="preserve">Exhibit 12.3. Bottom Line Annual Burden and Cost </w:t>
            </w:r>
          </w:p>
          <w:p w:rsidR="00A945E1" w:rsidRPr="00E21963" w:rsidP="00413C7C" w14:paraId="2C1AF77B" w14:textId="5C69C718">
            <w:pPr>
              <w:rPr>
                <w:rFonts w:cstheme="minorHAnsi"/>
                <w:sz w:val="20"/>
                <w:szCs w:val="20"/>
              </w:rPr>
            </w:pPr>
            <w:r w:rsidRPr="00E21963">
              <w:rPr>
                <w:rFonts w:cstheme="minorHAnsi"/>
                <w:b/>
              </w:rPr>
              <w:t>(</w:t>
            </w:r>
            <w:r w:rsidRPr="00E21963" w:rsidR="003036B4">
              <w:rPr>
                <w:rFonts w:cstheme="minorHAnsi"/>
                <w:b/>
              </w:rPr>
              <w:t>A</w:t>
            </w:r>
            <w:r w:rsidRPr="00E21963">
              <w:rPr>
                <w:rFonts w:cstheme="minorHAnsi"/>
                <w:b/>
              </w:rPr>
              <w:t xml:space="preserve">ll </w:t>
            </w:r>
            <w:r w:rsidRPr="00E21963" w:rsidR="00B81E38">
              <w:rPr>
                <w:rFonts w:cstheme="minorHAnsi"/>
                <w:b/>
              </w:rPr>
              <w:t>labor</w:t>
            </w:r>
            <w:r w:rsidRPr="00E21963">
              <w:rPr>
                <w:rFonts w:cstheme="minorHAnsi"/>
                <w:b/>
              </w:rPr>
              <w:t xml:space="preserve"> </w:t>
            </w:r>
            <w:r w:rsidRPr="00E21963">
              <w:rPr>
                <w:rFonts w:cstheme="minorHAnsi"/>
                <w:b/>
              </w:rPr>
              <w:t>hour</w:t>
            </w:r>
            <w:r w:rsidRPr="00E21963">
              <w:rPr>
                <w:rFonts w:cstheme="minorHAnsi"/>
                <w:b/>
              </w:rPr>
              <w:t xml:space="preserve"> and dollar values are in parentheses to indicate that they represent </w:t>
            </w:r>
            <w:r w:rsidRPr="00E21963" w:rsidR="00CF5A15">
              <w:rPr>
                <w:rFonts w:cstheme="minorHAnsi"/>
                <w:b/>
              </w:rPr>
              <w:t xml:space="preserve">negative </w:t>
            </w:r>
            <w:r w:rsidRPr="00E21963" w:rsidR="00CF5A15">
              <w:rPr>
                <w:rFonts w:cstheme="minorHAnsi"/>
                <w:b/>
              </w:rPr>
              <w:t>values</w:t>
            </w:r>
            <w:r w:rsidRPr="00E21963" w:rsidR="00F625F2">
              <w:rPr>
                <w:rFonts w:cstheme="minorHAnsi"/>
                <w:b/>
              </w:rPr>
              <w:t>;</w:t>
            </w:r>
            <w:r w:rsidRPr="00E21963" w:rsidR="00F625F2">
              <w:rPr>
                <w:rFonts w:cstheme="minorHAnsi"/>
                <w:b/>
              </w:rPr>
              <w:t xml:space="preserve"> i.e.,</w:t>
            </w:r>
            <w:r w:rsidRPr="00E21963" w:rsidR="00CF5A15">
              <w:rPr>
                <w:rFonts w:cstheme="minorHAnsi"/>
                <w:b/>
              </w:rPr>
              <w:t xml:space="preserve"> </w:t>
            </w:r>
            <w:r w:rsidRPr="00E21963" w:rsidR="003036B4">
              <w:rPr>
                <w:rFonts w:cstheme="minorHAnsi"/>
                <w:b/>
              </w:rPr>
              <w:t>burden reduction and cost savings)</w:t>
            </w:r>
          </w:p>
        </w:tc>
      </w:tr>
      <w:tr w14:paraId="280B3479" w14:textId="77777777" w:rsidTr="00912BE3">
        <w:tblPrEx>
          <w:tblW w:w="12960" w:type="dxa"/>
          <w:tblLook w:val="04A0"/>
        </w:tblPrEx>
        <w:trPr>
          <w:trHeight w:val="300"/>
        </w:trPr>
        <w:tc>
          <w:tcPr>
            <w:tcW w:w="3011" w:type="dxa"/>
            <w:tcBorders>
              <w:top w:val="single" w:sz="8" w:space="0" w:color="auto"/>
              <w:left w:val="single" w:sz="8" w:space="0" w:color="auto"/>
              <w:bottom w:val="nil"/>
              <w:right w:val="single" w:sz="4" w:space="0" w:color="auto"/>
            </w:tcBorders>
            <w:shd w:val="clear" w:color="000000" w:fill="F2F2F2"/>
            <w:noWrap/>
            <w:vAlign w:val="bottom"/>
            <w:hideMark/>
          </w:tcPr>
          <w:p w:rsidR="00A945E1" w:rsidRPr="005D0593" w:rsidP="00413C7C" w14:paraId="6AA6F504" w14:textId="77777777">
            <w:pPr>
              <w:rPr>
                <w:rFonts w:ascii="Arial" w:hAnsi="Arial" w:cs="Arial"/>
                <w:sz w:val="16"/>
                <w:szCs w:val="16"/>
              </w:rPr>
            </w:pPr>
            <w:r w:rsidRPr="005D0593">
              <w:rPr>
                <w:rFonts w:ascii="Arial" w:hAnsi="Arial" w:cs="Arial"/>
                <w:sz w:val="16"/>
                <w:szCs w:val="16"/>
              </w:rPr>
              <w:t> </w:t>
            </w:r>
          </w:p>
        </w:tc>
        <w:tc>
          <w:tcPr>
            <w:tcW w:w="1974" w:type="dxa"/>
            <w:tcBorders>
              <w:top w:val="single" w:sz="8" w:space="0" w:color="auto"/>
              <w:left w:val="nil"/>
              <w:bottom w:val="nil"/>
              <w:right w:val="single" w:sz="4" w:space="0" w:color="auto"/>
            </w:tcBorders>
            <w:shd w:val="clear" w:color="000000" w:fill="F2F2F2"/>
            <w:noWrap/>
            <w:vAlign w:val="bottom"/>
            <w:hideMark/>
          </w:tcPr>
          <w:p w:rsidR="00A945E1" w:rsidRPr="005D0593" w:rsidP="00413C7C" w14:paraId="22128D18" w14:textId="7FBB6B07">
            <w:pPr>
              <w:jc w:val="center"/>
              <w:rPr>
                <w:rFonts w:ascii="Arial" w:hAnsi="Arial" w:cs="Arial"/>
                <w:sz w:val="16"/>
                <w:szCs w:val="16"/>
              </w:rPr>
            </w:pPr>
            <w:r w:rsidRPr="005D0593">
              <w:rPr>
                <w:rFonts w:ascii="Arial" w:hAnsi="Arial" w:cs="Arial"/>
                <w:sz w:val="16"/>
                <w:szCs w:val="16"/>
              </w:rPr>
              <w:t>Year 1 (</w:t>
            </w:r>
            <w:r w:rsidR="00E8170E">
              <w:rPr>
                <w:rFonts w:ascii="Arial" w:hAnsi="Arial" w:cs="Arial"/>
                <w:sz w:val="16"/>
                <w:szCs w:val="16"/>
              </w:rPr>
              <w:t>2</w:t>
            </w:r>
            <w:r w:rsidRPr="005D0593">
              <w:rPr>
                <w:rFonts w:ascii="Arial" w:hAnsi="Arial" w:cs="Arial"/>
                <w:sz w:val="16"/>
                <w:szCs w:val="16"/>
              </w:rPr>
              <w:t>02</w:t>
            </w:r>
            <w:r w:rsidR="00E8170E">
              <w:rPr>
                <w:rFonts w:ascii="Arial" w:hAnsi="Arial" w:cs="Arial"/>
                <w:sz w:val="16"/>
                <w:szCs w:val="16"/>
              </w:rPr>
              <w:t>6</w:t>
            </w:r>
            <w:r w:rsidRPr="005D0593">
              <w:rPr>
                <w:rFonts w:ascii="Arial" w:hAnsi="Arial" w:cs="Arial"/>
                <w:sz w:val="16"/>
                <w:szCs w:val="16"/>
              </w:rPr>
              <w:t>)</w:t>
            </w:r>
          </w:p>
        </w:tc>
        <w:tc>
          <w:tcPr>
            <w:tcW w:w="1975" w:type="dxa"/>
            <w:tcBorders>
              <w:top w:val="single" w:sz="8" w:space="0" w:color="auto"/>
              <w:left w:val="nil"/>
              <w:bottom w:val="nil"/>
              <w:right w:val="single" w:sz="4" w:space="0" w:color="auto"/>
            </w:tcBorders>
            <w:shd w:val="clear" w:color="000000" w:fill="F2F2F2"/>
            <w:noWrap/>
            <w:vAlign w:val="bottom"/>
            <w:hideMark/>
          </w:tcPr>
          <w:p w:rsidR="00A945E1" w:rsidRPr="005D0593" w:rsidP="00413C7C" w14:paraId="3CBBA81D" w14:textId="2D5B2738">
            <w:pPr>
              <w:jc w:val="center"/>
              <w:rPr>
                <w:rFonts w:ascii="Arial" w:hAnsi="Arial" w:cs="Arial"/>
                <w:sz w:val="16"/>
                <w:szCs w:val="16"/>
              </w:rPr>
            </w:pPr>
            <w:r w:rsidRPr="005D0593">
              <w:rPr>
                <w:rFonts w:ascii="Arial" w:hAnsi="Arial" w:cs="Arial"/>
                <w:sz w:val="16"/>
                <w:szCs w:val="16"/>
              </w:rPr>
              <w:t>Year 2 (202</w:t>
            </w:r>
            <w:r w:rsidR="00E8170E">
              <w:rPr>
                <w:rFonts w:ascii="Arial" w:hAnsi="Arial" w:cs="Arial"/>
                <w:sz w:val="16"/>
                <w:szCs w:val="16"/>
              </w:rPr>
              <w:t>7</w:t>
            </w:r>
            <w:r w:rsidRPr="005D0593">
              <w:rPr>
                <w:rFonts w:ascii="Arial" w:hAnsi="Arial" w:cs="Arial"/>
                <w:sz w:val="16"/>
                <w:szCs w:val="16"/>
              </w:rPr>
              <w:t>)</w:t>
            </w:r>
          </w:p>
        </w:tc>
        <w:tc>
          <w:tcPr>
            <w:tcW w:w="1975" w:type="dxa"/>
            <w:tcBorders>
              <w:top w:val="single" w:sz="8" w:space="0" w:color="auto"/>
              <w:left w:val="nil"/>
              <w:bottom w:val="nil"/>
              <w:right w:val="single" w:sz="4" w:space="0" w:color="auto"/>
            </w:tcBorders>
            <w:shd w:val="clear" w:color="000000" w:fill="F2F2F2"/>
            <w:noWrap/>
            <w:vAlign w:val="bottom"/>
            <w:hideMark/>
          </w:tcPr>
          <w:p w:rsidR="00A945E1" w:rsidRPr="005D0593" w:rsidP="00413C7C" w14:paraId="062D2493" w14:textId="52860C7E">
            <w:pPr>
              <w:jc w:val="center"/>
              <w:rPr>
                <w:rFonts w:ascii="Arial" w:hAnsi="Arial" w:cs="Arial"/>
                <w:sz w:val="16"/>
                <w:szCs w:val="16"/>
              </w:rPr>
            </w:pPr>
            <w:r w:rsidRPr="005D0593">
              <w:rPr>
                <w:rFonts w:ascii="Arial" w:hAnsi="Arial" w:cs="Arial"/>
                <w:sz w:val="16"/>
                <w:szCs w:val="16"/>
              </w:rPr>
              <w:t>Year 3 (202</w:t>
            </w:r>
            <w:r w:rsidR="00E8170E">
              <w:rPr>
                <w:rFonts w:ascii="Arial" w:hAnsi="Arial" w:cs="Arial"/>
                <w:sz w:val="16"/>
                <w:szCs w:val="16"/>
              </w:rPr>
              <w:t>8</w:t>
            </w:r>
            <w:r w:rsidRPr="005D0593">
              <w:rPr>
                <w:rFonts w:ascii="Arial" w:hAnsi="Arial" w:cs="Arial"/>
                <w:sz w:val="16"/>
                <w:szCs w:val="16"/>
              </w:rPr>
              <w:t>)</w:t>
            </w:r>
          </w:p>
        </w:tc>
        <w:tc>
          <w:tcPr>
            <w:tcW w:w="2050" w:type="dxa"/>
            <w:tcBorders>
              <w:top w:val="single" w:sz="8" w:space="0" w:color="auto"/>
              <w:left w:val="nil"/>
              <w:bottom w:val="nil"/>
              <w:right w:val="single" w:sz="4" w:space="0" w:color="auto"/>
            </w:tcBorders>
            <w:shd w:val="clear" w:color="000000" w:fill="F2F2F2"/>
            <w:noWrap/>
            <w:vAlign w:val="bottom"/>
            <w:hideMark/>
          </w:tcPr>
          <w:p w:rsidR="00A945E1" w:rsidRPr="005D0593" w:rsidP="00413C7C" w14:paraId="0CE0CC2F" w14:textId="77777777">
            <w:pPr>
              <w:jc w:val="center"/>
              <w:rPr>
                <w:rFonts w:ascii="Arial" w:hAnsi="Arial" w:cs="Arial"/>
                <w:sz w:val="16"/>
                <w:szCs w:val="16"/>
              </w:rPr>
            </w:pPr>
            <w:r w:rsidRPr="005D0593">
              <w:rPr>
                <w:rFonts w:ascii="Arial" w:hAnsi="Arial" w:cs="Arial"/>
                <w:sz w:val="16"/>
                <w:szCs w:val="16"/>
              </w:rPr>
              <w:t>Total</w:t>
            </w:r>
          </w:p>
        </w:tc>
        <w:tc>
          <w:tcPr>
            <w:tcW w:w="1975" w:type="dxa"/>
            <w:tcBorders>
              <w:top w:val="single" w:sz="8" w:space="0" w:color="auto"/>
              <w:left w:val="nil"/>
              <w:bottom w:val="nil"/>
              <w:right w:val="single" w:sz="8" w:space="0" w:color="auto"/>
            </w:tcBorders>
            <w:shd w:val="clear" w:color="000000" w:fill="F2F2F2"/>
            <w:noWrap/>
            <w:vAlign w:val="bottom"/>
            <w:hideMark/>
          </w:tcPr>
          <w:p w:rsidR="00A945E1" w:rsidRPr="005D0593" w:rsidP="00413C7C" w14:paraId="2705E411" w14:textId="77777777">
            <w:pPr>
              <w:jc w:val="center"/>
              <w:rPr>
                <w:rFonts w:ascii="Arial" w:hAnsi="Arial" w:cs="Arial"/>
                <w:sz w:val="16"/>
                <w:szCs w:val="16"/>
              </w:rPr>
            </w:pPr>
            <w:r w:rsidRPr="005D0593">
              <w:rPr>
                <w:rFonts w:ascii="Arial" w:hAnsi="Arial" w:cs="Arial"/>
                <w:sz w:val="16"/>
                <w:szCs w:val="16"/>
              </w:rPr>
              <w:t>Annual Average</w:t>
            </w:r>
          </w:p>
        </w:tc>
      </w:tr>
      <w:tr w14:paraId="7B819950" w14:textId="77777777" w:rsidTr="00912BE3">
        <w:tblPrEx>
          <w:tblW w:w="12960" w:type="dxa"/>
          <w:tblLook w:val="04A0"/>
        </w:tblPrEx>
        <w:trPr>
          <w:trHeight w:val="300"/>
        </w:trPr>
        <w:tc>
          <w:tcPr>
            <w:tcW w:w="3011" w:type="dxa"/>
            <w:tcBorders>
              <w:top w:val="nil"/>
              <w:left w:val="single" w:sz="8" w:space="0" w:color="auto"/>
              <w:bottom w:val="nil"/>
              <w:right w:val="nil"/>
            </w:tcBorders>
            <w:shd w:val="clear" w:color="000000" w:fill="F2F2F2"/>
            <w:noWrap/>
            <w:vAlign w:val="bottom"/>
            <w:hideMark/>
          </w:tcPr>
          <w:p w:rsidR="00A945E1" w:rsidRPr="005D0593" w:rsidP="00413C7C" w14:paraId="50E8C6B2" w14:textId="77777777">
            <w:pPr>
              <w:rPr>
                <w:rFonts w:ascii="Arial" w:hAnsi="Arial" w:cs="Arial"/>
                <w:sz w:val="16"/>
                <w:szCs w:val="16"/>
              </w:rPr>
            </w:pPr>
            <w:r w:rsidRPr="005D0593">
              <w:rPr>
                <w:rFonts w:ascii="Arial" w:hAnsi="Arial" w:cs="Arial"/>
                <w:sz w:val="16"/>
                <w:szCs w:val="16"/>
              </w:rPr>
              <w:t>Respondent Costs</w:t>
            </w:r>
          </w:p>
        </w:tc>
        <w:tc>
          <w:tcPr>
            <w:tcW w:w="1974" w:type="dxa"/>
            <w:tcBorders>
              <w:top w:val="nil"/>
              <w:left w:val="single" w:sz="4" w:space="0" w:color="auto"/>
              <w:bottom w:val="nil"/>
              <w:right w:val="single" w:sz="4" w:space="0" w:color="auto"/>
            </w:tcBorders>
            <w:noWrap/>
            <w:vAlign w:val="bottom"/>
            <w:hideMark/>
          </w:tcPr>
          <w:p w:rsidR="00A945E1" w:rsidRPr="005D0593" w:rsidP="00413C7C" w14:paraId="0D1B721C" w14:textId="77777777">
            <w:pPr>
              <w:rPr>
                <w:rFonts w:ascii="Arial" w:hAnsi="Arial" w:cs="Arial"/>
                <w:sz w:val="16"/>
                <w:szCs w:val="16"/>
              </w:rPr>
            </w:pPr>
            <w:r w:rsidRPr="005D0593">
              <w:rPr>
                <w:rFonts w:ascii="Arial" w:hAnsi="Arial" w:cs="Arial"/>
                <w:sz w:val="16"/>
                <w:szCs w:val="16"/>
              </w:rPr>
              <w:t> </w:t>
            </w:r>
          </w:p>
        </w:tc>
        <w:tc>
          <w:tcPr>
            <w:tcW w:w="1975" w:type="dxa"/>
            <w:tcBorders>
              <w:top w:val="nil"/>
              <w:left w:val="nil"/>
              <w:bottom w:val="nil"/>
              <w:right w:val="nil"/>
            </w:tcBorders>
            <w:noWrap/>
            <w:vAlign w:val="bottom"/>
            <w:hideMark/>
          </w:tcPr>
          <w:p w:rsidR="00A945E1" w:rsidRPr="005D0593" w:rsidP="00413C7C" w14:paraId="70F54EAC" w14:textId="77777777">
            <w:pPr>
              <w:rPr>
                <w:rFonts w:ascii="Arial" w:hAnsi="Arial" w:cs="Arial"/>
                <w:sz w:val="16"/>
                <w:szCs w:val="16"/>
              </w:rPr>
            </w:pPr>
          </w:p>
        </w:tc>
        <w:tc>
          <w:tcPr>
            <w:tcW w:w="1975" w:type="dxa"/>
            <w:tcBorders>
              <w:top w:val="nil"/>
              <w:left w:val="single" w:sz="4" w:space="0" w:color="auto"/>
              <w:bottom w:val="nil"/>
              <w:right w:val="single" w:sz="4" w:space="0" w:color="auto"/>
            </w:tcBorders>
            <w:noWrap/>
            <w:vAlign w:val="bottom"/>
            <w:hideMark/>
          </w:tcPr>
          <w:p w:rsidR="00A945E1" w:rsidRPr="005D0593" w:rsidP="00413C7C" w14:paraId="0DD806A9" w14:textId="77777777">
            <w:pPr>
              <w:rPr>
                <w:rFonts w:ascii="Arial" w:hAnsi="Arial" w:cs="Arial"/>
                <w:sz w:val="16"/>
                <w:szCs w:val="16"/>
              </w:rPr>
            </w:pPr>
            <w:r w:rsidRPr="005D0593">
              <w:rPr>
                <w:rFonts w:ascii="Arial" w:hAnsi="Arial" w:cs="Arial"/>
                <w:sz w:val="16"/>
                <w:szCs w:val="16"/>
              </w:rPr>
              <w:t> </w:t>
            </w:r>
          </w:p>
        </w:tc>
        <w:tc>
          <w:tcPr>
            <w:tcW w:w="2050" w:type="dxa"/>
            <w:tcBorders>
              <w:top w:val="nil"/>
              <w:left w:val="nil"/>
              <w:bottom w:val="nil"/>
              <w:right w:val="single" w:sz="4" w:space="0" w:color="auto"/>
            </w:tcBorders>
            <w:noWrap/>
            <w:vAlign w:val="bottom"/>
            <w:hideMark/>
          </w:tcPr>
          <w:p w:rsidR="00A945E1" w:rsidRPr="005D0593" w:rsidP="00413C7C" w14:paraId="338443B5" w14:textId="77777777">
            <w:pPr>
              <w:rPr>
                <w:rFonts w:ascii="Calibri" w:hAnsi="Calibri" w:cs="Calibri"/>
                <w:sz w:val="16"/>
                <w:szCs w:val="16"/>
              </w:rPr>
            </w:pPr>
            <w:r w:rsidRPr="005D0593">
              <w:rPr>
                <w:rFonts w:ascii="Calibri" w:hAnsi="Calibri" w:cs="Calibri"/>
                <w:sz w:val="16"/>
                <w:szCs w:val="16"/>
              </w:rPr>
              <w:t> </w:t>
            </w:r>
          </w:p>
        </w:tc>
        <w:tc>
          <w:tcPr>
            <w:tcW w:w="1975" w:type="dxa"/>
            <w:tcBorders>
              <w:top w:val="nil"/>
              <w:left w:val="nil"/>
              <w:bottom w:val="nil"/>
              <w:right w:val="single" w:sz="8" w:space="0" w:color="auto"/>
            </w:tcBorders>
            <w:noWrap/>
            <w:vAlign w:val="bottom"/>
            <w:hideMark/>
          </w:tcPr>
          <w:p w:rsidR="00A945E1" w:rsidRPr="005D0593" w:rsidP="00413C7C" w14:paraId="74264713" w14:textId="77777777">
            <w:pPr>
              <w:rPr>
                <w:rFonts w:ascii="Calibri" w:hAnsi="Calibri" w:cs="Calibri"/>
                <w:sz w:val="16"/>
                <w:szCs w:val="16"/>
              </w:rPr>
            </w:pPr>
            <w:r w:rsidRPr="005D0593">
              <w:rPr>
                <w:rFonts w:ascii="Calibri" w:hAnsi="Calibri" w:cs="Calibri"/>
                <w:sz w:val="16"/>
                <w:szCs w:val="16"/>
              </w:rPr>
              <w:t> </w:t>
            </w:r>
          </w:p>
        </w:tc>
      </w:tr>
      <w:tr w14:paraId="6EFF16E6"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noWrap/>
            <w:vAlign w:val="bottom"/>
            <w:hideMark/>
          </w:tcPr>
          <w:p w:rsidR="00912BE3" w:rsidRPr="005D0593" w:rsidP="00912BE3" w14:paraId="35E3842E" w14:textId="77777777">
            <w:pPr>
              <w:ind w:firstLine="320" w:firstLineChars="200"/>
              <w:rPr>
                <w:rFonts w:ascii="Arial" w:hAnsi="Arial" w:cs="Arial"/>
                <w:sz w:val="16"/>
                <w:szCs w:val="16"/>
              </w:rPr>
            </w:pPr>
            <w:r w:rsidRPr="005D0593">
              <w:rPr>
                <w:rFonts w:ascii="Arial" w:hAnsi="Arial" w:cs="Arial"/>
                <w:sz w:val="16"/>
                <w:szCs w:val="16"/>
              </w:rPr>
              <w:t>Number of Respondents</w:t>
            </w:r>
          </w:p>
        </w:tc>
        <w:tc>
          <w:tcPr>
            <w:tcW w:w="1974" w:type="dxa"/>
            <w:tcBorders>
              <w:top w:val="nil"/>
              <w:left w:val="single" w:sz="4" w:space="0" w:color="auto"/>
              <w:bottom w:val="nil"/>
              <w:right w:val="single" w:sz="4" w:space="0" w:color="auto"/>
            </w:tcBorders>
            <w:noWrap/>
            <w:vAlign w:val="center"/>
            <w:hideMark/>
          </w:tcPr>
          <w:p w:rsidR="00912BE3" w:rsidRPr="00900A63" w:rsidP="00912BE3" w14:paraId="7452A4C3" w14:textId="3F5C2152">
            <w:pPr>
              <w:jc w:val="center"/>
              <w:rPr>
                <w:rFonts w:ascii="Arial" w:hAnsi="Arial" w:cs="Arial"/>
                <w:sz w:val="16"/>
                <w:szCs w:val="16"/>
                <w:highlight w:val="cyan"/>
              </w:rPr>
            </w:pPr>
            <w:r>
              <w:rPr>
                <w:rFonts w:ascii="Arial" w:hAnsi="Arial" w:cs="Arial"/>
                <w:color w:val="000000"/>
                <w:sz w:val="16"/>
                <w:szCs w:val="16"/>
              </w:rPr>
              <w:t>8,971</w:t>
            </w:r>
          </w:p>
        </w:tc>
        <w:tc>
          <w:tcPr>
            <w:tcW w:w="1975" w:type="dxa"/>
            <w:tcBorders>
              <w:top w:val="nil"/>
              <w:left w:val="nil"/>
              <w:bottom w:val="nil"/>
              <w:right w:val="single" w:sz="4" w:space="0" w:color="auto"/>
            </w:tcBorders>
            <w:noWrap/>
            <w:vAlign w:val="center"/>
            <w:hideMark/>
          </w:tcPr>
          <w:p w:rsidR="00912BE3" w:rsidRPr="00900A63" w:rsidP="00912BE3" w14:paraId="2187B4B1" w14:textId="10E69544">
            <w:pPr>
              <w:jc w:val="center"/>
              <w:rPr>
                <w:rFonts w:ascii="Arial" w:hAnsi="Arial" w:cs="Arial"/>
                <w:sz w:val="16"/>
                <w:szCs w:val="16"/>
                <w:highlight w:val="cyan"/>
              </w:rPr>
            </w:pPr>
            <w:r>
              <w:rPr>
                <w:rFonts w:ascii="Arial" w:hAnsi="Arial" w:cs="Arial"/>
                <w:color w:val="000000"/>
                <w:sz w:val="16"/>
                <w:szCs w:val="16"/>
              </w:rPr>
              <w:t>8,971</w:t>
            </w:r>
          </w:p>
        </w:tc>
        <w:tc>
          <w:tcPr>
            <w:tcW w:w="1975" w:type="dxa"/>
            <w:tcBorders>
              <w:top w:val="nil"/>
              <w:left w:val="nil"/>
              <w:bottom w:val="nil"/>
              <w:right w:val="single" w:sz="4" w:space="0" w:color="auto"/>
            </w:tcBorders>
            <w:noWrap/>
            <w:vAlign w:val="center"/>
            <w:hideMark/>
          </w:tcPr>
          <w:p w:rsidR="00912BE3" w:rsidRPr="00900A63" w:rsidP="00912BE3" w14:paraId="6E2BBAD9" w14:textId="078A21E2">
            <w:pPr>
              <w:jc w:val="center"/>
              <w:rPr>
                <w:rFonts w:ascii="Arial" w:hAnsi="Arial" w:cs="Arial"/>
                <w:sz w:val="16"/>
                <w:szCs w:val="16"/>
                <w:highlight w:val="cyan"/>
              </w:rPr>
            </w:pPr>
            <w:r>
              <w:rPr>
                <w:rFonts w:ascii="Arial" w:hAnsi="Arial" w:cs="Arial"/>
                <w:color w:val="000000"/>
                <w:sz w:val="16"/>
                <w:szCs w:val="16"/>
              </w:rPr>
              <w:t>8,971</w:t>
            </w:r>
          </w:p>
        </w:tc>
        <w:tc>
          <w:tcPr>
            <w:tcW w:w="2050" w:type="dxa"/>
            <w:tcBorders>
              <w:top w:val="nil"/>
              <w:left w:val="nil"/>
              <w:bottom w:val="nil"/>
              <w:right w:val="single" w:sz="4" w:space="0" w:color="auto"/>
            </w:tcBorders>
            <w:noWrap/>
            <w:vAlign w:val="center"/>
            <w:hideMark/>
          </w:tcPr>
          <w:p w:rsidR="00912BE3" w:rsidRPr="00900A63" w:rsidP="00912BE3" w14:paraId="1EABFACA" w14:textId="6873204C">
            <w:pPr>
              <w:jc w:val="center"/>
              <w:rPr>
                <w:rFonts w:ascii="Arial" w:hAnsi="Arial" w:cs="Arial"/>
                <w:sz w:val="16"/>
                <w:szCs w:val="16"/>
                <w:highlight w:val="cyan"/>
              </w:rPr>
            </w:pPr>
            <w:r>
              <w:rPr>
                <w:rFonts w:ascii="Arial" w:hAnsi="Arial" w:cs="Arial"/>
                <w:color w:val="000000"/>
                <w:sz w:val="16"/>
                <w:szCs w:val="16"/>
              </w:rPr>
              <w:t>(N/A)</w:t>
            </w:r>
          </w:p>
        </w:tc>
        <w:tc>
          <w:tcPr>
            <w:tcW w:w="1975" w:type="dxa"/>
            <w:tcBorders>
              <w:top w:val="nil"/>
              <w:left w:val="single" w:sz="4" w:space="0" w:color="auto"/>
              <w:bottom w:val="nil"/>
              <w:right w:val="single" w:sz="8" w:space="0" w:color="auto"/>
            </w:tcBorders>
            <w:noWrap/>
            <w:vAlign w:val="center"/>
            <w:hideMark/>
          </w:tcPr>
          <w:p w:rsidR="00912BE3" w:rsidRPr="00900A63" w:rsidP="00912BE3" w14:paraId="46C0D6D9" w14:textId="72CF5375">
            <w:pPr>
              <w:jc w:val="center"/>
              <w:rPr>
                <w:rFonts w:ascii="Arial" w:hAnsi="Arial" w:cs="Arial"/>
                <w:sz w:val="16"/>
                <w:szCs w:val="16"/>
                <w:highlight w:val="cyan"/>
              </w:rPr>
            </w:pPr>
            <w:r>
              <w:rPr>
                <w:rFonts w:ascii="Arial" w:hAnsi="Arial" w:cs="Arial"/>
                <w:color w:val="000000"/>
                <w:sz w:val="16"/>
                <w:szCs w:val="16"/>
              </w:rPr>
              <w:t>8,971</w:t>
            </w:r>
          </w:p>
        </w:tc>
      </w:tr>
      <w:tr w14:paraId="4565DB58"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noWrap/>
            <w:vAlign w:val="bottom"/>
            <w:hideMark/>
          </w:tcPr>
          <w:p w:rsidR="00902694" w:rsidRPr="005D0593" w:rsidP="00902694" w14:paraId="4B1E6E1D" w14:textId="77777777">
            <w:pPr>
              <w:ind w:firstLine="320" w:firstLineChars="200"/>
              <w:rPr>
                <w:rFonts w:ascii="Arial" w:hAnsi="Arial" w:cs="Arial"/>
                <w:sz w:val="16"/>
                <w:szCs w:val="16"/>
              </w:rPr>
            </w:pPr>
            <w:r w:rsidRPr="005D0593">
              <w:rPr>
                <w:rFonts w:ascii="Arial" w:hAnsi="Arial" w:cs="Arial"/>
                <w:sz w:val="16"/>
                <w:szCs w:val="16"/>
              </w:rPr>
              <w:t>Total Respondent Labor Hours</w:t>
            </w:r>
          </w:p>
        </w:tc>
        <w:tc>
          <w:tcPr>
            <w:tcW w:w="1974" w:type="dxa"/>
            <w:tcBorders>
              <w:top w:val="nil"/>
              <w:left w:val="single" w:sz="4" w:space="0" w:color="auto"/>
              <w:bottom w:val="nil"/>
              <w:right w:val="single" w:sz="4" w:space="0" w:color="auto"/>
            </w:tcBorders>
            <w:noWrap/>
            <w:vAlign w:val="center"/>
          </w:tcPr>
          <w:p w:rsidR="00902694" w:rsidRPr="00900A63" w:rsidP="00902694" w14:paraId="6973326A" w14:textId="4EC09D36">
            <w:pPr>
              <w:jc w:val="center"/>
              <w:rPr>
                <w:rFonts w:ascii="Arial" w:hAnsi="Arial" w:cs="Arial"/>
                <w:sz w:val="16"/>
                <w:szCs w:val="16"/>
                <w:highlight w:val="cyan"/>
              </w:rPr>
            </w:pPr>
            <w:r>
              <w:rPr>
                <w:rFonts w:ascii="Arial" w:hAnsi="Arial" w:cs="Arial"/>
                <w:color w:val="000000"/>
                <w:sz w:val="16"/>
                <w:szCs w:val="16"/>
              </w:rPr>
              <w:t>(2,596,244)</w:t>
            </w:r>
          </w:p>
        </w:tc>
        <w:tc>
          <w:tcPr>
            <w:tcW w:w="1975" w:type="dxa"/>
            <w:tcBorders>
              <w:top w:val="nil"/>
              <w:left w:val="nil"/>
              <w:bottom w:val="nil"/>
              <w:right w:val="single" w:sz="4" w:space="0" w:color="auto"/>
            </w:tcBorders>
            <w:noWrap/>
            <w:vAlign w:val="center"/>
          </w:tcPr>
          <w:p w:rsidR="00902694" w:rsidRPr="00900A63" w:rsidP="00902694" w14:paraId="0361EB39" w14:textId="4E5C0A0A">
            <w:pPr>
              <w:jc w:val="center"/>
              <w:rPr>
                <w:rFonts w:ascii="Arial" w:hAnsi="Arial" w:cs="Arial"/>
                <w:sz w:val="16"/>
                <w:szCs w:val="16"/>
                <w:highlight w:val="cyan"/>
              </w:rPr>
            </w:pPr>
            <w:r>
              <w:rPr>
                <w:rFonts w:ascii="Arial" w:hAnsi="Arial" w:cs="Arial"/>
                <w:color w:val="000000"/>
                <w:sz w:val="16"/>
                <w:szCs w:val="16"/>
              </w:rPr>
              <w:t>(2,596,244)</w:t>
            </w:r>
          </w:p>
        </w:tc>
        <w:tc>
          <w:tcPr>
            <w:tcW w:w="1975" w:type="dxa"/>
            <w:tcBorders>
              <w:top w:val="nil"/>
              <w:left w:val="nil"/>
              <w:bottom w:val="nil"/>
              <w:right w:val="single" w:sz="4" w:space="0" w:color="auto"/>
            </w:tcBorders>
            <w:noWrap/>
            <w:vAlign w:val="center"/>
          </w:tcPr>
          <w:p w:rsidR="00902694" w:rsidRPr="00900A63" w:rsidP="00902694" w14:paraId="5E898D99" w14:textId="3BFA1147">
            <w:pPr>
              <w:jc w:val="center"/>
              <w:rPr>
                <w:rFonts w:ascii="Arial" w:hAnsi="Arial" w:cs="Arial"/>
                <w:sz w:val="16"/>
                <w:szCs w:val="16"/>
                <w:highlight w:val="cyan"/>
              </w:rPr>
            </w:pPr>
            <w:r>
              <w:rPr>
                <w:rFonts w:ascii="Arial" w:hAnsi="Arial" w:cs="Arial"/>
                <w:color w:val="000000"/>
                <w:sz w:val="16"/>
                <w:szCs w:val="16"/>
              </w:rPr>
              <w:t>(2,596,244)</w:t>
            </w:r>
          </w:p>
        </w:tc>
        <w:tc>
          <w:tcPr>
            <w:tcW w:w="2050" w:type="dxa"/>
            <w:tcBorders>
              <w:top w:val="nil"/>
              <w:left w:val="nil"/>
              <w:bottom w:val="nil"/>
              <w:right w:val="single" w:sz="4" w:space="0" w:color="auto"/>
            </w:tcBorders>
            <w:noWrap/>
            <w:vAlign w:val="center"/>
          </w:tcPr>
          <w:p w:rsidR="00902694" w:rsidRPr="00900A63" w:rsidP="00902694" w14:paraId="5E0A00A5" w14:textId="03759D00">
            <w:pPr>
              <w:jc w:val="center"/>
              <w:rPr>
                <w:rFonts w:ascii="Arial" w:hAnsi="Arial" w:cs="Arial"/>
                <w:sz w:val="16"/>
                <w:szCs w:val="16"/>
                <w:highlight w:val="cyan"/>
              </w:rPr>
            </w:pPr>
            <w:r>
              <w:rPr>
                <w:rFonts w:ascii="Arial" w:hAnsi="Arial" w:cs="Arial"/>
                <w:color w:val="000000"/>
                <w:sz w:val="16"/>
                <w:szCs w:val="16"/>
              </w:rPr>
              <w:t>(7,788,733)</w:t>
            </w:r>
          </w:p>
        </w:tc>
        <w:tc>
          <w:tcPr>
            <w:tcW w:w="1975" w:type="dxa"/>
            <w:tcBorders>
              <w:top w:val="nil"/>
              <w:left w:val="single" w:sz="4" w:space="0" w:color="auto"/>
              <w:bottom w:val="nil"/>
              <w:right w:val="single" w:sz="8" w:space="0" w:color="auto"/>
            </w:tcBorders>
            <w:noWrap/>
            <w:vAlign w:val="center"/>
          </w:tcPr>
          <w:p w:rsidR="00902694" w:rsidRPr="00900A63" w:rsidP="00902694" w14:paraId="40C7A085" w14:textId="5214B20F">
            <w:pPr>
              <w:jc w:val="center"/>
              <w:rPr>
                <w:rFonts w:ascii="Arial" w:hAnsi="Arial" w:cs="Arial"/>
                <w:sz w:val="16"/>
                <w:szCs w:val="16"/>
                <w:highlight w:val="cyan"/>
              </w:rPr>
            </w:pPr>
            <w:r>
              <w:rPr>
                <w:rFonts w:ascii="Arial" w:hAnsi="Arial" w:cs="Arial"/>
                <w:color w:val="000000"/>
                <w:sz w:val="16"/>
                <w:szCs w:val="16"/>
              </w:rPr>
              <w:t>(2,596,244)</w:t>
            </w:r>
          </w:p>
        </w:tc>
      </w:tr>
      <w:tr w14:paraId="63B9BD93"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noWrap/>
            <w:vAlign w:val="bottom"/>
            <w:hideMark/>
          </w:tcPr>
          <w:p w:rsidR="00912BE3" w:rsidRPr="005D0593" w:rsidP="00912BE3" w14:paraId="6F9C8E51" w14:textId="77777777">
            <w:pPr>
              <w:ind w:firstLine="320" w:firstLineChars="200"/>
              <w:rPr>
                <w:rFonts w:ascii="Arial" w:hAnsi="Arial" w:cs="Arial"/>
                <w:sz w:val="16"/>
                <w:szCs w:val="16"/>
              </w:rPr>
            </w:pPr>
            <w:r w:rsidRPr="005D0593">
              <w:rPr>
                <w:rFonts w:ascii="Arial" w:hAnsi="Arial" w:cs="Arial"/>
                <w:sz w:val="16"/>
                <w:szCs w:val="16"/>
              </w:rPr>
              <w:t>Total Respondent Labor Costs</w:t>
            </w:r>
          </w:p>
        </w:tc>
        <w:tc>
          <w:tcPr>
            <w:tcW w:w="1974" w:type="dxa"/>
            <w:tcBorders>
              <w:top w:val="nil"/>
              <w:left w:val="single" w:sz="4" w:space="0" w:color="auto"/>
              <w:bottom w:val="nil"/>
              <w:right w:val="single" w:sz="4" w:space="0" w:color="auto"/>
            </w:tcBorders>
            <w:noWrap/>
            <w:vAlign w:val="center"/>
          </w:tcPr>
          <w:p w:rsidR="00912BE3" w:rsidRPr="00900A63" w:rsidP="00912BE3" w14:paraId="640CA0FA" w14:textId="61E4F2AC">
            <w:pPr>
              <w:jc w:val="center"/>
              <w:rPr>
                <w:rFonts w:ascii="Arial" w:hAnsi="Arial" w:cs="Arial"/>
                <w:sz w:val="16"/>
                <w:szCs w:val="16"/>
                <w:highlight w:val="cyan"/>
              </w:rPr>
            </w:pPr>
            <w:r>
              <w:rPr>
                <w:rFonts w:ascii="Arial" w:hAnsi="Arial" w:cs="Arial"/>
                <w:color w:val="000000"/>
                <w:sz w:val="16"/>
                <w:szCs w:val="16"/>
              </w:rPr>
              <w:t>($247,693,715)</w:t>
            </w:r>
          </w:p>
        </w:tc>
        <w:tc>
          <w:tcPr>
            <w:tcW w:w="1975" w:type="dxa"/>
            <w:tcBorders>
              <w:top w:val="nil"/>
              <w:left w:val="nil"/>
              <w:bottom w:val="nil"/>
              <w:right w:val="single" w:sz="4" w:space="0" w:color="auto"/>
            </w:tcBorders>
            <w:noWrap/>
            <w:vAlign w:val="center"/>
          </w:tcPr>
          <w:p w:rsidR="00912BE3" w:rsidRPr="00900A63" w:rsidP="00912BE3" w14:paraId="538871DB" w14:textId="2A244C16">
            <w:pPr>
              <w:jc w:val="center"/>
              <w:rPr>
                <w:rFonts w:ascii="Arial" w:hAnsi="Arial" w:cs="Arial"/>
                <w:sz w:val="16"/>
                <w:szCs w:val="16"/>
                <w:highlight w:val="cyan"/>
              </w:rPr>
            </w:pPr>
            <w:r>
              <w:rPr>
                <w:rFonts w:ascii="Arial" w:hAnsi="Arial" w:cs="Arial"/>
                <w:color w:val="000000"/>
                <w:sz w:val="16"/>
                <w:szCs w:val="16"/>
              </w:rPr>
              <w:t>($247,693,715)</w:t>
            </w:r>
          </w:p>
        </w:tc>
        <w:tc>
          <w:tcPr>
            <w:tcW w:w="1975" w:type="dxa"/>
            <w:tcBorders>
              <w:top w:val="nil"/>
              <w:left w:val="nil"/>
              <w:bottom w:val="nil"/>
              <w:right w:val="single" w:sz="4" w:space="0" w:color="auto"/>
            </w:tcBorders>
            <w:noWrap/>
            <w:vAlign w:val="center"/>
          </w:tcPr>
          <w:p w:rsidR="00912BE3" w:rsidRPr="00900A63" w:rsidP="00912BE3" w14:paraId="3484D300" w14:textId="6A5ACE9C">
            <w:pPr>
              <w:jc w:val="center"/>
              <w:rPr>
                <w:rFonts w:ascii="Arial" w:hAnsi="Arial" w:cs="Arial"/>
                <w:sz w:val="16"/>
                <w:szCs w:val="16"/>
                <w:highlight w:val="cyan"/>
              </w:rPr>
            </w:pPr>
            <w:r>
              <w:rPr>
                <w:rFonts w:ascii="Arial" w:hAnsi="Arial" w:cs="Arial"/>
                <w:color w:val="000000"/>
                <w:sz w:val="16"/>
                <w:szCs w:val="16"/>
              </w:rPr>
              <w:t>($247,693,715)</w:t>
            </w:r>
          </w:p>
        </w:tc>
        <w:tc>
          <w:tcPr>
            <w:tcW w:w="2050" w:type="dxa"/>
            <w:tcBorders>
              <w:top w:val="nil"/>
              <w:left w:val="nil"/>
              <w:bottom w:val="nil"/>
              <w:right w:val="single" w:sz="4" w:space="0" w:color="auto"/>
            </w:tcBorders>
            <w:noWrap/>
            <w:vAlign w:val="center"/>
          </w:tcPr>
          <w:p w:rsidR="00912BE3" w:rsidRPr="00900A63" w:rsidP="00912BE3" w14:paraId="669F64D0" w14:textId="1B6B9C86">
            <w:pPr>
              <w:jc w:val="center"/>
              <w:rPr>
                <w:rFonts w:ascii="Arial" w:hAnsi="Arial" w:cs="Arial"/>
                <w:sz w:val="16"/>
                <w:szCs w:val="16"/>
                <w:highlight w:val="cyan"/>
              </w:rPr>
            </w:pPr>
            <w:r>
              <w:rPr>
                <w:rFonts w:ascii="Arial" w:hAnsi="Arial" w:cs="Arial"/>
                <w:color w:val="000000"/>
                <w:sz w:val="16"/>
                <w:szCs w:val="16"/>
              </w:rPr>
              <w:t>($743,081,144)</w:t>
            </w:r>
          </w:p>
        </w:tc>
        <w:tc>
          <w:tcPr>
            <w:tcW w:w="1975" w:type="dxa"/>
            <w:tcBorders>
              <w:top w:val="nil"/>
              <w:left w:val="single" w:sz="4" w:space="0" w:color="auto"/>
              <w:bottom w:val="nil"/>
              <w:right w:val="single" w:sz="8" w:space="0" w:color="auto"/>
            </w:tcBorders>
            <w:noWrap/>
            <w:vAlign w:val="center"/>
          </w:tcPr>
          <w:p w:rsidR="00912BE3" w:rsidRPr="00900A63" w:rsidP="00912BE3" w14:paraId="0BEB7A26" w14:textId="32A54513">
            <w:pPr>
              <w:jc w:val="center"/>
              <w:rPr>
                <w:rFonts w:ascii="Arial" w:hAnsi="Arial" w:cs="Arial"/>
                <w:sz w:val="16"/>
                <w:szCs w:val="16"/>
                <w:highlight w:val="cyan"/>
              </w:rPr>
            </w:pPr>
            <w:r>
              <w:rPr>
                <w:rFonts w:ascii="Arial" w:hAnsi="Arial" w:cs="Arial"/>
                <w:color w:val="000000"/>
                <w:sz w:val="16"/>
                <w:szCs w:val="16"/>
              </w:rPr>
              <w:t>($247,693,715)</w:t>
            </w:r>
          </w:p>
        </w:tc>
      </w:tr>
      <w:tr w14:paraId="24E02BDB"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vAlign w:val="bottom"/>
            <w:hideMark/>
          </w:tcPr>
          <w:p w:rsidR="00912BE3" w:rsidRPr="005D0593" w:rsidP="00912BE3" w14:paraId="67AA8BF6" w14:textId="77777777">
            <w:pPr>
              <w:ind w:firstLine="320" w:firstLineChars="200"/>
              <w:rPr>
                <w:rFonts w:ascii="Arial" w:hAnsi="Arial" w:cs="Arial"/>
                <w:sz w:val="16"/>
                <w:szCs w:val="16"/>
              </w:rPr>
            </w:pPr>
            <w:r w:rsidRPr="005D0593">
              <w:rPr>
                <w:rFonts w:ascii="Arial" w:hAnsi="Arial" w:cs="Arial"/>
                <w:sz w:val="16"/>
                <w:szCs w:val="16"/>
              </w:rPr>
              <w:t>Non-labor (Capital and O&amp;M) Costs</w:t>
            </w:r>
          </w:p>
        </w:tc>
        <w:tc>
          <w:tcPr>
            <w:tcW w:w="1974" w:type="dxa"/>
            <w:tcBorders>
              <w:top w:val="nil"/>
              <w:left w:val="single" w:sz="4" w:space="0" w:color="auto"/>
              <w:bottom w:val="nil"/>
              <w:right w:val="single" w:sz="4" w:space="0" w:color="auto"/>
            </w:tcBorders>
            <w:noWrap/>
            <w:vAlign w:val="center"/>
          </w:tcPr>
          <w:p w:rsidR="00912BE3" w:rsidRPr="00900A63" w:rsidP="00912BE3" w14:paraId="14C85B39" w14:textId="03A7681C">
            <w:pPr>
              <w:jc w:val="center"/>
              <w:rPr>
                <w:rFonts w:ascii="Arial" w:hAnsi="Arial" w:cs="Arial"/>
                <w:sz w:val="16"/>
                <w:szCs w:val="16"/>
                <w:highlight w:val="cyan"/>
              </w:rPr>
            </w:pPr>
            <w:r>
              <w:rPr>
                <w:rFonts w:ascii="Arial" w:hAnsi="Arial" w:cs="Arial"/>
                <w:color w:val="000000"/>
                <w:sz w:val="16"/>
                <w:szCs w:val="16"/>
              </w:rPr>
              <w:t>($54,990,106)</w:t>
            </w:r>
          </w:p>
        </w:tc>
        <w:tc>
          <w:tcPr>
            <w:tcW w:w="1975" w:type="dxa"/>
            <w:tcBorders>
              <w:top w:val="nil"/>
              <w:left w:val="nil"/>
              <w:bottom w:val="nil"/>
              <w:right w:val="single" w:sz="4" w:space="0" w:color="auto"/>
            </w:tcBorders>
            <w:noWrap/>
            <w:vAlign w:val="center"/>
          </w:tcPr>
          <w:p w:rsidR="00912BE3" w:rsidRPr="00900A63" w:rsidP="00912BE3" w14:paraId="65606109" w14:textId="7FE17216">
            <w:pPr>
              <w:jc w:val="center"/>
              <w:rPr>
                <w:rFonts w:ascii="Arial" w:hAnsi="Arial" w:cs="Arial"/>
                <w:sz w:val="16"/>
                <w:szCs w:val="16"/>
                <w:highlight w:val="cyan"/>
              </w:rPr>
            </w:pPr>
            <w:r>
              <w:rPr>
                <w:rFonts w:ascii="Arial" w:hAnsi="Arial" w:cs="Arial"/>
                <w:color w:val="000000"/>
                <w:sz w:val="16"/>
                <w:szCs w:val="16"/>
              </w:rPr>
              <w:t>($54,990,106)</w:t>
            </w:r>
          </w:p>
        </w:tc>
        <w:tc>
          <w:tcPr>
            <w:tcW w:w="1975" w:type="dxa"/>
            <w:tcBorders>
              <w:top w:val="nil"/>
              <w:left w:val="nil"/>
              <w:bottom w:val="nil"/>
              <w:right w:val="single" w:sz="4" w:space="0" w:color="auto"/>
            </w:tcBorders>
            <w:noWrap/>
            <w:vAlign w:val="center"/>
          </w:tcPr>
          <w:p w:rsidR="00912BE3" w:rsidRPr="00900A63" w:rsidP="00912BE3" w14:paraId="3D77937A" w14:textId="41DC14D7">
            <w:pPr>
              <w:jc w:val="center"/>
              <w:rPr>
                <w:rFonts w:ascii="Arial" w:hAnsi="Arial" w:cs="Arial"/>
                <w:sz w:val="16"/>
                <w:szCs w:val="16"/>
                <w:highlight w:val="cyan"/>
              </w:rPr>
            </w:pPr>
            <w:r>
              <w:rPr>
                <w:rFonts w:ascii="Arial" w:hAnsi="Arial" w:cs="Arial"/>
                <w:color w:val="000000"/>
                <w:sz w:val="16"/>
                <w:szCs w:val="16"/>
              </w:rPr>
              <w:t>($54,990,106)</w:t>
            </w:r>
          </w:p>
        </w:tc>
        <w:tc>
          <w:tcPr>
            <w:tcW w:w="2050" w:type="dxa"/>
            <w:tcBorders>
              <w:top w:val="nil"/>
              <w:left w:val="nil"/>
              <w:bottom w:val="nil"/>
              <w:right w:val="single" w:sz="4" w:space="0" w:color="auto"/>
            </w:tcBorders>
            <w:noWrap/>
            <w:vAlign w:val="center"/>
          </w:tcPr>
          <w:p w:rsidR="00912BE3" w:rsidRPr="00900A63" w:rsidP="00912BE3" w14:paraId="2F6176CE" w14:textId="47E8139C">
            <w:pPr>
              <w:jc w:val="center"/>
              <w:rPr>
                <w:rFonts w:ascii="Arial" w:hAnsi="Arial" w:cs="Arial"/>
                <w:sz w:val="16"/>
                <w:szCs w:val="16"/>
                <w:highlight w:val="cyan"/>
              </w:rPr>
            </w:pPr>
            <w:r>
              <w:rPr>
                <w:rFonts w:ascii="Arial" w:hAnsi="Arial" w:cs="Arial"/>
                <w:color w:val="000000"/>
                <w:sz w:val="16"/>
                <w:szCs w:val="16"/>
              </w:rPr>
              <w:t>($164,970,318)</w:t>
            </w:r>
          </w:p>
        </w:tc>
        <w:tc>
          <w:tcPr>
            <w:tcW w:w="1975" w:type="dxa"/>
            <w:tcBorders>
              <w:top w:val="nil"/>
              <w:left w:val="single" w:sz="4" w:space="0" w:color="auto"/>
              <w:bottom w:val="nil"/>
              <w:right w:val="single" w:sz="8" w:space="0" w:color="auto"/>
            </w:tcBorders>
            <w:noWrap/>
            <w:vAlign w:val="center"/>
          </w:tcPr>
          <w:p w:rsidR="00912BE3" w:rsidRPr="00900A63" w:rsidP="00912BE3" w14:paraId="49177B40" w14:textId="531D2DFD">
            <w:pPr>
              <w:jc w:val="center"/>
              <w:rPr>
                <w:rFonts w:ascii="Arial" w:hAnsi="Arial" w:cs="Arial"/>
                <w:sz w:val="16"/>
                <w:szCs w:val="16"/>
                <w:highlight w:val="cyan"/>
              </w:rPr>
            </w:pPr>
            <w:r>
              <w:rPr>
                <w:rFonts w:ascii="Arial" w:hAnsi="Arial" w:cs="Arial"/>
                <w:color w:val="000000"/>
                <w:sz w:val="16"/>
                <w:szCs w:val="16"/>
              </w:rPr>
              <w:t>($54,990,106)</w:t>
            </w:r>
          </w:p>
        </w:tc>
      </w:tr>
      <w:tr w14:paraId="4D56F538"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vAlign w:val="bottom"/>
            <w:hideMark/>
          </w:tcPr>
          <w:p w:rsidR="00912BE3" w:rsidRPr="005D0593" w:rsidP="00912BE3" w14:paraId="46FF2FB9" w14:textId="77777777">
            <w:pPr>
              <w:ind w:firstLine="320" w:firstLineChars="200"/>
              <w:rPr>
                <w:rFonts w:ascii="Arial" w:hAnsi="Arial" w:cs="Arial"/>
                <w:sz w:val="16"/>
                <w:szCs w:val="16"/>
              </w:rPr>
            </w:pPr>
            <w:r w:rsidRPr="005D0593">
              <w:rPr>
                <w:rFonts w:ascii="Arial" w:hAnsi="Arial" w:cs="Arial"/>
                <w:sz w:val="16"/>
                <w:szCs w:val="16"/>
              </w:rPr>
              <w:t>Total Respondent Costs</w:t>
            </w:r>
          </w:p>
        </w:tc>
        <w:tc>
          <w:tcPr>
            <w:tcW w:w="1974" w:type="dxa"/>
            <w:tcBorders>
              <w:top w:val="nil"/>
              <w:left w:val="single" w:sz="4" w:space="0" w:color="auto"/>
              <w:bottom w:val="nil"/>
              <w:right w:val="single" w:sz="4" w:space="0" w:color="auto"/>
            </w:tcBorders>
            <w:noWrap/>
            <w:vAlign w:val="center"/>
          </w:tcPr>
          <w:p w:rsidR="00912BE3" w:rsidRPr="00900A63" w:rsidP="00912BE3" w14:paraId="46D6AAC4" w14:textId="67AD40E4">
            <w:pPr>
              <w:jc w:val="center"/>
              <w:rPr>
                <w:rFonts w:ascii="Arial" w:hAnsi="Arial" w:cs="Arial"/>
                <w:sz w:val="16"/>
                <w:szCs w:val="16"/>
                <w:highlight w:val="cyan"/>
              </w:rPr>
            </w:pPr>
            <w:r>
              <w:rPr>
                <w:rFonts w:ascii="Arial" w:hAnsi="Arial" w:cs="Arial"/>
                <w:color w:val="000000"/>
                <w:sz w:val="16"/>
                <w:szCs w:val="16"/>
              </w:rPr>
              <w:t>($302,683,821)</w:t>
            </w:r>
          </w:p>
        </w:tc>
        <w:tc>
          <w:tcPr>
            <w:tcW w:w="1975" w:type="dxa"/>
            <w:tcBorders>
              <w:top w:val="nil"/>
              <w:left w:val="nil"/>
              <w:bottom w:val="nil"/>
              <w:right w:val="single" w:sz="4" w:space="0" w:color="auto"/>
            </w:tcBorders>
            <w:noWrap/>
            <w:vAlign w:val="center"/>
          </w:tcPr>
          <w:p w:rsidR="00912BE3" w:rsidRPr="00900A63" w:rsidP="00912BE3" w14:paraId="346203E2" w14:textId="06DD717E">
            <w:pPr>
              <w:jc w:val="center"/>
              <w:rPr>
                <w:rFonts w:ascii="Arial" w:hAnsi="Arial" w:cs="Arial"/>
                <w:sz w:val="16"/>
                <w:szCs w:val="16"/>
                <w:highlight w:val="cyan"/>
              </w:rPr>
            </w:pPr>
            <w:r>
              <w:rPr>
                <w:rFonts w:ascii="Arial" w:hAnsi="Arial" w:cs="Arial"/>
                <w:color w:val="000000"/>
                <w:sz w:val="16"/>
                <w:szCs w:val="16"/>
              </w:rPr>
              <w:t>($302,683,821)</w:t>
            </w:r>
          </w:p>
        </w:tc>
        <w:tc>
          <w:tcPr>
            <w:tcW w:w="1975" w:type="dxa"/>
            <w:tcBorders>
              <w:top w:val="nil"/>
              <w:left w:val="nil"/>
              <w:bottom w:val="nil"/>
              <w:right w:val="single" w:sz="4" w:space="0" w:color="auto"/>
            </w:tcBorders>
            <w:noWrap/>
            <w:vAlign w:val="center"/>
          </w:tcPr>
          <w:p w:rsidR="00912BE3" w:rsidRPr="00900A63" w:rsidP="00912BE3" w14:paraId="2F3BD769" w14:textId="55B03AA5">
            <w:pPr>
              <w:jc w:val="center"/>
              <w:rPr>
                <w:rFonts w:ascii="Arial" w:hAnsi="Arial" w:cs="Arial"/>
                <w:sz w:val="16"/>
                <w:szCs w:val="16"/>
                <w:highlight w:val="cyan"/>
              </w:rPr>
            </w:pPr>
            <w:r>
              <w:rPr>
                <w:rFonts w:ascii="Arial" w:hAnsi="Arial" w:cs="Arial"/>
                <w:color w:val="000000"/>
                <w:sz w:val="16"/>
                <w:szCs w:val="16"/>
              </w:rPr>
              <w:t>($302,683,821)</w:t>
            </w:r>
          </w:p>
        </w:tc>
        <w:tc>
          <w:tcPr>
            <w:tcW w:w="2050" w:type="dxa"/>
            <w:tcBorders>
              <w:top w:val="nil"/>
              <w:left w:val="nil"/>
              <w:bottom w:val="nil"/>
              <w:right w:val="single" w:sz="4" w:space="0" w:color="auto"/>
            </w:tcBorders>
            <w:noWrap/>
            <w:vAlign w:val="center"/>
          </w:tcPr>
          <w:p w:rsidR="00912BE3" w:rsidRPr="00900A63" w:rsidP="00912BE3" w14:paraId="25C3969C" w14:textId="347F3392">
            <w:pPr>
              <w:jc w:val="center"/>
              <w:rPr>
                <w:rFonts w:ascii="Arial" w:hAnsi="Arial" w:cs="Arial"/>
                <w:sz w:val="16"/>
                <w:szCs w:val="16"/>
                <w:highlight w:val="cyan"/>
              </w:rPr>
            </w:pPr>
            <w:r>
              <w:rPr>
                <w:rFonts w:ascii="Arial" w:hAnsi="Arial" w:cs="Arial"/>
                <w:color w:val="000000"/>
                <w:sz w:val="16"/>
                <w:szCs w:val="16"/>
              </w:rPr>
              <w:t>($908,051,463)</w:t>
            </w:r>
          </w:p>
        </w:tc>
        <w:tc>
          <w:tcPr>
            <w:tcW w:w="1975" w:type="dxa"/>
            <w:tcBorders>
              <w:top w:val="nil"/>
              <w:left w:val="single" w:sz="4" w:space="0" w:color="auto"/>
              <w:bottom w:val="nil"/>
              <w:right w:val="single" w:sz="8" w:space="0" w:color="auto"/>
            </w:tcBorders>
            <w:noWrap/>
            <w:vAlign w:val="center"/>
          </w:tcPr>
          <w:p w:rsidR="00912BE3" w:rsidRPr="00900A63" w:rsidP="00912BE3" w14:paraId="5B75B2BD" w14:textId="494D84AC">
            <w:pPr>
              <w:jc w:val="center"/>
              <w:rPr>
                <w:rFonts w:ascii="Arial" w:hAnsi="Arial" w:cs="Arial"/>
                <w:sz w:val="16"/>
                <w:szCs w:val="16"/>
                <w:highlight w:val="cyan"/>
              </w:rPr>
            </w:pPr>
            <w:r>
              <w:rPr>
                <w:rFonts w:ascii="Arial" w:hAnsi="Arial" w:cs="Arial"/>
                <w:color w:val="000000"/>
                <w:sz w:val="16"/>
                <w:szCs w:val="16"/>
              </w:rPr>
              <w:t>($302,683,821)</w:t>
            </w:r>
          </w:p>
        </w:tc>
      </w:tr>
      <w:tr w14:paraId="755C3873"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noWrap/>
            <w:vAlign w:val="bottom"/>
            <w:hideMark/>
          </w:tcPr>
          <w:p w:rsidR="00912BE3" w:rsidRPr="005D0593" w:rsidP="00912BE3" w14:paraId="1C0A4927" w14:textId="77777777">
            <w:pPr>
              <w:rPr>
                <w:rFonts w:ascii="Arial" w:hAnsi="Arial" w:cs="Arial"/>
                <w:sz w:val="16"/>
                <w:szCs w:val="16"/>
              </w:rPr>
            </w:pPr>
            <w:r w:rsidRPr="005D0593">
              <w:rPr>
                <w:rFonts w:ascii="Arial" w:hAnsi="Arial" w:cs="Arial"/>
                <w:sz w:val="16"/>
                <w:szCs w:val="16"/>
              </w:rPr>
              <w:t>Agency Costs</w:t>
            </w:r>
          </w:p>
        </w:tc>
        <w:tc>
          <w:tcPr>
            <w:tcW w:w="1974" w:type="dxa"/>
            <w:tcBorders>
              <w:top w:val="nil"/>
              <w:left w:val="single" w:sz="4" w:space="0" w:color="auto"/>
              <w:bottom w:val="nil"/>
              <w:right w:val="single" w:sz="4" w:space="0" w:color="auto"/>
            </w:tcBorders>
            <w:noWrap/>
            <w:vAlign w:val="center"/>
          </w:tcPr>
          <w:p w:rsidR="00912BE3" w:rsidRPr="005D0593" w:rsidP="00912BE3" w14:paraId="51A50E8C" w14:textId="3DE7991F">
            <w:pPr>
              <w:jc w:val="center"/>
              <w:rPr>
                <w:rFonts w:ascii="Arial" w:hAnsi="Arial" w:cs="Arial"/>
                <w:sz w:val="16"/>
                <w:szCs w:val="16"/>
              </w:rPr>
            </w:pPr>
            <w:r>
              <w:rPr>
                <w:rFonts w:ascii="Arial" w:hAnsi="Arial" w:cs="Arial"/>
                <w:color w:val="000000"/>
                <w:sz w:val="16"/>
                <w:szCs w:val="16"/>
              </w:rPr>
              <w:t> </w:t>
            </w:r>
          </w:p>
        </w:tc>
        <w:tc>
          <w:tcPr>
            <w:tcW w:w="1975" w:type="dxa"/>
            <w:tcBorders>
              <w:top w:val="nil"/>
              <w:left w:val="nil"/>
              <w:bottom w:val="nil"/>
              <w:right w:val="single" w:sz="4" w:space="0" w:color="auto"/>
            </w:tcBorders>
            <w:noWrap/>
            <w:vAlign w:val="center"/>
          </w:tcPr>
          <w:p w:rsidR="00912BE3" w:rsidRPr="005D0593" w:rsidP="00912BE3" w14:paraId="442BDF3C" w14:textId="78E9FD8B">
            <w:pPr>
              <w:jc w:val="center"/>
              <w:rPr>
                <w:rFonts w:ascii="Arial" w:hAnsi="Arial" w:cs="Arial"/>
                <w:sz w:val="16"/>
                <w:szCs w:val="16"/>
              </w:rPr>
            </w:pPr>
            <w:r>
              <w:rPr>
                <w:rFonts w:ascii="Arial" w:hAnsi="Arial" w:cs="Arial"/>
                <w:color w:val="000000"/>
                <w:sz w:val="16"/>
                <w:szCs w:val="16"/>
              </w:rPr>
              <w:t>0</w:t>
            </w:r>
          </w:p>
        </w:tc>
        <w:tc>
          <w:tcPr>
            <w:tcW w:w="1975" w:type="dxa"/>
            <w:tcBorders>
              <w:top w:val="nil"/>
              <w:left w:val="nil"/>
              <w:bottom w:val="nil"/>
              <w:right w:val="single" w:sz="4" w:space="0" w:color="auto"/>
            </w:tcBorders>
            <w:noWrap/>
            <w:vAlign w:val="center"/>
          </w:tcPr>
          <w:p w:rsidR="00912BE3" w:rsidRPr="005D0593" w:rsidP="00912BE3" w14:paraId="621FDA7C" w14:textId="43B0C20B">
            <w:pPr>
              <w:jc w:val="center"/>
              <w:rPr>
                <w:rFonts w:ascii="Arial" w:hAnsi="Arial" w:cs="Arial"/>
                <w:sz w:val="16"/>
                <w:szCs w:val="16"/>
              </w:rPr>
            </w:pPr>
            <w:r>
              <w:rPr>
                <w:rFonts w:ascii="Arial" w:hAnsi="Arial" w:cs="Arial"/>
                <w:color w:val="000000"/>
                <w:sz w:val="16"/>
                <w:szCs w:val="16"/>
              </w:rPr>
              <w:t>0</w:t>
            </w:r>
          </w:p>
        </w:tc>
        <w:tc>
          <w:tcPr>
            <w:tcW w:w="2050" w:type="dxa"/>
            <w:tcBorders>
              <w:top w:val="nil"/>
              <w:left w:val="nil"/>
              <w:bottom w:val="nil"/>
              <w:right w:val="single" w:sz="4" w:space="0" w:color="auto"/>
            </w:tcBorders>
            <w:noWrap/>
            <w:vAlign w:val="center"/>
          </w:tcPr>
          <w:p w:rsidR="00912BE3" w:rsidRPr="005D0593" w:rsidP="00912BE3" w14:paraId="7B0DB124" w14:textId="6F110645">
            <w:pPr>
              <w:jc w:val="center"/>
              <w:rPr>
                <w:rFonts w:ascii="Arial" w:hAnsi="Arial" w:cs="Arial"/>
                <w:sz w:val="16"/>
                <w:szCs w:val="16"/>
              </w:rPr>
            </w:pPr>
            <w:r>
              <w:rPr>
                <w:rFonts w:ascii="Arial" w:hAnsi="Arial" w:cs="Arial"/>
                <w:color w:val="000000"/>
                <w:sz w:val="16"/>
                <w:szCs w:val="16"/>
              </w:rPr>
              <w:t> </w:t>
            </w:r>
          </w:p>
        </w:tc>
        <w:tc>
          <w:tcPr>
            <w:tcW w:w="1975" w:type="dxa"/>
            <w:tcBorders>
              <w:top w:val="nil"/>
              <w:left w:val="single" w:sz="4" w:space="0" w:color="auto"/>
              <w:bottom w:val="nil"/>
              <w:right w:val="single" w:sz="8" w:space="0" w:color="auto"/>
            </w:tcBorders>
            <w:noWrap/>
            <w:vAlign w:val="center"/>
          </w:tcPr>
          <w:p w:rsidR="00912BE3" w:rsidRPr="005D0593" w:rsidP="00912BE3" w14:paraId="5751BA12" w14:textId="7B2A82F1">
            <w:pPr>
              <w:jc w:val="center"/>
              <w:rPr>
                <w:rFonts w:ascii="Arial" w:hAnsi="Arial" w:cs="Arial"/>
                <w:sz w:val="16"/>
                <w:szCs w:val="16"/>
              </w:rPr>
            </w:pPr>
            <w:r>
              <w:rPr>
                <w:rFonts w:ascii="Arial" w:hAnsi="Arial" w:cs="Arial"/>
                <w:color w:val="000000"/>
                <w:sz w:val="16"/>
                <w:szCs w:val="16"/>
              </w:rPr>
              <w:t> </w:t>
            </w:r>
          </w:p>
        </w:tc>
      </w:tr>
      <w:tr w14:paraId="456D18BB"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noWrap/>
            <w:vAlign w:val="bottom"/>
            <w:hideMark/>
          </w:tcPr>
          <w:p w:rsidR="00F730FF" w:rsidRPr="005D0593" w:rsidP="00F730FF" w14:paraId="6DEE93E7" w14:textId="77777777">
            <w:pPr>
              <w:ind w:firstLine="320" w:firstLineChars="200"/>
              <w:rPr>
                <w:rFonts w:ascii="Arial" w:hAnsi="Arial" w:cs="Arial"/>
                <w:sz w:val="16"/>
                <w:szCs w:val="16"/>
              </w:rPr>
            </w:pPr>
            <w:r w:rsidRPr="005D0593">
              <w:rPr>
                <w:rFonts w:ascii="Arial" w:hAnsi="Arial" w:cs="Arial"/>
                <w:sz w:val="16"/>
                <w:szCs w:val="16"/>
              </w:rPr>
              <w:t xml:space="preserve">Total Agency Burden Hours </w:t>
            </w:r>
          </w:p>
        </w:tc>
        <w:tc>
          <w:tcPr>
            <w:tcW w:w="1974" w:type="dxa"/>
            <w:tcBorders>
              <w:top w:val="nil"/>
              <w:left w:val="single" w:sz="4" w:space="0" w:color="auto"/>
              <w:bottom w:val="nil"/>
              <w:right w:val="single" w:sz="4" w:space="0" w:color="auto"/>
            </w:tcBorders>
            <w:noWrap/>
            <w:vAlign w:val="center"/>
          </w:tcPr>
          <w:p w:rsidR="00F730FF" w:rsidRPr="005D0593" w:rsidP="00F730FF" w14:paraId="74ACF622" w14:textId="7EFFD7F7">
            <w:pPr>
              <w:jc w:val="center"/>
              <w:rPr>
                <w:rFonts w:ascii="Arial" w:hAnsi="Arial" w:cs="Arial"/>
                <w:sz w:val="16"/>
                <w:szCs w:val="16"/>
              </w:rPr>
            </w:pPr>
            <w:r>
              <w:rPr>
                <w:rFonts w:ascii="Arial" w:hAnsi="Arial" w:cs="Arial"/>
                <w:color w:val="000000"/>
                <w:sz w:val="16"/>
                <w:szCs w:val="16"/>
              </w:rPr>
              <w:t>(10,400)</w:t>
            </w:r>
          </w:p>
        </w:tc>
        <w:tc>
          <w:tcPr>
            <w:tcW w:w="1975" w:type="dxa"/>
            <w:tcBorders>
              <w:top w:val="nil"/>
              <w:left w:val="nil"/>
              <w:bottom w:val="nil"/>
              <w:right w:val="single" w:sz="4" w:space="0" w:color="auto"/>
            </w:tcBorders>
            <w:noWrap/>
            <w:vAlign w:val="center"/>
          </w:tcPr>
          <w:p w:rsidR="00F730FF" w:rsidRPr="005D0593" w:rsidP="00F730FF" w14:paraId="2A6B61E0" w14:textId="380D1BDD">
            <w:pPr>
              <w:jc w:val="center"/>
              <w:rPr>
                <w:rFonts w:ascii="Arial" w:hAnsi="Arial" w:cs="Arial"/>
                <w:sz w:val="16"/>
                <w:szCs w:val="16"/>
              </w:rPr>
            </w:pPr>
            <w:r>
              <w:rPr>
                <w:rFonts w:ascii="Arial" w:hAnsi="Arial" w:cs="Arial"/>
                <w:color w:val="000000"/>
                <w:sz w:val="16"/>
                <w:szCs w:val="16"/>
              </w:rPr>
              <w:t>(10,400)</w:t>
            </w:r>
          </w:p>
        </w:tc>
        <w:tc>
          <w:tcPr>
            <w:tcW w:w="1975" w:type="dxa"/>
            <w:tcBorders>
              <w:top w:val="nil"/>
              <w:left w:val="nil"/>
              <w:bottom w:val="nil"/>
              <w:right w:val="single" w:sz="4" w:space="0" w:color="auto"/>
            </w:tcBorders>
            <w:noWrap/>
            <w:vAlign w:val="center"/>
          </w:tcPr>
          <w:p w:rsidR="00F730FF" w:rsidRPr="005D0593" w:rsidP="00F730FF" w14:paraId="74969B06" w14:textId="69F2ADF2">
            <w:pPr>
              <w:jc w:val="center"/>
              <w:rPr>
                <w:rFonts w:ascii="Arial" w:hAnsi="Arial" w:cs="Arial"/>
                <w:sz w:val="16"/>
                <w:szCs w:val="16"/>
              </w:rPr>
            </w:pPr>
            <w:r>
              <w:rPr>
                <w:rFonts w:ascii="Arial" w:hAnsi="Arial" w:cs="Arial"/>
                <w:color w:val="000000"/>
                <w:sz w:val="16"/>
                <w:szCs w:val="16"/>
              </w:rPr>
              <w:t>(10,400)</w:t>
            </w:r>
          </w:p>
        </w:tc>
        <w:tc>
          <w:tcPr>
            <w:tcW w:w="2050" w:type="dxa"/>
            <w:tcBorders>
              <w:top w:val="nil"/>
              <w:left w:val="nil"/>
              <w:bottom w:val="nil"/>
              <w:right w:val="single" w:sz="4" w:space="0" w:color="auto"/>
            </w:tcBorders>
            <w:noWrap/>
            <w:vAlign w:val="center"/>
          </w:tcPr>
          <w:p w:rsidR="00F730FF" w:rsidRPr="005D0593" w:rsidP="00F730FF" w14:paraId="50C62E6A" w14:textId="1E0813C1">
            <w:pPr>
              <w:jc w:val="center"/>
              <w:rPr>
                <w:rFonts w:ascii="Arial" w:hAnsi="Arial" w:cs="Arial"/>
                <w:sz w:val="16"/>
                <w:szCs w:val="16"/>
              </w:rPr>
            </w:pPr>
            <w:r>
              <w:rPr>
                <w:rFonts w:ascii="Arial" w:hAnsi="Arial" w:cs="Arial"/>
                <w:color w:val="000000"/>
                <w:sz w:val="16"/>
                <w:szCs w:val="16"/>
              </w:rPr>
              <w:t>(31,200)</w:t>
            </w:r>
          </w:p>
        </w:tc>
        <w:tc>
          <w:tcPr>
            <w:tcW w:w="1975" w:type="dxa"/>
            <w:tcBorders>
              <w:top w:val="nil"/>
              <w:left w:val="single" w:sz="4" w:space="0" w:color="auto"/>
              <w:bottom w:val="nil"/>
              <w:right w:val="single" w:sz="8" w:space="0" w:color="auto"/>
            </w:tcBorders>
            <w:noWrap/>
            <w:vAlign w:val="center"/>
          </w:tcPr>
          <w:p w:rsidR="00F730FF" w:rsidRPr="005D0593" w:rsidP="00F730FF" w14:paraId="5DEF6E73" w14:textId="36EA89BD">
            <w:pPr>
              <w:jc w:val="center"/>
              <w:rPr>
                <w:rFonts w:ascii="Arial" w:hAnsi="Arial" w:cs="Arial"/>
                <w:sz w:val="16"/>
                <w:szCs w:val="16"/>
              </w:rPr>
            </w:pPr>
            <w:r>
              <w:rPr>
                <w:rFonts w:ascii="Arial" w:hAnsi="Arial" w:cs="Arial"/>
                <w:color w:val="000000"/>
                <w:sz w:val="16"/>
                <w:szCs w:val="16"/>
              </w:rPr>
              <w:t>(10,400)</w:t>
            </w:r>
          </w:p>
        </w:tc>
      </w:tr>
      <w:tr w14:paraId="227B691D" w14:textId="77777777" w:rsidTr="00912BE3">
        <w:tblPrEx>
          <w:tblW w:w="12960" w:type="dxa"/>
          <w:tblLook w:val="04A0"/>
        </w:tblPrEx>
        <w:trPr>
          <w:trHeight w:val="300"/>
        </w:trPr>
        <w:tc>
          <w:tcPr>
            <w:tcW w:w="3011" w:type="dxa"/>
            <w:tcBorders>
              <w:top w:val="nil"/>
              <w:left w:val="single" w:sz="8" w:space="0" w:color="auto"/>
              <w:bottom w:val="nil"/>
              <w:right w:val="single" w:sz="4" w:space="0" w:color="auto"/>
            </w:tcBorders>
            <w:shd w:val="clear" w:color="000000" w:fill="F2F2F2"/>
            <w:noWrap/>
            <w:vAlign w:val="bottom"/>
            <w:hideMark/>
          </w:tcPr>
          <w:p w:rsidR="00912BE3" w:rsidRPr="005D0593" w:rsidP="00912BE3" w14:paraId="055A8771" w14:textId="77777777">
            <w:pPr>
              <w:ind w:firstLine="320" w:firstLineChars="200"/>
              <w:rPr>
                <w:rFonts w:ascii="Arial" w:hAnsi="Arial" w:cs="Arial"/>
                <w:sz w:val="16"/>
                <w:szCs w:val="16"/>
              </w:rPr>
            </w:pPr>
            <w:r w:rsidRPr="005D0593">
              <w:rPr>
                <w:rFonts w:ascii="Arial" w:hAnsi="Arial" w:cs="Arial"/>
                <w:sz w:val="16"/>
                <w:szCs w:val="16"/>
              </w:rPr>
              <w:t>Total Agency Labor Costs</w:t>
            </w:r>
          </w:p>
        </w:tc>
        <w:tc>
          <w:tcPr>
            <w:tcW w:w="1974" w:type="dxa"/>
            <w:tcBorders>
              <w:top w:val="nil"/>
              <w:left w:val="single" w:sz="4" w:space="0" w:color="auto"/>
              <w:bottom w:val="nil"/>
              <w:right w:val="single" w:sz="4" w:space="0" w:color="auto"/>
            </w:tcBorders>
            <w:noWrap/>
            <w:vAlign w:val="center"/>
          </w:tcPr>
          <w:p w:rsidR="00912BE3" w:rsidRPr="005D0593" w:rsidP="00912BE3" w14:paraId="7D0AB4CB" w14:textId="08DFB4B6">
            <w:pPr>
              <w:jc w:val="center"/>
              <w:rPr>
                <w:rFonts w:ascii="Arial" w:hAnsi="Arial" w:cs="Arial"/>
                <w:sz w:val="16"/>
                <w:szCs w:val="16"/>
              </w:rPr>
            </w:pPr>
            <w:r>
              <w:rPr>
                <w:rFonts w:ascii="Arial" w:hAnsi="Arial" w:cs="Arial"/>
                <w:color w:val="000000"/>
                <w:sz w:val="16"/>
                <w:szCs w:val="16"/>
              </w:rPr>
              <w:t>($705,744)</w:t>
            </w:r>
          </w:p>
        </w:tc>
        <w:tc>
          <w:tcPr>
            <w:tcW w:w="1975" w:type="dxa"/>
            <w:tcBorders>
              <w:top w:val="nil"/>
              <w:left w:val="nil"/>
              <w:bottom w:val="nil"/>
              <w:right w:val="single" w:sz="4" w:space="0" w:color="auto"/>
            </w:tcBorders>
            <w:noWrap/>
            <w:vAlign w:val="center"/>
          </w:tcPr>
          <w:p w:rsidR="00912BE3" w:rsidRPr="005D0593" w:rsidP="00912BE3" w14:paraId="1EC6B92C" w14:textId="51D43126">
            <w:pPr>
              <w:jc w:val="center"/>
              <w:rPr>
                <w:rFonts w:ascii="Arial" w:hAnsi="Arial" w:cs="Arial"/>
                <w:sz w:val="16"/>
                <w:szCs w:val="16"/>
              </w:rPr>
            </w:pPr>
            <w:r>
              <w:rPr>
                <w:rFonts w:ascii="Arial" w:hAnsi="Arial" w:cs="Arial"/>
                <w:color w:val="000000"/>
                <w:sz w:val="16"/>
                <w:szCs w:val="16"/>
              </w:rPr>
              <w:t>($705,744)</w:t>
            </w:r>
          </w:p>
        </w:tc>
        <w:tc>
          <w:tcPr>
            <w:tcW w:w="1975" w:type="dxa"/>
            <w:tcBorders>
              <w:top w:val="nil"/>
              <w:left w:val="nil"/>
              <w:bottom w:val="nil"/>
              <w:right w:val="single" w:sz="4" w:space="0" w:color="auto"/>
            </w:tcBorders>
            <w:noWrap/>
            <w:vAlign w:val="center"/>
          </w:tcPr>
          <w:p w:rsidR="00912BE3" w:rsidRPr="005D0593" w:rsidP="00912BE3" w14:paraId="48BA9657" w14:textId="2C1CD7A5">
            <w:pPr>
              <w:jc w:val="center"/>
              <w:rPr>
                <w:rFonts w:ascii="Arial" w:hAnsi="Arial" w:cs="Arial"/>
                <w:sz w:val="16"/>
                <w:szCs w:val="16"/>
              </w:rPr>
            </w:pPr>
            <w:r>
              <w:rPr>
                <w:rFonts w:ascii="Arial" w:hAnsi="Arial" w:cs="Arial"/>
                <w:color w:val="000000"/>
                <w:sz w:val="16"/>
                <w:szCs w:val="16"/>
              </w:rPr>
              <w:t>($705,744)</w:t>
            </w:r>
          </w:p>
        </w:tc>
        <w:tc>
          <w:tcPr>
            <w:tcW w:w="2050" w:type="dxa"/>
            <w:tcBorders>
              <w:top w:val="nil"/>
              <w:left w:val="nil"/>
              <w:bottom w:val="nil"/>
              <w:right w:val="single" w:sz="4" w:space="0" w:color="auto"/>
            </w:tcBorders>
            <w:noWrap/>
            <w:vAlign w:val="center"/>
          </w:tcPr>
          <w:p w:rsidR="00912BE3" w:rsidRPr="005D0593" w:rsidP="00912BE3" w14:paraId="39265AC7" w14:textId="5EEF63C3">
            <w:pPr>
              <w:jc w:val="center"/>
              <w:rPr>
                <w:rFonts w:ascii="Arial" w:hAnsi="Arial" w:cs="Arial"/>
                <w:sz w:val="16"/>
                <w:szCs w:val="16"/>
              </w:rPr>
            </w:pPr>
            <w:r>
              <w:rPr>
                <w:rFonts w:ascii="Arial" w:hAnsi="Arial" w:cs="Arial"/>
                <w:color w:val="000000"/>
                <w:sz w:val="16"/>
                <w:szCs w:val="16"/>
              </w:rPr>
              <w:t>($2,117,232)</w:t>
            </w:r>
          </w:p>
        </w:tc>
        <w:tc>
          <w:tcPr>
            <w:tcW w:w="1975" w:type="dxa"/>
            <w:tcBorders>
              <w:top w:val="nil"/>
              <w:left w:val="single" w:sz="4" w:space="0" w:color="auto"/>
              <w:bottom w:val="nil"/>
              <w:right w:val="single" w:sz="8" w:space="0" w:color="auto"/>
            </w:tcBorders>
            <w:noWrap/>
            <w:vAlign w:val="center"/>
          </w:tcPr>
          <w:p w:rsidR="00912BE3" w:rsidRPr="005D0593" w:rsidP="00912BE3" w14:paraId="0F754F99" w14:textId="5D940DF2">
            <w:pPr>
              <w:jc w:val="center"/>
              <w:rPr>
                <w:rFonts w:ascii="Arial" w:hAnsi="Arial" w:cs="Arial"/>
                <w:sz w:val="16"/>
                <w:szCs w:val="16"/>
              </w:rPr>
            </w:pPr>
            <w:r>
              <w:rPr>
                <w:rFonts w:ascii="Arial" w:hAnsi="Arial" w:cs="Arial"/>
                <w:color w:val="000000"/>
                <w:sz w:val="16"/>
                <w:szCs w:val="16"/>
              </w:rPr>
              <w:t>($705,744)</w:t>
            </w:r>
          </w:p>
        </w:tc>
      </w:tr>
      <w:tr w14:paraId="6EB7AEC8" w14:textId="77777777" w:rsidTr="00912BE3">
        <w:tblPrEx>
          <w:tblW w:w="12960" w:type="dxa"/>
          <w:tblLook w:val="04A0"/>
        </w:tblPrEx>
        <w:trPr>
          <w:trHeight w:val="465"/>
        </w:trPr>
        <w:tc>
          <w:tcPr>
            <w:tcW w:w="3011" w:type="dxa"/>
            <w:tcBorders>
              <w:top w:val="nil"/>
              <w:left w:val="single" w:sz="8" w:space="0" w:color="auto"/>
              <w:bottom w:val="nil"/>
              <w:right w:val="single" w:sz="4" w:space="0" w:color="auto"/>
            </w:tcBorders>
            <w:shd w:val="clear" w:color="000000" w:fill="F2F2F2"/>
            <w:vAlign w:val="bottom"/>
          </w:tcPr>
          <w:p w:rsidR="00912BE3" w:rsidRPr="005D0593" w:rsidP="00912BE3" w14:paraId="492FEB18" w14:textId="3ADDA8A8">
            <w:pPr>
              <w:ind w:firstLine="320" w:firstLineChars="200"/>
              <w:rPr>
                <w:rFonts w:ascii="Arial" w:hAnsi="Arial" w:cs="Arial"/>
                <w:sz w:val="16"/>
                <w:szCs w:val="16"/>
              </w:rPr>
            </w:pPr>
            <w:r w:rsidRPr="005D0593">
              <w:rPr>
                <w:rFonts w:ascii="Arial" w:hAnsi="Arial" w:cs="Arial"/>
                <w:sz w:val="16"/>
                <w:szCs w:val="16"/>
              </w:rPr>
              <w:t xml:space="preserve">Total Agency </w:t>
            </w:r>
            <w:r>
              <w:rPr>
                <w:rFonts w:ascii="Arial" w:hAnsi="Arial" w:cs="Arial"/>
                <w:sz w:val="16"/>
                <w:szCs w:val="16"/>
              </w:rPr>
              <w:t>Non-</w:t>
            </w:r>
            <w:r w:rsidRPr="005D0593">
              <w:rPr>
                <w:rFonts w:ascii="Arial" w:hAnsi="Arial" w:cs="Arial"/>
                <w:sz w:val="16"/>
                <w:szCs w:val="16"/>
              </w:rPr>
              <w:t>Labor Costs</w:t>
            </w:r>
          </w:p>
        </w:tc>
        <w:tc>
          <w:tcPr>
            <w:tcW w:w="1974" w:type="dxa"/>
            <w:tcBorders>
              <w:top w:val="nil"/>
              <w:left w:val="single" w:sz="4" w:space="0" w:color="auto"/>
              <w:bottom w:val="nil"/>
              <w:right w:val="single" w:sz="4" w:space="0" w:color="auto"/>
            </w:tcBorders>
            <w:noWrap/>
            <w:vAlign w:val="center"/>
          </w:tcPr>
          <w:p w:rsidR="00912BE3" w:rsidRPr="005D0593" w:rsidP="00912BE3" w14:paraId="4E5AD2E8" w14:textId="44AA07CC">
            <w:pPr>
              <w:jc w:val="center"/>
              <w:rPr>
                <w:rFonts w:ascii="Arial" w:hAnsi="Arial" w:cs="Arial"/>
                <w:sz w:val="16"/>
                <w:szCs w:val="16"/>
              </w:rPr>
            </w:pPr>
            <w:r>
              <w:rPr>
                <w:rFonts w:ascii="Arial" w:hAnsi="Arial" w:cs="Arial"/>
                <w:color w:val="000000"/>
                <w:sz w:val="16"/>
                <w:szCs w:val="16"/>
              </w:rPr>
              <w:t>($3,900,000)</w:t>
            </w:r>
          </w:p>
        </w:tc>
        <w:tc>
          <w:tcPr>
            <w:tcW w:w="1975" w:type="dxa"/>
            <w:tcBorders>
              <w:top w:val="nil"/>
              <w:left w:val="nil"/>
              <w:bottom w:val="nil"/>
              <w:right w:val="single" w:sz="4" w:space="0" w:color="auto"/>
            </w:tcBorders>
            <w:noWrap/>
            <w:vAlign w:val="center"/>
          </w:tcPr>
          <w:p w:rsidR="00912BE3" w:rsidRPr="005D0593" w:rsidP="00912BE3" w14:paraId="0D59EA4C" w14:textId="146426E2">
            <w:pPr>
              <w:jc w:val="center"/>
              <w:rPr>
                <w:rFonts w:ascii="Arial" w:hAnsi="Arial" w:cs="Arial"/>
                <w:sz w:val="16"/>
                <w:szCs w:val="16"/>
              </w:rPr>
            </w:pPr>
            <w:r>
              <w:rPr>
                <w:rFonts w:ascii="Arial" w:hAnsi="Arial" w:cs="Arial"/>
                <w:color w:val="000000"/>
                <w:sz w:val="16"/>
                <w:szCs w:val="16"/>
              </w:rPr>
              <w:t>($3,900,000)</w:t>
            </w:r>
          </w:p>
        </w:tc>
        <w:tc>
          <w:tcPr>
            <w:tcW w:w="1975" w:type="dxa"/>
            <w:tcBorders>
              <w:top w:val="nil"/>
              <w:left w:val="nil"/>
              <w:bottom w:val="nil"/>
              <w:right w:val="single" w:sz="4" w:space="0" w:color="auto"/>
            </w:tcBorders>
            <w:noWrap/>
            <w:vAlign w:val="center"/>
          </w:tcPr>
          <w:p w:rsidR="00912BE3" w:rsidRPr="005D0593" w:rsidP="00912BE3" w14:paraId="4D7E1B2F" w14:textId="35769212">
            <w:pPr>
              <w:jc w:val="center"/>
              <w:rPr>
                <w:rFonts w:ascii="Arial" w:hAnsi="Arial" w:cs="Arial"/>
                <w:sz w:val="16"/>
                <w:szCs w:val="16"/>
              </w:rPr>
            </w:pPr>
            <w:r>
              <w:rPr>
                <w:rFonts w:ascii="Arial" w:hAnsi="Arial" w:cs="Arial"/>
                <w:color w:val="000000"/>
                <w:sz w:val="16"/>
                <w:szCs w:val="16"/>
              </w:rPr>
              <w:t>($3,900,000)</w:t>
            </w:r>
          </w:p>
        </w:tc>
        <w:tc>
          <w:tcPr>
            <w:tcW w:w="2050" w:type="dxa"/>
            <w:tcBorders>
              <w:top w:val="nil"/>
              <w:left w:val="nil"/>
              <w:bottom w:val="nil"/>
              <w:right w:val="single" w:sz="4" w:space="0" w:color="auto"/>
            </w:tcBorders>
            <w:noWrap/>
            <w:vAlign w:val="center"/>
          </w:tcPr>
          <w:p w:rsidR="00912BE3" w:rsidRPr="005D0593" w:rsidP="00912BE3" w14:paraId="79E5AF0A" w14:textId="2F57E554">
            <w:pPr>
              <w:jc w:val="center"/>
              <w:rPr>
                <w:rFonts w:ascii="Arial" w:hAnsi="Arial" w:cs="Arial"/>
                <w:sz w:val="16"/>
                <w:szCs w:val="16"/>
              </w:rPr>
            </w:pPr>
            <w:r>
              <w:rPr>
                <w:rFonts w:ascii="Arial" w:hAnsi="Arial" w:cs="Arial"/>
                <w:color w:val="000000"/>
                <w:sz w:val="16"/>
                <w:szCs w:val="16"/>
              </w:rPr>
              <w:t>($11,700,000)</w:t>
            </w:r>
          </w:p>
        </w:tc>
        <w:tc>
          <w:tcPr>
            <w:tcW w:w="1975" w:type="dxa"/>
            <w:tcBorders>
              <w:top w:val="nil"/>
              <w:left w:val="single" w:sz="4" w:space="0" w:color="auto"/>
              <w:bottom w:val="nil"/>
              <w:right w:val="single" w:sz="8" w:space="0" w:color="auto"/>
            </w:tcBorders>
            <w:noWrap/>
            <w:vAlign w:val="center"/>
          </w:tcPr>
          <w:p w:rsidR="00912BE3" w:rsidRPr="005D0593" w:rsidP="00912BE3" w14:paraId="7B791215" w14:textId="2106E008">
            <w:pPr>
              <w:jc w:val="center"/>
              <w:rPr>
                <w:rFonts w:ascii="Arial" w:hAnsi="Arial" w:cs="Arial"/>
                <w:sz w:val="16"/>
                <w:szCs w:val="16"/>
              </w:rPr>
            </w:pPr>
            <w:r>
              <w:rPr>
                <w:rFonts w:ascii="Arial" w:hAnsi="Arial" w:cs="Arial"/>
                <w:color w:val="000000"/>
                <w:sz w:val="16"/>
                <w:szCs w:val="16"/>
              </w:rPr>
              <w:t>($3,900,000)</w:t>
            </w:r>
          </w:p>
        </w:tc>
      </w:tr>
      <w:tr w14:paraId="49AC9817" w14:textId="77777777" w:rsidTr="00912BE3">
        <w:tblPrEx>
          <w:tblW w:w="12960" w:type="dxa"/>
          <w:tblLook w:val="04A0"/>
        </w:tblPrEx>
        <w:trPr>
          <w:trHeight w:val="465"/>
        </w:trPr>
        <w:tc>
          <w:tcPr>
            <w:tcW w:w="3011" w:type="dxa"/>
            <w:tcBorders>
              <w:top w:val="nil"/>
              <w:left w:val="single" w:sz="8" w:space="0" w:color="auto"/>
              <w:bottom w:val="nil"/>
              <w:right w:val="single" w:sz="4" w:space="0" w:color="auto"/>
            </w:tcBorders>
            <w:shd w:val="clear" w:color="000000" w:fill="F2F2F2"/>
            <w:vAlign w:val="bottom"/>
            <w:hideMark/>
          </w:tcPr>
          <w:p w:rsidR="00FB10CD" w:rsidRPr="005D0593" w:rsidP="00FB10CD" w14:paraId="737C50C7" w14:textId="77777777">
            <w:pPr>
              <w:rPr>
                <w:rFonts w:ascii="Arial" w:hAnsi="Arial" w:cs="Arial"/>
                <w:sz w:val="16"/>
                <w:szCs w:val="16"/>
              </w:rPr>
            </w:pPr>
            <w:r w:rsidRPr="005D0593">
              <w:rPr>
                <w:rFonts w:ascii="Arial" w:hAnsi="Arial" w:cs="Arial"/>
                <w:sz w:val="16"/>
                <w:szCs w:val="16"/>
              </w:rPr>
              <w:t>Total Burden Hours (Respondents + Agency)</w:t>
            </w:r>
          </w:p>
        </w:tc>
        <w:tc>
          <w:tcPr>
            <w:tcW w:w="1974" w:type="dxa"/>
            <w:tcBorders>
              <w:top w:val="nil"/>
              <w:left w:val="single" w:sz="4" w:space="0" w:color="auto"/>
              <w:bottom w:val="nil"/>
              <w:right w:val="single" w:sz="4" w:space="0" w:color="auto"/>
            </w:tcBorders>
            <w:noWrap/>
            <w:vAlign w:val="center"/>
          </w:tcPr>
          <w:p w:rsidR="00FB10CD" w:rsidRPr="00900A63" w:rsidP="00FB10CD" w14:paraId="0333DAEE" w14:textId="5EB2DB18">
            <w:pPr>
              <w:jc w:val="center"/>
              <w:rPr>
                <w:rFonts w:ascii="Arial" w:hAnsi="Arial" w:cs="Arial"/>
                <w:sz w:val="16"/>
                <w:szCs w:val="16"/>
                <w:highlight w:val="cyan"/>
              </w:rPr>
            </w:pPr>
            <w:r>
              <w:rPr>
                <w:rFonts w:ascii="Arial" w:hAnsi="Arial" w:cs="Arial"/>
                <w:color w:val="000000"/>
                <w:sz w:val="16"/>
                <w:szCs w:val="16"/>
              </w:rPr>
              <w:t>(2,606,644)</w:t>
            </w:r>
          </w:p>
        </w:tc>
        <w:tc>
          <w:tcPr>
            <w:tcW w:w="1975" w:type="dxa"/>
            <w:tcBorders>
              <w:top w:val="nil"/>
              <w:left w:val="nil"/>
              <w:bottom w:val="nil"/>
              <w:right w:val="single" w:sz="4" w:space="0" w:color="auto"/>
            </w:tcBorders>
            <w:noWrap/>
            <w:vAlign w:val="center"/>
          </w:tcPr>
          <w:p w:rsidR="00FB10CD" w:rsidRPr="00900A63" w:rsidP="00FB10CD" w14:paraId="7762A104" w14:textId="0E8C13D8">
            <w:pPr>
              <w:jc w:val="center"/>
              <w:rPr>
                <w:rFonts w:ascii="Arial" w:hAnsi="Arial" w:cs="Arial"/>
                <w:sz w:val="16"/>
                <w:szCs w:val="16"/>
                <w:highlight w:val="cyan"/>
              </w:rPr>
            </w:pPr>
            <w:r>
              <w:rPr>
                <w:rFonts w:ascii="Arial" w:hAnsi="Arial" w:cs="Arial"/>
                <w:color w:val="000000"/>
                <w:sz w:val="16"/>
                <w:szCs w:val="16"/>
              </w:rPr>
              <w:t>(2,606,644)</w:t>
            </w:r>
          </w:p>
        </w:tc>
        <w:tc>
          <w:tcPr>
            <w:tcW w:w="1975" w:type="dxa"/>
            <w:tcBorders>
              <w:top w:val="nil"/>
              <w:left w:val="nil"/>
              <w:bottom w:val="nil"/>
              <w:right w:val="single" w:sz="4" w:space="0" w:color="auto"/>
            </w:tcBorders>
            <w:noWrap/>
            <w:vAlign w:val="center"/>
          </w:tcPr>
          <w:p w:rsidR="00FB10CD" w:rsidRPr="00900A63" w:rsidP="00FB10CD" w14:paraId="1DC81E61" w14:textId="2EE1FD11">
            <w:pPr>
              <w:jc w:val="center"/>
              <w:rPr>
                <w:rFonts w:ascii="Arial" w:hAnsi="Arial" w:cs="Arial"/>
                <w:sz w:val="16"/>
                <w:szCs w:val="16"/>
                <w:highlight w:val="cyan"/>
              </w:rPr>
            </w:pPr>
            <w:r>
              <w:rPr>
                <w:rFonts w:ascii="Arial" w:hAnsi="Arial" w:cs="Arial"/>
                <w:color w:val="000000"/>
                <w:sz w:val="16"/>
                <w:szCs w:val="16"/>
              </w:rPr>
              <w:t>(2,606,644)</w:t>
            </w:r>
          </w:p>
        </w:tc>
        <w:tc>
          <w:tcPr>
            <w:tcW w:w="2050" w:type="dxa"/>
            <w:tcBorders>
              <w:top w:val="nil"/>
              <w:left w:val="nil"/>
              <w:bottom w:val="nil"/>
              <w:right w:val="single" w:sz="4" w:space="0" w:color="auto"/>
            </w:tcBorders>
            <w:noWrap/>
            <w:vAlign w:val="center"/>
          </w:tcPr>
          <w:p w:rsidR="00FB10CD" w:rsidRPr="00900A63" w:rsidP="00FB10CD" w14:paraId="21422676" w14:textId="2EB64679">
            <w:pPr>
              <w:jc w:val="center"/>
              <w:rPr>
                <w:rFonts w:ascii="Arial" w:hAnsi="Arial" w:cs="Arial"/>
                <w:sz w:val="16"/>
                <w:szCs w:val="16"/>
                <w:highlight w:val="cyan"/>
              </w:rPr>
            </w:pPr>
            <w:r>
              <w:rPr>
                <w:rFonts w:ascii="Arial" w:hAnsi="Arial" w:cs="Arial"/>
                <w:color w:val="000000"/>
                <w:sz w:val="16"/>
                <w:szCs w:val="16"/>
              </w:rPr>
              <w:t>(7,819,933)</w:t>
            </w:r>
          </w:p>
        </w:tc>
        <w:tc>
          <w:tcPr>
            <w:tcW w:w="1975" w:type="dxa"/>
            <w:tcBorders>
              <w:top w:val="nil"/>
              <w:left w:val="single" w:sz="4" w:space="0" w:color="auto"/>
              <w:bottom w:val="nil"/>
              <w:right w:val="single" w:sz="8" w:space="0" w:color="auto"/>
            </w:tcBorders>
            <w:noWrap/>
            <w:vAlign w:val="center"/>
          </w:tcPr>
          <w:p w:rsidR="00FB10CD" w:rsidRPr="00900A63" w:rsidP="00FB10CD" w14:paraId="01CA51B1" w14:textId="21BA6CDF">
            <w:pPr>
              <w:jc w:val="center"/>
              <w:rPr>
                <w:rFonts w:ascii="Arial" w:hAnsi="Arial" w:cs="Arial"/>
                <w:sz w:val="16"/>
                <w:szCs w:val="16"/>
                <w:highlight w:val="cyan"/>
              </w:rPr>
            </w:pPr>
            <w:r>
              <w:rPr>
                <w:rFonts w:ascii="Arial" w:hAnsi="Arial" w:cs="Arial"/>
                <w:color w:val="000000"/>
                <w:sz w:val="16"/>
                <w:szCs w:val="16"/>
              </w:rPr>
              <w:t>(2,606,644)</w:t>
            </w:r>
          </w:p>
        </w:tc>
      </w:tr>
      <w:tr w14:paraId="263FEFDD" w14:textId="77777777" w:rsidTr="00912BE3">
        <w:tblPrEx>
          <w:tblW w:w="12960" w:type="dxa"/>
          <w:tblLook w:val="04A0"/>
        </w:tblPrEx>
        <w:trPr>
          <w:trHeight w:val="480"/>
        </w:trPr>
        <w:tc>
          <w:tcPr>
            <w:tcW w:w="3011" w:type="dxa"/>
            <w:tcBorders>
              <w:top w:val="nil"/>
              <w:left w:val="single" w:sz="8" w:space="0" w:color="auto"/>
              <w:bottom w:val="single" w:sz="8" w:space="0" w:color="auto"/>
              <w:right w:val="single" w:sz="4" w:space="0" w:color="auto"/>
            </w:tcBorders>
            <w:shd w:val="clear" w:color="000000" w:fill="F2F2F2"/>
            <w:vAlign w:val="bottom"/>
            <w:hideMark/>
          </w:tcPr>
          <w:p w:rsidR="00912BE3" w:rsidRPr="005D0593" w:rsidP="00912BE3" w14:paraId="7D538B50" w14:textId="77777777">
            <w:pPr>
              <w:rPr>
                <w:rFonts w:ascii="Arial" w:hAnsi="Arial" w:cs="Arial"/>
                <w:sz w:val="16"/>
                <w:szCs w:val="16"/>
              </w:rPr>
            </w:pPr>
            <w:r w:rsidRPr="005D0593">
              <w:rPr>
                <w:rFonts w:ascii="Arial" w:hAnsi="Arial" w:cs="Arial"/>
                <w:sz w:val="16"/>
                <w:szCs w:val="16"/>
              </w:rPr>
              <w:t>Bottom Line Costs (Respondents + Agency)</w:t>
            </w:r>
          </w:p>
        </w:tc>
        <w:tc>
          <w:tcPr>
            <w:tcW w:w="1974" w:type="dxa"/>
            <w:tcBorders>
              <w:top w:val="nil"/>
              <w:left w:val="nil"/>
              <w:bottom w:val="single" w:sz="8" w:space="0" w:color="auto"/>
              <w:right w:val="single" w:sz="4" w:space="0" w:color="auto"/>
            </w:tcBorders>
            <w:noWrap/>
            <w:vAlign w:val="center"/>
          </w:tcPr>
          <w:p w:rsidR="00912BE3" w:rsidRPr="00900A63" w:rsidP="00912BE3" w14:paraId="09146E8E" w14:textId="317291DA">
            <w:pPr>
              <w:jc w:val="center"/>
              <w:rPr>
                <w:rFonts w:ascii="Arial" w:hAnsi="Arial" w:cs="Arial"/>
                <w:sz w:val="16"/>
                <w:szCs w:val="16"/>
                <w:highlight w:val="cyan"/>
              </w:rPr>
            </w:pPr>
            <w:r>
              <w:rPr>
                <w:rFonts w:ascii="Arial" w:hAnsi="Arial" w:cs="Arial"/>
                <w:color w:val="000000"/>
                <w:sz w:val="16"/>
                <w:szCs w:val="16"/>
              </w:rPr>
              <w:t>($307,289,565)</w:t>
            </w:r>
          </w:p>
        </w:tc>
        <w:tc>
          <w:tcPr>
            <w:tcW w:w="1975" w:type="dxa"/>
            <w:tcBorders>
              <w:top w:val="nil"/>
              <w:left w:val="nil"/>
              <w:bottom w:val="single" w:sz="8" w:space="0" w:color="auto"/>
              <w:right w:val="single" w:sz="4" w:space="0" w:color="auto"/>
            </w:tcBorders>
            <w:noWrap/>
            <w:vAlign w:val="center"/>
          </w:tcPr>
          <w:p w:rsidR="00912BE3" w:rsidRPr="00900A63" w:rsidP="00912BE3" w14:paraId="6FE2060A" w14:textId="53E04EBC">
            <w:pPr>
              <w:jc w:val="center"/>
              <w:rPr>
                <w:rFonts w:ascii="Arial" w:hAnsi="Arial" w:cs="Arial"/>
                <w:sz w:val="16"/>
                <w:szCs w:val="16"/>
                <w:highlight w:val="cyan"/>
              </w:rPr>
            </w:pPr>
            <w:r>
              <w:rPr>
                <w:rFonts w:ascii="Arial" w:hAnsi="Arial" w:cs="Arial"/>
                <w:color w:val="000000"/>
                <w:sz w:val="16"/>
                <w:szCs w:val="16"/>
              </w:rPr>
              <w:t>($307,289,565)</w:t>
            </w:r>
          </w:p>
        </w:tc>
        <w:tc>
          <w:tcPr>
            <w:tcW w:w="1975" w:type="dxa"/>
            <w:tcBorders>
              <w:top w:val="nil"/>
              <w:left w:val="nil"/>
              <w:bottom w:val="single" w:sz="8" w:space="0" w:color="auto"/>
              <w:right w:val="single" w:sz="4" w:space="0" w:color="auto"/>
            </w:tcBorders>
            <w:noWrap/>
            <w:vAlign w:val="center"/>
          </w:tcPr>
          <w:p w:rsidR="00912BE3" w:rsidRPr="00900A63" w:rsidP="00912BE3" w14:paraId="4D0EA046" w14:textId="35994782">
            <w:pPr>
              <w:jc w:val="center"/>
              <w:rPr>
                <w:rFonts w:ascii="Arial" w:hAnsi="Arial" w:cs="Arial"/>
                <w:sz w:val="16"/>
                <w:szCs w:val="16"/>
                <w:highlight w:val="cyan"/>
              </w:rPr>
            </w:pPr>
            <w:r>
              <w:rPr>
                <w:rFonts w:ascii="Arial" w:hAnsi="Arial" w:cs="Arial"/>
                <w:color w:val="000000"/>
                <w:sz w:val="16"/>
                <w:szCs w:val="16"/>
              </w:rPr>
              <w:t>($307,289,565)</w:t>
            </w:r>
          </w:p>
        </w:tc>
        <w:tc>
          <w:tcPr>
            <w:tcW w:w="2050" w:type="dxa"/>
            <w:tcBorders>
              <w:top w:val="nil"/>
              <w:left w:val="nil"/>
              <w:bottom w:val="single" w:sz="8" w:space="0" w:color="auto"/>
              <w:right w:val="single" w:sz="4" w:space="0" w:color="auto"/>
            </w:tcBorders>
            <w:noWrap/>
            <w:vAlign w:val="center"/>
          </w:tcPr>
          <w:p w:rsidR="00912BE3" w:rsidRPr="00900A63" w:rsidP="00912BE3" w14:paraId="452773F9" w14:textId="7B7D6ED8">
            <w:pPr>
              <w:jc w:val="center"/>
              <w:rPr>
                <w:rFonts w:ascii="Arial" w:hAnsi="Arial" w:cs="Arial"/>
                <w:sz w:val="16"/>
                <w:szCs w:val="16"/>
                <w:highlight w:val="cyan"/>
              </w:rPr>
            </w:pPr>
            <w:r>
              <w:rPr>
                <w:rFonts w:ascii="Arial" w:hAnsi="Arial" w:cs="Arial"/>
                <w:color w:val="000000"/>
                <w:sz w:val="16"/>
                <w:szCs w:val="16"/>
              </w:rPr>
              <w:t>($921,868,695)</w:t>
            </w:r>
          </w:p>
        </w:tc>
        <w:tc>
          <w:tcPr>
            <w:tcW w:w="1975" w:type="dxa"/>
            <w:tcBorders>
              <w:top w:val="nil"/>
              <w:left w:val="nil"/>
              <w:bottom w:val="single" w:sz="8" w:space="0" w:color="auto"/>
              <w:right w:val="single" w:sz="8" w:space="0" w:color="auto"/>
            </w:tcBorders>
            <w:noWrap/>
            <w:vAlign w:val="center"/>
          </w:tcPr>
          <w:p w:rsidR="00912BE3" w:rsidRPr="00900A63" w:rsidP="00912BE3" w14:paraId="1598E96E" w14:textId="558F7B87">
            <w:pPr>
              <w:jc w:val="center"/>
              <w:rPr>
                <w:rFonts w:ascii="Arial" w:hAnsi="Arial" w:cs="Arial"/>
                <w:sz w:val="16"/>
                <w:szCs w:val="16"/>
                <w:highlight w:val="cyan"/>
              </w:rPr>
            </w:pPr>
            <w:r>
              <w:rPr>
                <w:rFonts w:ascii="Arial" w:hAnsi="Arial" w:cs="Arial"/>
                <w:color w:val="000000"/>
                <w:sz w:val="16"/>
                <w:szCs w:val="16"/>
              </w:rPr>
              <w:t>($307,289,565)</w:t>
            </w:r>
          </w:p>
        </w:tc>
      </w:tr>
      <w:bookmarkEnd w:id="22"/>
    </w:tbl>
    <w:p w:rsidR="00427A81" w:rsidP="00854AAE" w14:paraId="6DC77E48" w14:textId="77777777">
      <w:pPr>
        <w:spacing w:before="60"/>
        <w:rPr>
          <w:rFonts w:cstheme="minorHAnsi"/>
        </w:rPr>
        <w:sectPr w:rsidSect="00900A63">
          <w:pgSz w:w="15840" w:h="12240" w:orient="landscape" w:code="1"/>
          <w:pgMar w:top="1440" w:right="1440" w:bottom="1440" w:left="1440" w:header="720" w:footer="432" w:gutter="0"/>
          <w:cols w:space="720"/>
          <w:docGrid w:linePitch="360"/>
        </w:sectPr>
      </w:pPr>
    </w:p>
    <w:p w:rsidR="00ED57A4" w:rsidRPr="00BB3410" w:rsidP="00854AAE" w14:paraId="68F435BE" w14:textId="3DE0A66E">
      <w:pPr>
        <w:spacing w:before="60"/>
        <w:rPr>
          <w:rFonts w:cstheme="minorHAnsi"/>
        </w:rPr>
      </w:pPr>
    </w:p>
    <w:p w:rsidR="00BB2B15" w:rsidRPr="00163C69" w:rsidP="00565AEA" w14:paraId="5D1B71A2" w14:textId="2ADBBFA0">
      <w:pPr>
        <w:pStyle w:val="ListParagraph"/>
        <w:numPr>
          <w:ilvl w:val="0"/>
          <w:numId w:val="2"/>
        </w:numPr>
        <w:spacing w:before="240" w:after="0"/>
        <w:rPr>
          <w:rFonts w:cstheme="minorHAnsi"/>
          <w:b/>
          <w:bCs/>
          <w:caps/>
        </w:rPr>
      </w:pPr>
      <w:bookmarkStart w:id="23"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3"/>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w:t>
      </w:r>
      <w:r w:rsidRPr="00F92596">
        <w:rPr>
          <w:rFonts w:cstheme="minorHAnsi"/>
          <w:i/>
          <w:iCs/>
        </w:rPr>
        <w:t>: (a) a</w:t>
      </w:r>
      <w:r w:rsidRPr="00F92596">
        <w:rPr>
          <w:rFonts w:cstheme="minorHAnsi"/>
          <w:i/>
          <w:iCs/>
        </w:rPr>
        <w:t xml:space="preserve">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6FCAA5FD">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BB3410" w:rsidRPr="00BB3410" w:rsidP="00F87F52" w14:paraId="678BA42F" w14:textId="0D1493D9">
      <w:pPr>
        <w:pBdr>
          <w:top w:val="single" w:sz="6" w:space="0" w:color="FFFFFF"/>
          <w:left w:val="single" w:sz="6" w:space="0" w:color="FFFFFF"/>
          <w:bottom w:val="single" w:sz="6" w:space="0" w:color="FFFFFF"/>
          <w:right w:val="single" w:sz="6" w:space="0" w:color="FFFFFF"/>
        </w:pBdr>
        <w:ind w:firstLine="720"/>
        <w:rPr>
          <w:rFonts w:cstheme="minorHAnsi"/>
          <w:color w:val="000000"/>
        </w:rPr>
      </w:pPr>
      <w:r>
        <w:rPr>
          <w:rFonts w:cstheme="minorHAnsi"/>
          <w:color w:val="000000"/>
        </w:rPr>
        <w:t xml:space="preserve">See </w:t>
      </w:r>
      <w:r w:rsidR="00BB0164">
        <w:rPr>
          <w:rFonts w:cstheme="minorHAnsi"/>
          <w:color w:val="000000"/>
        </w:rPr>
        <w:t>sec</w:t>
      </w:r>
      <w:r>
        <w:rPr>
          <w:rFonts w:cstheme="minorHAnsi"/>
          <w:color w:val="000000"/>
        </w:rPr>
        <w:t>tion 12 above.</w:t>
      </w:r>
    </w:p>
    <w:p w:rsidR="00023EFE" w:rsidRPr="00163C69" w:rsidP="00565AEA" w14:paraId="7D2BF7DE" w14:textId="77777777">
      <w:pPr>
        <w:pStyle w:val="ListParagraph"/>
        <w:numPr>
          <w:ilvl w:val="0"/>
          <w:numId w:val="2"/>
        </w:numPr>
        <w:pBdr>
          <w:bottom w:val="single" w:sz="4" w:space="1" w:color="auto"/>
        </w:pBdr>
        <w:spacing w:before="240" w:after="0"/>
        <w:rPr>
          <w:rFonts w:cstheme="minorHAnsi"/>
          <w:b/>
          <w:bCs/>
        </w:rPr>
      </w:pPr>
      <w:bookmarkStart w:id="24" w:name="_Toc156593387"/>
      <w:r w:rsidRPr="4BDBF0A0">
        <w:rPr>
          <w:b/>
          <w:bCs/>
        </w:rPr>
        <w:t xml:space="preserve">AGENCY </w:t>
      </w:r>
      <w:bookmarkStart w:id="25" w:name="_Toc156593388"/>
      <w:bookmarkEnd w:id="24"/>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1F0834">
        <w:rPr>
          <w:rFonts w:cstheme="minorHAnsi"/>
          <w:bCs/>
          <w:i/>
          <w:iCs/>
        </w:rPr>
        <w:t>expense</w:t>
      </w:r>
      <w:r w:rsidRPr="001F0834">
        <w:rPr>
          <w:rFonts w:cstheme="minorHAnsi"/>
          <w:bCs/>
          <w:i/>
          <w:iCs/>
        </w:rPr>
        <w:t xml:space="preserv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834E06" w:rsidP="0060603A" w14:paraId="647FDC77" w14:textId="1C109496">
      <w:pPr>
        <w:spacing w:before="120"/>
        <w:ind w:firstLine="720"/>
      </w:pPr>
      <w:r w:rsidRPr="005D0593">
        <w:t xml:space="preserve">EPA activities include the monitoring and verification of emission reports, database and software maintenance, communication and outreach, and program evaluation. This ICR reflects an incremental agency burden for program operation activities, which include monitoring and verification of emission reports. </w:t>
      </w:r>
      <w:r w:rsidR="0051410C">
        <w:t>The incremental agency burden under the proposed reconsideration is $0</w:t>
      </w:r>
      <w:r w:rsidRPr="005D0593" w:rsidR="0051410C">
        <w:t>.</w:t>
      </w:r>
      <w:r w:rsidR="0051410C">
        <w:t xml:space="preserve"> Th</w:t>
      </w:r>
      <w:r w:rsidR="00C22DE1">
        <w:t>e</w:t>
      </w:r>
      <w:r w:rsidR="0051410C">
        <w:t xml:space="preserve"> proposed revision </w:t>
      </w:r>
      <w:r w:rsidR="0051410C">
        <w:t>to</w:t>
      </w:r>
      <w:r w:rsidR="0051410C">
        <w:t xml:space="preserve"> the collection </w:t>
      </w:r>
      <w:r w:rsidRPr="001A75E7" w:rsidR="0051410C">
        <w:t>propos</w:t>
      </w:r>
      <w:r w:rsidR="0051410C">
        <w:t>es</w:t>
      </w:r>
      <w:r w:rsidRPr="001A75E7" w:rsidR="0051410C">
        <w:t xml:space="preserve"> to remove </w:t>
      </w:r>
      <w:r w:rsidR="00D56C1C">
        <w:t>or suspend</w:t>
      </w:r>
      <w:r w:rsidRPr="001A75E7" w:rsidR="0051410C">
        <w:t xml:space="preserve"> existing </w:t>
      </w:r>
      <w:r w:rsidR="0051410C">
        <w:t xml:space="preserve">data </w:t>
      </w:r>
      <w:r w:rsidRPr="001A75E7" w:rsidR="0051410C">
        <w:t>reporting requirements</w:t>
      </w:r>
      <w:r w:rsidR="00C22DE1">
        <w:t xml:space="preserve"> and the data submitted to the Agency</w:t>
      </w:r>
      <w:r w:rsidR="0051410C">
        <w:t xml:space="preserve">. </w:t>
      </w:r>
      <w:r w:rsidR="009829E7">
        <w:t>The proposed reconsideration w</w:t>
      </w:r>
      <w:r w:rsidR="00EC6976">
        <w:t>ould</w:t>
      </w:r>
      <w:r w:rsidR="009829E7">
        <w:t xml:space="preserve"> reduce </w:t>
      </w:r>
      <w:r w:rsidR="00C02379">
        <w:t xml:space="preserve">the agency labor hours and </w:t>
      </w:r>
      <w:r w:rsidR="007F1F3F">
        <w:t xml:space="preserve">non-labor costs </w:t>
      </w:r>
      <w:r w:rsidR="00CE4FFE">
        <w:t xml:space="preserve">from the withdrawal of all reporting </w:t>
      </w:r>
      <w:r w:rsidR="00912BE3">
        <w:t xml:space="preserve">non-W sectors and the natural gas distribution segment of subpart W, </w:t>
      </w:r>
      <w:r w:rsidR="00F81E53">
        <w:t>as well as the proposed suspension of reporting for remaining industry segments of</w:t>
      </w:r>
      <w:r w:rsidRPr="00912BE3" w:rsidR="00CE4FFE">
        <w:t xml:space="preserve"> subpart W</w:t>
      </w:r>
      <w:r w:rsidR="00F81E53">
        <w:t xml:space="preserve"> until RY2034</w:t>
      </w:r>
      <w:r w:rsidRPr="00912BE3" w:rsidR="00CE4FFE">
        <w:t>.</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717707" w:rsidRPr="005D0593" w:rsidP="003F51D9" w14:paraId="4B62015C" w14:textId="5004D5E8">
      <w:pPr>
        <w:autoSpaceDE w:val="0"/>
        <w:autoSpaceDN w:val="0"/>
        <w:adjustRightInd w:val="0"/>
        <w:spacing w:before="120"/>
        <w:ind w:firstLine="720"/>
      </w:pPr>
      <w:r w:rsidRPr="005D0593">
        <w:t xml:space="preserve">This section describes the burden and cost to the </w:t>
      </w:r>
      <w:r w:rsidR="009A6E69">
        <w:t>F</w:t>
      </w:r>
      <w:r w:rsidRPr="005D0593">
        <w:t>ederal government associated with this information collection</w:t>
      </w:r>
      <w:r w:rsidRPr="005D0593">
        <w:rPr>
          <w:bCs/>
        </w:rPr>
        <w:t xml:space="preserve">, and the details are provided in </w:t>
      </w:r>
      <w:r w:rsidR="006C59C8">
        <w:rPr>
          <w:bCs/>
        </w:rPr>
        <w:t xml:space="preserve">Attachment </w:t>
      </w:r>
      <w:r w:rsidR="0031207D">
        <w:rPr>
          <w:bCs/>
        </w:rPr>
        <w:t>1</w:t>
      </w:r>
      <w:r w:rsidRPr="005D0593">
        <w:t xml:space="preserve">. Federal activities under this information collection include EPA oversight of the reporting program. </w:t>
      </w:r>
    </w:p>
    <w:p w:rsidR="00717707" w:rsidRPr="003F1ADC" w:rsidP="00F06A81" w14:paraId="30BFE65C" w14:textId="3D409792">
      <w:pPr>
        <w:spacing w:before="60"/>
        <w:ind w:firstLine="720"/>
        <w:rPr>
          <w:rFonts w:cstheme="minorHAnsi"/>
        </w:rPr>
      </w:pPr>
      <w:r w:rsidRPr="005D0593">
        <w:t xml:space="preserve">EPA activities associated with the GHGRP include oversight and implementation of the reporting program, e.g., monitoring and verification of emission reports, database and software maintenance, communication and outreach, and program evaluation. </w:t>
      </w:r>
      <w:r w:rsidR="00485390">
        <w:rPr>
          <w:rFonts w:cstheme="minorHAnsi"/>
        </w:rPr>
        <w:t>There are no labor costs to</w:t>
      </w:r>
      <w:r w:rsidRPr="001676C5" w:rsidR="00485390">
        <w:t xml:space="preserve"> </w:t>
      </w:r>
      <w:r w:rsidRPr="005D0593" w:rsidR="00485390">
        <w:t xml:space="preserve">the </w:t>
      </w:r>
      <w:r w:rsidR="00187C81">
        <w:t>F</w:t>
      </w:r>
      <w:r w:rsidRPr="005D0593" w:rsidR="00485390">
        <w:t xml:space="preserve">ederal government associated with </w:t>
      </w:r>
      <w:r w:rsidR="00485390">
        <w:t xml:space="preserve">the rule changes included in </w:t>
      </w:r>
      <w:r w:rsidRPr="005D0593" w:rsidR="00485390">
        <w:t>this information collection</w:t>
      </w:r>
      <w:r w:rsidRPr="005D0593" w:rsidR="002A5547">
        <w:t>.</w:t>
      </w:r>
      <w:r w:rsidR="002A5547">
        <w:t xml:space="preserve"> The proposed revision to the collection </w:t>
      </w:r>
      <w:r w:rsidR="000E3156">
        <w:t xml:space="preserve">reflects the </w:t>
      </w:r>
      <w:r w:rsidRPr="001A75E7" w:rsidR="002A5547">
        <w:t>propos</w:t>
      </w:r>
      <w:r w:rsidR="000E3156">
        <w:t>al</w:t>
      </w:r>
      <w:r w:rsidRPr="001A75E7" w:rsidR="002A5547">
        <w:t xml:space="preserve"> to remove existing </w:t>
      </w:r>
      <w:r w:rsidR="002A5547">
        <w:t xml:space="preserve">data </w:t>
      </w:r>
      <w:r w:rsidRPr="001A75E7" w:rsidR="002A5547">
        <w:t>reporting requirements</w:t>
      </w:r>
      <w:r w:rsidR="002A5547">
        <w:t xml:space="preserve"> and the data submitted to the Agency</w:t>
      </w:r>
      <w:r w:rsidR="006E644D">
        <w:t>, reducing the time required for oversight and implementation of the program</w:t>
      </w:r>
      <w:r w:rsidR="002A5547">
        <w:t>.</w:t>
      </w:r>
    </w:p>
    <w:p w:rsidR="00986444" w:rsidP="00E60D04" w14:paraId="3EFCD4BB" w14:textId="7203914E">
      <w:pPr>
        <w:ind w:firstLine="720"/>
        <w:rPr>
          <w:bCs/>
        </w:rPr>
      </w:pPr>
      <w:r w:rsidRPr="005D0593">
        <w:rPr>
          <w:bCs/>
        </w:rPr>
        <w:t xml:space="preserve">The </w:t>
      </w:r>
      <w:r>
        <w:rPr>
          <w:bCs/>
        </w:rPr>
        <w:t xml:space="preserve">current </w:t>
      </w:r>
      <w:r w:rsidRPr="005D0593">
        <w:rPr>
          <w:bCs/>
        </w:rPr>
        <w:t xml:space="preserve">total burden and costs to the </w:t>
      </w:r>
      <w:r w:rsidR="00187C81">
        <w:rPr>
          <w:bCs/>
        </w:rPr>
        <w:t>F</w:t>
      </w:r>
      <w:r w:rsidRPr="005D0593">
        <w:rPr>
          <w:bCs/>
        </w:rPr>
        <w:t xml:space="preserve">ederal government </w:t>
      </w:r>
      <w:r>
        <w:rPr>
          <w:bCs/>
        </w:rPr>
        <w:t>for the GHGRP is estimated to be 12 full time e</w:t>
      </w:r>
      <w:r w:rsidR="003F7E23">
        <w:rPr>
          <w:bCs/>
        </w:rPr>
        <w:t>mployees</w:t>
      </w:r>
      <w:r>
        <w:rPr>
          <w:bCs/>
        </w:rPr>
        <w:t xml:space="preserve"> (FTE), or 2,080 hours per year per employee. The proposed reconsideration would remove the reporting requirements for all subparts except subpart W and reduce the burden by 5 FTEs to administer the program to 7 FTEs for the remaining program.</w:t>
      </w:r>
      <w:r w:rsidRPr="005D0593">
        <w:rPr>
          <w:bCs/>
        </w:rPr>
        <w:t xml:space="preserve"> </w:t>
      </w:r>
      <w:r w:rsidRPr="005D0593">
        <w:t xml:space="preserve">Exhibit </w:t>
      </w:r>
      <w:r>
        <w:t>14</w:t>
      </w:r>
      <w:r w:rsidRPr="005D0593">
        <w:t>.</w:t>
      </w:r>
      <w:r>
        <w:t>1</w:t>
      </w:r>
      <w:r w:rsidRPr="005D0593">
        <w:t xml:space="preserve"> presents the annual Agency burden and cost</w:t>
      </w:r>
      <w:r>
        <w:t xml:space="preserve"> reduction</w:t>
      </w:r>
      <w:r w:rsidRPr="005D0593">
        <w:t>.</w:t>
      </w:r>
      <w:r w:rsidRPr="005D0593">
        <w:rPr>
          <w:bCs/>
        </w:rPr>
        <w:t xml:space="preserve"> </w:t>
      </w:r>
    </w:p>
    <w:p w:rsidR="00F11BF5" w:rsidP="00E60D04" w14:paraId="7078A652" w14:textId="42151CC0">
      <w:pPr>
        <w:ind w:firstLine="720"/>
        <w:rPr>
          <w:bCs/>
        </w:rPr>
      </w:pPr>
      <w:r w:rsidRPr="005D0593">
        <w:t>To develop EPA labor costs, the EPA estimated the average hourly labor rate for salary and overhead and benefits for Agency staff to be $6</w:t>
      </w:r>
      <w:r w:rsidR="002C4C43">
        <w:t>7</w:t>
      </w:r>
      <w:r w:rsidRPr="005D0593">
        <w:t>.</w:t>
      </w:r>
      <w:r w:rsidR="002C4C43">
        <w:t>86</w:t>
      </w:r>
      <w:r w:rsidRPr="005D0593">
        <w:t>. To derive this figure, the EPA multiplied the hourly compensation at GS-13, Step 1 on the 202</w:t>
      </w:r>
      <w:r w:rsidR="00481A3C">
        <w:t>4</w:t>
      </w:r>
      <w:r w:rsidRPr="005D0593">
        <w:t xml:space="preserve"> GS pay scale ($</w:t>
      </w:r>
      <w:r w:rsidR="00342DB4">
        <w:t>42.41</w:t>
      </w:r>
      <w:r w:rsidRPr="005D0593">
        <w:t>) by the standard government benefits multiplication factor of 1.6 to account for overhead and benefits.</w:t>
      </w:r>
      <w:r>
        <w:rPr>
          <w:rStyle w:val="FootnoteReference"/>
        </w:rPr>
        <w:footnoteReference w:id="3"/>
      </w:r>
    </w:p>
    <w:p w:rsidR="00E301B5" w:rsidRPr="00E60D04" w:rsidP="00C579EE" w14:paraId="149B2F4F" w14:textId="10FB12E4">
      <w:r w:rsidRPr="005D0593">
        <w:rPr>
          <w:rFonts w:eastAsia="Calibri"/>
          <w:b/>
          <w:bCs/>
        </w:rPr>
        <w:t xml:space="preserve">Exhibit </w:t>
      </w:r>
      <w:r>
        <w:rPr>
          <w:rFonts w:eastAsia="Calibri"/>
          <w:b/>
          <w:bCs/>
        </w:rPr>
        <w:t>14</w:t>
      </w:r>
      <w:r w:rsidRPr="005D0593">
        <w:rPr>
          <w:rFonts w:eastAsia="Calibri"/>
          <w:b/>
          <w:bCs/>
        </w:rPr>
        <w:t>.</w:t>
      </w:r>
      <w:r>
        <w:rPr>
          <w:rFonts w:eastAsia="Calibri"/>
          <w:b/>
          <w:bCs/>
        </w:rPr>
        <w:t>1</w:t>
      </w:r>
      <w:r w:rsidRPr="005D0593">
        <w:rPr>
          <w:rFonts w:eastAsia="Calibri"/>
          <w:b/>
          <w:bCs/>
        </w:rPr>
        <w:t xml:space="preserve"> Annual Agency Burden and Cost</w:t>
      </w:r>
      <w:r w:rsidR="00BC6D18">
        <w:rPr>
          <w:rFonts w:eastAsia="Calibri"/>
          <w:b/>
          <w:bCs/>
        </w:rPr>
        <w:t xml:space="preserve"> Reduction</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95"/>
        <w:gridCol w:w="1350"/>
        <w:gridCol w:w="1440"/>
        <w:gridCol w:w="1260"/>
        <w:gridCol w:w="1260"/>
        <w:gridCol w:w="1425"/>
      </w:tblGrid>
      <w:tr w14:paraId="098C201F" w14:textId="77777777" w:rsidTr="00954BB3">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hideMark/>
          </w:tcPr>
          <w:p w:rsidR="003C7EF3" w:rsidRPr="00997F47" w:rsidP="003C7EF3" w14:paraId="27DB9EB6" w14:textId="77777777">
            <w:pPr>
              <w:spacing w:after="0" w:line="240" w:lineRule="auto"/>
              <w:textAlignment w:val="baseline"/>
              <w:rPr>
                <w:rFonts w:ascii="Times New Roman" w:eastAsia="Times New Roman" w:hAnsi="Times New Roman" w:cs="Times New Roman"/>
              </w:rPr>
            </w:pPr>
            <w:r w:rsidRPr="00997F47">
              <w:rPr>
                <w:rFonts w:ascii="Calibri" w:eastAsia="Times New Roman" w:hAnsi="Calibri" w:cs="Calibri"/>
                <w:b/>
                <w:bCs/>
              </w:rPr>
              <w:t>Information Collection Activity</w:t>
            </w:r>
            <w:r w:rsidRPr="00997F47">
              <w:rPr>
                <w:rFonts w:ascii="Calibri" w:eastAsia="Times New Roman" w:hAnsi="Calibri" w:cs="Calibri"/>
              </w:rPr>
              <w:t> </w:t>
            </w:r>
          </w:p>
        </w:tc>
        <w:tc>
          <w:tcPr>
            <w:tcW w:w="1350" w:type="dxa"/>
            <w:tcBorders>
              <w:top w:val="single" w:sz="6" w:space="0" w:color="auto"/>
              <w:left w:val="single" w:sz="6" w:space="0" w:color="auto"/>
              <w:bottom w:val="single" w:sz="6" w:space="0" w:color="auto"/>
              <w:right w:val="single" w:sz="6" w:space="0" w:color="auto"/>
            </w:tcBorders>
            <w:hideMark/>
          </w:tcPr>
          <w:p w:rsidR="003C7EF3" w:rsidRPr="00997F47" w:rsidP="003C7EF3" w14:paraId="2F64667D" w14:textId="77777777">
            <w:pPr>
              <w:spacing w:after="0" w:line="240" w:lineRule="auto"/>
              <w:textAlignment w:val="baseline"/>
              <w:rPr>
                <w:rFonts w:ascii="Times New Roman" w:eastAsia="Times New Roman" w:hAnsi="Times New Roman" w:cs="Times New Roman"/>
              </w:rPr>
            </w:pPr>
            <w:r w:rsidRPr="00997F47">
              <w:rPr>
                <w:rFonts w:ascii="Calibri" w:eastAsia="Times New Roman" w:hAnsi="Calibri" w:cs="Calibri"/>
                <w:b/>
                <w:bCs/>
              </w:rPr>
              <w:t>Annual Responses</w:t>
            </w:r>
            <w:r w:rsidRPr="00997F47">
              <w:rPr>
                <w:rFonts w:ascii="Calibri" w:eastAsia="Times New Roman" w:hAnsi="Calibri" w:cs="Calibri"/>
              </w:rPr>
              <w:t> </w:t>
            </w:r>
          </w:p>
        </w:tc>
        <w:tc>
          <w:tcPr>
            <w:tcW w:w="1440" w:type="dxa"/>
            <w:tcBorders>
              <w:top w:val="single" w:sz="6" w:space="0" w:color="auto"/>
              <w:left w:val="single" w:sz="6" w:space="0" w:color="auto"/>
              <w:bottom w:val="single" w:sz="6" w:space="0" w:color="auto"/>
              <w:right w:val="single" w:sz="6" w:space="0" w:color="auto"/>
            </w:tcBorders>
            <w:hideMark/>
          </w:tcPr>
          <w:p w:rsidR="003C7EF3" w:rsidRPr="00997F47" w:rsidP="003C7EF3" w14:paraId="39BC8FFE" w14:textId="6063A93F">
            <w:pPr>
              <w:spacing w:after="0" w:line="240" w:lineRule="auto"/>
              <w:textAlignment w:val="baseline"/>
              <w:rPr>
                <w:rFonts w:ascii="Times New Roman" w:eastAsia="Times New Roman" w:hAnsi="Times New Roman" w:cs="Times New Roman"/>
              </w:rPr>
            </w:pPr>
            <w:r w:rsidRPr="00997F47">
              <w:rPr>
                <w:rFonts w:ascii="Calibri" w:eastAsia="Times New Roman" w:hAnsi="Calibri" w:cs="Calibri"/>
                <w:b/>
                <w:bCs/>
              </w:rPr>
              <w:t>Total Annual Burden (h</w:t>
            </w:r>
            <w:r w:rsidR="00C77068">
              <w:rPr>
                <w:rFonts w:ascii="Calibri" w:eastAsia="Times New Roman" w:hAnsi="Calibri" w:cs="Calibri"/>
                <w:b/>
                <w:bCs/>
              </w:rPr>
              <w:t>ou</w:t>
            </w:r>
            <w:r w:rsidRPr="00997F47">
              <w:rPr>
                <w:rFonts w:ascii="Calibri" w:eastAsia="Times New Roman" w:hAnsi="Calibri" w:cs="Calibri"/>
                <w:b/>
                <w:bCs/>
              </w:rPr>
              <w:t>rs)</w:t>
            </w:r>
            <w:r w:rsidRPr="00997F47">
              <w:rPr>
                <w:rFonts w:ascii="Calibri" w:eastAsia="Times New Roman" w:hAnsi="Calibri" w:cs="Calibri"/>
                <w:b/>
                <w:bCs/>
                <w:vertAlign w:val="superscript"/>
              </w:rPr>
              <w:t>1</w:t>
            </w:r>
            <w:r w:rsidRPr="00997F47">
              <w:rPr>
                <w:rFonts w:ascii="Calibri" w:eastAsia="Times New Roman" w:hAnsi="Calibri" w:cs="Calibri"/>
              </w:rPr>
              <w:t> </w:t>
            </w:r>
          </w:p>
        </w:tc>
        <w:tc>
          <w:tcPr>
            <w:tcW w:w="1260" w:type="dxa"/>
            <w:tcBorders>
              <w:top w:val="single" w:sz="6" w:space="0" w:color="auto"/>
              <w:left w:val="single" w:sz="6" w:space="0" w:color="auto"/>
              <w:bottom w:val="single" w:sz="6" w:space="0" w:color="auto"/>
              <w:right w:val="single" w:sz="6" w:space="0" w:color="auto"/>
            </w:tcBorders>
            <w:hideMark/>
          </w:tcPr>
          <w:p w:rsidR="003C7EF3" w:rsidRPr="00997F47" w:rsidP="003C7EF3" w14:paraId="11ECE129" w14:textId="75B88E76">
            <w:pPr>
              <w:spacing w:after="0" w:line="240" w:lineRule="auto"/>
              <w:textAlignment w:val="baseline"/>
              <w:rPr>
                <w:rFonts w:ascii="Times New Roman" w:eastAsia="Times New Roman" w:hAnsi="Times New Roman" w:cs="Times New Roman"/>
                <w:b/>
              </w:rPr>
            </w:pPr>
            <w:r w:rsidRPr="00997F47">
              <w:rPr>
                <w:b/>
                <w:bCs/>
              </w:rPr>
              <w:t>Labor Cost (2024$)</w:t>
            </w:r>
            <w:r w:rsidRPr="00997F47">
              <w:rPr>
                <w:b/>
                <w:bCs/>
                <w:vertAlign w:val="superscript"/>
              </w:rPr>
              <w:t>2</w:t>
            </w:r>
            <w:r w:rsidRPr="00997F47">
              <w:rPr>
                <w:b/>
                <w:bCs/>
              </w:rPr>
              <w:t> </w:t>
            </w:r>
          </w:p>
        </w:tc>
        <w:tc>
          <w:tcPr>
            <w:tcW w:w="1260" w:type="dxa"/>
            <w:tcBorders>
              <w:top w:val="single" w:sz="6" w:space="0" w:color="auto"/>
              <w:left w:val="single" w:sz="6" w:space="0" w:color="auto"/>
              <w:bottom w:val="single" w:sz="6" w:space="0" w:color="auto"/>
              <w:right w:val="single" w:sz="6" w:space="0" w:color="auto"/>
            </w:tcBorders>
            <w:hideMark/>
          </w:tcPr>
          <w:p w:rsidR="003C7EF3" w:rsidRPr="00997F47" w:rsidP="003C7EF3" w14:paraId="4786AC39" w14:textId="233A5D4E">
            <w:pPr>
              <w:spacing w:after="0" w:line="240" w:lineRule="auto"/>
              <w:textAlignment w:val="baseline"/>
              <w:rPr>
                <w:rFonts w:ascii="Times New Roman" w:eastAsia="Times New Roman" w:hAnsi="Times New Roman" w:cs="Times New Roman"/>
                <w:b/>
              </w:rPr>
            </w:pPr>
            <w:r w:rsidRPr="00997F47">
              <w:rPr>
                <w:b/>
              </w:rPr>
              <w:t xml:space="preserve">Non-Labor </w:t>
            </w:r>
            <w:r w:rsidRPr="00997F47" w:rsidR="00954BB3">
              <w:rPr>
                <w:b/>
                <w:bCs/>
              </w:rPr>
              <w:t>Cost (2024$)</w:t>
            </w:r>
            <w:r w:rsidRPr="00997F47" w:rsidR="00954BB3">
              <w:rPr>
                <w:b/>
                <w:bCs/>
                <w:vertAlign w:val="superscript"/>
              </w:rPr>
              <w:t>3</w:t>
            </w:r>
            <w:r w:rsidRPr="00997F47">
              <w:rPr>
                <w:b/>
              </w:rPr>
              <w:t> </w:t>
            </w:r>
          </w:p>
        </w:tc>
        <w:tc>
          <w:tcPr>
            <w:tcW w:w="1425" w:type="dxa"/>
            <w:tcBorders>
              <w:top w:val="single" w:sz="6" w:space="0" w:color="auto"/>
              <w:left w:val="single" w:sz="6" w:space="0" w:color="auto"/>
              <w:bottom w:val="single" w:sz="6" w:space="0" w:color="auto"/>
              <w:right w:val="single" w:sz="6" w:space="0" w:color="auto"/>
            </w:tcBorders>
            <w:hideMark/>
          </w:tcPr>
          <w:p w:rsidR="003C7EF3" w:rsidRPr="00997F47" w:rsidP="003C7EF3" w14:paraId="1489E7BE" w14:textId="38FBA246">
            <w:pPr>
              <w:spacing w:after="0" w:line="240" w:lineRule="auto"/>
              <w:textAlignment w:val="baseline"/>
              <w:rPr>
                <w:rFonts w:ascii="Times New Roman" w:eastAsia="Times New Roman" w:hAnsi="Times New Roman" w:cs="Times New Roman"/>
                <w:b/>
              </w:rPr>
            </w:pPr>
            <w:r w:rsidRPr="00997F47">
              <w:rPr>
                <w:b/>
              </w:rPr>
              <w:t xml:space="preserve">Total Annual </w:t>
            </w:r>
            <w:r w:rsidRPr="00997F47" w:rsidR="00954BB3">
              <w:rPr>
                <w:b/>
                <w:bCs/>
              </w:rPr>
              <w:t>Cost (2024$)</w:t>
            </w:r>
            <w:r w:rsidRPr="00997F47" w:rsidR="00954BB3">
              <w:rPr>
                <w:b/>
                <w:bCs/>
                <w:vertAlign w:val="superscript"/>
              </w:rPr>
              <w:t>4</w:t>
            </w:r>
            <w:r w:rsidRPr="00997F47">
              <w:rPr>
                <w:b/>
              </w:rPr>
              <w:t> </w:t>
            </w:r>
          </w:p>
        </w:tc>
      </w:tr>
      <w:tr w14:paraId="0CFB6303" w14:textId="77777777" w:rsidTr="00954BB3">
        <w:tblPrEx>
          <w:tblW w:w="933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hideMark/>
          </w:tcPr>
          <w:p w:rsidR="003C7EF3" w:rsidRPr="00997F47" w:rsidP="003C7EF3" w14:paraId="5FB8EC4C" w14:textId="77777777">
            <w:pPr>
              <w:spacing w:after="0" w:line="240" w:lineRule="auto"/>
              <w:textAlignment w:val="baseline"/>
              <w:rPr>
                <w:rFonts w:ascii="Times New Roman" w:eastAsia="Times New Roman" w:hAnsi="Times New Roman" w:cs="Times New Roman"/>
              </w:rPr>
            </w:pPr>
            <w:r w:rsidRPr="00997F47">
              <w:rPr>
                <w:rFonts w:ascii="Calibri" w:eastAsia="Times New Roman" w:hAnsi="Calibri" w:cs="Calibri"/>
              </w:rPr>
              <w:t>Developing Guidance, Conducting Training, Audits, and General Oversight </w:t>
            </w:r>
          </w:p>
        </w:tc>
        <w:tc>
          <w:tcPr>
            <w:tcW w:w="1350" w:type="dxa"/>
            <w:tcBorders>
              <w:top w:val="single" w:sz="6" w:space="0" w:color="auto"/>
              <w:left w:val="single" w:sz="6" w:space="0" w:color="auto"/>
              <w:bottom w:val="single" w:sz="6" w:space="0" w:color="auto"/>
              <w:right w:val="single" w:sz="6" w:space="0" w:color="auto"/>
            </w:tcBorders>
            <w:hideMark/>
          </w:tcPr>
          <w:p w:rsidR="003C7EF3" w:rsidRPr="00997F47" w:rsidP="003C7EF3" w14:paraId="544E11CD" w14:textId="77777777">
            <w:pPr>
              <w:spacing w:after="0" w:line="240" w:lineRule="auto"/>
              <w:textAlignment w:val="baseline"/>
              <w:rPr>
                <w:rFonts w:ascii="Times New Roman" w:eastAsia="Times New Roman" w:hAnsi="Times New Roman" w:cs="Times New Roman"/>
              </w:rPr>
            </w:pPr>
            <w:r w:rsidRPr="00997F47">
              <w:rPr>
                <w:rFonts w:ascii="Calibri" w:eastAsia="Times New Roman" w:hAnsi="Calibri" w:cs="Calibri"/>
              </w:rPr>
              <w:t>1 </w:t>
            </w:r>
          </w:p>
        </w:tc>
        <w:tc>
          <w:tcPr>
            <w:tcW w:w="1440" w:type="dxa"/>
            <w:tcBorders>
              <w:top w:val="single" w:sz="6" w:space="0" w:color="auto"/>
              <w:left w:val="single" w:sz="6" w:space="0" w:color="auto"/>
              <w:bottom w:val="single" w:sz="6" w:space="0" w:color="auto"/>
              <w:right w:val="single" w:sz="6" w:space="0" w:color="auto"/>
            </w:tcBorders>
            <w:hideMark/>
          </w:tcPr>
          <w:p w:rsidR="003C7EF3" w:rsidRPr="00997F47" w:rsidP="003C7EF3" w14:paraId="7368BDA1" w14:textId="19D61901">
            <w:pPr>
              <w:spacing w:after="0" w:line="240" w:lineRule="auto"/>
              <w:textAlignment w:val="baseline"/>
              <w:rPr>
                <w:rFonts w:ascii="Times New Roman" w:eastAsia="Times New Roman" w:hAnsi="Times New Roman" w:cs="Times New Roman"/>
              </w:rPr>
            </w:pPr>
            <w:r w:rsidRPr="00997F47">
              <w:t xml:space="preserve"> (10,400)</w:t>
            </w:r>
          </w:p>
        </w:tc>
        <w:tc>
          <w:tcPr>
            <w:tcW w:w="1260" w:type="dxa"/>
            <w:tcBorders>
              <w:top w:val="single" w:sz="6" w:space="0" w:color="auto"/>
              <w:left w:val="single" w:sz="6" w:space="0" w:color="auto"/>
              <w:bottom w:val="single" w:sz="6" w:space="0" w:color="auto"/>
              <w:right w:val="single" w:sz="6" w:space="0" w:color="auto"/>
            </w:tcBorders>
            <w:hideMark/>
          </w:tcPr>
          <w:p w:rsidR="003C7EF3" w:rsidRPr="00997F47" w:rsidP="003C7EF3" w14:paraId="55BC28EF" w14:textId="5BE0CEA2">
            <w:pPr>
              <w:spacing w:after="0" w:line="240" w:lineRule="auto"/>
              <w:textAlignment w:val="baseline"/>
              <w:rPr>
                <w:rFonts w:ascii="Times New Roman" w:eastAsia="Times New Roman" w:hAnsi="Times New Roman" w:cs="Times New Roman"/>
              </w:rPr>
            </w:pPr>
            <w:r w:rsidRPr="00997F47">
              <w:t xml:space="preserve"> $(705,744)</w:t>
            </w:r>
          </w:p>
        </w:tc>
        <w:tc>
          <w:tcPr>
            <w:tcW w:w="1260" w:type="dxa"/>
            <w:tcBorders>
              <w:top w:val="single" w:sz="6" w:space="0" w:color="auto"/>
              <w:left w:val="single" w:sz="6" w:space="0" w:color="auto"/>
              <w:bottom w:val="single" w:sz="6" w:space="0" w:color="auto"/>
              <w:right w:val="single" w:sz="6" w:space="0" w:color="auto"/>
            </w:tcBorders>
            <w:hideMark/>
          </w:tcPr>
          <w:p w:rsidR="003C7EF3" w:rsidRPr="00997F47" w:rsidP="003C7EF3" w14:paraId="58194169" w14:textId="45224AC5">
            <w:pPr>
              <w:spacing w:after="0" w:line="240" w:lineRule="auto"/>
              <w:textAlignment w:val="baseline"/>
              <w:rPr>
                <w:rFonts w:ascii="Times New Roman" w:eastAsia="Times New Roman" w:hAnsi="Times New Roman" w:cs="Times New Roman"/>
              </w:rPr>
            </w:pPr>
            <w:r w:rsidRPr="00997F47">
              <w:t xml:space="preserve"> $(3,</w:t>
            </w:r>
            <w:r w:rsidR="00797D44">
              <w:t>936,017</w:t>
            </w:r>
            <w:r w:rsidRPr="00997F47">
              <w:t>)</w:t>
            </w:r>
          </w:p>
        </w:tc>
        <w:tc>
          <w:tcPr>
            <w:tcW w:w="1425" w:type="dxa"/>
            <w:tcBorders>
              <w:top w:val="single" w:sz="6" w:space="0" w:color="auto"/>
              <w:left w:val="single" w:sz="6" w:space="0" w:color="auto"/>
              <w:bottom w:val="single" w:sz="6" w:space="0" w:color="auto"/>
              <w:right w:val="single" w:sz="6" w:space="0" w:color="auto"/>
            </w:tcBorders>
            <w:hideMark/>
          </w:tcPr>
          <w:p w:rsidR="003C7EF3" w:rsidRPr="00997F47" w:rsidP="003C7EF3" w14:paraId="04F38329" w14:textId="6E61467E">
            <w:pPr>
              <w:spacing w:after="0" w:line="240" w:lineRule="auto"/>
              <w:textAlignment w:val="baseline"/>
              <w:rPr>
                <w:rFonts w:ascii="Times New Roman" w:eastAsia="Times New Roman" w:hAnsi="Times New Roman" w:cs="Times New Roman"/>
              </w:rPr>
            </w:pPr>
            <w:r w:rsidRPr="00997F47">
              <w:t xml:space="preserve"> $(4,641,761)</w:t>
            </w:r>
          </w:p>
        </w:tc>
      </w:tr>
      <w:tr w14:paraId="0068F279" w14:textId="77777777" w:rsidTr="00127BDC">
        <w:tblPrEx>
          <w:tblW w:w="9330" w:type="dxa"/>
          <w:tblCellMar>
            <w:left w:w="0" w:type="dxa"/>
            <w:right w:w="0" w:type="dxa"/>
          </w:tblCellMar>
          <w:tblLook w:val="04A0"/>
        </w:tblPrEx>
        <w:trPr>
          <w:trHeight w:val="300"/>
        </w:trPr>
        <w:tc>
          <w:tcPr>
            <w:tcW w:w="2595" w:type="dxa"/>
            <w:tcBorders>
              <w:top w:val="single" w:sz="6" w:space="0" w:color="auto"/>
              <w:left w:val="single" w:sz="6" w:space="0" w:color="auto"/>
              <w:bottom w:val="single" w:sz="6" w:space="0" w:color="auto"/>
              <w:right w:val="single" w:sz="6" w:space="0" w:color="auto"/>
            </w:tcBorders>
            <w:vAlign w:val="center"/>
          </w:tcPr>
          <w:p w:rsidR="00127BDC" w:rsidRPr="00997F47" w:rsidP="00127BDC" w14:paraId="7756A994" w14:textId="47280111">
            <w:pPr>
              <w:spacing w:after="0" w:line="240" w:lineRule="auto"/>
              <w:textAlignment w:val="baseline"/>
              <w:rPr>
                <w:rFonts w:ascii="Calibri" w:eastAsia="Times New Roman" w:hAnsi="Calibri" w:cs="Calibri"/>
              </w:rPr>
            </w:pPr>
            <w:r>
              <w:rPr>
                <w:rFonts w:ascii="Calibri" w:hAnsi="Calibri" w:cs="Calibri"/>
                <w:b/>
                <w:bCs/>
              </w:rPr>
              <w:t>Totals (Rounded)</w:t>
            </w:r>
          </w:p>
        </w:tc>
        <w:tc>
          <w:tcPr>
            <w:tcW w:w="1350" w:type="dxa"/>
            <w:tcBorders>
              <w:top w:val="single" w:sz="6" w:space="0" w:color="auto"/>
              <w:left w:val="single" w:sz="6" w:space="0" w:color="auto"/>
              <w:bottom w:val="single" w:sz="6" w:space="0" w:color="auto"/>
              <w:right w:val="single" w:sz="6" w:space="0" w:color="auto"/>
            </w:tcBorders>
            <w:vAlign w:val="bottom"/>
          </w:tcPr>
          <w:p w:rsidR="00127BDC" w:rsidRPr="00997F47" w:rsidP="00127BDC" w14:paraId="52B49763" w14:textId="77777777">
            <w:pPr>
              <w:spacing w:after="0" w:line="240" w:lineRule="auto"/>
              <w:textAlignment w:val="baseline"/>
              <w:rPr>
                <w:rFonts w:ascii="Calibri" w:eastAsia="Times New Roman" w:hAnsi="Calibri" w:cs="Calibri"/>
              </w:rPr>
            </w:pPr>
          </w:p>
        </w:tc>
        <w:tc>
          <w:tcPr>
            <w:tcW w:w="1440" w:type="dxa"/>
            <w:tcBorders>
              <w:top w:val="single" w:sz="6" w:space="0" w:color="auto"/>
              <w:left w:val="single" w:sz="6" w:space="0" w:color="auto"/>
              <w:bottom w:val="single" w:sz="6" w:space="0" w:color="auto"/>
              <w:right w:val="single" w:sz="6" w:space="0" w:color="auto"/>
            </w:tcBorders>
            <w:vAlign w:val="bottom"/>
          </w:tcPr>
          <w:p w:rsidR="00127BDC" w:rsidRPr="00997F47" w:rsidP="00127BDC" w14:paraId="75209E48" w14:textId="77777777">
            <w:pPr>
              <w:spacing w:after="0" w:line="240" w:lineRule="auto"/>
              <w:textAlignment w:val="baseline"/>
            </w:pPr>
          </w:p>
        </w:tc>
        <w:tc>
          <w:tcPr>
            <w:tcW w:w="1260" w:type="dxa"/>
            <w:tcBorders>
              <w:top w:val="single" w:sz="6" w:space="0" w:color="auto"/>
              <w:left w:val="single" w:sz="6" w:space="0" w:color="auto"/>
              <w:bottom w:val="single" w:sz="6" w:space="0" w:color="auto"/>
              <w:right w:val="single" w:sz="6" w:space="0" w:color="auto"/>
            </w:tcBorders>
            <w:vAlign w:val="bottom"/>
          </w:tcPr>
          <w:p w:rsidR="00127BDC" w:rsidRPr="00997F47" w:rsidP="00127BDC" w14:paraId="7F6530E1" w14:textId="4A1840D6">
            <w:pPr>
              <w:spacing w:after="0" w:line="240" w:lineRule="auto"/>
              <w:textAlignment w:val="baseline"/>
            </w:pPr>
            <w:r>
              <w:rPr>
                <w:rFonts w:ascii="Calibri" w:hAnsi="Calibri" w:cs="Calibri"/>
                <w:color w:val="000000"/>
              </w:rPr>
              <w:t xml:space="preserve"> $(706,000)</w:t>
            </w:r>
          </w:p>
        </w:tc>
        <w:tc>
          <w:tcPr>
            <w:tcW w:w="1260" w:type="dxa"/>
            <w:tcBorders>
              <w:top w:val="single" w:sz="6" w:space="0" w:color="auto"/>
              <w:left w:val="single" w:sz="6" w:space="0" w:color="auto"/>
              <w:bottom w:val="single" w:sz="6" w:space="0" w:color="auto"/>
              <w:right w:val="single" w:sz="6" w:space="0" w:color="auto"/>
            </w:tcBorders>
            <w:vAlign w:val="bottom"/>
          </w:tcPr>
          <w:p w:rsidR="00127BDC" w:rsidRPr="00997F47" w:rsidP="00127BDC" w14:paraId="68112A56" w14:textId="4BD70B25">
            <w:pPr>
              <w:spacing w:after="0" w:line="240" w:lineRule="auto"/>
              <w:textAlignment w:val="baseline"/>
            </w:pPr>
            <w:r>
              <w:rPr>
                <w:rFonts w:ascii="Calibri" w:hAnsi="Calibri" w:cs="Calibri"/>
                <w:color w:val="000000"/>
              </w:rPr>
              <w:t xml:space="preserve"> $(3,940,000)</w:t>
            </w:r>
          </w:p>
        </w:tc>
        <w:tc>
          <w:tcPr>
            <w:tcW w:w="1425" w:type="dxa"/>
            <w:tcBorders>
              <w:top w:val="single" w:sz="6" w:space="0" w:color="auto"/>
              <w:left w:val="single" w:sz="6" w:space="0" w:color="auto"/>
              <w:bottom w:val="single" w:sz="6" w:space="0" w:color="auto"/>
              <w:right w:val="single" w:sz="6" w:space="0" w:color="auto"/>
            </w:tcBorders>
            <w:vAlign w:val="bottom"/>
          </w:tcPr>
          <w:p w:rsidR="00127BDC" w:rsidRPr="00997F47" w:rsidP="00127BDC" w14:paraId="75921628" w14:textId="4FCC56D9">
            <w:pPr>
              <w:spacing w:after="0" w:line="240" w:lineRule="auto"/>
              <w:textAlignment w:val="baseline"/>
            </w:pPr>
            <w:r>
              <w:rPr>
                <w:rFonts w:ascii="Calibri" w:hAnsi="Calibri" w:cs="Calibri"/>
                <w:color w:val="000000"/>
              </w:rPr>
              <w:t xml:space="preserve"> $(4,640,000)</w:t>
            </w:r>
          </w:p>
        </w:tc>
      </w:tr>
    </w:tbl>
    <w:p w:rsidR="003C7EF3" w:rsidRPr="003C7EF3" w:rsidP="003C7EF3" w14:paraId="23121686" w14:textId="02E4383A">
      <w:pPr>
        <w:spacing w:after="0" w:line="240" w:lineRule="auto"/>
        <w:textAlignment w:val="baseline"/>
        <w:rPr>
          <w:rFonts w:ascii="Segoe UI" w:eastAsia="Times New Roman" w:hAnsi="Segoe UI" w:cs="Segoe UI"/>
          <w:sz w:val="18"/>
          <w:szCs w:val="18"/>
        </w:rPr>
      </w:pPr>
      <w:r w:rsidRPr="003C7EF3">
        <w:rPr>
          <w:rFonts w:ascii="Calibri" w:eastAsia="Times New Roman" w:hAnsi="Calibri" w:cs="Calibri"/>
          <w:sz w:val="16"/>
          <w:szCs w:val="16"/>
          <w:vertAlign w:val="superscript"/>
        </w:rPr>
        <w:t>1</w:t>
      </w:r>
      <w:r w:rsidR="00E660C9">
        <w:rPr>
          <w:rFonts w:ascii="Calibri" w:eastAsia="Times New Roman" w:hAnsi="Calibri" w:cs="Calibri"/>
          <w:sz w:val="20"/>
          <w:szCs w:val="20"/>
        </w:rPr>
        <w:t>10</w:t>
      </w:r>
      <w:r w:rsidRPr="003C7EF3" w:rsidR="00E660C9">
        <w:rPr>
          <w:rFonts w:ascii="Calibri" w:eastAsia="Times New Roman" w:hAnsi="Calibri" w:cs="Calibri"/>
          <w:sz w:val="20"/>
          <w:szCs w:val="20"/>
        </w:rPr>
        <w:t>,</w:t>
      </w:r>
      <w:r w:rsidR="007F57E6">
        <w:rPr>
          <w:rFonts w:ascii="Calibri" w:eastAsia="Times New Roman" w:hAnsi="Calibri" w:cs="Calibri"/>
          <w:sz w:val="20"/>
          <w:szCs w:val="20"/>
        </w:rPr>
        <w:t>400</w:t>
      </w:r>
      <w:r w:rsidRPr="003C7EF3">
        <w:rPr>
          <w:rFonts w:ascii="Calibri" w:eastAsia="Times New Roman" w:hAnsi="Calibri" w:cs="Calibri"/>
          <w:sz w:val="20"/>
          <w:szCs w:val="20"/>
        </w:rPr>
        <w:t xml:space="preserve"> hours is calculated based on </w:t>
      </w:r>
      <w:r w:rsidR="00FB358E">
        <w:rPr>
          <w:rFonts w:ascii="Calibri" w:eastAsia="Times New Roman" w:hAnsi="Calibri" w:cs="Calibri"/>
          <w:sz w:val="20"/>
          <w:szCs w:val="20"/>
        </w:rPr>
        <w:t xml:space="preserve">a reduction of five </w:t>
      </w:r>
      <w:r w:rsidRPr="003C7EF3">
        <w:rPr>
          <w:rFonts w:ascii="Calibri" w:eastAsia="Times New Roman" w:hAnsi="Calibri" w:cs="Calibri"/>
          <w:sz w:val="20"/>
          <w:szCs w:val="20"/>
        </w:rPr>
        <w:t>FTEs working 80 hours per two-week pay period, for 26 pay periods per year (</w:t>
      </w:r>
      <w:r w:rsidR="00191F10">
        <w:rPr>
          <w:rFonts w:ascii="Calibri" w:eastAsia="Times New Roman" w:hAnsi="Calibri" w:cs="Calibri"/>
          <w:sz w:val="20"/>
          <w:szCs w:val="20"/>
        </w:rPr>
        <w:t>5</w:t>
      </w:r>
      <w:r w:rsidRPr="003C7EF3">
        <w:rPr>
          <w:rFonts w:ascii="Calibri" w:eastAsia="Times New Roman" w:hAnsi="Calibri" w:cs="Calibri"/>
          <w:sz w:val="20"/>
          <w:szCs w:val="20"/>
        </w:rPr>
        <w:t xml:space="preserve"> x 80 x 26 = </w:t>
      </w:r>
      <w:r w:rsidR="00560333">
        <w:rPr>
          <w:rFonts w:ascii="Calibri" w:eastAsia="Times New Roman" w:hAnsi="Calibri" w:cs="Calibri"/>
          <w:sz w:val="20"/>
          <w:szCs w:val="20"/>
        </w:rPr>
        <w:t>10</w:t>
      </w:r>
      <w:r w:rsidRPr="003C7EF3">
        <w:rPr>
          <w:rFonts w:ascii="Calibri" w:eastAsia="Times New Roman" w:hAnsi="Calibri" w:cs="Calibri"/>
          <w:sz w:val="20"/>
          <w:szCs w:val="20"/>
        </w:rPr>
        <w:t>,</w:t>
      </w:r>
      <w:r w:rsidR="00560333">
        <w:rPr>
          <w:rFonts w:ascii="Calibri" w:eastAsia="Times New Roman" w:hAnsi="Calibri" w:cs="Calibri"/>
          <w:sz w:val="20"/>
          <w:szCs w:val="20"/>
        </w:rPr>
        <w:t>400</w:t>
      </w:r>
      <w:r w:rsidRPr="003C7EF3">
        <w:rPr>
          <w:rFonts w:ascii="Calibri" w:eastAsia="Times New Roman" w:hAnsi="Calibri" w:cs="Calibri"/>
          <w:sz w:val="20"/>
          <w:szCs w:val="20"/>
        </w:rPr>
        <w:t>). </w:t>
      </w:r>
    </w:p>
    <w:p w:rsidR="003C7EF3" w:rsidRPr="003C7EF3" w:rsidP="003C7EF3" w14:paraId="07F6E182" w14:textId="3F33022B">
      <w:pPr>
        <w:spacing w:after="0" w:line="240" w:lineRule="auto"/>
        <w:textAlignment w:val="baseline"/>
        <w:rPr>
          <w:rFonts w:ascii="Segoe UI" w:eastAsia="Times New Roman" w:hAnsi="Segoe UI" w:cs="Segoe UI"/>
          <w:sz w:val="18"/>
          <w:szCs w:val="18"/>
        </w:rPr>
      </w:pPr>
      <w:r w:rsidRPr="003C7EF3">
        <w:rPr>
          <w:rFonts w:ascii="Calibri" w:eastAsia="Times New Roman" w:hAnsi="Calibri" w:cs="Calibri"/>
          <w:sz w:val="16"/>
          <w:szCs w:val="16"/>
          <w:vertAlign w:val="superscript"/>
        </w:rPr>
        <w:t>2</w:t>
      </w:r>
      <w:r w:rsidRPr="003C7EF3">
        <w:rPr>
          <w:rFonts w:ascii="Calibri" w:eastAsia="Times New Roman" w:hAnsi="Calibri" w:cs="Calibri"/>
          <w:sz w:val="20"/>
          <w:szCs w:val="20"/>
        </w:rPr>
        <w:t>The labor cost is based on the hour compensation at GS-13 step 1 on the 202</w:t>
      </w:r>
      <w:r w:rsidR="004D5F94">
        <w:rPr>
          <w:rFonts w:ascii="Calibri" w:eastAsia="Times New Roman" w:hAnsi="Calibri" w:cs="Calibri"/>
          <w:sz w:val="20"/>
          <w:szCs w:val="20"/>
        </w:rPr>
        <w:t>4</w:t>
      </w:r>
      <w:r w:rsidRPr="003C7EF3">
        <w:rPr>
          <w:rFonts w:ascii="Calibri" w:eastAsia="Times New Roman" w:hAnsi="Calibri" w:cs="Calibri"/>
          <w:sz w:val="20"/>
          <w:szCs w:val="20"/>
        </w:rPr>
        <w:t xml:space="preserve"> pay scale: $</w:t>
      </w:r>
      <w:r w:rsidR="004D5F94">
        <w:rPr>
          <w:rFonts w:ascii="Calibri" w:eastAsia="Times New Roman" w:hAnsi="Calibri" w:cs="Calibri"/>
          <w:sz w:val="20"/>
          <w:szCs w:val="20"/>
        </w:rPr>
        <w:t>42.21</w:t>
      </w:r>
      <w:r w:rsidRPr="003C7EF3">
        <w:rPr>
          <w:rFonts w:ascii="Calibri" w:eastAsia="Times New Roman" w:hAnsi="Calibri" w:cs="Calibri"/>
          <w:sz w:val="20"/>
          <w:szCs w:val="20"/>
        </w:rPr>
        <w:t xml:space="preserve"> x</w:t>
      </w:r>
      <w:r w:rsidR="004D5F94">
        <w:rPr>
          <w:rFonts w:ascii="Calibri" w:eastAsia="Times New Roman" w:hAnsi="Calibri" w:cs="Calibri"/>
          <w:sz w:val="20"/>
          <w:szCs w:val="20"/>
        </w:rPr>
        <w:t xml:space="preserve"> </w:t>
      </w:r>
      <w:r w:rsidRPr="003C7EF3">
        <w:rPr>
          <w:rFonts w:ascii="Calibri" w:eastAsia="Times New Roman" w:hAnsi="Calibri" w:cs="Calibri"/>
          <w:sz w:val="20"/>
          <w:szCs w:val="20"/>
        </w:rPr>
        <w:t>1.6 to account for overhead and benefits = $</w:t>
      </w:r>
      <w:r w:rsidR="004D5F94">
        <w:rPr>
          <w:rFonts w:ascii="Calibri" w:eastAsia="Times New Roman" w:hAnsi="Calibri" w:cs="Calibri"/>
          <w:sz w:val="20"/>
          <w:szCs w:val="20"/>
        </w:rPr>
        <w:t>67.86</w:t>
      </w:r>
      <w:r w:rsidRPr="003C7EF3">
        <w:rPr>
          <w:rFonts w:ascii="Calibri" w:eastAsia="Times New Roman" w:hAnsi="Calibri" w:cs="Calibri"/>
          <w:sz w:val="20"/>
          <w:szCs w:val="20"/>
        </w:rPr>
        <w:t>. </w:t>
      </w:r>
      <w:r w:rsidR="004D5F94">
        <w:rPr>
          <w:rFonts w:ascii="Calibri" w:eastAsia="Times New Roman" w:hAnsi="Calibri" w:cs="Calibri"/>
          <w:sz w:val="20"/>
          <w:szCs w:val="20"/>
        </w:rPr>
        <w:t>10</w:t>
      </w:r>
      <w:r w:rsidRPr="003C7EF3">
        <w:rPr>
          <w:rFonts w:ascii="Calibri" w:eastAsia="Times New Roman" w:hAnsi="Calibri" w:cs="Calibri"/>
          <w:sz w:val="20"/>
          <w:szCs w:val="20"/>
        </w:rPr>
        <w:t>,</w:t>
      </w:r>
      <w:r w:rsidR="004D5F94">
        <w:rPr>
          <w:rFonts w:ascii="Calibri" w:eastAsia="Times New Roman" w:hAnsi="Calibri" w:cs="Calibri"/>
          <w:sz w:val="20"/>
          <w:szCs w:val="20"/>
        </w:rPr>
        <w:t>400</w:t>
      </w:r>
      <w:r w:rsidRPr="003C7EF3">
        <w:rPr>
          <w:rFonts w:ascii="Calibri" w:eastAsia="Times New Roman" w:hAnsi="Calibri" w:cs="Calibri"/>
          <w:sz w:val="20"/>
          <w:szCs w:val="20"/>
        </w:rPr>
        <w:t xml:space="preserve"> x $6</w:t>
      </w:r>
      <w:r w:rsidR="004D5F94">
        <w:rPr>
          <w:rFonts w:ascii="Calibri" w:eastAsia="Times New Roman" w:hAnsi="Calibri" w:cs="Calibri"/>
          <w:sz w:val="20"/>
          <w:szCs w:val="20"/>
        </w:rPr>
        <w:t xml:space="preserve">7.86 = </w:t>
      </w:r>
      <w:r w:rsidR="00E34D37">
        <w:rPr>
          <w:rFonts w:ascii="Calibri" w:eastAsia="Times New Roman" w:hAnsi="Calibri" w:cs="Calibri"/>
          <w:sz w:val="20"/>
          <w:szCs w:val="20"/>
        </w:rPr>
        <w:t>$705,744</w:t>
      </w:r>
      <w:r w:rsidRPr="003C7EF3">
        <w:rPr>
          <w:rFonts w:ascii="Calibri" w:eastAsia="Times New Roman" w:hAnsi="Calibri" w:cs="Calibri"/>
          <w:sz w:val="20"/>
          <w:szCs w:val="20"/>
        </w:rPr>
        <w:t>. </w:t>
      </w:r>
    </w:p>
    <w:p w:rsidR="003C7EF3" w:rsidRPr="003C7EF3" w:rsidP="003C7EF3" w14:paraId="2535EF00" w14:textId="4F9B5137">
      <w:pPr>
        <w:spacing w:after="0" w:line="240" w:lineRule="auto"/>
        <w:textAlignment w:val="baseline"/>
        <w:rPr>
          <w:rFonts w:ascii="Segoe UI" w:eastAsia="Times New Roman" w:hAnsi="Segoe UI" w:cs="Segoe UI"/>
          <w:sz w:val="18"/>
          <w:szCs w:val="18"/>
        </w:rPr>
      </w:pPr>
      <w:r w:rsidRPr="003C7EF3">
        <w:rPr>
          <w:rFonts w:ascii="Calibri" w:eastAsia="Times New Roman" w:hAnsi="Calibri" w:cs="Calibri"/>
          <w:sz w:val="16"/>
          <w:szCs w:val="16"/>
          <w:vertAlign w:val="superscript"/>
        </w:rPr>
        <w:t>3</w:t>
      </w:r>
      <w:r w:rsidRPr="003C7EF3">
        <w:rPr>
          <w:rFonts w:ascii="Calibri" w:eastAsia="Times New Roman" w:hAnsi="Calibri" w:cs="Calibri"/>
          <w:sz w:val="20"/>
          <w:szCs w:val="20"/>
        </w:rPr>
        <w:t>Non-labor costs cover the development of guidance, training, responding to stakeholders, communications and outreach, database maintenance, and other contractor support. </w:t>
      </w:r>
      <w:r w:rsidR="005F20A4">
        <w:rPr>
          <w:rFonts w:ascii="Calibri" w:eastAsia="Times New Roman" w:hAnsi="Calibri" w:cs="Calibri"/>
          <w:sz w:val="20"/>
          <w:szCs w:val="20"/>
        </w:rPr>
        <w:t xml:space="preserve">Non-labor costs for the GHGRP were estimated to be </w:t>
      </w:r>
      <w:r w:rsidR="005D4B4F">
        <w:rPr>
          <w:rFonts w:ascii="Calibri" w:eastAsia="Times New Roman" w:hAnsi="Calibri" w:cs="Calibri"/>
          <w:sz w:val="20"/>
          <w:szCs w:val="20"/>
        </w:rPr>
        <w:t>$8</w:t>
      </w:r>
      <w:r w:rsidR="009037B5">
        <w:rPr>
          <w:rFonts w:ascii="Calibri" w:eastAsia="Times New Roman" w:hAnsi="Calibri" w:cs="Calibri"/>
          <w:sz w:val="20"/>
          <w:szCs w:val="20"/>
        </w:rPr>
        <w:t>,</w:t>
      </w:r>
      <w:r w:rsidR="005D4B4F">
        <w:rPr>
          <w:rFonts w:ascii="Calibri" w:eastAsia="Times New Roman" w:hAnsi="Calibri" w:cs="Calibri"/>
          <w:sz w:val="20"/>
          <w:szCs w:val="20"/>
        </w:rPr>
        <w:t>4</w:t>
      </w:r>
      <w:r w:rsidR="009037B5">
        <w:rPr>
          <w:rFonts w:ascii="Calibri" w:eastAsia="Times New Roman" w:hAnsi="Calibri" w:cs="Calibri"/>
          <w:sz w:val="20"/>
          <w:szCs w:val="20"/>
        </w:rPr>
        <w:t>00,000</w:t>
      </w:r>
      <w:r w:rsidR="00252B55">
        <w:rPr>
          <w:rFonts w:ascii="Calibri" w:eastAsia="Times New Roman" w:hAnsi="Calibri" w:cs="Calibri"/>
          <w:sz w:val="20"/>
          <w:szCs w:val="20"/>
        </w:rPr>
        <w:t xml:space="preserve"> </w:t>
      </w:r>
      <w:r w:rsidR="0009451E">
        <w:rPr>
          <w:rFonts w:ascii="Calibri" w:eastAsia="Times New Roman" w:hAnsi="Calibri" w:cs="Calibri"/>
          <w:sz w:val="20"/>
          <w:szCs w:val="20"/>
        </w:rPr>
        <w:t xml:space="preserve">(2021$) </w:t>
      </w:r>
      <w:r w:rsidR="00470B95">
        <w:rPr>
          <w:rFonts w:ascii="Calibri" w:eastAsia="Times New Roman" w:hAnsi="Calibri" w:cs="Calibri"/>
          <w:sz w:val="20"/>
          <w:szCs w:val="20"/>
        </w:rPr>
        <w:t xml:space="preserve">in the current GHGRP, and </w:t>
      </w:r>
      <w:r w:rsidR="00EF3A9D">
        <w:rPr>
          <w:rFonts w:ascii="Calibri" w:eastAsia="Times New Roman" w:hAnsi="Calibri" w:cs="Calibri"/>
          <w:sz w:val="20"/>
          <w:szCs w:val="20"/>
        </w:rPr>
        <w:t>the EPA</w:t>
      </w:r>
      <w:r w:rsidR="00470B95">
        <w:rPr>
          <w:rFonts w:ascii="Calibri" w:eastAsia="Times New Roman" w:hAnsi="Calibri" w:cs="Calibri"/>
          <w:sz w:val="20"/>
          <w:szCs w:val="20"/>
        </w:rPr>
        <w:t xml:space="preserve"> assumed they would be reduced </w:t>
      </w:r>
      <w:r w:rsidR="002C1D09">
        <w:rPr>
          <w:rFonts w:ascii="Calibri" w:eastAsia="Times New Roman" w:hAnsi="Calibri" w:cs="Calibri"/>
          <w:sz w:val="20"/>
          <w:szCs w:val="20"/>
        </w:rPr>
        <w:t>by</w:t>
      </w:r>
      <w:r w:rsidR="00470B95">
        <w:rPr>
          <w:rFonts w:ascii="Calibri" w:eastAsia="Times New Roman" w:hAnsi="Calibri" w:cs="Calibri"/>
          <w:sz w:val="20"/>
          <w:szCs w:val="20"/>
        </w:rPr>
        <w:t xml:space="preserve"> 5/</w:t>
      </w:r>
      <w:r w:rsidR="003951DA">
        <w:rPr>
          <w:rFonts w:ascii="Calibri" w:eastAsia="Times New Roman" w:hAnsi="Calibri" w:cs="Calibri"/>
          <w:sz w:val="20"/>
          <w:szCs w:val="20"/>
        </w:rPr>
        <w:t xml:space="preserve">12 </w:t>
      </w:r>
      <w:r w:rsidR="00165511">
        <w:rPr>
          <w:rFonts w:ascii="Calibri" w:eastAsia="Times New Roman" w:hAnsi="Calibri" w:cs="Calibri"/>
          <w:sz w:val="20"/>
          <w:szCs w:val="20"/>
        </w:rPr>
        <w:t xml:space="preserve">of the current </w:t>
      </w:r>
      <w:r w:rsidR="00165511">
        <w:rPr>
          <w:rFonts w:ascii="Calibri" w:eastAsia="Times New Roman" w:hAnsi="Calibri" w:cs="Calibri"/>
          <w:sz w:val="20"/>
          <w:szCs w:val="20"/>
        </w:rPr>
        <w:t>amount, and</w:t>
      </w:r>
      <w:r w:rsidR="00165511">
        <w:rPr>
          <w:rFonts w:ascii="Calibri" w:eastAsia="Times New Roman" w:hAnsi="Calibri" w:cs="Calibri"/>
          <w:sz w:val="20"/>
          <w:szCs w:val="20"/>
        </w:rPr>
        <w:t xml:space="preserve"> were then scaled </w:t>
      </w:r>
      <w:r w:rsidR="002E7031">
        <w:rPr>
          <w:rFonts w:ascii="Calibri" w:eastAsia="Times New Roman" w:hAnsi="Calibri" w:cs="Calibri"/>
          <w:sz w:val="20"/>
          <w:szCs w:val="20"/>
        </w:rPr>
        <w:t xml:space="preserve">from 2021$ </w:t>
      </w:r>
      <w:r w:rsidR="00165511">
        <w:rPr>
          <w:rFonts w:ascii="Calibri" w:eastAsia="Times New Roman" w:hAnsi="Calibri" w:cs="Calibri"/>
          <w:sz w:val="20"/>
          <w:szCs w:val="20"/>
        </w:rPr>
        <w:t xml:space="preserve">to </w:t>
      </w:r>
      <w:r w:rsidR="00631BEA">
        <w:rPr>
          <w:rFonts w:ascii="Calibri" w:eastAsia="Times New Roman" w:hAnsi="Calibri" w:cs="Calibri"/>
          <w:sz w:val="20"/>
          <w:szCs w:val="20"/>
        </w:rPr>
        <w:t xml:space="preserve">2024$ using the </w:t>
      </w:r>
      <w:r w:rsidR="005074A5">
        <w:rPr>
          <w:rFonts w:ascii="Calibri" w:eastAsia="Times New Roman" w:hAnsi="Calibri" w:cs="Calibri"/>
          <w:sz w:val="20"/>
          <w:szCs w:val="20"/>
        </w:rPr>
        <w:t xml:space="preserve">annual </w:t>
      </w:r>
      <w:r w:rsidR="00631BEA">
        <w:rPr>
          <w:rFonts w:ascii="Calibri" w:eastAsia="Times New Roman" w:hAnsi="Calibri" w:cs="Calibri"/>
          <w:sz w:val="20"/>
          <w:szCs w:val="20"/>
        </w:rPr>
        <w:t>CEPCI.</w:t>
      </w:r>
      <w:r w:rsidR="005F20A4">
        <w:rPr>
          <w:rFonts w:ascii="Calibri" w:eastAsia="Times New Roman" w:hAnsi="Calibri" w:cs="Calibri"/>
          <w:sz w:val="20"/>
          <w:szCs w:val="20"/>
        </w:rPr>
        <w:t xml:space="preserve"> </w:t>
      </w:r>
    </w:p>
    <w:p w:rsidR="00F11BF5" w:rsidRPr="003C7EF3" w:rsidP="003C7EF3" w14:paraId="211EA460" w14:textId="0A84B08B">
      <w:pPr>
        <w:spacing w:after="0" w:line="240" w:lineRule="auto"/>
        <w:textAlignment w:val="baseline"/>
        <w:rPr>
          <w:rFonts w:ascii="Segoe UI" w:eastAsia="Times New Roman" w:hAnsi="Segoe UI" w:cs="Segoe UI"/>
          <w:sz w:val="18"/>
          <w:szCs w:val="18"/>
        </w:rPr>
      </w:pPr>
      <w:r w:rsidRPr="003C7EF3">
        <w:rPr>
          <w:rFonts w:ascii="Calibri" w:eastAsia="Times New Roman" w:hAnsi="Calibri" w:cs="Calibri"/>
          <w:sz w:val="16"/>
          <w:szCs w:val="16"/>
          <w:vertAlign w:val="superscript"/>
        </w:rPr>
        <w:t>4</w:t>
      </w:r>
      <w:r w:rsidRPr="003C7EF3">
        <w:rPr>
          <w:rFonts w:ascii="Calibri" w:eastAsia="Times New Roman" w:hAnsi="Calibri" w:cs="Calibri"/>
          <w:sz w:val="20"/>
          <w:szCs w:val="20"/>
        </w:rPr>
        <w:t>Total Annual Cost = Labor Cost + Non-Labor Cost: $</w:t>
      </w:r>
      <w:r w:rsidR="00F82819">
        <w:rPr>
          <w:rFonts w:ascii="Calibri" w:eastAsia="Times New Roman" w:hAnsi="Calibri" w:cs="Calibri"/>
          <w:sz w:val="20"/>
          <w:szCs w:val="20"/>
        </w:rPr>
        <w:t>705,744</w:t>
      </w:r>
      <w:r w:rsidRPr="003C7EF3">
        <w:rPr>
          <w:rFonts w:ascii="Calibri" w:eastAsia="Times New Roman" w:hAnsi="Calibri" w:cs="Calibri"/>
          <w:sz w:val="20"/>
          <w:szCs w:val="20"/>
        </w:rPr>
        <w:t xml:space="preserve"> + </w:t>
      </w:r>
      <w:r w:rsidR="001842DA">
        <w:rPr>
          <w:rFonts w:ascii="Calibri" w:eastAsia="Times New Roman" w:hAnsi="Calibri" w:cs="Calibri"/>
          <w:sz w:val="20"/>
          <w:szCs w:val="20"/>
        </w:rPr>
        <w:t>$3,9</w:t>
      </w:r>
      <w:r w:rsidRPr="003C7EF3" w:rsidR="003C7EF3">
        <w:rPr>
          <w:rFonts w:ascii="Calibri" w:eastAsia="Times New Roman" w:hAnsi="Calibri" w:cs="Calibri"/>
          <w:sz w:val="20"/>
          <w:szCs w:val="20"/>
        </w:rPr>
        <w:t>00</w:t>
      </w:r>
      <w:r w:rsidRPr="003C7EF3">
        <w:rPr>
          <w:rFonts w:ascii="Calibri" w:eastAsia="Times New Roman" w:hAnsi="Calibri" w:cs="Calibri"/>
          <w:sz w:val="20"/>
          <w:szCs w:val="20"/>
        </w:rPr>
        <w:t>,000 = $</w:t>
      </w:r>
      <w:r w:rsidR="00F025FF">
        <w:rPr>
          <w:rFonts w:ascii="Calibri" w:eastAsia="Times New Roman" w:hAnsi="Calibri" w:cs="Calibri"/>
          <w:sz w:val="20"/>
          <w:szCs w:val="20"/>
        </w:rPr>
        <w:t>4,</w:t>
      </w:r>
      <w:r w:rsidR="00620AD9">
        <w:rPr>
          <w:rFonts w:ascii="Calibri" w:eastAsia="Times New Roman" w:hAnsi="Calibri" w:cs="Calibri"/>
          <w:sz w:val="20"/>
          <w:szCs w:val="20"/>
        </w:rPr>
        <w:t>641,761</w:t>
      </w:r>
      <w:r w:rsidRPr="003C7EF3">
        <w:rPr>
          <w:rFonts w:ascii="Calibri" w:eastAsia="Times New Roman" w:hAnsi="Calibri" w:cs="Calibri"/>
          <w:sz w:val="20"/>
          <w:szCs w:val="20"/>
        </w:rPr>
        <w:t>.</w:t>
      </w:r>
      <w:r w:rsidRPr="003C7EF3" w:rsidR="003C7EF3">
        <w:rPr>
          <w:rFonts w:ascii="Calibri" w:eastAsia="Times New Roman" w:hAnsi="Calibri" w:cs="Calibri"/>
          <w:sz w:val="20"/>
          <w:szCs w:val="20"/>
        </w:rPr>
        <w:t> </w:t>
      </w:r>
      <w:r w:rsidR="00F533D2">
        <w:rPr>
          <w:rFonts w:ascii="Calibri" w:eastAsia="Times New Roman" w:hAnsi="Calibri" w:cs="Calibri"/>
          <w:sz w:val="20"/>
          <w:szCs w:val="20"/>
        </w:rPr>
        <w:t>These costs are negative because they re</w:t>
      </w:r>
      <w:r w:rsidR="00F94171">
        <w:rPr>
          <w:rFonts w:ascii="Calibri" w:eastAsia="Times New Roman" w:hAnsi="Calibri" w:cs="Calibri"/>
          <w:sz w:val="20"/>
          <w:szCs w:val="20"/>
        </w:rPr>
        <w:t>sult from</w:t>
      </w:r>
      <w:r w:rsidR="00F533D2">
        <w:rPr>
          <w:rFonts w:ascii="Calibri" w:eastAsia="Times New Roman" w:hAnsi="Calibri" w:cs="Calibri"/>
          <w:sz w:val="20"/>
          <w:szCs w:val="20"/>
        </w:rPr>
        <w:t xml:space="preserve"> a reduction in </w:t>
      </w:r>
      <w:r w:rsidR="00F94171">
        <w:rPr>
          <w:rFonts w:ascii="Calibri" w:eastAsia="Times New Roman" w:hAnsi="Calibri" w:cs="Calibri"/>
          <w:sz w:val="20"/>
          <w:szCs w:val="20"/>
        </w:rPr>
        <w:t>burden and associated non</w:t>
      </w:r>
      <w:r w:rsidR="00F65211">
        <w:rPr>
          <w:rFonts w:ascii="Calibri" w:eastAsia="Times New Roman" w:hAnsi="Calibri" w:cs="Calibri"/>
          <w:sz w:val="20"/>
          <w:szCs w:val="20"/>
        </w:rPr>
        <w:t>-labor costs.</w:t>
      </w:r>
      <w:r w:rsidR="00F533D2">
        <w:rPr>
          <w:rFonts w:ascii="Calibri" w:eastAsia="Times New Roman" w:hAnsi="Calibri" w:cs="Calibri"/>
          <w:sz w:val="20"/>
          <w:szCs w:val="20"/>
        </w:rPr>
        <w:t xml:space="preserve"> </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F87F52" w14:paraId="7FCA1ABF" w14:textId="1487892B">
      <w:pPr>
        <w:spacing w:before="60"/>
        <w:ind w:firstLine="720"/>
        <w:rPr>
          <w:rFonts w:cstheme="minorHAnsi"/>
        </w:rPr>
      </w:pPr>
      <w:r>
        <w:rPr>
          <w:rFonts w:cstheme="minorHAnsi"/>
        </w:rPr>
        <w:t>N</w:t>
      </w:r>
      <w:r w:rsidR="001676C5">
        <w:rPr>
          <w:rFonts w:cstheme="minorHAnsi"/>
        </w:rPr>
        <w:t>on-labor costs to</w:t>
      </w:r>
      <w:r w:rsidRPr="001676C5" w:rsidR="001676C5">
        <w:t xml:space="preserve"> </w:t>
      </w:r>
      <w:r w:rsidRPr="005D0593" w:rsidR="001676C5">
        <w:t xml:space="preserve">the </w:t>
      </w:r>
      <w:r w:rsidR="000404AD">
        <w:t>F</w:t>
      </w:r>
      <w:r w:rsidRPr="005D0593" w:rsidR="001676C5">
        <w:t xml:space="preserve">ederal government associated with </w:t>
      </w:r>
      <w:r w:rsidR="000B7A41">
        <w:t xml:space="preserve">the </w:t>
      </w:r>
      <w:r w:rsidR="00511032">
        <w:t>proposed reconsideration</w:t>
      </w:r>
      <w:r w:rsidR="000B7A41">
        <w:t xml:space="preserve"> included in </w:t>
      </w:r>
      <w:r w:rsidRPr="005D0593" w:rsidR="001676C5">
        <w:t>this information collection</w:t>
      </w:r>
      <w:r w:rsidR="00511032">
        <w:t xml:space="preserve"> are exp</w:t>
      </w:r>
      <w:r w:rsidR="00133A9F">
        <w:t xml:space="preserve">ected to be </w:t>
      </w:r>
      <w:r w:rsidR="00A01B3A">
        <w:t xml:space="preserve">zero. </w:t>
      </w:r>
      <w:r w:rsidR="003460B8">
        <w:t xml:space="preserve">The proposed revision </w:t>
      </w:r>
      <w:r w:rsidR="003460B8">
        <w:t>to</w:t>
      </w:r>
      <w:r w:rsidR="003460B8">
        <w:t xml:space="preserve"> the collection reflects the </w:t>
      </w:r>
      <w:r w:rsidRPr="001A75E7" w:rsidR="003460B8">
        <w:t>propos</w:t>
      </w:r>
      <w:r w:rsidR="003460B8">
        <w:t>al</w:t>
      </w:r>
      <w:r w:rsidRPr="001A75E7" w:rsidR="003460B8">
        <w:t xml:space="preserve"> to remove existing </w:t>
      </w:r>
      <w:r w:rsidR="003460B8">
        <w:t xml:space="preserve">data </w:t>
      </w:r>
      <w:r w:rsidRPr="001A75E7" w:rsidR="003460B8">
        <w:t>reporting requirements</w:t>
      </w:r>
      <w:r w:rsidR="003460B8">
        <w:t xml:space="preserve"> and the data submitted to the Agency, reducing the </w:t>
      </w:r>
      <w:r w:rsidR="00AB4081">
        <w:t>need for non</w:t>
      </w:r>
      <w:r w:rsidR="0081425A">
        <w:t xml:space="preserve">-labor costs </w:t>
      </w:r>
      <w:r w:rsidR="00AA67AB">
        <w:t xml:space="preserve">to </w:t>
      </w:r>
      <w:r w:rsidR="003460B8">
        <w:t>implement the program.</w:t>
      </w:r>
      <w:r w:rsidR="004E50D5">
        <w:t xml:space="preserve"> The reduction </w:t>
      </w:r>
      <w:r w:rsidR="00CE54DB">
        <w:t>is presented in Exhibit 14.1</w:t>
      </w:r>
      <w:r w:rsidR="00912EBF">
        <w:t>.</w:t>
      </w:r>
    </w:p>
    <w:p w:rsidR="004620CA" w:rsidRPr="00163C69" w:rsidP="00565AEA" w14:paraId="3144CC9D" w14:textId="72F4E703">
      <w:pPr>
        <w:pStyle w:val="ListParagraph"/>
        <w:numPr>
          <w:ilvl w:val="0"/>
          <w:numId w:val="3"/>
        </w:numPr>
        <w:spacing w:before="240" w:after="0"/>
        <w:rPr>
          <w:b/>
          <w:bCs/>
        </w:rPr>
      </w:pPr>
      <w:r w:rsidRPr="4BDBF0A0">
        <w:rPr>
          <w:b/>
          <w:bCs/>
        </w:rPr>
        <w:t xml:space="preserve">REASONS FOR </w:t>
      </w:r>
      <w:r w:rsidRPr="4BDBF0A0" w:rsidR="00AD46F7">
        <w:rPr>
          <w:b/>
          <w:bCs/>
        </w:rPr>
        <w:t>CHANGE IN BURDEN</w:t>
      </w:r>
      <w:bookmarkEnd w:id="25"/>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717707" w:rsidRPr="00717707" w:rsidP="00997F47" w14:paraId="7FFBEF25" w14:textId="4E7FE801">
      <w:pPr>
        <w:keepNext/>
        <w:ind w:firstLine="720"/>
      </w:pPr>
      <w:r w:rsidRPr="005D0593">
        <w:t xml:space="preserve">This section presents the change in burden based on the </w:t>
      </w:r>
      <w:r w:rsidR="0032076C">
        <w:t xml:space="preserve">proposed </w:t>
      </w:r>
      <w:r w:rsidRPr="005D0593">
        <w:t>revisions</w:t>
      </w:r>
      <w:r w:rsidR="003405DD">
        <w:t>.</w:t>
      </w:r>
      <w:r w:rsidRPr="005D0593">
        <w:t xml:space="preserve"> This </w:t>
      </w:r>
      <w:r w:rsidR="003405DD">
        <w:t>proposed</w:t>
      </w:r>
      <w:r w:rsidRPr="005D0593">
        <w:t xml:space="preserve"> rule w</w:t>
      </w:r>
      <w:r w:rsidR="003405DD">
        <w:t>ould</w:t>
      </w:r>
      <w:r w:rsidRPr="005D0593">
        <w:t xml:space="preserve"> result in an overall average annual burden of </w:t>
      </w:r>
      <w:r w:rsidR="00485390">
        <w:t>0</w:t>
      </w:r>
      <w:r w:rsidRPr="005D0593">
        <w:t xml:space="preserve"> hours and $</w:t>
      </w:r>
      <w:r w:rsidR="00485390">
        <w:t>0</w:t>
      </w:r>
      <w:r w:rsidRPr="005D0593">
        <w:t xml:space="preserve"> over the three years covered by this information collection. </w:t>
      </w:r>
    </w:p>
    <w:p w:rsidR="00ED57A4" w:rsidRPr="00535066" w:rsidP="00535066" w14:paraId="18F76AB6" w14:textId="09597631">
      <w:pPr>
        <w:ind w:firstLine="720"/>
      </w:pPr>
      <w:r w:rsidRPr="005D0593">
        <w:t xml:space="preserve">The total </w:t>
      </w:r>
      <w:r w:rsidR="00485390">
        <w:t>de</w:t>
      </w:r>
      <w:r w:rsidRPr="005D0593" w:rsidR="00485390">
        <w:t xml:space="preserve">crease </w:t>
      </w:r>
      <w:r w:rsidRPr="005D0593">
        <w:t xml:space="preserve">in costs from all </w:t>
      </w:r>
      <w:r w:rsidR="518ED115">
        <w:t>proposed</w:t>
      </w:r>
      <w:r w:rsidR="00961F34">
        <w:t xml:space="preserve"> </w:t>
      </w:r>
      <w:r w:rsidRPr="005D0593">
        <w:t>revisions includes</w:t>
      </w:r>
      <w:r w:rsidR="009F631F">
        <w:t xml:space="preserve"> an annual average cost savings of</w:t>
      </w:r>
      <w:r w:rsidRPr="005D0593">
        <w:t xml:space="preserve"> $</w:t>
      </w:r>
      <w:r w:rsidR="00F81E53">
        <w:t>303,000,000</w:t>
      </w:r>
      <w:r w:rsidRPr="00F81E53">
        <w:t>. These costs include an annual average non-labor cost</w:t>
      </w:r>
      <w:r w:rsidRPr="00F81E53" w:rsidR="009F631F">
        <w:t xml:space="preserve"> savings</w:t>
      </w:r>
      <w:r w:rsidRPr="00F81E53">
        <w:t xml:space="preserve"> of $</w:t>
      </w:r>
      <w:r w:rsidR="0018322D">
        <w:t xml:space="preserve">55,000,000 </w:t>
      </w:r>
      <w:r w:rsidRPr="00F81E53" w:rsidR="47B976F3">
        <w:t xml:space="preserve">and </w:t>
      </w:r>
      <w:r w:rsidRPr="00F81E53" w:rsidR="00DA5633">
        <w:t>$</w:t>
      </w:r>
      <w:r w:rsidR="0018322D">
        <w:t>24</w:t>
      </w:r>
      <w:r w:rsidR="00C53D09">
        <w:t>8,000,000</w:t>
      </w:r>
      <w:r w:rsidRPr="00F81E53" w:rsidR="00592527">
        <w:t xml:space="preserve"> </w:t>
      </w:r>
      <w:r w:rsidRPr="00F81E53" w:rsidR="00DA5633">
        <w:t xml:space="preserve">savings </w:t>
      </w:r>
      <w:r w:rsidRPr="00F81E53" w:rsidR="00592527">
        <w:t>in labor costs</w:t>
      </w:r>
      <w:r w:rsidRPr="00F81E53" w:rsidR="5FA672C3">
        <w:t>.</w:t>
      </w:r>
      <w:r w:rsidRPr="00F81E53" w:rsidR="00A11AFC">
        <w:t xml:space="preserve"> </w:t>
      </w:r>
      <w:r w:rsidRPr="00F81E53" w:rsidR="009F631F">
        <w:t xml:space="preserve">The decrease in burden and non-labor costs is based on the </w:t>
      </w:r>
      <w:r w:rsidR="00096F8B">
        <w:t xml:space="preserve">change in the </w:t>
      </w:r>
      <w:r w:rsidRPr="00F81E53" w:rsidR="009F631F">
        <w:t xml:space="preserve">applicability and reporting requirements for </w:t>
      </w:r>
      <w:r w:rsidR="00C53D09">
        <w:t>8</w:t>
      </w:r>
      <w:r w:rsidRPr="00F81E53" w:rsidR="009F631F">
        <w:t xml:space="preserve">,971 reporters. </w:t>
      </w:r>
      <w:r w:rsidRPr="00F81E53" w:rsidR="00632FD9">
        <w:t>The proposed changes would revise the general provisions to modify the applicability of the rule</w:t>
      </w:r>
      <w:r w:rsidR="00632FD9">
        <w:t xml:space="preserve"> to remove the data collection, monitoring, recordkeeping, and reporting requirements for all </w:t>
      </w:r>
      <w:r w:rsidR="007E38D7">
        <w:t xml:space="preserve">non-W </w:t>
      </w:r>
      <w:r w:rsidR="00632FD9">
        <w:t xml:space="preserve">direct emitter, supplier, and carbon sequestration source categories after RY2024. </w:t>
      </w:r>
      <w:r w:rsidRPr="00F178EF" w:rsidR="00560C4C">
        <w:rPr>
          <w:bCs/>
        </w:rPr>
        <w:t xml:space="preserve">For those subpart W provisions, the EPA is </w:t>
      </w:r>
      <w:r w:rsidR="00665257">
        <w:rPr>
          <w:bCs/>
        </w:rPr>
        <w:t xml:space="preserve">proposing to </w:t>
      </w:r>
      <w:r w:rsidR="001F643A">
        <w:rPr>
          <w:bCs/>
        </w:rPr>
        <w:t xml:space="preserve">permanently </w:t>
      </w:r>
      <w:r w:rsidR="00665257">
        <w:rPr>
          <w:bCs/>
        </w:rPr>
        <w:t>remove</w:t>
      </w:r>
      <w:r w:rsidR="00C93C00">
        <w:rPr>
          <w:bCs/>
        </w:rPr>
        <w:t xml:space="preserve"> reporting requirements for the natural gas distribution </w:t>
      </w:r>
      <w:r w:rsidR="00C93C00">
        <w:rPr>
          <w:bCs/>
        </w:rPr>
        <w:t>segment, and</w:t>
      </w:r>
      <w:r w:rsidR="00C93C00">
        <w:rPr>
          <w:bCs/>
        </w:rPr>
        <w:t xml:space="preserve"> is</w:t>
      </w:r>
      <w:r w:rsidRPr="00F178EF" w:rsidR="00560C4C">
        <w:rPr>
          <w:bCs/>
        </w:rPr>
        <w:t xml:space="preserve"> proposing to modify the years of applicability for reporting </w:t>
      </w:r>
      <w:r w:rsidR="00C93C00">
        <w:rPr>
          <w:bCs/>
        </w:rPr>
        <w:t>for all other industry segments</w:t>
      </w:r>
      <w:r w:rsidRPr="00F178EF" w:rsidR="00C93C00">
        <w:rPr>
          <w:bCs/>
        </w:rPr>
        <w:t xml:space="preserve"> </w:t>
      </w:r>
      <w:r w:rsidRPr="00F178EF" w:rsidR="00560C4C">
        <w:rPr>
          <w:bCs/>
        </w:rPr>
        <w:t>under subpart W</w:t>
      </w:r>
      <w:r w:rsidR="00C93C00">
        <w:rPr>
          <w:bCs/>
        </w:rPr>
        <w:t xml:space="preserve"> </w:t>
      </w:r>
      <w:r w:rsidRPr="00F178EF" w:rsidR="00560C4C">
        <w:rPr>
          <w:bCs/>
        </w:rPr>
        <w:t>to suspend reporting after RY2024 until RY2034.</w:t>
      </w:r>
      <w:r w:rsidR="00560C4C">
        <w:rPr>
          <w:bCs/>
        </w:rPr>
        <w:t xml:space="preserve"> </w:t>
      </w:r>
      <w:r w:rsidR="00632FD9">
        <w:t>The proposed amendments would remove and reserve the subpart-specific applicability, definitions, thresholds, calculation methodologies, monitoring and quality assurance requirements, missing data procedures, and recordkeeping and reporting requirements for all specified direct emitter, supplier source, and carbon sequestrations categories</w:t>
      </w:r>
      <w:r w:rsidR="00C93C00">
        <w:t xml:space="preserve"> and the natural gas distribution sector</w:t>
      </w:r>
      <w:r w:rsidR="00632FD9">
        <w:t>. The result of these proposed changes would be that mandatory reporting under the GHGRP would cease following RY2024, except for</w:t>
      </w:r>
      <w:r w:rsidR="002357CA">
        <w:t xml:space="preserve"> </w:t>
      </w:r>
      <w:r w:rsidR="00C93C00">
        <w:t xml:space="preserve">most sources in </w:t>
      </w:r>
      <w:r w:rsidR="002357CA">
        <w:t>the</w:t>
      </w:r>
      <w:r w:rsidR="00632FD9">
        <w:t xml:space="preserve"> petroleum and natural gas </w:t>
      </w:r>
      <w:r w:rsidR="3E5D3EAE">
        <w:t>source</w:t>
      </w:r>
      <w:r w:rsidR="47B976F3">
        <w:t xml:space="preserve"> category</w:t>
      </w:r>
      <w:r w:rsidR="00560C4C">
        <w:t>, which would not be required to resume reporting until RY2034</w:t>
      </w:r>
      <w:r w:rsidR="3E5D3EAE">
        <w:t>.</w:t>
      </w:r>
      <w:r w:rsidR="00632FD9">
        <w:t xml:space="preserve"> </w:t>
      </w:r>
      <w:r w:rsidRPr="005D0593">
        <w:t>Overall, the final revisions would result in a</w:t>
      </w:r>
      <w:r w:rsidRPr="005D0593">
        <w:t xml:space="preserve"> </w:t>
      </w:r>
      <w:r w:rsidR="00485390">
        <w:t>de</w:t>
      </w:r>
      <w:r w:rsidRPr="005D0593" w:rsidR="00485390">
        <w:t xml:space="preserve">crease </w:t>
      </w:r>
      <w:r w:rsidRPr="005D0593">
        <w:t xml:space="preserve">in </w:t>
      </w:r>
      <w:r w:rsidR="00485390">
        <w:t xml:space="preserve">burden and </w:t>
      </w:r>
      <w:r w:rsidRPr="005D0593">
        <w:t xml:space="preserve">costs. </w:t>
      </w:r>
    </w:p>
    <w:p w:rsidR="005D140B" w:rsidRPr="00163C69" w:rsidP="00565AEA" w14:paraId="3604F417" w14:textId="5D0F3160">
      <w:pPr>
        <w:pStyle w:val="ListParagraph"/>
        <w:numPr>
          <w:ilvl w:val="0"/>
          <w:numId w:val="3"/>
        </w:numPr>
        <w:spacing w:before="240" w:after="0"/>
        <w:rPr>
          <w:b/>
          <w:bCs/>
        </w:rPr>
      </w:pPr>
      <w:bookmarkStart w:id="26" w:name="_Toc156593389"/>
      <w:r w:rsidRPr="4BDBF0A0">
        <w:rPr>
          <w:b/>
          <w:bCs/>
        </w:rPr>
        <w:t xml:space="preserve">PUBLICATION OF </w:t>
      </w:r>
      <w:bookmarkStart w:id="27" w:name="_Toc156593390"/>
      <w:bookmarkEnd w:id="26"/>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63F77" w:rsidP="00B63F77" w14:paraId="1996AD34" w14:textId="052A5FDB">
      <w:pPr>
        <w:ind w:firstLine="720"/>
      </w:pPr>
      <w:r w:rsidRPr="00535066">
        <w:t xml:space="preserve"> </w:t>
      </w:r>
      <w:r>
        <w:t>The GHGRP was developed</w:t>
      </w:r>
      <w:r w:rsidR="001C397F">
        <w:t xml:space="preserve"> </w:t>
      </w:r>
      <w:r>
        <w:t xml:space="preserve">to collect comprehensive and accurate data to inform future climate policy development and support a range of possible policies and regulations, as discussed in </w:t>
      </w:r>
      <w:r w:rsidR="00BB0164">
        <w:t>sec</w:t>
      </w:r>
      <w:r>
        <w:t xml:space="preserve">tion 2 of this document. </w:t>
      </w:r>
      <w:r w:rsidRPr="005D0593">
        <w:t xml:space="preserve">The GHG data reported </w:t>
      </w:r>
      <w:r w:rsidR="6D6276C8">
        <w:t xml:space="preserve">under the GHGRP, except for that data determined to be eligible for confidential treatment, </w:t>
      </w:r>
      <w:r w:rsidRPr="005D0593">
        <w:t xml:space="preserve">are accessible to the public via the EPA’s online data publication tool, also known as FLIGHT (Facility Level Information on Greenhouse gases Tool) at: </w:t>
      </w:r>
      <w:hyperlink r:id="rId12">
        <w:r w:rsidRPr="19D83ACA" w:rsidR="5082155E">
          <w:rPr>
            <w:rStyle w:val="Hyperlink"/>
            <w:i/>
            <w:iCs/>
          </w:rPr>
          <w:t>https://ghgdata.epa.gov/ghgp/main.do</w:t>
        </w:r>
      </w:hyperlink>
      <w:r w:rsidR="5082155E">
        <w:t>.</w:t>
      </w:r>
      <w:r w:rsidRPr="005D0593">
        <w:t xml:space="preserve"> FLIGHT allows users to view and sort GHG data for every reporting year starting with 2010 in a variety of ways including by location, industrial sector, and type of GHG emitted. To support the needs of data users, the GHGRP </w:t>
      </w:r>
      <w:r w:rsidR="6D6276C8">
        <w:t>data is</w:t>
      </w:r>
      <w:r w:rsidRPr="005D0593">
        <w:t xml:space="preserve"> made available for download through </w:t>
      </w:r>
      <w:r w:rsidRPr="005D0593">
        <w:t>Envirofacts</w:t>
      </w:r>
      <w:r w:rsidRPr="005D0593">
        <w:t xml:space="preserve"> (</w:t>
      </w:r>
      <w:hyperlink r:id="rId13">
        <w:r w:rsidRPr="19D83ACA" w:rsidR="5082155E">
          <w:rPr>
            <w:rStyle w:val="Hyperlink"/>
            <w:i/>
            <w:iCs/>
          </w:rPr>
          <w:t>https://www.epa.gov/enviro/</w:t>
        </w:r>
      </w:hyperlink>
      <w:r w:rsidRPr="005D0593">
        <w:t>), a cross-EPA data publication website.</w:t>
      </w:r>
      <w:r>
        <w:t xml:space="preserve"> </w:t>
      </w:r>
    </w:p>
    <w:p w:rsidR="00627768" w:rsidRPr="00163C69" w:rsidP="00565AEA" w14:paraId="54E9D2D0" w14:textId="0FA37265">
      <w:pPr>
        <w:pStyle w:val="ListParagraph"/>
        <w:numPr>
          <w:ilvl w:val="0"/>
          <w:numId w:val="3"/>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7"/>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896048" w:rsidRPr="00052A73" w:rsidP="00F87F52" w14:paraId="19524F9B" w14:textId="77777777">
      <w:pPr>
        <w:spacing w:before="240" w:after="0"/>
        <w:ind w:firstLine="720"/>
        <w:rPr>
          <w:rFonts w:cstheme="minorHAnsi"/>
          <w:b/>
          <w:bCs/>
        </w:rPr>
      </w:pPr>
      <w:r w:rsidRPr="00440B11">
        <w:t xml:space="preserve">The agency </w:t>
      </w:r>
      <w:r w:rsidR="000B7A41">
        <w:t>will</w:t>
      </w:r>
      <w:r w:rsidRPr="00440B11">
        <w:t xml:space="preserve"> display the expiration date for </w:t>
      </w:r>
      <w:r w:rsidR="000B7A41">
        <w:t>this information collection</w:t>
      </w:r>
      <w:r w:rsidRPr="00440B11">
        <w:t>.</w:t>
      </w:r>
      <w:r w:rsidRPr="00493564" w:rsidR="00493564">
        <w:t xml:space="preserve"> </w:t>
      </w:r>
      <w:bookmarkStart w:id="28" w:name="_Toc156593391"/>
    </w:p>
    <w:p w:rsidR="00691828" w:rsidRPr="00163C69" w:rsidP="00565AEA" w14:paraId="7CCB26DD" w14:textId="233091B3">
      <w:pPr>
        <w:pStyle w:val="ListParagraph"/>
        <w:numPr>
          <w:ilvl w:val="0"/>
          <w:numId w:val="3"/>
        </w:numPr>
        <w:spacing w:before="240" w:after="0"/>
        <w:rPr>
          <w:rFonts w:cstheme="minorHAnsi"/>
          <w:b/>
          <w:bCs/>
        </w:rPr>
      </w:pPr>
      <w:r w:rsidRPr="00163C69">
        <w:rPr>
          <w:rFonts w:cstheme="minorHAnsi"/>
          <w:b/>
          <w:bCs/>
        </w:rPr>
        <w:t>CERTIFICATION STATEMENT</w:t>
      </w:r>
      <w:bookmarkEnd w:id="28"/>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F87F52" w14:paraId="02BFB1B4" w14:textId="0CCE8ABA">
      <w:pPr>
        <w:pStyle w:val="Header"/>
        <w:ind w:firstLine="720"/>
        <w:outlineLvl w:val="0"/>
        <w:rPr>
          <w:sz w:val="24"/>
          <w:szCs w:val="24"/>
        </w:rPr>
      </w:pPr>
      <w:r>
        <w:tab/>
        <w:t xml:space="preserve">   </w:t>
      </w:r>
      <w:r w:rsidRPr="00914ED2" w:rsidR="00914ED2">
        <w:t>This information collection complies with all provisions of the Certification for Paperwork Reduction Act Submissions.</w:t>
      </w:r>
      <w:r w:rsidR="00F90DC9">
        <w:t xml:space="preserve"> </w:t>
      </w:r>
    </w:p>
    <w:sectPr w:rsidSect="005100FD">
      <w:pgSz w:w="12240" w:h="15840" w:code="1"/>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1128553"/>
      <w:docPartObj>
        <w:docPartGallery w:val="Page Numbers (Bottom of Page)"/>
        <w:docPartUnique/>
      </w:docPartObj>
    </w:sdtPr>
    <w:sdtEndPr>
      <w:rPr>
        <w:noProof/>
      </w:rPr>
    </w:sdtEndPr>
    <w:sdtContent>
      <w:p w:rsidR="00F5114E" w14:paraId="20141106" w14:textId="553476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5114E" w14:paraId="7F35AE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05F3" w:rsidP="002335AB" w14:paraId="69047F1F" w14:textId="77777777">
      <w:pPr>
        <w:spacing w:after="0" w:line="240" w:lineRule="auto"/>
      </w:pPr>
      <w:r>
        <w:separator/>
      </w:r>
    </w:p>
  </w:footnote>
  <w:footnote w:type="continuationSeparator" w:id="1">
    <w:p w:rsidR="00C005F3" w:rsidP="002335AB" w14:paraId="1145A8F9" w14:textId="77777777">
      <w:pPr>
        <w:spacing w:after="0" w:line="240" w:lineRule="auto"/>
      </w:pPr>
      <w:r>
        <w:continuationSeparator/>
      </w:r>
    </w:p>
  </w:footnote>
  <w:footnote w:type="continuationNotice" w:id="2">
    <w:p w:rsidR="00C005F3" w14:paraId="3ECE52C1" w14:textId="77777777">
      <w:pPr>
        <w:spacing w:after="0" w:line="240" w:lineRule="auto"/>
      </w:pPr>
    </w:p>
  </w:footnote>
  <w:footnote w:id="3">
    <w:p w:rsidR="00717707" w:rsidRPr="00B340C0" w:rsidP="00717707" w14:paraId="23ED7600" w14:textId="77777777">
      <w:pPr>
        <w:pStyle w:val="FootnoteText"/>
        <w:rPr>
          <w:rFonts w:asciiTheme="majorBidi" w:hAnsiTheme="majorBidi" w:cstheme="majorBidi"/>
        </w:rPr>
      </w:pPr>
      <w:r w:rsidRPr="00B340C0">
        <w:rPr>
          <w:rStyle w:val="FootnoteReference"/>
          <w:rFonts w:asciiTheme="majorBidi" w:hAnsiTheme="majorBidi" w:cstheme="majorBidi"/>
        </w:rPr>
        <w:footnoteRef/>
      </w:r>
      <w:r w:rsidRPr="00B340C0">
        <w:rPr>
          <w:rFonts w:asciiTheme="majorBidi" w:hAnsiTheme="majorBidi" w:cstheme="majorBidi"/>
        </w:rPr>
        <w:t xml:space="preserve"> </w:t>
      </w:r>
      <w:r w:rsidRPr="000238A7">
        <w:rPr>
          <w:rFonts w:asciiTheme="majorBidi" w:hAnsiTheme="majorBidi" w:cstheme="majorBidi"/>
          <w:i/>
          <w:iCs/>
        </w:rPr>
        <w:t>https://www.opm.gov/policy-data-oversight/pay-leave/salaries-wages/salary-tables/pdf/2018/GS_h.pdf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A8E" w:rsidP="000238A7" w14:paraId="15D50EC7" w14:textId="77777777">
    <w:pPr>
      <w:jc w:val="center"/>
    </w:pPr>
  </w:p>
  <w:p w:rsidR="00565AEA" w14:paraId="29A4AC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62B57"/>
    <w:multiLevelType w:val="hybridMultilevel"/>
    <w:tmpl w:val="7C9273F6"/>
    <w:lvl w:ilvl="0">
      <w:start w:val="1"/>
      <w:numFmt w:val="bullet"/>
      <w:pStyle w:val="Bullet-GHGPreamble"/>
      <w:lvlText w:val=""/>
      <w:lvlJc w:val="left"/>
      <w:pPr>
        <w:tabs>
          <w:tab w:val="num" w:pos="720"/>
        </w:tabs>
        <w:ind w:left="720" w:hanging="720"/>
      </w:pPr>
      <w:rPr>
        <w:rFonts w:ascii="WP MathA" w:hAnsi="WP MathA" w:hint="default"/>
        <w:sz w:val="24"/>
      </w:rPr>
    </w:lvl>
    <w:lvl w:ilvl="1">
      <w:start w:val="1"/>
      <w:numFmt w:val="lowerLetter"/>
      <w:lvlText w:val="%2."/>
      <w:lvlJc w:val="left"/>
      <w:pPr>
        <w:tabs>
          <w:tab w:val="num" w:pos="2340"/>
        </w:tabs>
        <w:ind w:left="234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
    <w:nsid w:val="18856A84"/>
    <w:multiLevelType w:val="hybridMultilevel"/>
    <w:tmpl w:val="41E8DD42"/>
    <w:lvl w:ilvl="0">
      <w:start w:val="1"/>
      <w:numFmt w:val="bullet"/>
      <w:pStyle w:val="bullets-3rdlevel"/>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Helv"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Helv"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Helv"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1F7462F5"/>
    <w:multiLevelType w:val="hybridMultilevel"/>
    <w:tmpl w:val="B8840E48"/>
    <w:lvl w:ilvl="0">
      <w:start w:val="1"/>
      <w:numFmt w:val="bullet"/>
      <w:pStyle w:val="Bullet-GHGPreamblelast"/>
      <w:lvlText w:val=""/>
      <w:lvlJc w:val="left"/>
      <w:pPr>
        <w:ind w:left="720" w:hanging="360"/>
      </w:pPr>
      <w:rPr>
        <w:rFonts w:ascii="Symbol" w:hAnsi="Symbol" w:hint="default"/>
        <w:b w:val="0"/>
        <w:i w:val="0"/>
        <w:caps w:val="0"/>
        <w:strike w:val="0"/>
        <w:dstrike w:val="0"/>
        <w:vanish w:val="0"/>
        <w:color w:val="auto"/>
        <w:spacing w:val="52"/>
        <w:w w:val="100"/>
        <w:kern w:val="0"/>
        <w:position w:val="0"/>
        <w:sz w:val="24"/>
        <w:u w:val="none"/>
        <w:vertAlign w:val="baselin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4C05CEB"/>
    <w:multiLevelType w:val="hybridMultilevel"/>
    <w:tmpl w:val="16FC3C90"/>
    <w:lvl w:ilvl="0">
      <w:start w:val="0"/>
      <w:numFmt w:val="bullet"/>
      <w:lvlText w:val="•"/>
      <w:lvlJc w:val="left"/>
      <w:pPr>
        <w:ind w:left="1440" w:hanging="72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7DC3647"/>
    <w:multiLevelType w:val="multilevel"/>
    <w:tmpl w:val="BE82302C"/>
    <w:lvl w:ilvl="0">
      <w:start w:val="1"/>
      <w:numFmt w:val="decimal"/>
      <w:pStyle w:val="List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CF003DA"/>
    <w:multiLevelType w:val="hybridMultilevel"/>
    <w:tmpl w:val="454621B6"/>
    <w:lvl w:ilvl="0">
      <w:start w:val="1"/>
      <w:numFmt w:val="bullet"/>
      <w:pStyle w:val="GHGPreamble-level4"/>
      <w:lvlText w:val=""/>
      <w:lvlJc w:val="left"/>
      <w:pPr>
        <w:tabs>
          <w:tab w:val="num" w:pos="360"/>
        </w:tabs>
        <w:ind w:left="360" w:hanging="360"/>
      </w:pPr>
      <w:rPr>
        <w:rFonts w:ascii="WP MathA" w:hAnsi="WP MathA"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pStyle w:val="GHGPreamble-level4"/>
      <w:lvlText w:val="%6."/>
      <w:lvlJc w:val="right"/>
      <w:pPr>
        <w:tabs>
          <w:tab w:val="num" w:pos="3240"/>
        </w:tabs>
        <w:ind w:left="3240" w:hanging="180"/>
      </w:pPr>
    </w:lvl>
    <w:lvl w:ilvl="6">
      <w:start w:val="1"/>
      <w:numFmt w:val="bullet"/>
      <w:lvlText w:val=""/>
      <w:lvlJc w:val="left"/>
      <w:pPr>
        <w:tabs>
          <w:tab w:val="num" w:pos="3960"/>
        </w:tabs>
        <w:ind w:left="3960" w:hanging="360"/>
      </w:pPr>
      <w:rPr>
        <w:rFonts w:ascii="Symbol" w:hAnsi="Symbol" w:hint="default"/>
      </w:r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7">
    <w:nsid w:val="457C6CE4"/>
    <w:multiLevelType w:val="hybridMultilevel"/>
    <w:tmpl w:val="52FCF9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4503E0C"/>
    <w:multiLevelType w:val="multilevel"/>
    <w:tmpl w:val="F9BE7FB2"/>
    <w:lvl w:ilvl="0">
      <w:start w:val="1"/>
      <w:numFmt w:val="lowerLetter"/>
      <w:pStyle w:val="GHGLevels"/>
      <w:lvlText w:val="(%1)"/>
      <w:lvlJc w:val="left"/>
      <w:pPr>
        <w:tabs>
          <w:tab w:val="num" w:pos="1152"/>
        </w:tabs>
        <w:ind w:left="0"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1">
      <w:start w:val="1"/>
      <w:numFmt w:val="decimal"/>
      <w:lvlText w:val="(%2)  "/>
      <w:lvlJc w:val="left"/>
      <w:pPr>
        <w:tabs>
          <w:tab w:val="num" w:pos="2049"/>
        </w:tabs>
        <w:ind w:left="903" w:firstLine="717"/>
      </w:pPr>
      <w:rPr>
        <w:rFonts w:ascii="Times New Roman" w:hAnsi="Times New Roman" w:hint="default"/>
        <w:b w:val="0"/>
        <w:i w:val="0"/>
        <w:sz w:val="24"/>
        <w:u w:val="none"/>
      </w:rPr>
    </w:lvl>
    <w:lvl w:ilvl="2">
      <w:start w:val="1"/>
      <w:numFmt w:val="lowerRoman"/>
      <w:lvlText w:val="(%3)"/>
      <w:lvlJc w:val="left"/>
      <w:pPr>
        <w:tabs>
          <w:tab w:val="num" w:pos="1152"/>
        </w:tabs>
        <w:ind w:left="3" w:firstLine="717"/>
      </w:pPr>
      <w:rPr>
        <w:rFonts w:ascii="Times New Roman" w:hAnsi="Times New Roman" w:hint="default"/>
        <w:sz w:val="24"/>
      </w:rPr>
    </w:lvl>
    <w:lvl w:ilvl="3">
      <w:start w:val="1"/>
      <w:numFmt w:val="upperLetter"/>
      <w:lvlText w:val="(%4)"/>
      <w:lvlJc w:val="left"/>
      <w:pPr>
        <w:tabs>
          <w:tab w:val="num" w:pos="1152"/>
        </w:tabs>
        <w:ind w:left="3" w:firstLine="720"/>
      </w:pPr>
      <w:rPr>
        <w:rFonts w:hint="default"/>
      </w:rPr>
    </w:lvl>
    <w:lvl w:ilvl="4">
      <w:start w:val="1"/>
      <w:numFmt w:val="decimal"/>
      <w:lvlText w:val="(%5)"/>
      <w:lvlJc w:val="left"/>
      <w:pPr>
        <w:tabs>
          <w:tab w:val="num" w:pos="1152"/>
        </w:tabs>
        <w:ind w:left="3"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5">
      <w:start w:val="1"/>
      <w:numFmt w:val="lowerRoman"/>
      <w:suff w:val="space"/>
      <w:lvlText w:val="(%6)"/>
      <w:lvlJc w:val="left"/>
      <w:pPr>
        <w:ind w:left="2166" w:hanging="360"/>
      </w:pPr>
      <w:rPr>
        <w:rFonts w:ascii="Times New Roman" w:hAnsi="Times New Roman" w:cs="Times New Roman" w:hint="default"/>
        <w:b w:val="0"/>
        <w:bCs w:val="0"/>
        <w:i/>
        <w:iCs w:val="0"/>
        <w:caps w:val="0"/>
        <w:smallCaps w:val="0"/>
        <w:strike w:val="0"/>
        <w:dstrike w:val="0"/>
        <w:noProof w:val="0"/>
        <w:snapToGrid w:val="0"/>
        <w:vanish w:val="0"/>
        <w:color w:val="000000"/>
        <w:spacing w:val="0"/>
        <w:w w:val="0"/>
        <w:kern w:val="0"/>
        <w:position w:val="0"/>
        <w:sz w:val="24"/>
        <w:szCs w:val="0"/>
        <w:u w:val="none" w:color="000000"/>
        <w:effect w:val="none"/>
        <w:bdr w:val="nil"/>
        <w:shd w:val="clear" w:color="000000" w:fill="000000"/>
        <w:vertAlign w:val="baseline"/>
        <w:specVanish w:val="0"/>
      </w:rPr>
    </w:lvl>
    <w:lvl w:ilvl="6">
      <w:start w:val="1"/>
      <w:numFmt w:val="decimal"/>
      <w:suff w:val="space"/>
      <w:lvlText w:val="%7."/>
      <w:lvlJc w:val="left"/>
      <w:pPr>
        <w:ind w:left="2526" w:hanging="360"/>
      </w:pPr>
      <w:rPr>
        <w:rFonts w:hint="default"/>
        <w:b w:val="0"/>
        <w:i/>
      </w:rPr>
    </w:lvl>
    <w:lvl w:ilvl="7">
      <w:start w:val="1"/>
      <w:numFmt w:val="lowerLetter"/>
      <w:lvlText w:val="%8."/>
      <w:lvlJc w:val="left"/>
      <w:pPr>
        <w:tabs>
          <w:tab w:val="num" w:pos="2886"/>
        </w:tabs>
        <w:ind w:left="2886" w:hanging="360"/>
      </w:pPr>
      <w:rPr>
        <w:rFonts w:hint="default"/>
      </w:rPr>
    </w:lvl>
    <w:lvl w:ilvl="8">
      <w:start w:val="1"/>
      <w:numFmt w:val="lowerRoman"/>
      <w:lvlText w:val="%9."/>
      <w:lvlJc w:val="left"/>
      <w:pPr>
        <w:tabs>
          <w:tab w:val="num" w:pos="3246"/>
        </w:tabs>
        <w:ind w:left="3246" w:hanging="360"/>
      </w:pPr>
      <w:rPr>
        <w:rFonts w:hint="default"/>
      </w:rPr>
    </w:lvl>
  </w:abstractNum>
  <w:abstractNum w:abstractNumId="10">
    <w:nsid w:val="66522B2D"/>
    <w:multiLevelType w:val="multilevel"/>
    <w:tmpl w:val="D0F02B5C"/>
    <w:lvl w:ilvl="0">
      <w:start w:val="1"/>
      <w:numFmt w:val="upperRoman"/>
      <w:pStyle w:val="Level3-GHGPreamble"/>
      <w:suff w:val="space"/>
      <w:lvlText w:val="%1. "/>
      <w:lvlJc w:val="left"/>
      <w:pPr>
        <w:ind w:left="-180" w:firstLine="0"/>
      </w:pPr>
      <w:rPr>
        <w:rFonts w:ascii="Courier New" w:hAnsi="Courier New" w:hint="default"/>
        <w:b/>
        <w:i w:val="0"/>
        <w:sz w:val="24"/>
      </w:rPr>
    </w:lvl>
    <w:lvl w:ilvl="1">
      <w:start w:val="1"/>
      <w:numFmt w:val="upperLetter"/>
      <w:pStyle w:val="Level2-GHGPreamble"/>
      <w:suff w:val="space"/>
      <w:lvlText w:val="%2. "/>
      <w:lvlJc w:val="left"/>
      <w:pPr>
        <w:ind w:left="0" w:firstLine="0"/>
      </w:pPr>
      <w:rPr>
        <w:rFonts w:ascii="Courier New" w:hAnsi="Courier New" w:hint="default"/>
        <w:color w:val="auto"/>
        <w:sz w:val="24"/>
      </w:rPr>
    </w:lvl>
    <w:lvl w:ilvl="2">
      <w:start w:val="1"/>
      <w:numFmt w:val="decimal"/>
      <w:pStyle w:val="Level3-GHGPreamble"/>
      <w:suff w:val="space"/>
      <w:lvlText w:val="%3. "/>
      <w:lvlJc w:val="left"/>
      <w:pPr>
        <w:ind w:left="0" w:firstLine="0"/>
      </w:pPr>
      <w:rPr>
        <w:rFonts w:ascii="Courier New" w:hAnsi="Courier New" w:hint="default"/>
        <w:sz w:val="24"/>
      </w:rPr>
    </w:lvl>
    <w:lvl w:ilvl="3">
      <w:start w:val="1"/>
      <w:numFmt w:val="lowerLetter"/>
      <w:pStyle w:val="Level4-GHGPreamble"/>
      <w:suff w:val="space"/>
      <w:lvlText w:val="%4. "/>
      <w:lvlJc w:val="left"/>
      <w:pPr>
        <w:ind w:left="0" w:firstLine="0"/>
      </w:pPr>
      <w:rPr>
        <w:rFonts w:hint="default"/>
        <w:b w:val="0"/>
        <w:i w:val="0"/>
      </w:rPr>
    </w:lvl>
    <w:lvl w:ilvl="4">
      <w:start w:val="1"/>
      <w:numFmt w:val="lowerRoman"/>
      <w:pStyle w:val="Level5-GHGPreamble"/>
      <w:suff w:val="space"/>
      <w:lvlText w:val="%5. "/>
      <w:lvlJc w:val="left"/>
      <w:pPr>
        <w:ind w:left="-180" w:firstLine="0"/>
      </w:pPr>
      <w:rPr>
        <w:rFonts w:ascii="Courier New" w:hAnsi="Courier New" w:hint="default"/>
        <w:b w:val="0"/>
        <w:i w:val="0"/>
        <w:color w:val="auto"/>
        <w:sz w:val="24"/>
      </w:rPr>
    </w:lvl>
    <w:lvl w:ilvl="5">
      <w:start w:val="1"/>
      <w:numFmt w:val="decimal"/>
      <w:lvlText w:val="%1.%2.%3.%4.%5.%6"/>
      <w:lvlJc w:val="left"/>
      <w:pPr>
        <w:tabs>
          <w:tab w:val="num" w:pos="4500"/>
        </w:tabs>
        <w:ind w:left="4500" w:hanging="1080"/>
      </w:pPr>
      <w:rPr>
        <w:rFonts w:hint="default"/>
      </w:rPr>
    </w:lvl>
    <w:lvl w:ilvl="6">
      <w:start w:val="1"/>
      <w:numFmt w:val="decimal"/>
      <w:lvlText w:val="%1.%2.%3.%4.%5.%6.%7"/>
      <w:lvlJc w:val="left"/>
      <w:pPr>
        <w:tabs>
          <w:tab w:val="num" w:pos="5580"/>
        </w:tabs>
        <w:ind w:left="5580" w:hanging="1440"/>
      </w:pPr>
      <w:rPr>
        <w:rFonts w:hint="default"/>
      </w:rPr>
    </w:lvl>
    <w:lvl w:ilvl="7">
      <w:start w:val="1"/>
      <w:numFmt w:val="decimal"/>
      <w:lvlText w:val="%1.%2.%3.%4.%5.%6.%7.%8"/>
      <w:lvlJc w:val="left"/>
      <w:pPr>
        <w:tabs>
          <w:tab w:val="num" w:pos="6300"/>
        </w:tabs>
        <w:ind w:left="6300" w:hanging="1440"/>
      </w:pPr>
      <w:rPr>
        <w:rFonts w:hint="default"/>
      </w:rPr>
    </w:lvl>
    <w:lvl w:ilvl="8">
      <w:start w:val="1"/>
      <w:numFmt w:val="decimal"/>
      <w:lvlText w:val="%1.%2.%3.%4.%5.%6.%7.%8.%9"/>
      <w:lvlJc w:val="left"/>
      <w:pPr>
        <w:tabs>
          <w:tab w:val="num" w:pos="7380"/>
        </w:tabs>
        <w:ind w:left="7380" w:hanging="1800"/>
      </w:pPr>
      <w:rPr>
        <w:rFonts w:hint="default"/>
      </w:rPr>
    </w:lvl>
  </w:abstractNum>
  <w:abstractNum w:abstractNumId="1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DB162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39490726">
    <w:abstractNumId w:val="3"/>
  </w:num>
  <w:num w:numId="2" w16cid:durableId="258569098">
    <w:abstractNumId w:val="8"/>
  </w:num>
  <w:num w:numId="3" w16cid:durableId="1015961391">
    <w:abstractNumId w:val="11"/>
  </w:num>
  <w:num w:numId="4" w16cid:durableId="1587689430">
    <w:abstractNumId w:val="4"/>
  </w:num>
  <w:num w:numId="5" w16cid:durableId="1003582202">
    <w:abstractNumId w:val="7"/>
  </w:num>
  <w:num w:numId="6" w16cid:durableId="2006207916">
    <w:abstractNumId w:val="5"/>
  </w:num>
  <w:num w:numId="7" w16cid:durableId="2009824976">
    <w:abstractNumId w:val="10"/>
  </w:num>
  <w:num w:numId="8" w16cid:durableId="1301424098">
    <w:abstractNumId w:val="0"/>
  </w:num>
  <w:num w:numId="9" w16cid:durableId="196427864">
    <w:abstractNumId w:val="6"/>
  </w:num>
  <w:num w:numId="10" w16cid:durableId="342175176">
    <w:abstractNumId w:val="12"/>
  </w:num>
  <w:num w:numId="11" w16cid:durableId="1423725473">
    <w:abstractNumId w:val="9"/>
  </w:num>
  <w:num w:numId="12" w16cid:durableId="1448696570">
    <w:abstractNumId w:val="1"/>
  </w:num>
  <w:num w:numId="13" w16cid:durableId="56545546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525"/>
    <w:rsid w:val="0000329D"/>
    <w:rsid w:val="00003D64"/>
    <w:rsid w:val="0000402B"/>
    <w:rsid w:val="00004678"/>
    <w:rsid w:val="000069C3"/>
    <w:rsid w:val="00006C95"/>
    <w:rsid w:val="00006DCD"/>
    <w:rsid w:val="00007FB5"/>
    <w:rsid w:val="00007FFC"/>
    <w:rsid w:val="00010235"/>
    <w:rsid w:val="00010EEE"/>
    <w:rsid w:val="000129E1"/>
    <w:rsid w:val="0001341D"/>
    <w:rsid w:val="00013852"/>
    <w:rsid w:val="00013CE8"/>
    <w:rsid w:val="00013D74"/>
    <w:rsid w:val="00013FDC"/>
    <w:rsid w:val="00014B10"/>
    <w:rsid w:val="00015B96"/>
    <w:rsid w:val="00015CEA"/>
    <w:rsid w:val="00015CF4"/>
    <w:rsid w:val="00015FF6"/>
    <w:rsid w:val="000161FC"/>
    <w:rsid w:val="0001637F"/>
    <w:rsid w:val="000169B7"/>
    <w:rsid w:val="0001707D"/>
    <w:rsid w:val="00017B90"/>
    <w:rsid w:val="00020791"/>
    <w:rsid w:val="0002183E"/>
    <w:rsid w:val="00021859"/>
    <w:rsid w:val="000238A7"/>
    <w:rsid w:val="00023ABF"/>
    <w:rsid w:val="00023EFE"/>
    <w:rsid w:val="00025F72"/>
    <w:rsid w:val="000267E1"/>
    <w:rsid w:val="000270EF"/>
    <w:rsid w:val="0003052A"/>
    <w:rsid w:val="00030670"/>
    <w:rsid w:val="0003166C"/>
    <w:rsid w:val="00031678"/>
    <w:rsid w:val="000320BF"/>
    <w:rsid w:val="00032552"/>
    <w:rsid w:val="00033219"/>
    <w:rsid w:val="00033DF6"/>
    <w:rsid w:val="0003406C"/>
    <w:rsid w:val="00034DA7"/>
    <w:rsid w:val="00034FC1"/>
    <w:rsid w:val="0003511E"/>
    <w:rsid w:val="00035412"/>
    <w:rsid w:val="00035688"/>
    <w:rsid w:val="00035B05"/>
    <w:rsid w:val="00036CF2"/>
    <w:rsid w:val="00036F74"/>
    <w:rsid w:val="00037107"/>
    <w:rsid w:val="00037AAA"/>
    <w:rsid w:val="000404AD"/>
    <w:rsid w:val="0004116D"/>
    <w:rsid w:val="00042F77"/>
    <w:rsid w:val="00043262"/>
    <w:rsid w:val="000433E8"/>
    <w:rsid w:val="0004467E"/>
    <w:rsid w:val="00044EEA"/>
    <w:rsid w:val="000452DC"/>
    <w:rsid w:val="000461BA"/>
    <w:rsid w:val="000465C6"/>
    <w:rsid w:val="00047160"/>
    <w:rsid w:val="00050BB4"/>
    <w:rsid w:val="00051045"/>
    <w:rsid w:val="000516C8"/>
    <w:rsid w:val="00051708"/>
    <w:rsid w:val="0005206B"/>
    <w:rsid w:val="00052A73"/>
    <w:rsid w:val="00052DBE"/>
    <w:rsid w:val="00052FBB"/>
    <w:rsid w:val="00053045"/>
    <w:rsid w:val="00053570"/>
    <w:rsid w:val="000536AE"/>
    <w:rsid w:val="00053738"/>
    <w:rsid w:val="000537A3"/>
    <w:rsid w:val="000544D0"/>
    <w:rsid w:val="00055235"/>
    <w:rsid w:val="0005572E"/>
    <w:rsid w:val="000558A6"/>
    <w:rsid w:val="000558CD"/>
    <w:rsid w:val="0005629D"/>
    <w:rsid w:val="000563DB"/>
    <w:rsid w:val="0005739B"/>
    <w:rsid w:val="0005783D"/>
    <w:rsid w:val="00057B11"/>
    <w:rsid w:val="00057DEC"/>
    <w:rsid w:val="00060163"/>
    <w:rsid w:val="0006085E"/>
    <w:rsid w:val="0006128A"/>
    <w:rsid w:val="00061A77"/>
    <w:rsid w:val="00061BCE"/>
    <w:rsid w:val="0006269B"/>
    <w:rsid w:val="00062925"/>
    <w:rsid w:val="00063CA7"/>
    <w:rsid w:val="00063FDE"/>
    <w:rsid w:val="00064104"/>
    <w:rsid w:val="00064BA3"/>
    <w:rsid w:val="0006514D"/>
    <w:rsid w:val="00065167"/>
    <w:rsid w:val="00065411"/>
    <w:rsid w:val="00066059"/>
    <w:rsid w:val="000663C1"/>
    <w:rsid w:val="00066E8F"/>
    <w:rsid w:val="00070074"/>
    <w:rsid w:val="000703BE"/>
    <w:rsid w:val="000714ED"/>
    <w:rsid w:val="0007152A"/>
    <w:rsid w:val="00071A97"/>
    <w:rsid w:val="000728E0"/>
    <w:rsid w:val="000733CE"/>
    <w:rsid w:val="00073C3D"/>
    <w:rsid w:val="00074917"/>
    <w:rsid w:val="00074E51"/>
    <w:rsid w:val="00075C7A"/>
    <w:rsid w:val="000762A8"/>
    <w:rsid w:val="00076439"/>
    <w:rsid w:val="00076F0F"/>
    <w:rsid w:val="00076F86"/>
    <w:rsid w:val="00077AC9"/>
    <w:rsid w:val="00077D8A"/>
    <w:rsid w:val="00080211"/>
    <w:rsid w:val="000807B5"/>
    <w:rsid w:val="00081DD1"/>
    <w:rsid w:val="000822DC"/>
    <w:rsid w:val="00082A72"/>
    <w:rsid w:val="00082EFF"/>
    <w:rsid w:val="00083D4A"/>
    <w:rsid w:val="00084BF3"/>
    <w:rsid w:val="00085E64"/>
    <w:rsid w:val="00086D27"/>
    <w:rsid w:val="00087190"/>
    <w:rsid w:val="000872D1"/>
    <w:rsid w:val="00087ADC"/>
    <w:rsid w:val="00090627"/>
    <w:rsid w:val="00090750"/>
    <w:rsid w:val="000911D6"/>
    <w:rsid w:val="00091EB4"/>
    <w:rsid w:val="0009219E"/>
    <w:rsid w:val="000925BD"/>
    <w:rsid w:val="000926D1"/>
    <w:rsid w:val="00092CDF"/>
    <w:rsid w:val="00093BE5"/>
    <w:rsid w:val="00093C6D"/>
    <w:rsid w:val="00093DC2"/>
    <w:rsid w:val="00094023"/>
    <w:rsid w:val="0009451E"/>
    <w:rsid w:val="000945C9"/>
    <w:rsid w:val="0009492C"/>
    <w:rsid w:val="0009567E"/>
    <w:rsid w:val="00095B4D"/>
    <w:rsid w:val="00095F01"/>
    <w:rsid w:val="00096F8B"/>
    <w:rsid w:val="00097438"/>
    <w:rsid w:val="000978FD"/>
    <w:rsid w:val="00097CE2"/>
    <w:rsid w:val="000A09EF"/>
    <w:rsid w:val="000A0DED"/>
    <w:rsid w:val="000A1198"/>
    <w:rsid w:val="000A11F1"/>
    <w:rsid w:val="000A136B"/>
    <w:rsid w:val="000A170A"/>
    <w:rsid w:val="000A2178"/>
    <w:rsid w:val="000A397C"/>
    <w:rsid w:val="000A3A37"/>
    <w:rsid w:val="000A3DB9"/>
    <w:rsid w:val="000A43DF"/>
    <w:rsid w:val="000A4527"/>
    <w:rsid w:val="000A4A16"/>
    <w:rsid w:val="000A563B"/>
    <w:rsid w:val="000A5F07"/>
    <w:rsid w:val="000A745B"/>
    <w:rsid w:val="000B0E12"/>
    <w:rsid w:val="000B1141"/>
    <w:rsid w:val="000B16D9"/>
    <w:rsid w:val="000B2C4F"/>
    <w:rsid w:val="000B2E3B"/>
    <w:rsid w:val="000B3576"/>
    <w:rsid w:val="000B3651"/>
    <w:rsid w:val="000B401B"/>
    <w:rsid w:val="000B43B1"/>
    <w:rsid w:val="000B461B"/>
    <w:rsid w:val="000B7A41"/>
    <w:rsid w:val="000B7BBA"/>
    <w:rsid w:val="000B7EB1"/>
    <w:rsid w:val="000C067A"/>
    <w:rsid w:val="000C1E5C"/>
    <w:rsid w:val="000C41A7"/>
    <w:rsid w:val="000C4218"/>
    <w:rsid w:val="000C43C8"/>
    <w:rsid w:val="000C4AD1"/>
    <w:rsid w:val="000C4C9B"/>
    <w:rsid w:val="000C53DF"/>
    <w:rsid w:val="000C5D48"/>
    <w:rsid w:val="000C608D"/>
    <w:rsid w:val="000C64CC"/>
    <w:rsid w:val="000C6567"/>
    <w:rsid w:val="000C7922"/>
    <w:rsid w:val="000D047F"/>
    <w:rsid w:val="000D0B19"/>
    <w:rsid w:val="000D224E"/>
    <w:rsid w:val="000D251E"/>
    <w:rsid w:val="000D2BFC"/>
    <w:rsid w:val="000D2D5D"/>
    <w:rsid w:val="000D3C22"/>
    <w:rsid w:val="000D45B2"/>
    <w:rsid w:val="000D462D"/>
    <w:rsid w:val="000D514E"/>
    <w:rsid w:val="000D516A"/>
    <w:rsid w:val="000D5863"/>
    <w:rsid w:val="000D64B3"/>
    <w:rsid w:val="000D6593"/>
    <w:rsid w:val="000D6FA4"/>
    <w:rsid w:val="000D76B9"/>
    <w:rsid w:val="000D7B2A"/>
    <w:rsid w:val="000D7CE5"/>
    <w:rsid w:val="000D7CFB"/>
    <w:rsid w:val="000E1158"/>
    <w:rsid w:val="000E184B"/>
    <w:rsid w:val="000E19CB"/>
    <w:rsid w:val="000E1DCE"/>
    <w:rsid w:val="000E1FE8"/>
    <w:rsid w:val="000E202F"/>
    <w:rsid w:val="000E3156"/>
    <w:rsid w:val="000E3298"/>
    <w:rsid w:val="000E348B"/>
    <w:rsid w:val="000E36AE"/>
    <w:rsid w:val="000E3C86"/>
    <w:rsid w:val="000E414F"/>
    <w:rsid w:val="000E5609"/>
    <w:rsid w:val="000E7DC1"/>
    <w:rsid w:val="000F0186"/>
    <w:rsid w:val="000F29EE"/>
    <w:rsid w:val="000F338A"/>
    <w:rsid w:val="000F3AC3"/>
    <w:rsid w:val="000F4DBB"/>
    <w:rsid w:val="000F51DA"/>
    <w:rsid w:val="000F5809"/>
    <w:rsid w:val="000F6D04"/>
    <w:rsid w:val="000F7476"/>
    <w:rsid w:val="00100432"/>
    <w:rsid w:val="00100499"/>
    <w:rsid w:val="001004A8"/>
    <w:rsid w:val="00100B8E"/>
    <w:rsid w:val="00100BF7"/>
    <w:rsid w:val="00100F0D"/>
    <w:rsid w:val="00100FA6"/>
    <w:rsid w:val="00101362"/>
    <w:rsid w:val="0010158E"/>
    <w:rsid w:val="0010258D"/>
    <w:rsid w:val="00102EE5"/>
    <w:rsid w:val="00102F3F"/>
    <w:rsid w:val="001036C8"/>
    <w:rsid w:val="00103DD8"/>
    <w:rsid w:val="001040CD"/>
    <w:rsid w:val="00104716"/>
    <w:rsid w:val="0010558E"/>
    <w:rsid w:val="00105F52"/>
    <w:rsid w:val="00106B30"/>
    <w:rsid w:val="00106C2C"/>
    <w:rsid w:val="0010746F"/>
    <w:rsid w:val="00107505"/>
    <w:rsid w:val="001115CB"/>
    <w:rsid w:val="00111663"/>
    <w:rsid w:val="00112360"/>
    <w:rsid w:val="00112675"/>
    <w:rsid w:val="0011386B"/>
    <w:rsid w:val="00113A10"/>
    <w:rsid w:val="001141DA"/>
    <w:rsid w:val="00114D36"/>
    <w:rsid w:val="00115061"/>
    <w:rsid w:val="00115B27"/>
    <w:rsid w:val="00115E8D"/>
    <w:rsid w:val="00116064"/>
    <w:rsid w:val="00116C4D"/>
    <w:rsid w:val="001171B2"/>
    <w:rsid w:val="001172FE"/>
    <w:rsid w:val="001174ED"/>
    <w:rsid w:val="00117FE1"/>
    <w:rsid w:val="00122134"/>
    <w:rsid w:val="00122AEE"/>
    <w:rsid w:val="00123185"/>
    <w:rsid w:val="0012494F"/>
    <w:rsid w:val="00127BDC"/>
    <w:rsid w:val="0013006A"/>
    <w:rsid w:val="0013093D"/>
    <w:rsid w:val="00130CF9"/>
    <w:rsid w:val="00130F5F"/>
    <w:rsid w:val="001310E0"/>
    <w:rsid w:val="00132921"/>
    <w:rsid w:val="001329B3"/>
    <w:rsid w:val="001332A4"/>
    <w:rsid w:val="001338D5"/>
    <w:rsid w:val="00133A9F"/>
    <w:rsid w:val="00133D33"/>
    <w:rsid w:val="00134AEB"/>
    <w:rsid w:val="001350FF"/>
    <w:rsid w:val="001354AA"/>
    <w:rsid w:val="00135EAD"/>
    <w:rsid w:val="00136237"/>
    <w:rsid w:val="00137EB8"/>
    <w:rsid w:val="00140ED3"/>
    <w:rsid w:val="001411E4"/>
    <w:rsid w:val="00141569"/>
    <w:rsid w:val="00141729"/>
    <w:rsid w:val="0014180C"/>
    <w:rsid w:val="00141D34"/>
    <w:rsid w:val="001434BD"/>
    <w:rsid w:val="00144282"/>
    <w:rsid w:val="00144764"/>
    <w:rsid w:val="00145B26"/>
    <w:rsid w:val="00145C9A"/>
    <w:rsid w:val="00145DAE"/>
    <w:rsid w:val="00145DC8"/>
    <w:rsid w:val="00146413"/>
    <w:rsid w:val="00147B68"/>
    <w:rsid w:val="0015029A"/>
    <w:rsid w:val="0015084F"/>
    <w:rsid w:val="001513D5"/>
    <w:rsid w:val="0015174A"/>
    <w:rsid w:val="001528A9"/>
    <w:rsid w:val="00152A80"/>
    <w:rsid w:val="00153A1D"/>
    <w:rsid w:val="00153BF8"/>
    <w:rsid w:val="00154EFF"/>
    <w:rsid w:val="001551A4"/>
    <w:rsid w:val="001555D7"/>
    <w:rsid w:val="00160461"/>
    <w:rsid w:val="00161771"/>
    <w:rsid w:val="00161846"/>
    <w:rsid w:val="00161C5C"/>
    <w:rsid w:val="001636DA"/>
    <w:rsid w:val="00163B58"/>
    <w:rsid w:val="00163C69"/>
    <w:rsid w:val="00164169"/>
    <w:rsid w:val="00164DDA"/>
    <w:rsid w:val="001654D5"/>
    <w:rsid w:val="00165511"/>
    <w:rsid w:val="00166423"/>
    <w:rsid w:val="00166B27"/>
    <w:rsid w:val="001676C5"/>
    <w:rsid w:val="00167B00"/>
    <w:rsid w:val="00170329"/>
    <w:rsid w:val="00170689"/>
    <w:rsid w:val="00170EB8"/>
    <w:rsid w:val="001715FD"/>
    <w:rsid w:val="001717F2"/>
    <w:rsid w:val="00171DC0"/>
    <w:rsid w:val="00172BDE"/>
    <w:rsid w:val="00173422"/>
    <w:rsid w:val="00173E50"/>
    <w:rsid w:val="00175278"/>
    <w:rsid w:val="001753CA"/>
    <w:rsid w:val="00175DB9"/>
    <w:rsid w:val="0017605E"/>
    <w:rsid w:val="00176BA8"/>
    <w:rsid w:val="001775F3"/>
    <w:rsid w:val="001801C6"/>
    <w:rsid w:val="00180511"/>
    <w:rsid w:val="0018127B"/>
    <w:rsid w:val="00181A3D"/>
    <w:rsid w:val="00181AF1"/>
    <w:rsid w:val="00182EE0"/>
    <w:rsid w:val="00182EFE"/>
    <w:rsid w:val="0018322D"/>
    <w:rsid w:val="0018335E"/>
    <w:rsid w:val="00183584"/>
    <w:rsid w:val="00183917"/>
    <w:rsid w:val="00184011"/>
    <w:rsid w:val="001842DA"/>
    <w:rsid w:val="00185251"/>
    <w:rsid w:val="00185DD0"/>
    <w:rsid w:val="00187C81"/>
    <w:rsid w:val="00187E29"/>
    <w:rsid w:val="0019149E"/>
    <w:rsid w:val="0019182F"/>
    <w:rsid w:val="00191C72"/>
    <w:rsid w:val="00191F10"/>
    <w:rsid w:val="00192358"/>
    <w:rsid w:val="001925B3"/>
    <w:rsid w:val="00192F66"/>
    <w:rsid w:val="00193338"/>
    <w:rsid w:val="00193474"/>
    <w:rsid w:val="001944CB"/>
    <w:rsid w:val="00194741"/>
    <w:rsid w:val="0019580A"/>
    <w:rsid w:val="00195995"/>
    <w:rsid w:val="00195BEB"/>
    <w:rsid w:val="00195E9C"/>
    <w:rsid w:val="00196015"/>
    <w:rsid w:val="00196B38"/>
    <w:rsid w:val="00196DED"/>
    <w:rsid w:val="00197A23"/>
    <w:rsid w:val="001A20B0"/>
    <w:rsid w:val="001A21A7"/>
    <w:rsid w:val="001A3351"/>
    <w:rsid w:val="001A448B"/>
    <w:rsid w:val="001A53A7"/>
    <w:rsid w:val="001A6754"/>
    <w:rsid w:val="001A69F9"/>
    <w:rsid w:val="001A6CB1"/>
    <w:rsid w:val="001A75E7"/>
    <w:rsid w:val="001A76B3"/>
    <w:rsid w:val="001A7DEF"/>
    <w:rsid w:val="001B072A"/>
    <w:rsid w:val="001B1773"/>
    <w:rsid w:val="001B1962"/>
    <w:rsid w:val="001B2D25"/>
    <w:rsid w:val="001B315C"/>
    <w:rsid w:val="001B3926"/>
    <w:rsid w:val="001B4565"/>
    <w:rsid w:val="001B4665"/>
    <w:rsid w:val="001B46D7"/>
    <w:rsid w:val="001B48B1"/>
    <w:rsid w:val="001B4B2F"/>
    <w:rsid w:val="001B4BEC"/>
    <w:rsid w:val="001B4E64"/>
    <w:rsid w:val="001B5C6A"/>
    <w:rsid w:val="001B6347"/>
    <w:rsid w:val="001B7234"/>
    <w:rsid w:val="001B7AED"/>
    <w:rsid w:val="001B7B47"/>
    <w:rsid w:val="001C0151"/>
    <w:rsid w:val="001C260A"/>
    <w:rsid w:val="001C2BC3"/>
    <w:rsid w:val="001C2D48"/>
    <w:rsid w:val="001C2FCD"/>
    <w:rsid w:val="001C3106"/>
    <w:rsid w:val="001C397F"/>
    <w:rsid w:val="001C3D07"/>
    <w:rsid w:val="001C3D5A"/>
    <w:rsid w:val="001C4634"/>
    <w:rsid w:val="001C4733"/>
    <w:rsid w:val="001C5C57"/>
    <w:rsid w:val="001C6741"/>
    <w:rsid w:val="001C696B"/>
    <w:rsid w:val="001C6F7B"/>
    <w:rsid w:val="001C7470"/>
    <w:rsid w:val="001C7D52"/>
    <w:rsid w:val="001D01BB"/>
    <w:rsid w:val="001D06E5"/>
    <w:rsid w:val="001D0EBB"/>
    <w:rsid w:val="001D2415"/>
    <w:rsid w:val="001D294E"/>
    <w:rsid w:val="001D47F8"/>
    <w:rsid w:val="001D4CDC"/>
    <w:rsid w:val="001D4D40"/>
    <w:rsid w:val="001D4F2F"/>
    <w:rsid w:val="001D51C0"/>
    <w:rsid w:val="001D51D8"/>
    <w:rsid w:val="001D56DC"/>
    <w:rsid w:val="001D5CED"/>
    <w:rsid w:val="001E0924"/>
    <w:rsid w:val="001E0DA1"/>
    <w:rsid w:val="001E111C"/>
    <w:rsid w:val="001E211E"/>
    <w:rsid w:val="001E2DE7"/>
    <w:rsid w:val="001E321E"/>
    <w:rsid w:val="001E3A31"/>
    <w:rsid w:val="001E43D7"/>
    <w:rsid w:val="001E4C06"/>
    <w:rsid w:val="001E534A"/>
    <w:rsid w:val="001E548A"/>
    <w:rsid w:val="001E5C3E"/>
    <w:rsid w:val="001E601A"/>
    <w:rsid w:val="001E6E50"/>
    <w:rsid w:val="001E70D5"/>
    <w:rsid w:val="001E7480"/>
    <w:rsid w:val="001E74E1"/>
    <w:rsid w:val="001F07C4"/>
    <w:rsid w:val="001F0834"/>
    <w:rsid w:val="001F0D3B"/>
    <w:rsid w:val="001F1934"/>
    <w:rsid w:val="001F1A52"/>
    <w:rsid w:val="001F1B3D"/>
    <w:rsid w:val="001F1F14"/>
    <w:rsid w:val="001F2A18"/>
    <w:rsid w:val="001F34A5"/>
    <w:rsid w:val="001F370A"/>
    <w:rsid w:val="001F5541"/>
    <w:rsid w:val="001F643A"/>
    <w:rsid w:val="001F75D9"/>
    <w:rsid w:val="001F7A3A"/>
    <w:rsid w:val="001F7B1A"/>
    <w:rsid w:val="001F7DF2"/>
    <w:rsid w:val="002008B3"/>
    <w:rsid w:val="002008F1"/>
    <w:rsid w:val="0020142E"/>
    <w:rsid w:val="00201886"/>
    <w:rsid w:val="00202BB1"/>
    <w:rsid w:val="00205808"/>
    <w:rsid w:val="002064A4"/>
    <w:rsid w:val="00207CC3"/>
    <w:rsid w:val="00210B2F"/>
    <w:rsid w:val="00210D83"/>
    <w:rsid w:val="00210E42"/>
    <w:rsid w:val="00210F2E"/>
    <w:rsid w:val="002110FE"/>
    <w:rsid w:val="00211627"/>
    <w:rsid w:val="00212267"/>
    <w:rsid w:val="0021345A"/>
    <w:rsid w:val="002136BA"/>
    <w:rsid w:val="00213AE6"/>
    <w:rsid w:val="002148F7"/>
    <w:rsid w:val="00215091"/>
    <w:rsid w:val="0021530B"/>
    <w:rsid w:val="00215DB5"/>
    <w:rsid w:val="0021633B"/>
    <w:rsid w:val="0021673A"/>
    <w:rsid w:val="002167E0"/>
    <w:rsid w:val="00216C6A"/>
    <w:rsid w:val="0021725E"/>
    <w:rsid w:val="00220258"/>
    <w:rsid w:val="0022098E"/>
    <w:rsid w:val="002222A6"/>
    <w:rsid w:val="002222FF"/>
    <w:rsid w:val="00222530"/>
    <w:rsid w:val="0022259D"/>
    <w:rsid w:val="00223CAA"/>
    <w:rsid w:val="0022416D"/>
    <w:rsid w:val="00224207"/>
    <w:rsid w:val="00224BB3"/>
    <w:rsid w:val="00224D61"/>
    <w:rsid w:val="00224F14"/>
    <w:rsid w:val="002259C9"/>
    <w:rsid w:val="00226D49"/>
    <w:rsid w:val="0022710C"/>
    <w:rsid w:val="002272EE"/>
    <w:rsid w:val="00227759"/>
    <w:rsid w:val="00227BBA"/>
    <w:rsid w:val="00230F45"/>
    <w:rsid w:val="00231691"/>
    <w:rsid w:val="00233342"/>
    <w:rsid w:val="002335AB"/>
    <w:rsid w:val="00234B8D"/>
    <w:rsid w:val="00234C78"/>
    <w:rsid w:val="002357CA"/>
    <w:rsid w:val="00235E79"/>
    <w:rsid w:val="002360BC"/>
    <w:rsid w:val="00240F23"/>
    <w:rsid w:val="002415DA"/>
    <w:rsid w:val="0024175E"/>
    <w:rsid w:val="002420F2"/>
    <w:rsid w:val="002424BB"/>
    <w:rsid w:val="00243101"/>
    <w:rsid w:val="002439E3"/>
    <w:rsid w:val="00244003"/>
    <w:rsid w:val="00245147"/>
    <w:rsid w:val="00245370"/>
    <w:rsid w:val="002455F0"/>
    <w:rsid w:val="0024599B"/>
    <w:rsid w:val="002460B4"/>
    <w:rsid w:val="00246A7E"/>
    <w:rsid w:val="00247198"/>
    <w:rsid w:val="0025051F"/>
    <w:rsid w:val="00250788"/>
    <w:rsid w:val="00251151"/>
    <w:rsid w:val="002526F0"/>
    <w:rsid w:val="00252A4E"/>
    <w:rsid w:val="00252B55"/>
    <w:rsid w:val="0025319A"/>
    <w:rsid w:val="002538B8"/>
    <w:rsid w:val="00255A71"/>
    <w:rsid w:val="0025617C"/>
    <w:rsid w:val="00256204"/>
    <w:rsid w:val="002577D7"/>
    <w:rsid w:val="002578E0"/>
    <w:rsid w:val="00257A9F"/>
    <w:rsid w:val="0026050F"/>
    <w:rsid w:val="00260971"/>
    <w:rsid w:val="00260FB7"/>
    <w:rsid w:val="00261F0F"/>
    <w:rsid w:val="00261FED"/>
    <w:rsid w:val="00262235"/>
    <w:rsid w:val="002631A8"/>
    <w:rsid w:val="002648CF"/>
    <w:rsid w:val="00265BFF"/>
    <w:rsid w:val="00265FE7"/>
    <w:rsid w:val="002662FD"/>
    <w:rsid w:val="00266DAA"/>
    <w:rsid w:val="00267BDF"/>
    <w:rsid w:val="00270940"/>
    <w:rsid w:val="0027130B"/>
    <w:rsid w:val="0027453E"/>
    <w:rsid w:val="00274E82"/>
    <w:rsid w:val="002759E6"/>
    <w:rsid w:val="0027768B"/>
    <w:rsid w:val="00277A03"/>
    <w:rsid w:val="00277B41"/>
    <w:rsid w:val="00277D81"/>
    <w:rsid w:val="00280AF9"/>
    <w:rsid w:val="00280E9E"/>
    <w:rsid w:val="00280F48"/>
    <w:rsid w:val="0028315C"/>
    <w:rsid w:val="0028340E"/>
    <w:rsid w:val="00283764"/>
    <w:rsid w:val="00283AE9"/>
    <w:rsid w:val="00283C66"/>
    <w:rsid w:val="002847BB"/>
    <w:rsid w:val="00284DA9"/>
    <w:rsid w:val="00285782"/>
    <w:rsid w:val="00285A68"/>
    <w:rsid w:val="002864DF"/>
    <w:rsid w:val="0028677D"/>
    <w:rsid w:val="00286785"/>
    <w:rsid w:val="00286C47"/>
    <w:rsid w:val="00286FA0"/>
    <w:rsid w:val="00287F94"/>
    <w:rsid w:val="00290BEB"/>
    <w:rsid w:val="0029138B"/>
    <w:rsid w:val="00291493"/>
    <w:rsid w:val="00291589"/>
    <w:rsid w:val="0029226D"/>
    <w:rsid w:val="00292BC4"/>
    <w:rsid w:val="00293366"/>
    <w:rsid w:val="00293C05"/>
    <w:rsid w:val="002951D7"/>
    <w:rsid w:val="00295881"/>
    <w:rsid w:val="00296129"/>
    <w:rsid w:val="00296EA7"/>
    <w:rsid w:val="0029755D"/>
    <w:rsid w:val="002976E8"/>
    <w:rsid w:val="002978F9"/>
    <w:rsid w:val="00297CEA"/>
    <w:rsid w:val="00297F81"/>
    <w:rsid w:val="002A0427"/>
    <w:rsid w:val="002A0A3B"/>
    <w:rsid w:val="002A0BB2"/>
    <w:rsid w:val="002A2AA4"/>
    <w:rsid w:val="002A3375"/>
    <w:rsid w:val="002A38D2"/>
    <w:rsid w:val="002A3E2A"/>
    <w:rsid w:val="002A43D0"/>
    <w:rsid w:val="002A5547"/>
    <w:rsid w:val="002A6075"/>
    <w:rsid w:val="002A6737"/>
    <w:rsid w:val="002A676B"/>
    <w:rsid w:val="002A6E4E"/>
    <w:rsid w:val="002A774D"/>
    <w:rsid w:val="002A7860"/>
    <w:rsid w:val="002A78D3"/>
    <w:rsid w:val="002A7B20"/>
    <w:rsid w:val="002B0036"/>
    <w:rsid w:val="002B056E"/>
    <w:rsid w:val="002B05D3"/>
    <w:rsid w:val="002B08E2"/>
    <w:rsid w:val="002B09C3"/>
    <w:rsid w:val="002B1698"/>
    <w:rsid w:val="002B1A51"/>
    <w:rsid w:val="002B1AA1"/>
    <w:rsid w:val="002B20C6"/>
    <w:rsid w:val="002B3BA8"/>
    <w:rsid w:val="002B4615"/>
    <w:rsid w:val="002B609B"/>
    <w:rsid w:val="002B6858"/>
    <w:rsid w:val="002B6A78"/>
    <w:rsid w:val="002B7383"/>
    <w:rsid w:val="002B77A2"/>
    <w:rsid w:val="002C038C"/>
    <w:rsid w:val="002C0623"/>
    <w:rsid w:val="002C1434"/>
    <w:rsid w:val="002C1646"/>
    <w:rsid w:val="002C1C0B"/>
    <w:rsid w:val="002C1D09"/>
    <w:rsid w:val="002C23A4"/>
    <w:rsid w:val="002C377E"/>
    <w:rsid w:val="002C4713"/>
    <w:rsid w:val="002C47B9"/>
    <w:rsid w:val="002C4C43"/>
    <w:rsid w:val="002C55B5"/>
    <w:rsid w:val="002C56DA"/>
    <w:rsid w:val="002C7BFC"/>
    <w:rsid w:val="002C7DDE"/>
    <w:rsid w:val="002D0DF4"/>
    <w:rsid w:val="002D11A6"/>
    <w:rsid w:val="002D2257"/>
    <w:rsid w:val="002D3C20"/>
    <w:rsid w:val="002D3E1A"/>
    <w:rsid w:val="002D463B"/>
    <w:rsid w:val="002D64AD"/>
    <w:rsid w:val="002D65FE"/>
    <w:rsid w:val="002D66CB"/>
    <w:rsid w:val="002E0316"/>
    <w:rsid w:val="002E0999"/>
    <w:rsid w:val="002E0BD7"/>
    <w:rsid w:val="002E0C43"/>
    <w:rsid w:val="002E13A5"/>
    <w:rsid w:val="002E2569"/>
    <w:rsid w:val="002E2D19"/>
    <w:rsid w:val="002E3D9F"/>
    <w:rsid w:val="002E401C"/>
    <w:rsid w:val="002E4522"/>
    <w:rsid w:val="002E5BAD"/>
    <w:rsid w:val="002E6047"/>
    <w:rsid w:val="002E6D1D"/>
    <w:rsid w:val="002E7031"/>
    <w:rsid w:val="002E71CE"/>
    <w:rsid w:val="002F0614"/>
    <w:rsid w:val="002F077A"/>
    <w:rsid w:val="002F10BE"/>
    <w:rsid w:val="002F12FF"/>
    <w:rsid w:val="002F13DA"/>
    <w:rsid w:val="002F15EB"/>
    <w:rsid w:val="002F3CE0"/>
    <w:rsid w:val="002F400A"/>
    <w:rsid w:val="002F4C25"/>
    <w:rsid w:val="002F4FAF"/>
    <w:rsid w:val="002F5199"/>
    <w:rsid w:val="002F5AAC"/>
    <w:rsid w:val="002F6A76"/>
    <w:rsid w:val="002F72BF"/>
    <w:rsid w:val="003005BB"/>
    <w:rsid w:val="00300DEE"/>
    <w:rsid w:val="00300F8B"/>
    <w:rsid w:val="003014C7"/>
    <w:rsid w:val="0030225F"/>
    <w:rsid w:val="00302C61"/>
    <w:rsid w:val="003033C4"/>
    <w:rsid w:val="0030368E"/>
    <w:rsid w:val="003036B4"/>
    <w:rsid w:val="00303DE5"/>
    <w:rsid w:val="00303F3C"/>
    <w:rsid w:val="00304842"/>
    <w:rsid w:val="00307411"/>
    <w:rsid w:val="00310EDD"/>
    <w:rsid w:val="00310FDB"/>
    <w:rsid w:val="00311348"/>
    <w:rsid w:val="00311BF5"/>
    <w:rsid w:val="0031207D"/>
    <w:rsid w:val="00312370"/>
    <w:rsid w:val="00312F28"/>
    <w:rsid w:val="003132A5"/>
    <w:rsid w:val="00313607"/>
    <w:rsid w:val="00313941"/>
    <w:rsid w:val="00313EB7"/>
    <w:rsid w:val="00316092"/>
    <w:rsid w:val="00316194"/>
    <w:rsid w:val="003169B4"/>
    <w:rsid w:val="00316BE6"/>
    <w:rsid w:val="003172E2"/>
    <w:rsid w:val="00317844"/>
    <w:rsid w:val="00317A6C"/>
    <w:rsid w:val="00317B93"/>
    <w:rsid w:val="00317D89"/>
    <w:rsid w:val="0032076C"/>
    <w:rsid w:val="00320B8F"/>
    <w:rsid w:val="00320FC1"/>
    <w:rsid w:val="003224B7"/>
    <w:rsid w:val="00322A16"/>
    <w:rsid w:val="0032350D"/>
    <w:rsid w:val="00323E74"/>
    <w:rsid w:val="003242F7"/>
    <w:rsid w:val="0032482A"/>
    <w:rsid w:val="00324F21"/>
    <w:rsid w:val="003256A4"/>
    <w:rsid w:val="00327E0D"/>
    <w:rsid w:val="0033097E"/>
    <w:rsid w:val="00330B46"/>
    <w:rsid w:val="00330B87"/>
    <w:rsid w:val="00330D42"/>
    <w:rsid w:val="00331168"/>
    <w:rsid w:val="00331F34"/>
    <w:rsid w:val="0033211D"/>
    <w:rsid w:val="00333489"/>
    <w:rsid w:val="00333920"/>
    <w:rsid w:val="003364B0"/>
    <w:rsid w:val="00336989"/>
    <w:rsid w:val="00336B35"/>
    <w:rsid w:val="0033789A"/>
    <w:rsid w:val="003405DD"/>
    <w:rsid w:val="0034132C"/>
    <w:rsid w:val="00342485"/>
    <w:rsid w:val="00342DB4"/>
    <w:rsid w:val="00342DB5"/>
    <w:rsid w:val="0034318F"/>
    <w:rsid w:val="003432D6"/>
    <w:rsid w:val="00343CEF"/>
    <w:rsid w:val="00344146"/>
    <w:rsid w:val="00344C07"/>
    <w:rsid w:val="00344CB0"/>
    <w:rsid w:val="00344F34"/>
    <w:rsid w:val="003460B8"/>
    <w:rsid w:val="003467C8"/>
    <w:rsid w:val="0034712C"/>
    <w:rsid w:val="00347A58"/>
    <w:rsid w:val="00347C3C"/>
    <w:rsid w:val="00347C54"/>
    <w:rsid w:val="00347CCD"/>
    <w:rsid w:val="00350586"/>
    <w:rsid w:val="0035079F"/>
    <w:rsid w:val="00350A14"/>
    <w:rsid w:val="00350AAA"/>
    <w:rsid w:val="00352260"/>
    <w:rsid w:val="003527C1"/>
    <w:rsid w:val="00352C25"/>
    <w:rsid w:val="003535D2"/>
    <w:rsid w:val="00354CB2"/>
    <w:rsid w:val="00355B46"/>
    <w:rsid w:val="00355DC3"/>
    <w:rsid w:val="00355E4D"/>
    <w:rsid w:val="003565B6"/>
    <w:rsid w:val="00356A66"/>
    <w:rsid w:val="00357418"/>
    <w:rsid w:val="00357811"/>
    <w:rsid w:val="003600ED"/>
    <w:rsid w:val="003609F6"/>
    <w:rsid w:val="00360B75"/>
    <w:rsid w:val="00361737"/>
    <w:rsid w:val="00361A8D"/>
    <w:rsid w:val="00362ECA"/>
    <w:rsid w:val="003639B9"/>
    <w:rsid w:val="00363F41"/>
    <w:rsid w:val="003663FA"/>
    <w:rsid w:val="00366CE0"/>
    <w:rsid w:val="00366D56"/>
    <w:rsid w:val="0036784C"/>
    <w:rsid w:val="00367871"/>
    <w:rsid w:val="00367A5B"/>
    <w:rsid w:val="00367DAD"/>
    <w:rsid w:val="00371B3D"/>
    <w:rsid w:val="0037342A"/>
    <w:rsid w:val="00373CC8"/>
    <w:rsid w:val="00374409"/>
    <w:rsid w:val="00374438"/>
    <w:rsid w:val="00374B9C"/>
    <w:rsid w:val="00374E24"/>
    <w:rsid w:val="00375E2A"/>
    <w:rsid w:val="00375F82"/>
    <w:rsid w:val="00376609"/>
    <w:rsid w:val="0037666E"/>
    <w:rsid w:val="0037744D"/>
    <w:rsid w:val="003803A2"/>
    <w:rsid w:val="00382564"/>
    <w:rsid w:val="0038303B"/>
    <w:rsid w:val="0038330C"/>
    <w:rsid w:val="00383622"/>
    <w:rsid w:val="0038503B"/>
    <w:rsid w:val="003856DC"/>
    <w:rsid w:val="00385884"/>
    <w:rsid w:val="003870A5"/>
    <w:rsid w:val="00387D0D"/>
    <w:rsid w:val="00387F24"/>
    <w:rsid w:val="003901B8"/>
    <w:rsid w:val="00390880"/>
    <w:rsid w:val="00390B63"/>
    <w:rsid w:val="003913B7"/>
    <w:rsid w:val="00392837"/>
    <w:rsid w:val="00393E03"/>
    <w:rsid w:val="00394761"/>
    <w:rsid w:val="00394A36"/>
    <w:rsid w:val="003951DA"/>
    <w:rsid w:val="00395D5C"/>
    <w:rsid w:val="00395FE2"/>
    <w:rsid w:val="003975C5"/>
    <w:rsid w:val="003A0132"/>
    <w:rsid w:val="003A016F"/>
    <w:rsid w:val="003A01A2"/>
    <w:rsid w:val="003A0AD2"/>
    <w:rsid w:val="003A18D4"/>
    <w:rsid w:val="003A1D0D"/>
    <w:rsid w:val="003A365F"/>
    <w:rsid w:val="003A38FB"/>
    <w:rsid w:val="003A3C85"/>
    <w:rsid w:val="003A3E2E"/>
    <w:rsid w:val="003A41A0"/>
    <w:rsid w:val="003A48E4"/>
    <w:rsid w:val="003A6A01"/>
    <w:rsid w:val="003A6BEF"/>
    <w:rsid w:val="003A6F39"/>
    <w:rsid w:val="003A7266"/>
    <w:rsid w:val="003A77FE"/>
    <w:rsid w:val="003B0245"/>
    <w:rsid w:val="003B04B9"/>
    <w:rsid w:val="003B0A8F"/>
    <w:rsid w:val="003B113E"/>
    <w:rsid w:val="003B153D"/>
    <w:rsid w:val="003B15DB"/>
    <w:rsid w:val="003B1BEA"/>
    <w:rsid w:val="003B1FAC"/>
    <w:rsid w:val="003B20EA"/>
    <w:rsid w:val="003B2210"/>
    <w:rsid w:val="003B2BB9"/>
    <w:rsid w:val="003B35D7"/>
    <w:rsid w:val="003B4A3C"/>
    <w:rsid w:val="003B4C8D"/>
    <w:rsid w:val="003B4D4F"/>
    <w:rsid w:val="003B527A"/>
    <w:rsid w:val="003B5A7E"/>
    <w:rsid w:val="003B611D"/>
    <w:rsid w:val="003B61EB"/>
    <w:rsid w:val="003C0CA4"/>
    <w:rsid w:val="003C0DAD"/>
    <w:rsid w:val="003C0DBC"/>
    <w:rsid w:val="003C1BD6"/>
    <w:rsid w:val="003C2A30"/>
    <w:rsid w:val="003C2A6A"/>
    <w:rsid w:val="003C2B04"/>
    <w:rsid w:val="003C321D"/>
    <w:rsid w:val="003C3A4D"/>
    <w:rsid w:val="003C4384"/>
    <w:rsid w:val="003C5525"/>
    <w:rsid w:val="003C5631"/>
    <w:rsid w:val="003C5669"/>
    <w:rsid w:val="003C5998"/>
    <w:rsid w:val="003C5D2F"/>
    <w:rsid w:val="003C6261"/>
    <w:rsid w:val="003C68C2"/>
    <w:rsid w:val="003C6CE9"/>
    <w:rsid w:val="003C6DB0"/>
    <w:rsid w:val="003C70E5"/>
    <w:rsid w:val="003C7D86"/>
    <w:rsid w:val="003C7EF3"/>
    <w:rsid w:val="003D06CD"/>
    <w:rsid w:val="003D0BE5"/>
    <w:rsid w:val="003D0C03"/>
    <w:rsid w:val="003D0F9A"/>
    <w:rsid w:val="003D1457"/>
    <w:rsid w:val="003D1F6E"/>
    <w:rsid w:val="003D23D5"/>
    <w:rsid w:val="003D29E8"/>
    <w:rsid w:val="003D2F77"/>
    <w:rsid w:val="003D3498"/>
    <w:rsid w:val="003D40E6"/>
    <w:rsid w:val="003D4576"/>
    <w:rsid w:val="003D46BB"/>
    <w:rsid w:val="003D518A"/>
    <w:rsid w:val="003D598C"/>
    <w:rsid w:val="003D5FE2"/>
    <w:rsid w:val="003D6316"/>
    <w:rsid w:val="003D649C"/>
    <w:rsid w:val="003D7167"/>
    <w:rsid w:val="003D7493"/>
    <w:rsid w:val="003D7919"/>
    <w:rsid w:val="003D7B2A"/>
    <w:rsid w:val="003E0D85"/>
    <w:rsid w:val="003E133B"/>
    <w:rsid w:val="003E2FD4"/>
    <w:rsid w:val="003E3211"/>
    <w:rsid w:val="003E4B7A"/>
    <w:rsid w:val="003E4F89"/>
    <w:rsid w:val="003E5484"/>
    <w:rsid w:val="003E5AAE"/>
    <w:rsid w:val="003E5D61"/>
    <w:rsid w:val="003E6B74"/>
    <w:rsid w:val="003E7B00"/>
    <w:rsid w:val="003E7E56"/>
    <w:rsid w:val="003E7FF0"/>
    <w:rsid w:val="003F0A11"/>
    <w:rsid w:val="003F0CD0"/>
    <w:rsid w:val="003F1ADC"/>
    <w:rsid w:val="003F1C50"/>
    <w:rsid w:val="003F259B"/>
    <w:rsid w:val="003F36DC"/>
    <w:rsid w:val="003F3FC6"/>
    <w:rsid w:val="003F51D9"/>
    <w:rsid w:val="003F5290"/>
    <w:rsid w:val="003F5393"/>
    <w:rsid w:val="003F5429"/>
    <w:rsid w:val="003F5593"/>
    <w:rsid w:val="003F61F1"/>
    <w:rsid w:val="003F639F"/>
    <w:rsid w:val="003F6664"/>
    <w:rsid w:val="003F72BB"/>
    <w:rsid w:val="003F7E23"/>
    <w:rsid w:val="00401B59"/>
    <w:rsid w:val="00401C79"/>
    <w:rsid w:val="00402114"/>
    <w:rsid w:val="004025F0"/>
    <w:rsid w:val="00402C51"/>
    <w:rsid w:val="004032FD"/>
    <w:rsid w:val="0040368E"/>
    <w:rsid w:val="00403C43"/>
    <w:rsid w:val="00403FAB"/>
    <w:rsid w:val="00404384"/>
    <w:rsid w:val="004043A8"/>
    <w:rsid w:val="00404491"/>
    <w:rsid w:val="00404886"/>
    <w:rsid w:val="00404AC3"/>
    <w:rsid w:val="0040593E"/>
    <w:rsid w:val="0040643E"/>
    <w:rsid w:val="004064AA"/>
    <w:rsid w:val="00410C46"/>
    <w:rsid w:val="004113CD"/>
    <w:rsid w:val="00412490"/>
    <w:rsid w:val="00412B2A"/>
    <w:rsid w:val="004132D9"/>
    <w:rsid w:val="0041331A"/>
    <w:rsid w:val="00413C7C"/>
    <w:rsid w:val="00414BB8"/>
    <w:rsid w:val="00415248"/>
    <w:rsid w:val="00415988"/>
    <w:rsid w:val="00416078"/>
    <w:rsid w:val="00417612"/>
    <w:rsid w:val="00417CC0"/>
    <w:rsid w:val="004214B0"/>
    <w:rsid w:val="0042383B"/>
    <w:rsid w:val="0042409F"/>
    <w:rsid w:val="00424DDE"/>
    <w:rsid w:val="00424F93"/>
    <w:rsid w:val="004252C1"/>
    <w:rsid w:val="0042541E"/>
    <w:rsid w:val="00425EA6"/>
    <w:rsid w:val="00425F19"/>
    <w:rsid w:val="00427079"/>
    <w:rsid w:val="00427A81"/>
    <w:rsid w:val="004301FE"/>
    <w:rsid w:val="004306A8"/>
    <w:rsid w:val="00430A4C"/>
    <w:rsid w:val="00430BFB"/>
    <w:rsid w:val="00430EDC"/>
    <w:rsid w:val="00431124"/>
    <w:rsid w:val="00431D3F"/>
    <w:rsid w:val="00432AC2"/>
    <w:rsid w:val="00433B48"/>
    <w:rsid w:val="00434FA7"/>
    <w:rsid w:val="0043515D"/>
    <w:rsid w:val="00436FD0"/>
    <w:rsid w:val="004373A0"/>
    <w:rsid w:val="0043748A"/>
    <w:rsid w:val="00437EB7"/>
    <w:rsid w:val="00440B0F"/>
    <w:rsid w:val="00440B11"/>
    <w:rsid w:val="00440C8B"/>
    <w:rsid w:val="00441783"/>
    <w:rsid w:val="00441D10"/>
    <w:rsid w:val="00441DAA"/>
    <w:rsid w:val="004420DA"/>
    <w:rsid w:val="00442406"/>
    <w:rsid w:val="00444038"/>
    <w:rsid w:val="0044419B"/>
    <w:rsid w:val="00444707"/>
    <w:rsid w:val="00444F38"/>
    <w:rsid w:val="0044505D"/>
    <w:rsid w:val="004455F6"/>
    <w:rsid w:val="00445751"/>
    <w:rsid w:val="004468C2"/>
    <w:rsid w:val="00446B8D"/>
    <w:rsid w:val="00446C81"/>
    <w:rsid w:val="004471BD"/>
    <w:rsid w:val="00450286"/>
    <w:rsid w:val="00450A01"/>
    <w:rsid w:val="00450C44"/>
    <w:rsid w:val="00451E2A"/>
    <w:rsid w:val="004533BF"/>
    <w:rsid w:val="004537C2"/>
    <w:rsid w:val="00454B3D"/>
    <w:rsid w:val="00456E33"/>
    <w:rsid w:val="004600ED"/>
    <w:rsid w:val="00461C12"/>
    <w:rsid w:val="004620CA"/>
    <w:rsid w:val="004631BE"/>
    <w:rsid w:val="00463285"/>
    <w:rsid w:val="00463EBB"/>
    <w:rsid w:val="004647B0"/>
    <w:rsid w:val="00464942"/>
    <w:rsid w:val="00465846"/>
    <w:rsid w:val="00466349"/>
    <w:rsid w:val="00466B43"/>
    <w:rsid w:val="00466E50"/>
    <w:rsid w:val="00467655"/>
    <w:rsid w:val="00467729"/>
    <w:rsid w:val="004700C0"/>
    <w:rsid w:val="00470474"/>
    <w:rsid w:val="00470B95"/>
    <w:rsid w:val="00470C4C"/>
    <w:rsid w:val="00470E22"/>
    <w:rsid w:val="00471F8F"/>
    <w:rsid w:val="004723C4"/>
    <w:rsid w:val="00472D33"/>
    <w:rsid w:val="004742B2"/>
    <w:rsid w:val="004746B5"/>
    <w:rsid w:val="004748DF"/>
    <w:rsid w:val="004757D3"/>
    <w:rsid w:val="00475BA6"/>
    <w:rsid w:val="0047729E"/>
    <w:rsid w:val="00477D70"/>
    <w:rsid w:val="00480DDC"/>
    <w:rsid w:val="00481A3C"/>
    <w:rsid w:val="00481EEC"/>
    <w:rsid w:val="004824C2"/>
    <w:rsid w:val="00482B63"/>
    <w:rsid w:val="004831CC"/>
    <w:rsid w:val="004843E1"/>
    <w:rsid w:val="00485390"/>
    <w:rsid w:val="00485567"/>
    <w:rsid w:val="004855BE"/>
    <w:rsid w:val="004867FB"/>
    <w:rsid w:val="00486860"/>
    <w:rsid w:val="00486EDB"/>
    <w:rsid w:val="00487F9B"/>
    <w:rsid w:val="0049081E"/>
    <w:rsid w:val="0049099C"/>
    <w:rsid w:val="004916D4"/>
    <w:rsid w:val="00491CC3"/>
    <w:rsid w:val="00491ED9"/>
    <w:rsid w:val="004929FB"/>
    <w:rsid w:val="004931E8"/>
    <w:rsid w:val="00493564"/>
    <w:rsid w:val="004940AE"/>
    <w:rsid w:val="0049485A"/>
    <w:rsid w:val="004951C6"/>
    <w:rsid w:val="00495623"/>
    <w:rsid w:val="00495B03"/>
    <w:rsid w:val="00495CF5"/>
    <w:rsid w:val="00495DAA"/>
    <w:rsid w:val="004962F6"/>
    <w:rsid w:val="00496F19"/>
    <w:rsid w:val="0049718B"/>
    <w:rsid w:val="00497656"/>
    <w:rsid w:val="00497725"/>
    <w:rsid w:val="004A0C7A"/>
    <w:rsid w:val="004A2646"/>
    <w:rsid w:val="004A275C"/>
    <w:rsid w:val="004A284B"/>
    <w:rsid w:val="004A2961"/>
    <w:rsid w:val="004A2CDE"/>
    <w:rsid w:val="004A3ABF"/>
    <w:rsid w:val="004A3D49"/>
    <w:rsid w:val="004A407A"/>
    <w:rsid w:val="004A4B8D"/>
    <w:rsid w:val="004A5AC0"/>
    <w:rsid w:val="004A5B46"/>
    <w:rsid w:val="004A6389"/>
    <w:rsid w:val="004A6B13"/>
    <w:rsid w:val="004A7D11"/>
    <w:rsid w:val="004A7EF6"/>
    <w:rsid w:val="004B0167"/>
    <w:rsid w:val="004B1399"/>
    <w:rsid w:val="004B1E61"/>
    <w:rsid w:val="004B2EA9"/>
    <w:rsid w:val="004B3B8B"/>
    <w:rsid w:val="004B5214"/>
    <w:rsid w:val="004B5F6F"/>
    <w:rsid w:val="004B710E"/>
    <w:rsid w:val="004C034B"/>
    <w:rsid w:val="004C17A6"/>
    <w:rsid w:val="004C1F17"/>
    <w:rsid w:val="004C2ACE"/>
    <w:rsid w:val="004C3179"/>
    <w:rsid w:val="004C3BFC"/>
    <w:rsid w:val="004C43EA"/>
    <w:rsid w:val="004C4445"/>
    <w:rsid w:val="004C53AD"/>
    <w:rsid w:val="004C5590"/>
    <w:rsid w:val="004C58CA"/>
    <w:rsid w:val="004C5E19"/>
    <w:rsid w:val="004C6291"/>
    <w:rsid w:val="004C65F0"/>
    <w:rsid w:val="004C6634"/>
    <w:rsid w:val="004C680C"/>
    <w:rsid w:val="004C6EC4"/>
    <w:rsid w:val="004C7205"/>
    <w:rsid w:val="004C77DE"/>
    <w:rsid w:val="004C78B2"/>
    <w:rsid w:val="004D0275"/>
    <w:rsid w:val="004D0DC1"/>
    <w:rsid w:val="004D1B04"/>
    <w:rsid w:val="004D1B8A"/>
    <w:rsid w:val="004D40E6"/>
    <w:rsid w:val="004D4BD7"/>
    <w:rsid w:val="004D59E6"/>
    <w:rsid w:val="004D5E8D"/>
    <w:rsid w:val="004D5F94"/>
    <w:rsid w:val="004D6404"/>
    <w:rsid w:val="004D6F3E"/>
    <w:rsid w:val="004E1414"/>
    <w:rsid w:val="004E1A30"/>
    <w:rsid w:val="004E2264"/>
    <w:rsid w:val="004E336F"/>
    <w:rsid w:val="004E34F1"/>
    <w:rsid w:val="004E3CB0"/>
    <w:rsid w:val="004E50D5"/>
    <w:rsid w:val="004E5457"/>
    <w:rsid w:val="004E56CA"/>
    <w:rsid w:val="004E581D"/>
    <w:rsid w:val="004E5A71"/>
    <w:rsid w:val="004E5A83"/>
    <w:rsid w:val="004E5CD1"/>
    <w:rsid w:val="004E6E66"/>
    <w:rsid w:val="004E7F0A"/>
    <w:rsid w:val="004E7FEB"/>
    <w:rsid w:val="004F02D8"/>
    <w:rsid w:val="004F05F2"/>
    <w:rsid w:val="004F106A"/>
    <w:rsid w:val="004F1136"/>
    <w:rsid w:val="004F1426"/>
    <w:rsid w:val="004F3B05"/>
    <w:rsid w:val="004F3B3B"/>
    <w:rsid w:val="004F3BF8"/>
    <w:rsid w:val="004F3C8A"/>
    <w:rsid w:val="004F3CBE"/>
    <w:rsid w:val="004F4CDB"/>
    <w:rsid w:val="004F4D2A"/>
    <w:rsid w:val="004F4FDD"/>
    <w:rsid w:val="004F5BC0"/>
    <w:rsid w:val="004F69D2"/>
    <w:rsid w:val="004F6CF4"/>
    <w:rsid w:val="004F6F26"/>
    <w:rsid w:val="004F72EB"/>
    <w:rsid w:val="004F7A8B"/>
    <w:rsid w:val="00500315"/>
    <w:rsid w:val="0050051D"/>
    <w:rsid w:val="0050085E"/>
    <w:rsid w:val="005016D0"/>
    <w:rsid w:val="00501707"/>
    <w:rsid w:val="00501DE1"/>
    <w:rsid w:val="00501F68"/>
    <w:rsid w:val="0050210C"/>
    <w:rsid w:val="00502345"/>
    <w:rsid w:val="005024CE"/>
    <w:rsid w:val="00502BAA"/>
    <w:rsid w:val="00503B2A"/>
    <w:rsid w:val="00503C38"/>
    <w:rsid w:val="00504949"/>
    <w:rsid w:val="005049BB"/>
    <w:rsid w:val="00504A0B"/>
    <w:rsid w:val="00505CAE"/>
    <w:rsid w:val="00506171"/>
    <w:rsid w:val="005062F5"/>
    <w:rsid w:val="005074A5"/>
    <w:rsid w:val="00510086"/>
    <w:rsid w:val="005100FD"/>
    <w:rsid w:val="0051021D"/>
    <w:rsid w:val="00510C48"/>
    <w:rsid w:val="00511032"/>
    <w:rsid w:val="005119F4"/>
    <w:rsid w:val="00511DDD"/>
    <w:rsid w:val="00512380"/>
    <w:rsid w:val="00512F2D"/>
    <w:rsid w:val="00513479"/>
    <w:rsid w:val="0051402F"/>
    <w:rsid w:val="0051410C"/>
    <w:rsid w:val="005144EB"/>
    <w:rsid w:val="0051583D"/>
    <w:rsid w:val="00515993"/>
    <w:rsid w:val="00515C5E"/>
    <w:rsid w:val="0051642C"/>
    <w:rsid w:val="00516DCB"/>
    <w:rsid w:val="00517983"/>
    <w:rsid w:val="00517F46"/>
    <w:rsid w:val="00520209"/>
    <w:rsid w:val="0052076B"/>
    <w:rsid w:val="0052079C"/>
    <w:rsid w:val="005216B1"/>
    <w:rsid w:val="00524059"/>
    <w:rsid w:val="00524D72"/>
    <w:rsid w:val="005263EC"/>
    <w:rsid w:val="00526DFC"/>
    <w:rsid w:val="00527EB0"/>
    <w:rsid w:val="005303CA"/>
    <w:rsid w:val="0053058C"/>
    <w:rsid w:val="00530DF8"/>
    <w:rsid w:val="005319D0"/>
    <w:rsid w:val="00531CA7"/>
    <w:rsid w:val="005324A6"/>
    <w:rsid w:val="005329A2"/>
    <w:rsid w:val="005346D7"/>
    <w:rsid w:val="00535066"/>
    <w:rsid w:val="00535BCE"/>
    <w:rsid w:val="00535C5E"/>
    <w:rsid w:val="00535D3D"/>
    <w:rsid w:val="005360BA"/>
    <w:rsid w:val="0053610B"/>
    <w:rsid w:val="00536768"/>
    <w:rsid w:val="0053685C"/>
    <w:rsid w:val="005372F7"/>
    <w:rsid w:val="00537322"/>
    <w:rsid w:val="0054083B"/>
    <w:rsid w:val="00542227"/>
    <w:rsid w:val="005424B5"/>
    <w:rsid w:val="00542CEE"/>
    <w:rsid w:val="00543796"/>
    <w:rsid w:val="005439D3"/>
    <w:rsid w:val="00544523"/>
    <w:rsid w:val="00544657"/>
    <w:rsid w:val="00544C56"/>
    <w:rsid w:val="00544E43"/>
    <w:rsid w:val="005453E8"/>
    <w:rsid w:val="005454BA"/>
    <w:rsid w:val="00546097"/>
    <w:rsid w:val="00546B65"/>
    <w:rsid w:val="00546FB4"/>
    <w:rsid w:val="005519F6"/>
    <w:rsid w:val="00551B2D"/>
    <w:rsid w:val="00551D59"/>
    <w:rsid w:val="005523D6"/>
    <w:rsid w:val="00552A7B"/>
    <w:rsid w:val="00552BE0"/>
    <w:rsid w:val="005542F0"/>
    <w:rsid w:val="005544CE"/>
    <w:rsid w:val="0055474D"/>
    <w:rsid w:val="00554865"/>
    <w:rsid w:val="00554D6D"/>
    <w:rsid w:val="00555861"/>
    <w:rsid w:val="0055616B"/>
    <w:rsid w:val="00556D62"/>
    <w:rsid w:val="00556DC0"/>
    <w:rsid w:val="00557E8F"/>
    <w:rsid w:val="00557F9E"/>
    <w:rsid w:val="00560098"/>
    <w:rsid w:val="00560333"/>
    <w:rsid w:val="005609B4"/>
    <w:rsid w:val="00560A26"/>
    <w:rsid w:val="00560C4C"/>
    <w:rsid w:val="005631FD"/>
    <w:rsid w:val="005636FA"/>
    <w:rsid w:val="0056373A"/>
    <w:rsid w:val="00564A1B"/>
    <w:rsid w:val="00564BF4"/>
    <w:rsid w:val="00564F28"/>
    <w:rsid w:val="0056532A"/>
    <w:rsid w:val="00565338"/>
    <w:rsid w:val="00565A5E"/>
    <w:rsid w:val="00565AEA"/>
    <w:rsid w:val="00566F71"/>
    <w:rsid w:val="005671F4"/>
    <w:rsid w:val="00567295"/>
    <w:rsid w:val="00567664"/>
    <w:rsid w:val="00570643"/>
    <w:rsid w:val="0057066F"/>
    <w:rsid w:val="00571813"/>
    <w:rsid w:val="00571C92"/>
    <w:rsid w:val="00571D24"/>
    <w:rsid w:val="005722EA"/>
    <w:rsid w:val="005723B9"/>
    <w:rsid w:val="005726BA"/>
    <w:rsid w:val="0057299B"/>
    <w:rsid w:val="00572EC2"/>
    <w:rsid w:val="005730EF"/>
    <w:rsid w:val="00574B42"/>
    <w:rsid w:val="00574C83"/>
    <w:rsid w:val="00574F3A"/>
    <w:rsid w:val="00575EB9"/>
    <w:rsid w:val="0057668B"/>
    <w:rsid w:val="0057738A"/>
    <w:rsid w:val="00577F5B"/>
    <w:rsid w:val="00580F4A"/>
    <w:rsid w:val="005810DF"/>
    <w:rsid w:val="00581C98"/>
    <w:rsid w:val="005829A4"/>
    <w:rsid w:val="00582A54"/>
    <w:rsid w:val="00583088"/>
    <w:rsid w:val="00583101"/>
    <w:rsid w:val="00583675"/>
    <w:rsid w:val="005836B3"/>
    <w:rsid w:val="005836EB"/>
    <w:rsid w:val="00583CBC"/>
    <w:rsid w:val="00584413"/>
    <w:rsid w:val="00584D72"/>
    <w:rsid w:val="0058662D"/>
    <w:rsid w:val="005867EC"/>
    <w:rsid w:val="00586CAB"/>
    <w:rsid w:val="005900C3"/>
    <w:rsid w:val="00590A21"/>
    <w:rsid w:val="00591BF9"/>
    <w:rsid w:val="00592527"/>
    <w:rsid w:val="00592CAE"/>
    <w:rsid w:val="005932EC"/>
    <w:rsid w:val="0059348F"/>
    <w:rsid w:val="005937C4"/>
    <w:rsid w:val="00594FFE"/>
    <w:rsid w:val="00595740"/>
    <w:rsid w:val="005966D8"/>
    <w:rsid w:val="0059769C"/>
    <w:rsid w:val="00597FF8"/>
    <w:rsid w:val="005A082E"/>
    <w:rsid w:val="005A0995"/>
    <w:rsid w:val="005A0F75"/>
    <w:rsid w:val="005A129A"/>
    <w:rsid w:val="005A34EE"/>
    <w:rsid w:val="005A35B4"/>
    <w:rsid w:val="005A3C68"/>
    <w:rsid w:val="005A422E"/>
    <w:rsid w:val="005A426C"/>
    <w:rsid w:val="005A4FEE"/>
    <w:rsid w:val="005A5203"/>
    <w:rsid w:val="005A5D9D"/>
    <w:rsid w:val="005A5FEC"/>
    <w:rsid w:val="005A70FF"/>
    <w:rsid w:val="005A722F"/>
    <w:rsid w:val="005A7235"/>
    <w:rsid w:val="005A74F5"/>
    <w:rsid w:val="005A7BA6"/>
    <w:rsid w:val="005B0115"/>
    <w:rsid w:val="005B047F"/>
    <w:rsid w:val="005B0777"/>
    <w:rsid w:val="005B158B"/>
    <w:rsid w:val="005B2CF8"/>
    <w:rsid w:val="005B33CE"/>
    <w:rsid w:val="005B499E"/>
    <w:rsid w:val="005B4FDE"/>
    <w:rsid w:val="005B6A8D"/>
    <w:rsid w:val="005B7B96"/>
    <w:rsid w:val="005C03BE"/>
    <w:rsid w:val="005C1464"/>
    <w:rsid w:val="005C184F"/>
    <w:rsid w:val="005C195D"/>
    <w:rsid w:val="005C1F54"/>
    <w:rsid w:val="005C2031"/>
    <w:rsid w:val="005C3DC4"/>
    <w:rsid w:val="005C6711"/>
    <w:rsid w:val="005C6F59"/>
    <w:rsid w:val="005C7200"/>
    <w:rsid w:val="005D0003"/>
    <w:rsid w:val="005D0593"/>
    <w:rsid w:val="005D0ACB"/>
    <w:rsid w:val="005D10F1"/>
    <w:rsid w:val="005D140B"/>
    <w:rsid w:val="005D17C6"/>
    <w:rsid w:val="005D1C36"/>
    <w:rsid w:val="005D1F2E"/>
    <w:rsid w:val="005D2150"/>
    <w:rsid w:val="005D2654"/>
    <w:rsid w:val="005D2E6F"/>
    <w:rsid w:val="005D3C2F"/>
    <w:rsid w:val="005D4B4F"/>
    <w:rsid w:val="005D5624"/>
    <w:rsid w:val="005D5865"/>
    <w:rsid w:val="005D5F1D"/>
    <w:rsid w:val="005D6E73"/>
    <w:rsid w:val="005D7B89"/>
    <w:rsid w:val="005E03A2"/>
    <w:rsid w:val="005E094F"/>
    <w:rsid w:val="005E0E4C"/>
    <w:rsid w:val="005E35C4"/>
    <w:rsid w:val="005E4A17"/>
    <w:rsid w:val="005E4A7B"/>
    <w:rsid w:val="005E5043"/>
    <w:rsid w:val="005E588F"/>
    <w:rsid w:val="005E5BEA"/>
    <w:rsid w:val="005E5BEC"/>
    <w:rsid w:val="005E5D2D"/>
    <w:rsid w:val="005E6FAB"/>
    <w:rsid w:val="005E7108"/>
    <w:rsid w:val="005F1234"/>
    <w:rsid w:val="005F13AA"/>
    <w:rsid w:val="005F20A4"/>
    <w:rsid w:val="005F484B"/>
    <w:rsid w:val="005F5446"/>
    <w:rsid w:val="006002AD"/>
    <w:rsid w:val="006016F6"/>
    <w:rsid w:val="00601B3B"/>
    <w:rsid w:val="00602636"/>
    <w:rsid w:val="00602DF2"/>
    <w:rsid w:val="006036CD"/>
    <w:rsid w:val="006037A7"/>
    <w:rsid w:val="00603A87"/>
    <w:rsid w:val="00603CAA"/>
    <w:rsid w:val="00603CC1"/>
    <w:rsid w:val="0060451D"/>
    <w:rsid w:val="00604681"/>
    <w:rsid w:val="00604D35"/>
    <w:rsid w:val="0060549C"/>
    <w:rsid w:val="0060603A"/>
    <w:rsid w:val="00606736"/>
    <w:rsid w:val="006071E2"/>
    <w:rsid w:val="0060750F"/>
    <w:rsid w:val="006079C2"/>
    <w:rsid w:val="0061099C"/>
    <w:rsid w:val="00611426"/>
    <w:rsid w:val="00611D46"/>
    <w:rsid w:val="006120EF"/>
    <w:rsid w:val="0061241D"/>
    <w:rsid w:val="00613362"/>
    <w:rsid w:val="0061341C"/>
    <w:rsid w:val="00614514"/>
    <w:rsid w:val="00614793"/>
    <w:rsid w:val="006150A3"/>
    <w:rsid w:val="00615266"/>
    <w:rsid w:val="006161DD"/>
    <w:rsid w:val="0061689C"/>
    <w:rsid w:val="006173B9"/>
    <w:rsid w:val="006174A7"/>
    <w:rsid w:val="00620AD9"/>
    <w:rsid w:val="006210DF"/>
    <w:rsid w:val="0062163B"/>
    <w:rsid w:val="00621836"/>
    <w:rsid w:val="006218B0"/>
    <w:rsid w:val="006221FC"/>
    <w:rsid w:val="00622434"/>
    <w:rsid w:val="00622500"/>
    <w:rsid w:val="00622738"/>
    <w:rsid w:val="00623817"/>
    <w:rsid w:val="00624119"/>
    <w:rsid w:val="006245DC"/>
    <w:rsid w:val="00624973"/>
    <w:rsid w:val="00624BE7"/>
    <w:rsid w:val="00625300"/>
    <w:rsid w:val="006255DC"/>
    <w:rsid w:val="0062570F"/>
    <w:rsid w:val="006262C0"/>
    <w:rsid w:val="006269A1"/>
    <w:rsid w:val="0062758E"/>
    <w:rsid w:val="00627768"/>
    <w:rsid w:val="00627A64"/>
    <w:rsid w:val="00627CB1"/>
    <w:rsid w:val="00627D13"/>
    <w:rsid w:val="00627DF3"/>
    <w:rsid w:val="00630C2D"/>
    <w:rsid w:val="006312D8"/>
    <w:rsid w:val="00631A47"/>
    <w:rsid w:val="00631BAA"/>
    <w:rsid w:val="00631BEA"/>
    <w:rsid w:val="00632E30"/>
    <w:rsid w:val="00632FD9"/>
    <w:rsid w:val="0063378A"/>
    <w:rsid w:val="00633F74"/>
    <w:rsid w:val="006343C1"/>
    <w:rsid w:val="00635464"/>
    <w:rsid w:val="00635E63"/>
    <w:rsid w:val="006364B9"/>
    <w:rsid w:val="00636771"/>
    <w:rsid w:val="00637244"/>
    <w:rsid w:val="00640646"/>
    <w:rsid w:val="006406C5"/>
    <w:rsid w:val="00640DB6"/>
    <w:rsid w:val="00642467"/>
    <w:rsid w:val="00642D76"/>
    <w:rsid w:val="00643FF8"/>
    <w:rsid w:val="006444EA"/>
    <w:rsid w:val="00644EBE"/>
    <w:rsid w:val="00645B0D"/>
    <w:rsid w:val="0064695A"/>
    <w:rsid w:val="006501BA"/>
    <w:rsid w:val="00651606"/>
    <w:rsid w:val="0065161C"/>
    <w:rsid w:val="00652B35"/>
    <w:rsid w:val="00652EE5"/>
    <w:rsid w:val="00652FD6"/>
    <w:rsid w:val="0065454C"/>
    <w:rsid w:val="00655342"/>
    <w:rsid w:val="00656FCD"/>
    <w:rsid w:val="006573EE"/>
    <w:rsid w:val="00660027"/>
    <w:rsid w:val="006608E7"/>
    <w:rsid w:val="00660B98"/>
    <w:rsid w:val="006615D7"/>
    <w:rsid w:val="00661871"/>
    <w:rsid w:val="00665123"/>
    <w:rsid w:val="00665257"/>
    <w:rsid w:val="00665406"/>
    <w:rsid w:val="006656CD"/>
    <w:rsid w:val="00665EAF"/>
    <w:rsid w:val="00666566"/>
    <w:rsid w:val="0066698E"/>
    <w:rsid w:val="00666C8F"/>
    <w:rsid w:val="00666D5A"/>
    <w:rsid w:val="00667231"/>
    <w:rsid w:val="006702B4"/>
    <w:rsid w:val="00670897"/>
    <w:rsid w:val="00672A20"/>
    <w:rsid w:val="006737EC"/>
    <w:rsid w:val="006739CE"/>
    <w:rsid w:val="00676E98"/>
    <w:rsid w:val="00677128"/>
    <w:rsid w:val="00677F12"/>
    <w:rsid w:val="006802B5"/>
    <w:rsid w:val="0068077C"/>
    <w:rsid w:val="00681428"/>
    <w:rsid w:val="00682DE8"/>
    <w:rsid w:val="0068304A"/>
    <w:rsid w:val="00683207"/>
    <w:rsid w:val="0068454F"/>
    <w:rsid w:val="006849A8"/>
    <w:rsid w:val="006862A6"/>
    <w:rsid w:val="00686D59"/>
    <w:rsid w:val="00686E62"/>
    <w:rsid w:val="00687254"/>
    <w:rsid w:val="006873AC"/>
    <w:rsid w:val="00687583"/>
    <w:rsid w:val="00690032"/>
    <w:rsid w:val="00690165"/>
    <w:rsid w:val="00690374"/>
    <w:rsid w:val="00691828"/>
    <w:rsid w:val="00691A07"/>
    <w:rsid w:val="00692B88"/>
    <w:rsid w:val="00693D40"/>
    <w:rsid w:val="006940D4"/>
    <w:rsid w:val="006946C9"/>
    <w:rsid w:val="00694E0D"/>
    <w:rsid w:val="00694F47"/>
    <w:rsid w:val="0069529C"/>
    <w:rsid w:val="006971C6"/>
    <w:rsid w:val="00697598"/>
    <w:rsid w:val="006A01ED"/>
    <w:rsid w:val="006A173F"/>
    <w:rsid w:val="006A1AC5"/>
    <w:rsid w:val="006A231D"/>
    <w:rsid w:val="006A2623"/>
    <w:rsid w:val="006A28CF"/>
    <w:rsid w:val="006A29EB"/>
    <w:rsid w:val="006A3092"/>
    <w:rsid w:val="006A3D53"/>
    <w:rsid w:val="006A45FE"/>
    <w:rsid w:val="006A4ABE"/>
    <w:rsid w:val="006A524A"/>
    <w:rsid w:val="006A594D"/>
    <w:rsid w:val="006A5A1F"/>
    <w:rsid w:val="006A60E8"/>
    <w:rsid w:val="006A6555"/>
    <w:rsid w:val="006A6C1B"/>
    <w:rsid w:val="006A6EDB"/>
    <w:rsid w:val="006A7CAF"/>
    <w:rsid w:val="006B102F"/>
    <w:rsid w:val="006B15F9"/>
    <w:rsid w:val="006B18D6"/>
    <w:rsid w:val="006B20E9"/>
    <w:rsid w:val="006B2749"/>
    <w:rsid w:val="006B3B54"/>
    <w:rsid w:val="006B3F78"/>
    <w:rsid w:val="006B42B0"/>
    <w:rsid w:val="006B490F"/>
    <w:rsid w:val="006B523B"/>
    <w:rsid w:val="006B52FD"/>
    <w:rsid w:val="006B57A3"/>
    <w:rsid w:val="006B58DB"/>
    <w:rsid w:val="006B6448"/>
    <w:rsid w:val="006B6703"/>
    <w:rsid w:val="006B6B7D"/>
    <w:rsid w:val="006B6D8E"/>
    <w:rsid w:val="006B7177"/>
    <w:rsid w:val="006B738C"/>
    <w:rsid w:val="006B770D"/>
    <w:rsid w:val="006C1677"/>
    <w:rsid w:val="006C26FB"/>
    <w:rsid w:val="006C2FEC"/>
    <w:rsid w:val="006C4539"/>
    <w:rsid w:val="006C4CAA"/>
    <w:rsid w:val="006C59C8"/>
    <w:rsid w:val="006C63BC"/>
    <w:rsid w:val="006C64B5"/>
    <w:rsid w:val="006C68A7"/>
    <w:rsid w:val="006C754F"/>
    <w:rsid w:val="006C764F"/>
    <w:rsid w:val="006C780F"/>
    <w:rsid w:val="006C79DB"/>
    <w:rsid w:val="006D09D6"/>
    <w:rsid w:val="006D1400"/>
    <w:rsid w:val="006D25A3"/>
    <w:rsid w:val="006D3BA2"/>
    <w:rsid w:val="006D3DF1"/>
    <w:rsid w:val="006D3E35"/>
    <w:rsid w:val="006D419B"/>
    <w:rsid w:val="006D4522"/>
    <w:rsid w:val="006D521F"/>
    <w:rsid w:val="006D554D"/>
    <w:rsid w:val="006D5A5C"/>
    <w:rsid w:val="006D5C6D"/>
    <w:rsid w:val="006D5D67"/>
    <w:rsid w:val="006D697D"/>
    <w:rsid w:val="006D6EB1"/>
    <w:rsid w:val="006D6F61"/>
    <w:rsid w:val="006D73B3"/>
    <w:rsid w:val="006D7A1A"/>
    <w:rsid w:val="006E009D"/>
    <w:rsid w:val="006E0122"/>
    <w:rsid w:val="006E049B"/>
    <w:rsid w:val="006E0960"/>
    <w:rsid w:val="006E116F"/>
    <w:rsid w:val="006E13FF"/>
    <w:rsid w:val="006E16F9"/>
    <w:rsid w:val="006E197A"/>
    <w:rsid w:val="006E1DC0"/>
    <w:rsid w:val="006E27D5"/>
    <w:rsid w:val="006E2D00"/>
    <w:rsid w:val="006E424F"/>
    <w:rsid w:val="006E4817"/>
    <w:rsid w:val="006E52FF"/>
    <w:rsid w:val="006E644D"/>
    <w:rsid w:val="006E6819"/>
    <w:rsid w:val="006E6A2C"/>
    <w:rsid w:val="006E6C7E"/>
    <w:rsid w:val="006E7D37"/>
    <w:rsid w:val="006F0A06"/>
    <w:rsid w:val="006F15EA"/>
    <w:rsid w:val="006F1F1D"/>
    <w:rsid w:val="006F36B6"/>
    <w:rsid w:val="006F4946"/>
    <w:rsid w:val="00700070"/>
    <w:rsid w:val="007000FA"/>
    <w:rsid w:val="00700627"/>
    <w:rsid w:val="00700983"/>
    <w:rsid w:val="00700D5E"/>
    <w:rsid w:val="007020F8"/>
    <w:rsid w:val="007029CB"/>
    <w:rsid w:val="00702E91"/>
    <w:rsid w:val="00702F36"/>
    <w:rsid w:val="00703A68"/>
    <w:rsid w:val="00703FEF"/>
    <w:rsid w:val="00704459"/>
    <w:rsid w:val="0070449D"/>
    <w:rsid w:val="007045C4"/>
    <w:rsid w:val="007048A8"/>
    <w:rsid w:val="00704CBA"/>
    <w:rsid w:val="0070522B"/>
    <w:rsid w:val="00705272"/>
    <w:rsid w:val="00705BBA"/>
    <w:rsid w:val="007064C1"/>
    <w:rsid w:val="00706B15"/>
    <w:rsid w:val="00706F41"/>
    <w:rsid w:val="00707C6C"/>
    <w:rsid w:val="00710759"/>
    <w:rsid w:val="00710A21"/>
    <w:rsid w:val="00710DFC"/>
    <w:rsid w:val="00712749"/>
    <w:rsid w:val="007128E1"/>
    <w:rsid w:val="00713023"/>
    <w:rsid w:val="00713246"/>
    <w:rsid w:val="007139DB"/>
    <w:rsid w:val="00714D14"/>
    <w:rsid w:val="00714E66"/>
    <w:rsid w:val="00715DE3"/>
    <w:rsid w:val="007167A3"/>
    <w:rsid w:val="00716971"/>
    <w:rsid w:val="00716CE1"/>
    <w:rsid w:val="00716D1D"/>
    <w:rsid w:val="0071746F"/>
    <w:rsid w:val="00717707"/>
    <w:rsid w:val="00720069"/>
    <w:rsid w:val="00720294"/>
    <w:rsid w:val="00720E38"/>
    <w:rsid w:val="0072255E"/>
    <w:rsid w:val="00722652"/>
    <w:rsid w:val="00722CC5"/>
    <w:rsid w:val="00723A56"/>
    <w:rsid w:val="00724442"/>
    <w:rsid w:val="00724815"/>
    <w:rsid w:val="00724D63"/>
    <w:rsid w:val="00725DAB"/>
    <w:rsid w:val="00726661"/>
    <w:rsid w:val="0072689D"/>
    <w:rsid w:val="00726EFA"/>
    <w:rsid w:val="007279D9"/>
    <w:rsid w:val="00727DCE"/>
    <w:rsid w:val="007314F8"/>
    <w:rsid w:val="00732026"/>
    <w:rsid w:val="00732759"/>
    <w:rsid w:val="00732A40"/>
    <w:rsid w:val="00735101"/>
    <w:rsid w:val="00735197"/>
    <w:rsid w:val="00735C37"/>
    <w:rsid w:val="00735D7C"/>
    <w:rsid w:val="00735E8F"/>
    <w:rsid w:val="00737512"/>
    <w:rsid w:val="0073767D"/>
    <w:rsid w:val="00737C5D"/>
    <w:rsid w:val="00740381"/>
    <w:rsid w:val="0074077E"/>
    <w:rsid w:val="007417FA"/>
    <w:rsid w:val="00741CD7"/>
    <w:rsid w:val="00742631"/>
    <w:rsid w:val="00742DE0"/>
    <w:rsid w:val="00743A10"/>
    <w:rsid w:val="00743BAD"/>
    <w:rsid w:val="00743DE9"/>
    <w:rsid w:val="0074415E"/>
    <w:rsid w:val="007452BA"/>
    <w:rsid w:val="007452F3"/>
    <w:rsid w:val="00745A5F"/>
    <w:rsid w:val="00745CB1"/>
    <w:rsid w:val="0074688D"/>
    <w:rsid w:val="00746EEB"/>
    <w:rsid w:val="00746F8F"/>
    <w:rsid w:val="007471A1"/>
    <w:rsid w:val="007474BF"/>
    <w:rsid w:val="00747678"/>
    <w:rsid w:val="0074777C"/>
    <w:rsid w:val="007506F8"/>
    <w:rsid w:val="00750796"/>
    <w:rsid w:val="00750C6C"/>
    <w:rsid w:val="00751C4A"/>
    <w:rsid w:val="00751D73"/>
    <w:rsid w:val="0075250D"/>
    <w:rsid w:val="007528AD"/>
    <w:rsid w:val="00752F5E"/>
    <w:rsid w:val="007534F8"/>
    <w:rsid w:val="0075400C"/>
    <w:rsid w:val="0075404F"/>
    <w:rsid w:val="007558ED"/>
    <w:rsid w:val="00755C00"/>
    <w:rsid w:val="00756060"/>
    <w:rsid w:val="007560F1"/>
    <w:rsid w:val="0075621F"/>
    <w:rsid w:val="00756DCD"/>
    <w:rsid w:val="00757C4B"/>
    <w:rsid w:val="00757EEB"/>
    <w:rsid w:val="00760421"/>
    <w:rsid w:val="00760905"/>
    <w:rsid w:val="007619CC"/>
    <w:rsid w:val="00762228"/>
    <w:rsid w:val="00763E34"/>
    <w:rsid w:val="00764EF9"/>
    <w:rsid w:val="00765F3F"/>
    <w:rsid w:val="00767B20"/>
    <w:rsid w:val="007705C0"/>
    <w:rsid w:val="00770A34"/>
    <w:rsid w:val="00770FC4"/>
    <w:rsid w:val="00771081"/>
    <w:rsid w:val="007711BC"/>
    <w:rsid w:val="007713C7"/>
    <w:rsid w:val="007728FB"/>
    <w:rsid w:val="00772C87"/>
    <w:rsid w:val="00772D61"/>
    <w:rsid w:val="00773A9B"/>
    <w:rsid w:val="00775025"/>
    <w:rsid w:val="007756E0"/>
    <w:rsid w:val="00775B7B"/>
    <w:rsid w:val="00776C0D"/>
    <w:rsid w:val="0077747C"/>
    <w:rsid w:val="00780787"/>
    <w:rsid w:val="0078128F"/>
    <w:rsid w:val="007825E4"/>
    <w:rsid w:val="007837C6"/>
    <w:rsid w:val="007838DA"/>
    <w:rsid w:val="0078463B"/>
    <w:rsid w:val="007853D4"/>
    <w:rsid w:val="00785632"/>
    <w:rsid w:val="007860F8"/>
    <w:rsid w:val="00786880"/>
    <w:rsid w:val="00786BDF"/>
    <w:rsid w:val="00790D92"/>
    <w:rsid w:val="00791676"/>
    <w:rsid w:val="00791DFE"/>
    <w:rsid w:val="00791E8A"/>
    <w:rsid w:val="00792173"/>
    <w:rsid w:val="007924F1"/>
    <w:rsid w:val="007927B8"/>
    <w:rsid w:val="00792E98"/>
    <w:rsid w:val="007932B1"/>
    <w:rsid w:val="007937AD"/>
    <w:rsid w:val="00794775"/>
    <w:rsid w:val="00794978"/>
    <w:rsid w:val="007951F8"/>
    <w:rsid w:val="00795C97"/>
    <w:rsid w:val="007965AE"/>
    <w:rsid w:val="00796ED4"/>
    <w:rsid w:val="007971C7"/>
    <w:rsid w:val="00797517"/>
    <w:rsid w:val="007975D8"/>
    <w:rsid w:val="0079764A"/>
    <w:rsid w:val="00797D44"/>
    <w:rsid w:val="007A0115"/>
    <w:rsid w:val="007A0A0B"/>
    <w:rsid w:val="007A2204"/>
    <w:rsid w:val="007A2883"/>
    <w:rsid w:val="007A29E6"/>
    <w:rsid w:val="007A3403"/>
    <w:rsid w:val="007A3539"/>
    <w:rsid w:val="007A3C78"/>
    <w:rsid w:val="007A43B1"/>
    <w:rsid w:val="007A4ADE"/>
    <w:rsid w:val="007A4D9B"/>
    <w:rsid w:val="007A5180"/>
    <w:rsid w:val="007A5A6C"/>
    <w:rsid w:val="007A5EE5"/>
    <w:rsid w:val="007A6E6E"/>
    <w:rsid w:val="007B00E3"/>
    <w:rsid w:val="007B14AA"/>
    <w:rsid w:val="007B22C1"/>
    <w:rsid w:val="007B29AB"/>
    <w:rsid w:val="007B2A30"/>
    <w:rsid w:val="007B2E04"/>
    <w:rsid w:val="007B376A"/>
    <w:rsid w:val="007B3DD8"/>
    <w:rsid w:val="007B41DD"/>
    <w:rsid w:val="007B4396"/>
    <w:rsid w:val="007B4B51"/>
    <w:rsid w:val="007B4C16"/>
    <w:rsid w:val="007B4F7D"/>
    <w:rsid w:val="007B5199"/>
    <w:rsid w:val="007B6325"/>
    <w:rsid w:val="007B74AA"/>
    <w:rsid w:val="007B77EC"/>
    <w:rsid w:val="007B7C3B"/>
    <w:rsid w:val="007C023C"/>
    <w:rsid w:val="007C0A1D"/>
    <w:rsid w:val="007C0F61"/>
    <w:rsid w:val="007C1447"/>
    <w:rsid w:val="007C1F60"/>
    <w:rsid w:val="007C285F"/>
    <w:rsid w:val="007C3536"/>
    <w:rsid w:val="007C3A41"/>
    <w:rsid w:val="007C64F2"/>
    <w:rsid w:val="007C6C4E"/>
    <w:rsid w:val="007C7191"/>
    <w:rsid w:val="007C7392"/>
    <w:rsid w:val="007C78AF"/>
    <w:rsid w:val="007C7E8A"/>
    <w:rsid w:val="007C7F13"/>
    <w:rsid w:val="007D0685"/>
    <w:rsid w:val="007D09AF"/>
    <w:rsid w:val="007D1451"/>
    <w:rsid w:val="007D184E"/>
    <w:rsid w:val="007D194E"/>
    <w:rsid w:val="007D1B8B"/>
    <w:rsid w:val="007D2824"/>
    <w:rsid w:val="007D3C4B"/>
    <w:rsid w:val="007D3E6A"/>
    <w:rsid w:val="007D4042"/>
    <w:rsid w:val="007D4381"/>
    <w:rsid w:val="007D47D8"/>
    <w:rsid w:val="007D4C02"/>
    <w:rsid w:val="007D587B"/>
    <w:rsid w:val="007D58A8"/>
    <w:rsid w:val="007D5C41"/>
    <w:rsid w:val="007E0597"/>
    <w:rsid w:val="007E0985"/>
    <w:rsid w:val="007E1B42"/>
    <w:rsid w:val="007E1BD7"/>
    <w:rsid w:val="007E1DEB"/>
    <w:rsid w:val="007E2E4D"/>
    <w:rsid w:val="007E36FB"/>
    <w:rsid w:val="007E38D0"/>
    <w:rsid w:val="007E38D7"/>
    <w:rsid w:val="007E3F28"/>
    <w:rsid w:val="007E403E"/>
    <w:rsid w:val="007E4B86"/>
    <w:rsid w:val="007E5C50"/>
    <w:rsid w:val="007E6E0D"/>
    <w:rsid w:val="007E7E6F"/>
    <w:rsid w:val="007F0C71"/>
    <w:rsid w:val="007F0E4B"/>
    <w:rsid w:val="007F12E9"/>
    <w:rsid w:val="007F1958"/>
    <w:rsid w:val="007F1F3F"/>
    <w:rsid w:val="007F1FD4"/>
    <w:rsid w:val="007F246C"/>
    <w:rsid w:val="007F2868"/>
    <w:rsid w:val="007F2A90"/>
    <w:rsid w:val="007F328C"/>
    <w:rsid w:val="007F4837"/>
    <w:rsid w:val="007F48AD"/>
    <w:rsid w:val="007F4C4B"/>
    <w:rsid w:val="007F4F0C"/>
    <w:rsid w:val="007F5265"/>
    <w:rsid w:val="007F57E6"/>
    <w:rsid w:val="007F5B4A"/>
    <w:rsid w:val="007F60B7"/>
    <w:rsid w:val="007F6402"/>
    <w:rsid w:val="007F6C13"/>
    <w:rsid w:val="007F711B"/>
    <w:rsid w:val="007F7757"/>
    <w:rsid w:val="007F7C12"/>
    <w:rsid w:val="008003B4"/>
    <w:rsid w:val="0080042E"/>
    <w:rsid w:val="00800E5F"/>
    <w:rsid w:val="0080187D"/>
    <w:rsid w:val="00801CCB"/>
    <w:rsid w:val="00802495"/>
    <w:rsid w:val="0080293D"/>
    <w:rsid w:val="0080321D"/>
    <w:rsid w:val="00803457"/>
    <w:rsid w:val="008042DB"/>
    <w:rsid w:val="0080622D"/>
    <w:rsid w:val="00806D50"/>
    <w:rsid w:val="00807B4F"/>
    <w:rsid w:val="00807D24"/>
    <w:rsid w:val="00811560"/>
    <w:rsid w:val="008118EE"/>
    <w:rsid w:val="00811D22"/>
    <w:rsid w:val="00811FC2"/>
    <w:rsid w:val="0081327D"/>
    <w:rsid w:val="0081425A"/>
    <w:rsid w:val="008144DD"/>
    <w:rsid w:val="0081485B"/>
    <w:rsid w:val="00815A4C"/>
    <w:rsid w:val="00815B9A"/>
    <w:rsid w:val="00815BBB"/>
    <w:rsid w:val="00816010"/>
    <w:rsid w:val="00816CC8"/>
    <w:rsid w:val="008176A2"/>
    <w:rsid w:val="00817E42"/>
    <w:rsid w:val="00820141"/>
    <w:rsid w:val="008201BE"/>
    <w:rsid w:val="008202C9"/>
    <w:rsid w:val="008203B5"/>
    <w:rsid w:val="008208CD"/>
    <w:rsid w:val="008219AA"/>
    <w:rsid w:val="0082202B"/>
    <w:rsid w:val="0082216D"/>
    <w:rsid w:val="00822DF3"/>
    <w:rsid w:val="008240E3"/>
    <w:rsid w:val="00824837"/>
    <w:rsid w:val="00825A17"/>
    <w:rsid w:val="00825F4A"/>
    <w:rsid w:val="00826E0B"/>
    <w:rsid w:val="00827596"/>
    <w:rsid w:val="00827907"/>
    <w:rsid w:val="0082798D"/>
    <w:rsid w:val="00827A1A"/>
    <w:rsid w:val="00830E7E"/>
    <w:rsid w:val="00830F44"/>
    <w:rsid w:val="008310D5"/>
    <w:rsid w:val="008316BD"/>
    <w:rsid w:val="008316D7"/>
    <w:rsid w:val="00831944"/>
    <w:rsid w:val="00831B47"/>
    <w:rsid w:val="00832D4D"/>
    <w:rsid w:val="00834177"/>
    <w:rsid w:val="0083422A"/>
    <w:rsid w:val="008343F1"/>
    <w:rsid w:val="00834E06"/>
    <w:rsid w:val="00836050"/>
    <w:rsid w:val="008366EC"/>
    <w:rsid w:val="00836821"/>
    <w:rsid w:val="00837452"/>
    <w:rsid w:val="008403D0"/>
    <w:rsid w:val="00840AE4"/>
    <w:rsid w:val="008416DF"/>
    <w:rsid w:val="0084251D"/>
    <w:rsid w:val="00843BB5"/>
    <w:rsid w:val="008441CE"/>
    <w:rsid w:val="008442DE"/>
    <w:rsid w:val="008443B3"/>
    <w:rsid w:val="00844886"/>
    <w:rsid w:val="00844CF8"/>
    <w:rsid w:val="00846433"/>
    <w:rsid w:val="0084668A"/>
    <w:rsid w:val="00846E0F"/>
    <w:rsid w:val="0084726B"/>
    <w:rsid w:val="00847E3B"/>
    <w:rsid w:val="00850C76"/>
    <w:rsid w:val="00850DF4"/>
    <w:rsid w:val="008510C7"/>
    <w:rsid w:val="0085150A"/>
    <w:rsid w:val="0085160F"/>
    <w:rsid w:val="0085327B"/>
    <w:rsid w:val="0085341E"/>
    <w:rsid w:val="00853B1E"/>
    <w:rsid w:val="00854AAE"/>
    <w:rsid w:val="00855691"/>
    <w:rsid w:val="008563B1"/>
    <w:rsid w:val="00856CDB"/>
    <w:rsid w:val="008574D4"/>
    <w:rsid w:val="00857BFC"/>
    <w:rsid w:val="00860243"/>
    <w:rsid w:val="00861605"/>
    <w:rsid w:val="00861901"/>
    <w:rsid w:val="00862ACA"/>
    <w:rsid w:val="008631E0"/>
    <w:rsid w:val="00863B5C"/>
    <w:rsid w:val="00863E35"/>
    <w:rsid w:val="00864018"/>
    <w:rsid w:val="0086480C"/>
    <w:rsid w:val="00865A4D"/>
    <w:rsid w:val="0086680C"/>
    <w:rsid w:val="00866A4F"/>
    <w:rsid w:val="00866F44"/>
    <w:rsid w:val="008674BF"/>
    <w:rsid w:val="00870F86"/>
    <w:rsid w:val="0087101B"/>
    <w:rsid w:val="00871170"/>
    <w:rsid w:val="00871DA2"/>
    <w:rsid w:val="00873954"/>
    <w:rsid w:val="00873DEB"/>
    <w:rsid w:val="00873EFF"/>
    <w:rsid w:val="00874350"/>
    <w:rsid w:val="008748A9"/>
    <w:rsid w:val="008749E8"/>
    <w:rsid w:val="00874A3D"/>
    <w:rsid w:val="00874BD3"/>
    <w:rsid w:val="008757B4"/>
    <w:rsid w:val="00876774"/>
    <w:rsid w:val="00876C6F"/>
    <w:rsid w:val="00877E8B"/>
    <w:rsid w:val="008803DA"/>
    <w:rsid w:val="00881794"/>
    <w:rsid w:val="00881CAD"/>
    <w:rsid w:val="00883527"/>
    <w:rsid w:val="00883875"/>
    <w:rsid w:val="00883A58"/>
    <w:rsid w:val="00884002"/>
    <w:rsid w:val="00885696"/>
    <w:rsid w:val="00885E5B"/>
    <w:rsid w:val="00886951"/>
    <w:rsid w:val="00887E67"/>
    <w:rsid w:val="00890533"/>
    <w:rsid w:val="00890CC8"/>
    <w:rsid w:val="00891F98"/>
    <w:rsid w:val="0089326A"/>
    <w:rsid w:val="0089358E"/>
    <w:rsid w:val="00893F67"/>
    <w:rsid w:val="00893FE6"/>
    <w:rsid w:val="00895D50"/>
    <w:rsid w:val="00895E6F"/>
    <w:rsid w:val="00896048"/>
    <w:rsid w:val="008A0297"/>
    <w:rsid w:val="008A034D"/>
    <w:rsid w:val="008A0934"/>
    <w:rsid w:val="008A09B1"/>
    <w:rsid w:val="008A1004"/>
    <w:rsid w:val="008A13F3"/>
    <w:rsid w:val="008A15C2"/>
    <w:rsid w:val="008A1853"/>
    <w:rsid w:val="008A1B39"/>
    <w:rsid w:val="008A2F96"/>
    <w:rsid w:val="008A34CB"/>
    <w:rsid w:val="008A474D"/>
    <w:rsid w:val="008A4F90"/>
    <w:rsid w:val="008A5C97"/>
    <w:rsid w:val="008A6835"/>
    <w:rsid w:val="008A759D"/>
    <w:rsid w:val="008A7EF2"/>
    <w:rsid w:val="008B0300"/>
    <w:rsid w:val="008B170E"/>
    <w:rsid w:val="008B25EB"/>
    <w:rsid w:val="008B304E"/>
    <w:rsid w:val="008B37A1"/>
    <w:rsid w:val="008B3862"/>
    <w:rsid w:val="008B3F27"/>
    <w:rsid w:val="008B42C4"/>
    <w:rsid w:val="008B4625"/>
    <w:rsid w:val="008B467F"/>
    <w:rsid w:val="008B4F74"/>
    <w:rsid w:val="008B57B0"/>
    <w:rsid w:val="008B5F54"/>
    <w:rsid w:val="008B6194"/>
    <w:rsid w:val="008C0136"/>
    <w:rsid w:val="008C06CB"/>
    <w:rsid w:val="008C0AA9"/>
    <w:rsid w:val="008C0C83"/>
    <w:rsid w:val="008C1FCE"/>
    <w:rsid w:val="008C4D27"/>
    <w:rsid w:val="008C582D"/>
    <w:rsid w:val="008C5C47"/>
    <w:rsid w:val="008C65E5"/>
    <w:rsid w:val="008C6A5F"/>
    <w:rsid w:val="008C72F4"/>
    <w:rsid w:val="008C7F35"/>
    <w:rsid w:val="008D001E"/>
    <w:rsid w:val="008D0786"/>
    <w:rsid w:val="008D0C9C"/>
    <w:rsid w:val="008D1399"/>
    <w:rsid w:val="008D17EA"/>
    <w:rsid w:val="008D27D4"/>
    <w:rsid w:val="008D2A1E"/>
    <w:rsid w:val="008D2C6C"/>
    <w:rsid w:val="008D2CA0"/>
    <w:rsid w:val="008D3821"/>
    <w:rsid w:val="008D3B33"/>
    <w:rsid w:val="008D3EA3"/>
    <w:rsid w:val="008D4703"/>
    <w:rsid w:val="008D4A1E"/>
    <w:rsid w:val="008D525F"/>
    <w:rsid w:val="008D5419"/>
    <w:rsid w:val="008D5500"/>
    <w:rsid w:val="008D56A4"/>
    <w:rsid w:val="008D5A16"/>
    <w:rsid w:val="008D659E"/>
    <w:rsid w:val="008D6656"/>
    <w:rsid w:val="008D7E1F"/>
    <w:rsid w:val="008E0F7A"/>
    <w:rsid w:val="008E2B3A"/>
    <w:rsid w:val="008E3AED"/>
    <w:rsid w:val="008E3EF5"/>
    <w:rsid w:val="008E3FF0"/>
    <w:rsid w:val="008E4DC6"/>
    <w:rsid w:val="008E5DFF"/>
    <w:rsid w:val="008E6B14"/>
    <w:rsid w:val="008E6C1C"/>
    <w:rsid w:val="008E6CD9"/>
    <w:rsid w:val="008E6FC3"/>
    <w:rsid w:val="008E7376"/>
    <w:rsid w:val="008F025B"/>
    <w:rsid w:val="008F057A"/>
    <w:rsid w:val="008F0A00"/>
    <w:rsid w:val="008F0EEB"/>
    <w:rsid w:val="008F1119"/>
    <w:rsid w:val="008F1C9F"/>
    <w:rsid w:val="008F1F04"/>
    <w:rsid w:val="008F2C24"/>
    <w:rsid w:val="008F2D75"/>
    <w:rsid w:val="008F48A5"/>
    <w:rsid w:val="008F4B28"/>
    <w:rsid w:val="008F52C7"/>
    <w:rsid w:val="008F5FAF"/>
    <w:rsid w:val="008F74C2"/>
    <w:rsid w:val="008F7CEE"/>
    <w:rsid w:val="00900A63"/>
    <w:rsid w:val="00900E6F"/>
    <w:rsid w:val="00901723"/>
    <w:rsid w:val="00901AA4"/>
    <w:rsid w:val="00901C53"/>
    <w:rsid w:val="0090239E"/>
    <w:rsid w:val="009024C5"/>
    <w:rsid w:val="00902694"/>
    <w:rsid w:val="00902767"/>
    <w:rsid w:val="00902BB7"/>
    <w:rsid w:val="009037B5"/>
    <w:rsid w:val="009048BF"/>
    <w:rsid w:val="00904FC4"/>
    <w:rsid w:val="0090792D"/>
    <w:rsid w:val="00907A99"/>
    <w:rsid w:val="00910F5E"/>
    <w:rsid w:val="00910FA8"/>
    <w:rsid w:val="00911831"/>
    <w:rsid w:val="00911E06"/>
    <w:rsid w:val="0091242E"/>
    <w:rsid w:val="009124E7"/>
    <w:rsid w:val="0091258E"/>
    <w:rsid w:val="00912A36"/>
    <w:rsid w:val="00912BE3"/>
    <w:rsid w:val="00912EBF"/>
    <w:rsid w:val="00912F15"/>
    <w:rsid w:val="00912FF6"/>
    <w:rsid w:val="00913BFA"/>
    <w:rsid w:val="00914ED2"/>
    <w:rsid w:val="009160EE"/>
    <w:rsid w:val="00916658"/>
    <w:rsid w:val="00916674"/>
    <w:rsid w:val="009169DC"/>
    <w:rsid w:val="00916B69"/>
    <w:rsid w:val="00916D23"/>
    <w:rsid w:val="0091768B"/>
    <w:rsid w:val="00917A54"/>
    <w:rsid w:val="00920A44"/>
    <w:rsid w:val="00922AA7"/>
    <w:rsid w:val="00922C6F"/>
    <w:rsid w:val="00922D6B"/>
    <w:rsid w:val="00922EFC"/>
    <w:rsid w:val="00923155"/>
    <w:rsid w:val="009237B9"/>
    <w:rsid w:val="00924921"/>
    <w:rsid w:val="00924A7B"/>
    <w:rsid w:val="00925391"/>
    <w:rsid w:val="009254E0"/>
    <w:rsid w:val="00925CEA"/>
    <w:rsid w:val="00925E5C"/>
    <w:rsid w:val="00926E78"/>
    <w:rsid w:val="00927A0F"/>
    <w:rsid w:val="00927A30"/>
    <w:rsid w:val="00927DC6"/>
    <w:rsid w:val="00930613"/>
    <w:rsid w:val="00931E9D"/>
    <w:rsid w:val="009328B3"/>
    <w:rsid w:val="00932DCE"/>
    <w:rsid w:val="00933FC2"/>
    <w:rsid w:val="00935374"/>
    <w:rsid w:val="00936A54"/>
    <w:rsid w:val="00937543"/>
    <w:rsid w:val="00937AC9"/>
    <w:rsid w:val="00937FED"/>
    <w:rsid w:val="00940B0E"/>
    <w:rsid w:val="00940F81"/>
    <w:rsid w:val="00941381"/>
    <w:rsid w:val="00941552"/>
    <w:rsid w:val="00942218"/>
    <w:rsid w:val="00942B82"/>
    <w:rsid w:val="00943C5A"/>
    <w:rsid w:val="00944273"/>
    <w:rsid w:val="00944918"/>
    <w:rsid w:val="00944C1D"/>
    <w:rsid w:val="00945D12"/>
    <w:rsid w:val="009467BE"/>
    <w:rsid w:val="00946D9D"/>
    <w:rsid w:val="00947664"/>
    <w:rsid w:val="00947E32"/>
    <w:rsid w:val="0095227C"/>
    <w:rsid w:val="009523A7"/>
    <w:rsid w:val="009523F2"/>
    <w:rsid w:val="00952BDD"/>
    <w:rsid w:val="00953FB7"/>
    <w:rsid w:val="009548B5"/>
    <w:rsid w:val="009549C1"/>
    <w:rsid w:val="00954BB3"/>
    <w:rsid w:val="009551C5"/>
    <w:rsid w:val="009564D7"/>
    <w:rsid w:val="00956636"/>
    <w:rsid w:val="009570C8"/>
    <w:rsid w:val="00957B81"/>
    <w:rsid w:val="00961F34"/>
    <w:rsid w:val="00961FE9"/>
    <w:rsid w:val="009620C0"/>
    <w:rsid w:val="009628DB"/>
    <w:rsid w:val="00962C42"/>
    <w:rsid w:val="00963312"/>
    <w:rsid w:val="0096386A"/>
    <w:rsid w:val="009646B0"/>
    <w:rsid w:val="0096508A"/>
    <w:rsid w:val="00965ABF"/>
    <w:rsid w:val="009663E1"/>
    <w:rsid w:val="00966CA8"/>
    <w:rsid w:val="00967277"/>
    <w:rsid w:val="0096743A"/>
    <w:rsid w:val="00970109"/>
    <w:rsid w:val="00971A41"/>
    <w:rsid w:val="00971FE0"/>
    <w:rsid w:val="00972390"/>
    <w:rsid w:val="00973467"/>
    <w:rsid w:val="00974E2D"/>
    <w:rsid w:val="0097551A"/>
    <w:rsid w:val="009756A8"/>
    <w:rsid w:val="00975886"/>
    <w:rsid w:val="00975BE8"/>
    <w:rsid w:val="00976A58"/>
    <w:rsid w:val="00977AA1"/>
    <w:rsid w:val="00980058"/>
    <w:rsid w:val="00981306"/>
    <w:rsid w:val="00982445"/>
    <w:rsid w:val="009825B8"/>
    <w:rsid w:val="00982777"/>
    <w:rsid w:val="009829E7"/>
    <w:rsid w:val="00982BC5"/>
    <w:rsid w:val="00982C40"/>
    <w:rsid w:val="00983630"/>
    <w:rsid w:val="0098375D"/>
    <w:rsid w:val="00983F25"/>
    <w:rsid w:val="00984FFA"/>
    <w:rsid w:val="00986137"/>
    <w:rsid w:val="00986389"/>
    <w:rsid w:val="00986444"/>
    <w:rsid w:val="00986AA2"/>
    <w:rsid w:val="009872CD"/>
    <w:rsid w:val="00987A8B"/>
    <w:rsid w:val="00990A46"/>
    <w:rsid w:val="00990AB9"/>
    <w:rsid w:val="009912BB"/>
    <w:rsid w:val="00991570"/>
    <w:rsid w:val="0099190E"/>
    <w:rsid w:val="009920E2"/>
    <w:rsid w:val="00994217"/>
    <w:rsid w:val="00994471"/>
    <w:rsid w:val="00994618"/>
    <w:rsid w:val="00994CAB"/>
    <w:rsid w:val="00995A42"/>
    <w:rsid w:val="00995D4B"/>
    <w:rsid w:val="00995D7E"/>
    <w:rsid w:val="00996CD5"/>
    <w:rsid w:val="00997E71"/>
    <w:rsid w:val="00997F47"/>
    <w:rsid w:val="009A09EC"/>
    <w:rsid w:val="009A0A7D"/>
    <w:rsid w:val="009A0E02"/>
    <w:rsid w:val="009A151F"/>
    <w:rsid w:val="009A24BC"/>
    <w:rsid w:val="009A24D2"/>
    <w:rsid w:val="009A2699"/>
    <w:rsid w:val="009A3380"/>
    <w:rsid w:val="009A3EC3"/>
    <w:rsid w:val="009A4038"/>
    <w:rsid w:val="009A442C"/>
    <w:rsid w:val="009A4AF4"/>
    <w:rsid w:val="009A5C07"/>
    <w:rsid w:val="009A659E"/>
    <w:rsid w:val="009A67C2"/>
    <w:rsid w:val="009A6AF8"/>
    <w:rsid w:val="009A6E69"/>
    <w:rsid w:val="009A6FE4"/>
    <w:rsid w:val="009A7724"/>
    <w:rsid w:val="009A7EF0"/>
    <w:rsid w:val="009B1003"/>
    <w:rsid w:val="009B1961"/>
    <w:rsid w:val="009B2356"/>
    <w:rsid w:val="009B2760"/>
    <w:rsid w:val="009B2A92"/>
    <w:rsid w:val="009B3C05"/>
    <w:rsid w:val="009B46F6"/>
    <w:rsid w:val="009B58B6"/>
    <w:rsid w:val="009B5C72"/>
    <w:rsid w:val="009B5CB4"/>
    <w:rsid w:val="009B5E96"/>
    <w:rsid w:val="009B6AA5"/>
    <w:rsid w:val="009B6AA7"/>
    <w:rsid w:val="009B6B89"/>
    <w:rsid w:val="009B76F3"/>
    <w:rsid w:val="009B7753"/>
    <w:rsid w:val="009B7ABB"/>
    <w:rsid w:val="009C116F"/>
    <w:rsid w:val="009C2087"/>
    <w:rsid w:val="009C24FF"/>
    <w:rsid w:val="009C27F7"/>
    <w:rsid w:val="009C28FA"/>
    <w:rsid w:val="009C2989"/>
    <w:rsid w:val="009C2DE1"/>
    <w:rsid w:val="009C3143"/>
    <w:rsid w:val="009C3712"/>
    <w:rsid w:val="009C3901"/>
    <w:rsid w:val="009C3BA8"/>
    <w:rsid w:val="009C3C64"/>
    <w:rsid w:val="009C4629"/>
    <w:rsid w:val="009C559F"/>
    <w:rsid w:val="009C5A81"/>
    <w:rsid w:val="009C62B9"/>
    <w:rsid w:val="009C66BD"/>
    <w:rsid w:val="009C6B98"/>
    <w:rsid w:val="009D040F"/>
    <w:rsid w:val="009D0429"/>
    <w:rsid w:val="009D043F"/>
    <w:rsid w:val="009D0A15"/>
    <w:rsid w:val="009D1603"/>
    <w:rsid w:val="009D23AF"/>
    <w:rsid w:val="009D2F92"/>
    <w:rsid w:val="009D31F6"/>
    <w:rsid w:val="009D3643"/>
    <w:rsid w:val="009D4058"/>
    <w:rsid w:val="009D4B0D"/>
    <w:rsid w:val="009D5300"/>
    <w:rsid w:val="009D57EC"/>
    <w:rsid w:val="009D5839"/>
    <w:rsid w:val="009D5AD5"/>
    <w:rsid w:val="009D607F"/>
    <w:rsid w:val="009D6101"/>
    <w:rsid w:val="009D6405"/>
    <w:rsid w:val="009D6EDD"/>
    <w:rsid w:val="009D7549"/>
    <w:rsid w:val="009D75E4"/>
    <w:rsid w:val="009D7881"/>
    <w:rsid w:val="009D789C"/>
    <w:rsid w:val="009D7CC1"/>
    <w:rsid w:val="009E0CD5"/>
    <w:rsid w:val="009E107C"/>
    <w:rsid w:val="009E10B8"/>
    <w:rsid w:val="009E1340"/>
    <w:rsid w:val="009E1EB9"/>
    <w:rsid w:val="009E25DF"/>
    <w:rsid w:val="009E2853"/>
    <w:rsid w:val="009E285E"/>
    <w:rsid w:val="009E31E8"/>
    <w:rsid w:val="009E33E8"/>
    <w:rsid w:val="009E3400"/>
    <w:rsid w:val="009E39DB"/>
    <w:rsid w:val="009E3F6A"/>
    <w:rsid w:val="009E40F8"/>
    <w:rsid w:val="009E4374"/>
    <w:rsid w:val="009E563D"/>
    <w:rsid w:val="009E56DB"/>
    <w:rsid w:val="009E56FA"/>
    <w:rsid w:val="009E5EDB"/>
    <w:rsid w:val="009F06DE"/>
    <w:rsid w:val="009F1184"/>
    <w:rsid w:val="009F1E00"/>
    <w:rsid w:val="009F2F54"/>
    <w:rsid w:val="009F3011"/>
    <w:rsid w:val="009F37D9"/>
    <w:rsid w:val="009F45ED"/>
    <w:rsid w:val="009F5C4E"/>
    <w:rsid w:val="009F631F"/>
    <w:rsid w:val="009F6D67"/>
    <w:rsid w:val="009F77B0"/>
    <w:rsid w:val="00A0039C"/>
    <w:rsid w:val="00A01B3A"/>
    <w:rsid w:val="00A01D9C"/>
    <w:rsid w:val="00A01FB3"/>
    <w:rsid w:val="00A02D1A"/>
    <w:rsid w:val="00A03078"/>
    <w:rsid w:val="00A045FF"/>
    <w:rsid w:val="00A04806"/>
    <w:rsid w:val="00A04AC9"/>
    <w:rsid w:val="00A04D47"/>
    <w:rsid w:val="00A04E32"/>
    <w:rsid w:val="00A0627A"/>
    <w:rsid w:val="00A06C9C"/>
    <w:rsid w:val="00A06D4A"/>
    <w:rsid w:val="00A07317"/>
    <w:rsid w:val="00A07629"/>
    <w:rsid w:val="00A10781"/>
    <w:rsid w:val="00A10822"/>
    <w:rsid w:val="00A10C30"/>
    <w:rsid w:val="00A11AFC"/>
    <w:rsid w:val="00A122C2"/>
    <w:rsid w:val="00A12BD8"/>
    <w:rsid w:val="00A1447C"/>
    <w:rsid w:val="00A149E2"/>
    <w:rsid w:val="00A14FB9"/>
    <w:rsid w:val="00A15AB9"/>
    <w:rsid w:val="00A15F64"/>
    <w:rsid w:val="00A16615"/>
    <w:rsid w:val="00A166B7"/>
    <w:rsid w:val="00A232DB"/>
    <w:rsid w:val="00A233E0"/>
    <w:rsid w:val="00A24222"/>
    <w:rsid w:val="00A24386"/>
    <w:rsid w:val="00A24F5B"/>
    <w:rsid w:val="00A26353"/>
    <w:rsid w:val="00A26E89"/>
    <w:rsid w:val="00A2705B"/>
    <w:rsid w:val="00A27341"/>
    <w:rsid w:val="00A2734B"/>
    <w:rsid w:val="00A274B4"/>
    <w:rsid w:val="00A27E5C"/>
    <w:rsid w:val="00A30223"/>
    <w:rsid w:val="00A306EB"/>
    <w:rsid w:val="00A31484"/>
    <w:rsid w:val="00A33FE2"/>
    <w:rsid w:val="00A3448A"/>
    <w:rsid w:val="00A34A7E"/>
    <w:rsid w:val="00A352DB"/>
    <w:rsid w:val="00A35303"/>
    <w:rsid w:val="00A358CC"/>
    <w:rsid w:val="00A35BC3"/>
    <w:rsid w:val="00A35F5B"/>
    <w:rsid w:val="00A361CE"/>
    <w:rsid w:val="00A37BA7"/>
    <w:rsid w:val="00A37BEB"/>
    <w:rsid w:val="00A4016C"/>
    <w:rsid w:val="00A4045B"/>
    <w:rsid w:val="00A41678"/>
    <w:rsid w:val="00A42756"/>
    <w:rsid w:val="00A429A0"/>
    <w:rsid w:val="00A42FA4"/>
    <w:rsid w:val="00A43958"/>
    <w:rsid w:val="00A43B6C"/>
    <w:rsid w:val="00A45770"/>
    <w:rsid w:val="00A45865"/>
    <w:rsid w:val="00A45C9C"/>
    <w:rsid w:val="00A50299"/>
    <w:rsid w:val="00A507B6"/>
    <w:rsid w:val="00A51E74"/>
    <w:rsid w:val="00A51F55"/>
    <w:rsid w:val="00A52052"/>
    <w:rsid w:val="00A5226D"/>
    <w:rsid w:val="00A52956"/>
    <w:rsid w:val="00A52A06"/>
    <w:rsid w:val="00A53BD4"/>
    <w:rsid w:val="00A53C9A"/>
    <w:rsid w:val="00A53E50"/>
    <w:rsid w:val="00A53E80"/>
    <w:rsid w:val="00A55764"/>
    <w:rsid w:val="00A55C75"/>
    <w:rsid w:val="00A56C84"/>
    <w:rsid w:val="00A57EBF"/>
    <w:rsid w:val="00A60384"/>
    <w:rsid w:val="00A60FE3"/>
    <w:rsid w:val="00A6113A"/>
    <w:rsid w:val="00A617D1"/>
    <w:rsid w:val="00A6229B"/>
    <w:rsid w:val="00A6282F"/>
    <w:rsid w:val="00A62AFA"/>
    <w:rsid w:val="00A62D4B"/>
    <w:rsid w:val="00A637C0"/>
    <w:rsid w:val="00A64B54"/>
    <w:rsid w:val="00A64D6E"/>
    <w:rsid w:val="00A64EA9"/>
    <w:rsid w:val="00A65F35"/>
    <w:rsid w:val="00A677DC"/>
    <w:rsid w:val="00A67FC6"/>
    <w:rsid w:val="00A68791"/>
    <w:rsid w:val="00A70ADA"/>
    <w:rsid w:val="00A710B8"/>
    <w:rsid w:val="00A71397"/>
    <w:rsid w:val="00A71F84"/>
    <w:rsid w:val="00A722FE"/>
    <w:rsid w:val="00A72623"/>
    <w:rsid w:val="00A727E7"/>
    <w:rsid w:val="00A7285D"/>
    <w:rsid w:val="00A73979"/>
    <w:rsid w:val="00A73C13"/>
    <w:rsid w:val="00A73EED"/>
    <w:rsid w:val="00A745AE"/>
    <w:rsid w:val="00A74836"/>
    <w:rsid w:val="00A74E3A"/>
    <w:rsid w:val="00A768D2"/>
    <w:rsid w:val="00A771E0"/>
    <w:rsid w:val="00A8088D"/>
    <w:rsid w:val="00A80A27"/>
    <w:rsid w:val="00A816BC"/>
    <w:rsid w:val="00A81F79"/>
    <w:rsid w:val="00A8262D"/>
    <w:rsid w:val="00A82641"/>
    <w:rsid w:val="00A82647"/>
    <w:rsid w:val="00A838E0"/>
    <w:rsid w:val="00A84633"/>
    <w:rsid w:val="00A84CA7"/>
    <w:rsid w:val="00A8542E"/>
    <w:rsid w:val="00A8593A"/>
    <w:rsid w:val="00A90BB5"/>
    <w:rsid w:val="00A9188B"/>
    <w:rsid w:val="00A91BD3"/>
    <w:rsid w:val="00A91E16"/>
    <w:rsid w:val="00A91EFC"/>
    <w:rsid w:val="00A91F6A"/>
    <w:rsid w:val="00A9208D"/>
    <w:rsid w:val="00A94238"/>
    <w:rsid w:val="00A945E1"/>
    <w:rsid w:val="00A955EC"/>
    <w:rsid w:val="00A95B01"/>
    <w:rsid w:val="00A96573"/>
    <w:rsid w:val="00A96D6A"/>
    <w:rsid w:val="00A9734E"/>
    <w:rsid w:val="00A975AC"/>
    <w:rsid w:val="00A97D18"/>
    <w:rsid w:val="00A97EE9"/>
    <w:rsid w:val="00AA02AF"/>
    <w:rsid w:val="00AA05CD"/>
    <w:rsid w:val="00AA11B5"/>
    <w:rsid w:val="00AA1A5A"/>
    <w:rsid w:val="00AA26C8"/>
    <w:rsid w:val="00AA2908"/>
    <w:rsid w:val="00AA2AE3"/>
    <w:rsid w:val="00AA3857"/>
    <w:rsid w:val="00AA3A7A"/>
    <w:rsid w:val="00AA4A5E"/>
    <w:rsid w:val="00AA4F24"/>
    <w:rsid w:val="00AA5BD7"/>
    <w:rsid w:val="00AA614E"/>
    <w:rsid w:val="00AA65D9"/>
    <w:rsid w:val="00AA67A0"/>
    <w:rsid w:val="00AA67AB"/>
    <w:rsid w:val="00AA74E9"/>
    <w:rsid w:val="00AA7D3A"/>
    <w:rsid w:val="00AB0328"/>
    <w:rsid w:val="00AB1CC2"/>
    <w:rsid w:val="00AB2CBD"/>
    <w:rsid w:val="00AB3CAA"/>
    <w:rsid w:val="00AB4081"/>
    <w:rsid w:val="00AB42FA"/>
    <w:rsid w:val="00AB58D2"/>
    <w:rsid w:val="00AB7771"/>
    <w:rsid w:val="00AC05D3"/>
    <w:rsid w:val="00AC0AF5"/>
    <w:rsid w:val="00AC0ECA"/>
    <w:rsid w:val="00AC105E"/>
    <w:rsid w:val="00AC1131"/>
    <w:rsid w:val="00AC1AC4"/>
    <w:rsid w:val="00AC3A7D"/>
    <w:rsid w:val="00AC44B5"/>
    <w:rsid w:val="00AC5472"/>
    <w:rsid w:val="00AC7A17"/>
    <w:rsid w:val="00AC7AA4"/>
    <w:rsid w:val="00AD0360"/>
    <w:rsid w:val="00AD0A2A"/>
    <w:rsid w:val="00AD0D3A"/>
    <w:rsid w:val="00AD0D9F"/>
    <w:rsid w:val="00AD15AC"/>
    <w:rsid w:val="00AD1B66"/>
    <w:rsid w:val="00AD1CFF"/>
    <w:rsid w:val="00AD233F"/>
    <w:rsid w:val="00AD2447"/>
    <w:rsid w:val="00AD28FE"/>
    <w:rsid w:val="00AD3F78"/>
    <w:rsid w:val="00AD46F7"/>
    <w:rsid w:val="00AD4955"/>
    <w:rsid w:val="00AD5A1D"/>
    <w:rsid w:val="00AD622C"/>
    <w:rsid w:val="00AD68E6"/>
    <w:rsid w:val="00AD69AC"/>
    <w:rsid w:val="00AD69DD"/>
    <w:rsid w:val="00AD6D7B"/>
    <w:rsid w:val="00AD6E51"/>
    <w:rsid w:val="00AE026A"/>
    <w:rsid w:val="00AE0C05"/>
    <w:rsid w:val="00AE1346"/>
    <w:rsid w:val="00AE2594"/>
    <w:rsid w:val="00AE274D"/>
    <w:rsid w:val="00AE3624"/>
    <w:rsid w:val="00AE369D"/>
    <w:rsid w:val="00AE3760"/>
    <w:rsid w:val="00AE3BC6"/>
    <w:rsid w:val="00AE3F7E"/>
    <w:rsid w:val="00AE4170"/>
    <w:rsid w:val="00AE5ECA"/>
    <w:rsid w:val="00AE63B1"/>
    <w:rsid w:val="00AE6AAB"/>
    <w:rsid w:val="00AE6DD9"/>
    <w:rsid w:val="00AE7BE7"/>
    <w:rsid w:val="00AE7FC5"/>
    <w:rsid w:val="00AF2486"/>
    <w:rsid w:val="00AF3C54"/>
    <w:rsid w:val="00AF3D20"/>
    <w:rsid w:val="00AF4218"/>
    <w:rsid w:val="00AF439C"/>
    <w:rsid w:val="00AF60B2"/>
    <w:rsid w:val="00AF68C0"/>
    <w:rsid w:val="00AF68F7"/>
    <w:rsid w:val="00AF6AF4"/>
    <w:rsid w:val="00AF6F5C"/>
    <w:rsid w:val="00B00171"/>
    <w:rsid w:val="00B00B0F"/>
    <w:rsid w:val="00B00D35"/>
    <w:rsid w:val="00B024F3"/>
    <w:rsid w:val="00B02506"/>
    <w:rsid w:val="00B02557"/>
    <w:rsid w:val="00B027C5"/>
    <w:rsid w:val="00B02874"/>
    <w:rsid w:val="00B02ACF"/>
    <w:rsid w:val="00B03174"/>
    <w:rsid w:val="00B04655"/>
    <w:rsid w:val="00B04911"/>
    <w:rsid w:val="00B05195"/>
    <w:rsid w:val="00B0590E"/>
    <w:rsid w:val="00B05F34"/>
    <w:rsid w:val="00B060AD"/>
    <w:rsid w:val="00B06700"/>
    <w:rsid w:val="00B06750"/>
    <w:rsid w:val="00B06897"/>
    <w:rsid w:val="00B06B5D"/>
    <w:rsid w:val="00B07337"/>
    <w:rsid w:val="00B07AA1"/>
    <w:rsid w:val="00B07BF5"/>
    <w:rsid w:val="00B10E27"/>
    <w:rsid w:val="00B11411"/>
    <w:rsid w:val="00B11B2A"/>
    <w:rsid w:val="00B12632"/>
    <w:rsid w:val="00B13545"/>
    <w:rsid w:val="00B1388F"/>
    <w:rsid w:val="00B13DEC"/>
    <w:rsid w:val="00B14B93"/>
    <w:rsid w:val="00B15AEE"/>
    <w:rsid w:val="00B15B9E"/>
    <w:rsid w:val="00B15C5C"/>
    <w:rsid w:val="00B15D11"/>
    <w:rsid w:val="00B168E1"/>
    <w:rsid w:val="00B17B68"/>
    <w:rsid w:val="00B20258"/>
    <w:rsid w:val="00B222EC"/>
    <w:rsid w:val="00B22406"/>
    <w:rsid w:val="00B22810"/>
    <w:rsid w:val="00B22A8E"/>
    <w:rsid w:val="00B22F84"/>
    <w:rsid w:val="00B2326A"/>
    <w:rsid w:val="00B2384B"/>
    <w:rsid w:val="00B23E0D"/>
    <w:rsid w:val="00B2462E"/>
    <w:rsid w:val="00B24669"/>
    <w:rsid w:val="00B24852"/>
    <w:rsid w:val="00B2548A"/>
    <w:rsid w:val="00B26757"/>
    <w:rsid w:val="00B26DD6"/>
    <w:rsid w:val="00B300C5"/>
    <w:rsid w:val="00B30C98"/>
    <w:rsid w:val="00B3115A"/>
    <w:rsid w:val="00B31C31"/>
    <w:rsid w:val="00B340C0"/>
    <w:rsid w:val="00B34A2B"/>
    <w:rsid w:val="00B358E1"/>
    <w:rsid w:val="00B359C9"/>
    <w:rsid w:val="00B35F8D"/>
    <w:rsid w:val="00B36026"/>
    <w:rsid w:val="00B361CB"/>
    <w:rsid w:val="00B363BF"/>
    <w:rsid w:val="00B3773C"/>
    <w:rsid w:val="00B37C28"/>
    <w:rsid w:val="00B40023"/>
    <w:rsid w:val="00B400AE"/>
    <w:rsid w:val="00B401FC"/>
    <w:rsid w:val="00B405FB"/>
    <w:rsid w:val="00B414FA"/>
    <w:rsid w:val="00B418AD"/>
    <w:rsid w:val="00B41E8D"/>
    <w:rsid w:val="00B434D7"/>
    <w:rsid w:val="00B438CE"/>
    <w:rsid w:val="00B45B55"/>
    <w:rsid w:val="00B45BEF"/>
    <w:rsid w:val="00B47041"/>
    <w:rsid w:val="00B47058"/>
    <w:rsid w:val="00B47733"/>
    <w:rsid w:val="00B5068E"/>
    <w:rsid w:val="00B50CF7"/>
    <w:rsid w:val="00B51024"/>
    <w:rsid w:val="00B518B6"/>
    <w:rsid w:val="00B52426"/>
    <w:rsid w:val="00B524A9"/>
    <w:rsid w:val="00B532DD"/>
    <w:rsid w:val="00B54D82"/>
    <w:rsid w:val="00B54DD3"/>
    <w:rsid w:val="00B603E4"/>
    <w:rsid w:val="00B60BE3"/>
    <w:rsid w:val="00B60C45"/>
    <w:rsid w:val="00B623B2"/>
    <w:rsid w:val="00B62742"/>
    <w:rsid w:val="00B62988"/>
    <w:rsid w:val="00B63B97"/>
    <w:rsid w:val="00B63F77"/>
    <w:rsid w:val="00B64816"/>
    <w:rsid w:val="00B65237"/>
    <w:rsid w:val="00B653F2"/>
    <w:rsid w:val="00B654D4"/>
    <w:rsid w:val="00B666CD"/>
    <w:rsid w:val="00B67894"/>
    <w:rsid w:val="00B67F8D"/>
    <w:rsid w:val="00B70831"/>
    <w:rsid w:val="00B71B75"/>
    <w:rsid w:val="00B72371"/>
    <w:rsid w:val="00B72E2B"/>
    <w:rsid w:val="00B737EF"/>
    <w:rsid w:val="00B74D25"/>
    <w:rsid w:val="00B750AD"/>
    <w:rsid w:val="00B75146"/>
    <w:rsid w:val="00B7519D"/>
    <w:rsid w:val="00B76809"/>
    <w:rsid w:val="00B7742A"/>
    <w:rsid w:val="00B77858"/>
    <w:rsid w:val="00B77C81"/>
    <w:rsid w:val="00B80F76"/>
    <w:rsid w:val="00B818B8"/>
    <w:rsid w:val="00B81A2E"/>
    <w:rsid w:val="00B81E38"/>
    <w:rsid w:val="00B82C1C"/>
    <w:rsid w:val="00B83587"/>
    <w:rsid w:val="00B8407F"/>
    <w:rsid w:val="00B8433F"/>
    <w:rsid w:val="00B847E4"/>
    <w:rsid w:val="00B8491D"/>
    <w:rsid w:val="00B85B34"/>
    <w:rsid w:val="00B861D8"/>
    <w:rsid w:val="00B86FFF"/>
    <w:rsid w:val="00B8742C"/>
    <w:rsid w:val="00B8767A"/>
    <w:rsid w:val="00B87BE3"/>
    <w:rsid w:val="00B90437"/>
    <w:rsid w:val="00B90464"/>
    <w:rsid w:val="00B91B65"/>
    <w:rsid w:val="00B92284"/>
    <w:rsid w:val="00B93533"/>
    <w:rsid w:val="00B9379D"/>
    <w:rsid w:val="00B93987"/>
    <w:rsid w:val="00B93F50"/>
    <w:rsid w:val="00B94202"/>
    <w:rsid w:val="00B9424F"/>
    <w:rsid w:val="00B9504D"/>
    <w:rsid w:val="00B9574E"/>
    <w:rsid w:val="00B957FA"/>
    <w:rsid w:val="00B95A8E"/>
    <w:rsid w:val="00B95BD0"/>
    <w:rsid w:val="00B9602F"/>
    <w:rsid w:val="00B9731D"/>
    <w:rsid w:val="00B9795F"/>
    <w:rsid w:val="00BA164A"/>
    <w:rsid w:val="00BA1A18"/>
    <w:rsid w:val="00BA350B"/>
    <w:rsid w:val="00BA35BC"/>
    <w:rsid w:val="00BA45E6"/>
    <w:rsid w:val="00BA52C2"/>
    <w:rsid w:val="00BA58D3"/>
    <w:rsid w:val="00BA5C46"/>
    <w:rsid w:val="00BA5E6F"/>
    <w:rsid w:val="00BA7051"/>
    <w:rsid w:val="00BA7ABF"/>
    <w:rsid w:val="00BA7F77"/>
    <w:rsid w:val="00BB0164"/>
    <w:rsid w:val="00BB0D04"/>
    <w:rsid w:val="00BB1339"/>
    <w:rsid w:val="00BB1A20"/>
    <w:rsid w:val="00BB29FA"/>
    <w:rsid w:val="00BB2B15"/>
    <w:rsid w:val="00BB3410"/>
    <w:rsid w:val="00BB3BF5"/>
    <w:rsid w:val="00BB3D4F"/>
    <w:rsid w:val="00BB432F"/>
    <w:rsid w:val="00BB466E"/>
    <w:rsid w:val="00BB49A7"/>
    <w:rsid w:val="00BB49C0"/>
    <w:rsid w:val="00BB4B9E"/>
    <w:rsid w:val="00BB544B"/>
    <w:rsid w:val="00BB6F4C"/>
    <w:rsid w:val="00BB6FB5"/>
    <w:rsid w:val="00BB753F"/>
    <w:rsid w:val="00BB7C3E"/>
    <w:rsid w:val="00BB7DA0"/>
    <w:rsid w:val="00BB7FF2"/>
    <w:rsid w:val="00BC044F"/>
    <w:rsid w:val="00BC05F0"/>
    <w:rsid w:val="00BC07B1"/>
    <w:rsid w:val="00BC0996"/>
    <w:rsid w:val="00BC0B1A"/>
    <w:rsid w:val="00BC0EEB"/>
    <w:rsid w:val="00BC1522"/>
    <w:rsid w:val="00BC18BA"/>
    <w:rsid w:val="00BC1BF0"/>
    <w:rsid w:val="00BC1FA1"/>
    <w:rsid w:val="00BC20C3"/>
    <w:rsid w:val="00BC2A85"/>
    <w:rsid w:val="00BC3015"/>
    <w:rsid w:val="00BC3541"/>
    <w:rsid w:val="00BC3D85"/>
    <w:rsid w:val="00BC3DD2"/>
    <w:rsid w:val="00BC4A9A"/>
    <w:rsid w:val="00BC5ABF"/>
    <w:rsid w:val="00BC5FD5"/>
    <w:rsid w:val="00BC64A2"/>
    <w:rsid w:val="00BC6D18"/>
    <w:rsid w:val="00BD11A3"/>
    <w:rsid w:val="00BD12E4"/>
    <w:rsid w:val="00BD23AF"/>
    <w:rsid w:val="00BD2B10"/>
    <w:rsid w:val="00BD3CBD"/>
    <w:rsid w:val="00BD3E85"/>
    <w:rsid w:val="00BD4584"/>
    <w:rsid w:val="00BD4AD2"/>
    <w:rsid w:val="00BD5F8C"/>
    <w:rsid w:val="00BD629A"/>
    <w:rsid w:val="00BD6B16"/>
    <w:rsid w:val="00BE12E1"/>
    <w:rsid w:val="00BE1B26"/>
    <w:rsid w:val="00BE1BB9"/>
    <w:rsid w:val="00BE1F44"/>
    <w:rsid w:val="00BE20E3"/>
    <w:rsid w:val="00BE3184"/>
    <w:rsid w:val="00BE3D6F"/>
    <w:rsid w:val="00BE3DA9"/>
    <w:rsid w:val="00BE4548"/>
    <w:rsid w:val="00BE53BF"/>
    <w:rsid w:val="00BE63D7"/>
    <w:rsid w:val="00BE6BD2"/>
    <w:rsid w:val="00BE7755"/>
    <w:rsid w:val="00BF0CAD"/>
    <w:rsid w:val="00BF15E5"/>
    <w:rsid w:val="00BF2700"/>
    <w:rsid w:val="00BF2A34"/>
    <w:rsid w:val="00BF2DF6"/>
    <w:rsid w:val="00BF2FC6"/>
    <w:rsid w:val="00BF3D8D"/>
    <w:rsid w:val="00BF5699"/>
    <w:rsid w:val="00BF6721"/>
    <w:rsid w:val="00BF7049"/>
    <w:rsid w:val="00C005F3"/>
    <w:rsid w:val="00C00D82"/>
    <w:rsid w:val="00C02379"/>
    <w:rsid w:val="00C02453"/>
    <w:rsid w:val="00C02D9A"/>
    <w:rsid w:val="00C033E9"/>
    <w:rsid w:val="00C0389F"/>
    <w:rsid w:val="00C04326"/>
    <w:rsid w:val="00C04519"/>
    <w:rsid w:val="00C04696"/>
    <w:rsid w:val="00C046AD"/>
    <w:rsid w:val="00C054E3"/>
    <w:rsid w:val="00C066B7"/>
    <w:rsid w:val="00C06BD2"/>
    <w:rsid w:val="00C07AAE"/>
    <w:rsid w:val="00C07D74"/>
    <w:rsid w:val="00C110B5"/>
    <w:rsid w:val="00C113E4"/>
    <w:rsid w:val="00C11ED5"/>
    <w:rsid w:val="00C13B84"/>
    <w:rsid w:val="00C14B7B"/>
    <w:rsid w:val="00C14CB7"/>
    <w:rsid w:val="00C14D9D"/>
    <w:rsid w:val="00C1628D"/>
    <w:rsid w:val="00C172A5"/>
    <w:rsid w:val="00C20372"/>
    <w:rsid w:val="00C20FCA"/>
    <w:rsid w:val="00C21BD7"/>
    <w:rsid w:val="00C21D1A"/>
    <w:rsid w:val="00C220B5"/>
    <w:rsid w:val="00C22DE1"/>
    <w:rsid w:val="00C2354D"/>
    <w:rsid w:val="00C2356F"/>
    <w:rsid w:val="00C24420"/>
    <w:rsid w:val="00C24C6C"/>
    <w:rsid w:val="00C25049"/>
    <w:rsid w:val="00C25199"/>
    <w:rsid w:val="00C25278"/>
    <w:rsid w:val="00C25A7A"/>
    <w:rsid w:val="00C26C75"/>
    <w:rsid w:val="00C26DCA"/>
    <w:rsid w:val="00C27150"/>
    <w:rsid w:val="00C27981"/>
    <w:rsid w:val="00C3006D"/>
    <w:rsid w:val="00C30469"/>
    <w:rsid w:val="00C30833"/>
    <w:rsid w:val="00C30C4F"/>
    <w:rsid w:val="00C3183C"/>
    <w:rsid w:val="00C32359"/>
    <w:rsid w:val="00C32D5B"/>
    <w:rsid w:val="00C33358"/>
    <w:rsid w:val="00C33CC8"/>
    <w:rsid w:val="00C33E98"/>
    <w:rsid w:val="00C347F1"/>
    <w:rsid w:val="00C34842"/>
    <w:rsid w:val="00C34CB3"/>
    <w:rsid w:val="00C34FA6"/>
    <w:rsid w:val="00C36AEE"/>
    <w:rsid w:val="00C36AF3"/>
    <w:rsid w:val="00C36BCC"/>
    <w:rsid w:val="00C36DCD"/>
    <w:rsid w:val="00C36DF2"/>
    <w:rsid w:val="00C36E61"/>
    <w:rsid w:val="00C375CA"/>
    <w:rsid w:val="00C40878"/>
    <w:rsid w:val="00C41A63"/>
    <w:rsid w:val="00C4298A"/>
    <w:rsid w:val="00C42F7B"/>
    <w:rsid w:val="00C43283"/>
    <w:rsid w:val="00C43BBD"/>
    <w:rsid w:val="00C441E0"/>
    <w:rsid w:val="00C44A9E"/>
    <w:rsid w:val="00C457F1"/>
    <w:rsid w:val="00C45979"/>
    <w:rsid w:val="00C462EB"/>
    <w:rsid w:val="00C46C02"/>
    <w:rsid w:val="00C47575"/>
    <w:rsid w:val="00C478BB"/>
    <w:rsid w:val="00C501B0"/>
    <w:rsid w:val="00C50CFC"/>
    <w:rsid w:val="00C51D4B"/>
    <w:rsid w:val="00C538F7"/>
    <w:rsid w:val="00C53D09"/>
    <w:rsid w:val="00C541C4"/>
    <w:rsid w:val="00C54356"/>
    <w:rsid w:val="00C546A4"/>
    <w:rsid w:val="00C54E17"/>
    <w:rsid w:val="00C54FDB"/>
    <w:rsid w:val="00C56FAF"/>
    <w:rsid w:val="00C573BC"/>
    <w:rsid w:val="00C579EE"/>
    <w:rsid w:val="00C57C67"/>
    <w:rsid w:val="00C6023C"/>
    <w:rsid w:val="00C60257"/>
    <w:rsid w:val="00C60DDA"/>
    <w:rsid w:val="00C612C4"/>
    <w:rsid w:val="00C6228D"/>
    <w:rsid w:val="00C629E4"/>
    <w:rsid w:val="00C62D8B"/>
    <w:rsid w:val="00C63846"/>
    <w:rsid w:val="00C64F7F"/>
    <w:rsid w:val="00C6502D"/>
    <w:rsid w:val="00C67D9C"/>
    <w:rsid w:val="00C706D7"/>
    <w:rsid w:val="00C70DB5"/>
    <w:rsid w:val="00C7175B"/>
    <w:rsid w:val="00C71809"/>
    <w:rsid w:val="00C71C12"/>
    <w:rsid w:val="00C71D0F"/>
    <w:rsid w:val="00C72590"/>
    <w:rsid w:val="00C72765"/>
    <w:rsid w:val="00C72CCD"/>
    <w:rsid w:val="00C73119"/>
    <w:rsid w:val="00C733F7"/>
    <w:rsid w:val="00C741EF"/>
    <w:rsid w:val="00C754FD"/>
    <w:rsid w:val="00C76105"/>
    <w:rsid w:val="00C76847"/>
    <w:rsid w:val="00C76FB0"/>
    <w:rsid w:val="00C76FDB"/>
    <w:rsid w:val="00C77068"/>
    <w:rsid w:val="00C77A00"/>
    <w:rsid w:val="00C77A22"/>
    <w:rsid w:val="00C80081"/>
    <w:rsid w:val="00C801DE"/>
    <w:rsid w:val="00C80E50"/>
    <w:rsid w:val="00C81982"/>
    <w:rsid w:val="00C81E8A"/>
    <w:rsid w:val="00C825CD"/>
    <w:rsid w:val="00C83ECD"/>
    <w:rsid w:val="00C8408B"/>
    <w:rsid w:val="00C848F4"/>
    <w:rsid w:val="00C849E8"/>
    <w:rsid w:val="00C85667"/>
    <w:rsid w:val="00C85FEB"/>
    <w:rsid w:val="00C86ABE"/>
    <w:rsid w:val="00C8720B"/>
    <w:rsid w:val="00C874DC"/>
    <w:rsid w:val="00C87C08"/>
    <w:rsid w:val="00C87E71"/>
    <w:rsid w:val="00C903F1"/>
    <w:rsid w:val="00C91270"/>
    <w:rsid w:val="00C9141A"/>
    <w:rsid w:val="00C916DE"/>
    <w:rsid w:val="00C92A52"/>
    <w:rsid w:val="00C92D6F"/>
    <w:rsid w:val="00C93634"/>
    <w:rsid w:val="00C93C00"/>
    <w:rsid w:val="00C943C6"/>
    <w:rsid w:val="00C946DB"/>
    <w:rsid w:val="00C94D70"/>
    <w:rsid w:val="00C9517E"/>
    <w:rsid w:val="00C956D2"/>
    <w:rsid w:val="00C96032"/>
    <w:rsid w:val="00C96BDE"/>
    <w:rsid w:val="00C96F3A"/>
    <w:rsid w:val="00CA010D"/>
    <w:rsid w:val="00CA0405"/>
    <w:rsid w:val="00CA1428"/>
    <w:rsid w:val="00CA1770"/>
    <w:rsid w:val="00CA2299"/>
    <w:rsid w:val="00CA2546"/>
    <w:rsid w:val="00CA27B9"/>
    <w:rsid w:val="00CA32FE"/>
    <w:rsid w:val="00CA4137"/>
    <w:rsid w:val="00CA4274"/>
    <w:rsid w:val="00CA4BA9"/>
    <w:rsid w:val="00CA5A89"/>
    <w:rsid w:val="00CA5AE4"/>
    <w:rsid w:val="00CA6D14"/>
    <w:rsid w:val="00CA6F49"/>
    <w:rsid w:val="00CA7D74"/>
    <w:rsid w:val="00CB02A1"/>
    <w:rsid w:val="00CB038B"/>
    <w:rsid w:val="00CB1797"/>
    <w:rsid w:val="00CB1EAA"/>
    <w:rsid w:val="00CB20F0"/>
    <w:rsid w:val="00CB25B9"/>
    <w:rsid w:val="00CB3DF2"/>
    <w:rsid w:val="00CB4B04"/>
    <w:rsid w:val="00CB665E"/>
    <w:rsid w:val="00CB671C"/>
    <w:rsid w:val="00CB6AD7"/>
    <w:rsid w:val="00CB70D3"/>
    <w:rsid w:val="00CB76C2"/>
    <w:rsid w:val="00CC03C4"/>
    <w:rsid w:val="00CC0EA0"/>
    <w:rsid w:val="00CC2643"/>
    <w:rsid w:val="00CC2938"/>
    <w:rsid w:val="00CC338D"/>
    <w:rsid w:val="00CC33B0"/>
    <w:rsid w:val="00CC35AA"/>
    <w:rsid w:val="00CC3C26"/>
    <w:rsid w:val="00CC43C3"/>
    <w:rsid w:val="00CC43C5"/>
    <w:rsid w:val="00CC43CD"/>
    <w:rsid w:val="00CC4618"/>
    <w:rsid w:val="00CC4B09"/>
    <w:rsid w:val="00CC5445"/>
    <w:rsid w:val="00CC7111"/>
    <w:rsid w:val="00CC7219"/>
    <w:rsid w:val="00CC75BB"/>
    <w:rsid w:val="00CC7A63"/>
    <w:rsid w:val="00CD0B13"/>
    <w:rsid w:val="00CD1010"/>
    <w:rsid w:val="00CD1614"/>
    <w:rsid w:val="00CD1836"/>
    <w:rsid w:val="00CD275E"/>
    <w:rsid w:val="00CD2EF7"/>
    <w:rsid w:val="00CD38AB"/>
    <w:rsid w:val="00CD40A9"/>
    <w:rsid w:val="00CD4100"/>
    <w:rsid w:val="00CD4338"/>
    <w:rsid w:val="00CD4809"/>
    <w:rsid w:val="00CD574E"/>
    <w:rsid w:val="00CD59A3"/>
    <w:rsid w:val="00CD5A92"/>
    <w:rsid w:val="00CD5CDF"/>
    <w:rsid w:val="00CD6C8C"/>
    <w:rsid w:val="00CD7060"/>
    <w:rsid w:val="00CD72DD"/>
    <w:rsid w:val="00CD760F"/>
    <w:rsid w:val="00CD7A86"/>
    <w:rsid w:val="00CD7B55"/>
    <w:rsid w:val="00CE0942"/>
    <w:rsid w:val="00CE0EDB"/>
    <w:rsid w:val="00CE11E3"/>
    <w:rsid w:val="00CE1EF9"/>
    <w:rsid w:val="00CE210D"/>
    <w:rsid w:val="00CE26C1"/>
    <w:rsid w:val="00CE2CB1"/>
    <w:rsid w:val="00CE3698"/>
    <w:rsid w:val="00CE3ACF"/>
    <w:rsid w:val="00CE4292"/>
    <w:rsid w:val="00CE4712"/>
    <w:rsid w:val="00CE4DEB"/>
    <w:rsid w:val="00CE4F47"/>
    <w:rsid w:val="00CE4FFE"/>
    <w:rsid w:val="00CE5457"/>
    <w:rsid w:val="00CE54DB"/>
    <w:rsid w:val="00CE5752"/>
    <w:rsid w:val="00CE5E1C"/>
    <w:rsid w:val="00CE6F2D"/>
    <w:rsid w:val="00CE76F6"/>
    <w:rsid w:val="00CE7B01"/>
    <w:rsid w:val="00CF08EB"/>
    <w:rsid w:val="00CF23B4"/>
    <w:rsid w:val="00CF242E"/>
    <w:rsid w:val="00CF29A7"/>
    <w:rsid w:val="00CF2DD3"/>
    <w:rsid w:val="00CF3336"/>
    <w:rsid w:val="00CF40E2"/>
    <w:rsid w:val="00CF413A"/>
    <w:rsid w:val="00CF4446"/>
    <w:rsid w:val="00CF4631"/>
    <w:rsid w:val="00CF58C7"/>
    <w:rsid w:val="00CF5A15"/>
    <w:rsid w:val="00CF5A32"/>
    <w:rsid w:val="00CF5A3C"/>
    <w:rsid w:val="00CF5A8C"/>
    <w:rsid w:val="00CF5EFA"/>
    <w:rsid w:val="00CF5EFF"/>
    <w:rsid w:val="00CF6661"/>
    <w:rsid w:val="00D00106"/>
    <w:rsid w:val="00D00D33"/>
    <w:rsid w:val="00D0102A"/>
    <w:rsid w:val="00D0152F"/>
    <w:rsid w:val="00D0197C"/>
    <w:rsid w:val="00D01A8F"/>
    <w:rsid w:val="00D01F79"/>
    <w:rsid w:val="00D0381E"/>
    <w:rsid w:val="00D03E22"/>
    <w:rsid w:val="00D04072"/>
    <w:rsid w:val="00D043F3"/>
    <w:rsid w:val="00D04C61"/>
    <w:rsid w:val="00D05C10"/>
    <w:rsid w:val="00D05C65"/>
    <w:rsid w:val="00D06058"/>
    <w:rsid w:val="00D07580"/>
    <w:rsid w:val="00D10B82"/>
    <w:rsid w:val="00D123EB"/>
    <w:rsid w:val="00D1248B"/>
    <w:rsid w:val="00D12D20"/>
    <w:rsid w:val="00D12F7F"/>
    <w:rsid w:val="00D14A68"/>
    <w:rsid w:val="00D15ECE"/>
    <w:rsid w:val="00D163B0"/>
    <w:rsid w:val="00D1791B"/>
    <w:rsid w:val="00D17A53"/>
    <w:rsid w:val="00D17BB9"/>
    <w:rsid w:val="00D20437"/>
    <w:rsid w:val="00D20569"/>
    <w:rsid w:val="00D210DB"/>
    <w:rsid w:val="00D219D3"/>
    <w:rsid w:val="00D225E2"/>
    <w:rsid w:val="00D234AD"/>
    <w:rsid w:val="00D23508"/>
    <w:rsid w:val="00D24127"/>
    <w:rsid w:val="00D2435A"/>
    <w:rsid w:val="00D24AC0"/>
    <w:rsid w:val="00D25FEF"/>
    <w:rsid w:val="00D26124"/>
    <w:rsid w:val="00D263CA"/>
    <w:rsid w:val="00D26BEE"/>
    <w:rsid w:val="00D306F6"/>
    <w:rsid w:val="00D31DCE"/>
    <w:rsid w:val="00D32FB2"/>
    <w:rsid w:val="00D330C8"/>
    <w:rsid w:val="00D33817"/>
    <w:rsid w:val="00D36189"/>
    <w:rsid w:val="00D3633C"/>
    <w:rsid w:val="00D363F4"/>
    <w:rsid w:val="00D36464"/>
    <w:rsid w:val="00D36AAC"/>
    <w:rsid w:val="00D37D03"/>
    <w:rsid w:val="00D37D3F"/>
    <w:rsid w:val="00D37DDB"/>
    <w:rsid w:val="00D414EB"/>
    <w:rsid w:val="00D41593"/>
    <w:rsid w:val="00D4216F"/>
    <w:rsid w:val="00D421B8"/>
    <w:rsid w:val="00D4260C"/>
    <w:rsid w:val="00D43278"/>
    <w:rsid w:val="00D432B7"/>
    <w:rsid w:val="00D437E5"/>
    <w:rsid w:val="00D4483E"/>
    <w:rsid w:val="00D4591C"/>
    <w:rsid w:val="00D45C8A"/>
    <w:rsid w:val="00D468B6"/>
    <w:rsid w:val="00D47222"/>
    <w:rsid w:val="00D47C16"/>
    <w:rsid w:val="00D47C2B"/>
    <w:rsid w:val="00D47CB3"/>
    <w:rsid w:val="00D50067"/>
    <w:rsid w:val="00D506F3"/>
    <w:rsid w:val="00D50C3C"/>
    <w:rsid w:val="00D5105D"/>
    <w:rsid w:val="00D51356"/>
    <w:rsid w:val="00D517F0"/>
    <w:rsid w:val="00D5260D"/>
    <w:rsid w:val="00D5270D"/>
    <w:rsid w:val="00D54334"/>
    <w:rsid w:val="00D544EC"/>
    <w:rsid w:val="00D55720"/>
    <w:rsid w:val="00D55926"/>
    <w:rsid w:val="00D55EB1"/>
    <w:rsid w:val="00D560E6"/>
    <w:rsid w:val="00D56C1C"/>
    <w:rsid w:val="00D57716"/>
    <w:rsid w:val="00D57FB7"/>
    <w:rsid w:val="00D600D8"/>
    <w:rsid w:val="00D60385"/>
    <w:rsid w:val="00D60988"/>
    <w:rsid w:val="00D60CD5"/>
    <w:rsid w:val="00D615BD"/>
    <w:rsid w:val="00D61EDC"/>
    <w:rsid w:val="00D6216A"/>
    <w:rsid w:val="00D62FBB"/>
    <w:rsid w:val="00D630A6"/>
    <w:rsid w:val="00D632A9"/>
    <w:rsid w:val="00D635F5"/>
    <w:rsid w:val="00D639FA"/>
    <w:rsid w:val="00D64254"/>
    <w:rsid w:val="00D64592"/>
    <w:rsid w:val="00D645A7"/>
    <w:rsid w:val="00D6475B"/>
    <w:rsid w:val="00D65C88"/>
    <w:rsid w:val="00D66496"/>
    <w:rsid w:val="00D6747E"/>
    <w:rsid w:val="00D67D24"/>
    <w:rsid w:val="00D70778"/>
    <w:rsid w:val="00D7296F"/>
    <w:rsid w:val="00D73509"/>
    <w:rsid w:val="00D73DBE"/>
    <w:rsid w:val="00D73E09"/>
    <w:rsid w:val="00D74290"/>
    <w:rsid w:val="00D742BD"/>
    <w:rsid w:val="00D74D0C"/>
    <w:rsid w:val="00D755A9"/>
    <w:rsid w:val="00D760F0"/>
    <w:rsid w:val="00D76DB3"/>
    <w:rsid w:val="00D77C8D"/>
    <w:rsid w:val="00D81A72"/>
    <w:rsid w:val="00D8226E"/>
    <w:rsid w:val="00D85294"/>
    <w:rsid w:val="00D85901"/>
    <w:rsid w:val="00D87764"/>
    <w:rsid w:val="00D878C0"/>
    <w:rsid w:val="00D90023"/>
    <w:rsid w:val="00D9048E"/>
    <w:rsid w:val="00D90653"/>
    <w:rsid w:val="00D91C83"/>
    <w:rsid w:val="00D924F1"/>
    <w:rsid w:val="00D92EC3"/>
    <w:rsid w:val="00D92ED6"/>
    <w:rsid w:val="00D9395D"/>
    <w:rsid w:val="00D939B6"/>
    <w:rsid w:val="00D93D8A"/>
    <w:rsid w:val="00D94BEC"/>
    <w:rsid w:val="00D9599C"/>
    <w:rsid w:val="00D97518"/>
    <w:rsid w:val="00DA0606"/>
    <w:rsid w:val="00DA08EB"/>
    <w:rsid w:val="00DA1721"/>
    <w:rsid w:val="00DA18D6"/>
    <w:rsid w:val="00DA21CB"/>
    <w:rsid w:val="00DA35BE"/>
    <w:rsid w:val="00DA4019"/>
    <w:rsid w:val="00DA4E0C"/>
    <w:rsid w:val="00DA53F8"/>
    <w:rsid w:val="00DA5633"/>
    <w:rsid w:val="00DA57CD"/>
    <w:rsid w:val="00DA632E"/>
    <w:rsid w:val="00DA6674"/>
    <w:rsid w:val="00DA6F1A"/>
    <w:rsid w:val="00DA7843"/>
    <w:rsid w:val="00DA7E80"/>
    <w:rsid w:val="00DB0210"/>
    <w:rsid w:val="00DB0E66"/>
    <w:rsid w:val="00DB13CB"/>
    <w:rsid w:val="00DB1445"/>
    <w:rsid w:val="00DB3E4F"/>
    <w:rsid w:val="00DB523F"/>
    <w:rsid w:val="00DB52E0"/>
    <w:rsid w:val="00DB5E95"/>
    <w:rsid w:val="00DB6062"/>
    <w:rsid w:val="00DB7181"/>
    <w:rsid w:val="00DB72C2"/>
    <w:rsid w:val="00DB7775"/>
    <w:rsid w:val="00DB799B"/>
    <w:rsid w:val="00DB7F9F"/>
    <w:rsid w:val="00DC1329"/>
    <w:rsid w:val="00DC1889"/>
    <w:rsid w:val="00DC1EEC"/>
    <w:rsid w:val="00DC287C"/>
    <w:rsid w:val="00DC2D99"/>
    <w:rsid w:val="00DC57CD"/>
    <w:rsid w:val="00DC638A"/>
    <w:rsid w:val="00DC6593"/>
    <w:rsid w:val="00DC6E48"/>
    <w:rsid w:val="00DC7251"/>
    <w:rsid w:val="00DD0C3E"/>
    <w:rsid w:val="00DD0C5B"/>
    <w:rsid w:val="00DD21B8"/>
    <w:rsid w:val="00DD2682"/>
    <w:rsid w:val="00DD35B0"/>
    <w:rsid w:val="00DD4E7A"/>
    <w:rsid w:val="00DD5534"/>
    <w:rsid w:val="00DD5A62"/>
    <w:rsid w:val="00DD651E"/>
    <w:rsid w:val="00DD6533"/>
    <w:rsid w:val="00DD718B"/>
    <w:rsid w:val="00DD7FD2"/>
    <w:rsid w:val="00DE0643"/>
    <w:rsid w:val="00DE15D8"/>
    <w:rsid w:val="00DE26D9"/>
    <w:rsid w:val="00DE2723"/>
    <w:rsid w:val="00DE30A8"/>
    <w:rsid w:val="00DE3112"/>
    <w:rsid w:val="00DE3DF8"/>
    <w:rsid w:val="00DE4A50"/>
    <w:rsid w:val="00DE4E0C"/>
    <w:rsid w:val="00DE4E4F"/>
    <w:rsid w:val="00DE50FF"/>
    <w:rsid w:val="00DE591A"/>
    <w:rsid w:val="00DE5A3B"/>
    <w:rsid w:val="00DE60DC"/>
    <w:rsid w:val="00DE68CB"/>
    <w:rsid w:val="00DE6C4B"/>
    <w:rsid w:val="00DE6D7F"/>
    <w:rsid w:val="00DE6F17"/>
    <w:rsid w:val="00DE79CC"/>
    <w:rsid w:val="00DF0955"/>
    <w:rsid w:val="00DF0CF5"/>
    <w:rsid w:val="00DF1076"/>
    <w:rsid w:val="00DF3061"/>
    <w:rsid w:val="00DF317D"/>
    <w:rsid w:val="00DF36CA"/>
    <w:rsid w:val="00DF3A7C"/>
    <w:rsid w:val="00DF3AA1"/>
    <w:rsid w:val="00DF3C64"/>
    <w:rsid w:val="00DF44C7"/>
    <w:rsid w:val="00DF4973"/>
    <w:rsid w:val="00DF564A"/>
    <w:rsid w:val="00DF5B6A"/>
    <w:rsid w:val="00DF6030"/>
    <w:rsid w:val="00DF7E5D"/>
    <w:rsid w:val="00E00589"/>
    <w:rsid w:val="00E00850"/>
    <w:rsid w:val="00E012A6"/>
    <w:rsid w:val="00E0220E"/>
    <w:rsid w:val="00E02705"/>
    <w:rsid w:val="00E02C2C"/>
    <w:rsid w:val="00E034D9"/>
    <w:rsid w:val="00E03ECD"/>
    <w:rsid w:val="00E03FC8"/>
    <w:rsid w:val="00E04947"/>
    <w:rsid w:val="00E05A25"/>
    <w:rsid w:val="00E0669E"/>
    <w:rsid w:val="00E066FF"/>
    <w:rsid w:val="00E072FC"/>
    <w:rsid w:val="00E076DF"/>
    <w:rsid w:val="00E0791F"/>
    <w:rsid w:val="00E07D64"/>
    <w:rsid w:val="00E10927"/>
    <w:rsid w:val="00E1098D"/>
    <w:rsid w:val="00E10A37"/>
    <w:rsid w:val="00E11C86"/>
    <w:rsid w:val="00E12350"/>
    <w:rsid w:val="00E125A2"/>
    <w:rsid w:val="00E128B1"/>
    <w:rsid w:val="00E14467"/>
    <w:rsid w:val="00E14BF3"/>
    <w:rsid w:val="00E14CEC"/>
    <w:rsid w:val="00E150EA"/>
    <w:rsid w:val="00E16410"/>
    <w:rsid w:val="00E205A3"/>
    <w:rsid w:val="00E20BA8"/>
    <w:rsid w:val="00E21015"/>
    <w:rsid w:val="00E21963"/>
    <w:rsid w:val="00E22984"/>
    <w:rsid w:val="00E23082"/>
    <w:rsid w:val="00E23732"/>
    <w:rsid w:val="00E2389F"/>
    <w:rsid w:val="00E2442D"/>
    <w:rsid w:val="00E25157"/>
    <w:rsid w:val="00E2587B"/>
    <w:rsid w:val="00E25C7C"/>
    <w:rsid w:val="00E260B6"/>
    <w:rsid w:val="00E27F78"/>
    <w:rsid w:val="00E301B5"/>
    <w:rsid w:val="00E30814"/>
    <w:rsid w:val="00E30F8E"/>
    <w:rsid w:val="00E3111A"/>
    <w:rsid w:val="00E3122D"/>
    <w:rsid w:val="00E32399"/>
    <w:rsid w:val="00E32BDA"/>
    <w:rsid w:val="00E32ED0"/>
    <w:rsid w:val="00E33FC1"/>
    <w:rsid w:val="00E34C05"/>
    <w:rsid w:val="00E34D37"/>
    <w:rsid w:val="00E350EA"/>
    <w:rsid w:val="00E3518D"/>
    <w:rsid w:val="00E35BF8"/>
    <w:rsid w:val="00E3742E"/>
    <w:rsid w:val="00E3786B"/>
    <w:rsid w:val="00E37A2B"/>
    <w:rsid w:val="00E40BCE"/>
    <w:rsid w:val="00E40D81"/>
    <w:rsid w:val="00E41431"/>
    <w:rsid w:val="00E41A32"/>
    <w:rsid w:val="00E42786"/>
    <w:rsid w:val="00E42EA6"/>
    <w:rsid w:val="00E4339B"/>
    <w:rsid w:val="00E439D8"/>
    <w:rsid w:val="00E44968"/>
    <w:rsid w:val="00E44A37"/>
    <w:rsid w:val="00E4558D"/>
    <w:rsid w:val="00E45BA1"/>
    <w:rsid w:val="00E46052"/>
    <w:rsid w:val="00E463E4"/>
    <w:rsid w:val="00E46830"/>
    <w:rsid w:val="00E46D99"/>
    <w:rsid w:val="00E472CB"/>
    <w:rsid w:val="00E472F2"/>
    <w:rsid w:val="00E47562"/>
    <w:rsid w:val="00E507FC"/>
    <w:rsid w:val="00E50CD6"/>
    <w:rsid w:val="00E50E79"/>
    <w:rsid w:val="00E52984"/>
    <w:rsid w:val="00E5311D"/>
    <w:rsid w:val="00E534BC"/>
    <w:rsid w:val="00E53D69"/>
    <w:rsid w:val="00E54A0A"/>
    <w:rsid w:val="00E54B97"/>
    <w:rsid w:val="00E558C9"/>
    <w:rsid w:val="00E55A94"/>
    <w:rsid w:val="00E55F68"/>
    <w:rsid w:val="00E56884"/>
    <w:rsid w:val="00E56946"/>
    <w:rsid w:val="00E56A3E"/>
    <w:rsid w:val="00E56FA5"/>
    <w:rsid w:val="00E57050"/>
    <w:rsid w:val="00E604E8"/>
    <w:rsid w:val="00E60CDA"/>
    <w:rsid w:val="00E60D04"/>
    <w:rsid w:val="00E61723"/>
    <w:rsid w:val="00E61F2F"/>
    <w:rsid w:val="00E620DB"/>
    <w:rsid w:val="00E63258"/>
    <w:rsid w:val="00E63713"/>
    <w:rsid w:val="00E638B8"/>
    <w:rsid w:val="00E63B7C"/>
    <w:rsid w:val="00E64357"/>
    <w:rsid w:val="00E64935"/>
    <w:rsid w:val="00E64F9E"/>
    <w:rsid w:val="00E660C9"/>
    <w:rsid w:val="00E663AF"/>
    <w:rsid w:val="00E669A5"/>
    <w:rsid w:val="00E6714A"/>
    <w:rsid w:val="00E671A5"/>
    <w:rsid w:val="00E67AA0"/>
    <w:rsid w:val="00E67D2D"/>
    <w:rsid w:val="00E70167"/>
    <w:rsid w:val="00E705EC"/>
    <w:rsid w:val="00E70CCC"/>
    <w:rsid w:val="00E7133B"/>
    <w:rsid w:val="00E71975"/>
    <w:rsid w:val="00E71E8B"/>
    <w:rsid w:val="00E72AD5"/>
    <w:rsid w:val="00E72DB0"/>
    <w:rsid w:val="00E73765"/>
    <w:rsid w:val="00E738F3"/>
    <w:rsid w:val="00E73E81"/>
    <w:rsid w:val="00E74511"/>
    <w:rsid w:val="00E75438"/>
    <w:rsid w:val="00E75DBD"/>
    <w:rsid w:val="00E7682C"/>
    <w:rsid w:val="00E76D69"/>
    <w:rsid w:val="00E777B0"/>
    <w:rsid w:val="00E77AC5"/>
    <w:rsid w:val="00E77BF4"/>
    <w:rsid w:val="00E77E40"/>
    <w:rsid w:val="00E805BB"/>
    <w:rsid w:val="00E815E1"/>
    <w:rsid w:val="00E8170E"/>
    <w:rsid w:val="00E818A5"/>
    <w:rsid w:val="00E81E53"/>
    <w:rsid w:val="00E83146"/>
    <w:rsid w:val="00E833F8"/>
    <w:rsid w:val="00E83D5C"/>
    <w:rsid w:val="00E84AE8"/>
    <w:rsid w:val="00E84F46"/>
    <w:rsid w:val="00E85622"/>
    <w:rsid w:val="00E874D4"/>
    <w:rsid w:val="00E8768B"/>
    <w:rsid w:val="00E87A93"/>
    <w:rsid w:val="00E87C9F"/>
    <w:rsid w:val="00E87F99"/>
    <w:rsid w:val="00E87FCD"/>
    <w:rsid w:val="00E91C6A"/>
    <w:rsid w:val="00E91CA2"/>
    <w:rsid w:val="00E91EB0"/>
    <w:rsid w:val="00E94E34"/>
    <w:rsid w:val="00E957A4"/>
    <w:rsid w:val="00E9644E"/>
    <w:rsid w:val="00E967BD"/>
    <w:rsid w:val="00E96C31"/>
    <w:rsid w:val="00E97093"/>
    <w:rsid w:val="00EA0BC4"/>
    <w:rsid w:val="00EA0CF2"/>
    <w:rsid w:val="00EA0D20"/>
    <w:rsid w:val="00EA1C55"/>
    <w:rsid w:val="00EA200B"/>
    <w:rsid w:val="00EA3AE4"/>
    <w:rsid w:val="00EA3BA7"/>
    <w:rsid w:val="00EA439C"/>
    <w:rsid w:val="00EA48C5"/>
    <w:rsid w:val="00EA4A33"/>
    <w:rsid w:val="00EA4EE5"/>
    <w:rsid w:val="00EA54CD"/>
    <w:rsid w:val="00EA5556"/>
    <w:rsid w:val="00EA58E6"/>
    <w:rsid w:val="00EA5D83"/>
    <w:rsid w:val="00EA6184"/>
    <w:rsid w:val="00EA66D0"/>
    <w:rsid w:val="00EA675E"/>
    <w:rsid w:val="00EA6BDC"/>
    <w:rsid w:val="00EA7908"/>
    <w:rsid w:val="00EA7F5D"/>
    <w:rsid w:val="00EB006B"/>
    <w:rsid w:val="00EB0C83"/>
    <w:rsid w:val="00EB101B"/>
    <w:rsid w:val="00EB1912"/>
    <w:rsid w:val="00EB1B87"/>
    <w:rsid w:val="00EB1C08"/>
    <w:rsid w:val="00EB2A3A"/>
    <w:rsid w:val="00EB34A6"/>
    <w:rsid w:val="00EB4C1A"/>
    <w:rsid w:val="00EB4C2F"/>
    <w:rsid w:val="00EB6BFB"/>
    <w:rsid w:val="00EC04E3"/>
    <w:rsid w:val="00EC0AB1"/>
    <w:rsid w:val="00EC0D68"/>
    <w:rsid w:val="00EC1141"/>
    <w:rsid w:val="00EC11F9"/>
    <w:rsid w:val="00EC122D"/>
    <w:rsid w:val="00EC1634"/>
    <w:rsid w:val="00EC1979"/>
    <w:rsid w:val="00EC1B2E"/>
    <w:rsid w:val="00EC1F79"/>
    <w:rsid w:val="00EC206F"/>
    <w:rsid w:val="00EC230D"/>
    <w:rsid w:val="00EC2F93"/>
    <w:rsid w:val="00EC2F97"/>
    <w:rsid w:val="00EC3233"/>
    <w:rsid w:val="00EC5BB0"/>
    <w:rsid w:val="00EC6976"/>
    <w:rsid w:val="00EC6B27"/>
    <w:rsid w:val="00EC700B"/>
    <w:rsid w:val="00EC7210"/>
    <w:rsid w:val="00EC7AEE"/>
    <w:rsid w:val="00ED0082"/>
    <w:rsid w:val="00ED0D4A"/>
    <w:rsid w:val="00ED0F09"/>
    <w:rsid w:val="00ED1842"/>
    <w:rsid w:val="00ED1C59"/>
    <w:rsid w:val="00ED2C2E"/>
    <w:rsid w:val="00ED31BD"/>
    <w:rsid w:val="00ED3C90"/>
    <w:rsid w:val="00ED428C"/>
    <w:rsid w:val="00ED4385"/>
    <w:rsid w:val="00ED44A3"/>
    <w:rsid w:val="00ED4BE9"/>
    <w:rsid w:val="00ED4E39"/>
    <w:rsid w:val="00ED57A4"/>
    <w:rsid w:val="00ED5D5E"/>
    <w:rsid w:val="00ED6496"/>
    <w:rsid w:val="00ED71B6"/>
    <w:rsid w:val="00ED7E66"/>
    <w:rsid w:val="00EE038B"/>
    <w:rsid w:val="00EE08E4"/>
    <w:rsid w:val="00EE0D02"/>
    <w:rsid w:val="00EE0DB0"/>
    <w:rsid w:val="00EE1504"/>
    <w:rsid w:val="00EE186B"/>
    <w:rsid w:val="00EE2072"/>
    <w:rsid w:val="00EE2403"/>
    <w:rsid w:val="00EE2B2F"/>
    <w:rsid w:val="00EE2E12"/>
    <w:rsid w:val="00EE3497"/>
    <w:rsid w:val="00EE414C"/>
    <w:rsid w:val="00EE4850"/>
    <w:rsid w:val="00EE5889"/>
    <w:rsid w:val="00EE5AC9"/>
    <w:rsid w:val="00EE68B7"/>
    <w:rsid w:val="00EE7609"/>
    <w:rsid w:val="00EE782C"/>
    <w:rsid w:val="00EF1D9B"/>
    <w:rsid w:val="00EF2093"/>
    <w:rsid w:val="00EF20A5"/>
    <w:rsid w:val="00EF28DD"/>
    <w:rsid w:val="00EF2E9D"/>
    <w:rsid w:val="00EF3A9D"/>
    <w:rsid w:val="00EF3B34"/>
    <w:rsid w:val="00EF56A0"/>
    <w:rsid w:val="00EF5D99"/>
    <w:rsid w:val="00EF71E8"/>
    <w:rsid w:val="00EF77FB"/>
    <w:rsid w:val="00EF7A31"/>
    <w:rsid w:val="00EF7B2E"/>
    <w:rsid w:val="00F0015C"/>
    <w:rsid w:val="00F00F29"/>
    <w:rsid w:val="00F010E2"/>
    <w:rsid w:val="00F02003"/>
    <w:rsid w:val="00F025FF"/>
    <w:rsid w:val="00F055D1"/>
    <w:rsid w:val="00F05D1B"/>
    <w:rsid w:val="00F069E7"/>
    <w:rsid w:val="00F06A81"/>
    <w:rsid w:val="00F0705E"/>
    <w:rsid w:val="00F071BE"/>
    <w:rsid w:val="00F079B8"/>
    <w:rsid w:val="00F07DBF"/>
    <w:rsid w:val="00F10313"/>
    <w:rsid w:val="00F1031C"/>
    <w:rsid w:val="00F10B1F"/>
    <w:rsid w:val="00F10CF0"/>
    <w:rsid w:val="00F10ECE"/>
    <w:rsid w:val="00F11A28"/>
    <w:rsid w:val="00F11BF5"/>
    <w:rsid w:val="00F123D0"/>
    <w:rsid w:val="00F1369C"/>
    <w:rsid w:val="00F13918"/>
    <w:rsid w:val="00F15B50"/>
    <w:rsid w:val="00F15CFE"/>
    <w:rsid w:val="00F171C6"/>
    <w:rsid w:val="00F1773A"/>
    <w:rsid w:val="00F178EF"/>
    <w:rsid w:val="00F17C9B"/>
    <w:rsid w:val="00F17DD0"/>
    <w:rsid w:val="00F17E88"/>
    <w:rsid w:val="00F17F8C"/>
    <w:rsid w:val="00F20358"/>
    <w:rsid w:val="00F20983"/>
    <w:rsid w:val="00F21CF7"/>
    <w:rsid w:val="00F22599"/>
    <w:rsid w:val="00F228F3"/>
    <w:rsid w:val="00F229AC"/>
    <w:rsid w:val="00F22AAC"/>
    <w:rsid w:val="00F2444A"/>
    <w:rsid w:val="00F252CD"/>
    <w:rsid w:val="00F2554C"/>
    <w:rsid w:val="00F26B69"/>
    <w:rsid w:val="00F27BD2"/>
    <w:rsid w:val="00F27D41"/>
    <w:rsid w:val="00F3030A"/>
    <w:rsid w:val="00F31DEE"/>
    <w:rsid w:val="00F32BF6"/>
    <w:rsid w:val="00F331DE"/>
    <w:rsid w:val="00F33388"/>
    <w:rsid w:val="00F33E4D"/>
    <w:rsid w:val="00F34178"/>
    <w:rsid w:val="00F34BCA"/>
    <w:rsid w:val="00F34E65"/>
    <w:rsid w:val="00F34EF2"/>
    <w:rsid w:val="00F356B5"/>
    <w:rsid w:val="00F357EB"/>
    <w:rsid w:val="00F36723"/>
    <w:rsid w:val="00F37D13"/>
    <w:rsid w:val="00F405E9"/>
    <w:rsid w:val="00F40E68"/>
    <w:rsid w:val="00F412B5"/>
    <w:rsid w:val="00F42A09"/>
    <w:rsid w:val="00F4348C"/>
    <w:rsid w:val="00F43533"/>
    <w:rsid w:val="00F43C5D"/>
    <w:rsid w:val="00F440BC"/>
    <w:rsid w:val="00F444EA"/>
    <w:rsid w:val="00F44EBD"/>
    <w:rsid w:val="00F450E3"/>
    <w:rsid w:val="00F4549B"/>
    <w:rsid w:val="00F462DB"/>
    <w:rsid w:val="00F46340"/>
    <w:rsid w:val="00F46459"/>
    <w:rsid w:val="00F47EAC"/>
    <w:rsid w:val="00F5019F"/>
    <w:rsid w:val="00F5039B"/>
    <w:rsid w:val="00F50AF2"/>
    <w:rsid w:val="00F50C29"/>
    <w:rsid w:val="00F5114E"/>
    <w:rsid w:val="00F51F05"/>
    <w:rsid w:val="00F524AB"/>
    <w:rsid w:val="00F532D6"/>
    <w:rsid w:val="00F533D2"/>
    <w:rsid w:val="00F53EBB"/>
    <w:rsid w:val="00F56114"/>
    <w:rsid w:val="00F568BB"/>
    <w:rsid w:val="00F56CF7"/>
    <w:rsid w:val="00F56F4B"/>
    <w:rsid w:val="00F573CC"/>
    <w:rsid w:val="00F57DE1"/>
    <w:rsid w:val="00F57EAD"/>
    <w:rsid w:val="00F600AE"/>
    <w:rsid w:val="00F601B4"/>
    <w:rsid w:val="00F614F8"/>
    <w:rsid w:val="00F61FAB"/>
    <w:rsid w:val="00F625F2"/>
    <w:rsid w:val="00F62AA2"/>
    <w:rsid w:val="00F62C65"/>
    <w:rsid w:val="00F63290"/>
    <w:rsid w:val="00F63DAB"/>
    <w:rsid w:val="00F64161"/>
    <w:rsid w:val="00F6430E"/>
    <w:rsid w:val="00F65211"/>
    <w:rsid w:val="00F652A6"/>
    <w:rsid w:val="00F66728"/>
    <w:rsid w:val="00F67649"/>
    <w:rsid w:val="00F67C9A"/>
    <w:rsid w:val="00F7072E"/>
    <w:rsid w:val="00F70F57"/>
    <w:rsid w:val="00F71ADC"/>
    <w:rsid w:val="00F71C27"/>
    <w:rsid w:val="00F71D80"/>
    <w:rsid w:val="00F7227A"/>
    <w:rsid w:val="00F7283C"/>
    <w:rsid w:val="00F730FF"/>
    <w:rsid w:val="00F73274"/>
    <w:rsid w:val="00F741CB"/>
    <w:rsid w:val="00F74FF8"/>
    <w:rsid w:val="00F7599B"/>
    <w:rsid w:val="00F76D44"/>
    <w:rsid w:val="00F7740C"/>
    <w:rsid w:val="00F7776D"/>
    <w:rsid w:val="00F80963"/>
    <w:rsid w:val="00F80FB8"/>
    <w:rsid w:val="00F81E53"/>
    <w:rsid w:val="00F823FF"/>
    <w:rsid w:val="00F82819"/>
    <w:rsid w:val="00F838E7"/>
    <w:rsid w:val="00F839AC"/>
    <w:rsid w:val="00F83CF9"/>
    <w:rsid w:val="00F841EC"/>
    <w:rsid w:val="00F84AF9"/>
    <w:rsid w:val="00F85BB1"/>
    <w:rsid w:val="00F8697C"/>
    <w:rsid w:val="00F87C2A"/>
    <w:rsid w:val="00F87F52"/>
    <w:rsid w:val="00F904F9"/>
    <w:rsid w:val="00F90ACE"/>
    <w:rsid w:val="00F90DC9"/>
    <w:rsid w:val="00F90EAB"/>
    <w:rsid w:val="00F9157A"/>
    <w:rsid w:val="00F91609"/>
    <w:rsid w:val="00F916E8"/>
    <w:rsid w:val="00F91707"/>
    <w:rsid w:val="00F91933"/>
    <w:rsid w:val="00F919C9"/>
    <w:rsid w:val="00F91EF0"/>
    <w:rsid w:val="00F92596"/>
    <w:rsid w:val="00F93ABF"/>
    <w:rsid w:val="00F94171"/>
    <w:rsid w:val="00F95973"/>
    <w:rsid w:val="00F95B18"/>
    <w:rsid w:val="00F95B5A"/>
    <w:rsid w:val="00F96171"/>
    <w:rsid w:val="00F96C32"/>
    <w:rsid w:val="00F973C2"/>
    <w:rsid w:val="00FA09EC"/>
    <w:rsid w:val="00FA0F0D"/>
    <w:rsid w:val="00FA0F3D"/>
    <w:rsid w:val="00FA15E8"/>
    <w:rsid w:val="00FA195C"/>
    <w:rsid w:val="00FA1FC3"/>
    <w:rsid w:val="00FA2392"/>
    <w:rsid w:val="00FA243A"/>
    <w:rsid w:val="00FA3017"/>
    <w:rsid w:val="00FA4C93"/>
    <w:rsid w:val="00FA57E7"/>
    <w:rsid w:val="00FA58B9"/>
    <w:rsid w:val="00FA5CFD"/>
    <w:rsid w:val="00FA5FC1"/>
    <w:rsid w:val="00FA7931"/>
    <w:rsid w:val="00FA7A66"/>
    <w:rsid w:val="00FB012C"/>
    <w:rsid w:val="00FB0146"/>
    <w:rsid w:val="00FB0332"/>
    <w:rsid w:val="00FB03C5"/>
    <w:rsid w:val="00FB0B18"/>
    <w:rsid w:val="00FB0E65"/>
    <w:rsid w:val="00FB10CD"/>
    <w:rsid w:val="00FB2200"/>
    <w:rsid w:val="00FB23A6"/>
    <w:rsid w:val="00FB2A19"/>
    <w:rsid w:val="00FB2DC9"/>
    <w:rsid w:val="00FB358E"/>
    <w:rsid w:val="00FB37E2"/>
    <w:rsid w:val="00FB38ED"/>
    <w:rsid w:val="00FB5DFC"/>
    <w:rsid w:val="00FB6A34"/>
    <w:rsid w:val="00FB6E02"/>
    <w:rsid w:val="00FB72D9"/>
    <w:rsid w:val="00FB7AB8"/>
    <w:rsid w:val="00FB7E9F"/>
    <w:rsid w:val="00FC02BD"/>
    <w:rsid w:val="00FC0F42"/>
    <w:rsid w:val="00FC12C8"/>
    <w:rsid w:val="00FC2365"/>
    <w:rsid w:val="00FC382F"/>
    <w:rsid w:val="00FC4231"/>
    <w:rsid w:val="00FC4CC6"/>
    <w:rsid w:val="00FC4F15"/>
    <w:rsid w:val="00FC4FBB"/>
    <w:rsid w:val="00FC53C7"/>
    <w:rsid w:val="00FC5BC1"/>
    <w:rsid w:val="00FC601F"/>
    <w:rsid w:val="00FC6545"/>
    <w:rsid w:val="00FC7E37"/>
    <w:rsid w:val="00FD0324"/>
    <w:rsid w:val="00FD044A"/>
    <w:rsid w:val="00FD044E"/>
    <w:rsid w:val="00FD071A"/>
    <w:rsid w:val="00FD1044"/>
    <w:rsid w:val="00FD170A"/>
    <w:rsid w:val="00FD1810"/>
    <w:rsid w:val="00FD2425"/>
    <w:rsid w:val="00FD2799"/>
    <w:rsid w:val="00FD286F"/>
    <w:rsid w:val="00FD3E8A"/>
    <w:rsid w:val="00FD3EF8"/>
    <w:rsid w:val="00FD49F5"/>
    <w:rsid w:val="00FD54EB"/>
    <w:rsid w:val="00FD594C"/>
    <w:rsid w:val="00FD5DF7"/>
    <w:rsid w:val="00FD6609"/>
    <w:rsid w:val="00FD6A98"/>
    <w:rsid w:val="00FD7196"/>
    <w:rsid w:val="00FE003C"/>
    <w:rsid w:val="00FE039A"/>
    <w:rsid w:val="00FE08D5"/>
    <w:rsid w:val="00FE0BEA"/>
    <w:rsid w:val="00FE0C97"/>
    <w:rsid w:val="00FE0D6A"/>
    <w:rsid w:val="00FE11AE"/>
    <w:rsid w:val="00FE23F1"/>
    <w:rsid w:val="00FE261C"/>
    <w:rsid w:val="00FE2C1F"/>
    <w:rsid w:val="00FE3681"/>
    <w:rsid w:val="00FE396C"/>
    <w:rsid w:val="00FE4665"/>
    <w:rsid w:val="00FE539F"/>
    <w:rsid w:val="00FE76F6"/>
    <w:rsid w:val="00FF04B1"/>
    <w:rsid w:val="00FF0C15"/>
    <w:rsid w:val="00FF0CC3"/>
    <w:rsid w:val="00FF0DE8"/>
    <w:rsid w:val="00FF11A9"/>
    <w:rsid w:val="00FF165F"/>
    <w:rsid w:val="00FF16DB"/>
    <w:rsid w:val="00FF3DDF"/>
    <w:rsid w:val="00FF5265"/>
    <w:rsid w:val="00FF55F1"/>
    <w:rsid w:val="00FF6F83"/>
    <w:rsid w:val="010C420C"/>
    <w:rsid w:val="01AFBD83"/>
    <w:rsid w:val="01DBE774"/>
    <w:rsid w:val="01E1C781"/>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1B3E30"/>
    <w:rsid w:val="0768A609"/>
    <w:rsid w:val="07DA50B0"/>
    <w:rsid w:val="08462F7E"/>
    <w:rsid w:val="084F7F16"/>
    <w:rsid w:val="0856A253"/>
    <w:rsid w:val="08742A6B"/>
    <w:rsid w:val="09A58165"/>
    <w:rsid w:val="09DA399C"/>
    <w:rsid w:val="0A60FF51"/>
    <w:rsid w:val="0A61D18E"/>
    <w:rsid w:val="0A64218A"/>
    <w:rsid w:val="0A7BADC9"/>
    <w:rsid w:val="0A87B1B4"/>
    <w:rsid w:val="0A9A8022"/>
    <w:rsid w:val="0AA3A86F"/>
    <w:rsid w:val="0AFB87B1"/>
    <w:rsid w:val="0B138D03"/>
    <w:rsid w:val="0C14FBF0"/>
    <w:rsid w:val="0C550549"/>
    <w:rsid w:val="0C9D8B4A"/>
    <w:rsid w:val="0CAA651B"/>
    <w:rsid w:val="0D05FC5C"/>
    <w:rsid w:val="0D162AD4"/>
    <w:rsid w:val="0D36C0D2"/>
    <w:rsid w:val="0D812EBD"/>
    <w:rsid w:val="0D9C6C8E"/>
    <w:rsid w:val="0DC7E5AF"/>
    <w:rsid w:val="0E24BC54"/>
    <w:rsid w:val="0E27C4FB"/>
    <w:rsid w:val="0E379206"/>
    <w:rsid w:val="0E421184"/>
    <w:rsid w:val="0E7B3485"/>
    <w:rsid w:val="0EDB769A"/>
    <w:rsid w:val="0F24E44C"/>
    <w:rsid w:val="0F26F43C"/>
    <w:rsid w:val="0F43C128"/>
    <w:rsid w:val="0FE6717B"/>
    <w:rsid w:val="104196CA"/>
    <w:rsid w:val="104361D7"/>
    <w:rsid w:val="105625C4"/>
    <w:rsid w:val="106176CF"/>
    <w:rsid w:val="10BBB88C"/>
    <w:rsid w:val="10CC20C5"/>
    <w:rsid w:val="112D3373"/>
    <w:rsid w:val="11410993"/>
    <w:rsid w:val="11AB4B38"/>
    <w:rsid w:val="11F54C53"/>
    <w:rsid w:val="129B6C98"/>
    <w:rsid w:val="12BD9676"/>
    <w:rsid w:val="130F8765"/>
    <w:rsid w:val="131FD8A5"/>
    <w:rsid w:val="13CB0A04"/>
    <w:rsid w:val="13F72327"/>
    <w:rsid w:val="145C3611"/>
    <w:rsid w:val="14737821"/>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9D83ACA"/>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12213D"/>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026EE"/>
    <w:rsid w:val="2F21E837"/>
    <w:rsid w:val="2F3FE089"/>
    <w:rsid w:val="2F89C750"/>
    <w:rsid w:val="2F97CE1F"/>
    <w:rsid w:val="2FD90668"/>
    <w:rsid w:val="3022F585"/>
    <w:rsid w:val="30313B04"/>
    <w:rsid w:val="309F3366"/>
    <w:rsid w:val="31099FF3"/>
    <w:rsid w:val="3121CC31"/>
    <w:rsid w:val="320B6F4B"/>
    <w:rsid w:val="325D19A3"/>
    <w:rsid w:val="326B2CC6"/>
    <w:rsid w:val="329F570B"/>
    <w:rsid w:val="32E3142D"/>
    <w:rsid w:val="331FED17"/>
    <w:rsid w:val="3343CE0C"/>
    <w:rsid w:val="33446247"/>
    <w:rsid w:val="336C5DC8"/>
    <w:rsid w:val="337291F6"/>
    <w:rsid w:val="3407F7F0"/>
    <w:rsid w:val="3432FB36"/>
    <w:rsid w:val="34573AA0"/>
    <w:rsid w:val="35871221"/>
    <w:rsid w:val="35FD5EF2"/>
    <w:rsid w:val="366A66C8"/>
    <w:rsid w:val="36AD647E"/>
    <w:rsid w:val="374D12E5"/>
    <w:rsid w:val="37708A51"/>
    <w:rsid w:val="37DBF8F1"/>
    <w:rsid w:val="37F1FC62"/>
    <w:rsid w:val="3810C2BE"/>
    <w:rsid w:val="384D55EA"/>
    <w:rsid w:val="38547927"/>
    <w:rsid w:val="387EF36B"/>
    <w:rsid w:val="38AB8210"/>
    <w:rsid w:val="38BE1427"/>
    <w:rsid w:val="38CF9107"/>
    <w:rsid w:val="3963E91D"/>
    <w:rsid w:val="39CF1956"/>
    <w:rsid w:val="3A1B83DF"/>
    <w:rsid w:val="3A5210FE"/>
    <w:rsid w:val="3A57C0BD"/>
    <w:rsid w:val="3A7B2B67"/>
    <w:rsid w:val="3A815CE5"/>
    <w:rsid w:val="3AAD53C7"/>
    <w:rsid w:val="3AB552BC"/>
    <w:rsid w:val="3AFFB97E"/>
    <w:rsid w:val="3B0BE252"/>
    <w:rsid w:val="3B0E920A"/>
    <w:rsid w:val="3BAB6869"/>
    <w:rsid w:val="3BEB04C5"/>
    <w:rsid w:val="3C66370D"/>
    <w:rsid w:val="3C6A34D8"/>
    <w:rsid w:val="3C9B89DF"/>
    <w:rsid w:val="3CB852BE"/>
    <w:rsid w:val="3D15E52A"/>
    <w:rsid w:val="3D4C74BD"/>
    <w:rsid w:val="3E102B8C"/>
    <w:rsid w:val="3E256BBE"/>
    <w:rsid w:val="3E2DE675"/>
    <w:rsid w:val="3E5D3EAE"/>
    <w:rsid w:val="3E65CE30"/>
    <w:rsid w:val="3E9CD3A0"/>
    <w:rsid w:val="3EB7B85F"/>
    <w:rsid w:val="3EE3A51C"/>
    <w:rsid w:val="3EE6D5A6"/>
    <w:rsid w:val="3F2B31E0"/>
    <w:rsid w:val="3F62E1B1"/>
    <w:rsid w:val="3FA31006"/>
    <w:rsid w:val="402AD2D5"/>
    <w:rsid w:val="4052BE22"/>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7B976F3"/>
    <w:rsid w:val="4804911A"/>
    <w:rsid w:val="4818FDB7"/>
    <w:rsid w:val="481F7EE4"/>
    <w:rsid w:val="48CDBC3D"/>
    <w:rsid w:val="48D3DA8E"/>
    <w:rsid w:val="49133A93"/>
    <w:rsid w:val="49248A83"/>
    <w:rsid w:val="498764AB"/>
    <w:rsid w:val="4A018F5E"/>
    <w:rsid w:val="4A2B536C"/>
    <w:rsid w:val="4A8AA74F"/>
    <w:rsid w:val="4A9C43CA"/>
    <w:rsid w:val="4AD72224"/>
    <w:rsid w:val="4B8C1788"/>
    <w:rsid w:val="4BDBF0A0"/>
    <w:rsid w:val="4BE53EA6"/>
    <w:rsid w:val="4C04BBF2"/>
    <w:rsid w:val="4C270B2A"/>
    <w:rsid w:val="4C5807F8"/>
    <w:rsid w:val="4C929F63"/>
    <w:rsid w:val="4CA5DD10"/>
    <w:rsid w:val="4CD146E4"/>
    <w:rsid w:val="4D24F240"/>
    <w:rsid w:val="4D6B709A"/>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82155E"/>
    <w:rsid w:val="50D011D5"/>
    <w:rsid w:val="50DAAFDA"/>
    <w:rsid w:val="518ED115"/>
    <w:rsid w:val="51CD8467"/>
    <w:rsid w:val="521911B3"/>
    <w:rsid w:val="5286A8AB"/>
    <w:rsid w:val="528A0761"/>
    <w:rsid w:val="52A0F47C"/>
    <w:rsid w:val="52C9A661"/>
    <w:rsid w:val="52DA71F9"/>
    <w:rsid w:val="534A0648"/>
    <w:rsid w:val="53B8BDE3"/>
    <w:rsid w:val="53BA6F1F"/>
    <w:rsid w:val="53BC4006"/>
    <w:rsid w:val="542209E4"/>
    <w:rsid w:val="54C8E03D"/>
    <w:rsid w:val="54EBB54E"/>
    <w:rsid w:val="54EF6163"/>
    <w:rsid w:val="54F09390"/>
    <w:rsid w:val="55C46F90"/>
    <w:rsid w:val="562AFBC0"/>
    <w:rsid w:val="5703CCE8"/>
    <w:rsid w:val="57AB9424"/>
    <w:rsid w:val="57AC274C"/>
    <w:rsid w:val="57E98391"/>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CEDDC33"/>
    <w:rsid w:val="5D05D99B"/>
    <w:rsid w:val="5D283F4D"/>
    <w:rsid w:val="5D661202"/>
    <w:rsid w:val="5DAE2CE2"/>
    <w:rsid w:val="5DD1D3A6"/>
    <w:rsid w:val="5DE460F5"/>
    <w:rsid w:val="5E0A2024"/>
    <w:rsid w:val="5E5D48FB"/>
    <w:rsid w:val="5EB44CFC"/>
    <w:rsid w:val="5F0A01BF"/>
    <w:rsid w:val="5F264E0D"/>
    <w:rsid w:val="5F4771E4"/>
    <w:rsid w:val="5FA42750"/>
    <w:rsid w:val="5FA672C3"/>
    <w:rsid w:val="600A041E"/>
    <w:rsid w:val="602069F4"/>
    <w:rsid w:val="603FF417"/>
    <w:rsid w:val="605B484E"/>
    <w:rsid w:val="60BF5BE7"/>
    <w:rsid w:val="61144901"/>
    <w:rsid w:val="61144984"/>
    <w:rsid w:val="613F4E82"/>
    <w:rsid w:val="6144C413"/>
    <w:rsid w:val="6160C565"/>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90F9F"/>
    <w:rsid w:val="6A3C75AE"/>
    <w:rsid w:val="6A72FDEA"/>
    <w:rsid w:val="6A797A9F"/>
    <w:rsid w:val="6A84908E"/>
    <w:rsid w:val="6AA64786"/>
    <w:rsid w:val="6AA89EEA"/>
    <w:rsid w:val="6AA91BA3"/>
    <w:rsid w:val="6AD20ED4"/>
    <w:rsid w:val="6B7BFDF3"/>
    <w:rsid w:val="6BAE07D7"/>
    <w:rsid w:val="6BD47994"/>
    <w:rsid w:val="6C06BB6F"/>
    <w:rsid w:val="6C1A47A6"/>
    <w:rsid w:val="6C662F01"/>
    <w:rsid w:val="6C9F982A"/>
    <w:rsid w:val="6CAD4DC2"/>
    <w:rsid w:val="6CD068BD"/>
    <w:rsid w:val="6D31ABFA"/>
    <w:rsid w:val="6D6276C8"/>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4D00B3"/>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5E0B15D"/>
    <w:rsid w:val="76450E62"/>
    <w:rsid w:val="767124E0"/>
    <w:rsid w:val="767F2AB4"/>
    <w:rsid w:val="769C939C"/>
    <w:rsid w:val="769D8884"/>
    <w:rsid w:val="76D274F7"/>
    <w:rsid w:val="76F5E482"/>
    <w:rsid w:val="76F8507D"/>
    <w:rsid w:val="771357ED"/>
    <w:rsid w:val="7758C1E7"/>
    <w:rsid w:val="778EDDEE"/>
    <w:rsid w:val="77CE5746"/>
    <w:rsid w:val="77F83150"/>
    <w:rsid w:val="78674B66"/>
    <w:rsid w:val="789990B4"/>
    <w:rsid w:val="78BF49DD"/>
    <w:rsid w:val="790B3138"/>
    <w:rsid w:val="799DA319"/>
    <w:rsid w:val="79A48D3C"/>
    <w:rsid w:val="79B20E76"/>
    <w:rsid w:val="79C64322"/>
    <w:rsid w:val="79D5BFE7"/>
    <w:rsid w:val="7B85C3CB"/>
    <w:rsid w:val="7BD2E15A"/>
    <w:rsid w:val="7C02D676"/>
    <w:rsid w:val="7C55E10E"/>
    <w:rsid w:val="7C6523A7"/>
    <w:rsid w:val="7C70B723"/>
    <w:rsid w:val="7D0C0225"/>
    <w:rsid w:val="7D4D62A7"/>
    <w:rsid w:val="7D4DE6BD"/>
    <w:rsid w:val="7D7D5244"/>
    <w:rsid w:val="7D7FF2CE"/>
    <w:rsid w:val="7DF416B2"/>
    <w:rsid w:val="7E06B584"/>
    <w:rsid w:val="7E3A3F11"/>
    <w:rsid w:val="7E50821F"/>
    <w:rsid w:val="7F7F9DBB"/>
    <w:rsid w:val="7F98245D"/>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34F2C7D3-366B-4A43-B6F8-F5279FBB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aliases w:val="TOC 2-GHG Preamble"/>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nhideWhenUsed/>
    <w:rsid w:val="00F17F8C"/>
    <w:rPr>
      <w:color w:val="954F72" w:themeColor="followedHyperlink"/>
      <w:u w:val="single"/>
    </w:rPr>
  </w:style>
  <w:style w:type="paragraph" w:styleId="BalloonText">
    <w:name w:val="Balloon Text"/>
    <w:basedOn w:val="Normal"/>
    <w:link w:val="BalloonTextChar"/>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aliases w:val="FR Comment Reference,TSD Comment Reference"/>
    <w:basedOn w:val="DefaultParagraphFont"/>
    <w:uiPriority w:val="99"/>
    <w:unhideWhenUsed/>
    <w:qFormat/>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4,Footnote Text - Preamble,Footnote Text Char Char,Footnote Text Char Char Char Char,Footnote Text Char Char1,Footnote Text Char1,Footnote Text Char1 Char Char,fn"/>
    <w:basedOn w:val="Normal"/>
    <w:link w:val="FootnoteTextChar"/>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4 Char,Footnote Text - Preamble Char,Footnote Text Char Char Char,Footnote Text Char Char Char Char Char,Footnote Text Char1 Char,Footnote Text Char1 Char Char Char,fn Char"/>
    <w:basedOn w:val="DefaultParagraphFont"/>
    <w:link w:val="FootnoteText"/>
    <w:rsid w:val="005723B9"/>
    <w:rPr>
      <w:sz w:val="20"/>
      <w:szCs w:val="20"/>
    </w:rPr>
  </w:style>
  <w:style w:type="character" w:styleId="FootnoteReference">
    <w:name w:val="footnote reference"/>
    <w:aliases w:val="(NECG) Footnote Reference,16 Point,FR,FR Footnote Reference,IEE Footnote,Styl,Style 12,Style 13,Style 15,Style 17,Style 18,Style 19,Style 20,Style 28,Style 7,Style 8,Style 9,Superscript 6 Point,fr,fr1,fr2,fr3,o,o1,o2,o3"/>
    <w:basedOn w:val="DefaultParagraphFont"/>
    <w:uiPriority w:val="99"/>
    <w:unhideWhenUsed/>
    <w:qFormat/>
    <w:rsid w:val="005723B9"/>
    <w:rPr>
      <w:vertAlign w:val="superscript"/>
    </w:rPr>
  </w:style>
  <w:style w:type="character" w:customStyle="1" w:styleId="Heading2Char">
    <w:name w:val="Heading 2 Char"/>
    <w:basedOn w:val="DefaultParagraphFont"/>
    <w:link w:val="Heading2"/>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qFormat/>
    <w:rsid w:val="005E588F"/>
    <w:rPr>
      <w:b/>
      <w:bCs/>
    </w:rPr>
  </w:style>
  <w:style w:type="character" w:styleId="Emphasis">
    <w:name w:val="Emphasis"/>
    <w:basedOn w:val="DefaultParagraphFont"/>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basedOn w:val="Normal"/>
    <w:link w:val="BodyTextChar"/>
    <w:uiPriority w:val="99"/>
    <w:unhideWhenUsed/>
    <w:rsid w:val="00336B3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36B35"/>
    <w:rPr>
      <w:rFonts w:ascii="Times New Roman" w:eastAsia="Times New Roman" w:hAnsi="Times New Roman" w:cs="Times New Roman"/>
      <w:sz w:val="24"/>
      <w:szCs w:val="24"/>
    </w:rPr>
  </w:style>
  <w:style w:type="paragraph" w:customStyle="1" w:styleId="Default">
    <w:name w:val="Default"/>
    <w:rsid w:val="00DF5B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HGPARAGRAPH">
    <w:name w:val="___GHG PARAGRAPH"/>
    <w:link w:val="GHGPARAGRAPHCharChar"/>
    <w:uiPriority w:val="99"/>
    <w:qFormat/>
    <w:rsid w:val="00DF5B6A"/>
    <w:pPr>
      <w:spacing w:after="0" w:line="480" w:lineRule="auto"/>
      <w:ind w:firstLine="720"/>
    </w:pPr>
    <w:rPr>
      <w:rFonts w:ascii="Times New Roman" w:eastAsia="Times New Roman" w:hAnsi="Times New Roman" w:cs="Times New Roman"/>
      <w:bCs/>
      <w:sz w:val="24"/>
      <w:szCs w:val="24"/>
    </w:rPr>
  </w:style>
  <w:style w:type="character" w:customStyle="1" w:styleId="GHGPARAGRAPHCharChar">
    <w:name w:val="___GHG PARAGRAPH Char Char"/>
    <w:link w:val="GHGPARAGRAPH"/>
    <w:uiPriority w:val="99"/>
    <w:locked/>
    <w:rsid w:val="00DF5B6A"/>
    <w:rPr>
      <w:rFonts w:ascii="Times New Roman" w:eastAsia="Times New Roman" w:hAnsi="Times New Roman" w:cs="Times New Roman"/>
      <w:bCs/>
      <w:sz w:val="24"/>
      <w:szCs w:val="24"/>
    </w:rPr>
  </w:style>
  <w:style w:type="paragraph" w:customStyle="1" w:styleId="List1">
    <w:name w:val="List 1"/>
    <w:basedOn w:val="Heading1"/>
    <w:rsid w:val="009646B0"/>
    <w:pPr>
      <w:keepNext w:val="0"/>
      <w:keepLines w:val="0"/>
      <w:numPr>
        <w:numId w:val="6"/>
      </w:numPr>
      <w:spacing w:before="0"/>
      <w:ind w:left="0" w:firstLine="0"/>
      <w:jc w:val="center"/>
    </w:pPr>
    <w:rPr>
      <w:rFonts w:ascii="Times New Roman" w:eastAsia="Times New Roman" w:hAnsi="Times New Roman" w:cs="Times New Roman"/>
      <w:b/>
      <w:color w:val="auto"/>
      <w:sz w:val="28"/>
      <w:szCs w:val="24"/>
    </w:rPr>
  </w:style>
  <w:style w:type="paragraph" w:customStyle="1" w:styleId="Level2-GHGPreamble">
    <w:name w:val="_Level 2-GHG Preamble"/>
    <w:link w:val="Level2-GHGPreambleCharChar"/>
    <w:autoRedefine/>
    <w:uiPriority w:val="99"/>
    <w:rsid w:val="009646B0"/>
    <w:pPr>
      <w:numPr>
        <w:ilvl w:val="1"/>
        <w:numId w:val="7"/>
      </w:numPr>
      <w:spacing w:after="100" w:line="240" w:lineRule="auto"/>
    </w:pPr>
    <w:rPr>
      <w:rFonts w:ascii="Courier New" w:eastAsia="Times New Roman" w:hAnsi="Courier New" w:cs="Courier New"/>
      <w:b/>
      <w:sz w:val="24"/>
      <w:szCs w:val="24"/>
      <w:u w:val="single"/>
    </w:rPr>
  </w:style>
  <w:style w:type="paragraph" w:customStyle="1" w:styleId="Level3-GHGPreamble">
    <w:name w:val="_Level 3-GHG Preamble"/>
    <w:link w:val="Level3-GHGPreambleCharChar"/>
    <w:autoRedefine/>
    <w:rsid w:val="009646B0"/>
    <w:pPr>
      <w:numPr>
        <w:ilvl w:val="2"/>
        <w:numId w:val="7"/>
      </w:numPr>
      <w:tabs>
        <w:tab w:val="num" w:pos="360"/>
      </w:tabs>
      <w:spacing w:after="100" w:line="240" w:lineRule="auto"/>
    </w:pPr>
    <w:rPr>
      <w:rFonts w:ascii="Courier New" w:eastAsia="Times New Roman" w:hAnsi="Courier New" w:cs="Courier New"/>
      <w:noProof/>
      <w:sz w:val="24"/>
      <w:szCs w:val="24"/>
      <w:u w:val="single"/>
    </w:rPr>
  </w:style>
  <w:style w:type="paragraph" w:customStyle="1" w:styleId="Level5-GHGPreamble">
    <w:name w:val="_Level 5-GHG Preamble"/>
    <w:rsid w:val="009646B0"/>
    <w:pPr>
      <w:numPr>
        <w:ilvl w:val="4"/>
        <w:numId w:val="7"/>
      </w:numPr>
      <w:spacing w:after="0" w:line="240" w:lineRule="auto"/>
    </w:pPr>
    <w:rPr>
      <w:rFonts w:ascii="Courier New" w:eastAsia="Times New Roman" w:hAnsi="Courier New" w:cs="Times New Roman"/>
      <w:color w:val="000000"/>
      <w:sz w:val="24"/>
      <w:szCs w:val="24"/>
      <w:u w:val="single"/>
    </w:rPr>
  </w:style>
  <w:style w:type="paragraph" w:customStyle="1" w:styleId="Level4-GHGPreamble">
    <w:name w:val="_Level 4-GHG Preamble"/>
    <w:autoRedefine/>
    <w:rsid w:val="009646B0"/>
    <w:pPr>
      <w:numPr>
        <w:ilvl w:val="3"/>
        <w:numId w:val="7"/>
      </w:numPr>
      <w:tabs>
        <w:tab w:val="num" w:pos="360"/>
      </w:tabs>
      <w:spacing w:after="100" w:line="240" w:lineRule="auto"/>
    </w:pPr>
    <w:rPr>
      <w:rFonts w:ascii="Courier New" w:eastAsia="Times New Roman" w:hAnsi="Courier New" w:cs="Times New Roman"/>
      <w:bCs/>
      <w:iCs/>
      <w:color w:val="000000"/>
      <w:sz w:val="24"/>
      <w:szCs w:val="24"/>
      <w:u w:val="single"/>
    </w:rPr>
  </w:style>
  <w:style w:type="paragraph" w:customStyle="1" w:styleId="StyleGHGPreamble-level2CourierNewUnderline">
    <w:name w:val="Style _GHG Preamble-level2 + Courier New Underline"/>
    <w:basedOn w:val="Level2-GHGPreamble"/>
    <w:link w:val="StyleGHGPreamble-level2CourierNewUnderlineChar"/>
    <w:semiHidden/>
    <w:rsid w:val="009646B0"/>
    <w:pPr>
      <w:ind w:left="360"/>
    </w:pPr>
  </w:style>
  <w:style w:type="character" w:customStyle="1" w:styleId="StyleGHGPreamble-level2CourierNewUnderlineChar">
    <w:name w:val="Style _GHG Preamble-level2 + Courier New Underline Char"/>
    <w:link w:val="StyleGHGPreamble-level2CourierNewUnderline"/>
    <w:semiHidden/>
    <w:rsid w:val="009646B0"/>
    <w:rPr>
      <w:rFonts w:ascii="Courier New" w:eastAsia="Times New Roman" w:hAnsi="Courier New" w:cs="Courier New"/>
      <w:b/>
      <w:sz w:val="24"/>
      <w:szCs w:val="24"/>
      <w:u w:val="single"/>
    </w:rPr>
  </w:style>
  <w:style w:type="paragraph" w:customStyle="1" w:styleId="Paragraph-Format-GHGPreamble">
    <w:name w:val="_Paragraph-Format-GHG Preamble"/>
    <w:link w:val="Paragraph-Format-GHGPreambleChar"/>
    <w:autoRedefine/>
    <w:rsid w:val="009646B0"/>
    <w:pPr>
      <w:spacing w:after="100" w:line="240" w:lineRule="auto"/>
      <w:ind w:firstLine="720"/>
    </w:pPr>
    <w:rPr>
      <w:rFonts w:ascii="Courier New" w:eastAsia="Times New Roman" w:hAnsi="Courier New" w:cs="Courier New"/>
      <w:sz w:val="24"/>
      <w:szCs w:val="24"/>
    </w:rPr>
  </w:style>
  <w:style w:type="character" w:customStyle="1" w:styleId="Paragraph-Format-GHGPreambleChar">
    <w:name w:val="_Paragraph-Format-GHG Preamble Char"/>
    <w:link w:val="Paragraph-Format-GHGPreamble"/>
    <w:rsid w:val="009646B0"/>
    <w:rPr>
      <w:rFonts w:ascii="Courier New" w:eastAsia="Times New Roman" w:hAnsi="Courier New" w:cs="Courier New"/>
      <w:sz w:val="24"/>
      <w:szCs w:val="24"/>
    </w:rPr>
  </w:style>
  <w:style w:type="paragraph" w:customStyle="1" w:styleId="Bullet-GHGPreamble">
    <w:name w:val="_Bullet-GHG Preamble"/>
    <w:link w:val="Bullet-GHGPreambleCharChar"/>
    <w:uiPriority w:val="99"/>
    <w:rsid w:val="009646B0"/>
    <w:pPr>
      <w:numPr>
        <w:numId w:val="8"/>
      </w:numPr>
      <w:spacing w:after="100" w:line="240" w:lineRule="auto"/>
    </w:pPr>
    <w:rPr>
      <w:rFonts w:ascii="Courier New" w:eastAsia="Times New Roman" w:hAnsi="Courier New" w:cs="Times New Roman"/>
      <w:sz w:val="24"/>
      <w:szCs w:val="24"/>
    </w:rPr>
  </w:style>
  <w:style w:type="character" w:customStyle="1" w:styleId="Bullet-GHGPreambleCharChar">
    <w:name w:val="_Bullet-GHG Preamble Char Char"/>
    <w:link w:val="Bullet-GHGPreamble"/>
    <w:uiPriority w:val="99"/>
    <w:rsid w:val="009646B0"/>
    <w:rPr>
      <w:rFonts w:ascii="Courier New" w:eastAsia="Times New Roman" w:hAnsi="Courier New" w:cs="Times New Roman"/>
      <w:sz w:val="24"/>
      <w:szCs w:val="24"/>
    </w:rPr>
  </w:style>
  <w:style w:type="character" w:customStyle="1" w:styleId="Level3-GHGPreambleCharChar">
    <w:name w:val="_Level 3-GHG Preamble Char Char"/>
    <w:link w:val="Level3-GHGPreamble"/>
    <w:rsid w:val="009646B0"/>
    <w:rPr>
      <w:rFonts w:ascii="Courier New" w:eastAsia="Times New Roman" w:hAnsi="Courier New" w:cs="Courier New"/>
      <w:noProof/>
      <w:sz w:val="24"/>
      <w:szCs w:val="24"/>
      <w:u w:val="single"/>
    </w:rPr>
  </w:style>
  <w:style w:type="paragraph" w:customStyle="1" w:styleId="LightList-Accent31">
    <w:name w:val="Light List - Accent 31"/>
    <w:hidden/>
    <w:uiPriority w:val="99"/>
    <w:semiHidden/>
    <w:rsid w:val="009646B0"/>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9646B0"/>
  </w:style>
  <w:style w:type="paragraph" w:customStyle="1" w:styleId="GHGPreamble-level4">
    <w:name w:val="_GHG Preamble-level4"/>
    <w:semiHidden/>
    <w:rsid w:val="009646B0"/>
    <w:pPr>
      <w:numPr>
        <w:ilvl w:val="5"/>
        <w:numId w:val="9"/>
      </w:numPr>
      <w:tabs>
        <w:tab w:val="num" w:pos="1440"/>
      </w:tabs>
      <w:spacing w:after="0" w:line="240" w:lineRule="auto"/>
      <w:ind w:left="1440" w:hanging="360"/>
    </w:pPr>
    <w:rPr>
      <w:rFonts w:ascii="Times New Roman" w:eastAsia="Times New Roman" w:hAnsi="Times New Roman" w:cs="Times New Roman"/>
      <w:color w:val="000000"/>
      <w:sz w:val="24"/>
      <w:szCs w:val="24"/>
    </w:rPr>
  </w:style>
  <w:style w:type="numbering" w:styleId="111111">
    <w:name w:val="Outline List 2"/>
    <w:basedOn w:val="NoList"/>
    <w:semiHidden/>
    <w:rsid w:val="009646B0"/>
    <w:pPr>
      <w:numPr>
        <w:numId w:val="10"/>
      </w:numPr>
    </w:pPr>
  </w:style>
  <w:style w:type="paragraph" w:customStyle="1" w:styleId="GHGLevels">
    <w:name w:val="GHG Levels"/>
    <w:basedOn w:val="Normal"/>
    <w:link w:val="GHGLevelsCharChar"/>
    <w:rsid w:val="009646B0"/>
    <w:pPr>
      <w:numPr>
        <w:numId w:val="11"/>
      </w:numPr>
      <w:spacing w:before="80" w:after="80" w:line="240" w:lineRule="auto"/>
    </w:pPr>
    <w:rPr>
      <w:rFonts w:ascii="Times New Roman" w:eastAsia="Times New Roman" w:hAnsi="Times New Roman" w:cs="Times New Roman"/>
      <w:bCs/>
      <w:sz w:val="24"/>
      <w:szCs w:val="24"/>
    </w:rPr>
  </w:style>
  <w:style w:type="character" w:customStyle="1" w:styleId="GHGLevelsCharChar">
    <w:name w:val="GHG Levels Char Char"/>
    <w:link w:val="GHGLevels"/>
    <w:rsid w:val="009646B0"/>
    <w:rPr>
      <w:rFonts w:ascii="Times New Roman" w:eastAsia="Times New Roman" w:hAnsi="Times New Roman" w:cs="Times New Roman"/>
      <w:bCs/>
      <w:sz w:val="24"/>
      <w:szCs w:val="24"/>
    </w:rPr>
  </w:style>
  <w:style w:type="paragraph" w:styleId="BodyText3">
    <w:name w:val="Body Text 3"/>
    <w:basedOn w:val="Normal"/>
    <w:link w:val="BodyText3Char"/>
    <w:semiHidden/>
    <w:rsid w:val="009646B0"/>
    <w:pPr>
      <w:spacing w:after="120" w:line="240" w:lineRule="auto"/>
    </w:pPr>
    <w:rPr>
      <w:rFonts w:ascii="Courier New" w:eastAsia="Times New Roman" w:hAnsi="Courier New" w:cs="Courier New"/>
      <w:sz w:val="16"/>
      <w:szCs w:val="16"/>
    </w:rPr>
  </w:style>
  <w:style w:type="character" w:customStyle="1" w:styleId="BodyText3Char">
    <w:name w:val="Body Text 3 Char"/>
    <w:basedOn w:val="DefaultParagraphFont"/>
    <w:link w:val="BodyText3"/>
    <w:semiHidden/>
    <w:rsid w:val="009646B0"/>
    <w:rPr>
      <w:rFonts w:ascii="Courier New" w:eastAsia="Times New Roman" w:hAnsi="Courier New" w:cs="Courier New"/>
      <w:sz w:val="16"/>
      <w:szCs w:val="16"/>
    </w:rPr>
  </w:style>
  <w:style w:type="paragraph" w:customStyle="1" w:styleId="ExhibitTitle">
    <w:name w:val="Exhibit Title"/>
    <w:basedOn w:val="Normal"/>
    <w:link w:val="ExhibitTitleChar"/>
    <w:qFormat/>
    <w:rsid w:val="009646B0"/>
    <w:pPr>
      <w:keepLines/>
      <w:autoSpaceDE w:val="0"/>
      <w:autoSpaceDN w:val="0"/>
      <w:adjustRightInd w:val="0"/>
      <w:spacing w:after="0" w:line="240" w:lineRule="auto"/>
      <w:ind w:left="720"/>
      <w:jc w:val="center"/>
    </w:pPr>
    <w:rPr>
      <w:rFonts w:ascii="Arial" w:eastAsia="Times New Roman" w:hAnsi="Arial" w:cs="Arial"/>
      <w:b/>
      <w:sz w:val="24"/>
      <w:szCs w:val="28"/>
    </w:rPr>
  </w:style>
  <w:style w:type="character" w:customStyle="1" w:styleId="ExhibitTitleChar">
    <w:name w:val="Exhibit Title Char"/>
    <w:link w:val="ExhibitTitle"/>
    <w:rsid w:val="009646B0"/>
    <w:rPr>
      <w:rFonts w:ascii="Arial" w:eastAsia="Times New Roman" w:hAnsi="Arial" w:cs="Arial"/>
      <w:b/>
      <w:sz w:val="24"/>
      <w:szCs w:val="28"/>
    </w:rPr>
  </w:style>
  <w:style w:type="paragraph" w:customStyle="1" w:styleId="GHGPARAGRAPH0">
    <w:name w:val="GHG PARAGRAPH"/>
    <w:link w:val="GHGPARAGRAPHCharChar0"/>
    <w:rsid w:val="009646B0"/>
    <w:pPr>
      <w:spacing w:before="80" w:after="80" w:line="240" w:lineRule="auto"/>
      <w:ind w:firstLine="720"/>
    </w:pPr>
    <w:rPr>
      <w:rFonts w:ascii="Courier New" w:eastAsia="Times New Roman" w:hAnsi="Courier New" w:cs="Courier New"/>
      <w:bCs/>
      <w:noProof/>
      <w:sz w:val="24"/>
      <w:szCs w:val="24"/>
    </w:rPr>
  </w:style>
  <w:style w:type="character" w:customStyle="1" w:styleId="GHGPARAGRAPHCharChar0">
    <w:name w:val="GHG PARAGRAPH Char Char"/>
    <w:link w:val="GHGPARAGRAPH0"/>
    <w:rsid w:val="009646B0"/>
    <w:rPr>
      <w:rFonts w:ascii="Courier New" w:eastAsia="Times New Roman" w:hAnsi="Courier New" w:cs="Courier New"/>
      <w:bCs/>
      <w:noProof/>
      <w:sz w:val="24"/>
      <w:szCs w:val="24"/>
    </w:rPr>
  </w:style>
  <w:style w:type="paragraph" w:customStyle="1" w:styleId="BodyText1">
    <w:name w:val="Body Text1"/>
    <w:aliases w:val="body tx,bt,flush,indent,memo body text"/>
    <w:basedOn w:val="Normal"/>
    <w:link w:val="bodytextChar0"/>
    <w:uiPriority w:val="99"/>
    <w:rsid w:val="009646B0"/>
    <w:pPr>
      <w:spacing w:after="240" w:line="360" w:lineRule="atLeast"/>
      <w:ind w:firstLine="720"/>
    </w:pPr>
    <w:rPr>
      <w:rFonts w:ascii="Times New Roman" w:eastAsia="Times New Roman" w:hAnsi="Times New Roman" w:cs="Times New Roman"/>
      <w:sz w:val="24"/>
      <w:szCs w:val="20"/>
    </w:rPr>
  </w:style>
  <w:style w:type="paragraph" w:customStyle="1" w:styleId="bullets-3rdlevel">
    <w:name w:val="bullets-3rd level"/>
    <w:uiPriority w:val="99"/>
    <w:rsid w:val="009646B0"/>
    <w:pPr>
      <w:numPr>
        <w:numId w:val="12"/>
      </w:numPr>
      <w:tabs>
        <w:tab w:val="clear" w:pos="2160"/>
      </w:tabs>
      <w:spacing w:after="120" w:line="240" w:lineRule="auto"/>
      <w:ind w:left="1800"/>
    </w:pPr>
    <w:rPr>
      <w:rFonts w:ascii="Times New Roman" w:eastAsia="Times New Roman" w:hAnsi="Times New Roman" w:cs="Times New Roman"/>
      <w:sz w:val="24"/>
      <w:szCs w:val="20"/>
    </w:rPr>
  </w:style>
  <w:style w:type="character" w:customStyle="1" w:styleId="bodytextChar0">
    <w:name w:val="body text Char"/>
    <w:aliases w:val="body tx Char,bt Char,flush Char,indent Char"/>
    <w:link w:val="BodyText1"/>
    <w:uiPriority w:val="99"/>
    <w:rsid w:val="009646B0"/>
    <w:rPr>
      <w:rFonts w:ascii="Times New Roman" w:eastAsia="Times New Roman" w:hAnsi="Times New Roman" w:cs="Times New Roman"/>
      <w:sz w:val="24"/>
      <w:szCs w:val="20"/>
    </w:rPr>
  </w:style>
  <w:style w:type="paragraph" w:customStyle="1" w:styleId="GHGPARAGRAPH1">
    <w:name w:val="__GHG PARAGRAPH"/>
    <w:link w:val="GHGPARAGRAPHCharChar1"/>
    <w:rsid w:val="009646B0"/>
    <w:pPr>
      <w:spacing w:after="0" w:line="480" w:lineRule="auto"/>
      <w:ind w:firstLine="720"/>
    </w:pPr>
    <w:rPr>
      <w:rFonts w:ascii="Courier New" w:eastAsia="Times New Roman" w:hAnsi="Courier New" w:cs="Courier New"/>
      <w:bCs/>
      <w:noProof/>
      <w:sz w:val="24"/>
      <w:szCs w:val="24"/>
    </w:rPr>
  </w:style>
  <w:style w:type="character" w:customStyle="1" w:styleId="GHGPARAGRAPHCharChar1">
    <w:name w:val="__GHG PARAGRAPH Char Char"/>
    <w:link w:val="GHGPARAGRAPH1"/>
    <w:rsid w:val="009646B0"/>
    <w:rPr>
      <w:rFonts w:ascii="Courier New" w:eastAsia="Times New Roman" w:hAnsi="Courier New" w:cs="Courier New"/>
      <w:bCs/>
      <w:noProof/>
      <w:sz w:val="24"/>
      <w:szCs w:val="24"/>
    </w:rPr>
  </w:style>
  <w:style w:type="character" w:customStyle="1" w:styleId="CommentTextChar1">
    <w:name w:val="Comment Text Char1"/>
    <w:uiPriority w:val="99"/>
    <w:rsid w:val="009646B0"/>
    <w:rPr>
      <w:rFonts w:ascii="Courier New" w:hAnsi="Courier New" w:cs="Courier New"/>
    </w:rPr>
  </w:style>
  <w:style w:type="paragraph" w:customStyle="1" w:styleId="LightGrid-Accent31">
    <w:name w:val="Light Grid - Accent 31"/>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paragraph" w:styleId="DocumentMap">
    <w:name w:val="Document Map"/>
    <w:basedOn w:val="Normal"/>
    <w:link w:val="DocumentMapChar"/>
    <w:rsid w:val="009646B0"/>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9646B0"/>
    <w:rPr>
      <w:rFonts w:ascii="Tahoma" w:eastAsia="Times New Roman" w:hAnsi="Tahoma" w:cs="Times New Roman"/>
      <w:sz w:val="16"/>
      <w:szCs w:val="16"/>
    </w:rPr>
  </w:style>
  <w:style w:type="paragraph" w:customStyle="1" w:styleId="LightGrid-Accent310">
    <w:name w:val="Light Grid - Accent 310"/>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character" w:customStyle="1" w:styleId="Level2-GHGPreambleCharChar">
    <w:name w:val="_Level 2-GHG Preamble Char Char"/>
    <w:link w:val="Level2-GHGPreamble"/>
    <w:uiPriority w:val="99"/>
    <w:rsid w:val="009646B0"/>
    <w:rPr>
      <w:rFonts w:ascii="Courier New" w:eastAsia="Times New Roman" w:hAnsi="Courier New" w:cs="Courier New"/>
      <w:b/>
      <w:sz w:val="24"/>
      <w:szCs w:val="24"/>
      <w:u w:val="single"/>
    </w:rPr>
  </w:style>
  <w:style w:type="paragraph" w:customStyle="1" w:styleId="MediumGrid1-Accent21">
    <w:name w:val="Medium Grid 1 - Accent 21"/>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paragraph" w:customStyle="1" w:styleId="CM5">
    <w:name w:val="CM5"/>
    <w:basedOn w:val="Default"/>
    <w:next w:val="Default"/>
    <w:uiPriority w:val="99"/>
    <w:rsid w:val="009646B0"/>
    <w:rPr>
      <w:color w:val="auto"/>
    </w:rPr>
  </w:style>
  <w:style w:type="paragraph" w:customStyle="1" w:styleId="CM65">
    <w:name w:val="CM65"/>
    <w:basedOn w:val="Default"/>
    <w:next w:val="Default"/>
    <w:uiPriority w:val="99"/>
    <w:rsid w:val="009646B0"/>
    <w:rPr>
      <w:rFonts w:ascii="Candara" w:hAnsi="Candara"/>
      <w:color w:val="auto"/>
    </w:rPr>
  </w:style>
  <w:style w:type="paragraph" w:customStyle="1" w:styleId="CM63">
    <w:name w:val="CM63"/>
    <w:basedOn w:val="Default"/>
    <w:next w:val="Default"/>
    <w:uiPriority w:val="99"/>
    <w:rsid w:val="009646B0"/>
    <w:rPr>
      <w:rFonts w:ascii="Candara" w:hAnsi="Candara"/>
      <w:color w:val="auto"/>
    </w:rPr>
  </w:style>
  <w:style w:type="paragraph" w:customStyle="1" w:styleId="MediumList2-Accent21">
    <w:name w:val="Medium List 2 - Accent 21"/>
    <w:hidden/>
    <w:uiPriority w:val="99"/>
    <w:semiHidden/>
    <w:rsid w:val="009646B0"/>
    <w:pPr>
      <w:spacing w:after="0" w:line="240" w:lineRule="auto"/>
    </w:pPr>
    <w:rPr>
      <w:rFonts w:ascii="Times New Roman" w:eastAsia="Times New Roman" w:hAnsi="Times New Roman" w:cs="Times New Roman"/>
      <w:sz w:val="24"/>
      <w:szCs w:val="24"/>
    </w:rPr>
  </w:style>
  <w:style w:type="paragraph" w:customStyle="1" w:styleId="1">
    <w:name w:val="1"/>
    <w:basedOn w:val="Normal"/>
    <w:link w:val="1Char"/>
    <w:qFormat/>
    <w:rsid w:val="009646B0"/>
    <w:pPr>
      <w:spacing w:after="0" w:line="240" w:lineRule="auto"/>
    </w:pPr>
    <w:rPr>
      <w:rFonts w:ascii="Times New Roman" w:eastAsia="Times New Roman" w:hAnsi="Times New Roman" w:cs="Times New Roman"/>
      <w:b/>
      <w:sz w:val="24"/>
      <w:szCs w:val="24"/>
    </w:rPr>
  </w:style>
  <w:style w:type="character" w:customStyle="1" w:styleId="1Char">
    <w:name w:val="1 Char"/>
    <w:link w:val="1"/>
    <w:rsid w:val="009646B0"/>
    <w:rPr>
      <w:rFonts w:ascii="Times New Roman" w:eastAsia="Times New Roman" w:hAnsi="Times New Roman" w:cs="Times New Roman"/>
      <w:b/>
      <w:sz w:val="24"/>
      <w:szCs w:val="24"/>
    </w:rPr>
  </w:style>
  <w:style w:type="paragraph" w:customStyle="1" w:styleId="ColorfulShading-Accent11">
    <w:name w:val="Colorful Shading - Accent 11"/>
    <w:hidden/>
    <w:uiPriority w:val="99"/>
    <w:semiHidden/>
    <w:rsid w:val="009646B0"/>
    <w:pPr>
      <w:spacing w:after="0" w:line="240" w:lineRule="auto"/>
    </w:pPr>
    <w:rPr>
      <w:rFonts w:ascii="Times New Roman" w:eastAsia="Times New Roman" w:hAnsi="Times New Roman" w:cs="Times New Roman"/>
      <w:sz w:val="24"/>
      <w:szCs w:val="24"/>
    </w:rPr>
  </w:style>
  <w:style w:type="paragraph" w:customStyle="1" w:styleId="GHGPARAGRAPH2">
    <w:name w:val="____GHG PARAGRAPH"/>
    <w:basedOn w:val="Normal"/>
    <w:next w:val="Normal"/>
    <w:link w:val="GHGPARAGRAPHChar"/>
    <w:qFormat/>
    <w:rsid w:val="009646B0"/>
    <w:pPr>
      <w:spacing w:after="0" w:line="480" w:lineRule="auto"/>
      <w:ind w:firstLine="720"/>
    </w:pPr>
    <w:rPr>
      <w:rFonts w:ascii="Courier New" w:eastAsia="Times New Roman" w:hAnsi="Courier New" w:cs="Courier New"/>
      <w:bCs/>
      <w:sz w:val="24"/>
      <w:szCs w:val="24"/>
    </w:rPr>
  </w:style>
  <w:style w:type="paragraph" w:customStyle="1" w:styleId="TABLEFOOTNOTES">
    <w:name w:val="TABLE FOOTNOTES"/>
    <w:basedOn w:val="Normal"/>
    <w:link w:val="TABLEFOOTNOTESChar"/>
    <w:qFormat/>
    <w:rsid w:val="009646B0"/>
    <w:pPr>
      <w:tabs>
        <w:tab w:val="left" w:pos="360"/>
      </w:tabs>
      <w:spacing w:after="40" w:line="240" w:lineRule="auto"/>
      <w:ind w:left="216" w:hanging="216"/>
    </w:pPr>
    <w:rPr>
      <w:rFonts w:ascii="Times New Roman" w:eastAsia="Times New Roman" w:hAnsi="Times New Roman" w:cs="Times New Roman"/>
      <w:sz w:val="20"/>
      <w:szCs w:val="20"/>
    </w:rPr>
  </w:style>
  <w:style w:type="character" w:customStyle="1" w:styleId="TABLEFOOTNOTESChar">
    <w:name w:val="TABLE FOOTNOTES Char"/>
    <w:basedOn w:val="DefaultParagraphFont"/>
    <w:link w:val="TABLEFOOTNOTES"/>
    <w:rsid w:val="009646B0"/>
    <w:rPr>
      <w:rFonts w:ascii="Times New Roman" w:eastAsia="Times New Roman" w:hAnsi="Times New Roman" w:cs="Times New Roman"/>
      <w:sz w:val="20"/>
      <w:szCs w:val="20"/>
    </w:rPr>
  </w:style>
  <w:style w:type="paragraph" w:customStyle="1" w:styleId="TableHeader">
    <w:name w:val="Table Header"/>
    <w:next w:val="Default"/>
    <w:uiPriority w:val="99"/>
    <w:rsid w:val="009646B0"/>
    <w:pPr>
      <w:keepNext/>
      <w:spacing w:before="60" w:after="60" w:line="240" w:lineRule="auto"/>
      <w:jc w:val="center"/>
    </w:pPr>
    <w:rPr>
      <w:rFonts w:ascii="Times New Roman" w:hAnsi="Times New Roman" w:eastAsiaTheme="minorHAnsi" w:cs="Times New Roman"/>
      <w:b/>
      <w:szCs w:val="24"/>
    </w:rPr>
  </w:style>
  <w:style w:type="paragraph" w:customStyle="1" w:styleId="footnote">
    <w:name w:val="footnote"/>
    <w:basedOn w:val="Normal"/>
    <w:link w:val="footnoteChar"/>
    <w:rsid w:val="009646B0"/>
    <w:pPr>
      <w:autoSpaceDE w:val="0"/>
      <w:autoSpaceDN w:val="0"/>
      <w:adjustRightInd w:val="0"/>
      <w:spacing w:after="40" w:line="240" w:lineRule="auto"/>
    </w:pPr>
    <w:rPr>
      <w:rFonts w:ascii="Courier New" w:eastAsia="Times New Roman" w:hAnsi="Courier New" w:cs="Courier New"/>
      <w:sz w:val="20"/>
      <w:szCs w:val="24"/>
    </w:rPr>
  </w:style>
  <w:style w:type="character" w:customStyle="1" w:styleId="footnoteChar">
    <w:name w:val="footnote Char"/>
    <w:basedOn w:val="DefaultParagraphFont"/>
    <w:link w:val="footnote"/>
    <w:locked/>
    <w:rsid w:val="009646B0"/>
    <w:rPr>
      <w:rFonts w:ascii="Courier New" w:eastAsia="Times New Roman" w:hAnsi="Courier New" w:cs="Courier New"/>
      <w:sz w:val="20"/>
      <w:szCs w:val="24"/>
    </w:rPr>
  </w:style>
  <w:style w:type="character" w:customStyle="1" w:styleId="Bullet-GHGPreambleChar">
    <w:name w:val="_Bullet-GHG Preamble Char"/>
    <w:basedOn w:val="DefaultParagraphFont"/>
    <w:locked/>
    <w:rsid w:val="009646B0"/>
    <w:rPr>
      <w:rFonts w:ascii="Courier New" w:hAnsi="Courier New"/>
      <w:sz w:val="24"/>
      <w:szCs w:val="24"/>
    </w:rPr>
  </w:style>
  <w:style w:type="paragraph" w:customStyle="1" w:styleId="Bullet-GHGPreamblelast">
    <w:name w:val="_Bullet-GHG Preamble_last"/>
    <w:qFormat/>
    <w:rsid w:val="009646B0"/>
    <w:pPr>
      <w:numPr>
        <w:numId w:val="13"/>
      </w:numPr>
      <w:spacing w:before="80" w:after="240" w:line="240" w:lineRule="auto"/>
    </w:pPr>
    <w:rPr>
      <w:rFonts w:ascii="Courier New" w:eastAsia="Times New Roman" w:hAnsi="Courier New" w:cs="Times New Roman"/>
      <w:sz w:val="24"/>
      <w:szCs w:val="24"/>
    </w:rPr>
  </w:style>
  <w:style w:type="paragraph" w:styleId="EndnoteText">
    <w:name w:val="endnote text"/>
    <w:basedOn w:val="Normal"/>
    <w:link w:val="EndnoteTextChar"/>
    <w:rsid w:val="009646B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9646B0"/>
    <w:rPr>
      <w:rFonts w:ascii="Times New Roman" w:eastAsia="Times New Roman" w:hAnsi="Times New Roman" w:cs="Times New Roman"/>
      <w:sz w:val="20"/>
      <w:szCs w:val="20"/>
    </w:rPr>
  </w:style>
  <w:style w:type="character" w:styleId="EndnoteReference">
    <w:name w:val="endnote reference"/>
    <w:basedOn w:val="DefaultParagraphFont"/>
    <w:rsid w:val="009646B0"/>
    <w:rPr>
      <w:vertAlign w:val="superscript"/>
    </w:rPr>
  </w:style>
  <w:style w:type="character" w:customStyle="1" w:styleId="GHGPARAGRAPHChar">
    <w:name w:val="____GHG PARAGRAPH Char"/>
    <w:link w:val="GHGPARAGRAPH2"/>
    <w:locked/>
    <w:rsid w:val="009646B0"/>
    <w:rPr>
      <w:rFonts w:ascii="Courier New" w:eastAsia="Times New Roman" w:hAnsi="Courier New" w:cs="Courier New"/>
      <w:bCs/>
      <w:sz w:val="24"/>
      <w:szCs w:val="24"/>
    </w:rPr>
  </w:style>
  <w:style w:type="character" w:customStyle="1" w:styleId="CommentTextChar4">
    <w:name w:val="Comment Text Char4"/>
    <w:basedOn w:val="DefaultParagraphFont"/>
    <w:uiPriority w:val="99"/>
    <w:locked/>
    <w:rsid w:val="009646B0"/>
    <w:rPr>
      <w:rFonts w:ascii="Courier New" w:hAnsi="Courier New" w:cs="Courier New"/>
      <w:lang w:val="en-US" w:eastAsia="en-US" w:bidi="ar-SA"/>
    </w:rPr>
  </w:style>
  <w:style w:type="paragraph" w:customStyle="1" w:styleId="EquationFormat">
    <w:name w:val="Equation Format"/>
    <w:uiPriority w:val="99"/>
    <w:rsid w:val="009646B0"/>
    <w:pPr>
      <w:keepLines/>
      <w:tabs>
        <w:tab w:val="center" w:pos="5040"/>
        <w:tab w:val="right" w:pos="9360"/>
      </w:tabs>
      <w:spacing w:after="0" w:line="36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9646B0"/>
  </w:style>
  <w:style w:type="paragraph" w:customStyle="1" w:styleId="LightGrid-Accent3100">
    <w:name w:val="Light Grid - Accent 3100"/>
    <w:basedOn w:val="Normal"/>
    <w:uiPriority w:val="34"/>
    <w:qFormat/>
    <w:rsid w:val="009646B0"/>
    <w:pPr>
      <w:spacing w:after="0" w:line="240" w:lineRule="auto"/>
      <w:ind w:left="720"/>
    </w:pPr>
    <w:rPr>
      <w:rFonts w:ascii="Times New Roman" w:eastAsia="Times New Roman" w:hAnsi="Times New Roman" w:cs="Times New Roman"/>
      <w:sz w:val="24"/>
      <w:szCs w:val="24"/>
    </w:rPr>
  </w:style>
  <w:style w:type="character" w:customStyle="1" w:styleId="findhit">
    <w:name w:val="findhit"/>
    <w:basedOn w:val="DefaultParagraphFont"/>
    <w:rsid w:val="009646B0"/>
  </w:style>
  <w:style w:type="character" w:styleId="Mention">
    <w:name w:val="Mention"/>
    <w:basedOn w:val="DefaultParagraphFont"/>
    <w:uiPriority w:val="99"/>
    <w:unhideWhenUsed/>
    <w:rsid w:val="009646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ghgdata.epa.gov/ghgp/main.do" TargetMode="External" /><Relationship Id="rId13" Type="http://schemas.openxmlformats.org/officeDocument/2006/relationships/hyperlink" Target="https://www.epa.gov/enviro/"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71530DDF837140B12EE7A89A24DB8D" ma:contentTypeVersion="18" ma:contentTypeDescription="Create a new document." ma:contentTypeScope="" ma:versionID="a17116babd12af48b0552bb4d55e491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7b91ec-619e-477b-bd8f-cfe4d0d60d9e" xmlns:ns6="7d8dd676-26ca-4e08-b90f-b4e0026a58ac" targetNamespace="http://schemas.microsoft.com/office/2006/metadata/properties" ma:root="true" ma:fieldsID="eaca842ee27769081863ae09fe3e61d3" ns1:_="" ns2:_="" ns3:_="" ns4:_="" ns5:_="" ns6:_="">
    <xsd:import namespace="http://schemas.microsoft.com/sharepoint/v3"/>
    <xsd:import namespace="4ffa91fb-a0ff-4ac5-b2db-65c790d184a4"/>
    <xsd:import namespace="http://schemas.microsoft.com/sharepoint.v3"/>
    <xsd:import namespace="http://schemas.microsoft.com/sharepoint/v3/fields"/>
    <xsd:import namespace="087b91ec-619e-477b-bd8f-cfe4d0d60d9e"/>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MediaServiceSearchPropertie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7b91ec-619e-477b-bd8f-cfe4d0d60d9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lcf76f155ced4ddcb4097134ff3c332f xmlns="087b91ec-619e-477b-bd8f-cfe4d0d60d9e">
      <Terms xmlns="http://schemas.microsoft.com/office/infopath/2007/PartnerControls"/>
    </lcf76f155ced4ddcb4097134ff3c332f>
    <SharedWithUsers xmlns="7d8dd676-26ca-4e08-b90f-b4e0026a58ac">
      <UserInfo>
        <DisplayName>Tracy Curtis</DisplayName>
        <AccountId>10507</AccountId>
        <AccountType/>
      </UserInfo>
      <UserInfo>
        <DisplayName>Roy Oommen</DisplayName>
        <AccountId>15284</AccountId>
        <AccountType/>
      </UserInfo>
      <UserInfo>
        <DisplayName>Bohman, Jennifer</DisplayName>
        <AccountId>5245</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2025-08-04T04:00:00+00:00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3D88A-B29D-42D0-B4E7-2366497E2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7b91ec-619e-477b-bd8f-cfe4d0d60d9e"/>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3098-BF7F-4D78-8529-0AFBF5D8899C}">
  <ds:schemaRefs>
    <ds:schemaRef ds:uri="http://schemas.microsoft.com/sharepoint.v3"/>
    <ds:schemaRef ds:uri="http://purl.org/dc/elements/1.1/"/>
    <ds:schemaRef ds:uri="7d8dd676-26ca-4e08-b90f-b4e0026a58ac"/>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dcmitype/"/>
    <ds:schemaRef ds:uri="087b91ec-619e-477b-bd8f-cfe4d0d60d9e"/>
    <ds:schemaRef ds:uri="http://schemas.microsoft.com/sharepoint/v3/fields"/>
    <ds:schemaRef ds:uri="4ffa91fb-a0ff-4ac5-b2db-65c790d184a4"/>
    <ds:schemaRef ds:uri="http://purl.org/dc/terms/"/>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FCA00FBA-DD52-4651-BDC6-927C0A30FD2D}">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8230</Words>
  <Characters>46914</Characters>
  <Application>Microsoft Office Word</Application>
  <DocSecurity>0</DocSecurity>
  <Lines>390</Lines>
  <Paragraphs>110</Paragraphs>
  <ScaleCrop>false</ScaleCrop>
  <Company/>
  <LinksUpToDate>false</LinksUpToDate>
  <CharactersWithSpaces>55034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ERG/Tracy Curtis</cp:lastModifiedBy>
  <cp:revision>8</cp:revision>
  <dcterms:created xsi:type="dcterms:W3CDTF">2025-09-15T20:37:00Z</dcterms:created>
  <dcterms:modified xsi:type="dcterms:W3CDTF">2025-09-15T17:45:00Z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0x010100F871530DDF837140B12EE7A89A24DB8D</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