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B9247A" w:rsidP="00B9247A" w14:paraId="49640E4D" w14:textId="0A76FFE1">
      <w:pPr>
        <w:spacing w:after="240"/>
        <w:contextualSpacing/>
        <w:jc w:val="center"/>
        <w:rPr>
          <w:b/>
          <w:bCs/>
        </w:rPr>
      </w:pPr>
      <w:r w:rsidRPr="00B9247A">
        <w:rPr>
          <w:b/>
          <w:bCs/>
        </w:rPr>
        <w:t>Supporting Statement A</w:t>
      </w:r>
    </w:p>
    <w:p w:rsidR="00BE2EDF" w:rsidRPr="00B9247A" w:rsidP="00B9247A" w14:paraId="1787FF8A" w14:textId="7C8EB733">
      <w:pPr>
        <w:spacing w:after="240"/>
        <w:contextualSpacing/>
        <w:jc w:val="center"/>
        <w:rPr>
          <w:b/>
          <w:bCs/>
        </w:rPr>
      </w:pPr>
      <w:r>
        <w:rPr>
          <w:b/>
          <w:bCs/>
        </w:rPr>
        <w:t xml:space="preserve">FAA </w:t>
      </w:r>
      <w:r w:rsidRPr="00B9247A" w:rsidR="002F3560">
        <w:rPr>
          <w:b/>
          <w:bCs/>
        </w:rPr>
        <w:t>Advisory Circular (AC) No. 120-119</w:t>
      </w:r>
      <w:r w:rsidR="00AD215C">
        <w:rPr>
          <w:b/>
          <w:bCs/>
        </w:rPr>
        <w:t xml:space="preserve">, </w:t>
      </w:r>
      <w:r w:rsidRPr="00B9247A">
        <w:rPr>
          <w:b/>
          <w:bCs/>
        </w:rPr>
        <w:t xml:space="preserve">Voluntarily Safety Management System </w:t>
      </w:r>
      <w:r w:rsidR="00F72051">
        <w:rPr>
          <w:b/>
          <w:bCs/>
        </w:rPr>
        <w:t>for Other Regulated Entities Transporting Dangerous Goods by Air</w:t>
      </w:r>
    </w:p>
    <w:p w:rsidR="00094A9F" w:rsidP="00AE1747" w14:paraId="03623DEF" w14:textId="394F8493">
      <w:pPr>
        <w:spacing w:after="240"/>
        <w:jc w:val="center"/>
        <w:rPr>
          <w:b/>
          <w:bCs/>
        </w:rPr>
      </w:pPr>
      <w:r w:rsidRPr="00B9247A">
        <w:rPr>
          <w:b/>
          <w:bCs/>
        </w:rPr>
        <w:t xml:space="preserve">OMB Control # </w:t>
      </w:r>
      <w:r w:rsidRPr="00B9247A" w:rsidR="00ED2FAB">
        <w:rPr>
          <w:b/>
          <w:bCs/>
        </w:rPr>
        <w:t>2120-0811</w:t>
      </w:r>
    </w:p>
    <w:p w:rsidR="00AE1747" w:rsidP="00AE1747" w14:paraId="73BB9391" w14:textId="77777777">
      <w:r>
        <w:t>Changes in this renewal include:</w:t>
      </w:r>
    </w:p>
    <w:p w:rsidR="00AE1747" w:rsidP="00AE1747" w14:paraId="1A468305" w14:textId="4310993D">
      <w:pPr>
        <w:pStyle w:val="ListParagraph"/>
        <w:numPr>
          <w:ilvl w:val="0"/>
          <w:numId w:val="28"/>
        </w:numPr>
        <w:contextualSpacing w:val="0"/>
      </w:pPr>
      <w:r>
        <w:t>Adjustment (</w:t>
      </w:r>
      <w:r w:rsidR="005F49E8">
        <w:t>added an IC</w:t>
      </w:r>
      <w:r>
        <w:t>) to b</w:t>
      </w:r>
      <w:r>
        <w:t>etter distinguish between initial submission and continuing recordkeeping</w:t>
      </w:r>
      <w:r w:rsidR="00AD626F">
        <w:t xml:space="preserve"> </w:t>
      </w:r>
      <w:r w:rsidR="00AD626F">
        <w:t>burden</w:t>
      </w:r>
      <w:r>
        <w:t>;</w:t>
      </w:r>
      <w:r>
        <w:t xml:space="preserve"> </w:t>
      </w:r>
    </w:p>
    <w:p w:rsidR="00ED6603" w:rsidP="00AE1747" w14:paraId="7A552FF0" w14:textId="35A5D9E8">
      <w:pPr>
        <w:pStyle w:val="ListParagraph"/>
        <w:numPr>
          <w:ilvl w:val="0"/>
          <w:numId w:val="28"/>
        </w:numPr>
        <w:contextualSpacing w:val="0"/>
      </w:pPr>
      <w:r>
        <w:t xml:space="preserve">Adjustment </w:t>
      </w:r>
      <w:r>
        <w:t xml:space="preserve">in respondent estimates </w:t>
      </w:r>
      <w:r>
        <w:t xml:space="preserve">(decrease) </w:t>
      </w:r>
      <w:r>
        <w:t>based on current data;</w:t>
      </w:r>
      <w:r w:rsidR="004B4B85">
        <w:t xml:space="preserve"> and</w:t>
      </w:r>
    </w:p>
    <w:p w:rsidR="00AE1747" w:rsidRPr="00650B39" w:rsidP="001C61A4" w14:paraId="2ED6A72B" w14:textId="3D4633C1">
      <w:pPr>
        <w:pStyle w:val="ListParagraph"/>
        <w:numPr>
          <w:ilvl w:val="0"/>
          <w:numId w:val="28"/>
        </w:numPr>
        <w:contextualSpacing w:val="0"/>
      </w:pPr>
      <w:r>
        <w:t xml:space="preserve">Adjustment in </w:t>
      </w:r>
      <w:r w:rsidR="0033576A">
        <w:t xml:space="preserve">annual burden estimates for initial submission (decrease) based on </w:t>
      </w:r>
      <w:r w:rsidR="00D55CEF">
        <w:t>subject matter expertise</w:t>
      </w:r>
      <w:r>
        <w:t>.</w:t>
      </w:r>
      <w:r w:rsidRPr="00B3123B">
        <w:t xml:space="preserve"> </w:t>
      </w:r>
    </w:p>
    <w:p w:rsidR="00C64707" w:rsidRPr="00EE5380" w:rsidP="00B9247A" w14:paraId="6AEEB205" w14:textId="77777777">
      <w:pPr>
        <w:pStyle w:val="Heading1"/>
      </w:pPr>
      <w:r w:rsidRPr="00EE5380">
        <w:t>1. Explain the circumstances that make the collection of information necessary. Identify any legal or administrative requirements that necessitate the collection.</w:t>
      </w:r>
    </w:p>
    <w:p w:rsidR="002F3560" w:rsidRPr="00B937E6" w:rsidP="00B937E6" w14:paraId="2B1C7DEC" w14:textId="7C08257A">
      <w:bookmarkStart w:id="0" w:name="This_advisory_circular_(AC)_provides_inf"/>
      <w:bookmarkEnd w:id="0"/>
      <w:r w:rsidRPr="00B937E6">
        <w:t>Advisory Circular (AC) 120-119</w:t>
      </w:r>
      <w:r w:rsidRPr="00B937E6" w:rsidR="00507091">
        <w:t xml:space="preserve">, </w:t>
      </w:r>
      <w:r w:rsidRPr="00304826" w:rsidR="0045085B">
        <w:rPr>
          <w:i/>
          <w:iCs/>
        </w:rPr>
        <w:t>Voluntary Safety Management System for Other Regulated Entities Transporting Dangerous Goods by Air</w:t>
      </w:r>
      <w:r w:rsidRPr="00B937E6" w:rsidR="0045085B">
        <w:t>,</w:t>
      </w:r>
      <w:r>
        <w:rPr>
          <w:rStyle w:val="FootnoteReference"/>
        </w:rPr>
        <w:footnoteReference w:id="2"/>
      </w:r>
      <w:r w:rsidRPr="00B937E6" w:rsidR="0045085B">
        <w:t xml:space="preserve"> </w:t>
      </w:r>
      <w:r w:rsidRPr="00B937E6">
        <w:t xml:space="preserve">provides information on how entities subject to Title 49 of the Code of Federal Regulations (CFR) </w:t>
      </w:r>
      <w:r w:rsidRPr="00B937E6" w:rsidR="009369A9">
        <w:t>P</w:t>
      </w:r>
      <w:r w:rsidRPr="00B937E6">
        <w:t xml:space="preserve">arts 171-180 may voluntarily implement a Safety Management System (SMS) as described in 14 CFR </w:t>
      </w:r>
      <w:r w:rsidRPr="00B937E6" w:rsidR="007735A6">
        <w:t>P</w:t>
      </w:r>
      <w:r w:rsidRPr="00B937E6">
        <w:t>art 5</w:t>
      </w:r>
      <w:r w:rsidRPr="00B937E6" w:rsidR="004865F2">
        <w:t>,</w:t>
      </w:r>
      <w:r w:rsidRPr="00B937E6">
        <w:t xml:space="preserve"> </w:t>
      </w:r>
      <w:r w:rsidRPr="00B9247A">
        <w:rPr>
          <w:i/>
        </w:rPr>
        <w:t>Safety Management Systems</w:t>
      </w:r>
      <w:r w:rsidRPr="00B937E6">
        <w:t>.</w:t>
      </w:r>
      <w:r w:rsidR="00FD620C">
        <w:t xml:space="preserve"> These entities </w:t>
      </w:r>
      <w:r w:rsidRPr="00B937E6" w:rsidR="00FD620C">
        <w:t>perform functions such as handling or shipping dangerous goods by air and</w:t>
      </w:r>
      <w:r w:rsidR="00FD620C">
        <w:t xml:space="preserve"> are</w:t>
      </w:r>
      <w:r w:rsidRPr="00B937E6" w:rsidR="00FD620C">
        <w:t xml:space="preserve"> referred to as Other Regulated Entit</w:t>
      </w:r>
      <w:r w:rsidR="002044B2">
        <w:t>ies</w:t>
      </w:r>
      <w:r w:rsidRPr="00B937E6" w:rsidR="00FD620C">
        <w:t xml:space="preserve"> (ORE)</w:t>
      </w:r>
      <w:r w:rsidR="00FD620C">
        <w:t>.</w:t>
      </w:r>
      <w:r w:rsidRPr="00B937E6" w:rsidR="00FD620C">
        <w:t xml:space="preserve"> </w:t>
      </w:r>
    </w:p>
    <w:p w:rsidR="00B9247A" w:rsidP="00B9247A" w14:paraId="203342AD" w14:textId="4FBD9535">
      <w:r>
        <w:t xml:space="preserve">As outlined in </w:t>
      </w:r>
      <w:r w:rsidR="002F3560">
        <w:t xml:space="preserve">AC </w:t>
      </w:r>
      <w:r>
        <w:t>120-119</w:t>
      </w:r>
      <w:r w:rsidR="009369A9">
        <w:t>,</w:t>
      </w:r>
      <w:r>
        <w:t xml:space="preserve"> large OREs </w:t>
      </w:r>
      <w:r w:rsidR="007735A6">
        <w:t xml:space="preserve">can </w:t>
      </w:r>
      <w:r w:rsidRPr="00650B39" w:rsidR="002F3560">
        <w:t xml:space="preserve">use the SMS principles in </w:t>
      </w:r>
      <w:r w:rsidR="007735A6">
        <w:t>14 CFR P</w:t>
      </w:r>
      <w:r w:rsidRPr="00650B39" w:rsidR="002F3560">
        <w:t xml:space="preserve">art 5 as </w:t>
      </w:r>
      <w:r w:rsidR="008A0498">
        <w:t xml:space="preserve">a </w:t>
      </w:r>
      <w:r w:rsidRPr="00650B39" w:rsidR="002F3560">
        <w:t>basis to develop a</w:t>
      </w:r>
      <w:r w:rsidR="00450C6F">
        <w:t xml:space="preserve"> voluntary SMS program, including a</w:t>
      </w:r>
      <w:r w:rsidR="006D22F5">
        <w:t>n</w:t>
      </w:r>
      <w:r w:rsidRPr="00650B39" w:rsidR="002F3560">
        <w:t xml:space="preserve"> SMS </w:t>
      </w:r>
      <w:r w:rsidR="006D22F5">
        <w:t xml:space="preserve">Implementation Plan, which is </w:t>
      </w:r>
      <w:r w:rsidRPr="00650B39" w:rsidR="002F3560">
        <w:t>submit</w:t>
      </w:r>
      <w:r w:rsidR="008A0498">
        <w:t xml:space="preserve">ted </w:t>
      </w:r>
      <w:r w:rsidRPr="00650B39" w:rsidR="002F3560">
        <w:t>to the FAA’s Office of Hazardous Materials Safety (AXH) for</w:t>
      </w:r>
      <w:r w:rsidR="006D22F5">
        <w:t xml:space="preserve"> review and</w:t>
      </w:r>
      <w:r w:rsidRPr="00650B39" w:rsidR="002F3560">
        <w:t xml:space="preserve"> acceptance. </w:t>
      </w:r>
      <w:bookmarkStart w:id="1" w:name="An_SMS_is_an_organization-wide_comprehen"/>
      <w:bookmarkEnd w:id="1"/>
      <w:r w:rsidR="006D22F5">
        <w:t xml:space="preserve">Then, the ORE implements </w:t>
      </w:r>
      <w:r w:rsidR="00042578">
        <w:t>its</w:t>
      </w:r>
      <w:r w:rsidR="007E683B">
        <w:t xml:space="preserve"> SMS program and maintains records to document </w:t>
      </w:r>
      <w:r w:rsidRPr="00160118" w:rsidR="00160118">
        <w:t xml:space="preserve">processes, identify hazards, and </w:t>
      </w:r>
      <w:r w:rsidR="008060A3">
        <w:t xml:space="preserve">document </w:t>
      </w:r>
      <w:r w:rsidRPr="00160118" w:rsidR="00160118">
        <w:t>non-compliance</w:t>
      </w:r>
      <w:r w:rsidR="00160118">
        <w:t xml:space="preserve">. </w:t>
      </w:r>
      <w:r w:rsidR="004B3B84">
        <w:t>This collection covers the burden of developing the implementation plan and continued monitoring of the voluntary SMS program</w:t>
      </w:r>
      <w:r w:rsidR="005D449E">
        <w:t>.</w:t>
      </w:r>
    </w:p>
    <w:p w:rsidR="00094A9F" w:rsidRPr="00650B39" w:rsidP="00B9247A" w14:paraId="3FADA5DD" w14:textId="251E8DD1">
      <w:pPr>
        <w:pStyle w:val="Heading1"/>
      </w:pPr>
      <w:r w:rsidRPr="00650B39">
        <w:t>2. Indicate how, by whom, and for what purpose the information is to be used. Except for a new collection, indicate the actual use the agency has made of the information received from the current collection.</w:t>
      </w:r>
    </w:p>
    <w:p w:rsidR="00012AB6" w:rsidP="00EE5380" w14:paraId="2F4C7A23" w14:textId="1698A921">
      <w:r>
        <w:t>When</w:t>
      </w:r>
      <w:r w:rsidR="00B8489B">
        <w:t xml:space="preserve"> a</w:t>
      </w:r>
      <w:r>
        <w:t xml:space="preserve"> large</w:t>
      </w:r>
      <w:r w:rsidR="00B8489B">
        <w:t xml:space="preserve"> ORE </w:t>
      </w:r>
      <w:r>
        <w:t xml:space="preserve">determines they </w:t>
      </w:r>
      <w:r w:rsidR="00B8489B">
        <w:t xml:space="preserve">want to </w:t>
      </w:r>
      <w:r w:rsidR="00062478">
        <w:t>participate</w:t>
      </w:r>
      <w:r w:rsidR="00B8489B">
        <w:t xml:space="preserve"> in the voluntary SMS program </w:t>
      </w:r>
      <w:r>
        <w:t xml:space="preserve">(as </w:t>
      </w:r>
      <w:r w:rsidR="00B8489B">
        <w:t>outlined in AC 120-119</w:t>
      </w:r>
      <w:r>
        <w:t>)</w:t>
      </w:r>
      <w:r w:rsidR="00B8489B">
        <w:t xml:space="preserve">, the ORE develops </w:t>
      </w:r>
      <w:r>
        <w:t>an</w:t>
      </w:r>
      <w:r w:rsidR="00062478">
        <w:t xml:space="preserve"> </w:t>
      </w:r>
      <w:r w:rsidR="00B8489B">
        <w:t>SMS Implementation Plan</w:t>
      </w:r>
      <w:r>
        <w:t>, which is submitted to the FAA</w:t>
      </w:r>
      <w:r w:rsidR="00062478">
        <w:t>. The</w:t>
      </w:r>
      <w:r w:rsidR="0023195E">
        <w:t>n, the</w:t>
      </w:r>
      <w:r w:rsidR="00062478">
        <w:t xml:space="preserve"> </w:t>
      </w:r>
      <w:r w:rsidR="00B8489B">
        <w:t xml:space="preserve">FAA </w:t>
      </w:r>
      <w:r w:rsidR="0023195E">
        <w:t xml:space="preserve">reviews the </w:t>
      </w:r>
      <w:r w:rsidR="00062478">
        <w:t xml:space="preserve">SMS Implementation Plan </w:t>
      </w:r>
      <w:r w:rsidRPr="00650B39" w:rsidR="00B8489B">
        <w:t xml:space="preserve">to </w:t>
      </w:r>
      <w:r w:rsidR="005A79F1">
        <w:t xml:space="preserve">understand how the ORE will implement an SMS, </w:t>
      </w:r>
      <w:r w:rsidRPr="00650B39" w:rsidR="00B8489B">
        <w:t xml:space="preserve">determine </w:t>
      </w:r>
      <w:r w:rsidR="00B8489B">
        <w:t>consistency</w:t>
      </w:r>
      <w:r w:rsidRPr="00650B39" w:rsidR="00B8489B">
        <w:t xml:space="preserve"> with </w:t>
      </w:r>
      <w:r w:rsidR="00062478">
        <w:t>14 CFR Part 5</w:t>
      </w:r>
      <w:r w:rsidR="005A79F1">
        <w:t>, and</w:t>
      </w:r>
      <w:r w:rsidR="00B8489B">
        <w:t xml:space="preserve"> </w:t>
      </w:r>
      <w:r w:rsidR="003A2AE4">
        <w:t xml:space="preserve">understand the </w:t>
      </w:r>
      <w:r w:rsidR="00B8489B">
        <w:t xml:space="preserve">burden </w:t>
      </w:r>
      <w:r w:rsidR="005A79F1">
        <w:t xml:space="preserve">of the SMS </w:t>
      </w:r>
      <w:r w:rsidR="00B8489B">
        <w:t xml:space="preserve">on </w:t>
      </w:r>
      <w:r w:rsidR="005A79F1">
        <w:t>the ORE</w:t>
      </w:r>
      <w:r w:rsidRPr="00D3719E" w:rsidR="00B8489B">
        <w:t>.</w:t>
      </w:r>
      <w:r w:rsidR="007D5F41">
        <w:t xml:space="preserve"> </w:t>
      </w:r>
      <w:r w:rsidR="0023195E">
        <w:t>Ultimately, t</w:t>
      </w:r>
      <w:r w:rsidR="007D5F41">
        <w:t xml:space="preserve">his information is used to approve the ORE </w:t>
      </w:r>
      <w:r w:rsidR="004B3B84">
        <w:t xml:space="preserve">for </w:t>
      </w:r>
      <w:r w:rsidR="007D5F41">
        <w:t>the voluntary SMS program.</w:t>
      </w:r>
      <w:r w:rsidR="00EA094B">
        <w:t xml:space="preserve"> The submission of the SMS Implementation Plan is a one-time reporting burden.</w:t>
      </w:r>
    </w:p>
    <w:p w:rsidR="00CD601A" w:rsidP="00B937E6" w14:paraId="31FAB40D" w14:textId="65B9DB4F">
      <w:r>
        <w:t>Following implementati</w:t>
      </w:r>
      <w:r w:rsidR="007D5F41">
        <w:t>on, the ORE</w:t>
      </w:r>
      <w:r w:rsidRPr="00650B39">
        <w:t xml:space="preserve"> collect</w:t>
      </w:r>
      <w:r w:rsidR="00A41C73">
        <w:t>s</w:t>
      </w:r>
      <w:r w:rsidRPr="00650B39">
        <w:t>, maintain</w:t>
      </w:r>
      <w:r w:rsidR="00A41C73">
        <w:t>s</w:t>
      </w:r>
      <w:r w:rsidRPr="00650B39">
        <w:t>, and analyze</w:t>
      </w:r>
      <w:r w:rsidR="00A41C73">
        <w:t>s</w:t>
      </w:r>
      <w:r w:rsidRPr="00650B39">
        <w:t xml:space="preserve"> safety data, training</w:t>
      </w:r>
      <w:r w:rsidR="00A41C73">
        <w:t>,</w:t>
      </w:r>
      <w:r w:rsidRPr="00650B39">
        <w:t xml:space="preserve"> and communications as part of its SMS</w:t>
      </w:r>
      <w:r w:rsidR="00A41C73">
        <w:t xml:space="preserve"> program. </w:t>
      </w:r>
      <w:r w:rsidR="004D515D">
        <w:t>Specifically, for</w:t>
      </w:r>
      <w:r>
        <w:t>:</w:t>
      </w:r>
    </w:p>
    <w:p w:rsidR="00CD601A" w:rsidRPr="0085189F" w:rsidP="00B9247A" w14:paraId="79DA19A2" w14:textId="0E22F126">
      <w:pPr>
        <w:pStyle w:val="ListParagraph"/>
        <w:numPr>
          <w:ilvl w:val="0"/>
          <w:numId w:val="24"/>
        </w:numPr>
        <w:contextualSpacing w:val="0"/>
      </w:pPr>
      <w:r w:rsidRPr="0085189F">
        <w:t xml:space="preserve">Safety </w:t>
      </w:r>
      <w:r w:rsidR="00194B73">
        <w:t>p</w:t>
      </w:r>
      <w:r w:rsidRPr="0085189F">
        <w:t>olicy</w:t>
      </w:r>
      <w:r w:rsidR="00862558">
        <w:t>—</w:t>
      </w:r>
      <w:r w:rsidR="004D515D">
        <w:t>the ORE</w:t>
      </w:r>
      <w:r w:rsidRPr="0085189F">
        <w:t xml:space="preserve"> establishes an organization-wide safety policy</w:t>
      </w:r>
      <w:r w:rsidR="001725C8">
        <w:t>,</w:t>
      </w:r>
      <w:r w:rsidRPr="0085189F">
        <w:t xml:space="preserve"> including a safety policy statement by the “Accountable Executive” (single person with final authority over operations</w:t>
      </w:r>
      <w:r w:rsidRPr="0085189F">
        <w:t>);</w:t>
      </w:r>
      <w:r w:rsidRPr="0085189F">
        <w:t xml:space="preserve"> </w:t>
      </w:r>
    </w:p>
    <w:p w:rsidR="00CD601A" w:rsidRPr="0085189F" w:rsidP="00B9247A" w14:paraId="3F165490" w14:textId="265139F3">
      <w:pPr>
        <w:pStyle w:val="ListParagraph"/>
        <w:numPr>
          <w:ilvl w:val="0"/>
          <w:numId w:val="24"/>
        </w:numPr>
        <w:contextualSpacing w:val="0"/>
      </w:pPr>
      <w:r w:rsidRPr="0085189F">
        <w:t xml:space="preserve">Safety </w:t>
      </w:r>
      <w:r w:rsidR="00194B73">
        <w:t>r</w:t>
      </w:r>
      <w:r w:rsidRPr="0085189F">
        <w:t xml:space="preserve">isk </w:t>
      </w:r>
      <w:r w:rsidR="00194B73">
        <w:t>m</w:t>
      </w:r>
      <w:r w:rsidRPr="0085189F">
        <w:t>anagement</w:t>
      </w:r>
      <w:r w:rsidR="00862558">
        <w:t>—</w:t>
      </w:r>
      <w:r w:rsidR="004D515D">
        <w:t>the ORE</w:t>
      </w:r>
      <w:r w:rsidRPr="0085189F">
        <w:t xml:space="preserve"> implements formal methods for identifying </w:t>
      </w:r>
      <w:r w:rsidRPr="0085189F">
        <w:t>hazards;</w:t>
      </w:r>
      <w:r w:rsidR="004D515D">
        <w:t xml:space="preserve"> </w:t>
      </w:r>
    </w:p>
    <w:p w:rsidR="00194B73" w:rsidP="00B9247A" w14:paraId="76DF9669" w14:textId="520B2B11">
      <w:pPr>
        <w:pStyle w:val="ListParagraph"/>
        <w:numPr>
          <w:ilvl w:val="0"/>
          <w:numId w:val="24"/>
        </w:numPr>
        <w:contextualSpacing w:val="0"/>
      </w:pPr>
      <w:r w:rsidRPr="0085189F">
        <w:t xml:space="preserve">Safety </w:t>
      </w:r>
      <w:r>
        <w:t>a</w:t>
      </w:r>
      <w:r w:rsidRPr="0085189F">
        <w:t>ssurance</w:t>
      </w:r>
      <w:r w:rsidR="00862558">
        <w:t>—</w:t>
      </w:r>
      <w:r w:rsidR="004D515D">
        <w:t>the ORE</w:t>
      </w:r>
      <w:r w:rsidRPr="0085189F">
        <w:t xml:space="preserve"> controls and continually assesses risk and safety performance</w:t>
      </w:r>
      <w:r>
        <w:t>; and</w:t>
      </w:r>
    </w:p>
    <w:p w:rsidR="00CD601A" w:rsidP="00A80217" w14:paraId="414CACAC" w14:textId="6A64379B">
      <w:pPr>
        <w:pStyle w:val="ListParagraph"/>
        <w:numPr>
          <w:ilvl w:val="0"/>
          <w:numId w:val="24"/>
        </w:numPr>
        <w:contextualSpacing w:val="0"/>
      </w:pPr>
      <w:r>
        <w:t xml:space="preserve">Safety </w:t>
      </w:r>
      <w:r w:rsidR="00C24819">
        <w:t>promotion</w:t>
      </w:r>
      <w:r w:rsidR="00862558">
        <w:t>—</w:t>
      </w:r>
      <w:r w:rsidR="00C24819">
        <w:t>the ORE provides employees with SMS training commensurate with their safety responsibilities and creates a means to deliver organization-wide safety communication</w:t>
      </w:r>
      <w:r w:rsidRPr="0085189F">
        <w:t>.</w:t>
      </w:r>
    </w:p>
    <w:p w:rsidR="00DF3881" w:rsidP="00B937E6" w14:paraId="536C4D0D" w14:textId="75DA8B56">
      <w:r>
        <w:t>Then,</w:t>
      </w:r>
      <w:r w:rsidR="004D515D">
        <w:t xml:space="preserve"> t</w:t>
      </w:r>
      <w:r w:rsidRPr="00791C9C" w:rsidR="00CD601A">
        <w:t xml:space="preserve">he </w:t>
      </w:r>
      <w:r w:rsidR="00CD601A">
        <w:t>ORE</w:t>
      </w:r>
      <w:r w:rsidRPr="00791C9C" w:rsidR="00CD601A">
        <w:t xml:space="preserve"> maintains </w:t>
      </w:r>
      <w:r>
        <w:t xml:space="preserve">records </w:t>
      </w:r>
      <w:r w:rsidR="00A162A6">
        <w:t>to capture appropriate processes</w:t>
      </w:r>
      <w:r w:rsidR="00AF0183">
        <w:t xml:space="preserve">, </w:t>
      </w:r>
      <w:r w:rsidRPr="00583846" w:rsidR="00AF0183">
        <w:t>identify hazards</w:t>
      </w:r>
      <w:r w:rsidR="00AF0183">
        <w:t>,</w:t>
      </w:r>
      <w:r w:rsidRPr="00583846" w:rsidR="00AF0183">
        <w:t xml:space="preserve"> and instances o</w:t>
      </w:r>
      <w:r w:rsidR="00160118">
        <w:t>f</w:t>
      </w:r>
      <w:r w:rsidRPr="00583846" w:rsidR="00AF0183">
        <w:t xml:space="preserve"> non-compliance with requirements and standards</w:t>
      </w:r>
      <w:r w:rsidR="00E66A5F">
        <w:t>.</w:t>
      </w:r>
      <w:r w:rsidRPr="00791C9C" w:rsidR="00CD601A">
        <w:t xml:space="preserve"> </w:t>
      </w:r>
      <w:r w:rsidR="00E66A5F">
        <w:t>T</w:t>
      </w:r>
      <w:r w:rsidRPr="00791C9C" w:rsidR="00CD601A">
        <w:t>he</w:t>
      </w:r>
      <w:r w:rsidR="00862558">
        <w:t>re</w:t>
      </w:r>
      <w:r w:rsidRPr="00791C9C" w:rsidR="00CD601A">
        <w:t xml:space="preserve"> </w:t>
      </w:r>
      <w:r w:rsidR="00E66A5F">
        <w:t xml:space="preserve">is no </w:t>
      </w:r>
      <w:r w:rsidR="00AF0183">
        <w:t>standard method</w:t>
      </w:r>
      <w:r w:rsidR="00E66A5F">
        <w:t xml:space="preserve"> </w:t>
      </w:r>
      <w:r w:rsidR="007E2445">
        <w:t>for</w:t>
      </w:r>
      <w:r w:rsidR="00E66A5F">
        <w:t xml:space="preserve"> </w:t>
      </w:r>
      <w:r w:rsidRPr="00791C9C" w:rsidR="00CD601A">
        <w:t>how the</w:t>
      </w:r>
      <w:r w:rsidR="00AF0183">
        <w:t xml:space="preserve"> ORE maintains these records</w:t>
      </w:r>
      <w:r w:rsidRPr="00791C9C" w:rsidR="00CD601A">
        <w:t>.</w:t>
      </w:r>
      <w:r w:rsidR="00A162A6">
        <w:t xml:space="preserve"> </w:t>
      </w:r>
    </w:p>
    <w:p w:rsidR="00304826" w:rsidP="00F05DEA" w14:paraId="5DC21FCA" w14:textId="21B626D4">
      <w:r>
        <w:t>W</w:t>
      </w:r>
      <w:r w:rsidR="001E6EFC">
        <w:t xml:space="preserve">hile this information is not required to be submitted to the FAA, </w:t>
      </w:r>
      <w:r w:rsidR="003734C1">
        <w:t xml:space="preserve">the FAA may request </w:t>
      </w:r>
      <w:r w:rsidR="00727F8A">
        <w:t xml:space="preserve">that some of these records be submitted </w:t>
      </w:r>
      <w:r w:rsidR="001E6EFC">
        <w:t>to ensure</w:t>
      </w:r>
      <w:r w:rsidR="006F367B">
        <w:t xml:space="preserve"> </w:t>
      </w:r>
      <w:r w:rsidR="00635DCF">
        <w:t xml:space="preserve">the </w:t>
      </w:r>
      <w:r w:rsidR="00676010">
        <w:t>continued success of the</w:t>
      </w:r>
      <w:r>
        <w:t xml:space="preserve"> ORE’s</w:t>
      </w:r>
      <w:r w:rsidR="00676010">
        <w:t xml:space="preserve"> SMS program</w:t>
      </w:r>
      <w:r w:rsidR="00A80217">
        <w:t>. This information helps the FAA understand the progress of SMS implementation.</w:t>
      </w:r>
    </w:p>
    <w:p w:rsidR="00C64707" w:rsidRPr="00036DCF" w:rsidP="00B9247A" w14:paraId="6BEE55F1" w14:textId="77777777">
      <w:pPr>
        <w:pStyle w:val="Heading1"/>
      </w:pPr>
      <w:r w:rsidRPr="00036DCF">
        <w:t>3. Describe whether, and to what extent, the collection of information involves the use of automated, electronic, mechanical, or other technological collection techniques or other forms of information technology.</w:t>
      </w:r>
    </w:p>
    <w:p w:rsidR="00DB028A" w:rsidP="00B9247A" w14:paraId="3AA5940F" w14:textId="064195B2">
      <w:r>
        <w:t xml:space="preserve">No standard method exists for how an ORE creates and maintains its SMS </w:t>
      </w:r>
      <w:r w:rsidRPr="00650B39" w:rsidR="005D66BA">
        <w:t>documents and records</w:t>
      </w:r>
      <w:r w:rsidR="00F55C96">
        <w:t>, allowing</w:t>
      </w:r>
      <w:r>
        <w:t xml:space="preserve"> an ORE to </w:t>
      </w:r>
      <w:r w:rsidRPr="00650B39" w:rsidR="005D66BA">
        <w:t xml:space="preserve">use </w:t>
      </w:r>
      <w:r w:rsidR="00F55C96">
        <w:t>the appropriate systems and media</w:t>
      </w:r>
      <w:r w:rsidRPr="00650B39" w:rsidR="005D66BA">
        <w:t>. The FAA, in accordance with the Government Paperwork Elimination Act (GPEA), allow</w:t>
      </w:r>
      <w:r w:rsidR="000C3A0E">
        <w:t>s,</w:t>
      </w:r>
      <w:r w:rsidRPr="00650B39" w:rsidR="005D66BA">
        <w:t xml:space="preserve"> accept</w:t>
      </w:r>
      <w:r w:rsidR="000C3A0E">
        <w:t>s</w:t>
      </w:r>
      <w:r w:rsidRPr="00650B39" w:rsidR="005D66BA">
        <w:t xml:space="preserve">, </w:t>
      </w:r>
      <w:r w:rsidR="000C3A0E">
        <w:t xml:space="preserve">and </w:t>
      </w:r>
      <w:r w:rsidRPr="00650B39" w:rsidR="005D66BA">
        <w:t>encourage</w:t>
      </w:r>
      <w:r w:rsidR="000C3A0E">
        <w:t>s</w:t>
      </w:r>
      <w:r w:rsidRPr="00650B39" w:rsidR="005D66BA">
        <w:t xml:space="preserve"> the use of automation and electronic media for the gathering, storage, presentation, review, and transmission of all requests, records, reports, tests, or statements </w:t>
      </w:r>
      <w:r>
        <w:t>related to this collection</w:t>
      </w:r>
      <w:r w:rsidRPr="00650B39" w:rsidR="005D66BA">
        <w:t xml:space="preserve">. </w:t>
      </w:r>
    </w:p>
    <w:p w:rsidR="00C64707" w:rsidRPr="00650B39" w:rsidP="00B9247A" w14:paraId="288339D5" w14:textId="77777777">
      <w:pPr>
        <w:pStyle w:val="Heading1"/>
      </w:pPr>
      <w:r w:rsidRPr="00650B39">
        <w:t>4. Describe efforts to identify duplication. Show specifically why any similar information already available cannot be used or modified for use for the purposes described in Item 2 above.</w:t>
      </w:r>
    </w:p>
    <w:p w:rsidR="00C64707" w:rsidRPr="00650B39" w:rsidP="00B9247A" w14:paraId="5698CA9D" w14:textId="3630D41D">
      <w:r>
        <w:t xml:space="preserve">While </w:t>
      </w:r>
      <w:r w:rsidR="00A10CB3">
        <w:t xml:space="preserve">the SMS program </w:t>
      </w:r>
      <w:r w:rsidR="00377AAF">
        <w:t>is required for certain c</w:t>
      </w:r>
      <w:r w:rsidR="00A10CB3">
        <w:t xml:space="preserve">ertificate </w:t>
      </w:r>
      <w:r w:rsidR="00377AAF">
        <w:t>h</w:t>
      </w:r>
      <w:r w:rsidR="00A10CB3">
        <w:t xml:space="preserve">olders </w:t>
      </w:r>
      <w:r w:rsidR="00377AAF">
        <w:t xml:space="preserve">in accordance with </w:t>
      </w:r>
      <w:r w:rsidR="00A10CB3">
        <w:t>14</w:t>
      </w:r>
      <w:r w:rsidR="00C759C7">
        <w:t> </w:t>
      </w:r>
      <w:r w:rsidR="00A10CB3">
        <w:t>CFR Part 5</w:t>
      </w:r>
      <w:r w:rsidR="00377AAF">
        <w:t xml:space="preserve"> (and therefore, the associated burdens are calculated in a separate information collection)</w:t>
      </w:r>
      <w:r w:rsidR="00A10CB3">
        <w:t xml:space="preserve">, </w:t>
      </w:r>
      <w:r w:rsidR="00377AAF">
        <w:t xml:space="preserve">because </w:t>
      </w:r>
      <w:r w:rsidR="00A10CB3">
        <w:t>OREs</w:t>
      </w:r>
      <w:r w:rsidR="00B10E90">
        <w:t xml:space="preserve"> are not subject to 14 CFR Part 5</w:t>
      </w:r>
      <w:r w:rsidR="000B35B1">
        <w:t>,</w:t>
      </w:r>
      <w:r w:rsidR="00B10E90">
        <w:t xml:space="preserve"> they are not covered by that information collection.</w:t>
      </w:r>
      <w:r w:rsidR="00A10CB3">
        <w:t xml:space="preserve"> </w:t>
      </w:r>
      <w:r w:rsidRPr="00650B39" w:rsidR="008F5072">
        <w:t xml:space="preserve">The FAA has reviewed other </w:t>
      </w:r>
      <w:r w:rsidRPr="00650B39" w:rsidR="008F5072">
        <w:t>public-use</w:t>
      </w:r>
      <w:r w:rsidRPr="00650B39" w:rsidR="008F5072">
        <w:t xml:space="preserve"> reports and finds no duplication. No other agency collects this information</w:t>
      </w:r>
      <w:r w:rsidR="000B35B1">
        <w:t>,</w:t>
      </w:r>
      <w:r w:rsidRPr="00650B39" w:rsidR="008F5072">
        <w:t xml:space="preserve"> </w:t>
      </w:r>
      <w:r w:rsidR="00A80217">
        <w:t xml:space="preserve">and </w:t>
      </w:r>
      <w:r w:rsidRPr="00650B39" w:rsidR="008F5072">
        <w:t xml:space="preserve">similar information available </w:t>
      </w:r>
      <w:r w:rsidR="001C4CAE">
        <w:t>is not available from</w:t>
      </w:r>
      <w:r w:rsidRPr="00650B39" w:rsidR="001C4CAE">
        <w:t xml:space="preserve"> </w:t>
      </w:r>
      <w:r w:rsidRPr="00650B39" w:rsidR="008F5072">
        <w:t>any other source.</w:t>
      </w:r>
    </w:p>
    <w:p w:rsidR="00C64707" w:rsidRPr="00650B39" w:rsidP="00B9247A" w14:paraId="3EA1CB31" w14:textId="77777777">
      <w:pPr>
        <w:pStyle w:val="Heading1"/>
      </w:pPr>
      <w:r w:rsidRPr="00650B39">
        <w:t>5. If the collection of information involves small businesses or other small entities, describe the methods used to minimize burden.</w:t>
      </w:r>
    </w:p>
    <w:p w:rsidR="00DB028A" w:rsidRPr="00650B39" w:rsidP="00B937E6" w14:paraId="312CC4AA" w14:textId="36718EE9">
      <w:r>
        <w:t xml:space="preserve">The </w:t>
      </w:r>
      <w:r w:rsidR="001C4CAE">
        <w:t xml:space="preserve">information </w:t>
      </w:r>
      <w:r>
        <w:t>collection does not involve small business</w:t>
      </w:r>
      <w:r w:rsidR="001C4CAE">
        <w:t>es</w:t>
      </w:r>
      <w:r>
        <w:t xml:space="preserve"> or other small entities </w:t>
      </w:r>
      <w:r w:rsidR="001C4CAE">
        <w:t>because</w:t>
      </w:r>
      <w:r>
        <w:t xml:space="preserve"> large OREs are the only </w:t>
      </w:r>
      <w:r w:rsidR="001C4CAE">
        <w:t>respondents</w:t>
      </w:r>
      <w:r>
        <w:t xml:space="preserve"> eligible </w:t>
      </w:r>
      <w:r w:rsidR="001C4CAE">
        <w:t xml:space="preserve">for </w:t>
      </w:r>
      <w:r>
        <w:t xml:space="preserve">the AC 120-119 </w:t>
      </w:r>
      <w:r w:rsidR="001C4CAE">
        <w:t>voluntary SMS program</w:t>
      </w:r>
      <w:r w:rsidR="00D50BE3">
        <w:t>.</w:t>
      </w:r>
    </w:p>
    <w:p w:rsidR="00C64707" w:rsidRPr="00650B39" w:rsidP="00B9247A" w14:paraId="055DD89E" w14:textId="77777777">
      <w:pPr>
        <w:pStyle w:val="Heading1"/>
      </w:pPr>
      <w:r w:rsidRPr="00650B39">
        <w:t>6. Describe the consequence to Federal program or policy activities if the collection is not conducted or is conducted less frequently, as well as any technical or legal obstacles to reducing burden.</w:t>
      </w:r>
    </w:p>
    <w:p w:rsidR="005926D2" w:rsidRPr="00650B39" w:rsidP="00B937E6" w14:paraId="545A2101" w14:textId="04DC8CD0">
      <w:r>
        <w:t xml:space="preserve">While the </w:t>
      </w:r>
      <w:r w:rsidR="00A50C3B">
        <w:t xml:space="preserve">ORE </w:t>
      </w:r>
      <w:r w:rsidR="008F5072">
        <w:t>volunt</w:t>
      </w:r>
      <w:r w:rsidR="00F05DEA">
        <w:t>arily</w:t>
      </w:r>
      <w:r w:rsidR="008F5072">
        <w:t xml:space="preserve"> implement</w:t>
      </w:r>
      <w:r w:rsidR="00F05DEA">
        <w:t>s</w:t>
      </w:r>
      <w:r w:rsidR="008F5072">
        <w:t xml:space="preserve"> </w:t>
      </w:r>
      <w:r w:rsidR="00A50C3B">
        <w:t xml:space="preserve">an </w:t>
      </w:r>
      <w:r w:rsidR="008F5072">
        <w:t xml:space="preserve">SMS </w:t>
      </w:r>
      <w:r w:rsidR="00A50C3B">
        <w:t>program</w:t>
      </w:r>
      <w:r w:rsidR="00F05DEA">
        <w:t>,</w:t>
      </w:r>
      <w:r>
        <w:t xml:space="preserve"> the FAA must review the SMS program to understand and assist in its success. Without submission of this information to the FAA, the FAA cannot validate and assist an ORE in developing a successful SMS program. This SMS program also helps to support continual safety compliance for hazardous materials transported on aircraft.</w:t>
      </w:r>
      <w:r w:rsidR="008F5072">
        <w:t xml:space="preserve"> </w:t>
      </w:r>
    </w:p>
    <w:p w:rsidR="00C64707" w:rsidRPr="00650B39" w:rsidP="00B9247A" w14:paraId="20B11807" w14:textId="77777777">
      <w:pPr>
        <w:pStyle w:val="Heading1"/>
      </w:pPr>
      <w:r w:rsidRPr="00650B39">
        <w:t>7. Explain any special circumstances that would cause an information collection to be conducted in a manner:</w:t>
      </w:r>
    </w:p>
    <w:p w:rsidR="00094C7B" w:rsidRPr="00410D5F" w:rsidP="00B9247A" w14:paraId="0C4F34E6" w14:textId="79AA834C">
      <w:pPr>
        <w:pStyle w:val="ListParagraph"/>
        <w:numPr>
          <w:ilvl w:val="0"/>
          <w:numId w:val="18"/>
        </w:numPr>
        <w:ind w:left="547"/>
        <w:contextualSpacing w:val="0"/>
        <w:rPr>
          <w:b/>
          <w:bCs/>
          <w:i/>
          <w:iCs/>
        </w:rPr>
      </w:pPr>
      <w:r w:rsidRPr="00410D5F">
        <w:rPr>
          <w:b/>
          <w:bCs/>
          <w:i/>
          <w:iCs/>
        </w:rPr>
        <w:t xml:space="preserve">requiring respondents to report information to the agency more often than </w:t>
      </w:r>
      <w:r w:rsidRPr="00410D5F">
        <w:rPr>
          <w:b/>
          <w:bCs/>
          <w:i/>
          <w:iCs/>
        </w:rPr>
        <w:t>quarterly;</w:t>
      </w:r>
    </w:p>
    <w:p w:rsidR="00094C7B" w:rsidRPr="00410D5F" w:rsidP="00B9247A" w14:paraId="12E1BE78" w14:textId="5444D43C">
      <w:pPr>
        <w:pStyle w:val="ListParagraph"/>
        <w:numPr>
          <w:ilvl w:val="0"/>
          <w:numId w:val="18"/>
        </w:numPr>
        <w:ind w:left="547"/>
        <w:contextualSpacing w:val="0"/>
        <w:rPr>
          <w:b/>
          <w:bCs/>
          <w:i/>
          <w:iCs/>
        </w:rPr>
      </w:pPr>
      <w:r w:rsidRPr="00410D5F">
        <w:rPr>
          <w:b/>
          <w:bCs/>
          <w:i/>
          <w:iCs/>
        </w:rPr>
        <w:t xml:space="preserve">requiring respondents to prepare a written response to a collection of information in fewer than 30 days after receipt of </w:t>
      </w:r>
      <w:r w:rsidRPr="00410D5F">
        <w:rPr>
          <w:b/>
          <w:bCs/>
          <w:i/>
          <w:iCs/>
        </w:rPr>
        <w:t>it;</w:t>
      </w:r>
    </w:p>
    <w:p w:rsidR="00094C7B" w:rsidRPr="00410D5F" w:rsidP="00B9247A" w14:paraId="25413997" w14:textId="11E9ABBC">
      <w:pPr>
        <w:pStyle w:val="ListParagraph"/>
        <w:numPr>
          <w:ilvl w:val="0"/>
          <w:numId w:val="18"/>
        </w:numPr>
        <w:ind w:left="547"/>
        <w:contextualSpacing w:val="0"/>
        <w:rPr>
          <w:b/>
          <w:bCs/>
          <w:i/>
          <w:iCs/>
        </w:rPr>
      </w:pPr>
      <w:r w:rsidRPr="00410D5F">
        <w:rPr>
          <w:b/>
          <w:bCs/>
          <w:i/>
          <w:iCs/>
        </w:rPr>
        <w:t xml:space="preserve">requiring respondents to submit more than an original and two copies of any document; requiring respondents to retain records, other than health, medical, government contract, grant-in-aid, or tax records, for more than three </w:t>
      </w:r>
      <w:r w:rsidRPr="00410D5F">
        <w:rPr>
          <w:b/>
          <w:bCs/>
          <w:i/>
          <w:iCs/>
        </w:rPr>
        <w:t>years;</w:t>
      </w:r>
    </w:p>
    <w:p w:rsidR="00094C7B" w:rsidRPr="00410D5F" w:rsidP="00B9247A" w14:paraId="05B90418" w14:textId="33153151">
      <w:pPr>
        <w:pStyle w:val="ListParagraph"/>
        <w:numPr>
          <w:ilvl w:val="0"/>
          <w:numId w:val="18"/>
        </w:numPr>
        <w:ind w:left="547"/>
        <w:contextualSpacing w:val="0"/>
        <w:rPr>
          <w:b/>
          <w:bCs/>
          <w:i/>
          <w:iCs/>
        </w:rPr>
      </w:pPr>
      <w:r w:rsidRPr="00410D5F">
        <w:rPr>
          <w:b/>
          <w:bCs/>
          <w:i/>
          <w:iCs/>
        </w:rPr>
        <w:t xml:space="preserve">in connection with a statistical survey, that is not designed to produce valid and reliable results that can be generalized to the universe of </w:t>
      </w:r>
      <w:r w:rsidRPr="00410D5F">
        <w:rPr>
          <w:b/>
          <w:bCs/>
          <w:i/>
          <w:iCs/>
        </w:rPr>
        <w:t>study;</w:t>
      </w:r>
    </w:p>
    <w:p w:rsidR="00094C7B" w:rsidRPr="00410D5F" w:rsidP="00B9247A" w14:paraId="314D23B9" w14:textId="27C80966">
      <w:pPr>
        <w:pStyle w:val="ListParagraph"/>
        <w:numPr>
          <w:ilvl w:val="0"/>
          <w:numId w:val="18"/>
        </w:numPr>
        <w:ind w:left="547"/>
        <w:contextualSpacing w:val="0"/>
        <w:rPr>
          <w:b/>
          <w:bCs/>
          <w:i/>
          <w:iCs/>
        </w:rPr>
      </w:pPr>
      <w:r w:rsidRPr="00410D5F">
        <w:rPr>
          <w:b/>
          <w:bCs/>
          <w:i/>
          <w:iCs/>
        </w:rPr>
        <w:t xml:space="preserve">requiring the use of a statistical data classification that has not been reviewed and approved by </w:t>
      </w:r>
      <w:r w:rsidRPr="00410D5F">
        <w:rPr>
          <w:b/>
          <w:bCs/>
          <w:i/>
          <w:iCs/>
        </w:rPr>
        <w:t>OMB;</w:t>
      </w:r>
    </w:p>
    <w:p w:rsidR="00094C7B" w:rsidRPr="00410D5F" w:rsidP="00B9247A" w14:paraId="416F8319" w14:textId="632E44E3">
      <w:pPr>
        <w:pStyle w:val="ListParagraph"/>
        <w:numPr>
          <w:ilvl w:val="0"/>
          <w:numId w:val="18"/>
        </w:numPr>
        <w:ind w:left="547"/>
        <w:contextualSpacing w:val="0"/>
        <w:rPr>
          <w:b/>
          <w:bCs/>
          <w:i/>
          <w:iCs/>
        </w:rPr>
      </w:pPr>
      <w:r w:rsidRPr="00410D5F">
        <w:rPr>
          <w:b/>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410D5F" w:rsidR="006B28EE">
        <w:rPr>
          <w:b/>
          <w:bCs/>
          <w:i/>
          <w:iCs/>
        </w:rPr>
        <w:t xml:space="preserve"> </w:t>
      </w:r>
      <w:r w:rsidR="00410D5F">
        <w:rPr>
          <w:b/>
          <w:bCs/>
          <w:i/>
          <w:iCs/>
        </w:rPr>
        <w:t>or</w:t>
      </w:r>
    </w:p>
    <w:p w:rsidR="007219BE" w:rsidRPr="00A80217" w:rsidP="00B9247A" w14:paraId="0790F15B" w14:textId="77777777">
      <w:pPr>
        <w:pStyle w:val="ListParagraph"/>
        <w:numPr>
          <w:ilvl w:val="0"/>
          <w:numId w:val="18"/>
        </w:numPr>
        <w:ind w:left="547"/>
        <w:contextualSpacing w:val="0"/>
        <w:rPr>
          <w:b/>
          <w:bCs/>
          <w:i/>
          <w:iCs/>
        </w:rPr>
      </w:pPr>
      <w:r w:rsidRPr="00A80217">
        <w:rPr>
          <w:b/>
          <w:bCs/>
          <w:i/>
          <w:iCs/>
        </w:rPr>
        <w:t>requiring respondents to submit proprietary trade secret, or other confidential information unless the agency can demonstrate that it has instituted procedures to protect the information’s confidentiality to the extent permitted by law.</w:t>
      </w:r>
    </w:p>
    <w:p w:rsidR="009614E0" w:rsidRPr="007219BE" w:rsidP="00B9247A" w14:paraId="7F4314B2" w14:textId="0562E753">
      <w:r>
        <w:t xml:space="preserve">The only special circumstance in this collection is that respondents may wish to maintain their internal information for more than three years </w:t>
      </w:r>
      <w:r w:rsidR="004F7C9F">
        <w:t>following</w:t>
      </w:r>
      <w:r>
        <w:t xml:space="preserve"> their SMS </w:t>
      </w:r>
      <w:r>
        <w:t>program. For example, o</w:t>
      </w:r>
      <w:r w:rsidRPr="007219BE">
        <w:t xml:space="preserve">utputs of safety assurance processes </w:t>
      </w:r>
      <w:r>
        <w:t>should</w:t>
      </w:r>
      <w:r w:rsidRPr="007219BE">
        <w:t xml:space="preserve"> be retained for a minimum of 5 years</w:t>
      </w:r>
      <w:r>
        <w:t xml:space="preserve"> to establish a</w:t>
      </w:r>
      <w:r w:rsidRPr="007219BE">
        <w:t xml:space="preserve"> baseline history</w:t>
      </w:r>
      <w:r>
        <w:t xml:space="preserve"> and</w:t>
      </w:r>
      <w:r w:rsidRPr="007219BE">
        <w:t xml:space="preserve"> allow the </w:t>
      </w:r>
      <w:r>
        <w:t>ORE</w:t>
      </w:r>
      <w:r w:rsidRPr="007219BE">
        <w:t xml:space="preserve"> to assess the impact of operational changes on its safety performance.</w:t>
      </w:r>
    </w:p>
    <w:p w:rsidR="009A22E7" w:rsidRPr="00650B39" w:rsidP="00B937E6" w14:paraId="2B85494E" w14:textId="45E8EE72">
      <w:r>
        <w:t>There are no other special circumstances</w:t>
      </w:r>
      <w:r w:rsidR="004F7C9F">
        <w:t xml:space="preserve"> for this information collection</w:t>
      </w:r>
      <w:r w:rsidR="004000B4">
        <w:t>.</w:t>
      </w:r>
    </w:p>
    <w:p w:rsidR="00C64707" w:rsidRPr="00650B39" w:rsidP="00B9247A" w14:paraId="7E06F634" w14:textId="77777777">
      <w:pPr>
        <w:pStyle w:val="Heading1"/>
      </w:pPr>
      <w:r w:rsidRPr="00650B39">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B7072" w:rsidRPr="00F55BB0" w:rsidP="00B937E6" w14:paraId="7490ADC1" w14:textId="3935D657">
      <w:r w:rsidRPr="00D7080A">
        <w:t>A</w:t>
      </w:r>
      <w:r w:rsidR="00F35AE6">
        <w:t xml:space="preserve"> 60-day</w:t>
      </w:r>
      <w:r w:rsidRPr="00D7080A">
        <w:t xml:space="preserve"> Federal Register Notice published on </w:t>
      </w:r>
      <w:r w:rsidRPr="002149F3" w:rsidR="00A76FD3">
        <w:t>June</w:t>
      </w:r>
      <w:r w:rsidRPr="002149F3" w:rsidR="00F55BB0">
        <w:t xml:space="preserve"> ‎</w:t>
      </w:r>
      <w:r w:rsidRPr="002149F3" w:rsidR="002149F3">
        <w:t>17</w:t>
      </w:r>
      <w:r w:rsidRPr="002149F3" w:rsidR="00F55BB0">
        <w:t>‎, ‎202</w:t>
      </w:r>
      <w:r w:rsidRPr="002149F3" w:rsidR="00F35AE6">
        <w:t>5</w:t>
      </w:r>
      <w:r w:rsidRPr="002149F3" w:rsidR="00F55BB0">
        <w:t xml:space="preserve"> (</w:t>
      </w:r>
      <w:r w:rsidRPr="002149F3" w:rsidR="002149F3">
        <w:t>90 FR 25739</w:t>
      </w:r>
      <w:r w:rsidRPr="00F55BB0" w:rsidR="00F55BB0">
        <w:t>)</w:t>
      </w:r>
      <w:r w:rsidRPr="00F55BB0">
        <w:t xml:space="preserve"> solicited </w:t>
      </w:r>
      <w:r w:rsidRPr="00D7080A">
        <w:t>public comment</w:t>
      </w:r>
      <w:r w:rsidR="0050160C">
        <w:t>s</w:t>
      </w:r>
      <w:r w:rsidRPr="00D7080A">
        <w:t xml:space="preserve">. </w:t>
      </w:r>
      <w:r w:rsidRPr="00C759C7">
        <w:t>No comments were received.</w:t>
      </w:r>
    </w:p>
    <w:p w:rsidR="00C64707" w:rsidRPr="00650B39" w:rsidP="00B9247A" w14:paraId="7ACD1AE7" w14:textId="77777777">
      <w:pPr>
        <w:pStyle w:val="Heading1"/>
      </w:pPr>
      <w:r w:rsidRPr="00650B39">
        <w:t>9. Explain any decisions to provide payments or gifts to respondents, other than remuneration of contractors or grantees.</w:t>
      </w:r>
    </w:p>
    <w:p w:rsidR="00C64707" w:rsidRPr="00650B39" w:rsidP="00B937E6" w14:paraId="694BF382" w14:textId="603FCD2B">
      <w:r w:rsidRPr="00650B39">
        <w:t>No payments or gifts are provided to respondents.</w:t>
      </w:r>
    </w:p>
    <w:p w:rsidR="00C64707" w:rsidRPr="00650B39" w:rsidP="00B9247A" w14:paraId="21C9AC67" w14:textId="77777777">
      <w:pPr>
        <w:pStyle w:val="Heading1"/>
      </w:pPr>
      <w:r w:rsidRPr="00650B39">
        <w:t>10. Describe any assurance of confidentiality provided to respondents and the basis for assurance in statute, regulation, or agency policy.</w:t>
      </w:r>
    </w:p>
    <w:p w:rsidR="00C64707" w:rsidRPr="00650B39" w:rsidP="00B937E6" w14:paraId="3E09DC23" w14:textId="76AD790F">
      <w:r>
        <w:t>N</w:t>
      </w:r>
      <w:r w:rsidRPr="00650B39" w:rsidR="008F5072">
        <w:t xml:space="preserve">o assurance of confidentiality </w:t>
      </w:r>
      <w:r>
        <w:t xml:space="preserve">is </w:t>
      </w:r>
      <w:r w:rsidRPr="00650B39" w:rsidR="008F5072">
        <w:t xml:space="preserve">provided to respondents. </w:t>
      </w:r>
    </w:p>
    <w:p w:rsidR="00C64707" w:rsidRPr="00650B39" w:rsidP="00B9247A" w14:paraId="1B4EF605" w14:textId="77777777">
      <w:pPr>
        <w:pStyle w:val="Heading1"/>
      </w:pPr>
      <w:r w:rsidRPr="00650B39">
        <w:t>11. Provide additional justification for any questions of a sensitive nature, such as sexual behavior and attitudes, religious beliefs, and other matters that are commonly considered private.</w:t>
      </w:r>
    </w:p>
    <w:p w:rsidR="006B28EE" w:rsidRPr="00650B39" w:rsidP="00B937E6" w14:paraId="4E44373D" w14:textId="720A8004">
      <w:r w:rsidRPr="00A67604">
        <w:t>There are no questions of a sensitive nature.</w:t>
      </w:r>
    </w:p>
    <w:p w:rsidR="008F5072" w:rsidRPr="008F5072" w:rsidP="00B9247A" w14:paraId="04B17A56" w14:textId="26FC0431">
      <w:pPr>
        <w:pStyle w:val="Heading1"/>
      </w:pPr>
      <w:r w:rsidRPr="00650B39">
        <w:t>12. Provide estimates of the hour burden of the collection of information. The statement should:</w:t>
      </w:r>
    </w:p>
    <w:p w:rsidR="004F6151" w:rsidRPr="004F6151" w:rsidP="004F6151" w14:paraId="052FF1D3" w14:textId="0CA2FF18">
      <w:pPr>
        <w:pStyle w:val="ListParagraph"/>
        <w:numPr>
          <w:ilvl w:val="0"/>
          <w:numId w:val="18"/>
        </w:numPr>
        <w:contextualSpacing w:val="0"/>
        <w:rPr>
          <w:b/>
          <w:bCs/>
        </w:rPr>
      </w:pPr>
      <w:r w:rsidRPr="004F6151">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4F6151" w:rsidRPr="004F6151" w:rsidP="004F6151" w14:paraId="1B5CD41E" w14:textId="77777777">
      <w:pPr>
        <w:pStyle w:val="ListParagraph"/>
        <w:numPr>
          <w:ilvl w:val="0"/>
          <w:numId w:val="18"/>
        </w:numPr>
        <w:rPr>
          <w:b/>
          <w:bCs/>
        </w:rPr>
      </w:pPr>
      <w:r w:rsidRPr="004F6151">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DF2331" w:rsidP="00DF2331" w14:paraId="0D48F7E8" w14:textId="4751BBFB">
      <w:r>
        <w:t xml:space="preserve">The FAA </w:t>
      </w:r>
      <w:r>
        <w:t xml:space="preserve">estimates </w:t>
      </w:r>
      <w:r>
        <w:t>that</w:t>
      </w:r>
      <w:r w:rsidR="00077D4B">
        <w:t xml:space="preserve"> </w:t>
      </w:r>
      <w:r w:rsidR="008D6B69">
        <w:t>one</w:t>
      </w:r>
      <w:r w:rsidR="00077D4B">
        <w:t xml:space="preserve"> new large ORE</w:t>
      </w:r>
      <w:r>
        <w:t xml:space="preserve"> develop</w:t>
      </w:r>
      <w:r w:rsidR="00077D4B">
        <w:t xml:space="preserve">s </w:t>
      </w:r>
      <w:r>
        <w:t xml:space="preserve">and </w:t>
      </w:r>
      <w:r w:rsidR="00077D4B">
        <w:t>submit</w:t>
      </w:r>
      <w:r>
        <w:t>s</w:t>
      </w:r>
      <w:r w:rsidR="00077D4B">
        <w:t xml:space="preserve"> </w:t>
      </w:r>
      <w:r w:rsidR="000624C0">
        <w:t>its</w:t>
      </w:r>
      <w:r w:rsidR="00077D4B">
        <w:t xml:space="preserve"> SMS Implementation Plan to the FAA</w:t>
      </w:r>
      <w:r w:rsidR="008D6B69">
        <w:t xml:space="preserve"> each year</w:t>
      </w:r>
      <w:r w:rsidR="008D778A">
        <w:t xml:space="preserve">. The FAA estimates that, on average, </w:t>
      </w:r>
      <w:r w:rsidR="007C1024">
        <w:t>the implementation plan takes 4,160 hours to develop</w:t>
      </w:r>
      <w:r w:rsidR="008D778A">
        <w:t>. The FAA estimates that the hourly wage rate, including benefits, is $</w:t>
      </w:r>
      <w:r w:rsidR="003B4746">
        <w:t>71.94</w:t>
      </w:r>
      <w:r w:rsidR="008D778A">
        <w:t>.</w:t>
      </w:r>
      <w:r>
        <w:rPr>
          <w:rStyle w:val="FootnoteReference"/>
        </w:rPr>
        <w:footnoteReference w:id="3"/>
      </w:r>
    </w:p>
    <w:p w:rsidR="004A3C0E" w:rsidRPr="008D778A" w:rsidP="008D778A" w14:paraId="76981662" w14:textId="1C716AE8">
      <w:pPr>
        <w:jc w:val="center"/>
        <w:rPr>
          <w:b/>
          <w:bCs/>
        </w:rPr>
      </w:pPr>
      <w:r w:rsidRPr="008D778A">
        <w:rPr>
          <w:b/>
          <w:bCs/>
        </w:rPr>
        <w:t xml:space="preserve">Table </w:t>
      </w:r>
      <w:r w:rsidR="00896418">
        <w:rPr>
          <w:b/>
          <w:bCs/>
        </w:rPr>
        <w:fldChar w:fldCharType="begin"/>
      </w:r>
      <w:r w:rsidR="00896418">
        <w:rPr>
          <w:b/>
          <w:bCs/>
        </w:rPr>
        <w:instrText xml:space="preserve"> SEQ Table \* ARABIC </w:instrText>
      </w:r>
      <w:r w:rsidR="00896418">
        <w:rPr>
          <w:b/>
          <w:bCs/>
        </w:rPr>
        <w:fldChar w:fldCharType="separate"/>
      </w:r>
      <w:r w:rsidR="00896418">
        <w:rPr>
          <w:b/>
          <w:bCs/>
          <w:noProof/>
        </w:rPr>
        <w:t>1</w:t>
      </w:r>
      <w:r w:rsidR="00896418">
        <w:rPr>
          <w:b/>
          <w:bCs/>
        </w:rPr>
        <w:fldChar w:fldCharType="end"/>
      </w:r>
      <w:r>
        <w:rPr>
          <w:b/>
          <w:bCs/>
        </w:rPr>
        <w:t xml:space="preserve"> – Initial Implementation Plan</w:t>
      </w:r>
    </w:p>
    <w:tbl>
      <w:tblPr>
        <w:tblStyle w:val="TableGrid"/>
        <w:tblW w:w="9535" w:type="dxa"/>
        <w:tblLayout w:type="fixed"/>
        <w:tblLook w:val="04A0"/>
      </w:tblPr>
      <w:tblGrid>
        <w:gridCol w:w="1280"/>
        <w:gridCol w:w="1364"/>
        <w:gridCol w:w="1497"/>
        <w:gridCol w:w="1884"/>
        <w:gridCol w:w="1170"/>
        <w:gridCol w:w="1080"/>
        <w:gridCol w:w="1260"/>
      </w:tblGrid>
      <w:tr w14:paraId="2F0EF8A5" w14:textId="77777777" w:rsidTr="008D778A">
        <w:tblPrEx>
          <w:tblW w:w="9535" w:type="dxa"/>
          <w:tblLayout w:type="fixed"/>
          <w:tblLook w:val="04A0"/>
        </w:tblPrEx>
        <w:tc>
          <w:tcPr>
            <w:tcW w:w="1280" w:type="dxa"/>
            <w:shd w:val="clear" w:color="auto" w:fill="E7E6E6" w:themeFill="background2"/>
            <w:vAlign w:val="center"/>
          </w:tcPr>
          <w:p w:rsidR="004C0D3D" w:rsidP="008D778A" w14:paraId="3D807127" w14:textId="7C1DB8E2">
            <w:pPr>
              <w:shd w:val="clear" w:color="auto" w:fill="auto"/>
              <w:jc w:val="center"/>
            </w:pPr>
            <w:r w:rsidRPr="002A7816">
              <w:rPr>
                <w:b/>
                <w:bCs/>
              </w:rPr>
              <w:t xml:space="preserve">Total </w:t>
            </w:r>
            <w:r>
              <w:rPr>
                <w:b/>
                <w:bCs/>
              </w:rPr>
              <w:t>OREs</w:t>
            </w:r>
          </w:p>
        </w:tc>
        <w:tc>
          <w:tcPr>
            <w:tcW w:w="1364" w:type="dxa"/>
            <w:shd w:val="clear" w:color="auto" w:fill="E7E6E6" w:themeFill="background2"/>
            <w:vAlign w:val="center"/>
          </w:tcPr>
          <w:p w:rsidR="004C0D3D" w:rsidP="008D778A" w14:paraId="0381C3BB" w14:textId="43D53B30">
            <w:pPr>
              <w:shd w:val="clear" w:color="auto" w:fill="auto"/>
              <w:jc w:val="center"/>
            </w:pPr>
            <w:r w:rsidRPr="002A7816">
              <w:rPr>
                <w:b/>
                <w:bCs/>
              </w:rPr>
              <w:t xml:space="preserve">Average Response per </w:t>
            </w:r>
            <w:r w:rsidR="005F7699">
              <w:rPr>
                <w:b/>
                <w:bCs/>
              </w:rPr>
              <w:t>ORE</w:t>
            </w:r>
          </w:p>
        </w:tc>
        <w:tc>
          <w:tcPr>
            <w:tcW w:w="1497" w:type="dxa"/>
            <w:shd w:val="clear" w:color="auto" w:fill="E7E6E6" w:themeFill="background2"/>
            <w:vAlign w:val="center"/>
          </w:tcPr>
          <w:p w:rsidR="004C0D3D" w:rsidP="008D778A" w14:paraId="243E9941" w14:textId="5A5E2170">
            <w:pPr>
              <w:shd w:val="clear" w:color="auto" w:fill="auto"/>
              <w:jc w:val="center"/>
            </w:pPr>
            <w:r w:rsidRPr="002A7816">
              <w:rPr>
                <w:b/>
                <w:bCs/>
              </w:rPr>
              <w:t>Total Responses</w:t>
            </w:r>
          </w:p>
        </w:tc>
        <w:tc>
          <w:tcPr>
            <w:tcW w:w="1884" w:type="dxa"/>
            <w:shd w:val="clear" w:color="auto" w:fill="E7E6E6" w:themeFill="background2"/>
            <w:vAlign w:val="center"/>
          </w:tcPr>
          <w:p w:rsidR="004C0D3D" w:rsidP="008D778A" w14:paraId="108A0E8F" w14:textId="68359B07">
            <w:pPr>
              <w:shd w:val="clear" w:color="auto" w:fill="auto"/>
              <w:jc w:val="center"/>
            </w:pPr>
            <w:r w:rsidRPr="002A7816">
              <w:rPr>
                <w:b/>
                <w:bCs/>
              </w:rPr>
              <w:t>Average Annual Burden Hours</w:t>
            </w:r>
          </w:p>
        </w:tc>
        <w:tc>
          <w:tcPr>
            <w:tcW w:w="1170" w:type="dxa"/>
            <w:shd w:val="clear" w:color="auto" w:fill="E7E6E6" w:themeFill="background2"/>
            <w:vAlign w:val="center"/>
          </w:tcPr>
          <w:p w:rsidR="004C0D3D" w:rsidP="008D778A" w14:paraId="1B5D436B" w14:textId="68422B56">
            <w:pPr>
              <w:shd w:val="clear" w:color="auto" w:fill="auto"/>
              <w:jc w:val="center"/>
            </w:pPr>
            <w:r>
              <w:rPr>
                <w:b/>
                <w:bCs/>
              </w:rPr>
              <w:t xml:space="preserve">Annual Burden </w:t>
            </w:r>
            <w:r w:rsidRPr="002A7816">
              <w:rPr>
                <w:b/>
                <w:bCs/>
              </w:rPr>
              <w:t>Hour</w:t>
            </w:r>
            <w:r>
              <w:rPr>
                <w:b/>
                <w:bCs/>
              </w:rPr>
              <w:t>s</w:t>
            </w:r>
          </w:p>
        </w:tc>
        <w:tc>
          <w:tcPr>
            <w:tcW w:w="1080" w:type="dxa"/>
            <w:shd w:val="clear" w:color="auto" w:fill="E7E6E6" w:themeFill="background2"/>
            <w:vAlign w:val="center"/>
          </w:tcPr>
          <w:p w:rsidR="004C0D3D" w:rsidP="008D778A" w14:paraId="63F00D93" w14:textId="0EEDA76F">
            <w:pPr>
              <w:shd w:val="clear" w:color="auto" w:fill="auto"/>
              <w:jc w:val="center"/>
            </w:pPr>
            <w:r w:rsidRPr="002A7816">
              <w:rPr>
                <w:b/>
                <w:bCs/>
              </w:rPr>
              <w:t>Hourly Wage</w:t>
            </w:r>
          </w:p>
        </w:tc>
        <w:tc>
          <w:tcPr>
            <w:tcW w:w="1260" w:type="dxa"/>
            <w:shd w:val="clear" w:color="auto" w:fill="E7E6E6" w:themeFill="background2"/>
            <w:vAlign w:val="center"/>
          </w:tcPr>
          <w:p w:rsidR="004C0D3D" w:rsidP="008D778A" w14:paraId="0B45B8F7" w14:textId="4E3D0525">
            <w:pPr>
              <w:shd w:val="clear" w:color="auto" w:fill="auto"/>
              <w:jc w:val="center"/>
            </w:pPr>
            <w:r w:rsidRPr="002A7816">
              <w:rPr>
                <w:b/>
                <w:bCs/>
              </w:rPr>
              <w:t>Annual Cost</w:t>
            </w:r>
          </w:p>
        </w:tc>
      </w:tr>
      <w:tr w14:paraId="6A39D993" w14:textId="77777777" w:rsidTr="008D778A">
        <w:tblPrEx>
          <w:tblW w:w="9535" w:type="dxa"/>
          <w:tblLayout w:type="fixed"/>
          <w:tblLook w:val="04A0"/>
        </w:tblPrEx>
        <w:tc>
          <w:tcPr>
            <w:tcW w:w="1280" w:type="dxa"/>
          </w:tcPr>
          <w:p w:rsidR="004C0D3D" w:rsidP="004C0D3D" w14:paraId="796204B9" w14:textId="211629E1">
            <w:pPr>
              <w:shd w:val="clear" w:color="auto" w:fill="auto"/>
            </w:pPr>
            <w:r>
              <w:t>1</w:t>
            </w:r>
          </w:p>
        </w:tc>
        <w:tc>
          <w:tcPr>
            <w:tcW w:w="1364" w:type="dxa"/>
          </w:tcPr>
          <w:p w:rsidR="004C0D3D" w:rsidP="004C0D3D" w14:paraId="405C21F2" w14:textId="226A2BB6">
            <w:pPr>
              <w:shd w:val="clear" w:color="auto" w:fill="auto"/>
            </w:pPr>
            <w:r>
              <w:t>1</w:t>
            </w:r>
          </w:p>
        </w:tc>
        <w:tc>
          <w:tcPr>
            <w:tcW w:w="1497" w:type="dxa"/>
          </w:tcPr>
          <w:p w:rsidR="004C0D3D" w:rsidP="004C0D3D" w14:paraId="298F1AC1" w14:textId="3D984FBA">
            <w:pPr>
              <w:shd w:val="clear" w:color="auto" w:fill="auto"/>
            </w:pPr>
            <w:r>
              <w:t>1</w:t>
            </w:r>
          </w:p>
        </w:tc>
        <w:tc>
          <w:tcPr>
            <w:tcW w:w="1884" w:type="dxa"/>
          </w:tcPr>
          <w:p w:rsidR="004C0D3D" w:rsidP="004C0D3D" w14:paraId="72022FC8" w14:textId="11A6590F">
            <w:pPr>
              <w:shd w:val="clear" w:color="auto" w:fill="auto"/>
            </w:pPr>
            <w:r>
              <w:t>4,160</w:t>
            </w:r>
          </w:p>
        </w:tc>
        <w:tc>
          <w:tcPr>
            <w:tcW w:w="1170" w:type="dxa"/>
          </w:tcPr>
          <w:p w:rsidR="004C0D3D" w:rsidP="004C0D3D" w14:paraId="58F00B68" w14:textId="3B5D4BCC">
            <w:pPr>
              <w:shd w:val="clear" w:color="auto" w:fill="auto"/>
            </w:pPr>
            <w:r>
              <w:t>4,160</w:t>
            </w:r>
          </w:p>
        </w:tc>
        <w:tc>
          <w:tcPr>
            <w:tcW w:w="1080" w:type="dxa"/>
          </w:tcPr>
          <w:p w:rsidR="004C0D3D" w:rsidP="004C0D3D" w14:paraId="0BF28973" w14:textId="2226F887">
            <w:pPr>
              <w:shd w:val="clear" w:color="auto" w:fill="auto"/>
            </w:pPr>
            <w:r>
              <w:t>$</w:t>
            </w:r>
            <w:r w:rsidR="003B4746">
              <w:t>71.94</w:t>
            </w:r>
          </w:p>
        </w:tc>
        <w:tc>
          <w:tcPr>
            <w:tcW w:w="1260" w:type="dxa"/>
          </w:tcPr>
          <w:p w:rsidR="004C0D3D" w:rsidP="004C0D3D" w14:paraId="728FAD22" w14:textId="0F1BBD77">
            <w:pPr>
              <w:shd w:val="clear" w:color="auto" w:fill="auto"/>
            </w:pPr>
            <w:r>
              <w:t>$</w:t>
            </w:r>
            <w:r w:rsidR="003B4746">
              <w:t>299,284</w:t>
            </w:r>
          </w:p>
        </w:tc>
      </w:tr>
    </w:tbl>
    <w:p w:rsidR="0023070B" w:rsidP="00DF2331" w14:paraId="1F8757F9" w14:textId="77777777"/>
    <w:p w:rsidR="008B4025" w:rsidRPr="00381415" w:rsidP="008B4025" w14:paraId="14B7CC04" w14:textId="73ABFF27">
      <w:r>
        <w:t>T</w:t>
      </w:r>
      <w:r w:rsidR="005A397C">
        <w:t xml:space="preserve">he FAA </w:t>
      </w:r>
      <w:r w:rsidR="00971087">
        <w:t>estimates</w:t>
      </w:r>
      <w:r w:rsidR="005A397C">
        <w:t xml:space="preserve"> </w:t>
      </w:r>
      <w:r>
        <w:t>that</w:t>
      </w:r>
      <w:r w:rsidR="00971087">
        <w:t xml:space="preserve"> </w:t>
      </w:r>
      <w:r w:rsidR="00861CDB">
        <w:t>there are four</w:t>
      </w:r>
      <w:r w:rsidR="005A397C">
        <w:t xml:space="preserve"> </w:t>
      </w:r>
      <w:r w:rsidR="000E7CB7">
        <w:t xml:space="preserve">large </w:t>
      </w:r>
      <w:r w:rsidR="005A397C">
        <w:t xml:space="preserve">ORE </w:t>
      </w:r>
      <w:r w:rsidR="008D6B69">
        <w:t xml:space="preserve">continuing </w:t>
      </w:r>
      <w:r w:rsidR="000E7CB7">
        <w:t>participants</w:t>
      </w:r>
      <w:r w:rsidR="005A397C">
        <w:t>.</w:t>
      </w:r>
      <w:r w:rsidR="000E7CB7">
        <w:t xml:space="preserve"> The FAA estimates that, on average, it takes </w:t>
      </w:r>
      <w:r>
        <w:t xml:space="preserve">170 burden hours to keep appropriate records related to </w:t>
      </w:r>
      <w:r w:rsidR="000E01CC">
        <w:t>its implemented</w:t>
      </w:r>
      <w:r>
        <w:t xml:space="preserve"> SMS program. The FAA estimates that </w:t>
      </w:r>
      <w:r w:rsidR="000E01CC">
        <w:t xml:space="preserve">the </w:t>
      </w:r>
      <w:r>
        <w:t>hourly wage rate, including benefits, is $</w:t>
      </w:r>
      <w:r w:rsidR="00151583">
        <w:t>71.94</w:t>
      </w:r>
      <w:r>
        <w:t>.</w:t>
      </w:r>
      <w:r>
        <w:rPr>
          <w:rStyle w:val="FootnoteReference"/>
        </w:rPr>
        <w:footnoteReference w:id="4"/>
      </w:r>
      <w:r w:rsidR="005A397C">
        <w:t xml:space="preserve"> </w:t>
      </w:r>
    </w:p>
    <w:p w:rsidR="004A3C0E" w:rsidRPr="00A80217" w:rsidP="00A80217" w14:paraId="2B692B64" w14:textId="68723D34">
      <w:pPr>
        <w:jc w:val="center"/>
        <w:rPr>
          <w:b/>
          <w:bCs/>
        </w:rPr>
      </w:pPr>
      <w:r w:rsidRPr="00A80217">
        <w:rPr>
          <w:b/>
          <w:bCs/>
        </w:rPr>
        <w:t xml:space="preserve">Table </w:t>
      </w:r>
      <w:r w:rsidR="00896418">
        <w:rPr>
          <w:b/>
          <w:bCs/>
        </w:rPr>
        <w:fldChar w:fldCharType="begin"/>
      </w:r>
      <w:r w:rsidR="00896418">
        <w:rPr>
          <w:b/>
          <w:bCs/>
        </w:rPr>
        <w:instrText xml:space="preserve"> SEQ Table \* ARABIC </w:instrText>
      </w:r>
      <w:r w:rsidR="00896418">
        <w:rPr>
          <w:b/>
          <w:bCs/>
        </w:rPr>
        <w:fldChar w:fldCharType="separate"/>
      </w:r>
      <w:r w:rsidR="00896418">
        <w:rPr>
          <w:b/>
          <w:bCs/>
          <w:noProof/>
        </w:rPr>
        <w:t>2</w:t>
      </w:r>
      <w:r w:rsidR="00896418">
        <w:rPr>
          <w:b/>
          <w:bCs/>
        </w:rPr>
        <w:fldChar w:fldCharType="end"/>
      </w:r>
      <w:r>
        <w:rPr>
          <w:b/>
          <w:bCs/>
        </w:rPr>
        <w:t xml:space="preserve"> – Continual Program</w:t>
      </w:r>
    </w:p>
    <w:tbl>
      <w:tblPr>
        <w:tblStyle w:val="TableGrid"/>
        <w:tblW w:w="9535" w:type="dxa"/>
        <w:tblLayout w:type="fixed"/>
        <w:tblLook w:val="04A0"/>
      </w:tblPr>
      <w:tblGrid>
        <w:gridCol w:w="1280"/>
        <w:gridCol w:w="1364"/>
        <w:gridCol w:w="1497"/>
        <w:gridCol w:w="1884"/>
        <w:gridCol w:w="1170"/>
        <w:gridCol w:w="1080"/>
        <w:gridCol w:w="1260"/>
      </w:tblGrid>
      <w:tr w14:paraId="0F4C59D3" w14:textId="77777777" w:rsidTr="00023699">
        <w:tblPrEx>
          <w:tblW w:w="9535" w:type="dxa"/>
          <w:tblLayout w:type="fixed"/>
          <w:tblLook w:val="04A0"/>
        </w:tblPrEx>
        <w:tc>
          <w:tcPr>
            <w:tcW w:w="1280" w:type="dxa"/>
            <w:shd w:val="clear" w:color="auto" w:fill="E7E6E6" w:themeFill="background2"/>
            <w:vAlign w:val="center"/>
          </w:tcPr>
          <w:p w:rsidR="008B4025" w:rsidP="00023699" w14:paraId="27110470" w14:textId="77777777">
            <w:pPr>
              <w:shd w:val="clear" w:color="auto" w:fill="auto"/>
              <w:jc w:val="center"/>
            </w:pPr>
            <w:r w:rsidRPr="002A7816">
              <w:rPr>
                <w:b/>
                <w:bCs/>
              </w:rPr>
              <w:t xml:space="preserve">Total </w:t>
            </w:r>
            <w:r>
              <w:rPr>
                <w:b/>
                <w:bCs/>
              </w:rPr>
              <w:t>OREs</w:t>
            </w:r>
          </w:p>
        </w:tc>
        <w:tc>
          <w:tcPr>
            <w:tcW w:w="1364" w:type="dxa"/>
            <w:shd w:val="clear" w:color="auto" w:fill="E7E6E6" w:themeFill="background2"/>
            <w:vAlign w:val="center"/>
          </w:tcPr>
          <w:p w:rsidR="008B4025" w:rsidP="00023699" w14:paraId="52E40DFC" w14:textId="77777777">
            <w:pPr>
              <w:shd w:val="clear" w:color="auto" w:fill="auto"/>
              <w:jc w:val="center"/>
            </w:pPr>
            <w:r w:rsidRPr="002A7816">
              <w:rPr>
                <w:b/>
                <w:bCs/>
              </w:rPr>
              <w:t xml:space="preserve">Average Response per </w:t>
            </w:r>
            <w:r>
              <w:rPr>
                <w:b/>
                <w:bCs/>
              </w:rPr>
              <w:t>ORE</w:t>
            </w:r>
          </w:p>
        </w:tc>
        <w:tc>
          <w:tcPr>
            <w:tcW w:w="1497" w:type="dxa"/>
            <w:shd w:val="clear" w:color="auto" w:fill="E7E6E6" w:themeFill="background2"/>
            <w:vAlign w:val="center"/>
          </w:tcPr>
          <w:p w:rsidR="008B4025" w:rsidP="00023699" w14:paraId="11F95976" w14:textId="77777777">
            <w:pPr>
              <w:shd w:val="clear" w:color="auto" w:fill="auto"/>
              <w:jc w:val="center"/>
            </w:pPr>
            <w:r w:rsidRPr="002A7816">
              <w:rPr>
                <w:b/>
                <w:bCs/>
              </w:rPr>
              <w:t>Total Responses</w:t>
            </w:r>
          </w:p>
        </w:tc>
        <w:tc>
          <w:tcPr>
            <w:tcW w:w="1884" w:type="dxa"/>
            <w:shd w:val="clear" w:color="auto" w:fill="E7E6E6" w:themeFill="background2"/>
            <w:vAlign w:val="center"/>
          </w:tcPr>
          <w:p w:rsidR="008B4025" w:rsidP="00023699" w14:paraId="25E9C056" w14:textId="77777777">
            <w:pPr>
              <w:shd w:val="clear" w:color="auto" w:fill="auto"/>
              <w:jc w:val="center"/>
            </w:pPr>
            <w:r w:rsidRPr="002A7816">
              <w:rPr>
                <w:b/>
                <w:bCs/>
              </w:rPr>
              <w:t>Average Annual Burden Hours</w:t>
            </w:r>
          </w:p>
        </w:tc>
        <w:tc>
          <w:tcPr>
            <w:tcW w:w="1170" w:type="dxa"/>
            <w:shd w:val="clear" w:color="auto" w:fill="E7E6E6" w:themeFill="background2"/>
            <w:vAlign w:val="center"/>
          </w:tcPr>
          <w:p w:rsidR="008B4025" w:rsidP="00023699" w14:paraId="13846D20" w14:textId="77777777">
            <w:pPr>
              <w:shd w:val="clear" w:color="auto" w:fill="auto"/>
              <w:jc w:val="center"/>
            </w:pPr>
            <w:r>
              <w:rPr>
                <w:b/>
                <w:bCs/>
              </w:rPr>
              <w:t xml:space="preserve">Annual Burden </w:t>
            </w:r>
            <w:r w:rsidRPr="002A7816">
              <w:rPr>
                <w:b/>
                <w:bCs/>
              </w:rPr>
              <w:t>Hour</w:t>
            </w:r>
            <w:r>
              <w:rPr>
                <w:b/>
                <w:bCs/>
              </w:rPr>
              <w:t>s</w:t>
            </w:r>
          </w:p>
        </w:tc>
        <w:tc>
          <w:tcPr>
            <w:tcW w:w="1080" w:type="dxa"/>
            <w:shd w:val="clear" w:color="auto" w:fill="E7E6E6" w:themeFill="background2"/>
            <w:vAlign w:val="center"/>
          </w:tcPr>
          <w:p w:rsidR="008B4025" w:rsidP="00023699" w14:paraId="5A5B1BD9" w14:textId="77777777">
            <w:pPr>
              <w:shd w:val="clear" w:color="auto" w:fill="auto"/>
              <w:jc w:val="center"/>
            </w:pPr>
            <w:r w:rsidRPr="002A7816">
              <w:rPr>
                <w:b/>
                <w:bCs/>
              </w:rPr>
              <w:t>Hourly Wage</w:t>
            </w:r>
          </w:p>
        </w:tc>
        <w:tc>
          <w:tcPr>
            <w:tcW w:w="1260" w:type="dxa"/>
            <w:shd w:val="clear" w:color="auto" w:fill="E7E6E6" w:themeFill="background2"/>
            <w:vAlign w:val="center"/>
          </w:tcPr>
          <w:p w:rsidR="008B4025" w:rsidP="00023699" w14:paraId="744828A6" w14:textId="77777777">
            <w:pPr>
              <w:shd w:val="clear" w:color="auto" w:fill="auto"/>
              <w:jc w:val="center"/>
            </w:pPr>
            <w:r w:rsidRPr="002A7816">
              <w:rPr>
                <w:b/>
                <w:bCs/>
              </w:rPr>
              <w:t>Annual Cost</w:t>
            </w:r>
          </w:p>
        </w:tc>
      </w:tr>
      <w:tr w14:paraId="53CD10F3" w14:textId="77777777" w:rsidTr="00023699">
        <w:tblPrEx>
          <w:tblW w:w="9535" w:type="dxa"/>
          <w:tblLayout w:type="fixed"/>
          <w:tblLook w:val="04A0"/>
        </w:tblPrEx>
        <w:tc>
          <w:tcPr>
            <w:tcW w:w="1280" w:type="dxa"/>
          </w:tcPr>
          <w:p w:rsidR="008B4025" w:rsidP="00023699" w14:paraId="7F1EAE51" w14:textId="13265756">
            <w:pPr>
              <w:shd w:val="clear" w:color="auto" w:fill="auto"/>
            </w:pPr>
            <w:r>
              <w:t>4</w:t>
            </w:r>
          </w:p>
        </w:tc>
        <w:tc>
          <w:tcPr>
            <w:tcW w:w="1364" w:type="dxa"/>
          </w:tcPr>
          <w:p w:rsidR="008B4025" w:rsidP="00023699" w14:paraId="5712623E" w14:textId="77777777">
            <w:pPr>
              <w:shd w:val="clear" w:color="auto" w:fill="auto"/>
            </w:pPr>
            <w:r>
              <w:t>1</w:t>
            </w:r>
          </w:p>
        </w:tc>
        <w:tc>
          <w:tcPr>
            <w:tcW w:w="1497" w:type="dxa"/>
          </w:tcPr>
          <w:p w:rsidR="008B4025" w:rsidP="00023699" w14:paraId="774FD86F" w14:textId="492662C6">
            <w:pPr>
              <w:shd w:val="clear" w:color="auto" w:fill="auto"/>
            </w:pPr>
            <w:r>
              <w:t>4</w:t>
            </w:r>
          </w:p>
        </w:tc>
        <w:tc>
          <w:tcPr>
            <w:tcW w:w="1884" w:type="dxa"/>
          </w:tcPr>
          <w:p w:rsidR="008B4025" w:rsidP="00023699" w14:paraId="4D2F1A73" w14:textId="2D78905D">
            <w:pPr>
              <w:shd w:val="clear" w:color="auto" w:fill="auto"/>
            </w:pPr>
            <w:r>
              <w:t>170</w:t>
            </w:r>
          </w:p>
        </w:tc>
        <w:tc>
          <w:tcPr>
            <w:tcW w:w="1170" w:type="dxa"/>
          </w:tcPr>
          <w:p w:rsidR="008B4025" w:rsidP="00023699" w14:paraId="23169EFF" w14:textId="00A05B67">
            <w:pPr>
              <w:shd w:val="clear" w:color="auto" w:fill="auto"/>
            </w:pPr>
            <w:r>
              <w:t>680</w:t>
            </w:r>
          </w:p>
        </w:tc>
        <w:tc>
          <w:tcPr>
            <w:tcW w:w="1080" w:type="dxa"/>
          </w:tcPr>
          <w:p w:rsidR="008B4025" w:rsidP="00023699" w14:paraId="35DE61B9" w14:textId="2D0E1417">
            <w:pPr>
              <w:shd w:val="clear" w:color="auto" w:fill="auto"/>
            </w:pPr>
            <w:r>
              <w:t>$</w:t>
            </w:r>
            <w:r w:rsidR="00151583">
              <w:t>71.94</w:t>
            </w:r>
          </w:p>
        </w:tc>
        <w:tc>
          <w:tcPr>
            <w:tcW w:w="1260" w:type="dxa"/>
          </w:tcPr>
          <w:p w:rsidR="008B4025" w:rsidP="00023699" w14:paraId="2F57BBD1" w14:textId="369E4B3E">
            <w:pPr>
              <w:shd w:val="clear" w:color="auto" w:fill="auto"/>
            </w:pPr>
            <w:r>
              <w:t>$</w:t>
            </w:r>
            <w:r w:rsidR="00151583">
              <w:t>48,921</w:t>
            </w:r>
          </w:p>
        </w:tc>
      </w:tr>
    </w:tbl>
    <w:p w:rsidR="008F4E6D" w:rsidRPr="00592224" w:rsidP="00DF2331" w14:paraId="2DB29783" w14:textId="1BEA0D2A"/>
    <w:p w:rsidR="00C64707" w:rsidRPr="00650B39" w:rsidP="00B9247A" w14:paraId="3E034E40" w14:textId="31704797">
      <w:pPr>
        <w:pStyle w:val="Heading1"/>
      </w:pPr>
      <w:r w:rsidRPr="00650B39">
        <w:t>13. Provide an estimate for the total annual cost burden to respondents or record keepers resulting from the collection of information.</w:t>
      </w:r>
      <w:r w:rsidR="008F4E6D">
        <w:t xml:space="preserve"> </w:t>
      </w:r>
    </w:p>
    <w:p w:rsidR="00D3338E" w:rsidRPr="00650B39" w:rsidP="00D3338E" w14:paraId="59AC0AD1" w14:textId="781E1B4A">
      <w:r>
        <w:t>T</w:t>
      </w:r>
      <w:r>
        <w:t xml:space="preserve">he FAA </w:t>
      </w:r>
      <w:r>
        <w:t xml:space="preserve">estimates that </w:t>
      </w:r>
      <w:r w:rsidR="006E6CBC">
        <w:t>large OREs</w:t>
      </w:r>
      <w:r>
        <w:t xml:space="preserve"> participating in the voluntary SMS program </w:t>
      </w:r>
      <w:r w:rsidR="00752F8C">
        <w:t>will</w:t>
      </w:r>
      <w:r>
        <w:t xml:space="preserve"> likely hire </w:t>
      </w:r>
      <w:r>
        <w:t xml:space="preserve">one </w:t>
      </w:r>
      <w:r>
        <w:t>new full-time</w:t>
      </w:r>
      <w:r>
        <w:t xml:space="preserve"> employee.</w:t>
      </w:r>
      <w:r>
        <w:t xml:space="preserve"> The estimated annual cost of these employees </w:t>
      </w:r>
      <w:r w:rsidR="00960B75">
        <w:t>is</w:t>
      </w:r>
      <w:r>
        <w:t xml:space="preserve"> estimated in Question 12.</w:t>
      </w:r>
    </w:p>
    <w:p w:rsidR="00886595" w:rsidP="00B937E6" w14:paraId="3F3A70F2" w14:textId="105175E8">
      <w:r>
        <w:t>Large OREs participat</w:t>
      </w:r>
      <w:r w:rsidR="00752F8C">
        <w:t>ing</w:t>
      </w:r>
      <w:r>
        <w:t xml:space="preserve"> in the voluntary SMS program </w:t>
      </w:r>
      <w:r w:rsidR="00752F8C">
        <w:t>can</w:t>
      </w:r>
      <w:r>
        <w:t xml:space="preserve"> develop their implementation plan using the </w:t>
      </w:r>
      <w:r w:rsidRPr="00613D20" w:rsidR="00613D20">
        <w:t>Web-Based Application Too</w:t>
      </w:r>
      <w:r w:rsidR="00613D20">
        <w:t>l (</w:t>
      </w:r>
      <w:r w:rsidRPr="00C75CDE" w:rsidR="00FD57D0">
        <w:t>WBAT</w:t>
      </w:r>
      <w:r w:rsidR="00613D20">
        <w:t>)</w:t>
      </w:r>
      <w:r w:rsidRPr="00C75CDE" w:rsidR="00613D20">
        <w:t xml:space="preserve"> </w:t>
      </w:r>
      <w:r w:rsidR="00263271">
        <w:t>for</w:t>
      </w:r>
      <w:r w:rsidRPr="00C75CDE" w:rsidR="00613D20">
        <w:t xml:space="preserve"> a minimal initial set-up fee</w:t>
      </w:r>
      <w:r w:rsidRPr="00C75CDE" w:rsidR="00131E8C">
        <w:t>.</w:t>
      </w:r>
      <w:r w:rsidR="00131E8C">
        <w:t xml:space="preserve"> </w:t>
      </w:r>
      <w:r w:rsidRPr="00C75CDE" w:rsidR="005571CF">
        <w:t xml:space="preserve">However, </w:t>
      </w:r>
      <w:r>
        <w:t xml:space="preserve">large OREs </w:t>
      </w:r>
      <w:r w:rsidR="008F45A9">
        <w:t xml:space="preserve">may </w:t>
      </w:r>
      <w:r>
        <w:t>use other free software</w:t>
      </w:r>
      <w:r w:rsidR="00752F8C">
        <w:t>,</w:t>
      </w:r>
      <w:r>
        <w:t xml:space="preserve"> including </w:t>
      </w:r>
      <w:r w:rsidR="00752F8C">
        <w:t xml:space="preserve">a </w:t>
      </w:r>
      <w:r w:rsidRPr="00C75CDE" w:rsidR="005571CF">
        <w:t xml:space="preserve">SharePoint site </w:t>
      </w:r>
      <w:r w:rsidR="008F45A9">
        <w:t>or shared drive</w:t>
      </w:r>
      <w:r w:rsidR="00CC7CAB">
        <w:t>s</w:t>
      </w:r>
      <w:r w:rsidR="008F45A9">
        <w:t xml:space="preserve"> </w:t>
      </w:r>
      <w:r w:rsidRPr="00C75CDE" w:rsidR="005571CF">
        <w:t xml:space="preserve">as a repository. AC </w:t>
      </w:r>
      <w:r w:rsidR="00263271">
        <w:t xml:space="preserve">120-119 </w:t>
      </w:r>
      <w:r w:rsidRPr="00C75CDE" w:rsidR="005571CF">
        <w:t xml:space="preserve">only </w:t>
      </w:r>
      <w:r w:rsidR="00263271">
        <w:t xml:space="preserve">recommends </w:t>
      </w:r>
      <w:r w:rsidRPr="00C75CDE" w:rsidR="005571CF">
        <w:t xml:space="preserve">electronically </w:t>
      </w:r>
      <w:r w:rsidRPr="00C75CDE" w:rsidR="005571CF">
        <w:t>submit</w:t>
      </w:r>
      <w:r w:rsidR="00263271">
        <w:t>ting</w:t>
      </w:r>
      <w:r w:rsidRPr="00C75CDE" w:rsidR="005571CF">
        <w:t xml:space="preserve"> an implementation plan via email</w:t>
      </w:r>
      <w:r w:rsidR="00263271">
        <w:t>,</w:t>
      </w:r>
      <w:r w:rsidRPr="00C75CDE" w:rsidR="00FD57D0">
        <w:t xml:space="preserve"> so the FAA assumes that capital and start-up costs are minimal</w:t>
      </w:r>
      <w:r w:rsidRPr="00C75CDE" w:rsidR="005571CF">
        <w:t>.</w:t>
      </w:r>
    </w:p>
    <w:p w:rsidR="00047260" w:rsidRPr="00047260" w:rsidP="00B937E6" w14:paraId="7F0D7EB2" w14:textId="69BA720F">
      <w:r>
        <w:t>T</w:t>
      </w:r>
      <w:r w:rsidRPr="00047260">
        <w:t xml:space="preserve">otal </w:t>
      </w:r>
      <w:r>
        <w:t xml:space="preserve">costs are estimated for large companies using </w:t>
      </w:r>
      <w:r w:rsidR="00F3542A">
        <w:t xml:space="preserve">WBAT. </w:t>
      </w:r>
      <w:r w:rsidRPr="008F45A9">
        <w:t>Costs include establishing an implementation plan</w:t>
      </w:r>
      <w:r w:rsidRPr="00047260">
        <w:t>, SMS documentation, and implementing the programs necessary for a functioning Safety Management System.</w:t>
      </w:r>
      <w:r>
        <w:t xml:space="preserve"> The FAA estimates that </w:t>
      </w:r>
      <w:r w:rsidR="002F2290">
        <w:t xml:space="preserve">annual </w:t>
      </w:r>
      <w:r w:rsidR="00752F8C">
        <w:t>WBAT</w:t>
      </w:r>
      <w:r>
        <w:t xml:space="preserve"> costs </w:t>
      </w:r>
      <w:r w:rsidR="008D4DF9">
        <w:t xml:space="preserve">are </w:t>
      </w:r>
      <w:r>
        <w:t>$12,280</w:t>
      </w:r>
      <w:r w:rsidR="007C1024">
        <w:t>,</w:t>
      </w:r>
      <w:r>
        <w:t xml:space="preserve"> </w:t>
      </w:r>
      <w:r w:rsidR="00021F0E">
        <w:t>and</w:t>
      </w:r>
      <w:r w:rsidR="009D074D">
        <w:t xml:space="preserve"> annual material costs for </w:t>
      </w:r>
      <w:r w:rsidR="00752F8C">
        <w:t xml:space="preserve">the </w:t>
      </w:r>
      <w:r w:rsidRPr="00047260" w:rsidR="009D074D">
        <w:t>SMS implementation plan</w:t>
      </w:r>
      <w:r w:rsidR="009D074D">
        <w:t xml:space="preserve"> development and document maintenance </w:t>
      </w:r>
      <w:r w:rsidR="002F2290">
        <w:t>are</w:t>
      </w:r>
      <w:r w:rsidR="009D074D">
        <w:t xml:space="preserve"> approximately $112,500.</w:t>
      </w:r>
    </w:p>
    <w:p w:rsidR="00C64707" w:rsidRPr="002E6E14" w:rsidP="00B9247A" w14:paraId="38458799" w14:textId="0B901432">
      <w:pPr>
        <w:pStyle w:val="Heading1"/>
      </w:pPr>
      <w:r w:rsidRPr="002E6E14">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16CBF" w:rsidRPr="00381415" w:rsidP="00F16CBF" w14:paraId="565D5ECD" w14:textId="2619167E">
      <w:r>
        <w:t xml:space="preserve">The FAA estimates that there are </w:t>
      </w:r>
      <w:r>
        <w:t xml:space="preserve">two </w:t>
      </w:r>
      <w:r w:rsidR="007B007C">
        <w:t xml:space="preserve">Full Time Employees (FTE) who spend 50% of their time dedicated to reviewing </w:t>
      </w:r>
      <w:r w:rsidR="007A7E21">
        <w:t xml:space="preserve">the </w:t>
      </w:r>
      <w:r w:rsidR="007B007C">
        <w:t>information collected under this collection</w:t>
      </w:r>
      <w:r>
        <w:t xml:space="preserve">. The FAA estimates that the </w:t>
      </w:r>
      <w:r w:rsidR="0012669E">
        <w:t>annual</w:t>
      </w:r>
      <w:r>
        <w:t xml:space="preserve"> wage rate, including benefits, </w:t>
      </w:r>
      <w:r w:rsidR="0012669E">
        <w:t xml:space="preserve">for the FTEs </w:t>
      </w:r>
      <w:r>
        <w:t>is $</w:t>
      </w:r>
      <w:r w:rsidR="0012669E">
        <w:t>160,341.48</w:t>
      </w:r>
      <w:r>
        <w:rPr>
          <w:rStyle w:val="FootnoteReference"/>
        </w:rPr>
        <w:footnoteReference w:id="5"/>
      </w:r>
      <w:r w:rsidR="003F189A">
        <w:t xml:space="preserve"> for a total annual cost of $160,341.48.</w:t>
      </w:r>
      <w:r>
        <w:t xml:space="preserve"> </w:t>
      </w:r>
    </w:p>
    <w:p w:rsidR="00896418" w:rsidRPr="00896418" w:rsidP="00896418" w14:paraId="00644142" w14:textId="7B8245C1">
      <w:pPr>
        <w:jc w:val="center"/>
        <w:rPr>
          <w:b/>
          <w:bCs/>
        </w:rPr>
      </w:pPr>
      <w:r w:rsidRPr="00A80217">
        <w:rPr>
          <w:b/>
          <w:bCs/>
        </w:rPr>
        <w:t xml:space="preserve">Table </w:t>
      </w:r>
      <w:r>
        <w:rPr>
          <w:b/>
          <w:bCs/>
        </w:rPr>
        <w:fldChar w:fldCharType="begin"/>
      </w:r>
      <w:r>
        <w:rPr>
          <w:b/>
          <w:bCs/>
        </w:rPr>
        <w:instrText xml:space="preserve"> SEQ Table \* ARABIC </w:instrText>
      </w:r>
      <w:r>
        <w:rPr>
          <w:b/>
          <w:bCs/>
        </w:rPr>
        <w:fldChar w:fldCharType="separate"/>
      </w:r>
      <w:r>
        <w:rPr>
          <w:b/>
          <w:bCs/>
          <w:noProof/>
        </w:rPr>
        <w:t>3</w:t>
      </w:r>
      <w:r>
        <w:rPr>
          <w:b/>
          <w:bCs/>
        </w:rPr>
        <w:fldChar w:fldCharType="end"/>
      </w:r>
      <w:r>
        <w:rPr>
          <w:b/>
          <w:bCs/>
        </w:rPr>
        <w:t xml:space="preserve"> – </w:t>
      </w:r>
      <w:r>
        <w:rPr>
          <w:b/>
          <w:bCs/>
        </w:rPr>
        <w:t>Federal Government Cost</w:t>
      </w:r>
    </w:p>
    <w:tbl>
      <w:tblPr>
        <w:tblStyle w:val="TableGrid"/>
        <w:tblW w:w="0" w:type="auto"/>
        <w:tblLayout w:type="fixed"/>
        <w:tblLook w:val="04A0"/>
      </w:tblPr>
      <w:tblGrid>
        <w:gridCol w:w="1847"/>
        <w:gridCol w:w="1967"/>
        <w:gridCol w:w="2160"/>
        <w:gridCol w:w="1558"/>
        <w:gridCol w:w="1818"/>
      </w:tblGrid>
      <w:tr w14:paraId="16D80B2C" w14:textId="77777777" w:rsidTr="007A7E21">
        <w:tblPrEx>
          <w:tblW w:w="0" w:type="auto"/>
          <w:tblLayout w:type="fixed"/>
          <w:tblLook w:val="04A0"/>
        </w:tblPrEx>
        <w:tc>
          <w:tcPr>
            <w:tcW w:w="1847" w:type="dxa"/>
            <w:shd w:val="clear" w:color="auto" w:fill="E7E6E6" w:themeFill="background2"/>
            <w:vAlign w:val="center"/>
          </w:tcPr>
          <w:p w:rsidR="00B333A9" w:rsidP="00F62208" w14:paraId="519E231D" w14:textId="0C1451B1">
            <w:pPr>
              <w:shd w:val="clear" w:color="auto" w:fill="auto"/>
              <w:jc w:val="center"/>
            </w:pPr>
            <w:r w:rsidRPr="002A7816">
              <w:rPr>
                <w:b/>
                <w:bCs/>
              </w:rPr>
              <w:t xml:space="preserve">Total </w:t>
            </w:r>
            <w:r>
              <w:rPr>
                <w:b/>
                <w:bCs/>
              </w:rPr>
              <w:t>FTEs</w:t>
            </w:r>
          </w:p>
        </w:tc>
        <w:tc>
          <w:tcPr>
            <w:tcW w:w="1967" w:type="dxa"/>
            <w:shd w:val="clear" w:color="auto" w:fill="E7E6E6" w:themeFill="background2"/>
            <w:vAlign w:val="center"/>
          </w:tcPr>
          <w:p w:rsidR="00B333A9" w:rsidP="00F62208" w14:paraId="3AB5E8A0" w14:textId="28638DC2">
            <w:pPr>
              <w:shd w:val="clear" w:color="auto" w:fill="auto"/>
              <w:jc w:val="center"/>
            </w:pPr>
            <w:r>
              <w:rPr>
                <w:b/>
                <w:bCs/>
              </w:rPr>
              <w:t>Percent of FTE Workload</w:t>
            </w:r>
          </w:p>
        </w:tc>
        <w:tc>
          <w:tcPr>
            <w:tcW w:w="2160" w:type="dxa"/>
            <w:shd w:val="clear" w:color="auto" w:fill="E7E6E6" w:themeFill="background2"/>
            <w:vAlign w:val="center"/>
          </w:tcPr>
          <w:p w:rsidR="00B333A9" w:rsidP="00F62208" w14:paraId="6FAA1AD6" w14:textId="3F133448">
            <w:pPr>
              <w:shd w:val="clear" w:color="auto" w:fill="auto"/>
              <w:jc w:val="center"/>
            </w:pPr>
            <w:r w:rsidRPr="002A7816">
              <w:rPr>
                <w:b/>
                <w:bCs/>
              </w:rPr>
              <w:t xml:space="preserve">Total </w:t>
            </w:r>
            <w:r>
              <w:rPr>
                <w:b/>
                <w:bCs/>
              </w:rPr>
              <w:t>FTEs</w:t>
            </w:r>
          </w:p>
        </w:tc>
        <w:tc>
          <w:tcPr>
            <w:tcW w:w="1558" w:type="dxa"/>
            <w:shd w:val="clear" w:color="auto" w:fill="E7E6E6" w:themeFill="background2"/>
            <w:vAlign w:val="center"/>
          </w:tcPr>
          <w:p w:rsidR="00B333A9" w:rsidP="00F62208" w14:paraId="5977EC54" w14:textId="7CEC02AE">
            <w:pPr>
              <w:shd w:val="clear" w:color="auto" w:fill="auto"/>
              <w:jc w:val="center"/>
            </w:pPr>
            <w:r>
              <w:rPr>
                <w:b/>
                <w:bCs/>
              </w:rPr>
              <w:t>Annual</w:t>
            </w:r>
            <w:r w:rsidRPr="002A7816">
              <w:rPr>
                <w:b/>
                <w:bCs/>
              </w:rPr>
              <w:t xml:space="preserve"> Wage</w:t>
            </w:r>
          </w:p>
        </w:tc>
        <w:tc>
          <w:tcPr>
            <w:tcW w:w="1818" w:type="dxa"/>
            <w:shd w:val="clear" w:color="auto" w:fill="E7E6E6" w:themeFill="background2"/>
            <w:vAlign w:val="center"/>
          </w:tcPr>
          <w:p w:rsidR="00B333A9" w:rsidP="00F62208" w14:paraId="68B22F93" w14:textId="77777777">
            <w:pPr>
              <w:shd w:val="clear" w:color="auto" w:fill="auto"/>
              <w:jc w:val="center"/>
            </w:pPr>
            <w:r w:rsidRPr="002A7816">
              <w:rPr>
                <w:b/>
                <w:bCs/>
              </w:rPr>
              <w:t>Annual Cost</w:t>
            </w:r>
          </w:p>
        </w:tc>
      </w:tr>
      <w:tr w14:paraId="5B8F77D3" w14:textId="77777777" w:rsidTr="007A7E21">
        <w:tblPrEx>
          <w:tblW w:w="0" w:type="auto"/>
          <w:tblLayout w:type="fixed"/>
          <w:tblLook w:val="04A0"/>
        </w:tblPrEx>
        <w:tc>
          <w:tcPr>
            <w:tcW w:w="1847" w:type="dxa"/>
          </w:tcPr>
          <w:p w:rsidR="00B333A9" w:rsidP="00F62208" w14:paraId="7931589E" w14:textId="37A7CA62">
            <w:pPr>
              <w:shd w:val="clear" w:color="auto" w:fill="auto"/>
            </w:pPr>
            <w:r>
              <w:t>2</w:t>
            </w:r>
          </w:p>
        </w:tc>
        <w:tc>
          <w:tcPr>
            <w:tcW w:w="1967" w:type="dxa"/>
          </w:tcPr>
          <w:p w:rsidR="00B333A9" w:rsidP="00F62208" w14:paraId="7521AA18" w14:textId="57CF2424">
            <w:pPr>
              <w:shd w:val="clear" w:color="auto" w:fill="auto"/>
            </w:pPr>
            <w:r>
              <w:t>50%</w:t>
            </w:r>
          </w:p>
        </w:tc>
        <w:tc>
          <w:tcPr>
            <w:tcW w:w="2160" w:type="dxa"/>
          </w:tcPr>
          <w:p w:rsidR="00B333A9" w:rsidP="00F62208" w14:paraId="27874EEF" w14:textId="67DF8F8A">
            <w:pPr>
              <w:shd w:val="clear" w:color="auto" w:fill="auto"/>
            </w:pPr>
            <w:r>
              <w:t>1</w:t>
            </w:r>
          </w:p>
        </w:tc>
        <w:tc>
          <w:tcPr>
            <w:tcW w:w="1558" w:type="dxa"/>
          </w:tcPr>
          <w:p w:rsidR="00B333A9" w:rsidP="00F62208" w14:paraId="39F2ABA9" w14:textId="1F0F8CCF">
            <w:pPr>
              <w:shd w:val="clear" w:color="auto" w:fill="auto"/>
            </w:pPr>
            <w:r>
              <w:t>$</w:t>
            </w:r>
            <w:r w:rsidR="007A7E21">
              <w:t>160,341.48</w:t>
            </w:r>
          </w:p>
        </w:tc>
        <w:tc>
          <w:tcPr>
            <w:tcW w:w="1818" w:type="dxa"/>
          </w:tcPr>
          <w:p w:rsidR="00B333A9" w:rsidP="00F62208" w14:paraId="2DB03289" w14:textId="22F1FAD2">
            <w:pPr>
              <w:shd w:val="clear" w:color="auto" w:fill="auto"/>
            </w:pPr>
            <w:r>
              <w:t>$</w:t>
            </w:r>
            <w:r w:rsidR="007A7E21">
              <w:t>160,341.48</w:t>
            </w:r>
          </w:p>
        </w:tc>
      </w:tr>
    </w:tbl>
    <w:p w:rsidR="00F16CBF" w:rsidRPr="00D6732F" w:rsidP="00083FBB" w14:paraId="1875576B" w14:textId="77777777"/>
    <w:p w:rsidR="00C64707" w:rsidRPr="00650B39" w:rsidP="00B9247A" w14:paraId="41610BEA" w14:textId="146DD3D4">
      <w:pPr>
        <w:pStyle w:val="Heading1"/>
      </w:pPr>
      <w:r w:rsidRPr="00650B39">
        <w:t>15. Explain the reasons for any program changes or adjustments.</w:t>
      </w:r>
    </w:p>
    <w:p w:rsidR="00C64707" w:rsidRPr="00650B39" w:rsidP="00B937E6" w14:paraId="4312E0AB" w14:textId="56C29A68">
      <w:r>
        <w:t xml:space="preserve">As this is the first renewal of this collection, the FAA has adjusted the estimates based on the first few years of AC 120-119 implementation. The FAA has separated the collection into two ICs to better distinguish between the number of respondents and </w:t>
      </w:r>
      <w:r w:rsidR="00CC4CFF">
        <w:t xml:space="preserve">the </w:t>
      </w:r>
      <w:r>
        <w:t xml:space="preserve">burden </w:t>
      </w:r>
      <w:r w:rsidR="00CC4CFF">
        <w:t>of</w:t>
      </w:r>
      <w:r>
        <w:t xml:space="preserve"> initial submission and continuing recordkeeping. </w:t>
      </w:r>
      <w:r w:rsidR="00AD215C">
        <w:t>T</w:t>
      </w:r>
      <w:r w:rsidR="00230853">
        <w:t xml:space="preserve">he </w:t>
      </w:r>
      <w:r w:rsidRPr="007E6781" w:rsidR="00B33C1B">
        <w:t xml:space="preserve">FAA has </w:t>
      </w:r>
      <w:r w:rsidR="00AD215C">
        <w:t xml:space="preserve">also </w:t>
      </w:r>
      <w:r w:rsidRPr="007E6781" w:rsidR="00B33C1B">
        <w:t xml:space="preserve">adjusted </w:t>
      </w:r>
      <w:r w:rsidR="00CC4CFF">
        <w:t xml:space="preserve">the </w:t>
      </w:r>
      <w:r w:rsidRPr="007E6781" w:rsidR="00B33C1B">
        <w:t>estimate</w:t>
      </w:r>
      <w:r w:rsidR="00AD215C">
        <w:t xml:space="preserve">d respondents to differentiate between </w:t>
      </w:r>
      <w:r w:rsidR="00F96E97">
        <w:t xml:space="preserve">each </w:t>
      </w:r>
      <w:r w:rsidR="00AD215C">
        <w:t>IC</w:t>
      </w:r>
      <w:r w:rsidR="00F96E97">
        <w:t xml:space="preserve"> and the differing burden for initial and continuing respondents</w:t>
      </w:r>
      <w:r w:rsidR="00AD215C">
        <w:t>. Additionally, the FAA estimates that the</w:t>
      </w:r>
      <w:r w:rsidR="001540ED">
        <w:t xml:space="preserve"> reporting</w:t>
      </w:r>
      <w:r w:rsidR="00F96E97">
        <w:t xml:space="preserve"> burden for initial submission is </w:t>
      </w:r>
      <w:r w:rsidR="001540ED">
        <w:t xml:space="preserve">smaller than </w:t>
      </w:r>
      <w:r w:rsidR="00CC4CFF">
        <w:t xml:space="preserve">initially </w:t>
      </w:r>
      <w:r w:rsidR="001540ED">
        <w:t>estimated</w:t>
      </w:r>
      <w:r w:rsidR="00571786">
        <w:t>, reducing the burden</w:t>
      </w:r>
      <w:r w:rsidR="00EC5180">
        <w:t xml:space="preserve"> accordingly.</w:t>
      </w:r>
      <w:r w:rsidRPr="00B3123B" w:rsidR="00B33C1B">
        <w:t xml:space="preserve"> </w:t>
      </w:r>
    </w:p>
    <w:p w:rsidR="00C64707" w:rsidP="00B9247A" w14:paraId="393728F2" w14:textId="77777777">
      <w:pPr>
        <w:pStyle w:val="Heading1"/>
      </w:pPr>
      <w:r w:rsidRPr="00650B39">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57B45" w:rsidRPr="00650B39" w:rsidP="00B937E6" w14:paraId="5161485A" w14:textId="351A0A1C">
      <w:r w:rsidRPr="00650B39">
        <w:t>The results of this information will not be published.</w:t>
      </w:r>
    </w:p>
    <w:p w:rsidR="00C64707" w:rsidRPr="00650B39" w:rsidP="00B9247A" w14:paraId="70B17433" w14:textId="77777777">
      <w:pPr>
        <w:pStyle w:val="Heading1"/>
      </w:pPr>
      <w:r w:rsidRPr="00650B39">
        <w:t>17. If seeking approval to not display the expiration date for OMB approval of the information collection, explain the reasons why display would be inappropriate.</w:t>
      </w:r>
    </w:p>
    <w:p w:rsidR="00C64707" w:rsidRPr="00650B39" w:rsidP="00B937E6" w14:paraId="5B14DEB2" w14:textId="0479F0AD">
      <w:r w:rsidRPr="00650B39">
        <w:t xml:space="preserve">No such approval is being sought. </w:t>
      </w:r>
    </w:p>
    <w:p w:rsidR="00C64707" w:rsidRPr="00650B39" w:rsidP="00B9247A" w14:paraId="4AB037BE" w14:textId="77777777">
      <w:pPr>
        <w:pStyle w:val="Heading1"/>
      </w:pPr>
      <w:r w:rsidRPr="00650B39">
        <w:t>18. Explain each exception to the topics of the certification statement identified in “Certification for Paperwork Reduction Act Submissions.”</w:t>
      </w:r>
    </w:p>
    <w:p w:rsidR="005B4EB0" w:rsidRPr="0027145F" w:rsidP="00B937E6" w14:paraId="176CE08A" w14:textId="0347042B">
      <w:r w:rsidRPr="00650B39">
        <w:t>There are 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1CD4" w:rsidP="00B937E6" w14:paraId="2B0E834A" w14:textId="77777777">
      <w:r>
        <w:separator/>
      </w:r>
    </w:p>
  </w:footnote>
  <w:footnote w:type="continuationSeparator" w:id="1">
    <w:p w:rsidR="00E11CD4" w:rsidP="00B937E6" w14:paraId="3DDC6C53" w14:textId="77777777">
      <w:r>
        <w:continuationSeparator/>
      </w:r>
    </w:p>
  </w:footnote>
  <w:footnote w:id="2">
    <w:p w:rsidR="00273FEB" w:rsidRPr="00A80217" w14:paraId="37AF4887" w14:textId="29F69F84">
      <w:pPr>
        <w:pStyle w:val="FootnoteText"/>
        <w:rPr>
          <w:rFonts w:ascii="Arial" w:hAnsi="Arial" w:cs="Arial"/>
        </w:rPr>
      </w:pPr>
      <w:r w:rsidRPr="00A80217">
        <w:rPr>
          <w:rStyle w:val="FootnoteReference"/>
          <w:rFonts w:ascii="Arial" w:hAnsi="Arial" w:cs="Arial"/>
        </w:rPr>
        <w:footnoteRef/>
      </w:r>
      <w:r w:rsidRPr="00A80217">
        <w:rPr>
          <w:rFonts w:ascii="Arial" w:hAnsi="Arial" w:cs="Arial"/>
        </w:rPr>
        <w:t xml:space="preserve"> </w:t>
      </w:r>
      <w:r w:rsidR="00FD620C">
        <w:rPr>
          <w:rFonts w:ascii="Arial" w:hAnsi="Arial" w:cs="Arial"/>
        </w:rPr>
        <w:t xml:space="preserve">AC 120-119 is available at: </w:t>
      </w:r>
      <w:hyperlink r:id="rId1" w:history="1">
        <w:r w:rsidRPr="00A80217" w:rsidR="00FD620C">
          <w:rPr>
            <w:rStyle w:val="Hyperlink"/>
            <w:rFonts w:ascii="Arial" w:hAnsi="Arial" w:cs="Arial"/>
          </w:rPr>
          <w:t>https://www.faa.gov/regulations_policies/advisory_circulars/index.cfm/go/document.information/documentID/1037216</w:t>
        </w:r>
      </w:hyperlink>
      <w:r w:rsidRPr="00A80217" w:rsidR="00FD620C">
        <w:rPr>
          <w:rFonts w:ascii="Arial" w:hAnsi="Arial" w:cs="Arial"/>
        </w:rPr>
        <w:t xml:space="preserve"> </w:t>
      </w:r>
    </w:p>
  </w:footnote>
  <w:footnote w:id="3">
    <w:p w:rsidR="008D778A" w:rsidRPr="00A80217" w:rsidP="008D778A" w14:paraId="2309A902" w14:textId="7B0F2907">
      <w:pPr>
        <w:pStyle w:val="FootnoteText"/>
        <w:rPr>
          <w:rFonts w:ascii="Arial" w:hAnsi="Arial" w:cs="Arial"/>
        </w:rPr>
      </w:pPr>
      <w:r w:rsidRPr="00A80217">
        <w:rPr>
          <w:rStyle w:val="FootnoteReference"/>
          <w:rFonts w:ascii="Arial" w:hAnsi="Arial" w:cs="Arial"/>
        </w:rPr>
        <w:footnoteRef/>
      </w:r>
      <w:r w:rsidRPr="00A80217">
        <w:rPr>
          <w:rFonts w:ascii="Arial" w:hAnsi="Arial" w:cs="Arial"/>
        </w:rPr>
        <w:t xml:space="preserve"> </w:t>
      </w:r>
      <w:r w:rsidRPr="00151583" w:rsidR="00151583">
        <w:rPr>
          <w:rFonts w:ascii="Arial" w:hAnsi="Arial" w:cs="Arial"/>
        </w:rPr>
        <w:t xml:space="preserve">BLS. </w:t>
      </w:r>
      <w:r w:rsidRPr="002149F3" w:rsidR="00151583">
        <w:rPr>
          <w:rFonts w:ascii="Arial" w:hAnsi="Arial" w:cs="Arial"/>
          <w:i/>
          <w:iCs/>
        </w:rPr>
        <w:t>Occupational Employment and Wages</w:t>
      </w:r>
      <w:r w:rsidRPr="00151583" w:rsidR="00151583">
        <w:rPr>
          <w:rFonts w:ascii="Arial" w:hAnsi="Arial" w:cs="Arial"/>
        </w:rPr>
        <w:t xml:space="preserve">, May 2024. Transportation and Material Moving Occupations; Transportation, Storage, and Distribution Managers NAICS 11-3071. </w:t>
      </w:r>
      <w:hyperlink r:id="rId2" w:history="1">
        <w:r w:rsidRPr="00F72441" w:rsidR="00151583">
          <w:rPr>
            <w:rStyle w:val="Hyperlink"/>
            <w:rFonts w:ascii="Arial" w:hAnsi="Arial" w:cs="Arial"/>
          </w:rPr>
          <w:t>https://data.bls.gov/oesprofile/</w:t>
        </w:r>
      </w:hyperlink>
      <w:r w:rsidRPr="00151583" w:rsidR="00151583">
        <w:rPr>
          <w:rFonts w:ascii="Arial" w:hAnsi="Arial" w:cs="Arial"/>
        </w:rPr>
        <w:t>. Mean hourly wage is estimated at $55.77. For private industry, the FAA estimates 29% for benefits. Therefore, to account for benefits: $55.77*1.29 = $71.94.</w:t>
      </w:r>
    </w:p>
  </w:footnote>
  <w:footnote w:id="4">
    <w:p w:rsidR="008B4025" w:rsidRPr="00A80217" w14:paraId="1A4E6E03" w14:textId="26928A11">
      <w:pPr>
        <w:pStyle w:val="FootnoteText"/>
        <w:rPr>
          <w:rFonts w:ascii="Arial" w:hAnsi="Arial" w:cs="Arial"/>
        </w:rPr>
      </w:pPr>
      <w:r w:rsidRPr="00A80217">
        <w:rPr>
          <w:rStyle w:val="FootnoteReference"/>
          <w:rFonts w:ascii="Arial" w:hAnsi="Arial" w:cs="Arial"/>
        </w:rPr>
        <w:footnoteRef/>
      </w:r>
      <w:r w:rsidRPr="00A80217">
        <w:rPr>
          <w:rFonts w:ascii="Arial" w:hAnsi="Arial" w:cs="Arial"/>
        </w:rPr>
        <w:t xml:space="preserve"> Ibid.</w:t>
      </w:r>
    </w:p>
  </w:footnote>
  <w:footnote w:id="5">
    <w:p w:rsidR="00F16CBF" w:rsidRPr="00A80217" w:rsidP="00F16CBF" w14:paraId="30622339" w14:textId="0F719051">
      <w:pPr>
        <w:pStyle w:val="FootnoteText"/>
        <w:rPr>
          <w:rFonts w:ascii="Arial" w:hAnsi="Arial" w:cs="Arial"/>
        </w:rPr>
      </w:pPr>
      <w:r w:rsidRPr="00A80217">
        <w:rPr>
          <w:rStyle w:val="FootnoteReference"/>
          <w:rFonts w:ascii="Arial" w:hAnsi="Arial" w:cs="Arial"/>
        </w:rPr>
        <w:footnoteRef/>
      </w:r>
      <w:r w:rsidRPr="00A80217">
        <w:rPr>
          <w:rFonts w:ascii="Arial" w:hAnsi="Arial" w:cs="Arial"/>
        </w:rPr>
        <w:t xml:space="preserve"> </w:t>
      </w:r>
      <w:r w:rsidRPr="00896418" w:rsidR="00896418">
        <w:rPr>
          <w:rFonts w:ascii="Arial" w:hAnsi="Arial" w:cs="Arial"/>
        </w:rPr>
        <w:t xml:space="preserve">FAA. Core Compensation Salary Table, January 12, 2025. Average J-Band Salary Washington locality. </w:t>
      </w:r>
      <w:hyperlink r:id="rId3" w:history="1">
        <w:r w:rsidRPr="00886F5E" w:rsidR="00896418">
          <w:rPr>
            <w:rStyle w:val="Hyperlink"/>
            <w:rFonts w:ascii="Arial" w:hAnsi="Arial" w:cs="Arial"/>
          </w:rPr>
          <w:t>https://www.faa.gov/jobs/working_here/benefits/pay/core_salary_with_conversion.xlsx</w:t>
        </w:r>
      </w:hyperlink>
      <w:r w:rsidRPr="00896418" w:rsidR="00896418">
        <w:rPr>
          <w:rFonts w:ascii="Arial" w:hAnsi="Arial" w:cs="Arial"/>
        </w:rPr>
        <w:t>. Mean annual rate is estimated at $120,557.50. For government, the FAA estimates 33% for benefits. Therefore, to account for benefits, annual cost: $120,557.50*1.33=$160,341.48</w:t>
      </w:r>
      <w:r w:rsidR="00896418">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81C8B"/>
    <w:multiLevelType w:val="hybridMultilevel"/>
    <w:tmpl w:val="F1247ED4"/>
    <w:lvl w:ilvl="0">
      <w:start w:val="1"/>
      <w:numFmt w:val="bullet"/>
      <w:lvlText w:val=""/>
      <w:lvlJc w:val="left"/>
      <w:pPr>
        <w:tabs>
          <w:tab w:val="num" w:pos="5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7711C5"/>
    <w:multiLevelType w:val="hybridMultilevel"/>
    <w:tmpl w:val="C0784F4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
    <w:nsid w:val="0D9D75BD"/>
    <w:multiLevelType w:val="hybridMultilevel"/>
    <w:tmpl w:val="929289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DA64525"/>
    <w:multiLevelType w:val="hybridMultilevel"/>
    <w:tmpl w:val="C9C663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1A0D1F"/>
    <w:multiLevelType w:val="hybridMultilevel"/>
    <w:tmpl w:val="4578A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5B0B11"/>
    <w:multiLevelType w:val="hybridMultilevel"/>
    <w:tmpl w:val="72525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5428B8"/>
    <w:multiLevelType w:val="hybridMultilevel"/>
    <w:tmpl w:val="929289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9CD68A4"/>
    <w:multiLevelType w:val="hybridMultilevel"/>
    <w:tmpl w:val="A4CE07A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34BC51B0"/>
    <w:multiLevelType w:val="hybridMultilevel"/>
    <w:tmpl w:val="1BECA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076AB7"/>
    <w:multiLevelType w:val="hybridMultilevel"/>
    <w:tmpl w:val="94504F10"/>
    <w:lvl w:ilvl="0">
      <w:start w:val="1"/>
      <w:numFmt w:val="decimal"/>
      <w:lvlText w:val="%1."/>
      <w:lvlJc w:val="left"/>
      <w:pPr>
        <w:ind w:left="1032" w:hanging="6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A24FC5"/>
    <w:multiLevelType w:val="hybridMultilevel"/>
    <w:tmpl w:val="DB280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5C63A2"/>
    <w:multiLevelType w:val="hybridMultilevel"/>
    <w:tmpl w:val="9D3C84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2006C9"/>
    <w:multiLevelType w:val="hybridMultilevel"/>
    <w:tmpl w:val="20687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2256AA"/>
    <w:multiLevelType w:val="hybridMultilevel"/>
    <w:tmpl w:val="67DE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8A7331"/>
    <w:multiLevelType w:val="hybridMultilevel"/>
    <w:tmpl w:val="E9BC8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2C000C"/>
    <w:multiLevelType w:val="hybridMultilevel"/>
    <w:tmpl w:val="67349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E04CE7"/>
    <w:multiLevelType w:val="hybridMultilevel"/>
    <w:tmpl w:val="93A81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536B77"/>
    <w:multiLevelType w:val="hybridMultilevel"/>
    <w:tmpl w:val="197AB9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A77C69"/>
    <w:multiLevelType w:val="hybridMultilevel"/>
    <w:tmpl w:val="E1784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3E314C8"/>
    <w:multiLevelType w:val="hybridMultilevel"/>
    <w:tmpl w:val="B7DE39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A5404B"/>
    <w:multiLevelType w:val="hybridMultilevel"/>
    <w:tmpl w:val="780863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54654DA"/>
    <w:multiLevelType w:val="hybridMultilevel"/>
    <w:tmpl w:val="725250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947765"/>
    <w:multiLevelType w:val="hybridMultilevel"/>
    <w:tmpl w:val="54ACB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2742937">
    <w:abstractNumId w:val="4"/>
  </w:num>
  <w:num w:numId="2" w16cid:durableId="1895578736">
    <w:abstractNumId w:val="20"/>
  </w:num>
  <w:num w:numId="3" w16cid:durableId="1720399372">
    <w:abstractNumId w:val="21"/>
  </w:num>
  <w:num w:numId="4" w16cid:durableId="1754811427">
    <w:abstractNumId w:val="15"/>
  </w:num>
  <w:num w:numId="5" w16cid:durableId="1439641154">
    <w:abstractNumId w:val="9"/>
  </w:num>
  <w:num w:numId="6" w16cid:durableId="1395010790">
    <w:abstractNumId w:val="13"/>
  </w:num>
  <w:num w:numId="7" w16cid:durableId="146938749">
    <w:abstractNumId w:val="17"/>
  </w:num>
  <w:num w:numId="8" w16cid:durableId="1679886061">
    <w:abstractNumId w:val="12"/>
  </w:num>
  <w:num w:numId="9" w16cid:durableId="611204470">
    <w:abstractNumId w:val="5"/>
  </w:num>
  <w:num w:numId="10" w16cid:durableId="860751612">
    <w:abstractNumId w:val="22"/>
  </w:num>
  <w:num w:numId="11" w16cid:durableId="850998225">
    <w:abstractNumId w:val="23"/>
  </w:num>
  <w:num w:numId="12" w16cid:durableId="43256242">
    <w:abstractNumId w:val="8"/>
  </w:num>
  <w:num w:numId="13" w16cid:durableId="1466461275">
    <w:abstractNumId w:val="23"/>
  </w:num>
  <w:num w:numId="14" w16cid:durableId="1168209848">
    <w:abstractNumId w:val="8"/>
  </w:num>
  <w:num w:numId="15" w16cid:durableId="1755584567">
    <w:abstractNumId w:val="2"/>
  </w:num>
  <w:num w:numId="16" w16cid:durableId="1480031371">
    <w:abstractNumId w:val="7"/>
  </w:num>
  <w:num w:numId="17" w16cid:durableId="1176653807">
    <w:abstractNumId w:val="25"/>
  </w:num>
  <w:num w:numId="18" w16cid:durableId="1008869791">
    <w:abstractNumId w:val="0"/>
  </w:num>
  <w:num w:numId="19" w16cid:durableId="604968557">
    <w:abstractNumId w:val="16"/>
  </w:num>
  <w:num w:numId="20" w16cid:durableId="8116740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1788632">
    <w:abstractNumId w:val="14"/>
  </w:num>
  <w:num w:numId="22" w16cid:durableId="1976907207">
    <w:abstractNumId w:val="10"/>
  </w:num>
  <w:num w:numId="23" w16cid:durableId="958342218">
    <w:abstractNumId w:val="11"/>
  </w:num>
  <w:num w:numId="24" w16cid:durableId="124080400">
    <w:abstractNumId w:val="3"/>
  </w:num>
  <w:num w:numId="25" w16cid:durableId="1313679815">
    <w:abstractNumId w:val="24"/>
  </w:num>
  <w:num w:numId="26" w16cid:durableId="912548076">
    <w:abstractNumId w:val="6"/>
  </w:num>
  <w:num w:numId="27" w16cid:durableId="1428694783">
    <w:abstractNumId w:val="1"/>
  </w:num>
  <w:num w:numId="28" w16cid:durableId="15072863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02A"/>
    <w:rsid w:val="000034DE"/>
    <w:rsid w:val="00006489"/>
    <w:rsid w:val="00012AB6"/>
    <w:rsid w:val="00013056"/>
    <w:rsid w:val="00017432"/>
    <w:rsid w:val="00020CFA"/>
    <w:rsid w:val="00020F74"/>
    <w:rsid w:val="00021F0E"/>
    <w:rsid w:val="00023699"/>
    <w:rsid w:val="00024CF7"/>
    <w:rsid w:val="00036DCF"/>
    <w:rsid w:val="00037B4F"/>
    <w:rsid w:val="000414FF"/>
    <w:rsid w:val="00042578"/>
    <w:rsid w:val="000431E9"/>
    <w:rsid w:val="0004724C"/>
    <w:rsid w:val="00047260"/>
    <w:rsid w:val="00047419"/>
    <w:rsid w:val="0005358C"/>
    <w:rsid w:val="0005719B"/>
    <w:rsid w:val="00062478"/>
    <w:rsid w:val="000624C0"/>
    <w:rsid w:val="00063BB2"/>
    <w:rsid w:val="00074980"/>
    <w:rsid w:val="00074F31"/>
    <w:rsid w:val="00077D4B"/>
    <w:rsid w:val="00080C5C"/>
    <w:rsid w:val="00082B0C"/>
    <w:rsid w:val="00083FBB"/>
    <w:rsid w:val="00094A73"/>
    <w:rsid w:val="00094A9F"/>
    <w:rsid w:val="00094C7B"/>
    <w:rsid w:val="00095080"/>
    <w:rsid w:val="000B35B1"/>
    <w:rsid w:val="000B44FD"/>
    <w:rsid w:val="000B7D63"/>
    <w:rsid w:val="000C300F"/>
    <w:rsid w:val="000C3A0E"/>
    <w:rsid w:val="000C50F0"/>
    <w:rsid w:val="000C6F39"/>
    <w:rsid w:val="000D1AA5"/>
    <w:rsid w:val="000D3AC4"/>
    <w:rsid w:val="000E01CC"/>
    <w:rsid w:val="000E7CB7"/>
    <w:rsid w:val="000F25E4"/>
    <w:rsid w:val="000F512B"/>
    <w:rsid w:val="000F5FC8"/>
    <w:rsid w:val="00107994"/>
    <w:rsid w:val="001124A7"/>
    <w:rsid w:val="001210E4"/>
    <w:rsid w:val="00125B70"/>
    <w:rsid w:val="0012669E"/>
    <w:rsid w:val="0013008A"/>
    <w:rsid w:val="00131673"/>
    <w:rsid w:val="00131E8C"/>
    <w:rsid w:val="00136935"/>
    <w:rsid w:val="00143871"/>
    <w:rsid w:val="00150C98"/>
    <w:rsid w:val="00150FC2"/>
    <w:rsid w:val="00151583"/>
    <w:rsid w:val="001540ED"/>
    <w:rsid w:val="00155E33"/>
    <w:rsid w:val="00157661"/>
    <w:rsid w:val="00160118"/>
    <w:rsid w:val="001657EA"/>
    <w:rsid w:val="001678C0"/>
    <w:rsid w:val="00170459"/>
    <w:rsid w:val="001718CD"/>
    <w:rsid w:val="001725C8"/>
    <w:rsid w:val="00180836"/>
    <w:rsid w:val="00194457"/>
    <w:rsid w:val="00194B73"/>
    <w:rsid w:val="001A601A"/>
    <w:rsid w:val="001A7B5F"/>
    <w:rsid w:val="001C190E"/>
    <w:rsid w:val="001C437E"/>
    <w:rsid w:val="001C4CAE"/>
    <w:rsid w:val="001C61A4"/>
    <w:rsid w:val="001C7CFB"/>
    <w:rsid w:val="001D1F23"/>
    <w:rsid w:val="001E0F2B"/>
    <w:rsid w:val="001E6EFC"/>
    <w:rsid w:val="001E77A5"/>
    <w:rsid w:val="001F10C0"/>
    <w:rsid w:val="001F1D2C"/>
    <w:rsid w:val="001F445D"/>
    <w:rsid w:val="001F76B1"/>
    <w:rsid w:val="002004BE"/>
    <w:rsid w:val="002044B2"/>
    <w:rsid w:val="00206D97"/>
    <w:rsid w:val="002149F3"/>
    <w:rsid w:val="00214EA0"/>
    <w:rsid w:val="002220B9"/>
    <w:rsid w:val="002246C9"/>
    <w:rsid w:val="00224932"/>
    <w:rsid w:val="00227533"/>
    <w:rsid w:val="0023070B"/>
    <w:rsid w:val="00230853"/>
    <w:rsid w:val="0023195E"/>
    <w:rsid w:val="00234962"/>
    <w:rsid w:val="002416CE"/>
    <w:rsid w:val="00242627"/>
    <w:rsid w:val="00245117"/>
    <w:rsid w:val="002507AF"/>
    <w:rsid w:val="002603AC"/>
    <w:rsid w:val="00262D5F"/>
    <w:rsid w:val="00263271"/>
    <w:rsid w:val="002655B2"/>
    <w:rsid w:val="0027145F"/>
    <w:rsid w:val="00273FEB"/>
    <w:rsid w:val="00274491"/>
    <w:rsid w:val="00276DE6"/>
    <w:rsid w:val="002A7816"/>
    <w:rsid w:val="002B3F6E"/>
    <w:rsid w:val="002C089B"/>
    <w:rsid w:val="002D3800"/>
    <w:rsid w:val="002E16F8"/>
    <w:rsid w:val="002E3820"/>
    <w:rsid w:val="002E6E14"/>
    <w:rsid w:val="002F2290"/>
    <w:rsid w:val="002F3560"/>
    <w:rsid w:val="002F6D31"/>
    <w:rsid w:val="00301747"/>
    <w:rsid w:val="0030330D"/>
    <w:rsid w:val="00304826"/>
    <w:rsid w:val="00310E28"/>
    <w:rsid w:val="00316DEE"/>
    <w:rsid w:val="0032578D"/>
    <w:rsid w:val="003277A5"/>
    <w:rsid w:val="00332855"/>
    <w:rsid w:val="00333653"/>
    <w:rsid w:val="0033576A"/>
    <w:rsid w:val="003358AB"/>
    <w:rsid w:val="00336127"/>
    <w:rsid w:val="0034193E"/>
    <w:rsid w:val="00343426"/>
    <w:rsid w:val="00345213"/>
    <w:rsid w:val="00355184"/>
    <w:rsid w:val="00361CFF"/>
    <w:rsid w:val="00362A3A"/>
    <w:rsid w:val="003734C1"/>
    <w:rsid w:val="00377AAF"/>
    <w:rsid w:val="00381415"/>
    <w:rsid w:val="00393514"/>
    <w:rsid w:val="003A04FC"/>
    <w:rsid w:val="003A2AE4"/>
    <w:rsid w:val="003A7F6D"/>
    <w:rsid w:val="003B4746"/>
    <w:rsid w:val="003C11CD"/>
    <w:rsid w:val="003E362E"/>
    <w:rsid w:val="003E59D5"/>
    <w:rsid w:val="003E6B34"/>
    <w:rsid w:val="003F189A"/>
    <w:rsid w:val="003F6897"/>
    <w:rsid w:val="004000B4"/>
    <w:rsid w:val="00410D5F"/>
    <w:rsid w:val="00414A9C"/>
    <w:rsid w:val="0041756E"/>
    <w:rsid w:val="00420E3A"/>
    <w:rsid w:val="00430CA7"/>
    <w:rsid w:val="00434F12"/>
    <w:rsid w:val="004402CF"/>
    <w:rsid w:val="004413D9"/>
    <w:rsid w:val="00443DFF"/>
    <w:rsid w:val="00444BB6"/>
    <w:rsid w:val="0045085B"/>
    <w:rsid w:val="00450C6F"/>
    <w:rsid w:val="004555B5"/>
    <w:rsid w:val="00466867"/>
    <w:rsid w:val="004668A6"/>
    <w:rsid w:val="0046760C"/>
    <w:rsid w:val="00470278"/>
    <w:rsid w:val="00482B49"/>
    <w:rsid w:val="00484CC9"/>
    <w:rsid w:val="004865F2"/>
    <w:rsid w:val="00492AEA"/>
    <w:rsid w:val="00495B69"/>
    <w:rsid w:val="004965DC"/>
    <w:rsid w:val="00496DA5"/>
    <w:rsid w:val="00496FC2"/>
    <w:rsid w:val="004A3C0E"/>
    <w:rsid w:val="004A4F91"/>
    <w:rsid w:val="004B0431"/>
    <w:rsid w:val="004B3B84"/>
    <w:rsid w:val="004B4B85"/>
    <w:rsid w:val="004C0D3D"/>
    <w:rsid w:val="004C4CFF"/>
    <w:rsid w:val="004C5962"/>
    <w:rsid w:val="004D515D"/>
    <w:rsid w:val="004E1AD8"/>
    <w:rsid w:val="004E7A55"/>
    <w:rsid w:val="004F2643"/>
    <w:rsid w:val="004F3587"/>
    <w:rsid w:val="004F6151"/>
    <w:rsid w:val="004F7C9F"/>
    <w:rsid w:val="0050160C"/>
    <w:rsid w:val="005020EA"/>
    <w:rsid w:val="005030B1"/>
    <w:rsid w:val="0050392C"/>
    <w:rsid w:val="00507091"/>
    <w:rsid w:val="00510935"/>
    <w:rsid w:val="00515EBF"/>
    <w:rsid w:val="00517009"/>
    <w:rsid w:val="00535955"/>
    <w:rsid w:val="005536DB"/>
    <w:rsid w:val="00553A3C"/>
    <w:rsid w:val="005571CF"/>
    <w:rsid w:val="00557B45"/>
    <w:rsid w:val="00562A4D"/>
    <w:rsid w:val="00565D6A"/>
    <w:rsid w:val="00567CE2"/>
    <w:rsid w:val="00571786"/>
    <w:rsid w:val="00583846"/>
    <w:rsid w:val="0059135A"/>
    <w:rsid w:val="00592224"/>
    <w:rsid w:val="0059229D"/>
    <w:rsid w:val="005926D2"/>
    <w:rsid w:val="00594C92"/>
    <w:rsid w:val="005A0862"/>
    <w:rsid w:val="005A14BA"/>
    <w:rsid w:val="005A397C"/>
    <w:rsid w:val="005A79F1"/>
    <w:rsid w:val="005B4EB0"/>
    <w:rsid w:val="005B60A6"/>
    <w:rsid w:val="005C0BC3"/>
    <w:rsid w:val="005C6530"/>
    <w:rsid w:val="005D449E"/>
    <w:rsid w:val="005D4DEF"/>
    <w:rsid w:val="005D66BA"/>
    <w:rsid w:val="005D77B9"/>
    <w:rsid w:val="005E15E3"/>
    <w:rsid w:val="005E197A"/>
    <w:rsid w:val="005E4431"/>
    <w:rsid w:val="005F2AA2"/>
    <w:rsid w:val="005F3223"/>
    <w:rsid w:val="005F49E8"/>
    <w:rsid w:val="005F7699"/>
    <w:rsid w:val="005F7A0E"/>
    <w:rsid w:val="00606E0D"/>
    <w:rsid w:val="006070F4"/>
    <w:rsid w:val="0060755B"/>
    <w:rsid w:val="00612B08"/>
    <w:rsid w:val="00613103"/>
    <w:rsid w:val="0061340E"/>
    <w:rsid w:val="00613D20"/>
    <w:rsid w:val="006148C9"/>
    <w:rsid w:val="006149A5"/>
    <w:rsid w:val="00622079"/>
    <w:rsid w:val="00625680"/>
    <w:rsid w:val="00631AC2"/>
    <w:rsid w:val="00634A59"/>
    <w:rsid w:val="00635DCF"/>
    <w:rsid w:val="006433BD"/>
    <w:rsid w:val="00645171"/>
    <w:rsid w:val="006469D8"/>
    <w:rsid w:val="00650B39"/>
    <w:rsid w:val="006572F4"/>
    <w:rsid w:val="00661D4C"/>
    <w:rsid w:val="006665A7"/>
    <w:rsid w:val="00673103"/>
    <w:rsid w:val="006736BB"/>
    <w:rsid w:val="00676010"/>
    <w:rsid w:val="0067794F"/>
    <w:rsid w:val="00682F33"/>
    <w:rsid w:val="00693F30"/>
    <w:rsid w:val="006A0583"/>
    <w:rsid w:val="006A52DE"/>
    <w:rsid w:val="006B28EE"/>
    <w:rsid w:val="006C1096"/>
    <w:rsid w:val="006C5A6B"/>
    <w:rsid w:val="006D003A"/>
    <w:rsid w:val="006D22F5"/>
    <w:rsid w:val="006D33EE"/>
    <w:rsid w:val="006D36B0"/>
    <w:rsid w:val="006E2FBE"/>
    <w:rsid w:val="006E6CBC"/>
    <w:rsid w:val="006F367B"/>
    <w:rsid w:val="007040AC"/>
    <w:rsid w:val="00706E7B"/>
    <w:rsid w:val="00710A31"/>
    <w:rsid w:val="00714965"/>
    <w:rsid w:val="007174BE"/>
    <w:rsid w:val="00720B41"/>
    <w:rsid w:val="007219BE"/>
    <w:rsid w:val="00726ABC"/>
    <w:rsid w:val="00727F8A"/>
    <w:rsid w:val="00730F3E"/>
    <w:rsid w:val="00731556"/>
    <w:rsid w:val="00733779"/>
    <w:rsid w:val="007337B9"/>
    <w:rsid w:val="007356E1"/>
    <w:rsid w:val="007429D9"/>
    <w:rsid w:val="00752F8C"/>
    <w:rsid w:val="007725D0"/>
    <w:rsid w:val="00773036"/>
    <w:rsid w:val="007735A6"/>
    <w:rsid w:val="00777F12"/>
    <w:rsid w:val="007807F9"/>
    <w:rsid w:val="00783B1A"/>
    <w:rsid w:val="0078666B"/>
    <w:rsid w:val="0078796F"/>
    <w:rsid w:val="00791C9C"/>
    <w:rsid w:val="007A292F"/>
    <w:rsid w:val="007A3C01"/>
    <w:rsid w:val="007A6402"/>
    <w:rsid w:val="007A7E21"/>
    <w:rsid w:val="007B007C"/>
    <w:rsid w:val="007B2DAD"/>
    <w:rsid w:val="007B3487"/>
    <w:rsid w:val="007C037B"/>
    <w:rsid w:val="007C1024"/>
    <w:rsid w:val="007C2739"/>
    <w:rsid w:val="007C2ED9"/>
    <w:rsid w:val="007D5170"/>
    <w:rsid w:val="007D5F41"/>
    <w:rsid w:val="007E0084"/>
    <w:rsid w:val="007E2445"/>
    <w:rsid w:val="007E6781"/>
    <w:rsid w:val="007E683B"/>
    <w:rsid w:val="007F433C"/>
    <w:rsid w:val="007F6FC8"/>
    <w:rsid w:val="008006A1"/>
    <w:rsid w:val="008060A3"/>
    <w:rsid w:val="00813C77"/>
    <w:rsid w:val="00820089"/>
    <w:rsid w:val="00836BBC"/>
    <w:rsid w:val="00842BEB"/>
    <w:rsid w:val="0085189F"/>
    <w:rsid w:val="00852D1B"/>
    <w:rsid w:val="008618C5"/>
    <w:rsid w:val="00861CDB"/>
    <w:rsid w:val="00862558"/>
    <w:rsid w:val="00872B9E"/>
    <w:rsid w:val="0087500C"/>
    <w:rsid w:val="008759AD"/>
    <w:rsid w:val="008820BB"/>
    <w:rsid w:val="00883CAF"/>
    <w:rsid w:val="008863D8"/>
    <w:rsid w:val="00886595"/>
    <w:rsid w:val="00886F5E"/>
    <w:rsid w:val="00896418"/>
    <w:rsid w:val="008A0498"/>
    <w:rsid w:val="008A22C8"/>
    <w:rsid w:val="008B4025"/>
    <w:rsid w:val="008B4F94"/>
    <w:rsid w:val="008D3BAF"/>
    <w:rsid w:val="008D4DF9"/>
    <w:rsid w:val="008D6B69"/>
    <w:rsid w:val="008D6D72"/>
    <w:rsid w:val="008D778A"/>
    <w:rsid w:val="008E651A"/>
    <w:rsid w:val="008F45A9"/>
    <w:rsid w:val="008F48A3"/>
    <w:rsid w:val="008F4E6D"/>
    <w:rsid w:val="008F5072"/>
    <w:rsid w:val="008F686B"/>
    <w:rsid w:val="008F6F2A"/>
    <w:rsid w:val="0090453C"/>
    <w:rsid w:val="00913824"/>
    <w:rsid w:val="00916C39"/>
    <w:rsid w:val="0091782D"/>
    <w:rsid w:val="00922E35"/>
    <w:rsid w:val="00930DA1"/>
    <w:rsid w:val="009369A9"/>
    <w:rsid w:val="0093787E"/>
    <w:rsid w:val="00942BB8"/>
    <w:rsid w:val="00955189"/>
    <w:rsid w:val="00960066"/>
    <w:rsid w:val="00960B75"/>
    <w:rsid w:val="009614E0"/>
    <w:rsid w:val="00962F36"/>
    <w:rsid w:val="00971087"/>
    <w:rsid w:val="00976578"/>
    <w:rsid w:val="009767E3"/>
    <w:rsid w:val="00976F5A"/>
    <w:rsid w:val="00980FC8"/>
    <w:rsid w:val="00983EE7"/>
    <w:rsid w:val="00984D0D"/>
    <w:rsid w:val="00993E37"/>
    <w:rsid w:val="009A06C0"/>
    <w:rsid w:val="009A22E7"/>
    <w:rsid w:val="009A2C0F"/>
    <w:rsid w:val="009A62C4"/>
    <w:rsid w:val="009B6F90"/>
    <w:rsid w:val="009C13B4"/>
    <w:rsid w:val="009C4CE4"/>
    <w:rsid w:val="009C724E"/>
    <w:rsid w:val="009C78EA"/>
    <w:rsid w:val="009D074D"/>
    <w:rsid w:val="009D773E"/>
    <w:rsid w:val="009E0673"/>
    <w:rsid w:val="009E3027"/>
    <w:rsid w:val="009E4398"/>
    <w:rsid w:val="009E6594"/>
    <w:rsid w:val="009F19FF"/>
    <w:rsid w:val="009F4DB0"/>
    <w:rsid w:val="00A02031"/>
    <w:rsid w:val="00A03840"/>
    <w:rsid w:val="00A05D12"/>
    <w:rsid w:val="00A10CB3"/>
    <w:rsid w:val="00A13FF1"/>
    <w:rsid w:val="00A14680"/>
    <w:rsid w:val="00A162A6"/>
    <w:rsid w:val="00A264BD"/>
    <w:rsid w:val="00A27506"/>
    <w:rsid w:val="00A348D6"/>
    <w:rsid w:val="00A41C73"/>
    <w:rsid w:val="00A43D97"/>
    <w:rsid w:val="00A505A7"/>
    <w:rsid w:val="00A50AE0"/>
    <w:rsid w:val="00A50C3B"/>
    <w:rsid w:val="00A512C7"/>
    <w:rsid w:val="00A51427"/>
    <w:rsid w:val="00A52C61"/>
    <w:rsid w:val="00A60028"/>
    <w:rsid w:val="00A65997"/>
    <w:rsid w:val="00A67604"/>
    <w:rsid w:val="00A73933"/>
    <w:rsid w:val="00A75248"/>
    <w:rsid w:val="00A76FD3"/>
    <w:rsid w:val="00A77C7C"/>
    <w:rsid w:val="00A80217"/>
    <w:rsid w:val="00A81230"/>
    <w:rsid w:val="00A82BE4"/>
    <w:rsid w:val="00A9607C"/>
    <w:rsid w:val="00AB3277"/>
    <w:rsid w:val="00AB523C"/>
    <w:rsid w:val="00AB52FB"/>
    <w:rsid w:val="00AC418D"/>
    <w:rsid w:val="00AD1A05"/>
    <w:rsid w:val="00AD215C"/>
    <w:rsid w:val="00AD626F"/>
    <w:rsid w:val="00AD6DFA"/>
    <w:rsid w:val="00AD79ED"/>
    <w:rsid w:val="00AE1747"/>
    <w:rsid w:val="00AE48A2"/>
    <w:rsid w:val="00AF0183"/>
    <w:rsid w:val="00AF48F8"/>
    <w:rsid w:val="00B10E90"/>
    <w:rsid w:val="00B11DDE"/>
    <w:rsid w:val="00B2375B"/>
    <w:rsid w:val="00B3123B"/>
    <w:rsid w:val="00B333A9"/>
    <w:rsid w:val="00B33C1B"/>
    <w:rsid w:val="00B536BC"/>
    <w:rsid w:val="00B57425"/>
    <w:rsid w:val="00B61A26"/>
    <w:rsid w:val="00B676C0"/>
    <w:rsid w:val="00B8489B"/>
    <w:rsid w:val="00B9247A"/>
    <w:rsid w:val="00B93146"/>
    <w:rsid w:val="00B937E6"/>
    <w:rsid w:val="00BA70F8"/>
    <w:rsid w:val="00BB5731"/>
    <w:rsid w:val="00BB7072"/>
    <w:rsid w:val="00BC4E30"/>
    <w:rsid w:val="00BC66F6"/>
    <w:rsid w:val="00BE2EDF"/>
    <w:rsid w:val="00C05194"/>
    <w:rsid w:val="00C16F5E"/>
    <w:rsid w:val="00C1729A"/>
    <w:rsid w:val="00C24819"/>
    <w:rsid w:val="00C267C6"/>
    <w:rsid w:val="00C31215"/>
    <w:rsid w:val="00C42B85"/>
    <w:rsid w:val="00C50570"/>
    <w:rsid w:val="00C50A3E"/>
    <w:rsid w:val="00C64707"/>
    <w:rsid w:val="00C759C7"/>
    <w:rsid w:val="00C75CDE"/>
    <w:rsid w:val="00C80874"/>
    <w:rsid w:val="00C9684E"/>
    <w:rsid w:val="00CA434D"/>
    <w:rsid w:val="00CA754F"/>
    <w:rsid w:val="00CB29E0"/>
    <w:rsid w:val="00CC0616"/>
    <w:rsid w:val="00CC4CFF"/>
    <w:rsid w:val="00CC7CAB"/>
    <w:rsid w:val="00CD4B7A"/>
    <w:rsid w:val="00CD601A"/>
    <w:rsid w:val="00CF5431"/>
    <w:rsid w:val="00CF66D4"/>
    <w:rsid w:val="00D072B0"/>
    <w:rsid w:val="00D15217"/>
    <w:rsid w:val="00D16CFA"/>
    <w:rsid w:val="00D17BCD"/>
    <w:rsid w:val="00D21725"/>
    <w:rsid w:val="00D25894"/>
    <w:rsid w:val="00D319DD"/>
    <w:rsid w:val="00D3338E"/>
    <w:rsid w:val="00D3364D"/>
    <w:rsid w:val="00D36BF2"/>
    <w:rsid w:val="00D3719E"/>
    <w:rsid w:val="00D42B61"/>
    <w:rsid w:val="00D50BE3"/>
    <w:rsid w:val="00D51CF5"/>
    <w:rsid w:val="00D55CEF"/>
    <w:rsid w:val="00D57C09"/>
    <w:rsid w:val="00D67284"/>
    <w:rsid w:val="00D6732F"/>
    <w:rsid w:val="00D7080A"/>
    <w:rsid w:val="00D717D0"/>
    <w:rsid w:val="00D7360D"/>
    <w:rsid w:val="00D879F1"/>
    <w:rsid w:val="00D92C33"/>
    <w:rsid w:val="00D95955"/>
    <w:rsid w:val="00DA3113"/>
    <w:rsid w:val="00DB028A"/>
    <w:rsid w:val="00DB34CD"/>
    <w:rsid w:val="00DB4584"/>
    <w:rsid w:val="00DC0227"/>
    <w:rsid w:val="00DD696F"/>
    <w:rsid w:val="00DF1C7B"/>
    <w:rsid w:val="00DF2331"/>
    <w:rsid w:val="00DF3881"/>
    <w:rsid w:val="00DF7675"/>
    <w:rsid w:val="00E00FFE"/>
    <w:rsid w:val="00E03956"/>
    <w:rsid w:val="00E11CD4"/>
    <w:rsid w:val="00E15AAA"/>
    <w:rsid w:val="00E16EEA"/>
    <w:rsid w:val="00E23FE3"/>
    <w:rsid w:val="00E35E7F"/>
    <w:rsid w:val="00E36EC5"/>
    <w:rsid w:val="00E61C20"/>
    <w:rsid w:val="00E66A5F"/>
    <w:rsid w:val="00E70804"/>
    <w:rsid w:val="00E73310"/>
    <w:rsid w:val="00E749CE"/>
    <w:rsid w:val="00E80380"/>
    <w:rsid w:val="00E8176A"/>
    <w:rsid w:val="00E93E4F"/>
    <w:rsid w:val="00EA094B"/>
    <w:rsid w:val="00EA0E9B"/>
    <w:rsid w:val="00EA2254"/>
    <w:rsid w:val="00EC5180"/>
    <w:rsid w:val="00EC541B"/>
    <w:rsid w:val="00EC6DBD"/>
    <w:rsid w:val="00ED2FAB"/>
    <w:rsid w:val="00ED4072"/>
    <w:rsid w:val="00ED6603"/>
    <w:rsid w:val="00EE3C44"/>
    <w:rsid w:val="00EE5380"/>
    <w:rsid w:val="00EE679A"/>
    <w:rsid w:val="00EF1B54"/>
    <w:rsid w:val="00F01F7E"/>
    <w:rsid w:val="00F05DEA"/>
    <w:rsid w:val="00F16CBF"/>
    <w:rsid w:val="00F20E8B"/>
    <w:rsid w:val="00F22A00"/>
    <w:rsid w:val="00F25DA8"/>
    <w:rsid w:val="00F335A5"/>
    <w:rsid w:val="00F3542A"/>
    <w:rsid w:val="00F35AE6"/>
    <w:rsid w:val="00F35E8C"/>
    <w:rsid w:val="00F37F4A"/>
    <w:rsid w:val="00F45607"/>
    <w:rsid w:val="00F528A1"/>
    <w:rsid w:val="00F5503B"/>
    <w:rsid w:val="00F55BB0"/>
    <w:rsid w:val="00F55C96"/>
    <w:rsid w:val="00F5760B"/>
    <w:rsid w:val="00F60BA9"/>
    <w:rsid w:val="00F62208"/>
    <w:rsid w:val="00F63623"/>
    <w:rsid w:val="00F666E3"/>
    <w:rsid w:val="00F72051"/>
    <w:rsid w:val="00F72441"/>
    <w:rsid w:val="00F738BB"/>
    <w:rsid w:val="00F75CF3"/>
    <w:rsid w:val="00F812E7"/>
    <w:rsid w:val="00F85173"/>
    <w:rsid w:val="00F856CD"/>
    <w:rsid w:val="00F96E97"/>
    <w:rsid w:val="00FA4605"/>
    <w:rsid w:val="00FB2836"/>
    <w:rsid w:val="00FC09E6"/>
    <w:rsid w:val="00FC312E"/>
    <w:rsid w:val="00FC75C6"/>
    <w:rsid w:val="00FD0C84"/>
    <w:rsid w:val="00FD57D0"/>
    <w:rsid w:val="00FD620C"/>
    <w:rsid w:val="00FD71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F889E9"/>
  <w15:docId w15:val="{E52D0304-4689-410F-88F0-1D9B5BBA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7E6"/>
    <w:pPr>
      <w:shd w:val="clear" w:color="auto" w:fill="FFFFFF"/>
      <w:spacing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094C7B"/>
    <w:pPr>
      <w:keepNext/>
      <w:keepLines/>
      <w:spacing w:after="2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Hyperlink">
    <w:name w:val="Hyperlink"/>
    <w:basedOn w:val="DefaultParagraphFont"/>
    <w:uiPriority w:val="99"/>
    <w:unhideWhenUsed/>
    <w:rsid w:val="005926D2"/>
    <w:rPr>
      <w:color w:val="0563C1" w:themeColor="hyperlink"/>
      <w:u w:val="single"/>
    </w:rPr>
  </w:style>
  <w:style w:type="character" w:styleId="FollowedHyperlink">
    <w:name w:val="FollowedHyperlink"/>
    <w:basedOn w:val="DefaultParagraphFont"/>
    <w:uiPriority w:val="99"/>
    <w:semiHidden/>
    <w:unhideWhenUsed/>
    <w:rsid w:val="005926D2"/>
    <w:rPr>
      <w:color w:val="954F72" w:themeColor="followedHyperlink"/>
      <w:u w:val="single"/>
    </w:rPr>
  </w:style>
  <w:style w:type="paragraph" w:styleId="ListParagraph">
    <w:name w:val="List Paragraph"/>
    <w:basedOn w:val="Normal"/>
    <w:uiPriority w:val="34"/>
    <w:qFormat/>
    <w:rsid w:val="005926D2"/>
    <w:pPr>
      <w:ind w:left="720"/>
      <w:contextualSpacing/>
    </w:pPr>
  </w:style>
  <w:style w:type="character" w:styleId="CommentReference">
    <w:name w:val="annotation reference"/>
    <w:basedOn w:val="DefaultParagraphFont"/>
    <w:semiHidden/>
    <w:unhideWhenUsed/>
    <w:rsid w:val="009A62C4"/>
    <w:rPr>
      <w:sz w:val="16"/>
      <w:szCs w:val="16"/>
    </w:rPr>
  </w:style>
  <w:style w:type="paragraph" w:styleId="CommentText">
    <w:name w:val="annotation text"/>
    <w:basedOn w:val="Normal"/>
    <w:link w:val="CommentTextChar"/>
    <w:unhideWhenUsed/>
    <w:rsid w:val="009A62C4"/>
    <w:rPr>
      <w:sz w:val="20"/>
      <w:szCs w:val="20"/>
    </w:rPr>
  </w:style>
  <w:style w:type="character" w:customStyle="1" w:styleId="CommentTextChar">
    <w:name w:val="Comment Text Char"/>
    <w:basedOn w:val="DefaultParagraphFont"/>
    <w:link w:val="CommentText"/>
    <w:rsid w:val="009A62C4"/>
    <w:rPr>
      <w:sz w:val="20"/>
      <w:szCs w:val="20"/>
    </w:rPr>
  </w:style>
  <w:style w:type="paragraph" w:styleId="CommentSubject">
    <w:name w:val="annotation subject"/>
    <w:basedOn w:val="CommentText"/>
    <w:next w:val="CommentText"/>
    <w:link w:val="CommentSubjectChar"/>
    <w:uiPriority w:val="99"/>
    <w:semiHidden/>
    <w:unhideWhenUsed/>
    <w:rsid w:val="009A62C4"/>
    <w:rPr>
      <w:b/>
      <w:bCs/>
    </w:rPr>
  </w:style>
  <w:style w:type="character" w:customStyle="1" w:styleId="CommentSubjectChar">
    <w:name w:val="Comment Subject Char"/>
    <w:basedOn w:val="CommentTextChar"/>
    <w:link w:val="CommentSubject"/>
    <w:uiPriority w:val="99"/>
    <w:semiHidden/>
    <w:rsid w:val="009A62C4"/>
    <w:rPr>
      <w:b/>
      <w:bCs/>
      <w:sz w:val="20"/>
      <w:szCs w:val="20"/>
    </w:rPr>
  </w:style>
  <w:style w:type="paragraph" w:styleId="BalloonText">
    <w:name w:val="Balloon Text"/>
    <w:basedOn w:val="Normal"/>
    <w:link w:val="BalloonTextChar"/>
    <w:uiPriority w:val="99"/>
    <w:semiHidden/>
    <w:unhideWhenUsed/>
    <w:rsid w:val="009A62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C4"/>
    <w:rPr>
      <w:rFonts w:ascii="Segoe UI" w:hAnsi="Segoe UI" w:cs="Segoe UI"/>
      <w:sz w:val="18"/>
      <w:szCs w:val="18"/>
    </w:rPr>
  </w:style>
  <w:style w:type="table" w:styleId="TableGrid">
    <w:name w:val="Table Grid"/>
    <w:basedOn w:val="TableNormal"/>
    <w:uiPriority w:val="59"/>
    <w:rsid w:val="009A6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0B44FD"/>
    <w:pPr>
      <w:spacing w:after="120"/>
      <w:ind w:left="360"/>
    </w:pPr>
  </w:style>
  <w:style w:type="character" w:customStyle="1" w:styleId="BodyTextIndentChar">
    <w:name w:val="Body Text Indent Char"/>
    <w:basedOn w:val="DefaultParagraphFont"/>
    <w:link w:val="BodyTextIndent"/>
    <w:uiPriority w:val="99"/>
    <w:rsid w:val="000B44FD"/>
  </w:style>
  <w:style w:type="paragraph" w:styleId="FootnoteText">
    <w:name w:val="footnote text"/>
    <w:basedOn w:val="Normal"/>
    <w:link w:val="FootnoteTextChar"/>
    <w:uiPriority w:val="99"/>
    <w:unhideWhenUsed/>
    <w:rsid w:val="0093787E"/>
    <w:pPr>
      <w:spacing w:after="0"/>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93787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787E"/>
    <w:rPr>
      <w:vertAlign w:val="superscript"/>
    </w:rPr>
  </w:style>
  <w:style w:type="paragraph" w:styleId="NoSpacing">
    <w:name w:val="No Spacing"/>
    <w:uiPriority w:val="1"/>
    <w:qFormat/>
    <w:rsid w:val="0030330D"/>
    <w:pPr>
      <w:spacing w:after="0" w:line="240" w:lineRule="auto"/>
    </w:pPr>
  </w:style>
  <w:style w:type="paragraph" w:styleId="Revision">
    <w:name w:val="Revision"/>
    <w:hidden/>
    <w:uiPriority w:val="99"/>
    <w:semiHidden/>
    <w:rsid w:val="00EF1B54"/>
    <w:pPr>
      <w:spacing w:after="0" w:line="240" w:lineRule="auto"/>
    </w:pPr>
  </w:style>
  <w:style w:type="paragraph" w:styleId="BodyText">
    <w:name w:val="Body Text"/>
    <w:basedOn w:val="Normal"/>
    <w:link w:val="BodyTextChar"/>
    <w:uiPriority w:val="99"/>
    <w:unhideWhenUsed/>
    <w:rsid w:val="002F3560"/>
    <w:pPr>
      <w:spacing w:after="120"/>
    </w:pPr>
  </w:style>
  <w:style w:type="character" w:customStyle="1" w:styleId="BodyTextChar">
    <w:name w:val="Body Text Char"/>
    <w:basedOn w:val="DefaultParagraphFont"/>
    <w:link w:val="BodyText"/>
    <w:uiPriority w:val="99"/>
    <w:rsid w:val="002F3560"/>
  </w:style>
  <w:style w:type="table" w:customStyle="1" w:styleId="TableGrid1">
    <w:name w:val="Table Grid1"/>
    <w:basedOn w:val="TableNormal"/>
    <w:next w:val="TableGrid"/>
    <w:rsid w:val="000472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15E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AE6"/>
    <w:pPr>
      <w:tabs>
        <w:tab w:val="center" w:pos="4680"/>
        <w:tab w:val="right" w:pos="9360"/>
      </w:tabs>
      <w:spacing w:after="0"/>
    </w:pPr>
  </w:style>
  <w:style w:type="character" w:customStyle="1" w:styleId="HeaderChar">
    <w:name w:val="Header Char"/>
    <w:basedOn w:val="DefaultParagraphFont"/>
    <w:link w:val="Header"/>
    <w:uiPriority w:val="99"/>
    <w:rsid w:val="00F35AE6"/>
  </w:style>
  <w:style w:type="paragraph" w:styleId="Footer">
    <w:name w:val="footer"/>
    <w:basedOn w:val="Normal"/>
    <w:link w:val="FooterChar"/>
    <w:uiPriority w:val="99"/>
    <w:unhideWhenUsed/>
    <w:rsid w:val="00F35AE6"/>
    <w:pPr>
      <w:tabs>
        <w:tab w:val="center" w:pos="4680"/>
        <w:tab w:val="right" w:pos="9360"/>
      </w:tabs>
      <w:spacing w:after="0"/>
    </w:pPr>
  </w:style>
  <w:style w:type="character" w:customStyle="1" w:styleId="FooterChar">
    <w:name w:val="Footer Char"/>
    <w:basedOn w:val="DefaultParagraphFont"/>
    <w:link w:val="Footer"/>
    <w:uiPriority w:val="99"/>
    <w:rsid w:val="00F35AE6"/>
  </w:style>
  <w:style w:type="character" w:customStyle="1" w:styleId="Heading1Char">
    <w:name w:val="Heading 1 Char"/>
    <w:basedOn w:val="DefaultParagraphFont"/>
    <w:link w:val="Heading1"/>
    <w:uiPriority w:val="9"/>
    <w:rsid w:val="00094C7B"/>
    <w:rPr>
      <w:rFonts w:ascii="Arial" w:eastAsia="Times New Roman" w:hAnsi="Arial" w:cs="Arial"/>
      <w:b/>
      <w:bCs/>
      <w:noProof/>
      <w:sz w:val="24"/>
      <w:szCs w:val="24"/>
      <w:shd w:val="clear" w:color="auto" w:fill="FFFFFF"/>
    </w:rPr>
  </w:style>
  <w:style w:type="character" w:styleId="UnresolvedMention">
    <w:name w:val="Unresolved Mention"/>
    <w:basedOn w:val="DefaultParagraphFont"/>
    <w:uiPriority w:val="99"/>
    <w:semiHidden/>
    <w:unhideWhenUsed/>
    <w:rsid w:val="00B9247A"/>
    <w:rPr>
      <w:color w:val="605E5C"/>
      <w:shd w:val="clear" w:color="auto" w:fill="E1DFDD"/>
    </w:rPr>
  </w:style>
  <w:style w:type="paragraph" w:styleId="Caption">
    <w:name w:val="caption"/>
    <w:basedOn w:val="Normal"/>
    <w:next w:val="Normal"/>
    <w:uiPriority w:val="35"/>
    <w:unhideWhenUsed/>
    <w:qFormat/>
    <w:rsid w:val="004A3C0E"/>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aa.gov/regulations_policies/advisory_circulars/index.cfm/go/document.information/documentID/1037216" TargetMode="External" /><Relationship Id="rId2" Type="http://schemas.openxmlformats.org/officeDocument/2006/relationships/hyperlink" Target="https://data.bls.gov/oesprofile/" TargetMode="External" /><Relationship Id="rId3" Type="http://schemas.openxmlformats.org/officeDocument/2006/relationships/hyperlink" Target="https://www.faa.gov/jobs/working_here/benefits/pay/core_salary_with_conversion.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1361ff-fdfd-44be-84c4-95c318605487" xsi:nil="true"/>
    <lcf76f155ced4ddcb4097134ff3c332f xmlns="7375a2a2-a695-49c0-aba6-2f332e9ab8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B98B3C0C1AF6438991A347509B5DF2" ma:contentTypeVersion="16" ma:contentTypeDescription="Create a new document." ma:contentTypeScope="" ma:versionID="1a5339586e1521e23e3b6a51de9921db">
  <xsd:schema xmlns:xsd="http://www.w3.org/2001/XMLSchema" xmlns:xs="http://www.w3.org/2001/XMLSchema" xmlns:p="http://schemas.microsoft.com/office/2006/metadata/properties" xmlns:ns2="7375a2a2-a695-49c0-aba6-2f332e9ab8e5" xmlns:ns3="861361ff-fdfd-44be-84c4-95c318605487" targetNamespace="http://schemas.microsoft.com/office/2006/metadata/properties" ma:root="true" ma:fieldsID="18e2f2eb5c7e36ef5a70a77bcc7d3236" ns2:_="" ns3:_="">
    <xsd:import namespace="7375a2a2-a695-49c0-aba6-2f332e9ab8e5"/>
    <xsd:import namespace="861361ff-fdfd-44be-84c4-95c318605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5a2a2-a695-49c0-aba6-2f332e9a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e69889-3f5c-4d03-949d-b90f720ff4f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361ff-fdfd-44be-84c4-95c3186054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d88f2ae-c3c2-492d-acac-6f92ab1dde4d}" ma:internalName="TaxCatchAll" ma:showField="CatchAllData" ma:web="861361ff-fdfd-44be-84c4-95c318605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EFF77-C41A-4C58-AC3F-3B0913673B32}">
  <ds:schemaRefs>
    <ds:schemaRef ds:uri="http://schemas.openxmlformats.org/officeDocument/2006/bibliography"/>
  </ds:schemaRefs>
</ds:datastoreItem>
</file>

<file path=customXml/itemProps2.xml><?xml version="1.0" encoding="utf-8"?>
<ds:datastoreItem xmlns:ds="http://schemas.openxmlformats.org/officeDocument/2006/customXml" ds:itemID="{8CAAEBAE-7C6D-4F98-BA02-81A3A3BA80C4}">
  <ds:schemaRefs>
    <ds:schemaRef ds:uri="http://schemas.microsoft.com/sharepoint/v3/contenttype/forms"/>
  </ds:schemaRefs>
</ds:datastoreItem>
</file>

<file path=customXml/itemProps3.xml><?xml version="1.0" encoding="utf-8"?>
<ds:datastoreItem xmlns:ds="http://schemas.openxmlformats.org/officeDocument/2006/customXml" ds:itemID="{5540901C-C71E-4D1D-B1CA-2E9DC4879C59}">
  <ds:schemaRefs>
    <ds:schemaRef ds:uri="http://schemas.microsoft.com/office/2006/metadata/properties"/>
    <ds:schemaRef ds:uri="http://schemas.microsoft.com/office/infopath/2007/PartnerControls"/>
    <ds:schemaRef ds:uri="http://purl.org/dc/elements/1.1/"/>
    <ds:schemaRef ds:uri="http://purl.org/dc/dcmitype/"/>
    <ds:schemaRef ds:uri="7375a2a2-a695-49c0-aba6-2f332e9ab8e5"/>
    <ds:schemaRef ds:uri="http://purl.org/dc/terms/"/>
    <ds:schemaRef ds:uri="http://schemas.microsoft.com/office/2006/documentManagement/types"/>
    <ds:schemaRef ds:uri="http://schemas.openxmlformats.org/package/2006/metadata/core-properties"/>
    <ds:schemaRef ds:uri="861361ff-fdfd-44be-84c4-95c318605487"/>
    <ds:schemaRef ds:uri="http://www.w3.org/XML/1998/namespace"/>
  </ds:schemaRefs>
</ds:datastoreItem>
</file>

<file path=customXml/itemProps4.xml><?xml version="1.0" encoding="utf-8"?>
<ds:datastoreItem xmlns:ds="http://schemas.openxmlformats.org/officeDocument/2006/customXml" ds:itemID="{CE21751F-F76C-4455-97C6-7336CB10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5a2a2-a695-49c0-aba6-2f332e9ab8e5"/>
    <ds:schemaRef ds:uri="861361ff-fdfd-44be-84c4-95c318605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12477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Geller, Shelby H (FAA)</cp:lastModifiedBy>
  <cp:revision>2</cp:revision>
  <cp:lastPrinted>2019-05-08T13:29:00Z</cp:lastPrinted>
  <dcterms:created xsi:type="dcterms:W3CDTF">2025-09-25T13:45:00Z</dcterms:created>
  <dcterms:modified xsi:type="dcterms:W3CDTF">2025-09-25T13:45:00Z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0x01010043B98B3C0C1AF6438991A347509B5DF2</vt:lpwstr>
  </property>
  <property fmtid="{D5CDD505-2E9C-101B-9397-08002B2CF9AE}" pid="3" name="GrammarlyDocumentId">
    <vt:lpwstr>59863ab9-6002-4ad9-8a0a-de7a5cdb88d0</vt:lpwstr>
  </property>
  <property fmtid="{D5CDD505-2E9C-101B-9397-08002B2CF9AE}" pid="4" name="MediaServiceImageTags">
    <vt:lpwstr/>
  </property>
</Properties>
</file>