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2317E" w:rsidRPr="00D2317E" w:rsidP="00D2317E" w14:paraId="23D568A8" w14:textId="77777777">
      <w:pPr>
        <w:widowControl w:val="0"/>
        <w:tabs>
          <w:tab w:val="left" w:pos="9360"/>
        </w:tabs>
        <w:autoSpaceDE w:val="0"/>
        <w:autoSpaceDN w:val="0"/>
        <w:adjustRightInd w:val="0"/>
        <w:spacing w:line="228" w:lineRule="auto"/>
        <w:rPr>
          <w:rFonts w:eastAsia="Times New Roman" w:cs="Times New Roman"/>
          <w:noProof/>
          <w:szCs w:val="24"/>
        </w:rPr>
      </w:pPr>
      <w:r w:rsidRPr="00D2317E">
        <w:rPr>
          <w:rFonts w:ascii="Arial" w:eastAsia="Times New Roman" w:hAnsi="Arial" w:cs="Times New Roman"/>
          <w:b/>
          <w:noProof/>
          <w:sz w:val="20"/>
          <w:szCs w:val="24"/>
        </w:rPr>
        <mc:AlternateContent>
          <mc:Choice Requires="wps">
            <w:drawing>
              <wp:anchor distT="0" distB="0" distL="114300" distR="114300" simplePos="0" relativeHeight="251658240" behindDoc="0" locked="0" layoutInCell="1" allowOverlap="1">
                <wp:simplePos x="0" y="0"/>
                <wp:positionH relativeFrom="column">
                  <wp:posOffset>4114800</wp:posOffset>
                </wp:positionH>
                <wp:positionV relativeFrom="paragraph">
                  <wp:posOffset>448945</wp:posOffset>
                </wp:positionV>
                <wp:extent cx="1752600" cy="419735"/>
                <wp:effectExtent l="9525" t="12700" r="9525" b="5715"/>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52600" cy="419735"/>
                        </a:xfrm>
                        <a:prstGeom prst="rect">
                          <a:avLst/>
                        </a:prstGeom>
                        <a:solidFill>
                          <a:srgbClr val="FFFFFF"/>
                        </a:solidFill>
                        <a:ln w="9525">
                          <a:solidFill>
                            <a:srgbClr val="FFFFFF"/>
                          </a:solidFill>
                          <a:miter lim="800000"/>
                          <a:headEnd/>
                          <a:tailEnd/>
                        </a:ln>
                      </wps:spPr>
                      <wps:txbx>
                        <w:txbxContent>
                          <w:p w:rsidR="00D2317E" w:rsidRPr="0055487E" w:rsidP="00D2317E" w14:textId="77777777">
                            <w:pPr>
                              <w:rPr>
                                <w:b/>
                                <w:color w:val="0000FF"/>
                                <w:sz w:val="20"/>
                                <w:szCs w:val="20"/>
                              </w:rPr>
                            </w:pPr>
                            <w:smartTag w:uri="urn:schemas-microsoft-com:office:smarttags" w:element="address">
                              <w:smartTag w:uri="urn:schemas-microsoft-com:office:smarttags" w:element="Street">
                                <w:r w:rsidRPr="0055487E">
                                  <w:rPr>
                                    <w:b/>
                                    <w:color w:val="0000FF"/>
                                    <w:sz w:val="20"/>
                                    <w:szCs w:val="20"/>
                                  </w:rPr>
                                  <w:t>1200 New Jersey Ave, SE</w:t>
                                </w:r>
                              </w:smartTag>
                            </w:smartTag>
                          </w:p>
                          <w:p w:rsidR="00D2317E" w:rsidRPr="0055487E" w:rsidP="00D2317E" w14:textId="77777777">
                            <w:pPr>
                              <w:rPr>
                                <w:b/>
                              </w:rPr>
                            </w:pPr>
                            <w:smartTag w:uri="urn:schemas-microsoft-com:office:smarttags" w:element="place">
                              <w:smartTag w:uri="urn:schemas-microsoft-com:office:smarttags" w:element="City">
                                <w:r w:rsidRPr="0055487E">
                                  <w:rPr>
                                    <w:b/>
                                    <w:color w:val="0000FF"/>
                                    <w:sz w:val="20"/>
                                    <w:szCs w:val="20"/>
                                  </w:rPr>
                                  <w:t>Washington</w:t>
                                </w:r>
                              </w:smartTag>
                              <w:r w:rsidRPr="0055487E">
                                <w:rPr>
                                  <w:b/>
                                  <w:color w:val="0000FF"/>
                                  <w:sz w:val="20"/>
                                  <w:szCs w:val="20"/>
                                </w:rPr>
                                <w:t xml:space="preserve">, </w:t>
                              </w:r>
                              <w:smartTag w:uri="urn:schemas-microsoft-com:office:smarttags" w:element="State">
                                <w:r w:rsidRPr="0055487E">
                                  <w:rPr>
                                    <w:b/>
                                    <w:color w:val="0000FF"/>
                                    <w:sz w:val="20"/>
                                    <w:szCs w:val="20"/>
                                  </w:rPr>
                                  <w:t>DC</w:t>
                                </w:r>
                              </w:smartTag>
                              <w:r w:rsidRPr="0055487E">
                                <w:rPr>
                                  <w:b/>
                                  <w:color w:val="0000FF"/>
                                  <w:sz w:val="20"/>
                                  <w:szCs w:val="20"/>
                                </w:rPr>
                                <w:t xml:space="preserve"> </w:t>
                              </w:r>
                              <w:smartTag w:uri="urn:schemas-microsoft-com:office:smarttags" w:element="PostalCode">
                                <w:r w:rsidRPr="0055487E">
                                  <w:rPr>
                                    <w:b/>
                                    <w:color w:val="0000FF"/>
                                    <w:sz w:val="20"/>
                                    <w:szCs w:val="20"/>
                                  </w:rPr>
                                  <w:t>20590</w:t>
                                </w:r>
                              </w:smartTag>
                            </w:smartTag>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138pt;height:33.05pt;margin-top:35.35pt;margin-left:324pt;mso-height-percent:0;mso-height-relative:page;mso-width-percent:0;mso-width-relative:page;mso-wrap-distance-bottom:0;mso-wrap-distance-left:9pt;mso-wrap-distance-right:9pt;mso-wrap-distance-top:0;mso-wrap-style:square;position:absolute;visibility:visible;v-text-anchor:top;z-index:251659264" strokecolor="white">
                <v:textbox>
                  <w:txbxContent>
                    <w:p w:rsidR="00D2317E" w:rsidRPr="0055487E" w:rsidP="00D2317E" w14:paraId="75C8990D" w14:textId="77777777">
                      <w:pPr>
                        <w:rPr>
                          <w:b/>
                          <w:color w:val="0000FF"/>
                          <w:sz w:val="20"/>
                          <w:szCs w:val="20"/>
                        </w:rPr>
                      </w:pPr>
                      <w:smartTag w:uri="urn:schemas-microsoft-com:office:smarttags" w:element="address">
                        <w:smartTag w:uri="urn:schemas-microsoft-com:office:smarttags" w:element="Street">
                          <w:r w:rsidRPr="0055487E">
                            <w:rPr>
                              <w:b/>
                              <w:color w:val="0000FF"/>
                              <w:sz w:val="20"/>
                              <w:szCs w:val="20"/>
                            </w:rPr>
                            <w:t>1200 New Jersey Ave, SE</w:t>
                          </w:r>
                        </w:smartTag>
                      </w:smartTag>
                    </w:p>
                    <w:p w:rsidR="00D2317E" w:rsidRPr="0055487E" w:rsidP="00D2317E" w14:paraId="2BA47472" w14:textId="77777777">
                      <w:pPr>
                        <w:rPr>
                          <w:b/>
                        </w:rPr>
                      </w:pPr>
                      <w:smartTag w:uri="urn:schemas-microsoft-com:office:smarttags" w:element="place">
                        <w:smartTag w:uri="urn:schemas-microsoft-com:office:smarttags" w:element="City">
                          <w:r w:rsidRPr="0055487E">
                            <w:rPr>
                              <w:b/>
                              <w:color w:val="0000FF"/>
                              <w:sz w:val="20"/>
                              <w:szCs w:val="20"/>
                            </w:rPr>
                            <w:t>Washington</w:t>
                          </w:r>
                        </w:smartTag>
                        <w:r w:rsidRPr="0055487E">
                          <w:rPr>
                            <w:b/>
                            <w:color w:val="0000FF"/>
                            <w:sz w:val="20"/>
                            <w:szCs w:val="20"/>
                          </w:rPr>
                          <w:t xml:space="preserve">, </w:t>
                        </w:r>
                        <w:smartTag w:uri="urn:schemas-microsoft-com:office:smarttags" w:element="State">
                          <w:r w:rsidRPr="0055487E">
                            <w:rPr>
                              <w:b/>
                              <w:color w:val="0000FF"/>
                              <w:sz w:val="20"/>
                              <w:szCs w:val="20"/>
                            </w:rPr>
                            <w:t>DC</w:t>
                          </w:r>
                        </w:smartTag>
                        <w:r w:rsidRPr="0055487E">
                          <w:rPr>
                            <w:b/>
                            <w:color w:val="0000FF"/>
                            <w:sz w:val="20"/>
                            <w:szCs w:val="20"/>
                          </w:rPr>
                          <w:t xml:space="preserve"> </w:t>
                        </w:r>
                        <w:smartTag w:uri="urn:schemas-microsoft-com:office:smarttags" w:element="PostalCode">
                          <w:r w:rsidRPr="0055487E">
                            <w:rPr>
                              <w:b/>
                              <w:color w:val="0000FF"/>
                              <w:sz w:val="20"/>
                              <w:szCs w:val="20"/>
                            </w:rPr>
                            <w:t>20590</w:t>
                          </w:r>
                        </w:smartTag>
                      </w:smartTag>
                    </w:p>
                  </w:txbxContent>
                </v:textbox>
              </v:shape>
            </w:pict>
          </mc:Fallback>
        </mc:AlternateContent>
      </w:r>
      <w:r w:rsidRPr="00D2317E">
        <w:rPr>
          <w:rFonts w:ascii="Arial" w:eastAsia="Times New Roman" w:hAnsi="Arial" w:cs="Times New Roman"/>
          <w:noProof/>
          <w:color w:val="0000FF"/>
          <w:sz w:val="20"/>
          <w:szCs w:val="24"/>
        </w:rPr>
        <w:drawing>
          <wp:inline distT="0" distB="0" distL="0" distR="0">
            <wp:extent cx="572770" cy="480060"/>
            <wp:effectExtent l="0" t="0" r="0" b="0"/>
            <wp:docPr id="1" name="Picture 1" descr="D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OT"/>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72770" cy="480060"/>
                    </a:xfrm>
                    <a:prstGeom prst="rect">
                      <a:avLst/>
                    </a:prstGeom>
                    <a:noFill/>
                    <a:ln>
                      <a:noFill/>
                    </a:ln>
                  </pic:spPr>
                </pic:pic>
              </a:graphicData>
            </a:graphic>
          </wp:inline>
        </w:drawing>
      </w:r>
    </w:p>
    <w:p w:rsidR="00D2317E" w:rsidRPr="00D2317E" w:rsidP="00D2317E" w14:paraId="4D1CCC79" w14:textId="77777777">
      <w:pPr>
        <w:spacing w:line="228" w:lineRule="auto"/>
        <w:rPr>
          <w:rFonts w:eastAsia="Times New Roman" w:cs="Times New Roman"/>
          <w:b/>
          <w:color w:val="0000FF"/>
          <w:sz w:val="20"/>
          <w:szCs w:val="20"/>
        </w:rPr>
      </w:pPr>
      <w:r w:rsidRPr="00D2317E">
        <w:rPr>
          <w:rFonts w:eastAsia="Times New Roman" w:cs="Times New Roman"/>
          <w:b/>
          <w:color w:val="0000FF"/>
          <w:sz w:val="20"/>
          <w:szCs w:val="20"/>
        </w:rPr>
        <w:t>U.S. Department</w:t>
      </w:r>
      <w:r w:rsidRPr="00D2317E">
        <w:rPr>
          <w:rFonts w:eastAsia="Times New Roman" w:cs="Times New Roman"/>
          <w:color w:val="0000FF"/>
          <w:sz w:val="20"/>
          <w:szCs w:val="20"/>
        </w:rPr>
        <w:tab/>
      </w:r>
      <w:r w:rsidRPr="00D2317E">
        <w:rPr>
          <w:rFonts w:eastAsia="Times New Roman" w:cs="Times New Roman"/>
          <w:color w:val="0000FF"/>
          <w:sz w:val="20"/>
          <w:szCs w:val="20"/>
        </w:rPr>
        <w:tab/>
      </w:r>
      <w:r w:rsidRPr="00D2317E">
        <w:rPr>
          <w:rFonts w:eastAsia="Times New Roman" w:cs="Times New Roman"/>
          <w:color w:val="0000FF"/>
          <w:sz w:val="20"/>
          <w:szCs w:val="20"/>
        </w:rPr>
        <w:tab/>
      </w:r>
      <w:r w:rsidRPr="00D2317E">
        <w:rPr>
          <w:rFonts w:eastAsia="Times New Roman" w:cs="Times New Roman"/>
          <w:color w:val="0000FF"/>
          <w:sz w:val="20"/>
          <w:szCs w:val="20"/>
        </w:rPr>
        <w:tab/>
      </w:r>
      <w:r w:rsidRPr="00D2317E">
        <w:rPr>
          <w:rFonts w:eastAsia="Times New Roman" w:cs="Times New Roman"/>
          <w:b/>
          <w:color w:val="0000FF"/>
          <w:sz w:val="20"/>
          <w:szCs w:val="20"/>
        </w:rPr>
        <w:t>Office of the Administrator</w:t>
      </w:r>
    </w:p>
    <w:p w:rsidR="00D2317E" w:rsidRPr="00D2317E" w:rsidP="00D2317E" w14:paraId="64DD16D2" w14:textId="77777777">
      <w:pPr>
        <w:spacing w:after="120" w:line="228" w:lineRule="auto"/>
        <w:rPr>
          <w:rFonts w:eastAsia="Times New Roman" w:cs="Times New Roman"/>
          <w:color w:val="0000FF"/>
          <w:sz w:val="20"/>
          <w:szCs w:val="20"/>
        </w:rPr>
      </w:pPr>
      <w:r w:rsidRPr="00D2317E">
        <w:rPr>
          <w:rFonts w:eastAsia="Times New Roman" w:cs="Times New Roman"/>
          <w:b/>
          <w:noProof/>
          <w:color w:val="0000FF"/>
          <w:sz w:val="20"/>
          <w:szCs w:val="20"/>
        </w:rPr>
        <mc:AlternateContent>
          <mc:Choice Requires="wps">
            <w:drawing>
              <wp:anchor distT="0" distB="0" distL="114300" distR="114300" simplePos="0" relativeHeight="251660288" behindDoc="0" locked="0" layoutInCell="1" allowOverlap="1">
                <wp:simplePos x="0" y="0"/>
                <wp:positionH relativeFrom="column">
                  <wp:posOffset>2125345</wp:posOffset>
                </wp:positionH>
                <wp:positionV relativeFrom="paragraph">
                  <wp:posOffset>10160</wp:posOffset>
                </wp:positionV>
                <wp:extent cx="1242695" cy="355600"/>
                <wp:effectExtent l="1270" t="2540" r="3810" b="3810"/>
                <wp:wrapNone/>
                <wp:docPr id="2"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42695" cy="355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2317E" w:rsidP="00D2317E" w14:textId="77777777"/>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7" o:spid="_x0000_s1026" type="#_x0000_t202" style="width:97.85pt;height:28pt;margin-top:0.8pt;margin-left:167.35pt;mso-height-percent:0;mso-height-relative:margin;mso-width-percent:0;mso-width-relative:margin;mso-wrap-distance-bottom:0;mso-wrap-distance-left:9pt;mso-wrap-distance-right:9pt;mso-wrap-distance-top:0;mso-wrap-style:square;position:absolute;visibility:visible;v-text-anchor:top;z-index:251661312" stroked="f">
                <v:textbox>
                  <w:txbxContent>
                    <w:p w:rsidR="00D2317E" w:rsidP="00D2317E" w14:paraId="1DAF9342" w14:textId="77777777"/>
                  </w:txbxContent>
                </v:textbox>
              </v:shape>
            </w:pict>
          </mc:Fallback>
        </mc:AlternateContent>
      </w:r>
      <w:r w:rsidRPr="00D2317E">
        <w:rPr>
          <w:rFonts w:eastAsia="Times New Roman" w:cs="Times New Roman"/>
          <w:b/>
          <w:color w:val="0000FF"/>
          <w:sz w:val="20"/>
          <w:szCs w:val="20"/>
        </w:rPr>
        <w:t>of Transportation</w:t>
      </w:r>
    </w:p>
    <w:p w:rsidR="00D2317E" w:rsidRPr="00D2317E" w:rsidP="00D2317E" w14:paraId="10C16077" w14:textId="77777777">
      <w:pPr>
        <w:keepNext/>
        <w:widowControl w:val="0"/>
        <w:autoSpaceDE w:val="0"/>
        <w:autoSpaceDN w:val="0"/>
        <w:adjustRightInd w:val="0"/>
        <w:spacing w:line="228" w:lineRule="auto"/>
        <w:outlineLvl w:val="6"/>
        <w:rPr>
          <w:rFonts w:eastAsia="Times New Roman" w:cs="Times New Roman"/>
          <w:b/>
          <w:bCs/>
          <w:color w:val="0000FF"/>
          <w:sz w:val="20"/>
          <w:szCs w:val="20"/>
        </w:rPr>
      </w:pPr>
      <w:r w:rsidRPr="00D2317E">
        <w:rPr>
          <w:rFonts w:eastAsia="Times New Roman" w:cs="Times New Roman"/>
          <w:b/>
          <w:bCs/>
          <w:color w:val="0000FF"/>
          <w:sz w:val="20"/>
          <w:szCs w:val="20"/>
        </w:rPr>
        <w:t>Federal Motor Carrier</w:t>
      </w:r>
    </w:p>
    <w:p w:rsidR="00D2317E" w:rsidRPr="00D2317E" w:rsidP="00D2317E" w14:paraId="659E7777" w14:textId="77777777">
      <w:pPr>
        <w:spacing w:line="228" w:lineRule="auto"/>
        <w:rPr>
          <w:rFonts w:eastAsia="Times New Roman" w:cs="Times New Roman"/>
          <w:b/>
          <w:bCs/>
          <w:color w:val="0000FF"/>
          <w:szCs w:val="24"/>
        </w:rPr>
      </w:pPr>
      <w:r w:rsidRPr="00D2317E">
        <w:rPr>
          <w:rFonts w:eastAsia="Times New Roman" w:cs="Times New Roman"/>
          <w:b/>
          <w:bCs/>
          <w:color w:val="0000FF"/>
          <w:sz w:val="20"/>
          <w:szCs w:val="20"/>
        </w:rPr>
        <w:t>Safety Administration</w:t>
      </w:r>
    </w:p>
    <w:p w:rsidR="008B1431" w:rsidP="008B1431" w14:paraId="0B59FFF4" w14:textId="77777777">
      <w:pPr>
        <w:rPr>
          <w:rFonts w:cs="Times New Roman"/>
        </w:rPr>
      </w:pPr>
    </w:p>
    <w:p w:rsidR="00003B4B" w:rsidRPr="00003B4B" w:rsidP="00003B4B" w14:paraId="0B1EFA32" w14:textId="77777777">
      <w:pPr>
        <w:spacing w:after="160" w:line="259" w:lineRule="auto"/>
        <w:rPr>
          <w:rFonts w:cs="Times New Roman"/>
          <w:b/>
          <w:bCs/>
          <w:szCs w:val="24"/>
        </w:rPr>
      </w:pPr>
      <w:r w:rsidRPr="00003B4B">
        <w:rPr>
          <w:rFonts w:cs="Times New Roman"/>
          <w:b/>
          <w:bCs/>
          <w:szCs w:val="24"/>
        </w:rPr>
        <w:t>ACTION MEMORANDUM TO THE OFFICE OF MANAGEMENT AND BUDGET</w:t>
      </w:r>
    </w:p>
    <w:p w:rsidR="00003B4B" w:rsidRPr="00003B4B" w:rsidP="00003B4B" w14:paraId="3E70F5DA" w14:textId="47BC1CDB">
      <w:pPr>
        <w:rPr>
          <w:rFonts w:cs="Times New Roman"/>
          <w:szCs w:val="24"/>
        </w:rPr>
      </w:pPr>
      <w:r w:rsidRPr="00003B4B">
        <w:rPr>
          <w:rFonts w:cs="Times New Roman"/>
          <w:b/>
          <w:bCs/>
          <w:szCs w:val="24"/>
        </w:rPr>
        <w:t xml:space="preserve">From: </w:t>
      </w:r>
      <w:r w:rsidRPr="00003B4B">
        <w:rPr>
          <w:rFonts w:cs="Times New Roman"/>
          <w:b/>
          <w:bCs/>
          <w:szCs w:val="24"/>
        </w:rPr>
        <w:tab/>
      </w:r>
      <w:r w:rsidRPr="00003B4B">
        <w:rPr>
          <w:rFonts w:cs="Times New Roman"/>
          <w:szCs w:val="24"/>
        </w:rPr>
        <w:tab/>
      </w:r>
      <w:r w:rsidR="003B684C">
        <w:rPr>
          <w:rFonts w:cs="Times New Roman"/>
          <w:szCs w:val="24"/>
        </w:rPr>
        <w:t xml:space="preserve">Jesse Elison </w:t>
      </w:r>
    </w:p>
    <w:p w:rsidR="00003B4B" w:rsidRPr="00003B4B" w:rsidP="00003B4B" w14:paraId="0E94940D" w14:textId="63549A22">
      <w:pPr>
        <w:rPr>
          <w:rFonts w:cs="Times New Roman"/>
          <w:szCs w:val="24"/>
        </w:rPr>
      </w:pPr>
      <w:r w:rsidRPr="00003B4B">
        <w:rPr>
          <w:rFonts w:cs="Times New Roman"/>
          <w:szCs w:val="24"/>
        </w:rPr>
        <w:tab/>
      </w:r>
      <w:r w:rsidRPr="00003B4B">
        <w:rPr>
          <w:rFonts w:cs="Times New Roman"/>
          <w:szCs w:val="24"/>
        </w:rPr>
        <w:tab/>
      </w:r>
      <w:r w:rsidR="003B684C">
        <w:rPr>
          <w:rFonts w:cs="Times New Roman"/>
          <w:szCs w:val="24"/>
        </w:rPr>
        <w:t>Chief Counsel</w:t>
      </w:r>
    </w:p>
    <w:p w:rsidR="00003B4B" w:rsidRPr="00003B4B" w:rsidP="00003B4B" w14:paraId="750060C1" w14:textId="115E954A">
      <w:pPr>
        <w:rPr>
          <w:rFonts w:cs="Times New Roman"/>
          <w:szCs w:val="24"/>
        </w:rPr>
      </w:pPr>
      <w:r w:rsidRPr="00003B4B">
        <w:rPr>
          <w:rFonts w:cs="Times New Roman"/>
          <w:szCs w:val="24"/>
        </w:rPr>
        <w:tab/>
      </w:r>
      <w:r w:rsidRPr="00003B4B">
        <w:rPr>
          <w:rFonts w:cs="Times New Roman"/>
          <w:szCs w:val="24"/>
        </w:rPr>
        <w:tab/>
        <w:t>202-</w:t>
      </w:r>
      <w:r w:rsidR="003B684C">
        <w:rPr>
          <w:rFonts w:cs="Times New Roman"/>
          <w:szCs w:val="24"/>
        </w:rPr>
        <w:t>731-5320</w:t>
      </w:r>
    </w:p>
    <w:p w:rsidR="00003B4B" w:rsidRPr="00003B4B" w:rsidP="00003B4B" w14:paraId="2A8CC87F" w14:textId="77777777">
      <w:pPr>
        <w:rPr>
          <w:rFonts w:cs="Times New Roman"/>
          <w:szCs w:val="24"/>
        </w:rPr>
      </w:pPr>
    </w:p>
    <w:p w:rsidR="00003B4B" w:rsidRPr="00003B4B" w:rsidP="00003B4B" w14:paraId="75F477B1" w14:textId="5D18F749">
      <w:pPr>
        <w:rPr>
          <w:rFonts w:cs="Times New Roman"/>
          <w:szCs w:val="24"/>
        </w:rPr>
      </w:pPr>
      <w:r w:rsidRPr="00003B4B">
        <w:rPr>
          <w:rFonts w:cs="Times New Roman"/>
          <w:b/>
          <w:bCs/>
          <w:szCs w:val="24"/>
        </w:rPr>
        <w:t>Prepared by:</w:t>
      </w:r>
      <w:r w:rsidRPr="00003B4B">
        <w:rPr>
          <w:rFonts w:cs="Times New Roman"/>
          <w:szCs w:val="24"/>
        </w:rPr>
        <w:tab/>
      </w:r>
      <w:r w:rsidR="00426FE2">
        <w:rPr>
          <w:rFonts w:cs="Times New Roman"/>
          <w:szCs w:val="24"/>
        </w:rPr>
        <w:t>Wendy Liberante</w:t>
      </w:r>
    </w:p>
    <w:p w:rsidR="00003B4B" w:rsidRPr="00003B4B" w:rsidP="00003B4B" w14:paraId="3EA0AD0C" w14:textId="21D38DC1">
      <w:pPr>
        <w:rPr>
          <w:rFonts w:cs="Times New Roman"/>
          <w:szCs w:val="24"/>
        </w:rPr>
      </w:pPr>
      <w:r w:rsidRPr="00003B4B">
        <w:rPr>
          <w:rFonts w:cs="Times New Roman"/>
          <w:szCs w:val="24"/>
        </w:rPr>
        <w:tab/>
      </w:r>
      <w:r w:rsidRPr="00003B4B">
        <w:rPr>
          <w:rFonts w:cs="Times New Roman"/>
          <w:szCs w:val="24"/>
        </w:rPr>
        <w:tab/>
      </w:r>
      <w:r w:rsidR="00426FE2">
        <w:rPr>
          <w:rFonts w:cs="Times New Roman"/>
          <w:szCs w:val="24"/>
        </w:rPr>
        <w:t>Director, Office of Policy, Strategic Planning &amp; Regulation</w:t>
      </w:r>
    </w:p>
    <w:p w:rsidR="00003B4B" w:rsidRPr="00003B4B" w:rsidP="00003B4B" w14:paraId="351B86FE" w14:textId="446BC71A">
      <w:pPr>
        <w:rPr>
          <w:rFonts w:eastAsia="Times New Roman" w:cs="Times New Roman"/>
          <w:bCs/>
          <w:color w:val="000000"/>
          <w:szCs w:val="24"/>
        </w:rPr>
      </w:pPr>
      <w:r w:rsidRPr="00003B4B">
        <w:rPr>
          <w:rFonts w:cs="Times New Roman"/>
          <w:szCs w:val="24"/>
        </w:rPr>
        <w:tab/>
      </w:r>
      <w:r w:rsidRPr="00003B4B">
        <w:rPr>
          <w:rFonts w:cs="Times New Roman"/>
          <w:szCs w:val="24"/>
        </w:rPr>
        <w:tab/>
      </w:r>
      <w:r w:rsidRPr="00003B4B">
        <w:rPr>
          <w:rFonts w:eastAsia="Times New Roman" w:cs="Times New Roman"/>
          <w:bCs/>
          <w:color w:val="000000"/>
          <w:szCs w:val="24"/>
        </w:rPr>
        <w:t>202-366-</w:t>
      </w:r>
      <w:r w:rsidR="00426FE2">
        <w:rPr>
          <w:rFonts w:eastAsia="Times New Roman" w:cs="Times New Roman"/>
          <w:bCs/>
          <w:color w:val="000000"/>
          <w:szCs w:val="24"/>
        </w:rPr>
        <w:t>1735</w:t>
      </w:r>
    </w:p>
    <w:p w:rsidR="00003B4B" w:rsidRPr="00003B4B" w:rsidP="00003B4B" w14:paraId="7C168BBF" w14:textId="77777777">
      <w:pPr>
        <w:rPr>
          <w:rFonts w:eastAsia="Times New Roman" w:cs="Times New Roman"/>
          <w:bCs/>
          <w:color w:val="000000"/>
          <w:szCs w:val="24"/>
        </w:rPr>
      </w:pPr>
    </w:p>
    <w:p w:rsidR="00003B4B" w:rsidRPr="00003B4B" w:rsidP="00003B4B" w14:paraId="07FC178D" w14:textId="7401D03C">
      <w:pPr>
        <w:ind w:left="1440" w:hanging="1440"/>
        <w:rPr>
          <w:rFonts w:eastAsia="Times New Roman" w:cs="Times New Roman"/>
          <w:bCs/>
          <w:color w:val="000000"/>
          <w:szCs w:val="24"/>
        </w:rPr>
      </w:pPr>
      <w:r w:rsidRPr="00003B4B">
        <w:rPr>
          <w:rFonts w:eastAsia="Times New Roman" w:cs="Times New Roman"/>
          <w:b/>
          <w:color w:val="000000"/>
          <w:szCs w:val="24"/>
        </w:rPr>
        <w:t>Subject:</w:t>
      </w:r>
      <w:r w:rsidRPr="00003B4B">
        <w:rPr>
          <w:rFonts w:eastAsia="Times New Roman" w:cs="Times New Roman"/>
          <w:bCs/>
          <w:color w:val="000000"/>
          <w:szCs w:val="24"/>
        </w:rPr>
        <w:t xml:space="preserve"> </w:t>
      </w:r>
      <w:r w:rsidRPr="00003B4B">
        <w:rPr>
          <w:rFonts w:eastAsia="Times New Roman" w:cs="Times New Roman"/>
          <w:bCs/>
          <w:color w:val="000000"/>
          <w:szCs w:val="24"/>
        </w:rPr>
        <w:tab/>
        <w:t xml:space="preserve">Requesting Emergency Clearance from OMB for a New Information Collection </w:t>
      </w:r>
      <w:r w:rsidR="0026725E">
        <w:rPr>
          <w:rFonts w:eastAsia="Times New Roman" w:cs="Times New Roman"/>
          <w:bCs/>
          <w:color w:val="000000"/>
          <w:szCs w:val="24"/>
        </w:rPr>
        <w:t xml:space="preserve">on </w:t>
      </w:r>
      <w:r w:rsidRPr="0026725E" w:rsidR="0026725E">
        <w:rPr>
          <w:rFonts w:eastAsia="Times New Roman" w:cs="Times New Roman"/>
          <w:bCs/>
          <w:color w:val="000000"/>
          <w:szCs w:val="24"/>
        </w:rPr>
        <w:t>Non-Domiciled Commercial Driver’s License Records</w:t>
      </w:r>
      <w:r w:rsidRPr="00003B4B">
        <w:rPr>
          <w:rFonts w:eastAsia="Times New Roman" w:cs="Times New Roman"/>
          <w:bCs/>
          <w:color w:val="000000"/>
          <w:szCs w:val="24"/>
        </w:rPr>
        <w:t xml:space="preserve"> </w:t>
      </w:r>
    </w:p>
    <w:p w:rsidR="00003B4B" w:rsidRPr="00003B4B" w:rsidP="00003B4B" w14:paraId="6D2024C2" w14:textId="77777777">
      <w:pPr>
        <w:spacing w:after="160" w:line="259" w:lineRule="auto"/>
        <w:ind w:left="1440" w:hanging="1440"/>
        <w:rPr>
          <w:rFonts w:eastAsia="Times New Roman" w:cs="Times New Roman"/>
          <w:b/>
          <w:color w:val="000000"/>
          <w:szCs w:val="24"/>
        </w:rPr>
      </w:pPr>
    </w:p>
    <w:p w:rsidR="00003B4B" w:rsidRPr="00003B4B" w:rsidP="00003B4B" w14:paraId="052F0A96" w14:textId="77777777">
      <w:pPr>
        <w:spacing w:after="160" w:line="259" w:lineRule="auto"/>
        <w:ind w:left="1440" w:hanging="1440"/>
        <w:rPr>
          <w:rFonts w:eastAsia="Times New Roman" w:cs="Times New Roman"/>
          <w:b/>
          <w:color w:val="000000"/>
          <w:szCs w:val="24"/>
        </w:rPr>
      </w:pPr>
      <w:r w:rsidRPr="00003B4B">
        <w:rPr>
          <w:rFonts w:eastAsia="Times New Roman" w:cs="Times New Roman"/>
          <w:b/>
          <w:color w:val="000000"/>
          <w:szCs w:val="24"/>
        </w:rPr>
        <w:t>ACTION REQUESTED</w:t>
      </w:r>
    </w:p>
    <w:p w:rsidR="00003B4B" w:rsidRPr="00003B4B" w:rsidP="00003B4B" w14:paraId="78B5C360" w14:textId="2EE4824D">
      <w:pPr>
        <w:spacing w:after="160" w:line="259" w:lineRule="auto"/>
        <w:rPr>
          <w:rFonts w:eastAsia="Times New Roman" w:cs="Times New Roman"/>
          <w:bCs/>
          <w:color w:val="000000"/>
          <w:szCs w:val="24"/>
        </w:rPr>
      </w:pPr>
      <w:r w:rsidRPr="00003B4B">
        <w:rPr>
          <w:rFonts w:eastAsia="Times New Roman" w:cs="Times New Roman"/>
          <w:bCs/>
          <w:color w:val="000000"/>
          <w:szCs w:val="24"/>
        </w:rPr>
        <w:t xml:space="preserve">The Federal Motor Carrier Safety Administration (FMCSA) requests the Office of Management and Budget (OMB) to provide an emergency clearance for a new information collection to </w:t>
      </w:r>
      <w:r w:rsidR="00AD55C0">
        <w:rPr>
          <w:rFonts w:eastAsia="Times New Roman" w:cs="Times New Roman"/>
          <w:bCs/>
          <w:color w:val="000000"/>
          <w:szCs w:val="24"/>
        </w:rPr>
        <w:t>support</w:t>
      </w:r>
      <w:r w:rsidRPr="00003B4B">
        <w:rPr>
          <w:rFonts w:eastAsia="Times New Roman" w:cs="Times New Roman"/>
          <w:bCs/>
          <w:color w:val="000000"/>
          <w:szCs w:val="24"/>
        </w:rPr>
        <w:t xml:space="preserve"> FMCSA’s </w:t>
      </w:r>
      <w:r w:rsidR="00AD55C0">
        <w:rPr>
          <w:rFonts w:eastAsia="Times New Roman" w:cs="Times New Roman"/>
          <w:bCs/>
          <w:color w:val="000000"/>
          <w:szCs w:val="24"/>
        </w:rPr>
        <w:t xml:space="preserve">new requirements to retain records related to the issuance of non-domiciled </w:t>
      </w:r>
      <w:r w:rsidR="00AD55C0">
        <w:rPr>
          <w:rFonts w:cs="Times New Roman"/>
          <w:szCs w:val="24"/>
        </w:rPr>
        <w:t>Commercial Driver’s Licenses (CDL)</w:t>
      </w:r>
      <w:r w:rsidRPr="00003B4B">
        <w:rPr>
          <w:rFonts w:eastAsia="Times New Roman" w:cs="Times New Roman"/>
          <w:bCs/>
          <w:color w:val="000000"/>
          <w:szCs w:val="24"/>
        </w:rPr>
        <w:t>.</w:t>
      </w:r>
    </w:p>
    <w:p w:rsidR="00003B4B" w:rsidRPr="00003B4B" w:rsidP="00003B4B" w14:paraId="7015447D" w14:textId="77777777">
      <w:pPr>
        <w:spacing w:after="160" w:line="259" w:lineRule="auto"/>
        <w:rPr>
          <w:rFonts w:eastAsia="Times New Roman" w:cs="Times New Roman"/>
          <w:b/>
          <w:color w:val="000000"/>
          <w:szCs w:val="24"/>
        </w:rPr>
      </w:pPr>
      <w:r w:rsidRPr="00003B4B">
        <w:rPr>
          <w:rFonts w:eastAsia="Times New Roman" w:cs="Times New Roman"/>
          <w:b/>
          <w:color w:val="000000"/>
          <w:szCs w:val="24"/>
        </w:rPr>
        <w:t>SUMMARY</w:t>
      </w:r>
    </w:p>
    <w:p w:rsidR="00AD55C0" w:rsidP="3D97B465" w14:paraId="0944857B" w14:textId="6FA08935">
      <w:pPr>
        <w:shd w:val="clear" w:color="auto" w:fill="FFFFFF" w:themeFill="background1"/>
        <w:rPr>
          <w:rFonts w:cs="Times New Roman"/>
        </w:rPr>
      </w:pPr>
      <w:r w:rsidRPr="3D97B465">
        <w:rPr>
          <w:rFonts w:eastAsia="Times New Roman" w:cs="Times New Roman"/>
          <w:color w:val="000000" w:themeColor="text1"/>
        </w:rPr>
        <w:t xml:space="preserve">FMCSA is requesting emergency clearance to </w:t>
      </w:r>
      <w:r w:rsidRPr="3D97B465">
        <w:rPr>
          <w:rFonts w:cs="Times New Roman"/>
        </w:rPr>
        <w:t>ensure that States retain all documents involved in the licensing process for non-domiciled CLP and CDL holders for a period of no less than 2 years from the date of issu</w:t>
      </w:r>
      <w:r w:rsidRPr="3D97B465" w:rsidR="0D0FDF2C">
        <w:rPr>
          <w:rFonts w:cs="Times New Roman"/>
        </w:rPr>
        <w:t>ance</w:t>
      </w:r>
      <w:r w:rsidRPr="3D97B465">
        <w:rPr>
          <w:rFonts w:cs="Times New Roman"/>
        </w:rPr>
        <w:t xml:space="preserve"> (which includes amending, correcting, reprinting, or otherwise duplicating a previously issued CLP or CDL), transferring, renewing, or upgrading a non-domiciled CLP or CDL. If States do not retain this documentation, FMCSA is severely hindered in its efforts to ensure compliance with the regulatory requirements because States are unable to accurately determine the number of non-domiciled CLPs and CDLs they have issue</w:t>
      </w:r>
      <w:r w:rsidRPr="3D97B465" w:rsidR="326DA9CE">
        <w:rPr>
          <w:rFonts w:cs="Times New Roman"/>
        </w:rPr>
        <w:t>d</w:t>
      </w:r>
      <w:r w:rsidRPr="3D97B465">
        <w:rPr>
          <w:rFonts w:cs="Times New Roman"/>
        </w:rPr>
        <w:t>, or to prove to FMCSA auditors that such CLPs and CDLs were properly issued.</w:t>
      </w:r>
    </w:p>
    <w:p w:rsidR="00F30830" w:rsidP="00AD55C0" w14:paraId="244074CF" w14:textId="77777777">
      <w:pPr>
        <w:shd w:val="clear" w:color="auto" w:fill="FFFFFF"/>
        <w:rPr>
          <w:rFonts w:cs="Times New Roman"/>
        </w:rPr>
      </w:pPr>
    </w:p>
    <w:p w:rsidR="00003B4B" w:rsidRPr="00003B4B" w:rsidP="00003B4B" w14:paraId="1B8D2933" w14:textId="24C1837F">
      <w:pPr>
        <w:spacing w:after="160" w:line="259" w:lineRule="auto"/>
        <w:rPr>
          <w:rFonts w:eastAsia="Times New Roman" w:cs="Times New Roman"/>
          <w:b/>
          <w:color w:val="000000"/>
          <w:szCs w:val="24"/>
        </w:rPr>
      </w:pPr>
      <w:r w:rsidRPr="00003B4B">
        <w:rPr>
          <w:rFonts w:eastAsia="Times New Roman" w:cs="Times New Roman"/>
          <w:b/>
          <w:color w:val="000000"/>
          <w:szCs w:val="24"/>
        </w:rPr>
        <w:t>BACKGROUND</w:t>
      </w:r>
    </w:p>
    <w:p w:rsidR="00F30830" w:rsidP="3D97B465" w14:paraId="3120FFDD" w14:textId="5D44373E">
      <w:pPr>
        <w:rPr>
          <w:rFonts w:cs="Times New Roman"/>
        </w:rPr>
      </w:pPr>
      <w:bookmarkStart w:id="0" w:name="_Hlk80387652"/>
      <w:r w:rsidRPr="3D97B465">
        <w:rPr>
          <w:rFonts w:cs="Times New Roman"/>
        </w:rPr>
        <w:t>FMCSA is requesting emergency clearance because of a fast-moving White House initiative to ensure that drivers from foreign jurisdictions</w:t>
      </w:r>
      <w:r w:rsidRPr="3D97B465" w:rsidR="74B37C96">
        <w:rPr>
          <w:rFonts w:cs="Times New Roman"/>
        </w:rPr>
        <w:t>,</w:t>
      </w:r>
      <w:r w:rsidRPr="3D97B465">
        <w:rPr>
          <w:rFonts w:cs="Times New Roman"/>
        </w:rPr>
        <w:t xml:space="preserve"> other than those the Administrator has determined to have comparable testing and license standards to those in the United States</w:t>
      </w:r>
      <w:r w:rsidRPr="3D97B465" w:rsidR="1F9E269F">
        <w:rPr>
          <w:rFonts w:cs="Times New Roman"/>
        </w:rPr>
        <w:t>,</w:t>
      </w:r>
      <w:r w:rsidRPr="3D97B465">
        <w:rPr>
          <w:rFonts w:cs="Times New Roman"/>
        </w:rPr>
        <w:t xml:space="preserve"> have both lawful presence and authorization for employment before a State may issue a non-domiciled CDL. Currently, the regulations focus only on lawful presence, but a recent audit of State Driver Licensing Agencies</w:t>
      </w:r>
      <w:r w:rsidRPr="3D97B465" w:rsidR="703461A6">
        <w:rPr>
          <w:rFonts w:cs="Times New Roman"/>
        </w:rPr>
        <w:t xml:space="preserve"> (SDLAs)</w:t>
      </w:r>
      <w:r w:rsidRPr="3D97B465">
        <w:rPr>
          <w:rFonts w:cs="Times New Roman"/>
        </w:rPr>
        <w:t xml:space="preserve"> has revealed systematic failures in the issuance process that have resulted in significant numbers of unqualified individuals being issued CDLs. A number of recent, high-profile crashes involving holders of non-domiciled CDLs have also highlighted the need to restrict the number of such license holders operating on the Nation’s roadways. Some of these crashes involved CDL holders who were issued non-domiciled CDLs despite not meeting </w:t>
      </w:r>
      <w:r w:rsidRPr="3D97B465">
        <w:rPr>
          <w:rFonts w:cs="Times New Roman"/>
        </w:rPr>
        <w:t>the requirements of the current regulations, while others involved drivers who were issued CDLs in accordance with the regulations but nonetheless were not qualified to operate large commercial vehicles.</w:t>
      </w:r>
    </w:p>
    <w:p w:rsidR="006E1910" w:rsidP="3D97B465" w14:paraId="1D08383E" w14:textId="77777777">
      <w:pPr>
        <w:rPr>
          <w:rFonts w:cs="Times New Roman"/>
        </w:rPr>
      </w:pPr>
    </w:p>
    <w:p w:rsidR="006E1910" w:rsidP="006E1910" w14:paraId="2F325A70" w14:textId="77777777">
      <w:pPr>
        <w:rPr>
          <w:rFonts w:eastAsia="Times New Roman" w:cs="Times New Roman"/>
          <w:color w:val="000000" w:themeColor="text1"/>
        </w:rPr>
      </w:pPr>
      <w:r>
        <w:rPr>
          <w:rFonts w:eastAsia="Times New Roman" w:cs="Times New Roman"/>
          <w:b/>
          <w:bCs/>
          <w:color w:val="000000" w:themeColor="text1"/>
        </w:rPr>
        <w:t>JUSTIFICATION FOR EMERGENCY PROCESSING</w:t>
      </w:r>
    </w:p>
    <w:p w:rsidR="00F30830" w:rsidP="00F30830" w14:paraId="5A04864B" w14:textId="77777777">
      <w:pPr>
        <w:rPr>
          <w:rFonts w:cs="Times New Roman"/>
          <w:szCs w:val="24"/>
        </w:rPr>
      </w:pPr>
    </w:p>
    <w:p w:rsidR="00F30830" w:rsidP="00F30830" w14:paraId="7AA0D03F" w14:textId="77777777">
      <w:pPr>
        <w:rPr>
          <w:rFonts w:cs="Times New Roman"/>
          <w:szCs w:val="24"/>
        </w:rPr>
      </w:pPr>
      <w:r>
        <w:rPr>
          <w:rFonts w:cs="Times New Roman"/>
          <w:szCs w:val="24"/>
        </w:rPr>
        <w:t>FMCSA’s primary mission is to ensure the safety of the Nation’s roadways. Having recently become aware of the confusion in some States about the standards for issuing non-domiciled CDLs, as well as the recent incidences of crashes involving non-domiciled drivers, FMCSA must act expeditiously to ensure that States do not continue to license such drivers and begin taking steps to properly vet the existing holders of non-domiciled CDLs. These actions are expected to significantly improve the safety of commercial drivers in the United States.</w:t>
      </w:r>
    </w:p>
    <w:p w:rsidR="00F30830" w:rsidRPr="0006164E" w:rsidP="00F30830" w14:paraId="0661FB66" w14:textId="77777777">
      <w:pPr>
        <w:rPr>
          <w:rFonts w:cs="Times New Roman"/>
          <w:szCs w:val="24"/>
        </w:rPr>
      </w:pPr>
    </w:p>
    <w:p w:rsidR="00F30830" w:rsidRPr="007E281F" w:rsidP="007E281F" w14:paraId="77F62AEE" w14:textId="2B5E9F13">
      <w:pPr>
        <w:rPr>
          <w:rFonts w:eastAsia="Times New Roman" w:cs="Times New Roman"/>
          <w:color w:val="000000"/>
        </w:rPr>
      </w:pPr>
      <w:r>
        <w:rPr>
          <w:rFonts w:cs="Times New Roman"/>
          <w:szCs w:val="24"/>
        </w:rPr>
        <w:t>FMCSA</w:t>
      </w:r>
      <w:r w:rsidRPr="0006164E">
        <w:rPr>
          <w:rFonts w:cs="Times New Roman"/>
          <w:szCs w:val="24"/>
        </w:rPr>
        <w:t xml:space="preserve"> cannot reasonably comply with normal clearance procedures</w:t>
      </w:r>
      <w:r>
        <w:rPr>
          <w:rFonts w:cs="Times New Roman"/>
          <w:szCs w:val="24"/>
        </w:rPr>
        <w:t xml:space="preserve"> for this collection because revisions to the regulations are being issued as an interim final rule that will take effect upon publication. The interim final rule contains revisions to certain collection requirements</w:t>
      </w:r>
      <w:r w:rsidRPr="0006164E">
        <w:rPr>
          <w:rFonts w:cs="Times New Roman"/>
          <w:szCs w:val="24"/>
        </w:rPr>
        <w:t xml:space="preserve">, </w:t>
      </w:r>
      <w:r>
        <w:rPr>
          <w:rFonts w:cs="Times New Roman"/>
          <w:szCs w:val="24"/>
        </w:rPr>
        <w:t>so FMCSA must obtain clearance for those requirements immediately.</w:t>
      </w:r>
      <w:r w:rsidRPr="007E281F" w:rsidR="007E281F">
        <w:rPr>
          <w:rFonts w:eastAsia="Times New Roman" w:cs="Times New Roman"/>
          <w:color w:val="000000"/>
        </w:rPr>
        <w:t xml:space="preserve"> Pursuant to the Paperwork Reduction Act’s emergency processing requirements as described in 5 CFR 1320.13, FMCSA has determined that the collection is 1) needed prior to the expiration of the time periods under start PRA processing and 2) the collection is essential to the mission of the agency. Further, FMCSA has determined that the agency cannot comply with the normal clearance procedures because public harm is reasonably likely to result if the normal clearance procedures are followed (see 5 </w:t>
      </w:r>
      <w:r w:rsidRPr="007E281F" w:rsidR="007E281F">
        <w:rPr>
          <w:rFonts w:eastAsia="Times New Roman" w:cs="Times New Roman"/>
          <w:color w:val="000000"/>
        </w:rPr>
        <w:t>cfr</w:t>
      </w:r>
      <w:r w:rsidRPr="007E281F" w:rsidR="007E281F">
        <w:rPr>
          <w:rFonts w:eastAsia="Times New Roman" w:cs="Times New Roman"/>
          <w:color w:val="000000"/>
        </w:rPr>
        <w:t xml:space="preserve"> 1320.13(a)(2)(</w:t>
      </w:r>
      <w:r w:rsidRPr="007E281F" w:rsidR="007E281F">
        <w:rPr>
          <w:rFonts w:eastAsia="Times New Roman" w:cs="Times New Roman"/>
          <w:color w:val="000000"/>
        </w:rPr>
        <w:t>i</w:t>
      </w:r>
      <w:r w:rsidRPr="007E281F" w:rsidR="007E281F">
        <w:rPr>
          <w:rFonts w:eastAsia="Times New Roman" w:cs="Times New Roman"/>
          <w:color w:val="000000"/>
        </w:rPr>
        <w:t>))</w:t>
      </w:r>
      <w:r w:rsidR="007E281F">
        <w:rPr>
          <w:rFonts w:eastAsia="Times New Roman" w:cs="Times New Roman"/>
          <w:color w:val="000000"/>
        </w:rPr>
        <w:t>. Additionally, FMCSA is unable to</w:t>
      </w:r>
      <w:r w:rsidRPr="007E281F" w:rsidR="007E281F">
        <w:rPr>
          <w:rFonts w:eastAsia="Times New Roman" w:cs="Times New Roman"/>
          <w:color w:val="000000"/>
        </w:rPr>
        <w:t xml:space="preserve"> consult with interested agencies and members of the public in order to minimize the burden of the collection of information</w:t>
      </w:r>
      <w:r w:rsidR="007E281F">
        <w:rPr>
          <w:rFonts w:eastAsia="Times New Roman" w:cs="Times New Roman"/>
          <w:color w:val="000000"/>
        </w:rPr>
        <w:t xml:space="preserve"> at this time due to the expeditious nature of the interim final rule to address the risk of public harm.</w:t>
      </w:r>
    </w:p>
    <w:p w:rsidR="00F30830" w:rsidRPr="0006164E" w:rsidP="00F30830" w14:paraId="2F36E2AA" w14:textId="77777777">
      <w:pPr>
        <w:rPr>
          <w:rFonts w:cs="Times New Roman"/>
          <w:szCs w:val="24"/>
        </w:rPr>
      </w:pPr>
    </w:p>
    <w:p w:rsidR="00F30830" w:rsidP="3D97B465" w14:paraId="12556808" w14:textId="288AC7FA">
      <w:pPr>
        <w:rPr>
          <w:rFonts w:cs="Times New Roman"/>
        </w:rPr>
      </w:pPr>
      <w:r w:rsidRPr="3D97B465">
        <w:rPr>
          <w:rFonts w:cs="Times New Roman"/>
        </w:rPr>
        <w:t xml:space="preserve">As the recent, high-profile crashes caused by non-domiciled CDL drivers have shown, public harm is likely to result if normal clearance procedures are followed. These crashes resulted in the deaths of 12 people, with many more being injured. FMCSA was not previously aware of the extent of the dangers posed by non-domiciled drivers, nor was FMCSA aware until the recent annual audits of </w:t>
      </w:r>
      <w:r w:rsidRPr="3D97B465" w:rsidR="283910C2">
        <w:rPr>
          <w:rFonts w:cs="Times New Roman"/>
        </w:rPr>
        <w:t>SDLAs</w:t>
      </w:r>
      <w:r w:rsidRPr="3D97B465">
        <w:rPr>
          <w:rFonts w:cs="Times New Roman"/>
        </w:rPr>
        <w:t xml:space="preserve"> that many were either not following the regulatory processes or that the existing regulations were insufficient to keep dangerous drivers off the Nation’s roadways. Use of normal clearance procedures is reasonably likely to prevent or disrupt the collection of information because </w:t>
      </w:r>
      <w:r w:rsidRPr="3D97B465" w:rsidR="564C17DA">
        <w:rPr>
          <w:rFonts w:cs="Times New Roman"/>
        </w:rPr>
        <w:t>SDLAs</w:t>
      </w:r>
      <w:r w:rsidRPr="3D97B465">
        <w:rPr>
          <w:rFonts w:cs="Times New Roman"/>
        </w:rPr>
        <w:t xml:space="preserve"> will now be required to retain all documents involved in the licensing process for non-domiciled CLP and CDL holders for a period of no less than 2 years from the date of issu</w:t>
      </w:r>
      <w:r w:rsidRPr="3D97B465" w:rsidR="53346EA2">
        <w:rPr>
          <w:rFonts w:cs="Times New Roman"/>
        </w:rPr>
        <w:t>ance</w:t>
      </w:r>
      <w:r w:rsidRPr="3D97B465">
        <w:rPr>
          <w:rFonts w:cs="Times New Roman"/>
        </w:rPr>
        <w:t xml:space="preserve"> (which includes amending, correcting, reprinting, or otherwise duplicating a previously issued CLP or CDL), transferring, renewing, or upgrading a non-domiciled CLP or CDL. FMCSA cannot require this unless an approved collection is in place. </w:t>
      </w:r>
    </w:p>
    <w:p w:rsidR="00F30830" w:rsidRPr="00F30830" w:rsidP="00F30830" w14:paraId="3DB710AA" w14:textId="77777777">
      <w:pPr>
        <w:rPr>
          <w:rFonts w:cs="Times New Roman"/>
          <w:szCs w:val="24"/>
        </w:rPr>
      </w:pPr>
    </w:p>
    <w:p w:rsidR="007E281F" w:rsidRPr="00003B4B" w:rsidP="4574335B" w14:paraId="35A0F89A" w14:textId="7D43ECD6">
      <w:pPr>
        <w:spacing w:after="160" w:line="259" w:lineRule="auto"/>
        <w:rPr>
          <w:rFonts w:eastAsia="Times New Roman" w:cs="Times New Roman"/>
          <w:color w:val="000000"/>
        </w:rPr>
      </w:pPr>
      <w:r w:rsidRPr="3D97B465">
        <w:rPr>
          <w:rFonts w:eastAsia="Times New Roman" w:cs="Times New Roman"/>
          <w:color w:val="000000" w:themeColor="text1"/>
        </w:rPr>
        <w:t xml:space="preserve">It is imperative that FMCSA begin collecting this information </w:t>
      </w:r>
      <w:r w:rsidRPr="3D97B465" w:rsidR="00F30830">
        <w:rPr>
          <w:rFonts w:eastAsia="Times New Roman" w:cs="Times New Roman"/>
          <w:color w:val="000000" w:themeColor="text1"/>
        </w:rPr>
        <w:t>as soon as the interim final rule is</w:t>
      </w:r>
      <w:r w:rsidRPr="3D97B465" w:rsidR="119BC8D3">
        <w:rPr>
          <w:rFonts w:eastAsia="Times New Roman" w:cs="Times New Roman"/>
          <w:color w:val="000000" w:themeColor="text1"/>
        </w:rPr>
        <w:t xml:space="preserve"> </w:t>
      </w:r>
      <w:r w:rsidRPr="3D97B465" w:rsidR="4C8AE8E2">
        <w:rPr>
          <w:rFonts w:eastAsia="Times New Roman" w:cs="Times New Roman"/>
          <w:color w:val="000000" w:themeColor="text1"/>
        </w:rPr>
        <w:t>effective</w:t>
      </w:r>
      <w:r w:rsidRPr="3D97B465">
        <w:rPr>
          <w:rFonts w:eastAsia="Times New Roman" w:cs="Times New Roman"/>
          <w:color w:val="000000" w:themeColor="text1"/>
        </w:rPr>
        <w:t xml:space="preserve">.  </w:t>
      </w:r>
      <w:bookmarkEnd w:id="0"/>
      <w:r w:rsidRPr="3D97B465">
        <w:rPr>
          <w:rFonts w:eastAsia="Times New Roman" w:cs="Times New Roman"/>
          <w:color w:val="000000" w:themeColor="text1"/>
        </w:rPr>
        <w:t xml:space="preserve">FMCSA will continue to </w:t>
      </w:r>
      <w:r w:rsidRPr="3D97B465" w:rsidR="4DD1C44A">
        <w:rPr>
          <w:rFonts w:eastAsia="Times New Roman" w:cs="Times New Roman"/>
          <w:color w:val="000000" w:themeColor="text1"/>
        </w:rPr>
        <w:t xml:space="preserve">require SDLAs to </w:t>
      </w:r>
      <w:r w:rsidRPr="3D97B465">
        <w:rPr>
          <w:rFonts w:eastAsia="Times New Roman" w:cs="Times New Roman"/>
          <w:color w:val="000000" w:themeColor="text1"/>
        </w:rPr>
        <w:t>collect the information on a</w:t>
      </w:r>
      <w:r w:rsidRPr="3D97B465" w:rsidR="00F30830">
        <w:rPr>
          <w:rFonts w:eastAsia="Times New Roman" w:cs="Times New Roman"/>
          <w:color w:val="000000" w:themeColor="text1"/>
        </w:rPr>
        <w:t xml:space="preserve">n </w:t>
      </w:r>
      <w:r w:rsidRPr="3D97B465" w:rsidR="4AB7F673">
        <w:rPr>
          <w:rFonts w:eastAsia="Times New Roman" w:cs="Times New Roman"/>
          <w:color w:val="000000" w:themeColor="text1"/>
        </w:rPr>
        <w:t>ongoing</w:t>
      </w:r>
      <w:r w:rsidRPr="3D97B465">
        <w:rPr>
          <w:rFonts w:eastAsia="Times New Roman" w:cs="Times New Roman"/>
          <w:color w:val="000000" w:themeColor="text1"/>
        </w:rPr>
        <w:t xml:space="preserve"> basis until the end of the emergency approval period.</w:t>
      </w:r>
    </w:p>
    <w:p w:rsidR="00583D1C" w:rsidRPr="00F75FD6" w:rsidP="00F75FD6" w14:paraId="29C9B32B" w14:textId="3BB5CB3F">
      <w:pPr>
        <w:rPr>
          <w:szCs w:val="24"/>
        </w:rPr>
      </w:pPr>
      <w:r w:rsidRPr="3D97B465">
        <w:rPr>
          <w:rFonts w:eastAsia="Times New Roman" w:cs="Times New Roman"/>
          <w:color w:val="000000" w:themeColor="text1"/>
        </w:rPr>
        <w:t>In addition to the emergency clearance, FMCSA will also complete the normal OMB review process</w:t>
      </w:r>
      <w:r w:rsidRPr="3D97B465" w:rsidR="00F30830">
        <w:rPr>
          <w:rFonts w:cs="Times New Roman"/>
        </w:rPr>
        <w:t xml:space="preserve"> by including the 60-Day Federal Register Notice in the relevant Interim Final Rule, </w:t>
      </w:r>
      <w:r w:rsidRPr="3D97B465" w:rsidR="00F30830">
        <w:rPr>
          <w:rFonts w:cs="Times New Roman"/>
        </w:rPr>
        <w:t>followed by publication of a 30-Day Federal Register Notice</w:t>
      </w:r>
      <w:r w:rsidRPr="3D97B465" w:rsidR="051F803A">
        <w:rPr>
          <w:rFonts w:cs="Times New Roman"/>
        </w:rPr>
        <w:t xml:space="preserve"> either as part of a Final Rule or in a separate Federal Register Notice</w:t>
      </w:r>
      <w:r w:rsidRPr="3D97B465">
        <w:rPr>
          <w:rFonts w:eastAsia="Times New Roman" w:cs="Times New Roman"/>
          <w:color w:val="000000" w:themeColor="text1"/>
        </w:rPr>
        <w:t>.</w:t>
      </w:r>
    </w:p>
    <w:p w:rsidR="00F75FD6" w:rsidRPr="00003B4B" w:rsidP="00F30830" w14:paraId="392F7436" w14:textId="77777777">
      <w:pPr>
        <w:rPr>
          <w:rFonts w:eastAsia="Times New Roman" w:cs="Times New Roman"/>
          <w:bCs/>
          <w:color w:val="000000"/>
          <w:szCs w:val="24"/>
        </w:rPr>
      </w:pPr>
    </w:p>
    <w:p w:rsidR="00003B4B" w:rsidRPr="00003B4B" w:rsidP="00003B4B" w14:paraId="375E9891" w14:textId="77777777">
      <w:pPr>
        <w:spacing w:after="160" w:line="259" w:lineRule="auto"/>
        <w:rPr>
          <w:rFonts w:eastAsia="Times New Roman" w:cs="Times New Roman"/>
          <w:b/>
          <w:color w:val="000000"/>
          <w:szCs w:val="24"/>
        </w:rPr>
      </w:pPr>
      <w:r w:rsidRPr="00003B4B">
        <w:rPr>
          <w:rFonts w:eastAsia="Times New Roman" w:cs="Times New Roman"/>
          <w:b/>
          <w:color w:val="000000"/>
          <w:szCs w:val="24"/>
        </w:rPr>
        <w:t>RECOMMENDATION</w:t>
      </w:r>
    </w:p>
    <w:p w:rsidR="00003B4B" w:rsidRPr="00003B4B" w:rsidP="3D97B465" w14:paraId="430FBFA1" w14:textId="1C4160E5">
      <w:pPr>
        <w:spacing w:after="160" w:line="259" w:lineRule="auto"/>
        <w:rPr>
          <w:rFonts w:eastAsia="Times New Roman" w:cs="Times New Roman"/>
          <w:color w:val="000000"/>
        </w:rPr>
      </w:pPr>
      <w:r w:rsidRPr="3D97B465">
        <w:rPr>
          <w:rFonts w:eastAsia="Times New Roman" w:cs="Times New Roman"/>
          <w:color w:val="000000" w:themeColor="text1"/>
        </w:rPr>
        <w:t xml:space="preserve">FMCSA recommends that OMB review and approve the new information collection to </w:t>
      </w:r>
      <w:r w:rsidRPr="3D97B465" w:rsidR="00F30830">
        <w:rPr>
          <w:rFonts w:eastAsia="Times New Roman" w:cs="Times New Roman"/>
          <w:color w:val="000000" w:themeColor="text1"/>
        </w:rPr>
        <w:t xml:space="preserve">support FMCSA’s new requirements to retain records related to the issuance of non-domiciled </w:t>
      </w:r>
      <w:r w:rsidRPr="3D97B465" w:rsidR="00F30830">
        <w:rPr>
          <w:rFonts w:cs="Times New Roman"/>
        </w:rPr>
        <w:t>CDLs</w:t>
      </w:r>
      <w:r w:rsidRPr="3D97B465">
        <w:rPr>
          <w:rFonts w:eastAsia="Times New Roman" w:cs="Times New Roman"/>
          <w:color w:val="000000" w:themeColor="text1"/>
        </w:rPr>
        <w:t xml:space="preserve">.  Due to FMCSA’s urgent need for this information to </w:t>
      </w:r>
      <w:r w:rsidRPr="3D97B465" w:rsidR="00F30830">
        <w:rPr>
          <w:rFonts w:eastAsia="Times New Roman" w:cs="Times New Roman"/>
          <w:color w:val="000000" w:themeColor="text1"/>
        </w:rPr>
        <w:t>comply with new requirements in the impending interim final rule</w:t>
      </w:r>
      <w:r w:rsidRPr="3D97B465">
        <w:rPr>
          <w:rFonts w:eastAsia="Times New Roman" w:cs="Times New Roman"/>
          <w:color w:val="000000" w:themeColor="text1"/>
        </w:rPr>
        <w:t>, FMCSA requests approval by</w:t>
      </w:r>
      <w:r w:rsidR="009B5FB8">
        <w:rPr>
          <w:rFonts w:eastAsia="Times New Roman" w:cs="Times New Roman"/>
          <w:color w:val="000000" w:themeColor="text1"/>
        </w:rPr>
        <w:t xml:space="preserve"> close-of-business on</w:t>
      </w:r>
      <w:r w:rsidRPr="3D97B465">
        <w:rPr>
          <w:rFonts w:eastAsia="Times New Roman" w:cs="Times New Roman"/>
          <w:color w:val="000000" w:themeColor="text1"/>
        </w:rPr>
        <w:t xml:space="preserve"> </w:t>
      </w:r>
      <w:r w:rsidRPr="3D97B465" w:rsidR="00F30830">
        <w:rPr>
          <w:rFonts w:eastAsia="Times New Roman" w:cs="Times New Roman"/>
          <w:color w:val="000000" w:themeColor="text1"/>
        </w:rPr>
        <w:t>September 17</w:t>
      </w:r>
      <w:r w:rsidRPr="3D97B465">
        <w:rPr>
          <w:rFonts w:eastAsia="Times New Roman" w:cs="Times New Roman"/>
          <w:color w:val="000000" w:themeColor="text1"/>
        </w:rPr>
        <w:t>, 202</w:t>
      </w:r>
      <w:r w:rsidRPr="3D97B465" w:rsidR="27178461">
        <w:rPr>
          <w:rFonts w:eastAsia="Times New Roman" w:cs="Times New Roman"/>
          <w:color w:val="000000" w:themeColor="text1"/>
        </w:rPr>
        <w:t>5</w:t>
      </w:r>
      <w:r w:rsidRPr="3D97B465">
        <w:rPr>
          <w:rFonts w:eastAsia="Times New Roman" w:cs="Times New Roman"/>
          <w:color w:val="000000" w:themeColor="text1"/>
        </w:rPr>
        <w:t xml:space="preserve">. This will allow FMCSA to begin collecting this information as soon as the </w:t>
      </w:r>
      <w:r w:rsidRPr="3D97B465" w:rsidR="00F30830">
        <w:rPr>
          <w:rFonts w:eastAsia="Times New Roman" w:cs="Times New Roman"/>
          <w:color w:val="000000" w:themeColor="text1"/>
        </w:rPr>
        <w:t>interim final rule is effective.</w:t>
      </w:r>
    </w:p>
    <w:p w:rsidR="00003B4B" w:rsidRPr="00003B4B" w:rsidP="00003B4B" w14:paraId="4E374BDE" w14:textId="77777777">
      <w:pPr>
        <w:spacing w:after="160" w:line="259" w:lineRule="auto"/>
        <w:rPr>
          <w:rFonts w:eastAsia="Times New Roman" w:cs="Times New Roman"/>
          <w:bCs/>
          <w:color w:val="000000"/>
          <w:szCs w:val="24"/>
        </w:rPr>
      </w:pPr>
      <w:r w:rsidRPr="00003B4B">
        <w:rPr>
          <w:rFonts w:eastAsia="Times New Roman" w:cs="Times New Roman"/>
          <w:bCs/>
          <w:color w:val="000000"/>
          <w:szCs w:val="24"/>
        </w:rPr>
        <w:t>Attachments</w:t>
      </w:r>
    </w:p>
    <w:p w:rsidR="00003B4B" w:rsidRPr="00003B4B" w:rsidP="00003B4B" w14:paraId="3A666F52" w14:textId="77777777">
      <w:pPr>
        <w:numPr>
          <w:ilvl w:val="0"/>
          <w:numId w:val="1"/>
        </w:numPr>
        <w:spacing w:after="160" w:line="259" w:lineRule="auto"/>
        <w:contextualSpacing/>
        <w:rPr>
          <w:rFonts w:cs="Times New Roman"/>
          <w:bCs/>
          <w:szCs w:val="24"/>
        </w:rPr>
      </w:pPr>
      <w:r w:rsidRPr="4574335B">
        <w:rPr>
          <w:rFonts w:cs="Times New Roman"/>
        </w:rPr>
        <w:t>Supporting Statement</w:t>
      </w:r>
    </w:p>
    <w:p w:rsidR="00003B4B" w:rsidRPr="00003B4B" w:rsidP="00003B4B" w14:paraId="79F2AEFE" w14:textId="77777777">
      <w:pPr>
        <w:spacing w:after="160" w:line="259" w:lineRule="auto"/>
        <w:rPr>
          <w:rFonts w:cs="Times New Roman"/>
          <w:bCs/>
          <w:szCs w:val="24"/>
          <w:u w:val="single"/>
        </w:rPr>
      </w:pPr>
    </w:p>
    <w:p w:rsidR="00003B4B" w:rsidRPr="00003B4B" w:rsidP="00003B4B" w14:paraId="6E30474C" w14:textId="77777777">
      <w:pPr>
        <w:spacing w:after="160" w:line="259" w:lineRule="auto"/>
        <w:rPr>
          <w:rFonts w:cs="Times New Roman"/>
          <w:bCs/>
          <w:szCs w:val="24"/>
          <w:u w:val="single"/>
        </w:rPr>
      </w:pPr>
      <w:r w:rsidRPr="00003B4B">
        <w:rPr>
          <w:rFonts w:cs="Times New Roman"/>
          <w:bCs/>
          <w:szCs w:val="24"/>
          <w:u w:val="single"/>
        </w:rPr>
        <w:t>The Office of Management and Budget</w:t>
      </w:r>
    </w:p>
    <w:p w:rsidR="00003B4B" w:rsidRPr="00003B4B" w:rsidP="00003B4B" w14:paraId="4D2C26B8" w14:textId="77777777">
      <w:pPr>
        <w:spacing w:after="160" w:line="259" w:lineRule="auto"/>
        <w:rPr>
          <w:rFonts w:cs="Times New Roman"/>
          <w:bCs/>
          <w:szCs w:val="24"/>
        </w:rPr>
      </w:pPr>
      <w:r w:rsidRPr="00003B4B">
        <w:rPr>
          <w:rFonts w:cs="Times New Roman"/>
          <w:bCs/>
          <w:szCs w:val="24"/>
        </w:rPr>
        <w:t>APPROVED: ____________________________</w:t>
      </w:r>
    </w:p>
    <w:p w:rsidR="00003B4B" w:rsidRPr="00003B4B" w:rsidP="00003B4B" w14:paraId="31D64147" w14:textId="77777777">
      <w:pPr>
        <w:spacing w:after="160" w:line="259" w:lineRule="auto"/>
        <w:rPr>
          <w:rFonts w:cs="Times New Roman"/>
          <w:bCs/>
          <w:szCs w:val="24"/>
        </w:rPr>
      </w:pPr>
      <w:r w:rsidRPr="00003B4B">
        <w:rPr>
          <w:rFonts w:cs="Times New Roman"/>
          <w:bCs/>
          <w:szCs w:val="24"/>
        </w:rPr>
        <w:t>DISAPPROVED: _________________________</w:t>
      </w:r>
    </w:p>
    <w:p w:rsidR="00003B4B" w:rsidRPr="00003B4B" w:rsidP="00003B4B" w14:paraId="039311DF" w14:textId="77777777">
      <w:pPr>
        <w:spacing w:after="160" w:line="259" w:lineRule="auto"/>
        <w:rPr>
          <w:rFonts w:cs="Times New Roman"/>
          <w:bCs/>
          <w:szCs w:val="24"/>
        </w:rPr>
      </w:pPr>
      <w:r w:rsidRPr="00003B4B">
        <w:rPr>
          <w:rFonts w:cs="Times New Roman"/>
          <w:bCs/>
          <w:szCs w:val="24"/>
        </w:rPr>
        <w:t>COMMENTS: ___________________________</w:t>
      </w:r>
    </w:p>
    <w:p w:rsidR="00003B4B" w:rsidRPr="00003B4B" w:rsidP="00003B4B" w14:paraId="3C2139A8" w14:textId="77777777">
      <w:pPr>
        <w:spacing w:after="160" w:line="259" w:lineRule="auto"/>
        <w:rPr>
          <w:rFonts w:cs="Times New Roman"/>
          <w:bCs/>
          <w:szCs w:val="24"/>
        </w:rPr>
      </w:pPr>
      <w:r w:rsidRPr="00003B4B">
        <w:rPr>
          <w:rFonts w:cs="Times New Roman"/>
          <w:bCs/>
          <w:szCs w:val="24"/>
        </w:rPr>
        <w:t>DATE: _________________________________</w:t>
      </w:r>
    </w:p>
    <w:p w:rsidR="00003B4B" w:rsidRPr="00003B4B" w:rsidP="00003B4B" w14:paraId="61ADAADC" w14:textId="77777777">
      <w:pPr>
        <w:spacing w:after="160" w:line="259" w:lineRule="auto"/>
        <w:rPr>
          <w:rFonts w:cs="Times New Roman"/>
          <w:bCs/>
          <w:szCs w:val="24"/>
        </w:rPr>
      </w:pPr>
    </w:p>
    <w:p w:rsidR="008B1431" w:rsidP="008B1431" w14:paraId="16BCE073" w14:textId="77777777">
      <w:pPr>
        <w:rPr>
          <w:rFonts w:cs="Times New Roman"/>
        </w:rPr>
      </w:pPr>
    </w:p>
    <w:sectPr w:rsidSect="00CD43C5">
      <w:headerReference w:type="default" r:id="rId5"/>
      <w:footerReference w:type="default" r:id="rId6"/>
      <w:pgSz w:w="12240" w:h="15840" w:code="1"/>
      <w:pgMar w:top="72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6C2D" w:rsidRPr="00AB2D53" w:rsidP="00AB2D53" w14:paraId="42716637" w14:textId="77777777">
    <w:pPr>
      <w:tabs>
        <w:tab w:val="right" w:pos="-216"/>
        <w:tab w:val="left" w:pos="-180"/>
        <w:tab w:val="right" w:pos="-90"/>
        <w:tab w:val="right" w:pos="6624"/>
        <w:tab w:val="left" w:pos="6768"/>
      </w:tabs>
      <w:jc w:val="center"/>
      <w:rPr>
        <w:sz w:val="16"/>
        <w:szCs w:val="16"/>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6C2D" w14:paraId="08E15446" w14:textId="77777777">
    <w:pPr>
      <w:pStyle w:val="Header"/>
      <w:jc w:val="right"/>
    </w:pPr>
    <w:r>
      <w:t xml:space="preserve">Page </w:t>
    </w:r>
    <w:r>
      <w:fldChar w:fldCharType="begin"/>
    </w:r>
    <w:r>
      <w:instrText xml:space="preserve"> PAGE   \* MERGEFORMAT </w:instrText>
    </w:r>
    <w:r>
      <w:fldChar w:fldCharType="separate"/>
    </w:r>
    <w:r w:rsidR="008B1431">
      <w:rPr>
        <w:noProof/>
      </w:rPr>
      <w:t>2</w:t>
    </w:r>
    <w:r>
      <w:fldChar w:fldCharType="end"/>
    </w:r>
  </w:p>
  <w:p w:rsidR="00566C2D" w14:paraId="476AC76A" w14:textId="77777777">
    <w:pPr>
      <w:pStyle w:val="Header"/>
    </w:pPr>
  </w:p>
  <w:p w:rsidR="00566C2D" w14:paraId="6670FA0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C102DFB"/>
    <w:multiLevelType w:val="hybridMultilevel"/>
    <w:tmpl w:val="0F5448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6E10277D"/>
    <w:multiLevelType w:val="hybridMultilevel"/>
    <w:tmpl w:val="BA9EBC04"/>
    <w:lvl w:ilvl="0">
      <w:start w:val="1"/>
      <w:numFmt w:val="decimal"/>
      <w:lvlText w:val="%1."/>
      <w:lvlJc w:val="left"/>
      <w:pPr>
        <w:ind w:left="1080" w:hanging="360"/>
      </w:pPr>
      <w:rPr>
        <w:rFonts w:ascii="Times New Roman" w:eastAsia="Times New Roman" w:hAnsi="Times New Roman" w:cs="Times New Roman" w:hint="default"/>
        <w:color w:val="000000"/>
        <w:sz w:val="23"/>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529104662">
    <w:abstractNumId w:val="1"/>
  </w:num>
  <w:num w:numId="2" w16cid:durableId="836075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17E"/>
    <w:rsid w:val="00003B4B"/>
    <w:rsid w:val="0006164E"/>
    <w:rsid w:val="000B4F49"/>
    <w:rsid w:val="00133A9B"/>
    <w:rsid w:val="001D5EC6"/>
    <w:rsid w:val="001F3225"/>
    <w:rsid w:val="00217525"/>
    <w:rsid w:val="0022313A"/>
    <w:rsid w:val="00227527"/>
    <w:rsid w:val="0026725E"/>
    <w:rsid w:val="00294E00"/>
    <w:rsid w:val="002A27D6"/>
    <w:rsid w:val="002A31E9"/>
    <w:rsid w:val="002B194E"/>
    <w:rsid w:val="003B5557"/>
    <w:rsid w:val="003B684C"/>
    <w:rsid w:val="00416387"/>
    <w:rsid w:val="00426FE2"/>
    <w:rsid w:val="00433CB1"/>
    <w:rsid w:val="004A6033"/>
    <w:rsid w:val="005049A5"/>
    <w:rsid w:val="0055487E"/>
    <w:rsid w:val="00566C2D"/>
    <w:rsid w:val="0057072E"/>
    <w:rsid w:val="00583D1C"/>
    <w:rsid w:val="005B7273"/>
    <w:rsid w:val="005D4D8D"/>
    <w:rsid w:val="00603DF6"/>
    <w:rsid w:val="00636A25"/>
    <w:rsid w:val="006C65FA"/>
    <w:rsid w:val="006E1910"/>
    <w:rsid w:val="00766551"/>
    <w:rsid w:val="007848C7"/>
    <w:rsid w:val="007E281F"/>
    <w:rsid w:val="00823316"/>
    <w:rsid w:val="00834AD5"/>
    <w:rsid w:val="00837FCD"/>
    <w:rsid w:val="00875E8A"/>
    <w:rsid w:val="008B1431"/>
    <w:rsid w:val="0095173D"/>
    <w:rsid w:val="009B5FB8"/>
    <w:rsid w:val="00A46AFD"/>
    <w:rsid w:val="00A66306"/>
    <w:rsid w:val="00AB2D53"/>
    <w:rsid w:val="00AD3D1F"/>
    <w:rsid w:val="00AD55C0"/>
    <w:rsid w:val="00CD43C5"/>
    <w:rsid w:val="00D2286A"/>
    <w:rsid w:val="00D2317E"/>
    <w:rsid w:val="00D26DFD"/>
    <w:rsid w:val="00D91AB5"/>
    <w:rsid w:val="00E36838"/>
    <w:rsid w:val="00EA1DDD"/>
    <w:rsid w:val="00F30830"/>
    <w:rsid w:val="00F75FD6"/>
    <w:rsid w:val="051F803A"/>
    <w:rsid w:val="0D0FDF2C"/>
    <w:rsid w:val="119BC8D3"/>
    <w:rsid w:val="141B8EBE"/>
    <w:rsid w:val="1D93EA78"/>
    <w:rsid w:val="1F9E269F"/>
    <w:rsid w:val="27178461"/>
    <w:rsid w:val="283910C2"/>
    <w:rsid w:val="2F8D23A4"/>
    <w:rsid w:val="326DA9CE"/>
    <w:rsid w:val="3D97B465"/>
    <w:rsid w:val="4568150C"/>
    <w:rsid w:val="4574335B"/>
    <w:rsid w:val="4AB7F673"/>
    <w:rsid w:val="4C8AE8E2"/>
    <w:rsid w:val="4DD1C44A"/>
    <w:rsid w:val="53346EA2"/>
    <w:rsid w:val="564C17DA"/>
    <w:rsid w:val="703461A6"/>
    <w:rsid w:val="70E3B410"/>
    <w:rsid w:val="722E4239"/>
    <w:rsid w:val="74B37C96"/>
    <w:rsid w:val="7832B864"/>
    <w:rsid w:val="7DA4139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EC8F92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317E"/>
    <w:pPr>
      <w:tabs>
        <w:tab w:val="center" w:pos="4680"/>
        <w:tab w:val="right" w:pos="9360"/>
      </w:tabs>
    </w:pPr>
  </w:style>
  <w:style w:type="character" w:customStyle="1" w:styleId="HeaderChar">
    <w:name w:val="Header Char"/>
    <w:basedOn w:val="DefaultParagraphFont"/>
    <w:link w:val="Header"/>
    <w:uiPriority w:val="99"/>
    <w:rsid w:val="00D2317E"/>
  </w:style>
  <w:style w:type="paragraph" w:styleId="Revision">
    <w:name w:val="Revision"/>
    <w:hidden/>
    <w:uiPriority w:val="99"/>
    <w:semiHidden/>
    <w:rsid w:val="0095173D"/>
  </w:style>
  <w:style w:type="character" w:styleId="CommentReference">
    <w:name w:val="annotation reference"/>
    <w:basedOn w:val="DefaultParagraphFont"/>
    <w:uiPriority w:val="99"/>
    <w:semiHidden/>
    <w:unhideWhenUsed/>
    <w:rsid w:val="00217525"/>
    <w:rPr>
      <w:sz w:val="16"/>
      <w:szCs w:val="16"/>
    </w:rPr>
  </w:style>
  <w:style w:type="paragraph" w:styleId="CommentText">
    <w:name w:val="annotation text"/>
    <w:basedOn w:val="Normal"/>
    <w:link w:val="CommentTextChar"/>
    <w:uiPriority w:val="99"/>
    <w:unhideWhenUsed/>
    <w:rsid w:val="00217525"/>
    <w:rPr>
      <w:sz w:val="20"/>
      <w:szCs w:val="20"/>
    </w:rPr>
  </w:style>
  <w:style w:type="character" w:customStyle="1" w:styleId="CommentTextChar">
    <w:name w:val="Comment Text Char"/>
    <w:basedOn w:val="DefaultParagraphFont"/>
    <w:link w:val="CommentText"/>
    <w:uiPriority w:val="99"/>
    <w:rsid w:val="00217525"/>
    <w:rPr>
      <w:sz w:val="20"/>
      <w:szCs w:val="20"/>
    </w:rPr>
  </w:style>
  <w:style w:type="paragraph" w:styleId="CommentSubject">
    <w:name w:val="annotation subject"/>
    <w:basedOn w:val="CommentText"/>
    <w:next w:val="CommentText"/>
    <w:link w:val="CommentSubjectChar"/>
    <w:uiPriority w:val="99"/>
    <w:semiHidden/>
    <w:unhideWhenUsed/>
    <w:rsid w:val="00217525"/>
    <w:rPr>
      <w:b/>
      <w:bCs/>
    </w:rPr>
  </w:style>
  <w:style w:type="character" w:customStyle="1" w:styleId="CommentSubjectChar">
    <w:name w:val="Comment Subject Char"/>
    <w:basedOn w:val="CommentTextChar"/>
    <w:link w:val="CommentSubject"/>
    <w:uiPriority w:val="99"/>
    <w:semiHidden/>
    <w:rsid w:val="00217525"/>
    <w:rPr>
      <w:b/>
      <w:bCs/>
      <w:sz w:val="20"/>
      <w:szCs w:val="20"/>
    </w:rPr>
  </w:style>
  <w:style w:type="paragraph" w:styleId="ListParagraph">
    <w:name w:val="List Paragraph"/>
    <w:basedOn w:val="Normal"/>
    <w:uiPriority w:val="34"/>
    <w:qFormat/>
    <w:rsid w:val="00837FCD"/>
    <w:pPr>
      <w:ind w:left="720"/>
      <w:contextualSpacing/>
    </w:pPr>
  </w:style>
  <w:style w:type="paragraph" w:customStyle="1" w:styleId="indent-1">
    <w:name w:val="indent-1"/>
    <w:basedOn w:val="Normal"/>
    <w:rsid w:val="00583D1C"/>
    <w:pPr>
      <w:spacing w:before="100" w:beforeAutospacing="1" w:after="100" w:afterAutospacing="1"/>
    </w:pPr>
    <w:rPr>
      <w:rFonts w:eastAsia="Times New Roman" w:cs="Times New Roman"/>
      <w:szCs w:val="24"/>
    </w:rPr>
  </w:style>
  <w:style w:type="character" w:customStyle="1" w:styleId="paragraph-hierarchy">
    <w:name w:val="paragraph-hierarchy"/>
    <w:basedOn w:val="DefaultParagraphFont"/>
    <w:rsid w:val="00583D1C"/>
  </w:style>
  <w:style w:type="character" w:customStyle="1" w:styleId="paren">
    <w:name w:val="paren"/>
    <w:basedOn w:val="DefaultParagraphFont"/>
    <w:rsid w:val="00583D1C"/>
  </w:style>
  <w:style w:type="paragraph" w:styleId="Footer">
    <w:name w:val="footer"/>
    <w:basedOn w:val="Normal"/>
    <w:link w:val="FooterChar"/>
    <w:uiPriority w:val="99"/>
    <w:unhideWhenUsed/>
    <w:rsid w:val="00A66306"/>
    <w:pPr>
      <w:tabs>
        <w:tab w:val="center" w:pos="4680"/>
        <w:tab w:val="right" w:pos="9360"/>
      </w:tabs>
    </w:pPr>
  </w:style>
  <w:style w:type="character" w:customStyle="1" w:styleId="FooterChar">
    <w:name w:val="Footer Char"/>
    <w:basedOn w:val="DefaultParagraphFont"/>
    <w:link w:val="Footer"/>
    <w:uiPriority w:val="99"/>
    <w:rsid w:val="00A663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1008</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2025-09-25T19:23:00Z</dcterms:created>
  <dcterms:modified xsi:type="dcterms:W3CDTF">2025-09-25T19:23:00Z</dcterms:modified>
</cp:coreProperties>
</file>