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051B" w:rsidP="0039051B" w14:paraId="250FEAFE" w14:textId="77777777">
      <w:pPr>
        <w:pStyle w:val="paragraph"/>
        <w:spacing w:before="0" w:beforeAutospacing="0" w:after="0" w:afterAutospacing="0"/>
        <w:jc w:val="center"/>
        <w:textAlignment w:val="baseline"/>
        <w:rPr>
          <w:rFonts w:ascii="Segoe UI" w:hAnsi="Segoe UI" w:cs="Segoe UI"/>
          <w:sz w:val="18"/>
          <w:szCs w:val="18"/>
        </w:rPr>
      </w:pPr>
      <w:bookmarkStart w:id="0" w:name="_Ref510533456"/>
      <w:bookmarkStart w:id="1" w:name="_Toc125447290"/>
      <w:bookmarkStart w:id="2" w:name="_Toc126394118"/>
      <w:r>
        <w:rPr>
          <w:rStyle w:val="normaltextrun"/>
          <w:b/>
          <w:bCs/>
        </w:rPr>
        <w:t>Department of Transportation </w:t>
      </w:r>
      <w:r>
        <w:rPr>
          <w:rStyle w:val="eop"/>
        </w:rPr>
        <w:t> </w:t>
      </w:r>
    </w:p>
    <w:p w:rsidR="0039051B" w:rsidP="0039051B" w14:paraId="2B552CAA" w14:textId="77777777">
      <w:pPr>
        <w:jc w:val="center"/>
        <w:rPr>
          <w:b/>
          <w:bCs/>
        </w:rPr>
      </w:pPr>
      <w:r>
        <w:rPr>
          <w:rStyle w:val="normaltextrun"/>
          <w:b/>
          <w:bCs/>
        </w:rPr>
        <w:t>National Highway Traffic Safety Administration</w:t>
      </w:r>
      <w:r>
        <w:rPr>
          <w:rStyle w:val="eop"/>
        </w:rPr>
        <w:t> </w:t>
      </w:r>
      <w:r w:rsidRPr="005B647F">
        <w:rPr>
          <w:b/>
          <w:bCs/>
        </w:rPr>
        <w:t xml:space="preserve"> </w:t>
      </w:r>
    </w:p>
    <w:p w:rsidR="00891CC6" w:rsidRPr="005B647F" w:rsidP="0039051B" w14:paraId="1945ED79" w14:textId="4FAC9822">
      <w:pPr>
        <w:jc w:val="center"/>
        <w:rPr>
          <w:b/>
          <w:bCs/>
        </w:rPr>
      </w:pPr>
      <w:r w:rsidRPr="005B647F">
        <w:rPr>
          <w:b/>
          <w:bCs/>
        </w:rPr>
        <w:t>I</w:t>
      </w:r>
      <w:r>
        <w:rPr>
          <w:b/>
          <w:bCs/>
        </w:rPr>
        <w:t xml:space="preserve">nformation </w:t>
      </w:r>
      <w:r w:rsidRPr="005B647F" w:rsidR="00251258">
        <w:rPr>
          <w:b/>
          <w:bCs/>
        </w:rPr>
        <w:t>C</w:t>
      </w:r>
      <w:r>
        <w:rPr>
          <w:b/>
          <w:bCs/>
        </w:rPr>
        <w:t xml:space="preserve">ollection </w:t>
      </w:r>
      <w:r w:rsidRPr="005B647F" w:rsidR="00251258">
        <w:rPr>
          <w:b/>
          <w:bCs/>
        </w:rPr>
        <w:t>R</w:t>
      </w:r>
      <w:r>
        <w:rPr>
          <w:b/>
          <w:bCs/>
        </w:rPr>
        <w:t>equest</w:t>
      </w:r>
      <w:r w:rsidRPr="005B647F" w:rsidR="00251258">
        <w:rPr>
          <w:b/>
          <w:bCs/>
        </w:rPr>
        <w:t xml:space="preserve"> </w:t>
      </w:r>
      <w:r w:rsidRPr="005B647F">
        <w:rPr>
          <w:b/>
          <w:bCs/>
        </w:rPr>
        <w:t>Supporting Statement</w:t>
      </w:r>
      <w:r w:rsidRPr="005B647F" w:rsidR="007B5553">
        <w:rPr>
          <w:b/>
          <w:bCs/>
        </w:rPr>
        <w:t>:</w:t>
      </w:r>
      <w:r w:rsidRPr="005B647F">
        <w:rPr>
          <w:b/>
          <w:bCs/>
        </w:rPr>
        <w:t xml:space="preserve"> </w:t>
      </w:r>
      <w:bookmarkEnd w:id="0"/>
      <w:r w:rsidRPr="005B647F" w:rsidR="005B647F">
        <w:rPr>
          <w:b/>
          <w:bCs/>
        </w:rPr>
        <w:t xml:space="preserve">Part </w:t>
      </w:r>
      <w:r w:rsidRPr="005B647F" w:rsidR="008F6AE1">
        <w:rPr>
          <w:b/>
          <w:bCs/>
        </w:rPr>
        <w:t>B</w:t>
      </w:r>
    </w:p>
    <w:bookmarkEnd w:id="1"/>
    <w:bookmarkEnd w:id="2"/>
    <w:p w:rsidR="007541B0" w:rsidP="007541B0" w14:paraId="75DA8C84" w14:textId="1048ED1F">
      <w:pPr>
        <w:spacing w:line="240" w:lineRule="auto"/>
        <w:jc w:val="center"/>
        <w:rPr>
          <w:b/>
          <w:bCs/>
          <w:i/>
        </w:rPr>
      </w:pPr>
      <w:r>
        <w:rPr>
          <w:b/>
          <w:bCs/>
          <w:i/>
        </w:rPr>
        <w:t>Assessing the Fit and Comfort of Motorcycle Safety Gear</w:t>
      </w:r>
    </w:p>
    <w:p w:rsidR="007541B0" w:rsidP="007541B0" w14:paraId="39034FCC" w14:textId="17AABFE1">
      <w:pPr>
        <w:spacing w:line="240" w:lineRule="auto"/>
        <w:jc w:val="center"/>
        <w:rPr>
          <w:b/>
          <w:bCs/>
          <w:iCs/>
        </w:rPr>
      </w:pPr>
      <w:r w:rsidRPr="001D6012">
        <w:rPr>
          <w:b/>
          <w:bCs/>
          <w:iCs/>
          <w:highlight w:val="yellow"/>
        </w:rPr>
        <w:t>OMB Control Number: 2127-XXXX (new)</w:t>
      </w:r>
    </w:p>
    <w:p w:rsidR="007541B0" w:rsidRPr="007541B0" w:rsidP="007541B0" w14:paraId="423247A6" w14:textId="77777777">
      <w:pPr>
        <w:spacing w:line="240" w:lineRule="auto"/>
        <w:jc w:val="center"/>
        <w:rPr>
          <w:b/>
          <w:bCs/>
          <w:iCs/>
        </w:rPr>
      </w:pPr>
    </w:p>
    <w:p w:rsidR="005C0C85" w:rsidP="004D718A" w14:paraId="55A7FA00" w14:textId="6F3044F9">
      <w:pPr>
        <w:spacing w:after="120" w:line="240" w:lineRule="auto"/>
      </w:pPr>
      <w:bookmarkStart w:id="3" w:name="_Hlk179464261"/>
      <w:r w:rsidRPr="00CB136F">
        <w:rPr>
          <w:i/>
        </w:rPr>
        <w:t>Abstract:</w:t>
      </w:r>
      <w:r>
        <w:rPr>
          <w:rStyle w:val="FootnoteReference"/>
        </w:rPr>
        <w:footnoteReference w:id="3"/>
      </w:r>
      <w:r w:rsidRPr="00CB136F">
        <w:t xml:space="preserve"> </w:t>
      </w:r>
      <w:bookmarkStart w:id="4" w:name="_Hlk180066697"/>
      <w:r>
        <w:t xml:space="preserve">NHTSA is seeking approval from OMB for a new information collection request to assess the fit, comfort, and preference of motorcyclists’ safety gear. </w:t>
      </w:r>
      <w:r w:rsidRPr="00AE11E0">
        <w:t xml:space="preserve">The proposed study aims to address the pressing need to understand the relationship between the fit and comfort of personal protective </w:t>
      </w:r>
      <w:r w:rsidR="00EE53BA">
        <w:t xml:space="preserve">motorcycle </w:t>
      </w:r>
      <w:r w:rsidRPr="00AE11E0">
        <w:t xml:space="preserve">gear and the decision to use gear. </w:t>
      </w:r>
      <w:r>
        <w:t xml:space="preserve">This information collection will be a one-time voluntary collection involving assessments of motorcycle safety gear (i.e., footwear, gloves, helmets, jackets, and pants). </w:t>
      </w:r>
    </w:p>
    <w:p w:rsidR="005C0C85" w:rsidP="004D718A" w14:paraId="282EAD0A" w14:textId="2C2715BB">
      <w:pPr>
        <w:spacing w:after="120" w:line="240" w:lineRule="auto"/>
      </w:pPr>
      <w:r>
        <w:t>In 2022,</w:t>
      </w:r>
      <w:r w:rsidRPr="005F55A2">
        <w:rPr>
          <w:rStyle w:val="FootnoteReference"/>
        </w:rPr>
        <w:t xml:space="preserve"> </w:t>
      </w:r>
      <w:r>
        <w:t xml:space="preserve">there were 6,218 </w:t>
      </w:r>
      <w:r w:rsidRPr="00444965">
        <w:t>motorcyclist</w:t>
      </w:r>
      <w:r>
        <w:t>s killed in traffic crashes, comprising 15 percent of all traffic fatalities</w:t>
      </w:r>
      <w:r w:rsidR="009B5E26">
        <w:t xml:space="preserve"> and</w:t>
      </w:r>
      <w:r w:rsidR="004D718A">
        <w:t xml:space="preserve"> </w:t>
      </w:r>
      <w:r w:rsidR="00044558">
        <w:t>19 percent of all motor vehicle occupant (driver and passenger) fatalities,</w:t>
      </w:r>
      <w:r>
        <w:t xml:space="preserve"> representing a fatality rate p</w:t>
      </w:r>
      <w:r w:rsidRPr="004403F2">
        <w:t xml:space="preserve">er vehicle miles traveled </w:t>
      </w:r>
      <w:r>
        <w:t xml:space="preserve">nearly </w:t>
      </w:r>
      <w:r w:rsidRPr="004403F2">
        <w:t xml:space="preserve">22 times </w:t>
      </w:r>
      <w:r>
        <w:t xml:space="preserve">that of </w:t>
      </w:r>
      <w:r w:rsidRPr="004403F2">
        <w:t>passenger car occupant</w:t>
      </w:r>
      <w:r>
        <w:t>s.</w:t>
      </w:r>
      <w:r>
        <w:rPr>
          <w:rStyle w:val="FootnoteReference"/>
        </w:rPr>
        <w:footnoteReference w:id="4"/>
      </w:r>
      <w:r w:rsidRPr="00BB359B">
        <w:t xml:space="preserve"> </w:t>
      </w:r>
      <w:r>
        <w:t>These findings demonstrate the inherent risk of motorcycle riding and highlight the importance of wearing personal protective gear. Nonetheless, not all motorcyclists use gear on every ride.</w:t>
      </w:r>
    </w:p>
    <w:p w:rsidR="005C0C85" w:rsidP="004D718A" w14:paraId="21B126B6" w14:textId="0F32D685">
      <w:pPr>
        <w:spacing w:after="120" w:line="240" w:lineRule="auto"/>
      </w:pPr>
      <w:r>
        <w:t xml:space="preserve">There are many reasons why a motorcycle rider may not wear protective gear, such as a sense of </w:t>
      </w:r>
      <w:r w:rsidRPr="009B5E26" w:rsidR="009B5E26">
        <w:t>“personal freedom,”</w:t>
      </w:r>
      <w:r w:rsidR="009B5E26">
        <w:t xml:space="preserve"> “</w:t>
      </w:r>
      <w:r>
        <w:t>It’s more fun to ride without a helmet,” skepticism about the protective value of helmets, and the discomfort of wearing a helmet.</w:t>
      </w:r>
      <w:r>
        <w:rPr>
          <w:rStyle w:val="FootnoteReference"/>
        </w:rPr>
        <w:footnoteReference w:id="5"/>
      </w:r>
      <w:r>
        <w:t xml:space="preserve"> Even when protective gear is worn, ill-fitting gear or improperly worn gear could compromise protection. </w:t>
      </w:r>
      <w:r w:rsidRPr="00425A10">
        <w:t xml:space="preserve">NHTSA provides specific information on its website </w:t>
      </w:r>
      <w:r>
        <w:t xml:space="preserve">about </w:t>
      </w:r>
      <w:r w:rsidRPr="00425A10">
        <w:t xml:space="preserve">finding the right fit </w:t>
      </w:r>
      <w:r>
        <w:t xml:space="preserve">and identifying unsafe helmets, but the extent to which motorcyclists wear helmets that fit and are worn safely is unknown. Additionally, </w:t>
      </w:r>
      <w:r w:rsidR="002D320E">
        <w:t xml:space="preserve">the </w:t>
      </w:r>
      <w:r w:rsidRPr="002D320E" w:rsidR="002D320E">
        <w:t>requirements for an effective fit</w:t>
      </w:r>
      <w:r w:rsidRPr="001854EA">
        <w:t xml:space="preserve"> may vary </w:t>
      </w:r>
      <w:r>
        <w:t>by</w:t>
      </w:r>
      <w:r w:rsidRPr="001854EA">
        <w:t xml:space="preserve"> </w:t>
      </w:r>
      <w:r w:rsidR="00044558">
        <w:t xml:space="preserve">the type of </w:t>
      </w:r>
      <w:r w:rsidRPr="001854EA">
        <w:t>motorcycle</w:t>
      </w:r>
      <w:r w:rsidR="005B4C9A">
        <w:t>,</w:t>
      </w:r>
      <w:r w:rsidRPr="001854EA">
        <w:t xml:space="preserve"> riding style</w:t>
      </w:r>
      <w:r w:rsidR="00044558">
        <w:t xml:space="preserve">, </w:t>
      </w:r>
      <w:r w:rsidR="005B4C9A">
        <w:t>and</w:t>
      </w:r>
      <w:r w:rsidRPr="001854EA">
        <w:t xml:space="preserve"> riding positions</w:t>
      </w:r>
      <w:r w:rsidR="002D320E">
        <w:t>.</w:t>
      </w:r>
      <w:r>
        <w:t xml:space="preserve">  </w:t>
      </w:r>
    </w:p>
    <w:p w:rsidR="005C0C85" w:rsidP="004D718A" w14:paraId="2426D1EF" w14:textId="77777777">
      <w:pPr>
        <w:spacing w:after="120" w:line="240" w:lineRule="auto"/>
      </w:pPr>
      <w:r w:rsidRPr="00BA42A9">
        <w:t xml:space="preserve">To encourage greater </w:t>
      </w:r>
      <w:r>
        <w:t xml:space="preserve">and proper </w:t>
      </w:r>
      <w:r w:rsidRPr="00BA42A9">
        <w:t xml:space="preserve">usage of </w:t>
      </w:r>
      <w:r>
        <w:t>protective</w:t>
      </w:r>
      <w:r w:rsidRPr="00BA42A9">
        <w:t xml:space="preserve"> gear, it is crucial to understand the factors contributing to non-</w:t>
      </w:r>
      <w:r>
        <w:t>adherence to</w:t>
      </w:r>
      <w:r w:rsidRPr="00BA42A9">
        <w:t xml:space="preserve"> safety recommendations. </w:t>
      </w:r>
      <w:r>
        <w:t>NHTSA is conducting this study to i</w:t>
      </w:r>
      <w:r w:rsidRPr="00BA42A9">
        <w:t>nvestigat</w:t>
      </w:r>
      <w:r>
        <w:t>e</w:t>
      </w:r>
      <w:r w:rsidRPr="00BA42A9">
        <w:t xml:space="preserve"> riders' beliefs, attitudes, and perceptions regarding gear fit and comfort</w:t>
      </w:r>
      <w:r>
        <w:t>, and to assess the fit and comfort of gear in use.</w:t>
      </w:r>
      <w:r w:rsidRPr="00BA42A9">
        <w:t xml:space="preserve"> </w:t>
      </w:r>
    </w:p>
    <w:p w:rsidR="005C0C85" w:rsidP="004D718A" w14:paraId="0050920C" w14:textId="0B8E8A39">
      <w:pPr>
        <w:spacing w:after="120" w:line="240" w:lineRule="auto"/>
      </w:pPr>
      <w:r w:rsidRPr="00CD1E6A">
        <w:t xml:space="preserve">The study </w:t>
      </w:r>
      <w:r>
        <w:t>plans</w:t>
      </w:r>
      <w:r w:rsidRPr="00CD1E6A">
        <w:t xml:space="preserve"> </w:t>
      </w:r>
      <w:r>
        <w:t xml:space="preserve">to screen 1,250 riders to reach the targeted 625 study participants with </w:t>
      </w:r>
      <w:r w:rsidRPr="00CD1E6A">
        <w:t xml:space="preserve">an equal number of riders </w:t>
      </w:r>
      <w:r>
        <w:t xml:space="preserve">of </w:t>
      </w:r>
      <w:r w:rsidRPr="00CD1E6A">
        <w:t xml:space="preserve">standard, cruiser, sport, and </w:t>
      </w:r>
      <w:r>
        <w:t>adventure/</w:t>
      </w:r>
      <w:r w:rsidRPr="00CD1E6A">
        <w:t xml:space="preserve">touring motorcycles </w:t>
      </w:r>
      <w:r>
        <w:t xml:space="preserve">and seated motor </w:t>
      </w:r>
      <w:r w:rsidRPr="00CD1E6A">
        <w:t>scooters</w:t>
      </w:r>
      <w:r w:rsidR="007A2E07">
        <w:t>;</w:t>
      </w:r>
      <w:r>
        <w:t xml:space="preserve"> </w:t>
      </w:r>
      <w:r w:rsidRPr="001763A4">
        <w:t xml:space="preserve">gather information </w:t>
      </w:r>
      <w:r>
        <w:t xml:space="preserve">about the </w:t>
      </w:r>
      <w:r w:rsidRPr="001763A4">
        <w:t xml:space="preserve">protective gear </w:t>
      </w:r>
      <w:r>
        <w:t>the riders use</w:t>
      </w:r>
      <w:r w:rsidR="007A2E07">
        <w:t>;</w:t>
      </w:r>
      <w:r>
        <w:t xml:space="preserve"> and assess the fit and comfort of the gear. </w:t>
      </w:r>
      <w:r w:rsidR="00E8532F">
        <w:t xml:space="preserve">Participation </w:t>
      </w:r>
      <w:r w:rsidRPr="00894B87">
        <w:t>will be voluntary and anonymous</w:t>
      </w:r>
      <w:r>
        <w:t xml:space="preserve">. </w:t>
      </w:r>
    </w:p>
    <w:p w:rsidR="0024147C" w:rsidRPr="0024147C" w:rsidP="0024147C" w14:paraId="0893EC3C" w14:textId="77777777">
      <w:pPr>
        <w:pStyle w:val="Default"/>
        <w:spacing w:after="120"/>
        <w:rPr>
          <w:rFonts w:ascii="Times New Roman" w:hAnsi="Times New Roman" w:cs="Times New Roman"/>
        </w:rPr>
      </w:pPr>
      <w:r w:rsidRPr="0024147C">
        <w:rPr>
          <w:rFonts w:ascii="Times New Roman" w:hAnsi="Times New Roman" w:cs="Times New Roman"/>
        </w:rPr>
        <w:t>Participants will be recruited at locations where riders gather such as rallies, and other organized social or training events. Study staff will observe gear worn by riders, assess the fit of one type of gear (i.e., footwear, gloves, helmet, jacket, or pants) per participant, and ask riders for their opinions about the fit and comfort of the gear type of interest (one type of gear per participant). Additionally, study staff will use a tablet to show participants a series of images of examples of the gear type of interest that range in protective value (e.g., half helmet, full-face helmet); the examples will include a description of the item (e.g., composition material, ventilation/waterproof features) but not the brand name. Participants will rate each example in terms of its perceived protection and the likelihood they would use or purchase it. The intention of this collection is to learn about the experiences and perceptions of riders regarding gear. The collected information will inform NHTSA’s programmatic activities as it looks for ways to improve rider safety while still prioritizing rider comfort to ensure riding remains an enjoyable experience.</w:t>
      </w:r>
    </w:p>
    <w:p w:rsidR="00E62008" w:rsidRPr="0024147C" w:rsidP="0024147C" w14:paraId="48A0166A" w14:textId="1590FDEB">
      <w:pPr>
        <w:pStyle w:val="Default"/>
        <w:spacing w:after="120"/>
        <w:rPr>
          <w:rFonts w:ascii="Times New Roman" w:hAnsi="Times New Roman" w:cs="Times New Roman"/>
        </w:rPr>
      </w:pPr>
      <w:r w:rsidRPr="0024147C">
        <w:rPr>
          <w:rFonts w:ascii="Times New Roman" w:hAnsi="Times New Roman" w:cs="Times New Roman"/>
        </w:rPr>
        <w:t xml:space="preserve">NHTSA will use the collected information to produce a technical report with aggregate (summary) statistics and tables only; no identifying data will be retained or reported. The technical report will be distributed to audiences interested in improving highway safety. </w:t>
      </w:r>
      <w:bookmarkEnd w:id="4"/>
    </w:p>
    <w:p w:rsidR="00FC27D3" w:rsidRPr="0024147C" w:rsidP="0024147C" w14:paraId="360A571F" w14:textId="3950CA7A">
      <w:pPr>
        <w:spacing w:after="120"/>
        <w:rPr>
          <w:rFonts w:eastAsia="Calibri"/>
          <w:b/>
          <w:bCs/>
        </w:rPr>
      </w:pPr>
      <w:bookmarkStart w:id="5" w:name="_Toc125278832"/>
      <w:bookmarkStart w:id="6" w:name="_Toc125341755"/>
      <w:bookmarkStart w:id="7" w:name="_Toc125447313"/>
      <w:bookmarkStart w:id="8" w:name="_Toc126394140"/>
      <w:bookmarkEnd w:id="3"/>
      <w:bookmarkEnd w:id="5"/>
      <w:bookmarkEnd w:id="6"/>
      <w:bookmarkEnd w:id="7"/>
      <w:bookmarkEnd w:id="8"/>
      <w:r w:rsidRPr="0024147C">
        <w:rPr>
          <w:b/>
          <w:bCs/>
        </w:rPr>
        <w:t>B.1.</w:t>
      </w:r>
      <w:r w:rsidRPr="0024147C">
        <w:rPr>
          <w:b/>
          <w:bCs/>
        </w:rPr>
        <w:tab/>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Response rate means -- of those in your respondent sample, from what percentage do you expect to get the required information (if this is not a mandatory collection). The non-respondents would include those you could not contact, as well as those you contacted but who refused to give the information.</w:t>
      </w:r>
    </w:p>
    <w:p w:rsidR="002B5681" w:rsidP="001B30FA" w14:paraId="0E8590D4" w14:textId="45A684D6">
      <w:pPr>
        <w:spacing w:after="120" w:line="240" w:lineRule="auto"/>
        <w:rPr>
          <w:sz w:val="22"/>
          <w:szCs w:val="22"/>
        </w:rPr>
      </w:pPr>
      <w:r>
        <w:rPr>
          <w:rFonts w:eastAsia="Calibri"/>
        </w:rPr>
        <w:t xml:space="preserve">Staff will </w:t>
      </w:r>
      <w:r w:rsidR="00A26AB4">
        <w:rPr>
          <w:rFonts w:eastAsia="Calibri"/>
        </w:rPr>
        <w:t xml:space="preserve">select </w:t>
      </w:r>
      <w:r w:rsidR="00236C59">
        <w:rPr>
          <w:rFonts w:eastAsia="Calibri"/>
        </w:rPr>
        <w:t xml:space="preserve">motorcycle </w:t>
      </w:r>
      <w:r w:rsidR="00A26AB4">
        <w:rPr>
          <w:rFonts w:eastAsia="Calibri"/>
        </w:rPr>
        <w:t>events</w:t>
      </w:r>
      <w:r w:rsidR="00236C59">
        <w:rPr>
          <w:rFonts w:eastAsia="Calibri"/>
        </w:rPr>
        <w:t xml:space="preserve"> </w:t>
      </w:r>
      <w:r w:rsidR="00097223">
        <w:rPr>
          <w:rFonts w:eastAsia="Calibri"/>
        </w:rPr>
        <w:t>such as those</w:t>
      </w:r>
      <w:r w:rsidR="000D6E57">
        <w:rPr>
          <w:rFonts w:eastAsia="Calibri"/>
        </w:rPr>
        <w:t xml:space="preserve"> compiled in </w:t>
      </w:r>
      <w:r w:rsidR="00640DF6">
        <w:rPr>
          <w:rFonts w:eastAsia="Calibri"/>
        </w:rPr>
        <w:fldChar w:fldCharType="begin"/>
      </w:r>
      <w:r w:rsidR="00640DF6">
        <w:rPr>
          <w:rFonts w:eastAsia="Calibri"/>
        </w:rPr>
        <w:instrText xml:space="preserve"> REF _Ref155946120 \r \h </w:instrText>
      </w:r>
      <w:r w:rsidR="001B30FA">
        <w:rPr>
          <w:rFonts w:eastAsia="Calibri"/>
        </w:rPr>
        <w:instrText xml:space="preserve"> \* MERGEFORMAT </w:instrText>
      </w:r>
      <w:r w:rsidR="00640DF6">
        <w:rPr>
          <w:rFonts w:eastAsia="Calibri"/>
        </w:rPr>
        <w:fldChar w:fldCharType="separate"/>
      </w:r>
      <w:r w:rsidR="00640DF6">
        <w:rPr>
          <w:rFonts w:eastAsia="Calibri"/>
        </w:rPr>
        <w:t>Table 1</w:t>
      </w:r>
      <w:r w:rsidR="00640DF6">
        <w:rPr>
          <w:rFonts w:eastAsia="Calibri"/>
        </w:rPr>
        <w:fldChar w:fldCharType="end"/>
      </w:r>
      <w:r w:rsidR="0007194E">
        <w:rPr>
          <w:rFonts w:eastAsia="Calibri"/>
        </w:rPr>
        <w:t>. The study team</w:t>
      </w:r>
      <w:r w:rsidR="00A666A4">
        <w:rPr>
          <w:rFonts w:eastAsia="Calibri"/>
        </w:rPr>
        <w:t xml:space="preserve"> </w:t>
      </w:r>
      <w:r w:rsidR="005D31CB">
        <w:rPr>
          <w:rFonts w:eastAsia="Calibri"/>
        </w:rPr>
        <w:t xml:space="preserve">will </w:t>
      </w:r>
      <w:r w:rsidR="00A666A4">
        <w:rPr>
          <w:rFonts w:eastAsia="Calibri"/>
        </w:rPr>
        <w:t>seek approval</w:t>
      </w:r>
      <w:r w:rsidR="00B67E54">
        <w:rPr>
          <w:rFonts w:eastAsia="Calibri"/>
        </w:rPr>
        <w:t xml:space="preserve"> from event management</w:t>
      </w:r>
      <w:r w:rsidR="00A666A4">
        <w:rPr>
          <w:rFonts w:eastAsia="Calibri"/>
        </w:rPr>
        <w:t xml:space="preserve"> </w:t>
      </w:r>
      <w:r w:rsidR="000D6E57">
        <w:rPr>
          <w:rFonts w:eastAsia="Calibri"/>
        </w:rPr>
        <w:t>to set up</w:t>
      </w:r>
      <w:r w:rsidR="00A666A4">
        <w:rPr>
          <w:rFonts w:eastAsia="Calibri"/>
        </w:rPr>
        <w:t xml:space="preserve"> an area </w:t>
      </w:r>
      <w:r w:rsidR="000D6E57">
        <w:rPr>
          <w:rFonts w:eastAsia="Calibri"/>
        </w:rPr>
        <w:t>for</w:t>
      </w:r>
      <w:r w:rsidR="00A666A4">
        <w:rPr>
          <w:rFonts w:eastAsia="Calibri"/>
        </w:rPr>
        <w:t xml:space="preserve"> data collection.</w:t>
      </w:r>
      <w:r w:rsidR="00D46695">
        <w:rPr>
          <w:rFonts w:eastAsia="Calibri"/>
        </w:rPr>
        <w:t xml:space="preserve"> </w:t>
      </w:r>
      <w:r w:rsidRPr="00FC27D3" w:rsidR="00FC27D3">
        <w:rPr>
          <w:rFonts w:eastAsia="Calibri"/>
        </w:rPr>
        <w:t xml:space="preserve">The </w:t>
      </w:r>
      <w:r w:rsidRPr="00FC27D3" w:rsidR="00C02E7E">
        <w:rPr>
          <w:rFonts w:eastAsia="Calibri"/>
        </w:rPr>
        <w:t>potential</w:t>
      </w:r>
      <w:r w:rsidRPr="00C02E7E" w:rsidR="00C02E7E">
        <w:rPr>
          <w:rFonts w:eastAsia="Calibri"/>
        </w:rPr>
        <w:t xml:space="preserve"> respondent universe </w:t>
      </w:r>
      <w:r w:rsidR="000C0AC1">
        <w:rPr>
          <w:rFonts w:eastAsia="Calibri"/>
        </w:rPr>
        <w:t>will be</w:t>
      </w:r>
      <w:r w:rsidRPr="00C02E7E" w:rsidR="00C02E7E">
        <w:rPr>
          <w:rFonts w:eastAsia="Calibri"/>
        </w:rPr>
        <w:t xml:space="preserve"> </w:t>
      </w:r>
      <w:r w:rsidRPr="24F88664" w:rsidR="00C02E7E">
        <w:rPr>
          <w:rFonts w:eastAsia="Calibri"/>
        </w:rPr>
        <w:t>comp</w:t>
      </w:r>
      <w:r w:rsidRPr="24F88664" w:rsidR="3ABC4D34">
        <w:rPr>
          <w:rFonts w:eastAsia="Calibri"/>
        </w:rPr>
        <w:t>osed</w:t>
      </w:r>
      <w:r w:rsidRPr="00C02E7E" w:rsidR="00C02E7E">
        <w:rPr>
          <w:rFonts w:eastAsia="Calibri"/>
        </w:rPr>
        <w:t xml:space="preserve"> of all</w:t>
      </w:r>
      <w:r w:rsidR="0092719D">
        <w:rPr>
          <w:rFonts w:eastAsia="Calibri"/>
        </w:rPr>
        <w:t xml:space="preserve"> motorcyclists </w:t>
      </w:r>
      <w:r w:rsidR="00EC02B4">
        <w:rPr>
          <w:rFonts w:eastAsia="Calibri"/>
        </w:rPr>
        <w:t>in the US</w:t>
      </w:r>
      <w:r w:rsidR="00DD3C61">
        <w:rPr>
          <w:rFonts w:eastAsia="Calibri"/>
        </w:rPr>
        <w:t>.</w:t>
      </w:r>
      <w:r w:rsidR="009241F3">
        <w:rPr>
          <w:rFonts w:eastAsia="Calibri"/>
        </w:rPr>
        <w:t xml:space="preserve"> </w:t>
      </w:r>
      <w:r>
        <w:rPr>
          <w:rFonts w:eastAsia="Calibri"/>
        </w:rPr>
        <w:t xml:space="preserve">However, because the collected </w:t>
      </w:r>
      <w:r>
        <w:t>data will be from a convenience sample of volunteers, the results cannot be generalized to the population of American motorcycle riders. NHTSA will use the findings as a foundation from which to generate ideas for the development of countermeasures for motorcycle safety.</w:t>
      </w:r>
    </w:p>
    <w:p w:rsidR="004C4119" w:rsidRPr="00640DF6" w:rsidP="007C6288" w14:paraId="672B3F2A" w14:textId="6EE346FD">
      <w:pPr>
        <w:pStyle w:val="Table"/>
        <w:keepNext/>
      </w:pPr>
      <w:r>
        <w:t xml:space="preserve">The sampling frame will be </w:t>
      </w:r>
      <w:r w:rsidR="00D74A28">
        <w:t>a subset of</w:t>
      </w:r>
      <w:r w:rsidR="00A459B0">
        <w:t xml:space="preserve"> this universe</w:t>
      </w:r>
      <w:r w:rsidR="002D1246">
        <w:t xml:space="preserve"> and inclusive of </w:t>
      </w:r>
      <w:r w:rsidR="00BB25EB">
        <w:t>all motorcyclists attending the selected events.</w:t>
      </w:r>
      <w:r w:rsidR="00A459B0">
        <w:t xml:space="preserve"> </w:t>
      </w:r>
      <w:r w:rsidR="00BB25EB">
        <w:t>T</w:t>
      </w:r>
      <w:r w:rsidR="002E76F0">
        <w:t xml:space="preserve">he study anticipates </w:t>
      </w:r>
      <w:r w:rsidR="00344C62">
        <w:t xml:space="preserve">contacting and screening </w:t>
      </w:r>
      <w:r w:rsidR="00A459B0">
        <w:t>an estimated 1</w:t>
      </w:r>
      <w:r w:rsidR="00FC51C1">
        <w:t>,250</w:t>
      </w:r>
      <w:r w:rsidR="00A459B0">
        <w:t xml:space="preserve"> potential participants to </w:t>
      </w:r>
      <w:r w:rsidR="005515CB">
        <w:t>obtain</w:t>
      </w:r>
      <w:r w:rsidR="00A459B0">
        <w:t xml:space="preserve"> a total sample of </w:t>
      </w:r>
      <w:r w:rsidR="00FC51C1">
        <w:t>625</w:t>
      </w:r>
      <w:r w:rsidR="00A459B0">
        <w:t xml:space="preserve"> </w:t>
      </w:r>
      <w:r w:rsidR="002E76F0">
        <w:t>riders</w:t>
      </w:r>
      <w:r w:rsidR="00A459B0">
        <w:t xml:space="preserve">, </w:t>
      </w:r>
      <w:r w:rsidR="00300CCE">
        <w:t xml:space="preserve">comprised of </w:t>
      </w:r>
      <w:r w:rsidR="00FC51C1">
        <w:t>125</w:t>
      </w:r>
      <w:r w:rsidR="00A459B0">
        <w:t xml:space="preserve"> </w:t>
      </w:r>
      <w:r w:rsidR="005515CB">
        <w:t xml:space="preserve">riders </w:t>
      </w:r>
      <w:r w:rsidR="00A459B0">
        <w:t xml:space="preserve">in each </w:t>
      </w:r>
      <w:r w:rsidR="00E8532F">
        <w:t>motorcycle</w:t>
      </w:r>
      <w:r w:rsidR="009241F3">
        <w:t xml:space="preserve"> type</w:t>
      </w:r>
      <w:r w:rsidR="00A459B0">
        <w:t xml:space="preserve"> group</w:t>
      </w:r>
      <w:r w:rsidR="005E6995">
        <w:t xml:space="preserve">; the </w:t>
      </w:r>
      <w:r w:rsidR="00E8532F">
        <w:t xml:space="preserve">motorcycle </w:t>
      </w:r>
      <w:r w:rsidR="005E6995">
        <w:t xml:space="preserve">types include </w:t>
      </w:r>
      <w:r w:rsidRPr="005E6995" w:rsidR="005E6995">
        <w:t>standard</w:t>
      </w:r>
      <w:r w:rsidR="005E6995">
        <w:t xml:space="preserve"> motorcycles</w:t>
      </w:r>
      <w:r w:rsidRPr="005E6995" w:rsidR="005E6995">
        <w:t>, cruiser</w:t>
      </w:r>
      <w:r w:rsidR="005E6995">
        <w:t>s</w:t>
      </w:r>
      <w:r w:rsidRPr="005E6995" w:rsidR="005E6995">
        <w:t>, sport</w:t>
      </w:r>
      <w:r w:rsidR="005E6995">
        <w:t xml:space="preserve"> motorcycles/</w:t>
      </w:r>
      <w:r w:rsidRPr="005E6995" w:rsidR="005E6995">
        <w:t>sportster</w:t>
      </w:r>
      <w:r w:rsidR="005E6995">
        <w:t>s</w:t>
      </w:r>
      <w:r w:rsidRPr="005E6995" w:rsidR="005E6995">
        <w:t>, touring</w:t>
      </w:r>
      <w:r w:rsidR="005E6995">
        <w:t xml:space="preserve"> motorcycles</w:t>
      </w:r>
      <w:r w:rsidRPr="005E6995" w:rsidR="005E6995">
        <w:t>, and scooter</w:t>
      </w:r>
      <w:r w:rsidR="005E6995">
        <w:t>s</w:t>
      </w:r>
      <w:r w:rsidRPr="005E6995" w:rsidR="005E6995">
        <w:t>/moped</w:t>
      </w:r>
      <w:r w:rsidR="005E6995">
        <w:t>s</w:t>
      </w:r>
      <w:r w:rsidRPr="005E6995" w:rsidR="00F87888">
        <w:t>.</w:t>
      </w:r>
      <w:r w:rsidRPr="005E6995" w:rsidR="00521EBB">
        <w:rPr>
          <w:rFonts w:eastAsia="Calibri"/>
        </w:rPr>
        <w:t xml:space="preserve"> </w:t>
      </w:r>
      <w:r w:rsidRPr="005E6995" w:rsidR="001137C4">
        <w:rPr>
          <w:rFonts w:eastAsia="Calibri"/>
        </w:rPr>
        <w:t>The number of riders</w:t>
      </w:r>
      <w:r w:rsidR="001137C4">
        <w:rPr>
          <w:rFonts w:eastAsia="Calibri"/>
        </w:rPr>
        <w:t xml:space="preserve"> can vary </w:t>
      </w:r>
      <w:r w:rsidR="00483FF6">
        <w:rPr>
          <w:rFonts w:eastAsia="Calibri"/>
        </w:rPr>
        <w:t>at a given venue</w:t>
      </w:r>
      <w:r w:rsidR="00E1209C">
        <w:rPr>
          <w:rFonts w:eastAsia="Calibri"/>
        </w:rPr>
        <w:t xml:space="preserve"> </w:t>
      </w:r>
      <w:r w:rsidR="0053436D">
        <w:rPr>
          <w:rFonts w:eastAsia="Calibri"/>
        </w:rPr>
        <w:t xml:space="preserve">depending on the size </w:t>
      </w:r>
      <w:r w:rsidR="005515CB">
        <w:rPr>
          <w:rFonts w:eastAsia="Calibri"/>
        </w:rPr>
        <w:t xml:space="preserve">and type </w:t>
      </w:r>
      <w:r w:rsidR="0053436D">
        <w:rPr>
          <w:rFonts w:eastAsia="Calibri"/>
        </w:rPr>
        <w:t xml:space="preserve">of the </w:t>
      </w:r>
      <w:r w:rsidR="002B6678">
        <w:rPr>
          <w:rFonts w:eastAsia="Calibri"/>
        </w:rPr>
        <w:t>event.</w:t>
      </w:r>
      <w:r w:rsidR="00530367">
        <w:rPr>
          <w:rFonts w:eastAsia="Calibri"/>
        </w:rPr>
        <w:t xml:space="preserve"> For instance, </w:t>
      </w:r>
      <w:r w:rsidR="00E8532F">
        <w:rPr>
          <w:rFonts w:eastAsia="Calibri"/>
        </w:rPr>
        <w:t xml:space="preserve">the 2022 </w:t>
      </w:r>
      <w:r w:rsidR="00530367">
        <w:rPr>
          <w:rFonts w:eastAsia="Calibri"/>
        </w:rPr>
        <w:t>Sturgis</w:t>
      </w:r>
      <w:r w:rsidR="00E8532F">
        <w:rPr>
          <w:rFonts w:eastAsia="Calibri"/>
        </w:rPr>
        <w:t xml:space="preserve"> motorcycle rally</w:t>
      </w:r>
      <w:r w:rsidR="00530367">
        <w:rPr>
          <w:rFonts w:eastAsia="Calibri"/>
        </w:rPr>
        <w:t xml:space="preserve"> had 505,000 attendees, while </w:t>
      </w:r>
      <w:r w:rsidR="00173BD4">
        <w:rPr>
          <w:rFonts w:eastAsia="Calibri"/>
        </w:rPr>
        <w:t xml:space="preserve">the White Mountain Boogie </w:t>
      </w:r>
      <w:r w:rsidR="00FB4D95">
        <w:rPr>
          <w:rFonts w:eastAsia="Calibri"/>
        </w:rPr>
        <w:t>N’</w:t>
      </w:r>
      <w:r w:rsidR="00173BD4">
        <w:rPr>
          <w:rFonts w:eastAsia="Calibri"/>
        </w:rPr>
        <w:t xml:space="preserve"> Blues </w:t>
      </w:r>
      <w:r w:rsidR="00173BD4">
        <w:rPr>
          <w:rFonts w:eastAsia="Calibri"/>
        </w:rPr>
        <w:t>Festival had 4,500 attendees last year.</w:t>
      </w:r>
      <w:r w:rsidR="002B6678">
        <w:rPr>
          <w:rFonts w:eastAsia="Calibri"/>
        </w:rPr>
        <w:t xml:space="preserve"> </w:t>
      </w:r>
      <w:r w:rsidR="00640DF6">
        <w:rPr>
          <w:rFonts w:eastAsia="Calibri"/>
        </w:rPr>
        <w:fldChar w:fldCharType="begin"/>
      </w:r>
      <w:r w:rsidR="00640DF6">
        <w:rPr>
          <w:rFonts w:eastAsia="Calibri"/>
        </w:rPr>
        <w:instrText xml:space="preserve"> REF _Ref155946120 \r \h </w:instrText>
      </w:r>
      <w:r w:rsidR="00640DF6">
        <w:rPr>
          <w:rFonts w:eastAsia="Calibri"/>
        </w:rPr>
        <w:fldChar w:fldCharType="separate"/>
      </w:r>
      <w:r w:rsidR="00640DF6">
        <w:rPr>
          <w:rFonts w:eastAsia="Calibri"/>
        </w:rPr>
        <w:t>Table 1</w:t>
      </w:r>
      <w:r w:rsidR="00640DF6">
        <w:rPr>
          <w:rFonts w:eastAsia="Calibri"/>
        </w:rPr>
        <w:fldChar w:fldCharType="end"/>
      </w:r>
      <w:r w:rsidR="00640DF6">
        <w:rPr>
          <w:rFonts w:eastAsia="Calibri"/>
        </w:rPr>
        <w:t xml:space="preserve"> </w:t>
      </w:r>
      <w:r w:rsidR="00E8532F">
        <w:rPr>
          <w:rFonts w:eastAsia="Calibri"/>
        </w:rPr>
        <w:t xml:space="preserve">identifies various motorcycle rallies and </w:t>
      </w:r>
      <w:r w:rsidR="002B6678">
        <w:rPr>
          <w:rFonts w:eastAsia="Calibri"/>
        </w:rPr>
        <w:t>provides</w:t>
      </w:r>
      <w:r w:rsidR="0025128B">
        <w:rPr>
          <w:rFonts w:eastAsia="Calibri"/>
        </w:rPr>
        <w:t xml:space="preserve"> recent year</w:t>
      </w:r>
      <w:r w:rsidR="002B6678">
        <w:rPr>
          <w:rFonts w:eastAsia="Calibri"/>
        </w:rPr>
        <w:t xml:space="preserve"> attendance</w:t>
      </w:r>
      <w:r w:rsidR="00E8532F">
        <w:rPr>
          <w:rFonts w:eastAsia="Calibri"/>
        </w:rPr>
        <w:t>, if available</w:t>
      </w:r>
      <w:r w:rsidR="00562BCA">
        <w:rPr>
          <w:rFonts w:eastAsia="Calibri"/>
        </w:rPr>
        <w:t xml:space="preserve">. </w:t>
      </w:r>
      <w:r w:rsidR="00E8532F">
        <w:rPr>
          <w:rFonts w:eastAsia="Calibri"/>
        </w:rPr>
        <w:t xml:space="preserve">NHTSA will select the events based on whether the event management authorizes the study staff to conduct the study during the event.  </w:t>
      </w:r>
      <w:bookmarkStart w:id="9" w:name="_Ref155946120"/>
      <w:r w:rsidRPr="00640DF6" w:rsidR="004713A6">
        <w:t>Motorcycle Rallies in U.S. Destinations</w:t>
      </w:r>
      <w:bookmarkEnd w:id="9"/>
    </w:p>
    <w:tbl>
      <w:tblPr>
        <w:tblStyle w:val="GridTable1Light"/>
        <w:tblW w:w="8915" w:type="dxa"/>
        <w:tblLook w:val="04A0"/>
      </w:tblPr>
      <w:tblGrid>
        <w:gridCol w:w="1469"/>
        <w:gridCol w:w="2486"/>
        <w:gridCol w:w="1800"/>
        <w:gridCol w:w="1260"/>
        <w:gridCol w:w="1900"/>
      </w:tblGrid>
      <w:tr w14:paraId="2D2D555D" w14:textId="2306CD3C" w:rsidTr="005A70AD">
        <w:tblPrEx>
          <w:tblW w:w="8915" w:type="dxa"/>
          <w:tblLook w:val="04A0"/>
        </w:tblPrEx>
        <w:trPr>
          <w:trHeight w:val="315"/>
        </w:trPr>
        <w:tc>
          <w:tcPr>
            <w:tcW w:w="1469" w:type="dxa"/>
            <w:noWrap/>
            <w:vAlign w:val="center"/>
            <w:hideMark/>
          </w:tcPr>
          <w:p w:rsidR="001B5AF9" w:rsidRPr="00FA0E1C" w:rsidP="00FA0E1C" w14:paraId="3044D8BA" w14:textId="4AF16728">
            <w:pPr>
              <w:jc w:val="center"/>
              <w:rPr>
                <w:b w:val="0"/>
              </w:rPr>
            </w:pPr>
            <w:r>
              <w:t>Motorcycle</w:t>
            </w:r>
            <w:r w:rsidRPr="00FA0E1C">
              <w:t xml:space="preserve"> Type</w:t>
            </w:r>
          </w:p>
        </w:tc>
        <w:tc>
          <w:tcPr>
            <w:tcW w:w="2486" w:type="dxa"/>
            <w:noWrap/>
            <w:vAlign w:val="center"/>
            <w:hideMark/>
          </w:tcPr>
          <w:p w:rsidR="001B5AF9" w:rsidRPr="00FA0E1C" w:rsidP="00FA0E1C" w14:paraId="5C3B298A" w14:textId="77777777">
            <w:pPr>
              <w:jc w:val="center"/>
              <w:rPr>
                <w:b w:val="0"/>
              </w:rPr>
            </w:pPr>
            <w:r w:rsidRPr="00FA0E1C">
              <w:t>Rally or Event Name</w:t>
            </w:r>
          </w:p>
        </w:tc>
        <w:tc>
          <w:tcPr>
            <w:tcW w:w="1800" w:type="dxa"/>
            <w:noWrap/>
            <w:vAlign w:val="center"/>
            <w:hideMark/>
          </w:tcPr>
          <w:p w:rsidR="001B5AF9" w:rsidRPr="00FA0E1C" w:rsidP="00FA0E1C" w14:paraId="64B58865" w14:textId="77777777">
            <w:pPr>
              <w:jc w:val="center"/>
              <w:rPr>
                <w:b w:val="0"/>
              </w:rPr>
            </w:pPr>
            <w:r w:rsidRPr="00FA0E1C">
              <w:t>Location</w:t>
            </w:r>
          </w:p>
        </w:tc>
        <w:tc>
          <w:tcPr>
            <w:tcW w:w="1260" w:type="dxa"/>
            <w:noWrap/>
            <w:vAlign w:val="center"/>
            <w:hideMark/>
          </w:tcPr>
          <w:p w:rsidR="001B5AF9" w:rsidRPr="00FA0E1C" w:rsidP="00FA0E1C" w14:paraId="233E6ECC" w14:textId="77777777">
            <w:pPr>
              <w:jc w:val="center"/>
              <w:rPr>
                <w:b w:val="0"/>
              </w:rPr>
            </w:pPr>
            <w:r w:rsidRPr="00FA0E1C">
              <w:t>Usual Month</w:t>
            </w:r>
          </w:p>
        </w:tc>
        <w:tc>
          <w:tcPr>
            <w:tcW w:w="1900" w:type="dxa"/>
            <w:vAlign w:val="center"/>
          </w:tcPr>
          <w:p w:rsidR="001B5AF9" w:rsidRPr="00FA0E1C" w:rsidP="00FA0E1C" w14:paraId="56FC3CA1" w14:textId="5D91576F">
            <w:pPr>
              <w:jc w:val="center"/>
              <w:rPr>
                <w:b w:val="0"/>
              </w:rPr>
            </w:pPr>
            <w:r w:rsidRPr="00FA0E1C">
              <w:t xml:space="preserve">Estimated </w:t>
            </w:r>
            <w:r w:rsidRPr="00FA0E1C">
              <w:t>Attendance</w:t>
            </w:r>
            <w:r w:rsidRPr="00FA0E1C" w:rsidR="00B91D5F">
              <w:t xml:space="preserve"> (year)</w:t>
            </w:r>
          </w:p>
        </w:tc>
      </w:tr>
      <w:tr w14:paraId="475C2EB0" w14:textId="51DB80A5" w:rsidTr="005A70AD">
        <w:tblPrEx>
          <w:tblW w:w="8915" w:type="dxa"/>
          <w:tblLook w:val="04A0"/>
        </w:tblPrEx>
        <w:trPr>
          <w:trHeight w:val="300"/>
        </w:trPr>
        <w:tc>
          <w:tcPr>
            <w:tcW w:w="1469" w:type="dxa"/>
            <w:vMerge w:val="restart"/>
            <w:noWrap/>
            <w:hideMark/>
          </w:tcPr>
          <w:p w:rsidR="001B5AF9" w:rsidRPr="00640DF6" w14:paraId="3F308EAD" w14:textId="27464A5D">
            <w:pPr>
              <w:jc w:val="center"/>
              <w:rPr>
                <w:color w:val="000000"/>
              </w:rPr>
            </w:pPr>
            <w:r w:rsidRPr="00640DF6">
              <w:rPr>
                <w:color w:val="000000"/>
              </w:rPr>
              <w:t>All</w:t>
            </w:r>
            <w:r w:rsidR="00E8532F">
              <w:rPr>
                <w:color w:val="000000"/>
              </w:rPr>
              <w:t xml:space="preserve"> Motorcycle</w:t>
            </w:r>
            <w:r w:rsidRPr="00640DF6">
              <w:rPr>
                <w:color w:val="000000"/>
              </w:rPr>
              <w:t xml:space="preserve"> Types</w:t>
            </w:r>
          </w:p>
        </w:tc>
        <w:tc>
          <w:tcPr>
            <w:tcW w:w="2486" w:type="dxa"/>
            <w:noWrap/>
            <w:hideMark/>
          </w:tcPr>
          <w:p w:rsidR="001B5AF9" w:rsidRPr="00640DF6" w14:paraId="44DE5E09" w14:textId="77777777">
            <w:pPr>
              <w:rPr>
                <w:color w:val="000000"/>
              </w:rPr>
            </w:pPr>
            <w:r w:rsidRPr="00640DF6">
              <w:rPr>
                <w:color w:val="000000"/>
              </w:rPr>
              <w:t>Laconia Motorcycle Week</w:t>
            </w:r>
          </w:p>
        </w:tc>
        <w:tc>
          <w:tcPr>
            <w:tcW w:w="1800" w:type="dxa"/>
            <w:noWrap/>
            <w:hideMark/>
          </w:tcPr>
          <w:p w:rsidR="001B5AF9" w:rsidRPr="00640DF6" w14:paraId="21CA5B49" w14:textId="77777777">
            <w:pPr>
              <w:rPr>
                <w:color w:val="000000"/>
              </w:rPr>
            </w:pPr>
            <w:r w:rsidRPr="00640DF6">
              <w:rPr>
                <w:color w:val="000000"/>
              </w:rPr>
              <w:t>New Hampshire</w:t>
            </w:r>
          </w:p>
        </w:tc>
        <w:tc>
          <w:tcPr>
            <w:tcW w:w="1260" w:type="dxa"/>
            <w:noWrap/>
            <w:hideMark/>
          </w:tcPr>
          <w:p w:rsidR="001B5AF9" w:rsidRPr="00640DF6" w14:paraId="6B1CB517" w14:textId="77777777">
            <w:pPr>
              <w:rPr>
                <w:color w:val="000000"/>
              </w:rPr>
            </w:pPr>
            <w:r w:rsidRPr="00640DF6">
              <w:rPr>
                <w:color w:val="000000"/>
              </w:rPr>
              <w:t>June</w:t>
            </w:r>
          </w:p>
        </w:tc>
        <w:tc>
          <w:tcPr>
            <w:tcW w:w="1900" w:type="dxa"/>
          </w:tcPr>
          <w:p w:rsidR="001B5AF9" w:rsidRPr="00640DF6" w14:paraId="6CE3193F" w14:textId="3E9F12DB">
            <w:pPr>
              <w:rPr>
                <w:color w:val="000000"/>
              </w:rPr>
            </w:pPr>
            <w:r>
              <w:rPr>
                <w:color w:val="000000"/>
              </w:rPr>
              <w:t>300,000</w:t>
            </w:r>
            <w:r w:rsidR="00F5551A">
              <w:rPr>
                <w:color w:val="000000"/>
              </w:rPr>
              <w:t xml:space="preserve"> (20</w:t>
            </w:r>
            <w:r w:rsidR="0092084F">
              <w:rPr>
                <w:color w:val="000000"/>
              </w:rPr>
              <w:t>2</w:t>
            </w:r>
            <w:r>
              <w:rPr>
                <w:color w:val="000000"/>
              </w:rPr>
              <w:t>5</w:t>
            </w:r>
            <w:r w:rsidR="00F5551A">
              <w:rPr>
                <w:color w:val="000000"/>
              </w:rPr>
              <w:t>)</w:t>
            </w:r>
          </w:p>
        </w:tc>
      </w:tr>
      <w:tr w14:paraId="29116636" w14:textId="7CAE9D2D" w:rsidTr="005A70AD">
        <w:tblPrEx>
          <w:tblW w:w="8915" w:type="dxa"/>
          <w:tblLook w:val="04A0"/>
        </w:tblPrEx>
        <w:trPr>
          <w:trHeight w:val="300"/>
        </w:trPr>
        <w:tc>
          <w:tcPr>
            <w:tcW w:w="1469" w:type="dxa"/>
            <w:vMerge/>
            <w:hideMark/>
          </w:tcPr>
          <w:p w:rsidR="001B5AF9" w:rsidRPr="00640DF6" w14:paraId="3677EF2E" w14:textId="77777777">
            <w:pPr>
              <w:rPr>
                <w:color w:val="000000"/>
              </w:rPr>
            </w:pPr>
          </w:p>
        </w:tc>
        <w:tc>
          <w:tcPr>
            <w:tcW w:w="2486" w:type="dxa"/>
            <w:noWrap/>
            <w:hideMark/>
          </w:tcPr>
          <w:p w:rsidR="001B5AF9" w:rsidRPr="00640DF6" w14:paraId="321F7800" w14:textId="77777777">
            <w:pPr>
              <w:rPr>
                <w:color w:val="000000"/>
              </w:rPr>
            </w:pPr>
            <w:r w:rsidRPr="00640DF6">
              <w:rPr>
                <w:color w:val="000000"/>
              </w:rPr>
              <w:t>Outer Banks Bike Week</w:t>
            </w:r>
          </w:p>
        </w:tc>
        <w:tc>
          <w:tcPr>
            <w:tcW w:w="1800" w:type="dxa"/>
            <w:noWrap/>
            <w:hideMark/>
          </w:tcPr>
          <w:p w:rsidR="001B5AF9" w:rsidRPr="00640DF6" w14:paraId="7C4B6BFE" w14:textId="77777777">
            <w:pPr>
              <w:rPr>
                <w:color w:val="000000"/>
              </w:rPr>
            </w:pPr>
            <w:r w:rsidRPr="00640DF6">
              <w:rPr>
                <w:color w:val="000000"/>
              </w:rPr>
              <w:t>North Carolina</w:t>
            </w:r>
          </w:p>
        </w:tc>
        <w:tc>
          <w:tcPr>
            <w:tcW w:w="1260" w:type="dxa"/>
            <w:noWrap/>
            <w:hideMark/>
          </w:tcPr>
          <w:p w:rsidR="001B5AF9" w:rsidRPr="00640DF6" w14:paraId="747AE0DD" w14:textId="77777777">
            <w:pPr>
              <w:rPr>
                <w:color w:val="000000"/>
              </w:rPr>
            </w:pPr>
            <w:r w:rsidRPr="00640DF6">
              <w:rPr>
                <w:color w:val="000000"/>
              </w:rPr>
              <w:t>April</w:t>
            </w:r>
          </w:p>
        </w:tc>
        <w:tc>
          <w:tcPr>
            <w:tcW w:w="1900" w:type="dxa"/>
          </w:tcPr>
          <w:p w:rsidR="001B5AF9" w:rsidRPr="00640DF6" w14:paraId="51D0C0CE" w14:textId="3F2E3317">
            <w:pPr>
              <w:rPr>
                <w:color w:val="000000"/>
              </w:rPr>
            </w:pPr>
            <w:r>
              <w:rPr>
                <w:color w:val="000000"/>
              </w:rPr>
              <w:t>Not available</w:t>
            </w:r>
          </w:p>
        </w:tc>
      </w:tr>
      <w:tr w14:paraId="4BF7F997" w14:textId="70B7040B" w:rsidTr="005A70AD">
        <w:tblPrEx>
          <w:tblW w:w="8915" w:type="dxa"/>
          <w:tblLook w:val="04A0"/>
        </w:tblPrEx>
        <w:trPr>
          <w:trHeight w:val="300"/>
        </w:trPr>
        <w:tc>
          <w:tcPr>
            <w:tcW w:w="1469" w:type="dxa"/>
            <w:vMerge/>
            <w:hideMark/>
          </w:tcPr>
          <w:p w:rsidR="001B5AF9" w:rsidRPr="00AB6A33" w14:paraId="3A620351" w14:textId="77777777">
            <w:pPr>
              <w:rPr>
                <w:color w:val="000000"/>
              </w:rPr>
            </w:pPr>
          </w:p>
        </w:tc>
        <w:tc>
          <w:tcPr>
            <w:tcW w:w="2486" w:type="dxa"/>
            <w:noWrap/>
            <w:hideMark/>
          </w:tcPr>
          <w:p w:rsidR="001B5AF9" w:rsidRPr="00AB6A33" w14:paraId="5D2605BA" w14:textId="77777777">
            <w:pPr>
              <w:rPr>
                <w:color w:val="000000"/>
              </w:rPr>
            </w:pPr>
            <w:r w:rsidRPr="00AB6A33">
              <w:rPr>
                <w:color w:val="000000"/>
              </w:rPr>
              <w:t>Americade</w:t>
            </w:r>
          </w:p>
        </w:tc>
        <w:tc>
          <w:tcPr>
            <w:tcW w:w="1800" w:type="dxa"/>
            <w:noWrap/>
            <w:hideMark/>
          </w:tcPr>
          <w:p w:rsidR="001B5AF9" w:rsidRPr="00AB6A33" w14:paraId="16B69F78" w14:textId="77777777">
            <w:pPr>
              <w:rPr>
                <w:color w:val="000000"/>
              </w:rPr>
            </w:pPr>
            <w:r w:rsidRPr="00AB6A33">
              <w:rPr>
                <w:color w:val="000000"/>
              </w:rPr>
              <w:t>New York</w:t>
            </w:r>
          </w:p>
        </w:tc>
        <w:tc>
          <w:tcPr>
            <w:tcW w:w="1260" w:type="dxa"/>
            <w:noWrap/>
            <w:hideMark/>
          </w:tcPr>
          <w:p w:rsidR="001B5AF9" w:rsidRPr="00AB6A33" w14:paraId="77106B79" w14:textId="77777777">
            <w:pPr>
              <w:rPr>
                <w:color w:val="000000"/>
              </w:rPr>
            </w:pPr>
            <w:r w:rsidRPr="00AB6A33">
              <w:rPr>
                <w:color w:val="000000"/>
              </w:rPr>
              <w:t>May/June</w:t>
            </w:r>
          </w:p>
        </w:tc>
        <w:tc>
          <w:tcPr>
            <w:tcW w:w="1900" w:type="dxa"/>
          </w:tcPr>
          <w:p w:rsidR="001B5AF9" w:rsidRPr="00AB6A33" w14:paraId="38231F38" w14:textId="1344B5EE">
            <w:pPr>
              <w:rPr>
                <w:color w:val="000000"/>
              </w:rPr>
            </w:pPr>
            <w:r>
              <w:rPr>
                <w:color w:val="000000"/>
              </w:rPr>
              <w:t>35,000 (2022)</w:t>
            </w:r>
          </w:p>
        </w:tc>
      </w:tr>
      <w:tr w14:paraId="0608E574" w14:textId="10E367F7" w:rsidTr="005A70AD">
        <w:tblPrEx>
          <w:tblW w:w="8915" w:type="dxa"/>
          <w:tblLook w:val="04A0"/>
        </w:tblPrEx>
        <w:trPr>
          <w:trHeight w:val="300"/>
        </w:trPr>
        <w:tc>
          <w:tcPr>
            <w:tcW w:w="1469" w:type="dxa"/>
            <w:vMerge/>
            <w:hideMark/>
          </w:tcPr>
          <w:p w:rsidR="001B5AF9" w:rsidRPr="00640DF6" w14:paraId="032F00C8" w14:textId="77777777">
            <w:pPr>
              <w:rPr>
                <w:color w:val="000000"/>
              </w:rPr>
            </w:pPr>
          </w:p>
        </w:tc>
        <w:tc>
          <w:tcPr>
            <w:tcW w:w="2486" w:type="dxa"/>
            <w:noWrap/>
            <w:hideMark/>
          </w:tcPr>
          <w:p w:rsidR="001B5AF9" w:rsidRPr="00640DF6" w14:paraId="3D3DB3DA" w14:textId="77777777">
            <w:pPr>
              <w:rPr>
                <w:color w:val="000000"/>
              </w:rPr>
            </w:pPr>
            <w:r w:rsidRPr="00640DF6">
              <w:rPr>
                <w:color w:val="000000"/>
              </w:rPr>
              <w:t>Sturgis Motorcycle Rally</w:t>
            </w:r>
          </w:p>
        </w:tc>
        <w:tc>
          <w:tcPr>
            <w:tcW w:w="1800" w:type="dxa"/>
            <w:noWrap/>
            <w:hideMark/>
          </w:tcPr>
          <w:p w:rsidR="001B5AF9" w:rsidRPr="00640DF6" w14:paraId="032978B6" w14:textId="77777777">
            <w:pPr>
              <w:rPr>
                <w:color w:val="000000"/>
              </w:rPr>
            </w:pPr>
            <w:r w:rsidRPr="00640DF6">
              <w:rPr>
                <w:color w:val="000000"/>
              </w:rPr>
              <w:t>South Dakota</w:t>
            </w:r>
          </w:p>
        </w:tc>
        <w:tc>
          <w:tcPr>
            <w:tcW w:w="1260" w:type="dxa"/>
            <w:noWrap/>
            <w:hideMark/>
          </w:tcPr>
          <w:p w:rsidR="001B5AF9" w:rsidRPr="00640DF6" w14:paraId="69087F4F" w14:textId="77777777">
            <w:pPr>
              <w:rPr>
                <w:color w:val="000000"/>
              </w:rPr>
            </w:pPr>
            <w:r w:rsidRPr="00640DF6">
              <w:rPr>
                <w:color w:val="000000"/>
              </w:rPr>
              <w:t>August</w:t>
            </w:r>
          </w:p>
        </w:tc>
        <w:tc>
          <w:tcPr>
            <w:tcW w:w="1900" w:type="dxa"/>
          </w:tcPr>
          <w:p w:rsidR="001B5AF9" w:rsidRPr="00640DF6" w14:paraId="7F183576" w14:textId="363C8A35">
            <w:pPr>
              <w:rPr>
                <w:color w:val="000000"/>
              </w:rPr>
            </w:pPr>
            <w:r>
              <w:rPr>
                <w:color w:val="000000"/>
              </w:rPr>
              <w:t>470,000</w:t>
            </w:r>
            <w:r w:rsidR="006B7B24">
              <w:rPr>
                <w:color w:val="000000"/>
              </w:rPr>
              <w:t xml:space="preserve"> (202</w:t>
            </w:r>
            <w:r>
              <w:rPr>
                <w:color w:val="000000"/>
              </w:rPr>
              <w:t>4</w:t>
            </w:r>
            <w:r w:rsidR="006B7B24">
              <w:rPr>
                <w:color w:val="000000"/>
              </w:rPr>
              <w:t>)</w:t>
            </w:r>
          </w:p>
        </w:tc>
      </w:tr>
      <w:tr w14:paraId="4B07E0C2" w14:textId="29ADB29E" w:rsidTr="005A70AD">
        <w:tblPrEx>
          <w:tblW w:w="8915" w:type="dxa"/>
          <w:tblLook w:val="04A0"/>
        </w:tblPrEx>
        <w:trPr>
          <w:trHeight w:val="300"/>
        </w:trPr>
        <w:tc>
          <w:tcPr>
            <w:tcW w:w="1469" w:type="dxa"/>
            <w:vMerge/>
            <w:hideMark/>
          </w:tcPr>
          <w:p w:rsidR="001B5AF9" w:rsidRPr="00640DF6" w14:paraId="1E573EE7" w14:textId="77777777">
            <w:pPr>
              <w:rPr>
                <w:color w:val="000000"/>
              </w:rPr>
            </w:pPr>
          </w:p>
        </w:tc>
        <w:tc>
          <w:tcPr>
            <w:tcW w:w="2486" w:type="dxa"/>
            <w:noWrap/>
            <w:hideMark/>
          </w:tcPr>
          <w:p w:rsidR="001B5AF9" w:rsidRPr="00640DF6" w14:paraId="1414DA65" w14:textId="77777777">
            <w:pPr>
              <w:rPr>
                <w:color w:val="000000"/>
              </w:rPr>
            </w:pPr>
            <w:r w:rsidRPr="00640DF6">
              <w:rPr>
                <w:color w:val="000000"/>
              </w:rPr>
              <w:t>Daytona Bike Week</w:t>
            </w:r>
          </w:p>
        </w:tc>
        <w:tc>
          <w:tcPr>
            <w:tcW w:w="1800" w:type="dxa"/>
            <w:noWrap/>
            <w:hideMark/>
          </w:tcPr>
          <w:p w:rsidR="001B5AF9" w:rsidRPr="00640DF6" w14:paraId="7F0B0A30" w14:textId="77777777">
            <w:pPr>
              <w:rPr>
                <w:color w:val="000000"/>
              </w:rPr>
            </w:pPr>
            <w:r w:rsidRPr="00640DF6">
              <w:rPr>
                <w:color w:val="000000"/>
              </w:rPr>
              <w:t>Florida</w:t>
            </w:r>
          </w:p>
        </w:tc>
        <w:tc>
          <w:tcPr>
            <w:tcW w:w="1260" w:type="dxa"/>
            <w:noWrap/>
            <w:hideMark/>
          </w:tcPr>
          <w:p w:rsidR="001B5AF9" w:rsidRPr="00640DF6" w14:paraId="6592C7CD" w14:textId="77777777">
            <w:pPr>
              <w:rPr>
                <w:color w:val="000000"/>
              </w:rPr>
            </w:pPr>
            <w:r w:rsidRPr="00640DF6">
              <w:rPr>
                <w:color w:val="000000"/>
              </w:rPr>
              <w:t>March</w:t>
            </w:r>
          </w:p>
        </w:tc>
        <w:tc>
          <w:tcPr>
            <w:tcW w:w="1900" w:type="dxa"/>
          </w:tcPr>
          <w:p w:rsidR="001B5AF9" w:rsidRPr="00640DF6" w14:paraId="07AA2EB2" w14:textId="3C35F669">
            <w:pPr>
              <w:rPr>
                <w:color w:val="000000"/>
              </w:rPr>
            </w:pPr>
            <w:r>
              <w:rPr>
                <w:color w:val="000000"/>
              </w:rPr>
              <w:t>233,500</w:t>
            </w:r>
            <w:r w:rsidR="003065B0">
              <w:rPr>
                <w:color w:val="000000"/>
              </w:rPr>
              <w:t xml:space="preserve"> (202</w:t>
            </w:r>
            <w:r>
              <w:rPr>
                <w:color w:val="000000"/>
              </w:rPr>
              <w:t>4</w:t>
            </w:r>
            <w:r w:rsidR="003065B0">
              <w:rPr>
                <w:color w:val="000000"/>
              </w:rPr>
              <w:t>)</w:t>
            </w:r>
          </w:p>
        </w:tc>
      </w:tr>
      <w:tr w14:paraId="58EA9DC3" w14:textId="741C32E5" w:rsidTr="005A70AD">
        <w:tblPrEx>
          <w:tblW w:w="8915" w:type="dxa"/>
          <w:tblLook w:val="04A0"/>
        </w:tblPrEx>
        <w:trPr>
          <w:trHeight w:val="315"/>
        </w:trPr>
        <w:tc>
          <w:tcPr>
            <w:tcW w:w="1469" w:type="dxa"/>
            <w:vMerge/>
            <w:hideMark/>
          </w:tcPr>
          <w:p w:rsidR="001B5AF9" w:rsidRPr="00640DF6" w14:paraId="084651CA" w14:textId="77777777">
            <w:pPr>
              <w:rPr>
                <w:color w:val="000000"/>
              </w:rPr>
            </w:pPr>
          </w:p>
        </w:tc>
        <w:tc>
          <w:tcPr>
            <w:tcW w:w="2486" w:type="dxa"/>
            <w:noWrap/>
            <w:hideMark/>
          </w:tcPr>
          <w:p w:rsidR="001B5AF9" w:rsidRPr="00640DF6" w14:paraId="0CBC67A9" w14:textId="77777777">
            <w:pPr>
              <w:rPr>
                <w:color w:val="000000"/>
              </w:rPr>
            </w:pPr>
            <w:r w:rsidRPr="00640DF6">
              <w:rPr>
                <w:color w:val="000000"/>
              </w:rPr>
              <w:t>AIMEXPO</w:t>
            </w:r>
          </w:p>
        </w:tc>
        <w:tc>
          <w:tcPr>
            <w:tcW w:w="1800" w:type="dxa"/>
            <w:noWrap/>
            <w:hideMark/>
          </w:tcPr>
          <w:p w:rsidR="001B5AF9" w:rsidRPr="00640DF6" w14:paraId="32E1777E" w14:textId="77777777">
            <w:pPr>
              <w:rPr>
                <w:color w:val="000000"/>
              </w:rPr>
            </w:pPr>
            <w:r w:rsidRPr="00640DF6">
              <w:rPr>
                <w:color w:val="000000"/>
              </w:rPr>
              <w:t>Nevada</w:t>
            </w:r>
          </w:p>
        </w:tc>
        <w:tc>
          <w:tcPr>
            <w:tcW w:w="1260" w:type="dxa"/>
            <w:noWrap/>
            <w:hideMark/>
          </w:tcPr>
          <w:p w:rsidR="001B5AF9" w:rsidRPr="00640DF6" w14:paraId="0EB1DFFD" w14:textId="77777777">
            <w:pPr>
              <w:rPr>
                <w:color w:val="000000"/>
              </w:rPr>
            </w:pPr>
            <w:r w:rsidRPr="00640DF6">
              <w:rPr>
                <w:color w:val="000000"/>
              </w:rPr>
              <w:t>February</w:t>
            </w:r>
          </w:p>
        </w:tc>
        <w:tc>
          <w:tcPr>
            <w:tcW w:w="1900" w:type="dxa"/>
          </w:tcPr>
          <w:p w:rsidR="001B5AF9" w:rsidRPr="00640DF6" w14:paraId="78D971F3" w14:textId="5BA305B7">
            <w:pPr>
              <w:rPr>
                <w:color w:val="000000"/>
              </w:rPr>
            </w:pPr>
            <w:r>
              <w:rPr>
                <w:color w:val="000000"/>
              </w:rPr>
              <w:t>4,500 (202</w:t>
            </w:r>
            <w:r w:rsidR="00EE53BA">
              <w:rPr>
                <w:color w:val="000000"/>
              </w:rPr>
              <w:t>5</w:t>
            </w:r>
            <w:r>
              <w:rPr>
                <w:color w:val="000000"/>
              </w:rPr>
              <w:t>)</w:t>
            </w:r>
          </w:p>
        </w:tc>
      </w:tr>
      <w:tr w14:paraId="3CA9FEEF" w14:textId="59CC5CC9" w:rsidTr="005A70AD">
        <w:tblPrEx>
          <w:tblW w:w="8915" w:type="dxa"/>
          <w:tblLook w:val="04A0"/>
        </w:tblPrEx>
        <w:trPr>
          <w:trHeight w:val="300"/>
        </w:trPr>
        <w:tc>
          <w:tcPr>
            <w:tcW w:w="1469" w:type="dxa"/>
            <w:vMerge w:val="restart"/>
            <w:noWrap/>
            <w:hideMark/>
          </w:tcPr>
          <w:p w:rsidR="001B5AF9" w:rsidRPr="00640DF6" w14:paraId="3BB32C2A" w14:textId="77777777">
            <w:pPr>
              <w:jc w:val="center"/>
              <w:rPr>
                <w:color w:val="000000"/>
              </w:rPr>
            </w:pPr>
            <w:r w:rsidRPr="00640DF6">
              <w:rPr>
                <w:color w:val="000000"/>
              </w:rPr>
              <w:t>Cruisers</w:t>
            </w:r>
          </w:p>
        </w:tc>
        <w:tc>
          <w:tcPr>
            <w:tcW w:w="2486" w:type="dxa"/>
            <w:noWrap/>
            <w:hideMark/>
          </w:tcPr>
          <w:p w:rsidR="001B5AF9" w:rsidRPr="00640DF6" w14:paraId="63B2176E" w14:textId="77777777">
            <w:pPr>
              <w:rPr>
                <w:color w:val="000000"/>
              </w:rPr>
            </w:pPr>
            <w:r w:rsidRPr="00640DF6">
              <w:rPr>
                <w:color w:val="000000"/>
              </w:rPr>
              <w:t>Myrtle Beach Bike Week</w:t>
            </w:r>
          </w:p>
        </w:tc>
        <w:tc>
          <w:tcPr>
            <w:tcW w:w="1800" w:type="dxa"/>
            <w:noWrap/>
            <w:hideMark/>
          </w:tcPr>
          <w:p w:rsidR="001B5AF9" w:rsidRPr="00640DF6" w14:paraId="4239BE70" w14:textId="77777777">
            <w:pPr>
              <w:rPr>
                <w:color w:val="000000"/>
              </w:rPr>
            </w:pPr>
            <w:r w:rsidRPr="00640DF6">
              <w:rPr>
                <w:color w:val="000000"/>
              </w:rPr>
              <w:t>South Carolina</w:t>
            </w:r>
          </w:p>
        </w:tc>
        <w:tc>
          <w:tcPr>
            <w:tcW w:w="1260" w:type="dxa"/>
            <w:noWrap/>
            <w:hideMark/>
          </w:tcPr>
          <w:p w:rsidR="001B5AF9" w:rsidRPr="00640DF6" w14:paraId="3C4BA29C" w14:textId="77777777">
            <w:pPr>
              <w:rPr>
                <w:color w:val="000000"/>
              </w:rPr>
            </w:pPr>
            <w:r w:rsidRPr="00640DF6">
              <w:rPr>
                <w:color w:val="000000"/>
              </w:rPr>
              <w:t>October</w:t>
            </w:r>
          </w:p>
        </w:tc>
        <w:tc>
          <w:tcPr>
            <w:tcW w:w="1900" w:type="dxa"/>
          </w:tcPr>
          <w:p w:rsidR="001B5AF9" w:rsidRPr="00640DF6" w14:paraId="101068C2" w14:textId="7D8362CD">
            <w:pPr>
              <w:rPr>
                <w:color w:val="000000"/>
              </w:rPr>
            </w:pPr>
            <w:r>
              <w:rPr>
                <w:color w:val="000000"/>
              </w:rPr>
              <w:t>500,000 (202</w:t>
            </w:r>
            <w:r w:rsidR="00EE53BA">
              <w:rPr>
                <w:color w:val="000000"/>
              </w:rPr>
              <w:t>4</w:t>
            </w:r>
            <w:r>
              <w:rPr>
                <w:color w:val="000000"/>
              </w:rPr>
              <w:t>)</w:t>
            </w:r>
          </w:p>
        </w:tc>
      </w:tr>
      <w:tr w14:paraId="2EDFE13A" w14:textId="121F5E72" w:rsidTr="005A70AD">
        <w:tblPrEx>
          <w:tblW w:w="8915" w:type="dxa"/>
          <w:tblLook w:val="04A0"/>
        </w:tblPrEx>
        <w:trPr>
          <w:trHeight w:val="315"/>
        </w:trPr>
        <w:tc>
          <w:tcPr>
            <w:tcW w:w="1469" w:type="dxa"/>
            <w:vMerge/>
            <w:hideMark/>
          </w:tcPr>
          <w:p w:rsidR="001B5AF9" w:rsidRPr="00640DF6" w14:paraId="60A5DC82" w14:textId="77777777">
            <w:pPr>
              <w:rPr>
                <w:color w:val="000000"/>
              </w:rPr>
            </w:pPr>
          </w:p>
        </w:tc>
        <w:tc>
          <w:tcPr>
            <w:tcW w:w="2486" w:type="dxa"/>
            <w:noWrap/>
            <w:hideMark/>
          </w:tcPr>
          <w:p w:rsidR="001B5AF9" w:rsidRPr="00640DF6" w14:paraId="56093E38" w14:textId="79503AF9">
            <w:pPr>
              <w:rPr>
                <w:color w:val="000000"/>
              </w:rPr>
            </w:pPr>
            <w:r w:rsidRPr="00640DF6">
              <w:rPr>
                <w:color w:val="000000"/>
              </w:rPr>
              <w:t>Bikefest Lake of the O</w:t>
            </w:r>
            <w:r w:rsidR="001B1BDB">
              <w:rPr>
                <w:color w:val="000000"/>
              </w:rPr>
              <w:t>z</w:t>
            </w:r>
            <w:r w:rsidRPr="00640DF6">
              <w:rPr>
                <w:color w:val="000000"/>
              </w:rPr>
              <w:t>arks</w:t>
            </w:r>
          </w:p>
        </w:tc>
        <w:tc>
          <w:tcPr>
            <w:tcW w:w="1800" w:type="dxa"/>
            <w:noWrap/>
            <w:hideMark/>
          </w:tcPr>
          <w:p w:rsidR="001B5AF9" w:rsidRPr="00640DF6" w14:paraId="3BA4BFC3" w14:textId="77777777">
            <w:pPr>
              <w:rPr>
                <w:color w:val="000000"/>
              </w:rPr>
            </w:pPr>
            <w:r w:rsidRPr="00640DF6">
              <w:rPr>
                <w:color w:val="000000"/>
              </w:rPr>
              <w:t>Missouri</w:t>
            </w:r>
          </w:p>
        </w:tc>
        <w:tc>
          <w:tcPr>
            <w:tcW w:w="1260" w:type="dxa"/>
            <w:noWrap/>
            <w:hideMark/>
          </w:tcPr>
          <w:p w:rsidR="001B5AF9" w:rsidRPr="00640DF6" w14:paraId="3A5D7861" w14:textId="77777777">
            <w:pPr>
              <w:rPr>
                <w:color w:val="000000"/>
              </w:rPr>
            </w:pPr>
            <w:r w:rsidRPr="00640DF6">
              <w:rPr>
                <w:color w:val="000000"/>
              </w:rPr>
              <w:t>September</w:t>
            </w:r>
          </w:p>
        </w:tc>
        <w:tc>
          <w:tcPr>
            <w:tcW w:w="1900" w:type="dxa"/>
          </w:tcPr>
          <w:p w:rsidR="001B5AF9" w:rsidRPr="00640DF6" w14:paraId="5876E97E" w14:textId="24B477F2">
            <w:pPr>
              <w:rPr>
                <w:color w:val="000000"/>
              </w:rPr>
            </w:pPr>
            <w:r>
              <w:rPr>
                <w:color w:val="000000"/>
              </w:rPr>
              <w:t>125,000 (2024)</w:t>
            </w:r>
          </w:p>
        </w:tc>
      </w:tr>
      <w:tr w14:paraId="68E1EBCC" w14:textId="23977775" w:rsidTr="005A70AD">
        <w:tblPrEx>
          <w:tblW w:w="8915" w:type="dxa"/>
          <w:tblLook w:val="04A0"/>
        </w:tblPrEx>
        <w:trPr>
          <w:trHeight w:val="300"/>
        </w:trPr>
        <w:tc>
          <w:tcPr>
            <w:tcW w:w="1469" w:type="dxa"/>
            <w:vMerge w:val="restart"/>
            <w:noWrap/>
            <w:hideMark/>
          </w:tcPr>
          <w:p w:rsidR="00FA0E1C" w14:paraId="560DD10B" w14:textId="77777777">
            <w:pPr>
              <w:jc w:val="center"/>
              <w:rPr>
                <w:b w:val="0"/>
                <w:bCs w:val="0"/>
                <w:color w:val="000000"/>
              </w:rPr>
            </w:pPr>
            <w:r>
              <w:rPr>
                <w:color w:val="000000"/>
              </w:rPr>
              <w:t>Adventure/</w:t>
            </w:r>
          </w:p>
          <w:p w:rsidR="001B5AF9" w:rsidRPr="00640DF6" w14:paraId="5DD04C8E" w14:textId="3D7B92A6">
            <w:pPr>
              <w:jc w:val="center"/>
              <w:rPr>
                <w:color w:val="000000"/>
              </w:rPr>
            </w:pPr>
            <w:r w:rsidRPr="00640DF6">
              <w:rPr>
                <w:color w:val="000000"/>
              </w:rPr>
              <w:t xml:space="preserve">Touring </w:t>
            </w:r>
            <w:r w:rsidR="00EE16A1">
              <w:rPr>
                <w:color w:val="000000"/>
              </w:rPr>
              <w:t>Motorcycle</w:t>
            </w:r>
          </w:p>
        </w:tc>
        <w:tc>
          <w:tcPr>
            <w:tcW w:w="2486" w:type="dxa"/>
            <w:noWrap/>
            <w:hideMark/>
          </w:tcPr>
          <w:p w:rsidR="001B5AF9" w:rsidRPr="00640DF6" w14:paraId="1B15BF4D" w14:textId="77777777">
            <w:pPr>
              <w:rPr>
                <w:color w:val="000000"/>
              </w:rPr>
            </w:pPr>
            <w:r w:rsidRPr="00640DF6">
              <w:rPr>
                <w:color w:val="000000"/>
              </w:rPr>
              <w:t>AMA Gypsy Tour</w:t>
            </w:r>
          </w:p>
        </w:tc>
        <w:tc>
          <w:tcPr>
            <w:tcW w:w="1800" w:type="dxa"/>
            <w:noWrap/>
            <w:hideMark/>
          </w:tcPr>
          <w:p w:rsidR="001B5AF9" w:rsidRPr="00640DF6" w14:paraId="2C58AD0A" w14:textId="77777777">
            <w:pPr>
              <w:rPr>
                <w:color w:val="000000"/>
              </w:rPr>
            </w:pPr>
            <w:r w:rsidRPr="00640DF6">
              <w:rPr>
                <w:color w:val="000000"/>
              </w:rPr>
              <w:t>Florida</w:t>
            </w:r>
          </w:p>
        </w:tc>
        <w:tc>
          <w:tcPr>
            <w:tcW w:w="1260" w:type="dxa"/>
            <w:noWrap/>
            <w:hideMark/>
          </w:tcPr>
          <w:p w:rsidR="001B5AF9" w:rsidRPr="00640DF6" w14:paraId="60F317B9" w14:textId="77777777">
            <w:pPr>
              <w:rPr>
                <w:color w:val="000000"/>
              </w:rPr>
            </w:pPr>
            <w:r w:rsidRPr="00640DF6">
              <w:rPr>
                <w:color w:val="000000"/>
              </w:rPr>
              <w:t>March</w:t>
            </w:r>
          </w:p>
        </w:tc>
        <w:tc>
          <w:tcPr>
            <w:tcW w:w="1900" w:type="dxa"/>
          </w:tcPr>
          <w:p w:rsidR="001B5AF9" w:rsidRPr="00640DF6" w14:paraId="04CE8046" w14:textId="41D1EA28">
            <w:pPr>
              <w:rPr>
                <w:color w:val="000000"/>
              </w:rPr>
            </w:pPr>
            <w:r>
              <w:rPr>
                <w:color w:val="000000"/>
              </w:rPr>
              <w:t>40,000 (2022)</w:t>
            </w:r>
          </w:p>
        </w:tc>
      </w:tr>
      <w:tr w14:paraId="3D824EEC" w14:textId="29017FA6" w:rsidTr="005A70AD">
        <w:tblPrEx>
          <w:tblW w:w="8915" w:type="dxa"/>
          <w:tblLook w:val="04A0"/>
        </w:tblPrEx>
        <w:trPr>
          <w:trHeight w:val="315"/>
        </w:trPr>
        <w:tc>
          <w:tcPr>
            <w:tcW w:w="1469" w:type="dxa"/>
            <w:vMerge/>
            <w:hideMark/>
          </w:tcPr>
          <w:p w:rsidR="001B5AF9" w:rsidRPr="00640DF6" w14:paraId="3E1FD7E9" w14:textId="77777777">
            <w:pPr>
              <w:rPr>
                <w:color w:val="000000"/>
              </w:rPr>
            </w:pPr>
          </w:p>
        </w:tc>
        <w:tc>
          <w:tcPr>
            <w:tcW w:w="2486" w:type="dxa"/>
            <w:noWrap/>
            <w:hideMark/>
          </w:tcPr>
          <w:p w:rsidR="001B5AF9" w:rsidRPr="00640DF6" w14:paraId="66AAE793" w14:textId="77777777">
            <w:pPr>
              <w:rPr>
                <w:color w:val="000000"/>
              </w:rPr>
            </w:pPr>
            <w:r w:rsidRPr="00640DF6">
              <w:rPr>
                <w:color w:val="000000"/>
              </w:rPr>
              <w:t>Myrtle Beach Bike Week</w:t>
            </w:r>
          </w:p>
        </w:tc>
        <w:tc>
          <w:tcPr>
            <w:tcW w:w="1800" w:type="dxa"/>
            <w:noWrap/>
            <w:hideMark/>
          </w:tcPr>
          <w:p w:rsidR="001B5AF9" w:rsidRPr="00640DF6" w14:paraId="4582DBC0" w14:textId="77777777">
            <w:pPr>
              <w:rPr>
                <w:color w:val="000000"/>
              </w:rPr>
            </w:pPr>
            <w:r w:rsidRPr="00640DF6">
              <w:rPr>
                <w:color w:val="000000"/>
              </w:rPr>
              <w:t>South Carolina</w:t>
            </w:r>
          </w:p>
        </w:tc>
        <w:tc>
          <w:tcPr>
            <w:tcW w:w="1260" w:type="dxa"/>
            <w:noWrap/>
            <w:hideMark/>
          </w:tcPr>
          <w:p w:rsidR="001B5AF9" w:rsidRPr="00640DF6" w14:paraId="48353D6D" w14:textId="77777777">
            <w:pPr>
              <w:rPr>
                <w:color w:val="000000"/>
              </w:rPr>
            </w:pPr>
            <w:r w:rsidRPr="00640DF6">
              <w:rPr>
                <w:color w:val="000000"/>
              </w:rPr>
              <w:t>October</w:t>
            </w:r>
          </w:p>
        </w:tc>
        <w:tc>
          <w:tcPr>
            <w:tcW w:w="1900" w:type="dxa"/>
          </w:tcPr>
          <w:p w:rsidR="001B5AF9" w:rsidRPr="00640DF6" w14:paraId="398ACBE0" w14:textId="20C59EDB">
            <w:pPr>
              <w:rPr>
                <w:color w:val="000000"/>
              </w:rPr>
            </w:pPr>
            <w:r>
              <w:rPr>
                <w:color w:val="000000"/>
              </w:rPr>
              <w:t>500,000 (202</w:t>
            </w:r>
            <w:r w:rsidR="00EE53BA">
              <w:rPr>
                <w:color w:val="000000"/>
              </w:rPr>
              <w:t>4</w:t>
            </w:r>
            <w:r>
              <w:rPr>
                <w:color w:val="000000"/>
              </w:rPr>
              <w:t>)</w:t>
            </w:r>
          </w:p>
        </w:tc>
      </w:tr>
      <w:tr w14:paraId="295EE393" w14:textId="3BEFCEA6" w:rsidTr="005A70AD">
        <w:tblPrEx>
          <w:tblW w:w="8915" w:type="dxa"/>
          <w:tblLook w:val="04A0"/>
        </w:tblPrEx>
        <w:trPr>
          <w:trHeight w:val="300"/>
        </w:trPr>
        <w:tc>
          <w:tcPr>
            <w:tcW w:w="1469" w:type="dxa"/>
            <w:vMerge w:val="restart"/>
            <w:noWrap/>
            <w:hideMark/>
          </w:tcPr>
          <w:p w:rsidR="001B5AF9" w:rsidRPr="00640DF6" w14:paraId="4B1A82C9" w14:textId="77777777">
            <w:pPr>
              <w:jc w:val="center"/>
              <w:rPr>
                <w:color w:val="000000"/>
              </w:rPr>
            </w:pPr>
            <w:r w:rsidRPr="00640DF6">
              <w:rPr>
                <w:color w:val="000000"/>
              </w:rPr>
              <w:t>Standard Motorcycles</w:t>
            </w:r>
          </w:p>
        </w:tc>
        <w:tc>
          <w:tcPr>
            <w:tcW w:w="2486" w:type="dxa"/>
            <w:noWrap/>
            <w:hideMark/>
          </w:tcPr>
          <w:p w:rsidR="001B5AF9" w:rsidRPr="00640DF6" w14:paraId="531824B2" w14:textId="15F359D2">
            <w:pPr>
              <w:rPr>
                <w:color w:val="000000"/>
              </w:rPr>
            </w:pPr>
            <w:r w:rsidRPr="00640DF6">
              <w:rPr>
                <w:color w:val="000000"/>
              </w:rPr>
              <w:t>Thunder</w:t>
            </w:r>
            <w:r w:rsidR="00A11F98">
              <w:rPr>
                <w:color w:val="000000"/>
              </w:rPr>
              <w:t xml:space="preserve"> B</w:t>
            </w:r>
            <w:r w:rsidRPr="00640DF6">
              <w:rPr>
                <w:color w:val="000000"/>
              </w:rPr>
              <w:t>each Motorcycle Rally</w:t>
            </w:r>
          </w:p>
        </w:tc>
        <w:tc>
          <w:tcPr>
            <w:tcW w:w="1800" w:type="dxa"/>
            <w:noWrap/>
            <w:hideMark/>
          </w:tcPr>
          <w:p w:rsidR="001B5AF9" w:rsidRPr="00640DF6" w14:paraId="6044AC09" w14:textId="77777777">
            <w:pPr>
              <w:rPr>
                <w:color w:val="000000"/>
              </w:rPr>
            </w:pPr>
            <w:r w:rsidRPr="00640DF6">
              <w:rPr>
                <w:color w:val="000000"/>
              </w:rPr>
              <w:t>Florida</w:t>
            </w:r>
          </w:p>
        </w:tc>
        <w:tc>
          <w:tcPr>
            <w:tcW w:w="1260" w:type="dxa"/>
            <w:noWrap/>
            <w:hideMark/>
          </w:tcPr>
          <w:p w:rsidR="001B5AF9" w:rsidRPr="00640DF6" w14:paraId="4588BA46" w14:textId="77777777">
            <w:pPr>
              <w:rPr>
                <w:color w:val="000000"/>
              </w:rPr>
            </w:pPr>
            <w:r w:rsidRPr="00640DF6">
              <w:rPr>
                <w:color w:val="000000"/>
              </w:rPr>
              <w:t>October</w:t>
            </w:r>
          </w:p>
        </w:tc>
        <w:tc>
          <w:tcPr>
            <w:tcW w:w="1900" w:type="dxa"/>
          </w:tcPr>
          <w:p w:rsidR="001B5AF9" w:rsidRPr="00640DF6" w14:paraId="79D79D7A" w14:textId="2E677CD8">
            <w:pPr>
              <w:rPr>
                <w:color w:val="000000"/>
              </w:rPr>
            </w:pPr>
            <w:r>
              <w:rPr>
                <w:color w:val="000000"/>
              </w:rPr>
              <w:t>60,000 (202</w:t>
            </w:r>
            <w:r w:rsidR="00EE53BA">
              <w:rPr>
                <w:color w:val="000000"/>
              </w:rPr>
              <w:t>4</w:t>
            </w:r>
            <w:r>
              <w:rPr>
                <w:color w:val="000000"/>
              </w:rPr>
              <w:t>)</w:t>
            </w:r>
          </w:p>
        </w:tc>
      </w:tr>
      <w:tr w14:paraId="7112B8FE" w14:textId="758EB86A" w:rsidTr="005A70AD">
        <w:tblPrEx>
          <w:tblW w:w="8915" w:type="dxa"/>
          <w:tblLook w:val="04A0"/>
        </w:tblPrEx>
        <w:trPr>
          <w:trHeight w:val="315"/>
        </w:trPr>
        <w:tc>
          <w:tcPr>
            <w:tcW w:w="1469" w:type="dxa"/>
            <w:vMerge/>
            <w:hideMark/>
          </w:tcPr>
          <w:p w:rsidR="001B5AF9" w:rsidRPr="00640DF6" w14:paraId="384D5791" w14:textId="77777777">
            <w:pPr>
              <w:rPr>
                <w:color w:val="000000"/>
              </w:rPr>
            </w:pPr>
          </w:p>
        </w:tc>
        <w:tc>
          <w:tcPr>
            <w:tcW w:w="2486" w:type="dxa"/>
            <w:noWrap/>
            <w:hideMark/>
          </w:tcPr>
          <w:p w:rsidR="001B5AF9" w:rsidRPr="00640DF6" w14:paraId="0A25355D" w14:textId="77777777">
            <w:pPr>
              <w:rPr>
                <w:color w:val="000000"/>
              </w:rPr>
            </w:pPr>
            <w:r w:rsidRPr="00640DF6">
              <w:rPr>
                <w:color w:val="000000"/>
              </w:rPr>
              <w:t>White Mountain Boogie N’ Blues Festival</w:t>
            </w:r>
          </w:p>
        </w:tc>
        <w:tc>
          <w:tcPr>
            <w:tcW w:w="1800" w:type="dxa"/>
            <w:noWrap/>
            <w:hideMark/>
          </w:tcPr>
          <w:p w:rsidR="001B5AF9" w:rsidRPr="00640DF6" w14:paraId="507CE289" w14:textId="77777777">
            <w:pPr>
              <w:rPr>
                <w:color w:val="000000"/>
              </w:rPr>
            </w:pPr>
            <w:r w:rsidRPr="00640DF6">
              <w:rPr>
                <w:color w:val="000000"/>
              </w:rPr>
              <w:t>New Hampshire</w:t>
            </w:r>
          </w:p>
        </w:tc>
        <w:tc>
          <w:tcPr>
            <w:tcW w:w="1260" w:type="dxa"/>
            <w:noWrap/>
            <w:hideMark/>
          </w:tcPr>
          <w:p w:rsidR="001B5AF9" w:rsidRPr="00640DF6" w14:paraId="620B92FC" w14:textId="77777777">
            <w:pPr>
              <w:rPr>
                <w:color w:val="000000"/>
              </w:rPr>
            </w:pPr>
            <w:r w:rsidRPr="00640DF6">
              <w:rPr>
                <w:color w:val="000000"/>
              </w:rPr>
              <w:t>August</w:t>
            </w:r>
          </w:p>
        </w:tc>
        <w:tc>
          <w:tcPr>
            <w:tcW w:w="1900" w:type="dxa"/>
          </w:tcPr>
          <w:p w:rsidR="001B5AF9" w:rsidRPr="00640DF6" w14:paraId="7F459F95" w14:textId="201BB73A">
            <w:pPr>
              <w:rPr>
                <w:color w:val="000000"/>
              </w:rPr>
            </w:pPr>
            <w:r>
              <w:rPr>
                <w:color w:val="000000"/>
              </w:rPr>
              <w:t>4,500 (202</w:t>
            </w:r>
            <w:r w:rsidR="00EE53BA">
              <w:rPr>
                <w:color w:val="000000"/>
              </w:rPr>
              <w:t>4</w:t>
            </w:r>
            <w:r>
              <w:rPr>
                <w:color w:val="000000"/>
              </w:rPr>
              <w:t>)</w:t>
            </w:r>
          </w:p>
        </w:tc>
      </w:tr>
      <w:tr w14:paraId="0C3A5FF4" w14:textId="77777777" w:rsidTr="005A70AD">
        <w:tblPrEx>
          <w:tblW w:w="8915" w:type="dxa"/>
          <w:tblLook w:val="04A0"/>
        </w:tblPrEx>
        <w:trPr>
          <w:trHeight w:val="315"/>
        </w:trPr>
        <w:tc>
          <w:tcPr>
            <w:tcW w:w="1469" w:type="dxa"/>
            <w:vMerge w:val="restart"/>
          </w:tcPr>
          <w:p w:rsidR="004723DF" w:rsidRPr="00CD2552" w14:paraId="1C64EAB4" w14:textId="0AEC9ADD">
            <w:pPr>
              <w:rPr>
                <w:color w:val="000000"/>
              </w:rPr>
            </w:pPr>
            <w:r w:rsidRPr="00CD2552">
              <w:rPr>
                <w:color w:val="000000"/>
              </w:rPr>
              <w:t xml:space="preserve">Sport </w:t>
            </w:r>
            <w:r w:rsidR="00EE16A1">
              <w:rPr>
                <w:color w:val="000000"/>
              </w:rPr>
              <w:t>Motorcycles</w:t>
            </w:r>
            <w:r w:rsidRPr="00CD2552">
              <w:rPr>
                <w:color w:val="000000"/>
              </w:rPr>
              <w:t xml:space="preserve"> </w:t>
            </w:r>
          </w:p>
        </w:tc>
        <w:tc>
          <w:tcPr>
            <w:tcW w:w="2486" w:type="dxa"/>
            <w:noWrap/>
          </w:tcPr>
          <w:p w:rsidR="004723DF" w:rsidRPr="004723DF" w14:paraId="668CB04A" w14:textId="12C63A2D">
            <w:pPr>
              <w:rPr>
                <w:color w:val="000000"/>
              </w:rPr>
            </w:pPr>
            <w:r>
              <w:rPr>
                <w:color w:val="000000"/>
              </w:rPr>
              <w:t>Laconia Motorcycle Week (New Hampshire Motor Speedway)</w:t>
            </w:r>
          </w:p>
        </w:tc>
        <w:tc>
          <w:tcPr>
            <w:tcW w:w="1800" w:type="dxa"/>
            <w:noWrap/>
          </w:tcPr>
          <w:p w:rsidR="004723DF" w:rsidRPr="004723DF" w14:paraId="3E53E9DD" w14:textId="3C2A1107">
            <w:pPr>
              <w:rPr>
                <w:color w:val="000000"/>
              </w:rPr>
            </w:pPr>
            <w:r>
              <w:rPr>
                <w:color w:val="000000"/>
              </w:rPr>
              <w:t>New Hampshire</w:t>
            </w:r>
          </w:p>
        </w:tc>
        <w:tc>
          <w:tcPr>
            <w:tcW w:w="1260" w:type="dxa"/>
            <w:noWrap/>
          </w:tcPr>
          <w:p w:rsidR="004723DF" w:rsidRPr="004723DF" w14:paraId="343F9B1A" w14:textId="44B395D9">
            <w:pPr>
              <w:rPr>
                <w:color w:val="000000"/>
              </w:rPr>
            </w:pPr>
            <w:r>
              <w:rPr>
                <w:color w:val="000000"/>
              </w:rPr>
              <w:t>June</w:t>
            </w:r>
          </w:p>
        </w:tc>
        <w:tc>
          <w:tcPr>
            <w:tcW w:w="1900" w:type="dxa"/>
          </w:tcPr>
          <w:p w:rsidR="004723DF" w14:paraId="072E09CB" w14:textId="13AA5F58">
            <w:pPr>
              <w:rPr>
                <w:color w:val="000000"/>
              </w:rPr>
            </w:pPr>
            <w:r>
              <w:rPr>
                <w:color w:val="000000"/>
              </w:rPr>
              <w:t>300,000 (2024)</w:t>
            </w:r>
          </w:p>
        </w:tc>
      </w:tr>
      <w:tr w14:paraId="7498F2C2" w14:textId="5DDD8F1F" w:rsidTr="005A70AD">
        <w:tblPrEx>
          <w:tblW w:w="8915" w:type="dxa"/>
          <w:tblLook w:val="04A0"/>
        </w:tblPrEx>
        <w:trPr>
          <w:trHeight w:val="315"/>
        </w:trPr>
        <w:tc>
          <w:tcPr>
            <w:tcW w:w="1469" w:type="dxa"/>
            <w:vMerge/>
            <w:hideMark/>
          </w:tcPr>
          <w:p w:rsidR="004723DF" w:rsidRPr="004723DF" w14:paraId="2D54C6AD" w14:textId="18121ED4">
            <w:pPr>
              <w:rPr>
                <w:color w:val="000000"/>
              </w:rPr>
            </w:pPr>
          </w:p>
        </w:tc>
        <w:tc>
          <w:tcPr>
            <w:tcW w:w="2486" w:type="dxa"/>
            <w:noWrap/>
            <w:hideMark/>
          </w:tcPr>
          <w:p w:rsidR="004723DF" w:rsidRPr="004723DF" w14:paraId="28569CF0" w14:textId="77777777">
            <w:pPr>
              <w:rPr>
                <w:color w:val="000000"/>
              </w:rPr>
            </w:pPr>
            <w:r w:rsidRPr="004723DF">
              <w:rPr>
                <w:color w:val="000000"/>
              </w:rPr>
              <w:t>MotoAmerica</w:t>
            </w:r>
          </w:p>
        </w:tc>
        <w:tc>
          <w:tcPr>
            <w:tcW w:w="1800" w:type="dxa"/>
            <w:noWrap/>
            <w:hideMark/>
          </w:tcPr>
          <w:p w:rsidR="004723DF" w:rsidRPr="004723DF" w14:paraId="1DCF5E9C" w14:textId="77777777">
            <w:pPr>
              <w:rPr>
                <w:color w:val="000000"/>
              </w:rPr>
            </w:pPr>
            <w:r w:rsidRPr="004723DF">
              <w:rPr>
                <w:color w:val="000000"/>
              </w:rPr>
              <w:t>Various</w:t>
            </w:r>
          </w:p>
        </w:tc>
        <w:tc>
          <w:tcPr>
            <w:tcW w:w="1260" w:type="dxa"/>
            <w:noWrap/>
            <w:hideMark/>
          </w:tcPr>
          <w:p w:rsidR="004723DF" w:rsidRPr="004723DF" w14:paraId="376D3BB9" w14:textId="77777777">
            <w:pPr>
              <w:rPr>
                <w:color w:val="000000"/>
              </w:rPr>
            </w:pPr>
            <w:r w:rsidRPr="004723DF">
              <w:rPr>
                <w:color w:val="000000"/>
              </w:rPr>
              <w:t>March - Sept.</w:t>
            </w:r>
          </w:p>
        </w:tc>
        <w:tc>
          <w:tcPr>
            <w:tcW w:w="1900" w:type="dxa"/>
          </w:tcPr>
          <w:p w:rsidR="004723DF" w:rsidRPr="004723DF" w14:paraId="17C88B5B" w14:textId="727220A0">
            <w:pPr>
              <w:rPr>
                <w:color w:val="000000"/>
              </w:rPr>
            </w:pPr>
            <w:r>
              <w:rPr>
                <w:color w:val="000000"/>
              </w:rPr>
              <w:t>300,000 (2022; across 10 events)</w:t>
            </w:r>
          </w:p>
        </w:tc>
      </w:tr>
      <w:tr w14:paraId="71C6F99A" w14:textId="011F5A72" w:rsidTr="005A70AD">
        <w:tblPrEx>
          <w:tblW w:w="8915" w:type="dxa"/>
          <w:tblLook w:val="04A0"/>
        </w:tblPrEx>
        <w:trPr>
          <w:trHeight w:val="300"/>
        </w:trPr>
        <w:tc>
          <w:tcPr>
            <w:tcW w:w="1469" w:type="dxa"/>
            <w:vMerge w:val="restart"/>
            <w:noWrap/>
            <w:hideMark/>
          </w:tcPr>
          <w:p w:rsidR="001B5AF9" w:rsidRPr="00640DF6" w14:paraId="2AA5F26A" w14:textId="70A9729B">
            <w:pPr>
              <w:jc w:val="center"/>
              <w:rPr>
                <w:color w:val="000000"/>
              </w:rPr>
            </w:pPr>
            <w:r w:rsidRPr="00640DF6">
              <w:rPr>
                <w:color w:val="000000"/>
              </w:rPr>
              <w:t>Scooters</w:t>
            </w:r>
          </w:p>
        </w:tc>
        <w:tc>
          <w:tcPr>
            <w:tcW w:w="2486" w:type="dxa"/>
            <w:noWrap/>
            <w:hideMark/>
          </w:tcPr>
          <w:p w:rsidR="001B5AF9" w:rsidRPr="00640DF6" w14:paraId="3B51A2C0" w14:textId="77777777">
            <w:pPr>
              <w:rPr>
                <w:color w:val="000000"/>
              </w:rPr>
            </w:pPr>
            <w:r w:rsidRPr="00640DF6">
              <w:rPr>
                <w:color w:val="000000"/>
              </w:rPr>
              <w:t>Beauford Scooter Rally</w:t>
            </w:r>
          </w:p>
        </w:tc>
        <w:tc>
          <w:tcPr>
            <w:tcW w:w="1800" w:type="dxa"/>
            <w:noWrap/>
            <w:hideMark/>
          </w:tcPr>
          <w:p w:rsidR="001B5AF9" w:rsidRPr="00640DF6" w14:paraId="45DD7C36" w14:textId="77777777">
            <w:pPr>
              <w:rPr>
                <w:color w:val="000000"/>
              </w:rPr>
            </w:pPr>
            <w:r w:rsidRPr="00640DF6">
              <w:rPr>
                <w:color w:val="000000"/>
              </w:rPr>
              <w:t>North Carolina</w:t>
            </w:r>
          </w:p>
        </w:tc>
        <w:tc>
          <w:tcPr>
            <w:tcW w:w="1260" w:type="dxa"/>
            <w:noWrap/>
            <w:hideMark/>
          </w:tcPr>
          <w:p w:rsidR="001B5AF9" w:rsidRPr="00640DF6" w14:paraId="5CF30300" w14:textId="77777777">
            <w:pPr>
              <w:rPr>
                <w:color w:val="000000"/>
              </w:rPr>
            </w:pPr>
            <w:r w:rsidRPr="00640DF6">
              <w:rPr>
                <w:color w:val="000000"/>
              </w:rPr>
              <w:t>June</w:t>
            </w:r>
          </w:p>
        </w:tc>
        <w:tc>
          <w:tcPr>
            <w:tcW w:w="1900" w:type="dxa"/>
          </w:tcPr>
          <w:p w:rsidR="001B5AF9" w:rsidRPr="00640DF6" w14:paraId="2ADD6F47" w14:textId="33C98E67">
            <w:pPr>
              <w:rPr>
                <w:color w:val="000000"/>
              </w:rPr>
            </w:pPr>
            <w:r>
              <w:rPr>
                <w:color w:val="000000"/>
              </w:rPr>
              <w:t>Not available</w:t>
            </w:r>
          </w:p>
        </w:tc>
      </w:tr>
      <w:tr w14:paraId="1CD81E32" w14:textId="30F36EC6" w:rsidTr="005A70AD">
        <w:tblPrEx>
          <w:tblW w:w="8915" w:type="dxa"/>
          <w:tblLook w:val="04A0"/>
        </w:tblPrEx>
        <w:trPr>
          <w:trHeight w:val="300"/>
        </w:trPr>
        <w:tc>
          <w:tcPr>
            <w:tcW w:w="1469" w:type="dxa"/>
            <w:vMerge/>
            <w:hideMark/>
          </w:tcPr>
          <w:p w:rsidR="000A6571" w:rsidRPr="00640DF6" w:rsidP="000A6571" w14:paraId="79628AA5" w14:textId="77777777">
            <w:pPr>
              <w:rPr>
                <w:color w:val="000000"/>
              </w:rPr>
            </w:pPr>
          </w:p>
        </w:tc>
        <w:tc>
          <w:tcPr>
            <w:tcW w:w="2486" w:type="dxa"/>
            <w:noWrap/>
            <w:hideMark/>
          </w:tcPr>
          <w:p w:rsidR="000A6571" w:rsidRPr="00640DF6" w:rsidP="000A6571" w14:paraId="546DC5F7" w14:textId="77777777">
            <w:pPr>
              <w:rPr>
                <w:color w:val="000000"/>
              </w:rPr>
            </w:pPr>
            <w:r w:rsidRPr="00640DF6">
              <w:rPr>
                <w:color w:val="000000"/>
              </w:rPr>
              <w:t>Cape Cod Scooter Rally</w:t>
            </w:r>
          </w:p>
        </w:tc>
        <w:tc>
          <w:tcPr>
            <w:tcW w:w="1800" w:type="dxa"/>
            <w:noWrap/>
            <w:hideMark/>
          </w:tcPr>
          <w:p w:rsidR="000A6571" w:rsidRPr="00640DF6" w:rsidP="000A6571" w14:paraId="12506F79" w14:textId="77777777">
            <w:pPr>
              <w:rPr>
                <w:color w:val="000000"/>
              </w:rPr>
            </w:pPr>
            <w:r w:rsidRPr="00640DF6">
              <w:rPr>
                <w:color w:val="000000"/>
              </w:rPr>
              <w:t>Massachusetts</w:t>
            </w:r>
          </w:p>
        </w:tc>
        <w:tc>
          <w:tcPr>
            <w:tcW w:w="1260" w:type="dxa"/>
            <w:noWrap/>
            <w:hideMark/>
          </w:tcPr>
          <w:p w:rsidR="000A6571" w:rsidRPr="00640DF6" w:rsidP="000A6571" w14:paraId="32D12729" w14:textId="77777777">
            <w:pPr>
              <w:rPr>
                <w:color w:val="000000"/>
              </w:rPr>
            </w:pPr>
            <w:r w:rsidRPr="00640DF6">
              <w:rPr>
                <w:color w:val="000000"/>
              </w:rPr>
              <w:t>June</w:t>
            </w:r>
          </w:p>
        </w:tc>
        <w:tc>
          <w:tcPr>
            <w:tcW w:w="1900" w:type="dxa"/>
          </w:tcPr>
          <w:p w:rsidR="000A6571" w:rsidRPr="00640DF6" w:rsidP="000A6571" w14:paraId="05ED76E7" w14:textId="5668D956">
            <w:pPr>
              <w:rPr>
                <w:color w:val="000000"/>
              </w:rPr>
            </w:pPr>
            <w:r>
              <w:rPr>
                <w:color w:val="000000"/>
              </w:rPr>
              <w:t>Not available</w:t>
            </w:r>
          </w:p>
        </w:tc>
      </w:tr>
      <w:tr w14:paraId="5C646876" w14:textId="65813145" w:rsidTr="005A70AD">
        <w:tblPrEx>
          <w:tblW w:w="8915" w:type="dxa"/>
          <w:tblLook w:val="04A0"/>
        </w:tblPrEx>
        <w:trPr>
          <w:trHeight w:val="315"/>
        </w:trPr>
        <w:tc>
          <w:tcPr>
            <w:tcW w:w="1469" w:type="dxa"/>
            <w:vMerge/>
            <w:hideMark/>
          </w:tcPr>
          <w:p w:rsidR="000A6571" w:rsidRPr="00640DF6" w:rsidP="000A6571" w14:paraId="2A0B36E3" w14:textId="77777777">
            <w:pPr>
              <w:rPr>
                <w:color w:val="000000"/>
              </w:rPr>
            </w:pPr>
          </w:p>
        </w:tc>
        <w:tc>
          <w:tcPr>
            <w:tcW w:w="2486" w:type="dxa"/>
            <w:noWrap/>
            <w:hideMark/>
          </w:tcPr>
          <w:p w:rsidR="000A6571" w:rsidRPr="00640DF6" w:rsidP="000A6571" w14:paraId="0B456A53" w14:textId="77777777">
            <w:pPr>
              <w:rPr>
                <w:color w:val="000000"/>
              </w:rPr>
            </w:pPr>
            <w:r w:rsidRPr="00640DF6">
              <w:rPr>
                <w:color w:val="000000"/>
              </w:rPr>
              <w:t>Land of 10K Scoots</w:t>
            </w:r>
          </w:p>
        </w:tc>
        <w:tc>
          <w:tcPr>
            <w:tcW w:w="1800" w:type="dxa"/>
            <w:noWrap/>
            <w:hideMark/>
          </w:tcPr>
          <w:p w:rsidR="000A6571" w:rsidRPr="00640DF6" w:rsidP="000A6571" w14:paraId="010CAD0D" w14:textId="77777777">
            <w:pPr>
              <w:rPr>
                <w:color w:val="000000"/>
              </w:rPr>
            </w:pPr>
            <w:r w:rsidRPr="00640DF6">
              <w:rPr>
                <w:color w:val="000000"/>
              </w:rPr>
              <w:t>Minnesota</w:t>
            </w:r>
          </w:p>
        </w:tc>
        <w:tc>
          <w:tcPr>
            <w:tcW w:w="1260" w:type="dxa"/>
            <w:noWrap/>
            <w:hideMark/>
          </w:tcPr>
          <w:p w:rsidR="000A6571" w:rsidRPr="00640DF6" w:rsidP="000A6571" w14:paraId="5E57765B" w14:textId="77777777">
            <w:pPr>
              <w:rPr>
                <w:color w:val="000000"/>
              </w:rPr>
            </w:pPr>
            <w:r w:rsidRPr="00640DF6">
              <w:rPr>
                <w:color w:val="000000"/>
              </w:rPr>
              <w:t>August</w:t>
            </w:r>
          </w:p>
        </w:tc>
        <w:tc>
          <w:tcPr>
            <w:tcW w:w="1900" w:type="dxa"/>
          </w:tcPr>
          <w:p w:rsidR="000A6571" w:rsidRPr="00640DF6" w:rsidP="000A6571" w14:paraId="284C058C" w14:textId="18E5DF65">
            <w:pPr>
              <w:rPr>
                <w:color w:val="000000"/>
              </w:rPr>
            </w:pPr>
            <w:r>
              <w:rPr>
                <w:color w:val="000000"/>
              </w:rPr>
              <w:t>19,000 (2024)</w:t>
            </w:r>
          </w:p>
        </w:tc>
      </w:tr>
    </w:tbl>
    <w:p w:rsidR="008B17B6" w14:paraId="0C81A5C2" w14:textId="19DD8623">
      <w:pPr>
        <w:spacing w:line="240" w:lineRule="auto"/>
        <w:rPr>
          <w:rFonts w:eastAsia="Calibri"/>
        </w:rPr>
      </w:pPr>
    </w:p>
    <w:p w:rsidR="00EE53BA" w:rsidP="002249D6" w14:paraId="63B8F8EC" w14:textId="77777777">
      <w:pPr>
        <w:spacing w:after="120" w:line="240" w:lineRule="auto"/>
        <w:rPr>
          <w:rFonts w:eastAsia="Calibri"/>
        </w:rPr>
      </w:pPr>
      <w:r>
        <w:rPr>
          <w:rFonts w:eastAsia="Calibri"/>
        </w:rPr>
        <w:br w:type="page"/>
      </w:r>
    </w:p>
    <w:p w:rsidR="008B17B6" w:rsidP="002249D6" w14:paraId="52EB3032" w14:textId="4FD83BFE">
      <w:pPr>
        <w:spacing w:after="120" w:line="240" w:lineRule="auto"/>
        <w:rPr>
          <w:rFonts w:eastAsia="Calibri"/>
        </w:rPr>
      </w:pPr>
      <w:r>
        <w:rPr>
          <w:rFonts w:eastAsia="Calibri"/>
        </w:rPr>
        <w:t xml:space="preserve">The study expects to obtain 625 participants with the breakdown of participant counts by </w:t>
      </w:r>
      <w:r w:rsidR="00E8532F">
        <w:rPr>
          <w:rFonts w:eastAsia="Calibri"/>
        </w:rPr>
        <w:t>motorcycle</w:t>
      </w:r>
      <w:r>
        <w:rPr>
          <w:rFonts w:eastAsia="Calibri"/>
        </w:rPr>
        <w:t xml:space="preserve"> type </w:t>
      </w:r>
      <w:r w:rsidR="00925E71">
        <w:rPr>
          <w:rFonts w:eastAsia="Calibri"/>
        </w:rPr>
        <w:t>shown</w:t>
      </w:r>
      <w:r>
        <w:rPr>
          <w:rFonts w:eastAsia="Calibri"/>
        </w:rPr>
        <w:t xml:space="preserve"> in </w:t>
      </w:r>
      <w:r>
        <w:rPr>
          <w:rFonts w:eastAsia="Calibri"/>
        </w:rPr>
        <w:fldChar w:fldCharType="begin"/>
      </w:r>
      <w:r>
        <w:rPr>
          <w:rFonts w:eastAsia="Calibri"/>
        </w:rPr>
        <w:instrText xml:space="preserve"> REF _Ref155946175 \r \h </w:instrText>
      </w:r>
      <w:r>
        <w:rPr>
          <w:rFonts w:eastAsia="Calibri"/>
        </w:rPr>
        <w:fldChar w:fldCharType="separate"/>
      </w:r>
      <w:r>
        <w:rPr>
          <w:rFonts w:eastAsia="Calibri"/>
        </w:rPr>
        <w:t>Table 2</w:t>
      </w:r>
      <w:r>
        <w:rPr>
          <w:rFonts w:eastAsia="Calibri"/>
        </w:rPr>
        <w:fldChar w:fldCharType="end"/>
      </w:r>
      <w:r>
        <w:rPr>
          <w:rFonts w:eastAsia="Calibri"/>
        </w:rPr>
        <w:t xml:space="preserve">.  </w:t>
      </w:r>
    </w:p>
    <w:p w:rsidR="00B02587" w:rsidRPr="00640DF6" w:rsidP="00640DF6" w14:paraId="1CBFEA36" w14:textId="79BAC20F">
      <w:pPr>
        <w:pStyle w:val="Table"/>
      </w:pPr>
      <w:bookmarkStart w:id="10" w:name="_Ref155946175"/>
      <w:r w:rsidRPr="00640DF6">
        <w:t>Participant Counts by Gear Type and</w:t>
      </w:r>
      <w:r w:rsidR="00E8532F">
        <w:t xml:space="preserve"> Motorcycle</w:t>
      </w:r>
      <w:r w:rsidRPr="00640DF6">
        <w:t xml:space="preserve"> Type</w:t>
      </w:r>
      <w:bookmarkEnd w:id="10"/>
    </w:p>
    <w:tbl>
      <w:tblPr>
        <w:tblStyle w:val="TableGrid"/>
        <w:tblW w:w="9265" w:type="dxa"/>
        <w:tblLook w:val="04A0"/>
      </w:tblPr>
      <w:tblGrid>
        <w:gridCol w:w="1525"/>
        <w:gridCol w:w="1094"/>
        <w:gridCol w:w="949"/>
        <w:gridCol w:w="1670"/>
        <w:gridCol w:w="1061"/>
        <w:gridCol w:w="1895"/>
        <w:gridCol w:w="18"/>
        <w:gridCol w:w="1053"/>
      </w:tblGrid>
      <w:tr w14:paraId="07B99B74" w14:textId="4093EA2F" w:rsidTr="00FA0E1C">
        <w:tblPrEx>
          <w:tblW w:w="9265" w:type="dxa"/>
          <w:tblLook w:val="04A0"/>
        </w:tblPrEx>
        <w:trPr>
          <w:trHeight w:val="186"/>
        </w:trPr>
        <w:tc>
          <w:tcPr>
            <w:tcW w:w="1525" w:type="dxa"/>
            <w:vMerge w:val="restart"/>
            <w:vAlign w:val="center"/>
          </w:tcPr>
          <w:p w:rsidR="00E95A31" w:rsidRPr="00E95A31" w:rsidP="00FA0E1C" w14:paraId="00CB4292" w14:textId="77777777">
            <w:r w:rsidRPr="00E95A31">
              <w:t>Type of Gear</w:t>
            </w:r>
          </w:p>
        </w:tc>
        <w:tc>
          <w:tcPr>
            <w:tcW w:w="6687" w:type="dxa"/>
            <w:gridSpan w:val="6"/>
          </w:tcPr>
          <w:p w:rsidR="00E95A31" w:rsidRPr="00E95A31" w14:paraId="181E08DC" w14:textId="222AEA94">
            <w:pPr>
              <w:jc w:val="center"/>
            </w:pPr>
            <w:r w:rsidRPr="00E95A31">
              <w:t>Type of Motorcycle</w:t>
            </w:r>
          </w:p>
        </w:tc>
        <w:tc>
          <w:tcPr>
            <w:tcW w:w="1053" w:type="dxa"/>
          </w:tcPr>
          <w:p w:rsidR="00E95A31" w:rsidRPr="00E95A31" w14:paraId="10C59A35" w14:textId="6ECA002D">
            <w:pPr>
              <w:jc w:val="center"/>
            </w:pPr>
          </w:p>
        </w:tc>
      </w:tr>
      <w:tr w14:paraId="5B4A714B" w14:textId="74CDE597" w:rsidTr="00640DF6">
        <w:tblPrEx>
          <w:tblW w:w="9265" w:type="dxa"/>
          <w:tblLook w:val="04A0"/>
        </w:tblPrEx>
        <w:trPr>
          <w:trHeight w:val="185"/>
        </w:trPr>
        <w:tc>
          <w:tcPr>
            <w:tcW w:w="1525" w:type="dxa"/>
            <w:vMerge/>
          </w:tcPr>
          <w:p w:rsidR="009171A2" w:rsidRPr="00640DF6" w14:paraId="768D78F5" w14:textId="77777777"/>
        </w:tc>
        <w:tc>
          <w:tcPr>
            <w:tcW w:w="1094" w:type="dxa"/>
          </w:tcPr>
          <w:p w:rsidR="009171A2" w:rsidRPr="00640DF6" w14:paraId="2C663FF6" w14:textId="77777777">
            <w:pPr>
              <w:jc w:val="center"/>
            </w:pPr>
            <w:r w:rsidRPr="00640DF6">
              <w:t>Standard</w:t>
            </w:r>
          </w:p>
        </w:tc>
        <w:tc>
          <w:tcPr>
            <w:tcW w:w="949" w:type="dxa"/>
          </w:tcPr>
          <w:p w:rsidR="009171A2" w:rsidRPr="00640DF6" w14:paraId="69B08047" w14:textId="77777777">
            <w:pPr>
              <w:jc w:val="center"/>
            </w:pPr>
            <w:r w:rsidRPr="00640DF6">
              <w:t>Cruiser</w:t>
            </w:r>
          </w:p>
        </w:tc>
        <w:tc>
          <w:tcPr>
            <w:tcW w:w="1670" w:type="dxa"/>
          </w:tcPr>
          <w:p w:rsidR="009171A2" w:rsidRPr="00640DF6" w14:paraId="333621AC" w14:textId="77777777">
            <w:r w:rsidRPr="00640DF6">
              <w:t>Sport/Sportster</w:t>
            </w:r>
          </w:p>
        </w:tc>
        <w:tc>
          <w:tcPr>
            <w:tcW w:w="1061" w:type="dxa"/>
          </w:tcPr>
          <w:p w:rsidR="009171A2" w:rsidRPr="00640DF6" w14:paraId="3EB6A351" w14:textId="77777777">
            <w:pPr>
              <w:jc w:val="center"/>
            </w:pPr>
            <w:r w:rsidRPr="00640DF6">
              <w:t>Touring</w:t>
            </w:r>
          </w:p>
        </w:tc>
        <w:tc>
          <w:tcPr>
            <w:tcW w:w="1895" w:type="dxa"/>
          </w:tcPr>
          <w:p w:rsidR="009171A2" w:rsidRPr="00640DF6" w14:paraId="7FA44079" w14:textId="77777777">
            <w:r w:rsidRPr="00640DF6">
              <w:t>Scooters/Mopeds</w:t>
            </w:r>
          </w:p>
        </w:tc>
        <w:tc>
          <w:tcPr>
            <w:tcW w:w="1071" w:type="dxa"/>
            <w:gridSpan w:val="2"/>
          </w:tcPr>
          <w:p w:rsidR="009171A2" w:rsidRPr="009171A2" w14:paraId="19EDCB9E" w14:textId="6058B7B8">
            <w:r>
              <w:t>Total</w:t>
            </w:r>
          </w:p>
        </w:tc>
      </w:tr>
      <w:tr w14:paraId="29946498" w14:textId="4CEE8658" w:rsidTr="00640DF6">
        <w:tblPrEx>
          <w:tblW w:w="9265" w:type="dxa"/>
          <w:tblLook w:val="04A0"/>
        </w:tblPrEx>
        <w:trPr>
          <w:trHeight w:val="453"/>
        </w:trPr>
        <w:tc>
          <w:tcPr>
            <w:tcW w:w="1525" w:type="dxa"/>
          </w:tcPr>
          <w:p w:rsidR="009171A2" w:rsidRPr="00640DF6" w14:paraId="51E93684" w14:textId="652B090E">
            <w:r>
              <w:t>Footwear</w:t>
            </w:r>
          </w:p>
        </w:tc>
        <w:tc>
          <w:tcPr>
            <w:tcW w:w="1094" w:type="dxa"/>
          </w:tcPr>
          <w:p w:rsidR="009171A2" w:rsidP="00C30B14" w14:paraId="7ADD51D9" w14:textId="0E5752FA">
            <w:pPr>
              <w:jc w:val="center"/>
            </w:pPr>
            <w:r>
              <w:t>25</w:t>
            </w:r>
          </w:p>
        </w:tc>
        <w:tc>
          <w:tcPr>
            <w:tcW w:w="949" w:type="dxa"/>
          </w:tcPr>
          <w:p w:rsidR="009171A2" w:rsidP="00C30B14" w14:paraId="1799E141" w14:textId="47170B99">
            <w:pPr>
              <w:jc w:val="center"/>
            </w:pPr>
            <w:r>
              <w:t>25</w:t>
            </w:r>
          </w:p>
        </w:tc>
        <w:tc>
          <w:tcPr>
            <w:tcW w:w="1670" w:type="dxa"/>
          </w:tcPr>
          <w:p w:rsidR="009171A2" w:rsidP="00C30B14" w14:paraId="056331FD" w14:textId="5A24D10F">
            <w:pPr>
              <w:jc w:val="center"/>
            </w:pPr>
            <w:r>
              <w:t>25</w:t>
            </w:r>
          </w:p>
        </w:tc>
        <w:tc>
          <w:tcPr>
            <w:tcW w:w="1061" w:type="dxa"/>
          </w:tcPr>
          <w:p w:rsidR="009171A2" w:rsidP="00C30B14" w14:paraId="4981734D" w14:textId="51751C8B">
            <w:pPr>
              <w:jc w:val="center"/>
            </w:pPr>
            <w:r>
              <w:t>25</w:t>
            </w:r>
          </w:p>
        </w:tc>
        <w:tc>
          <w:tcPr>
            <w:tcW w:w="1895" w:type="dxa"/>
          </w:tcPr>
          <w:p w:rsidR="009171A2" w:rsidP="00C30B14" w14:paraId="06313A40" w14:textId="14D4D026">
            <w:pPr>
              <w:jc w:val="center"/>
            </w:pPr>
            <w:r>
              <w:t>25</w:t>
            </w:r>
          </w:p>
        </w:tc>
        <w:tc>
          <w:tcPr>
            <w:tcW w:w="1071" w:type="dxa"/>
            <w:gridSpan w:val="2"/>
          </w:tcPr>
          <w:p w:rsidR="009171A2" w14:paraId="75A4CC69" w14:textId="5C7F1EBC">
            <w:r>
              <w:t>N=</w:t>
            </w:r>
            <w:r w:rsidR="00347F3D">
              <w:t>125</w:t>
            </w:r>
          </w:p>
        </w:tc>
      </w:tr>
      <w:tr w14:paraId="7C271B96" w14:textId="10989247" w:rsidTr="00640DF6">
        <w:tblPrEx>
          <w:tblW w:w="9265" w:type="dxa"/>
          <w:tblLook w:val="04A0"/>
        </w:tblPrEx>
        <w:trPr>
          <w:trHeight w:val="434"/>
        </w:trPr>
        <w:tc>
          <w:tcPr>
            <w:tcW w:w="1525" w:type="dxa"/>
          </w:tcPr>
          <w:p w:rsidR="009171A2" w:rsidRPr="00640DF6" w14:paraId="3CE3EFAA" w14:textId="72B392EC">
            <w:r>
              <w:t>Gloves</w:t>
            </w:r>
          </w:p>
        </w:tc>
        <w:tc>
          <w:tcPr>
            <w:tcW w:w="1094" w:type="dxa"/>
          </w:tcPr>
          <w:p w:rsidR="009171A2" w:rsidP="00C30B14" w14:paraId="0F6E1B70" w14:textId="4341F881">
            <w:pPr>
              <w:jc w:val="center"/>
            </w:pPr>
            <w:r>
              <w:t>25</w:t>
            </w:r>
          </w:p>
        </w:tc>
        <w:tc>
          <w:tcPr>
            <w:tcW w:w="949" w:type="dxa"/>
          </w:tcPr>
          <w:p w:rsidR="009171A2" w:rsidP="00C30B14" w14:paraId="0E1F4087" w14:textId="54E73744">
            <w:pPr>
              <w:jc w:val="center"/>
            </w:pPr>
            <w:r>
              <w:t>25</w:t>
            </w:r>
          </w:p>
        </w:tc>
        <w:tc>
          <w:tcPr>
            <w:tcW w:w="1670" w:type="dxa"/>
          </w:tcPr>
          <w:p w:rsidR="009171A2" w:rsidP="00C30B14" w14:paraId="5FFB2E4B" w14:textId="454013B4">
            <w:pPr>
              <w:jc w:val="center"/>
            </w:pPr>
            <w:r>
              <w:t>25</w:t>
            </w:r>
          </w:p>
        </w:tc>
        <w:tc>
          <w:tcPr>
            <w:tcW w:w="1061" w:type="dxa"/>
          </w:tcPr>
          <w:p w:rsidR="009171A2" w:rsidP="00C30B14" w14:paraId="422BD660" w14:textId="4640BEBA">
            <w:pPr>
              <w:jc w:val="center"/>
            </w:pPr>
            <w:r>
              <w:t>25</w:t>
            </w:r>
          </w:p>
        </w:tc>
        <w:tc>
          <w:tcPr>
            <w:tcW w:w="1895" w:type="dxa"/>
          </w:tcPr>
          <w:p w:rsidR="009171A2" w:rsidP="00C30B14" w14:paraId="26CC06A1" w14:textId="3CE1B359">
            <w:pPr>
              <w:jc w:val="center"/>
            </w:pPr>
            <w:r>
              <w:t>25</w:t>
            </w:r>
          </w:p>
        </w:tc>
        <w:tc>
          <w:tcPr>
            <w:tcW w:w="1071" w:type="dxa"/>
            <w:gridSpan w:val="2"/>
          </w:tcPr>
          <w:p w:rsidR="009171A2" w14:paraId="48306C0F" w14:textId="3D2399E2">
            <w:r>
              <w:t>N=</w:t>
            </w:r>
            <w:r w:rsidR="00347F3D">
              <w:t>125</w:t>
            </w:r>
          </w:p>
        </w:tc>
      </w:tr>
      <w:tr w14:paraId="642F935E" w14:textId="4DE92725" w:rsidTr="00640DF6">
        <w:tblPrEx>
          <w:tblW w:w="9265" w:type="dxa"/>
          <w:tblLook w:val="04A0"/>
        </w:tblPrEx>
        <w:trPr>
          <w:trHeight w:val="434"/>
        </w:trPr>
        <w:tc>
          <w:tcPr>
            <w:tcW w:w="1525" w:type="dxa"/>
          </w:tcPr>
          <w:p w:rsidR="00127063" w:rsidRPr="00640DF6" w14:paraId="035A462D" w14:textId="5E94CC48">
            <w:r>
              <w:t>Helmet</w:t>
            </w:r>
          </w:p>
        </w:tc>
        <w:tc>
          <w:tcPr>
            <w:tcW w:w="1094" w:type="dxa"/>
          </w:tcPr>
          <w:p w:rsidR="009171A2" w:rsidP="00C30B14" w14:paraId="3942E96A" w14:textId="39AA25A3">
            <w:pPr>
              <w:jc w:val="center"/>
            </w:pPr>
            <w:r>
              <w:t>25</w:t>
            </w:r>
          </w:p>
        </w:tc>
        <w:tc>
          <w:tcPr>
            <w:tcW w:w="949" w:type="dxa"/>
          </w:tcPr>
          <w:p w:rsidR="009171A2" w:rsidP="00C30B14" w14:paraId="570162C5" w14:textId="4F72C2EB">
            <w:pPr>
              <w:jc w:val="center"/>
            </w:pPr>
            <w:r>
              <w:t>25</w:t>
            </w:r>
          </w:p>
        </w:tc>
        <w:tc>
          <w:tcPr>
            <w:tcW w:w="1670" w:type="dxa"/>
          </w:tcPr>
          <w:p w:rsidR="009171A2" w:rsidP="00C30B14" w14:paraId="6B37028B" w14:textId="00AC9002">
            <w:pPr>
              <w:jc w:val="center"/>
            </w:pPr>
            <w:r>
              <w:t>25</w:t>
            </w:r>
          </w:p>
        </w:tc>
        <w:tc>
          <w:tcPr>
            <w:tcW w:w="1061" w:type="dxa"/>
          </w:tcPr>
          <w:p w:rsidR="009171A2" w:rsidP="00C30B14" w14:paraId="38698CAD" w14:textId="771D6002">
            <w:pPr>
              <w:jc w:val="center"/>
            </w:pPr>
            <w:r>
              <w:t>25</w:t>
            </w:r>
          </w:p>
        </w:tc>
        <w:tc>
          <w:tcPr>
            <w:tcW w:w="1895" w:type="dxa"/>
          </w:tcPr>
          <w:p w:rsidR="009171A2" w:rsidP="00C30B14" w14:paraId="44469E31" w14:textId="3CF93147">
            <w:pPr>
              <w:jc w:val="center"/>
            </w:pPr>
            <w:r>
              <w:t>25</w:t>
            </w:r>
          </w:p>
        </w:tc>
        <w:tc>
          <w:tcPr>
            <w:tcW w:w="1071" w:type="dxa"/>
            <w:gridSpan w:val="2"/>
          </w:tcPr>
          <w:p w:rsidR="009171A2" w14:paraId="048FA02B" w14:textId="066CD468">
            <w:r>
              <w:t>N=</w:t>
            </w:r>
            <w:r w:rsidR="00347F3D">
              <w:t>125</w:t>
            </w:r>
          </w:p>
        </w:tc>
      </w:tr>
      <w:tr w14:paraId="24720972" w14:textId="1C3DB7FF" w:rsidTr="00640DF6">
        <w:tblPrEx>
          <w:tblW w:w="9265" w:type="dxa"/>
          <w:tblLook w:val="04A0"/>
        </w:tblPrEx>
        <w:trPr>
          <w:trHeight w:val="434"/>
        </w:trPr>
        <w:tc>
          <w:tcPr>
            <w:tcW w:w="1525" w:type="dxa"/>
          </w:tcPr>
          <w:p w:rsidR="009171A2" w:rsidRPr="00640DF6" w14:paraId="103567A0" w14:textId="2392AE14">
            <w:r>
              <w:t>Jacket</w:t>
            </w:r>
          </w:p>
        </w:tc>
        <w:tc>
          <w:tcPr>
            <w:tcW w:w="1094" w:type="dxa"/>
          </w:tcPr>
          <w:p w:rsidR="009171A2" w:rsidP="00C30B14" w14:paraId="6BD51CDF" w14:textId="3EE43C3F">
            <w:pPr>
              <w:jc w:val="center"/>
            </w:pPr>
            <w:r>
              <w:t>25</w:t>
            </w:r>
          </w:p>
        </w:tc>
        <w:tc>
          <w:tcPr>
            <w:tcW w:w="949" w:type="dxa"/>
          </w:tcPr>
          <w:p w:rsidR="009171A2" w:rsidP="00C30B14" w14:paraId="69C1763E" w14:textId="54E8135A">
            <w:pPr>
              <w:jc w:val="center"/>
            </w:pPr>
            <w:r>
              <w:t>25</w:t>
            </w:r>
          </w:p>
        </w:tc>
        <w:tc>
          <w:tcPr>
            <w:tcW w:w="1670" w:type="dxa"/>
          </w:tcPr>
          <w:p w:rsidR="009171A2" w:rsidP="00C30B14" w14:paraId="3DE223A2" w14:textId="663B550F">
            <w:pPr>
              <w:jc w:val="center"/>
            </w:pPr>
            <w:r>
              <w:t>25</w:t>
            </w:r>
          </w:p>
        </w:tc>
        <w:tc>
          <w:tcPr>
            <w:tcW w:w="1061" w:type="dxa"/>
          </w:tcPr>
          <w:p w:rsidR="009171A2" w:rsidP="00C30B14" w14:paraId="277DC20A" w14:textId="0D3B19D6">
            <w:pPr>
              <w:jc w:val="center"/>
            </w:pPr>
            <w:r>
              <w:t>25</w:t>
            </w:r>
          </w:p>
        </w:tc>
        <w:tc>
          <w:tcPr>
            <w:tcW w:w="1895" w:type="dxa"/>
          </w:tcPr>
          <w:p w:rsidR="009171A2" w:rsidP="00C30B14" w14:paraId="1E89B85A" w14:textId="2F5AE41C">
            <w:pPr>
              <w:jc w:val="center"/>
            </w:pPr>
            <w:r>
              <w:t>25</w:t>
            </w:r>
          </w:p>
        </w:tc>
        <w:tc>
          <w:tcPr>
            <w:tcW w:w="1071" w:type="dxa"/>
            <w:gridSpan w:val="2"/>
          </w:tcPr>
          <w:p w:rsidR="009171A2" w14:paraId="06C86BB6" w14:textId="1F47466E">
            <w:r>
              <w:t>N=</w:t>
            </w:r>
            <w:r w:rsidR="00347F3D">
              <w:t>125</w:t>
            </w:r>
          </w:p>
        </w:tc>
      </w:tr>
      <w:tr w14:paraId="292738EA" w14:textId="2864FFFF" w:rsidTr="00640DF6">
        <w:tblPrEx>
          <w:tblW w:w="9265" w:type="dxa"/>
          <w:tblLook w:val="04A0"/>
        </w:tblPrEx>
        <w:trPr>
          <w:trHeight w:val="453"/>
        </w:trPr>
        <w:tc>
          <w:tcPr>
            <w:tcW w:w="1525" w:type="dxa"/>
          </w:tcPr>
          <w:p w:rsidR="009171A2" w:rsidRPr="00BD639E" w14:paraId="45E12F75" w14:textId="0EEC8ABA">
            <w:r>
              <w:t>Pants</w:t>
            </w:r>
          </w:p>
        </w:tc>
        <w:tc>
          <w:tcPr>
            <w:tcW w:w="1094" w:type="dxa"/>
          </w:tcPr>
          <w:p w:rsidR="009171A2" w:rsidP="00C30B14" w14:paraId="6AE67B8F" w14:textId="4CEDD6F2">
            <w:pPr>
              <w:jc w:val="center"/>
            </w:pPr>
            <w:r>
              <w:t>25</w:t>
            </w:r>
          </w:p>
        </w:tc>
        <w:tc>
          <w:tcPr>
            <w:tcW w:w="949" w:type="dxa"/>
          </w:tcPr>
          <w:p w:rsidR="009171A2" w:rsidP="00C30B14" w14:paraId="271F17E9" w14:textId="5B5BD469">
            <w:pPr>
              <w:jc w:val="center"/>
            </w:pPr>
            <w:r>
              <w:t>25</w:t>
            </w:r>
          </w:p>
        </w:tc>
        <w:tc>
          <w:tcPr>
            <w:tcW w:w="1670" w:type="dxa"/>
          </w:tcPr>
          <w:p w:rsidR="009171A2" w:rsidP="00C30B14" w14:paraId="6EE4FBF7" w14:textId="6CF09975">
            <w:pPr>
              <w:jc w:val="center"/>
            </w:pPr>
            <w:r>
              <w:t>25</w:t>
            </w:r>
          </w:p>
        </w:tc>
        <w:tc>
          <w:tcPr>
            <w:tcW w:w="1061" w:type="dxa"/>
          </w:tcPr>
          <w:p w:rsidR="009171A2" w:rsidP="00C30B14" w14:paraId="61A32704" w14:textId="653C0B1F">
            <w:pPr>
              <w:jc w:val="center"/>
            </w:pPr>
            <w:r>
              <w:t>25</w:t>
            </w:r>
          </w:p>
        </w:tc>
        <w:tc>
          <w:tcPr>
            <w:tcW w:w="1895" w:type="dxa"/>
          </w:tcPr>
          <w:p w:rsidR="009171A2" w:rsidP="00C30B14" w14:paraId="4B1CC10F" w14:textId="4B839A93">
            <w:pPr>
              <w:jc w:val="center"/>
            </w:pPr>
            <w:r>
              <w:t>25</w:t>
            </w:r>
          </w:p>
        </w:tc>
        <w:tc>
          <w:tcPr>
            <w:tcW w:w="1071" w:type="dxa"/>
            <w:gridSpan w:val="2"/>
          </w:tcPr>
          <w:p w:rsidR="009171A2" w14:paraId="45BDA550" w14:textId="3AFEAEB5">
            <w:r>
              <w:t>N=</w:t>
            </w:r>
            <w:r w:rsidR="00347F3D">
              <w:t>125</w:t>
            </w:r>
          </w:p>
        </w:tc>
      </w:tr>
      <w:tr w14:paraId="6C84DEF6" w14:textId="77777777" w:rsidTr="00640DF6">
        <w:tblPrEx>
          <w:tblW w:w="9265" w:type="dxa"/>
          <w:tblLook w:val="04A0"/>
        </w:tblPrEx>
        <w:trPr>
          <w:trHeight w:val="453"/>
        </w:trPr>
        <w:tc>
          <w:tcPr>
            <w:tcW w:w="1525" w:type="dxa"/>
          </w:tcPr>
          <w:p w:rsidR="00BD639E" w:rsidRPr="00FA0E1C" w14:paraId="750BD1E5" w14:textId="7AD3107A">
            <w:pPr>
              <w:rPr>
                <w:b/>
                <w:bCs/>
              </w:rPr>
            </w:pPr>
            <w:r w:rsidRPr="00FA0E1C">
              <w:rPr>
                <w:b/>
                <w:bCs/>
              </w:rPr>
              <w:t>Total</w:t>
            </w:r>
          </w:p>
        </w:tc>
        <w:tc>
          <w:tcPr>
            <w:tcW w:w="1094" w:type="dxa"/>
          </w:tcPr>
          <w:p w:rsidR="00BD639E" w:rsidRPr="00FA0E1C" w:rsidP="00C30B14" w14:paraId="61803613" w14:textId="30E942DC">
            <w:pPr>
              <w:jc w:val="center"/>
              <w:rPr>
                <w:b/>
                <w:bCs/>
              </w:rPr>
            </w:pPr>
            <w:r w:rsidRPr="00FA0E1C">
              <w:rPr>
                <w:b/>
                <w:bCs/>
              </w:rPr>
              <w:t>N=125</w:t>
            </w:r>
          </w:p>
        </w:tc>
        <w:tc>
          <w:tcPr>
            <w:tcW w:w="949" w:type="dxa"/>
          </w:tcPr>
          <w:p w:rsidR="00BD639E" w:rsidRPr="00FA0E1C" w:rsidP="00C30B14" w14:paraId="0EA768B9" w14:textId="00CB2EAC">
            <w:pPr>
              <w:jc w:val="center"/>
              <w:rPr>
                <w:b/>
                <w:bCs/>
              </w:rPr>
            </w:pPr>
            <w:r w:rsidRPr="00FA0E1C">
              <w:rPr>
                <w:b/>
                <w:bCs/>
              </w:rPr>
              <w:t>N=125</w:t>
            </w:r>
          </w:p>
        </w:tc>
        <w:tc>
          <w:tcPr>
            <w:tcW w:w="1670" w:type="dxa"/>
          </w:tcPr>
          <w:p w:rsidR="00BD639E" w:rsidRPr="00FA0E1C" w:rsidP="00C30B14" w14:paraId="47693150" w14:textId="052AE7D5">
            <w:pPr>
              <w:jc w:val="center"/>
              <w:rPr>
                <w:b/>
                <w:bCs/>
              </w:rPr>
            </w:pPr>
            <w:r w:rsidRPr="00FA0E1C">
              <w:rPr>
                <w:b/>
                <w:bCs/>
              </w:rPr>
              <w:t>N=125</w:t>
            </w:r>
          </w:p>
        </w:tc>
        <w:tc>
          <w:tcPr>
            <w:tcW w:w="1061" w:type="dxa"/>
          </w:tcPr>
          <w:p w:rsidR="00BD639E" w:rsidRPr="00FA0E1C" w:rsidP="00C30B14" w14:paraId="29959511" w14:textId="58DB12A2">
            <w:pPr>
              <w:jc w:val="center"/>
              <w:rPr>
                <w:b/>
                <w:bCs/>
              </w:rPr>
            </w:pPr>
            <w:r w:rsidRPr="00FA0E1C">
              <w:rPr>
                <w:b/>
                <w:bCs/>
              </w:rPr>
              <w:t>N=</w:t>
            </w:r>
            <w:r w:rsidRPr="00FA0E1C">
              <w:rPr>
                <w:b/>
                <w:bCs/>
              </w:rPr>
              <w:t>125</w:t>
            </w:r>
          </w:p>
        </w:tc>
        <w:tc>
          <w:tcPr>
            <w:tcW w:w="1895" w:type="dxa"/>
          </w:tcPr>
          <w:p w:rsidR="00BD639E" w:rsidRPr="00FA0E1C" w:rsidP="00C30B14" w14:paraId="6A848032" w14:textId="22AEABD0">
            <w:pPr>
              <w:jc w:val="center"/>
              <w:rPr>
                <w:b/>
                <w:bCs/>
              </w:rPr>
            </w:pPr>
            <w:r w:rsidRPr="00FA0E1C">
              <w:rPr>
                <w:b/>
                <w:bCs/>
              </w:rPr>
              <w:t>N=</w:t>
            </w:r>
            <w:r w:rsidRPr="00FA0E1C">
              <w:rPr>
                <w:b/>
                <w:bCs/>
              </w:rPr>
              <w:t>125</w:t>
            </w:r>
          </w:p>
        </w:tc>
        <w:tc>
          <w:tcPr>
            <w:tcW w:w="1071" w:type="dxa"/>
            <w:gridSpan w:val="2"/>
          </w:tcPr>
          <w:p w:rsidR="00BD639E" w:rsidRPr="00FA0E1C" w14:paraId="7836E1E4" w14:textId="7C96E5E8">
            <w:pPr>
              <w:rPr>
                <w:b/>
                <w:bCs/>
              </w:rPr>
            </w:pPr>
            <w:r w:rsidRPr="00FA0E1C">
              <w:rPr>
                <w:b/>
                <w:bCs/>
              </w:rPr>
              <w:t>N=625</w:t>
            </w:r>
          </w:p>
        </w:tc>
      </w:tr>
    </w:tbl>
    <w:p w:rsidR="005B4174" w:rsidP="00F23594" w14:paraId="03A87D30" w14:textId="77777777">
      <w:pPr>
        <w:spacing w:line="240" w:lineRule="auto"/>
        <w:rPr>
          <w:rFonts w:eastAsia="Calibri"/>
        </w:rPr>
      </w:pPr>
    </w:p>
    <w:p w:rsidR="00BA355E" w:rsidP="002249D6" w14:paraId="44C25E9B" w14:textId="254E7ACB">
      <w:pPr>
        <w:spacing w:after="120" w:line="240" w:lineRule="auto"/>
      </w:pPr>
      <w:r>
        <w:rPr>
          <w:rFonts w:eastAsia="Calibri"/>
        </w:rPr>
        <w:t xml:space="preserve">Intercept </w:t>
      </w:r>
      <w:r w:rsidR="00050EFF">
        <w:rPr>
          <w:rFonts w:eastAsia="Calibri"/>
        </w:rPr>
        <w:t xml:space="preserve">field </w:t>
      </w:r>
      <w:r>
        <w:rPr>
          <w:rFonts w:eastAsia="Calibri"/>
        </w:rPr>
        <w:t xml:space="preserve">surveys have </w:t>
      </w:r>
      <w:r w:rsidR="000E2B18">
        <w:rPr>
          <w:rFonts w:eastAsia="Calibri"/>
        </w:rPr>
        <w:t xml:space="preserve">proven effective </w:t>
      </w:r>
      <w:r w:rsidR="002724B7">
        <w:rPr>
          <w:rFonts w:eastAsia="Calibri"/>
        </w:rPr>
        <w:t xml:space="preserve">in a variety of domains. For example, </w:t>
      </w:r>
      <w:r w:rsidR="00FB5A31">
        <w:rPr>
          <w:rFonts w:eastAsia="Calibri"/>
        </w:rPr>
        <w:t xml:space="preserve">a synthesis </w:t>
      </w:r>
      <w:r w:rsidR="003F50EB">
        <w:rPr>
          <w:rFonts w:eastAsia="Calibri"/>
        </w:rPr>
        <w:t xml:space="preserve">conducted </w:t>
      </w:r>
      <w:r w:rsidR="00DA0CF3">
        <w:rPr>
          <w:rFonts w:eastAsia="Calibri"/>
        </w:rPr>
        <w:t>as part of the</w:t>
      </w:r>
      <w:r w:rsidR="003F50EB">
        <w:rPr>
          <w:rFonts w:eastAsia="Calibri"/>
        </w:rPr>
        <w:t xml:space="preserve"> Transit Cooperative Research </w:t>
      </w:r>
      <w:r w:rsidR="00FE2A07">
        <w:rPr>
          <w:rFonts w:eastAsia="Calibri"/>
        </w:rPr>
        <w:t>P</w:t>
      </w:r>
      <w:r w:rsidR="003F50EB">
        <w:rPr>
          <w:rFonts w:eastAsia="Calibri"/>
        </w:rPr>
        <w:t>rogram</w:t>
      </w:r>
      <w:r w:rsidR="00CC0E57">
        <w:rPr>
          <w:rFonts w:eastAsia="Calibri"/>
        </w:rPr>
        <w:t xml:space="preserve"> found intercept surveys </w:t>
      </w:r>
      <w:r w:rsidR="00D91A0C">
        <w:rPr>
          <w:rFonts w:eastAsia="Calibri"/>
        </w:rPr>
        <w:t>to have higher response rates than telephone</w:t>
      </w:r>
      <w:r w:rsidR="00C41E91">
        <w:rPr>
          <w:rFonts w:eastAsia="Calibri"/>
        </w:rPr>
        <w:t>, mail, and online surveys.</w:t>
      </w:r>
      <w:r>
        <w:rPr>
          <w:rStyle w:val="FootnoteReference"/>
          <w:rFonts w:eastAsia="Calibri"/>
        </w:rPr>
        <w:footnoteReference w:id="6"/>
      </w:r>
      <w:r w:rsidR="00C41E91">
        <w:rPr>
          <w:rFonts w:eastAsia="Calibri"/>
        </w:rPr>
        <w:t xml:space="preserve"> </w:t>
      </w:r>
      <w:r w:rsidR="005A4DCD">
        <w:rPr>
          <w:rFonts w:eastAsia="Calibri"/>
        </w:rPr>
        <w:t xml:space="preserve">That synthesis found </w:t>
      </w:r>
      <w:r w:rsidR="00FA0E1C">
        <w:rPr>
          <w:rFonts w:eastAsia="Calibri"/>
        </w:rPr>
        <w:t xml:space="preserve">most </w:t>
      </w:r>
      <w:r w:rsidR="00FB70AB">
        <w:rPr>
          <w:rFonts w:eastAsia="Calibri"/>
        </w:rPr>
        <w:t xml:space="preserve">intercept </w:t>
      </w:r>
      <w:r w:rsidR="00C72803">
        <w:rPr>
          <w:rFonts w:eastAsia="Calibri"/>
        </w:rPr>
        <w:t xml:space="preserve">surveys had a response rate between 33% and 67%. </w:t>
      </w:r>
      <w:r w:rsidR="00A24206">
        <w:rPr>
          <w:rFonts w:eastAsia="Calibri"/>
        </w:rPr>
        <w:t xml:space="preserve">NHTSA’s 2013-2014 National Roadside </w:t>
      </w:r>
      <w:r w:rsidR="00B61A75">
        <w:rPr>
          <w:rFonts w:eastAsia="Calibri"/>
        </w:rPr>
        <w:t>Survey</w:t>
      </w:r>
      <w:r w:rsidR="00432CA9">
        <w:rPr>
          <w:rFonts w:eastAsia="Calibri"/>
        </w:rPr>
        <w:t>, which involved recruiting drivers from live traffic</w:t>
      </w:r>
      <w:r w:rsidR="001523FE">
        <w:rPr>
          <w:rFonts w:eastAsia="Calibri"/>
        </w:rPr>
        <w:t xml:space="preserve"> to complete questionnaires and provide biological samples</w:t>
      </w:r>
      <w:r w:rsidR="00C04173">
        <w:rPr>
          <w:rFonts w:eastAsia="Calibri"/>
        </w:rPr>
        <w:t>,</w:t>
      </w:r>
      <w:r w:rsidR="00213D4C">
        <w:rPr>
          <w:rFonts w:eastAsia="Calibri"/>
        </w:rPr>
        <w:t xml:space="preserve"> </w:t>
      </w:r>
      <w:r w:rsidR="00014D7F">
        <w:rPr>
          <w:rFonts w:eastAsia="Calibri"/>
        </w:rPr>
        <w:t xml:space="preserve">achieved </w:t>
      </w:r>
      <w:r w:rsidR="00697A99">
        <w:rPr>
          <w:rFonts w:eastAsia="Calibri"/>
        </w:rPr>
        <w:t>a high response rate (7</w:t>
      </w:r>
      <w:r w:rsidR="001523FE">
        <w:rPr>
          <w:rFonts w:eastAsia="Calibri"/>
        </w:rPr>
        <w:t>9.3</w:t>
      </w:r>
      <w:r w:rsidR="00697A99">
        <w:rPr>
          <w:rFonts w:eastAsia="Calibri"/>
        </w:rPr>
        <w:t xml:space="preserve">% </w:t>
      </w:r>
      <w:r w:rsidR="004C5BEE">
        <w:rPr>
          <w:rFonts w:eastAsia="Calibri"/>
        </w:rPr>
        <w:t>of eligible drivers</w:t>
      </w:r>
      <w:r w:rsidR="00DE0B65">
        <w:rPr>
          <w:rFonts w:eastAsia="Calibri"/>
        </w:rPr>
        <w:t xml:space="preserve"> participated</w:t>
      </w:r>
      <w:r w:rsidR="004C5BEE">
        <w:rPr>
          <w:rFonts w:eastAsia="Calibri"/>
        </w:rPr>
        <w:t>).</w:t>
      </w:r>
      <w:r>
        <w:rPr>
          <w:rStyle w:val="FootnoteReference"/>
          <w:rFonts w:eastAsia="Calibri"/>
        </w:rPr>
        <w:footnoteReference w:id="7"/>
      </w:r>
      <w:r w:rsidR="004C5BEE">
        <w:rPr>
          <w:rFonts w:eastAsia="Calibri"/>
        </w:rPr>
        <w:t xml:space="preserve"> </w:t>
      </w:r>
      <w:r w:rsidR="003A3B42">
        <w:t>Because of the COVID-19 pandemic,</w:t>
      </w:r>
      <w:r w:rsidR="00DE0B65">
        <w:t xml:space="preserve"> however,</w:t>
      </w:r>
      <w:r w:rsidR="003A3B42">
        <w:t xml:space="preserve"> th</w:t>
      </w:r>
      <w:r w:rsidR="00DE0B65">
        <w:t>is</w:t>
      </w:r>
      <w:r w:rsidR="003A3B42">
        <w:t xml:space="preserve"> study is anticipating a lower willingness to participate compared to prior efforts as some researchers have found that </w:t>
      </w:r>
      <w:r w:rsidRPr="00E37CE5" w:rsidR="003A3B42">
        <w:t xml:space="preserve">COVID-19 had a negative effect on response rates </w:t>
      </w:r>
      <w:r w:rsidR="003A3B42">
        <w:t>overall.</w:t>
      </w:r>
      <w:r>
        <w:rPr>
          <w:rStyle w:val="FootnoteReference"/>
        </w:rPr>
        <w:footnoteReference w:id="8"/>
      </w:r>
      <w:r w:rsidR="00EE68B7">
        <w:t xml:space="preserve"> </w:t>
      </w:r>
      <w:bookmarkStart w:id="12" w:name="OLE_LINK1"/>
      <w:r w:rsidR="008A192B">
        <w:t xml:space="preserve">Based on the foregoing, </w:t>
      </w:r>
      <w:r w:rsidR="00AC0E37">
        <w:t>,</w:t>
      </w:r>
      <w:r w:rsidR="000D47D5">
        <w:t xml:space="preserve"> the current study is estimating</w:t>
      </w:r>
      <w:r w:rsidR="00AC0E37">
        <w:t xml:space="preserve"> </w:t>
      </w:r>
      <w:r w:rsidR="006330D6">
        <w:t xml:space="preserve">a </w:t>
      </w:r>
      <w:r w:rsidR="00AC0E37">
        <w:t>50%</w:t>
      </w:r>
      <w:r w:rsidR="000D47D5">
        <w:t xml:space="preserve"> response rate</w:t>
      </w:r>
      <w:r w:rsidR="00272C4B">
        <w:t xml:space="preserve"> among eligible riders</w:t>
      </w:r>
      <w:r w:rsidR="00E749CA">
        <w:t xml:space="preserve"> who stop </w:t>
      </w:r>
      <w:r w:rsidR="005F398E">
        <w:t>to hear more about the study</w:t>
      </w:r>
      <w:r w:rsidR="00AC0E37">
        <w:t>.</w:t>
      </w:r>
      <w:r w:rsidR="003F7855">
        <w:t xml:space="preserve"> As such, it is estimated t</w:t>
      </w:r>
      <w:r w:rsidRPr="00543EC2">
        <w:t>he new data collection will</w:t>
      </w:r>
      <w:r>
        <w:t xml:space="preserve"> include the screening of</w:t>
      </w:r>
      <w:r w:rsidRPr="00543EC2">
        <w:t xml:space="preserve"> an estimated </w:t>
      </w:r>
      <w:r w:rsidR="00453E2A">
        <w:t>1</w:t>
      </w:r>
      <w:r w:rsidR="005944B8">
        <w:t>,</w:t>
      </w:r>
      <w:r w:rsidR="00453E2A">
        <w:t>250</w:t>
      </w:r>
      <w:r w:rsidRPr="00543EC2" w:rsidR="00453E2A">
        <w:t xml:space="preserve"> </w:t>
      </w:r>
      <w:r w:rsidRPr="00543EC2">
        <w:t>potential participants to qualify a total sample of</w:t>
      </w:r>
      <w:r w:rsidR="009D184F">
        <w:t xml:space="preserve"> </w:t>
      </w:r>
      <w:r w:rsidR="00633157">
        <w:t>625</w:t>
      </w:r>
      <w:r w:rsidR="009D184F">
        <w:t xml:space="preserve"> motorcyclists</w:t>
      </w:r>
      <w:r w:rsidRPr="00543EC2">
        <w:t xml:space="preserve">. </w:t>
      </w:r>
      <w:r>
        <w:t>To qualify, a participant must</w:t>
      </w:r>
      <w:r w:rsidR="00D47734">
        <w:t xml:space="preserve"> be</w:t>
      </w:r>
      <w:r>
        <w:t>:</w:t>
      </w:r>
    </w:p>
    <w:p w:rsidR="0096481C" w:rsidP="00C81B38" w14:paraId="5E03DAF1" w14:textId="3AD0A45C">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ble to read and understand English</w:t>
      </w:r>
    </w:p>
    <w:p w:rsidR="00F95A33" w:rsidP="0053030D" w14:paraId="349F7DEA" w14:textId="520AC822">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 US citizen or permanent resident</w:t>
      </w:r>
    </w:p>
    <w:p w:rsidR="00BA355E" w:rsidRPr="002012B2" w:rsidP="00F95A33" w14:paraId="721BBEF9" w14:textId="15D871EA">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951B14">
        <w:rPr>
          <w:rFonts w:ascii="Times New Roman" w:hAnsi="Times New Roman" w:cs="Times New Roman"/>
          <w:sz w:val="24"/>
          <w:szCs w:val="24"/>
        </w:rPr>
        <w:t xml:space="preserve">t least </w:t>
      </w:r>
      <w:r w:rsidRPr="002012B2">
        <w:rPr>
          <w:rFonts w:ascii="Times New Roman" w:hAnsi="Times New Roman" w:cs="Times New Roman"/>
          <w:sz w:val="24"/>
          <w:szCs w:val="24"/>
        </w:rPr>
        <w:t xml:space="preserve">18 </w:t>
      </w:r>
      <w:r w:rsidR="00951B14">
        <w:rPr>
          <w:rFonts w:ascii="Times New Roman" w:hAnsi="Times New Roman" w:cs="Times New Roman"/>
          <w:sz w:val="24"/>
          <w:szCs w:val="24"/>
        </w:rPr>
        <w:t>years old</w:t>
      </w:r>
    </w:p>
    <w:p w:rsidR="005F1BB2" w:rsidRPr="00853E8E" w:rsidP="002249D6" w14:paraId="275ACFFB" w14:textId="32D5626F">
      <w:pPr>
        <w:pStyle w:val="ListParagraph"/>
        <w:numPr>
          <w:ilvl w:val="0"/>
          <w:numId w:val="21"/>
        </w:numPr>
        <w:spacing w:after="120" w:line="240" w:lineRule="auto"/>
        <w:rPr>
          <w:color w:val="000000"/>
        </w:rPr>
      </w:pPr>
      <w:r>
        <w:rPr>
          <w:rFonts w:ascii="Times New Roman" w:hAnsi="Times New Roman" w:cs="Times New Roman"/>
          <w:sz w:val="24"/>
          <w:szCs w:val="24"/>
        </w:rPr>
        <w:t>O</w:t>
      </w:r>
      <w:r w:rsidR="00BB0879">
        <w:rPr>
          <w:rFonts w:ascii="Times New Roman" w:hAnsi="Times New Roman" w:cs="Times New Roman"/>
          <w:sz w:val="24"/>
          <w:szCs w:val="24"/>
        </w:rPr>
        <w:t xml:space="preserve">bserved to be </w:t>
      </w:r>
      <w:r w:rsidR="00BA355E">
        <w:rPr>
          <w:rFonts w:ascii="Times New Roman" w:hAnsi="Times New Roman" w:cs="Times New Roman"/>
          <w:sz w:val="24"/>
          <w:szCs w:val="24"/>
        </w:rPr>
        <w:t>t</w:t>
      </w:r>
      <w:r w:rsidRPr="002012B2" w:rsidR="00BA355E">
        <w:rPr>
          <w:rFonts w:ascii="Times New Roman" w:hAnsi="Times New Roman" w:cs="Times New Roman"/>
          <w:sz w:val="24"/>
          <w:szCs w:val="24"/>
        </w:rPr>
        <w:t xml:space="preserve">he </w:t>
      </w:r>
      <w:r w:rsidR="00D5012A">
        <w:rPr>
          <w:rFonts w:ascii="Times New Roman" w:hAnsi="Times New Roman" w:cs="Times New Roman"/>
          <w:sz w:val="24"/>
          <w:szCs w:val="24"/>
        </w:rPr>
        <w:t xml:space="preserve">operator of </w:t>
      </w:r>
      <w:r w:rsidR="00AE14AD">
        <w:rPr>
          <w:rFonts w:ascii="Times New Roman" w:hAnsi="Times New Roman" w:cs="Times New Roman"/>
          <w:sz w:val="24"/>
          <w:szCs w:val="24"/>
        </w:rPr>
        <w:t xml:space="preserve">one of the types of </w:t>
      </w:r>
      <w:r w:rsidR="00D5012A">
        <w:rPr>
          <w:rFonts w:ascii="Times New Roman" w:hAnsi="Times New Roman" w:cs="Times New Roman"/>
          <w:sz w:val="24"/>
          <w:szCs w:val="24"/>
        </w:rPr>
        <w:t>motorcycle</w:t>
      </w:r>
      <w:r w:rsidR="00AE14AD">
        <w:rPr>
          <w:rFonts w:ascii="Times New Roman" w:hAnsi="Times New Roman" w:cs="Times New Roman"/>
          <w:sz w:val="24"/>
          <w:szCs w:val="24"/>
        </w:rPr>
        <w:t>s of interest (</w:t>
      </w:r>
      <w:r w:rsidR="00BB0879">
        <w:rPr>
          <w:rFonts w:ascii="Times New Roman" w:hAnsi="Times New Roman" w:cs="Times New Roman"/>
          <w:sz w:val="24"/>
          <w:szCs w:val="24"/>
        </w:rPr>
        <w:t xml:space="preserve">i.e., </w:t>
      </w:r>
      <w:r w:rsidR="00350DEE">
        <w:rPr>
          <w:rFonts w:ascii="Times New Roman" w:hAnsi="Times New Roman" w:cs="Times New Roman"/>
          <w:sz w:val="24"/>
          <w:szCs w:val="24"/>
        </w:rPr>
        <w:t xml:space="preserve">standard, cruiser, sport, </w:t>
      </w:r>
      <w:r w:rsidR="006162CE">
        <w:rPr>
          <w:rFonts w:ascii="Times New Roman" w:hAnsi="Times New Roman" w:cs="Times New Roman"/>
          <w:sz w:val="24"/>
          <w:szCs w:val="24"/>
        </w:rPr>
        <w:t>adventure/</w:t>
      </w:r>
      <w:r w:rsidR="00350DEE">
        <w:rPr>
          <w:rFonts w:ascii="Times New Roman" w:hAnsi="Times New Roman" w:cs="Times New Roman"/>
          <w:sz w:val="24"/>
          <w:szCs w:val="24"/>
        </w:rPr>
        <w:t>touring, scooter)</w:t>
      </w:r>
      <w:bookmarkEnd w:id="12"/>
      <w:r w:rsidR="00BB0879">
        <w:rPr>
          <w:rFonts w:ascii="Times New Roman" w:hAnsi="Times New Roman" w:cs="Times New Roman"/>
          <w:sz w:val="24"/>
          <w:szCs w:val="24"/>
        </w:rPr>
        <w:t>.</w:t>
      </w:r>
    </w:p>
    <w:p w:rsidR="00D33B24" w:rsidP="002249D6" w14:paraId="612E5CAE" w14:textId="19B0B298">
      <w:pPr>
        <w:spacing w:after="120" w:line="240" w:lineRule="auto"/>
        <w:rPr>
          <w:rFonts w:eastAsia="Calibri"/>
          <w:b/>
        </w:rPr>
      </w:pPr>
      <w:r>
        <w:rPr>
          <w:rFonts w:eastAsia="Calibri"/>
        </w:rPr>
        <w:fldChar w:fldCharType="begin"/>
      </w:r>
      <w:r>
        <w:rPr>
          <w:rFonts w:eastAsia="Calibri"/>
        </w:rPr>
        <w:instrText xml:space="preserve"> REF _Ref155946222 \r \h </w:instrText>
      </w:r>
      <w:r>
        <w:rPr>
          <w:rFonts w:eastAsia="Calibri"/>
        </w:rPr>
        <w:fldChar w:fldCharType="separate"/>
      </w:r>
      <w:r>
        <w:rPr>
          <w:rFonts w:eastAsia="Calibri"/>
        </w:rPr>
        <w:t>Table 3</w:t>
      </w:r>
      <w:r>
        <w:rPr>
          <w:rFonts w:eastAsia="Calibri"/>
        </w:rPr>
        <w:fldChar w:fldCharType="end"/>
      </w:r>
      <w:r>
        <w:rPr>
          <w:rFonts w:eastAsia="Calibri"/>
        </w:rPr>
        <w:t xml:space="preserve"> </w:t>
      </w:r>
      <w:r w:rsidRPr="00153E66" w:rsidR="002F7EDA">
        <w:rPr>
          <w:rFonts w:eastAsia="Calibri"/>
        </w:rPr>
        <w:t xml:space="preserve">provides the </w:t>
      </w:r>
      <w:r w:rsidR="005F0DC0">
        <w:rPr>
          <w:rFonts w:eastAsia="Calibri"/>
        </w:rPr>
        <w:t xml:space="preserve">age, race, and </w:t>
      </w:r>
      <w:r w:rsidR="00FC1718">
        <w:rPr>
          <w:rFonts w:eastAsia="Calibri"/>
        </w:rPr>
        <w:t>sex</w:t>
      </w:r>
      <w:r w:rsidRPr="00153E66" w:rsidR="002F7EDA">
        <w:rPr>
          <w:rFonts w:eastAsia="Calibri"/>
        </w:rPr>
        <w:t xml:space="preserve"> distributi</w:t>
      </w:r>
      <w:r w:rsidRPr="00153E66" w:rsidR="00EC57CC">
        <w:rPr>
          <w:rFonts w:eastAsia="Calibri"/>
        </w:rPr>
        <w:t xml:space="preserve">ons </w:t>
      </w:r>
      <w:r w:rsidR="005F58DB">
        <w:rPr>
          <w:rFonts w:eastAsia="Calibri"/>
        </w:rPr>
        <w:t>of motorcycle riders in the U.S</w:t>
      </w:r>
      <w:r w:rsidRPr="007A0AB8">
        <w:rPr>
          <w:rFonts w:eastAsia="Calibri"/>
          <w:bCs/>
        </w:rPr>
        <w:t>.</w:t>
      </w:r>
      <w:r>
        <w:rPr>
          <w:rStyle w:val="FootnoteReference"/>
          <w:rFonts w:eastAsia="Calibri"/>
          <w:bCs/>
        </w:rPr>
        <w:footnoteReference w:id="9"/>
      </w:r>
      <w:r>
        <w:rPr>
          <w:rFonts w:eastAsia="Calibri"/>
          <w:b/>
        </w:rPr>
        <w:t xml:space="preserve"> </w:t>
      </w:r>
      <w:r w:rsidRPr="004F16D9">
        <w:t xml:space="preserve">These values </w:t>
      </w:r>
      <w:r w:rsidR="00EF0943">
        <w:t>were</w:t>
      </w:r>
      <w:r w:rsidR="005F0DC0">
        <w:t xml:space="preserve"> used to calculate </w:t>
      </w:r>
      <w:r w:rsidRPr="004F16D9">
        <w:t>estimates</w:t>
      </w:r>
      <w:r w:rsidR="00E04CA5">
        <w:t xml:space="preserve"> of </w:t>
      </w:r>
      <w:r w:rsidR="00E72BAE">
        <w:t xml:space="preserve">expected </w:t>
      </w:r>
      <w:r w:rsidR="00E04CA5">
        <w:t xml:space="preserve">participant </w:t>
      </w:r>
      <w:r w:rsidR="00E72BAE">
        <w:t xml:space="preserve">distributions in </w:t>
      </w:r>
      <w:r w:rsidR="00CF2AF2">
        <w:t>the current study’s</w:t>
      </w:r>
      <w:r w:rsidRPr="004F16D9">
        <w:t xml:space="preserve"> </w:t>
      </w:r>
      <w:r w:rsidR="00E72BAE">
        <w:t>sample</w:t>
      </w:r>
      <w:r w:rsidRPr="004F16D9">
        <w:t>.</w:t>
      </w:r>
    </w:p>
    <w:p w:rsidR="00EB7531" w:rsidRPr="008F1F1B" w:rsidP="002249D6" w14:paraId="162B1E0E" w14:textId="7B4E297E">
      <w:pPr>
        <w:pStyle w:val="Table"/>
        <w:spacing w:before="120"/>
      </w:pPr>
      <w:bookmarkStart w:id="13" w:name="_Ref153193162"/>
      <w:bookmarkStart w:id="14" w:name="_Ref155946222"/>
      <w:r w:rsidRPr="008F1F1B">
        <w:t xml:space="preserve">Rider </w:t>
      </w:r>
      <w:r w:rsidRPr="008F1F1B">
        <w:t>Demographic</w:t>
      </w:r>
      <w:r w:rsidRPr="008F1F1B">
        <w:t>s</w:t>
      </w:r>
      <w:r w:rsidRPr="008F1F1B">
        <w:t xml:space="preserve"> and Estimated </w:t>
      </w:r>
      <w:r w:rsidRPr="008F1F1B" w:rsidR="00916978">
        <w:t>Sample Distribution</w:t>
      </w:r>
      <w:r w:rsidRPr="008F1F1B" w:rsidR="00E92780">
        <w:t xml:space="preserve"> </w:t>
      </w:r>
      <w:r w:rsidRPr="008F1F1B" w:rsidR="001B6528">
        <w:t>(N=625)</w:t>
      </w:r>
      <w:bookmarkEnd w:id="13"/>
      <w:bookmarkEnd w:id="14"/>
    </w:p>
    <w:tbl>
      <w:tblPr>
        <w:tblW w:w="8391" w:type="dxa"/>
        <w:jc w:val="center"/>
        <w:tblLook w:val="04A0"/>
      </w:tblPr>
      <w:tblGrid>
        <w:gridCol w:w="1980"/>
        <w:gridCol w:w="2970"/>
        <w:gridCol w:w="1470"/>
        <w:gridCol w:w="2001"/>
      </w:tblGrid>
      <w:tr w14:paraId="5283F2E2" w14:textId="77777777" w:rsidTr="00FA0E1C">
        <w:tblPrEx>
          <w:tblW w:w="8391" w:type="dxa"/>
          <w:jc w:val="center"/>
          <w:tblLook w:val="04A0"/>
        </w:tblPrEx>
        <w:trPr>
          <w:trHeight w:val="300"/>
          <w:jc w:val="center"/>
        </w:trPr>
        <w:tc>
          <w:tcPr>
            <w:tcW w:w="1980" w:type="dxa"/>
            <w:tcBorders>
              <w:top w:val="single" w:sz="4" w:space="0" w:color="auto"/>
              <w:bottom w:val="single" w:sz="4" w:space="0" w:color="auto"/>
            </w:tcBorders>
            <w:shd w:val="clear" w:color="auto" w:fill="auto"/>
            <w:noWrap/>
            <w:vAlign w:val="center"/>
            <w:hideMark/>
          </w:tcPr>
          <w:p w:rsidR="00EB7531" w:rsidRPr="003C7852" w:rsidP="00FA0E1C" w14:paraId="0F2CC320" w14:textId="77777777">
            <w:pPr>
              <w:jc w:val="center"/>
              <w:rPr>
                <w:b/>
                <w:bCs/>
                <w:color w:val="000000"/>
              </w:rPr>
            </w:pPr>
            <w:r w:rsidRPr="003C7852">
              <w:rPr>
                <w:b/>
                <w:bCs/>
                <w:color w:val="000000"/>
              </w:rPr>
              <w:t>Variable</w:t>
            </w:r>
          </w:p>
        </w:tc>
        <w:tc>
          <w:tcPr>
            <w:tcW w:w="2970" w:type="dxa"/>
            <w:tcBorders>
              <w:top w:val="single" w:sz="4" w:space="0" w:color="auto"/>
              <w:bottom w:val="single" w:sz="4" w:space="0" w:color="auto"/>
            </w:tcBorders>
            <w:shd w:val="clear" w:color="auto" w:fill="auto"/>
            <w:noWrap/>
            <w:vAlign w:val="center"/>
            <w:hideMark/>
          </w:tcPr>
          <w:p w:rsidR="00EB7531" w:rsidRPr="003C7852" w:rsidP="00FA0E1C" w14:paraId="43465367" w14:textId="77777777">
            <w:pPr>
              <w:jc w:val="center"/>
              <w:rPr>
                <w:b/>
                <w:bCs/>
                <w:color w:val="000000"/>
              </w:rPr>
            </w:pPr>
            <w:r w:rsidRPr="003C7852">
              <w:rPr>
                <w:b/>
                <w:bCs/>
                <w:color w:val="000000"/>
              </w:rPr>
              <w:t>Category</w:t>
            </w:r>
          </w:p>
        </w:tc>
        <w:tc>
          <w:tcPr>
            <w:tcW w:w="1440" w:type="dxa"/>
            <w:tcBorders>
              <w:top w:val="single" w:sz="4" w:space="0" w:color="auto"/>
              <w:bottom w:val="single" w:sz="4" w:space="0" w:color="auto"/>
            </w:tcBorders>
            <w:shd w:val="clear" w:color="auto" w:fill="auto"/>
            <w:noWrap/>
            <w:vAlign w:val="center"/>
            <w:hideMark/>
          </w:tcPr>
          <w:p w:rsidR="00EB7531" w:rsidRPr="003C7852" w:rsidP="00FA0E1C" w14:paraId="7BFA79C5" w14:textId="77777777">
            <w:pPr>
              <w:jc w:val="center"/>
              <w:rPr>
                <w:b/>
                <w:bCs/>
                <w:color w:val="000000"/>
              </w:rPr>
            </w:pPr>
            <w:r w:rsidRPr="003C7852">
              <w:rPr>
                <w:b/>
                <w:bCs/>
                <w:color w:val="000000"/>
              </w:rPr>
              <w:t>Distribution</w:t>
            </w:r>
          </w:p>
        </w:tc>
        <w:tc>
          <w:tcPr>
            <w:tcW w:w="2001" w:type="dxa"/>
            <w:tcBorders>
              <w:top w:val="single" w:sz="4" w:space="0" w:color="auto"/>
              <w:bottom w:val="single" w:sz="4" w:space="0" w:color="auto"/>
            </w:tcBorders>
            <w:shd w:val="clear" w:color="auto" w:fill="auto"/>
            <w:noWrap/>
            <w:vAlign w:val="center"/>
            <w:hideMark/>
          </w:tcPr>
          <w:p w:rsidR="00EB7531" w:rsidRPr="003C7852" w:rsidP="00FA0E1C" w14:paraId="531E7539" w14:textId="6054CC87">
            <w:pPr>
              <w:jc w:val="center"/>
              <w:rPr>
                <w:b/>
                <w:bCs/>
                <w:color w:val="000000"/>
              </w:rPr>
            </w:pPr>
            <w:r w:rsidRPr="003C7852">
              <w:rPr>
                <w:b/>
                <w:bCs/>
                <w:color w:val="000000"/>
              </w:rPr>
              <w:t xml:space="preserve">Estimated </w:t>
            </w:r>
            <w:r w:rsidR="00D43256">
              <w:rPr>
                <w:b/>
                <w:bCs/>
                <w:color w:val="000000"/>
              </w:rPr>
              <w:t>Sample Size</w:t>
            </w:r>
          </w:p>
        </w:tc>
      </w:tr>
      <w:tr w14:paraId="064CCCF7" w14:textId="77777777" w:rsidTr="00FA0E1C">
        <w:tblPrEx>
          <w:tblW w:w="8391" w:type="dxa"/>
          <w:jc w:val="center"/>
          <w:tblLook w:val="04A0"/>
        </w:tblPrEx>
        <w:trPr>
          <w:trHeight w:val="300"/>
          <w:jc w:val="center"/>
        </w:trPr>
        <w:tc>
          <w:tcPr>
            <w:tcW w:w="1980" w:type="dxa"/>
            <w:tcBorders>
              <w:top w:val="single" w:sz="4" w:space="0" w:color="auto"/>
            </w:tcBorders>
            <w:shd w:val="clear" w:color="auto" w:fill="auto"/>
            <w:noWrap/>
            <w:vAlign w:val="bottom"/>
            <w:hideMark/>
          </w:tcPr>
          <w:p w:rsidR="00EB7531" w:rsidRPr="003C7852" w:rsidP="00775C86" w14:paraId="2B09A683" w14:textId="77777777">
            <w:pPr>
              <w:rPr>
                <w:color w:val="000000"/>
              </w:rPr>
            </w:pPr>
            <w:r w:rsidRPr="003C7852">
              <w:rPr>
                <w:color w:val="000000"/>
              </w:rPr>
              <w:t>Age</w:t>
            </w:r>
          </w:p>
        </w:tc>
        <w:tc>
          <w:tcPr>
            <w:tcW w:w="2970" w:type="dxa"/>
            <w:tcBorders>
              <w:top w:val="single" w:sz="4" w:space="0" w:color="auto"/>
            </w:tcBorders>
            <w:shd w:val="clear" w:color="auto" w:fill="auto"/>
            <w:noWrap/>
            <w:vAlign w:val="bottom"/>
            <w:hideMark/>
          </w:tcPr>
          <w:p w:rsidR="00EB7531" w:rsidRPr="003C7852" w:rsidP="00775C86" w14:paraId="2C45C456" w14:textId="30373AB3">
            <w:pPr>
              <w:rPr>
                <w:color w:val="000000"/>
              </w:rPr>
            </w:pPr>
            <w:r w:rsidRPr="003C7852">
              <w:rPr>
                <w:color w:val="000000"/>
              </w:rPr>
              <w:t>18-</w:t>
            </w:r>
            <w:r w:rsidR="002115ED">
              <w:rPr>
                <w:color w:val="000000"/>
              </w:rPr>
              <w:t>29</w:t>
            </w:r>
          </w:p>
        </w:tc>
        <w:tc>
          <w:tcPr>
            <w:tcW w:w="1440" w:type="dxa"/>
            <w:tcBorders>
              <w:top w:val="single" w:sz="4" w:space="0" w:color="auto"/>
            </w:tcBorders>
            <w:shd w:val="clear" w:color="auto" w:fill="auto"/>
            <w:noWrap/>
            <w:vAlign w:val="bottom"/>
            <w:hideMark/>
          </w:tcPr>
          <w:p w:rsidR="00EB7531" w:rsidRPr="003C7852" w:rsidP="00775C86" w14:paraId="0B89DB6E" w14:textId="51D3AED5">
            <w:pPr>
              <w:jc w:val="right"/>
              <w:rPr>
                <w:color w:val="000000"/>
              </w:rPr>
            </w:pPr>
            <w:r>
              <w:rPr>
                <w:color w:val="000000"/>
              </w:rPr>
              <w:t>13</w:t>
            </w:r>
            <w:r w:rsidRPr="003C7852">
              <w:rPr>
                <w:color w:val="000000"/>
              </w:rPr>
              <w:t>%</w:t>
            </w:r>
          </w:p>
        </w:tc>
        <w:tc>
          <w:tcPr>
            <w:tcW w:w="2001" w:type="dxa"/>
            <w:tcBorders>
              <w:top w:val="single" w:sz="4" w:space="0" w:color="auto"/>
            </w:tcBorders>
            <w:shd w:val="clear" w:color="auto" w:fill="auto"/>
            <w:noWrap/>
            <w:vAlign w:val="bottom"/>
            <w:hideMark/>
          </w:tcPr>
          <w:p w:rsidR="00EB7531" w:rsidRPr="003C7852" w:rsidP="00775C86" w14:paraId="42B3C9AD" w14:textId="40E6F7FF">
            <w:pPr>
              <w:jc w:val="right"/>
              <w:rPr>
                <w:color w:val="000000"/>
              </w:rPr>
            </w:pPr>
            <w:r>
              <w:rPr>
                <w:color w:val="000000"/>
              </w:rPr>
              <w:t>81</w:t>
            </w:r>
          </w:p>
        </w:tc>
      </w:tr>
      <w:tr w14:paraId="0874385B" w14:textId="77777777" w:rsidTr="00FA0E1C">
        <w:tblPrEx>
          <w:tblW w:w="8391" w:type="dxa"/>
          <w:jc w:val="center"/>
          <w:tblLook w:val="04A0"/>
        </w:tblPrEx>
        <w:trPr>
          <w:trHeight w:val="300"/>
          <w:jc w:val="center"/>
        </w:trPr>
        <w:tc>
          <w:tcPr>
            <w:tcW w:w="1980" w:type="dxa"/>
            <w:tcBorders>
              <w:top w:val="nil"/>
            </w:tcBorders>
            <w:shd w:val="clear" w:color="auto" w:fill="auto"/>
            <w:noWrap/>
            <w:vAlign w:val="bottom"/>
            <w:hideMark/>
          </w:tcPr>
          <w:p w:rsidR="00EB7531" w:rsidRPr="003C7852" w:rsidP="00775C86" w14:paraId="4B5FCE69" w14:textId="77777777">
            <w:pPr>
              <w:rPr>
                <w:color w:val="000000"/>
              </w:rPr>
            </w:pPr>
            <w:r w:rsidRPr="003C7852">
              <w:rPr>
                <w:color w:val="000000"/>
              </w:rPr>
              <w:t> </w:t>
            </w:r>
          </w:p>
        </w:tc>
        <w:tc>
          <w:tcPr>
            <w:tcW w:w="2970" w:type="dxa"/>
            <w:tcBorders>
              <w:top w:val="nil"/>
            </w:tcBorders>
            <w:shd w:val="clear" w:color="auto" w:fill="auto"/>
            <w:noWrap/>
            <w:vAlign w:val="bottom"/>
            <w:hideMark/>
          </w:tcPr>
          <w:p w:rsidR="00EB7531" w:rsidRPr="003C7852" w:rsidP="00775C86" w14:paraId="357E7234" w14:textId="77C4CA93">
            <w:pPr>
              <w:rPr>
                <w:color w:val="000000"/>
              </w:rPr>
            </w:pPr>
            <w:r w:rsidRPr="003C7852">
              <w:rPr>
                <w:color w:val="000000"/>
              </w:rPr>
              <w:t>3</w:t>
            </w:r>
            <w:r w:rsidR="002115ED">
              <w:rPr>
                <w:color w:val="000000"/>
              </w:rPr>
              <w:t>0-39</w:t>
            </w:r>
          </w:p>
        </w:tc>
        <w:tc>
          <w:tcPr>
            <w:tcW w:w="1440" w:type="dxa"/>
            <w:tcBorders>
              <w:top w:val="nil"/>
            </w:tcBorders>
            <w:shd w:val="clear" w:color="auto" w:fill="auto"/>
            <w:noWrap/>
            <w:vAlign w:val="bottom"/>
            <w:hideMark/>
          </w:tcPr>
          <w:p w:rsidR="00EB7531" w:rsidRPr="003C7852" w:rsidP="00775C86" w14:paraId="4EF0097C" w14:textId="539C5A8B">
            <w:pPr>
              <w:jc w:val="right"/>
              <w:rPr>
                <w:color w:val="000000"/>
              </w:rPr>
            </w:pPr>
            <w:r>
              <w:rPr>
                <w:color w:val="000000"/>
              </w:rPr>
              <w:t>18</w:t>
            </w:r>
            <w:r w:rsidRPr="003C7852">
              <w:rPr>
                <w:color w:val="000000"/>
              </w:rPr>
              <w:t>%</w:t>
            </w:r>
          </w:p>
        </w:tc>
        <w:tc>
          <w:tcPr>
            <w:tcW w:w="2001" w:type="dxa"/>
            <w:tcBorders>
              <w:top w:val="nil"/>
            </w:tcBorders>
            <w:shd w:val="clear" w:color="auto" w:fill="auto"/>
            <w:noWrap/>
            <w:vAlign w:val="bottom"/>
            <w:hideMark/>
          </w:tcPr>
          <w:p w:rsidR="00EB7531" w:rsidRPr="003C7852" w:rsidP="00775C86" w14:paraId="69A8B6A8" w14:textId="304A6B20">
            <w:pPr>
              <w:jc w:val="right"/>
              <w:rPr>
                <w:color w:val="000000"/>
              </w:rPr>
            </w:pPr>
            <w:r>
              <w:rPr>
                <w:color w:val="000000"/>
              </w:rPr>
              <w:t>11</w:t>
            </w:r>
            <w:r w:rsidR="00816BE2">
              <w:rPr>
                <w:color w:val="000000"/>
              </w:rPr>
              <w:t>2</w:t>
            </w:r>
          </w:p>
        </w:tc>
      </w:tr>
      <w:tr w14:paraId="20AA3905" w14:textId="77777777" w:rsidTr="00FA0E1C">
        <w:tblPrEx>
          <w:tblW w:w="8391" w:type="dxa"/>
          <w:jc w:val="center"/>
          <w:tblLook w:val="04A0"/>
        </w:tblPrEx>
        <w:trPr>
          <w:trHeight w:val="300"/>
          <w:jc w:val="center"/>
        </w:trPr>
        <w:tc>
          <w:tcPr>
            <w:tcW w:w="1980" w:type="dxa"/>
            <w:tcBorders>
              <w:top w:val="nil"/>
            </w:tcBorders>
            <w:shd w:val="clear" w:color="auto" w:fill="auto"/>
            <w:noWrap/>
            <w:vAlign w:val="bottom"/>
            <w:hideMark/>
          </w:tcPr>
          <w:p w:rsidR="00EB7531" w:rsidRPr="003C7852" w:rsidP="00775C86" w14:paraId="6DA2AF0E" w14:textId="77777777">
            <w:pPr>
              <w:rPr>
                <w:color w:val="000000"/>
              </w:rPr>
            </w:pPr>
            <w:r w:rsidRPr="003C7852">
              <w:rPr>
                <w:color w:val="000000"/>
              </w:rPr>
              <w:t> </w:t>
            </w:r>
          </w:p>
        </w:tc>
        <w:tc>
          <w:tcPr>
            <w:tcW w:w="2970" w:type="dxa"/>
            <w:tcBorders>
              <w:top w:val="nil"/>
            </w:tcBorders>
            <w:shd w:val="clear" w:color="auto" w:fill="auto"/>
            <w:noWrap/>
            <w:vAlign w:val="bottom"/>
            <w:hideMark/>
          </w:tcPr>
          <w:p w:rsidR="00EB7531" w:rsidRPr="003C7852" w:rsidP="00775C86" w14:paraId="1522AE8A" w14:textId="31FC824B">
            <w:pPr>
              <w:rPr>
                <w:color w:val="000000"/>
              </w:rPr>
            </w:pPr>
            <w:r>
              <w:rPr>
                <w:color w:val="000000"/>
              </w:rPr>
              <w:t>40-49</w:t>
            </w:r>
          </w:p>
        </w:tc>
        <w:tc>
          <w:tcPr>
            <w:tcW w:w="1440" w:type="dxa"/>
            <w:tcBorders>
              <w:top w:val="nil"/>
            </w:tcBorders>
            <w:shd w:val="clear" w:color="auto" w:fill="auto"/>
            <w:noWrap/>
            <w:vAlign w:val="bottom"/>
            <w:hideMark/>
          </w:tcPr>
          <w:p w:rsidR="00EB7531" w:rsidRPr="003C7852" w:rsidP="00775C86" w14:paraId="6E8EA0BF" w14:textId="3F1F3EA7">
            <w:pPr>
              <w:jc w:val="right"/>
              <w:rPr>
                <w:color w:val="000000"/>
              </w:rPr>
            </w:pPr>
            <w:r>
              <w:rPr>
                <w:color w:val="000000"/>
              </w:rPr>
              <w:t>22</w:t>
            </w:r>
            <w:r w:rsidRPr="003C7852">
              <w:rPr>
                <w:color w:val="000000"/>
              </w:rPr>
              <w:t>%</w:t>
            </w:r>
          </w:p>
        </w:tc>
        <w:tc>
          <w:tcPr>
            <w:tcW w:w="2001" w:type="dxa"/>
            <w:tcBorders>
              <w:top w:val="nil"/>
            </w:tcBorders>
            <w:shd w:val="clear" w:color="auto" w:fill="auto"/>
            <w:noWrap/>
            <w:vAlign w:val="bottom"/>
            <w:hideMark/>
          </w:tcPr>
          <w:p w:rsidR="00EB7531" w:rsidRPr="003C7852" w:rsidP="00775C86" w14:paraId="70B9BD90" w14:textId="2CB36A7B">
            <w:pPr>
              <w:jc w:val="right"/>
              <w:rPr>
                <w:color w:val="000000"/>
              </w:rPr>
            </w:pPr>
            <w:r>
              <w:rPr>
                <w:color w:val="000000"/>
              </w:rPr>
              <w:t>1</w:t>
            </w:r>
            <w:r w:rsidR="00301969">
              <w:rPr>
                <w:color w:val="000000"/>
              </w:rPr>
              <w:t>37</w:t>
            </w:r>
          </w:p>
        </w:tc>
      </w:tr>
      <w:tr w14:paraId="0A1D29FC" w14:textId="77777777" w:rsidTr="00FA0E1C">
        <w:tblPrEx>
          <w:tblW w:w="8391" w:type="dxa"/>
          <w:jc w:val="center"/>
          <w:tblLook w:val="04A0"/>
        </w:tblPrEx>
        <w:trPr>
          <w:trHeight w:val="300"/>
          <w:jc w:val="center"/>
        </w:trPr>
        <w:tc>
          <w:tcPr>
            <w:tcW w:w="1980" w:type="dxa"/>
            <w:tcBorders>
              <w:top w:val="nil"/>
            </w:tcBorders>
            <w:shd w:val="clear" w:color="auto" w:fill="auto"/>
            <w:noWrap/>
            <w:vAlign w:val="bottom"/>
          </w:tcPr>
          <w:p w:rsidR="002115ED" w:rsidRPr="003C7852" w:rsidP="00775C86" w14:paraId="039DB5F7" w14:textId="77777777">
            <w:pPr>
              <w:rPr>
                <w:color w:val="000000"/>
              </w:rPr>
            </w:pPr>
          </w:p>
        </w:tc>
        <w:tc>
          <w:tcPr>
            <w:tcW w:w="2970" w:type="dxa"/>
            <w:tcBorders>
              <w:top w:val="nil"/>
            </w:tcBorders>
            <w:shd w:val="clear" w:color="auto" w:fill="auto"/>
            <w:noWrap/>
            <w:vAlign w:val="bottom"/>
          </w:tcPr>
          <w:p w:rsidR="002115ED" w:rsidRPr="003C7852" w:rsidP="00775C86" w14:paraId="545A7150" w14:textId="2EF94A45">
            <w:pPr>
              <w:rPr>
                <w:color w:val="000000"/>
              </w:rPr>
            </w:pPr>
            <w:r>
              <w:rPr>
                <w:color w:val="000000"/>
              </w:rPr>
              <w:t>50-59</w:t>
            </w:r>
          </w:p>
        </w:tc>
        <w:tc>
          <w:tcPr>
            <w:tcW w:w="1440" w:type="dxa"/>
            <w:tcBorders>
              <w:top w:val="nil"/>
            </w:tcBorders>
            <w:shd w:val="clear" w:color="auto" w:fill="auto"/>
            <w:noWrap/>
            <w:vAlign w:val="bottom"/>
          </w:tcPr>
          <w:p w:rsidR="002115ED" w:rsidP="00775C86" w14:paraId="2CB9E6D3" w14:textId="161641FF">
            <w:pPr>
              <w:jc w:val="right"/>
              <w:rPr>
                <w:color w:val="000000"/>
              </w:rPr>
            </w:pPr>
            <w:r>
              <w:rPr>
                <w:color w:val="000000"/>
              </w:rPr>
              <w:t>25%</w:t>
            </w:r>
          </w:p>
        </w:tc>
        <w:tc>
          <w:tcPr>
            <w:tcW w:w="2001" w:type="dxa"/>
            <w:tcBorders>
              <w:top w:val="nil"/>
            </w:tcBorders>
            <w:shd w:val="clear" w:color="auto" w:fill="auto"/>
            <w:noWrap/>
            <w:vAlign w:val="bottom"/>
          </w:tcPr>
          <w:p w:rsidR="002115ED" w:rsidRPr="003C7852" w:rsidP="00775C86" w14:paraId="72D9018B" w14:textId="55B9A9DE">
            <w:pPr>
              <w:jc w:val="right"/>
              <w:rPr>
                <w:color w:val="000000"/>
              </w:rPr>
            </w:pPr>
            <w:r>
              <w:rPr>
                <w:color w:val="000000"/>
              </w:rPr>
              <w:t>156</w:t>
            </w:r>
          </w:p>
        </w:tc>
      </w:tr>
      <w:tr w14:paraId="6B1B3525" w14:textId="77777777" w:rsidTr="00FA0E1C">
        <w:tblPrEx>
          <w:tblW w:w="8391" w:type="dxa"/>
          <w:jc w:val="center"/>
          <w:tblLook w:val="04A0"/>
        </w:tblPrEx>
        <w:trPr>
          <w:trHeight w:val="300"/>
          <w:jc w:val="center"/>
        </w:trPr>
        <w:tc>
          <w:tcPr>
            <w:tcW w:w="1980" w:type="dxa"/>
            <w:tcBorders>
              <w:top w:val="nil"/>
            </w:tcBorders>
            <w:shd w:val="clear" w:color="auto" w:fill="auto"/>
            <w:noWrap/>
            <w:vAlign w:val="bottom"/>
          </w:tcPr>
          <w:p w:rsidR="006826D6" w:rsidRPr="003C7852" w:rsidP="00775C86" w14:paraId="27F7E1D5" w14:textId="77777777">
            <w:pPr>
              <w:rPr>
                <w:color w:val="000000"/>
              </w:rPr>
            </w:pPr>
          </w:p>
        </w:tc>
        <w:tc>
          <w:tcPr>
            <w:tcW w:w="2970" w:type="dxa"/>
            <w:tcBorders>
              <w:top w:val="nil"/>
            </w:tcBorders>
            <w:shd w:val="clear" w:color="auto" w:fill="auto"/>
            <w:noWrap/>
            <w:vAlign w:val="bottom"/>
          </w:tcPr>
          <w:p w:rsidR="006826D6" w:rsidP="00775C86" w14:paraId="6B9F81B1" w14:textId="32A84B0C">
            <w:pPr>
              <w:rPr>
                <w:color w:val="000000"/>
              </w:rPr>
            </w:pPr>
            <w:r>
              <w:rPr>
                <w:color w:val="000000"/>
              </w:rPr>
              <w:t>60+</w:t>
            </w:r>
          </w:p>
        </w:tc>
        <w:tc>
          <w:tcPr>
            <w:tcW w:w="1440" w:type="dxa"/>
            <w:tcBorders>
              <w:top w:val="nil"/>
            </w:tcBorders>
            <w:shd w:val="clear" w:color="auto" w:fill="auto"/>
            <w:noWrap/>
            <w:vAlign w:val="bottom"/>
          </w:tcPr>
          <w:p w:rsidR="006826D6" w:rsidP="00775C86" w14:paraId="613F50EB" w14:textId="7FFDE0B7">
            <w:pPr>
              <w:jc w:val="right"/>
              <w:rPr>
                <w:color w:val="000000"/>
              </w:rPr>
            </w:pPr>
            <w:r>
              <w:rPr>
                <w:color w:val="000000"/>
              </w:rPr>
              <w:t>23%</w:t>
            </w:r>
          </w:p>
        </w:tc>
        <w:tc>
          <w:tcPr>
            <w:tcW w:w="2001" w:type="dxa"/>
            <w:tcBorders>
              <w:top w:val="nil"/>
            </w:tcBorders>
            <w:shd w:val="clear" w:color="auto" w:fill="auto"/>
            <w:noWrap/>
            <w:vAlign w:val="bottom"/>
          </w:tcPr>
          <w:p w:rsidR="006826D6" w:rsidRPr="003C7852" w:rsidP="00775C86" w14:paraId="55103DAF" w14:textId="49AC0609">
            <w:pPr>
              <w:jc w:val="right"/>
              <w:rPr>
                <w:color w:val="000000"/>
              </w:rPr>
            </w:pPr>
            <w:r>
              <w:rPr>
                <w:color w:val="000000"/>
              </w:rPr>
              <w:t>14</w:t>
            </w:r>
            <w:r w:rsidR="00982B40">
              <w:rPr>
                <w:color w:val="000000"/>
              </w:rPr>
              <w:t>3</w:t>
            </w:r>
          </w:p>
        </w:tc>
      </w:tr>
      <w:tr w14:paraId="02850132" w14:textId="77777777" w:rsidTr="005A70AD">
        <w:tblPrEx>
          <w:tblW w:w="8391" w:type="dxa"/>
          <w:jc w:val="center"/>
          <w:tblLook w:val="04A0"/>
        </w:tblPrEx>
        <w:trPr>
          <w:trHeight w:val="288"/>
          <w:jc w:val="center"/>
        </w:trPr>
        <w:tc>
          <w:tcPr>
            <w:tcW w:w="1980" w:type="dxa"/>
            <w:tcBorders>
              <w:top w:val="nil"/>
            </w:tcBorders>
            <w:shd w:val="clear" w:color="auto" w:fill="auto"/>
            <w:noWrap/>
            <w:vAlign w:val="bottom"/>
            <w:hideMark/>
          </w:tcPr>
          <w:p w:rsidR="00EB7531" w:rsidRPr="003C7852" w:rsidP="00775C86" w14:paraId="3D5A4A76" w14:textId="77777777">
            <w:pPr>
              <w:rPr>
                <w:color w:val="000000"/>
              </w:rPr>
            </w:pPr>
            <w:r w:rsidRPr="003C7852">
              <w:rPr>
                <w:color w:val="000000"/>
              </w:rPr>
              <w:t> </w:t>
            </w:r>
          </w:p>
        </w:tc>
        <w:tc>
          <w:tcPr>
            <w:tcW w:w="2970" w:type="dxa"/>
            <w:tcBorders>
              <w:top w:val="nil"/>
            </w:tcBorders>
            <w:shd w:val="clear" w:color="auto" w:fill="auto"/>
            <w:noWrap/>
            <w:vAlign w:val="bottom"/>
            <w:hideMark/>
          </w:tcPr>
          <w:p w:rsidR="00EB7531" w:rsidRPr="003C7852" w:rsidP="00775C86" w14:paraId="4BE75BF2" w14:textId="77777777">
            <w:pPr>
              <w:rPr>
                <w:color w:val="000000"/>
              </w:rPr>
            </w:pPr>
            <w:r w:rsidRPr="003C7852">
              <w:rPr>
                <w:color w:val="000000"/>
              </w:rPr>
              <w:t> </w:t>
            </w:r>
          </w:p>
        </w:tc>
        <w:tc>
          <w:tcPr>
            <w:tcW w:w="1440" w:type="dxa"/>
            <w:tcBorders>
              <w:top w:val="nil"/>
            </w:tcBorders>
            <w:shd w:val="clear" w:color="auto" w:fill="auto"/>
            <w:noWrap/>
            <w:vAlign w:val="bottom"/>
            <w:hideMark/>
          </w:tcPr>
          <w:p w:rsidR="00EB7531" w:rsidRPr="003C7852" w:rsidP="00775C86" w14:paraId="05BF2CE8" w14:textId="77777777">
            <w:pPr>
              <w:rPr>
                <w:color w:val="000000"/>
              </w:rPr>
            </w:pPr>
            <w:r w:rsidRPr="003C7852">
              <w:rPr>
                <w:color w:val="000000"/>
              </w:rPr>
              <w:t> </w:t>
            </w:r>
          </w:p>
        </w:tc>
        <w:tc>
          <w:tcPr>
            <w:tcW w:w="2001" w:type="dxa"/>
            <w:tcBorders>
              <w:top w:val="nil"/>
            </w:tcBorders>
            <w:shd w:val="clear" w:color="auto" w:fill="auto"/>
            <w:noWrap/>
            <w:vAlign w:val="bottom"/>
            <w:hideMark/>
          </w:tcPr>
          <w:p w:rsidR="00EB7531" w:rsidRPr="003C7852" w:rsidP="00775C86" w14:paraId="122A7988" w14:textId="77777777">
            <w:pPr>
              <w:jc w:val="right"/>
              <w:rPr>
                <w:color w:val="000000"/>
              </w:rPr>
            </w:pPr>
          </w:p>
        </w:tc>
      </w:tr>
      <w:tr w14:paraId="6F7EBE84" w14:textId="77777777" w:rsidTr="00FA0E1C">
        <w:tblPrEx>
          <w:tblW w:w="8391" w:type="dxa"/>
          <w:jc w:val="center"/>
          <w:tblLook w:val="04A0"/>
        </w:tblPrEx>
        <w:trPr>
          <w:trHeight w:val="300"/>
          <w:jc w:val="center"/>
        </w:trPr>
        <w:tc>
          <w:tcPr>
            <w:tcW w:w="1980" w:type="dxa"/>
            <w:tcBorders>
              <w:top w:val="nil"/>
            </w:tcBorders>
            <w:shd w:val="clear" w:color="auto" w:fill="auto"/>
            <w:noWrap/>
            <w:vAlign w:val="bottom"/>
            <w:hideMark/>
          </w:tcPr>
          <w:p w:rsidR="00EB7531" w:rsidRPr="003C7852" w:rsidP="00775C86" w14:paraId="438B83C6" w14:textId="77777777">
            <w:pPr>
              <w:rPr>
                <w:color w:val="000000"/>
              </w:rPr>
            </w:pPr>
            <w:r w:rsidRPr="003C7852">
              <w:rPr>
                <w:color w:val="000000"/>
              </w:rPr>
              <w:t>Race/Ethnicity</w:t>
            </w:r>
          </w:p>
        </w:tc>
        <w:tc>
          <w:tcPr>
            <w:tcW w:w="2970" w:type="dxa"/>
            <w:tcBorders>
              <w:top w:val="nil"/>
            </w:tcBorders>
            <w:shd w:val="clear" w:color="auto" w:fill="auto"/>
            <w:noWrap/>
            <w:vAlign w:val="bottom"/>
            <w:hideMark/>
          </w:tcPr>
          <w:p w:rsidR="00EB7531" w:rsidRPr="003C7852" w:rsidP="00775C86" w14:paraId="5A4B2E01" w14:textId="06CE012F">
            <w:pPr>
              <w:rPr>
                <w:color w:val="000000"/>
              </w:rPr>
            </w:pPr>
            <w:r w:rsidRPr="003C7852">
              <w:rPr>
                <w:color w:val="000000"/>
              </w:rPr>
              <w:t>White</w:t>
            </w:r>
          </w:p>
        </w:tc>
        <w:tc>
          <w:tcPr>
            <w:tcW w:w="1440" w:type="dxa"/>
            <w:tcBorders>
              <w:top w:val="nil"/>
            </w:tcBorders>
            <w:shd w:val="clear" w:color="auto" w:fill="auto"/>
            <w:noWrap/>
            <w:vAlign w:val="bottom"/>
            <w:hideMark/>
          </w:tcPr>
          <w:p w:rsidR="00EB7531" w:rsidRPr="003C7852" w:rsidP="00775C86" w14:paraId="1130BC80" w14:textId="2810139C">
            <w:pPr>
              <w:jc w:val="right"/>
              <w:rPr>
                <w:color w:val="000000"/>
              </w:rPr>
            </w:pPr>
            <w:r>
              <w:rPr>
                <w:color w:val="000000"/>
              </w:rPr>
              <w:t>88</w:t>
            </w:r>
            <w:r w:rsidRPr="003C7852">
              <w:rPr>
                <w:color w:val="000000"/>
              </w:rPr>
              <w:t>%</w:t>
            </w:r>
          </w:p>
        </w:tc>
        <w:tc>
          <w:tcPr>
            <w:tcW w:w="2001" w:type="dxa"/>
            <w:tcBorders>
              <w:top w:val="nil"/>
            </w:tcBorders>
            <w:shd w:val="clear" w:color="auto" w:fill="auto"/>
            <w:noWrap/>
            <w:vAlign w:val="bottom"/>
            <w:hideMark/>
          </w:tcPr>
          <w:p w:rsidR="00EB7531" w:rsidRPr="003C7852" w:rsidP="00775C86" w14:paraId="15BC2FB4" w14:textId="0BCD0F9B">
            <w:pPr>
              <w:jc w:val="right"/>
              <w:rPr>
                <w:color w:val="000000"/>
              </w:rPr>
            </w:pPr>
            <w:r>
              <w:rPr>
                <w:color w:val="000000"/>
              </w:rPr>
              <w:t>550</w:t>
            </w:r>
          </w:p>
        </w:tc>
      </w:tr>
      <w:tr w14:paraId="4894531A" w14:textId="77777777" w:rsidTr="00FA0E1C">
        <w:tblPrEx>
          <w:tblW w:w="8391" w:type="dxa"/>
          <w:jc w:val="center"/>
          <w:tblLook w:val="04A0"/>
        </w:tblPrEx>
        <w:trPr>
          <w:trHeight w:val="300"/>
          <w:jc w:val="center"/>
        </w:trPr>
        <w:tc>
          <w:tcPr>
            <w:tcW w:w="1980" w:type="dxa"/>
            <w:tcBorders>
              <w:top w:val="nil"/>
            </w:tcBorders>
            <w:shd w:val="clear" w:color="auto" w:fill="auto"/>
            <w:noWrap/>
            <w:vAlign w:val="bottom"/>
            <w:hideMark/>
          </w:tcPr>
          <w:p w:rsidR="00EB7531" w:rsidRPr="003C7852" w:rsidP="00775C86" w14:paraId="6C5FBBA5" w14:textId="77777777">
            <w:pPr>
              <w:rPr>
                <w:color w:val="000000"/>
              </w:rPr>
            </w:pPr>
            <w:r w:rsidRPr="003C7852">
              <w:rPr>
                <w:color w:val="000000"/>
              </w:rPr>
              <w:t> </w:t>
            </w:r>
          </w:p>
        </w:tc>
        <w:tc>
          <w:tcPr>
            <w:tcW w:w="2970" w:type="dxa"/>
            <w:tcBorders>
              <w:top w:val="nil"/>
            </w:tcBorders>
            <w:shd w:val="clear" w:color="auto" w:fill="auto"/>
            <w:noWrap/>
            <w:vAlign w:val="bottom"/>
            <w:hideMark/>
          </w:tcPr>
          <w:p w:rsidR="00EB7531" w:rsidRPr="003C7852" w:rsidP="00775C86" w14:paraId="2FAEA626" w14:textId="54DC6F2B">
            <w:pPr>
              <w:rPr>
                <w:color w:val="000000"/>
              </w:rPr>
            </w:pPr>
            <w:r>
              <w:rPr>
                <w:color w:val="000000"/>
              </w:rPr>
              <w:t>African American</w:t>
            </w:r>
          </w:p>
        </w:tc>
        <w:tc>
          <w:tcPr>
            <w:tcW w:w="1440" w:type="dxa"/>
            <w:tcBorders>
              <w:top w:val="nil"/>
            </w:tcBorders>
            <w:shd w:val="clear" w:color="auto" w:fill="auto"/>
            <w:noWrap/>
            <w:vAlign w:val="bottom"/>
            <w:hideMark/>
          </w:tcPr>
          <w:p w:rsidR="00EB7531" w:rsidRPr="003C7852" w:rsidP="00775C86" w14:paraId="5A28C75C" w14:textId="27A1B7DD">
            <w:pPr>
              <w:jc w:val="right"/>
              <w:rPr>
                <w:color w:val="000000"/>
              </w:rPr>
            </w:pPr>
            <w:r>
              <w:rPr>
                <w:color w:val="000000"/>
              </w:rPr>
              <w:t>7</w:t>
            </w:r>
            <w:r w:rsidRPr="003C7852">
              <w:rPr>
                <w:color w:val="000000"/>
              </w:rPr>
              <w:t>%</w:t>
            </w:r>
          </w:p>
        </w:tc>
        <w:tc>
          <w:tcPr>
            <w:tcW w:w="2001" w:type="dxa"/>
            <w:tcBorders>
              <w:top w:val="nil"/>
            </w:tcBorders>
            <w:shd w:val="clear" w:color="auto" w:fill="auto"/>
            <w:noWrap/>
            <w:vAlign w:val="bottom"/>
            <w:hideMark/>
          </w:tcPr>
          <w:p w:rsidR="00EB7531" w:rsidRPr="003C7852" w:rsidP="00775C86" w14:paraId="6975002B" w14:textId="02175AB4">
            <w:pPr>
              <w:jc w:val="right"/>
              <w:rPr>
                <w:color w:val="000000"/>
              </w:rPr>
            </w:pPr>
            <w:r>
              <w:rPr>
                <w:color w:val="000000"/>
              </w:rPr>
              <w:t>44</w:t>
            </w:r>
          </w:p>
        </w:tc>
      </w:tr>
      <w:tr w14:paraId="1EDCA0C0" w14:textId="77777777" w:rsidTr="00FA0E1C">
        <w:tblPrEx>
          <w:tblW w:w="8391" w:type="dxa"/>
          <w:jc w:val="center"/>
          <w:tblLook w:val="04A0"/>
        </w:tblPrEx>
        <w:trPr>
          <w:trHeight w:val="300"/>
          <w:jc w:val="center"/>
        </w:trPr>
        <w:tc>
          <w:tcPr>
            <w:tcW w:w="1980" w:type="dxa"/>
            <w:tcBorders>
              <w:top w:val="nil"/>
            </w:tcBorders>
            <w:shd w:val="clear" w:color="auto" w:fill="auto"/>
            <w:noWrap/>
            <w:vAlign w:val="bottom"/>
          </w:tcPr>
          <w:p w:rsidR="004229D9" w:rsidRPr="003C7852" w:rsidP="00775C86" w14:paraId="09747EDA" w14:textId="77777777">
            <w:pPr>
              <w:rPr>
                <w:color w:val="000000"/>
              </w:rPr>
            </w:pPr>
          </w:p>
        </w:tc>
        <w:tc>
          <w:tcPr>
            <w:tcW w:w="2970" w:type="dxa"/>
            <w:tcBorders>
              <w:top w:val="nil"/>
            </w:tcBorders>
            <w:shd w:val="clear" w:color="auto" w:fill="auto"/>
            <w:noWrap/>
            <w:vAlign w:val="bottom"/>
          </w:tcPr>
          <w:p w:rsidR="004229D9" w:rsidP="00775C86" w14:paraId="553329C4" w14:textId="088C8F6F">
            <w:pPr>
              <w:rPr>
                <w:color w:val="000000"/>
              </w:rPr>
            </w:pPr>
            <w:r>
              <w:rPr>
                <w:color w:val="000000"/>
              </w:rPr>
              <w:t>Hispanic</w:t>
            </w:r>
          </w:p>
        </w:tc>
        <w:tc>
          <w:tcPr>
            <w:tcW w:w="1440" w:type="dxa"/>
            <w:tcBorders>
              <w:top w:val="nil"/>
            </w:tcBorders>
            <w:shd w:val="clear" w:color="auto" w:fill="auto"/>
            <w:noWrap/>
            <w:vAlign w:val="bottom"/>
          </w:tcPr>
          <w:p w:rsidR="004229D9" w:rsidRPr="003C7852" w:rsidP="00775C86" w14:paraId="26D6235D" w14:textId="23932581">
            <w:pPr>
              <w:jc w:val="right"/>
              <w:rPr>
                <w:color w:val="000000"/>
              </w:rPr>
            </w:pPr>
            <w:r>
              <w:rPr>
                <w:color w:val="000000"/>
              </w:rPr>
              <w:t>4%</w:t>
            </w:r>
          </w:p>
        </w:tc>
        <w:tc>
          <w:tcPr>
            <w:tcW w:w="2001" w:type="dxa"/>
            <w:tcBorders>
              <w:top w:val="nil"/>
            </w:tcBorders>
            <w:shd w:val="clear" w:color="auto" w:fill="auto"/>
            <w:noWrap/>
            <w:vAlign w:val="bottom"/>
          </w:tcPr>
          <w:p w:rsidR="004229D9" w:rsidRPr="003C7852" w:rsidP="00775C86" w14:paraId="0017747D" w14:textId="170D7151">
            <w:pPr>
              <w:jc w:val="right"/>
              <w:rPr>
                <w:color w:val="000000"/>
              </w:rPr>
            </w:pPr>
            <w:r>
              <w:rPr>
                <w:color w:val="000000"/>
              </w:rPr>
              <w:t>25</w:t>
            </w:r>
          </w:p>
        </w:tc>
      </w:tr>
      <w:tr w14:paraId="0B604454" w14:textId="77777777" w:rsidTr="00FA0E1C">
        <w:tblPrEx>
          <w:tblW w:w="8391" w:type="dxa"/>
          <w:jc w:val="center"/>
          <w:tblLook w:val="04A0"/>
        </w:tblPrEx>
        <w:trPr>
          <w:trHeight w:val="300"/>
          <w:jc w:val="center"/>
        </w:trPr>
        <w:tc>
          <w:tcPr>
            <w:tcW w:w="1980" w:type="dxa"/>
            <w:tcBorders>
              <w:top w:val="nil"/>
            </w:tcBorders>
            <w:shd w:val="clear" w:color="auto" w:fill="auto"/>
            <w:noWrap/>
            <w:vAlign w:val="bottom"/>
          </w:tcPr>
          <w:p w:rsidR="004229D9" w:rsidRPr="003C7852" w:rsidP="00775C86" w14:paraId="3E5C9A61" w14:textId="77777777">
            <w:pPr>
              <w:rPr>
                <w:color w:val="000000"/>
              </w:rPr>
            </w:pPr>
          </w:p>
        </w:tc>
        <w:tc>
          <w:tcPr>
            <w:tcW w:w="2970" w:type="dxa"/>
            <w:tcBorders>
              <w:top w:val="nil"/>
            </w:tcBorders>
            <w:shd w:val="clear" w:color="auto" w:fill="auto"/>
            <w:noWrap/>
            <w:vAlign w:val="bottom"/>
          </w:tcPr>
          <w:p w:rsidR="004229D9" w:rsidP="00775C86" w14:paraId="019B5C6D" w14:textId="17C681FB">
            <w:pPr>
              <w:rPr>
                <w:color w:val="000000"/>
              </w:rPr>
            </w:pPr>
            <w:r>
              <w:rPr>
                <w:color w:val="000000"/>
              </w:rPr>
              <w:t>Asian/Pacific Islander</w:t>
            </w:r>
          </w:p>
        </w:tc>
        <w:tc>
          <w:tcPr>
            <w:tcW w:w="1440" w:type="dxa"/>
            <w:tcBorders>
              <w:top w:val="nil"/>
            </w:tcBorders>
            <w:shd w:val="clear" w:color="auto" w:fill="auto"/>
            <w:noWrap/>
            <w:vAlign w:val="bottom"/>
          </w:tcPr>
          <w:p w:rsidR="004229D9" w:rsidRPr="003C7852" w:rsidP="00775C86" w14:paraId="40356544" w14:textId="60A7C00D">
            <w:pPr>
              <w:jc w:val="right"/>
              <w:rPr>
                <w:color w:val="000000"/>
              </w:rPr>
            </w:pPr>
            <w:r>
              <w:rPr>
                <w:color w:val="000000"/>
              </w:rPr>
              <w:t>1%</w:t>
            </w:r>
          </w:p>
        </w:tc>
        <w:tc>
          <w:tcPr>
            <w:tcW w:w="2001" w:type="dxa"/>
            <w:tcBorders>
              <w:top w:val="nil"/>
            </w:tcBorders>
            <w:shd w:val="clear" w:color="auto" w:fill="auto"/>
            <w:noWrap/>
            <w:vAlign w:val="bottom"/>
          </w:tcPr>
          <w:p w:rsidR="004229D9" w:rsidRPr="003C7852" w:rsidP="00775C86" w14:paraId="5B7AA6DD" w14:textId="48E314A6">
            <w:pPr>
              <w:jc w:val="right"/>
              <w:rPr>
                <w:color w:val="000000"/>
              </w:rPr>
            </w:pPr>
            <w:r>
              <w:rPr>
                <w:color w:val="000000"/>
              </w:rPr>
              <w:t>6</w:t>
            </w:r>
          </w:p>
        </w:tc>
      </w:tr>
      <w:tr w14:paraId="0FC8B4BF" w14:textId="77777777" w:rsidTr="00FA0E1C">
        <w:tblPrEx>
          <w:tblW w:w="8391" w:type="dxa"/>
          <w:jc w:val="center"/>
          <w:tblLook w:val="04A0"/>
        </w:tblPrEx>
        <w:trPr>
          <w:trHeight w:val="300"/>
          <w:jc w:val="center"/>
        </w:trPr>
        <w:tc>
          <w:tcPr>
            <w:tcW w:w="1980" w:type="dxa"/>
            <w:tcBorders>
              <w:top w:val="nil"/>
            </w:tcBorders>
            <w:shd w:val="clear" w:color="auto" w:fill="auto"/>
            <w:noWrap/>
            <w:vAlign w:val="bottom"/>
            <w:hideMark/>
          </w:tcPr>
          <w:p w:rsidR="00EB7531" w:rsidRPr="003C7852" w:rsidP="00775C86" w14:paraId="6FC676E7" w14:textId="77777777">
            <w:pPr>
              <w:rPr>
                <w:color w:val="000000"/>
              </w:rPr>
            </w:pPr>
            <w:r w:rsidRPr="003C7852">
              <w:rPr>
                <w:color w:val="000000"/>
              </w:rPr>
              <w:t> </w:t>
            </w:r>
          </w:p>
        </w:tc>
        <w:tc>
          <w:tcPr>
            <w:tcW w:w="2970" w:type="dxa"/>
            <w:tcBorders>
              <w:top w:val="nil"/>
            </w:tcBorders>
            <w:shd w:val="clear" w:color="auto" w:fill="auto"/>
            <w:noWrap/>
            <w:vAlign w:val="bottom"/>
            <w:hideMark/>
          </w:tcPr>
          <w:p w:rsidR="00EB7531" w:rsidRPr="003C7852" w:rsidP="00775C86" w14:paraId="2BCC6AAA" w14:textId="77777777">
            <w:pPr>
              <w:rPr>
                <w:color w:val="000000"/>
              </w:rPr>
            </w:pPr>
            <w:r w:rsidRPr="003C7852">
              <w:rPr>
                <w:color w:val="000000"/>
              </w:rPr>
              <w:t> </w:t>
            </w:r>
          </w:p>
        </w:tc>
        <w:tc>
          <w:tcPr>
            <w:tcW w:w="1440" w:type="dxa"/>
            <w:tcBorders>
              <w:top w:val="nil"/>
            </w:tcBorders>
            <w:shd w:val="clear" w:color="auto" w:fill="auto"/>
            <w:noWrap/>
            <w:vAlign w:val="bottom"/>
            <w:hideMark/>
          </w:tcPr>
          <w:p w:rsidR="00EB7531" w:rsidRPr="003C7852" w:rsidP="00775C86" w14:paraId="5C24C137" w14:textId="77777777">
            <w:pPr>
              <w:rPr>
                <w:color w:val="000000"/>
              </w:rPr>
            </w:pPr>
            <w:r w:rsidRPr="003C7852">
              <w:rPr>
                <w:color w:val="000000"/>
              </w:rPr>
              <w:t> </w:t>
            </w:r>
          </w:p>
        </w:tc>
        <w:tc>
          <w:tcPr>
            <w:tcW w:w="2001" w:type="dxa"/>
            <w:tcBorders>
              <w:top w:val="nil"/>
            </w:tcBorders>
            <w:shd w:val="clear" w:color="auto" w:fill="auto"/>
            <w:noWrap/>
            <w:vAlign w:val="bottom"/>
            <w:hideMark/>
          </w:tcPr>
          <w:p w:rsidR="00EB7531" w:rsidRPr="003C7852" w:rsidP="00775C86" w14:paraId="0915436F" w14:textId="77777777">
            <w:pPr>
              <w:jc w:val="right"/>
              <w:rPr>
                <w:color w:val="000000"/>
              </w:rPr>
            </w:pPr>
          </w:p>
        </w:tc>
      </w:tr>
      <w:tr w14:paraId="53BDEE9D" w14:textId="77777777" w:rsidTr="00FA0E1C">
        <w:tblPrEx>
          <w:tblW w:w="8391" w:type="dxa"/>
          <w:jc w:val="center"/>
          <w:tblLook w:val="04A0"/>
        </w:tblPrEx>
        <w:trPr>
          <w:trHeight w:val="300"/>
          <w:jc w:val="center"/>
        </w:trPr>
        <w:tc>
          <w:tcPr>
            <w:tcW w:w="1980" w:type="dxa"/>
            <w:tcBorders>
              <w:top w:val="nil"/>
            </w:tcBorders>
            <w:shd w:val="clear" w:color="auto" w:fill="auto"/>
            <w:noWrap/>
            <w:vAlign w:val="bottom"/>
            <w:hideMark/>
          </w:tcPr>
          <w:p w:rsidR="00EB7531" w:rsidRPr="003C7852" w:rsidP="00775C86" w14:paraId="21CAB870" w14:textId="2AC03016">
            <w:pPr>
              <w:rPr>
                <w:color w:val="000000"/>
              </w:rPr>
            </w:pPr>
            <w:r>
              <w:rPr>
                <w:color w:val="000000"/>
              </w:rPr>
              <w:t>Sex</w:t>
            </w:r>
          </w:p>
        </w:tc>
        <w:tc>
          <w:tcPr>
            <w:tcW w:w="2970" w:type="dxa"/>
            <w:tcBorders>
              <w:top w:val="nil"/>
            </w:tcBorders>
            <w:shd w:val="clear" w:color="auto" w:fill="auto"/>
            <w:noWrap/>
            <w:vAlign w:val="bottom"/>
            <w:hideMark/>
          </w:tcPr>
          <w:p w:rsidR="00EB7531" w:rsidRPr="003C7852" w:rsidP="00775C86" w14:paraId="79126B3D" w14:textId="77777777">
            <w:pPr>
              <w:rPr>
                <w:color w:val="000000"/>
              </w:rPr>
            </w:pPr>
            <w:r w:rsidRPr="003C7852">
              <w:rPr>
                <w:color w:val="000000"/>
              </w:rPr>
              <w:t>Male</w:t>
            </w:r>
          </w:p>
        </w:tc>
        <w:tc>
          <w:tcPr>
            <w:tcW w:w="1440" w:type="dxa"/>
            <w:tcBorders>
              <w:top w:val="nil"/>
            </w:tcBorders>
            <w:shd w:val="clear" w:color="auto" w:fill="auto"/>
            <w:noWrap/>
            <w:vAlign w:val="bottom"/>
            <w:hideMark/>
          </w:tcPr>
          <w:p w:rsidR="00EB7531" w:rsidRPr="003C7852" w:rsidP="00775C86" w14:paraId="52A8F919" w14:textId="053807E0">
            <w:pPr>
              <w:jc w:val="right"/>
              <w:rPr>
                <w:color w:val="000000"/>
              </w:rPr>
            </w:pPr>
            <w:r>
              <w:rPr>
                <w:color w:val="000000"/>
              </w:rPr>
              <w:t>80</w:t>
            </w:r>
            <w:r w:rsidRPr="003C7852">
              <w:rPr>
                <w:color w:val="000000"/>
              </w:rPr>
              <w:t>%</w:t>
            </w:r>
          </w:p>
        </w:tc>
        <w:tc>
          <w:tcPr>
            <w:tcW w:w="2001" w:type="dxa"/>
            <w:tcBorders>
              <w:top w:val="nil"/>
            </w:tcBorders>
            <w:shd w:val="clear" w:color="auto" w:fill="auto"/>
            <w:noWrap/>
            <w:vAlign w:val="bottom"/>
            <w:hideMark/>
          </w:tcPr>
          <w:p w:rsidR="00EB7531" w:rsidRPr="003C7852" w:rsidP="00775C86" w14:paraId="37690A53" w14:textId="5192CF67">
            <w:pPr>
              <w:jc w:val="right"/>
              <w:rPr>
                <w:color w:val="000000"/>
              </w:rPr>
            </w:pPr>
            <w:r>
              <w:rPr>
                <w:color w:val="000000"/>
              </w:rPr>
              <w:t>500</w:t>
            </w:r>
          </w:p>
        </w:tc>
      </w:tr>
      <w:tr w14:paraId="281D1CE1" w14:textId="77777777" w:rsidTr="00FA0E1C">
        <w:tblPrEx>
          <w:tblW w:w="8391" w:type="dxa"/>
          <w:jc w:val="center"/>
          <w:tblLook w:val="04A0"/>
        </w:tblPrEx>
        <w:trPr>
          <w:trHeight w:val="300"/>
          <w:jc w:val="center"/>
        </w:trPr>
        <w:tc>
          <w:tcPr>
            <w:tcW w:w="1980" w:type="dxa"/>
            <w:tcBorders>
              <w:top w:val="nil"/>
              <w:bottom w:val="single" w:sz="4" w:space="0" w:color="auto"/>
            </w:tcBorders>
            <w:shd w:val="clear" w:color="auto" w:fill="auto"/>
            <w:noWrap/>
            <w:vAlign w:val="bottom"/>
            <w:hideMark/>
          </w:tcPr>
          <w:p w:rsidR="00EB7531" w:rsidRPr="003C7852" w:rsidP="00775C86" w14:paraId="3877DC6B" w14:textId="77777777">
            <w:pPr>
              <w:rPr>
                <w:color w:val="000000"/>
              </w:rPr>
            </w:pPr>
            <w:r w:rsidRPr="003C7852">
              <w:rPr>
                <w:color w:val="000000"/>
              </w:rPr>
              <w:t> </w:t>
            </w:r>
          </w:p>
        </w:tc>
        <w:tc>
          <w:tcPr>
            <w:tcW w:w="2970" w:type="dxa"/>
            <w:tcBorders>
              <w:top w:val="nil"/>
              <w:bottom w:val="single" w:sz="4" w:space="0" w:color="auto"/>
            </w:tcBorders>
            <w:shd w:val="clear" w:color="auto" w:fill="auto"/>
            <w:noWrap/>
            <w:vAlign w:val="bottom"/>
            <w:hideMark/>
          </w:tcPr>
          <w:p w:rsidR="00EB7531" w:rsidRPr="003C7852" w:rsidP="00775C86" w14:paraId="694FD779" w14:textId="77777777">
            <w:pPr>
              <w:rPr>
                <w:color w:val="000000"/>
              </w:rPr>
            </w:pPr>
            <w:r w:rsidRPr="003C7852">
              <w:rPr>
                <w:color w:val="000000"/>
              </w:rPr>
              <w:t>Female</w:t>
            </w:r>
          </w:p>
        </w:tc>
        <w:tc>
          <w:tcPr>
            <w:tcW w:w="1440" w:type="dxa"/>
            <w:tcBorders>
              <w:top w:val="nil"/>
              <w:bottom w:val="single" w:sz="4" w:space="0" w:color="auto"/>
            </w:tcBorders>
            <w:shd w:val="clear" w:color="auto" w:fill="auto"/>
            <w:noWrap/>
            <w:vAlign w:val="bottom"/>
            <w:hideMark/>
          </w:tcPr>
          <w:p w:rsidR="00EB7531" w:rsidRPr="003C7852" w:rsidP="00775C86" w14:paraId="370A3EA9" w14:textId="082B70A6">
            <w:pPr>
              <w:jc w:val="right"/>
              <w:rPr>
                <w:color w:val="000000"/>
              </w:rPr>
            </w:pPr>
            <w:r>
              <w:rPr>
                <w:color w:val="000000"/>
              </w:rPr>
              <w:t>20</w:t>
            </w:r>
            <w:r w:rsidRPr="003C7852">
              <w:rPr>
                <w:color w:val="000000"/>
              </w:rPr>
              <w:t>%</w:t>
            </w:r>
          </w:p>
        </w:tc>
        <w:tc>
          <w:tcPr>
            <w:tcW w:w="2001" w:type="dxa"/>
            <w:tcBorders>
              <w:top w:val="nil"/>
              <w:bottom w:val="single" w:sz="4" w:space="0" w:color="auto"/>
            </w:tcBorders>
            <w:shd w:val="clear" w:color="auto" w:fill="auto"/>
            <w:noWrap/>
            <w:vAlign w:val="bottom"/>
            <w:hideMark/>
          </w:tcPr>
          <w:p w:rsidR="00EB7531" w:rsidRPr="003C7852" w:rsidP="00775C86" w14:paraId="1F129CFB" w14:textId="058D35B3">
            <w:pPr>
              <w:jc w:val="right"/>
              <w:rPr>
                <w:color w:val="000000"/>
              </w:rPr>
            </w:pPr>
            <w:r>
              <w:rPr>
                <w:color w:val="000000"/>
              </w:rPr>
              <w:t>125</w:t>
            </w:r>
          </w:p>
        </w:tc>
      </w:tr>
    </w:tbl>
    <w:p w:rsidR="00EB7531" w:rsidP="00AC02AD" w14:paraId="2C8976AB" w14:textId="77777777">
      <w:pPr>
        <w:rPr>
          <w:rFonts w:eastAsia="Calibri"/>
          <w:b/>
        </w:rPr>
      </w:pPr>
    </w:p>
    <w:p w:rsidR="00D774F4" w:rsidRPr="00AC12E1" w:rsidP="005A70AD" w14:paraId="4A6208A4" w14:textId="4A3267A0">
      <w:pPr>
        <w:spacing w:line="240" w:lineRule="auto"/>
      </w:pPr>
      <w:r w:rsidRPr="00AC12E1">
        <w:rPr>
          <w:b/>
          <w:bCs/>
        </w:rPr>
        <w:t>Sample Size Considerations</w:t>
      </w:r>
    </w:p>
    <w:p w:rsidR="00D774F4" w:rsidRPr="00AC12E1" w:rsidP="0024147C" w14:paraId="4633AAFD" w14:textId="3B16CAF2">
      <w:pPr>
        <w:spacing w:before="100" w:beforeAutospacing="1" w:after="120" w:line="240" w:lineRule="auto"/>
        <w:textAlignment w:val="baseline"/>
      </w:pPr>
      <w:r>
        <w:rPr>
          <w:b/>
          <w:bCs/>
        </w:rPr>
        <w:t>Margin of Error</w:t>
      </w:r>
      <w:r w:rsidRPr="00AC12E1">
        <w:rPr>
          <w:b/>
          <w:bCs/>
        </w:rPr>
        <w:t>.</w:t>
      </w:r>
      <w:r w:rsidRPr="00AC12E1">
        <w:t xml:space="preserve"> In any study of this type, it is critical to minimize margin of error (MOE) to ensure the survey results reflect </w:t>
      </w:r>
      <w:r w:rsidR="005164EE">
        <w:t>as best</w:t>
      </w:r>
      <w:r w:rsidR="00692EAB">
        <w:t xml:space="preserve"> as possible </w:t>
      </w:r>
      <w:r w:rsidRPr="00AC12E1">
        <w:t xml:space="preserve">the true </w:t>
      </w:r>
      <w:r w:rsidR="00C80A31">
        <w:t xml:space="preserve">behaviors, </w:t>
      </w:r>
      <w:r w:rsidRPr="00AC12E1">
        <w:t>knowledge</w:t>
      </w:r>
      <w:r w:rsidR="00C80A31">
        <w:t>,</w:t>
      </w:r>
      <w:r w:rsidRPr="00AC12E1">
        <w:t xml:space="preserve"> </w:t>
      </w:r>
      <w:r w:rsidR="00C80A31">
        <w:t>or</w:t>
      </w:r>
      <w:r w:rsidRPr="00AC12E1">
        <w:t xml:space="preserve"> opinions of the population</w:t>
      </w:r>
      <w:r w:rsidR="00C80A31">
        <w:t xml:space="preserve"> from which the sample is taken</w:t>
      </w:r>
      <w:r w:rsidRPr="00AC12E1">
        <w:t xml:space="preserve">. MOEs at 90%, 95%, and 99% confidence levels were calculated with the constants of population parameter = 0.5, DEFF = </w:t>
      </w:r>
      <w:r>
        <w:t>1,</w:t>
      </w:r>
      <w:r w:rsidRPr="00AC12E1">
        <w:t xml:space="preserve"> and sample size varied from </w:t>
      </w:r>
      <w:r>
        <w:t>5</w:t>
      </w:r>
      <w:r w:rsidRPr="00AC12E1">
        <w:t xml:space="preserve">00 to </w:t>
      </w:r>
      <w:r>
        <w:t>1000</w:t>
      </w:r>
      <w:r w:rsidRPr="00AC12E1">
        <w:t xml:space="preserve">. </w:t>
      </w:r>
      <w:r w:rsidR="002A0879">
        <w:fldChar w:fldCharType="begin"/>
      </w:r>
      <w:r w:rsidR="002A0879">
        <w:instrText xml:space="preserve"> REF _Ref153193165 \r \h </w:instrText>
      </w:r>
      <w:r w:rsidR="002A0879">
        <w:fldChar w:fldCharType="separate"/>
      </w:r>
      <w:r w:rsidR="000A6571">
        <w:t>Table 4</w:t>
      </w:r>
      <w:r w:rsidR="002A0879">
        <w:fldChar w:fldCharType="end"/>
      </w:r>
      <w:r w:rsidR="006C172F">
        <w:t xml:space="preserve"> </w:t>
      </w:r>
      <w:r w:rsidRPr="00AC12E1">
        <w:t xml:space="preserve">summarizes the expected MOEs under these conditions. As shown in the table, the proposed sample size of </w:t>
      </w:r>
      <w:r>
        <w:t>625</w:t>
      </w:r>
      <w:r w:rsidRPr="00AC12E1">
        <w:t xml:space="preserve"> will result in an MOE of </w:t>
      </w:r>
      <w:r w:rsidR="007423FE">
        <w:rPr>
          <w:rFonts w:ascii="Symbola" w:hAnsi="Symbola" w:cs="Symbola"/>
        </w:rPr>
        <w:t>±</w:t>
      </w:r>
      <w:r>
        <w:t>3</w:t>
      </w:r>
      <w:r w:rsidRPr="00AC12E1">
        <w:t>.</w:t>
      </w:r>
      <w:r>
        <w:t>9</w:t>
      </w:r>
      <w:r w:rsidRPr="00AC12E1">
        <w:t>% at a 95% confidence level. </w:t>
      </w:r>
      <w:r w:rsidR="00AB28F4">
        <w:t xml:space="preserve">This MOE </w:t>
      </w:r>
      <w:r w:rsidR="00A56C0F">
        <w:t>will</w:t>
      </w:r>
      <w:r w:rsidR="009F287C">
        <w:t xml:space="preserve"> be acceptable for the </w:t>
      </w:r>
      <w:r w:rsidR="00373D80">
        <w:t xml:space="preserve">basic gear </w:t>
      </w:r>
      <w:r w:rsidR="00871F8F">
        <w:t xml:space="preserve">prevalence </w:t>
      </w:r>
      <w:r w:rsidR="00250AD5">
        <w:t>(</w:t>
      </w:r>
      <w:r w:rsidR="00801BC8">
        <w:t>i</w:t>
      </w:r>
      <w:r w:rsidR="00250AD5">
        <w:t>.</w:t>
      </w:r>
      <w:r w:rsidR="00801BC8">
        <w:t>e</w:t>
      </w:r>
      <w:r w:rsidR="00250AD5">
        <w:t>.,</w:t>
      </w:r>
      <w:r w:rsidR="00D81BA0">
        <w:t xml:space="preserve"> </w:t>
      </w:r>
      <w:r w:rsidR="00531D5B">
        <w:t xml:space="preserve">gear worn/not worn) and </w:t>
      </w:r>
      <w:r w:rsidR="000176C8">
        <w:t xml:space="preserve">gear fit (i.e., </w:t>
      </w:r>
      <w:r w:rsidR="00EE74F7">
        <w:t>gear fit</w:t>
      </w:r>
      <w:r w:rsidR="007B3117">
        <w:t xml:space="preserve"> appropriately</w:t>
      </w:r>
      <w:r w:rsidR="00EE74F7">
        <w:t>/did not fit</w:t>
      </w:r>
      <w:r w:rsidR="007B3117">
        <w:t xml:space="preserve"> appropriately</w:t>
      </w:r>
      <w:r w:rsidR="00EE74F7">
        <w:t>)</w:t>
      </w:r>
      <w:r w:rsidR="00250AD5">
        <w:t xml:space="preserve"> </w:t>
      </w:r>
      <w:r w:rsidR="00871F8F">
        <w:t>measures</w:t>
      </w:r>
      <w:r w:rsidR="00EE74F7">
        <w:t xml:space="preserve">. </w:t>
      </w:r>
    </w:p>
    <w:p w:rsidR="00D774F4" w:rsidRPr="00AC12E1" w:rsidP="002249D6" w14:paraId="47338EE4" w14:textId="6B8E093C">
      <w:pPr>
        <w:pStyle w:val="Table"/>
        <w:spacing w:before="120"/>
      </w:pPr>
      <w:bookmarkStart w:id="15" w:name="_Ref153193165"/>
      <w:r w:rsidRPr="00AC12E1">
        <w:t xml:space="preserve">Margin of Error </w:t>
      </w:r>
      <w:r w:rsidR="007C1E08">
        <w:t>(</w:t>
      </w:r>
      <w:r w:rsidRPr="00C8712C" w:rsidR="007C1E08">
        <w:rPr>
          <w:u w:val="single"/>
        </w:rPr>
        <w:t>+</w:t>
      </w:r>
      <w:r w:rsidR="007C1E08">
        <w:t xml:space="preserve"> %) </w:t>
      </w:r>
      <w:r w:rsidRPr="00AC12E1">
        <w:t>for Various Samples Sizes and Confidence Levels</w:t>
      </w:r>
      <w:bookmarkEnd w:id="15"/>
      <w:r w:rsidRPr="00AC12E1">
        <w: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90"/>
        <w:gridCol w:w="1185"/>
        <w:gridCol w:w="1020"/>
        <w:gridCol w:w="1020"/>
        <w:gridCol w:w="1050"/>
      </w:tblGrid>
      <w:tr w14:paraId="4A4B1116" w14:textId="77777777" w:rsidTr="0024147C">
        <w:tblPrEx>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411"/>
          <w:jc w:val="center"/>
        </w:trPr>
        <w:tc>
          <w:tcPr>
            <w:tcW w:w="1890" w:type="dxa"/>
            <w:tcBorders>
              <w:top w:val="single" w:sz="6" w:space="0" w:color="auto"/>
              <w:left w:val="nil"/>
              <w:bottom w:val="nil"/>
              <w:right w:val="nil"/>
            </w:tcBorders>
            <w:shd w:val="clear" w:color="auto" w:fill="auto"/>
            <w:vAlign w:val="center"/>
            <w:hideMark/>
          </w:tcPr>
          <w:p w:rsidR="00D774F4" w:rsidRPr="00AC12E1" w14:paraId="1FFD98A5" w14:textId="77777777">
            <w:pPr>
              <w:spacing w:before="100" w:beforeAutospacing="1" w:after="100" w:afterAutospacing="1" w:line="240" w:lineRule="auto"/>
              <w:jc w:val="center"/>
              <w:textAlignment w:val="baseline"/>
            </w:pPr>
            <w:r w:rsidRPr="00AC12E1">
              <w:t> </w:t>
            </w:r>
          </w:p>
        </w:tc>
        <w:tc>
          <w:tcPr>
            <w:tcW w:w="4275" w:type="dxa"/>
            <w:gridSpan w:val="4"/>
            <w:tcBorders>
              <w:top w:val="single" w:sz="6" w:space="0" w:color="auto"/>
              <w:left w:val="nil"/>
              <w:bottom w:val="nil"/>
              <w:right w:val="nil"/>
            </w:tcBorders>
            <w:shd w:val="clear" w:color="auto" w:fill="auto"/>
            <w:vAlign w:val="center"/>
            <w:hideMark/>
          </w:tcPr>
          <w:p w:rsidR="00D774F4" w:rsidRPr="00AC12E1" w:rsidP="0024147C" w14:paraId="5ED5C748" w14:textId="77777777">
            <w:pPr>
              <w:spacing w:before="100" w:beforeAutospacing="1" w:after="100" w:afterAutospacing="1" w:line="240" w:lineRule="auto"/>
              <w:jc w:val="center"/>
              <w:textAlignment w:val="baseline"/>
            </w:pPr>
            <w:r w:rsidRPr="00AC12E1">
              <w:t>Sample Size </w:t>
            </w:r>
          </w:p>
        </w:tc>
      </w:tr>
      <w:tr w14:paraId="6FB01580" w14:textId="77777777" w:rsidTr="0024147C">
        <w:tblPrEx>
          <w:tblW w:w="0" w:type="auto"/>
          <w:jc w:val="center"/>
          <w:tblCellMar>
            <w:top w:w="15" w:type="dxa"/>
            <w:left w:w="15" w:type="dxa"/>
            <w:bottom w:w="15" w:type="dxa"/>
            <w:right w:w="15" w:type="dxa"/>
          </w:tblCellMar>
          <w:tblLook w:val="04A0"/>
        </w:tblPrEx>
        <w:trPr>
          <w:trHeight w:val="237"/>
          <w:jc w:val="center"/>
        </w:trPr>
        <w:tc>
          <w:tcPr>
            <w:tcW w:w="1890" w:type="dxa"/>
            <w:tcBorders>
              <w:top w:val="nil"/>
              <w:left w:val="nil"/>
              <w:bottom w:val="single" w:sz="6" w:space="0" w:color="auto"/>
              <w:right w:val="nil"/>
            </w:tcBorders>
            <w:shd w:val="clear" w:color="auto" w:fill="auto"/>
            <w:vAlign w:val="center"/>
            <w:hideMark/>
          </w:tcPr>
          <w:p w:rsidR="00D774F4" w:rsidRPr="00AC12E1" w14:paraId="3CDB6377" w14:textId="77777777">
            <w:pPr>
              <w:spacing w:before="100" w:beforeAutospacing="1" w:after="100" w:afterAutospacing="1" w:line="240" w:lineRule="auto"/>
              <w:jc w:val="center"/>
              <w:textAlignment w:val="baseline"/>
            </w:pPr>
            <w:r w:rsidRPr="00AC12E1">
              <w:t>Confidence </w:t>
            </w:r>
          </w:p>
        </w:tc>
        <w:tc>
          <w:tcPr>
            <w:tcW w:w="1185" w:type="dxa"/>
            <w:tcBorders>
              <w:top w:val="nil"/>
              <w:left w:val="nil"/>
              <w:bottom w:val="single" w:sz="6" w:space="0" w:color="auto"/>
              <w:right w:val="nil"/>
            </w:tcBorders>
            <w:shd w:val="clear" w:color="auto" w:fill="auto"/>
            <w:vAlign w:val="center"/>
            <w:hideMark/>
          </w:tcPr>
          <w:p w:rsidR="00D774F4" w:rsidRPr="00AC12E1" w14:paraId="4783AA57" w14:textId="77777777">
            <w:pPr>
              <w:spacing w:before="100" w:beforeAutospacing="1" w:after="100" w:afterAutospacing="1" w:line="240" w:lineRule="auto"/>
              <w:jc w:val="center"/>
              <w:textAlignment w:val="baseline"/>
            </w:pPr>
            <w:r>
              <w:t>500</w:t>
            </w:r>
            <w:r w:rsidRPr="00AC12E1">
              <w:t> </w:t>
            </w:r>
          </w:p>
        </w:tc>
        <w:tc>
          <w:tcPr>
            <w:tcW w:w="1020" w:type="dxa"/>
            <w:tcBorders>
              <w:top w:val="nil"/>
              <w:left w:val="nil"/>
              <w:bottom w:val="single" w:sz="6" w:space="0" w:color="auto"/>
              <w:right w:val="nil"/>
            </w:tcBorders>
            <w:shd w:val="clear" w:color="auto" w:fill="auto"/>
            <w:vAlign w:val="center"/>
            <w:hideMark/>
          </w:tcPr>
          <w:p w:rsidR="00D774F4" w:rsidRPr="00AC12E1" w14:paraId="212AAAD7" w14:textId="77777777">
            <w:pPr>
              <w:spacing w:before="100" w:beforeAutospacing="1" w:after="100" w:afterAutospacing="1" w:line="240" w:lineRule="auto"/>
              <w:jc w:val="center"/>
              <w:textAlignment w:val="baseline"/>
            </w:pPr>
            <w:r>
              <w:t>625</w:t>
            </w:r>
            <w:r w:rsidRPr="00AC12E1">
              <w:t> </w:t>
            </w:r>
          </w:p>
        </w:tc>
        <w:tc>
          <w:tcPr>
            <w:tcW w:w="1020" w:type="dxa"/>
            <w:tcBorders>
              <w:top w:val="nil"/>
              <w:left w:val="nil"/>
              <w:bottom w:val="single" w:sz="6" w:space="0" w:color="auto"/>
              <w:right w:val="nil"/>
            </w:tcBorders>
            <w:shd w:val="clear" w:color="auto" w:fill="auto"/>
            <w:vAlign w:val="center"/>
            <w:hideMark/>
          </w:tcPr>
          <w:p w:rsidR="00D774F4" w:rsidRPr="00AC12E1" w14:paraId="7CE8CEC5" w14:textId="77777777">
            <w:pPr>
              <w:spacing w:before="100" w:beforeAutospacing="1" w:after="100" w:afterAutospacing="1" w:line="240" w:lineRule="auto"/>
              <w:jc w:val="center"/>
              <w:textAlignment w:val="baseline"/>
            </w:pPr>
            <w:r>
              <w:t>800</w:t>
            </w:r>
            <w:r w:rsidRPr="00AC12E1">
              <w:t> </w:t>
            </w:r>
          </w:p>
        </w:tc>
        <w:tc>
          <w:tcPr>
            <w:tcW w:w="1020" w:type="dxa"/>
            <w:tcBorders>
              <w:top w:val="nil"/>
              <w:left w:val="nil"/>
              <w:bottom w:val="single" w:sz="6" w:space="0" w:color="auto"/>
              <w:right w:val="nil"/>
            </w:tcBorders>
            <w:shd w:val="clear" w:color="auto" w:fill="auto"/>
            <w:vAlign w:val="center"/>
            <w:hideMark/>
          </w:tcPr>
          <w:p w:rsidR="00D774F4" w:rsidRPr="00AC12E1" w14:paraId="0A516583" w14:textId="77777777">
            <w:pPr>
              <w:spacing w:before="100" w:beforeAutospacing="1" w:after="100" w:afterAutospacing="1" w:line="240" w:lineRule="auto"/>
              <w:jc w:val="center"/>
              <w:textAlignment w:val="baseline"/>
            </w:pPr>
            <w:r>
              <w:t>1000</w:t>
            </w:r>
            <w:r w:rsidRPr="00AC12E1">
              <w:t> </w:t>
            </w:r>
          </w:p>
        </w:tc>
      </w:tr>
      <w:tr w14:paraId="567BEF98" w14:textId="77777777" w:rsidTr="00632705">
        <w:tblPrEx>
          <w:tblW w:w="0" w:type="auto"/>
          <w:jc w:val="center"/>
          <w:tblCellMar>
            <w:top w:w="15" w:type="dxa"/>
            <w:left w:w="15" w:type="dxa"/>
            <w:bottom w:w="15" w:type="dxa"/>
            <w:right w:w="15" w:type="dxa"/>
          </w:tblCellMar>
          <w:tblLook w:val="04A0"/>
        </w:tblPrEx>
        <w:trPr>
          <w:trHeight w:val="318"/>
          <w:jc w:val="center"/>
        </w:trPr>
        <w:tc>
          <w:tcPr>
            <w:tcW w:w="1890" w:type="dxa"/>
            <w:tcBorders>
              <w:top w:val="nil"/>
              <w:left w:val="nil"/>
              <w:bottom w:val="nil"/>
              <w:right w:val="nil"/>
            </w:tcBorders>
            <w:shd w:val="clear" w:color="auto" w:fill="auto"/>
            <w:vAlign w:val="center"/>
            <w:hideMark/>
          </w:tcPr>
          <w:p w:rsidR="00D774F4" w:rsidRPr="00AC12E1" w14:paraId="5135B135" w14:textId="77777777">
            <w:pPr>
              <w:spacing w:before="100" w:beforeAutospacing="1" w:after="100" w:afterAutospacing="1" w:line="240" w:lineRule="auto"/>
              <w:jc w:val="center"/>
              <w:textAlignment w:val="baseline"/>
            </w:pPr>
            <w:r w:rsidRPr="00AC12E1">
              <w:t>90%</w:t>
            </w:r>
          </w:p>
        </w:tc>
        <w:tc>
          <w:tcPr>
            <w:tcW w:w="1185" w:type="dxa"/>
            <w:tcBorders>
              <w:top w:val="nil"/>
              <w:left w:val="nil"/>
              <w:bottom w:val="nil"/>
              <w:right w:val="nil"/>
            </w:tcBorders>
            <w:shd w:val="clear" w:color="auto" w:fill="auto"/>
            <w:vAlign w:val="center"/>
            <w:hideMark/>
          </w:tcPr>
          <w:p w:rsidR="00D774F4" w:rsidRPr="00AC12E1" w14:paraId="13DC12B3" w14:textId="77777777">
            <w:pPr>
              <w:spacing w:before="100" w:beforeAutospacing="1" w:after="100" w:afterAutospacing="1" w:line="240" w:lineRule="auto"/>
              <w:jc w:val="center"/>
              <w:textAlignment w:val="baseline"/>
            </w:pPr>
            <w:r>
              <w:t>3.7</w:t>
            </w:r>
          </w:p>
        </w:tc>
        <w:tc>
          <w:tcPr>
            <w:tcW w:w="1020" w:type="dxa"/>
            <w:tcBorders>
              <w:top w:val="nil"/>
              <w:left w:val="nil"/>
              <w:bottom w:val="nil"/>
              <w:right w:val="nil"/>
            </w:tcBorders>
            <w:shd w:val="clear" w:color="auto" w:fill="auto"/>
            <w:vAlign w:val="center"/>
            <w:hideMark/>
          </w:tcPr>
          <w:p w:rsidR="00D774F4" w:rsidRPr="00AC12E1" w14:paraId="7CC62BB3" w14:textId="77777777">
            <w:pPr>
              <w:spacing w:before="100" w:beforeAutospacing="1" w:after="100" w:afterAutospacing="1" w:line="240" w:lineRule="auto"/>
              <w:jc w:val="center"/>
              <w:textAlignment w:val="baseline"/>
            </w:pPr>
            <w:r>
              <w:t>3.3</w:t>
            </w:r>
          </w:p>
        </w:tc>
        <w:tc>
          <w:tcPr>
            <w:tcW w:w="1020" w:type="dxa"/>
            <w:tcBorders>
              <w:top w:val="nil"/>
              <w:left w:val="nil"/>
              <w:bottom w:val="nil"/>
              <w:right w:val="nil"/>
            </w:tcBorders>
            <w:shd w:val="clear" w:color="auto" w:fill="auto"/>
            <w:vAlign w:val="center"/>
            <w:hideMark/>
          </w:tcPr>
          <w:p w:rsidR="00D774F4" w:rsidRPr="00AC12E1" w14:paraId="59876797" w14:textId="77777777">
            <w:pPr>
              <w:spacing w:before="100" w:beforeAutospacing="1" w:after="100" w:afterAutospacing="1" w:line="240" w:lineRule="auto"/>
              <w:jc w:val="center"/>
              <w:textAlignment w:val="baseline"/>
            </w:pPr>
            <w:r>
              <w:t>2.9</w:t>
            </w:r>
          </w:p>
        </w:tc>
        <w:tc>
          <w:tcPr>
            <w:tcW w:w="1020" w:type="dxa"/>
            <w:tcBorders>
              <w:top w:val="nil"/>
              <w:left w:val="nil"/>
              <w:bottom w:val="nil"/>
              <w:right w:val="nil"/>
            </w:tcBorders>
            <w:shd w:val="clear" w:color="auto" w:fill="auto"/>
            <w:vAlign w:val="center"/>
            <w:hideMark/>
          </w:tcPr>
          <w:p w:rsidR="00D774F4" w:rsidRPr="00AC12E1" w14:paraId="3A9DE58C" w14:textId="77777777">
            <w:pPr>
              <w:spacing w:before="100" w:beforeAutospacing="1" w:after="100" w:afterAutospacing="1" w:line="240" w:lineRule="auto"/>
              <w:jc w:val="center"/>
              <w:textAlignment w:val="baseline"/>
            </w:pPr>
            <w:r>
              <w:t>2.6</w:t>
            </w:r>
          </w:p>
        </w:tc>
      </w:tr>
      <w:tr w14:paraId="1C85A376" w14:textId="77777777" w:rsidTr="00632705">
        <w:tblPrEx>
          <w:tblW w:w="0" w:type="auto"/>
          <w:jc w:val="center"/>
          <w:tblCellMar>
            <w:top w:w="15" w:type="dxa"/>
            <w:left w:w="15" w:type="dxa"/>
            <w:bottom w:w="15" w:type="dxa"/>
            <w:right w:w="15" w:type="dxa"/>
          </w:tblCellMar>
          <w:tblLook w:val="04A0"/>
        </w:tblPrEx>
        <w:trPr>
          <w:trHeight w:val="65"/>
          <w:jc w:val="center"/>
        </w:trPr>
        <w:tc>
          <w:tcPr>
            <w:tcW w:w="1890" w:type="dxa"/>
            <w:tcBorders>
              <w:top w:val="nil"/>
              <w:left w:val="nil"/>
              <w:bottom w:val="nil"/>
              <w:right w:val="nil"/>
            </w:tcBorders>
            <w:shd w:val="clear" w:color="auto" w:fill="auto"/>
            <w:vAlign w:val="center"/>
            <w:hideMark/>
          </w:tcPr>
          <w:p w:rsidR="00D774F4" w:rsidRPr="00AC12E1" w14:paraId="6BA37BD9" w14:textId="77777777">
            <w:pPr>
              <w:spacing w:before="100" w:beforeAutospacing="1" w:after="100" w:afterAutospacing="1" w:line="240" w:lineRule="auto"/>
              <w:jc w:val="center"/>
              <w:textAlignment w:val="baseline"/>
            </w:pPr>
            <w:r w:rsidRPr="00AC12E1">
              <w:t>95%</w:t>
            </w:r>
          </w:p>
        </w:tc>
        <w:tc>
          <w:tcPr>
            <w:tcW w:w="1185" w:type="dxa"/>
            <w:tcBorders>
              <w:top w:val="nil"/>
              <w:left w:val="nil"/>
              <w:bottom w:val="nil"/>
              <w:right w:val="nil"/>
            </w:tcBorders>
            <w:shd w:val="clear" w:color="auto" w:fill="auto"/>
            <w:vAlign w:val="center"/>
            <w:hideMark/>
          </w:tcPr>
          <w:p w:rsidR="00D774F4" w:rsidRPr="00AC12E1" w14:paraId="79D327AB" w14:textId="77777777">
            <w:pPr>
              <w:spacing w:before="100" w:beforeAutospacing="1" w:after="100" w:afterAutospacing="1" w:line="240" w:lineRule="auto"/>
              <w:jc w:val="center"/>
              <w:textAlignment w:val="baseline"/>
            </w:pPr>
            <w:r w:rsidRPr="00AC12E1">
              <w:t>4.4</w:t>
            </w:r>
          </w:p>
        </w:tc>
        <w:tc>
          <w:tcPr>
            <w:tcW w:w="1020" w:type="dxa"/>
            <w:tcBorders>
              <w:top w:val="nil"/>
              <w:left w:val="nil"/>
              <w:bottom w:val="nil"/>
              <w:right w:val="nil"/>
            </w:tcBorders>
            <w:shd w:val="clear" w:color="auto" w:fill="auto"/>
            <w:vAlign w:val="center"/>
            <w:hideMark/>
          </w:tcPr>
          <w:p w:rsidR="00D774F4" w:rsidRPr="00AC12E1" w14:paraId="34A5C46E" w14:textId="77777777">
            <w:pPr>
              <w:spacing w:before="100" w:beforeAutospacing="1" w:after="100" w:afterAutospacing="1" w:line="240" w:lineRule="auto"/>
              <w:jc w:val="center"/>
              <w:textAlignment w:val="baseline"/>
            </w:pPr>
            <w:r w:rsidRPr="00AC12E1">
              <w:t>3.</w:t>
            </w:r>
            <w:r>
              <w:t>9</w:t>
            </w:r>
          </w:p>
        </w:tc>
        <w:tc>
          <w:tcPr>
            <w:tcW w:w="1020" w:type="dxa"/>
            <w:tcBorders>
              <w:top w:val="nil"/>
              <w:left w:val="nil"/>
              <w:bottom w:val="nil"/>
              <w:right w:val="nil"/>
            </w:tcBorders>
            <w:shd w:val="clear" w:color="auto" w:fill="auto"/>
            <w:vAlign w:val="center"/>
            <w:hideMark/>
          </w:tcPr>
          <w:p w:rsidR="00D774F4" w:rsidRPr="00AC12E1" w14:paraId="566D8CCC" w14:textId="77777777">
            <w:pPr>
              <w:spacing w:before="100" w:beforeAutospacing="1" w:after="100" w:afterAutospacing="1" w:line="240" w:lineRule="auto"/>
              <w:jc w:val="center"/>
              <w:textAlignment w:val="baseline"/>
            </w:pPr>
            <w:r>
              <w:t>3.5</w:t>
            </w:r>
          </w:p>
        </w:tc>
        <w:tc>
          <w:tcPr>
            <w:tcW w:w="1020" w:type="dxa"/>
            <w:tcBorders>
              <w:top w:val="nil"/>
              <w:left w:val="nil"/>
              <w:bottom w:val="nil"/>
              <w:right w:val="nil"/>
            </w:tcBorders>
            <w:shd w:val="clear" w:color="auto" w:fill="auto"/>
            <w:vAlign w:val="center"/>
            <w:hideMark/>
          </w:tcPr>
          <w:p w:rsidR="00D774F4" w:rsidRPr="00AC12E1" w14:paraId="43BF49F9" w14:textId="77777777">
            <w:pPr>
              <w:spacing w:before="100" w:beforeAutospacing="1" w:after="100" w:afterAutospacing="1" w:line="240" w:lineRule="auto"/>
              <w:jc w:val="center"/>
              <w:textAlignment w:val="baseline"/>
            </w:pPr>
            <w:r>
              <w:t>3.1</w:t>
            </w:r>
          </w:p>
        </w:tc>
      </w:tr>
      <w:tr w14:paraId="3EFC4E43" w14:textId="77777777" w:rsidTr="00C8712C">
        <w:tblPrEx>
          <w:tblW w:w="0" w:type="auto"/>
          <w:jc w:val="center"/>
          <w:tblCellMar>
            <w:top w:w="15" w:type="dxa"/>
            <w:left w:w="15" w:type="dxa"/>
            <w:bottom w:w="15" w:type="dxa"/>
            <w:right w:w="15" w:type="dxa"/>
          </w:tblCellMar>
          <w:tblLook w:val="04A0"/>
        </w:tblPrEx>
        <w:trPr>
          <w:trHeight w:val="330"/>
          <w:jc w:val="center"/>
        </w:trPr>
        <w:tc>
          <w:tcPr>
            <w:tcW w:w="1890" w:type="dxa"/>
            <w:tcBorders>
              <w:top w:val="nil"/>
              <w:left w:val="nil"/>
              <w:bottom w:val="single" w:sz="6" w:space="0" w:color="auto"/>
              <w:right w:val="nil"/>
            </w:tcBorders>
            <w:shd w:val="clear" w:color="auto" w:fill="auto"/>
            <w:vAlign w:val="center"/>
            <w:hideMark/>
          </w:tcPr>
          <w:p w:rsidR="00D774F4" w:rsidRPr="00AC12E1" w14:paraId="4DDC9CB7" w14:textId="77777777">
            <w:pPr>
              <w:spacing w:before="100" w:beforeAutospacing="1" w:after="100" w:afterAutospacing="1" w:line="240" w:lineRule="auto"/>
              <w:jc w:val="center"/>
              <w:textAlignment w:val="baseline"/>
            </w:pPr>
            <w:r w:rsidRPr="00AC12E1">
              <w:t>99%</w:t>
            </w:r>
          </w:p>
        </w:tc>
        <w:tc>
          <w:tcPr>
            <w:tcW w:w="1185" w:type="dxa"/>
            <w:tcBorders>
              <w:top w:val="nil"/>
              <w:left w:val="nil"/>
              <w:bottom w:val="single" w:sz="6" w:space="0" w:color="auto"/>
              <w:right w:val="nil"/>
            </w:tcBorders>
            <w:shd w:val="clear" w:color="auto" w:fill="auto"/>
            <w:vAlign w:val="center"/>
            <w:hideMark/>
          </w:tcPr>
          <w:p w:rsidR="00D774F4" w:rsidRPr="00AC12E1" w14:paraId="2374F0D3" w14:textId="77777777">
            <w:pPr>
              <w:spacing w:before="100" w:beforeAutospacing="1" w:after="100" w:afterAutospacing="1" w:line="240" w:lineRule="auto"/>
              <w:jc w:val="center"/>
              <w:textAlignment w:val="baseline"/>
            </w:pPr>
            <w:r w:rsidRPr="00AC12E1">
              <w:t>5.8</w:t>
            </w:r>
          </w:p>
        </w:tc>
        <w:tc>
          <w:tcPr>
            <w:tcW w:w="1020" w:type="dxa"/>
            <w:tcBorders>
              <w:top w:val="nil"/>
              <w:left w:val="nil"/>
              <w:bottom w:val="single" w:sz="6" w:space="0" w:color="auto"/>
              <w:right w:val="nil"/>
            </w:tcBorders>
            <w:shd w:val="clear" w:color="auto" w:fill="auto"/>
            <w:vAlign w:val="center"/>
            <w:hideMark/>
          </w:tcPr>
          <w:p w:rsidR="00D774F4" w:rsidRPr="00AC12E1" w14:paraId="5847880C" w14:textId="77777777">
            <w:pPr>
              <w:spacing w:before="100" w:beforeAutospacing="1" w:after="100" w:afterAutospacing="1" w:line="240" w:lineRule="auto"/>
              <w:jc w:val="center"/>
              <w:textAlignment w:val="baseline"/>
            </w:pPr>
            <w:r>
              <w:t>5.2</w:t>
            </w:r>
          </w:p>
        </w:tc>
        <w:tc>
          <w:tcPr>
            <w:tcW w:w="1020" w:type="dxa"/>
            <w:tcBorders>
              <w:top w:val="nil"/>
              <w:left w:val="nil"/>
              <w:bottom w:val="single" w:sz="6" w:space="0" w:color="auto"/>
              <w:right w:val="nil"/>
            </w:tcBorders>
            <w:shd w:val="clear" w:color="auto" w:fill="auto"/>
            <w:vAlign w:val="center"/>
            <w:hideMark/>
          </w:tcPr>
          <w:p w:rsidR="00D774F4" w:rsidRPr="00AC12E1" w14:paraId="4B3B1371" w14:textId="77777777">
            <w:pPr>
              <w:spacing w:before="100" w:beforeAutospacing="1" w:after="100" w:afterAutospacing="1" w:line="240" w:lineRule="auto"/>
              <w:jc w:val="center"/>
              <w:textAlignment w:val="baseline"/>
            </w:pPr>
            <w:r>
              <w:t>4.6</w:t>
            </w:r>
          </w:p>
        </w:tc>
        <w:tc>
          <w:tcPr>
            <w:tcW w:w="1020" w:type="dxa"/>
            <w:tcBorders>
              <w:top w:val="nil"/>
              <w:left w:val="nil"/>
              <w:bottom w:val="single" w:sz="6" w:space="0" w:color="auto"/>
              <w:right w:val="nil"/>
            </w:tcBorders>
            <w:shd w:val="clear" w:color="auto" w:fill="auto"/>
            <w:vAlign w:val="center"/>
            <w:hideMark/>
          </w:tcPr>
          <w:p w:rsidR="00D774F4" w:rsidRPr="00AC12E1" w14:paraId="3465C326" w14:textId="77777777">
            <w:pPr>
              <w:spacing w:before="100" w:beforeAutospacing="1" w:after="100" w:afterAutospacing="1" w:line="240" w:lineRule="auto"/>
              <w:jc w:val="center"/>
              <w:textAlignment w:val="baseline"/>
            </w:pPr>
            <w:r>
              <w:t>4.1</w:t>
            </w:r>
          </w:p>
        </w:tc>
      </w:tr>
    </w:tbl>
    <w:p w:rsidR="00D774F4" w:rsidP="002249D6" w14:paraId="461C4F2A" w14:textId="4C84BC9A">
      <w:pPr>
        <w:spacing w:before="100" w:beforeAutospacing="1" w:after="120" w:line="240" w:lineRule="auto"/>
        <w:textAlignment w:val="baseline"/>
      </w:pPr>
      <w:r>
        <w:rPr>
          <w:b/>
          <w:bCs/>
        </w:rPr>
        <w:t>Group Differences</w:t>
      </w:r>
      <w:r w:rsidRPr="00AC12E1">
        <w:rPr>
          <w:b/>
          <w:bCs/>
        </w:rPr>
        <w:t xml:space="preserve">. </w:t>
      </w:r>
      <w:r w:rsidRPr="00AC12E1">
        <w:t xml:space="preserve">The study expects to </w:t>
      </w:r>
      <w:r>
        <w:t>utilize z-tests on column proportions</w:t>
      </w:r>
      <w:r w:rsidRPr="00AC12E1">
        <w:t xml:space="preserve"> to determine if the proportion of responses among independent samples </w:t>
      </w:r>
      <w:r>
        <w:t xml:space="preserve">differs from one group of gear usage versus another. For example, assuming a baseline usage </w:t>
      </w:r>
      <w:r w:rsidR="00643763">
        <w:t>rate of</w:t>
      </w:r>
      <w:r>
        <w:t xml:space="preserve"> 64% for helmets, a difference of 18% from jacket usage at 46% would be detectable with 125 participants in each group at a power level of .80.</w:t>
      </w:r>
    </w:p>
    <w:p w:rsidR="00D774F4" w:rsidRPr="00AC12E1" w:rsidP="002249D6" w14:paraId="4715D9BF" w14:textId="1B442BA0">
      <w:pPr>
        <w:pStyle w:val="Table"/>
        <w:spacing w:before="120"/>
      </w:pPr>
      <w:r w:rsidRPr="00AC12E1">
        <w:t xml:space="preserve">Sample Size </w:t>
      </w:r>
      <w:r>
        <w:t xml:space="preserve">per Gear Group </w:t>
      </w:r>
      <w:r w:rsidRPr="00AC12E1">
        <w:t xml:space="preserve">to Detect </w:t>
      </w:r>
      <w:r>
        <w:t>Differences</w:t>
      </w:r>
      <w:r w:rsidRPr="00AC12E1">
        <w:t xml:space="preserve"> at .80 or .90 Power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90"/>
        <w:gridCol w:w="1185"/>
        <w:gridCol w:w="1020"/>
        <w:gridCol w:w="1020"/>
        <w:gridCol w:w="1020"/>
        <w:gridCol w:w="1065"/>
      </w:tblGrid>
      <w:tr w14:paraId="5B97E08C" w14:textId="77777777" w:rsidTr="0024147C">
        <w:tblPrEx>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339"/>
          <w:jc w:val="center"/>
        </w:trPr>
        <w:tc>
          <w:tcPr>
            <w:tcW w:w="1890" w:type="dxa"/>
            <w:vMerge w:val="restart"/>
            <w:tcBorders>
              <w:top w:val="single" w:sz="6" w:space="0" w:color="auto"/>
              <w:left w:val="nil"/>
              <w:bottom w:val="single" w:sz="6" w:space="0" w:color="auto"/>
              <w:right w:val="nil"/>
            </w:tcBorders>
            <w:shd w:val="clear" w:color="auto" w:fill="auto"/>
            <w:vAlign w:val="bottom"/>
            <w:hideMark/>
          </w:tcPr>
          <w:p w:rsidR="00D774F4" w:rsidRPr="00AC12E1" w14:paraId="2C4F45E9" w14:textId="77777777">
            <w:pPr>
              <w:spacing w:before="100" w:beforeAutospacing="1" w:after="100" w:afterAutospacing="1" w:line="240" w:lineRule="auto"/>
              <w:jc w:val="center"/>
              <w:textAlignment w:val="baseline"/>
            </w:pPr>
            <w:r w:rsidRPr="00AC12E1">
              <w:t xml:space="preserve">Power (1- </w:t>
            </w:r>
            <w:r w:rsidRPr="00AC12E1">
              <w:rPr>
                <w:i/>
                <w:iCs/>
              </w:rPr>
              <w:t>β</w:t>
            </w:r>
            <w:r w:rsidRPr="00AC12E1">
              <w:t>) </w:t>
            </w:r>
          </w:p>
        </w:tc>
        <w:tc>
          <w:tcPr>
            <w:tcW w:w="5310" w:type="dxa"/>
            <w:gridSpan w:val="5"/>
            <w:tcBorders>
              <w:top w:val="single" w:sz="6" w:space="0" w:color="auto"/>
              <w:left w:val="nil"/>
              <w:bottom w:val="nil"/>
              <w:right w:val="nil"/>
            </w:tcBorders>
            <w:shd w:val="clear" w:color="auto" w:fill="auto"/>
            <w:hideMark/>
          </w:tcPr>
          <w:p w:rsidR="00D774F4" w:rsidRPr="00AC12E1" w14:paraId="7839C718" w14:textId="77777777">
            <w:pPr>
              <w:spacing w:before="100" w:beforeAutospacing="1" w:after="100" w:afterAutospacing="1" w:line="240" w:lineRule="auto"/>
              <w:jc w:val="center"/>
              <w:textAlignment w:val="baseline"/>
            </w:pPr>
            <w:r>
              <w:t>Difference in Proportions</w:t>
            </w:r>
            <w:r w:rsidRPr="00AC12E1">
              <w:t> </w:t>
            </w:r>
          </w:p>
        </w:tc>
      </w:tr>
      <w:tr w14:paraId="2CF530ED" w14:textId="77777777" w:rsidTr="003C1EE8">
        <w:tblPrEx>
          <w:tblW w:w="0" w:type="auto"/>
          <w:jc w:val="center"/>
          <w:tblCellMar>
            <w:top w:w="15" w:type="dxa"/>
            <w:left w:w="15" w:type="dxa"/>
            <w:bottom w:w="15" w:type="dxa"/>
            <w:right w:w="15" w:type="dxa"/>
          </w:tblCellMar>
          <w:tblLook w:val="04A0"/>
        </w:tblPrEx>
        <w:trPr>
          <w:trHeight w:val="345"/>
          <w:jc w:val="center"/>
        </w:trPr>
        <w:tc>
          <w:tcPr>
            <w:tcW w:w="0" w:type="auto"/>
            <w:vMerge/>
            <w:tcBorders>
              <w:top w:val="single" w:sz="6" w:space="0" w:color="auto"/>
              <w:left w:val="nil"/>
              <w:bottom w:val="single" w:sz="6" w:space="0" w:color="auto"/>
              <w:right w:val="nil"/>
            </w:tcBorders>
            <w:shd w:val="clear" w:color="auto" w:fill="auto"/>
            <w:vAlign w:val="center"/>
            <w:hideMark/>
          </w:tcPr>
          <w:p w:rsidR="00D774F4" w:rsidRPr="00AC12E1" w14:paraId="6C8E4C60" w14:textId="77777777">
            <w:pPr>
              <w:spacing w:line="240" w:lineRule="auto"/>
            </w:pPr>
          </w:p>
        </w:tc>
        <w:tc>
          <w:tcPr>
            <w:tcW w:w="1185" w:type="dxa"/>
            <w:tcBorders>
              <w:top w:val="nil"/>
              <w:left w:val="nil"/>
              <w:bottom w:val="nil"/>
              <w:right w:val="nil"/>
            </w:tcBorders>
            <w:shd w:val="clear" w:color="auto" w:fill="auto"/>
            <w:hideMark/>
          </w:tcPr>
          <w:p w:rsidR="00D774F4" w:rsidRPr="00AC12E1" w14:paraId="2A14DFD5" w14:textId="77777777">
            <w:pPr>
              <w:spacing w:before="100" w:beforeAutospacing="1" w:after="100" w:afterAutospacing="1" w:line="240" w:lineRule="auto"/>
              <w:jc w:val="center"/>
              <w:textAlignment w:val="baseline"/>
            </w:pPr>
            <w:r w:rsidRPr="00AC12E1">
              <w:t>0.1</w:t>
            </w:r>
            <w:r>
              <w:t>5</w:t>
            </w:r>
            <w:r w:rsidRPr="00AC12E1">
              <w:t> </w:t>
            </w:r>
          </w:p>
        </w:tc>
        <w:tc>
          <w:tcPr>
            <w:tcW w:w="1020" w:type="dxa"/>
            <w:tcBorders>
              <w:top w:val="nil"/>
              <w:left w:val="nil"/>
              <w:bottom w:val="nil"/>
              <w:right w:val="nil"/>
            </w:tcBorders>
            <w:shd w:val="clear" w:color="auto" w:fill="auto"/>
            <w:hideMark/>
          </w:tcPr>
          <w:p w:rsidR="00D774F4" w:rsidRPr="00AC12E1" w14:paraId="7DDBCA03" w14:textId="77777777">
            <w:pPr>
              <w:spacing w:before="100" w:beforeAutospacing="1" w:after="100" w:afterAutospacing="1" w:line="240" w:lineRule="auto"/>
              <w:jc w:val="center"/>
              <w:textAlignment w:val="baseline"/>
            </w:pPr>
            <w:r w:rsidRPr="00AC12E1">
              <w:t>0.</w:t>
            </w:r>
            <w:r>
              <w:t>18</w:t>
            </w:r>
            <w:r w:rsidRPr="00AC12E1">
              <w:t> </w:t>
            </w:r>
          </w:p>
        </w:tc>
        <w:tc>
          <w:tcPr>
            <w:tcW w:w="1020" w:type="dxa"/>
            <w:tcBorders>
              <w:top w:val="nil"/>
              <w:left w:val="nil"/>
              <w:bottom w:val="nil"/>
              <w:right w:val="nil"/>
            </w:tcBorders>
            <w:shd w:val="clear" w:color="auto" w:fill="auto"/>
            <w:hideMark/>
          </w:tcPr>
          <w:p w:rsidR="00D774F4" w:rsidRPr="00AC12E1" w14:paraId="73E1DAE9" w14:textId="77777777">
            <w:pPr>
              <w:spacing w:before="100" w:beforeAutospacing="1" w:after="100" w:afterAutospacing="1" w:line="240" w:lineRule="auto"/>
              <w:jc w:val="center"/>
              <w:textAlignment w:val="baseline"/>
            </w:pPr>
            <w:r w:rsidRPr="00AC12E1">
              <w:t>0.</w:t>
            </w:r>
            <w:r>
              <w:t>21</w:t>
            </w:r>
            <w:r w:rsidRPr="00AC12E1">
              <w:t> </w:t>
            </w:r>
          </w:p>
        </w:tc>
        <w:tc>
          <w:tcPr>
            <w:tcW w:w="1020" w:type="dxa"/>
            <w:tcBorders>
              <w:top w:val="nil"/>
              <w:left w:val="nil"/>
              <w:bottom w:val="nil"/>
              <w:right w:val="nil"/>
            </w:tcBorders>
            <w:shd w:val="clear" w:color="auto" w:fill="auto"/>
            <w:hideMark/>
          </w:tcPr>
          <w:p w:rsidR="00D774F4" w:rsidRPr="00AC12E1" w14:paraId="3A98065E" w14:textId="77777777">
            <w:pPr>
              <w:spacing w:before="100" w:beforeAutospacing="1" w:after="100" w:afterAutospacing="1" w:line="240" w:lineRule="auto"/>
              <w:jc w:val="center"/>
              <w:textAlignment w:val="baseline"/>
            </w:pPr>
            <w:r w:rsidRPr="00AC12E1">
              <w:t>0.</w:t>
            </w:r>
            <w:r>
              <w:t>24</w:t>
            </w:r>
            <w:r w:rsidRPr="00AC12E1">
              <w:t> </w:t>
            </w:r>
          </w:p>
        </w:tc>
        <w:tc>
          <w:tcPr>
            <w:tcW w:w="1020" w:type="dxa"/>
            <w:tcBorders>
              <w:top w:val="nil"/>
              <w:left w:val="nil"/>
              <w:bottom w:val="nil"/>
              <w:right w:val="nil"/>
            </w:tcBorders>
            <w:shd w:val="clear" w:color="auto" w:fill="auto"/>
            <w:hideMark/>
          </w:tcPr>
          <w:p w:rsidR="00D774F4" w:rsidRPr="00AC12E1" w14:paraId="75392960" w14:textId="77777777">
            <w:pPr>
              <w:spacing w:before="100" w:beforeAutospacing="1" w:after="100" w:afterAutospacing="1" w:line="240" w:lineRule="auto"/>
              <w:jc w:val="center"/>
              <w:textAlignment w:val="baseline"/>
            </w:pPr>
            <w:r w:rsidRPr="00AC12E1">
              <w:t>0.</w:t>
            </w:r>
            <w:r>
              <w:t>27</w:t>
            </w:r>
            <w:r w:rsidRPr="00AC12E1">
              <w:t> </w:t>
            </w:r>
          </w:p>
        </w:tc>
      </w:tr>
      <w:tr w14:paraId="558DE9FC" w14:textId="77777777" w:rsidTr="00632705">
        <w:tblPrEx>
          <w:tblW w:w="0" w:type="auto"/>
          <w:jc w:val="center"/>
          <w:tblCellMar>
            <w:top w:w="15" w:type="dxa"/>
            <w:left w:w="15" w:type="dxa"/>
            <w:bottom w:w="15" w:type="dxa"/>
            <w:right w:w="15" w:type="dxa"/>
          </w:tblCellMar>
          <w:tblLook w:val="04A0"/>
        </w:tblPrEx>
        <w:trPr>
          <w:trHeight w:val="123"/>
          <w:jc w:val="center"/>
        </w:trPr>
        <w:tc>
          <w:tcPr>
            <w:tcW w:w="1890" w:type="dxa"/>
            <w:tcBorders>
              <w:top w:val="single" w:sz="6" w:space="0" w:color="auto"/>
              <w:left w:val="nil"/>
              <w:bottom w:val="nil"/>
              <w:right w:val="nil"/>
            </w:tcBorders>
            <w:shd w:val="clear" w:color="auto" w:fill="auto"/>
            <w:hideMark/>
          </w:tcPr>
          <w:p w:rsidR="00D774F4" w:rsidRPr="00AC12E1" w14:paraId="5562C10C" w14:textId="77777777">
            <w:pPr>
              <w:spacing w:before="100" w:beforeAutospacing="1" w:after="100" w:afterAutospacing="1" w:line="240" w:lineRule="auto"/>
              <w:jc w:val="center"/>
              <w:textAlignment w:val="baseline"/>
            </w:pPr>
            <w:r w:rsidRPr="00AC12E1">
              <w:t>0.80 </w:t>
            </w:r>
          </w:p>
        </w:tc>
        <w:tc>
          <w:tcPr>
            <w:tcW w:w="1185" w:type="dxa"/>
            <w:tcBorders>
              <w:top w:val="single" w:sz="6" w:space="0" w:color="auto"/>
              <w:left w:val="nil"/>
              <w:bottom w:val="nil"/>
              <w:right w:val="nil"/>
            </w:tcBorders>
            <w:shd w:val="clear" w:color="auto" w:fill="auto"/>
          </w:tcPr>
          <w:p w:rsidR="00D774F4" w:rsidRPr="00AC12E1" w14:paraId="4894D81A" w14:textId="77777777">
            <w:pPr>
              <w:spacing w:before="100" w:beforeAutospacing="1" w:after="100" w:afterAutospacing="1" w:line="240" w:lineRule="auto"/>
              <w:jc w:val="center"/>
              <w:textAlignment w:val="baseline"/>
            </w:pPr>
            <w:r>
              <w:t>171</w:t>
            </w:r>
          </w:p>
        </w:tc>
        <w:tc>
          <w:tcPr>
            <w:tcW w:w="1020" w:type="dxa"/>
            <w:tcBorders>
              <w:top w:val="single" w:sz="6" w:space="0" w:color="auto"/>
              <w:left w:val="nil"/>
              <w:bottom w:val="nil"/>
              <w:right w:val="nil"/>
            </w:tcBorders>
            <w:shd w:val="clear" w:color="auto" w:fill="auto"/>
          </w:tcPr>
          <w:p w:rsidR="00D774F4" w:rsidRPr="00AC12E1" w14:paraId="1133491F" w14:textId="77777777">
            <w:pPr>
              <w:spacing w:before="100" w:beforeAutospacing="1" w:after="100" w:afterAutospacing="1" w:line="240" w:lineRule="auto"/>
              <w:jc w:val="center"/>
              <w:textAlignment w:val="baseline"/>
            </w:pPr>
            <w:r>
              <w:t>119</w:t>
            </w:r>
          </w:p>
        </w:tc>
        <w:tc>
          <w:tcPr>
            <w:tcW w:w="1020" w:type="dxa"/>
            <w:tcBorders>
              <w:top w:val="single" w:sz="6" w:space="0" w:color="auto"/>
              <w:left w:val="nil"/>
              <w:bottom w:val="nil"/>
              <w:right w:val="nil"/>
            </w:tcBorders>
            <w:shd w:val="clear" w:color="auto" w:fill="auto"/>
          </w:tcPr>
          <w:p w:rsidR="00D774F4" w:rsidRPr="00AC12E1" w14:paraId="7788DE69" w14:textId="77777777">
            <w:pPr>
              <w:spacing w:before="100" w:beforeAutospacing="1" w:after="100" w:afterAutospacing="1" w:line="240" w:lineRule="auto"/>
              <w:jc w:val="center"/>
              <w:textAlignment w:val="baseline"/>
            </w:pPr>
            <w:r>
              <w:t>88</w:t>
            </w:r>
          </w:p>
        </w:tc>
        <w:tc>
          <w:tcPr>
            <w:tcW w:w="1020" w:type="dxa"/>
            <w:tcBorders>
              <w:top w:val="single" w:sz="6" w:space="0" w:color="auto"/>
              <w:left w:val="nil"/>
              <w:bottom w:val="nil"/>
              <w:right w:val="nil"/>
            </w:tcBorders>
            <w:shd w:val="clear" w:color="auto" w:fill="auto"/>
          </w:tcPr>
          <w:p w:rsidR="00D774F4" w:rsidRPr="00AC12E1" w14:paraId="58C94C2B" w14:textId="77777777">
            <w:pPr>
              <w:spacing w:before="100" w:beforeAutospacing="1" w:after="100" w:afterAutospacing="1" w:line="240" w:lineRule="auto"/>
              <w:jc w:val="center"/>
              <w:textAlignment w:val="baseline"/>
            </w:pPr>
            <w:r>
              <w:t>67</w:t>
            </w:r>
          </w:p>
        </w:tc>
        <w:tc>
          <w:tcPr>
            <w:tcW w:w="1020" w:type="dxa"/>
            <w:tcBorders>
              <w:top w:val="single" w:sz="6" w:space="0" w:color="auto"/>
              <w:left w:val="nil"/>
              <w:bottom w:val="nil"/>
              <w:right w:val="nil"/>
            </w:tcBorders>
            <w:shd w:val="clear" w:color="auto" w:fill="auto"/>
          </w:tcPr>
          <w:p w:rsidR="00D774F4" w:rsidRPr="00AC12E1" w14:paraId="3D7BE85C" w14:textId="77777777">
            <w:pPr>
              <w:spacing w:before="100" w:beforeAutospacing="1" w:after="100" w:afterAutospacing="1" w:line="240" w:lineRule="auto"/>
              <w:jc w:val="center"/>
              <w:textAlignment w:val="baseline"/>
            </w:pPr>
            <w:r>
              <w:t>53</w:t>
            </w:r>
          </w:p>
        </w:tc>
      </w:tr>
      <w:tr w14:paraId="0AA68B15" w14:textId="77777777" w:rsidTr="00C8712C">
        <w:tblPrEx>
          <w:tblW w:w="0" w:type="auto"/>
          <w:jc w:val="center"/>
          <w:tblCellMar>
            <w:top w:w="15" w:type="dxa"/>
            <w:left w:w="15" w:type="dxa"/>
            <w:bottom w:w="15" w:type="dxa"/>
            <w:right w:w="15" w:type="dxa"/>
          </w:tblCellMar>
          <w:tblLook w:val="04A0"/>
        </w:tblPrEx>
        <w:trPr>
          <w:trHeight w:val="330"/>
          <w:jc w:val="center"/>
        </w:trPr>
        <w:tc>
          <w:tcPr>
            <w:tcW w:w="1890" w:type="dxa"/>
            <w:tcBorders>
              <w:top w:val="nil"/>
              <w:left w:val="nil"/>
              <w:bottom w:val="single" w:sz="6" w:space="0" w:color="auto"/>
              <w:right w:val="nil"/>
            </w:tcBorders>
            <w:shd w:val="clear" w:color="auto" w:fill="auto"/>
            <w:hideMark/>
          </w:tcPr>
          <w:p w:rsidR="00D774F4" w:rsidRPr="00AC12E1" w14:paraId="40565D36" w14:textId="77777777">
            <w:pPr>
              <w:spacing w:before="100" w:beforeAutospacing="1" w:after="100" w:afterAutospacing="1" w:line="240" w:lineRule="auto"/>
              <w:jc w:val="center"/>
              <w:textAlignment w:val="baseline"/>
            </w:pPr>
            <w:r w:rsidRPr="00AC12E1">
              <w:t>0.90 </w:t>
            </w:r>
          </w:p>
        </w:tc>
        <w:tc>
          <w:tcPr>
            <w:tcW w:w="1185" w:type="dxa"/>
            <w:tcBorders>
              <w:top w:val="nil"/>
              <w:left w:val="nil"/>
              <w:bottom w:val="single" w:sz="6" w:space="0" w:color="auto"/>
              <w:right w:val="nil"/>
            </w:tcBorders>
            <w:shd w:val="clear" w:color="auto" w:fill="auto"/>
          </w:tcPr>
          <w:p w:rsidR="00D774F4" w:rsidRPr="00AC12E1" w14:paraId="4C42B356" w14:textId="77777777">
            <w:pPr>
              <w:spacing w:before="100" w:beforeAutospacing="1" w:after="100" w:afterAutospacing="1" w:line="240" w:lineRule="auto"/>
              <w:jc w:val="center"/>
              <w:textAlignment w:val="baseline"/>
            </w:pPr>
            <w:r>
              <w:t>228</w:t>
            </w:r>
          </w:p>
        </w:tc>
        <w:tc>
          <w:tcPr>
            <w:tcW w:w="1020" w:type="dxa"/>
            <w:tcBorders>
              <w:top w:val="nil"/>
              <w:left w:val="nil"/>
              <w:bottom w:val="single" w:sz="6" w:space="0" w:color="auto"/>
              <w:right w:val="nil"/>
            </w:tcBorders>
            <w:shd w:val="clear" w:color="auto" w:fill="auto"/>
          </w:tcPr>
          <w:p w:rsidR="00D774F4" w:rsidRPr="00AC12E1" w14:paraId="35E6D876" w14:textId="77777777">
            <w:pPr>
              <w:spacing w:before="100" w:beforeAutospacing="1" w:after="100" w:afterAutospacing="1" w:line="240" w:lineRule="auto"/>
              <w:jc w:val="center"/>
              <w:textAlignment w:val="baseline"/>
            </w:pPr>
            <w:r>
              <w:t>159</w:t>
            </w:r>
          </w:p>
        </w:tc>
        <w:tc>
          <w:tcPr>
            <w:tcW w:w="1020" w:type="dxa"/>
            <w:tcBorders>
              <w:top w:val="nil"/>
              <w:left w:val="nil"/>
              <w:bottom w:val="single" w:sz="6" w:space="0" w:color="auto"/>
              <w:right w:val="nil"/>
            </w:tcBorders>
            <w:shd w:val="clear" w:color="auto" w:fill="auto"/>
          </w:tcPr>
          <w:p w:rsidR="00D774F4" w:rsidRPr="00AC12E1" w14:paraId="740B081F" w14:textId="77777777">
            <w:pPr>
              <w:spacing w:before="100" w:beforeAutospacing="1" w:after="100" w:afterAutospacing="1" w:line="240" w:lineRule="auto"/>
              <w:jc w:val="center"/>
              <w:textAlignment w:val="baseline"/>
            </w:pPr>
            <w:r>
              <w:t>117</w:t>
            </w:r>
          </w:p>
        </w:tc>
        <w:tc>
          <w:tcPr>
            <w:tcW w:w="1020" w:type="dxa"/>
            <w:tcBorders>
              <w:top w:val="nil"/>
              <w:left w:val="nil"/>
              <w:bottom w:val="single" w:sz="6" w:space="0" w:color="auto"/>
              <w:right w:val="nil"/>
            </w:tcBorders>
            <w:shd w:val="clear" w:color="auto" w:fill="auto"/>
          </w:tcPr>
          <w:p w:rsidR="00D774F4" w:rsidRPr="00AC12E1" w14:paraId="6643849F" w14:textId="77777777">
            <w:pPr>
              <w:spacing w:before="100" w:beforeAutospacing="1" w:after="100" w:afterAutospacing="1" w:line="240" w:lineRule="auto"/>
              <w:jc w:val="center"/>
              <w:textAlignment w:val="baseline"/>
            </w:pPr>
            <w:r>
              <w:t>89</w:t>
            </w:r>
          </w:p>
        </w:tc>
        <w:tc>
          <w:tcPr>
            <w:tcW w:w="1020" w:type="dxa"/>
            <w:tcBorders>
              <w:top w:val="nil"/>
              <w:left w:val="nil"/>
              <w:bottom w:val="single" w:sz="6" w:space="0" w:color="auto"/>
              <w:right w:val="nil"/>
            </w:tcBorders>
            <w:shd w:val="clear" w:color="auto" w:fill="auto"/>
          </w:tcPr>
          <w:p w:rsidR="00D774F4" w:rsidRPr="00AC12E1" w14:paraId="4743AF3D" w14:textId="77777777">
            <w:pPr>
              <w:spacing w:before="100" w:beforeAutospacing="1" w:after="100" w:afterAutospacing="1" w:line="240" w:lineRule="auto"/>
              <w:jc w:val="center"/>
              <w:textAlignment w:val="baseline"/>
            </w:pPr>
            <w:r>
              <w:t>70</w:t>
            </w:r>
          </w:p>
        </w:tc>
      </w:tr>
    </w:tbl>
    <w:p w:rsidR="00B408B0" w:rsidRPr="00EB3090" w:rsidP="0024147C" w14:paraId="5FC1ACEB" w14:textId="6A0CAEB8">
      <w:pPr>
        <w:spacing w:before="100" w:beforeAutospacing="1" w:after="120" w:line="240" w:lineRule="auto"/>
        <w:textAlignment w:val="baseline"/>
      </w:pPr>
      <w:r>
        <w:rPr>
          <w:b/>
          <w:bCs/>
        </w:rPr>
        <w:t>Likert Items Analysis</w:t>
      </w:r>
      <w:r w:rsidRPr="00AC12E1">
        <w:rPr>
          <w:b/>
          <w:bCs/>
        </w:rPr>
        <w:t xml:space="preserve">. </w:t>
      </w:r>
      <w:r w:rsidRPr="00926AEE">
        <w:t>The study</w:t>
      </w:r>
      <w:r w:rsidR="0024147C">
        <w:t xml:space="preserve"> </w:t>
      </w:r>
      <w:r w:rsidRPr="00926AEE">
        <w:t>will utilize Analysis of Variance (ANOVA) to determine</w:t>
      </w:r>
      <w:r>
        <w:t xml:space="preserve"> group differences on Likert items </w:t>
      </w:r>
      <w:r w:rsidR="009B2829">
        <w:t xml:space="preserve">such as those </w:t>
      </w:r>
      <w:r w:rsidR="0029200C">
        <w:t>that ask participants to rate gear as</w:t>
      </w:r>
      <w:r>
        <w:t xml:space="preserve"> “Comfortable” or “</w:t>
      </w:r>
      <w:r w:rsidR="00EB47BA">
        <w:t>Easy to put on</w:t>
      </w:r>
      <w:r>
        <w:t xml:space="preserve">” </w:t>
      </w:r>
      <w:r w:rsidR="003A10FD">
        <w:t>on</w:t>
      </w:r>
      <w:r>
        <w:t xml:space="preserve"> a </w:t>
      </w:r>
      <w:r w:rsidR="00EB47BA">
        <w:t>“strongly disagree” to “strongly agree”</w:t>
      </w:r>
      <w:r>
        <w:t xml:space="preserve"> scale. A power analysis for </w:t>
      </w:r>
      <w:r w:rsidR="00931064">
        <w:t>g</w:t>
      </w:r>
      <w:r>
        <w:t xml:space="preserve">ear type by </w:t>
      </w:r>
      <w:r w:rsidR="00EE16A1">
        <w:t>motorcycle</w:t>
      </w:r>
      <w:r>
        <w:t xml:space="preserve"> type </w:t>
      </w:r>
      <w:r>
        <w:t xml:space="preserve">(5 x 5) </w:t>
      </w:r>
      <w:r>
        <w:t xml:space="preserve">design is summarized in </w:t>
      </w:r>
      <w:r w:rsidR="00794DB4">
        <w:fldChar w:fldCharType="begin"/>
      </w:r>
      <w:r w:rsidR="00794DB4">
        <w:instrText xml:space="preserve"> REF _Ref156218483 \r \h </w:instrText>
      </w:r>
      <w:r w:rsidR="00794DB4">
        <w:fldChar w:fldCharType="separate"/>
      </w:r>
      <w:r w:rsidR="00794DB4">
        <w:t>Table 6</w:t>
      </w:r>
      <w:r w:rsidR="00794DB4">
        <w:fldChar w:fldCharType="end"/>
      </w:r>
      <w:r w:rsidR="00794DB4">
        <w:t xml:space="preserve"> </w:t>
      </w:r>
      <w:r>
        <w:t xml:space="preserve">below. All sample sizes assume a medium effect size of </w:t>
      </w:r>
      <w:r>
        <w:rPr>
          <w:i/>
          <w:iCs/>
        </w:rPr>
        <w:t>f</w:t>
      </w:r>
      <w:r>
        <w:t xml:space="preserve"> = 0.25</w:t>
      </w:r>
      <w:r w:rsidR="00172731">
        <w:t xml:space="preserve"> (Cohen’s f statistic)</w:t>
      </w:r>
      <w:r>
        <w:t>.</w:t>
      </w:r>
      <w:r>
        <w:t xml:space="preserve"> As can be seen in the table, the total</w:t>
      </w:r>
      <w:r w:rsidR="00AD7899">
        <w:t xml:space="preserve"> sample size (</w:t>
      </w:r>
      <w:r>
        <w:t>N</w:t>
      </w:r>
      <w:r w:rsidR="00AD7899">
        <w:t xml:space="preserve"> </w:t>
      </w:r>
      <w:r>
        <w:t>=</w:t>
      </w:r>
      <w:r w:rsidR="00AD7899">
        <w:t xml:space="preserve"> </w:t>
      </w:r>
      <w:r>
        <w:t>625</w:t>
      </w:r>
      <w:r w:rsidR="00AD7899">
        <w:t>)</w:t>
      </w:r>
      <w:r>
        <w:t xml:space="preserve"> projected for this study is more than sufficient to detect </w:t>
      </w:r>
      <w:r w:rsidR="002810A5">
        <w:t>medium effect sizes</w:t>
      </w:r>
      <w:r>
        <w:t xml:space="preserve"> at a power of 0.90 at the full interaction level of the model (Gear x</w:t>
      </w:r>
      <w:r w:rsidR="00EE16A1">
        <w:t xml:space="preserve"> Motorcycle</w:t>
      </w:r>
      <w:r>
        <w:t>).</w:t>
      </w:r>
    </w:p>
    <w:p w:rsidR="00F16E3E" w:rsidRPr="00343990" w:rsidP="00A423D8" w14:paraId="27B1E101" w14:textId="272A9E6A">
      <w:pPr>
        <w:pStyle w:val="Table"/>
      </w:pPr>
      <w:bookmarkStart w:id="16" w:name="_Ref156218483"/>
      <w:r w:rsidRPr="00343990">
        <w:t>Sample Size Required to Detect Factorial Differences</w:t>
      </w:r>
      <w:bookmarkEnd w:id="16"/>
      <w:r w:rsidRPr="00343990">
        <w: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890"/>
        <w:gridCol w:w="1551"/>
        <w:gridCol w:w="1137"/>
        <w:gridCol w:w="1299"/>
        <w:gridCol w:w="36"/>
      </w:tblGrid>
      <w:tr w14:paraId="41764372" w14:textId="77777777" w:rsidTr="0024147C">
        <w:tblPrEx>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312"/>
          <w:jc w:val="center"/>
        </w:trPr>
        <w:tc>
          <w:tcPr>
            <w:tcW w:w="1890" w:type="dxa"/>
            <w:vMerge w:val="restart"/>
            <w:tcBorders>
              <w:top w:val="single" w:sz="6" w:space="0" w:color="auto"/>
              <w:left w:val="nil"/>
              <w:bottom w:val="single" w:sz="6" w:space="0" w:color="auto"/>
              <w:right w:val="nil"/>
            </w:tcBorders>
            <w:shd w:val="clear" w:color="auto" w:fill="auto"/>
            <w:vAlign w:val="bottom"/>
            <w:hideMark/>
          </w:tcPr>
          <w:p w:rsidR="00F16E3E" w:rsidRPr="00AC12E1" w14:paraId="6E11B8A1" w14:textId="03DEC8C8">
            <w:pPr>
              <w:spacing w:before="100" w:beforeAutospacing="1" w:after="100" w:afterAutospacing="1" w:line="240" w:lineRule="auto"/>
              <w:jc w:val="center"/>
              <w:textAlignment w:val="baseline"/>
            </w:pPr>
            <w:r w:rsidRPr="00AC12E1">
              <w:t xml:space="preserve">Power (1- </w:t>
            </w:r>
            <w:r w:rsidRPr="00AC12E1">
              <w:rPr>
                <w:i/>
                <w:iCs/>
              </w:rPr>
              <w:t>β</w:t>
            </w:r>
            <w:r w:rsidRPr="00AC12E1">
              <w:t>)</w:t>
            </w:r>
          </w:p>
        </w:tc>
        <w:tc>
          <w:tcPr>
            <w:tcW w:w="3906" w:type="dxa"/>
            <w:gridSpan w:val="4"/>
            <w:tcBorders>
              <w:top w:val="single" w:sz="6" w:space="0" w:color="auto"/>
              <w:left w:val="nil"/>
              <w:bottom w:val="nil"/>
              <w:right w:val="nil"/>
            </w:tcBorders>
            <w:shd w:val="clear" w:color="auto" w:fill="auto"/>
            <w:hideMark/>
          </w:tcPr>
          <w:p w:rsidR="00F16E3E" w:rsidRPr="002E1F04" w14:paraId="38E4ED74" w14:textId="14C963F2">
            <w:pPr>
              <w:spacing w:before="100" w:beforeAutospacing="1" w:after="100" w:afterAutospacing="1" w:line="240" w:lineRule="auto"/>
              <w:jc w:val="center"/>
              <w:textAlignment w:val="baseline"/>
            </w:pPr>
            <w:r>
              <w:t xml:space="preserve">Model </w:t>
            </w:r>
            <w:r w:rsidRPr="002E1F04">
              <w:t>Factors</w:t>
            </w:r>
          </w:p>
        </w:tc>
      </w:tr>
      <w:tr w14:paraId="1CB83729" w14:textId="77777777" w:rsidTr="005A70AD">
        <w:tblPrEx>
          <w:tblW w:w="0" w:type="auto"/>
          <w:jc w:val="center"/>
          <w:tblCellMar>
            <w:top w:w="15" w:type="dxa"/>
            <w:left w:w="15" w:type="dxa"/>
            <w:bottom w:w="15" w:type="dxa"/>
            <w:right w:w="15" w:type="dxa"/>
          </w:tblCellMar>
          <w:tblLook w:val="04A0"/>
        </w:tblPrEx>
        <w:trPr>
          <w:gridAfter w:val="1"/>
          <w:wAfter w:w="36" w:type="dxa"/>
          <w:trHeight w:val="345"/>
          <w:jc w:val="center"/>
        </w:trPr>
        <w:tc>
          <w:tcPr>
            <w:tcW w:w="0" w:type="auto"/>
            <w:vMerge/>
            <w:tcBorders>
              <w:top w:val="single" w:sz="6" w:space="0" w:color="auto"/>
              <w:left w:val="nil"/>
              <w:bottom w:val="single" w:sz="6" w:space="0" w:color="auto"/>
              <w:right w:val="nil"/>
            </w:tcBorders>
            <w:shd w:val="clear" w:color="auto" w:fill="auto"/>
            <w:vAlign w:val="center"/>
            <w:hideMark/>
          </w:tcPr>
          <w:p w:rsidR="00F16E3E" w:rsidRPr="00AC12E1" w14:paraId="7106511D" w14:textId="77777777">
            <w:pPr>
              <w:spacing w:line="240" w:lineRule="auto"/>
            </w:pPr>
          </w:p>
        </w:tc>
        <w:tc>
          <w:tcPr>
            <w:tcW w:w="1551" w:type="dxa"/>
            <w:tcBorders>
              <w:top w:val="nil"/>
              <w:left w:val="nil"/>
              <w:bottom w:val="nil"/>
              <w:right w:val="nil"/>
            </w:tcBorders>
            <w:shd w:val="clear" w:color="auto" w:fill="auto"/>
            <w:hideMark/>
          </w:tcPr>
          <w:p w:rsidR="00F16E3E" w:rsidRPr="00AC12E1" w14:paraId="1A62CA89" w14:textId="0D0BF2BD">
            <w:pPr>
              <w:spacing w:before="100" w:beforeAutospacing="1" w:after="100" w:afterAutospacing="1" w:line="240" w:lineRule="auto"/>
              <w:jc w:val="center"/>
              <w:textAlignment w:val="baseline"/>
            </w:pPr>
            <w:r>
              <w:t>Gear</w:t>
            </w:r>
          </w:p>
        </w:tc>
        <w:tc>
          <w:tcPr>
            <w:tcW w:w="1020" w:type="dxa"/>
            <w:tcBorders>
              <w:top w:val="nil"/>
              <w:left w:val="nil"/>
              <w:bottom w:val="nil"/>
              <w:right w:val="nil"/>
            </w:tcBorders>
            <w:shd w:val="clear" w:color="auto" w:fill="auto"/>
            <w:hideMark/>
          </w:tcPr>
          <w:p w:rsidR="00F16E3E" w:rsidRPr="00AC12E1" w14:paraId="5B00AD21" w14:textId="36FF0FAF">
            <w:pPr>
              <w:spacing w:before="100" w:beforeAutospacing="1" w:after="100" w:afterAutospacing="1" w:line="240" w:lineRule="auto"/>
              <w:jc w:val="center"/>
              <w:textAlignment w:val="baseline"/>
            </w:pPr>
            <w:r>
              <w:t>Motorcycle</w:t>
            </w:r>
          </w:p>
        </w:tc>
        <w:tc>
          <w:tcPr>
            <w:tcW w:w="1299" w:type="dxa"/>
            <w:tcBorders>
              <w:top w:val="nil"/>
              <w:left w:val="nil"/>
              <w:bottom w:val="nil"/>
              <w:right w:val="nil"/>
            </w:tcBorders>
            <w:shd w:val="clear" w:color="auto" w:fill="auto"/>
            <w:hideMark/>
          </w:tcPr>
          <w:p w:rsidR="00F16E3E" w:rsidRPr="00AC12E1" w14:paraId="43FEB024" w14:textId="23541592">
            <w:pPr>
              <w:spacing w:before="100" w:beforeAutospacing="1" w:after="100" w:afterAutospacing="1" w:line="240" w:lineRule="auto"/>
              <w:jc w:val="center"/>
              <w:textAlignment w:val="baseline"/>
            </w:pPr>
            <w:r>
              <w:t xml:space="preserve">Gear x </w:t>
            </w:r>
            <w:r w:rsidR="00EE16A1">
              <w:t>Motorcycle</w:t>
            </w:r>
          </w:p>
        </w:tc>
      </w:tr>
      <w:tr w14:paraId="60FEB845" w14:textId="77777777" w:rsidTr="005A70AD">
        <w:tblPrEx>
          <w:tblW w:w="0" w:type="auto"/>
          <w:jc w:val="center"/>
          <w:tblCellMar>
            <w:top w:w="15" w:type="dxa"/>
            <w:left w:w="15" w:type="dxa"/>
            <w:bottom w:w="15" w:type="dxa"/>
            <w:right w:w="15" w:type="dxa"/>
          </w:tblCellMar>
          <w:tblLook w:val="04A0"/>
        </w:tblPrEx>
        <w:trPr>
          <w:gridAfter w:val="1"/>
          <w:wAfter w:w="36" w:type="dxa"/>
          <w:trHeight w:val="50"/>
          <w:jc w:val="center"/>
        </w:trPr>
        <w:tc>
          <w:tcPr>
            <w:tcW w:w="1890" w:type="dxa"/>
            <w:tcBorders>
              <w:top w:val="single" w:sz="6" w:space="0" w:color="auto"/>
              <w:left w:val="nil"/>
              <w:bottom w:val="nil"/>
              <w:right w:val="nil"/>
            </w:tcBorders>
            <w:shd w:val="clear" w:color="auto" w:fill="auto"/>
            <w:hideMark/>
          </w:tcPr>
          <w:p w:rsidR="00F16E3E" w:rsidRPr="00AC12E1" w14:paraId="6228F0D1" w14:textId="555D2F50">
            <w:pPr>
              <w:spacing w:before="100" w:beforeAutospacing="1" w:after="100" w:afterAutospacing="1" w:line="240" w:lineRule="auto"/>
              <w:jc w:val="center"/>
              <w:textAlignment w:val="baseline"/>
            </w:pPr>
            <w:r w:rsidRPr="00AC12E1">
              <w:t>0.80</w:t>
            </w:r>
          </w:p>
        </w:tc>
        <w:tc>
          <w:tcPr>
            <w:tcW w:w="1551" w:type="dxa"/>
            <w:tcBorders>
              <w:top w:val="single" w:sz="6" w:space="0" w:color="auto"/>
              <w:left w:val="nil"/>
              <w:bottom w:val="nil"/>
              <w:right w:val="nil"/>
            </w:tcBorders>
            <w:shd w:val="clear" w:color="auto" w:fill="auto"/>
          </w:tcPr>
          <w:p w:rsidR="00F16E3E" w:rsidRPr="00AC12E1" w14:paraId="57AB625B" w14:textId="77777777">
            <w:pPr>
              <w:spacing w:before="100" w:beforeAutospacing="1" w:after="100" w:afterAutospacing="1" w:line="240" w:lineRule="auto"/>
              <w:jc w:val="center"/>
              <w:textAlignment w:val="baseline"/>
            </w:pPr>
            <w:r>
              <w:t>200</w:t>
            </w:r>
          </w:p>
        </w:tc>
        <w:tc>
          <w:tcPr>
            <w:tcW w:w="1020" w:type="dxa"/>
            <w:tcBorders>
              <w:top w:val="single" w:sz="6" w:space="0" w:color="auto"/>
              <w:left w:val="nil"/>
              <w:bottom w:val="nil"/>
              <w:right w:val="nil"/>
            </w:tcBorders>
            <w:shd w:val="clear" w:color="auto" w:fill="auto"/>
          </w:tcPr>
          <w:p w:rsidR="00F16E3E" w:rsidRPr="00AC12E1" w14:paraId="64E9347E" w14:textId="77777777">
            <w:pPr>
              <w:spacing w:before="100" w:beforeAutospacing="1" w:after="100" w:afterAutospacing="1" w:line="240" w:lineRule="auto"/>
              <w:jc w:val="center"/>
              <w:textAlignment w:val="baseline"/>
            </w:pPr>
            <w:r>
              <w:t>200</w:t>
            </w:r>
          </w:p>
        </w:tc>
        <w:tc>
          <w:tcPr>
            <w:tcW w:w="1299" w:type="dxa"/>
            <w:tcBorders>
              <w:top w:val="single" w:sz="6" w:space="0" w:color="auto"/>
              <w:left w:val="nil"/>
              <w:bottom w:val="nil"/>
              <w:right w:val="nil"/>
            </w:tcBorders>
            <w:shd w:val="clear" w:color="auto" w:fill="auto"/>
          </w:tcPr>
          <w:p w:rsidR="00F16E3E" w:rsidRPr="00AC12E1" w14:paraId="618FB424" w14:textId="77777777">
            <w:pPr>
              <w:spacing w:before="100" w:beforeAutospacing="1" w:after="100" w:afterAutospacing="1" w:line="240" w:lineRule="auto"/>
              <w:jc w:val="center"/>
              <w:textAlignment w:val="baseline"/>
            </w:pPr>
            <w:r>
              <w:t>325</w:t>
            </w:r>
          </w:p>
        </w:tc>
      </w:tr>
      <w:tr w14:paraId="294FD8E7" w14:textId="77777777" w:rsidTr="005A70AD">
        <w:tblPrEx>
          <w:tblW w:w="0" w:type="auto"/>
          <w:jc w:val="center"/>
          <w:tblCellMar>
            <w:top w:w="15" w:type="dxa"/>
            <w:left w:w="15" w:type="dxa"/>
            <w:bottom w:w="15" w:type="dxa"/>
            <w:right w:w="15" w:type="dxa"/>
          </w:tblCellMar>
          <w:tblLook w:val="04A0"/>
        </w:tblPrEx>
        <w:trPr>
          <w:gridAfter w:val="1"/>
          <w:wAfter w:w="36" w:type="dxa"/>
          <w:trHeight w:val="330"/>
          <w:jc w:val="center"/>
        </w:trPr>
        <w:tc>
          <w:tcPr>
            <w:tcW w:w="1890" w:type="dxa"/>
            <w:tcBorders>
              <w:top w:val="nil"/>
              <w:left w:val="nil"/>
              <w:bottom w:val="single" w:sz="6" w:space="0" w:color="auto"/>
              <w:right w:val="nil"/>
            </w:tcBorders>
            <w:shd w:val="clear" w:color="auto" w:fill="auto"/>
            <w:hideMark/>
          </w:tcPr>
          <w:p w:rsidR="00F16E3E" w:rsidRPr="00AC12E1" w:rsidP="0024147C" w14:paraId="26F01E30" w14:textId="72ECF5BD">
            <w:pPr>
              <w:keepLines/>
              <w:spacing w:before="100" w:beforeAutospacing="1" w:after="100" w:afterAutospacing="1" w:line="240" w:lineRule="auto"/>
              <w:jc w:val="center"/>
              <w:textAlignment w:val="baseline"/>
            </w:pPr>
            <w:r w:rsidRPr="00AC12E1">
              <w:t>0.90</w:t>
            </w:r>
          </w:p>
        </w:tc>
        <w:tc>
          <w:tcPr>
            <w:tcW w:w="1551" w:type="dxa"/>
            <w:tcBorders>
              <w:top w:val="nil"/>
              <w:left w:val="nil"/>
              <w:bottom w:val="single" w:sz="6" w:space="0" w:color="auto"/>
              <w:right w:val="nil"/>
            </w:tcBorders>
            <w:shd w:val="clear" w:color="auto" w:fill="auto"/>
          </w:tcPr>
          <w:p w:rsidR="00F16E3E" w:rsidRPr="00AC12E1" w:rsidP="0024147C" w14:paraId="64C2D939" w14:textId="77777777">
            <w:pPr>
              <w:keepLines/>
              <w:spacing w:before="100" w:beforeAutospacing="1" w:line="240" w:lineRule="auto"/>
              <w:jc w:val="center"/>
              <w:textAlignment w:val="baseline"/>
            </w:pPr>
            <w:r>
              <w:t>275</w:t>
            </w:r>
          </w:p>
        </w:tc>
        <w:tc>
          <w:tcPr>
            <w:tcW w:w="1020" w:type="dxa"/>
            <w:tcBorders>
              <w:top w:val="nil"/>
              <w:left w:val="nil"/>
              <w:bottom w:val="single" w:sz="6" w:space="0" w:color="auto"/>
              <w:right w:val="nil"/>
            </w:tcBorders>
            <w:shd w:val="clear" w:color="auto" w:fill="auto"/>
          </w:tcPr>
          <w:p w:rsidR="00F16E3E" w:rsidRPr="00AC12E1" w:rsidP="0024147C" w14:paraId="22144BFB" w14:textId="77777777">
            <w:pPr>
              <w:keepLines/>
              <w:spacing w:before="100" w:beforeAutospacing="1" w:after="100" w:afterAutospacing="1" w:line="240" w:lineRule="auto"/>
              <w:jc w:val="center"/>
              <w:textAlignment w:val="baseline"/>
            </w:pPr>
            <w:r>
              <w:t>275</w:t>
            </w:r>
          </w:p>
        </w:tc>
        <w:tc>
          <w:tcPr>
            <w:tcW w:w="1299" w:type="dxa"/>
            <w:tcBorders>
              <w:top w:val="nil"/>
              <w:left w:val="nil"/>
              <w:bottom w:val="single" w:sz="6" w:space="0" w:color="auto"/>
              <w:right w:val="nil"/>
            </w:tcBorders>
            <w:shd w:val="clear" w:color="auto" w:fill="auto"/>
          </w:tcPr>
          <w:p w:rsidR="00F16E3E" w:rsidRPr="00AC12E1" w:rsidP="0024147C" w14:paraId="7FB3A1B7" w14:textId="77777777">
            <w:pPr>
              <w:keepLines/>
              <w:spacing w:before="100" w:beforeAutospacing="1" w:after="100" w:afterAutospacing="1" w:line="240" w:lineRule="auto"/>
              <w:jc w:val="center"/>
              <w:textAlignment w:val="baseline"/>
            </w:pPr>
            <w:r>
              <w:t>400</w:t>
            </w:r>
          </w:p>
        </w:tc>
      </w:tr>
    </w:tbl>
    <w:p w:rsidR="00632D45" w:rsidRPr="00A423D8" w:rsidP="0024147C" w14:paraId="0167F2F5" w14:textId="6A895783">
      <w:pPr>
        <w:keepLines/>
        <w:spacing w:line="240" w:lineRule="auto"/>
        <w:ind w:left="720" w:firstLine="720"/>
        <w:textAlignment w:val="baseline"/>
        <w:rPr>
          <w:b/>
          <w:bCs/>
          <w:sz w:val="20"/>
          <w:szCs w:val="20"/>
        </w:rPr>
      </w:pPr>
      <w:r>
        <w:rPr>
          <w:b/>
          <w:bCs/>
          <w:sz w:val="20"/>
          <w:szCs w:val="20"/>
        </w:rPr>
        <w:t xml:space="preserve">       </w:t>
      </w:r>
      <w:r w:rsidRPr="00A423D8">
        <w:rPr>
          <w:b/>
          <w:bCs/>
          <w:sz w:val="20"/>
          <w:szCs w:val="20"/>
        </w:rPr>
        <w:t xml:space="preserve">Note: </w:t>
      </w:r>
      <w:r w:rsidRPr="00A423D8" w:rsidR="00333221">
        <w:rPr>
          <w:sz w:val="20"/>
          <w:szCs w:val="20"/>
        </w:rPr>
        <w:t xml:space="preserve">All sample sizes assume a medium effect size of </w:t>
      </w:r>
      <w:r w:rsidRPr="00A423D8" w:rsidR="00333221">
        <w:rPr>
          <w:i/>
          <w:iCs/>
          <w:sz w:val="20"/>
          <w:szCs w:val="20"/>
        </w:rPr>
        <w:t>f</w:t>
      </w:r>
      <w:r w:rsidRPr="00A423D8" w:rsidR="00333221">
        <w:rPr>
          <w:sz w:val="20"/>
          <w:szCs w:val="20"/>
        </w:rPr>
        <w:t xml:space="preserve"> </w:t>
      </w:r>
      <w:r>
        <w:rPr>
          <w:sz w:val="20"/>
          <w:szCs w:val="20"/>
        </w:rPr>
        <w:t xml:space="preserve"> </w:t>
      </w:r>
      <w:r w:rsidRPr="00A423D8" w:rsidR="00333221">
        <w:rPr>
          <w:sz w:val="20"/>
          <w:szCs w:val="20"/>
        </w:rPr>
        <w:t>= 0.25</w:t>
      </w:r>
      <w:r>
        <w:rPr>
          <w:sz w:val="20"/>
          <w:szCs w:val="20"/>
        </w:rPr>
        <w:t>.</w:t>
      </w:r>
    </w:p>
    <w:p w:rsidR="00AD7899" w:rsidRPr="002249D6" w:rsidP="002249D6" w14:paraId="409873A8" w14:textId="77777777">
      <w:pPr>
        <w:rPr>
          <w:rFonts w:eastAsia="Calibri"/>
        </w:rPr>
      </w:pPr>
    </w:p>
    <w:p w:rsidR="0059298C" w:rsidP="00AC02AD" w14:paraId="4213133A" w14:textId="75A11B12">
      <w:pPr>
        <w:rPr>
          <w:rFonts w:eastAsia="Calibri"/>
          <w:b/>
        </w:rPr>
      </w:pPr>
      <w:r>
        <w:rPr>
          <w:rFonts w:eastAsia="Calibri"/>
          <w:b/>
        </w:rPr>
        <w:t>Statistical Analysis Plan</w:t>
      </w:r>
    </w:p>
    <w:p w:rsidR="007B1254" w:rsidP="002249D6" w14:paraId="3FB02B5F" w14:textId="78B1B833">
      <w:pPr>
        <w:spacing w:after="120" w:line="240" w:lineRule="auto"/>
      </w:pPr>
      <w:r>
        <w:t>This study intends to observe gear usage</w:t>
      </w:r>
      <w:r w:rsidR="000D0F17">
        <w:t>/prevalence</w:t>
      </w:r>
      <w:r>
        <w:t xml:space="preserve"> </w:t>
      </w:r>
      <w:r w:rsidR="003408D6">
        <w:t>for all 625 participants</w:t>
      </w:r>
      <w:r w:rsidR="00CB65B9">
        <w:t xml:space="preserve"> to </w:t>
      </w:r>
      <w:r w:rsidR="0072317D">
        <w:t xml:space="preserve">estimate gear </w:t>
      </w:r>
      <w:r w:rsidR="0024147C">
        <w:t xml:space="preserve">use </w:t>
      </w:r>
      <w:r w:rsidR="0072317D">
        <w:t xml:space="preserve">among </w:t>
      </w:r>
      <w:r w:rsidR="00533B40">
        <w:t xml:space="preserve">the </w:t>
      </w:r>
      <w:r w:rsidR="0072317D">
        <w:t xml:space="preserve">rider populations at the selected venues. </w:t>
      </w:r>
      <w:r w:rsidR="003408D6">
        <w:t>As such,</w:t>
      </w:r>
      <w:r w:rsidR="000D0F17">
        <w:t xml:space="preserve"> </w:t>
      </w:r>
      <w:r w:rsidR="00474151">
        <w:t xml:space="preserve">overall </w:t>
      </w:r>
      <w:r w:rsidR="000147B2">
        <w:t xml:space="preserve">gear use prevalence </w:t>
      </w:r>
      <w:r w:rsidR="005742B8">
        <w:t xml:space="preserve">will be calculated with an expected </w:t>
      </w:r>
      <w:r w:rsidRPr="00AC12E1" w:rsidR="00824A72">
        <w:t xml:space="preserve">MOE of </w:t>
      </w:r>
      <w:r w:rsidR="00172731">
        <w:rPr>
          <w:rFonts w:ascii="Symbola" w:hAnsi="Symbola" w:cs="Symbola"/>
        </w:rPr>
        <w:t>±</w:t>
      </w:r>
      <w:r w:rsidR="00824A72">
        <w:t>3</w:t>
      </w:r>
      <w:r w:rsidRPr="00AC12E1" w:rsidR="00824A72">
        <w:t>.</w:t>
      </w:r>
      <w:r w:rsidR="00824A72">
        <w:t>9</w:t>
      </w:r>
      <w:r w:rsidRPr="00AC12E1" w:rsidR="00824A72">
        <w:t>% at a 95% confidence level</w:t>
      </w:r>
      <w:r w:rsidR="00474151">
        <w:t xml:space="preserve"> for a sample of 625 riders</w:t>
      </w:r>
      <w:r w:rsidRPr="00AC12E1" w:rsidR="00824A72">
        <w:t>. </w:t>
      </w:r>
      <w:r w:rsidR="00824A72">
        <w:t>This MOE will be acceptable for the basic gear preval</w:t>
      </w:r>
      <w:r w:rsidR="00474151">
        <w:t>e</w:t>
      </w:r>
      <w:r w:rsidR="00824A72">
        <w:t>nce (i.e., gear worn/not worn) measures.</w:t>
      </w:r>
      <w:r>
        <w:t xml:space="preserve"> </w:t>
      </w:r>
      <w:r w:rsidR="00AE0A04">
        <w:t>Fit assessments will only be conducted when a rider is wearing the gear. Descriptive statistics will be provided for the fit/</w:t>
      </w:r>
      <w:r w:rsidR="00A554E2">
        <w:t xml:space="preserve">did not fit variables with MOE calculated </w:t>
      </w:r>
      <w:r w:rsidR="0062543C">
        <w:t xml:space="preserve">based on the acquired sample size (number of gear fit assessments that </w:t>
      </w:r>
      <w:r w:rsidR="0024147C">
        <w:t xml:space="preserve">were </w:t>
      </w:r>
      <w:r w:rsidR="0062543C">
        <w:t>completed) for each gear type.</w:t>
      </w:r>
    </w:p>
    <w:p w:rsidR="0024147C" w:rsidP="002249D6" w14:paraId="6908F149" w14:textId="77777777">
      <w:pPr>
        <w:spacing w:after="120" w:line="240" w:lineRule="auto"/>
        <w:rPr>
          <w:rFonts w:eastAsia="Calibri"/>
        </w:rPr>
      </w:pPr>
      <w:r>
        <w:rPr>
          <w:rFonts w:eastAsia="Calibri"/>
        </w:rPr>
        <w:t>The study expects to utilize Chi</w:t>
      </w:r>
      <w:r>
        <w:rPr>
          <w:rFonts w:eastAsia="Calibri"/>
          <w:b/>
        </w:rPr>
        <w:t>-</w:t>
      </w:r>
      <w:r>
        <w:rPr>
          <w:rFonts w:eastAsia="Calibri"/>
        </w:rPr>
        <w:t xml:space="preserve">Square Tests </w:t>
      </w:r>
      <w:r w:rsidR="00F40449">
        <w:rPr>
          <w:rFonts w:eastAsia="Calibri"/>
        </w:rPr>
        <w:t xml:space="preserve">to determine if the </w:t>
      </w:r>
      <w:r w:rsidR="00EC595C">
        <w:rPr>
          <w:rFonts w:eastAsia="Calibri"/>
        </w:rPr>
        <w:t xml:space="preserve">distributions of </w:t>
      </w:r>
      <w:r>
        <w:rPr>
          <w:rFonts w:eastAsia="Calibri"/>
        </w:rPr>
        <w:t xml:space="preserve">frequencies of </w:t>
      </w:r>
      <w:r w:rsidR="00B55864">
        <w:rPr>
          <w:rFonts w:eastAsia="Calibri"/>
        </w:rPr>
        <w:t xml:space="preserve">responses in each category for comfort and fit items </w:t>
      </w:r>
      <w:r w:rsidR="00EC595C">
        <w:rPr>
          <w:rFonts w:eastAsia="Calibri"/>
        </w:rPr>
        <w:t xml:space="preserve">vary by gear type. </w:t>
      </w:r>
      <w:r w:rsidR="00AD270F">
        <w:rPr>
          <w:rFonts w:eastAsia="Calibri"/>
        </w:rPr>
        <w:t xml:space="preserve">Similar analyses will explore if distributions of responses vary by type of motorcycle ridden </w:t>
      </w:r>
      <w:r w:rsidR="003C03D6">
        <w:rPr>
          <w:rFonts w:eastAsia="Calibri"/>
        </w:rPr>
        <w:t>for ratings of comfort and fit across gear types.</w:t>
      </w:r>
      <w:r>
        <w:rPr>
          <w:rFonts w:eastAsia="Calibri"/>
        </w:rPr>
        <w:t xml:space="preserve"> </w:t>
      </w:r>
    </w:p>
    <w:p w:rsidR="00AC02AD" w:rsidP="002249D6" w14:paraId="1FDDBEEF" w14:textId="50D86F64">
      <w:pPr>
        <w:spacing w:after="120" w:line="240" w:lineRule="auto"/>
      </w:pPr>
      <w:r>
        <w:t xml:space="preserve">ANOVA will be used to examine differences in ratings of </w:t>
      </w:r>
      <w:r w:rsidR="00D535DC">
        <w:t xml:space="preserve">comfort </w:t>
      </w:r>
      <w:r>
        <w:t xml:space="preserve">and fit by </w:t>
      </w:r>
      <w:r w:rsidR="00EE16A1">
        <w:t>motorcycle</w:t>
      </w:r>
      <w:r>
        <w:t xml:space="preserve"> type and gear type</w:t>
      </w:r>
      <w:r>
        <w:t xml:space="preserve">. </w:t>
      </w:r>
      <w:r w:rsidR="00863B9B">
        <w:t xml:space="preserve">Relationships </w:t>
      </w:r>
      <w:r w:rsidR="00C36D97">
        <w:t>between variables will be explored</w:t>
      </w:r>
      <w:r w:rsidR="00171E94">
        <w:t xml:space="preserve"> in the following ways,</w:t>
      </w:r>
      <w:r>
        <w:t xml:space="preserve"> including but not limited to:</w:t>
      </w:r>
    </w:p>
    <w:p w:rsidR="00AC02AD" w:rsidP="00AD7899" w14:paraId="18F29937" w14:textId="05F67CA1">
      <w:pPr>
        <w:pStyle w:val="ListParagraph"/>
        <w:numPr>
          <w:ilvl w:val="0"/>
          <w:numId w:val="17"/>
        </w:num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Comfort and fit of various gear types</w:t>
      </w:r>
    </w:p>
    <w:p w:rsidR="00AC02AD" w:rsidP="00AD7899" w14:paraId="0F09383F" w14:textId="763F245F">
      <w:pPr>
        <w:pStyle w:val="ListParagraph"/>
        <w:numPr>
          <w:ilvl w:val="0"/>
          <w:numId w:val="17"/>
        </w:num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Attitudes about various gear types</w:t>
      </w:r>
    </w:p>
    <w:p w:rsidR="0064392A" w:rsidP="00AD7899" w14:paraId="4E842097" w14:textId="33E5DBB9">
      <w:pPr>
        <w:pStyle w:val="ListParagraph"/>
        <w:numPr>
          <w:ilvl w:val="0"/>
          <w:numId w:val="17"/>
        </w:num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Perceptions of various gear types</w:t>
      </w:r>
    </w:p>
    <w:p w:rsidR="006F5BB0" w:rsidP="00AD7899" w14:paraId="49D6E287" w14:textId="5994AF83">
      <w:pPr>
        <w:pStyle w:val="ListParagraph"/>
        <w:numPr>
          <w:ilvl w:val="0"/>
          <w:numId w:val="17"/>
        </w:num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Reasons for </w:t>
      </w:r>
      <w:r w:rsidR="0098006D">
        <w:rPr>
          <w:rFonts w:ascii="Times New Roman" w:hAnsi="Times New Roman" w:cs="Times New Roman"/>
          <w:color w:val="000000"/>
          <w:sz w:val="24"/>
          <w:szCs w:val="24"/>
        </w:rPr>
        <w:t xml:space="preserve">gear </w:t>
      </w:r>
      <w:r>
        <w:rPr>
          <w:rFonts w:ascii="Times New Roman" w:hAnsi="Times New Roman" w:cs="Times New Roman"/>
          <w:color w:val="000000"/>
          <w:sz w:val="24"/>
          <w:szCs w:val="24"/>
        </w:rPr>
        <w:t xml:space="preserve">use </w:t>
      </w:r>
      <w:r w:rsidR="0098006D">
        <w:rPr>
          <w:rFonts w:ascii="Times New Roman" w:hAnsi="Times New Roman" w:cs="Times New Roman"/>
          <w:color w:val="000000"/>
          <w:sz w:val="24"/>
          <w:szCs w:val="24"/>
        </w:rPr>
        <w:t>or gear avoidance</w:t>
      </w:r>
    </w:p>
    <w:p w:rsidR="00054ACE" w:rsidRPr="002C2812" w:rsidP="002249D6" w14:paraId="05A9C2C0" w14:textId="3D000C68">
      <w:pPr>
        <w:pStyle w:val="ListParagraph"/>
        <w:numPr>
          <w:ilvl w:val="0"/>
          <w:numId w:val="17"/>
        </w:numPr>
        <w:spacing w:after="120" w:line="240" w:lineRule="auto"/>
        <w:contextualSpacing/>
        <w:rPr>
          <w:rFonts w:ascii="Times New Roman" w:hAnsi="Times New Roman" w:cs="Times New Roman"/>
          <w:color w:val="000000"/>
          <w:sz w:val="24"/>
          <w:szCs w:val="24"/>
        </w:rPr>
      </w:pPr>
      <w:r w:rsidRPr="002C2812">
        <w:rPr>
          <w:rFonts w:ascii="Times New Roman" w:hAnsi="Times New Roman" w:cs="Times New Roman"/>
          <w:color w:val="000000"/>
          <w:sz w:val="24"/>
          <w:szCs w:val="24"/>
        </w:rPr>
        <w:t xml:space="preserve">Participant characteristics (e.g., </w:t>
      </w:r>
      <w:r w:rsidR="00EE16A1">
        <w:rPr>
          <w:rFonts w:ascii="Times New Roman" w:hAnsi="Times New Roman" w:cs="Times New Roman"/>
          <w:color w:val="000000"/>
          <w:sz w:val="24"/>
          <w:szCs w:val="24"/>
        </w:rPr>
        <w:t>motorcy</w:t>
      </w:r>
      <w:r w:rsidR="00EC548B">
        <w:rPr>
          <w:rFonts w:ascii="Times New Roman" w:hAnsi="Times New Roman" w:cs="Times New Roman"/>
          <w:color w:val="000000"/>
          <w:sz w:val="24"/>
          <w:szCs w:val="24"/>
        </w:rPr>
        <w:t>c</w:t>
      </w:r>
      <w:r w:rsidR="00EE16A1">
        <w:rPr>
          <w:rFonts w:ascii="Times New Roman" w:hAnsi="Times New Roman" w:cs="Times New Roman"/>
          <w:color w:val="000000"/>
          <w:sz w:val="24"/>
          <w:szCs w:val="24"/>
        </w:rPr>
        <w:t>le</w:t>
      </w:r>
      <w:r w:rsidRPr="002C2812">
        <w:rPr>
          <w:rFonts w:ascii="Times New Roman" w:hAnsi="Times New Roman" w:cs="Times New Roman"/>
          <w:color w:val="000000"/>
          <w:sz w:val="24"/>
          <w:szCs w:val="24"/>
        </w:rPr>
        <w:t xml:space="preserve"> type, demographics)</w:t>
      </w:r>
    </w:p>
    <w:p w:rsidR="00703374" w:rsidP="002249D6" w14:paraId="2171D8E0" w14:textId="067E4DC0">
      <w:pPr>
        <w:spacing w:after="120" w:line="240" w:lineRule="auto"/>
      </w:pPr>
      <w:r>
        <w:t xml:space="preserve">Descriptive results will be provided for the demographic </w:t>
      </w:r>
      <w:r w:rsidR="00FD2F54">
        <w:t xml:space="preserve">and </w:t>
      </w:r>
      <w:r w:rsidR="008B0203">
        <w:t>survey</w:t>
      </w:r>
      <w:r w:rsidR="00FD2F54">
        <w:t xml:space="preserve"> </w:t>
      </w:r>
      <w:r>
        <w:t>information collected.</w:t>
      </w:r>
    </w:p>
    <w:p w:rsidR="005B647F" w:rsidRPr="00C02E7E" w:rsidP="002E7E08" w14:paraId="5B073D21" w14:textId="2D3096BB">
      <w:pPr>
        <w:pStyle w:val="Heading1"/>
      </w:pPr>
      <w:r w:rsidRPr="00C02E7E">
        <w:t>B.2.</w:t>
      </w:r>
      <w:r w:rsidRPr="00C02E7E">
        <w:tab/>
        <w:t>Describe the procedures for the collection of information, including:</w:t>
      </w:r>
    </w:p>
    <w:p w:rsidR="005B647F" w:rsidP="002E7E08" w14:paraId="3FC10277" w14:textId="77777777">
      <w:pPr>
        <w:pStyle w:val="Heading1"/>
      </w:pPr>
      <w:r w:rsidRPr="00C02E7E">
        <w:t>Statistical methodology for stratification and sample selection.</w:t>
      </w:r>
    </w:p>
    <w:p w:rsidR="000C4096" w:rsidP="002249D6" w14:paraId="409B9CC9" w14:textId="4F64ABC6">
      <w:pPr>
        <w:autoSpaceDE w:val="0"/>
        <w:autoSpaceDN w:val="0"/>
        <w:adjustRightInd w:val="0"/>
        <w:spacing w:after="120" w:line="240" w:lineRule="auto"/>
        <w:rPr>
          <w:color w:val="000000"/>
        </w:rPr>
      </w:pPr>
      <w:r w:rsidRPr="00F553CF">
        <w:rPr>
          <w:color w:val="000000"/>
        </w:rPr>
        <w:t xml:space="preserve">Participants will </w:t>
      </w:r>
      <w:r w:rsidRPr="00F553CF" w:rsidR="002665AE">
        <w:rPr>
          <w:color w:val="000000"/>
        </w:rPr>
        <w:t xml:space="preserve">be recruited </w:t>
      </w:r>
      <w:r w:rsidR="00F914E8">
        <w:rPr>
          <w:color w:val="000000"/>
        </w:rPr>
        <w:t>at</w:t>
      </w:r>
      <w:r w:rsidRPr="00F553CF" w:rsidR="00F914E8">
        <w:rPr>
          <w:color w:val="000000"/>
        </w:rPr>
        <w:t xml:space="preserve"> </w:t>
      </w:r>
      <w:r w:rsidR="00703374">
        <w:rPr>
          <w:color w:val="000000"/>
        </w:rPr>
        <w:t>locations</w:t>
      </w:r>
      <w:r w:rsidRPr="00F553CF" w:rsidR="00D32ABF">
        <w:rPr>
          <w:color w:val="000000"/>
        </w:rPr>
        <w:t xml:space="preserve"> such as motorcycle </w:t>
      </w:r>
      <w:r w:rsidRPr="00F553CF" w:rsidR="009F54FC">
        <w:rPr>
          <w:color w:val="000000"/>
        </w:rPr>
        <w:t>rallies</w:t>
      </w:r>
      <w:r w:rsidR="00145965">
        <w:rPr>
          <w:color w:val="000000"/>
        </w:rPr>
        <w:t>, social gatherings, training events,</w:t>
      </w:r>
      <w:r w:rsidRPr="00F553CF" w:rsidR="009F54FC">
        <w:rPr>
          <w:color w:val="000000"/>
        </w:rPr>
        <w:t xml:space="preserve"> </w:t>
      </w:r>
      <w:r w:rsidRPr="00F553CF" w:rsidR="002337F6">
        <w:rPr>
          <w:color w:val="000000"/>
        </w:rPr>
        <w:t xml:space="preserve">and meet-ups </w:t>
      </w:r>
      <w:r w:rsidRPr="00F553CF" w:rsidR="00A56C35">
        <w:rPr>
          <w:color w:val="000000"/>
        </w:rPr>
        <w:t xml:space="preserve">where </w:t>
      </w:r>
      <w:r w:rsidRPr="00F553CF" w:rsidR="00A41055">
        <w:rPr>
          <w:color w:val="000000"/>
        </w:rPr>
        <w:t xml:space="preserve">the means for </w:t>
      </w:r>
      <w:r w:rsidRPr="00F553CF" w:rsidR="002337F6">
        <w:rPr>
          <w:color w:val="000000"/>
        </w:rPr>
        <w:t>on-site data collection</w:t>
      </w:r>
      <w:r w:rsidRPr="00F553CF" w:rsidR="00A41055">
        <w:rPr>
          <w:color w:val="000000"/>
        </w:rPr>
        <w:t xml:space="preserve"> will be set up</w:t>
      </w:r>
      <w:r w:rsidRPr="00F553CF" w:rsidR="00A56C35">
        <w:rPr>
          <w:color w:val="000000"/>
        </w:rPr>
        <w:t>.</w:t>
      </w:r>
      <w:r w:rsidR="005F32F4">
        <w:rPr>
          <w:color w:val="000000"/>
        </w:rPr>
        <w:t xml:space="preserve"> Overall, the selected events/sites for </w:t>
      </w:r>
      <w:r w:rsidR="00153EE0">
        <w:rPr>
          <w:color w:val="000000"/>
        </w:rPr>
        <w:t>data collection</w:t>
      </w:r>
      <w:r w:rsidR="005F32F4">
        <w:rPr>
          <w:color w:val="000000"/>
        </w:rPr>
        <w:t xml:space="preserve"> will be a convenience sample of </w:t>
      </w:r>
      <w:r w:rsidR="00F824BA">
        <w:rPr>
          <w:color w:val="000000"/>
        </w:rPr>
        <w:t xml:space="preserve">events or locations where riders of each </w:t>
      </w:r>
      <w:r w:rsidR="00EE16A1">
        <w:rPr>
          <w:color w:val="000000"/>
        </w:rPr>
        <w:t>motorcy</w:t>
      </w:r>
      <w:r w:rsidR="00EC548B">
        <w:rPr>
          <w:color w:val="000000"/>
        </w:rPr>
        <w:t>c</w:t>
      </w:r>
      <w:r w:rsidR="00EE16A1">
        <w:rPr>
          <w:color w:val="000000"/>
        </w:rPr>
        <w:t>le</w:t>
      </w:r>
      <w:r w:rsidR="00F824BA">
        <w:rPr>
          <w:color w:val="000000"/>
        </w:rPr>
        <w:t xml:space="preserve"> type congregate</w:t>
      </w:r>
      <w:r w:rsidR="005F32F4">
        <w:rPr>
          <w:color w:val="000000"/>
        </w:rPr>
        <w:t xml:space="preserve">. </w:t>
      </w:r>
      <w:r w:rsidRPr="00F553CF" w:rsidR="00BA1DBD">
        <w:rPr>
          <w:color w:val="000000"/>
        </w:rPr>
        <w:t xml:space="preserve">Staff will </w:t>
      </w:r>
      <w:r w:rsidR="00F914E8">
        <w:rPr>
          <w:color w:val="000000"/>
        </w:rPr>
        <w:t xml:space="preserve">attempt to </w:t>
      </w:r>
      <w:r w:rsidRPr="00F553CF" w:rsidR="002A1CCB">
        <w:rPr>
          <w:color w:val="000000"/>
        </w:rPr>
        <w:t xml:space="preserve">focus on separate events that cater specifically to riders of distinct </w:t>
      </w:r>
      <w:r w:rsidR="00EC548B">
        <w:rPr>
          <w:color w:val="000000"/>
        </w:rPr>
        <w:t xml:space="preserve">motorcycle </w:t>
      </w:r>
      <w:r w:rsidRPr="00F553CF" w:rsidR="00B65A60">
        <w:rPr>
          <w:color w:val="000000"/>
        </w:rPr>
        <w:t>types,</w:t>
      </w:r>
      <w:r w:rsidR="000F3B56">
        <w:rPr>
          <w:color w:val="000000"/>
        </w:rPr>
        <w:t xml:space="preserve"> when </w:t>
      </w:r>
      <w:r w:rsidR="00875F59">
        <w:rPr>
          <w:color w:val="000000"/>
        </w:rPr>
        <w:t>possible,</w:t>
      </w:r>
      <w:r w:rsidR="000F3B56">
        <w:rPr>
          <w:color w:val="000000"/>
        </w:rPr>
        <w:t xml:space="preserve"> </w:t>
      </w:r>
      <w:r w:rsidR="00F914E8">
        <w:rPr>
          <w:color w:val="000000"/>
        </w:rPr>
        <w:t xml:space="preserve">but </w:t>
      </w:r>
      <w:r w:rsidR="000F3B56">
        <w:rPr>
          <w:color w:val="000000"/>
        </w:rPr>
        <w:t xml:space="preserve">many events attract a variety of </w:t>
      </w:r>
      <w:r w:rsidR="00EC548B">
        <w:rPr>
          <w:color w:val="000000"/>
        </w:rPr>
        <w:t>motorcycle</w:t>
      </w:r>
      <w:r w:rsidR="000F3B56">
        <w:rPr>
          <w:color w:val="000000"/>
        </w:rPr>
        <w:t>/rider types</w:t>
      </w:r>
      <w:r w:rsidR="00D746B6">
        <w:rPr>
          <w:color w:val="000000"/>
        </w:rPr>
        <w:t xml:space="preserve">. </w:t>
      </w:r>
      <w:r w:rsidR="0036021A">
        <w:rPr>
          <w:color w:val="000000"/>
        </w:rPr>
        <w:t>Larger events</w:t>
      </w:r>
      <w:r w:rsidR="003B7C8B">
        <w:rPr>
          <w:color w:val="000000"/>
        </w:rPr>
        <w:t xml:space="preserve"> (i.e., more riders attending based on past </w:t>
      </w:r>
      <w:r w:rsidR="00D150F7">
        <w:rPr>
          <w:color w:val="000000"/>
        </w:rPr>
        <w:t>attendance documentation)</w:t>
      </w:r>
      <w:r w:rsidR="0036021A">
        <w:rPr>
          <w:color w:val="000000"/>
        </w:rPr>
        <w:t xml:space="preserve"> will be given priority during the site selection process</w:t>
      </w:r>
      <w:r w:rsidR="00D60EF7">
        <w:rPr>
          <w:color w:val="000000"/>
        </w:rPr>
        <w:t xml:space="preserve"> in an attempt to reach a wider audience of riders.</w:t>
      </w:r>
      <w:r w:rsidR="00DD76E3">
        <w:rPr>
          <w:color w:val="000000"/>
        </w:rPr>
        <w:t xml:space="preserve"> </w:t>
      </w:r>
      <w:r>
        <w:rPr>
          <w:color w:val="000000"/>
        </w:rPr>
        <w:t>Approvals will be obtained from the selected events to establish a data collection area at the event site.</w:t>
      </w:r>
      <w:r w:rsidRPr="00F553CF">
        <w:rPr>
          <w:color w:val="000000"/>
        </w:rPr>
        <w:t xml:space="preserve"> </w:t>
      </w:r>
      <w:r>
        <w:rPr>
          <w:color w:val="000000"/>
        </w:rPr>
        <w:t>The study will collect data from</w:t>
      </w:r>
      <w:r w:rsidRPr="00F553CF">
        <w:rPr>
          <w:color w:val="000000"/>
        </w:rPr>
        <w:t xml:space="preserve"> 125 participants for each of the five different </w:t>
      </w:r>
      <w:r w:rsidR="00EC548B">
        <w:rPr>
          <w:color w:val="000000"/>
        </w:rPr>
        <w:t xml:space="preserve">motorcycle </w:t>
      </w:r>
      <w:r w:rsidRPr="00F553CF">
        <w:rPr>
          <w:color w:val="000000"/>
        </w:rPr>
        <w:t xml:space="preserve">types (standard, cruiser, sport, </w:t>
      </w:r>
      <w:r w:rsidR="00354596">
        <w:rPr>
          <w:color w:val="000000"/>
        </w:rPr>
        <w:t>adventure/</w:t>
      </w:r>
      <w:r w:rsidRPr="00F553CF">
        <w:rPr>
          <w:color w:val="000000"/>
        </w:rPr>
        <w:t xml:space="preserve">touring, scooter), screening </w:t>
      </w:r>
      <w:r>
        <w:rPr>
          <w:color w:val="000000"/>
        </w:rPr>
        <w:t>an estimated</w:t>
      </w:r>
      <w:r w:rsidRPr="00F553CF">
        <w:rPr>
          <w:color w:val="000000"/>
        </w:rPr>
        <w:t xml:space="preserve"> 1,250 individuals to recruit 625 total potential participants. Twenty-five participants within each </w:t>
      </w:r>
      <w:r w:rsidR="00EC548B">
        <w:rPr>
          <w:color w:val="000000"/>
        </w:rPr>
        <w:t>motorcycle</w:t>
      </w:r>
      <w:r w:rsidRPr="00F553CF">
        <w:rPr>
          <w:color w:val="000000"/>
        </w:rPr>
        <w:t xml:space="preserve"> type </w:t>
      </w:r>
      <w:r>
        <w:rPr>
          <w:color w:val="000000"/>
        </w:rPr>
        <w:t xml:space="preserve">will provide inputs on </w:t>
      </w:r>
      <w:r w:rsidR="00354596">
        <w:rPr>
          <w:color w:val="000000"/>
        </w:rPr>
        <w:t xml:space="preserve">fit and </w:t>
      </w:r>
      <w:r>
        <w:rPr>
          <w:color w:val="000000"/>
        </w:rPr>
        <w:t xml:space="preserve">comfort for one of the gear types </w:t>
      </w:r>
      <w:r w:rsidRPr="00F553CF">
        <w:rPr>
          <w:color w:val="000000"/>
        </w:rPr>
        <w:t>(</w:t>
      </w:r>
      <w:r>
        <w:rPr>
          <w:color w:val="000000"/>
        </w:rPr>
        <w:t xml:space="preserve">i.e., </w:t>
      </w:r>
      <w:r w:rsidR="00CF7292">
        <w:t xml:space="preserve">footwear, gloves, </w:t>
      </w:r>
      <w:r w:rsidRPr="001763A4" w:rsidR="00CF7292">
        <w:t>helmets, jackets, pants</w:t>
      </w:r>
      <w:r w:rsidRPr="00F553CF">
        <w:rPr>
          <w:color w:val="000000"/>
        </w:rPr>
        <w:t xml:space="preserve">). </w:t>
      </w:r>
    </w:p>
    <w:p w:rsidR="00875F59" w:rsidP="002249D6" w14:paraId="09266CC3" w14:textId="7C30821D">
      <w:pPr>
        <w:autoSpaceDE w:val="0"/>
        <w:autoSpaceDN w:val="0"/>
        <w:adjustRightInd w:val="0"/>
        <w:spacing w:after="120" w:line="240" w:lineRule="auto"/>
        <w:rPr>
          <w:color w:val="000000"/>
        </w:rPr>
      </w:pPr>
      <w:r>
        <w:rPr>
          <w:color w:val="000000"/>
        </w:rPr>
        <w:t xml:space="preserve"> </w:t>
      </w:r>
      <w:r w:rsidR="00D746B6">
        <w:rPr>
          <w:color w:val="000000"/>
        </w:rPr>
        <w:t xml:space="preserve">At any given event, </w:t>
      </w:r>
      <w:r w:rsidR="001A7B19">
        <w:rPr>
          <w:color w:val="000000"/>
        </w:rPr>
        <w:t xml:space="preserve">study staff will </w:t>
      </w:r>
      <w:r w:rsidR="00FB05E4">
        <w:rPr>
          <w:color w:val="000000"/>
        </w:rPr>
        <w:t xml:space="preserve">attempt to randomly </w:t>
      </w:r>
      <w:r w:rsidR="001A7B19">
        <w:rPr>
          <w:color w:val="000000"/>
        </w:rPr>
        <w:t xml:space="preserve">recruit </w:t>
      </w:r>
      <w:r w:rsidR="00C6419C">
        <w:rPr>
          <w:color w:val="000000"/>
        </w:rPr>
        <w:t xml:space="preserve">riders passing by the data collection </w:t>
      </w:r>
      <w:r w:rsidR="00901027">
        <w:rPr>
          <w:color w:val="000000"/>
        </w:rPr>
        <w:t xml:space="preserve">location or in the parking lot of the selected location. </w:t>
      </w:r>
      <w:r w:rsidR="00E43BCA">
        <w:rPr>
          <w:color w:val="000000"/>
        </w:rPr>
        <w:t xml:space="preserve">Recruitment will be limited by the number of available data collectors. When a data collector is available, they will attempt to recruit </w:t>
      </w:r>
      <w:r w:rsidR="00FB05E4">
        <w:rPr>
          <w:color w:val="000000"/>
        </w:rPr>
        <w:t>every third</w:t>
      </w:r>
      <w:r w:rsidR="00E43BCA">
        <w:rPr>
          <w:color w:val="000000"/>
        </w:rPr>
        <w:t xml:space="preserve"> rider passing by</w:t>
      </w:r>
      <w:r w:rsidR="00192CC7">
        <w:rPr>
          <w:color w:val="000000"/>
        </w:rPr>
        <w:t xml:space="preserve"> the data collection location</w:t>
      </w:r>
      <w:r w:rsidR="009262C3">
        <w:rPr>
          <w:color w:val="000000"/>
        </w:rPr>
        <w:t xml:space="preserve">. Recruiting will stop when all data collectors are occupied with participants. Once a data collector is available, they will </w:t>
      </w:r>
      <w:r w:rsidR="00033538">
        <w:rPr>
          <w:color w:val="000000"/>
        </w:rPr>
        <w:t xml:space="preserve">begin the random </w:t>
      </w:r>
      <w:r w:rsidR="005F07E1">
        <w:rPr>
          <w:color w:val="000000"/>
        </w:rPr>
        <w:t>selection</w:t>
      </w:r>
      <w:r w:rsidR="00033538">
        <w:rPr>
          <w:color w:val="000000"/>
        </w:rPr>
        <w:t xml:space="preserve"> process again</w:t>
      </w:r>
      <w:r w:rsidR="001D4836">
        <w:rPr>
          <w:color w:val="000000"/>
        </w:rPr>
        <w:t xml:space="preserve">. </w:t>
      </w:r>
      <w:r w:rsidRPr="00747274" w:rsidR="00B87F5E">
        <w:rPr>
          <w:color w:val="000000"/>
        </w:rPr>
        <w:t xml:space="preserve">Information on non-participants (e.g., estimated age, sex, race, </w:t>
      </w:r>
      <w:r w:rsidR="00EC548B">
        <w:rPr>
          <w:color w:val="000000"/>
        </w:rPr>
        <w:t xml:space="preserve">motorcycle </w:t>
      </w:r>
      <w:r w:rsidRPr="00747274" w:rsidR="00B87F5E">
        <w:rPr>
          <w:color w:val="000000"/>
        </w:rPr>
        <w:t xml:space="preserve">type) will be gathered to </w:t>
      </w:r>
      <w:r w:rsidRPr="00747274" w:rsidR="00252500">
        <w:rPr>
          <w:color w:val="000000"/>
        </w:rPr>
        <w:t xml:space="preserve">the extent possible </w:t>
      </w:r>
      <w:r w:rsidRPr="00747274" w:rsidR="00723BF8">
        <w:rPr>
          <w:color w:val="000000"/>
        </w:rPr>
        <w:t xml:space="preserve">to </w:t>
      </w:r>
      <w:r w:rsidRPr="00747274" w:rsidR="000E668A">
        <w:rPr>
          <w:color w:val="000000"/>
        </w:rPr>
        <w:t>assess potential biases in the sample obtained at each location.</w:t>
      </w:r>
      <w:r w:rsidR="000E668A">
        <w:rPr>
          <w:color w:val="000000"/>
        </w:rPr>
        <w:t xml:space="preserve"> </w:t>
      </w:r>
      <w:r w:rsidR="0076716A">
        <w:rPr>
          <w:color w:val="000000"/>
        </w:rPr>
        <w:t>While it is anticipated the sample will be representative of the riders at each event</w:t>
      </w:r>
      <w:r w:rsidR="00FD3DD9">
        <w:rPr>
          <w:color w:val="000000"/>
        </w:rPr>
        <w:t xml:space="preserve"> given the recruitment approach</w:t>
      </w:r>
      <w:r w:rsidR="0076716A">
        <w:rPr>
          <w:color w:val="000000"/>
        </w:rPr>
        <w:t>,</w:t>
      </w:r>
      <w:r w:rsidR="00FD3DD9">
        <w:rPr>
          <w:color w:val="000000"/>
        </w:rPr>
        <w:t xml:space="preserve"> the sample will not be representative of all riders of a given type </w:t>
      </w:r>
      <w:r w:rsidR="000A2F94">
        <w:rPr>
          <w:color w:val="000000"/>
        </w:rPr>
        <w:t xml:space="preserve">across the country </w:t>
      </w:r>
      <w:r w:rsidR="00494ACC">
        <w:rPr>
          <w:color w:val="000000"/>
        </w:rPr>
        <w:t>due to the event selection process.</w:t>
      </w:r>
      <w:r w:rsidR="0076716A">
        <w:rPr>
          <w:color w:val="000000"/>
        </w:rPr>
        <w:t xml:space="preserve"> </w:t>
      </w:r>
      <w:r w:rsidR="00C332C8">
        <w:rPr>
          <w:color w:val="000000"/>
        </w:rPr>
        <w:t xml:space="preserve">As such, </w:t>
      </w:r>
      <w:r w:rsidR="007364DF">
        <w:rPr>
          <w:color w:val="000000"/>
        </w:rPr>
        <w:t>no inferences</w:t>
      </w:r>
      <w:r w:rsidR="006D2F83">
        <w:rPr>
          <w:color w:val="000000"/>
        </w:rPr>
        <w:t xml:space="preserve"> </w:t>
      </w:r>
      <w:r w:rsidR="00E170FF">
        <w:rPr>
          <w:color w:val="000000"/>
        </w:rPr>
        <w:t>will be made to the larger population of riders</w:t>
      </w:r>
      <w:r w:rsidR="00DD57B6">
        <w:rPr>
          <w:color w:val="000000"/>
        </w:rPr>
        <w:t xml:space="preserve"> </w:t>
      </w:r>
      <w:r w:rsidR="00E94BBF">
        <w:rPr>
          <w:color w:val="000000"/>
        </w:rPr>
        <w:t>beyond those attending the selected events.</w:t>
      </w:r>
      <w:r w:rsidR="00B87F5E">
        <w:rPr>
          <w:color w:val="000000"/>
        </w:rPr>
        <w:t xml:space="preserve"> </w:t>
      </w:r>
      <w:r w:rsidR="00D746B6">
        <w:rPr>
          <w:color w:val="000000"/>
        </w:rPr>
        <w:t xml:space="preserve"> </w:t>
      </w:r>
      <w:r w:rsidR="005F32F4">
        <w:rPr>
          <w:color w:val="000000"/>
        </w:rPr>
        <w:t xml:space="preserve"> </w:t>
      </w:r>
    </w:p>
    <w:p w:rsidR="00865F02" w:rsidRPr="00C7567F" w:rsidP="005A70AD" w14:paraId="4A0204D8" w14:textId="30F4D6C7">
      <w:pPr>
        <w:rPr>
          <w:i/>
          <w:iCs/>
          <w:color w:val="000000"/>
        </w:rPr>
      </w:pPr>
      <w:r w:rsidRPr="00C7567F">
        <w:rPr>
          <w:i/>
          <w:iCs/>
          <w:color w:val="000000"/>
        </w:rPr>
        <w:t>Data Collection Procedures</w:t>
      </w:r>
    </w:p>
    <w:p w:rsidR="00EE53BA" w:rsidP="002249D6" w14:paraId="6A0091B8" w14:textId="400C5532">
      <w:pPr>
        <w:autoSpaceDE w:val="0"/>
        <w:autoSpaceDN w:val="0"/>
        <w:adjustRightInd w:val="0"/>
        <w:spacing w:after="120" w:line="240" w:lineRule="auto"/>
        <w:rPr>
          <w:color w:val="000000"/>
        </w:rPr>
      </w:pPr>
      <w:r>
        <w:rPr>
          <w:color w:val="000000"/>
        </w:rPr>
        <w:t xml:space="preserve">Riders will be recruited as they pass the data collection </w:t>
      </w:r>
      <w:r w:rsidR="00CA3D15">
        <w:rPr>
          <w:color w:val="000000"/>
        </w:rPr>
        <w:t xml:space="preserve">area or in the parking areas of the selected locations </w:t>
      </w:r>
      <w:r w:rsidR="00FD1375">
        <w:rPr>
          <w:color w:val="000000"/>
        </w:rPr>
        <w:t>if a stationary data collection approach is not viable at a given event.</w:t>
      </w:r>
      <w:r w:rsidR="00EC4F02">
        <w:rPr>
          <w:color w:val="000000"/>
        </w:rPr>
        <w:t xml:space="preserve"> </w:t>
      </w:r>
      <w:r w:rsidRPr="00F553CF" w:rsidR="001C571F">
        <w:rPr>
          <w:color w:val="000000"/>
        </w:rPr>
        <w:fldChar w:fldCharType="begin"/>
      </w:r>
      <w:r w:rsidRPr="00F553CF" w:rsidR="001C571F">
        <w:rPr>
          <w:color w:val="000000"/>
        </w:rPr>
        <w:instrText xml:space="preserve"> REF _Ref152251051 \r \h </w:instrText>
      </w:r>
      <w:r w:rsidR="001C571F">
        <w:rPr>
          <w:color w:val="000000"/>
        </w:rPr>
        <w:instrText xml:space="preserve"> \* MERGEFORMAT </w:instrText>
      </w:r>
      <w:r w:rsidRPr="00F553CF" w:rsidR="001C571F">
        <w:rPr>
          <w:color w:val="000000"/>
        </w:rPr>
        <w:fldChar w:fldCharType="separate"/>
      </w:r>
      <w:r w:rsidRPr="00F553CF" w:rsidR="001C571F">
        <w:rPr>
          <w:color w:val="000000"/>
        </w:rPr>
        <w:t>Figure 1</w:t>
      </w:r>
      <w:r w:rsidRPr="00F553CF" w:rsidR="001C571F">
        <w:rPr>
          <w:color w:val="000000"/>
        </w:rPr>
        <w:fldChar w:fldCharType="end"/>
      </w:r>
      <w:r w:rsidRPr="00F553CF" w:rsidR="001C571F">
        <w:rPr>
          <w:color w:val="000000"/>
        </w:rPr>
        <w:t xml:space="preserve"> provides an example site setup and flow of the data collection process.</w:t>
      </w:r>
      <w:r w:rsidR="00DA5AD1">
        <w:rPr>
          <w:color w:val="000000"/>
        </w:rPr>
        <w:t xml:space="preserve"> The actual setup could vary depending on </w:t>
      </w:r>
      <w:r w:rsidR="0029550A">
        <w:rPr>
          <w:color w:val="000000"/>
        </w:rPr>
        <w:t>the available</w:t>
      </w:r>
      <w:r w:rsidR="00DA5AD1">
        <w:rPr>
          <w:color w:val="000000"/>
        </w:rPr>
        <w:t xml:space="preserve"> space at an event. </w:t>
      </w:r>
      <w:r w:rsidR="00D334BA">
        <w:rPr>
          <w:color w:val="000000"/>
        </w:rPr>
        <w:t xml:space="preserve">In the event a stationary location is not available, </w:t>
      </w:r>
      <w:r w:rsidR="00F46C85">
        <w:rPr>
          <w:color w:val="000000"/>
        </w:rPr>
        <w:t xml:space="preserve">or recruitment of passing riders proves very difficult, </w:t>
      </w:r>
      <w:r w:rsidR="00E423EB">
        <w:rPr>
          <w:color w:val="000000"/>
        </w:rPr>
        <w:t xml:space="preserve">study staff may </w:t>
      </w:r>
      <w:r w:rsidR="006E469B">
        <w:rPr>
          <w:color w:val="000000"/>
        </w:rPr>
        <w:t>approach riders in the parking lot</w:t>
      </w:r>
      <w:r w:rsidR="00DA2F40">
        <w:rPr>
          <w:color w:val="000000"/>
        </w:rPr>
        <w:t xml:space="preserve"> </w:t>
      </w:r>
      <w:r w:rsidR="0029550A">
        <w:rPr>
          <w:color w:val="000000"/>
        </w:rPr>
        <w:t>to complete the study steps near their motorcycle.</w:t>
      </w:r>
      <w:r>
        <w:rPr>
          <w:color w:val="000000"/>
        </w:rPr>
        <w:br w:type="page"/>
      </w:r>
    </w:p>
    <w:p w:rsidR="001C571F" w:rsidP="002249D6" w14:paraId="342D328F" w14:textId="77777777">
      <w:pPr>
        <w:autoSpaceDE w:val="0"/>
        <w:autoSpaceDN w:val="0"/>
        <w:adjustRightInd w:val="0"/>
        <w:spacing w:after="120" w:line="240" w:lineRule="auto"/>
        <w:rPr>
          <w:color w:val="000000"/>
        </w:rPr>
      </w:pPr>
    </w:p>
    <w:p w:rsidR="001C571F" w:rsidRPr="00C7567F" w:rsidP="0024147C" w14:paraId="54843E99" w14:textId="77777777">
      <w:pPr>
        <w:pStyle w:val="ListParagraph"/>
        <w:numPr>
          <w:ilvl w:val="0"/>
          <w:numId w:val="8"/>
        </w:numPr>
        <w:spacing w:before="120" w:after="120"/>
        <w:ind w:left="720" w:firstLine="450"/>
        <w:jc w:val="center"/>
        <w:rPr>
          <w:rFonts w:ascii="Times New Roman" w:hAnsi="Times New Roman" w:cs="Times New Roman"/>
          <w:b/>
          <w:bCs/>
          <w:sz w:val="24"/>
          <w:szCs w:val="24"/>
        </w:rPr>
      </w:pPr>
      <w:r w:rsidRPr="00F553CF">
        <w:rPr>
          <w:color w:val="000000"/>
        </w:rPr>
        <w:t xml:space="preserve"> </w:t>
      </w:r>
      <w:r w:rsidRPr="00C7567F">
        <w:rPr>
          <w:rFonts w:ascii="Times New Roman" w:hAnsi="Times New Roman" w:cs="Times New Roman"/>
          <w:b/>
          <w:bCs/>
          <w:sz w:val="24"/>
          <w:szCs w:val="24"/>
        </w:rPr>
        <w:t>Example Site Setup for Data Collection</w:t>
      </w:r>
    </w:p>
    <w:p w:rsidR="001C571F" w:rsidRPr="00855A8B" w:rsidP="001C571F" w14:paraId="70625B35" w14:textId="7E524EC6">
      <w:pPr>
        <w:spacing w:after="120"/>
        <w:jc w:val="center"/>
      </w:pPr>
      <w:r w:rsidRPr="00047FA1">
        <w:rPr>
          <w:noProof/>
        </w:rPr>
        <w:t xml:space="preserve"> </w:t>
      </w:r>
      <w:r w:rsidRPr="00047FA1">
        <w:rPr>
          <w:noProof/>
        </w:rPr>
        <w:drawing>
          <wp:inline distT="0" distB="0" distL="0" distR="0">
            <wp:extent cx="2835009" cy="4754880"/>
            <wp:effectExtent l="0" t="0" r="3810" b="7620"/>
            <wp:docPr id="1075704180" name="Picture 1" descr="A diagram of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04180" name="Picture 1" descr="A diagram of a road&#10;&#10;Description automatically generated"/>
                    <pic:cNvPicPr/>
                  </pic:nvPicPr>
                  <pic:blipFill>
                    <a:blip xmlns:r="http://schemas.openxmlformats.org/officeDocument/2006/relationships" r:embed="rId9"/>
                    <a:stretch>
                      <a:fillRect/>
                    </a:stretch>
                  </pic:blipFill>
                  <pic:spPr>
                    <a:xfrm>
                      <a:off x="0" y="0"/>
                      <a:ext cx="2838259" cy="4760332"/>
                    </a:xfrm>
                    <a:prstGeom prst="rect">
                      <a:avLst/>
                    </a:prstGeom>
                  </pic:spPr>
                </pic:pic>
              </a:graphicData>
            </a:graphic>
          </wp:inline>
        </w:drawing>
      </w:r>
    </w:p>
    <w:p w:rsidR="001C571F" w:rsidRPr="00572140" w:rsidP="001C571F" w14:paraId="0851E21D" w14:textId="77777777">
      <w:pPr>
        <w:spacing w:after="120"/>
        <w:jc w:val="center"/>
      </w:pPr>
    </w:p>
    <w:p w:rsidR="002C3FEF" w:rsidP="00662023" w14:paraId="6405AAAB" w14:textId="41A73D43">
      <w:pPr>
        <w:autoSpaceDE w:val="0"/>
        <w:autoSpaceDN w:val="0"/>
        <w:adjustRightInd w:val="0"/>
        <w:spacing w:after="120" w:line="240" w:lineRule="auto"/>
        <w:rPr>
          <w:color w:val="000000"/>
        </w:rPr>
      </w:pPr>
      <w:r>
        <w:rPr>
          <w:color w:val="000000"/>
        </w:rPr>
        <w:t>Once recruited, a</w:t>
      </w:r>
      <w:r w:rsidRPr="0072029E" w:rsidR="000D1D72">
        <w:rPr>
          <w:color w:val="000000"/>
        </w:rPr>
        <w:t xml:space="preserve"> </w:t>
      </w:r>
      <w:r>
        <w:rPr>
          <w:color w:val="000000"/>
        </w:rPr>
        <w:t>study staff member</w:t>
      </w:r>
      <w:r w:rsidR="00FD1375">
        <w:rPr>
          <w:color w:val="000000"/>
        </w:rPr>
        <w:t xml:space="preserve"> </w:t>
      </w:r>
      <w:r w:rsidRPr="0072029E" w:rsidR="000D1D72">
        <w:rPr>
          <w:color w:val="000000"/>
        </w:rPr>
        <w:t xml:space="preserve">will approach a potential participant, introduce themselves, </w:t>
      </w:r>
      <w:r w:rsidR="00E31C19">
        <w:rPr>
          <w:color w:val="000000"/>
        </w:rPr>
        <w:t>indicate the study is voluntary</w:t>
      </w:r>
      <w:r w:rsidR="00A65F8B">
        <w:rPr>
          <w:color w:val="000000"/>
        </w:rPr>
        <w:t xml:space="preserve"> and anonymous</w:t>
      </w:r>
      <w:r w:rsidR="00E31C19">
        <w:rPr>
          <w:color w:val="000000"/>
        </w:rPr>
        <w:t xml:space="preserve">, </w:t>
      </w:r>
      <w:r w:rsidRPr="0072029E" w:rsidR="00EE4383">
        <w:rPr>
          <w:color w:val="000000"/>
        </w:rPr>
        <w:t>explain the components of the study</w:t>
      </w:r>
      <w:r w:rsidR="00E879D1">
        <w:rPr>
          <w:color w:val="000000"/>
        </w:rPr>
        <w:t>, and ask the initial screening items</w:t>
      </w:r>
      <w:r w:rsidR="00634358">
        <w:rPr>
          <w:color w:val="000000"/>
        </w:rPr>
        <w:t xml:space="preserve"> if the individual is interested in participating</w:t>
      </w:r>
      <w:r w:rsidRPr="0072029E" w:rsidR="00EE4383">
        <w:rPr>
          <w:color w:val="000000"/>
        </w:rPr>
        <w:t xml:space="preserve">. </w:t>
      </w:r>
      <w:r w:rsidR="00532B47">
        <w:rPr>
          <w:color w:val="000000"/>
        </w:rPr>
        <w:t>O</w:t>
      </w:r>
      <w:r w:rsidRPr="00F553CF" w:rsidR="002F2AF4">
        <w:rPr>
          <w:color w:val="000000"/>
        </w:rPr>
        <w:t xml:space="preserve">nce </w:t>
      </w:r>
      <w:r w:rsidRPr="00F553CF">
        <w:rPr>
          <w:color w:val="000000"/>
        </w:rPr>
        <w:t>deemed eligible, the</w:t>
      </w:r>
      <w:r w:rsidR="006E28E4">
        <w:rPr>
          <w:color w:val="000000"/>
        </w:rPr>
        <w:t xml:space="preserve"> </w:t>
      </w:r>
      <w:r w:rsidR="00634358">
        <w:rPr>
          <w:color w:val="000000"/>
        </w:rPr>
        <w:t>data collector</w:t>
      </w:r>
      <w:r w:rsidR="006E28E4">
        <w:rPr>
          <w:color w:val="000000"/>
        </w:rPr>
        <w:t xml:space="preserve"> will provide the potential </w:t>
      </w:r>
      <w:r w:rsidR="005C54B1">
        <w:rPr>
          <w:color w:val="000000"/>
        </w:rPr>
        <w:t>participant with</w:t>
      </w:r>
      <w:r w:rsidR="006E28E4">
        <w:rPr>
          <w:color w:val="000000"/>
        </w:rPr>
        <w:t xml:space="preserve"> a tablet </w:t>
      </w:r>
      <w:r w:rsidR="00E74343">
        <w:rPr>
          <w:color w:val="000000"/>
        </w:rPr>
        <w:t>to read and complete</w:t>
      </w:r>
      <w:r w:rsidRPr="00F553CF">
        <w:rPr>
          <w:color w:val="000000"/>
        </w:rPr>
        <w:t xml:space="preserve"> the informed consent process</w:t>
      </w:r>
      <w:r w:rsidR="00E74343">
        <w:rPr>
          <w:color w:val="000000"/>
        </w:rPr>
        <w:t>.</w:t>
      </w:r>
      <w:r w:rsidR="005435A1">
        <w:rPr>
          <w:color w:val="000000"/>
        </w:rPr>
        <w:t xml:space="preserve"> A data collector can read the consent aloud if an individual </w:t>
      </w:r>
      <w:r w:rsidR="00F26103">
        <w:rPr>
          <w:color w:val="000000"/>
        </w:rPr>
        <w:t>is having difficulty reading</w:t>
      </w:r>
      <w:r w:rsidR="0068404F">
        <w:rPr>
          <w:color w:val="000000"/>
        </w:rPr>
        <w:t>.</w:t>
      </w:r>
      <w:r w:rsidR="006E1828">
        <w:rPr>
          <w:color w:val="000000"/>
        </w:rPr>
        <w:t xml:space="preserve"> </w:t>
      </w:r>
      <w:r w:rsidR="003E1521">
        <w:rPr>
          <w:color w:val="000000"/>
        </w:rPr>
        <w:t xml:space="preserve">Once consent has been obtained, the </w:t>
      </w:r>
      <w:r w:rsidR="00C42291">
        <w:rPr>
          <w:color w:val="000000"/>
        </w:rPr>
        <w:t>data collector</w:t>
      </w:r>
      <w:r w:rsidRPr="00F553CF" w:rsidR="00261008">
        <w:rPr>
          <w:color w:val="000000"/>
        </w:rPr>
        <w:t xml:space="preserve"> will begin observing the gear the</w:t>
      </w:r>
      <w:r w:rsidR="00070452">
        <w:rPr>
          <w:color w:val="000000"/>
        </w:rPr>
        <w:t xml:space="preserve"> rider is</w:t>
      </w:r>
      <w:r w:rsidRPr="00F553CF" w:rsidR="00261008">
        <w:rPr>
          <w:color w:val="000000"/>
        </w:rPr>
        <w:t xml:space="preserve"> wearing at the time of arrival </w:t>
      </w:r>
      <w:r w:rsidRPr="00F553CF" w:rsidR="00BC794A">
        <w:rPr>
          <w:color w:val="000000"/>
        </w:rPr>
        <w:t>at</w:t>
      </w:r>
      <w:r w:rsidRPr="00F553CF" w:rsidR="00261008">
        <w:rPr>
          <w:color w:val="000000"/>
        </w:rPr>
        <w:t xml:space="preserve"> the data collection site</w:t>
      </w:r>
      <w:r w:rsidR="00E07405">
        <w:rPr>
          <w:color w:val="000000"/>
        </w:rPr>
        <w:t xml:space="preserve"> (</w:t>
      </w:r>
      <w:r w:rsidR="00D10627">
        <w:rPr>
          <w:color w:val="000000"/>
        </w:rPr>
        <w:t xml:space="preserve">i.e., </w:t>
      </w:r>
      <w:r w:rsidR="00CF7292">
        <w:t xml:space="preserve">footwear, gloves, </w:t>
      </w:r>
      <w:r w:rsidRPr="001763A4" w:rsidR="00CF7292">
        <w:t>helmets, jackets, pants</w:t>
      </w:r>
      <w:r w:rsidR="00CF7292">
        <w:rPr>
          <w:color w:val="000000"/>
        </w:rPr>
        <w:t xml:space="preserve">). </w:t>
      </w:r>
      <w:r w:rsidRPr="001454CE" w:rsidR="00D02A37">
        <w:rPr>
          <w:color w:val="000000"/>
        </w:rPr>
        <w:t xml:space="preserve">Participants will </w:t>
      </w:r>
      <w:r w:rsidRPr="001454CE" w:rsidR="00B55E06">
        <w:rPr>
          <w:color w:val="000000"/>
        </w:rPr>
        <w:t xml:space="preserve">then </w:t>
      </w:r>
      <w:r w:rsidRPr="001454CE" w:rsidR="000C0FA1">
        <w:rPr>
          <w:color w:val="000000"/>
        </w:rPr>
        <w:t xml:space="preserve">complete the intake </w:t>
      </w:r>
      <w:r w:rsidRPr="001454CE" w:rsidR="008B0203">
        <w:rPr>
          <w:color w:val="000000"/>
        </w:rPr>
        <w:t>survey</w:t>
      </w:r>
      <w:r w:rsidRPr="001454CE" w:rsidR="00C03B28">
        <w:rPr>
          <w:color w:val="000000"/>
        </w:rPr>
        <w:t xml:space="preserve"> </w:t>
      </w:r>
      <w:r w:rsidRPr="001454CE" w:rsidR="000C0FA1">
        <w:rPr>
          <w:color w:val="000000"/>
        </w:rPr>
        <w:t>which includ</w:t>
      </w:r>
      <w:r w:rsidRPr="001454CE" w:rsidR="00E151A8">
        <w:rPr>
          <w:color w:val="000000"/>
        </w:rPr>
        <w:t>e</w:t>
      </w:r>
      <w:r w:rsidRPr="001454CE" w:rsidR="000C0FA1">
        <w:rPr>
          <w:color w:val="000000"/>
        </w:rPr>
        <w:t>s</w:t>
      </w:r>
      <w:r w:rsidRPr="001454CE" w:rsidR="00E151A8">
        <w:rPr>
          <w:color w:val="000000"/>
        </w:rPr>
        <w:t xml:space="preserve"> </w:t>
      </w:r>
      <w:r w:rsidRPr="001454CE" w:rsidR="000C0FA1">
        <w:rPr>
          <w:color w:val="000000"/>
        </w:rPr>
        <w:t xml:space="preserve">questions </w:t>
      </w:r>
      <w:r w:rsidRPr="001454CE" w:rsidR="00C03B28">
        <w:rPr>
          <w:color w:val="000000"/>
        </w:rPr>
        <w:t>about</w:t>
      </w:r>
      <w:r w:rsidRPr="001454CE" w:rsidR="00572AAB">
        <w:rPr>
          <w:color w:val="000000"/>
        </w:rPr>
        <w:t xml:space="preserve"> </w:t>
      </w:r>
      <w:r w:rsidRPr="001454CE" w:rsidR="00304B8A">
        <w:rPr>
          <w:color w:val="000000"/>
        </w:rPr>
        <w:t>riding history</w:t>
      </w:r>
      <w:r w:rsidRPr="001454CE" w:rsidR="000E5821">
        <w:rPr>
          <w:color w:val="000000"/>
        </w:rPr>
        <w:t xml:space="preserve">, </w:t>
      </w:r>
      <w:r w:rsidR="00EC548B">
        <w:rPr>
          <w:color w:val="000000"/>
        </w:rPr>
        <w:t>motorcycle</w:t>
      </w:r>
      <w:r w:rsidRPr="001454CE" w:rsidR="000C0FA1">
        <w:rPr>
          <w:color w:val="000000"/>
        </w:rPr>
        <w:t xml:space="preserve"> </w:t>
      </w:r>
      <w:r w:rsidRPr="001454CE" w:rsidR="008A2067">
        <w:rPr>
          <w:color w:val="000000"/>
        </w:rPr>
        <w:t>make/</w:t>
      </w:r>
      <w:r w:rsidRPr="001454CE" w:rsidR="00D10627">
        <w:rPr>
          <w:color w:val="000000"/>
        </w:rPr>
        <w:t>model</w:t>
      </w:r>
      <w:r w:rsidRPr="001454CE" w:rsidR="000E5821">
        <w:rPr>
          <w:color w:val="000000"/>
        </w:rPr>
        <w:t>, and information about the rider’s gear choices</w:t>
      </w:r>
      <w:r w:rsidRPr="001454CE" w:rsidR="008A2067">
        <w:rPr>
          <w:color w:val="000000"/>
        </w:rPr>
        <w:t>.</w:t>
      </w:r>
    </w:p>
    <w:p w:rsidR="00883638" w:rsidRPr="0072029E" w:rsidP="002249D6" w14:paraId="1F858D61" w14:textId="005A935F">
      <w:pPr>
        <w:autoSpaceDE w:val="0"/>
        <w:autoSpaceDN w:val="0"/>
        <w:adjustRightInd w:val="0"/>
        <w:spacing w:after="120" w:line="240" w:lineRule="auto"/>
        <w:rPr>
          <w:rFonts w:ascii="Arial" w:eastAsia="Calibri" w:hAnsi="Arial" w:cs="Arial"/>
          <w:color w:val="000000"/>
          <w:sz w:val="22"/>
          <w:szCs w:val="22"/>
        </w:rPr>
      </w:pPr>
      <w:r>
        <w:rPr>
          <w:color w:val="000000"/>
        </w:rPr>
        <w:t xml:space="preserve">A </w:t>
      </w:r>
      <w:r w:rsidR="008160CD">
        <w:rPr>
          <w:color w:val="000000"/>
        </w:rPr>
        <w:t xml:space="preserve">trained </w:t>
      </w:r>
      <w:r>
        <w:rPr>
          <w:color w:val="000000"/>
        </w:rPr>
        <w:t>researcher</w:t>
      </w:r>
      <w:r w:rsidRPr="00F553CF" w:rsidR="00A74B28">
        <w:rPr>
          <w:color w:val="000000"/>
        </w:rPr>
        <w:t xml:space="preserve"> will then perform </w:t>
      </w:r>
      <w:r w:rsidRPr="00F553CF" w:rsidR="0058652F">
        <w:rPr>
          <w:color w:val="000000"/>
        </w:rPr>
        <w:t>the appropriate measurements</w:t>
      </w:r>
      <w:r w:rsidRPr="00F553CF" w:rsidR="00A74B28">
        <w:rPr>
          <w:color w:val="000000"/>
        </w:rPr>
        <w:t xml:space="preserve"> for the gear</w:t>
      </w:r>
      <w:r w:rsidR="00337063">
        <w:rPr>
          <w:color w:val="000000"/>
        </w:rPr>
        <w:t xml:space="preserve"> type</w:t>
      </w:r>
      <w:r w:rsidRPr="00F553CF" w:rsidR="00A74B28">
        <w:rPr>
          <w:color w:val="000000"/>
        </w:rPr>
        <w:t xml:space="preserve"> </w:t>
      </w:r>
      <w:r w:rsidR="00077773">
        <w:rPr>
          <w:color w:val="000000"/>
        </w:rPr>
        <w:t>being assessed</w:t>
      </w:r>
      <w:r w:rsidRPr="00F553CF" w:rsidR="00AA28C1">
        <w:rPr>
          <w:color w:val="000000"/>
        </w:rPr>
        <w:t xml:space="preserve"> (e.g., </w:t>
      </w:r>
      <w:r w:rsidRPr="00F553CF" w:rsidR="0047747A">
        <w:rPr>
          <w:color w:val="000000"/>
        </w:rPr>
        <w:t>head circumference for helmets, waist circumference for pants)</w:t>
      </w:r>
      <w:r w:rsidRPr="00F553CF" w:rsidR="00415782">
        <w:rPr>
          <w:color w:val="000000"/>
        </w:rPr>
        <w:t xml:space="preserve">. </w:t>
      </w:r>
      <w:r w:rsidR="00877815">
        <w:rPr>
          <w:color w:val="000000"/>
        </w:rPr>
        <w:t xml:space="preserve">Measurements will be recorded on the study tablet </w:t>
      </w:r>
      <w:r w:rsidR="008160CD">
        <w:rPr>
          <w:color w:val="000000"/>
        </w:rPr>
        <w:t xml:space="preserve">by the </w:t>
      </w:r>
      <w:r w:rsidR="00646530">
        <w:rPr>
          <w:color w:val="000000"/>
        </w:rPr>
        <w:t xml:space="preserve">assigned </w:t>
      </w:r>
      <w:r w:rsidR="008160CD">
        <w:rPr>
          <w:color w:val="000000"/>
        </w:rPr>
        <w:t xml:space="preserve">data collector. </w:t>
      </w:r>
      <w:r w:rsidR="00551044">
        <w:rPr>
          <w:color w:val="000000"/>
        </w:rPr>
        <w:t xml:space="preserve">Data collectors will collect </w:t>
      </w:r>
      <w:r w:rsidR="00551044">
        <w:rPr>
          <w:color w:val="000000"/>
        </w:rPr>
        <w:t>observations about the gear type of interest and</w:t>
      </w:r>
      <w:r w:rsidRPr="00F553CF" w:rsidR="00A74B28">
        <w:rPr>
          <w:color w:val="000000"/>
        </w:rPr>
        <w:t xml:space="preserve"> ask</w:t>
      </w:r>
      <w:r w:rsidR="00551044">
        <w:rPr>
          <w:color w:val="000000"/>
        </w:rPr>
        <w:t xml:space="preserve"> the participant</w:t>
      </w:r>
      <w:r w:rsidRPr="00F553CF" w:rsidR="00A74B28">
        <w:rPr>
          <w:color w:val="000000"/>
        </w:rPr>
        <w:t xml:space="preserve"> questions about </w:t>
      </w:r>
      <w:r w:rsidR="00025141">
        <w:rPr>
          <w:color w:val="000000"/>
        </w:rPr>
        <w:t>the</w:t>
      </w:r>
      <w:r w:rsidRPr="00F553CF" w:rsidR="00552E43">
        <w:rPr>
          <w:color w:val="000000"/>
        </w:rPr>
        <w:t xml:space="preserve"> gear they are currently wearing</w:t>
      </w:r>
      <w:r w:rsidR="008160CD">
        <w:rPr>
          <w:color w:val="000000"/>
        </w:rPr>
        <w:t xml:space="preserve">. </w:t>
      </w:r>
      <w:r w:rsidR="00D57302">
        <w:rPr>
          <w:color w:val="000000"/>
        </w:rPr>
        <w:t>Data collectors will record participant responses on the study tablet.</w:t>
      </w:r>
    </w:p>
    <w:p w:rsidR="00C52881" w:rsidP="002249D6" w14:paraId="07F4FC3E" w14:textId="4A1160F3">
      <w:pPr>
        <w:autoSpaceDE w:val="0"/>
        <w:autoSpaceDN w:val="0"/>
        <w:adjustRightInd w:val="0"/>
        <w:spacing w:after="120" w:line="240" w:lineRule="auto"/>
        <w:rPr>
          <w:color w:val="000000"/>
        </w:rPr>
      </w:pPr>
      <w:r>
        <w:rPr>
          <w:color w:val="000000"/>
        </w:rPr>
        <w:t>Participants</w:t>
      </w:r>
      <w:r w:rsidRPr="00F553CF" w:rsidR="008458F8">
        <w:rPr>
          <w:color w:val="000000"/>
        </w:rPr>
        <w:t xml:space="preserve"> will </w:t>
      </w:r>
      <w:r w:rsidR="00461339">
        <w:rPr>
          <w:color w:val="000000"/>
        </w:rPr>
        <w:t xml:space="preserve">then be shown </w:t>
      </w:r>
      <w:r w:rsidR="00FE28C7">
        <w:rPr>
          <w:color w:val="000000"/>
        </w:rPr>
        <w:t xml:space="preserve">images of </w:t>
      </w:r>
      <w:r w:rsidR="00F1588A">
        <w:rPr>
          <w:color w:val="000000"/>
        </w:rPr>
        <w:t xml:space="preserve">selected </w:t>
      </w:r>
      <w:r w:rsidR="00461339">
        <w:rPr>
          <w:color w:val="000000"/>
        </w:rPr>
        <w:t xml:space="preserve">pieces of </w:t>
      </w:r>
      <w:r w:rsidR="00145965">
        <w:rPr>
          <w:color w:val="000000"/>
        </w:rPr>
        <w:t xml:space="preserve">the </w:t>
      </w:r>
      <w:r w:rsidR="00461339">
        <w:rPr>
          <w:color w:val="000000"/>
        </w:rPr>
        <w:t>gear</w:t>
      </w:r>
      <w:r w:rsidR="00D90A2E">
        <w:rPr>
          <w:color w:val="000000"/>
        </w:rPr>
        <w:t xml:space="preserve"> type of interest</w:t>
      </w:r>
      <w:r w:rsidR="00461339">
        <w:rPr>
          <w:color w:val="000000"/>
        </w:rPr>
        <w:t xml:space="preserve"> </w:t>
      </w:r>
      <w:r w:rsidR="009B5999">
        <w:rPr>
          <w:color w:val="000000"/>
        </w:rPr>
        <w:t>(</w:t>
      </w:r>
      <w:r w:rsidR="00145965">
        <w:rPr>
          <w:color w:val="000000"/>
        </w:rPr>
        <w:t>one type per participant</w:t>
      </w:r>
      <w:r w:rsidR="009B5999">
        <w:rPr>
          <w:color w:val="000000"/>
        </w:rPr>
        <w:t xml:space="preserve">) </w:t>
      </w:r>
      <w:r w:rsidR="00461339">
        <w:rPr>
          <w:color w:val="000000"/>
        </w:rPr>
        <w:t>of differing protective value</w:t>
      </w:r>
      <w:r w:rsidR="007B0216">
        <w:rPr>
          <w:color w:val="000000"/>
        </w:rPr>
        <w:t xml:space="preserve"> </w:t>
      </w:r>
      <w:r w:rsidR="009B5999">
        <w:rPr>
          <w:color w:val="000000"/>
        </w:rPr>
        <w:t>(e.g., half helmet</w:t>
      </w:r>
      <w:r w:rsidR="001D20E1">
        <w:rPr>
          <w:color w:val="000000"/>
        </w:rPr>
        <w:t xml:space="preserve">, </w:t>
      </w:r>
      <w:r w:rsidR="009B5999">
        <w:rPr>
          <w:color w:val="000000"/>
        </w:rPr>
        <w:t xml:space="preserve">full-face helmet) </w:t>
      </w:r>
      <w:r w:rsidR="007B0216">
        <w:rPr>
          <w:color w:val="000000"/>
        </w:rPr>
        <w:t xml:space="preserve">on a tablet along with a description </w:t>
      </w:r>
      <w:r w:rsidR="004B51E6">
        <w:rPr>
          <w:color w:val="000000"/>
        </w:rPr>
        <w:t>of the item (</w:t>
      </w:r>
      <w:r w:rsidR="001D20E1">
        <w:rPr>
          <w:color w:val="000000"/>
        </w:rPr>
        <w:t>e.g.,</w:t>
      </w:r>
      <w:r w:rsidR="00DE1B75">
        <w:rPr>
          <w:color w:val="000000"/>
        </w:rPr>
        <w:t xml:space="preserve"> composition material, ventilation/waterproof features)</w:t>
      </w:r>
      <w:r>
        <w:rPr>
          <w:color w:val="000000"/>
        </w:rPr>
        <w:t xml:space="preserve"> </w:t>
      </w:r>
      <w:r w:rsidR="00FF656C">
        <w:t xml:space="preserve">and be asked questions concerning perceived </w:t>
      </w:r>
      <w:r w:rsidR="000279A7">
        <w:rPr>
          <w:color w:val="000000"/>
        </w:rPr>
        <w:t xml:space="preserve">protective value, </w:t>
      </w:r>
      <w:r w:rsidR="00721D94">
        <w:rPr>
          <w:color w:val="000000"/>
        </w:rPr>
        <w:t>likelihood of wearing/buying similar gear</w:t>
      </w:r>
      <w:r w:rsidR="00994921">
        <w:rPr>
          <w:color w:val="000000"/>
        </w:rPr>
        <w:t xml:space="preserve">, perceived functionality </w:t>
      </w:r>
      <w:r w:rsidR="00167836">
        <w:rPr>
          <w:color w:val="000000"/>
        </w:rPr>
        <w:t xml:space="preserve">of the </w:t>
      </w:r>
      <w:r w:rsidR="004B51E6">
        <w:rPr>
          <w:color w:val="000000"/>
        </w:rPr>
        <w:t>item</w:t>
      </w:r>
      <w:r w:rsidR="00167836">
        <w:rPr>
          <w:color w:val="000000"/>
        </w:rPr>
        <w:t xml:space="preserve"> while riding, and </w:t>
      </w:r>
      <w:r w:rsidR="00AE3D28">
        <w:rPr>
          <w:color w:val="000000"/>
        </w:rPr>
        <w:t xml:space="preserve">the perceived quality of the </w:t>
      </w:r>
      <w:r w:rsidR="004B51E6">
        <w:rPr>
          <w:color w:val="000000"/>
        </w:rPr>
        <w:t>item</w:t>
      </w:r>
      <w:r w:rsidR="00721D94">
        <w:rPr>
          <w:color w:val="000000"/>
        </w:rPr>
        <w:t xml:space="preserve"> </w:t>
      </w:r>
    </w:p>
    <w:p w:rsidR="00D6217B" w:rsidRPr="00572140" w:rsidP="0072029E" w14:paraId="0360691A" w14:textId="4B462CA2">
      <w:pPr>
        <w:autoSpaceDE w:val="0"/>
        <w:autoSpaceDN w:val="0"/>
        <w:adjustRightInd w:val="0"/>
        <w:spacing w:line="240" w:lineRule="auto"/>
      </w:pPr>
      <w:r w:rsidRPr="00F553CF">
        <w:rPr>
          <w:color w:val="000000"/>
        </w:rPr>
        <w:t xml:space="preserve">Once the </w:t>
      </w:r>
      <w:r w:rsidR="007D3790">
        <w:rPr>
          <w:color w:val="000000"/>
        </w:rPr>
        <w:t>pieces of gear</w:t>
      </w:r>
      <w:r w:rsidRPr="00F553CF">
        <w:rPr>
          <w:color w:val="000000"/>
        </w:rPr>
        <w:t xml:space="preserve"> ha</w:t>
      </w:r>
      <w:r>
        <w:rPr>
          <w:color w:val="000000"/>
        </w:rPr>
        <w:t>ve</w:t>
      </w:r>
      <w:r w:rsidRPr="00F553CF">
        <w:rPr>
          <w:color w:val="000000"/>
        </w:rPr>
        <w:t xml:space="preserve"> been assessed, participants will be compensated $50</w:t>
      </w:r>
      <w:r w:rsidR="00145965">
        <w:rPr>
          <w:color w:val="000000"/>
        </w:rPr>
        <w:t>.00</w:t>
      </w:r>
      <w:r w:rsidRPr="00F553CF">
        <w:rPr>
          <w:color w:val="000000"/>
        </w:rPr>
        <w:t xml:space="preserve"> cash (or an equivalent gift card to a vendor at the event) for their time</w:t>
      </w:r>
      <w:r w:rsidR="0056001C">
        <w:rPr>
          <w:color w:val="000000"/>
        </w:rPr>
        <w:t>. Study staff will be a</w:t>
      </w:r>
      <w:r w:rsidR="007B5DBA">
        <w:rPr>
          <w:color w:val="000000"/>
        </w:rPr>
        <w:t xml:space="preserve">vailable to answer any questions </w:t>
      </w:r>
      <w:r w:rsidR="00C25478">
        <w:rPr>
          <w:color w:val="000000"/>
        </w:rPr>
        <w:t>the participants may have.</w:t>
      </w:r>
    </w:p>
    <w:p w:rsidR="00C82EEF" w:rsidRPr="008E62B5" w:rsidP="004D2071" w14:paraId="1E587157" w14:textId="77777777">
      <w:pPr>
        <w:spacing w:before="240"/>
      </w:pPr>
      <w:bookmarkStart w:id="17" w:name="_Toc125278839"/>
      <w:bookmarkStart w:id="18" w:name="_Toc125341762"/>
      <w:bookmarkStart w:id="19" w:name="_Toc125447320"/>
      <w:bookmarkStart w:id="20" w:name="_Toc126394143"/>
      <w:r w:rsidRPr="008E62B5">
        <w:rPr>
          <w:b/>
          <w:bCs/>
        </w:rPr>
        <w:t xml:space="preserve">B.3 </w:t>
      </w:r>
      <w:r w:rsidRPr="008E62B5">
        <w:rPr>
          <w:b/>
          <w:bCs/>
        </w:rPr>
        <w:tab/>
        <w:t>Describe methods to maximize response rates and to deal with issues of nonresponse.</w:t>
      </w:r>
      <w:r w:rsidRPr="008E62B5">
        <w:t xml:space="preserve"> </w:t>
      </w:r>
    </w:p>
    <w:p w:rsidR="00F011CD" w:rsidP="002249D6" w14:paraId="7BC2D81E" w14:textId="5700E71A">
      <w:pPr>
        <w:pStyle w:val="BodyText"/>
        <w:spacing w:after="120" w:line="240" w:lineRule="auto"/>
        <w:rPr>
          <w:rFonts w:ascii="Times New Roman" w:hAnsi="Times New Roman" w:cs="Times New Roman"/>
          <w:sz w:val="24"/>
        </w:rPr>
      </w:pPr>
      <w:bookmarkStart w:id="21" w:name="_Hlk74566327"/>
      <w:bookmarkEnd w:id="17"/>
      <w:bookmarkEnd w:id="18"/>
      <w:bookmarkEnd w:id="19"/>
      <w:bookmarkEnd w:id="20"/>
      <w:r>
        <w:rPr>
          <w:rFonts w:ascii="Times New Roman" w:hAnsi="Times New Roman" w:cs="Times New Roman"/>
          <w:sz w:val="24"/>
        </w:rPr>
        <w:t>T</w:t>
      </w:r>
      <w:r w:rsidRPr="008E62B5">
        <w:rPr>
          <w:rFonts w:ascii="Times New Roman" w:hAnsi="Times New Roman" w:cs="Times New Roman"/>
          <w:sz w:val="24"/>
        </w:rPr>
        <w:t>h</w:t>
      </w:r>
      <w:r>
        <w:rPr>
          <w:rFonts w:ascii="Times New Roman" w:hAnsi="Times New Roman" w:cs="Times New Roman"/>
          <w:sz w:val="24"/>
        </w:rPr>
        <w:t>e study</w:t>
      </w:r>
      <w:r w:rsidRPr="008E62B5">
        <w:rPr>
          <w:rFonts w:ascii="Times New Roman" w:hAnsi="Times New Roman" w:cs="Times New Roman"/>
          <w:sz w:val="24"/>
        </w:rPr>
        <w:t xml:space="preserve"> will use highly trained </w:t>
      </w:r>
      <w:r>
        <w:rPr>
          <w:rFonts w:ascii="Times New Roman" w:hAnsi="Times New Roman" w:cs="Times New Roman"/>
          <w:sz w:val="24"/>
        </w:rPr>
        <w:t xml:space="preserve">teams of data collectors to implement the recruitment procedures described above. </w:t>
      </w:r>
      <w:r w:rsidR="0047601B">
        <w:rPr>
          <w:rFonts w:ascii="Times New Roman" w:hAnsi="Times New Roman" w:cs="Times New Roman"/>
          <w:sz w:val="24"/>
        </w:rPr>
        <w:t xml:space="preserve">Such intercept survey approaches have proven effective for NHTSA and other transportation studies in the past. </w:t>
      </w:r>
      <w:bookmarkEnd w:id="21"/>
      <w:r w:rsidRPr="008E62B5">
        <w:rPr>
          <w:rFonts w:ascii="Times New Roman" w:hAnsi="Times New Roman" w:cs="Times New Roman"/>
          <w:sz w:val="24"/>
        </w:rPr>
        <w:t>The study will offer financial incentives for participation. The stud</w:t>
      </w:r>
      <w:r w:rsidR="0047601B">
        <w:rPr>
          <w:rFonts w:ascii="Times New Roman" w:hAnsi="Times New Roman" w:cs="Times New Roman"/>
          <w:sz w:val="24"/>
        </w:rPr>
        <w:t>y</w:t>
      </w:r>
      <w:r w:rsidRPr="008E62B5">
        <w:rPr>
          <w:rFonts w:ascii="Times New Roman" w:hAnsi="Times New Roman" w:cs="Times New Roman"/>
          <w:sz w:val="24"/>
        </w:rPr>
        <w:t xml:space="preserve"> plan</w:t>
      </w:r>
      <w:r w:rsidR="0047601B">
        <w:rPr>
          <w:rFonts w:ascii="Times New Roman" w:hAnsi="Times New Roman" w:cs="Times New Roman"/>
          <w:sz w:val="24"/>
        </w:rPr>
        <w:t>s</w:t>
      </w:r>
      <w:r w:rsidRPr="008E62B5">
        <w:rPr>
          <w:rFonts w:ascii="Times New Roman" w:hAnsi="Times New Roman" w:cs="Times New Roman"/>
          <w:sz w:val="24"/>
        </w:rPr>
        <w:t xml:space="preserve"> to pay $</w:t>
      </w:r>
      <w:r w:rsidR="0047601B">
        <w:rPr>
          <w:rFonts w:ascii="Times New Roman" w:hAnsi="Times New Roman" w:cs="Times New Roman"/>
          <w:sz w:val="24"/>
        </w:rPr>
        <w:t>5</w:t>
      </w:r>
      <w:r w:rsidRPr="008E62B5">
        <w:rPr>
          <w:rFonts w:ascii="Times New Roman" w:hAnsi="Times New Roman" w:cs="Times New Roman"/>
          <w:sz w:val="24"/>
        </w:rPr>
        <w:t>0</w:t>
      </w:r>
      <w:r w:rsidR="00E501A5">
        <w:rPr>
          <w:rFonts w:ascii="Times New Roman" w:hAnsi="Times New Roman" w:cs="Times New Roman"/>
          <w:sz w:val="24"/>
        </w:rPr>
        <w:t>.00</w:t>
      </w:r>
      <w:r w:rsidRPr="008E62B5">
        <w:rPr>
          <w:rFonts w:ascii="Times New Roman" w:hAnsi="Times New Roman" w:cs="Times New Roman"/>
          <w:sz w:val="24"/>
        </w:rPr>
        <w:t xml:space="preserve"> </w:t>
      </w:r>
      <w:r>
        <w:rPr>
          <w:rFonts w:ascii="Times New Roman" w:hAnsi="Times New Roman" w:cs="Times New Roman"/>
          <w:sz w:val="24"/>
        </w:rPr>
        <w:t xml:space="preserve">to participants who complete all data collection activities. </w:t>
      </w:r>
      <w:r w:rsidRPr="00900228">
        <w:rPr>
          <w:rFonts w:ascii="Times New Roman" w:hAnsi="Times New Roman" w:cs="Times New Roman"/>
          <w:sz w:val="24"/>
        </w:rPr>
        <w:t xml:space="preserve">As previously noted, information collected for participants and nonparticipants at each </w:t>
      </w:r>
      <w:r w:rsidR="00912326">
        <w:rPr>
          <w:rFonts w:ascii="Times New Roman" w:hAnsi="Times New Roman" w:cs="Times New Roman"/>
          <w:sz w:val="24"/>
        </w:rPr>
        <w:t>data collection location</w:t>
      </w:r>
      <w:r w:rsidRPr="00900228">
        <w:rPr>
          <w:rFonts w:ascii="Times New Roman" w:hAnsi="Times New Roman" w:cs="Times New Roman"/>
          <w:sz w:val="24"/>
        </w:rPr>
        <w:t xml:space="preserve"> will be used to assess potential biases</w:t>
      </w:r>
      <w:r w:rsidR="00AD2F31">
        <w:rPr>
          <w:rFonts w:ascii="Times New Roman" w:hAnsi="Times New Roman" w:cs="Times New Roman"/>
          <w:sz w:val="24"/>
        </w:rPr>
        <w:t xml:space="preserve"> in the final sample obtained</w:t>
      </w:r>
      <w:r w:rsidRPr="00900228">
        <w:rPr>
          <w:rFonts w:ascii="Times New Roman" w:hAnsi="Times New Roman" w:cs="Times New Roman"/>
          <w:sz w:val="24"/>
        </w:rPr>
        <w:t>.</w:t>
      </w:r>
    </w:p>
    <w:p w:rsidR="00E31C19" w:rsidP="002249D6" w14:paraId="319AB4FA" w14:textId="5DDA6F2D">
      <w:pPr>
        <w:pStyle w:val="BodyText"/>
        <w:spacing w:after="120" w:line="240" w:lineRule="auto"/>
        <w:rPr>
          <w:rFonts w:ascii="Times New Roman" w:hAnsi="Times New Roman" w:cs="Times New Roman"/>
          <w:sz w:val="24"/>
        </w:rPr>
      </w:pPr>
      <w:r w:rsidRPr="008E62B5">
        <w:rPr>
          <w:rFonts w:ascii="Times New Roman" w:hAnsi="Times New Roman" w:cs="Times New Roman"/>
          <w:sz w:val="24"/>
        </w:rPr>
        <w:t xml:space="preserve">Additionally, researchers will provide assurances of </w:t>
      </w:r>
      <w:r w:rsidR="00AD2F31">
        <w:rPr>
          <w:rFonts w:ascii="Times New Roman" w:hAnsi="Times New Roman" w:cs="Times New Roman"/>
          <w:sz w:val="24"/>
        </w:rPr>
        <w:t xml:space="preserve">anonymity </w:t>
      </w:r>
      <w:r w:rsidRPr="008E62B5">
        <w:rPr>
          <w:rFonts w:ascii="Times New Roman" w:hAnsi="Times New Roman" w:cs="Times New Roman"/>
          <w:sz w:val="24"/>
        </w:rPr>
        <w:t xml:space="preserve">in the informed consent process by indicating that no identifying information will be </w:t>
      </w:r>
      <w:r>
        <w:rPr>
          <w:rFonts w:ascii="Times New Roman" w:hAnsi="Times New Roman" w:cs="Times New Roman"/>
          <w:sz w:val="24"/>
        </w:rPr>
        <w:t>recorded</w:t>
      </w:r>
      <w:r w:rsidRPr="008E62B5">
        <w:rPr>
          <w:rFonts w:ascii="Times New Roman" w:hAnsi="Times New Roman" w:cs="Times New Roman"/>
          <w:sz w:val="24"/>
        </w:rPr>
        <w:t xml:space="preserve"> by the project.</w:t>
      </w:r>
      <w:r w:rsidRPr="001E7342" w:rsidR="00137C9A">
        <w:t xml:space="preserve"> </w:t>
      </w:r>
    </w:p>
    <w:p w:rsidR="000155E5" w:rsidP="002249D6" w14:paraId="4B0304D0" w14:textId="3C40F8CE">
      <w:pPr>
        <w:pStyle w:val="Heading1"/>
        <w:spacing w:after="120"/>
      </w:pPr>
      <w:r w:rsidRPr="008E62B5">
        <w:t>B.4.</w:t>
      </w:r>
      <w:r w:rsidRPr="008E62B5">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00C02E7E" w:rsidRPr="008E62B5" w:rsidP="002249D6" w14:paraId="016BD5B5" w14:textId="72748250">
      <w:pPr>
        <w:spacing w:after="120" w:line="240" w:lineRule="auto"/>
      </w:pPr>
      <w:r w:rsidRPr="003F42A1">
        <w:t xml:space="preserve">Study staff will conduct pilot testing of </w:t>
      </w:r>
      <w:r>
        <w:t xml:space="preserve">all </w:t>
      </w:r>
      <w:r w:rsidR="007D3790">
        <w:t>surveys</w:t>
      </w:r>
      <w:r w:rsidR="005F077A">
        <w:t xml:space="preserve"> </w:t>
      </w:r>
      <w:r w:rsidR="006E54E5">
        <w:t xml:space="preserve">and </w:t>
      </w:r>
      <w:r w:rsidR="002D7F84">
        <w:t>other</w:t>
      </w:r>
      <w:r>
        <w:t xml:space="preserve"> study procedures</w:t>
      </w:r>
      <w:r w:rsidRPr="003F42A1">
        <w:t xml:space="preserve">. The </w:t>
      </w:r>
      <w:r w:rsidR="007D3790">
        <w:t>surveys</w:t>
      </w:r>
      <w:r>
        <w:t xml:space="preserve"> will be tested on the </w:t>
      </w:r>
      <w:r w:rsidR="006E54E5">
        <w:t>tablets</w:t>
      </w:r>
      <w:r>
        <w:t xml:space="preserve"> on which they will be administered. Pilot testing of all data collection </w:t>
      </w:r>
      <w:r w:rsidR="00581F3F">
        <w:t xml:space="preserve">elements </w:t>
      </w:r>
      <w:r>
        <w:t xml:space="preserve">will be conducted with </w:t>
      </w:r>
      <w:r w:rsidR="007A0AB8">
        <w:t xml:space="preserve">up to </w:t>
      </w:r>
      <w:r>
        <w:t xml:space="preserve">nine non-staff members who are naïve to the project objectives. This pilot testing will evaluate participant comprehension of </w:t>
      </w:r>
      <w:r w:rsidR="00A86307">
        <w:t xml:space="preserve">survey </w:t>
      </w:r>
      <w:r>
        <w:t xml:space="preserve">items and </w:t>
      </w:r>
      <w:r w:rsidR="007A0AB8">
        <w:t xml:space="preserve">provide </w:t>
      </w:r>
      <w:r w:rsidR="00673010">
        <w:t>practice for data collectors to accurately take anthropometric measurements</w:t>
      </w:r>
      <w:r>
        <w:t xml:space="preserve">. Pilot test data will be reviewed for inconsistent </w:t>
      </w:r>
      <w:r w:rsidR="00A86307">
        <w:t>survey</w:t>
      </w:r>
      <w:r>
        <w:t xml:space="preserve"> responses that could signal suboptimal item structure</w:t>
      </w:r>
      <w:r w:rsidR="00221E68">
        <w:t xml:space="preserve"> or flaws in the data collection sequence of events. </w:t>
      </w:r>
      <w:r>
        <w:t xml:space="preserve">These findings will be used to identify potential improvements to the data collection instruments prior to beginning actual data collection. </w:t>
      </w:r>
    </w:p>
    <w:p w:rsidR="004D2071" w:rsidRPr="00C02E7E" w:rsidP="002249D6" w14:paraId="4AAD85F5" w14:textId="77777777">
      <w:pPr>
        <w:pStyle w:val="ICRQuestion"/>
      </w:pPr>
      <w:r w:rsidRPr="00C02E7E">
        <w:t>B.5.</w:t>
      </w:r>
      <w:r w:rsidRPr="00C02E7E">
        <w:tab/>
        <w:t>Provide the names and telephone numbers of individuals consulted on statistical aspects of the design.</w:t>
      </w:r>
    </w:p>
    <w:p w:rsidR="004D2071" w:rsidRPr="00C02E7E" w:rsidP="00E3040B" w14:paraId="7DF8E895" w14:textId="1CCF89CE">
      <w:pPr>
        <w:pStyle w:val="BodyText"/>
        <w:spacing w:after="120"/>
        <w:rPr>
          <w:rFonts w:ascii="Times New Roman" w:hAnsi="Times New Roman" w:cs="Times New Roman"/>
          <w:sz w:val="24"/>
        </w:rPr>
      </w:pPr>
      <w:r w:rsidRPr="00C02E7E">
        <w:rPr>
          <w:rFonts w:ascii="Times New Roman" w:hAnsi="Times New Roman" w:cs="Times New Roman"/>
          <w:sz w:val="24"/>
        </w:rPr>
        <w:t>The following individuals have reviewed technical aspects of this research plan:</w:t>
      </w:r>
    </w:p>
    <w:p w:rsidR="004D2071" w:rsidRPr="00C02E7E" w:rsidP="007A0AB8" w14:paraId="50FFA180" w14:textId="5AB903C5">
      <w:pPr>
        <w:pStyle w:val="BodyText"/>
        <w:spacing w:line="240" w:lineRule="auto"/>
        <w:ind w:firstLine="360"/>
        <w:rPr>
          <w:rFonts w:ascii="Times New Roman" w:hAnsi="Times New Roman" w:cs="Times New Roman"/>
          <w:sz w:val="24"/>
        </w:rPr>
      </w:pPr>
      <w:r>
        <w:rPr>
          <w:rFonts w:ascii="Times New Roman" w:hAnsi="Times New Roman" w:cs="Times New Roman"/>
          <w:sz w:val="24"/>
        </w:rPr>
        <w:t>Kristie Johnson</w:t>
      </w:r>
      <w:r w:rsidR="00F7475F">
        <w:rPr>
          <w:rFonts w:ascii="Times New Roman" w:hAnsi="Times New Roman" w:cs="Times New Roman"/>
          <w:sz w:val="24"/>
        </w:rPr>
        <w:t>, PhD</w:t>
      </w:r>
    </w:p>
    <w:p w:rsidR="00E3040B" w:rsidRPr="00C02E7E" w:rsidP="007A0AB8" w14:paraId="2A569712" w14:textId="77777777">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National Highway Traffic Safety Administration</w:t>
      </w:r>
    </w:p>
    <w:p w:rsidR="00E3040B" w:rsidRPr="00C02E7E" w:rsidP="007A0AB8" w14:paraId="56EE4F66" w14:textId="77777777">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Department of Transportation</w:t>
      </w:r>
    </w:p>
    <w:p w:rsidR="00E3040B" w:rsidRPr="00C02E7E" w:rsidP="007A0AB8" w14:paraId="0F68EF4C" w14:textId="51079B60">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1200 New Jersey Avenue SE</w:t>
      </w:r>
      <w:r w:rsidR="0056187B">
        <w:rPr>
          <w:rFonts w:ascii="Times New Roman" w:hAnsi="Times New Roman" w:cs="Times New Roman"/>
          <w:sz w:val="24"/>
        </w:rPr>
        <w:t>,</w:t>
      </w:r>
      <w:r w:rsidRPr="00C02E7E">
        <w:rPr>
          <w:rFonts w:ascii="Times New Roman" w:hAnsi="Times New Roman" w:cs="Times New Roman"/>
          <w:sz w:val="24"/>
        </w:rPr>
        <w:t xml:space="preserve"> Washington, DC 20590</w:t>
      </w:r>
    </w:p>
    <w:p w:rsidR="00730598" w:rsidP="007A0AB8" w14:paraId="45B9A3DD" w14:textId="77777777">
      <w:pPr>
        <w:pStyle w:val="BodyText"/>
        <w:spacing w:line="240" w:lineRule="auto"/>
        <w:ind w:firstLine="360"/>
        <w:rPr>
          <w:rFonts w:ascii="Times New Roman" w:hAnsi="Times New Roman" w:cs="Times New Roman"/>
          <w:sz w:val="24"/>
        </w:rPr>
      </w:pPr>
    </w:p>
    <w:p w:rsidR="00662023" w:rsidP="007A0AB8" w14:paraId="0A3F5373" w14:textId="77777777">
      <w:pPr>
        <w:pStyle w:val="BodyText"/>
        <w:spacing w:line="240" w:lineRule="auto"/>
        <w:ind w:firstLine="360"/>
        <w:rPr>
          <w:rFonts w:ascii="Times New Roman" w:hAnsi="Times New Roman" w:cs="Times New Roman"/>
          <w:sz w:val="24"/>
        </w:rPr>
      </w:pPr>
    </w:p>
    <w:p w:rsidR="00221E68" w:rsidP="007A0AB8" w14:paraId="61300A4D" w14:textId="684A6CDD">
      <w:pPr>
        <w:pStyle w:val="BodyText"/>
        <w:spacing w:line="240" w:lineRule="auto"/>
        <w:ind w:firstLine="360"/>
        <w:rPr>
          <w:rFonts w:ascii="Times New Roman" w:hAnsi="Times New Roman" w:cs="Times New Roman"/>
          <w:sz w:val="24"/>
        </w:rPr>
      </w:pPr>
      <w:r>
        <w:rPr>
          <w:rFonts w:ascii="Times New Roman" w:hAnsi="Times New Roman" w:cs="Times New Roman"/>
          <w:sz w:val="24"/>
        </w:rPr>
        <w:t>Emily Brunsen</w:t>
      </w:r>
      <w:r w:rsidR="000155E5">
        <w:rPr>
          <w:rFonts w:ascii="Times New Roman" w:hAnsi="Times New Roman" w:cs="Times New Roman"/>
          <w:sz w:val="24"/>
        </w:rPr>
        <w:t>, PhD</w:t>
      </w:r>
    </w:p>
    <w:p w:rsidR="00221E68" w:rsidRPr="00C02E7E" w:rsidP="007A0AB8" w14:paraId="0B376BF8" w14:textId="77777777">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 xml:space="preserve">Dunlap and Associates, Inc. </w:t>
      </w:r>
    </w:p>
    <w:p w:rsidR="00221E68" w:rsidRPr="00C02E7E" w:rsidP="007A0AB8" w14:paraId="6835C46F" w14:textId="77777777">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125 Edinburgh South Drive, Suite 111</w:t>
      </w:r>
      <w:r>
        <w:rPr>
          <w:rFonts w:ascii="Times New Roman" w:hAnsi="Times New Roman" w:cs="Times New Roman"/>
          <w:sz w:val="24"/>
        </w:rPr>
        <w:t>, Cary, NC 27511</w:t>
      </w:r>
    </w:p>
    <w:p w:rsidR="00221E68" w:rsidRPr="00C02E7E" w:rsidP="007A0AB8" w14:paraId="71BDD121" w14:textId="530D8E94">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 xml:space="preserve">Office: </w:t>
      </w:r>
      <w:r w:rsidR="00D53932">
        <w:rPr>
          <w:rFonts w:ascii="Times New Roman" w:hAnsi="Times New Roman" w:cs="Times New Roman"/>
          <w:sz w:val="24"/>
        </w:rPr>
        <w:t>319-213-1868</w:t>
      </w:r>
    </w:p>
    <w:p w:rsidR="00221E68" w:rsidP="007A0AB8" w14:paraId="5719FF00" w14:textId="77777777">
      <w:pPr>
        <w:pStyle w:val="BodyText"/>
        <w:spacing w:line="240" w:lineRule="auto"/>
        <w:rPr>
          <w:rFonts w:ascii="Times New Roman" w:hAnsi="Times New Roman" w:cs="Times New Roman"/>
          <w:sz w:val="24"/>
        </w:rPr>
      </w:pPr>
    </w:p>
    <w:p w:rsidR="007A0AB8" w:rsidP="007A0AB8" w14:paraId="703753D5" w14:textId="1704DE89">
      <w:pPr>
        <w:pStyle w:val="BodyText"/>
        <w:spacing w:line="240" w:lineRule="auto"/>
        <w:ind w:firstLine="360"/>
        <w:rPr>
          <w:rFonts w:ascii="Times New Roman" w:hAnsi="Times New Roman" w:cs="Times New Roman"/>
          <w:sz w:val="24"/>
        </w:rPr>
      </w:pPr>
      <w:r>
        <w:rPr>
          <w:rFonts w:ascii="Times New Roman" w:hAnsi="Times New Roman" w:cs="Times New Roman"/>
          <w:sz w:val="24"/>
        </w:rPr>
        <w:t>Kraig Finstad, PhD</w:t>
      </w:r>
    </w:p>
    <w:p w:rsidR="007A0AB8" w:rsidRPr="00C02E7E" w:rsidP="007A0AB8" w14:paraId="159816C8" w14:textId="77777777">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 xml:space="preserve">Dunlap and Associates, Inc. </w:t>
      </w:r>
    </w:p>
    <w:p w:rsidR="007A0AB8" w:rsidRPr="00C02E7E" w:rsidP="007A0AB8" w14:paraId="06AEA8A3" w14:textId="77777777">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125 Edinburgh South Drive, Suite 111</w:t>
      </w:r>
      <w:r>
        <w:rPr>
          <w:rFonts w:ascii="Times New Roman" w:hAnsi="Times New Roman" w:cs="Times New Roman"/>
          <w:sz w:val="24"/>
        </w:rPr>
        <w:t>, Cary, NC 27511</w:t>
      </w:r>
    </w:p>
    <w:p w:rsidR="007A0AB8" w:rsidRPr="00C02E7E" w:rsidP="007A0AB8" w14:paraId="75882E9B" w14:textId="4F81ECE9">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 xml:space="preserve">Office: </w:t>
      </w:r>
      <w:r>
        <w:rPr>
          <w:rFonts w:ascii="Times New Roman" w:hAnsi="Times New Roman" w:cs="Times New Roman"/>
          <w:sz w:val="24"/>
        </w:rPr>
        <w:t>203-323-8464</w:t>
      </w:r>
    </w:p>
    <w:p w:rsidR="007A0AB8" w:rsidRPr="00C02E7E" w:rsidP="007A0AB8" w14:paraId="76CB4C34" w14:textId="77777777">
      <w:pPr>
        <w:pStyle w:val="BodyText"/>
        <w:spacing w:line="240" w:lineRule="auto"/>
        <w:rPr>
          <w:rFonts w:ascii="Times New Roman" w:hAnsi="Times New Roman" w:cs="Times New Roman"/>
          <w:sz w:val="24"/>
        </w:rPr>
      </w:pPr>
    </w:p>
    <w:p w:rsidR="00AA28FD" w:rsidRPr="00C02E7E" w:rsidP="007A0AB8" w14:paraId="2AEC27F4" w14:textId="667E0840">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F. Dennis Thomas</w:t>
      </w:r>
      <w:r w:rsidR="00C27CAC">
        <w:rPr>
          <w:rFonts w:ascii="Times New Roman" w:hAnsi="Times New Roman" w:cs="Times New Roman"/>
          <w:sz w:val="24"/>
        </w:rPr>
        <w:t>, MA, PhD</w:t>
      </w:r>
    </w:p>
    <w:p w:rsidR="00AA28FD" w:rsidRPr="00C02E7E" w:rsidP="007A0AB8" w14:paraId="40C57C27" w14:textId="4E23B8F3">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 xml:space="preserve">Dunlap and Associates, Inc. </w:t>
      </w:r>
    </w:p>
    <w:p w:rsidR="00AA28FD" w:rsidRPr="00C02E7E" w:rsidP="007A0AB8" w14:paraId="651FEA67" w14:textId="5E6CB37F">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125 Edinburgh South Drive, Suite 111</w:t>
      </w:r>
      <w:r w:rsidR="00C27CAC">
        <w:rPr>
          <w:rFonts w:ascii="Times New Roman" w:hAnsi="Times New Roman" w:cs="Times New Roman"/>
          <w:sz w:val="24"/>
        </w:rPr>
        <w:t>, Cary, NC 27511</w:t>
      </w:r>
    </w:p>
    <w:p w:rsidR="00AA28FD" w:rsidRPr="00C02E7E" w:rsidP="007A0AB8" w14:paraId="14705A8C" w14:textId="327AFA26">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 xml:space="preserve">Office: </w:t>
      </w:r>
      <w:r w:rsidRPr="00C02E7E" w:rsidR="00B756EA">
        <w:rPr>
          <w:rFonts w:ascii="Times New Roman" w:hAnsi="Times New Roman" w:cs="Times New Roman"/>
          <w:sz w:val="24"/>
        </w:rPr>
        <w:t>203-215-2948</w:t>
      </w:r>
    </w:p>
    <w:p w:rsidR="00B756EA" w:rsidRPr="00C02E7E" w:rsidP="007A0AB8" w14:paraId="74A9F72B" w14:textId="77777777">
      <w:pPr>
        <w:spacing w:line="240" w:lineRule="auto"/>
        <w:ind w:left="360"/>
      </w:pPr>
    </w:p>
    <w:p w:rsidR="00B756EA" w:rsidP="007A0AB8" w14:paraId="1F5C0B49" w14:textId="78290DFB">
      <w:pPr>
        <w:pStyle w:val="BodyText"/>
        <w:spacing w:line="240" w:lineRule="auto"/>
        <w:ind w:left="360"/>
        <w:rPr>
          <w:rFonts w:ascii="Times New Roman" w:hAnsi="Times New Roman" w:cs="Times New Roman"/>
          <w:sz w:val="24"/>
        </w:rPr>
      </w:pPr>
      <w:r w:rsidRPr="00C02E7E">
        <w:rPr>
          <w:rFonts w:ascii="Times New Roman" w:hAnsi="Times New Roman" w:cs="Times New Roman"/>
          <w:sz w:val="24"/>
        </w:rPr>
        <w:t>Jenna Darrah, MS</w:t>
      </w:r>
      <w:r w:rsidRPr="00C02E7E">
        <w:rPr>
          <w:rFonts w:ascii="Times New Roman" w:hAnsi="Times New Roman" w:cs="Times New Roman"/>
          <w:sz w:val="24"/>
        </w:rPr>
        <w:br/>
        <w:t>Dunlap and Associates, Inc.</w:t>
      </w:r>
    </w:p>
    <w:p w:rsidR="00C27CAC" w:rsidRPr="00C02E7E" w:rsidP="007A0AB8" w14:paraId="58FEB65A" w14:textId="21731315">
      <w:pPr>
        <w:pStyle w:val="BodyText"/>
        <w:spacing w:line="240" w:lineRule="auto"/>
        <w:ind w:firstLine="360"/>
        <w:rPr>
          <w:rFonts w:ascii="Times New Roman" w:hAnsi="Times New Roman" w:cs="Times New Roman"/>
          <w:sz w:val="24"/>
        </w:rPr>
      </w:pPr>
      <w:r w:rsidRPr="00C02E7E">
        <w:rPr>
          <w:rFonts w:ascii="Times New Roman" w:hAnsi="Times New Roman" w:cs="Times New Roman"/>
          <w:sz w:val="24"/>
        </w:rPr>
        <w:t>125 Edinburgh South Drive, Suite 111</w:t>
      </w:r>
      <w:r>
        <w:rPr>
          <w:rFonts w:ascii="Times New Roman" w:hAnsi="Times New Roman" w:cs="Times New Roman"/>
          <w:sz w:val="24"/>
        </w:rPr>
        <w:t>, Cary, NC 27511</w:t>
      </w:r>
    </w:p>
    <w:p w:rsidR="00B756EA" w:rsidP="007A0AB8" w14:paraId="756ADAE2" w14:textId="06518480">
      <w:pPr>
        <w:spacing w:line="240" w:lineRule="auto"/>
        <w:ind w:firstLine="360"/>
      </w:pPr>
      <w:r>
        <w:t xml:space="preserve">Office: </w:t>
      </w:r>
      <w:r w:rsidR="0044157B">
        <w:t>412-965-9889</w:t>
      </w:r>
    </w:p>
    <w:sectPr w:rsidSect="00133416">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a">
    <w:altName w:val="Segoe UI Symbol"/>
    <w:charset w:val="00"/>
    <w:family w:val="roman"/>
    <w:pitch w:val="variable"/>
    <w:sig w:usb0="800022FF" w:usb1="0A03FFFF" w:usb2="0F040027" w:usb3="00000000" w:csb0="0000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050" w:rsidRPr="008F6AE1" w:rsidP="00621503" w14:paraId="442A55AB" w14:textId="4D24F470">
    <w:pPr>
      <w:pStyle w:val="Footer"/>
      <w:tabs>
        <w:tab w:val="clear" w:pos="4320"/>
        <w:tab w:val="center" w:pos="6210"/>
        <w:tab w:val="clear" w:pos="8640"/>
        <w:tab w:val="right" w:pos="9360"/>
      </w:tabs>
      <w:jc w:val="center"/>
      <w:rPr>
        <w:sz w:val="20"/>
        <w:szCs w:val="20"/>
      </w:rPr>
    </w:pPr>
    <w:r w:rsidRPr="00A37B4D">
      <w:rPr>
        <w:sz w:val="20"/>
        <w:szCs w:val="20"/>
      </w:rPr>
      <w:t xml:space="preserve">Page </w:t>
    </w:r>
    <w:r w:rsidRPr="00A37B4D">
      <w:rPr>
        <w:b/>
        <w:bCs/>
        <w:sz w:val="20"/>
        <w:szCs w:val="20"/>
      </w:rPr>
      <w:fldChar w:fldCharType="begin"/>
    </w:r>
    <w:r w:rsidRPr="00A37B4D">
      <w:rPr>
        <w:b/>
        <w:bCs/>
        <w:sz w:val="20"/>
        <w:szCs w:val="20"/>
      </w:rPr>
      <w:instrText xml:space="preserve"> PAGE  \* Arabic  \* MERGEFORMAT </w:instrText>
    </w:r>
    <w:r w:rsidRPr="00A37B4D">
      <w:rPr>
        <w:b/>
        <w:bCs/>
        <w:sz w:val="20"/>
        <w:szCs w:val="20"/>
      </w:rPr>
      <w:fldChar w:fldCharType="separate"/>
    </w:r>
    <w:r>
      <w:rPr>
        <w:b/>
        <w:bCs/>
        <w:noProof/>
        <w:sz w:val="20"/>
        <w:szCs w:val="20"/>
      </w:rPr>
      <w:t>15</w:t>
    </w:r>
    <w:r w:rsidRPr="00A37B4D">
      <w:rPr>
        <w:b/>
        <w:bCs/>
        <w:sz w:val="20"/>
        <w:szCs w:val="20"/>
      </w:rPr>
      <w:fldChar w:fldCharType="end"/>
    </w:r>
    <w:r w:rsidRPr="00A37B4D">
      <w:rPr>
        <w:sz w:val="20"/>
        <w:szCs w:val="20"/>
      </w:rPr>
      <w:t xml:space="preserve"> of </w:t>
    </w:r>
    <w:r w:rsidRPr="00A37B4D">
      <w:rPr>
        <w:b/>
        <w:bCs/>
        <w:sz w:val="20"/>
        <w:szCs w:val="20"/>
      </w:rPr>
      <w:fldChar w:fldCharType="begin"/>
    </w:r>
    <w:r w:rsidRPr="00A37B4D">
      <w:rPr>
        <w:b/>
        <w:bCs/>
        <w:sz w:val="20"/>
        <w:szCs w:val="20"/>
      </w:rPr>
      <w:instrText xml:space="preserve"> NUMPAGES  \* Arabic  \* MERGEFORMAT </w:instrText>
    </w:r>
    <w:r w:rsidRPr="00A37B4D">
      <w:rPr>
        <w:b/>
        <w:bCs/>
        <w:sz w:val="20"/>
        <w:szCs w:val="20"/>
      </w:rPr>
      <w:fldChar w:fldCharType="separate"/>
    </w:r>
    <w:r>
      <w:rPr>
        <w:b/>
        <w:bCs/>
        <w:noProof/>
        <w:sz w:val="20"/>
        <w:szCs w:val="20"/>
      </w:rPr>
      <w:t>16</w:t>
    </w:r>
    <w:r w:rsidRPr="00A37B4D">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06C0" w14:paraId="21C96528" w14:textId="77777777">
      <w:r>
        <w:separator/>
      </w:r>
    </w:p>
  </w:footnote>
  <w:footnote w:type="continuationSeparator" w:id="1">
    <w:p w:rsidR="007A06C0" w14:paraId="4C19F130" w14:textId="77777777">
      <w:r>
        <w:continuationSeparator/>
      </w:r>
    </w:p>
  </w:footnote>
  <w:footnote w:type="continuationNotice" w:id="2">
    <w:p w:rsidR="007A06C0" w14:paraId="20C8736B" w14:textId="77777777">
      <w:pPr>
        <w:spacing w:line="240" w:lineRule="auto"/>
      </w:pPr>
    </w:p>
  </w:footnote>
  <w:footnote w:id="3">
    <w:p w:rsidR="00E62008" w:rsidRPr="006E6A42" w:rsidP="004D718A" w14:paraId="5B7DF62E" w14:textId="1508D256">
      <w:pPr>
        <w:spacing w:after="120" w:line="240" w:lineRule="auto"/>
        <w:rPr>
          <w:sz w:val="20"/>
          <w:szCs w:val="20"/>
        </w:rPr>
      </w:pPr>
      <w:r w:rsidRPr="00B52FDA">
        <w:rPr>
          <w:rStyle w:val="FootnoteReference"/>
          <w:sz w:val="20"/>
          <w:szCs w:val="20"/>
        </w:rPr>
        <w:footnoteRef/>
      </w:r>
      <w:r w:rsidRPr="00B52FDA">
        <w:rPr>
          <w:sz w:val="20"/>
          <w:szCs w:val="20"/>
        </w:rPr>
        <w:t xml:space="preserve"> </w:t>
      </w:r>
      <w:r w:rsidRPr="00DB1354">
        <w:rPr>
          <w:sz w:val="20"/>
          <w:szCs w:val="20"/>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4">
    <w:p w:rsidR="005C0C85" w:rsidP="004D718A" w14:paraId="1A6E54FC" w14:textId="77777777">
      <w:pPr>
        <w:pStyle w:val="FootnoteText"/>
        <w:spacing w:after="120" w:line="240" w:lineRule="auto"/>
      </w:pPr>
      <w:r>
        <w:rPr>
          <w:rStyle w:val="FootnoteReference"/>
        </w:rPr>
        <w:footnoteRef/>
      </w:r>
      <w:r w:rsidRPr="00734E9D">
        <w:t xml:space="preserve"> National Center for Statistics and Analysis. (2024, July). </w:t>
      </w:r>
      <w:r w:rsidRPr="00EE53BA">
        <w:rPr>
          <w:i/>
          <w:iCs/>
        </w:rPr>
        <w:t>Motorcycles: 2022 data</w:t>
      </w:r>
      <w:r w:rsidRPr="00734E9D">
        <w:t xml:space="preserve"> (Traffic Safety Facts. Report No. DOT HS 813 589). National Highway Traffic Safety Administration.</w:t>
      </w:r>
    </w:p>
  </w:footnote>
  <w:footnote w:id="5">
    <w:p w:rsidR="005C0C85" w:rsidRPr="0073218B" w:rsidP="004D718A" w14:paraId="15BF066A" w14:textId="21C5E212">
      <w:pPr>
        <w:pStyle w:val="FootnoteText"/>
        <w:spacing w:after="120" w:line="240" w:lineRule="auto"/>
      </w:pPr>
      <w:r w:rsidRPr="0073218B">
        <w:rPr>
          <w:rStyle w:val="FootnoteReference"/>
        </w:rPr>
        <w:footnoteRef/>
      </w:r>
      <w:r w:rsidRPr="0073218B">
        <w:t xml:space="preserve"> Higgins, L.L. &amp; Turner, P. (2013). </w:t>
      </w:r>
      <w:r w:rsidRPr="0073218B">
        <w:rPr>
          <w:i/>
          <w:iCs/>
        </w:rPr>
        <w:t>Texas motorcycle survey, 2012</w:t>
      </w:r>
      <w:r w:rsidRPr="0073218B">
        <w:t xml:space="preserve"> [Paper presentation]. International Motorcycle Safety Conference, Orlando, FL, United States.</w:t>
      </w:r>
    </w:p>
  </w:footnote>
  <w:footnote w:id="6">
    <w:p w:rsidR="001E1B9A" w:rsidP="00153E66" w14:paraId="06941B1A" w14:textId="542625F8">
      <w:pPr>
        <w:pStyle w:val="FootnoteText"/>
        <w:spacing w:line="240" w:lineRule="auto"/>
      </w:pPr>
      <w:r>
        <w:rPr>
          <w:rStyle w:val="FootnoteReference"/>
        </w:rPr>
        <w:footnoteRef/>
      </w:r>
      <w:r>
        <w:t xml:space="preserve"> Schaller, B. (2005)</w:t>
      </w:r>
      <w:r w:rsidR="00AE3FCE">
        <w:t xml:space="preserve">. </w:t>
      </w:r>
      <w:r w:rsidRPr="00EE53BA" w:rsidR="00BE2B78">
        <w:rPr>
          <w:i/>
          <w:iCs/>
        </w:rPr>
        <w:t>On-</w:t>
      </w:r>
      <w:r w:rsidRPr="00EE53BA" w:rsidR="00EE53BA">
        <w:rPr>
          <w:i/>
          <w:iCs/>
        </w:rPr>
        <w:t>b</w:t>
      </w:r>
      <w:r w:rsidRPr="00EE53BA" w:rsidR="00BE2B78">
        <w:rPr>
          <w:i/>
          <w:iCs/>
        </w:rPr>
        <w:t xml:space="preserve">oard and </w:t>
      </w:r>
      <w:r w:rsidRPr="00EE53BA" w:rsidR="00EE53BA">
        <w:rPr>
          <w:i/>
          <w:iCs/>
        </w:rPr>
        <w:t>i</w:t>
      </w:r>
      <w:r w:rsidRPr="00EE53BA" w:rsidR="00BE2B78">
        <w:rPr>
          <w:i/>
          <w:iCs/>
        </w:rPr>
        <w:t xml:space="preserve">ntercept </w:t>
      </w:r>
      <w:r w:rsidRPr="00EE53BA" w:rsidR="00EE53BA">
        <w:rPr>
          <w:i/>
          <w:iCs/>
        </w:rPr>
        <w:t>t</w:t>
      </w:r>
      <w:r w:rsidRPr="00EE53BA" w:rsidR="00BE2B78">
        <w:rPr>
          <w:i/>
          <w:iCs/>
        </w:rPr>
        <w:t xml:space="preserve">ransit </w:t>
      </w:r>
      <w:r w:rsidRPr="00EE53BA" w:rsidR="00EE53BA">
        <w:rPr>
          <w:i/>
          <w:iCs/>
        </w:rPr>
        <w:t>s</w:t>
      </w:r>
      <w:r w:rsidRPr="00EE53BA" w:rsidR="00BE2B78">
        <w:rPr>
          <w:i/>
          <w:iCs/>
        </w:rPr>
        <w:t xml:space="preserve">urvey </w:t>
      </w:r>
      <w:r w:rsidRPr="00EE53BA" w:rsidR="00EE53BA">
        <w:rPr>
          <w:i/>
          <w:iCs/>
        </w:rPr>
        <w:t>t</w:t>
      </w:r>
      <w:r w:rsidRPr="00EE53BA" w:rsidR="00BE2B78">
        <w:rPr>
          <w:i/>
          <w:iCs/>
        </w:rPr>
        <w:t xml:space="preserve">echniques: A </w:t>
      </w:r>
      <w:r w:rsidRPr="00EE53BA" w:rsidR="00EE53BA">
        <w:rPr>
          <w:i/>
          <w:iCs/>
        </w:rPr>
        <w:t>s</w:t>
      </w:r>
      <w:r w:rsidRPr="00EE53BA" w:rsidR="00BE2B78">
        <w:rPr>
          <w:i/>
          <w:iCs/>
        </w:rPr>
        <w:t xml:space="preserve">ynthesis of </w:t>
      </w:r>
      <w:r w:rsidRPr="00EE53BA" w:rsidR="00EE53BA">
        <w:rPr>
          <w:i/>
          <w:iCs/>
        </w:rPr>
        <w:t>t</w:t>
      </w:r>
      <w:r w:rsidRPr="00EE53BA" w:rsidR="00BE2B78">
        <w:rPr>
          <w:i/>
          <w:iCs/>
        </w:rPr>
        <w:t xml:space="preserve">ransit </w:t>
      </w:r>
      <w:r w:rsidRPr="00EE53BA" w:rsidR="00EE53BA">
        <w:rPr>
          <w:i/>
          <w:iCs/>
        </w:rPr>
        <w:t>p</w:t>
      </w:r>
      <w:r w:rsidRPr="00EE53BA" w:rsidR="00BE2B78">
        <w:rPr>
          <w:i/>
          <w:iCs/>
        </w:rPr>
        <w:t>ractice</w:t>
      </w:r>
      <w:r w:rsidR="00BE2B78">
        <w:t xml:space="preserve">. </w:t>
      </w:r>
      <w:r w:rsidR="00C8338D">
        <w:t>Transportation</w:t>
      </w:r>
      <w:r w:rsidR="00FB70AB">
        <w:t xml:space="preserve"> Research Board.</w:t>
      </w:r>
    </w:p>
  </w:footnote>
  <w:footnote w:id="7">
    <w:p w:rsidR="00564FF6" w:rsidP="00153E66" w14:paraId="342E1EEB" w14:textId="4222C4D0">
      <w:pPr>
        <w:pStyle w:val="FootnoteText"/>
        <w:spacing w:line="240" w:lineRule="auto"/>
      </w:pPr>
      <w:r>
        <w:rPr>
          <w:rStyle w:val="FootnoteReference"/>
        </w:rPr>
        <w:footnoteRef/>
      </w:r>
      <w:r>
        <w:t xml:space="preserve"> </w:t>
      </w:r>
      <w:r w:rsidRPr="00A53299">
        <w:t xml:space="preserve">Kelley-Baker, T., Lacey, J. H., Berning, A., Moore, C., Brainard, K., Ramirez, A., Moore, C., Brainard, K., Yao,  J., Tippetts, A. S., Romano, E., Carr, K., &amp; Pell, K. (2016). </w:t>
      </w:r>
      <w:r w:rsidRPr="00EE53BA">
        <w:rPr>
          <w:i/>
          <w:iCs/>
        </w:rPr>
        <w:t xml:space="preserve">2013–2014 </w:t>
      </w:r>
      <w:r w:rsidRPr="00EE53BA" w:rsidR="00EE53BA">
        <w:rPr>
          <w:i/>
          <w:iCs/>
        </w:rPr>
        <w:t>n</w:t>
      </w:r>
      <w:r w:rsidRPr="00EE53BA">
        <w:rPr>
          <w:i/>
          <w:iCs/>
        </w:rPr>
        <w:t xml:space="preserve">ational </w:t>
      </w:r>
      <w:r w:rsidRPr="00EE53BA" w:rsidR="00EE53BA">
        <w:rPr>
          <w:i/>
          <w:iCs/>
        </w:rPr>
        <w:t>r</w:t>
      </w:r>
      <w:r w:rsidRPr="00EE53BA">
        <w:rPr>
          <w:i/>
          <w:iCs/>
        </w:rPr>
        <w:t xml:space="preserve">oadside </w:t>
      </w:r>
      <w:r w:rsidRPr="00EE53BA" w:rsidR="00EE53BA">
        <w:rPr>
          <w:i/>
          <w:iCs/>
        </w:rPr>
        <w:t>s</w:t>
      </w:r>
      <w:r w:rsidRPr="00EE53BA">
        <w:rPr>
          <w:i/>
          <w:iCs/>
        </w:rPr>
        <w:t xml:space="preserve">urvey of </w:t>
      </w:r>
      <w:r w:rsidRPr="00EE53BA" w:rsidR="00EE53BA">
        <w:rPr>
          <w:i/>
          <w:iCs/>
        </w:rPr>
        <w:t>a</w:t>
      </w:r>
      <w:r w:rsidRPr="00EE53BA">
        <w:rPr>
          <w:i/>
          <w:iCs/>
        </w:rPr>
        <w:t xml:space="preserve">lcohol and </w:t>
      </w:r>
      <w:r w:rsidRPr="00EE53BA" w:rsidR="00EE53BA">
        <w:rPr>
          <w:i/>
          <w:iCs/>
        </w:rPr>
        <w:t>d</w:t>
      </w:r>
      <w:r w:rsidRPr="00EE53BA">
        <w:rPr>
          <w:i/>
          <w:iCs/>
        </w:rPr>
        <w:t xml:space="preserve">rug </w:t>
      </w:r>
      <w:r w:rsidRPr="00EE53BA" w:rsidR="00EE53BA">
        <w:rPr>
          <w:i/>
          <w:iCs/>
        </w:rPr>
        <w:t>u</w:t>
      </w:r>
      <w:r w:rsidRPr="00EE53BA">
        <w:rPr>
          <w:i/>
          <w:iCs/>
        </w:rPr>
        <w:t xml:space="preserve">se by </w:t>
      </w:r>
      <w:r w:rsidRPr="00EE53BA" w:rsidR="00EE53BA">
        <w:rPr>
          <w:i/>
          <w:iCs/>
        </w:rPr>
        <w:t>d</w:t>
      </w:r>
      <w:r w:rsidRPr="00EE53BA">
        <w:rPr>
          <w:i/>
          <w:iCs/>
        </w:rPr>
        <w:t>rivers: Methodology</w:t>
      </w:r>
      <w:r w:rsidRPr="00A53299">
        <w:t xml:space="preserve"> (Report No. DOT HS 812 294). National Highway Traffic Safety Administration.</w:t>
      </w:r>
    </w:p>
  </w:footnote>
  <w:footnote w:id="8">
    <w:p w:rsidR="003A3B42" w:rsidRPr="00755CF0" w:rsidP="002803C8" w14:paraId="23F7533B" w14:textId="77777777">
      <w:pPr>
        <w:spacing w:line="240" w:lineRule="auto"/>
        <w:rPr>
          <w:sz w:val="20"/>
        </w:rPr>
      </w:pPr>
      <w:r w:rsidRPr="00755CF0">
        <w:rPr>
          <w:rStyle w:val="FootnoteReference"/>
          <w:sz w:val="20"/>
        </w:rPr>
        <w:footnoteRef/>
      </w:r>
      <w:r w:rsidRPr="00755CF0">
        <w:rPr>
          <w:sz w:val="20"/>
        </w:rPr>
        <w:t xml:space="preserve"> </w:t>
      </w:r>
      <w:r w:rsidRPr="00755CF0">
        <w:rPr>
          <w:color w:val="212121"/>
          <w:sz w:val="20"/>
          <w:shd w:val="clear" w:color="auto" w:fill="FFFFFF"/>
        </w:rPr>
        <w:t xml:space="preserve">Sastry, N., </w:t>
      </w:r>
      <w:bookmarkStart w:id="11" w:name="_Hlk128552429"/>
      <w:r w:rsidRPr="00755CF0">
        <w:rPr>
          <w:color w:val="212121"/>
          <w:sz w:val="20"/>
          <w:shd w:val="clear" w:color="auto" w:fill="FFFFFF"/>
        </w:rPr>
        <w:t>McGonagle</w:t>
      </w:r>
      <w:bookmarkEnd w:id="11"/>
      <w:r w:rsidRPr="00755CF0">
        <w:rPr>
          <w:color w:val="212121"/>
          <w:sz w:val="20"/>
          <w:shd w:val="clear" w:color="auto" w:fill="FFFFFF"/>
        </w:rPr>
        <w:t>, K., &amp; Fomby, P. (2020). Effects of the COVID-19 crisis on survey fieldwork: Experience and lessons from two major supplements to the U.S. Panel Study of Income Dynamics. </w:t>
      </w:r>
      <w:r w:rsidRPr="00755CF0">
        <w:rPr>
          <w:i/>
          <w:iCs/>
          <w:color w:val="212121"/>
          <w:sz w:val="20"/>
          <w:shd w:val="clear" w:color="auto" w:fill="FFFFFF"/>
        </w:rPr>
        <w:t>Survey research methods</w:t>
      </w:r>
      <w:r w:rsidRPr="00755CF0">
        <w:rPr>
          <w:color w:val="212121"/>
          <w:sz w:val="20"/>
          <w:shd w:val="clear" w:color="auto" w:fill="FFFFFF"/>
        </w:rPr>
        <w:t>, </w:t>
      </w:r>
      <w:r w:rsidRPr="00755CF0">
        <w:rPr>
          <w:i/>
          <w:iCs/>
          <w:color w:val="212121"/>
          <w:sz w:val="20"/>
          <w:shd w:val="clear" w:color="auto" w:fill="FFFFFF"/>
        </w:rPr>
        <w:t>14</w:t>
      </w:r>
      <w:r w:rsidRPr="00755CF0">
        <w:rPr>
          <w:color w:val="212121"/>
          <w:sz w:val="20"/>
          <w:shd w:val="clear" w:color="auto" w:fill="FFFFFF"/>
        </w:rPr>
        <w:t xml:space="preserve">(2), 241–245. </w:t>
      </w:r>
    </w:p>
  </w:footnote>
  <w:footnote w:id="9">
    <w:p w:rsidR="00684378" w14:paraId="35435321" w14:textId="1EB106E0">
      <w:pPr>
        <w:pStyle w:val="FootnoteText"/>
      </w:pPr>
      <w:r>
        <w:rPr>
          <w:rStyle w:val="FootnoteReference"/>
        </w:rPr>
        <w:footnoteRef/>
      </w:r>
      <w:r>
        <w:t xml:space="preserve"> Jones, C. (2023). </w:t>
      </w:r>
      <w:r w:rsidRPr="00EE53BA" w:rsidR="00E13DEA">
        <w:rPr>
          <w:i/>
          <w:iCs/>
        </w:rPr>
        <w:t>Motorcycle Demographics: 59 User Facts &amp; Numbers</w:t>
      </w:r>
      <w:r w:rsidR="00E13DEA">
        <w:t xml:space="preserve"> [2023</w:t>
      </w:r>
      <w:r w:rsidR="003022B1">
        <w:t xml:space="preserve">]. </w:t>
      </w:r>
      <w:r w:rsidRPr="003022B1" w:rsidR="003022B1">
        <w:t>https://motorandwheels.com/motorcycle-demographics/#Age_Demographics_of_Motorcycle_Riders</w:t>
      </w:r>
    </w:p>
    <w:p w:rsidR="00E13DEA" w14:paraId="1775534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0050" w:rsidRPr="005A799F" w:rsidP="00621503" w14:paraId="20BE331C" w14:textId="20F7D278">
    <w:pPr>
      <w:pStyle w:val="Footer"/>
      <w:tabs>
        <w:tab w:val="center" w:pos="3420"/>
        <w:tab w:val="clear" w:pos="4320"/>
        <w:tab w:val="clear" w:pos="8640"/>
        <w:tab w:val="right" w:pos="9360"/>
      </w:tabs>
      <w:rPr>
        <w:sz w:val="18"/>
        <w:szCs w:val="18"/>
      </w:rPr>
    </w:pPr>
    <w:r>
      <w:rPr>
        <w:sz w:val="18"/>
        <w:szCs w:val="18"/>
      </w:rPr>
      <w:t xml:space="preserve">Assessing the Fit and Comfort of Motorcycle Safety Gear </w:t>
    </w:r>
  </w:p>
  <w:p w:rsidR="00280050" w:rsidRPr="005A799F" w:rsidP="00621503" w14:paraId="3BBB7291" w14:textId="54E0D751">
    <w:pPr>
      <w:pStyle w:val="Footer"/>
      <w:tabs>
        <w:tab w:val="center" w:pos="3420"/>
        <w:tab w:val="clear" w:pos="4320"/>
        <w:tab w:val="clear" w:pos="8640"/>
        <w:tab w:val="right" w:pos="9360"/>
      </w:tabs>
      <w:rPr>
        <w:sz w:val="18"/>
        <w:szCs w:val="18"/>
      </w:rPr>
    </w:pPr>
    <w:r w:rsidRPr="005A799F">
      <w:rPr>
        <w:sz w:val="18"/>
        <w:szCs w:val="18"/>
      </w:rPr>
      <w:t xml:space="preserve">Supporting Statement Part </w:t>
    </w:r>
    <w:r>
      <w:rPr>
        <w:sz w:val="18"/>
        <w:szCs w:val="18"/>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B0BB5"/>
    <w:multiLevelType w:val="hybridMultilevel"/>
    <w:tmpl w:val="8C22612A"/>
    <w:lvl w:ilvl="0">
      <w:start w:val="1"/>
      <w:numFmt w:val="upperLetter"/>
      <w:pStyle w:val="Heading3"/>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91613F"/>
    <w:multiLevelType w:val="hybridMultilevel"/>
    <w:tmpl w:val="EEA26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14838"/>
    <w:multiLevelType w:val="hybridMultilevel"/>
    <w:tmpl w:val="8CFAF1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E0146E"/>
    <w:multiLevelType w:val="hybridMultilevel"/>
    <w:tmpl w:val="71C40B78"/>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A7519F"/>
    <w:multiLevelType w:val="multilevel"/>
    <w:tmpl w:val="06986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541AC4"/>
    <w:multiLevelType w:val="hybridMultilevel"/>
    <w:tmpl w:val="3E5EEB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67485F"/>
    <w:multiLevelType w:val="hybridMultilevel"/>
    <w:tmpl w:val="3E70DE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6A003E"/>
    <w:multiLevelType w:val="hybridMultilevel"/>
    <w:tmpl w:val="4BFC81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B92C24"/>
    <w:multiLevelType w:val="hybridMultilevel"/>
    <w:tmpl w:val="3872F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DC655A"/>
    <w:multiLevelType w:val="multilevel"/>
    <w:tmpl w:val="2FC642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1C53FD3"/>
    <w:multiLevelType w:val="hybridMultilevel"/>
    <w:tmpl w:val="621414F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11">
    <w:nsid w:val="2E2035A0"/>
    <w:multiLevelType w:val="hybridMultilevel"/>
    <w:tmpl w:val="23F6FE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DB3B36"/>
    <w:multiLevelType w:val="hybridMultilevel"/>
    <w:tmpl w:val="ABC2A5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DA64E20"/>
    <w:multiLevelType w:val="hybridMultilevel"/>
    <w:tmpl w:val="1902E0A2"/>
    <w:lvl w:ilvl="0">
      <w:start w:val="1"/>
      <w:numFmt w:val="decimal"/>
      <w:pStyle w:val="Figure"/>
      <w:lvlText w:val="Figure %1."/>
      <w:lvlJc w:val="left"/>
      <w:pPr>
        <w:tabs>
          <w:tab w:val="num" w:pos="1440"/>
        </w:tabs>
        <w:ind w:left="72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3F84388"/>
    <w:multiLevelType w:val="hybridMultilevel"/>
    <w:tmpl w:val="0A22F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5A28ED"/>
    <w:multiLevelType w:val="hybridMultilevel"/>
    <w:tmpl w:val="859631E6"/>
    <w:lvl w:ilvl="0">
      <w:start w:val="1"/>
      <w:numFmt w:val="decimal"/>
      <w:pStyle w:val="Table"/>
      <w:lvlText w:val="Table %1."/>
      <w:lvlJc w:val="left"/>
      <w:pPr>
        <w:tabs>
          <w:tab w:val="num" w:pos="1440"/>
        </w:tabs>
        <w:ind w:left="720" w:hanging="360"/>
      </w:pPr>
      <w:rPr>
        <w:rFonts w:ascii="Times New Roman" w:hAnsi="Times New Roman"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3724928"/>
    <w:multiLevelType w:val="hybridMultilevel"/>
    <w:tmpl w:val="1DF8FD7E"/>
    <w:lvl w:ilvl="0">
      <w:start w:val="1"/>
      <w:numFmt w:val="decimal"/>
      <w:lvlText w:val="Figure %1."/>
      <w:lvlJc w:val="left"/>
      <w:pPr>
        <w:ind w:left="1080" w:hanging="360"/>
      </w:pPr>
      <w:rPr>
        <w:rFonts w:ascii="Times New Roman" w:hAnsi="Times New Roman" w:hint="default"/>
        <w:b/>
        <w:bCs w:val="0"/>
        <w:i w:val="0"/>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4F679C6"/>
    <w:multiLevelType w:val="hybridMultilevel"/>
    <w:tmpl w:val="E7CAB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BA01DD6"/>
    <w:multiLevelType w:val="hybridMultilevel"/>
    <w:tmpl w:val="A9606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BF2D01"/>
    <w:multiLevelType w:val="hybridMultilevel"/>
    <w:tmpl w:val="DF460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1451475">
    <w:abstractNumId w:val="0"/>
  </w:num>
  <w:num w:numId="2" w16cid:durableId="982075380">
    <w:abstractNumId w:val="1"/>
  </w:num>
  <w:num w:numId="3" w16cid:durableId="1413968591">
    <w:abstractNumId w:val="15"/>
  </w:num>
  <w:num w:numId="4" w16cid:durableId="1896699011">
    <w:abstractNumId w:val="13"/>
  </w:num>
  <w:num w:numId="5" w16cid:durableId="2055037777">
    <w:abstractNumId w:val="12"/>
  </w:num>
  <w:num w:numId="6" w16cid:durableId="51395350">
    <w:abstractNumId w:val="2"/>
  </w:num>
  <w:num w:numId="7" w16cid:durableId="1891335088">
    <w:abstractNumId w:val="6"/>
  </w:num>
  <w:num w:numId="8" w16cid:durableId="573466245">
    <w:abstractNumId w:val="16"/>
  </w:num>
  <w:num w:numId="9" w16cid:durableId="1180579477">
    <w:abstractNumId w:val="5"/>
  </w:num>
  <w:num w:numId="10" w16cid:durableId="1615399998">
    <w:abstractNumId w:val="3"/>
  </w:num>
  <w:num w:numId="11" w16cid:durableId="1811358120">
    <w:abstractNumId w:val="4"/>
  </w:num>
  <w:num w:numId="12" w16cid:durableId="1373656504">
    <w:abstractNumId w:val="7"/>
  </w:num>
  <w:num w:numId="13" w16cid:durableId="141966455">
    <w:abstractNumId w:val="11"/>
  </w:num>
  <w:num w:numId="14" w16cid:durableId="667905110">
    <w:abstractNumId w:val="15"/>
    <w:lvlOverride w:ilvl="0">
      <w:startOverride w:val="1"/>
    </w:lvlOverride>
  </w:num>
  <w:num w:numId="15" w16cid:durableId="1706251463">
    <w:abstractNumId w:val="15"/>
  </w:num>
  <w:num w:numId="16" w16cid:durableId="676814317">
    <w:abstractNumId w:val="15"/>
  </w:num>
  <w:num w:numId="17" w16cid:durableId="793788145">
    <w:abstractNumId w:val="18"/>
  </w:num>
  <w:num w:numId="18" w16cid:durableId="904878485">
    <w:abstractNumId w:val="9"/>
  </w:num>
  <w:num w:numId="19" w16cid:durableId="1821729078">
    <w:abstractNumId w:val="0"/>
  </w:num>
  <w:num w:numId="20" w16cid:durableId="82917426">
    <w:abstractNumId w:val="8"/>
  </w:num>
  <w:num w:numId="21" w16cid:durableId="203714229">
    <w:abstractNumId w:val="17"/>
  </w:num>
  <w:num w:numId="22" w16cid:durableId="1001857769">
    <w:abstractNumId w:val="19"/>
  </w:num>
  <w:num w:numId="23" w16cid:durableId="1613123246">
    <w:abstractNumId w:val="10"/>
  </w:num>
  <w:num w:numId="24" w16cid:durableId="1152215698">
    <w:abstractNumId w:val="14"/>
  </w:num>
  <w:num w:numId="25" w16cid:durableId="656881165">
    <w:abstractNumId w:val="15"/>
  </w:num>
  <w:num w:numId="26" w16cid:durableId="1522814693">
    <w:abstractNumId w:val="15"/>
  </w:num>
  <w:num w:numId="27" w16cid:durableId="958606203">
    <w:abstractNumId w:val="15"/>
  </w:num>
  <w:num w:numId="28" w16cid:durableId="66659346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0ED"/>
    <w:rsid w:val="000008A3"/>
    <w:rsid w:val="000019C6"/>
    <w:rsid w:val="00002286"/>
    <w:rsid w:val="0000277E"/>
    <w:rsid w:val="000033D6"/>
    <w:rsid w:val="000041BC"/>
    <w:rsid w:val="00004A4A"/>
    <w:rsid w:val="0000553E"/>
    <w:rsid w:val="000058C2"/>
    <w:rsid w:val="000059CC"/>
    <w:rsid w:val="00005AD5"/>
    <w:rsid w:val="00005E5B"/>
    <w:rsid w:val="000064B2"/>
    <w:rsid w:val="000064B7"/>
    <w:rsid w:val="000067A7"/>
    <w:rsid w:val="000076DF"/>
    <w:rsid w:val="00007C9D"/>
    <w:rsid w:val="00007E0A"/>
    <w:rsid w:val="00007F10"/>
    <w:rsid w:val="00011C40"/>
    <w:rsid w:val="00011D15"/>
    <w:rsid w:val="00012125"/>
    <w:rsid w:val="00012394"/>
    <w:rsid w:val="00012A94"/>
    <w:rsid w:val="000142B0"/>
    <w:rsid w:val="000147B2"/>
    <w:rsid w:val="000148C6"/>
    <w:rsid w:val="00014D7F"/>
    <w:rsid w:val="000155E5"/>
    <w:rsid w:val="00017048"/>
    <w:rsid w:val="000176C8"/>
    <w:rsid w:val="00020BE5"/>
    <w:rsid w:val="00021E7D"/>
    <w:rsid w:val="00022069"/>
    <w:rsid w:val="00022D43"/>
    <w:rsid w:val="0002396B"/>
    <w:rsid w:val="00023A21"/>
    <w:rsid w:val="00023DCE"/>
    <w:rsid w:val="00024252"/>
    <w:rsid w:val="0002438C"/>
    <w:rsid w:val="00025141"/>
    <w:rsid w:val="00025F1A"/>
    <w:rsid w:val="000263C6"/>
    <w:rsid w:val="00026764"/>
    <w:rsid w:val="00026F57"/>
    <w:rsid w:val="0002708F"/>
    <w:rsid w:val="000270F8"/>
    <w:rsid w:val="000279A7"/>
    <w:rsid w:val="00027A98"/>
    <w:rsid w:val="000300D2"/>
    <w:rsid w:val="000306BC"/>
    <w:rsid w:val="000327D2"/>
    <w:rsid w:val="00032FBC"/>
    <w:rsid w:val="000332F0"/>
    <w:rsid w:val="00033538"/>
    <w:rsid w:val="0003378E"/>
    <w:rsid w:val="00033FBB"/>
    <w:rsid w:val="00034010"/>
    <w:rsid w:val="0003484A"/>
    <w:rsid w:val="00035ABF"/>
    <w:rsid w:val="00035E3F"/>
    <w:rsid w:val="0003647C"/>
    <w:rsid w:val="00040A44"/>
    <w:rsid w:val="00041B06"/>
    <w:rsid w:val="0004289F"/>
    <w:rsid w:val="000437E8"/>
    <w:rsid w:val="00043969"/>
    <w:rsid w:val="00043A7C"/>
    <w:rsid w:val="00044558"/>
    <w:rsid w:val="00045EDB"/>
    <w:rsid w:val="00047473"/>
    <w:rsid w:val="00047FA1"/>
    <w:rsid w:val="00047FED"/>
    <w:rsid w:val="000509FA"/>
    <w:rsid w:val="00050BEF"/>
    <w:rsid w:val="00050EFF"/>
    <w:rsid w:val="000524F1"/>
    <w:rsid w:val="00053029"/>
    <w:rsid w:val="000532AF"/>
    <w:rsid w:val="00054ACE"/>
    <w:rsid w:val="00055F73"/>
    <w:rsid w:val="0005725B"/>
    <w:rsid w:val="00057FF5"/>
    <w:rsid w:val="00060174"/>
    <w:rsid w:val="000601DD"/>
    <w:rsid w:val="00060253"/>
    <w:rsid w:val="00060E35"/>
    <w:rsid w:val="000618EE"/>
    <w:rsid w:val="00061B98"/>
    <w:rsid w:val="00063B1D"/>
    <w:rsid w:val="00063C1E"/>
    <w:rsid w:val="000643A7"/>
    <w:rsid w:val="0006573C"/>
    <w:rsid w:val="000665A4"/>
    <w:rsid w:val="000667F6"/>
    <w:rsid w:val="00066EA1"/>
    <w:rsid w:val="000671E1"/>
    <w:rsid w:val="00067E49"/>
    <w:rsid w:val="00067EE2"/>
    <w:rsid w:val="00070452"/>
    <w:rsid w:val="0007191F"/>
    <w:rsid w:val="0007194E"/>
    <w:rsid w:val="00071A51"/>
    <w:rsid w:val="00071A9A"/>
    <w:rsid w:val="00073A9B"/>
    <w:rsid w:val="00074B64"/>
    <w:rsid w:val="00074D91"/>
    <w:rsid w:val="000760C4"/>
    <w:rsid w:val="0007613A"/>
    <w:rsid w:val="00076688"/>
    <w:rsid w:val="000776DA"/>
    <w:rsid w:val="00077773"/>
    <w:rsid w:val="00077EA6"/>
    <w:rsid w:val="0008050E"/>
    <w:rsid w:val="00081D48"/>
    <w:rsid w:val="00082DE5"/>
    <w:rsid w:val="00083B91"/>
    <w:rsid w:val="0008408B"/>
    <w:rsid w:val="000843B7"/>
    <w:rsid w:val="00084E2E"/>
    <w:rsid w:val="0008563D"/>
    <w:rsid w:val="00085D51"/>
    <w:rsid w:val="00091A5C"/>
    <w:rsid w:val="000935CF"/>
    <w:rsid w:val="000936FE"/>
    <w:rsid w:val="00093832"/>
    <w:rsid w:val="0009439E"/>
    <w:rsid w:val="00094838"/>
    <w:rsid w:val="000949D8"/>
    <w:rsid w:val="000962C1"/>
    <w:rsid w:val="00097223"/>
    <w:rsid w:val="000A082D"/>
    <w:rsid w:val="000A1001"/>
    <w:rsid w:val="000A1190"/>
    <w:rsid w:val="000A20A3"/>
    <w:rsid w:val="000A22C0"/>
    <w:rsid w:val="000A2F94"/>
    <w:rsid w:val="000A38D6"/>
    <w:rsid w:val="000A3B29"/>
    <w:rsid w:val="000A482F"/>
    <w:rsid w:val="000A4943"/>
    <w:rsid w:val="000A4992"/>
    <w:rsid w:val="000A4A6F"/>
    <w:rsid w:val="000A5D45"/>
    <w:rsid w:val="000A6110"/>
    <w:rsid w:val="000A6571"/>
    <w:rsid w:val="000A703A"/>
    <w:rsid w:val="000B0071"/>
    <w:rsid w:val="000B00A6"/>
    <w:rsid w:val="000B0BA8"/>
    <w:rsid w:val="000B0F1D"/>
    <w:rsid w:val="000B233C"/>
    <w:rsid w:val="000B3E51"/>
    <w:rsid w:val="000B4063"/>
    <w:rsid w:val="000B5294"/>
    <w:rsid w:val="000B54E9"/>
    <w:rsid w:val="000B6780"/>
    <w:rsid w:val="000C019C"/>
    <w:rsid w:val="000C0AC1"/>
    <w:rsid w:val="000C0FA1"/>
    <w:rsid w:val="000C1433"/>
    <w:rsid w:val="000C1E0F"/>
    <w:rsid w:val="000C30DB"/>
    <w:rsid w:val="000C3A05"/>
    <w:rsid w:val="000C3A5D"/>
    <w:rsid w:val="000C3F24"/>
    <w:rsid w:val="000C4096"/>
    <w:rsid w:val="000C43F0"/>
    <w:rsid w:val="000C4CF7"/>
    <w:rsid w:val="000C609E"/>
    <w:rsid w:val="000C63A2"/>
    <w:rsid w:val="000C7329"/>
    <w:rsid w:val="000D0F17"/>
    <w:rsid w:val="000D1D72"/>
    <w:rsid w:val="000D1D93"/>
    <w:rsid w:val="000D1F31"/>
    <w:rsid w:val="000D20F0"/>
    <w:rsid w:val="000D22D5"/>
    <w:rsid w:val="000D326D"/>
    <w:rsid w:val="000D370B"/>
    <w:rsid w:val="000D47D5"/>
    <w:rsid w:val="000D5A3E"/>
    <w:rsid w:val="000D5ED2"/>
    <w:rsid w:val="000D66D5"/>
    <w:rsid w:val="000D6769"/>
    <w:rsid w:val="000D6C71"/>
    <w:rsid w:val="000D6E57"/>
    <w:rsid w:val="000D718B"/>
    <w:rsid w:val="000D7E78"/>
    <w:rsid w:val="000E16BE"/>
    <w:rsid w:val="000E1915"/>
    <w:rsid w:val="000E23A5"/>
    <w:rsid w:val="000E2B18"/>
    <w:rsid w:val="000E40D4"/>
    <w:rsid w:val="000E4EBC"/>
    <w:rsid w:val="000E53E5"/>
    <w:rsid w:val="000E5821"/>
    <w:rsid w:val="000E5AA3"/>
    <w:rsid w:val="000E668A"/>
    <w:rsid w:val="000E6789"/>
    <w:rsid w:val="000E682C"/>
    <w:rsid w:val="000E6C11"/>
    <w:rsid w:val="000E6F8B"/>
    <w:rsid w:val="000E787E"/>
    <w:rsid w:val="000F0B8B"/>
    <w:rsid w:val="000F0EC5"/>
    <w:rsid w:val="000F1DE9"/>
    <w:rsid w:val="000F297D"/>
    <w:rsid w:val="000F33BB"/>
    <w:rsid w:val="000F341A"/>
    <w:rsid w:val="000F3B56"/>
    <w:rsid w:val="000F5AA0"/>
    <w:rsid w:val="000F5EC7"/>
    <w:rsid w:val="000F6273"/>
    <w:rsid w:val="000F66F7"/>
    <w:rsid w:val="000F6CBC"/>
    <w:rsid w:val="000F713D"/>
    <w:rsid w:val="000F7479"/>
    <w:rsid w:val="000F7F08"/>
    <w:rsid w:val="000F7F9D"/>
    <w:rsid w:val="00100682"/>
    <w:rsid w:val="00100C14"/>
    <w:rsid w:val="0010164A"/>
    <w:rsid w:val="00101671"/>
    <w:rsid w:val="001023C1"/>
    <w:rsid w:val="00102877"/>
    <w:rsid w:val="00102A61"/>
    <w:rsid w:val="00102C68"/>
    <w:rsid w:val="001032CC"/>
    <w:rsid w:val="00104C79"/>
    <w:rsid w:val="00104F04"/>
    <w:rsid w:val="00105C91"/>
    <w:rsid w:val="0010620A"/>
    <w:rsid w:val="00106763"/>
    <w:rsid w:val="00106960"/>
    <w:rsid w:val="00107D70"/>
    <w:rsid w:val="001105E3"/>
    <w:rsid w:val="0011144F"/>
    <w:rsid w:val="00111FE7"/>
    <w:rsid w:val="001120CF"/>
    <w:rsid w:val="0011362B"/>
    <w:rsid w:val="00113795"/>
    <w:rsid w:val="001137C4"/>
    <w:rsid w:val="00113957"/>
    <w:rsid w:val="00113C3B"/>
    <w:rsid w:val="00113DEE"/>
    <w:rsid w:val="00113F5B"/>
    <w:rsid w:val="00114541"/>
    <w:rsid w:val="001146E3"/>
    <w:rsid w:val="001159C0"/>
    <w:rsid w:val="00115B48"/>
    <w:rsid w:val="001171C5"/>
    <w:rsid w:val="00117AB9"/>
    <w:rsid w:val="00121ACD"/>
    <w:rsid w:val="00122C95"/>
    <w:rsid w:val="00124E3D"/>
    <w:rsid w:val="0012658C"/>
    <w:rsid w:val="00127063"/>
    <w:rsid w:val="00130D09"/>
    <w:rsid w:val="00130F76"/>
    <w:rsid w:val="00130FD1"/>
    <w:rsid w:val="001313D3"/>
    <w:rsid w:val="001315F9"/>
    <w:rsid w:val="00131FF4"/>
    <w:rsid w:val="0013230A"/>
    <w:rsid w:val="001330D2"/>
    <w:rsid w:val="00133416"/>
    <w:rsid w:val="00133A8B"/>
    <w:rsid w:val="00133D01"/>
    <w:rsid w:val="00135E34"/>
    <w:rsid w:val="00135FF5"/>
    <w:rsid w:val="00136E7E"/>
    <w:rsid w:val="00137C9A"/>
    <w:rsid w:val="001404EB"/>
    <w:rsid w:val="001409D9"/>
    <w:rsid w:val="00141A29"/>
    <w:rsid w:val="00141A79"/>
    <w:rsid w:val="001425A2"/>
    <w:rsid w:val="0014299B"/>
    <w:rsid w:val="00143C66"/>
    <w:rsid w:val="00143D36"/>
    <w:rsid w:val="00143EF1"/>
    <w:rsid w:val="00144386"/>
    <w:rsid w:val="001444B1"/>
    <w:rsid w:val="00145067"/>
    <w:rsid w:val="001454CE"/>
    <w:rsid w:val="00145771"/>
    <w:rsid w:val="00145965"/>
    <w:rsid w:val="00146204"/>
    <w:rsid w:val="00147987"/>
    <w:rsid w:val="001501AE"/>
    <w:rsid w:val="00150D52"/>
    <w:rsid w:val="00151B40"/>
    <w:rsid w:val="0015213D"/>
    <w:rsid w:val="001523FE"/>
    <w:rsid w:val="00152CE0"/>
    <w:rsid w:val="00152E5C"/>
    <w:rsid w:val="001539E3"/>
    <w:rsid w:val="00153E66"/>
    <w:rsid w:val="00153EE0"/>
    <w:rsid w:val="001540D3"/>
    <w:rsid w:val="0015482E"/>
    <w:rsid w:val="00154848"/>
    <w:rsid w:val="00155292"/>
    <w:rsid w:val="001553F1"/>
    <w:rsid w:val="001559F8"/>
    <w:rsid w:val="00155BED"/>
    <w:rsid w:val="00156BC2"/>
    <w:rsid w:val="00156FFF"/>
    <w:rsid w:val="00157439"/>
    <w:rsid w:val="00157B23"/>
    <w:rsid w:val="00160103"/>
    <w:rsid w:val="001606C2"/>
    <w:rsid w:val="00160B3D"/>
    <w:rsid w:val="00160EDB"/>
    <w:rsid w:val="00161F09"/>
    <w:rsid w:val="00162D50"/>
    <w:rsid w:val="00163370"/>
    <w:rsid w:val="00164ADA"/>
    <w:rsid w:val="00166C85"/>
    <w:rsid w:val="001675D5"/>
    <w:rsid w:val="00167836"/>
    <w:rsid w:val="00167A56"/>
    <w:rsid w:val="00171E94"/>
    <w:rsid w:val="0017221C"/>
    <w:rsid w:val="00172731"/>
    <w:rsid w:val="00172794"/>
    <w:rsid w:val="00173BD4"/>
    <w:rsid w:val="00173EC7"/>
    <w:rsid w:val="001753B4"/>
    <w:rsid w:val="00175AD6"/>
    <w:rsid w:val="00176204"/>
    <w:rsid w:val="001763A4"/>
    <w:rsid w:val="00176566"/>
    <w:rsid w:val="001771DF"/>
    <w:rsid w:val="001774F2"/>
    <w:rsid w:val="001776CA"/>
    <w:rsid w:val="00180322"/>
    <w:rsid w:val="0018095B"/>
    <w:rsid w:val="00180D27"/>
    <w:rsid w:val="00181D2A"/>
    <w:rsid w:val="0018231C"/>
    <w:rsid w:val="00182FDA"/>
    <w:rsid w:val="00183A60"/>
    <w:rsid w:val="001843B2"/>
    <w:rsid w:val="001854EA"/>
    <w:rsid w:val="00186D12"/>
    <w:rsid w:val="00190B70"/>
    <w:rsid w:val="00191BCF"/>
    <w:rsid w:val="00192CC7"/>
    <w:rsid w:val="001931F0"/>
    <w:rsid w:val="001953CC"/>
    <w:rsid w:val="00196690"/>
    <w:rsid w:val="00196ECA"/>
    <w:rsid w:val="001976A3"/>
    <w:rsid w:val="0019778F"/>
    <w:rsid w:val="001A1B02"/>
    <w:rsid w:val="001A2560"/>
    <w:rsid w:val="001A30BA"/>
    <w:rsid w:val="001A3C31"/>
    <w:rsid w:val="001A51FA"/>
    <w:rsid w:val="001A5F3A"/>
    <w:rsid w:val="001A6063"/>
    <w:rsid w:val="001A6ED5"/>
    <w:rsid w:val="001A6F1F"/>
    <w:rsid w:val="001A7476"/>
    <w:rsid w:val="001A7B19"/>
    <w:rsid w:val="001B0E42"/>
    <w:rsid w:val="001B1BDB"/>
    <w:rsid w:val="001B2C7C"/>
    <w:rsid w:val="001B30FA"/>
    <w:rsid w:val="001B3588"/>
    <w:rsid w:val="001B368A"/>
    <w:rsid w:val="001B3CFA"/>
    <w:rsid w:val="001B4EAE"/>
    <w:rsid w:val="001B4EE4"/>
    <w:rsid w:val="001B5AF9"/>
    <w:rsid w:val="001B5F6A"/>
    <w:rsid w:val="001B6528"/>
    <w:rsid w:val="001B6858"/>
    <w:rsid w:val="001B764F"/>
    <w:rsid w:val="001B7A11"/>
    <w:rsid w:val="001B7B5F"/>
    <w:rsid w:val="001C0332"/>
    <w:rsid w:val="001C0617"/>
    <w:rsid w:val="001C19FA"/>
    <w:rsid w:val="001C300D"/>
    <w:rsid w:val="001C323B"/>
    <w:rsid w:val="001C34B8"/>
    <w:rsid w:val="001C37A5"/>
    <w:rsid w:val="001C4261"/>
    <w:rsid w:val="001C517D"/>
    <w:rsid w:val="001C571F"/>
    <w:rsid w:val="001C703C"/>
    <w:rsid w:val="001D05BB"/>
    <w:rsid w:val="001D1DCF"/>
    <w:rsid w:val="001D1F6F"/>
    <w:rsid w:val="001D20E1"/>
    <w:rsid w:val="001D3CBE"/>
    <w:rsid w:val="001D41A0"/>
    <w:rsid w:val="001D4221"/>
    <w:rsid w:val="001D4836"/>
    <w:rsid w:val="001D4F10"/>
    <w:rsid w:val="001D55B5"/>
    <w:rsid w:val="001D6012"/>
    <w:rsid w:val="001D6203"/>
    <w:rsid w:val="001D7F7B"/>
    <w:rsid w:val="001E078C"/>
    <w:rsid w:val="001E1B9A"/>
    <w:rsid w:val="001E3C28"/>
    <w:rsid w:val="001E4FF4"/>
    <w:rsid w:val="001E62F3"/>
    <w:rsid w:val="001E7342"/>
    <w:rsid w:val="001F11E3"/>
    <w:rsid w:val="001F17F6"/>
    <w:rsid w:val="001F18FD"/>
    <w:rsid w:val="001F2408"/>
    <w:rsid w:val="001F41E6"/>
    <w:rsid w:val="001F47F6"/>
    <w:rsid w:val="001F48DE"/>
    <w:rsid w:val="001F513B"/>
    <w:rsid w:val="001F70F3"/>
    <w:rsid w:val="001F75FF"/>
    <w:rsid w:val="00200597"/>
    <w:rsid w:val="002009ED"/>
    <w:rsid w:val="002012B2"/>
    <w:rsid w:val="00201863"/>
    <w:rsid w:val="002026D4"/>
    <w:rsid w:val="0020312C"/>
    <w:rsid w:val="00207029"/>
    <w:rsid w:val="00211501"/>
    <w:rsid w:val="002115ED"/>
    <w:rsid w:val="002118DA"/>
    <w:rsid w:val="00211A04"/>
    <w:rsid w:val="00212E32"/>
    <w:rsid w:val="00212ECB"/>
    <w:rsid w:val="0021320F"/>
    <w:rsid w:val="00213D4A"/>
    <w:rsid w:val="00213D4C"/>
    <w:rsid w:val="0021653D"/>
    <w:rsid w:val="0021689E"/>
    <w:rsid w:val="00217C7F"/>
    <w:rsid w:val="00221E68"/>
    <w:rsid w:val="00222DD3"/>
    <w:rsid w:val="00222FF0"/>
    <w:rsid w:val="002236C9"/>
    <w:rsid w:val="002249D6"/>
    <w:rsid w:val="002249F7"/>
    <w:rsid w:val="00224BAC"/>
    <w:rsid w:val="00224BBA"/>
    <w:rsid w:val="0022537F"/>
    <w:rsid w:val="00226B8C"/>
    <w:rsid w:val="0022783E"/>
    <w:rsid w:val="00227E78"/>
    <w:rsid w:val="002302B7"/>
    <w:rsid w:val="00230727"/>
    <w:rsid w:val="002313C1"/>
    <w:rsid w:val="002313DB"/>
    <w:rsid w:val="00231B92"/>
    <w:rsid w:val="002321CB"/>
    <w:rsid w:val="00232B40"/>
    <w:rsid w:val="00232D70"/>
    <w:rsid w:val="00232E9F"/>
    <w:rsid w:val="002330AF"/>
    <w:rsid w:val="002337F6"/>
    <w:rsid w:val="00234569"/>
    <w:rsid w:val="00234C1B"/>
    <w:rsid w:val="00234E8B"/>
    <w:rsid w:val="00235158"/>
    <w:rsid w:val="0023533B"/>
    <w:rsid w:val="0023558A"/>
    <w:rsid w:val="002360FC"/>
    <w:rsid w:val="00236244"/>
    <w:rsid w:val="00236C59"/>
    <w:rsid w:val="0023747F"/>
    <w:rsid w:val="0023778B"/>
    <w:rsid w:val="0023787F"/>
    <w:rsid w:val="0024147C"/>
    <w:rsid w:val="002428CF"/>
    <w:rsid w:val="00243A8C"/>
    <w:rsid w:val="00244C78"/>
    <w:rsid w:val="00244EAD"/>
    <w:rsid w:val="00245284"/>
    <w:rsid w:val="002457BF"/>
    <w:rsid w:val="002467C5"/>
    <w:rsid w:val="00246D69"/>
    <w:rsid w:val="00250AD5"/>
    <w:rsid w:val="00250D24"/>
    <w:rsid w:val="00251258"/>
    <w:rsid w:val="0025128B"/>
    <w:rsid w:val="00251505"/>
    <w:rsid w:val="002518F8"/>
    <w:rsid w:val="00251F43"/>
    <w:rsid w:val="00252500"/>
    <w:rsid w:val="00253135"/>
    <w:rsid w:val="00255816"/>
    <w:rsid w:val="0025685D"/>
    <w:rsid w:val="00257939"/>
    <w:rsid w:val="00261008"/>
    <w:rsid w:val="00264532"/>
    <w:rsid w:val="002650D3"/>
    <w:rsid w:val="002665AE"/>
    <w:rsid w:val="002679B7"/>
    <w:rsid w:val="00271E1B"/>
    <w:rsid w:val="002722EF"/>
    <w:rsid w:val="002724B7"/>
    <w:rsid w:val="00272C4B"/>
    <w:rsid w:val="00273246"/>
    <w:rsid w:val="00273815"/>
    <w:rsid w:val="002742F7"/>
    <w:rsid w:val="00274FF5"/>
    <w:rsid w:val="002762C7"/>
    <w:rsid w:val="00280050"/>
    <w:rsid w:val="002803C8"/>
    <w:rsid w:val="00280951"/>
    <w:rsid w:val="0028097E"/>
    <w:rsid w:val="00280E98"/>
    <w:rsid w:val="00281049"/>
    <w:rsid w:val="002810A5"/>
    <w:rsid w:val="00282AC1"/>
    <w:rsid w:val="00283BF9"/>
    <w:rsid w:val="002842B6"/>
    <w:rsid w:val="002859E7"/>
    <w:rsid w:val="00285D5D"/>
    <w:rsid w:val="002862F9"/>
    <w:rsid w:val="00286FCB"/>
    <w:rsid w:val="00290B32"/>
    <w:rsid w:val="00291868"/>
    <w:rsid w:val="0029200C"/>
    <w:rsid w:val="002929B4"/>
    <w:rsid w:val="00292E7F"/>
    <w:rsid w:val="00293426"/>
    <w:rsid w:val="00293945"/>
    <w:rsid w:val="00293F01"/>
    <w:rsid w:val="00293F30"/>
    <w:rsid w:val="0029550A"/>
    <w:rsid w:val="0029554E"/>
    <w:rsid w:val="002963BC"/>
    <w:rsid w:val="002975C4"/>
    <w:rsid w:val="00297BB9"/>
    <w:rsid w:val="002A0879"/>
    <w:rsid w:val="002A10A9"/>
    <w:rsid w:val="002A1CCB"/>
    <w:rsid w:val="002A1D0C"/>
    <w:rsid w:val="002A2446"/>
    <w:rsid w:val="002A2967"/>
    <w:rsid w:val="002A2D85"/>
    <w:rsid w:val="002A2F35"/>
    <w:rsid w:val="002A4213"/>
    <w:rsid w:val="002A4B0B"/>
    <w:rsid w:val="002A64A5"/>
    <w:rsid w:val="002A670A"/>
    <w:rsid w:val="002B05F5"/>
    <w:rsid w:val="002B0E4F"/>
    <w:rsid w:val="002B157A"/>
    <w:rsid w:val="002B1A76"/>
    <w:rsid w:val="002B238F"/>
    <w:rsid w:val="002B2E0B"/>
    <w:rsid w:val="002B2F80"/>
    <w:rsid w:val="002B3DD3"/>
    <w:rsid w:val="002B3E6A"/>
    <w:rsid w:val="002B417D"/>
    <w:rsid w:val="002B4D90"/>
    <w:rsid w:val="002B4E04"/>
    <w:rsid w:val="002B51A6"/>
    <w:rsid w:val="002B51C8"/>
    <w:rsid w:val="002B548B"/>
    <w:rsid w:val="002B5681"/>
    <w:rsid w:val="002B6678"/>
    <w:rsid w:val="002B67E0"/>
    <w:rsid w:val="002B6E6B"/>
    <w:rsid w:val="002B741E"/>
    <w:rsid w:val="002B7BC3"/>
    <w:rsid w:val="002C0C9B"/>
    <w:rsid w:val="002C14C2"/>
    <w:rsid w:val="002C1BB5"/>
    <w:rsid w:val="002C216A"/>
    <w:rsid w:val="002C2812"/>
    <w:rsid w:val="002C33B5"/>
    <w:rsid w:val="002C3FEF"/>
    <w:rsid w:val="002C4EB6"/>
    <w:rsid w:val="002C5381"/>
    <w:rsid w:val="002C74D1"/>
    <w:rsid w:val="002C7643"/>
    <w:rsid w:val="002D08BE"/>
    <w:rsid w:val="002D1246"/>
    <w:rsid w:val="002D1A5B"/>
    <w:rsid w:val="002D1D5A"/>
    <w:rsid w:val="002D2F31"/>
    <w:rsid w:val="002D320E"/>
    <w:rsid w:val="002D33B5"/>
    <w:rsid w:val="002D361C"/>
    <w:rsid w:val="002D3E53"/>
    <w:rsid w:val="002D4B80"/>
    <w:rsid w:val="002D71D3"/>
    <w:rsid w:val="002D797E"/>
    <w:rsid w:val="002D7BBC"/>
    <w:rsid w:val="002D7F84"/>
    <w:rsid w:val="002E0A69"/>
    <w:rsid w:val="002E10B0"/>
    <w:rsid w:val="002E115A"/>
    <w:rsid w:val="002E1F04"/>
    <w:rsid w:val="002E23AA"/>
    <w:rsid w:val="002E27F2"/>
    <w:rsid w:val="002E2E34"/>
    <w:rsid w:val="002E32FF"/>
    <w:rsid w:val="002E363C"/>
    <w:rsid w:val="002E47B6"/>
    <w:rsid w:val="002E4DEB"/>
    <w:rsid w:val="002E4FDB"/>
    <w:rsid w:val="002E76F0"/>
    <w:rsid w:val="002E7E08"/>
    <w:rsid w:val="002F0476"/>
    <w:rsid w:val="002F054C"/>
    <w:rsid w:val="002F062C"/>
    <w:rsid w:val="002F0C93"/>
    <w:rsid w:val="002F2520"/>
    <w:rsid w:val="002F2AF4"/>
    <w:rsid w:val="002F3AAB"/>
    <w:rsid w:val="002F3FB1"/>
    <w:rsid w:val="002F4163"/>
    <w:rsid w:val="002F4C9C"/>
    <w:rsid w:val="002F5070"/>
    <w:rsid w:val="002F5F6C"/>
    <w:rsid w:val="002F69FF"/>
    <w:rsid w:val="002F6A26"/>
    <w:rsid w:val="002F6BC8"/>
    <w:rsid w:val="002F785C"/>
    <w:rsid w:val="002F78D9"/>
    <w:rsid w:val="002F7EDA"/>
    <w:rsid w:val="00300CCE"/>
    <w:rsid w:val="003017EB"/>
    <w:rsid w:val="00301969"/>
    <w:rsid w:val="00301EC1"/>
    <w:rsid w:val="003022B1"/>
    <w:rsid w:val="003029A4"/>
    <w:rsid w:val="00302B94"/>
    <w:rsid w:val="00302CFF"/>
    <w:rsid w:val="00303C97"/>
    <w:rsid w:val="00304B8A"/>
    <w:rsid w:val="003061A1"/>
    <w:rsid w:val="003065B0"/>
    <w:rsid w:val="003067D5"/>
    <w:rsid w:val="00307D41"/>
    <w:rsid w:val="00310160"/>
    <w:rsid w:val="00310DE6"/>
    <w:rsid w:val="00311777"/>
    <w:rsid w:val="00311913"/>
    <w:rsid w:val="0031228D"/>
    <w:rsid w:val="00312DC6"/>
    <w:rsid w:val="00312E80"/>
    <w:rsid w:val="00313D5A"/>
    <w:rsid w:val="003141AA"/>
    <w:rsid w:val="0031476A"/>
    <w:rsid w:val="00314966"/>
    <w:rsid w:val="00316001"/>
    <w:rsid w:val="0031641A"/>
    <w:rsid w:val="00316982"/>
    <w:rsid w:val="00316A2D"/>
    <w:rsid w:val="003170C3"/>
    <w:rsid w:val="00320DBE"/>
    <w:rsid w:val="00322E88"/>
    <w:rsid w:val="00323494"/>
    <w:rsid w:val="00323A10"/>
    <w:rsid w:val="00323A6D"/>
    <w:rsid w:val="00324EEA"/>
    <w:rsid w:val="0032507B"/>
    <w:rsid w:val="00325260"/>
    <w:rsid w:val="003256D7"/>
    <w:rsid w:val="003258B6"/>
    <w:rsid w:val="003274A9"/>
    <w:rsid w:val="00330769"/>
    <w:rsid w:val="00331F4D"/>
    <w:rsid w:val="0033269A"/>
    <w:rsid w:val="00333221"/>
    <w:rsid w:val="00335191"/>
    <w:rsid w:val="003357D3"/>
    <w:rsid w:val="00336E7F"/>
    <w:rsid w:val="00337063"/>
    <w:rsid w:val="003401F6"/>
    <w:rsid w:val="00340246"/>
    <w:rsid w:val="003408D6"/>
    <w:rsid w:val="003410C1"/>
    <w:rsid w:val="00341CC4"/>
    <w:rsid w:val="003420B8"/>
    <w:rsid w:val="00342AAD"/>
    <w:rsid w:val="00342E1A"/>
    <w:rsid w:val="00343990"/>
    <w:rsid w:val="003442B1"/>
    <w:rsid w:val="00344C62"/>
    <w:rsid w:val="00346854"/>
    <w:rsid w:val="00347306"/>
    <w:rsid w:val="00347F3D"/>
    <w:rsid w:val="003502A1"/>
    <w:rsid w:val="00350D66"/>
    <w:rsid w:val="00350DEE"/>
    <w:rsid w:val="003512F0"/>
    <w:rsid w:val="0035363C"/>
    <w:rsid w:val="00353BEF"/>
    <w:rsid w:val="00354232"/>
    <w:rsid w:val="003542E4"/>
    <w:rsid w:val="00354596"/>
    <w:rsid w:val="00355B11"/>
    <w:rsid w:val="00355F4D"/>
    <w:rsid w:val="00356554"/>
    <w:rsid w:val="00357EB8"/>
    <w:rsid w:val="00357ED2"/>
    <w:rsid w:val="0036021A"/>
    <w:rsid w:val="00360513"/>
    <w:rsid w:val="0036095D"/>
    <w:rsid w:val="00360A52"/>
    <w:rsid w:val="003624EA"/>
    <w:rsid w:val="00362D71"/>
    <w:rsid w:val="0036314F"/>
    <w:rsid w:val="003648A7"/>
    <w:rsid w:val="00364B3F"/>
    <w:rsid w:val="00364C3C"/>
    <w:rsid w:val="00364CEE"/>
    <w:rsid w:val="0036525C"/>
    <w:rsid w:val="003654C4"/>
    <w:rsid w:val="0036556C"/>
    <w:rsid w:val="0036588B"/>
    <w:rsid w:val="003707E1"/>
    <w:rsid w:val="00372DBB"/>
    <w:rsid w:val="003735BF"/>
    <w:rsid w:val="00373B29"/>
    <w:rsid w:val="00373D80"/>
    <w:rsid w:val="00375A4C"/>
    <w:rsid w:val="00375F6D"/>
    <w:rsid w:val="003773D1"/>
    <w:rsid w:val="00377499"/>
    <w:rsid w:val="003775B5"/>
    <w:rsid w:val="003806A4"/>
    <w:rsid w:val="00380D9E"/>
    <w:rsid w:val="00381EB5"/>
    <w:rsid w:val="003824F5"/>
    <w:rsid w:val="00382E1A"/>
    <w:rsid w:val="00383055"/>
    <w:rsid w:val="0038401D"/>
    <w:rsid w:val="00384D64"/>
    <w:rsid w:val="00385A37"/>
    <w:rsid w:val="00386212"/>
    <w:rsid w:val="00386ED3"/>
    <w:rsid w:val="00387F7C"/>
    <w:rsid w:val="00387FBE"/>
    <w:rsid w:val="0039051B"/>
    <w:rsid w:val="003908AC"/>
    <w:rsid w:val="00391853"/>
    <w:rsid w:val="00391BE0"/>
    <w:rsid w:val="00391C1E"/>
    <w:rsid w:val="00394AD5"/>
    <w:rsid w:val="00395E04"/>
    <w:rsid w:val="00396674"/>
    <w:rsid w:val="003967DE"/>
    <w:rsid w:val="00397FB3"/>
    <w:rsid w:val="003A0C31"/>
    <w:rsid w:val="003A10FD"/>
    <w:rsid w:val="003A1A27"/>
    <w:rsid w:val="003A20B2"/>
    <w:rsid w:val="003A23F4"/>
    <w:rsid w:val="003A2DAB"/>
    <w:rsid w:val="003A31A8"/>
    <w:rsid w:val="003A3B42"/>
    <w:rsid w:val="003A3C05"/>
    <w:rsid w:val="003A54B9"/>
    <w:rsid w:val="003A5B73"/>
    <w:rsid w:val="003A670F"/>
    <w:rsid w:val="003A6BFF"/>
    <w:rsid w:val="003A710E"/>
    <w:rsid w:val="003A7D60"/>
    <w:rsid w:val="003B1204"/>
    <w:rsid w:val="003B165F"/>
    <w:rsid w:val="003B2277"/>
    <w:rsid w:val="003B2451"/>
    <w:rsid w:val="003B3B46"/>
    <w:rsid w:val="003B400A"/>
    <w:rsid w:val="003B461D"/>
    <w:rsid w:val="003B5F33"/>
    <w:rsid w:val="003B6432"/>
    <w:rsid w:val="003B6833"/>
    <w:rsid w:val="003B6A9D"/>
    <w:rsid w:val="003B6C6B"/>
    <w:rsid w:val="003B6D85"/>
    <w:rsid w:val="003B74CC"/>
    <w:rsid w:val="003B7C8B"/>
    <w:rsid w:val="003C03D6"/>
    <w:rsid w:val="003C06F3"/>
    <w:rsid w:val="003C1EE8"/>
    <w:rsid w:val="003C20B2"/>
    <w:rsid w:val="003C2E8F"/>
    <w:rsid w:val="003C309C"/>
    <w:rsid w:val="003C343C"/>
    <w:rsid w:val="003C41FB"/>
    <w:rsid w:val="003C4741"/>
    <w:rsid w:val="003C4BF0"/>
    <w:rsid w:val="003C51AC"/>
    <w:rsid w:val="003C5893"/>
    <w:rsid w:val="003C605A"/>
    <w:rsid w:val="003C6926"/>
    <w:rsid w:val="003C7782"/>
    <w:rsid w:val="003C7852"/>
    <w:rsid w:val="003D00BF"/>
    <w:rsid w:val="003D1C21"/>
    <w:rsid w:val="003D4BC6"/>
    <w:rsid w:val="003D4E80"/>
    <w:rsid w:val="003D50A2"/>
    <w:rsid w:val="003D5608"/>
    <w:rsid w:val="003D738A"/>
    <w:rsid w:val="003D73AA"/>
    <w:rsid w:val="003D7778"/>
    <w:rsid w:val="003D7BE8"/>
    <w:rsid w:val="003E00CB"/>
    <w:rsid w:val="003E0897"/>
    <w:rsid w:val="003E0965"/>
    <w:rsid w:val="003E1521"/>
    <w:rsid w:val="003E2178"/>
    <w:rsid w:val="003E27DF"/>
    <w:rsid w:val="003E29BA"/>
    <w:rsid w:val="003E3679"/>
    <w:rsid w:val="003E37EA"/>
    <w:rsid w:val="003E3828"/>
    <w:rsid w:val="003E3C45"/>
    <w:rsid w:val="003E419C"/>
    <w:rsid w:val="003E482C"/>
    <w:rsid w:val="003E49C6"/>
    <w:rsid w:val="003E5EEE"/>
    <w:rsid w:val="003E5F0F"/>
    <w:rsid w:val="003E5F21"/>
    <w:rsid w:val="003E610F"/>
    <w:rsid w:val="003E678D"/>
    <w:rsid w:val="003E71C6"/>
    <w:rsid w:val="003E76F8"/>
    <w:rsid w:val="003F055A"/>
    <w:rsid w:val="003F0839"/>
    <w:rsid w:val="003F18E4"/>
    <w:rsid w:val="003F1C6A"/>
    <w:rsid w:val="003F2B23"/>
    <w:rsid w:val="003F33F8"/>
    <w:rsid w:val="003F40B6"/>
    <w:rsid w:val="003F42A1"/>
    <w:rsid w:val="003F4E52"/>
    <w:rsid w:val="003F50EB"/>
    <w:rsid w:val="003F5287"/>
    <w:rsid w:val="003F617C"/>
    <w:rsid w:val="003F62F1"/>
    <w:rsid w:val="003F7079"/>
    <w:rsid w:val="003F7855"/>
    <w:rsid w:val="003F7F12"/>
    <w:rsid w:val="00400D40"/>
    <w:rsid w:val="0040107B"/>
    <w:rsid w:val="00401328"/>
    <w:rsid w:val="00402525"/>
    <w:rsid w:val="00402AF2"/>
    <w:rsid w:val="00403E40"/>
    <w:rsid w:val="004048CB"/>
    <w:rsid w:val="004058C8"/>
    <w:rsid w:val="00405ADB"/>
    <w:rsid w:val="004065DA"/>
    <w:rsid w:val="0040703D"/>
    <w:rsid w:val="00410962"/>
    <w:rsid w:val="00410ED3"/>
    <w:rsid w:val="00411606"/>
    <w:rsid w:val="004126FC"/>
    <w:rsid w:val="0041291B"/>
    <w:rsid w:val="0041547B"/>
    <w:rsid w:val="004156CC"/>
    <w:rsid w:val="00415782"/>
    <w:rsid w:val="00415EE6"/>
    <w:rsid w:val="00416218"/>
    <w:rsid w:val="00416A25"/>
    <w:rsid w:val="00416C2C"/>
    <w:rsid w:val="00417230"/>
    <w:rsid w:val="0042060F"/>
    <w:rsid w:val="004229D9"/>
    <w:rsid w:val="00422C43"/>
    <w:rsid w:val="00423DE0"/>
    <w:rsid w:val="004243A9"/>
    <w:rsid w:val="00424B1F"/>
    <w:rsid w:val="00425A10"/>
    <w:rsid w:val="00425E9F"/>
    <w:rsid w:val="00425EBC"/>
    <w:rsid w:val="00425ECF"/>
    <w:rsid w:val="00430BAD"/>
    <w:rsid w:val="00430C46"/>
    <w:rsid w:val="00431297"/>
    <w:rsid w:val="0043130B"/>
    <w:rsid w:val="004314A7"/>
    <w:rsid w:val="004320FC"/>
    <w:rsid w:val="00432BBC"/>
    <w:rsid w:val="00432CA9"/>
    <w:rsid w:val="00432D98"/>
    <w:rsid w:val="00432F47"/>
    <w:rsid w:val="00433A08"/>
    <w:rsid w:val="0043694F"/>
    <w:rsid w:val="00436BB4"/>
    <w:rsid w:val="004403F2"/>
    <w:rsid w:val="00440CDD"/>
    <w:rsid w:val="00441165"/>
    <w:rsid w:val="0044157B"/>
    <w:rsid w:val="00441F89"/>
    <w:rsid w:val="00442881"/>
    <w:rsid w:val="0044289D"/>
    <w:rsid w:val="00442E5D"/>
    <w:rsid w:val="004430C1"/>
    <w:rsid w:val="00443243"/>
    <w:rsid w:val="00444162"/>
    <w:rsid w:val="004446A2"/>
    <w:rsid w:val="00444720"/>
    <w:rsid w:val="00444965"/>
    <w:rsid w:val="00444CBC"/>
    <w:rsid w:val="00444D71"/>
    <w:rsid w:val="004454EF"/>
    <w:rsid w:val="00445602"/>
    <w:rsid w:val="004458FA"/>
    <w:rsid w:val="00445D7F"/>
    <w:rsid w:val="004461D4"/>
    <w:rsid w:val="00446539"/>
    <w:rsid w:val="00446834"/>
    <w:rsid w:val="004474D1"/>
    <w:rsid w:val="00447A19"/>
    <w:rsid w:val="00447D2D"/>
    <w:rsid w:val="004509B1"/>
    <w:rsid w:val="0045357D"/>
    <w:rsid w:val="0045394F"/>
    <w:rsid w:val="00453E2A"/>
    <w:rsid w:val="00453F6D"/>
    <w:rsid w:val="00454E0A"/>
    <w:rsid w:val="00455239"/>
    <w:rsid w:val="00455AF3"/>
    <w:rsid w:val="0045719B"/>
    <w:rsid w:val="00457256"/>
    <w:rsid w:val="00460485"/>
    <w:rsid w:val="0046094B"/>
    <w:rsid w:val="00461339"/>
    <w:rsid w:val="004619A7"/>
    <w:rsid w:val="0046204D"/>
    <w:rsid w:val="004636E4"/>
    <w:rsid w:val="004648E8"/>
    <w:rsid w:val="00465D3C"/>
    <w:rsid w:val="004673DD"/>
    <w:rsid w:val="00467AE0"/>
    <w:rsid w:val="00467D4E"/>
    <w:rsid w:val="00470E27"/>
    <w:rsid w:val="00470EC1"/>
    <w:rsid w:val="004713A6"/>
    <w:rsid w:val="00471E35"/>
    <w:rsid w:val="00472092"/>
    <w:rsid w:val="00472380"/>
    <w:rsid w:val="004723DF"/>
    <w:rsid w:val="00473D4B"/>
    <w:rsid w:val="00474151"/>
    <w:rsid w:val="00474E8B"/>
    <w:rsid w:val="004753B8"/>
    <w:rsid w:val="004754C5"/>
    <w:rsid w:val="0047601B"/>
    <w:rsid w:val="00476DD5"/>
    <w:rsid w:val="00477001"/>
    <w:rsid w:val="00477134"/>
    <w:rsid w:val="0047747A"/>
    <w:rsid w:val="004802F1"/>
    <w:rsid w:val="00480347"/>
    <w:rsid w:val="004805D8"/>
    <w:rsid w:val="004812A4"/>
    <w:rsid w:val="004812C4"/>
    <w:rsid w:val="00481964"/>
    <w:rsid w:val="00481C86"/>
    <w:rsid w:val="0048351E"/>
    <w:rsid w:val="00483FF6"/>
    <w:rsid w:val="004841E7"/>
    <w:rsid w:val="004848EF"/>
    <w:rsid w:val="00484F69"/>
    <w:rsid w:val="0048668C"/>
    <w:rsid w:val="00486E8B"/>
    <w:rsid w:val="00487075"/>
    <w:rsid w:val="0048713B"/>
    <w:rsid w:val="00487D58"/>
    <w:rsid w:val="004918A2"/>
    <w:rsid w:val="0049221C"/>
    <w:rsid w:val="00493B89"/>
    <w:rsid w:val="0049494E"/>
    <w:rsid w:val="00494ACC"/>
    <w:rsid w:val="00494AEE"/>
    <w:rsid w:val="004A07F5"/>
    <w:rsid w:val="004A100E"/>
    <w:rsid w:val="004A1056"/>
    <w:rsid w:val="004A18E7"/>
    <w:rsid w:val="004A3903"/>
    <w:rsid w:val="004A3C21"/>
    <w:rsid w:val="004A5B55"/>
    <w:rsid w:val="004A6248"/>
    <w:rsid w:val="004A76B7"/>
    <w:rsid w:val="004A78A4"/>
    <w:rsid w:val="004A7A7A"/>
    <w:rsid w:val="004A7FC7"/>
    <w:rsid w:val="004B07D8"/>
    <w:rsid w:val="004B093E"/>
    <w:rsid w:val="004B0A03"/>
    <w:rsid w:val="004B2260"/>
    <w:rsid w:val="004B2DC5"/>
    <w:rsid w:val="004B378F"/>
    <w:rsid w:val="004B465F"/>
    <w:rsid w:val="004B51E6"/>
    <w:rsid w:val="004B6910"/>
    <w:rsid w:val="004B7491"/>
    <w:rsid w:val="004B7BE4"/>
    <w:rsid w:val="004B7E02"/>
    <w:rsid w:val="004C0312"/>
    <w:rsid w:val="004C0EF9"/>
    <w:rsid w:val="004C1109"/>
    <w:rsid w:val="004C118E"/>
    <w:rsid w:val="004C12C1"/>
    <w:rsid w:val="004C20CF"/>
    <w:rsid w:val="004C26C3"/>
    <w:rsid w:val="004C29D8"/>
    <w:rsid w:val="004C2DE6"/>
    <w:rsid w:val="004C4119"/>
    <w:rsid w:val="004C49BC"/>
    <w:rsid w:val="004C537C"/>
    <w:rsid w:val="004C547C"/>
    <w:rsid w:val="004C5BEE"/>
    <w:rsid w:val="004C5DCB"/>
    <w:rsid w:val="004C68DB"/>
    <w:rsid w:val="004C6E93"/>
    <w:rsid w:val="004C7344"/>
    <w:rsid w:val="004D01BF"/>
    <w:rsid w:val="004D0D29"/>
    <w:rsid w:val="004D1160"/>
    <w:rsid w:val="004D1350"/>
    <w:rsid w:val="004D16D1"/>
    <w:rsid w:val="004D2071"/>
    <w:rsid w:val="004D2988"/>
    <w:rsid w:val="004D3DA3"/>
    <w:rsid w:val="004D3F55"/>
    <w:rsid w:val="004D4AA4"/>
    <w:rsid w:val="004D5047"/>
    <w:rsid w:val="004D5593"/>
    <w:rsid w:val="004D58B2"/>
    <w:rsid w:val="004D6A75"/>
    <w:rsid w:val="004D70BA"/>
    <w:rsid w:val="004D718A"/>
    <w:rsid w:val="004D7F24"/>
    <w:rsid w:val="004E0DDD"/>
    <w:rsid w:val="004E106D"/>
    <w:rsid w:val="004E1146"/>
    <w:rsid w:val="004E15AD"/>
    <w:rsid w:val="004E1B6E"/>
    <w:rsid w:val="004E1D6E"/>
    <w:rsid w:val="004E2662"/>
    <w:rsid w:val="004E27B9"/>
    <w:rsid w:val="004E285E"/>
    <w:rsid w:val="004E34DB"/>
    <w:rsid w:val="004E4510"/>
    <w:rsid w:val="004E58AE"/>
    <w:rsid w:val="004E6360"/>
    <w:rsid w:val="004E6495"/>
    <w:rsid w:val="004E6775"/>
    <w:rsid w:val="004E69A3"/>
    <w:rsid w:val="004E7EC1"/>
    <w:rsid w:val="004F003B"/>
    <w:rsid w:val="004F00D2"/>
    <w:rsid w:val="004F0473"/>
    <w:rsid w:val="004F15DB"/>
    <w:rsid w:val="004F16D9"/>
    <w:rsid w:val="004F1D59"/>
    <w:rsid w:val="004F29DA"/>
    <w:rsid w:val="004F2CE5"/>
    <w:rsid w:val="004F3B1A"/>
    <w:rsid w:val="004F3BEA"/>
    <w:rsid w:val="004F54C1"/>
    <w:rsid w:val="004F60ED"/>
    <w:rsid w:val="004F65AB"/>
    <w:rsid w:val="004F6B7E"/>
    <w:rsid w:val="004F7698"/>
    <w:rsid w:val="004F7896"/>
    <w:rsid w:val="004F79B8"/>
    <w:rsid w:val="0050108B"/>
    <w:rsid w:val="00503807"/>
    <w:rsid w:val="0050410D"/>
    <w:rsid w:val="005042B5"/>
    <w:rsid w:val="00504CE0"/>
    <w:rsid w:val="0050544E"/>
    <w:rsid w:val="00505793"/>
    <w:rsid w:val="005058FE"/>
    <w:rsid w:val="00506637"/>
    <w:rsid w:val="00506FBF"/>
    <w:rsid w:val="0051038B"/>
    <w:rsid w:val="00510B32"/>
    <w:rsid w:val="005110D3"/>
    <w:rsid w:val="005116D8"/>
    <w:rsid w:val="00511B96"/>
    <w:rsid w:val="005137D2"/>
    <w:rsid w:val="00513CE7"/>
    <w:rsid w:val="00514F2E"/>
    <w:rsid w:val="00516198"/>
    <w:rsid w:val="005164EE"/>
    <w:rsid w:val="00517F43"/>
    <w:rsid w:val="00520A8E"/>
    <w:rsid w:val="00521EBB"/>
    <w:rsid w:val="0052260B"/>
    <w:rsid w:val="00522F12"/>
    <w:rsid w:val="00524026"/>
    <w:rsid w:val="0052559B"/>
    <w:rsid w:val="005256C0"/>
    <w:rsid w:val="00526917"/>
    <w:rsid w:val="005271C5"/>
    <w:rsid w:val="0052742E"/>
    <w:rsid w:val="0053030D"/>
    <w:rsid w:val="00530367"/>
    <w:rsid w:val="005306E1"/>
    <w:rsid w:val="0053074B"/>
    <w:rsid w:val="005313A5"/>
    <w:rsid w:val="005317AE"/>
    <w:rsid w:val="00531D5B"/>
    <w:rsid w:val="00531EE5"/>
    <w:rsid w:val="00532B47"/>
    <w:rsid w:val="00533099"/>
    <w:rsid w:val="005333A1"/>
    <w:rsid w:val="005333FB"/>
    <w:rsid w:val="00533B40"/>
    <w:rsid w:val="0053436D"/>
    <w:rsid w:val="00535096"/>
    <w:rsid w:val="005356B0"/>
    <w:rsid w:val="00536319"/>
    <w:rsid w:val="00537A82"/>
    <w:rsid w:val="00540656"/>
    <w:rsid w:val="00541307"/>
    <w:rsid w:val="005415B6"/>
    <w:rsid w:val="00541828"/>
    <w:rsid w:val="00542703"/>
    <w:rsid w:val="005435A1"/>
    <w:rsid w:val="00543EC2"/>
    <w:rsid w:val="00543F15"/>
    <w:rsid w:val="0054441B"/>
    <w:rsid w:val="00544CAA"/>
    <w:rsid w:val="00545E7D"/>
    <w:rsid w:val="00545F0D"/>
    <w:rsid w:val="00546671"/>
    <w:rsid w:val="0054763F"/>
    <w:rsid w:val="00547CE7"/>
    <w:rsid w:val="005505B3"/>
    <w:rsid w:val="00551044"/>
    <w:rsid w:val="00551445"/>
    <w:rsid w:val="005515CB"/>
    <w:rsid w:val="00552E43"/>
    <w:rsid w:val="00553B68"/>
    <w:rsid w:val="005541A8"/>
    <w:rsid w:val="00556CAD"/>
    <w:rsid w:val="00556F01"/>
    <w:rsid w:val="00557A13"/>
    <w:rsid w:val="0056001C"/>
    <w:rsid w:val="0056074E"/>
    <w:rsid w:val="00560B4F"/>
    <w:rsid w:val="0056187B"/>
    <w:rsid w:val="00561933"/>
    <w:rsid w:val="00561AE0"/>
    <w:rsid w:val="00561FCC"/>
    <w:rsid w:val="00562097"/>
    <w:rsid w:val="00562BCA"/>
    <w:rsid w:val="00562D03"/>
    <w:rsid w:val="00564172"/>
    <w:rsid w:val="00564AC2"/>
    <w:rsid w:val="00564FF6"/>
    <w:rsid w:val="00565419"/>
    <w:rsid w:val="00567369"/>
    <w:rsid w:val="00570016"/>
    <w:rsid w:val="005708A4"/>
    <w:rsid w:val="00570B12"/>
    <w:rsid w:val="00571013"/>
    <w:rsid w:val="00571D7F"/>
    <w:rsid w:val="005720E8"/>
    <w:rsid w:val="00572140"/>
    <w:rsid w:val="005724CF"/>
    <w:rsid w:val="00572AAB"/>
    <w:rsid w:val="00573247"/>
    <w:rsid w:val="0057392D"/>
    <w:rsid w:val="005742B8"/>
    <w:rsid w:val="005746E3"/>
    <w:rsid w:val="00574C4A"/>
    <w:rsid w:val="00575598"/>
    <w:rsid w:val="00576E6D"/>
    <w:rsid w:val="00577102"/>
    <w:rsid w:val="0058098A"/>
    <w:rsid w:val="00580C14"/>
    <w:rsid w:val="00581AD6"/>
    <w:rsid w:val="00581F2F"/>
    <w:rsid w:val="00581F3F"/>
    <w:rsid w:val="0058299E"/>
    <w:rsid w:val="00582B95"/>
    <w:rsid w:val="0058307D"/>
    <w:rsid w:val="00585C58"/>
    <w:rsid w:val="0058652F"/>
    <w:rsid w:val="005872B8"/>
    <w:rsid w:val="00590C77"/>
    <w:rsid w:val="0059298C"/>
    <w:rsid w:val="00593AD8"/>
    <w:rsid w:val="00593C72"/>
    <w:rsid w:val="00593E41"/>
    <w:rsid w:val="00594200"/>
    <w:rsid w:val="005944B8"/>
    <w:rsid w:val="00594A27"/>
    <w:rsid w:val="00595682"/>
    <w:rsid w:val="00596CB2"/>
    <w:rsid w:val="00596D3A"/>
    <w:rsid w:val="0059708B"/>
    <w:rsid w:val="00597231"/>
    <w:rsid w:val="005976EE"/>
    <w:rsid w:val="005A03C6"/>
    <w:rsid w:val="005A1D16"/>
    <w:rsid w:val="005A1E92"/>
    <w:rsid w:val="005A1FD8"/>
    <w:rsid w:val="005A4B70"/>
    <w:rsid w:val="005A4DCD"/>
    <w:rsid w:val="005A5441"/>
    <w:rsid w:val="005A6246"/>
    <w:rsid w:val="005A6377"/>
    <w:rsid w:val="005A6513"/>
    <w:rsid w:val="005A6A8B"/>
    <w:rsid w:val="005A6CE1"/>
    <w:rsid w:val="005A70AD"/>
    <w:rsid w:val="005A73F7"/>
    <w:rsid w:val="005A799F"/>
    <w:rsid w:val="005B0390"/>
    <w:rsid w:val="005B2138"/>
    <w:rsid w:val="005B25A4"/>
    <w:rsid w:val="005B2BD5"/>
    <w:rsid w:val="005B3200"/>
    <w:rsid w:val="005B3FB4"/>
    <w:rsid w:val="005B4155"/>
    <w:rsid w:val="005B4174"/>
    <w:rsid w:val="005B4C9A"/>
    <w:rsid w:val="005B5760"/>
    <w:rsid w:val="005B647F"/>
    <w:rsid w:val="005B7C51"/>
    <w:rsid w:val="005C051C"/>
    <w:rsid w:val="005C07A8"/>
    <w:rsid w:val="005C07FF"/>
    <w:rsid w:val="005C0B38"/>
    <w:rsid w:val="005C0C31"/>
    <w:rsid w:val="005C0C85"/>
    <w:rsid w:val="005C1121"/>
    <w:rsid w:val="005C1771"/>
    <w:rsid w:val="005C1D81"/>
    <w:rsid w:val="005C2209"/>
    <w:rsid w:val="005C3C16"/>
    <w:rsid w:val="005C4685"/>
    <w:rsid w:val="005C54B1"/>
    <w:rsid w:val="005C7E99"/>
    <w:rsid w:val="005D0446"/>
    <w:rsid w:val="005D1447"/>
    <w:rsid w:val="005D1564"/>
    <w:rsid w:val="005D184A"/>
    <w:rsid w:val="005D18F6"/>
    <w:rsid w:val="005D2045"/>
    <w:rsid w:val="005D2EB6"/>
    <w:rsid w:val="005D3052"/>
    <w:rsid w:val="005D31CB"/>
    <w:rsid w:val="005D3492"/>
    <w:rsid w:val="005D3ADA"/>
    <w:rsid w:val="005D4DDD"/>
    <w:rsid w:val="005D5548"/>
    <w:rsid w:val="005D5F2C"/>
    <w:rsid w:val="005D72A6"/>
    <w:rsid w:val="005D7F97"/>
    <w:rsid w:val="005E0534"/>
    <w:rsid w:val="005E0A97"/>
    <w:rsid w:val="005E1B3D"/>
    <w:rsid w:val="005E20FE"/>
    <w:rsid w:val="005E218E"/>
    <w:rsid w:val="005E23AD"/>
    <w:rsid w:val="005E2B79"/>
    <w:rsid w:val="005E2DE4"/>
    <w:rsid w:val="005E59DD"/>
    <w:rsid w:val="005E6705"/>
    <w:rsid w:val="005E6995"/>
    <w:rsid w:val="005E77F3"/>
    <w:rsid w:val="005F077A"/>
    <w:rsid w:val="005F07E1"/>
    <w:rsid w:val="005F0DC0"/>
    <w:rsid w:val="005F138B"/>
    <w:rsid w:val="005F13ED"/>
    <w:rsid w:val="005F1650"/>
    <w:rsid w:val="005F1BB2"/>
    <w:rsid w:val="005F32F4"/>
    <w:rsid w:val="005F398E"/>
    <w:rsid w:val="005F408C"/>
    <w:rsid w:val="005F530B"/>
    <w:rsid w:val="005F55A2"/>
    <w:rsid w:val="005F55E6"/>
    <w:rsid w:val="005F58DB"/>
    <w:rsid w:val="005F5C76"/>
    <w:rsid w:val="005F617A"/>
    <w:rsid w:val="005F61A6"/>
    <w:rsid w:val="005F6A15"/>
    <w:rsid w:val="005F6FC7"/>
    <w:rsid w:val="005F7212"/>
    <w:rsid w:val="005F7C31"/>
    <w:rsid w:val="00600E77"/>
    <w:rsid w:val="00600ED8"/>
    <w:rsid w:val="0060118D"/>
    <w:rsid w:val="00601194"/>
    <w:rsid w:val="00601793"/>
    <w:rsid w:val="00603A46"/>
    <w:rsid w:val="00603CCB"/>
    <w:rsid w:val="00604072"/>
    <w:rsid w:val="00604177"/>
    <w:rsid w:val="006042B3"/>
    <w:rsid w:val="0060560F"/>
    <w:rsid w:val="00605BB7"/>
    <w:rsid w:val="006078E5"/>
    <w:rsid w:val="0061000B"/>
    <w:rsid w:val="0061004A"/>
    <w:rsid w:val="0061081D"/>
    <w:rsid w:val="0061122E"/>
    <w:rsid w:val="0061299B"/>
    <w:rsid w:val="00612CDD"/>
    <w:rsid w:val="00612DC2"/>
    <w:rsid w:val="0061348C"/>
    <w:rsid w:val="00613A1E"/>
    <w:rsid w:val="006150B3"/>
    <w:rsid w:val="006162CE"/>
    <w:rsid w:val="006162DF"/>
    <w:rsid w:val="00616688"/>
    <w:rsid w:val="0061737E"/>
    <w:rsid w:val="00617C01"/>
    <w:rsid w:val="00621503"/>
    <w:rsid w:val="00621FFB"/>
    <w:rsid w:val="006224FE"/>
    <w:rsid w:val="00623472"/>
    <w:rsid w:val="0062393A"/>
    <w:rsid w:val="0062543C"/>
    <w:rsid w:val="00626D90"/>
    <w:rsid w:val="00626DCA"/>
    <w:rsid w:val="00630C30"/>
    <w:rsid w:val="00631F5D"/>
    <w:rsid w:val="006322F0"/>
    <w:rsid w:val="006324CA"/>
    <w:rsid w:val="00632705"/>
    <w:rsid w:val="00632B3C"/>
    <w:rsid w:val="00632D45"/>
    <w:rsid w:val="006330D6"/>
    <w:rsid w:val="00633157"/>
    <w:rsid w:val="00633217"/>
    <w:rsid w:val="00633FF5"/>
    <w:rsid w:val="00634358"/>
    <w:rsid w:val="006350C1"/>
    <w:rsid w:val="00635CD5"/>
    <w:rsid w:val="006360F2"/>
    <w:rsid w:val="006373BE"/>
    <w:rsid w:val="006408E0"/>
    <w:rsid w:val="0064094A"/>
    <w:rsid w:val="00640DF6"/>
    <w:rsid w:val="006413EF"/>
    <w:rsid w:val="00641716"/>
    <w:rsid w:val="00641CD0"/>
    <w:rsid w:val="00643763"/>
    <w:rsid w:val="0064392A"/>
    <w:rsid w:val="0064461E"/>
    <w:rsid w:val="00644E05"/>
    <w:rsid w:val="00645532"/>
    <w:rsid w:val="00645AC8"/>
    <w:rsid w:val="00645E58"/>
    <w:rsid w:val="00646530"/>
    <w:rsid w:val="00647F0C"/>
    <w:rsid w:val="00650013"/>
    <w:rsid w:val="006504D5"/>
    <w:rsid w:val="0065084D"/>
    <w:rsid w:val="0065151D"/>
    <w:rsid w:val="00651877"/>
    <w:rsid w:val="00652018"/>
    <w:rsid w:val="00652F12"/>
    <w:rsid w:val="006546F2"/>
    <w:rsid w:val="00654CCC"/>
    <w:rsid w:val="00654EDE"/>
    <w:rsid w:val="00655C18"/>
    <w:rsid w:val="00656EB6"/>
    <w:rsid w:val="00657B51"/>
    <w:rsid w:val="00657BDD"/>
    <w:rsid w:val="006607E3"/>
    <w:rsid w:val="00661B93"/>
    <w:rsid w:val="00662023"/>
    <w:rsid w:val="00662682"/>
    <w:rsid w:val="0066271C"/>
    <w:rsid w:val="006636F6"/>
    <w:rsid w:val="006637E2"/>
    <w:rsid w:val="006641C2"/>
    <w:rsid w:val="006652BD"/>
    <w:rsid w:val="0066637C"/>
    <w:rsid w:val="006668BB"/>
    <w:rsid w:val="00666BAA"/>
    <w:rsid w:val="0066729D"/>
    <w:rsid w:val="0066798F"/>
    <w:rsid w:val="00667B06"/>
    <w:rsid w:val="00671C37"/>
    <w:rsid w:val="00672175"/>
    <w:rsid w:val="00673010"/>
    <w:rsid w:val="0067347D"/>
    <w:rsid w:val="00674618"/>
    <w:rsid w:val="006747A7"/>
    <w:rsid w:val="00674B61"/>
    <w:rsid w:val="006756E4"/>
    <w:rsid w:val="00676548"/>
    <w:rsid w:val="0067766F"/>
    <w:rsid w:val="00677E02"/>
    <w:rsid w:val="00680211"/>
    <w:rsid w:val="00680328"/>
    <w:rsid w:val="006808B5"/>
    <w:rsid w:val="006826D6"/>
    <w:rsid w:val="00682869"/>
    <w:rsid w:val="00682B62"/>
    <w:rsid w:val="0068404F"/>
    <w:rsid w:val="00684378"/>
    <w:rsid w:val="00684503"/>
    <w:rsid w:val="00684C56"/>
    <w:rsid w:val="00685221"/>
    <w:rsid w:val="006867F1"/>
    <w:rsid w:val="00686C42"/>
    <w:rsid w:val="00687D09"/>
    <w:rsid w:val="006911D7"/>
    <w:rsid w:val="00692EAB"/>
    <w:rsid w:val="00693048"/>
    <w:rsid w:val="00693061"/>
    <w:rsid w:val="0069375D"/>
    <w:rsid w:val="00693B56"/>
    <w:rsid w:val="00693E1B"/>
    <w:rsid w:val="0069409E"/>
    <w:rsid w:val="006946A1"/>
    <w:rsid w:val="00694D37"/>
    <w:rsid w:val="00695043"/>
    <w:rsid w:val="00695A2F"/>
    <w:rsid w:val="00695B34"/>
    <w:rsid w:val="00695E23"/>
    <w:rsid w:val="00696AAE"/>
    <w:rsid w:val="00696BC8"/>
    <w:rsid w:val="00696D50"/>
    <w:rsid w:val="00697422"/>
    <w:rsid w:val="00697A99"/>
    <w:rsid w:val="006A021B"/>
    <w:rsid w:val="006A19D3"/>
    <w:rsid w:val="006A24C8"/>
    <w:rsid w:val="006A2871"/>
    <w:rsid w:val="006A2E67"/>
    <w:rsid w:val="006A2F41"/>
    <w:rsid w:val="006A5657"/>
    <w:rsid w:val="006A5B9A"/>
    <w:rsid w:val="006A68CE"/>
    <w:rsid w:val="006A6F14"/>
    <w:rsid w:val="006A6F95"/>
    <w:rsid w:val="006A74A7"/>
    <w:rsid w:val="006A77D5"/>
    <w:rsid w:val="006A7C3A"/>
    <w:rsid w:val="006B0D3B"/>
    <w:rsid w:val="006B16E7"/>
    <w:rsid w:val="006B23EE"/>
    <w:rsid w:val="006B285D"/>
    <w:rsid w:val="006B35BB"/>
    <w:rsid w:val="006B3AD0"/>
    <w:rsid w:val="006B44BA"/>
    <w:rsid w:val="006B532B"/>
    <w:rsid w:val="006B57CA"/>
    <w:rsid w:val="006B5DDC"/>
    <w:rsid w:val="006B7929"/>
    <w:rsid w:val="006B7B24"/>
    <w:rsid w:val="006C0672"/>
    <w:rsid w:val="006C0775"/>
    <w:rsid w:val="006C0E91"/>
    <w:rsid w:val="006C172F"/>
    <w:rsid w:val="006C2B48"/>
    <w:rsid w:val="006C325E"/>
    <w:rsid w:val="006C337A"/>
    <w:rsid w:val="006C5250"/>
    <w:rsid w:val="006C5E08"/>
    <w:rsid w:val="006C6370"/>
    <w:rsid w:val="006C6405"/>
    <w:rsid w:val="006C6596"/>
    <w:rsid w:val="006C7E19"/>
    <w:rsid w:val="006C7F3B"/>
    <w:rsid w:val="006D1B8E"/>
    <w:rsid w:val="006D2CEF"/>
    <w:rsid w:val="006D2F83"/>
    <w:rsid w:val="006D34CD"/>
    <w:rsid w:val="006D3830"/>
    <w:rsid w:val="006D3E0B"/>
    <w:rsid w:val="006D4EA1"/>
    <w:rsid w:val="006D6FFF"/>
    <w:rsid w:val="006D732D"/>
    <w:rsid w:val="006E06A3"/>
    <w:rsid w:val="006E0A92"/>
    <w:rsid w:val="006E169E"/>
    <w:rsid w:val="006E1828"/>
    <w:rsid w:val="006E2445"/>
    <w:rsid w:val="006E2502"/>
    <w:rsid w:val="006E28E4"/>
    <w:rsid w:val="006E469B"/>
    <w:rsid w:val="006E54E5"/>
    <w:rsid w:val="006E597C"/>
    <w:rsid w:val="006E6A42"/>
    <w:rsid w:val="006E6D99"/>
    <w:rsid w:val="006E6F18"/>
    <w:rsid w:val="006E71A1"/>
    <w:rsid w:val="006E75A2"/>
    <w:rsid w:val="006E7880"/>
    <w:rsid w:val="006F000E"/>
    <w:rsid w:val="006F066B"/>
    <w:rsid w:val="006F26AD"/>
    <w:rsid w:val="006F2FA4"/>
    <w:rsid w:val="006F3D28"/>
    <w:rsid w:val="006F40CD"/>
    <w:rsid w:val="006F50A6"/>
    <w:rsid w:val="006F5915"/>
    <w:rsid w:val="006F5BB0"/>
    <w:rsid w:val="006F5EB8"/>
    <w:rsid w:val="006F6480"/>
    <w:rsid w:val="006F6966"/>
    <w:rsid w:val="00700CDC"/>
    <w:rsid w:val="00701ED1"/>
    <w:rsid w:val="007022CE"/>
    <w:rsid w:val="00702307"/>
    <w:rsid w:val="00702770"/>
    <w:rsid w:val="00703374"/>
    <w:rsid w:val="007036A2"/>
    <w:rsid w:val="00703B08"/>
    <w:rsid w:val="0070426F"/>
    <w:rsid w:val="00705303"/>
    <w:rsid w:val="007065AC"/>
    <w:rsid w:val="00706737"/>
    <w:rsid w:val="00707447"/>
    <w:rsid w:val="00707C4C"/>
    <w:rsid w:val="00707DC4"/>
    <w:rsid w:val="007105B9"/>
    <w:rsid w:val="00711465"/>
    <w:rsid w:val="00712411"/>
    <w:rsid w:val="007128F3"/>
    <w:rsid w:val="00712EFC"/>
    <w:rsid w:val="00713501"/>
    <w:rsid w:val="00714040"/>
    <w:rsid w:val="0071537E"/>
    <w:rsid w:val="0071572B"/>
    <w:rsid w:val="00715F27"/>
    <w:rsid w:val="00716F11"/>
    <w:rsid w:val="00717D91"/>
    <w:rsid w:val="0072029E"/>
    <w:rsid w:val="007208C2"/>
    <w:rsid w:val="00721B5C"/>
    <w:rsid w:val="00721B65"/>
    <w:rsid w:val="00721D94"/>
    <w:rsid w:val="00721EAA"/>
    <w:rsid w:val="007229FD"/>
    <w:rsid w:val="0072317D"/>
    <w:rsid w:val="00723BF8"/>
    <w:rsid w:val="00724B37"/>
    <w:rsid w:val="007253CD"/>
    <w:rsid w:val="00725A55"/>
    <w:rsid w:val="007265CC"/>
    <w:rsid w:val="00727F4E"/>
    <w:rsid w:val="0073013B"/>
    <w:rsid w:val="0073030D"/>
    <w:rsid w:val="00730598"/>
    <w:rsid w:val="007310FB"/>
    <w:rsid w:val="0073137B"/>
    <w:rsid w:val="0073218B"/>
    <w:rsid w:val="007329AB"/>
    <w:rsid w:val="007342DD"/>
    <w:rsid w:val="007344DC"/>
    <w:rsid w:val="007346E4"/>
    <w:rsid w:val="00734E9D"/>
    <w:rsid w:val="00735DA4"/>
    <w:rsid w:val="00736093"/>
    <w:rsid w:val="007364DF"/>
    <w:rsid w:val="007407B9"/>
    <w:rsid w:val="007408BE"/>
    <w:rsid w:val="00740FE4"/>
    <w:rsid w:val="0074137D"/>
    <w:rsid w:val="007416BF"/>
    <w:rsid w:val="007423FE"/>
    <w:rsid w:val="00742AF8"/>
    <w:rsid w:val="00742B24"/>
    <w:rsid w:val="00742EEE"/>
    <w:rsid w:val="007434E1"/>
    <w:rsid w:val="00745C9C"/>
    <w:rsid w:val="00746937"/>
    <w:rsid w:val="00747274"/>
    <w:rsid w:val="007474D1"/>
    <w:rsid w:val="007476A1"/>
    <w:rsid w:val="00750627"/>
    <w:rsid w:val="00750FB8"/>
    <w:rsid w:val="00751386"/>
    <w:rsid w:val="007523F5"/>
    <w:rsid w:val="00752989"/>
    <w:rsid w:val="007541B0"/>
    <w:rsid w:val="00754AFA"/>
    <w:rsid w:val="00755772"/>
    <w:rsid w:val="00755CF0"/>
    <w:rsid w:val="007564E2"/>
    <w:rsid w:val="00757BB5"/>
    <w:rsid w:val="0076020E"/>
    <w:rsid w:val="00760AAB"/>
    <w:rsid w:val="0076137C"/>
    <w:rsid w:val="00761541"/>
    <w:rsid w:val="00761565"/>
    <w:rsid w:val="00761A02"/>
    <w:rsid w:val="00761A07"/>
    <w:rsid w:val="00763775"/>
    <w:rsid w:val="007656DF"/>
    <w:rsid w:val="0076716A"/>
    <w:rsid w:val="00767170"/>
    <w:rsid w:val="0076754E"/>
    <w:rsid w:val="00767B2F"/>
    <w:rsid w:val="0077065E"/>
    <w:rsid w:val="007707E7"/>
    <w:rsid w:val="00771283"/>
    <w:rsid w:val="007724C8"/>
    <w:rsid w:val="00772D09"/>
    <w:rsid w:val="00773A4D"/>
    <w:rsid w:val="00774E8E"/>
    <w:rsid w:val="00774EDA"/>
    <w:rsid w:val="00775596"/>
    <w:rsid w:val="00775C86"/>
    <w:rsid w:val="007770C2"/>
    <w:rsid w:val="00777283"/>
    <w:rsid w:val="007773B9"/>
    <w:rsid w:val="007813B4"/>
    <w:rsid w:val="00781AAE"/>
    <w:rsid w:val="00782083"/>
    <w:rsid w:val="00782B5B"/>
    <w:rsid w:val="007838F9"/>
    <w:rsid w:val="007842BF"/>
    <w:rsid w:val="00784680"/>
    <w:rsid w:val="00784B5F"/>
    <w:rsid w:val="00785F5F"/>
    <w:rsid w:val="007863F6"/>
    <w:rsid w:val="00786623"/>
    <w:rsid w:val="007868DF"/>
    <w:rsid w:val="00787E03"/>
    <w:rsid w:val="007907F9"/>
    <w:rsid w:val="00791C0C"/>
    <w:rsid w:val="00792503"/>
    <w:rsid w:val="007927A5"/>
    <w:rsid w:val="0079289A"/>
    <w:rsid w:val="00792BD5"/>
    <w:rsid w:val="00793650"/>
    <w:rsid w:val="00793B31"/>
    <w:rsid w:val="007946D6"/>
    <w:rsid w:val="00794DB4"/>
    <w:rsid w:val="00794F53"/>
    <w:rsid w:val="0079586E"/>
    <w:rsid w:val="00795BCF"/>
    <w:rsid w:val="00796304"/>
    <w:rsid w:val="00796432"/>
    <w:rsid w:val="007A04CA"/>
    <w:rsid w:val="007A06C0"/>
    <w:rsid w:val="007A0AB8"/>
    <w:rsid w:val="007A0C46"/>
    <w:rsid w:val="007A159B"/>
    <w:rsid w:val="007A1A1C"/>
    <w:rsid w:val="007A1FAC"/>
    <w:rsid w:val="007A298B"/>
    <w:rsid w:val="007A2E07"/>
    <w:rsid w:val="007A3F1D"/>
    <w:rsid w:val="007A502E"/>
    <w:rsid w:val="007A521A"/>
    <w:rsid w:val="007A523C"/>
    <w:rsid w:val="007A7B44"/>
    <w:rsid w:val="007B0216"/>
    <w:rsid w:val="007B1254"/>
    <w:rsid w:val="007B14A1"/>
    <w:rsid w:val="007B3117"/>
    <w:rsid w:val="007B335D"/>
    <w:rsid w:val="007B33BE"/>
    <w:rsid w:val="007B362F"/>
    <w:rsid w:val="007B4419"/>
    <w:rsid w:val="007B5310"/>
    <w:rsid w:val="007B5553"/>
    <w:rsid w:val="007B5DBA"/>
    <w:rsid w:val="007B5E7F"/>
    <w:rsid w:val="007B6082"/>
    <w:rsid w:val="007B6FE8"/>
    <w:rsid w:val="007B77F0"/>
    <w:rsid w:val="007C0C9A"/>
    <w:rsid w:val="007C1744"/>
    <w:rsid w:val="007C1E08"/>
    <w:rsid w:val="007C2C1F"/>
    <w:rsid w:val="007C2F1A"/>
    <w:rsid w:val="007C4450"/>
    <w:rsid w:val="007C4743"/>
    <w:rsid w:val="007C6288"/>
    <w:rsid w:val="007C7E86"/>
    <w:rsid w:val="007D04A3"/>
    <w:rsid w:val="007D20D8"/>
    <w:rsid w:val="007D2B43"/>
    <w:rsid w:val="007D3790"/>
    <w:rsid w:val="007D4602"/>
    <w:rsid w:val="007D525A"/>
    <w:rsid w:val="007D5A75"/>
    <w:rsid w:val="007D5D1B"/>
    <w:rsid w:val="007D672F"/>
    <w:rsid w:val="007D6BA4"/>
    <w:rsid w:val="007D6EAF"/>
    <w:rsid w:val="007D70F6"/>
    <w:rsid w:val="007D7843"/>
    <w:rsid w:val="007E03F7"/>
    <w:rsid w:val="007E057F"/>
    <w:rsid w:val="007E06BA"/>
    <w:rsid w:val="007E1025"/>
    <w:rsid w:val="007E175C"/>
    <w:rsid w:val="007E178D"/>
    <w:rsid w:val="007E18A9"/>
    <w:rsid w:val="007E1C8F"/>
    <w:rsid w:val="007E1DAA"/>
    <w:rsid w:val="007E2ACD"/>
    <w:rsid w:val="007E34BD"/>
    <w:rsid w:val="007E35B9"/>
    <w:rsid w:val="007E3796"/>
    <w:rsid w:val="007E4CE4"/>
    <w:rsid w:val="007E5179"/>
    <w:rsid w:val="007E55D1"/>
    <w:rsid w:val="007E572A"/>
    <w:rsid w:val="007E7256"/>
    <w:rsid w:val="007E7260"/>
    <w:rsid w:val="007E733E"/>
    <w:rsid w:val="007F03F9"/>
    <w:rsid w:val="007F10FC"/>
    <w:rsid w:val="007F1A24"/>
    <w:rsid w:val="007F2AD1"/>
    <w:rsid w:val="007F2C7B"/>
    <w:rsid w:val="007F2C8B"/>
    <w:rsid w:val="007F3D8B"/>
    <w:rsid w:val="007F43F5"/>
    <w:rsid w:val="007F53D1"/>
    <w:rsid w:val="007F5AFC"/>
    <w:rsid w:val="007F6C41"/>
    <w:rsid w:val="007F7A0F"/>
    <w:rsid w:val="00800018"/>
    <w:rsid w:val="0080045B"/>
    <w:rsid w:val="008005F9"/>
    <w:rsid w:val="008009FD"/>
    <w:rsid w:val="00800ECE"/>
    <w:rsid w:val="00801241"/>
    <w:rsid w:val="00801B7B"/>
    <w:rsid w:val="00801BC8"/>
    <w:rsid w:val="00802339"/>
    <w:rsid w:val="00802CBB"/>
    <w:rsid w:val="008044BA"/>
    <w:rsid w:val="00804CBC"/>
    <w:rsid w:val="00805B65"/>
    <w:rsid w:val="00806124"/>
    <w:rsid w:val="00807B49"/>
    <w:rsid w:val="00810E51"/>
    <w:rsid w:val="0081100D"/>
    <w:rsid w:val="00811217"/>
    <w:rsid w:val="0081181D"/>
    <w:rsid w:val="008124BF"/>
    <w:rsid w:val="00812B48"/>
    <w:rsid w:val="00812C05"/>
    <w:rsid w:val="0081390B"/>
    <w:rsid w:val="0081392C"/>
    <w:rsid w:val="00814998"/>
    <w:rsid w:val="008150D9"/>
    <w:rsid w:val="00815166"/>
    <w:rsid w:val="0081525D"/>
    <w:rsid w:val="00815329"/>
    <w:rsid w:val="00815DE5"/>
    <w:rsid w:val="00815FD9"/>
    <w:rsid w:val="008160CD"/>
    <w:rsid w:val="0081647A"/>
    <w:rsid w:val="008166AA"/>
    <w:rsid w:val="00816BE2"/>
    <w:rsid w:val="00816D4F"/>
    <w:rsid w:val="008177DA"/>
    <w:rsid w:val="00817A5E"/>
    <w:rsid w:val="00820B74"/>
    <w:rsid w:val="00822033"/>
    <w:rsid w:val="00822251"/>
    <w:rsid w:val="00822602"/>
    <w:rsid w:val="00822865"/>
    <w:rsid w:val="00822B6C"/>
    <w:rsid w:val="0082418F"/>
    <w:rsid w:val="00824A72"/>
    <w:rsid w:val="00825291"/>
    <w:rsid w:val="00825AD2"/>
    <w:rsid w:val="00825FB5"/>
    <w:rsid w:val="00826148"/>
    <w:rsid w:val="00830753"/>
    <w:rsid w:val="008320BF"/>
    <w:rsid w:val="0083276C"/>
    <w:rsid w:val="008329A7"/>
    <w:rsid w:val="00832F7A"/>
    <w:rsid w:val="00833B85"/>
    <w:rsid w:val="00833F62"/>
    <w:rsid w:val="00834545"/>
    <w:rsid w:val="0083466A"/>
    <w:rsid w:val="00834A80"/>
    <w:rsid w:val="00834BCD"/>
    <w:rsid w:val="008377AE"/>
    <w:rsid w:val="00837862"/>
    <w:rsid w:val="00837B42"/>
    <w:rsid w:val="00837CE4"/>
    <w:rsid w:val="00837EEF"/>
    <w:rsid w:val="00840CFC"/>
    <w:rsid w:val="00841123"/>
    <w:rsid w:val="00841B17"/>
    <w:rsid w:val="00842EDD"/>
    <w:rsid w:val="00844B70"/>
    <w:rsid w:val="00844C69"/>
    <w:rsid w:val="00845698"/>
    <w:rsid w:val="008458F8"/>
    <w:rsid w:val="00845F51"/>
    <w:rsid w:val="008462E2"/>
    <w:rsid w:val="008465AA"/>
    <w:rsid w:val="00846653"/>
    <w:rsid w:val="00847A54"/>
    <w:rsid w:val="00850956"/>
    <w:rsid w:val="00850D74"/>
    <w:rsid w:val="008528DD"/>
    <w:rsid w:val="00852D86"/>
    <w:rsid w:val="008530B5"/>
    <w:rsid w:val="00853210"/>
    <w:rsid w:val="00853E8E"/>
    <w:rsid w:val="00855A8B"/>
    <w:rsid w:val="00857900"/>
    <w:rsid w:val="00857CFE"/>
    <w:rsid w:val="00857F01"/>
    <w:rsid w:val="0086058D"/>
    <w:rsid w:val="00860C7B"/>
    <w:rsid w:val="00860E09"/>
    <w:rsid w:val="00860E42"/>
    <w:rsid w:val="0086331A"/>
    <w:rsid w:val="00863B9B"/>
    <w:rsid w:val="00863FD5"/>
    <w:rsid w:val="00865F02"/>
    <w:rsid w:val="00867F6E"/>
    <w:rsid w:val="00870646"/>
    <w:rsid w:val="00870865"/>
    <w:rsid w:val="00870A0D"/>
    <w:rsid w:val="00871596"/>
    <w:rsid w:val="00871F3C"/>
    <w:rsid w:val="00871F8F"/>
    <w:rsid w:val="00873898"/>
    <w:rsid w:val="00874A0E"/>
    <w:rsid w:val="00874A3D"/>
    <w:rsid w:val="00874EA5"/>
    <w:rsid w:val="00875F59"/>
    <w:rsid w:val="008770E4"/>
    <w:rsid w:val="008772CE"/>
    <w:rsid w:val="00877363"/>
    <w:rsid w:val="00877815"/>
    <w:rsid w:val="0088090F"/>
    <w:rsid w:val="00880DFC"/>
    <w:rsid w:val="0088165C"/>
    <w:rsid w:val="00881BB7"/>
    <w:rsid w:val="00882122"/>
    <w:rsid w:val="008827A4"/>
    <w:rsid w:val="00882C5A"/>
    <w:rsid w:val="00882D6D"/>
    <w:rsid w:val="008830D7"/>
    <w:rsid w:val="00883206"/>
    <w:rsid w:val="00883638"/>
    <w:rsid w:val="00884B79"/>
    <w:rsid w:val="00884C62"/>
    <w:rsid w:val="00885BA8"/>
    <w:rsid w:val="00885F49"/>
    <w:rsid w:val="00886416"/>
    <w:rsid w:val="00887700"/>
    <w:rsid w:val="0088773F"/>
    <w:rsid w:val="00887A69"/>
    <w:rsid w:val="00887F58"/>
    <w:rsid w:val="008903BC"/>
    <w:rsid w:val="008907C7"/>
    <w:rsid w:val="00890A7B"/>
    <w:rsid w:val="00890B5B"/>
    <w:rsid w:val="00890D10"/>
    <w:rsid w:val="0089104E"/>
    <w:rsid w:val="008910DA"/>
    <w:rsid w:val="00891C8B"/>
    <w:rsid w:val="00891CC6"/>
    <w:rsid w:val="00892C49"/>
    <w:rsid w:val="00893E2B"/>
    <w:rsid w:val="0089412B"/>
    <w:rsid w:val="0089426B"/>
    <w:rsid w:val="008948CB"/>
    <w:rsid w:val="00894B87"/>
    <w:rsid w:val="00895180"/>
    <w:rsid w:val="00895247"/>
    <w:rsid w:val="008964A7"/>
    <w:rsid w:val="00896617"/>
    <w:rsid w:val="0089720C"/>
    <w:rsid w:val="00897326"/>
    <w:rsid w:val="008A0A9A"/>
    <w:rsid w:val="008A192B"/>
    <w:rsid w:val="008A1CF5"/>
    <w:rsid w:val="008A1D90"/>
    <w:rsid w:val="008A1F8F"/>
    <w:rsid w:val="008A2067"/>
    <w:rsid w:val="008A2B87"/>
    <w:rsid w:val="008A49C8"/>
    <w:rsid w:val="008A4A53"/>
    <w:rsid w:val="008A4B24"/>
    <w:rsid w:val="008A56B0"/>
    <w:rsid w:val="008A599D"/>
    <w:rsid w:val="008A59E5"/>
    <w:rsid w:val="008A5CE6"/>
    <w:rsid w:val="008A6180"/>
    <w:rsid w:val="008A6B7E"/>
    <w:rsid w:val="008A6D54"/>
    <w:rsid w:val="008A74E4"/>
    <w:rsid w:val="008A7588"/>
    <w:rsid w:val="008B0203"/>
    <w:rsid w:val="008B06EC"/>
    <w:rsid w:val="008B0EDD"/>
    <w:rsid w:val="008B17B6"/>
    <w:rsid w:val="008B235A"/>
    <w:rsid w:val="008B2AEF"/>
    <w:rsid w:val="008B31C2"/>
    <w:rsid w:val="008B321A"/>
    <w:rsid w:val="008B3DBE"/>
    <w:rsid w:val="008B50FD"/>
    <w:rsid w:val="008B580D"/>
    <w:rsid w:val="008B5AAC"/>
    <w:rsid w:val="008B5C2B"/>
    <w:rsid w:val="008B7033"/>
    <w:rsid w:val="008B769A"/>
    <w:rsid w:val="008B7A0B"/>
    <w:rsid w:val="008B7FA9"/>
    <w:rsid w:val="008B7FE4"/>
    <w:rsid w:val="008C14F4"/>
    <w:rsid w:val="008C2031"/>
    <w:rsid w:val="008C2BCE"/>
    <w:rsid w:val="008C3A81"/>
    <w:rsid w:val="008C3B31"/>
    <w:rsid w:val="008C60B0"/>
    <w:rsid w:val="008C6910"/>
    <w:rsid w:val="008C6B50"/>
    <w:rsid w:val="008C6DBF"/>
    <w:rsid w:val="008C744F"/>
    <w:rsid w:val="008C77EC"/>
    <w:rsid w:val="008C7CCB"/>
    <w:rsid w:val="008D0AE8"/>
    <w:rsid w:val="008D0D1C"/>
    <w:rsid w:val="008D190B"/>
    <w:rsid w:val="008D1F8D"/>
    <w:rsid w:val="008D240A"/>
    <w:rsid w:val="008D2904"/>
    <w:rsid w:val="008D2E1D"/>
    <w:rsid w:val="008D3AD2"/>
    <w:rsid w:val="008D3E05"/>
    <w:rsid w:val="008D40C3"/>
    <w:rsid w:val="008D44E0"/>
    <w:rsid w:val="008D4B9A"/>
    <w:rsid w:val="008D53C5"/>
    <w:rsid w:val="008D63B1"/>
    <w:rsid w:val="008D6450"/>
    <w:rsid w:val="008D7697"/>
    <w:rsid w:val="008E05F1"/>
    <w:rsid w:val="008E2329"/>
    <w:rsid w:val="008E234A"/>
    <w:rsid w:val="008E291C"/>
    <w:rsid w:val="008E39A2"/>
    <w:rsid w:val="008E5088"/>
    <w:rsid w:val="008E62B5"/>
    <w:rsid w:val="008E796A"/>
    <w:rsid w:val="008F02D9"/>
    <w:rsid w:val="008F1149"/>
    <w:rsid w:val="008F1700"/>
    <w:rsid w:val="008F1F1B"/>
    <w:rsid w:val="008F1F6A"/>
    <w:rsid w:val="008F2903"/>
    <w:rsid w:val="008F2D92"/>
    <w:rsid w:val="008F3841"/>
    <w:rsid w:val="008F3BDA"/>
    <w:rsid w:val="008F4D34"/>
    <w:rsid w:val="008F4D7D"/>
    <w:rsid w:val="008F51C9"/>
    <w:rsid w:val="008F5B6D"/>
    <w:rsid w:val="008F65C1"/>
    <w:rsid w:val="008F6AE1"/>
    <w:rsid w:val="008F6E7A"/>
    <w:rsid w:val="00900228"/>
    <w:rsid w:val="00900D51"/>
    <w:rsid w:val="00901027"/>
    <w:rsid w:val="00902AD8"/>
    <w:rsid w:val="009047CB"/>
    <w:rsid w:val="00904D80"/>
    <w:rsid w:val="0090545D"/>
    <w:rsid w:val="00905634"/>
    <w:rsid w:val="009064C6"/>
    <w:rsid w:val="009065E9"/>
    <w:rsid w:val="00907D56"/>
    <w:rsid w:val="00910D84"/>
    <w:rsid w:val="00912326"/>
    <w:rsid w:val="0091299F"/>
    <w:rsid w:val="00916978"/>
    <w:rsid w:val="00916C11"/>
    <w:rsid w:val="009171A2"/>
    <w:rsid w:val="009207C0"/>
    <w:rsid w:val="0092084F"/>
    <w:rsid w:val="00920A1A"/>
    <w:rsid w:val="00922814"/>
    <w:rsid w:val="00923516"/>
    <w:rsid w:val="009236CE"/>
    <w:rsid w:val="00923E15"/>
    <w:rsid w:val="00923E5D"/>
    <w:rsid w:val="0092410C"/>
    <w:rsid w:val="009241F3"/>
    <w:rsid w:val="00924B05"/>
    <w:rsid w:val="00924C8D"/>
    <w:rsid w:val="00925649"/>
    <w:rsid w:val="00925E71"/>
    <w:rsid w:val="00926113"/>
    <w:rsid w:val="00926202"/>
    <w:rsid w:val="009262C3"/>
    <w:rsid w:val="00926775"/>
    <w:rsid w:val="00926AEE"/>
    <w:rsid w:val="00926D1C"/>
    <w:rsid w:val="00926E0B"/>
    <w:rsid w:val="0092719D"/>
    <w:rsid w:val="00927617"/>
    <w:rsid w:val="00927650"/>
    <w:rsid w:val="00930C52"/>
    <w:rsid w:val="00930CC7"/>
    <w:rsid w:val="00931064"/>
    <w:rsid w:val="009312E7"/>
    <w:rsid w:val="00931814"/>
    <w:rsid w:val="00933C74"/>
    <w:rsid w:val="0093518C"/>
    <w:rsid w:val="00936643"/>
    <w:rsid w:val="009371ED"/>
    <w:rsid w:val="009377B5"/>
    <w:rsid w:val="0094002C"/>
    <w:rsid w:val="0094066D"/>
    <w:rsid w:val="009406A0"/>
    <w:rsid w:val="00940FF7"/>
    <w:rsid w:val="009418D2"/>
    <w:rsid w:val="00942AB5"/>
    <w:rsid w:val="009432F0"/>
    <w:rsid w:val="0094428B"/>
    <w:rsid w:val="00944E7F"/>
    <w:rsid w:val="009466D7"/>
    <w:rsid w:val="00946807"/>
    <w:rsid w:val="009507DD"/>
    <w:rsid w:val="00950A01"/>
    <w:rsid w:val="00951B14"/>
    <w:rsid w:val="009528B1"/>
    <w:rsid w:val="009539BF"/>
    <w:rsid w:val="009545F2"/>
    <w:rsid w:val="00954824"/>
    <w:rsid w:val="00954DE8"/>
    <w:rsid w:val="009553E9"/>
    <w:rsid w:val="00956CAD"/>
    <w:rsid w:val="00957802"/>
    <w:rsid w:val="00957C3D"/>
    <w:rsid w:val="00960298"/>
    <w:rsid w:val="009611EF"/>
    <w:rsid w:val="00961C34"/>
    <w:rsid w:val="00961CBE"/>
    <w:rsid w:val="00962062"/>
    <w:rsid w:val="00962C7A"/>
    <w:rsid w:val="009632CA"/>
    <w:rsid w:val="009633A4"/>
    <w:rsid w:val="009636E2"/>
    <w:rsid w:val="0096481C"/>
    <w:rsid w:val="00965352"/>
    <w:rsid w:val="009656CE"/>
    <w:rsid w:val="009669BF"/>
    <w:rsid w:val="0096700C"/>
    <w:rsid w:val="00967C5A"/>
    <w:rsid w:val="00967E18"/>
    <w:rsid w:val="009702DD"/>
    <w:rsid w:val="00970DAC"/>
    <w:rsid w:val="0097165E"/>
    <w:rsid w:val="00971F83"/>
    <w:rsid w:val="009727B7"/>
    <w:rsid w:val="0097375C"/>
    <w:rsid w:val="00973B52"/>
    <w:rsid w:val="00974018"/>
    <w:rsid w:val="00974519"/>
    <w:rsid w:val="009748D8"/>
    <w:rsid w:val="00976E4E"/>
    <w:rsid w:val="00977139"/>
    <w:rsid w:val="00977475"/>
    <w:rsid w:val="0098006D"/>
    <w:rsid w:val="009805EC"/>
    <w:rsid w:val="009807F0"/>
    <w:rsid w:val="00980B6B"/>
    <w:rsid w:val="00981AE4"/>
    <w:rsid w:val="00981FDC"/>
    <w:rsid w:val="00982B40"/>
    <w:rsid w:val="00983220"/>
    <w:rsid w:val="009848F0"/>
    <w:rsid w:val="00985ABD"/>
    <w:rsid w:val="009870E6"/>
    <w:rsid w:val="009915FF"/>
    <w:rsid w:val="00991E89"/>
    <w:rsid w:val="00994389"/>
    <w:rsid w:val="0099453B"/>
    <w:rsid w:val="00994921"/>
    <w:rsid w:val="00995717"/>
    <w:rsid w:val="00996747"/>
    <w:rsid w:val="00997D6D"/>
    <w:rsid w:val="009A00C7"/>
    <w:rsid w:val="009A0BD5"/>
    <w:rsid w:val="009A10BD"/>
    <w:rsid w:val="009A12FB"/>
    <w:rsid w:val="009A1E98"/>
    <w:rsid w:val="009A2AC0"/>
    <w:rsid w:val="009A2B69"/>
    <w:rsid w:val="009A31F1"/>
    <w:rsid w:val="009A5632"/>
    <w:rsid w:val="009A600F"/>
    <w:rsid w:val="009A611C"/>
    <w:rsid w:val="009A6E3C"/>
    <w:rsid w:val="009A755B"/>
    <w:rsid w:val="009B0644"/>
    <w:rsid w:val="009B2829"/>
    <w:rsid w:val="009B399A"/>
    <w:rsid w:val="009B5447"/>
    <w:rsid w:val="009B54AB"/>
    <w:rsid w:val="009B5523"/>
    <w:rsid w:val="009B5893"/>
    <w:rsid w:val="009B5999"/>
    <w:rsid w:val="009B5D20"/>
    <w:rsid w:val="009B5E26"/>
    <w:rsid w:val="009B67D2"/>
    <w:rsid w:val="009B685A"/>
    <w:rsid w:val="009B7101"/>
    <w:rsid w:val="009B76CB"/>
    <w:rsid w:val="009C00E4"/>
    <w:rsid w:val="009C03F7"/>
    <w:rsid w:val="009C16EE"/>
    <w:rsid w:val="009C18F5"/>
    <w:rsid w:val="009C1A5C"/>
    <w:rsid w:val="009C1EB5"/>
    <w:rsid w:val="009C1EC7"/>
    <w:rsid w:val="009C1FD2"/>
    <w:rsid w:val="009C29F7"/>
    <w:rsid w:val="009C2B34"/>
    <w:rsid w:val="009C400A"/>
    <w:rsid w:val="009C45F0"/>
    <w:rsid w:val="009C49CC"/>
    <w:rsid w:val="009C6192"/>
    <w:rsid w:val="009C6454"/>
    <w:rsid w:val="009C6A3C"/>
    <w:rsid w:val="009C746A"/>
    <w:rsid w:val="009C76B6"/>
    <w:rsid w:val="009C7EA9"/>
    <w:rsid w:val="009D0751"/>
    <w:rsid w:val="009D133C"/>
    <w:rsid w:val="009D184F"/>
    <w:rsid w:val="009D1933"/>
    <w:rsid w:val="009D1C79"/>
    <w:rsid w:val="009D1CCC"/>
    <w:rsid w:val="009D1E06"/>
    <w:rsid w:val="009D316F"/>
    <w:rsid w:val="009D3AE7"/>
    <w:rsid w:val="009D3F41"/>
    <w:rsid w:val="009D4FE8"/>
    <w:rsid w:val="009D54FA"/>
    <w:rsid w:val="009D5AAB"/>
    <w:rsid w:val="009D5CDD"/>
    <w:rsid w:val="009D624A"/>
    <w:rsid w:val="009D765B"/>
    <w:rsid w:val="009E2560"/>
    <w:rsid w:val="009E28E5"/>
    <w:rsid w:val="009E2C26"/>
    <w:rsid w:val="009E39A1"/>
    <w:rsid w:val="009E3A45"/>
    <w:rsid w:val="009E47B6"/>
    <w:rsid w:val="009E4E1B"/>
    <w:rsid w:val="009E5275"/>
    <w:rsid w:val="009E65D0"/>
    <w:rsid w:val="009E69C2"/>
    <w:rsid w:val="009E73CA"/>
    <w:rsid w:val="009F021A"/>
    <w:rsid w:val="009F0385"/>
    <w:rsid w:val="009F09F8"/>
    <w:rsid w:val="009F285E"/>
    <w:rsid w:val="009F287C"/>
    <w:rsid w:val="009F2FAF"/>
    <w:rsid w:val="009F31A8"/>
    <w:rsid w:val="009F5316"/>
    <w:rsid w:val="009F54FC"/>
    <w:rsid w:val="009F6C1A"/>
    <w:rsid w:val="009F7123"/>
    <w:rsid w:val="009F7977"/>
    <w:rsid w:val="009F7D01"/>
    <w:rsid w:val="00A01E1D"/>
    <w:rsid w:val="00A02B08"/>
    <w:rsid w:val="00A03519"/>
    <w:rsid w:val="00A035E2"/>
    <w:rsid w:val="00A03AB9"/>
    <w:rsid w:val="00A03BB7"/>
    <w:rsid w:val="00A03D8C"/>
    <w:rsid w:val="00A03E67"/>
    <w:rsid w:val="00A042BA"/>
    <w:rsid w:val="00A05EE4"/>
    <w:rsid w:val="00A060FD"/>
    <w:rsid w:val="00A0748D"/>
    <w:rsid w:val="00A076D4"/>
    <w:rsid w:val="00A077DD"/>
    <w:rsid w:val="00A10532"/>
    <w:rsid w:val="00A10BA0"/>
    <w:rsid w:val="00A11F98"/>
    <w:rsid w:val="00A143E7"/>
    <w:rsid w:val="00A15508"/>
    <w:rsid w:val="00A16B91"/>
    <w:rsid w:val="00A1710C"/>
    <w:rsid w:val="00A1766F"/>
    <w:rsid w:val="00A17B70"/>
    <w:rsid w:val="00A17E09"/>
    <w:rsid w:val="00A20AC9"/>
    <w:rsid w:val="00A214D9"/>
    <w:rsid w:val="00A21CE0"/>
    <w:rsid w:val="00A22715"/>
    <w:rsid w:val="00A22A3C"/>
    <w:rsid w:val="00A22FA2"/>
    <w:rsid w:val="00A237E5"/>
    <w:rsid w:val="00A23E11"/>
    <w:rsid w:val="00A24057"/>
    <w:rsid w:val="00A24206"/>
    <w:rsid w:val="00A25703"/>
    <w:rsid w:val="00A263C7"/>
    <w:rsid w:val="00A26AB4"/>
    <w:rsid w:val="00A3131C"/>
    <w:rsid w:val="00A31321"/>
    <w:rsid w:val="00A321F2"/>
    <w:rsid w:val="00A327B5"/>
    <w:rsid w:val="00A3540F"/>
    <w:rsid w:val="00A3580A"/>
    <w:rsid w:val="00A35AF3"/>
    <w:rsid w:val="00A35C67"/>
    <w:rsid w:val="00A3686F"/>
    <w:rsid w:val="00A368E8"/>
    <w:rsid w:val="00A36A84"/>
    <w:rsid w:val="00A37B4D"/>
    <w:rsid w:val="00A40561"/>
    <w:rsid w:val="00A40806"/>
    <w:rsid w:val="00A40C80"/>
    <w:rsid w:val="00A41055"/>
    <w:rsid w:val="00A41F94"/>
    <w:rsid w:val="00A423D8"/>
    <w:rsid w:val="00A42B7F"/>
    <w:rsid w:val="00A42E0C"/>
    <w:rsid w:val="00A43DCC"/>
    <w:rsid w:val="00A44913"/>
    <w:rsid w:val="00A44F8F"/>
    <w:rsid w:val="00A45210"/>
    <w:rsid w:val="00A459B0"/>
    <w:rsid w:val="00A4645A"/>
    <w:rsid w:val="00A46536"/>
    <w:rsid w:val="00A472FA"/>
    <w:rsid w:val="00A50660"/>
    <w:rsid w:val="00A50F90"/>
    <w:rsid w:val="00A5181E"/>
    <w:rsid w:val="00A52212"/>
    <w:rsid w:val="00A52887"/>
    <w:rsid w:val="00A531BC"/>
    <w:rsid w:val="00A53299"/>
    <w:rsid w:val="00A53300"/>
    <w:rsid w:val="00A543EB"/>
    <w:rsid w:val="00A5482D"/>
    <w:rsid w:val="00A548E2"/>
    <w:rsid w:val="00A554E2"/>
    <w:rsid w:val="00A556A2"/>
    <w:rsid w:val="00A559B1"/>
    <w:rsid w:val="00A5682B"/>
    <w:rsid w:val="00A56A37"/>
    <w:rsid w:val="00A56C0F"/>
    <w:rsid w:val="00A56C35"/>
    <w:rsid w:val="00A57E95"/>
    <w:rsid w:val="00A60171"/>
    <w:rsid w:val="00A604DF"/>
    <w:rsid w:val="00A606EF"/>
    <w:rsid w:val="00A607F7"/>
    <w:rsid w:val="00A60EF5"/>
    <w:rsid w:val="00A610A4"/>
    <w:rsid w:val="00A627E9"/>
    <w:rsid w:val="00A62C69"/>
    <w:rsid w:val="00A6303F"/>
    <w:rsid w:val="00A63AE2"/>
    <w:rsid w:val="00A64D80"/>
    <w:rsid w:val="00A6536B"/>
    <w:rsid w:val="00A65A03"/>
    <w:rsid w:val="00A65F8B"/>
    <w:rsid w:val="00A665B7"/>
    <w:rsid w:val="00A666A4"/>
    <w:rsid w:val="00A6713D"/>
    <w:rsid w:val="00A67447"/>
    <w:rsid w:val="00A70798"/>
    <w:rsid w:val="00A7079E"/>
    <w:rsid w:val="00A721C2"/>
    <w:rsid w:val="00A72699"/>
    <w:rsid w:val="00A72A66"/>
    <w:rsid w:val="00A73292"/>
    <w:rsid w:val="00A735F8"/>
    <w:rsid w:val="00A73F1F"/>
    <w:rsid w:val="00A74B28"/>
    <w:rsid w:val="00A7529F"/>
    <w:rsid w:val="00A75977"/>
    <w:rsid w:val="00A7631A"/>
    <w:rsid w:val="00A76A37"/>
    <w:rsid w:val="00A77D25"/>
    <w:rsid w:val="00A80434"/>
    <w:rsid w:val="00A809B4"/>
    <w:rsid w:val="00A80D85"/>
    <w:rsid w:val="00A817A5"/>
    <w:rsid w:val="00A821F4"/>
    <w:rsid w:val="00A82834"/>
    <w:rsid w:val="00A83A56"/>
    <w:rsid w:val="00A86307"/>
    <w:rsid w:val="00A87150"/>
    <w:rsid w:val="00A911C9"/>
    <w:rsid w:val="00A9242C"/>
    <w:rsid w:val="00A92C3E"/>
    <w:rsid w:val="00A92E40"/>
    <w:rsid w:val="00A93776"/>
    <w:rsid w:val="00A93DE6"/>
    <w:rsid w:val="00A949BE"/>
    <w:rsid w:val="00A94AF8"/>
    <w:rsid w:val="00A94EC3"/>
    <w:rsid w:val="00A950C2"/>
    <w:rsid w:val="00A9556D"/>
    <w:rsid w:val="00A9610E"/>
    <w:rsid w:val="00A964C2"/>
    <w:rsid w:val="00A9676D"/>
    <w:rsid w:val="00A967B8"/>
    <w:rsid w:val="00A96A38"/>
    <w:rsid w:val="00A970A2"/>
    <w:rsid w:val="00AA121D"/>
    <w:rsid w:val="00AA28C1"/>
    <w:rsid w:val="00AA28FD"/>
    <w:rsid w:val="00AA356E"/>
    <w:rsid w:val="00AA3A70"/>
    <w:rsid w:val="00AA3AF2"/>
    <w:rsid w:val="00AA4889"/>
    <w:rsid w:val="00AA4B70"/>
    <w:rsid w:val="00AA50C7"/>
    <w:rsid w:val="00AA6790"/>
    <w:rsid w:val="00AA6A39"/>
    <w:rsid w:val="00AA74EE"/>
    <w:rsid w:val="00AB06B1"/>
    <w:rsid w:val="00AB1303"/>
    <w:rsid w:val="00AB17CD"/>
    <w:rsid w:val="00AB1C58"/>
    <w:rsid w:val="00AB28F4"/>
    <w:rsid w:val="00AB2EAD"/>
    <w:rsid w:val="00AB2EF6"/>
    <w:rsid w:val="00AB2FB7"/>
    <w:rsid w:val="00AB349A"/>
    <w:rsid w:val="00AB36BD"/>
    <w:rsid w:val="00AB3773"/>
    <w:rsid w:val="00AB44A3"/>
    <w:rsid w:val="00AB4CC9"/>
    <w:rsid w:val="00AB4DBF"/>
    <w:rsid w:val="00AB5161"/>
    <w:rsid w:val="00AB52BB"/>
    <w:rsid w:val="00AB63C6"/>
    <w:rsid w:val="00AB6698"/>
    <w:rsid w:val="00AB6A33"/>
    <w:rsid w:val="00AB7279"/>
    <w:rsid w:val="00AB7810"/>
    <w:rsid w:val="00AB79DD"/>
    <w:rsid w:val="00AB7AF6"/>
    <w:rsid w:val="00AC02AD"/>
    <w:rsid w:val="00AC0E37"/>
    <w:rsid w:val="00AC12E1"/>
    <w:rsid w:val="00AC153B"/>
    <w:rsid w:val="00AC2F25"/>
    <w:rsid w:val="00AC302F"/>
    <w:rsid w:val="00AC367F"/>
    <w:rsid w:val="00AC3F2C"/>
    <w:rsid w:val="00AC40DB"/>
    <w:rsid w:val="00AC5128"/>
    <w:rsid w:val="00AC54BD"/>
    <w:rsid w:val="00AC5FBA"/>
    <w:rsid w:val="00AC6A12"/>
    <w:rsid w:val="00AC72B3"/>
    <w:rsid w:val="00AC7C44"/>
    <w:rsid w:val="00AC7F07"/>
    <w:rsid w:val="00AD1DC6"/>
    <w:rsid w:val="00AD270F"/>
    <w:rsid w:val="00AD2C21"/>
    <w:rsid w:val="00AD2F31"/>
    <w:rsid w:val="00AD4D98"/>
    <w:rsid w:val="00AD5123"/>
    <w:rsid w:val="00AD5869"/>
    <w:rsid w:val="00AD5CF5"/>
    <w:rsid w:val="00AD61B5"/>
    <w:rsid w:val="00AD6DFE"/>
    <w:rsid w:val="00AD7899"/>
    <w:rsid w:val="00AD7D56"/>
    <w:rsid w:val="00AE037C"/>
    <w:rsid w:val="00AE058F"/>
    <w:rsid w:val="00AE0A04"/>
    <w:rsid w:val="00AE0EEB"/>
    <w:rsid w:val="00AE11E0"/>
    <w:rsid w:val="00AE1426"/>
    <w:rsid w:val="00AE14AD"/>
    <w:rsid w:val="00AE1FB2"/>
    <w:rsid w:val="00AE1FE1"/>
    <w:rsid w:val="00AE22EB"/>
    <w:rsid w:val="00AE2B58"/>
    <w:rsid w:val="00AE3D28"/>
    <w:rsid w:val="00AE3D9C"/>
    <w:rsid w:val="00AE3FCE"/>
    <w:rsid w:val="00AE41B6"/>
    <w:rsid w:val="00AE4423"/>
    <w:rsid w:val="00AE49DC"/>
    <w:rsid w:val="00AE5525"/>
    <w:rsid w:val="00AE5AF1"/>
    <w:rsid w:val="00AE69CB"/>
    <w:rsid w:val="00AE6A57"/>
    <w:rsid w:val="00AF0246"/>
    <w:rsid w:val="00AF1B41"/>
    <w:rsid w:val="00AF1F29"/>
    <w:rsid w:val="00AF3239"/>
    <w:rsid w:val="00AF348C"/>
    <w:rsid w:val="00AF3FC9"/>
    <w:rsid w:val="00AF4C03"/>
    <w:rsid w:val="00AF4C91"/>
    <w:rsid w:val="00AF4F4D"/>
    <w:rsid w:val="00AF52FB"/>
    <w:rsid w:val="00AF6B42"/>
    <w:rsid w:val="00AF6BDC"/>
    <w:rsid w:val="00AF6BE0"/>
    <w:rsid w:val="00AF7489"/>
    <w:rsid w:val="00AF751D"/>
    <w:rsid w:val="00B003B2"/>
    <w:rsid w:val="00B00DE0"/>
    <w:rsid w:val="00B01031"/>
    <w:rsid w:val="00B02587"/>
    <w:rsid w:val="00B02E34"/>
    <w:rsid w:val="00B03218"/>
    <w:rsid w:val="00B03550"/>
    <w:rsid w:val="00B04325"/>
    <w:rsid w:val="00B04F7F"/>
    <w:rsid w:val="00B05E51"/>
    <w:rsid w:val="00B10845"/>
    <w:rsid w:val="00B10A9D"/>
    <w:rsid w:val="00B115AB"/>
    <w:rsid w:val="00B12D15"/>
    <w:rsid w:val="00B1313E"/>
    <w:rsid w:val="00B1395F"/>
    <w:rsid w:val="00B13BD5"/>
    <w:rsid w:val="00B144CE"/>
    <w:rsid w:val="00B14E06"/>
    <w:rsid w:val="00B150DC"/>
    <w:rsid w:val="00B1556E"/>
    <w:rsid w:val="00B1665B"/>
    <w:rsid w:val="00B16B17"/>
    <w:rsid w:val="00B17B93"/>
    <w:rsid w:val="00B17EF7"/>
    <w:rsid w:val="00B22559"/>
    <w:rsid w:val="00B22CD3"/>
    <w:rsid w:val="00B236BC"/>
    <w:rsid w:val="00B25094"/>
    <w:rsid w:val="00B2540D"/>
    <w:rsid w:val="00B25CD7"/>
    <w:rsid w:val="00B26271"/>
    <w:rsid w:val="00B273E2"/>
    <w:rsid w:val="00B2775A"/>
    <w:rsid w:val="00B30411"/>
    <w:rsid w:val="00B30C87"/>
    <w:rsid w:val="00B316F1"/>
    <w:rsid w:val="00B31B20"/>
    <w:rsid w:val="00B31B52"/>
    <w:rsid w:val="00B336DE"/>
    <w:rsid w:val="00B3530A"/>
    <w:rsid w:val="00B3546C"/>
    <w:rsid w:val="00B35C9D"/>
    <w:rsid w:val="00B36710"/>
    <w:rsid w:val="00B36F27"/>
    <w:rsid w:val="00B408B0"/>
    <w:rsid w:val="00B412FE"/>
    <w:rsid w:val="00B426E8"/>
    <w:rsid w:val="00B4341C"/>
    <w:rsid w:val="00B43789"/>
    <w:rsid w:val="00B44983"/>
    <w:rsid w:val="00B44C15"/>
    <w:rsid w:val="00B451AD"/>
    <w:rsid w:val="00B455E1"/>
    <w:rsid w:val="00B4560B"/>
    <w:rsid w:val="00B4696F"/>
    <w:rsid w:val="00B513F0"/>
    <w:rsid w:val="00B52FDA"/>
    <w:rsid w:val="00B555AB"/>
    <w:rsid w:val="00B55864"/>
    <w:rsid w:val="00B55E06"/>
    <w:rsid w:val="00B56222"/>
    <w:rsid w:val="00B570FA"/>
    <w:rsid w:val="00B573AB"/>
    <w:rsid w:val="00B612CC"/>
    <w:rsid w:val="00B61A75"/>
    <w:rsid w:val="00B6305E"/>
    <w:rsid w:val="00B643B2"/>
    <w:rsid w:val="00B648BF"/>
    <w:rsid w:val="00B65916"/>
    <w:rsid w:val="00B65A60"/>
    <w:rsid w:val="00B65D0F"/>
    <w:rsid w:val="00B674F3"/>
    <w:rsid w:val="00B679E3"/>
    <w:rsid w:val="00B67E54"/>
    <w:rsid w:val="00B7065B"/>
    <w:rsid w:val="00B7111D"/>
    <w:rsid w:val="00B714AE"/>
    <w:rsid w:val="00B71E01"/>
    <w:rsid w:val="00B71FEE"/>
    <w:rsid w:val="00B7219D"/>
    <w:rsid w:val="00B72C4F"/>
    <w:rsid w:val="00B72D1C"/>
    <w:rsid w:val="00B733FC"/>
    <w:rsid w:val="00B73CB7"/>
    <w:rsid w:val="00B74971"/>
    <w:rsid w:val="00B749EC"/>
    <w:rsid w:val="00B74F45"/>
    <w:rsid w:val="00B756EA"/>
    <w:rsid w:val="00B76740"/>
    <w:rsid w:val="00B76A35"/>
    <w:rsid w:val="00B77017"/>
    <w:rsid w:val="00B77B44"/>
    <w:rsid w:val="00B82A78"/>
    <w:rsid w:val="00B84163"/>
    <w:rsid w:val="00B84F4D"/>
    <w:rsid w:val="00B851D8"/>
    <w:rsid w:val="00B87F5E"/>
    <w:rsid w:val="00B90234"/>
    <w:rsid w:val="00B90ED5"/>
    <w:rsid w:val="00B91BB7"/>
    <w:rsid w:val="00B91D5F"/>
    <w:rsid w:val="00B92F73"/>
    <w:rsid w:val="00B930FC"/>
    <w:rsid w:val="00B933C0"/>
    <w:rsid w:val="00B935CB"/>
    <w:rsid w:val="00B94494"/>
    <w:rsid w:val="00B947D2"/>
    <w:rsid w:val="00B9491F"/>
    <w:rsid w:val="00B94B5C"/>
    <w:rsid w:val="00B95759"/>
    <w:rsid w:val="00B957E3"/>
    <w:rsid w:val="00B95C57"/>
    <w:rsid w:val="00B95E1E"/>
    <w:rsid w:val="00B97516"/>
    <w:rsid w:val="00B97523"/>
    <w:rsid w:val="00BA09D6"/>
    <w:rsid w:val="00BA1620"/>
    <w:rsid w:val="00BA1C41"/>
    <w:rsid w:val="00BA1DBD"/>
    <w:rsid w:val="00BA1F50"/>
    <w:rsid w:val="00BA3274"/>
    <w:rsid w:val="00BA355E"/>
    <w:rsid w:val="00BA42A9"/>
    <w:rsid w:val="00BA57B3"/>
    <w:rsid w:val="00BA68E2"/>
    <w:rsid w:val="00BA6B05"/>
    <w:rsid w:val="00BA7957"/>
    <w:rsid w:val="00BB02F1"/>
    <w:rsid w:val="00BB0879"/>
    <w:rsid w:val="00BB15A5"/>
    <w:rsid w:val="00BB25EB"/>
    <w:rsid w:val="00BB359B"/>
    <w:rsid w:val="00BB3A3A"/>
    <w:rsid w:val="00BB406F"/>
    <w:rsid w:val="00BB4FD8"/>
    <w:rsid w:val="00BB73F9"/>
    <w:rsid w:val="00BC01CD"/>
    <w:rsid w:val="00BC171B"/>
    <w:rsid w:val="00BC2F39"/>
    <w:rsid w:val="00BC313F"/>
    <w:rsid w:val="00BC34CA"/>
    <w:rsid w:val="00BC3EFE"/>
    <w:rsid w:val="00BC4D2F"/>
    <w:rsid w:val="00BC6677"/>
    <w:rsid w:val="00BC794A"/>
    <w:rsid w:val="00BC7E0F"/>
    <w:rsid w:val="00BD16FA"/>
    <w:rsid w:val="00BD19D3"/>
    <w:rsid w:val="00BD29A6"/>
    <w:rsid w:val="00BD3A0C"/>
    <w:rsid w:val="00BD3AC9"/>
    <w:rsid w:val="00BD40C2"/>
    <w:rsid w:val="00BD483D"/>
    <w:rsid w:val="00BD4BB2"/>
    <w:rsid w:val="00BD519C"/>
    <w:rsid w:val="00BD5BDD"/>
    <w:rsid w:val="00BD5FEA"/>
    <w:rsid w:val="00BD639E"/>
    <w:rsid w:val="00BD6802"/>
    <w:rsid w:val="00BD6D94"/>
    <w:rsid w:val="00BE11DC"/>
    <w:rsid w:val="00BE19E4"/>
    <w:rsid w:val="00BE1A45"/>
    <w:rsid w:val="00BE1FEC"/>
    <w:rsid w:val="00BE20DF"/>
    <w:rsid w:val="00BE2A7D"/>
    <w:rsid w:val="00BE2B78"/>
    <w:rsid w:val="00BE72A0"/>
    <w:rsid w:val="00BF1372"/>
    <w:rsid w:val="00BF14C8"/>
    <w:rsid w:val="00BF18C0"/>
    <w:rsid w:val="00BF1DB0"/>
    <w:rsid w:val="00BF550B"/>
    <w:rsid w:val="00BF63EF"/>
    <w:rsid w:val="00BF6A0D"/>
    <w:rsid w:val="00BF6F4F"/>
    <w:rsid w:val="00BF774A"/>
    <w:rsid w:val="00BF79F7"/>
    <w:rsid w:val="00C00163"/>
    <w:rsid w:val="00C00832"/>
    <w:rsid w:val="00C008A1"/>
    <w:rsid w:val="00C02721"/>
    <w:rsid w:val="00C02BA0"/>
    <w:rsid w:val="00C02E7E"/>
    <w:rsid w:val="00C0320D"/>
    <w:rsid w:val="00C03B28"/>
    <w:rsid w:val="00C04173"/>
    <w:rsid w:val="00C04B31"/>
    <w:rsid w:val="00C053BC"/>
    <w:rsid w:val="00C05A49"/>
    <w:rsid w:val="00C0660F"/>
    <w:rsid w:val="00C06D81"/>
    <w:rsid w:val="00C076E3"/>
    <w:rsid w:val="00C076F2"/>
    <w:rsid w:val="00C0779C"/>
    <w:rsid w:val="00C07807"/>
    <w:rsid w:val="00C1049A"/>
    <w:rsid w:val="00C104ED"/>
    <w:rsid w:val="00C105EA"/>
    <w:rsid w:val="00C10F2C"/>
    <w:rsid w:val="00C122DC"/>
    <w:rsid w:val="00C12C51"/>
    <w:rsid w:val="00C13E95"/>
    <w:rsid w:val="00C15753"/>
    <w:rsid w:val="00C15D28"/>
    <w:rsid w:val="00C16407"/>
    <w:rsid w:val="00C1649B"/>
    <w:rsid w:val="00C1664F"/>
    <w:rsid w:val="00C20C39"/>
    <w:rsid w:val="00C24BA3"/>
    <w:rsid w:val="00C25478"/>
    <w:rsid w:val="00C25DA3"/>
    <w:rsid w:val="00C26B0A"/>
    <w:rsid w:val="00C274B0"/>
    <w:rsid w:val="00C27CAC"/>
    <w:rsid w:val="00C27E8A"/>
    <w:rsid w:val="00C30426"/>
    <w:rsid w:val="00C30B14"/>
    <w:rsid w:val="00C30B4C"/>
    <w:rsid w:val="00C313D0"/>
    <w:rsid w:val="00C31FD2"/>
    <w:rsid w:val="00C332C8"/>
    <w:rsid w:val="00C33CA6"/>
    <w:rsid w:val="00C344A1"/>
    <w:rsid w:val="00C36D97"/>
    <w:rsid w:val="00C400D2"/>
    <w:rsid w:val="00C40367"/>
    <w:rsid w:val="00C408CD"/>
    <w:rsid w:val="00C40CD6"/>
    <w:rsid w:val="00C40F2F"/>
    <w:rsid w:val="00C41886"/>
    <w:rsid w:val="00C41E91"/>
    <w:rsid w:val="00C42291"/>
    <w:rsid w:val="00C42AAD"/>
    <w:rsid w:val="00C4380A"/>
    <w:rsid w:val="00C43F70"/>
    <w:rsid w:val="00C44B4B"/>
    <w:rsid w:val="00C44D01"/>
    <w:rsid w:val="00C45034"/>
    <w:rsid w:val="00C4511F"/>
    <w:rsid w:val="00C466BE"/>
    <w:rsid w:val="00C473A3"/>
    <w:rsid w:val="00C50A68"/>
    <w:rsid w:val="00C52881"/>
    <w:rsid w:val="00C528D4"/>
    <w:rsid w:val="00C54357"/>
    <w:rsid w:val="00C54B07"/>
    <w:rsid w:val="00C56545"/>
    <w:rsid w:val="00C56DD4"/>
    <w:rsid w:val="00C57620"/>
    <w:rsid w:val="00C57838"/>
    <w:rsid w:val="00C578E1"/>
    <w:rsid w:val="00C619E9"/>
    <w:rsid w:val="00C61A31"/>
    <w:rsid w:val="00C61C9E"/>
    <w:rsid w:val="00C61D54"/>
    <w:rsid w:val="00C62712"/>
    <w:rsid w:val="00C6307D"/>
    <w:rsid w:val="00C635BF"/>
    <w:rsid w:val="00C63FFF"/>
    <w:rsid w:val="00C6419C"/>
    <w:rsid w:val="00C64B46"/>
    <w:rsid w:val="00C6529A"/>
    <w:rsid w:val="00C65DF5"/>
    <w:rsid w:val="00C65FCD"/>
    <w:rsid w:val="00C6633D"/>
    <w:rsid w:val="00C66AB3"/>
    <w:rsid w:val="00C66AFC"/>
    <w:rsid w:val="00C66D59"/>
    <w:rsid w:val="00C700A0"/>
    <w:rsid w:val="00C70CCC"/>
    <w:rsid w:val="00C712B2"/>
    <w:rsid w:val="00C72803"/>
    <w:rsid w:val="00C72CE3"/>
    <w:rsid w:val="00C73E40"/>
    <w:rsid w:val="00C73F91"/>
    <w:rsid w:val="00C740D1"/>
    <w:rsid w:val="00C74392"/>
    <w:rsid w:val="00C74A13"/>
    <w:rsid w:val="00C7567F"/>
    <w:rsid w:val="00C75FF2"/>
    <w:rsid w:val="00C76A25"/>
    <w:rsid w:val="00C76E67"/>
    <w:rsid w:val="00C76FFD"/>
    <w:rsid w:val="00C771DF"/>
    <w:rsid w:val="00C777E4"/>
    <w:rsid w:val="00C77A4C"/>
    <w:rsid w:val="00C77B69"/>
    <w:rsid w:val="00C8008B"/>
    <w:rsid w:val="00C800ED"/>
    <w:rsid w:val="00C80A31"/>
    <w:rsid w:val="00C8193A"/>
    <w:rsid w:val="00C81B38"/>
    <w:rsid w:val="00C82EEF"/>
    <w:rsid w:val="00C8338D"/>
    <w:rsid w:val="00C835E3"/>
    <w:rsid w:val="00C83AB4"/>
    <w:rsid w:val="00C83E99"/>
    <w:rsid w:val="00C84743"/>
    <w:rsid w:val="00C84D33"/>
    <w:rsid w:val="00C85070"/>
    <w:rsid w:val="00C857FB"/>
    <w:rsid w:val="00C86082"/>
    <w:rsid w:val="00C862A2"/>
    <w:rsid w:val="00C866FE"/>
    <w:rsid w:val="00C86B32"/>
    <w:rsid w:val="00C86BE5"/>
    <w:rsid w:val="00C8712C"/>
    <w:rsid w:val="00C913E3"/>
    <w:rsid w:val="00C92505"/>
    <w:rsid w:val="00C92901"/>
    <w:rsid w:val="00C9442F"/>
    <w:rsid w:val="00C952BE"/>
    <w:rsid w:val="00C95B78"/>
    <w:rsid w:val="00C96F4B"/>
    <w:rsid w:val="00C979F5"/>
    <w:rsid w:val="00CA0AB3"/>
    <w:rsid w:val="00CA2632"/>
    <w:rsid w:val="00CA2B39"/>
    <w:rsid w:val="00CA2C59"/>
    <w:rsid w:val="00CA37AF"/>
    <w:rsid w:val="00CA3D15"/>
    <w:rsid w:val="00CA4464"/>
    <w:rsid w:val="00CA4A14"/>
    <w:rsid w:val="00CA4A49"/>
    <w:rsid w:val="00CA552B"/>
    <w:rsid w:val="00CA67DB"/>
    <w:rsid w:val="00CA765C"/>
    <w:rsid w:val="00CA7874"/>
    <w:rsid w:val="00CA7D6D"/>
    <w:rsid w:val="00CB0F4F"/>
    <w:rsid w:val="00CB0FC8"/>
    <w:rsid w:val="00CB136F"/>
    <w:rsid w:val="00CB147D"/>
    <w:rsid w:val="00CB17A0"/>
    <w:rsid w:val="00CB2E68"/>
    <w:rsid w:val="00CB3247"/>
    <w:rsid w:val="00CB3251"/>
    <w:rsid w:val="00CB3C64"/>
    <w:rsid w:val="00CB3E58"/>
    <w:rsid w:val="00CB65B9"/>
    <w:rsid w:val="00CC0DC4"/>
    <w:rsid w:val="00CC0E57"/>
    <w:rsid w:val="00CC0ED8"/>
    <w:rsid w:val="00CC15DE"/>
    <w:rsid w:val="00CC3331"/>
    <w:rsid w:val="00CC3F32"/>
    <w:rsid w:val="00CC456F"/>
    <w:rsid w:val="00CC51B0"/>
    <w:rsid w:val="00CC6C5D"/>
    <w:rsid w:val="00CC7DB8"/>
    <w:rsid w:val="00CC7F11"/>
    <w:rsid w:val="00CD1E6A"/>
    <w:rsid w:val="00CD2552"/>
    <w:rsid w:val="00CD3080"/>
    <w:rsid w:val="00CD42F3"/>
    <w:rsid w:val="00CD55D4"/>
    <w:rsid w:val="00CD6B67"/>
    <w:rsid w:val="00CE0111"/>
    <w:rsid w:val="00CE02F4"/>
    <w:rsid w:val="00CE1F9B"/>
    <w:rsid w:val="00CE2EA9"/>
    <w:rsid w:val="00CE3C0F"/>
    <w:rsid w:val="00CE476F"/>
    <w:rsid w:val="00CE64E6"/>
    <w:rsid w:val="00CE666B"/>
    <w:rsid w:val="00CE6DAC"/>
    <w:rsid w:val="00CE6F73"/>
    <w:rsid w:val="00CF01B4"/>
    <w:rsid w:val="00CF0EC3"/>
    <w:rsid w:val="00CF12B3"/>
    <w:rsid w:val="00CF2357"/>
    <w:rsid w:val="00CF280D"/>
    <w:rsid w:val="00CF2AF2"/>
    <w:rsid w:val="00CF45A0"/>
    <w:rsid w:val="00CF5BB6"/>
    <w:rsid w:val="00CF6F52"/>
    <w:rsid w:val="00CF7292"/>
    <w:rsid w:val="00CF7FC7"/>
    <w:rsid w:val="00D0048F"/>
    <w:rsid w:val="00D01080"/>
    <w:rsid w:val="00D010E7"/>
    <w:rsid w:val="00D02A37"/>
    <w:rsid w:val="00D0304D"/>
    <w:rsid w:val="00D046B1"/>
    <w:rsid w:val="00D0524E"/>
    <w:rsid w:val="00D05792"/>
    <w:rsid w:val="00D07430"/>
    <w:rsid w:val="00D10051"/>
    <w:rsid w:val="00D10627"/>
    <w:rsid w:val="00D1069C"/>
    <w:rsid w:val="00D10F89"/>
    <w:rsid w:val="00D12B7A"/>
    <w:rsid w:val="00D13581"/>
    <w:rsid w:val="00D13B21"/>
    <w:rsid w:val="00D13B73"/>
    <w:rsid w:val="00D1444F"/>
    <w:rsid w:val="00D150F7"/>
    <w:rsid w:val="00D2137D"/>
    <w:rsid w:val="00D22D96"/>
    <w:rsid w:val="00D23560"/>
    <w:rsid w:val="00D2390D"/>
    <w:rsid w:val="00D23D42"/>
    <w:rsid w:val="00D25708"/>
    <w:rsid w:val="00D25AA7"/>
    <w:rsid w:val="00D261C8"/>
    <w:rsid w:val="00D264E4"/>
    <w:rsid w:val="00D26753"/>
    <w:rsid w:val="00D2682D"/>
    <w:rsid w:val="00D2704E"/>
    <w:rsid w:val="00D309A9"/>
    <w:rsid w:val="00D30DDB"/>
    <w:rsid w:val="00D31BBE"/>
    <w:rsid w:val="00D32ABF"/>
    <w:rsid w:val="00D334BA"/>
    <w:rsid w:val="00D33B24"/>
    <w:rsid w:val="00D344F9"/>
    <w:rsid w:val="00D347F3"/>
    <w:rsid w:val="00D357EF"/>
    <w:rsid w:val="00D35AEA"/>
    <w:rsid w:val="00D40390"/>
    <w:rsid w:val="00D40B4C"/>
    <w:rsid w:val="00D40BA1"/>
    <w:rsid w:val="00D40BD3"/>
    <w:rsid w:val="00D4165E"/>
    <w:rsid w:val="00D4188C"/>
    <w:rsid w:val="00D41D45"/>
    <w:rsid w:val="00D41D6F"/>
    <w:rsid w:val="00D42379"/>
    <w:rsid w:val="00D427C4"/>
    <w:rsid w:val="00D42A5F"/>
    <w:rsid w:val="00D42B49"/>
    <w:rsid w:val="00D43256"/>
    <w:rsid w:val="00D436F7"/>
    <w:rsid w:val="00D44820"/>
    <w:rsid w:val="00D45A1C"/>
    <w:rsid w:val="00D45AE3"/>
    <w:rsid w:val="00D45B98"/>
    <w:rsid w:val="00D45EF2"/>
    <w:rsid w:val="00D46559"/>
    <w:rsid w:val="00D4661D"/>
    <w:rsid w:val="00D46695"/>
    <w:rsid w:val="00D46F27"/>
    <w:rsid w:val="00D47231"/>
    <w:rsid w:val="00D47734"/>
    <w:rsid w:val="00D5012A"/>
    <w:rsid w:val="00D50D38"/>
    <w:rsid w:val="00D50F82"/>
    <w:rsid w:val="00D50FA0"/>
    <w:rsid w:val="00D52275"/>
    <w:rsid w:val="00D5242D"/>
    <w:rsid w:val="00D52D4A"/>
    <w:rsid w:val="00D52D68"/>
    <w:rsid w:val="00D535DC"/>
    <w:rsid w:val="00D536C8"/>
    <w:rsid w:val="00D53932"/>
    <w:rsid w:val="00D54AA6"/>
    <w:rsid w:val="00D56894"/>
    <w:rsid w:val="00D56AF6"/>
    <w:rsid w:val="00D57302"/>
    <w:rsid w:val="00D573FC"/>
    <w:rsid w:val="00D57F18"/>
    <w:rsid w:val="00D57FEA"/>
    <w:rsid w:val="00D6077E"/>
    <w:rsid w:val="00D60EF7"/>
    <w:rsid w:val="00D61B05"/>
    <w:rsid w:val="00D6217B"/>
    <w:rsid w:val="00D62A78"/>
    <w:rsid w:val="00D6437B"/>
    <w:rsid w:val="00D64EFD"/>
    <w:rsid w:val="00D66021"/>
    <w:rsid w:val="00D6673A"/>
    <w:rsid w:val="00D66A25"/>
    <w:rsid w:val="00D671F7"/>
    <w:rsid w:val="00D671FC"/>
    <w:rsid w:val="00D707CC"/>
    <w:rsid w:val="00D718C1"/>
    <w:rsid w:val="00D71B02"/>
    <w:rsid w:val="00D724FF"/>
    <w:rsid w:val="00D73D6C"/>
    <w:rsid w:val="00D746B6"/>
    <w:rsid w:val="00D74A28"/>
    <w:rsid w:val="00D75E82"/>
    <w:rsid w:val="00D76246"/>
    <w:rsid w:val="00D76734"/>
    <w:rsid w:val="00D774F4"/>
    <w:rsid w:val="00D77675"/>
    <w:rsid w:val="00D77B13"/>
    <w:rsid w:val="00D80441"/>
    <w:rsid w:val="00D80442"/>
    <w:rsid w:val="00D81BA0"/>
    <w:rsid w:val="00D82BA0"/>
    <w:rsid w:val="00D82D73"/>
    <w:rsid w:val="00D83C60"/>
    <w:rsid w:val="00D84073"/>
    <w:rsid w:val="00D847D1"/>
    <w:rsid w:val="00D84CA0"/>
    <w:rsid w:val="00D8530E"/>
    <w:rsid w:val="00D85389"/>
    <w:rsid w:val="00D8581B"/>
    <w:rsid w:val="00D866C7"/>
    <w:rsid w:val="00D868D7"/>
    <w:rsid w:val="00D87CCD"/>
    <w:rsid w:val="00D9041E"/>
    <w:rsid w:val="00D9085E"/>
    <w:rsid w:val="00D90A2E"/>
    <w:rsid w:val="00D913DA"/>
    <w:rsid w:val="00D915A0"/>
    <w:rsid w:val="00D9165C"/>
    <w:rsid w:val="00D918EF"/>
    <w:rsid w:val="00D91983"/>
    <w:rsid w:val="00D91A0C"/>
    <w:rsid w:val="00D92F03"/>
    <w:rsid w:val="00D93C42"/>
    <w:rsid w:val="00D957DA"/>
    <w:rsid w:val="00D95848"/>
    <w:rsid w:val="00D969DC"/>
    <w:rsid w:val="00D973F8"/>
    <w:rsid w:val="00D9786C"/>
    <w:rsid w:val="00D97AB3"/>
    <w:rsid w:val="00D97C00"/>
    <w:rsid w:val="00DA06B7"/>
    <w:rsid w:val="00DA0BF7"/>
    <w:rsid w:val="00DA0CF3"/>
    <w:rsid w:val="00DA186A"/>
    <w:rsid w:val="00DA2A84"/>
    <w:rsid w:val="00DA2F40"/>
    <w:rsid w:val="00DA2FC4"/>
    <w:rsid w:val="00DA3DD3"/>
    <w:rsid w:val="00DA4941"/>
    <w:rsid w:val="00DA49A8"/>
    <w:rsid w:val="00DA4A29"/>
    <w:rsid w:val="00DA5AD1"/>
    <w:rsid w:val="00DA7384"/>
    <w:rsid w:val="00DB093F"/>
    <w:rsid w:val="00DB0E7B"/>
    <w:rsid w:val="00DB0F62"/>
    <w:rsid w:val="00DB124A"/>
    <w:rsid w:val="00DB1354"/>
    <w:rsid w:val="00DB1549"/>
    <w:rsid w:val="00DB1B30"/>
    <w:rsid w:val="00DB25DC"/>
    <w:rsid w:val="00DB546B"/>
    <w:rsid w:val="00DB6671"/>
    <w:rsid w:val="00DB71C7"/>
    <w:rsid w:val="00DB7D40"/>
    <w:rsid w:val="00DC021B"/>
    <w:rsid w:val="00DC0236"/>
    <w:rsid w:val="00DC3B51"/>
    <w:rsid w:val="00DC4400"/>
    <w:rsid w:val="00DC4465"/>
    <w:rsid w:val="00DC5F44"/>
    <w:rsid w:val="00DC7554"/>
    <w:rsid w:val="00DD0C65"/>
    <w:rsid w:val="00DD18B3"/>
    <w:rsid w:val="00DD3943"/>
    <w:rsid w:val="00DD3C61"/>
    <w:rsid w:val="00DD3EF2"/>
    <w:rsid w:val="00DD4704"/>
    <w:rsid w:val="00DD57B6"/>
    <w:rsid w:val="00DD5F4B"/>
    <w:rsid w:val="00DD71F8"/>
    <w:rsid w:val="00DD7227"/>
    <w:rsid w:val="00DD76E3"/>
    <w:rsid w:val="00DE0456"/>
    <w:rsid w:val="00DE04D0"/>
    <w:rsid w:val="00DE0B65"/>
    <w:rsid w:val="00DE0ED8"/>
    <w:rsid w:val="00DE135A"/>
    <w:rsid w:val="00DE1897"/>
    <w:rsid w:val="00DE1B75"/>
    <w:rsid w:val="00DE43EB"/>
    <w:rsid w:val="00DE5198"/>
    <w:rsid w:val="00DE540E"/>
    <w:rsid w:val="00DE631D"/>
    <w:rsid w:val="00DE6F5C"/>
    <w:rsid w:val="00DF01B4"/>
    <w:rsid w:val="00DF02F4"/>
    <w:rsid w:val="00DF087A"/>
    <w:rsid w:val="00DF13C0"/>
    <w:rsid w:val="00DF1824"/>
    <w:rsid w:val="00DF35B0"/>
    <w:rsid w:val="00DF5E0C"/>
    <w:rsid w:val="00DF64D1"/>
    <w:rsid w:val="00DF7763"/>
    <w:rsid w:val="00DF7794"/>
    <w:rsid w:val="00DF7AF6"/>
    <w:rsid w:val="00E00F0F"/>
    <w:rsid w:val="00E0136B"/>
    <w:rsid w:val="00E01EAC"/>
    <w:rsid w:val="00E01FCC"/>
    <w:rsid w:val="00E02162"/>
    <w:rsid w:val="00E02220"/>
    <w:rsid w:val="00E02492"/>
    <w:rsid w:val="00E026C1"/>
    <w:rsid w:val="00E0274D"/>
    <w:rsid w:val="00E03E4F"/>
    <w:rsid w:val="00E04CA5"/>
    <w:rsid w:val="00E06121"/>
    <w:rsid w:val="00E06BE6"/>
    <w:rsid w:val="00E07405"/>
    <w:rsid w:val="00E101C1"/>
    <w:rsid w:val="00E101FC"/>
    <w:rsid w:val="00E105EF"/>
    <w:rsid w:val="00E115EB"/>
    <w:rsid w:val="00E11E6F"/>
    <w:rsid w:val="00E1209C"/>
    <w:rsid w:val="00E13154"/>
    <w:rsid w:val="00E13909"/>
    <w:rsid w:val="00E13DEA"/>
    <w:rsid w:val="00E1437D"/>
    <w:rsid w:val="00E14DAE"/>
    <w:rsid w:val="00E14F5F"/>
    <w:rsid w:val="00E14F67"/>
    <w:rsid w:val="00E14F7E"/>
    <w:rsid w:val="00E151A8"/>
    <w:rsid w:val="00E15C5B"/>
    <w:rsid w:val="00E1624F"/>
    <w:rsid w:val="00E167FA"/>
    <w:rsid w:val="00E16850"/>
    <w:rsid w:val="00E168EE"/>
    <w:rsid w:val="00E16CBD"/>
    <w:rsid w:val="00E1701D"/>
    <w:rsid w:val="00E170FF"/>
    <w:rsid w:val="00E17F6D"/>
    <w:rsid w:val="00E17F9A"/>
    <w:rsid w:val="00E223C9"/>
    <w:rsid w:val="00E226EF"/>
    <w:rsid w:val="00E227AD"/>
    <w:rsid w:val="00E2324E"/>
    <w:rsid w:val="00E264A6"/>
    <w:rsid w:val="00E264F6"/>
    <w:rsid w:val="00E26865"/>
    <w:rsid w:val="00E26A11"/>
    <w:rsid w:val="00E26A70"/>
    <w:rsid w:val="00E26C61"/>
    <w:rsid w:val="00E26FEE"/>
    <w:rsid w:val="00E275CF"/>
    <w:rsid w:val="00E278AE"/>
    <w:rsid w:val="00E302B6"/>
    <w:rsid w:val="00E3040B"/>
    <w:rsid w:val="00E3044F"/>
    <w:rsid w:val="00E308FE"/>
    <w:rsid w:val="00E309F0"/>
    <w:rsid w:val="00E30EEE"/>
    <w:rsid w:val="00E314C0"/>
    <w:rsid w:val="00E31A1E"/>
    <w:rsid w:val="00E31C19"/>
    <w:rsid w:val="00E32613"/>
    <w:rsid w:val="00E343BD"/>
    <w:rsid w:val="00E35C58"/>
    <w:rsid w:val="00E365A1"/>
    <w:rsid w:val="00E36690"/>
    <w:rsid w:val="00E36992"/>
    <w:rsid w:val="00E37CE5"/>
    <w:rsid w:val="00E40BBD"/>
    <w:rsid w:val="00E415CF"/>
    <w:rsid w:val="00E423EB"/>
    <w:rsid w:val="00E42CDF"/>
    <w:rsid w:val="00E42D6A"/>
    <w:rsid w:val="00E43A56"/>
    <w:rsid w:val="00E43BCA"/>
    <w:rsid w:val="00E43EF8"/>
    <w:rsid w:val="00E449AF"/>
    <w:rsid w:val="00E4594F"/>
    <w:rsid w:val="00E466B5"/>
    <w:rsid w:val="00E475E1"/>
    <w:rsid w:val="00E50055"/>
    <w:rsid w:val="00E501A5"/>
    <w:rsid w:val="00E5157F"/>
    <w:rsid w:val="00E5245C"/>
    <w:rsid w:val="00E5504E"/>
    <w:rsid w:val="00E5582E"/>
    <w:rsid w:val="00E57714"/>
    <w:rsid w:val="00E60109"/>
    <w:rsid w:val="00E60BDB"/>
    <w:rsid w:val="00E611D9"/>
    <w:rsid w:val="00E62008"/>
    <w:rsid w:val="00E621A4"/>
    <w:rsid w:val="00E63671"/>
    <w:rsid w:val="00E636C0"/>
    <w:rsid w:val="00E66616"/>
    <w:rsid w:val="00E6666C"/>
    <w:rsid w:val="00E66952"/>
    <w:rsid w:val="00E7054E"/>
    <w:rsid w:val="00E70985"/>
    <w:rsid w:val="00E71EC3"/>
    <w:rsid w:val="00E72799"/>
    <w:rsid w:val="00E72BAE"/>
    <w:rsid w:val="00E72F75"/>
    <w:rsid w:val="00E732FC"/>
    <w:rsid w:val="00E73767"/>
    <w:rsid w:val="00E74343"/>
    <w:rsid w:val="00E749CA"/>
    <w:rsid w:val="00E749CE"/>
    <w:rsid w:val="00E74A97"/>
    <w:rsid w:val="00E74CB5"/>
    <w:rsid w:val="00E75972"/>
    <w:rsid w:val="00E759F0"/>
    <w:rsid w:val="00E80431"/>
    <w:rsid w:val="00E8133D"/>
    <w:rsid w:val="00E81915"/>
    <w:rsid w:val="00E82EA6"/>
    <w:rsid w:val="00E831BB"/>
    <w:rsid w:val="00E83EB2"/>
    <w:rsid w:val="00E8435D"/>
    <w:rsid w:val="00E84D90"/>
    <w:rsid w:val="00E850E5"/>
    <w:rsid w:val="00E8532F"/>
    <w:rsid w:val="00E86BCC"/>
    <w:rsid w:val="00E879D1"/>
    <w:rsid w:val="00E908F8"/>
    <w:rsid w:val="00E90DF7"/>
    <w:rsid w:val="00E912E4"/>
    <w:rsid w:val="00E91E8C"/>
    <w:rsid w:val="00E92780"/>
    <w:rsid w:val="00E9299F"/>
    <w:rsid w:val="00E9302C"/>
    <w:rsid w:val="00E937A6"/>
    <w:rsid w:val="00E9394C"/>
    <w:rsid w:val="00E93BAA"/>
    <w:rsid w:val="00E9478F"/>
    <w:rsid w:val="00E94B50"/>
    <w:rsid w:val="00E94BBF"/>
    <w:rsid w:val="00E95A31"/>
    <w:rsid w:val="00E968A8"/>
    <w:rsid w:val="00EA0209"/>
    <w:rsid w:val="00EA18ED"/>
    <w:rsid w:val="00EA2146"/>
    <w:rsid w:val="00EA270B"/>
    <w:rsid w:val="00EA2B1C"/>
    <w:rsid w:val="00EA34AB"/>
    <w:rsid w:val="00EA362E"/>
    <w:rsid w:val="00EA3E5C"/>
    <w:rsid w:val="00EA423B"/>
    <w:rsid w:val="00EA6EBF"/>
    <w:rsid w:val="00EA7D6B"/>
    <w:rsid w:val="00EB1597"/>
    <w:rsid w:val="00EB199D"/>
    <w:rsid w:val="00EB19ED"/>
    <w:rsid w:val="00EB1B1F"/>
    <w:rsid w:val="00EB221A"/>
    <w:rsid w:val="00EB3090"/>
    <w:rsid w:val="00EB3590"/>
    <w:rsid w:val="00EB3809"/>
    <w:rsid w:val="00EB3AE4"/>
    <w:rsid w:val="00EB4263"/>
    <w:rsid w:val="00EB4485"/>
    <w:rsid w:val="00EB47BA"/>
    <w:rsid w:val="00EB524E"/>
    <w:rsid w:val="00EB6168"/>
    <w:rsid w:val="00EB7500"/>
    <w:rsid w:val="00EB7531"/>
    <w:rsid w:val="00EC02B4"/>
    <w:rsid w:val="00EC0F5E"/>
    <w:rsid w:val="00EC15A4"/>
    <w:rsid w:val="00EC1EDF"/>
    <w:rsid w:val="00EC26E2"/>
    <w:rsid w:val="00EC3A3F"/>
    <w:rsid w:val="00EC4448"/>
    <w:rsid w:val="00EC49DF"/>
    <w:rsid w:val="00EC4F02"/>
    <w:rsid w:val="00EC548B"/>
    <w:rsid w:val="00EC57CC"/>
    <w:rsid w:val="00EC595C"/>
    <w:rsid w:val="00EC62D0"/>
    <w:rsid w:val="00EC73CC"/>
    <w:rsid w:val="00EC7B9A"/>
    <w:rsid w:val="00ED1E08"/>
    <w:rsid w:val="00ED3DD4"/>
    <w:rsid w:val="00ED471F"/>
    <w:rsid w:val="00ED591F"/>
    <w:rsid w:val="00ED6784"/>
    <w:rsid w:val="00ED6B90"/>
    <w:rsid w:val="00EE021B"/>
    <w:rsid w:val="00EE055E"/>
    <w:rsid w:val="00EE0584"/>
    <w:rsid w:val="00EE0C2E"/>
    <w:rsid w:val="00EE16A1"/>
    <w:rsid w:val="00EE19E9"/>
    <w:rsid w:val="00EE3722"/>
    <w:rsid w:val="00EE4378"/>
    <w:rsid w:val="00EE4383"/>
    <w:rsid w:val="00EE4569"/>
    <w:rsid w:val="00EE487D"/>
    <w:rsid w:val="00EE4B2B"/>
    <w:rsid w:val="00EE53BA"/>
    <w:rsid w:val="00EE68B7"/>
    <w:rsid w:val="00EE70DB"/>
    <w:rsid w:val="00EE74F7"/>
    <w:rsid w:val="00EE7D5F"/>
    <w:rsid w:val="00EE7D72"/>
    <w:rsid w:val="00EF029C"/>
    <w:rsid w:val="00EF0943"/>
    <w:rsid w:val="00EF0ABD"/>
    <w:rsid w:val="00EF0C68"/>
    <w:rsid w:val="00EF1829"/>
    <w:rsid w:val="00EF1ABF"/>
    <w:rsid w:val="00EF1BF1"/>
    <w:rsid w:val="00EF3AF7"/>
    <w:rsid w:val="00EF43D3"/>
    <w:rsid w:val="00EF4C55"/>
    <w:rsid w:val="00EF5238"/>
    <w:rsid w:val="00EF5BB7"/>
    <w:rsid w:val="00EF5E03"/>
    <w:rsid w:val="00EF5F95"/>
    <w:rsid w:val="00EF639B"/>
    <w:rsid w:val="00EF6907"/>
    <w:rsid w:val="00EF6ABA"/>
    <w:rsid w:val="00EF6B05"/>
    <w:rsid w:val="00EF732F"/>
    <w:rsid w:val="00EF7B0B"/>
    <w:rsid w:val="00F011CD"/>
    <w:rsid w:val="00F018D4"/>
    <w:rsid w:val="00F01B07"/>
    <w:rsid w:val="00F01DBB"/>
    <w:rsid w:val="00F01E0F"/>
    <w:rsid w:val="00F023E7"/>
    <w:rsid w:val="00F02E57"/>
    <w:rsid w:val="00F0349C"/>
    <w:rsid w:val="00F04B45"/>
    <w:rsid w:val="00F05288"/>
    <w:rsid w:val="00F053DA"/>
    <w:rsid w:val="00F0551D"/>
    <w:rsid w:val="00F057A0"/>
    <w:rsid w:val="00F06AE7"/>
    <w:rsid w:val="00F070DE"/>
    <w:rsid w:val="00F07354"/>
    <w:rsid w:val="00F07F64"/>
    <w:rsid w:val="00F10271"/>
    <w:rsid w:val="00F10584"/>
    <w:rsid w:val="00F124FB"/>
    <w:rsid w:val="00F12631"/>
    <w:rsid w:val="00F14DBB"/>
    <w:rsid w:val="00F1588A"/>
    <w:rsid w:val="00F1593D"/>
    <w:rsid w:val="00F15A3A"/>
    <w:rsid w:val="00F16E3E"/>
    <w:rsid w:val="00F16EFD"/>
    <w:rsid w:val="00F178A9"/>
    <w:rsid w:val="00F17D0D"/>
    <w:rsid w:val="00F20346"/>
    <w:rsid w:val="00F20913"/>
    <w:rsid w:val="00F2108C"/>
    <w:rsid w:val="00F2256D"/>
    <w:rsid w:val="00F22972"/>
    <w:rsid w:val="00F23594"/>
    <w:rsid w:val="00F23762"/>
    <w:rsid w:val="00F240D0"/>
    <w:rsid w:val="00F24CA1"/>
    <w:rsid w:val="00F251CC"/>
    <w:rsid w:val="00F2552D"/>
    <w:rsid w:val="00F26103"/>
    <w:rsid w:val="00F30732"/>
    <w:rsid w:val="00F321F5"/>
    <w:rsid w:val="00F32566"/>
    <w:rsid w:val="00F3340C"/>
    <w:rsid w:val="00F33EF8"/>
    <w:rsid w:val="00F34404"/>
    <w:rsid w:val="00F347A2"/>
    <w:rsid w:val="00F34B8F"/>
    <w:rsid w:val="00F3557D"/>
    <w:rsid w:val="00F35758"/>
    <w:rsid w:val="00F36E44"/>
    <w:rsid w:val="00F373E9"/>
    <w:rsid w:val="00F374FB"/>
    <w:rsid w:val="00F37ABB"/>
    <w:rsid w:val="00F40449"/>
    <w:rsid w:val="00F40DA8"/>
    <w:rsid w:val="00F4162F"/>
    <w:rsid w:val="00F426A0"/>
    <w:rsid w:val="00F4358D"/>
    <w:rsid w:val="00F4434A"/>
    <w:rsid w:val="00F447A2"/>
    <w:rsid w:val="00F449BF"/>
    <w:rsid w:val="00F45353"/>
    <w:rsid w:val="00F45931"/>
    <w:rsid w:val="00F46807"/>
    <w:rsid w:val="00F46951"/>
    <w:rsid w:val="00F46C85"/>
    <w:rsid w:val="00F46E58"/>
    <w:rsid w:val="00F47C1C"/>
    <w:rsid w:val="00F5139A"/>
    <w:rsid w:val="00F51854"/>
    <w:rsid w:val="00F51F46"/>
    <w:rsid w:val="00F52C36"/>
    <w:rsid w:val="00F53D2F"/>
    <w:rsid w:val="00F54908"/>
    <w:rsid w:val="00F54C7D"/>
    <w:rsid w:val="00F553CF"/>
    <w:rsid w:val="00F5551A"/>
    <w:rsid w:val="00F55668"/>
    <w:rsid w:val="00F5734C"/>
    <w:rsid w:val="00F57389"/>
    <w:rsid w:val="00F5749C"/>
    <w:rsid w:val="00F57D00"/>
    <w:rsid w:val="00F63E44"/>
    <w:rsid w:val="00F645D6"/>
    <w:rsid w:val="00F647BE"/>
    <w:rsid w:val="00F64C92"/>
    <w:rsid w:val="00F65F1F"/>
    <w:rsid w:val="00F67619"/>
    <w:rsid w:val="00F725FE"/>
    <w:rsid w:val="00F745D6"/>
    <w:rsid w:val="00F7475F"/>
    <w:rsid w:val="00F74BCF"/>
    <w:rsid w:val="00F761F5"/>
    <w:rsid w:val="00F7663F"/>
    <w:rsid w:val="00F76A50"/>
    <w:rsid w:val="00F77345"/>
    <w:rsid w:val="00F776E1"/>
    <w:rsid w:val="00F7777D"/>
    <w:rsid w:val="00F77CAD"/>
    <w:rsid w:val="00F77D1D"/>
    <w:rsid w:val="00F807DA"/>
    <w:rsid w:val="00F81A17"/>
    <w:rsid w:val="00F824BA"/>
    <w:rsid w:val="00F82743"/>
    <w:rsid w:val="00F8358C"/>
    <w:rsid w:val="00F83C12"/>
    <w:rsid w:val="00F83E69"/>
    <w:rsid w:val="00F83FC0"/>
    <w:rsid w:val="00F8481C"/>
    <w:rsid w:val="00F8481F"/>
    <w:rsid w:val="00F854F9"/>
    <w:rsid w:val="00F85DEE"/>
    <w:rsid w:val="00F85FA6"/>
    <w:rsid w:val="00F85FC4"/>
    <w:rsid w:val="00F86742"/>
    <w:rsid w:val="00F87027"/>
    <w:rsid w:val="00F87888"/>
    <w:rsid w:val="00F87B9E"/>
    <w:rsid w:val="00F87BB7"/>
    <w:rsid w:val="00F87EA9"/>
    <w:rsid w:val="00F90482"/>
    <w:rsid w:val="00F90618"/>
    <w:rsid w:val="00F90EFD"/>
    <w:rsid w:val="00F914E8"/>
    <w:rsid w:val="00F91BD6"/>
    <w:rsid w:val="00F921F5"/>
    <w:rsid w:val="00F9243B"/>
    <w:rsid w:val="00F92B35"/>
    <w:rsid w:val="00F942C3"/>
    <w:rsid w:val="00F9584D"/>
    <w:rsid w:val="00F95A33"/>
    <w:rsid w:val="00F96882"/>
    <w:rsid w:val="00F96A17"/>
    <w:rsid w:val="00FA00DD"/>
    <w:rsid w:val="00FA0E1C"/>
    <w:rsid w:val="00FA0EDE"/>
    <w:rsid w:val="00FA18FF"/>
    <w:rsid w:val="00FA1A1D"/>
    <w:rsid w:val="00FA1ABE"/>
    <w:rsid w:val="00FA1C0E"/>
    <w:rsid w:val="00FA2070"/>
    <w:rsid w:val="00FA226D"/>
    <w:rsid w:val="00FA29CA"/>
    <w:rsid w:val="00FA3367"/>
    <w:rsid w:val="00FA3666"/>
    <w:rsid w:val="00FA4849"/>
    <w:rsid w:val="00FA4B7F"/>
    <w:rsid w:val="00FA5C5F"/>
    <w:rsid w:val="00FA6264"/>
    <w:rsid w:val="00FA6C7D"/>
    <w:rsid w:val="00FA6E6A"/>
    <w:rsid w:val="00FA74B0"/>
    <w:rsid w:val="00FB05E4"/>
    <w:rsid w:val="00FB0E59"/>
    <w:rsid w:val="00FB1006"/>
    <w:rsid w:val="00FB2E79"/>
    <w:rsid w:val="00FB38C2"/>
    <w:rsid w:val="00FB4D95"/>
    <w:rsid w:val="00FB4E55"/>
    <w:rsid w:val="00FB5945"/>
    <w:rsid w:val="00FB5A31"/>
    <w:rsid w:val="00FB5F8B"/>
    <w:rsid w:val="00FB6D43"/>
    <w:rsid w:val="00FB70AB"/>
    <w:rsid w:val="00FB73E7"/>
    <w:rsid w:val="00FB76C8"/>
    <w:rsid w:val="00FB7751"/>
    <w:rsid w:val="00FC00B3"/>
    <w:rsid w:val="00FC01C2"/>
    <w:rsid w:val="00FC0219"/>
    <w:rsid w:val="00FC0245"/>
    <w:rsid w:val="00FC140A"/>
    <w:rsid w:val="00FC1718"/>
    <w:rsid w:val="00FC1D28"/>
    <w:rsid w:val="00FC27D3"/>
    <w:rsid w:val="00FC314B"/>
    <w:rsid w:val="00FC417E"/>
    <w:rsid w:val="00FC51C1"/>
    <w:rsid w:val="00FC5201"/>
    <w:rsid w:val="00FC739D"/>
    <w:rsid w:val="00FC765B"/>
    <w:rsid w:val="00FC7818"/>
    <w:rsid w:val="00FD0630"/>
    <w:rsid w:val="00FD0FA1"/>
    <w:rsid w:val="00FD1375"/>
    <w:rsid w:val="00FD151B"/>
    <w:rsid w:val="00FD15DD"/>
    <w:rsid w:val="00FD171A"/>
    <w:rsid w:val="00FD2F22"/>
    <w:rsid w:val="00FD2F54"/>
    <w:rsid w:val="00FD3DD9"/>
    <w:rsid w:val="00FD406D"/>
    <w:rsid w:val="00FD507D"/>
    <w:rsid w:val="00FD5A4B"/>
    <w:rsid w:val="00FD5CD6"/>
    <w:rsid w:val="00FD63C5"/>
    <w:rsid w:val="00FD698C"/>
    <w:rsid w:val="00FE0EAB"/>
    <w:rsid w:val="00FE16D3"/>
    <w:rsid w:val="00FE27CE"/>
    <w:rsid w:val="00FE28C7"/>
    <w:rsid w:val="00FE2A07"/>
    <w:rsid w:val="00FE3B09"/>
    <w:rsid w:val="00FE4537"/>
    <w:rsid w:val="00FE4573"/>
    <w:rsid w:val="00FE52A1"/>
    <w:rsid w:val="00FE55AD"/>
    <w:rsid w:val="00FF0140"/>
    <w:rsid w:val="00FF028D"/>
    <w:rsid w:val="00FF0652"/>
    <w:rsid w:val="00FF0EA0"/>
    <w:rsid w:val="00FF105C"/>
    <w:rsid w:val="00FF2100"/>
    <w:rsid w:val="00FF24AD"/>
    <w:rsid w:val="00FF372E"/>
    <w:rsid w:val="00FF4838"/>
    <w:rsid w:val="00FF6147"/>
    <w:rsid w:val="00FF656C"/>
    <w:rsid w:val="00FF66EF"/>
    <w:rsid w:val="1477BD40"/>
    <w:rsid w:val="158C74C2"/>
    <w:rsid w:val="24F88664"/>
    <w:rsid w:val="3ABC4D34"/>
    <w:rsid w:val="454D51CE"/>
    <w:rsid w:val="47C812E3"/>
    <w:rsid w:val="554010A8"/>
    <w:rsid w:val="55FA482F"/>
    <w:rsid w:val="5808D64F"/>
    <w:rsid w:val="79D5871F"/>
    <w:rsid w:val="7A254E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DF95DD8"/>
  <w15:docId w15:val="{6A59C485-C271-4202-B8A5-D80B562C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EC1"/>
    <w:pPr>
      <w:spacing w:line="276" w:lineRule="auto"/>
    </w:pPr>
    <w:rPr>
      <w:sz w:val="24"/>
      <w:szCs w:val="24"/>
    </w:rPr>
  </w:style>
  <w:style w:type="paragraph" w:styleId="Heading1">
    <w:name w:val="heading 1"/>
    <w:basedOn w:val="Normal"/>
    <w:next w:val="Normal"/>
    <w:link w:val="Heading1Char"/>
    <w:qFormat/>
    <w:rsid w:val="005B647F"/>
    <w:pPr>
      <w:spacing w:line="240" w:lineRule="auto"/>
      <w:outlineLvl w:val="0"/>
    </w:pPr>
    <w:rPr>
      <w:b/>
    </w:rPr>
  </w:style>
  <w:style w:type="paragraph" w:styleId="Heading2">
    <w:name w:val="heading 2"/>
    <w:basedOn w:val="Normal"/>
    <w:next w:val="Normal"/>
    <w:qFormat/>
    <w:rsid w:val="00535096"/>
    <w:pPr>
      <w:keepNext/>
      <w:spacing w:before="360" w:after="240"/>
      <w:outlineLvl w:val="1"/>
    </w:pPr>
    <w:rPr>
      <w:b/>
    </w:rPr>
  </w:style>
  <w:style w:type="paragraph" w:styleId="Heading3">
    <w:name w:val="heading 3"/>
    <w:basedOn w:val="Normal"/>
    <w:next w:val="Normal"/>
    <w:link w:val="Heading3Char"/>
    <w:qFormat/>
    <w:rsid w:val="00C800ED"/>
    <w:pPr>
      <w:keepNext/>
      <w:numPr>
        <w:numId w:val="1"/>
      </w:numPr>
      <w:outlineLvl w:val="2"/>
    </w:pPr>
    <w:rPr>
      <w:u w:val="single"/>
    </w:rPr>
  </w:style>
  <w:style w:type="paragraph" w:styleId="Heading4">
    <w:name w:val="heading 4"/>
    <w:basedOn w:val="Normal"/>
    <w:next w:val="Normal"/>
    <w:link w:val="Heading4Char"/>
    <w:uiPriority w:val="99"/>
    <w:unhideWhenUsed/>
    <w:qFormat/>
    <w:rsid w:val="00C02E7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unhideWhenUsed/>
    <w:qFormat/>
    <w:rsid w:val="00AB4CC9"/>
    <w:pPr>
      <w:tabs>
        <w:tab w:val="num" w:pos="1008"/>
      </w:tabs>
      <w:spacing w:before="240" w:after="60" w:line="259" w:lineRule="auto"/>
      <w:ind w:left="1008" w:hanging="1008"/>
      <w:outlineLvl w:val="4"/>
    </w:pPr>
    <w:rPr>
      <w:rFonts w:asciiTheme="minorHAnsi" w:eastAsiaTheme="minorHAnsi" w:hAnsiTheme="minorHAnsi" w:cstheme="minorBidi"/>
      <w:b/>
      <w:bCs/>
      <w:i/>
      <w:iCs/>
      <w:sz w:val="26"/>
      <w:szCs w:val="26"/>
    </w:rPr>
  </w:style>
  <w:style w:type="paragraph" w:styleId="Heading6">
    <w:name w:val="heading 6"/>
    <w:basedOn w:val="Normal"/>
    <w:next w:val="Normal"/>
    <w:link w:val="Heading6Char"/>
    <w:uiPriority w:val="99"/>
    <w:unhideWhenUsed/>
    <w:qFormat/>
    <w:rsid w:val="00AB4CC9"/>
    <w:pPr>
      <w:tabs>
        <w:tab w:val="num" w:pos="1152"/>
      </w:tabs>
      <w:spacing w:before="240" w:after="60" w:line="259" w:lineRule="auto"/>
      <w:ind w:left="1152" w:hanging="1152"/>
      <w:outlineLvl w:val="5"/>
    </w:pPr>
    <w:rPr>
      <w:rFonts w:asciiTheme="minorHAnsi" w:eastAsiaTheme="minorHAnsi" w:hAnsiTheme="minorHAnsi" w:cstheme="minorBidi"/>
      <w:b/>
      <w:bCs/>
      <w:sz w:val="22"/>
      <w:szCs w:val="22"/>
    </w:rPr>
  </w:style>
  <w:style w:type="paragraph" w:styleId="Heading7">
    <w:name w:val="heading 7"/>
    <w:basedOn w:val="Normal"/>
    <w:next w:val="Normal"/>
    <w:link w:val="Heading7Char"/>
    <w:uiPriority w:val="99"/>
    <w:unhideWhenUsed/>
    <w:qFormat/>
    <w:rsid w:val="00AB4CC9"/>
    <w:pPr>
      <w:tabs>
        <w:tab w:val="num" w:pos="1296"/>
      </w:tabs>
      <w:spacing w:before="240" w:after="60" w:line="259" w:lineRule="auto"/>
      <w:ind w:left="1296" w:hanging="1296"/>
      <w:outlineLvl w:val="6"/>
    </w:pPr>
    <w:rPr>
      <w:rFonts w:asciiTheme="minorHAnsi" w:eastAsiaTheme="minorHAnsi" w:hAnsiTheme="minorHAnsi" w:cstheme="minorBidi"/>
      <w:sz w:val="22"/>
    </w:rPr>
  </w:style>
  <w:style w:type="paragraph" w:styleId="Heading8">
    <w:name w:val="heading 8"/>
    <w:basedOn w:val="Normal"/>
    <w:next w:val="Normal"/>
    <w:link w:val="Heading8Char"/>
    <w:uiPriority w:val="99"/>
    <w:unhideWhenUsed/>
    <w:qFormat/>
    <w:rsid w:val="00AB4CC9"/>
    <w:pPr>
      <w:tabs>
        <w:tab w:val="num" w:pos="1440"/>
      </w:tabs>
      <w:spacing w:before="240" w:after="60" w:line="259" w:lineRule="auto"/>
      <w:ind w:left="1440" w:hanging="1440"/>
      <w:outlineLvl w:val="7"/>
    </w:pPr>
    <w:rPr>
      <w:rFonts w:asciiTheme="minorHAnsi" w:eastAsiaTheme="minorHAnsi" w:hAnsiTheme="minorHAnsi" w:cstheme="minorBidi"/>
      <w:i/>
      <w:iCs/>
      <w:sz w:val="22"/>
    </w:rPr>
  </w:style>
  <w:style w:type="paragraph" w:styleId="Heading9">
    <w:name w:val="heading 9"/>
    <w:basedOn w:val="Normal"/>
    <w:next w:val="Normal"/>
    <w:link w:val="Heading9Char"/>
    <w:uiPriority w:val="99"/>
    <w:unhideWhenUsed/>
    <w:qFormat/>
    <w:rsid w:val="00AB4CC9"/>
    <w:pPr>
      <w:tabs>
        <w:tab w:val="num" w:pos="1584"/>
      </w:tabs>
      <w:spacing w:before="240" w:after="60" w:line="259" w:lineRule="auto"/>
      <w:ind w:left="1584" w:hanging="1584"/>
      <w:outlineLvl w:val="8"/>
    </w:pPr>
    <w:rPr>
      <w:rFonts w:ascii="Arial" w:hAnsi="Arial" w:eastAsiaTheme="min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B647F"/>
    <w:rPr>
      <w:b/>
      <w:sz w:val="24"/>
      <w:szCs w:val="24"/>
    </w:rPr>
  </w:style>
  <w:style w:type="character" w:customStyle="1" w:styleId="Heading3Char">
    <w:name w:val="Heading 3 Char"/>
    <w:link w:val="Heading3"/>
    <w:rsid w:val="00C800ED"/>
    <w:rPr>
      <w:sz w:val="24"/>
      <w:szCs w:val="24"/>
      <w:u w:val="single"/>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uiPriority w:val="99"/>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aliases w:val="Appel note de bas de p,Appel note de bas de p + 11 pt,Footnote,Italic"/>
    <w:qFormat/>
    <w:rsid w:val="00C800ED"/>
    <w:rPr>
      <w:vertAlign w:val="superscript"/>
    </w:rPr>
  </w:style>
  <w:style w:type="paragraph" w:styleId="FootnoteText">
    <w:name w:val="footnote text"/>
    <w:aliases w:val="F1,Proposal Footnote Text"/>
    <w:basedOn w:val="Normal"/>
    <w:link w:val="FootnoteTextChar"/>
    <w:uiPriority w:val="99"/>
    <w:rsid w:val="00C800ED"/>
    <w:pPr>
      <w:widowControl w:val="0"/>
      <w:autoSpaceDE w:val="0"/>
      <w:autoSpaceDN w:val="0"/>
      <w:adjustRightInd w:val="0"/>
    </w:pPr>
    <w:rPr>
      <w:sz w:val="20"/>
      <w:szCs w:val="20"/>
    </w:rPr>
  </w:style>
  <w:style w:type="paragraph" w:styleId="Footer">
    <w:name w:val="footer"/>
    <w:basedOn w:val="Normal"/>
    <w:link w:val="FooterChar"/>
    <w:uiPriority w:val="99"/>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rsid w:val="00C800ED"/>
    <w:rPr>
      <w:sz w:val="20"/>
      <w:szCs w:val="20"/>
    </w:rPr>
  </w:style>
  <w:style w:type="paragraph" w:styleId="NormalWeb">
    <w:name w:val="Normal (Web)"/>
    <w:basedOn w:val="Normal"/>
    <w:uiPriority w:val="99"/>
    <w:qFormat/>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aliases w:val="RDBgrid"/>
    <w:basedOn w:val="TableNormal"/>
    <w:uiPriority w:val="3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exact"/>
      <w:jc w:val="both"/>
    </w:pPr>
  </w:style>
  <w:style w:type="paragraph" w:styleId="ListParagraph">
    <w:name w:val="List Paragraph"/>
    <w:aliases w:val="Bullet List,FooterText"/>
    <w:basedOn w:val="Normal"/>
    <w:link w:val="ListParagraphChar"/>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link w:val="DefaultChar"/>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aliases w:val="F1 Char,Proposal 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 w:type="character" w:customStyle="1" w:styleId="Mention1">
    <w:name w:val="Mention1"/>
    <w:basedOn w:val="DefaultParagraphFont"/>
    <w:uiPriority w:val="99"/>
    <w:semiHidden/>
    <w:unhideWhenUsed/>
    <w:rsid w:val="00CB3247"/>
    <w:rPr>
      <w:color w:val="2B579A"/>
      <w:shd w:val="clear" w:color="auto" w:fill="E6E6E6"/>
    </w:rPr>
  </w:style>
  <w:style w:type="paragraph" w:customStyle="1" w:styleId="ICRQuestion">
    <w:name w:val="ICR Question"/>
    <w:basedOn w:val="Heading3"/>
    <w:qFormat/>
    <w:rsid w:val="004754C5"/>
    <w:pPr>
      <w:numPr>
        <w:numId w:val="0"/>
      </w:numPr>
      <w:spacing w:before="240" w:after="120"/>
    </w:pPr>
    <w:rPr>
      <w:b/>
      <w:u w:val="none"/>
    </w:rPr>
  </w:style>
  <w:style w:type="character" w:styleId="PlaceholderText">
    <w:name w:val="Placeholder Text"/>
    <w:basedOn w:val="DefaultParagraphFont"/>
    <w:uiPriority w:val="99"/>
    <w:semiHidden/>
    <w:rsid w:val="007B5553"/>
    <w:rPr>
      <w:color w:val="808080"/>
    </w:rPr>
  </w:style>
  <w:style w:type="paragraph" w:styleId="TOCHeading">
    <w:name w:val="TOC Heading"/>
    <w:basedOn w:val="Heading1"/>
    <w:next w:val="Normal"/>
    <w:uiPriority w:val="39"/>
    <w:unhideWhenUsed/>
    <w:qFormat/>
    <w:rsid w:val="00C76FFD"/>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76FFD"/>
    <w:pPr>
      <w:spacing w:after="100"/>
    </w:pPr>
  </w:style>
  <w:style w:type="paragraph" w:styleId="Title">
    <w:name w:val="Title"/>
    <w:basedOn w:val="Normal"/>
    <w:next w:val="Normal"/>
    <w:link w:val="TitleChar"/>
    <w:qFormat/>
    <w:rsid w:val="00C76F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6FFD"/>
    <w:rPr>
      <w:rFonts w:asciiTheme="majorHAnsi" w:eastAsiaTheme="majorEastAsia" w:hAnsiTheme="majorHAnsi" w:cstheme="majorBidi"/>
      <w:spacing w:val="-10"/>
      <w:kern w:val="28"/>
      <w:sz w:val="56"/>
      <w:szCs w:val="56"/>
    </w:rPr>
  </w:style>
  <w:style w:type="character" w:customStyle="1" w:styleId="ListParagraphChar">
    <w:name w:val="List Paragraph Char"/>
    <w:aliases w:val="Bullet List Char,FooterText Char"/>
    <w:basedOn w:val="DefaultParagraphFont"/>
    <w:link w:val="ListParagraph"/>
    <w:uiPriority w:val="34"/>
    <w:rsid w:val="00AB17CD"/>
    <w:rPr>
      <w:rFonts w:ascii="Arial" w:eastAsia="Calibri" w:hAnsi="Arial" w:cs="Arial"/>
      <w:sz w:val="22"/>
      <w:szCs w:val="22"/>
    </w:rPr>
  </w:style>
  <w:style w:type="character" w:customStyle="1" w:styleId="UnresolvedMention1">
    <w:name w:val="Unresolved Mention1"/>
    <w:basedOn w:val="DefaultParagraphFont"/>
    <w:uiPriority w:val="99"/>
    <w:semiHidden/>
    <w:unhideWhenUsed/>
    <w:rsid w:val="004C118E"/>
    <w:rPr>
      <w:color w:val="808080"/>
      <w:shd w:val="clear" w:color="auto" w:fill="E6E6E6"/>
    </w:rPr>
  </w:style>
  <w:style w:type="paragraph" w:styleId="TOC2">
    <w:name w:val="toc 2"/>
    <w:basedOn w:val="Normal"/>
    <w:next w:val="Normal"/>
    <w:autoRedefine/>
    <w:uiPriority w:val="39"/>
    <w:unhideWhenUsed/>
    <w:rsid w:val="00E16CBD"/>
    <w:pPr>
      <w:spacing w:after="100"/>
      <w:ind w:left="240"/>
    </w:pPr>
  </w:style>
  <w:style w:type="paragraph" w:styleId="TOC3">
    <w:name w:val="toc 3"/>
    <w:basedOn w:val="Normal"/>
    <w:next w:val="Normal"/>
    <w:autoRedefine/>
    <w:uiPriority w:val="39"/>
    <w:unhideWhenUsed/>
    <w:rsid w:val="004754C5"/>
    <w:pPr>
      <w:spacing w:after="100"/>
      <w:ind w:left="480"/>
    </w:pPr>
  </w:style>
  <w:style w:type="paragraph" w:styleId="EndnoteText">
    <w:name w:val="endnote text"/>
    <w:basedOn w:val="Normal"/>
    <w:link w:val="EndnoteTextChar"/>
    <w:semiHidden/>
    <w:unhideWhenUsed/>
    <w:rsid w:val="00151B40"/>
    <w:pPr>
      <w:spacing w:line="240" w:lineRule="auto"/>
    </w:pPr>
    <w:rPr>
      <w:sz w:val="20"/>
      <w:szCs w:val="20"/>
    </w:rPr>
  </w:style>
  <w:style w:type="character" w:customStyle="1" w:styleId="EndnoteTextChar">
    <w:name w:val="Endnote Text Char"/>
    <w:basedOn w:val="DefaultParagraphFont"/>
    <w:link w:val="EndnoteText"/>
    <w:semiHidden/>
    <w:rsid w:val="00151B40"/>
  </w:style>
  <w:style w:type="character" w:styleId="EndnoteReference">
    <w:name w:val="endnote reference"/>
    <w:basedOn w:val="DefaultParagraphFont"/>
    <w:semiHidden/>
    <w:unhideWhenUsed/>
    <w:rsid w:val="00151B40"/>
    <w:rPr>
      <w:vertAlign w:val="superscript"/>
    </w:rPr>
  </w:style>
  <w:style w:type="character" w:customStyle="1" w:styleId="cf01">
    <w:name w:val="cf01"/>
    <w:basedOn w:val="DefaultParagraphFont"/>
    <w:rsid w:val="009B0644"/>
    <w:rPr>
      <w:rFonts w:ascii="Segoe UI" w:hAnsi="Segoe UI" w:cs="Segoe UI" w:hint="default"/>
      <w:sz w:val="18"/>
      <w:szCs w:val="18"/>
    </w:rPr>
  </w:style>
  <w:style w:type="character" w:customStyle="1" w:styleId="DefaultChar">
    <w:name w:val="Default Char"/>
    <w:link w:val="Default"/>
    <w:rsid w:val="00057FF5"/>
    <w:rPr>
      <w:rFonts w:ascii="Arial" w:hAnsi="Arial" w:cs="Arial"/>
      <w:color w:val="000000"/>
      <w:sz w:val="24"/>
      <w:szCs w:val="24"/>
    </w:rPr>
  </w:style>
  <w:style w:type="paragraph" w:customStyle="1" w:styleId="Table">
    <w:name w:val="Table"/>
    <w:basedOn w:val="Normal"/>
    <w:next w:val="Normal"/>
    <w:link w:val="TableChar"/>
    <w:rsid w:val="00C02E7E"/>
    <w:pPr>
      <w:numPr>
        <w:numId w:val="3"/>
      </w:numPr>
      <w:spacing w:line="240" w:lineRule="auto"/>
      <w:jc w:val="center"/>
    </w:pPr>
    <w:rPr>
      <w:b/>
      <w:szCs w:val="20"/>
    </w:rPr>
  </w:style>
  <w:style w:type="character" w:customStyle="1" w:styleId="TableChar">
    <w:name w:val="Table Char"/>
    <w:link w:val="Table"/>
    <w:rsid w:val="00C02E7E"/>
    <w:rPr>
      <w:b/>
      <w:sz w:val="24"/>
    </w:rPr>
  </w:style>
  <w:style w:type="table" w:customStyle="1" w:styleId="RDBgrid1">
    <w:name w:val="RDBgrid1"/>
    <w:basedOn w:val="TableNormal"/>
    <w:next w:val="TableGrid"/>
    <w:uiPriority w:val="39"/>
    <w:rsid w:val="00C0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DBgrid11">
    <w:name w:val="RDBgrid11"/>
    <w:basedOn w:val="TableNormal"/>
    <w:next w:val="TableGrid"/>
    <w:uiPriority w:val="39"/>
    <w:rsid w:val="00C0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link w:val="FigureChar"/>
    <w:qFormat/>
    <w:rsid w:val="00C02E7E"/>
    <w:pPr>
      <w:numPr>
        <w:numId w:val="4"/>
      </w:numPr>
      <w:spacing w:after="160" w:line="259" w:lineRule="auto"/>
      <w:jc w:val="center"/>
    </w:pPr>
    <w:rPr>
      <w:rFonts w:asciiTheme="minorHAnsi" w:eastAsiaTheme="minorHAnsi" w:hAnsiTheme="minorHAnsi" w:cstheme="minorBidi"/>
      <w:b/>
      <w:sz w:val="22"/>
      <w:szCs w:val="22"/>
    </w:rPr>
  </w:style>
  <w:style w:type="character" w:customStyle="1" w:styleId="FigureChar">
    <w:name w:val="Figure Char"/>
    <w:link w:val="Figure"/>
    <w:rsid w:val="00C02E7E"/>
    <w:rPr>
      <w:rFonts w:asciiTheme="minorHAnsi" w:eastAsiaTheme="minorHAnsi" w:hAnsiTheme="minorHAnsi" w:cstheme="minorBidi"/>
      <w:b/>
      <w:sz w:val="22"/>
      <w:szCs w:val="22"/>
    </w:rPr>
  </w:style>
  <w:style w:type="character" w:customStyle="1" w:styleId="fontstyle01">
    <w:name w:val="fontstyle01"/>
    <w:basedOn w:val="DefaultParagraphFont"/>
    <w:rsid w:val="00C02E7E"/>
    <w:rPr>
      <w:rFonts w:ascii="TimesNewRomanPSMT" w:hAnsi="TimesNewRomanPSMT" w:hint="default"/>
      <w:b w:val="0"/>
      <w:bCs w:val="0"/>
      <w:i w:val="0"/>
      <w:iCs w:val="0"/>
      <w:color w:val="000000"/>
      <w:sz w:val="24"/>
      <w:szCs w:val="24"/>
    </w:rPr>
  </w:style>
  <w:style w:type="character" w:customStyle="1" w:styleId="Heading4Char">
    <w:name w:val="Heading 4 Char"/>
    <w:basedOn w:val="DefaultParagraphFont"/>
    <w:link w:val="Heading4"/>
    <w:semiHidden/>
    <w:rsid w:val="00C02E7E"/>
    <w:rPr>
      <w:rFonts w:asciiTheme="majorHAnsi" w:eastAsiaTheme="majorEastAsia" w:hAnsiTheme="majorHAnsi" w:cstheme="majorBidi"/>
      <w:i/>
      <w:iCs/>
      <w:color w:val="365F91" w:themeColor="accent1" w:themeShade="BF"/>
      <w:sz w:val="24"/>
      <w:szCs w:val="24"/>
    </w:rPr>
  </w:style>
  <w:style w:type="character" w:customStyle="1" w:styleId="FooterChar">
    <w:name w:val="Footer Char"/>
    <w:basedOn w:val="DefaultParagraphFont"/>
    <w:link w:val="Footer"/>
    <w:uiPriority w:val="99"/>
    <w:rsid w:val="00C02E7E"/>
    <w:rPr>
      <w:sz w:val="24"/>
      <w:szCs w:val="24"/>
    </w:rPr>
  </w:style>
  <w:style w:type="paragraph" w:customStyle="1" w:styleId="APAHeadingLevel2">
    <w:name w:val="APA Heading Level 2"/>
    <w:basedOn w:val="Normal"/>
    <w:uiPriority w:val="99"/>
    <w:qFormat/>
    <w:rsid w:val="00C02E7E"/>
    <w:pPr>
      <w:spacing w:line="480" w:lineRule="auto"/>
      <w:outlineLvl w:val="1"/>
    </w:pPr>
    <w:rPr>
      <w:b/>
      <w:szCs w:val="20"/>
    </w:rPr>
  </w:style>
  <w:style w:type="table" w:customStyle="1" w:styleId="TableGrid1">
    <w:name w:val="Table Grid1"/>
    <w:basedOn w:val="TableNormal"/>
    <w:next w:val="TableGrid"/>
    <w:uiPriority w:val="59"/>
    <w:rsid w:val="00924C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F23594"/>
  </w:style>
  <w:style w:type="paragraph" w:styleId="NoSpacing">
    <w:name w:val="No Spacing"/>
    <w:uiPriority w:val="1"/>
    <w:qFormat/>
    <w:rsid w:val="00D95848"/>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9"/>
    <w:rsid w:val="00AB4CC9"/>
    <w:rPr>
      <w:rFonts w:asciiTheme="minorHAnsi" w:eastAsiaTheme="minorHAnsi" w:hAnsiTheme="minorHAnsi" w:cstheme="minorBidi"/>
      <w:b/>
      <w:bCs/>
      <w:i/>
      <w:iCs/>
      <w:sz w:val="26"/>
      <w:szCs w:val="26"/>
    </w:rPr>
  </w:style>
  <w:style w:type="character" w:customStyle="1" w:styleId="Heading6Char">
    <w:name w:val="Heading 6 Char"/>
    <w:basedOn w:val="DefaultParagraphFont"/>
    <w:link w:val="Heading6"/>
    <w:uiPriority w:val="99"/>
    <w:rsid w:val="00AB4CC9"/>
    <w:rPr>
      <w:rFonts w:asciiTheme="minorHAnsi" w:eastAsiaTheme="minorHAnsi" w:hAnsiTheme="minorHAnsi" w:cstheme="minorBidi"/>
      <w:b/>
      <w:bCs/>
      <w:sz w:val="22"/>
      <w:szCs w:val="22"/>
    </w:rPr>
  </w:style>
  <w:style w:type="character" w:customStyle="1" w:styleId="Heading7Char">
    <w:name w:val="Heading 7 Char"/>
    <w:basedOn w:val="DefaultParagraphFont"/>
    <w:link w:val="Heading7"/>
    <w:uiPriority w:val="99"/>
    <w:rsid w:val="00AB4CC9"/>
    <w:rPr>
      <w:rFonts w:asciiTheme="minorHAnsi" w:eastAsiaTheme="minorHAnsi" w:hAnsiTheme="minorHAnsi" w:cstheme="minorBidi"/>
      <w:sz w:val="22"/>
      <w:szCs w:val="24"/>
    </w:rPr>
  </w:style>
  <w:style w:type="character" w:customStyle="1" w:styleId="Heading8Char">
    <w:name w:val="Heading 8 Char"/>
    <w:basedOn w:val="DefaultParagraphFont"/>
    <w:link w:val="Heading8"/>
    <w:uiPriority w:val="99"/>
    <w:rsid w:val="00AB4CC9"/>
    <w:rPr>
      <w:rFonts w:asciiTheme="minorHAnsi" w:eastAsiaTheme="minorHAnsi" w:hAnsiTheme="minorHAnsi" w:cstheme="minorBidi"/>
      <w:i/>
      <w:iCs/>
      <w:sz w:val="22"/>
      <w:szCs w:val="24"/>
    </w:rPr>
  </w:style>
  <w:style w:type="character" w:customStyle="1" w:styleId="Heading9Char">
    <w:name w:val="Heading 9 Char"/>
    <w:basedOn w:val="DefaultParagraphFont"/>
    <w:link w:val="Heading9"/>
    <w:uiPriority w:val="99"/>
    <w:rsid w:val="00AB4CC9"/>
    <w:rPr>
      <w:rFonts w:ascii="Arial" w:hAnsi="Arial" w:eastAsiaTheme="minorHAnsi" w:cs="Arial"/>
      <w:sz w:val="22"/>
      <w:szCs w:val="22"/>
    </w:rPr>
  </w:style>
  <w:style w:type="character" w:customStyle="1" w:styleId="normaltextrun">
    <w:name w:val="normaltextrun"/>
    <w:basedOn w:val="DefaultParagraphFont"/>
    <w:rsid w:val="00130FD1"/>
  </w:style>
  <w:style w:type="character" w:customStyle="1" w:styleId="superscript">
    <w:name w:val="superscript"/>
    <w:basedOn w:val="DefaultParagraphFont"/>
    <w:rsid w:val="00130FD1"/>
  </w:style>
  <w:style w:type="character" w:styleId="UnresolvedMention">
    <w:name w:val="Unresolved Mention"/>
    <w:basedOn w:val="DefaultParagraphFont"/>
    <w:uiPriority w:val="99"/>
    <w:semiHidden/>
    <w:unhideWhenUsed/>
    <w:rsid w:val="00E6666C"/>
    <w:rPr>
      <w:color w:val="605E5C"/>
      <w:shd w:val="clear" w:color="auto" w:fill="E1DFDD"/>
    </w:rPr>
  </w:style>
  <w:style w:type="character" w:styleId="Mention">
    <w:name w:val="Mention"/>
    <w:basedOn w:val="DefaultParagraphFont"/>
    <w:uiPriority w:val="99"/>
    <w:unhideWhenUsed/>
    <w:rsid w:val="007B0216"/>
    <w:rPr>
      <w:color w:val="2B579A"/>
      <w:shd w:val="clear" w:color="auto" w:fill="E1DFDD"/>
    </w:rPr>
  </w:style>
  <w:style w:type="table" w:styleId="GridTable1Light">
    <w:name w:val="Grid Table 1 Light"/>
    <w:basedOn w:val="TableNormal"/>
    <w:rsid w:val="00FA0E1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39051B"/>
    <w:pPr>
      <w:spacing w:before="100" w:beforeAutospacing="1" w:after="100" w:afterAutospacing="1" w:line="240" w:lineRule="auto"/>
    </w:pPr>
  </w:style>
  <w:style w:type="character" w:customStyle="1" w:styleId="eop">
    <w:name w:val="eop"/>
    <w:basedOn w:val="DefaultParagraphFont"/>
    <w:rsid w:val="0039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a2bac-fcc6-4a6d-b052-bbea7f6149e9">
      <Terms xmlns="http://schemas.microsoft.com/office/infopath/2007/PartnerControls"/>
    </lcf76f155ced4ddcb4097134ff3c332f>
    <TaxCatchAll xmlns="a2d580ed-e60b-4601-bd95-212988921ab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4DD9FAD0EEC84EB1C03464BCD542B9" ma:contentTypeVersion="10" ma:contentTypeDescription="Create a new document." ma:contentTypeScope="" ma:versionID="f0a5ed3ceec6d0472ded5d04254d71fc">
  <xsd:schema xmlns:xsd="http://www.w3.org/2001/XMLSchema" xmlns:xs="http://www.w3.org/2001/XMLSchema" xmlns:p="http://schemas.microsoft.com/office/2006/metadata/properties" xmlns:ns2="280a2bac-fcc6-4a6d-b052-bbea7f6149e9" xmlns:ns3="a2d580ed-e60b-4601-bd95-212988921ab1" targetNamespace="http://schemas.microsoft.com/office/2006/metadata/properties" ma:root="true" ma:fieldsID="6e951c9623acc3614a39df618d62855c" ns2:_="" ns3:_="">
    <xsd:import namespace="280a2bac-fcc6-4a6d-b052-bbea7f6149e9"/>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a2bac-fcc6-4a6d-b052-bbea7f614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B0A89-7731-4670-927A-854816F74272}">
  <ds:schemaRefs>
    <ds:schemaRef ds:uri="http://schemas.microsoft.com/office/2006/metadata/properties"/>
    <ds:schemaRef ds:uri="http://schemas.microsoft.com/office/infopath/2007/PartnerControls"/>
    <ds:schemaRef ds:uri="280a2bac-fcc6-4a6d-b052-bbea7f6149e9"/>
    <ds:schemaRef ds:uri="a2d580ed-e60b-4601-bd95-212988921ab1"/>
  </ds:schemaRefs>
</ds:datastoreItem>
</file>

<file path=customXml/itemProps2.xml><?xml version="1.0" encoding="utf-8"?>
<ds:datastoreItem xmlns:ds="http://schemas.openxmlformats.org/officeDocument/2006/customXml" ds:itemID="{AC9C9B84-EDE4-4EF3-9943-A19F65156B32}">
  <ds:schemaRefs>
    <ds:schemaRef ds:uri="http://schemas.openxmlformats.org/officeDocument/2006/bibliography"/>
  </ds:schemaRefs>
</ds:datastoreItem>
</file>

<file path=customXml/itemProps3.xml><?xml version="1.0" encoding="utf-8"?>
<ds:datastoreItem xmlns:ds="http://schemas.openxmlformats.org/officeDocument/2006/customXml" ds:itemID="{5310BA3A-277E-4E3D-BF07-F4580A0E8EAA}">
  <ds:schemaRefs>
    <ds:schemaRef ds:uri="http://schemas.microsoft.com/sharepoint/v3/contenttype/forms"/>
  </ds:schemaRefs>
</ds:datastoreItem>
</file>

<file path=customXml/itemProps4.xml><?xml version="1.0" encoding="utf-8"?>
<ds:datastoreItem xmlns:ds="http://schemas.openxmlformats.org/officeDocument/2006/customXml" ds:itemID="{E17187FB-6CD9-4E83-953D-1F02C6FFC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a2bac-fcc6-4a6d-b052-bbea7f6149e9"/>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Part B (6-27)</vt:lpstr>
    </vt:vector>
  </TitlesOfParts>
  <Company>NORC at the University of Chicago</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edits</dc:title>
  <dc:creator>Wochinger, Kathryn (NHTSA)</dc:creator>
  <cp:lastModifiedBy>Johnson, Kristie (NHTSA)</cp:lastModifiedBy>
  <cp:revision>2</cp:revision>
  <cp:lastPrinted>2023-09-01T00:47:00Z</cp:lastPrinted>
  <dcterms:created xsi:type="dcterms:W3CDTF">2025-10-01T20:42:00Z</dcterms:created>
  <dcterms:modified xsi:type="dcterms:W3CDTF">2025-10-01T20:42:00Z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0x010100B04DD9FAD0EEC84EB1C03464BCD542B9</vt:lpwstr>
  </property>
  <property fmtid="{D5CDD505-2E9C-101B-9397-08002B2CF9AE}" pid="3" name="MediaServiceImageTags">
    <vt:lpwstr/>
  </property>
  <property fmtid="{D5CDD505-2E9C-101B-9397-08002B2CF9AE}" pid="4" name="MSIP_Label_defa4170-0d19-0005-0004-bc88714345d2_ActionId">
    <vt:lpwstr>9dcf67a0-1867-4acd-8ede-1d24e951bd17</vt:lpwstr>
  </property>
  <property fmtid="{D5CDD505-2E9C-101B-9397-08002B2CF9AE}" pid="5" name="MSIP_Label_defa4170-0d19-0005-0004-bc88714345d2_ContentBits">
    <vt:lpwstr>0</vt:lpwstr>
  </property>
  <property fmtid="{D5CDD505-2E9C-101B-9397-08002B2CF9AE}" pid="6" name="MSIP_Label_defa4170-0d19-0005-0004-bc88714345d2_Enabled">
    <vt:lpwstr>true</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etDate">
    <vt:lpwstr>2023-05-23T20:07:36Z</vt:lpwstr>
  </property>
  <property fmtid="{D5CDD505-2E9C-101B-9397-08002B2CF9AE}" pid="10" name="MSIP_Label_defa4170-0d19-0005-0004-bc88714345d2_SiteId">
    <vt:lpwstr>fe79eafd-73e6-490d-b9d0-8751013c2b91</vt:lpwstr>
  </property>
</Properties>
</file>