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167E53" w:rsidRPr="00167E53" w14:paraId="094736B8" w14:textId="5A7FD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w:t>
      </w:r>
      <w:r w:rsidR="00631585">
        <w:rPr>
          <w:b/>
          <w:sz w:val="24"/>
          <w:szCs w:val="24"/>
        </w:rPr>
        <w:t>Choice Neighborhoods</w:t>
      </w:r>
      <w:r w:rsidR="00B72037">
        <w:rPr>
          <w:b/>
          <w:sz w:val="24"/>
          <w:szCs w:val="24"/>
        </w:rPr>
        <w:t xml:space="preserve"> post-award information collection</w:t>
      </w:r>
      <w:r>
        <w:rPr>
          <w:b/>
          <w:sz w:val="24"/>
          <w:szCs w:val="24"/>
        </w:rPr>
        <w:t>)</w:t>
      </w:r>
    </w:p>
    <w:p w:rsidR="00167E53" w:rsidRPr="00167E53" w14:paraId="0C0ADA6F" w14:textId="53793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(OMB</w:t>
      </w:r>
      <w:r w:rsidR="00B72037">
        <w:rPr>
          <w:b/>
          <w:sz w:val="24"/>
          <w:szCs w:val="24"/>
        </w:rPr>
        <w:t xml:space="preserve"> Control No.</w:t>
      </w:r>
      <w:r w:rsidRPr="00167E53">
        <w:rPr>
          <w:b/>
          <w:sz w:val="24"/>
          <w:szCs w:val="24"/>
        </w:rPr>
        <w:t xml:space="preserve"> </w:t>
      </w:r>
      <w:r w:rsidR="00631585">
        <w:rPr>
          <w:b/>
          <w:sz w:val="24"/>
          <w:szCs w:val="24"/>
        </w:rPr>
        <w:t>2577</w:t>
      </w:r>
      <w:r w:rsidR="006C7FAE">
        <w:rPr>
          <w:b/>
          <w:sz w:val="24"/>
          <w:szCs w:val="24"/>
        </w:rPr>
        <w:t>-</w:t>
      </w:r>
      <w:r w:rsidR="00631585">
        <w:rPr>
          <w:b/>
          <w:sz w:val="24"/>
          <w:szCs w:val="24"/>
        </w:rPr>
        <w:t>0269</w:t>
      </w:r>
      <w:r w:rsidRPr="00167E53">
        <w:rPr>
          <w:b/>
          <w:sz w:val="24"/>
          <w:szCs w:val="24"/>
        </w:rPr>
        <w:t>)</w:t>
      </w:r>
    </w:p>
    <w:p w:rsidR="009E13B1" w:rsidP="006C7FAE" w14:paraId="176A8089" w14:textId="77777777">
      <w:pPr>
        <w:rPr>
          <w:b/>
          <w:sz w:val="24"/>
          <w:szCs w:val="24"/>
        </w:rPr>
      </w:pPr>
    </w:p>
    <w:p w:rsidR="009E13B1" w:rsidRPr="00E722C1" w14:paraId="6BD1C1B0" w14:textId="1366656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722C1">
        <w:rPr>
          <w:b/>
          <w:sz w:val="24"/>
          <w:szCs w:val="24"/>
        </w:rPr>
        <w:t>A. 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E72B01" w14:paraId="4F66A6EF" w14:textId="77777777">
      <w:pPr>
        <w:keepLines/>
        <w:tabs>
          <w:tab w:val="left" w:pos="360"/>
        </w:tabs>
        <w:spacing w:after="80"/>
        <w:ind w:left="360" w:hanging="360"/>
        <w:rPr>
          <w:b/>
          <w:bCs/>
          <w:sz w:val="24"/>
          <w:szCs w:val="24"/>
        </w:rPr>
      </w:pPr>
      <w:r w:rsidRPr="006C7FAE">
        <w:rPr>
          <w:sz w:val="24"/>
          <w:szCs w:val="24"/>
        </w:rPr>
        <w:t>1.</w:t>
      </w:r>
      <w:r w:rsidRPr="006C7FAE">
        <w:rPr>
          <w:sz w:val="24"/>
          <w:szCs w:val="24"/>
        </w:rPr>
        <w:tab/>
      </w:r>
      <w:r w:rsidRPr="00E72B01">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B43CC" w:rsidP="004B43CC" w14:paraId="2110D337" w14:textId="77777777">
      <w:pPr>
        <w:ind w:left="360"/>
        <w:rPr>
          <w:noProof/>
          <w:sz w:val="24"/>
          <w:szCs w:val="24"/>
        </w:rPr>
      </w:pPr>
    </w:p>
    <w:p w:rsidR="00225669" w:rsidRPr="00225669" w:rsidP="004B43CC" w14:paraId="3972C2EE" w14:textId="21FA796B">
      <w:pPr>
        <w:ind w:left="360"/>
        <w:rPr>
          <w:noProof/>
          <w:sz w:val="24"/>
          <w:szCs w:val="24"/>
        </w:rPr>
      </w:pPr>
      <w:r w:rsidRPr="00225669">
        <w:rPr>
          <w:noProof/>
          <w:sz w:val="24"/>
          <w:szCs w:val="24"/>
        </w:rPr>
        <w:t xml:space="preserve">This information collection is required to manage Choice Neighborhoods grants.  </w:t>
      </w:r>
    </w:p>
    <w:p w:rsidR="00225669" w:rsidRPr="00225669" w:rsidP="004B43CC" w14:paraId="02ACECFF" w14:textId="77777777">
      <w:pPr>
        <w:ind w:left="360"/>
        <w:rPr>
          <w:noProof/>
          <w:sz w:val="24"/>
          <w:szCs w:val="24"/>
        </w:rPr>
      </w:pPr>
    </w:p>
    <w:p w:rsidR="00225669" w:rsidRPr="00225669" w:rsidP="004B43CC" w14:paraId="3F0C9F85" w14:textId="28DD0309">
      <w:pPr>
        <w:ind w:left="360"/>
        <w:rPr>
          <w:noProof/>
          <w:sz w:val="24"/>
          <w:szCs w:val="24"/>
        </w:rPr>
      </w:pPr>
      <w:r w:rsidRPr="00225669">
        <w:rPr>
          <w:noProof/>
          <w:sz w:val="24"/>
          <w:szCs w:val="24"/>
        </w:rPr>
        <w:t xml:space="preserve">Application content and othe pre-award documents for the Choice Neighborhoods program are now included in HUD’s Generic Solution for Solicitation for HUD’s Competitive Discretionary funding Opportunity Announcements Information Collection (OMB 2501-0044).  This information collection only </w:t>
      </w:r>
      <w:r w:rsidR="00B72037">
        <w:rPr>
          <w:noProof/>
          <w:sz w:val="24"/>
          <w:szCs w:val="24"/>
        </w:rPr>
        <w:t xml:space="preserve">inlcudes the burden associated with </w:t>
      </w:r>
      <w:r w:rsidRPr="00225669">
        <w:rPr>
          <w:noProof/>
          <w:sz w:val="24"/>
          <w:szCs w:val="24"/>
        </w:rPr>
        <w:t xml:space="preserve">post-award </w:t>
      </w:r>
      <w:r w:rsidR="00B72037">
        <w:rPr>
          <w:noProof/>
          <w:sz w:val="24"/>
          <w:szCs w:val="24"/>
        </w:rPr>
        <w:t xml:space="preserve">requirements </w:t>
      </w:r>
      <w:r w:rsidR="000C5870">
        <w:rPr>
          <w:noProof/>
          <w:sz w:val="24"/>
          <w:szCs w:val="24"/>
        </w:rPr>
        <w:t xml:space="preserve">of 2 CFR 200 and the grant terms and conditions </w:t>
      </w:r>
      <w:r w:rsidRPr="00225669">
        <w:rPr>
          <w:noProof/>
          <w:sz w:val="24"/>
          <w:szCs w:val="24"/>
        </w:rPr>
        <w:t>to manage grant budgets</w:t>
      </w:r>
      <w:r w:rsidR="00237EB3">
        <w:rPr>
          <w:noProof/>
          <w:sz w:val="24"/>
          <w:szCs w:val="24"/>
        </w:rPr>
        <w:t xml:space="preserve"> (2 CFR 200.308-309)</w:t>
      </w:r>
      <w:r w:rsidRPr="00225669">
        <w:rPr>
          <w:noProof/>
          <w:sz w:val="24"/>
          <w:szCs w:val="24"/>
        </w:rPr>
        <w:t>, collect quarterly progress reports</w:t>
      </w:r>
      <w:r w:rsidR="00237EB3">
        <w:rPr>
          <w:noProof/>
          <w:sz w:val="24"/>
          <w:szCs w:val="24"/>
        </w:rPr>
        <w:t xml:space="preserve"> (2 CFR 328-330)</w:t>
      </w:r>
      <w:r w:rsidRPr="00225669">
        <w:rPr>
          <w:noProof/>
          <w:sz w:val="24"/>
          <w:szCs w:val="24"/>
        </w:rPr>
        <w:t>, close out grants</w:t>
      </w:r>
      <w:r w:rsidR="00237EB3">
        <w:rPr>
          <w:noProof/>
          <w:sz w:val="24"/>
          <w:szCs w:val="24"/>
        </w:rPr>
        <w:t xml:space="preserve"> (2 CFR 200.344-346), and payment requests (2 CFR 200.305).</w:t>
      </w:r>
      <w:r w:rsidRPr="00225669">
        <w:rPr>
          <w:noProof/>
          <w:sz w:val="24"/>
          <w:szCs w:val="24"/>
        </w:rPr>
        <w:t xml:space="preserve">  With grants awarded through FY24, currently planning grant terms run through 2027 and implementation grant terms run through 2033.</w:t>
      </w:r>
    </w:p>
    <w:p w:rsidR="00225669" w:rsidRPr="00225669" w:rsidP="004B43CC" w14:paraId="62508397" w14:textId="77777777">
      <w:pPr>
        <w:ind w:left="360"/>
        <w:rPr>
          <w:noProof/>
          <w:sz w:val="24"/>
          <w:szCs w:val="24"/>
        </w:rPr>
      </w:pPr>
    </w:p>
    <w:p w:rsidR="00225669" w:rsidRPr="00225669" w:rsidP="004B43CC" w14:paraId="45D51345" w14:textId="2475A92B">
      <w:pPr>
        <w:ind w:left="360"/>
        <w:rPr>
          <w:noProof/>
          <w:sz w:val="24"/>
          <w:szCs w:val="24"/>
        </w:rPr>
      </w:pPr>
      <w:r w:rsidRPr="00225669">
        <w:rPr>
          <w:noProof/>
          <w:sz w:val="24"/>
          <w:szCs w:val="24"/>
        </w:rPr>
        <w:t>Grantees are local governments, public housing agencies, tribal entities, and owners of HUD-assisted housing.  The program authority for the Choice Neighborhoods Initiative is Section 24 of the United States Housing Act of 1937 (42 U.S.C. 1437v</w:t>
      </w:r>
      <w:r>
        <w:rPr>
          <w:noProof/>
          <w:sz w:val="24"/>
          <w:szCs w:val="24"/>
        </w:rPr>
        <w:t xml:space="preserve">, </w:t>
      </w:r>
      <w:hyperlink r:id="rId7" w:history="1">
        <w:r w:rsidRPr="00493BA7">
          <w:rPr>
            <w:rStyle w:val="Hyperlink"/>
            <w:noProof/>
            <w:sz w:val="24"/>
            <w:szCs w:val="24"/>
          </w:rPr>
          <w:t>https://www.govinfo.gov/content/pkg/USCODE-2023-title42/html/USCODE-2023-title42-chap8-subchapI-sec1437v.htm</w:t>
        </w:r>
      </w:hyperlink>
      <w:r w:rsidRPr="00225669">
        <w:rPr>
          <w:noProof/>
          <w:sz w:val="24"/>
          <w:szCs w:val="24"/>
        </w:rPr>
        <w:t xml:space="preserve">) (1937 Act), as amended by the annual appropriations laws.  The annual appropriations act permits the HUD Secretary to use the appropriated amount for the Choice Neighborhoods Initiative. </w:t>
      </w:r>
    </w:p>
    <w:p w:rsidR="00225669" w:rsidRPr="00225669" w:rsidP="004B43CC" w14:paraId="1A51089F" w14:textId="77777777">
      <w:pPr>
        <w:ind w:left="360"/>
        <w:rPr>
          <w:noProof/>
          <w:sz w:val="24"/>
          <w:szCs w:val="24"/>
        </w:rPr>
      </w:pPr>
    </w:p>
    <w:p w:rsidR="00225669" w:rsidRPr="00225669" w:rsidP="004B43CC" w14:paraId="31C48B56" w14:textId="77777777">
      <w:pPr>
        <w:ind w:left="360"/>
        <w:rPr>
          <w:noProof/>
          <w:sz w:val="24"/>
          <w:szCs w:val="24"/>
        </w:rPr>
      </w:pPr>
      <w:r w:rsidRPr="00225669">
        <w:rPr>
          <w:noProof/>
          <w:sz w:val="24"/>
          <w:szCs w:val="24"/>
        </w:rPr>
        <w:t>Choice Neighborhoods funding focuses on the transformation of severely distressed public and/or HUD-assisted housing developments.  HUD awards two types of grants: Planning and Implementation.  Planning Grants support communities in developing a local plan, referred to as a ‘Transformation Plan,’ to redevelop severely distressed public and/or HUD-assisted housing, revitalize the surrounding neighborhood, and coordinate services to improve quality of life outcomes for residents.  Implementation Grants provide funding to help communities execute their plans.</w:t>
      </w:r>
    </w:p>
    <w:p w:rsidR="00225669" w:rsidRPr="00225669" w:rsidP="004B43CC" w14:paraId="5C223855" w14:textId="77777777">
      <w:pPr>
        <w:ind w:left="360"/>
        <w:rPr>
          <w:noProof/>
          <w:sz w:val="24"/>
          <w:szCs w:val="24"/>
        </w:rPr>
      </w:pPr>
    </w:p>
    <w:p w:rsidR="00225669" w:rsidRPr="00225669" w:rsidP="004B43CC" w14:paraId="27D809C5" w14:textId="4A08C6F5">
      <w:pPr>
        <w:ind w:left="360"/>
        <w:rPr>
          <w:noProof/>
          <w:sz w:val="24"/>
          <w:szCs w:val="24"/>
        </w:rPr>
      </w:pPr>
      <w:r w:rsidRPr="00225669">
        <w:rPr>
          <w:noProof/>
          <w:sz w:val="24"/>
          <w:szCs w:val="24"/>
        </w:rPr>
        <w:t xml:space="preserve">Building upon the successes achieved and the lessons learned from the HOPE VI program, Choice Neighborhoods is a program that employs a comprehensive approach to community development centered on housing revitalization.  The program aims to transform neighborhoods of poverty into viable mixed-income neighborhoods with access to economic opportunities by revitalizing severely distressed public and </w:t>
      </w:r>
      <w:r w:rsidR="00B72037">
        <w:rPr>
          <w:noProof/>
          <w:sz w:val="24"/>
          <w:szCs w:val="24"/>
        </w:rPr>
        <w:t>HUD-</w:t>
      </w:r>
      <w:r w:rsidRPr="00225669">
        <w:rPr>
          <w:noProof/>
          <w:sz w:val="24"/>
          <w:szCs w:val="24"/>
        </w:rPr>
        <w:t xml:space="preserve">assisted housing and investing and leveraging investments in well-functioning services, effective schools and education programs, public assets, public transportation, and improved access to jobs.  </w:t>
      </w:r>
    </w:p>
    <w:p w:rsidR="00225669" w:rsidRPr="00225669" w:rsidP="004B43CC" w14:paraId="25FB8BD5" w14:textId="77777777">
      <w:pPr>
        <w:pStyle w:val="NoSpacing"/>
        <w:ind w:left="720"/>
        <w:contextualSpacing/>
        <w:rPr>
          <w:rFonts w:ascii="Times New Roman" w:hAnsi="Times New Roman" w:cs="Times New Roman"/>
          <w:sz w:val="24"/>
          <w:szCs w:val="24"/>
        </w:rPr>
      </w:pPr>
    </w:p>
    <w:p w:rsidR="009E13B1" w:rsidP="004B43CC" w14:paraId="301F0D45" w14:textId="3E3025DF">
      <w:pPr>
        <w:tabs>
          <w:tab w:val="left" w:pos="360"/>
        </w:tabs>
        <w:ind w:left="360"/>
        <w:rPr>
          <w:sz w:val="24"/>
          <w:szCs w:val="24"/>
        </w:rPr>
      </w:pPr>
      <w:r w:rsidRPr="00225669">
        <w:rPr>
          <w:sz w:val="24"/>
          <w:szCs w:val="24"/>
        </w:rPr>
        <w:t>Choice Neighborhoods grants are governed by the Notice of Funding Opportunity (NOFO) and the Grant Agreements executed between each grant recipient and HUD.</w:t>
      </w:r>
    </w:p>
    <w:p w:rsidR="00225669" w:rsidP="00225669" w14:paraId="6301F531" w14:textId="77777777">
      <w:pPr>
        <w:tabs>
          <w:tab w:val="left" w:pos="360"/>
        </w:tabs>
        <w:rPr>
          <w:sz w:val="24"/>
          <w:szCs w:val="24"/>
        </w:rPr>
      </w:pPr>
    </w:p>
    <w:p w:rsidR="00D81406" w:rsidRPr="006C7FAE" w:rsidP="00237EB3" w14:paraId="232EE019" w14:textId="77777777">
      <w:pPr>
        <w:tabs>
          <w:tab w:val="left" w:pos="360"/>
        </w:tabs>
        <w:rPr>
          <w:sz w:val="24"/>
          <w:szCs w:val="24"/>
        </w:rPr>
      </w:pPr>
    </w:p>
    <w:p w:rsidR="009E13B1"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r>
      <w:r w:rsidRPr="00E72B01">
        <w:rPr>
          <w:b/>
          <w:bCs/>
          <w:sz w:val="24"/>
          <w:szCs w:val="24"/>
        </w:rPr>
        <w:t>Indicate how, by whom and for what purpose the information is to be used.  Except for a new collection, indicate the actual use the agency has made of the information received from the current collection.</w:t>
      </w:r>
    </w:p>
    <w:p w:rsidR="00AF07AC" w:rsidRPr="006C7FAE" w:rsidP="004B43CC" w14:paraId="231A6935" w14:textId="325E85C8">
      <w:pPr>
        <w:keepLines/>
        <w:tabs>
          <w:tab w:val="left" w:pos="360"/>
        </w:tabs>
        <w:spacing w:after="80"/>
        <w:ind w:left="360"/>
        <w:rPr>
          <w:sz w:val="24"/>
          <w:szCs w:val="24"/>
        </w:rPr>
      </w:pPr>
      <w:r>
        <w:rPr>
          <w:sz w:val="24"/>
          <w:szCs w:val="24"/>
        </w:rPr>
        <w:t xml:space="preserve">HUD staff in the Choice Neighborhoods office review the information collected as part of their financial management and performance monitoring duties.  In addition, information provided by grantees in the quarterly progress reports is used to compile the Annual Report to Congress, </w:t>
      </w:r>
      <w:r w:rsidR="00084104">
        <w:rPr>
          <w:sz w:val="24"/>
          <w:szCs w:val="24"/>
        </w:rPr>
        <w:t xml:space="preserve">assist </w:t>
      </w:r>
      <w:r>
        <w:rPr>
          <w:sz w:val="24"/>
          <w:szCs w:val="24"/>
        </w:rPr>
        <w:t xml:space="preserve">HUD-sponsored evaluations, </w:t>
      </w:r>
      <w:r w:rsidR="00084104">
        <w:rPr>
          <w:sz w:val="24"/>
          <w:szCs w:val="24"/>
        </w:rPr>
        <w:t>and inform policy decisions to improve the program.</w:t>
      </w:r>
    </w:p>
    <w:p w:rsidR="009E13B1" w:rsidRPr="006C7FAE" w14:paraId="4A350C48" w14:textId="77777777">
      <w:pPr>
        <w:keepLines/>
        <w:tabs>
          <w:tab w:val="left" w:pos="360"/>
          <w:tab w:val="left" w:pos="720"/>
        </w:tabs>
        <w:ind w:left="360"/>
        <w:rPr>
          <w:sz w:val="24"/>
          <w:szCs w:val="24"/>
        </w:rPr>
      </w:pPr>
    </w:p>
    <w:p w:rsidR="009E13B1" w14:paraId="70250EAE" w14:textId="77777777">
      <w:pPr>
        <w:keepLines/>
        <w:tabs>
          <w:tab w:val="left" w:pos="360"/>
        </w:tabs>
        <w:spacing w:after="80"/>
        <w:ind w:left="360" w:hanging="360"/>
        <w:rPr>
          <w:b/>
          <w:bCs/>
          <w:sz w:val="24"/>
          <w:szCs w:val="24"/>
        </w:rPr>
      </w:pPr>
      <w:r w:rsidRPr="006C7FAE">
        <w:rPr>
          <w:sz w:val="24"/>
          <w:szCs w:val="24"/>
        </w:rPr>
        <w:t>3.</w:t>
      </w:r>
      <w:r w:rsidRPr="006C7FAE">
        <w:rPr>
          <w:sz w:val="24"/>
          <w:szCs w:val="24"/>
        </w:rPr>
        <w:tab/>
      </w:r>
      <w:r w:rsidRPr="00E72B01">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B43CC" w:rsidP="004B43CC" w14:paraId="61987755" w14:textId="77777777">
      <w:pPr>
        <w:pStyle w:val="NoSpacing"/>
      </w:pPr>
    </w:p>
    <w:p w:rsidR="00084104" w:rsidRPr="006C7FAE" w:rsidP="004B43CC" w14:paraId="6F65A2F1" w14:textId="5435265C">
      <w:pPr>
        <w:keepLines/>
        <w:tabs>
          <w:tab w:val="left" w:pos="360"/>
        </w:tabs>
        <w:spacing w:after="80"/>
        <w:ind w:left="360"/>
        <w:rPr>
          <w:sz w:val="24"/>
          <w:szCs w:val="24"/>
        </w:rPr>
      </w:pPr>
      <w:r>
        <w:rPr>
          <w:sz w:val="24"/>
          <w:szCs w:val="24"/>
        </w:rPr>
        <w:t xml:space="preserve">The Implementation Grantee quarterly progress report </w:t>
      </w:r>
      <w:r w:rsidRPr="00084104">
        <w:rPr>
          <w:sz w:val="24"/>
          <w:szCs w:val="24"/>
        </w:rPr>
        <w:t xml:space="preserve">is </w:t>
      </w:r>
      <w:r w:rsidR="00B72037">
        <w:rPr>
          <w:sz w:val="24"/>
          <w:szCs w:val="24"/>
        </w:rPr>
        <w:t xml:space="preserve">submitted </w:t>
      </w:r>
      <w:r>
        <w:rPr>
          <w:sz w:val="24"/>
          <w:szCs w:val="24"/>
        </w:rPr>
        <w:t xml:space="preserve">via </w:t>
      </w:r>
      <w:r w:rsidR="00B50BCB">
        <w:rPr>
          <w:sz w:val="24"/>
          <w:szCs w:val="24"/>
        </w:rPr>
        <w:t xml:space="preserve">CN Inform, </w:t>
      </w:r>
      <w:r>
        <w:rPr>
          <w:sz w:val="24"/>
          <w:szCs w:val="24"/>
        </w:rPr>
        <w:t>an online platform</w:t>
      </w:r>
      <w:r w:rsidR="00B50BCB">
        <w:rPr>
          <w:sz w:val="24"/>
          <w:szCs w:val="24"/>
        </w:rPr>
        <w:t xml:space="preserve"> (</w:t>
      </w:r>
      <w:r w:rsidRPr="00B50BCB" w:rsidR="00B50BCB">
        <w:rPr>
          <w:sz w:val="24"/>
          <w:szCs w:val="24"/>
        </w:rPr>
        <w:t>https://cninform.info/login/auth</w:t>
      </w:r>
      <w:r w:rsidR="00B50BCB">
        <w:rPr>
          <w:sz w:val="24"/>
          <w:szCs w:val="24"/>
        </w:rPr>
        <w:t>)</w:t>
      </w:r>
      <w:r>
        <w:rPr>
          <w:sz w:val="24"/>
          <w:szCs w:val="24"/>
        </w:rPr>
        <w:t xml:space="preserve"> </w:t>
      </w:r>
      <w:r w:rsidRPr="00084104">
        <w:rPr>
          <w:sz w:val="24"/>
          <w:szCs w:val="24"/>
        </w:rPr>
        <w:t xml:space="preserve">to improve data quality and to reduce the public reporting burden. </w:t>
      </w:r>
      <w:r w:rsidR="00504682">
        <w:rPr>
          <w:sz w:val="24"/>
          <w:szCs w:val="24"/>
        </w:rPr>
        <w:t xml:space="preserve">Other submissions are </w:t>
      </w:r>
      <w:r w:rsidR="00B50BCB">
        <w:rPr>
          <w:sz w:val="24"/>
          <w:szCs w:val="24"/>
        </w:rPr>
        <w:t xml:space="preserve">submitted directly via email </w:t>
      </w:r>
      <w:r w:rsidR="00504682">
        <w:rPr>
          <w:sz w:val="24"/>
          <w:szCs w:val="24"/>
        </w:rPr>
        <w:t>to the</w:t>
      </w:r>
      <w:r w:rsidR="00B50BCB">
        <w:rPr>
          <w:sz w:val="24"/>
          <w:szCs w:val="24"/>
        </w:rPr>
        <w:t>ir</w:t>
      </w:r>
      <w:r w:rsidR="00504682">
        <w:rPr>
          <w:sz w:val="24"/>
          <w:szCs w:val="24"/>
        </w:rPr>
        <w:t xml:space="preserve"> </w:t>
      </w:r>
      <w:r w:rsidR="00B50BCB">
        <w:rPr>
          <w:sz w:val="24"/>
          <w:szCs w:val="24"/>
        </w:rPr>
        <w:t xml:space="preserve">assigned </w:t>
      </w:r>
      <w:r w:rsidR="00504682">
        <w:rPr>
          <w:sz w:val="24"/>
          <w:szCs w:val="24"/>
        </w:rPr>
        <w:t>HUD grant manager.</w:t>
      </w:r>
    </w:p>
    <w:p w:rsidR="009E13B1" w:rsidRPr="006C7FAE" w14:paraId="58B111F6" w14:textId="77777777">
      <w:pPr>
        <w:tabs>
          <w:tab w:val="left" w:pos="360"/>
        </w:tabs>
        <w:ind w:left="360" w:hanging="360"/>
        <w:rPr>
          <w:sz w:val="24"/>
          <w:szCs w:val="24"/>
        </w:rPr>
      </w:pPr>
    </w:p>
    <w:p w:rsidR="009E13B1" w14:paraId="1C0AE1D0" w14:textId="77777777">
      <w:pPr>
        <w:keepLines/>
        <w:tabs>
          <w:tab w:val="left" w:pos="360"/>
        </w:tabs>
        <w:spacing w:after="80"/>
        <w:ind w:left="360" w:hanging="360"/>
        <w:rPr>
          <w:b/>
          <w:bCs/>
          <w:sz w:val="24"/>
          <w:szCs w:val="24"/>
        </w:rPr>
      </w:pPr>
      <w:r w:rsidRPr="006C7FAE">
        <w:rPr>
          <w:sz w:val="24"/>
          <w:szCs w:val="24"/>
        </w:rPr>
        <w:t>4.</w:t>
      </w:r>
      <w:r w:rsidRPr="006C7FAE">
        <w:rPr>
          <w:sz w:val="24"/>
          <w:szCs w:val="24"/>
        </w:rPr>
        <w:tab/>
      </w:r>
      <w:r w:rsidRPr="00E72B01">
        <w:rPr>
          <w:b/>
          <w:bCs/>
          <w:sz w:val="24"/>
          <w:szCs w:val="24"/>
        </w:rPr>
        <w:t>Describe efforts to identify duplication.  Show specifically why any similar information already available cannot be used or modified for use for the purposes described in Item 2 above.</w:t>
      </w:r>
    </w:p>
    <w:p w:rsidR="004B43CC" w:rsidRPr="00E72B01" w:rsidP="004B43CC" w14:paraId="64872120" w14:textId="77777777">
      <w:pPr>
        <w:pStyle w:val="NoSpacing"/>
      </w:pPr>
    </w:p>
    <w:p w:rsidR="00084104" w:rsidRPr="006C7FAE" w:rsidP="004B43CC" w14:paraId="622635EE" w14:textId="4689AB92">
      <w:pPr>
        <w:keepLines/>
        <w:tabs>
          <w:tab w:val="left" w:pos="360"/>
        </w:tabs>
        <w:spacing w:after="80"/>
        <w:ind w:left="360"/>
        <w:rPr>
          <w:sz w:val="24"/>
          <w:szCs w:val="24"/>
        </w:rPr>
      </w:pPr>
      <w:r w:rsidRPr="00084104">
        <w:rPr>
          <w:sz w:val="24"/>
          <w:szCs w:val="24"/>
        </w:rPr>
        <w:t>There is no duplication of effort.  Information collected is unique to each type of collection and does not duplicate any similar information or method.</w:t>
      </w:r>
    </w:p>
    <w:p w:rsidR="009E13B1" w:rsidRPr="006C7FAE" w14:paraId="68859B10" w14:textId="77777777">
      <w:pPr>
        <w:keepLines/>
        <w:tabs>
          <w:tab w:val="left" w:pos="360"/>
          <w:tab w:val="left" w:pos="720"/>
        </w:tabs>
        <w:ind w:left="360"/>
        <w:rPr>
          <w:sz w:val="24"/>
          <w:szCs w:val="24"/>
        </w:rPr>
      </w:pPr>
    </w:p>
    <w:p w:rsidR="009E13B1" w:rsidRPr="00E72B01" w14:paraId="689A9EFC" w14:textId="77777777">
      <w:pPr>
        <w:keepLines/>
        <w:tabs>
          <w:tab w:val="left" w:pos="360"/>
        </w:tabs>
        <w:spacing w:after="80"/>
        <w:ind w:left="360" w:hanging="360"/>
        <w:rPr>
          <w:b/>
          <w:bCs/>
          <w:sz w:val="24"/>
          <w:szCs w:val="24"/>
        </w:rPr>
      </w:pPr>
      <w:r w:rsidRPr="006C7FAE">
        <w:rPr>
          <w:sz w:val="24"/>
          <w:szCs w:val="24"/>
        </w:rPr>
        <w:t>5.</w:t>
      </w:r>
      <w:r w:rsidRPr="006C7FAE">
        <w:rPr>
          <w:sz w:val="24"/>
          <w:szCs w:val="24"/>
        </w:rPr>
        <w:tab/>
      </w:r>
      <w:r w:rsidRPr="00E72B01">
        <w:rPr>
          <w:b/>
          <w:bCs/>
          <w:sz w:val="24"/>
          <w:szCs w:val="24"/>
        </w:rPr>
        <w:t>If the collection of information impacts small businesses or other small entities describe any methods used to minimize burden.</w:t>
      </w:r>
    </w:p>
    <w:p w:rsidR="004B43CC" w:rsidP="004B43CC" w14:paraId="47D66DF0" w14:textId="77777777">
      <w:pPr>
        <w:pStyle w:val="NoSpacing"/>
      </w:pPr>
    </w:p>
    <w:p w:rsidR="00084104" w:rsidRPr="006C7FAE" w:rsidP="004B43CC" w14:paraId="3FF31A10" w14:textId="5054B480">
      <w:pPr>
        <w:keepLines/>
        <w:tabs>
          <w:tab w:val="left" w:pos="360"/>
        </w:tabs>
        <w:spacing w:after="80"/>
        <w:ind w:left="360"/>
        <w:rPr>
          <w:sz w:val="24"/>
          <w:szCs w:val="24"/>
        </w:rPr>
      </w:pPr>
      <w:r w:rsidRPr="00084104">
        <w:rPr>
          <w:sz w:val="24"/>
          <w:szCs w:val="24"/>
        </w:rPr>
        <w:t>These information collections have no impact on small businesses or other entities</w:t>
      </w:r>
      <w:r w:rsidR="00D41D4B">
        <w:rPr>
          <w:sz w:val="24"/>
          <w:szCs w:val="24"/>
        </w:rPr>
        <w:t xml:space="preserve"> as they are not</w:t>
      </w:r>
      <w:r w:rsidR="004B43CC">
        <w:rPr>
          <w:sz w:val="24"/>
          <w:szCs w:val="24"/>
        </w:rPr>
        <w:t xml:space="preserve"> </w:t>
      </w:r>
      <w:r w:rsidR="00D41D4B">
        <w:rPr>
          <w:sz w:val="24"/>
          <w:szCs w:val="24"/>
        </w:rPr>
        <w:t>eligible grantees</w:t>
      </w:r>
      <w:r w:rsidRPr="00084104">
        <w:rPr>
          <w:sz w:val="24"/>
          <w:szCs w:val="24"/>
        </w:rPr>
        <w:t>.</w:t>
      </w:r>
    </w:p>
    <w:p w:rsidR="009E13B1" w:rsidRPr="006C7FAE" w14:paraId="0ED21226" w14:textId="77777777">
      <w:pPr>
        <w:tabs>
          <w:tab w:val="left" w:pos="360"/>
        </w:tabs>
        <w:ind w:left="360" w:hanging="360"/>
        <w:rPr>
          <w:sz w:val="24"/>
          <w:szCs w:val="24"/>
        </w:rPr>
      </w:pPr>
    </w:p>
    <w:p w:rsidR="009E13B1" w:rsidRPr="00E72B01" w14:paraId="2C0F0529" w14:textId="23FCC5AC">
      <w:pPr>
        <w:keepLines/>
        <w:tabs>
          <w:tab w:val="left" w:pos="360"/>
        </w:tabs>
        <w:spacing w:after="80"/>
        <w:ind w:left="360" w:hanging="360"/>
        <w:rPr>
          <w:b/>
          <w:bCs/>
          <w:sz w:val="24"/>
          <w:szCs w:val="24"/>
        </w:rPr>
      </w:pPr>
      <w:r w:rsidRPr="006C7FAE">
        <w:rPr>
          <w:sz w:val="24"/>
          <w:szCs w:val="24"/>
        </w:rPr>
        <w:t>6.</w:t>
      </w:r>
      <w:r w:rsidRPr="006C7FAE">
        <w:rPr>
          <w:sz w:val="24"/>
          <w:szCs w:val="24"/>
        </w:rPr>
        <w:tab/>
      </w:r>
      <w:r w:rsidRPr="00E72B01">
        <w:rPr>
          <w:b/>
          <w:bCs/>
          <w:sz w:val="24"/>
          <w:szCs w:val="24"/>
        </w:rPr>
        <w:t>Describe the consequence</w:t>
      </w:r>
      <w:r w:rsidR="00D01DBB">
        <w:rPr>
          <w:b/>
          <w:bCs/>
          <w:sz w:val="24"/>
          <w:szCs w:val="24"/>
        </w:rPr>
        <w:t>s</w:t>
      </w:r>
      <w:r w:rsidRPr="00E72B01">
        <w:rPr>
          <w:b/>
          <w:bCs/>
          <w:sz w:val="24"/>
          <w:szCs w:val="24"/>
        </w:rPr>
        <w:t xml:space="preserve"> to Federal program or policy activities if the collection is not conducted or is conducted less frequently, as well as any technical or legal obstacles to reducing burden.</w:t>
      </w:r>
    </w:p>
    <w:p w:rsidR="004B43CC" w:rsidRPr="004B43CC" w:rsidP="004B43CC" w14:paraId="1F5D6B41" w14:textId="77777777">
      <w:pPr>
        <w:pStyle w:val="NoSpacing"/>
      </w:pPr>
    </w:p>
    <w:p w:rsidR="00084104" w:rsidRPr="006C7FAE" w:rsidP="004B43CC" w14:paraId="2BA3379D" w14:textId="5C9D734E">
      <w:pPr>
        <w:keepLines/>
        <w:tabs>
          <w:tab w:val="left" w:pos="360"/>
        </w:tabs>
        <w:spacing w:after="80"/>
        <w:ind w:left="360"/>
        <w:rPr>
          <w:sz w:val="24"/>
          <w:szCs w:val="24"/>
        </w:rPr>
      </w:pPr>
      <w:r w:rsidRPr="00084104">
        <w:rPr>
          <w:sz w:val="24"/>
          <w:szCs w:val="24"/>
        </w:rPr>
        <w:t xml:space="preserve">Federal </w:t>
      </w:r>
      <w:r>
        <w:rPr>
          <w:sz w:val="24"/>
          <w:szCs w:val="24"/>
        </w:rPr>
        <w:t>requirements</w:t>
      </w:r>
      <w:r w:rsidR="00D41D4B">
        <w:rPr>
          <w:sz w:val="24"/>
          <w:szCs w:val="24"/>
        </w:rPr>
        <w:t>, including 2 CFR 200 and Congressional appropriations,</w:t>
      </w:r>
      <w:r>
        <w:rPr>
          <w:sz w:val="24"/>
          <w:szCs w:val="24"/>
        </w:rPr>
        <w:t xml:space="preserve"> mandate </w:t>
      </w:r>
      <w:r w:rsidRPr="00084104">
        <w:rPr>
          <w:sz w:val="24"/>
          <w:szCs w:val="24"/>
        </w:rPr>
        <w:t xml:space="preserve">reporting </w:t>
      </w:r>
      <w:r w:rsidR="000C5870">
        <w:rPr>
          <w:sz w:val="24"/>
          <w:szCs w:val="24"/>
        </w:rPr>
        <w:t xml:space="preserve">and record retention </w:t>
      </w:r>
      <w:r w:rsidRPr="00084104">
        <w:rPr>
          <w:sz w:val="24"/>
          <w:szCs w:val="24"/>
        </w:rPr>
        <w:t>on the Choice Neighborhoods program and for grant closeouts to be processed in a timely fashion.</w:t>
      </w:r>
    </w:p>
    <w:p w:rsidR="009E13B1" w14:paraId="5745C910" w14:textId="77777777">
      <w:pPr>
        <w:keepLines/>
        <w:tabs>
          <w:tab w:val="left" w:pos="360"/>
          <w:tab w:val="left" w:pos="720"/>
        </w:tabs>
        <w:ind w:left="360"/>
        <w:rPr>
          <w:sz w:val="24"/>
          <w:szCs w:val="24"/>
        </w:rPr>
      </w:pPr>
    </w:p>
    <w:p w:rsidR="004B43CC" w:rsidRPr="006C7FAE" w14:paraId="3ED07CF3" w14:textId="77777777">
      <w:pPr>
        <w:keepLines/>
        <w:tabs>
          <w:tab w:val="left" w:pos="360"/>
          <w:tab w:val="left" w:pos="720"/>
        </w:tabs>
        <w:ind w:left="360"/>
        <w:rPr>
          <w:sz w:val="24"/>
          <w:szCs w:val="24"/>
        </w:rPr>
      </w:pPr>
    </w:p>
    <w:p w:rsidR="00A65F9E" w:rsidRPr="00E72B01" w14:paraId="2B3F5C7B" w14:textId="77777777">
      <w:pPr>
        <w:numPr>
          <w:ilvl w:val="0"/>
          <w:numId w:val="13"/>
        </w:numPr>
        <w:tabs>
          <w:tab w:val="left" w:pos="360"/>
        </w:tabs>
        <w:rPr>
          <w:b/>
          <w:bCs/>
          <w:sz w:val="24"/>
          <w:szCs w:val="24"/>
        </w:rPr>
      </w:pPr>
      <w:r w:rsidRPr="00E72B01">
        <w:rPr>
          <w:b/>
          <w:bCs/>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4B43CC" w:rsidRPr="004B43CC" w:rsidP="004B43CC" w14:paraId="6E610D1A" w14:textId="6D0550FB">
      <w:pPr>
        <w:numPr>
          <w:ilvl w:val="0"/>
          <w:numId w:val="17"/>
        </w:numPr>
        <w:tabs>
          <w:tab w:val="left" w:pos="600"/>
        </w:tabs>
        <w:rPr>
          <w:b/>
          <w:bCs/>
          <w:sz w:val="24"/>
          <w:szCs w:val="24"/>
        </w:rPr>
      </w:pPr>
      <w:r w:rsidRPr="00E72B01">
        <w:rPr>
          <w:b/>
          <w:bCs/>
          <w:sz w:val="24"/>
          <w:szCs w:val="24"/>
        </w:rPr>
        <w:t xml:space="preserve">requiring respondents to report information to the agency more than quarterly; </w:t>
      </w:r>
      <w:r>
        <w:rPr>
          <w:b/>
          <w:bCs/>
          <w:sz w:val="24"/>
          <w:szCs w:val="24"/>
        </w:rPr>
        <w:br/>
      </w:r>
      <w:r w:rsidRPr="004B43CC" w:rsidR="00084104">
        <w:rPr>
          <w:sz w:val="24"/>
          <w:szCs w:val="24"/>
        </w:rPr>
        <w:t>Not Applicable</w:t>
      </w:r>
    </w:p>
    <w:p w:rsidR="004B43CC" w:rsidP="004B43CC" w14:paraId="71EB87E6" w14:textId="77777777">
      <w:pPr>
        <w:tabs>
          <w:tab w:val="left" w:pos="600"/>
        </w:tabs>
        <w:ind w:left="684"/>
        <w:rPr>
          <w:sz w:val="24"/>
          <w:szCs w:val="24"/>
        </w:rPr>
      </w:pPr>
    </w:p>
    <w:p w:rsidR="004B43CC" w:rsidP="004B43CC" w14:paraId="14A29617" w14:textId="5FB4F045">
      <w:pPr>
        <w:pStyle w:val="ListParagraph"/>
        <w:numPr>
          <w:ilvl w:val="0"/>
          <w:numId w:val="17"/>
        </w:numPr>
        <w:tabs>
          <w:tab w:val="left" w:pos="600"/>
        </w:tabs>
        <w:rPr>
          <w:b/>
          <w:bCs/>
          <w:sz w:val="24"/>
          <w:szCs w:val="24"/>
        </w:rPr>
      </w:pPr>
      <w:r w:rsidRPr="004B43CC">
        <w:rPr>
          <w:b/>
          <w:bCs/>
          <w:sz w:val="24"/>
          <w:szCs w:val="24"/>
        </w:rPr>
        <w:t>requiring respondents to prepare a written response to a collection of information in fewer</w:t>
      </w:r>
      <w:r>
        <w:rPr>
          <w:b/>
          <w:bCs/>
          <w:sz w:val="24"/>
          <w:szCs w:val="24"/>
        </w:rPr>
        <w:t xml:space="preserve"> </w:t>
      </w:r>
      <w:r w:rsidRPr="004B43CC">
        <w:rPr>
          <w:b/>
          <w:bCs/>
          <w:sz w:val="24"/>
          <w:szCs w:val="24"/>
        </w:rPr>
        <w:t xml:space="preserve">than 30 days after receipt of it; </w:t>
      </w:r>
    </w:p>
    <w:p w:rsidR="004B43CC" w:rsidRPr="004B43CC" w:rsidP="004B43CC" w14:paraId="3C6499DE" w14:textId="77777777">
      <w:pPr>
        <w:pStyle w:val="ListParagraph"/>
        <w:rPr>
          <w:sz w:val="24"/>
          <w:szCs w:val="24"/>
        </w:rPr>
      </w:pPr>
    </w:p>
    <w:p w:rsidR="00A65F9E" w:rsidRPr="004B43CC" w:rsidP="004B43CC" w14:paraId="5CE80399" w14:textId="343FF4E4">
      <w:pPr>
        <w:pStyle w:val="ListParagraph"/>
        <w:tabs>
          <w:tab w:val="left" w:pos="600"/>
        </w:tabs>
        <w:rPr>
          <w:b/>
          <w:bCs/>
          <w:sz w:val="24"/>
          <w:szCs w:val="24"/>
        </w:rPr>
      </w:pPr>
      <w:r w:rsidRPr="004B43CC">
        <w:rPr>
          <w:sz w:val="24"/>
          <w:szCs w:val="24"/>
        </w:rPr>
        <w:t>Not Applicable</w:t>
      </w:r>
    </w:p>
    <w:p w:rsidR="00084104" w:rsidP="00A65F9E" w14:paraId="451DA37E" w14:textId="77777777">
      <w:pPr>
        <w:pStyle w:val="ListParagraph"/>
        <w:rPr>
          <w:sz w:val="24"/>
          <w:szCs w:val="24"/>
        </w:rPr>
      </w:pPr>
    </w:p>
    <w:p w:rsidR="009E13B1" w:rsidRPr="00E72B01" w:rsidP="004B43CC" w14:paraId="4BDEF174" w14:textId="77777777">
      <w:pPr>
        <w:numPr>
          <w:ilvl w:val="0"/>
          <w:numId w:val="17"/>
        </w:numPr>
        <w:tabs>
          <w:tab w:val="left" w:pos="600"/>
        </w:tabs>
        <w:rPr>
          <w:b/>
          <w:bCs/>
          <w:sz w:val="24"/>
          <w:szCs w:val="24"/>
        </w:rPr>
      </w:pPr>
      <w:r w:rsidRPr="00E72B01">
        <w:rPr>
          <w:b/>
          <w:bCs/>
          <w:sz w:val="24"/>
          <w:szCs w:val="24"/>
        </w:rPr>
        <w:t xml:space="preserve">requiring respondents to submit more than an original and two copies of any document; </w:t>
      </w:r>
    </w:p>
    <w:p w:rsidR="00A65F9E" w:rsidP="004B43CC" w14:paraId="42E1C60F" w14:textId="6D4B8B3D">
      <w:pPr>
        <w:ind w:firstLine="720"/>
        <w:rPr>
          <w:sz w:val="24"/>
          <w:szCs w:val="24"/>
        </w:rPr>
      </w:pPr>
      <w:r w:rsidRPr="004B43CC">
        <w:rPr>
          <w:sz w:val="24"/>
          <w:szCs w:val="24"/>
        </w:rPr>
        <w:t>Not Applicable</w:t>
      </w:r>
    </w:p>
    <w:p w:rsidR="004B43CC" w:rsidRPr="004B43CC" w:rsidP="004B43CC" w14:paraId="07389D6F" w14:textId="77777777">
      <w:pPr>
        <w:ind w:firstLine="720"/>
        <w:rPr>
          <w:sz w:val="24"/>
          <w:szCs w:val="24"/>
        </w:rPr>
      </w:pPr>
    </w:p>
    <w:p w:rsidR="009E13B1" w:rsidRPr="00E72B01" w:rsidP="004B43CC" w14:paraId="6A77FBE6" w14:textId="77777777">
      <w:pPr>
        <w:numPr>
          <w:ilvl w:val="0"/>
          <w:numId w:val="17"/>
        </w:numPr>
        <w:tabs>
          <w:tab w:val="left" w:pos="600"/>
        </w:tabs>
        <w:rPr>
          <w:b/>
          <w:bCs/>
          <w:sz w:val="24"/>
          <w:szCs w:val="24"/>
        </w:rPr>
      </w:pPr>
      <w:r w:rsidRPr="00E72B01">
        <w:rPr>
          <w:b/>
          <w:bCs/>
          <w:sz w:val="24"/>
          <w:szCs w:val="24"/>
        </w:rPr>
        <w:t xml:space="preserve">requiring respondents to retain records other than health, medical, government contract, grant-in-aid, or tax records for more than three years; </w:t>
      </w:r>
    </w:p>
    <w:p w:rsidR="004B43CC" w:rsidP="004B43CC" w14:paraId="6A274B69" w14:textId="77777777">
      <w:pPr>
        <w:tabs>
          <w:tab w:val="left" w:pos="600"/>
        </w:tabs>
        <w:ind w:left="360"/>
        <w:rPr>
          <w:sz w:val="24"/>
          <w:szCs w:val="24"/>
        </w:rPr>
      </w:pPr>
    </w:p>
    <w:p w:rsidR="00A65F9E" w:rsidRPr="004B43CC" w:rsidP="004B43CC" w14:paraId="18078737" w14:textId="0084F37C">
      <w:pPr>
        <w:tabs>
          <w:tab w:val="left" w:pos="600"/>
        </w:tabs>
        <w:ind w:left="360"/>
        <w:rPr>
          <w:sz w:val="24"/>
          <w:szCs w:val="24"/>
        </w:rPr>
      </w:pPr>
      <w:r>
        <w:rPr>
          <w:sz w:val="24"/>
          <w:szCs w:val="24"/>
        </w:rPr>
        <w:tab/>
      </w:r>
      <w:r w:rsidRPr="004B43CC" w:rsidR="00084104">
        <w:rPr>
          <w:sz w:val="24"/>
          <w:szCs w:val="24"/>
        </w:rPr>
        <w:t>Not Applicable</w:t>
      </w:r>
    </w:p>
    <w:p w:rsidR="00084104" w:rsidP="00A65F9E" w14:paraId="5887E564" w14:textId="77777777">
      <w:pPr>
        <w:tabs>
          <w:tab w:val="left" w:pos="600"/>
        </w:tabs>
        <w:ind w:left="684"/>
        <w:rPr>
          <w:sz w:val="24"/>
          <w:szCs w:val="24"/>
        </w:rPr>
      </w:pPr>
    </w:p>
    <w:p w:rsidR="009E13B1" w:rsidRPr="00E72B01" w:rsidP="004B43CC" w14:paraId="73DB0897" w14:textId="77777777">
      <w:pPr>
        <w:numPr>
          <w:ilvl w:val="0"/>
          <w:numId w:val="17"/>
        </w:numPr>
        <w:tabs>
          <w:tab w:val="left" w:pos="600"/>
        </w:tabs>
        <w:rPr>
          <w:b/>
          <w:bCs/>
          <w:sz w:val="24"/>
          <w:szCs w:val="24"/>
        </w:rPr>
      </w:pPr>
      <w:r w:rsidRPr="00E72B01">
        <w:rPr>
          <w:b/>
          <w:bCs/>
          <w:sz w:val="24"/>
          <w:szCs w:val="24"/>
        </w:rPr>
        <w:t xml:space="preserve">in connection with a statistical survey, that is not designed to produce valid and reliable results than can be generalized to the universe of study; </w:t>
      </w:r>
    </w:p>
    <w:p w:rsidR="004B43CC" w:rsidP="004B43CC" w14:paraId="75542C3B" w14:textId="77777777">
      <w:pPr>
        <w:pStyle w:val="ListParagraph"/>
        <w:tabs>
          <w:tab w:val="left" w:pos="600"/>
        </w:tabs>
        <w:rPr>
          <w:sz w:val="24"/>
          <w:szCs w:val="24"/>
        </w:rPr>
      </w:pPr>
    </w:p>
    <w:p w:rsidR="00084104" w:rsidRPr="004B43CC" w:rsidP="004B43CC" w14:paraId="479B0F96" w14:textId="077D8496">
      <w:pPr>
        <w:pStyle w:val="ListParagraph"/>
        <w:tabs>
          <w:tab w:val="left" w:pos="600"/>
        </w:tabs>
        <w:rPr>
          <w:sz w:val="24"/>
          <w:szCs w:val="24"/>
        </w:rPr>
      </w:pPr>
      <w:r w:rsidRPr="004B43CC">
        <w:rPr>
          <w:sz w:val="24"/>
          <w:szCs w:val="24"/>
        </w:rPr>
        <w:t>Not Applicable</w:t>
      </w:r>
    </w:p>
    <w:p w:rsidR="00084104" w:rsidP="00084104" w14:paraId="7DCC0C1C" w14:textId="77777777">
      <w:pPr>
        <w:tabs>
          <w:tab w:val="left" w:pos="600"/>
        </w:tabs>
        <w:ind w:left="684"/>
        <w:rPr>
          <w:sz w:val="24"/>
          <w:szCs w:val="24"/>
        </w:rPr>
      </w:pPr>
    </w:p>
    <w:p w:rsidR="00A65F9E" w:rsidRPr="00E72B01" w:rsidP="004B43CC" w14:paraId="34E5913A" w14:textId="7078066A">
      <w:pPr>
        <w:numPr>
          <w:ilvl w:val="0"/>
          <w:numId w:val="17"/>
        </w:numPr>
        <w:tabs>
          <w:tab w:val="left" w:pos="600"/>
        </w:tabs>
        <w:rPr>
          <w:b/>
          <w:bCs/>
          <w:sz w:val="24"/>
          <w:szCs w:val="24"/>
        </w:rPr>
      </w:pPr>
      <w:r w:rsidRPr="00E72B01">
        <w:rPr>
          <w:b/>
          <w:bCs/>
          <w:sz w:val="24"/>
          <w:szCs w:val="24"/>
        </w:rPr>
        <w:t>requiring the use of a statistical data classification that has not been reviewed and approved by OMB;</w:t>
      </w:r>
    </w:p>
    <w:p w:rsidR="004B43CC" w:rsidP="004B43CC" w14:paraId="26D825F6" w14:textId="77777777">
      <w:pPr>
        <w:tabs>
          <w:tab w:val="left" w:pos="600"/>
        </w:tabs>
        <w:rPr>
          <w:sz w:val="24"/>
          <w:szCs w:val="24"/>
        </w:rPr>
      </w:pPr>
    </w:p>
    <w:p w:rsidR="009E13B1" w:rsidRPr="004B43CC" w:rsidP="004B43CC" w14:paraId="66012806" w14:textId="4D351F5E">
      <w:pPr>
        <w:tabs>
          <w:tab w:val="left" w:pos="600"/>
        </w:tabs>
        <w:rPr>
          <w:sz w:val="24"/>
          <w:szCs w:val="24"/>
        </w:rPr>
      </w:pPr>
      <w:r>
        <w:rPr>
          <w:sz w:val="24"/>
          <w:szCs w:val="24"/>
        </w:rPr>
        <w:tab/>
      </w:r>
      <w:r w:rsidRPr="004B43CC" w:rsidR="00084104">
        <w:rPr>
          <w:sz w:val="24"/>
          <w:szCs w:val="24"/>
        </w:rPr>
        <w:t>Not Applicable</w:t>
      </w:r>
    </w:p>
    <w:p w:rsidR="00084104" w:rsidRPr="006C7FAE" w:rsidP="00A65F9E" w14:paraId="27E247B4" w14:textId="77777777">
      <w:pPr>
        <w:tabs>
          <w:tab w:val="left" w:pos="600"/>
        </w:tabs>
        <w:ind w:left="684"/>
        <w:rPr>
          <w:sz w:val="24"/>
          <w:szCs w:val="24"/>
        </w:rPr>
      </w:pPr>
    </w:p>
    <w:p w:rsidR="009E13B1" w:rsidRPr="00E72B01" w:rsidP="004B43CC" w14:paraId="556952BC" w14:textId="77777777">
      <w:pPr>
        <w:numPr>
          <w:ilvl w:val="0"/>
          <w:numId w:val="17"/>
        </w:numPr>
        <w:tabs>
          <w:tab w:val="left" w:pos="600"/>
        </w:tabs>
        <w:rPr>
          <w:b/>
          <w:bCs/>
          <w:sz w:val="24"/>
          <w:szCs w:val="24"/>
        </w:rPr>
      </w:pPr>
      <w:r w:rsidRPr="00E72B01">
        <w:rPr>
          <w:b/>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4B43CC" w:rsidP="004B43CC" w14:paraId="6AC8E8AF" w14:textId="77777777">
      <w:pPr>
        <w:pStyle w:val="ListParagraph"/>
        <w:keepLines/>
        <w:tabs>
          <w:tab w:val="left" w:pos="600"/>
        </w:tabs>
        <w:spacing w:after="80"/>
        <w:rPr>
          <w:sz w:val="24"/>
          <w:szCs w:val="24"/>
        </w:rPr>
      </w:pPr>
    </w:p>
    <w:p w:rsidR="00A65F9E" w:rsidRPr="004B43CC" w:rsidP="004B43CC" w14:paraId="4497C6FF" w14:textId="618BD63C">
      <w:pPr>
        <w:keepLines/>
        <w:tabs>
          <w:tab w:val="left" w:pos="600"/>
        </w:tabs>
        <w:spacing w:after="80"/>
        <w:ind w:left="360"/>
        <w:rPr>
          <w:sz w:val="24"/>
          <w:szCs w:val="24"/>
        </w:rPr>
      </w:pPr>
      <w:r>
        <w:rPr>
          <w:sz w:val="24"/>
          <w:szCs w:val="24"/>
        </w:rPr>
        <w:tab/>
      </w:r>
      <w:r w:rsidRPr="004B43CC" w:rsidR="00084104">
        <w:rPr>
          <w:sz w:val="24"/>
          <w:szCs w:val="24"/>
        </w:rPr>
        <w:t>Not Applicable</w:t>
      </w:r>
    </w:p>
    <w:p w:rsidR="00084104" w:rsidP="00A65F9E" w14:paraId="63329269" w14:textId="77777777">
      <w:pPr>
        <w:keepLines/>
        <w:tabs>
          <w:tab w:val="left" w:pos="600"/>
        </w:tabs>
        <w:spacing w:after="80"/>
        <w:ind w:left="684"/>
        <w:rPr>
          <w:sz w:val="24"/>
          <w:szCs w:val="24"/>
        </w:rPr>
      </w:pPr>
    </w:p>
    <w:p w:rsidR="009E13B1" w:rsidRPr="00E72B01" w:rsidP="004B43CC" w14:paraId="0DB9F02B" w14:textId="77777777">
      <w:pPr>
        <w:keepLines/>
        <w:numPr>
          <w:ilvl w:val="0"/>
          <w:numId w:val="17"/>
        </w:numPr>
        <w:tabs>
          <w:tab w:val="left" w:pos="600"/>
        </w:tabs>
        <w:spacing w:after="80"/>
        <w:rPr>
          <w:b/>
          <w:bCs/>
          <w:sz w:val="24"/>
          <w:szCs w:val="24"/>
        </w:rPr>
      </w:pPr>
      <w:r w:rsidRPr="00E72B01">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084104" w:rsidRPr="006C7FAE" w:rsidP="00084104" w14:paraId="5BA6DBE5" w14:textId="2B4ECBCA">
      <w:pPr>
        <w:keepLines/>
        <w:tabs>
          <w:tab w:val="left" w:pos="600"/>
        </w:tabs>
        <w:spacing w:after="80"/>
        <w:ind w:left="684"/>
        <w:rPr>
          <w:sz w:val="24"/>
          <w:szCs w:val="24"/>
        </w:rPr>
      </w:pPr>
      <w:r w:rsidRPr="00084104">
        <w:rPr>
          <w:sz w:val="24"/>
          <w:szCs w:val="24"/>
        </w:rPr>
        <w:t>Not Applicable</w:t>
      </w:r>
    </w:p>
    <w:p w:rsidR="009E13B1" w14:paraId="313F58B2" w14:textId="77777777">
      <w:pPr>
        <w:tabs>
          <w:tab w:val="left" w:pos="360"/>
        </w:tabs>
        <w:ind w:left="360" w:hanging="360"/>
        <w:rPr>
          <w:sz w:val="24"/>
          <w:szCs w:val="24"/>
        </w:rPr>
      </w:pPr>
    </w:p>
    <w:p w:rsidR="004B43CC" w14:paraId="300EE5A3" w14:textId="77777777">
      <w:pPr>
        <w:tabs>
          <w:tab w:val="left" w:pos="360"/>
        </w:tabs>
        <w:ind w:left="360" w:hanging="360"/>
        <w:rPr>
          <w:sz w:val="24"/>
          <w:szCs w:val="24"/>
        </w:rPr>
      </w:pPr>
    </w:p>
    <w:p w:rsidR="004B43CC" w14:paraId="113218F3" w14:textId="77777777">
      <w:pPr>
        <w:tabs>
          <w:tab w:val="left" w:pos="360"/>
        </w:tabs>
        <w:ind w:left="360" w:hanging="360"/>
        <w:rPr>
          <w:sz w:val="24"/>
          <w:szCs w:val="24"/>
        </w:rPr>
      </w:pPr>
    </w:p>
    <w:p w:rsidR="004B43CC" w:rsidRPr="006C7FAE" w14:paraId="2A593EEB" w14:textId="77777777">
      <w:pPr>
        <w:tabs>
          <w:tab w:val="left" w:pos="360"/>
        </w:tabs>
        <w:ind w:left="360" w:hanging="360"/>
        <w:rPr>
          <w:sz w:val="24"/>
          <w:szCs w:val="24"/>
        </w:rPr>
      </w:pPr>
    </w:p>
    <w:p w:rsidR="00A65F9E" w:rsidRPr="00E72B01" w:rsidP="00A65F9E" w14:paraId="663A6B8B" w14:textId="77777777">
      <w:pPr>
        <w:numPr>
          <w:ilvl w:val="0"/>
          <w:numId w:val="13"/>
        </w:numPr>
        <w:tabs>
          <w:tab w:val="left" w:pos="360"/>
        </w:tabs>
        <w:rPr>
          <w:b/>
          <w:bCs/>
          <w:sz w:val="24"/>
          <w:szCs w:val="24"/>
        </w:rPr>
      </w:pPr>
      <w:r w:rsidRPr="00E72B01">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84104" w:rsidP="00A65F9E" w14:paraId="724B5DCF" w14:textId="77777777">
      <w:pPr>
        <w:tabs>
          <w:tab w:val="left" w:pos="360"/>
        </w:tabs>
        <w:ind w:left="360"/>
        <w:rPr>
          <w:sz w:val="24"/>
          <w:szCs w:val="24"/>
        </w:rPr>
      </w:pPr>
    </w:p>
    <w:p w:rsidR="009E13B1" w:rsidP="004B43CC" w14:paraId="2607AF1A" w14:textId="713C5173">
      <w:pPr>
        <w:tabs>
          <w:tab w:val="left" w:pos="360"/>
        </w:tabs>
        <w:ind w:left="360"/>
        <w:rPr>
          <w:sz w:val="24"/>
          <w:szCs w:val="24"/>
        </w:rPr>
      </w:pPr>
      <w:r w:rsidRPr="00B72037">
        <w:rPr>
          <w:color w:val="000000"/>
          <w:sz w:val="24"/>
          <w:szCs w:val="24"/>
        </w:rPr>
        <w:t xml:space="preserve">In accordance with 5 CFR 1320.8(d), the agency’s notice announcing this collection of information appeared in the Federal Register on </w:t>
      </w:r>
      <w:r w:rsidR="003C5B16">
        <w:rPr>
          <w:color w:val="000000"/>
          <w:sz w:val="24"/>
          <w:szCs w:val="24"/>
        </w:rPr>
        <w:t>May 21</w:t>
      </w:r>
      <w:r w:rsidRPr="00B72037">
        <w:rPr>
          <w:color w:val="000000"/>
          <w:sz w:val="24"/>
          <w:szCs w:val="24"/>
        </w:rPr>
        <w:t>,</w:t>
      </w:r>
      <w:r w:rsidR="003C5B16">
        <w:rPr>
          <w:color w:val="000000"/>
          <w:sz w:val="24"/>
          <w:szCs w:val="24"/>
        </w:rPr>
        <w:t xml:space="preserve"> 2025</w:t>
      </w:r>
      <w:r w:rsidRPr="00B72037">
        <w:rPr>
          <w:color w:val="000000"/>
          <w:sz w:val="24"/>
          <w:szCs w:val="24"/>
        </w:rPr>
        <w:t xml:space="preserve"> (Volume </w:t>
      </w:r>
      <w:r w:rsidR="003C5B16">
        <w:rPr>
          <w:color w:val="000000"/>
          <w:sz w:val="24"/>
          <w:szCs w:val="24"/>
        </w:rPr>
        <w:t>90</w:t>
      </w:r>
      <w:r w:rsidRPr="00B72037">
        <w:rPr>
          <w:color w:val="000000"/>
          <w:sz w:val="24"/>
          <w:szCs w:val="24"/>
        </w:rPr>
        <w:t xml:space="preserve">, No </w:t>
      </w:r>
      <w:r w:rsidR="003C5B16">
        <w:rPr>
          <w:color w:val="000000"/>
          <w:sz w:val="24"/>
          <w:szCs w:val="24"/>
        </w:rPr>
        <w:t>97</w:t>
      </w:r>
      <w:r w:rsidRPr="00B72037">
        <w:rPr>
          <w:color w:val="000000"/>
          <w:sz w:val="24"/>
          <w:szCs w:val="24"/>
        </w:rPr>
        <w:t xml:space="preserve">, page </w:t>
      </w:r>
      <w:r w:rsidR="003C5B16">
        <w:rPr>
          <w:color w:val="000000"/>
          <w:sz w:val="24"/>
          <w:szCs w:val="24"/>
        </w:rPr>
        <w:t>21787</w:t>
      </w:r>
      <w:r w:rsidRPr="00B72037">
        <w:rPr>
          <w:color w:val="000000"/>
          <w:sz w:val="24"/>
          <w:szCs w:val="24"/>
        </w:rPr>
        <w:t xml:space="preserve">).  The public was given until </w:t>
      </w:r>
      <w:r w:rsidR="003C5B16">
        <w:rPr>
          <w:color w:val="000000"/>
          <w:sz w:val="24"/>
          <w:szCs w:val="24"/>
        </w:rPr>
        <w:t>July 21</w:t>
      </w:r>
      <w:r w:rsidRPr="00B72037">
        <w:rPr>
          <w:color w:val="000000"/>
          <w:sz w:val="24"/>
          <w:szCs w:val="24"/>
        </w:rPr>
        <w:t>,</w:t>
      </w:r>
      <w:r w:rsidR="003C5B16">
        <w:rPr>
          <w:color w:val="000000"/>
          <w:sz w:val="24"/>
          <w:szCs w:val="24"/>
        </w:rPr>
        <w:t xml:space="preserve"> 2025,</w:t>
      </w:r>
      <w:r w:rsidRPr="00B72037">
        <w:rPr>
          <w:color w:val="000000"/>
          <w:sz w:val="24"/>
          <w:szCs w:val="24"/>
        </w:rPr>
        <w:t xml:space="preserve"> to submit comments on the proposed information.  </w:t>
      </w:r>
      <w:r w:rsidR="007B2334">
        <w:rPr>
          <w:color w:val="000000"/>
          <w:sz w:val="24"/>
          <w:szCs w:val="24"/>
        </w:rPr>
        <w:t>N</w:t>
      </w:r>
      <w:r w:rsidR="003C5B16">
        <w:rPr>
          <w:color w:val="000000"/>
          <w:sz w:val="24"/>
          <w:szCs w:val="24"/>
        </w:rPr>
        <w:t>o</w:t>
      </w:r>
      <w:r w:rsidRPr="00B72037">
        <w:rPr>
          <w:color w:val="000000"/>
          <w:sz w:val="24"/>
          <w:szCs w:val="24"/>
        </w:rPr>
        <w:t xml:space="preserve"> Comment(s) were received.</w:t>
      </w:r>
    </w:p>
    <w:p w:rsidR="00B72037" w:rsidRPr="006C7FAE" w:rsidP="00B72037" w14:paraId="6B6FFA67" w14:textId="77777777">
      <w:pPr>
        <w:tabs>
          <w:tab w:val="left" w:pos="360"/>
        </w:tabs>
        <w:rPr>
          <w:sz w:val="24"/>
          <w:szCs w:val="24"/>
        </w:rPr>
      </w:pPr>
    </w:p>
    <w:p w:rsidR="009E13B1" w:rsidRPr="004B43CC" w:rsidP="004B43CC" w14:paraId="0FD54BC5" w14:textId="4565A0E5">
      <w:pPr>
        <w:pStyle w:val="ListParagraph"/>
        <w:keepLines/>
        <w:numPr>
          <w:ilvl w:val="0"/>
          <w:numId w:val="13"/>
        </w:numPr>
        <w:tabs>
          <w:tab w:val="left" w:pos="360"/>
        </w:tabs>
        <w:spacing w:after="80"/>
        <w:rPr>
          <w:b/>
          <w:bCs/>
          <w:sz w:val="24"/>
          <w:szCs w:val="24"/>
        </w:rPr>
      </w:pPr>
      <w:r w:rsidRPr="004B43CC">
        <w:rPr>
          <w:b/>
          <w:bCs/>
          <w:sz w:val="24"/>
          <w:szCs w:val="24"/>
        </w:rPr>
        <w:t>Explain any decision to provide any payment or gift to respondents, other than renumeration of contractors or grantees.</w:t>
      </w:r>
    </w:p>
    <w:p w:rsidR="004B43CC" w:rsidRPr="004B43CC" w:rsidP="004B43CC" w14:paraId="7DB5E02A" w14:textId="77777777">
      <w:pPr>
        <w:pStyle w:val="NoSpacing"/>
      </w:pPr>
    </w:p>
    <w:p w:rsidR="009E13B1" w:rsidP="004B43CC" w14:paraId="04C87772" w14:textId="19A8DBE4">
      <w:pPr>
        <w:tabs>
          <w:tab w:val="left" w:pos="360"/>
        </w:tabs>
        <w:ind w:left="720" w:hanging="360"/>
        <w:rPr>
          <w:sz w:val="24"/>
          <w:szCs w:val="24"/>
        </w:rPr>
      </w:pPr>
      <w:r w:rsidRPr="00084104">
        <w:rPr>
          <w:sz w:val="24"/>
          <w:szCs w:val="24"/>
        </w:rPr>
        <w:t>No payments or gifts are provided to respondents for any of these information collections.</w:t>
      </w:r>
    </w:p>
    <w:p w:rsidR="00E72B01" w:rsidRPr="006C7FAE" w14:paraId="569F7DB9" w14:textId="77777777">
      <w:pPr>
        <w:tabs>
          <w:tab w:val="left" w:pos="360"/>
        </w:tabs>
        <w:ind w:left="360" w:hanging="360"/>
        <w:rPr>
          <w:sz w:val="24"/>
          <w:szCs w:val="24"/>
        </w:rPr>
      </w:pPr>
    </w:p>
    <w:p w:rsidR="009E13B1" w:rsidRPr="00E72B01" w14:paraId="199B10B5" w14:textId="77777777">
      <w:pPr>
        <w:keepLines/>
        <w:tabs>
          <w:tab w:val="left" w:pos="360"/>
        </w:tabs>
        <w:spacing w:after="80"/>
        <w:ind w:left="360" w:hanging="360"/>
        <w:rPr>
          <w:b/>
          <w:bCs/>
          <w:sz w:val="24"/>
          <w:szCs w:val="24"/>
        </w:rPr>
      </w:pPr>
      <w:r w:rsidRPr="006C7FAE">
        <w:rPr>
          <w:sz w:val="24"/>
          <w:szCs w:val="24"/>
        </w:rPr>
        <w:t>10.</w:t>
      </w:r>
      <w:r w:rsidRPr="006C7FAE">
        <w:rPr>
          <w:sz w:val="24"/>
          <w:szCs w:val="24"/>
        </w:rPr>
        <w:tab/>
      </w:r>
      <w:r w:rsidRPr="00E72B01">
        <w:rPr>
          <w:b/>
          <w:bCs/>
          <w:sz w:val="24"/>
          <w:szCs w:val="24"/>
        </w:rPr>
        <w:t>Describe any assurance of confidentiality provided to respondents and the basis for assurance in statute, regulation or agency policy.</w:t>
      </w:r>
      <w:r w:rsidRPr="00E72B01" w:rsidR="000D5079">
        <w:rPr>
          <w:b/>
          <w:bCs/>
        </w:rPr>
        <w:t xml:space="preserve"> </w:t>
      </w:r>
      <w:r w:rsidRPr="00E72B01" w:rsidR="000D5079">
        <w:rPr>
          <w:b/>
          <w:bCs/>
          <w:sz w:val="24"/>
          <w:szCs w:val="24"/>
        </w:rPr>
        <w:t xml:space="preserve">If the collection requires a </w:t>
      </w:r>
      <w:r w:rsidRPr="00E72B01" w:rsidR="00BB2518">
        <w:rPr>
          <w:b/>
          <w:bCs/>
          <w:sz w:val="24"/>
          <w:szCs w:val="24"/>
        </w:rPr>
        <w:t>system of records notice (SORN)</w:t>
      </w:r>
      <w:r w:rsidRPr="00E72B01" w:rsidR="000D5079">
        <w:rPr>
          <w:b/>
          <w:bCs/>
          <w:sz w:val="24"/>
          <w:szCs w:val="24"/>
        </w:rPr>
        <w:t xml:space="preserve"> or privacy impact assessment (PIA), those should be cited and described here.</w:t>
      </w:r>
    </w:p>
    <w:p w:rsidR="004B43CC" w:rsidP="00084104" w14:paraId="51D23178" w14:textId="77777777">
      <w:pPr>
        <w:tabs>
          <w:tab w:val="left" w:pos="360"/>
        </w:tabs>
        <w:rPr>
          <w:sz w:val="24"/>
          <w:szCs w:val="24"/>
        </w:rPr>
      </w:pPr>
    </w:p>
    <w:p w:rsidR="009E13B1" w:rsidP="004B43CC" w14:paraId="6CDC9D62" w14:textId="032C33F7">
      <w:pPr>
        <w:tabs>
          <w:tab w:val="left" w:pos="360"/>
        </w:tabs>
        <w:ind w:left="360"/>
        <w:rPr>
          <w:sz w:val="24"/>
          <w:szCs w:val="24"/>
        </w:rPr>
      </w:pPr>
      <w:r w:rsidRPr="00084104">
        <w:rPr>
          <w:sz w:val="24"/>
          <w:szCs w:val="24"/>
        </w:rPr>
        <w:t>Assurance of confidentiality is neither provided nor needed for any of these information collections.  The Privacy Act of 1974 provide</w:t>
      </w:r>
      <w:r w:rsidR="00B72037">
        <w:rPr>
          <w:sz w:val="24"/>
          <w:szCs w:val="24"/>
        </w:rPr>
        <w:t>s</w:t>
      </w:r>
      <w:r w:rsidRPr="00084104">
        <w:rPr>
          <w:sz w:val="24"/>
          <w:szCs w:val="24"/>
        </w:rPr>
        <w:t xml:space="preserve"> privacy protection to respondents.</w:t>
      </w:r>
    </w:p>
    <w:p w:rsidR="00084104" w:rsidRPr="006C7FAE" w14:paraId="5851F0BD" w14:textId="77777777">
      <w:pPr>
        <w:tabs>
          <w:tab w:val="left" w:pos="360"/>
        </w:tabs>
        <w:ind w:left="360" w:hanging="360"/>
        <w:rPr>
          <w:sz w:val="24"/>
          <w:szCs w:val="24"/>
        </w:rPr>
      </w:pPr>
    </w:p>
    <w:p w:rsidR="009E13B1" w:rsidRPr="00E72B01" w14:paraId="668EAA31" w14:textId="77777777">
      <w:pPr>
        <w:keepLines/>
        <w:tabs>
          <w:tab w:val="left" w:pos="360"/>
        </w:tabs>
        <w:spacing w:after="80"/>
        <w:ind w:left="360" w:hanging="360"/>
        <w:rPr>
          <w:b/>
          <w:bCs/>
          <w:sz w:val="24"/>
          <w:szCs w:val="24"/>
        </w:rPr>
      </w:pPr>
      <w:r w:rsidRPr="006C7FAE">
        <w:rPr>
          <w:sz w:val="24"/>
          <w:szCs w:val="24"/>
        </w:rPr>
        <w:t>11.</w:t>
      </w:r>
      <w:r w:rsidRPr="006C7FAE">
        <w:rPr>
          <w:sz w:val="24"/>
          <w:szCs w:val="24"/>
        </w:rPr>
        <w:tab/>
      </w:r>
      <w:r w:rsidRPr="00E72B01">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rsidRPr="006C7FAE" w14:paraId="0A2401BB" w14:textId="77777777">
      <w:pPr>
        <w:tabs>
          <w:tab w:val="left" w:pos="360"/>
        </w:tabs>
        <w:ind w:left="360" w:hanging="360"/>
        <w:rPr>
          <w:sz w:val="24"/>
          <w:szCs w:val="24"/>
        </w:rPr>
      </w:pPr>
    </w:p>
    <w:p w:rsidR="00A65F9E" w:rsidP="004B43CC" w14:paraId="63535CF5" w14:textId="40AF10B4">
      <w:pPr>
        <w:tabs>
          <w:tab w:val="left" w:pos="360"/>
        </w:tabs>
        <w:ind w:left="720" w:hanging="360"/>
        <w:rPr>
          <w:sz w:val="24"/>
          <w:szCs w:val="24"/>
        </w:rPr>
      </w:pPr>
      <w:r w:rsidRPr="00084104">
        <w:rPr>
          <w:sz w:val="24"/>
          <w:szCs w:val="24"/>
        </w:rPr>
        <w:t>No sensitive questions are being asked for any of these information collections.</w:t>
      </w:r>
    </w:p>
    <w:p w:rsidR="00A65F9E" w14:paraId="1022163F" w14:textId="77777777">
      <w:pPr>
        <w:tabs>
          <w:tab w:val="left" w:pos="360"/>
        </w:tabs>
        <w:ind w:left="360" w:hanging="360"/>
        <w:rPr>
          <w:sz w:val="24"/>
          <w:szCs w:val="24"/>
        </w:rPr>
      </w:pPr>
    </w:p>
    <w:p w:rsidR="00A65F9E" w14:paraId="06BC304E" w14:textId="77777777">
      <w:pPr>
        <w:tabs>
          <w:tab w:val="left" w:pos="360"/>
        </w:tabs>
        <w:ind w:left="360" w:hanging="360"/>
        <w:rPr>
          <w:sz w:val="24"/>
          <w:szCs w:val="24"/>
        </w:rPr>
      </w:pPr>
    </w:p>
    <w:p w:rsidR="000D5079" w:rsidRPr="00E72B01" w14:paraId="7C95C366" w14:textId="77777777">
      <w:pPr>
        <w:tabs>
          <w:tab w:val="left" w:pos="360"/>
        </w:tabs>
        <w:ind w:left="360" w:hanging="360"/>
        <w:rPr>
          <w:b/>
          <w:bCs/>
          <w:sz w:val="24"/>
          <w:szCs w:val="24"/>
        </w:rPr>
      </w:pPr>
      <w:r w:rsidRPr="006C7FAE">
        <w:rPr>
          <w:sz w:val="24"/>
          <w:szCs w:val="24"/>
        </w:rPr>
        <w:t>12.</w:t>
      </w:r>
      <w:r w:rsidRPr="006C7FAE">
        <w:rPr>
          <w:sz w:val="24"/>
          <w:szCs w:val="24"/>
        </w:rPr>
        <w:tab/>
      </w:r>
      <w:r w:rsidRPr="00E72B01">
        <w:rPr>
          <w:b/>
          <w:bCs/>
          <w:sz w:val="24"/>
          <w:szCs w:val="24"/>
        </w:rPr>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E72B01" w14:paraId="06CBD536" w14:textId="77777777">
      <w:pPr>
        <w:numPr>
          <w:ilvl w:val="0"/>
          <w:numId w:val="14"/>
        </w:numPr>
        <w:tabs>
          <w:tab w:val="left" w:pos="480"/>
        </w:tabs>
        <w:ind w:left="480"/>
        <w:rPr>
          <w:b/>
          <w:bCs/>
          <w:sz w:val="24"/>
          <w:szCs w:val="24"/>
        </w:rPr>
      </w:pPr>
      <w:r w:rsidRPr="00E72B01">
        <w:rPr>
          <w:b/>
          <w:bCs/>
          <w:sz w:val="24"/>
          <w:szCs w:val="24"/>
        </w:rPr>
        <w:t>I</w:t>
      </w:r>
      <w:r w:rsidRPr="00E72B01">
        <w:rPr>
          <w:b/>
          <w:bCs/>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E72B01" w:rsidR="006C7FAE">
        <w:rPr>
          <w:b/>
          <w:bCs/>
          <w:sz w:val="24"/>
          <w:szCs w:val="24"/>
        </w:rPr>
        <w:t>Generally,</w:t>
      </w:r>
      <w:r w:rsidRPr="00E72B01">
        <w:rPr>
          <w:b/>
          <w:bCs/>
          <w:sz w:val="24"/>
          <w:szCs w:val="24"/>
        </w:rPr>
        <w:t xml:space="preserve"> estimates should not include burden hours for customary and usual business practices; </w:t>
      </w:r>
    </w:p>
    <w:p w:rsidR="009E13B1" w:rsidRPr="00E72B01" w14:paraId="54BF2220" w14:textId="77777777">
      <w:pPr>
        <w:numPr>
          <w:ilvl w:val="0"/>
          <w:numId w:val="14"/>
        </w:numPr>
        <w:tabs>
          <w:tab w:val="left" w:pos="480"/>
        </w:tabs>
        <w:ind w:left="480"/>
        <w:rPr>
          <w:b/>
          <w:bCs/>
          <w:sz w:val="24"/>
          <w:szCs w:val="24"/>
        </w:rPr>
      </w:pPr>
      <w:r w:rsidRPr="00E72B01">
        <w:rPr>
          <w:b/>
          <w:bCs/>
          <w:sz w:val="24"/>
          <w:szCs w:val="24"/>
        </w:rPr>
        <w:t>I</w:t>
      </w:r>
      <w:r w:rsidRPr="00E72B01">
        <w:rPr>
          <w:b/>
          <w:bCs/>
          <w:sz w:val="24"/>
          <w:szCs w:val="24"/>
        </w:rPr>
        <w:t xml:space="preserve">f this request covers more than one form, provide separate hour burden estimates for each form and aggregate the hour burdens in </w:t>
      </w:r>
      <w:r w:rsidRPr="00E72B01" w:rsidR="00CA06CC">
        <w:rPr>
          <w:b/>
          <w:bCs/>
          <w:sz w:val="24"/>
          <w:szCs w:val="24"/>
        </w:rPr>
        <w:t>chart below</w:t>
      </w:r>
      <w:r w:rsidRPr="00E72B01">
        <w:rPr>
          <w:b/>
          <w:bCs/>
          <w:sz w:val="24"/>
          <w:szCs w:val="24"/>
        </w:rPr>
        <w:t xml:space="preserve">; and </w:t>
      </w:r>
    </w:p>
    <w:p w:rsidR="009E13B1" w:rsidRPr="00E72B01" w14:paraId="438D1797" w14:textId="77777777">
      <w:pPr>
        <w:keepLines/>
        <w:numPr>
          <w:ilvl w:val="0"/>
          <w:numId w:val="14"/>
        </w:numPr>
        <w:tabs>
          <w:tab w:val="left" w:pos="480"/>
        </w:tabs>
        <w:spacing w:after="80"/>
        <w:ind w:left="480"/>
        <w:rPr>
          <w:b/>
          <w:bCs/>
          <w:sz w:val="24"/>
          <w:szCs w:val="24"/>
        </w:rPr>
      </w:pPr>
      <w:r w:rsidRPr="00E72B01">
        <w:rPr>
          <w:b/>
          <w:bCs/>
          <w:sz w:val="24"/>
          <w:szCs w:val="24"/>
        </w:rPr>
        <w:t>P</w:t>
      </w:r>
      <w:r w:rsidRPr="00E72B01">
        <w:rPr>
          <w:b/>
          <w:bCs/>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E72B01" w:rsidR="00CA06CC">
        <w:rPr>
          <w:b/>
          <w:bCs/>
          <w:sz w:val="24"/>
          <w:szCs w:val="24"/>
        </w:rPr>
        <w:t>Instead,</w:t>
      </w:r>
      <w:r w:rsidRPr="00E72B01">
        <w:rPr>
          <w:b/>
          <w:bCs/>
          <w:sz w:val="24"/>
          <w:szCs w:val="24"/>
        </w:rPr>
        <w:t xml:space="preserve"> this cost should be included in Item 13.</w:t>
      </w:r>
    </w:p>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bookmarkStart w:id="0" w:name="_Hlk192076507"/>
    </w:p>
    <w:tbl>
      <w:tblPr>
        <w:tblW w:w="9800" w:type="dxa"/>
        <w:tblInd w:w="2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005"/>
        <w:gridCol w:w="1359"/>
        <w:gridCol w:w="1174"/>
        <w:gridCol w:w="1138"/>
        <w:gridCol w:w="1057"/>
        <w:gridCol w:w="894"/>
        <w:gridCol w:w="1057"/>
        <w:gridCol w:w="1116"/>
      </w:tblGrid>
      <w:tr w14:paraId="2AF62206" w14:textId="77777777" w:rsidTr="004B43CC">
        <w:tblPrEx>
          <w:tblW w:w="9800" w:type="dxa"/>
          <w:tblInd w:w="2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2005" w:type="dxa"/>
            <w:tcMar>
              <w:top w:w="0" w:type="dxa"/>
              <w:left w:w="108" w:type="dxa"/>
              <w:bottom w:w="0" w:type="dxa"/>
              <w:right w:w="108" w:type="dxa"/>
            </w:tcMar>
            <w:hideMark/>
          </w:tcPr>
          <w:p w:rsidR="00167E53" w:rsidRPr="004B43CC" w:rsidP="00167E53" w14:paraId="18951238" w14:textId="77777777">
            <w:pPr>
              <w:adjustRightInd/>
              <w:jc w:val="center"/>
              <w:textAlignment w:val="auto"/>
              <w:rPr>
                <w:rFonts w:eastAsia="Calibri"/>
                <w:b/>
                <w:bCs/>
                <w:color w:val="000000"/>
                <w:sz w:val="18"/>
                <w:szCs w:val="18"/>
              </w:rPr>
            </w:pPr>
            <w:bookmarkStart w:id="1" w:name="_Hlk72491044"/>
            <w:r w:rsidRPr="004B43CC">
              <w:rPr>
                <w:rFonts w:eastAsia="Calibri"/>
                <w:b/>
                <w:bCs/>
                <w:color w:val="000000"/>
                <w:sz w:val="18"/>
                <w:szCs w:val="18"/>
              </w:rPr>
              <w:t>Information Collection</w:t>
            </w:r>
          </w:p>
        </w:tc>
        <w:tc>
          <w:tcPr>
            <w:tcW w:w="1359" w:type="dxa"/>
            <w:tcMar>
              <w:top w:w="0" w:type="dxa"/>
              <w:left w:w="108" w:type="dxa"/>
              <w:bottom w:w="0" w:type="dxa"/>
              <w:right w:w="108" w:type="dxa"/>
            </w:tcMar>
            <w:hideMark/>
          </w:tcPr>
          <w:p w:rsidR="00167E53" w:rsidRPr="004B43CC" w:rsidP="00167E53" w14:paraId="29E8A4AB" w14:textId="77777777">
            <w:pPr>
              <w:adjustRightInd/>
              <w:jc w:val="center"/>
              <w:textAlignment w:val="auto"/>
              <w:rPr>
                <w:rFonts w:eastAsia="Calibri"/>
                <w:b/>
                <w:bCs/>
                <w:color w:val="000000"/>
                <w:sz w:val="18"/>
                <w:szCs w:val="18"/>
              </w:rPr>
            </w:pPr>
            <w:r w:rsidRPr="004B43CC">
              <w:rPr>
                <w:rFonts w:eastAsia="Calibri"/>
                <w:b/>
                <w:bCs/>
                <w:color w:val="000000"/>
                <w:sz w:val="18"/>
                <w:szCs w:val="18"/>
              </w:rPr>
              <w:t>Number of Respondents</w:t>
            </w:r>
          </w:p>
        </w:tc>
        <w:tc>
          <w:tcPr>
            <w:tcW w:w="1174" w:type="dxa"/>
            <w:tcMar>
              <w:top w:w="0" w:type="dxa"/>
              <w:left w:w="108" w:type="dxa"/>
              <w:bottom w:w="0" w:type="dxa"/>
              <w:right w:w="108" w:type="dxa"/>
            </w:tcMar>
            <w:hideMark/>
          </w:tcPr>
          <w:p w:rsidR="00167E53" w:rsidRPr="004B43CC" w:rsidP="00167E53" w14:paraId="5D02020C" w14:textId="77777777">
            <w:pPr>
              <w:adjustRightInd/>
              <w:jc w:val="center"/>
              <w:textAlignment w:val="auto"/>
              <w:rPr>
                <w:rFonts w:eastAsia="Calibri"/>
                <w:b/>
                <w:bCs/>
                <w:color w:val="000000"/>
                <w:sz w:val="18"/>
                <w:szCs w:val="18"/>
              </w:rPr>
            </w:pPr>
            <w:r w:rsidRPr="004B43CC">
              <w:rPr>
                <w:rFonts w:eastAsia="Calibri"/>
                <w:b/>
                <w:bCs/>
                <w:color w:val="000000"/>
                <w:sz w:val="18"/>
                <w:szCs w:val="18"/>
              </w:rPr>
              <w:t>Frequency of Response</w:t>
            </w:r>
          </w:p>
        </w:tc>
        <w:tc>
          <w:tcPr>
            <w:tcW w:w="1138" w:type="dxa"/>
            <w:tcMar>
              <w:top w:w="0" w:type="dxa"/>
              <w:left w:w="108" w:type="dxa"/>
              <w:bottom w:w="0" w:type="dxa"/>
              <w:right w:w="108" w:type="dxa"/>
            </w:tcMar>
            <w:hideMark/>
          </w:tcPr>
          <w:p w:rsidR="00167E53" w:rsidRPr="004B43CC" w:rsidP="00167E53" w14:paraId="31155C9A" w14:textId="77777777">
            <w:pPr>
              <w:overflowPunct/>
              <w:autoSpaceDE/>
              <w:autoSpaceDN/>
              <w:adjustRightInd/>
              <w:jc w:val="center"/>
              <w:textAlignment w:val="auto"/>
              <w:rPr>
                <w:rFonts w:eastAsia="Calibri"/>
                <w:b/>
                <w:bCs/>
                <w:color w:val="000000"/>
                <w:sz w:val="18"/>
                <w:szCs w:val="18"/>
              </w:rPr>
            </w:pPr>
            <w:r w:rsidRPr="004B43CC">
              <w:rPr>
                <w:rFonts w:eastAsia="Calibri"/>
                <w:b/>
                <w:bCs/>
                <w:color w:val="000000"/>
                <w:sz w:val="18"/>
                <w:szCs w:val="18"/>
              </w:rPr>
              <w:t>Responses</w:t>
            </w:r>
          </w:p>
          <w:p w:rsidR="00167E53" w:rsidRPr="004B43CC" w:rsidP="00167E53" w14:paraId="1B8E5C69" w14:textId="77777777">
            <w:pPr>
              <w:adjustRightInd/>
              <w:jc w:val="center"/>
              <w:textAlignment w:val="auto"/>
              <w:rPr>
                <w:rFonts w:eastAsia="Calibri"/>
                <w:b/>
                <w:bCs/>
                <w:color w:val="000000"/>
                <w:sz w:val="18"/>
                <w:szCs w:val="18"/>
              </w:rPr>
            </w:pPr>
            <w:r w:rsidRPr="004B43CC">
              <w:rPr>
                <w:rFonts w:eastAsia="Calibri"/>
                <w:b/>
                <w:bCs/>
                <w:color w:val="000000"/>
                <w:sz w:val="18"/>
                <w:szCs w:val="18"/>
              </w:rPr>
              <w:t>Per Annum</w:t>
            </w:r>
          </w:p>
        </w:tc>
        <w:tc>
          <w:tcPr>
            <w:tcW w:w="1057" w:type="dxa"/>
            <w:tcMar>
              <w:top w:w="0" w:type="dxa"/>
              <w:left w:w="108" w:type="dxa"/>
              <w:bottom w:w="0" w:type="dxa"/>
              <w:right w:w="108" w:type="dxa"/>
            </w:tcMar>
            <w:hideMark/>
          </w:tcPr>
          <w:p w:rsidR="00167E53" w:rsidRPr="004B43CC" w:rsidP="00167E53" w14:paraId="3F7BE12A" w14:textId="77777777">
            <w:pPr>
              <w:adjustRightInd/>
              <w:jc w:val="center"/>
              <w:textAlignment w:val="auto"/>
              <w:rPr>
                <w:rFonts w:eastAsia="Calibri"/>
                <w:b/>
                <w:bCs/>
                <w:color w:val="000000"/>
                <w:sz w:val="18"/>
                <w:szCs w:val="18"/>
              </w:rPr>
            </w:pPr>
            <w:r w:rsidRPr="004B43CC">
              <w:rPr>
                <w:rFonts w:eastAsia="Calibri"/>
                <w:b/>
                <w:bCs/>
                <w:color w:val="000000"/>
                <w:sz w:val="18"/>
                <w:szCs w:val="18"/>
              </w:rPr>
              <w:t>Burden Hour Per Response</w:t>
            </w:r>
          </w:p>
        </w:tc>
        <w:tc>
          <w:tcPr>
            <w:tcW w:w="894" w:type="dxa"/>
            <w:tcMar>
              <w:top w:w="0" w:type="dxa"/>
              <w:left w:w="108" w:type="dxa"/>
              <w:bottom w:w="0" w:type="dxa"/>
              <w:right w:w="108" w:type="dxa"/>
            </w:tcMar>
            <w:hideMark/>
          </w:tcPr>
          <w:p w:rsidR="00167E53" w:rsidRPr="004B43CC" w:rsidP="00167E53" w14:paraId="0E79EADE" w14:textId="77777777">
            <w:pPr>
              <w:adjustRightInd/>
              <w:jc w:val="center"/>
              <w:textAlignment w:val="auto"/>
              <w:rPr>
                <w:rFonts w:eastAsia="Calibri"/>
                <w:b/>
                <w:bCs/>
                <w:color w:val="000000"/>
                <w:sz w:val="18"/>
                <w:szCs w:val="18"/>
              </w:rPr>
            </w:pPr>
            <w:r w:rsidRPr="004B43CC">
              <w:rPr>
                <w:rFonts w:eastAsia="Calibri"/>
                <w:b/>
                <w:bCs/>
                <w:color w:val="000000"/>
                <w:sz w:val="18"/>
                <w:szCs w:val="18"/>
              </w:rPr>
              <w:t>Annual Burden Hours</w:t>
            </w:r>
          </w:p>
        </w:tc>
        <w:tc>
          <w:tcPr>
            <w:tcW w:w="1057" w:type="dxa"/>
            <w:tcMar>
              <w:top w:w="0" w:type="dxa"/>
              <w:left w:w="108" w:type="dxa"/>
              <w:bottom w:w="0" w:type="dxa"/>
              <w:right w:w="108" w:type="dxa"/>
            </w:tcMar>
            <w:hideMark/>
          </w:tcPr>
          <w:p w:rsidR="00167E53" w:rsidRPr="004B43CC" w:rsidP="00167E53" w14:paraId="7633FB9F" w14:textId="77777777">
            <w:pPr>
              <w:adjustRightInd/>
              <w:jc w:val="center"/>
              <w:textAlignment w:val="auto"/>
              <w:rPr>
                <w:rFonts w:eastAsia="Calibri"/>
                <w:b/>
                <w:bCs/>
                <w:color w:val="000000"/>
                <w:sz w:val="18"/>
                <w:szCs w:val="18"/>
              </w:rPr>
            </w:pPr>
            <w:r w:rsidRPr="004B43CC">
              <w:rPr>
                <w:rFonts w:eastAsia="Calibri"/>
                <w:b/>
                <w:bCs/>
                <w:color w:val="000000"/>
                <w:sz w:val="18"/>
                <w:szCs w:val="18"/>
              </w:rPr>
              <w:t>Hourly Cost Per Response</w:t>
            </w:r>
          </w:p>
        </w:tc>
        <w:tc>
          <w:tcPr>
            <w:tcW w:w="1116" w:type="dxa"/>
            <w:tcMar>
              <w:top w:w="0" w:type="dxa"/>
              <w:left w:w="108" w:type="dxa"/>
              <w:bottom w:w="0" w:type="dxa"/>
              <w:right w:w="108" w:type="dxa"/>
            </w:tcMar>
          </w:tcPr>
          <w:p w:rsidR="00167E53" w:rsidRPr="004B43CC" w:rsidP="00167E53" w14:paraId="4348ECB6" w14:textId="77777777">
            <w:pPr>
              <w:overflowPunct/>
              <w:autoSpaceDE/>
              <w:autoSpaceDN/>
              <w:adjustRightInd/>
              <w:jc w:val="center"/>
              <w:textAlignment w:val="auto"/>
              <w:rPr>
                <w:rFonts w:eastAsia="Calibri"/>
                <w:b/>
                <w:bCs/>
                <w:color w:val="000000"/>
                <w:sz w:val="18"/>
                <w:szCs w:val="18"/>
              </w:rPr>
            </w:pPr>
            <w:r w:rsidRPr="004B43CC">
              <w:rPr>
                <w:rFonts w:eastAsia="Calibri"/>
                <w:b/>
                <w:bCs/>
                <w:color w:val="000000"/>
                <w:sz w:val="18"/>
                <w:szCs w:val="18"/>
              </w:rPr>
              <w:t>Annual Cost</w:t>
            </w:r>
          </w:p>
          <w:p w:rsidR="00167E53" w:rsidRPr="004B43CC" w:rsidP="00167E53" w14:paraId="5FADD5F6" w14:textId="77777777">
            <w:pPr>
              <w:adjustRightInd/>
              <w:jc w:val="center"/>
              <w:textAlignment w:val="auto"/>
              <w:rPr>
                <w:rFonts w:eastAsia="Calibri"/>
                <w:b/>
                <w:bCs/>
                <w:color w:val="000000"/>
                <w:sz w:val="18"/>
                <w:szCs w:val="18"/>
              </w:rPr>
            </w:pPr>
          </w:p>
        </w:tc>
      </w:tr>
      <w:tr w14:paraId="1F2840D6" w14:textId="77777777" w:rsidTr="004B43CC">
        <w:tblPrEx>
          <w:tblW w:w="9800" w:type="dxa"/>
          <w:tblInd w:w="260" w:type="dxa"/>
          <w:tblCellMar>
            <w:left w:w="0" w:type="dxa"/>
            <w:right w:w="0" w:type="dxa"/>
          </w:tblCellMar>
          <w:tblLook w:val="04A0"/>
        </w:tblPrEx>
        <w:tc>
          <w:tcPr>
            <w:tcW w:w="2005" w:type="dxa"/>
            <w:tcMar>
              <w:top w:w="0" w:type="dxa"/>
              <w:left w:w="108" w:type="dxa"/>
              <w:bottom w:w="0" w:type="dxa"/>
              <w:right w:w="108" w:type="dxa"/>
            </w:tcMar>
          </w:tcPr>
          <w:p w:rsidR="00167E53" w:rsidRPr="004B43CC" w:rsidP="00167E53" w14:paraId="3F8409FC" w14:textId="68ABE88D">
            <w:pPr>
              <w:adjustRightInd/>
              <w:textAlignment w:val="auto"/>
              <w:rPr>
                <w:rFonts w:eastAsia="Calibri"/>
                <w:color w:val="000000"/>
                <w:sz w:val="18"/>
                <w:szCs w:val="18"/>
              </w:rPr>
            </w:pPr>
            <w:r w:rsidRPr="004B43CC">
              <w:rPr>
                <w:rFonts w:eastAsia="Calibri"/>
                <w:color w:val="000000"/>
                <w:sz w:val="18"/>
                <w:szCs w:val="18"/>
              </w:rPr>
              <w:t>Implementation grantees on-line quarterly reporting (CN Inform)</w:t>
            </w:r>
            <w:r w:rsidRPr="004B43CC" w:rsidR="0059092E">
              <w:rPr>
                <w:rFonts w:eastAsia="Calibri"/>
                <w:color w:val="000000"/>
                <w:sz w:val="18"/>
                <w:szCs w:val="18"/>
              </w:rPr>
              <w:t xml:space="preserve"> </w:t>
            </w:r>
            <w:r w:rsidRPr="004B43CC" w:rsidR="003170F9">
              <w:rPr>
                <w:rFonts w:eastAsia="Calibri"/>
                <w:color w:val="000000"/>
                <w:sz w:val="18"/>
                <w:szCs w:val="18"/>
              </w:rPr>
              <w:t>(</w:t>
            </w:r>
            <w:r w:rsidRPr="004B43CC" w:rsidR="0059092E">
              <w:rPr>
                <w:rFonts w:eastAsia="Calibri"/>
                <w:color w:val="000000"/>
                <w:sz w:val="18"/>
                <w:szCs w:val="18"/>
              </w:rPr>
              <w:t>Quarterly</w:t>
            </w:r>
            <w:r w:rsidRPr="004B43CC" w:rsidR="003170F9">
              <w:rPr>
                <w:rFonts w:eastAsia="Calibri"/>
                <w:color w:val="000000"/>
                <w:sz w:val="18"/>
                <w:szCs w:val="18"/>
              </w:rPr>
              <w:t>)</w:t>
            </w:r>
          </w:p>
        </w:tc>
        <w:tc>
          <w:tcPr>
            <w:tcW w:w="1359" w:type="dxa"/>
            <w:tcMar>
              <w:top w:w="0" w:type="dxa"/>
              <w:left w:w="108" w:type="dxa"/>
              <w:bottom w:w="0" w:type="dxa"/>
              <w:right w:w="108" w:type="dxa"/>
            </w:tcMar>
          </w:tcPr>
          <w:p w:rsidR="00167E53" w:rsidRPr="004B43CC" w:rsidP="00167E53" w14:paraId="477FDF2A" w14:textId="2EC9688A">
            <w:pPr>
              <w:adjustRightInd/>
              <w:jc w:val="center"/>
              <w:textAlignment w:val="auto"/>
              <w:rPr>
                <w:rFonts w:eastAsia="Calibri"/>
                <w:color w:val="000000"/>
                <w:sz w:val="18"/>
                <w:szCs w:val="18"/>
              </w:rPr>
            </w:pPr>
            <w:r w:rsidRPr="004B43CC">
              <w:rPr>
                <w:rFonts w:eastAsia="Calibri"/>
                <w:color w:val="000000"/>
                <w:sz w:val="18"/>
                <w:szCs w:val="18"/>
              </w:rPr>
              <w:t>37</w:t>
            </w:r>
          </w:p>
        </w:tc>
        <w:tc>
          <w:tcPr>
            <w:tcW w:w="1174" w:type="dxa"/>
            <w:tcMar>
              <w:top w:w="0" w:type="dxa"/>
              <w:left w:w="108" w:type="dxa"/>
              <w:bottom w:w="0" w:type="dxa"/>
              <w:right w:w="108" w:type="dxa"/>
            </w:tcMar>
          </w:tcPr>
          <w:p w:rsidR="00167E53" w:rsidRPr="004B43CC" w:rsidP="00167E53" w14:paraId="0FA12733" w14:textId="64D07E75">
            <w:pPr>
              <w:adjustRightInd/>
              <w:jc w:val="center"/>
              <w:textAlignment w:val="auto"/>
              <w:rPr>
                <w:rFonts w:eastAsia="Calibri"/>
                <w:color w:val="000000"/>
                <w:sz w:val="18"/>
                <w:szCs w:val="18"/>
              </w:rPr>
            </w:pPr>
            <w:r w:rsidRPr="004B43CC">
              <w:rPr>
                <w:rFonts w:eastAsia="Calibri"/>
                <w:color w:val="000000"/>
                <w:sz w:val="18"/>
                <w:szCs w:val="18"/>
              </w:rPr>
              <w:t>4</w:t>
            </w:r>
          </w:p>
        </w:tc>
        <w:tc>
          <w:tcPr>
            <w:tcW w:w="1138" w:type="dxa"/>
            <w:tcMar>
              <w:top w:w="0" w:type="dxa"/>
              <w:left w:w="108" w:type="dxa"/>
              <w:bottom w:w="0" w:type="dxa"/>
              <w:right w:w="108" w:type="dxa"/>
            </w:tcMar>
          </w:tcPr>
          <w:p w:rsidR="00167E53" w:rsidRPr="004B43CC" w:rsidP="00167E53" w14:paraId="34699A4F" w14:textId="3DB4AE4A">
            <w:pPr>
              <w:adjustRightInd/>
              <w:jc w:val="center"/>
              <w:textAlignment w:val="auto"/>
              <w:rPr>
                <w:rFonts w:eastAsia="Calibri"/>
                <w:color w:val="000000"/>
                <w:sz w:val="18"/>
                <w:szCs w:val="18"/>
              </w:rPr>
            </w:pPr>
            <w:r w:rsidRPr="004B43CC">
              <w:rPr>
                <w:rFonts w:eastAsia="Calibri"/>
                <w:color w:val="000000"/>
                <w:sz w:val="18"/>
                <w:szCs w:val="18"/>
              </w:rPr>
              <w:t>148</w:t>
            </w:r>
          </w:p>
        </w:tc>
        <w:tc>
          <w:tcPr>
            <w:tcW w:w="1057" w:type="dxa"/>
            <w:tcMar>
              <w:top w:w="0" w:type="dxa"/>
              <w:left w:w="108" w:type="dxa"/>
              <w:bottom w:w="0" w:type="dxa"/>
              <w:right w:w="108" w:type="dxa"/>
            </w:tcMar>
          </w:tcPr>
          <w:p w:rsidR="00167E53" w:rsidRPr="004B43CC" w:rsidP="00167E53" w14:paraId="525186D0" w14:textId="578F29CB">
            <w:pPr>
              <w:adjustRightInd/>
              <w:jc w:val="center"/>
              <w:textAlignment w:val="auto"/>
              <w:rPr>
                <w:rFonts w:eastAsia="Calibri"/>
                <w:color w:val="000000"/>
                <w:sz w:val="18"/>
                <w:szCs w:val="18"/>
              </w:rPr>
            </w:pPr>
            <w:r w:rsidRPr="004B43CC">
              <w:rPr>
                <w:rFonts w:eastAsia="Calibri"/>
                <w:color w:val="000000"/>
                <w:sz w:val="18"/>
                <w:szCs w:val="18"/>
              </w:rPr>
              <w:t>6</w:t>
            </w:r>
          </w:p>
        </w:tc>
        <w:tc>
          <w:tcPr>
            <w:tcW w:w="894" w:type="dxa"/>
            <w:tcMar>
              <w:top w:w="0" w:type="dxa"/>
              <w:left w:w="108" w:type="dxa"/>
              <w:bottom w:w="0" w:type="dxa"/>
              <w:right w:w="108" w:type="dxa"/>
            </w:tcMar>
          </w:tcPr>
          <w:p w:rsidR="00167E53" w:rsidRPr="004B43CC" w:rsidP="00167E53" w14:paraId="1CADC9A8" w14:textId="7FED5D86">
            <w:pPr>
              <w:adjustRightInd/>
              <w:jc w:val="center"/>
              <w:textAlignment w:val="auto"/>
              <w:rPr>
                <w:rFonts w:eastAsia="Calibri"/>
                <w:color w:val="000000"/>
                <w:sz w:val="18"/>
                <w:szCs w:val="18"/>
              </w:rPr>
            </w:pPr>
            <w:r w:rsidRPr="004B43CC">
              <w:rPr>
                <w:rFonts w:eastAsia="Calibri"/>
                <w:color w:val="000000"/>
                <w:sz w:val="18"/>
                <w:szCs w:val="18"/>
              </w:rPr>
              <w:t>888</w:t>
            </w:r>
          </w:p>
        </w:tc>
        <w:tc>
          <w:tcPr>
            <w:tcW w:w="1057" w:type="dxa"/>
            <w:tcMar>
              <w:top w:w="0" w:type="dxa"/>
              <w:left w:w="108" w:type="dxa"/>
              <w:bottom w:w="0" w:type="dxa"/>
              <w:right w:w="108" w:type="dxa"/>
            </w:tcMar>
          </w:tcPr>
          <w:p w:rsidR="00167E53" w:rsidRPr="004B43CC" w:rsidP="00167E53" w14:paraId="521E01AE" w14:textId="3E3A921C">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51.97</w:t>
            </w:r>
          </w:p>
        </w:tc>
        <w:tc>
          <w:tcPr>
            <w:tcW w:w="1116" w:type="dxa"/>
            <w:tcMar>
              <w:top w:w="0" w:type="dxa"/>
              <w:left w:w="108" w:type="dxa"/>
              <w:bottom w:w="0" w:type="dxa"/>
              <w:right w:w="108" w:type="dxa"/>
            </w:tcMar>
          </w:tcPr>
          <w:p w:rsidR="00167E53" w:rsidRPr="004B43CC" w:rsidP="00167E53" w14:paraId="64334D45" w14:textId="266771CA">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46,149.36</w:t>
            </w:r>
          </w:p>
        </w:tc>
      </w:tr>
      <w:tr w14:paraId="7D4EF46E"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D717DB" w:rsidRPr="004B43CC" w:rsidP="00167E53" w14:paraId="664C1361" w14:textId="38BE6B5D">
            <w:pPr>
              <w:adjustRightInd/>
              <w:textAlignment w:val="auto"/>
              <w:rPr>
                <w:rFonts w:eastAsia="Calibri"/>
                <w:color w:val="000000"/>
                <w:sz w:val="18"/>
                <w:szCs w:val="18"/>
              </w:rPr>
            </w:pPr>
            <w:r w:rsidRPr="004B43CC">
              <w:rPr>
                <w:rFonts w:eastAsia="Calibri"/>
                <w:color w:val="000000"/>
                <w:sz w:val="18"/>
                <w:szCs w:val="18"/>
              </w:rPr>
              <w:t>Implementation Grant Budget Form (HUD-53236)</w:t>
            </w:r>
            <w:r w:rsidRPr="004B43CC" w:rsidR="0059092E">
              <w:rPr>
                <w:rFonts w:eastAsia="Calibri"/>
                <w:color w:val="000000"/>
                <w:sz w:val="18"/>
                <w:szCs w:val="18"/>
              </w:rPr>
              <w:t xml:space="preserve"> </w:t>
            </w:r>
            <w:r w:rsidRPr="004B43CC" w:rsidR="003170F9">
              <w:rPr>
                <w:rFonts w:eastAsia="Calibri"/>
                <w:color w:val="000000"/>
                <w:sz w:val="18"/>
                <w:szCs w:val="18"/>
              </w:rPr>
              <w:t>(</w:t>
            </w:r>
            <w:r w:rsidRPr="004B43CC" w:rsidR="0059092E">
              <w:rPr>
                <w:rFonts w:eastAsia="Calibri"/>
                <w:color w:val="000000"/>
                <w:sz w:val="18"/>
                <w:szCs w:val="18"/>
              </w:rPr>
              <w:t>Twice per year</w:t>
            </w:r>
            <w:r w:rsidRPr="004B43CC" w:rsidR="003170F9">
              <w:rPr>
                <w:rFonts w:eastAsia="Calibri"/>
                <w:color w:val="000000"/>
                <w:sz w:val="18"/>
                <w:szCs w:val="18"/>
              </w:rPr>
              <w:t>)</w:t>
            </w:r>
          </w:p>
        </w:tc>
        <w:tc>
          <w:tcPr>
            <w:tcW w:w="1359" w:type="dxa"/>
            <w:tcMar>
              <w:top w:w="0" w:type="dxa"/>
              <w:left w:w="108" w:type="dxa"/>
              <w:bottom w:w="0" w:type="dxa"/>
              <w:right w:w="108" w:type="dxa"/>
            </w:tcMar>
          </w:tcPr>
          <w:p w:rsidR="00D717DB" w:rsidRPr="004B43CC" w:rsidP="00167E53" w14:paraId="0F904E94" w14:textId="70744162">
            <w:pPr>
              <w:adjustRightInd/>
              <w:jc w:val="center"/>
              <w:textAlignment w:val="auto"/>
              <w:rPr>
                <w:rFonts w:eastAsia="Calibri"/>
                <w:color w:val="000000"/>
                <w:sz w:val="18"/>
                <w:szCs w:val="18"/>
              </w:rPr>
            </w:pPr>
            <w:r w:rsidRPr="004B43CC">
              <w:rPr>
                <w:rFonts w:eastAsia="Calibri"/>
                <w:color w:val="000000"/>
                <w:sz w:val="18"/>
                <w:szCs w:val="18"/>
              </w:rPr>
              <w:t>37</w:t>
            </w:r>
          </w:p>
        </w:tc>
        <w:tc>
          <w:tcPr>
            <w:tcW w:w="1174" w:type="dxa"/>
            <w:tcMar>
              <w:top w:w="0" w:type="dxa"/>
              <w:left w:w="108" w:type="dxa"/>
              <w:bottom w:w="0" w:type="dxa"/>
              <w:right w:w="108" w:type="dxa"/>
            </w:tcMar>
          </w:tcPr>
          <w:p w:rsidR="00D717DB" w:rsidRPr="004B43CC" w:rsidP="00167E53" w14:paraId="2E232B2E" w14:textId="614F14D7">
            <w:pPr>
              <w:adjustRightInd/>
              <w:jc w:val="center"/>
              <w:textAlignment w:val="auto"/>
              <w:rPr>
                <w:rFonts w:eastAsia="Calibri"/>
                <w:color w:val="000000"/>
                <w:sz w:val="18"/>
                <w:szCs w:val="18"/>
              </w:rPr>
            </w:pPr>
            <w:r w:rsidRPr="004B43CC">
              <w:rPr>
                <w:rFonts w:eastAsia="Calibri"/>
                <w:color w:val="000000"/>
                <w:sz w:val="18"/>
                <w:szCs w:val="18"/>
              </w:rPr>
              <w:t>2</w:t>
            </w:r>
          </w:p>
        </w:tc>
        <w:tc>
          <w:tcPr>
            <w:tcW w:w="1138" w:type="dxa"/>
            <w:tcMar>
              <w:top w:w="0" w:type="dxa"/>
              <w:left w:w="108" w:type="dxa"/>
              <w:bottom w:w="0" w:type="dxa"/>
              <w:right w:w="108" w:type="dxa"/>
            </w:tcMar>
          </w:tcPr>
          <w:p w:rsidR="00D717DB" w:rsidRPr="004B43CC" w:rsidP="00167E53" w14:paraId="163C4C05" w14:textId="209830B7">
            <w:pPr>
              <w:adjustRightInd/>
              <w:jc w:val="center"/>
              <w:textAlignment w:val="auto"/>
              <w:rPr>
                <w:rFonts w:eastAsia="Calibri"/>
                <w:color w:val="000000"/>
                <w:sz w:val="18"/>
                <w:szCs w:val="18"/>
              </w:rPr>
            </w:pPr>
            <w:r w:rsidRPr="004B43CC">
              <w:rPr>
                <w:rFonts w:eastAsia="Calibri"/>
                <w:color w:val="000000"/>
                <w:sz w:val="18"/>
                <w:szCs w:val="18"/>
              </w:rPr>
              <w:t>74</w:t>
            </w:r>
          </w:p>
        </w:tc>
        <w:tc>
          <w:tcPr>
            <w:tcW w:w="1057" w:type="dxa"/>
            <w:tcMar>
              <w:top w:w="0" w:type="dxa"/>
              <w:left w:w="108" w:type="dxa"/>
              <w:bottom w:w="0" w:type="dxa"/>
              <w:right w:w="108" w:type="dxa"/>
            </w:tcMar>
          </w:tcPr>
          <w:p w:rsidR="00D717DB" w:rsidRPr="004B43CC" w:rsidP="00167E53" w14:paraId="223D1A29" w14:textId="2F3A3E77">
            <w:pPr>
              <w:adjustRightInd/>
              <w:jc w:val="center"/>
              <w:textAlignment w:val="auto"/>
              <w:rPr>
                <w:rFonts w:eastAsia="Calibri"/>
                <w:color w:val="000000"/>
                <w:sz w:val="18"/>
                <w:szCs w:val="18"/>
              </w:rPr>
            </w:pPr>
            <w:r w:rsidRPr="004B43CC">
              <w:rPr>
                <w:rFonts w:eastAsia="Calibri"/>
                <w:color w:val="000000"/>
                <w:sz w:val="18"/>
                <w:szCs w:val="18"/>
              </w:rPr>
              <w:t>1.</w:t>
            </w:r>
            <w:r w:rsidRPr="004B43CC" w:rsidR="007C7E46">
              <w:rPr>
                <w:rFonts w:eastAsia="Calibri"/>
                <w:color w:val="000000"/>
                <w:sz w:val="18"/>
                <w:szCs w:val="18"/>
              </w:rPr>
              <w:t>2</w:t>
            </w:r>
            <w:r w:rsidRPr="004B43CC">
              <w:rPr>
                <w:rFonts w:eastAsia="Calibri"/>
                <w:color w:val="000000"/>
                <w:sz w:val="18"/>
                <w:szCs w:val="18"/>
              </w:rPr>
              <w:t>5</w:t>
            </w:r>
          </w:p>
        </w:tc>
        <w:tc>
          <w:tcPr>
            <w:tcW w:w="894" w:type="dxa"/>
            <w:tcMar>
              <w:top w:w="0" w:type="dxa"/>
              <w:left w:w="108" w:type="dxa"/>
              <w:bottom w:w="0" w:type="dxa"/>
              <w:right w:w="108" w:type="dxa"/>
            </w:tcMar>
          </w:tcPr>
          <w:p w:rsidR="00D717DB" w:rsidRPr="004B43CC" w:rsidP="00167E53" w14:paraId="1D214F2B" w14:textId="01B52C31">
            <w:pPr>
              <w:adjustRightInd/>
              <w:jc w:val="center"/>
              <w:textAlignment w:val="auto"/>
              <w:rPr>
                <w:rFonts w:eastAsia="Calibri"/>
                <w:color w:val="000000"/>
                <w:sz w:val="18"/>
                <w:szCs w:val="18"/>
              </w:rPr>
            </w:pPr>
            <w:r w:rsidRPr="004B43CC">
              <w:rPr>
                <w:rFonts w:eastAsia="Calibri"/>
                <w:color w:val="000000"/>
                <w:sz w:val="18"/>
                <w:szCs w:val="18"/>
              </w:rPr>
              <w:t>92.5</w:t>
            </w:r>
          </w:p>
        </w:tc>
        <w:tc>
          <w:tcPr>
            <w:tcW w:w="1057" w:type="dxa"/>
            <w:tcMar>
              <w:top w:w="0" w:type="dxa"/>
              <w:left w:w="108" w:type="dxa"/>
              <w:bottom w:w="0" w:type="dxa"/>
              <w:right w:w="108" w:type="dxa"/>
            </w:tcMar>
          </w:tcPr>
          <w:p w:rsidR="00D717DB" w:rsidRPr="004B43CC" w:rsidP="00167E53" w14:paraId="21E6E7E9" w14:textId="6D228B6D">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51.97</w:t>
            </w:r>
          </w:p>
        </w:tc>
        <w:tc>
          <w:tcPr>
            <w:tcW w:w="1116" w:type="dxa"/>
            <w:tcMar>
              <w:top w:w="0" w:type="dxa"/>
              <w:left w:w="108" w:type="dxa"/>
              <w:bottom w:w="0" w:type="dxa"/>
              <w:right w:w="108" w:type="dxa"/>
            </w:tcMar>
          </w:tcPr>
          <w:p w:rsidR="00D717DB" w:rsidRPr="004B43CC" w:rsidP="00167E53" w14:paraId="325B8D78" w14:textId="2846DA05">
            <w:pPr>
              <w:adjustRightInd/>
              <w:jc w:val="right"/>
              <w:textAlignment w:val="auto"/>
              <w:rPr>
                <w:rFonts w:eastAsia="Calibri"/>
                <w:color w:val="000000"/>
                <w:sz w:val="18"/>
                <w:szCs w:val="18"/>
              </w:rPr>
            </w:pPr>
            <w:r w:rsidRPr="004B43CC">
              <w:rPr>
                <w:rFonts w:eastAsia="Calibri"/>
                <w:color w:val="000000"/>
                <w:sz w:val="18"/>
                <w:szCs w:val="18"/>
              </w:rPr>
              <w:t>$4,807.23</w:t>
            </w:r>
          </w:p>
        </w:tc>
      </w:tr>
      <w:tr w14:paraId="3EC1513F"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DB0DE3" w:rsidRPr="004B43CC" w:rsidP="00167E53" w14:paraId="230E261D" w14:textId="1464B85E">
            <w:pPr>
              <w:adjustRightInd/>
              <w:textAlignment w:val="auto"/>
              <w:rPr>
                <w:rFonts w:eastAsia="Calibri"/>
                <w:color w:val="000000"/>
                <w:sz w:val="18"/>
                <w:szCs w:val="18"/>
              </w:rPr>
            </w:pPr>
            <w:r w:rsidRPr="004B43CC">
              <w:rPr>
                <w:rFonts w:eastAsia="Calibri"/>
                <w:color w:val="000000"/>
                <w:sz w:val="18"/>
                <w:szCs w:val="18"/>
              </w:rPr>
              <w:t xml:space="preserve">Planning grantees quarterly </w:t>
            </w:r>
            <w:r w:rsidRPr="004B43CC" w:rsidR="003170F9">
              <w:rPr>
                <w:rFonts w:eastAsia="Calibri"/>
                <w:color w:val="000000"/>
                <w:sz w:val="18"/>
                <w:szCs w:val="18"/>
              </w:rPr>
              <w:t>(</w:t>
            </w:r>
            <w:r w:rsidRPr="004B43CC">
              <w:rPr>
                <w:rFonts w:eastAsia="Calibri"/>
                <w:color w:val="000000"/>
                <w:sz w:val="18"/>
                <w:szCs w:val="18"/>
              </w:rPr>
              <w:t>reporting</w:t>
            </w:r>
            <w:r w:rsidRPr="004B43CC" w:rsidR="0059092E">
              <w:rPr>
                <w:rFonts w:eastAsia="Calibri"/>
                <w:color w:val="000000"/>
                <w:sz w:val="18"/>
                <w:szCs w:val="18"/>
              </w:rPr>
              <w:t xml:space="preserve"> </w:t>
            </w:r>
            <w:r w:rsidRPr="004B43CC" w:rsidR="003170F9">
              <w:rPr>
                <w:rFonts w:eastAsia="Calibri"/>
                <w:color w:val="000000"/>
                <w:sz w:val="18"/>
                <w:szCs w:val="18"/>
              </w:rPr>
              <w:t>(</w:t>
            </w:r>
            <w:r w:rsidRPr="004B43CC" w:rsidR="0059092E">
              <w:rPr>
                <w:rFonts w:eastAsia="Calibri"/>
                <w:color w:val="000000"/>
                <w:sz w:val="18"/>
                <w:szCs w:val="18"/>
              </w:rPr>
              <w:t>Quarterly</w:t>
            </w:r>
            <w:r w:rsidRPr="004B43CC" w:rsidR="003170F9">
              <w:rPr>
                <w:rFonts w:eastAsia="Calibri"/>
                <w:color w:val="000000"/>
                <w:sz w:val="18"/>
                <w:szCs w:val="18"/>
              </w:rPr>
              <w:t>)</w:t>
            </w:r>
          </w:p>
        </w:tc>
        <w:tc>
          <w:tcPr>
            <w:tcW w:w="1359" w:type="dxa"/>
            <w:tcMar>
              <w:top w:w="0" w:type="dxa"/>
              <w:left w:w="108" w:type="dxa"/>
              <w:bottom w:w="0" w:type="dxa"/>
              <w:right w:w="108" w:type="dxa"/>
            </w:tcMar>
          </w:tcPr>
          <w:p w:rsidR="00DB0DE3" w:rsidRPr="004B43CC" w:rsidP="00167E53" w14:paraId="70D8FA61" w14:textId="5565F15C">
            <w:pPr>
              <w:adjustRightInd/>
              <w:jc w:val="center"/>
              <w:textAlignment w:val="auto"/>
              <w:rPr>
                <w:rFonts w:eastAsia="Calibri"/>
                <w:color w:val="000000"/>
                <w:sz w:val="18"/>
                <w:szCs w:val="18"/>
              </w:rPr>
            </w:pPr>
            <w:r w:rsidRPr="004B43CC">
              <w:rPr>
                <w:rFonts w:eastAsia="Calibri"/>
                <w:color w:val="000000"/>
                <w:sz w:val="18"/>
                <w:szCs w:val="18"/>
              </w:rPr>
              <w:t>27</w:t>
            </w:r>
          </w:p>
        </w:tc>
        <w:tc>
          <w:tcPr>
            <w:tcW w:w="1174" w:type="dxa"/>
            <w:tcMar>
              <w:top w:w="0" w:type="dxa"/>
              <w:left w:w="108" w:type="dxa"/>
              <w:bottom w:w="0" w:type="dxa"/>
              <w:right w:w="108" w:type="dxa"/>
            </w:tcMar>
          </w:tcPr>
          <w:p w:rsidR="00DB0DE3" w:rsidRPr="004B43CC" w:rsidP="00167E53" w14:paraId="4F0A3EE4" w14:textId="4F6470C8">
            <w:pPr>
              <w:adjustRightInd/>
              <w:jc w:val="center"/>
              <w:textAlignment w:val="auto"/>
              <w:rPr>
                <w:rFonts w:eastAsia="Calibri"/>
                <w:color w:val="000000"/>
                <w:sz w:val="18"/>
                <w:szCs w:val="18"/>
              </w:rPr>
            </w:pPr>
            <w:r w:rsidRPr="004B43CC">
              <w:rPr>
                <w:rFonts w:eastAsia="Calibri"/>
                <w:color w:val="000000"/>
                <w:sz w:val="18"/>
                <w:szCs w:val="18"/>
              </w:rPr>
              <w:t>4</w:t>
            </w:r>
          </w:p>
        </w:tc>
        <w:tc>
          <w:tcPr>
            <w:tcW w:w="1138" w:type="dxa"/>
            <w:tcMar>
              <w:top w:w="0" w:type="dxa"/>
              <w:left w:w="108" w:type="dxa"/>
              <w:bottom w:w="0" w:type="dxa"/>
              <w:right w:w="108" w:type="dxa"/>
            </w:tcMar>
          </w:tcPr>
          <w:p w:rsidR="00DB0DE3" w:rsidRPr="004B43CC" w:rsidP="00167E53" w14:paraId="571BA125" w14:textId="5BC7B5F9">
            <w:pPr>
              <w:adjustRightInd/>
              <w:jc w:val="center"/>
              <w:textAlignment w:val="auto"/>
              <w:rPr>
                <w:rFonts w:eastAsia="Calibri"/>
                <w:color w:val="000000"/>
                <w:sz w:val="18"/>
                <w:szCs w:val="18"/>
              </w:rPr>
            </w:pPr>
            <w:r w:rsidRPr="004B43CC">
              <w:rPr>
                <w:rFonts w:eastAsia="Calibri"/>
                <w:color w:val="000000"/>
                <w:sz w:val="18"/>
                <w:szCs w:val="18"/>
              </w:rPr>
              <w:t>108</w:t>
            </w:r>
          </w:p>
        </w:tc>
        <w:tc>
          <w:tcPr>
            <w:tcW w:w="1057" w:type="dxa"/>
            <w:tcMar>
              <w:top w:w="0" w:type="dxa"/>
              <w:left w:w="108" w:type="dxa"/>
              <w:bottom w:w="0" w:type="dxa"/>
              <w:right w:w="108" w:type="dxa"/>
            </w:tcMar>
          </w:tcPr>
          <w:p w:rsidR="00DB0DE3" w:rsidRPr="004B43CC" w:rsidP="00167E53" w14:paraId="5A01ECFE" w14:textId="2A698335">
            <w:pPr>
              <w:adjustRightInd/>
              <w:jc w:val="center"/>
              <w:textAlignment w:val="auto"/>
              <w:rPr>
                <w:rFonts w:eastAsia="Calibri"/>
                <w:color w:val="000000"/>
                <w:sz w:val="18"/>
                <w:szCs w:val="18"/>
              </w:rPr>
            </w:pPr>
            <w:r w:rsidRPr="004B43CC">
              <w:rPr>
                <w:rFonts w:eastAsia="Calibri"/>
                <w:color w:val="000000"/>
                <w:sz w:val="18"/>
                <w:szCs w:val="18"/>
              </w:rPr>
              <w:t>1.</w:t>
            </w:r>
            <w:r w:rsidRPr="004B43CC" w:rsidR="007C7E46">
              <w:rPr>
                <w:rFonts w:eastAsia="Calibri"/>
                <w:color w:val="000000"/>
                <w:sz w:val="18"/>
                <w:szCs w:val="18"/>
              </w:rPr>
              <w:t>2</w:t>
            </w:r>
            <w:r w:rsidRPr="004B43CC">
              <w:rPr>
                <w:rFonts w:eastAsia="Calibri"/>
                <w:color w:val="000000"/>
                <w:sz w:val="18"/>
                <w:szCs w:val="18"/>
              </w:rPr>
              <w:t>5</w:t>
            </w:r>
          </w:p>
        </w:tc>
        <w:tc>
          <w:tcPr>
            <w:tcW w:w="894" w:type="dxa"/>
            <w:tcMar>
              <w:top w:w="0" w:type="dxa"/>
              <w:left w:w="108" w:type="dxa"/>
              <w:bottom w:w="0" w:type="dxa"/>
              <w:right w:w="108" w:type="dxa"/>
            </w:tcMar>
          </w:tcPr>
          <w:p w:rsidR="00DB0DE3" w:rsidRPr="004B43CC" w:rsidP="00167E53" w14:paraId="16EDC356" w14:textId="0297C776">
            <w:pPr>
              <w:adjustRightInd/>
              <w:jc w:val="center"/>
              <w:textAlignment w:val="auto"/>
              <w:rPr>
                <w:rFonts w:eastAsia="Calibri"/>
                <w:color w:val="000000"/>
                <w:sz w:val="18"/>
                <w:szCs w:val="18"/>
              </w:rPr>
            </w:pPr>
            <w:r w:rsidRPr="004B43CC">
              <w:rPr>
                <w:rFonts w:eastAsia="Calibri"/>
                <w:color w:val="000000"/>
                <w:sz w:val="18"/>
                <w:szCs w:val="18"/>
              </w:rPr>
              <w:t>1</w:t>
            </w:r>
            <w:r w:rsidRPr="004B43CC" w:rsidR="007C7E46">
              <w:rPr>
                <w:rFonts w:eastAsia="Calibri"/>
                <w:color w:val="000000"/>
                <w:sz w:val="18"/>
                <w:szCs w:val="18"/>
              </w:rPr>
              <w:t>35</w:t>
            </w:r>
          </w:p>
        </w:tc>
        <w:tc>
          <w:tcPr>
            <w:tcW w:w="1057" w:type="dxa"/>
            <w:tcMar>
              <w:top w:w="0" w:type="dxa"/>
              <w:left w:w="108" w:type="dxa"/>
              <w:bottom w:w="0" w:type="dxa"/>
              <w:right w:w="108" w:type="dxa"/>
            </w:tcMar>
          </w:tcPr>
          <w:p w:rsidR="00DB0DE3" w:rsidRPr="004B43CC" w:rsidP="00167E53" w14:paraId="3A6B85C5" w14:textId="24746EBD">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51.97</w:t>
            </w:r>
          </w:p>
        </w:tc>
        <w:tc>
          <w:tcPr>
            <w:tcW w:w="1116" w:type="dxa"/>
            <w:tcMar>
              <w:top w:w="0" w:type="dxa"/>
              <w:left w:w="108" w:type="dxa"/>
              <w:bottom w:w="0" w:type="dxa"/>
              <w:right w:w="108" w:type="dxa"/>
            </w:tcMar>
          </w:tcPr>
          <w:p w:rsidR="00DB0DE3" w:rsidRPr="004B43CC" w:rsidP="00167E53" w14:paraId="49F7B400" w14:textId="1A751104">
            <w:pPr>
              <w:adjustRightInd/>
              <w:jc w:val="right"/>
              <w:textAlignment w:val="auto"/>
              <w:rPr>
                <w:rFonts w:eastAsia="Calibri"/>
                <w:color w:val="000000"/>
                <w:sz w:val="18"/>
                <w:szCs w:val="18"/>
              </w:rPr>
            </w:pPr>
            <w:r w:rsidRPr="004B43CC">
              <w:rPr>
                <w:rFonts w:eastAsia="Calibri"/>
                <w:color w:val="000000"/>
                <w:sz w:val="18"/>
                <w:szCs w:val="18"/>
              </w:rPr>
              <w:t>$7,015.95</w:t>
            </w:r>
          </w:p>
        </w:tc>
      </w:tr>
      <w:tr w14:paraId="2C3394AC"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DB0DE3" w:rsidRPr="004B43CC" w:rsidP="00167E53" w14:paraId="41323119" w14:textId="77777777">
            <w:pPr>
              <w:adjustRightInd/>
              <w:textAlignment w:val="auto"/>
              <w:rPr>
                <w:rFonts w:eastAsia="Calibri"/>
                <w:color w:val="000000"/>
                <w:sz w:val="18"/>
                <w:szCs w:val="18"/>
              </w:rPr>
            </w:pPr>
            <w:r w:rsidRPr="004B43CC">
              <w:rPr>
                <w:rFonts w:eastAsia="Calibri"/>
                <w:color w:val="000000"/>
                <w:sz w:val="18"/>
                <w:szCs w:val="18"/>
              </w:rPr>
              <w:t>Planning Grant Budget Form (HUD-53421)</w:t>
            </w:r>
          </w:p>
          <w:p w:rsidR="0059092E" w:rsidRPr="004B43CC" w:rsidP="00167E53" w14:paraId="3F0E0DF0" w14:textId="4DF58930">
            <w:pPr>
              <w:adjustRightInd/>
              <w:textAlignment w:val="auto"/>
              <w:rPr>
                <w:rFonts w:eastAsia="Calibri"/>
                <w:color w:val="000000"/>
                <w:sz w:val="18"/>
                <w:szCs w:val="18"/>
              </w:rPr>
            </w:pPr>
            <w:r w:rsidRPr="004B43CC">
              <w:rPr>
                <w:rFonts w:eastAsia="Calibri"/>
                <w:color w:val="000000"/>
                <w:sz w:val="18"/>
                <w:szCs w:val="18"/>
              </w:rPr>
              <w:t xml:space="preserve"> </w:t>
            </w:r>
          </w:p>
        </w:tc>
        <w:tc>
          <w:tcPr>
            <w:tcW w:w="1359" w:type="dxa"/>
            <w:tcMar>
              <w:top w:w="0" w:type="dxa"/>
              <w:left w:w="108" w:type="dxa"/>
              <w:bottom w:w="0" w:type="dxa"/>
              <w:right w:w="108" w:type="dxa"/>
            </w:tcMar>
          </w:tcPr>
          <w:p w:rsidR="00DB0DE3" w:rsidRPr="004B43CC" w:rsidP="00167E53" w14:paraId="1939895B" w14:textId="0A50AAF0">
            <w:pPr>
              <w:adjustRightInd/>
              <w:jc w:val="center"/>
              <w:textAlignment w:val="auto"/>
              <w:rPr>
                <w:rFonts w:eastAsia="Calibri"/>
                <w:color w:val="000000"/>
                <w:sz w:val="18"/>
                <w:szCs w:val="18"/>
              </w:rPr>
            </w:pPr>
            <w:r w:rsidRPr="004B43CC">
              <w:rPr>
                <w:rFonts w:eastAsia="Calibri"/>
                <w:color w:val="000000"/>
                <w:sz w:val="18"/>
                <w:szCs w:val="18"/>
              </w:rPr>
              <w:t>27</w:t>
            </w:r>
          </w:p>
        </w:tc>
        <w:tc>
          <w:tcPr>
            <w:tcW w:w="1174" w:type="dxa"/>
            <w:tcMar>
              <w:top w:w="0" w:type="dxa"/>
              <w:left w:w="108" w:type="dxa"/>
              <w:bottom w:w="0" w:type="dxa"/>
              <w:right w:w="108" w:type="dxa"/>
            </w:tcMar>
          </w:tcPr>
          <w:p w:rsidR="00DB0DE3" w:rsidRPr="004B43CC" w:rsidP="00167E53" w14:paraId="4F572161" w14:textId="1CF7D097">
            <w:pPr>
              <w:adjustRightInd/>
              <w:jc w:val="center"/>
              <w:textAlignment w:val="auto"/>
              <w:rPr>
                <w:rFonts w:eastAsia="Calibri"/>
                <w:color w:val="000000"/>
                <w:sz w:val="18"/>
                <w:szCs w:val="18"/>
              </w:rPr>
            </w:pPr>
            <w:r w:rsidRPr="004B43CC">
              <w:rPr>
                <w:rFonts w:eastAsia="Calibri"/>
                <w:color w:val="000000"/>
                <w:sz w:val="18"/>
                <w:szCs w:val="18"/>
              </w:rPr>
              <w:t>1</w:t>
            </w:r>
          </w:p>
        </w:tc>
        <w:tc>
          <w:tcPr>
            <w:tcW w:w="1138" w:type="dxa"/>
            <w:tcMar>
              <w:top w:w="0" w:type="dxa"/>
              <w:left w:w="108" w:type="dxa"/>
              <w:bottom w:w="0" w:type="dxa"/>
              <w:right w:w="108" w:type="dxa"/>
            </w:tcMar>
          </w:tcPr>
          <w:p w:rsidR="00DB0DE3" w:rsidRPr="004B43CC" w:rsidP="00167E53" w14:paraId="5CA85E5A" w14:textId="61C0BB42">
            <w:pPr>
              <w:adjustRightInd/>
              <w:jc w:val="center"/>
              <w:textAlignment w:val="auto"/>
              <w:rPr>
                <w:rFonts w:eastAsia="Calibri"/>
                <w:color w:val="000000"/>
                <w:sz w:val="18"/>
                <w:szCs w:val="18"/>
              </w:rPr>
            </w:pPr>
            <w:r w:rsidRPr="004B43CC">
              <w:rPr>
                <w:rFonts w:eastAsia="Calibri"/>
                <w:color w:val="000000"/>
                <w:sz w:val="18"/>
                <w:szCs w:val="18"/>
              </w:rPr>
              <w:t>27</w:t>
            </w:r>
          </w:p>
        </w:tc>
        <w:tc>
          <w:tcPr>
            <w:tcW w:w="1057" w:type="dxa"/>
            <w:tcMar>
              <w:top w:w="0" w:type="dxa"/>
              <w:left w:w="108" w:type="dxa"/>
              <w:bottom w:w="0" w:type="dxa"/>
              <w:right w:w="108" w:type="dxa"/>
            </w:tcMar>
          </w:tcPr>
          <w:p w:rsidR="00DB0DE3" w:rsidRPr="004B43CC" w:rsidP="00167E53" w14:paraId="423893EA" w14:textId="0435D1A1">
            <w:pPr>
              <w:adjustRightInd/>
              <w:jc w:val="center"/>
              <w:textAlignment w:val="auto"/>
              <w:rPr>
                <w:rFonts w:eastAsia="Calibri"/>
                <w:color w:val="000000"/>
                <w:sz w:val="18"/>
                <w:szCs w:val="18"/>
              </w:rPr>
            </w:pPr>
            <w:r w:rsidRPr="004B43CC">
              <w:rPr>
                <w:rFonts w:eastAsia="Calibri"/>
                <w:color w:val="000000"/>
                <w:sz w:val="18"/>
                <w:szCs w:val="18"/>
              </w:rPr>
              <w:t>1</w:t>
            </w:r>
          </w:p>
        </w:tc>
        <w:tc>
          <w:tcPr>
            <w:tcW w:w="894" w:type="dxa"/>
            <w:tcMar>
              <w:top w:w="0" w:type="dxa"/>
              <w:left w:w="108" w:type="dxa"/>
              <w:bottom w:w="0" w:type="dxa"/>
              <w:right w:w="108" w:type="dxa"/>
            </w:tcMar>
          </w:tcPr>
          <w:p w:rsidR="00DB0DE3" w:rsidRPr="004B43CC" w:rsidP="00167E53" w14:paraId="0F8F3D18" w14:textId="39647309">
            <w:pPr>
              <w:adjustRightInd/>
              <w:jc w:val="center"/>
              <w:textAlignment w:val="auto"/>
              <w:rPr>
                <w:rFonts w:eastAsia="Calibri"/>
                <w:color w:val="000000"/>
                <w:sz w:val="18"/>
                <w:szCs w:val="18"/>
              </w:rPr>
            </w:pPr>
            <w:r w:rsidRPr="004B43CC">
              <w:rPr>
                <w:rFonts w:eastAsia="Calibri"/>
                <w:color w:val="000000"/>
                <w:sz w:val="18"/>
                <w:szCs w:val="18"/>
              </w:rPr>
              <w:t>27</w:t>
            </w:r>
          </w:p>
        </w:tc>
        <w:tc>
          <w:tcPr>
            <w:tcW w:w="1057" w:type="dxa"/>
            <w:tcMar>
              <w:top w:w="0" w:type="dxa"/>
              <w:left w:w="108" w:type="dxa"/>
              <w:bottom w:w="0" w:type="dxa"/>
              <w:right w:w="108" w:type="dxa"/>
            </w:tcMar>
          </w:tcPr>
          <w:p w:rsidR="00DB0DE3" w:rsidRPr="004B43CC" w:rsidP="00167E53" w14:paraId="05278755" w14:textId="12ED22DE">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51.97</w:t>
            </w:r>
          </w:p>
        </w:tc>
        <w:tc>
          <w:tcPr>
            <w:tcW w:w="1116" w:type="dxa"/>
            <w:tcMar>
              <w:top w:w="0" w:type="dxa"/>
              <w:left w:w="108" w:type="dxa"/>
              <w:bottom w:w="0" w:type="dxa"/>
              <w:right w:w="108" w:type="dxa"/>
            </w:tcMar>
          </w:tcPr>
          <w:p w:rsidR="00DB0DE3" w:rsidRPr="004B43CC" w:rsidP="00167E53" w14:paraId="587F718A" w14:textId="72EC2157">
            <w:pPr>
              <w:adjustRightInd/>
              <w:jc w:val="right"/>
              <w:textAlignment w:val="auto"/>
              <w:rPr>
                <w:rFonts w:eastAsia="Calibri"/>
                <w:color w:val="000000"/>
                <w:sz w:val="18"/>
                <w:szCs w:val="18"/>
              </w:rPr>
            </w:pPr>
            <w:r w:rsidRPr="004B43CC">
              <w:rPr>
                <w:rFonts w:eastAsia="Calibri"/>
                <w:color w:val="000000"/>
                <w:sz w:val="18"/>
                <w:szCs w:val="18"/>
              </w:rPr>
              <w:t>$1,403.19</w:t>
            </w:r>
          </w:p>
        </w:tc>
      </w:tr>
      <w:tr w14:paraId="09E42334"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DB0DE3" w:rsidRPr="004B43CC" w:rsidP="00167E53" w14:paraId="6A3830A7" w14:textId="2D90366E">
            <w:pPr>
              <w:adjustRightInd/>
              <w:textAlignment w:val="auto"/>
              <w:rPr>
                <w:rFonts w:eastAsia="Calibri"/>
                <w:color w:val="000000"/>
                <w:sz w:val="18"/>
                <w:szCs w:val="18"/>
              </w:rPr>
            </w:pPr>
            <w:r w:rsidRPr="004B43CC">
              <w:rPr>
                <w:rFonts w:eastAsia="Calibri"/>
                <w:color w:val="000000"/>
                <w:sz w:val="18"/>
                <w:szCs w:val="18"/>
              </w:rPr>
              <w:t>Actual Cost Certificate (HUD-50163) closeout</w:t>
            </w:r>
            <w:r w:rsidRPr="004B43CC" w:rsidR="0059092E">
              <w:rPr>
                <w:rFonts w:eastAsia="Calibri"/>
                <w:color w:val="000000"/>
                <w:sz w:val="18"/>
                <w:szCs w:val="18"/>
              </w:rPr>
              <w:t xml:space="preserve"> </w:t>
            </w:r>
          </w:p>
        </w:tc>
        <w:tc>
          <w:tcPr>
            <w:tcW w:w="1359" w:type="dxa"/>
            <w:tcMar>
              <w:top w:w="0" w:type="dxa"/>
              <w:left w:w="108" w:type="dxa"/>
              <w:bottom w:w="0" w:type="dxa"/>
              <w:right w:w="108" w:type="dxa"/>
            </w:tcMar>
          </w:tcPr>
          <w:p w:rsidR="00DB0DE3" w:rsidRPr="004B43CC" w:rsidP="00167E53" w14:paraId="08AF5861" w14:textId="7382092D">
            <w:pPr>
              <w:adjustRightInd/>
              <w:jc w:val="center"/>
              <w:textAlignment w:val="auto"/>
              <w:rPr>
                <w:rFonts w:eastAsia="Calibri"/>
                <w:color w:val="000000"/>
                <w:sz w:val="18"/>
                <w:szCs w:val="18"/>
              </w:rPr>
            </w:pPr>
            <w:r w:rsidRPr="004B43CC">
              <w:rPr>
                <w:rFonts w:eastAsia="Calibri"/>
                <w:color w:val="000000"/>
                <w:sz w:val="18"/>
                <w:szCs w:val="18"/>
              </w:rPr>
              <w:t>15</w:t>
            </w:r>
          </w:p>
        </w:tc>
        <w:tc>
          <w:tcPr>
            <w:tcW w:w="1174" w:type="dxa"/>
            <w:tcMar>
              <w:top w:w="0" w:type="dxa"/>
              <w:left w:w="108" w:type="dxa"/>
              <w:bottom w:w="0" w:type="dxa"/>
              <w:right w:w="108" w:type="dxa"/>
            </w:tcMar>
          </w:tcPr>
          <w:p w:rsidR="00DB0DE3" w:rsidRPr="004B43CC" w:rsidP="00167E53" w14:paraId="49DE2F52" w14:textId="19D6D38D">
            <w:pPr>
              <w:adjustRightInd/>
              <w:jc w:val="center"/>
              <w:textAlignment w:val="auto"/>
              <w:rPr>
                <w:rFonts w:eastAsia="Calibri"/>
                <w:color w:val="000000"/>
                <w:sz w:val="18"/>
                <w:szCs w:val="18"/>
              </w:rPr>
            </w:pPr>
            <w:r w:rsidRPr="004B43CC">
              <w:rPr>
                <w:rFonts w:eastAsia="Calibri"/>
                <w:color w:val="000000"/>
                <w:sz w:val="18"/>
                <w:szCs w:val="18"/>
              </w:rPr>
              <w:t>1</w:t>
            </w:r>
          </w:p>
        </w:tc>
        <w:tc>
          <w:tcPr>
            <w:tcW w:w="1138" w:type="dxa"/>
            <w:tcMar>
              <w:top w:w="0" w:type="dxa"/>
              <w:left w:w="108" w:type="dxa"/>
              <w:bottom w:w="0" w:type="dxa"/>
              <w:right w:w="108" w:type="dxa"/>
            </w:tcMar>
          </w:tcPr>
          <w:p w:rsidR="00DB0DE3" w:rsidRPr="004B43CC" w:rsidP="00167E53" w14:paraId="6BCA2B76" w14:textId="00F1D525">
            <w:pPr>
              <w:adjustRightInd/>
              <w:jc w:val="center"/>
              <w:textAlignment w:val="auto"/>
              <w:rPr>
                <w:rFonts w:eastAsia="Calibri"/>
                <w:color w:val="000000"/>
                <w:sz w:val="18"/>
                <w:szCs w:val="18"/>
              </w:rPr>
            </w:pPr>
            <w:r w:rsidRPr="004B43CC">
              <w:rPr>
                <w:rFonts w:eastAsia="Calibri"/>
                <w:color w:val="000000"/>
                <w:sz w:val="18"/>
                <w:szCs w:val="18"/>
              </w:rPr>
              <w:t>15</w:t>
            </w:r>
          </w:p>
        </w:tc>
        <w:tc>
          <w:tcPr>
            <w:tcW w:w="1057" w:type="dxa"/>
            <w:tcMar>
              <w:top w:w="0" w:type="dxa"/>
              <w:left w:w="108" w:type="dxa"/>
              <w:bottom w:w="0" w:type="dxa"/>
              <w:right w:w="108" w:type="dxa"/>
            </w:tcMar>
          </w:tcPr>
          <w:p w:rsidR="00DB0DE3" w:rsidRPr="004B43CC" w:rsidP="00167E53" w14:paraId="45F2436E" w14:textId="0993B0A5">
            <w:pPr>
              <w:adjustRightInd/>
              <w:jc w:val="center"/>
              <w:textAlignment w:val="auto"/>
              <w:rPr>
                <w:rFonts w:eastAsia="Calibri"/>
                <w:color w:val="000000"/>
                <w:sz w:val="18"/>
                <w:szCs w:val="18"/>
              </w:rPr>
            </w:pPr>
            <w:r w:rsidRPr="004B43CC">
              <w:rPr>
                <w:rFonts w:eastAsia="Calibri"/>
                <w:color w:val="000000"/>
                <w:sz w:val="18"/>
                <w:szCs w:val="18"/>
              </w:rPr>
              <w:t>1</w:t>
            </w:r>
          </w:p>
        </w:tc>
        <w:tc>
          <w:tcPr>
            <w:tcW w:w="894" w:type="dxa"/>
            <w:tcMar>
              <w:top w:w="0" w:type="dxa"/>
              <w:left w:w="108" w:type="dxa"/>
              <w:bottom w:w="0" w:type="dxa"/>
              <w:right w:w="108" w:type="dxa"/>
            </w:tcMar>
          </w:tcPr>
          <w:p w:rsidR="00DB0DE3" w:rsidRPr="004B43CC" w:rsidP="00167E53" w14:paraId="7A11ACA6" w14:textId="283BDA42">
            <w:pPr>
              <w:adjustRightInd/>
              <w:jc w:val="center"/>
              <w:textAlignment w:val="auto"/>
              <w:rPr>
                <w:rFonts w:eastAsia="Calibri"/>
                <w:color w:val="000000"/>
                <w:sz w:val="18"/>
                <w:szCs w:val="18"/>
              </w:rPr>
            </w:pPr>
            <w:r w:rsidRPr="004B43CC">
              <w:rPr>
                <w:rFonts w:eastAsia="Calibri"/>
                <w:color w:val="000000"/>
                <w:sz w:val="18"/>
                <w:szCs w:val="18"/>
              </w:rPr>
              <w:t>15</w:t>
            </w:r>
          </w:p>
        </w:tc>
        <w:tc>
          <w:tcPr>
            <w:tcW w:w="1057" w:type="dxa"/>
            <w:tcMar>
              <w:top w:w="0" w:type="dxa"/>
              <w:left w:w="108" w:type="dxa"/>
              <w:bottom w:w="0" w:type="dxa"/>
              <w:right w:w="108" w:type="dxa"/>
            </w:tcMar>
          </w:tcPr>
          <w:p w:rsidR="00DB0DE3" w:rsidRPr="004B43CC" w:rsidP="00167E53" w14:paraId="13194668" w14:textId="5D2B44E2">
            <w:pPr>
              <w:adjustRightInd/>
              <w:jc w:val="right"/>
              <w:textAlignment w:val="auto"/>
              <w:rPr>
                <w:rFonts w:eastAsia="Calibri"/>
                <w:color w:val="000000"/>
                <w:sz w:val="18"/>
                <w:szCs w:val="18"/>
              </w:rPr>
            </w:pPr>
            <w:r w:rsidRPr="004B43CC">
              <w:rPr>
                <w:rFonts w:eastAsia="Calibri"/>
                <w:color w:val="000000"/>
                <w:sz w:val="18"/>
                <w:szCs w:val="18"/>
              </w:rPr>
              <w:t>$</w:t>
            </w:r>
            <w:r w:rsidRPr="004B43CC" w:rsidR="008B6EFA">
              <w:rPr>
                <w:rFonts w:eastAsia="Calibri"/>
                <w:color w:val="000000"/>
                <w:sz w:val="18"/>
                <w:szCs w:val="18"/>
              </w:rPr>
              <w:t>51.97</w:t>
            </w:r>
          </w:p>
        </w:tc>
        <w:tc>
          <w:tcPr>
            <w:tcW w:w="1116" w:type="dxa"/>
            <w:tcMar>
              <w:top w:w="0" w:type="dxa"/>
              <w:left w:w="108" w:type="dxa"/>
              <w:bottom w:w="0" w:type="dxa"/>
              <w:right w:w="108" w:type="dxa"/>
            </w:tcMar>
          </w:tcPr>
          <w:p w:rsidR="00DB0DE3" w:rsidRPr="004B43CC" w:rsidP="00167E53" w14:paraId="4BAEBF0D" w14:textId="326A9C50">
            <w:pPr>
              <w:adjustRightInd/>
              <w:jc w:val="right"/>
              <w:textAlignment w:val="auto"/>
              <w:rPr>
                <w:rFonts w:eastAsia="Calibri"/>
                <w:color w:val="000000"/>
                <w:sz w:val="18"/>
                <w:szCs w:val="18"/>
              </w:rPr>
            </w:pPr>
            <w:r w:rsidRPr="004B43CC">
              <w:rPr>
                <w:rFonts w:eastAsia="Calibri"/>
                <w:color w:val="000000"/>
                <w:sz w:val="18"/>
                <w:szCs w:val="18"/>
              </w:rPr>
              <w:t>$779.55</w:t>
            </w:r>
          </w:p>
        </w:tc>
      </w:tr>
      <w:tr w14:paraId="02D75AC2"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5018AC" w:rsidRPr="004B43CC" w:rsidP="005018AC" w14:paraId="7FED0DFD" w14:textId="648775D3">
            <w:pPr>
              <w:adjustRightInd/>
              <w:textAlignment w:val="auto"/>
              <w:rPr>
                <w:rFonts w:eastAsia="Calibri"/>
                <w:color w:val="000000"/>
                <w:sz w:val="18"/>
                <w:szCs w:val="18"/>
              </w:rPr>
            </w:pPr>
            <w:r w:rsidRPr="004B43CC">
              <w:rPr>
                <w:rFonts w:eastAsia="Calibri"/>
                <w:color w:val="000000"/>
                <w:sz w:val="18"/>
                <w:szCs w:val="18"/>
              </w:rPr>
              <w:t>Voucher payments using eLOCCS (once per month)</w:t>
            </w:r>
            <w:r w:rsidRPr="004B43CC" w:rsidR="007C7E46">
              <w:rPr>
                <w:rFonts w:eastAsia="Calibri"/>
                <w:color w:val="000000"/>
                <w:sz w:val="18"/>
                <w:szCs w:val="18"/>
              </w:rPr>
              <w:t xml:space="preserve"> (OMB Approval No. 2535-0102)</w:t>
            </w:r>
          </w:p>
        </w:tc>
        <w:tc>
          <w:tcPr>
            <w:tcW w:w="1359" w:type="dxa"/>
            <w:tcMar>
              <w:top w:w="0" w:type="dxa"/>
              <w:left w:w="108" w:type="dxa"/>
              <w:bottom w:w="0" w:type="dxa"/>
              <w:right w:w="108" w:type="dxa"/>
            </w:tcMar>
          </w:tcPr>
          <w:p w:rsidR="005018AC" w:rsidRPr="004B43CC" w:rsidP="00167E53" w14:paraId="443E98C6" w14:textId="7EE6ADDC">
            <w:pPr>
              <w:adjustRightInd/>
              <w:jc w:val="center"/>
              <w:textAlignment w:val="auto"/>
              <w:rPr>
                <w:rFonts w:eastAsia="Calibri"/>
                <w:color w:val="000000"/>
                <w:sz w:val="18"/>
                <w:szCs w:val="18"/>
              </w:rPr>
            </w:pPr>
            <w:r w:rsidRPr="004B43CC">
              <w:rPr>
                <w:rFonts w:eastAsia="Calibri"/>
                <w:color w:val="000000"/>
                <w:sz w:val="18"/>
                <w:szCs w:val="18"/>
              </w:rPr>
              <w:t>64</w:t>
            </w:r>
          </w:p>
        </w:tc>
        <w:tc>
          <w:tcPr>
            <w:tcW w:w="1174" w:type="dxa"/>
            <w:tcMar>
              <w:top w:w="0" w:type="dxa"/>
              <w:left w:w="108" w:type="dxa"/>
              <w:bottom w:w="0" w:type="dxa"/>
              <w:right w:w="108" w:type="dxa"/>
            </w:tcMar>
          </w:tcPr>
          <w:p w:rsidR="005018AC" w:rsidRPr="004B43CC" w:rsidP="00167E53" w14:paraId="3077B321" w14:textId="43E09646">
            <w:pPr>
              <w:adjustRightInd/>
              <w:jc w:val="center"/>
              <w:textAlignment w:val="auto"/>
              <w:rPr>
                <w:rFonts w:eastAsia="Calibri"/>
                <w:color w:val="000000"/>
                <w:sz w:val="18"/>
                <w:szCs w:val="18"/>
              </w:rPr>
            </w:pPr>
            <w:r w:rsidRPr="004B43CC">
              <w:rPr>
                <w:rFonts w:eastAsia="Calibri"/>
                <w:color w:val="000000"/>
                <w:sz w:val="18"/>
                <w:szCs w:val="18"/>
              </w:rPr>
              <w:t>12</w:t>
            </w:r>
          </w:p>
        </w:tc>
        <w:tc>
          <w:tcPr>
            <w:tcW w:w="1138" w:type="dxa"/>
            <w:tcMar>
              <w:top w:w="0" w:type="dxa"/>
              <w:left w:w="108" w:type="dxa"/>
              <w:bottom w:w="0" w:type="dxa"/>
              <w:right w:w="108" w:type="dxa"/>
            </w:tcMar>
          </w:tcPr>
          <w:p w:rsidR="005018AC" w:rsidRPr="004B43CC" w:rsidP="00167E53" w14:paraId="7B1FD299" w14:textId="32A641E2">
            <w:pPr>
              <w:adjustRightInd/>
              <w:jc w:val="center"/>
              <w:textAlignment w:val="auto"/>
              <w:rPr>
                <w:rFonts w:eastAsia="Calibri"/>
                <w:color w:val="000000"/>
                <w:sz w:val="18"/>
                <w:szCs w:val="18"/>
              </w:rPr>
            </w:pPr>
            <w:r w:rsidRPr="004B43CC">
              <w:rPr>
                <w:rFonts w:eastAsia="Calibri"/>
                <w:color w:val="000000"/>
                <w:sz w:val="18"/>
                <w:szCs w:val="18"/>
              </w:rPr>
              <w:t>768</w:t>
            </w:r>
          </w:p>
        </w:tc>
        <w:tc>
          <w:tcPr>
            <w:tcW w:w="1057" w:type="dxa"/>
            <w:tcMar>
              <w:top w:w="0" w:type="dxa"/>
              <w:left w:w="108" w:type="dxa"/>
              <w:bottom w:w="0" w:type="dxa"/>
              <w:right w:w="108" w:type="dxa"/>
            </w:tcMar>
          </w:tcPr>
          <w:p w:rsidR="005018AC" w:rsidRPr="004B43CC" w:rsidP="00167E53" w14:paraId="0EDF4114" w14:textId="0B2D6621">
            <w:pPr>
              <w:adjustRightInd/>
              <w:jc w:val="center"/>
              <w:textAlignment w:val="auto"/>
              <w:rPr>
                <w:rFonts w:eastAsia="Calibri"/>
                <w:color w:val="000000"/>
                <w:sz w:val="18"/>
                <w:szCs w:val="18"/>
              </w:rPr>
            </w:pPr>
            <w:r w:rsidRPr="004B43CC">
              <w:rPr>
                <w:rFonts w:eastAsia="Calibri"/>
                <w:color w:val="000000"/>
                <w:sz w:val="18"/>
                <w:szCs w:val="18"/>
              </w:rPr>
              <w:t>0</w:t>
            </w:r>
          </w:p>
        </w:tc>
        <w:tc>
          <w:tcPr>
            <w:tcW w:w="894" w:type="dxa"/>
            <w:tcMar>
              <w:top w:w="0" w:type="dxa"/>
              <w:left w:w="108" w:type="dxa"/>
              <w:bottom w:w="0" w:type="dxa"/>
              <w:right w:w="108" w:type="dxa"/>
            </w:tcMar>
          </w:tcPr>
          <w:p w:rsidR="005018AC" w:rsidRPr="004B43CC" w:rsidP="00167E53" w14:paraId="25D05BBB" w14:textId="67B3B483">
            <w:pPr>
              <w:adjustRightInd/>
              <w:jc w:val="center"/>
              <w:textAlignment w:val="auto"/>
              <w:rPr>
                <w:rFonts w:eastAsia="Calibri"/>
                <w:color w:val="000000"/>
                <w:sz w:val="18"/>
                <w:szCs w:val="18"/>
              </w:rPr>
            </w:pPr>
            <w:r w:rsidRPr="004B43CC">
              <w:rPr>
                <w:rFonts w:eastAsia="Calibri"/>
                <w:color w:val="000000"/>
                <w:sz w:val="18"/>
                <w:szCs w:val="18"/>
              </w:rPr>
              <w:t>0</w:t>
            </w:r>
          </w:p>
        </w:tc>
        <w:tc>
          <w:tcPr>
            <w:tcW w:w="1057" w:type="dxa"/>
            <w:tcMar>
              <w:top w:w="0" w:type="dxa"/>
              <w:left w:w="108" w:type="dxa"/>
              <w:bottom w:w="0" w:type="dxa"/>
              <w:right w:w="108" w:type="dxa"/>
            </w:tcMar>
          </w:tcPr>
          <w:p w:rsidR="005018AC" w:rsidRPr="004B43CC" w:rsidP="00167E53" w14:paraId="455BE901" w14:textId="7420EC17">
            <w:pPr>
              <w:adjustRightInd/>
              <w:jc w:val="right"/>
              <w:textAlignment w:val="auto"/>
              <w:rPr>
                <w:rFonts w:eastAsia="Calibri"/>
                <w:color w:val="000000"/>
                <w:sz w:val="18"/>
                <w:szCs w:val="18"/>
              </w:rPr>
            </w:pPr>
            <w:r w:rsidRPr="004B43CC">
              <w:rPr>
                <w:rFonts w:eastAsia="Calibri"/>
                <w:color w:val="000000"/>
                <w:sz w:val="18"/>
                <w:szCs w:val="18"/>
              </w:rPr>
              <w:t>0</w:t>
            </w:r>
          </w:p>
        </w:tc>
        <w:tc>
          <w:tcPr>
            <w:tcW w:w="1116" w:type="dxa"/>
            <w:tcMar>
              <w:top w:w="0" w:type="dxa"/>
              <w:left w:w="108" w:type="dxa"/>
              <w:bottom w:w="0" w:type="dxa"/>
              <w:right w:w="108" w:type="dxa"/>
            </w:tcMar>
          </w:tcPr>
          <w:p w:rsidR="005018AC" w:rsidRPr="004B43CC" w:rsidP="00167E53" w14:paraId="72069D8F" w14:textId="2E0E1AC7">
            <w:pPr>
              <w:adjustRightInd/>
              <w:jc w:val="right"/>
              <w:textAlignment w:val="auto"/>
              <w:rPr>
                <w:rFonts w:eastAsia="Calibri"/>
                <w:color w:val="000000"/>
                <w:sz w:val="18"/>
                <w:szCs w:val="18"/>
              </w:rPr>
            </w:pPr>
            <w:r w:rsidRPr="004B43CC">
              <w:rPr>
                <w:rFonts w:eastAsia="Calibri"/>
                <w:color w:val="000000"/>
                <w:sz w:val="18"/>
                <w:szCs w:val="18"/>
              </w:rPr>
              <w:t>0</w:t>
            </w:r>
          </w:p>
        </w:tc>
      </w:tr>
      <w:tr w14:paraId="7A3345D5"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5018AC" w:rsidRPr="004B43CC" w:rsidP="005018AC" w14:paraId="3513025D" w14:textId="77777777">
            <w:pPr>
              <w:adjustRightInd/>
              <w:jc w:val="center"/>
              <w:textAlignment w:val="auto"/>
              <w:rPr>
                <w:rFonts w:eastAsia="Calibri"/>
                <w:color w:val="000000"/>
                <w:sz w:val="18"/>
                <w:szCs w:val="18"/>
              </w:rPr>
            </w:pPr>
          </w:p>
        </w:tc>
        <w:tc>
          <w:tcPr>
            <w:tcW w:w="1359" w:type="dxa"/>
            <w:tcMar>
              <w:top w:w="0" w:type="dxa"/>
              <w:left w:w="108" w:type="dxa"/>
              <w:bottom w:w="0" w:type="dxa"/>
              <w:right w:w="108" w:type="dxa"/>
            </w:tcMar>
          </w:tcPr>
          <w:p w:rsidR="005018AC" w:rsidRPr="004B43CC" w:rsidP="00167E53" w14:paraId="354E77A3" w14:textId="77777777">
            <w:pPr>
              <w:adjustRightInd/>
              <w:jc w:val="center"/>
              <w:textAlignment w:val="auto"/>
              <w:rPr>
                <w:rFonts w:eastAsia="Calibri"/>
                <w:color w:val="000000"/>
                <w:sz w:val="18"/>
                <w:szCs w:val="18"/>
              </w:rPr>
            </w:pPr>
          </w:p>
        </w:tc>
        <w:tc>
          <w:tcPr>
            <w:tcW w:w="1174" w:type="dxa"/>
            <w:tcMar>
              <w:top w:w="0" w:type="dxa"/>
              <w:left w:w="108" w:type="dxa"/>
              <w:bottom w:w="0" w:type="dxa"/>
              <w:right w:w="108" w:type="dxa"/>
            </w:tcMar>
          </w:tcPr>
          <w:p w:rsidR="005018AC" w:rsidRPr="004B43CC" w:rsidP="00167E53" w14:paraId="1E50777E" w14:textId="77777777">
            <w:pPr>
              <w:adjustRightInd/>
              <w:jc w:val="center"/>
              <w:textAlignment w:val="auto"/>
              <w:rPr>
                <w:rFonts w:eastAsia="Calibri"/>
                <w:color w:val="000000"/>
                <w:sz w:val="18"/>
                <w:szCs w:val="18"/>
              </w:rPr>
            </w:pPr>
          </w:p>
        </w:tc>
        <w:tc>
          <w:tcPr>
            <w:tcW w:w="1138" w:type="dxa"/>
            <w:tcMar>
              <w:top w:w="0" w:type="dxa"/>
              <w:left w:w="108" w:type="dxa"/>
              <w:bottom w:w="0" w:type="dxa"/>
              <w:right w:w="108" w:type="dxa"/>
            </w:tcMar>
          </w:tcPr>
          <w:p w:rsidR="005018AC" w:rsidRPr="004B43CC" w:rsidP="00167E53" w14:paraId="1004D6FF" w14:textId="77777777">
            <w:pPr>
              <w:adjustRightInd/>
              <w:jc w:val="center"/>
              <w:textAlignment w:val="auto"/>
              <w:rPr>
                <w:rFonts w:eastAsia="Calibri"/>
                <w:color w:val="000000"/>
                <w:sz w:val="18"/>
                <w:szCs w:val="18"/>
              </w:rPr>
            </w:pPr>
          </w:p>
        </w:tc>
        <w:tc>
          <w:tcPr>
            <w:tcW w:w="1057" w:type="dxa"/>
            <w:tcMar>
              <w:top w:w="0" w:type="dxa"/>
              <w:left w:w="108" w:type="dxa"/>
              <w:bottom w:w="0" w:type="dxa"/>
              <w:right w:w="108" w:type="dxa"/>
            </w:tcMar>
          </w:tcPr>
          <w:p w:rsidR="005018AC" w:rsidRPr="004B43CC" w:rsidP="00167E53" w14:paraId="24B8AD49" w14:textId="77777777">
            <w:pPr>
              <w:adjustRightInd/>
              <w:jc w:val="center"/>
              <w:textAlignment w:val="auto"/>
              <w:rPr>
                <w:rFonts w:eastAsia="Calibri"/>
                <w:color w:val="000000"/>
                <w:sz w:val="18"/>
                <w:szCs w:val="18"/>
              </w:rPr>
            </w:pPr>
          </w:p>
        </w:tc>
        <w:tc>
          <w:tcPr>
            <w:tcW w:w="894" w:type="dxa"/>
            <w:tcMar>
              <w:top w:w="0" w:type="dxa"/>
              <w:left w:w="108" w:type="dxa"/>
              <w:bottom w:w="0" w:type="dxa"/>
              <w:right w:w="108" w:type="dxa"/>
            </w:tcMar>
          </w:tcPr>
          <w:p w:rsidR="005018AC" w:rsidRPr="004B43CC" w:rsidP="00167E53" w14:paraId="5BDC8948" w14:textId="77777777">
            <w:pPr>
              <w:adjustRightInd/>
              <w:jc w:val="center"/>
              <w:textAlignment w:val="auto"/>
              <w:rPr>
                <w:rFonts w:eastAsia="Calibri"/>
                <w:color w:val="000000"/>
                <w:sz w:val="18"/>
                <w:szCs w:val="18"/>
              </w:rPr>
            </w:pPr>
          </w:p>
        </w:tc>
        <w:tc>
          <w:tcPr>
            <w:tcW w:w="1057" w:type="dxa"/>
            <w:tcMar>
              <w:top w:w="0" w:type="dxa"/>
              <w:left w:w="108" w:type="dxa"/>
              <w:bottom w:w="0" w:type="dxa"/>
              <w:right w:w="108" w:type="dxa"/>
            </w:tcMar>
          </w:tcPr>
          <w:p w:rsidR="005018AC" w:rsidRPr="004B43CC" w:rsidP="00167E53" w14:paraId="368B7F1A" w14:textId="77777777">
            <w:pPr>
              <w:adjustRightInd/>
              <w:jc w:val="right"/>
              <w:textAlignment w:val="auto"/>
              <w:rPr>
                <w:rFonts w:eastAsia="Calibri"/>
                <w:color w:val="000000"/>
                <w:sz w:val="18"/>
                <w:szCs w:val="18"/>
              </w:rPr>
            </w:pPr>
          </w:p>
        </w:tc>
        <w:tc>
          <w:tcPr>
            <w:tcW w:w="1116" w:type="dxa"/>
            <w:tcMar>
              <w:top w:w="0" w:type="dxa"/>
              <w:left w:w="108" w:type="dxa"/>
              <w:bottom w:w="0" w:type="dxa"/>
              <w:right w:w="108" w:type="dxa"/>
            </w:tcMar>
          </w:tcPr>
          <w:p w:rsidR="005018AC" w:rsidRPr="004B43CC" w:rsidP="00167E53" w14:paraId="2097CA29" w14:textId="77777777">
            <w:pPr>
              <w:adjustRightInd/>
              <w:jc w:val="right"/>
              <w:textAlignment w:val="auto"/>
              <w:rPr>
                <w:rFonts w:eastAsia="Calibri"/>
                <w:color w:val="000000"/>
                <w:sz w:val="18"/>
                <w:szCs w:val="18"/>
              </w:rPr>
            </w:pPr>
          </w:p>
        </w:tc>
      </w:tr>
      <w:bookmarkEnd w:id="0"/>
      <w:tr w14:paraId="655D1C2D" w14:textId="77777777" w:rsidTr="004B43CC">
        <w:tblPrEx>
          <w:tblW w:w="9800" w:type="dxa"/>
          <w:tblInd w:w="260" w:type="dxa"/>
          <w:tblCellMar>
            <w:left w:w="0" w:type="dxa"/>
            <w:right w:w="0" w:type="dxa"/>
          </w:tblCellMar>
          <w:tblLook w:val="04A0"/>
        </w:tblPrEx>
        <w:trPr>
          <w:trHeight w:val="85"/>
        </w:trPr>
        <w:tc>
          <w:tcPr>
            <w:tcW w:w="2005" w:type="dxa"/>
            <w:tcMar>
              <w:top w:w="0" w:type="dxa"/>
              <w:left w:w="108" w:type="dxa"/>
              <w:bottom w:w="0" w:type="dxa"/>
              <w:right w:w="108" w:type="dxa"/>
            </w:tcMar>
          </w:tcPr>
          <w:p w:rsidR="00DB0DE3" w:rsidRPr="004B43CC" w:rsidP="00167E53" w14:paraId="4B8FC321" w14:textId="4D80A6B9">
            <w:pPr>
              <w:adjustRightInd/>
              <w:textAlignment w:val="auto"/>
              <w:rPr>
                <w:rFonts w:eastAsia="Calibri"/>
                <w:color w:val="000000"/>
                <w:sz w:val="18"/>
                <w:szCs w:val="18"/>
              </w:rPr>
            </w:pPr>
            <w:r w:rsidRPr="004B43CC">
              <w:rPr>
                <w:rFonts w:eastAsia="Calibri"/>
                <w:color w:val="000000"/>
                <w:sz w:val="18"/>
                <w:szCs w:val="18"/>
              </w:rPr>
              <w:t>Total</w:t>
            </w:r>
          </w:p>
        </w:tc>
        <w:tc>
          <w:tcPr>
            <w:tcW w:w="1359" w:type="dxa"/>
            <w:tcMar>
              <w:top w:w="0" w:type="dxa"/>
              <w:left w:w="108" w:type="dxa"/>
              <w:bottom w:w="0" w:type="dxa"/>
              <w:right w:w="108" w:type="dxa"/>
            </w:tcMar>
          </w:tcPr>
          <w:p w:rsidR="00DB0DE3" w:rsidRPr="004B43CC" w:rsidP="00167E53" w14:paraId="653D9BA2" w14:textId="5FDA6678">
            <w:pPr>
              <w:adjustRightInd/>
              <w:jc w:val="center"/>
              <w:textAlignment w:val="auto"/>
              <w:rPr>
                <w:rFonts w:eastAsia="Calibri"/>
                <w:b/>
                <w:bCs/>
                <w:color w:val="000000"/>
                <w:sz w:val="18"/>
                <w:szCs w:val="18"/>
              </w:rPr>
            </w:pPr>
            <w:r w:rsidRPr="004B43CC">
              <w:rPr>
                <w:rFonts w:eastAsia="Calibri"/>
                <w:b/>
                <w:bCs/>
                <w:color w:val="000000"/>
                <w:sz w:val="18"/>
                <w:szCs w:val="18"/>
              </w:rPr>
              <w:t>207</w:t>
            </w:r>
          </w:p>
        </w:tc>
        <w:tc>
          <w:tcPr>
            <w:tcW w:w="1174" w:type="dxa"/>
            <w:tcMar>
              <w:top w:w="0" w:type="dxa"/>
              <w:left w:w="108" w:type="dxa"/>
              <w:bottom w:w="0" w:type="dxa"/>
              <w:right w:w="108" w:type="dxa"/>
            </w:tcMar>
          </w:tcPr>
          <w:p w:rsidR="00DB0DE3" w:rsidRPr="004B43CC" w:rsidP="00167E53" w14:paraId="07887D1B" w14:textId="77777777">
            <w:pPr>
              <w:adjustRightInd/>
              <w:jc w:val="center"/>
              <w:textAlignment w:val="auto"/>
              <w:rPr>
                <w:rFonts w:eastAsia="Calibri"/>
                <w:b/>
                <w:bCs/>
                <w:color w:val="000000"/>
                <w:sz w:val="18"/>
                <w:szCs w:val="18"/>
              </w:rPr>
            </w:pPr>
          </w:p>
        </w:tc>
        <w:tc>
          <w:tcPr>
            <w:tcW w:w="1138" w:type="dxa"/>
            <w:tcMar>
              <w:top w:w="0" w:type="dxa"/>
              <w:left w:w="108" w:type="dxa"/>
              <w:bottom w:w="0" w:type="dxa"/>
              <w:right w:w="108" w:type="dxa"/>
            </w:tcMar>
          </w:tcPr>
          <w:p w:rsidR="00DB0DE3" w:rsidRPr="004B43CC" w:rsidP="00167E53" w14:paraId="1A3433D3" w14:textId="587E4E40">
            <w:pPr>
              <w:adjustRightInd/>
              <w:jc w:val="center"/>
              <w:textAlignment w:val="auto"/>
              <w:rPr>
                <w:rFonts w:eastAsia="Calibri"/>
                <w:b/>
                <w:bCs/>
                <w:color w:val="000000"/>
                <w:sz w:val="18"/>
                <w:szCs w:val="18"/>
              </w:rPr>
            </w:pPr>
            <w:r w:rsidRPr="004B43CC">
              <w:rPr>
                <w:rFonts w:eastAsia="Calibri"/>
                <w:b/>
                <w:bCs/>
                <w:color w:val="000000"/>
                <w:sz w:val="18"/>
                <w:szCs w:val="18"/>
              </w:rPr>
              <w:t>1</w:t>
            </w:r>
            <w:r w:rsidRPr="004B43CC" w:rsidR="004B43CC">
              <w:rPr>
                <w:rFonts w:eastAsia="Calibri"/>
                <w:b/>
                <w:bCs/>
                <w:color w:val="000000"/>
                <w:sz w:val="18"/>
                <w:szCs w:val="18"/>
              </w:rPr>
              <w:t>,</w:t>
            </w:r>
            <w:r w:rsidRPr="004B43CC">
              <w:rPr>
                <w:rFonts w:eastAsia="Calibri"/>
                <w:b/>
                <w:bCs/>
                <w:color w:val="000000"/>
                <w:sz w:val="18"/>
                <w:szCs w:val="18"/>
              </w:rPr>
              <w:t>140</w:t>
            </w:r>
          </w:p>
        </w:tc>
        <w:tc>
          <w:tcPr>
            <w:tcW w:w="1057" w:type="dxa"/>
            <w:tcMar>
              <w:top w:w="0" w:type="dxa"/>
              <w:left w:w="108" w:type="dxa"/>
              <w:bottom w:w="0" w:type="dxa"/>
              <w:right w:w="108" w:type="dxa"/>
            </w:tcMar>
          </w:tcPr>
          <w:p w:rsidR="00DB0DE3" w:rsidRPr="004B43CC" w:rsidP="00167E53" w14:paraId="5FB4F646" w14:textId="77777777">
            <w:pPr>
              <w:adjustRightInd/>
              <w:jc w:val="center"/>
              <w:textAlignment w:val="auto"/>
              <w:rPr>
                <w:rFonts w:eastAsia="Calibri"/>
                <w:b/>
                <w:bCs/>
                <w:color w:val="000000"/>
                <w:sz w:val="18"/>
                <w:szCs w:val="18"/>
              </w:rPr>
            </w:pPr>
          </w:p>
        </w:tc>
        <w:tc>
          <w:tcPr>
            <w:tcW w:w="894" w:type="dxa"/>
            <w:tcMar>
              <w:top w:w="0" w:type="dxa"/>
              <w:left w:w="108" w:type="dxa"/>
              <w:bottom w:w="0" w:type="dxa"/>
              <w:right w:w="108" w:type="dxa"/>
            </w:tcMar>
          </w:tcPr>
          <w:p w:rsidR="00DB0DE3" w:rsidRPr="004B43CC" w:rsidP="00167E53" w14:paraId="3C58C65A" w14:textId="008CE4EA">
            <w:pPr>
              <w:adjustRightInd/>
              <w:jc w:val="center"/>
              <w:textAlignment w:val="auto"/>
              <w:rPr>
                <w:rFonts w:eastAsia="Calibri"/>
                <w:b/>
                <w:bCs/>
                <w:color w:val="000000"/>
                <w:sz w:val="18"/>
                <w:szCs w:val="18"/>
              </w:rPr>
            </w:pPr>
            <w:r w:rsidRPr="004B43CC">
              <w:rPr>
                <w:rFonts w:eastAsia="Calibri"/>
                <w:b/>
                <w:bCs/>
                <w:color w:val="000000"/>
                <w:sz w:val="18"/>
                <w:szCs w:val="18"/>
              </w:rPr>
              <w:t>1</w:t>
            </w:r>
            <w:r w:rsidRPr="004B43CC" w:rsidR="004B43CC">
              <w:rPr>
                <w:rFonts w:eastAsia="Calibri"/>
                <w:b/>
                <w:bCs/>
                <w:color w:val="000000"/>
                <w:sz w:val="18"/>
                <w:szCs w:val="18"/>
              </w:rPr>
              <w:t>,</w:t>
            </w:r>
            <w:r w:rsidRPr="004B43CC">
              <w:rPr>
                <w:rFonts w:eastAsia="Calibri"/>
                <w:b/>
                <w:bCs/>
                <w:color w:val="000000"/>
                <w:sz w:val="18"/>
                <w:szCs w:val="18"/>
              </w:rPr>
              <w:t>157.5</w:t>
            </w:r>
          </w:p>
        </w:tc>
        <w:tc>
          <w:tcPr>
            <w:tcW w:w="1057" w:type="dxa"/>
            <w:tcMar>
              <w:top w:w="0" w:type="dxa"/>
              <w:left w:w="108" w:type="dxa"/>
              <w:bottom w:w="0" w:type="dxa"/>
              <w:right w:w="108" w:type="dxa"/>
            </w:tcMar>
          </w:tcPr>
          <w:p w:rsidR="00DB0DE3" w:rsidRPr="004B43CC" w:rsidP="00167E53" w14:paraId="34BE4C41" w14:textId="77777777">
            <w:pPr>
              <w:adjustRightInd/>
              <w:jc w:val="right"/>
              <w:textAlignment w:val="auto"/>
              <w:rPr>
                <w:rFonts w:eastAsia="Calibri"/>
                <w:b/>
                <w:bCs/>
                <w:color w:val="000000"/>
                <w:sz w:val="18"/>
                <w:szCs w:val="18"/>
              </w:rPr>
            </w:pPr>
          </w:p>
        </w:tc>
        <w:tc>
          <w:tcPr>
            <w:tcW w:w="1116" w:type="dxa"/>
            <w:tcMar>
              <w:top w:w="0" w:type="dxa"/>
              <w:left w:w="108" w:type="dxa"/>
              <w:bottom w:w="0" w:type="dxa"/>
              <w:right w:w="108" w:type="dxa"/>
            </w:tcMar>
          </w:tcPr>
          <w:p w:rsidR="00DB0DE3" w:rsidRPr="004B43CC" w:rsidP="00167E53" w14:paraId="03802020" w14:textId="6014197E">
            <w:pPr>
              <w:adjustRightInd/>
              <w:jc w:val="right"/>
              <w:textAlignment w:val="auto"/>
              <w:rPr>
                <w:rFonts w:eastAsia="Calibri"/>
                <w:b/>
                <w:bCs/>
                <w:color w:val="000000"/>
                <w:sz w:val="18"/>
                <w:szCs w:val="18"/>
              </w:rPr>
            </w:pPr>
            <w:r w:rsidRPr="004B43CC">
              <w:rPr>
                <w:rFonts w:eastAsia="Calibri"/>
                <w:b/>
                <w:bCs/>
                <w:color w:val="000000"/>
                <w:sz w:val="18"/>
                <w:szCs w:val="18"/>
              </w:rPr>
              <w:t>$60,155.28</w:t>
            </w:r>
          </w:p>
        </w:tc>
      </w:tr>
      <w:bookmarkEnd w:id="1"/>
    </w:tbl>
    <w:p w:rsidR="00167E53"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974097" w:rsidP="004B43CC" w14:paraId="4B9E0354" w14:textId="31E50D5B">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Pr>
          <w:sz w:val="24"/>
          <w:szCs w:val="24"/>
        </w:rPr>
        <w:t xml:space="preserve">The total annual burden for this collection is expected to be </w:t>
      </w:r>
      <w:r w:rsidR="007C7E46">
        <w:rPr>
          <w:sz w:val="24"/>
          <w:szCs w:val="24"/>
        </w:rPr>
        <w:t xml:space="preserve">1157.5 </w:t>
      </w:r>
      <w:r>
        <w:rPr>
          <w:sz w:val="24"/>
          <w:szCs w:val="24"/>
        </w:rPr>
        <w:t>hours. The total estimated annual cost is $</w:t>
      </w:r>
      <w:r w:rsidR="008B6EFA">
        <w:rPr>
          <w:sz w:val="24"/>
          <w:szCs w:val="24"/>
        </w:rPr>
        <w:t>60,155.28</w:t>
      </w:r>
      <w:r>
        <w:rPr>
          <w:sz w:val="24"/>
          <w:szCs w:val="24"/>
        </w:rPr>
        <w:t xml:space="preserve">. </w:t>
      </w:r>
      <w:r w:rsidR="00D41D4B">
        <w:rPr>
          <w:sz w:val="24"/>
          <w:szCs w:val="24"/>
        </w:rPr>
        <w:t xml:space="preserve">The ‘Number of Respondents’ is based on average of number of active grantees.  </w:t>
      </w:r>
      <w:r w:rsidR="00AC77D3">
        <w:rPr>
          <w:sz w:val="24"/>
          <w:szCs w:val="24"/>
        </w:rPr>
        <w:t xml:space="preserve">Frequency is based on reporting requirements (for quarterly reports and closeout documents) and typical experience of prior/current grantees (budget form and LOCCS voucher payments).  As the LOCCS voucher submission is covered by a different information collection, the burden in this information collection is zero.  </w:t>
      </w:r>
      <w:r>
        <w:rPr>
          <w:sz w:val="24"/>
          <w:szCs w:val="24"/>
        </w:rPr>
        <w:t xml:space="preserve">To estimate the hourly cost per respondent, HUD used the Department of Labor Bureau of Labor Statistics’ </w:t>
      </w:r>
      <w:r w:rsidRPr="00974097">
        <w:rPr>
          <w:sz w:val="24"/>
          <w:szCs w:val="24"/>
        </w:rPr>
        <w:t xml:space="preserve">hourly </w:t>
      </w:r>
      <w:r w:rsidR="008B6EFA">
        <w:rPr>
          <w:sz w:val="24"/>
          <w:szCs w:val="24"/>
        </w:rPr>
        <w:t xml:space="preserve">mean wage </w:t>
      </w:r>
      <w:r w:rsidRPr="00974097">
        <w:rPr>
          <w:sz w:val="24"/>
          <w:szCs w:val="24"/>
        </w:rPr>
        <w:t>rate for “Project Management Specialists” (occupation code 13-1082), May 202</w:t>
      </w:r>
      <w:r w:rsidR="008B6EFA">
        <w:rPr>
          <w:sz w:val="24"/>
          <w:szCs w:val="24"/>
        </w:rPr>
        <w:t>4</w:t>
      </w:r>
      <w:r w:rsidRPr="00974097">
        <w:rPr>
          <w:sz w:val="24"/>
          <w:szCs w:val="24"/>
        </w:rPr>
        <w:t xml:space="preserve"> National Occupational Employment and Wage Estimates United </w:t>
      </w:r>
      <w:r w:rsidRPr="008B6EFA">
        <w:rPr>
          <w:sz w:val="24"/>
          <w:szCs w:val="24"/>
        </w:rPr>
        <w:t xml:space="preserve">States, </w:t>
      </w:r>
      <w:hyperlink r:id="rId8" w:history="1">
        <w:r w:rsidRPr="008B6EFA" w:rsidR="008B6EFA">
          <w:rPr>
            <w:rStyle w:val="Hyperlink"/>
            <w:sz w:val="24"/>
            <w:szCs w:val="24"/>
          </w:rPr>
          <w:t>https://www.bls.gov/oes/tables.htm</w:t>
        </w:r>
      </w:hyperlink>
      <w:r w:rsidR="008B6EFA">
        <w:rPr>
          <w:sz w:val="24"/>
          <w:szCs w:val="24"/>
        </w:rPr>
        <w:t>.</w:t>
      </w:r>
      <w:r w:rsidRPr="008B6EFA" w:rsidR="008B6EFA">
        <w:rPr>
          <w:sz w:val="24"/>
          <w:szCs w:val="24"/>
        </w:rPr>
        <w:t xml:space="preserve"> </w:t>
      </w:r>
    </w:p>
    <w:p w:rsidR="00974097" w:rsidP="00167E53" w14:paraId="5AA0726B"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4B43CC" w:rsidP="00167E53" w14:paraId="1324DF13"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4B43CC" w:rsidRPr="006C7FAE" w:rsidP="00167E53" w14:paraId="61589FD0"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rsidRPr="00E72B01" w14:paraId="0CEE4D0B" w14:textId="77777777">
      <w:pPr>
        <w:tabs>
          <w:tab w:val="left" w:pos="360"/>
        </w:tabs>
        <w:ind w:left="360" w:hanging="360"/>
        <w:rPr>
          <w:b/>
          <w:bCs/>
          <w:sz w:val="24"/>
          <w:szCs w:val="24"/>
        </w:rPr>
      </w:pPr>
      <w:r w:rsidRPr="006C7FAE">
        <w:rPr>
          <w:sz w:val="24"/>
          <w:szCs w:val="24"/>
        </w:rPr>
        <w:t>13.</w:t>
      </w:r>
      <w:r w:rsidRPr="006C7FAE">
        <w:rPr>
          <w:sz w:val="24"/>
          <w:szCs w:val="24"/>
        </w:rPr>
        <w:tab/>
      </w:r>
      <w:r w:rsidRPr="00E72B01">
        <w:rPr>
          <w:b/>
          <w:bCs/>
          <w:sz w:val="24"/>
          <w:szCs w:val="24"/>
        </w:rPr>
        <w:t>Provide an estimate of the total annual cost burden to respondents or recordkeepers resulting from the collection of information</w:t>
      </w:r>
      <w:r w:rsidRPr="00E72B01">
        <w:rPr>
          <w:b/>
          <w:bCs/>
          <w:sz w:val="24"/>
          <w:szCs w:val="24"/>
        </w:rPr>
        <w:t>. (Do not include the cost of any hour burden already reflected on the burden worksheet</w:t>
      </w:r>
      <w:r w:rsidRPr="00E72B01">
        <w:rPr>
          <w:b/>
          <w:bCs/>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w:t>
      </w:r>
      <w:r w:rsidRPr="006C7FAE">
        <w:rPr>
          <w:sz w:val="24"/>
          <w:szCs w:val="24"/>
        </w:rPr>
        <w:t xml:space="preserve">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26A79" w:rsidP="00126A79" w14:paraId="3F5E7DD7" w14:textId="77777777">
      <w:pPr>
        <w:keepLines/>
        <w:tabs>
          <w:tab w:val="left" w:pos="360"/>
        </w:tabs>
        <w:spacing w:after="80"/>
        <w:ind w:left="336"/>
        <w:rPr>
          <w:sz w:val="24"/>
          <w:szCs w:val="24"/>
        </w:rPr>
      </w:pPr>
    </w:p>
    <w:p w:rsidR="00126A79" w:rsidP="00126A79" w14:paraId="33DC13A8" w14:textId="71FB26D7">
      <w:pPr>
        <w:keepLines/>
        <w:tabs>
          <w:tab w:val="left" w:pos="360"/>
        </w:tabs>
        <w:spacing w:after="80"/>
        <w:ind w:left="336"/>
        <w:rPr>
          <w:sz w:val="24"/>
          <w:szCs w:val="24"/>
        </w:rPr>
      </w:pPr>
      <w:r w:rsidRPr="00126A79">
        <w:rPr>
          <w:sz w:val="24"/>
          <w:szCs w:val="24"/>
        </w:rPr>
        <w:t>There are no start-up or additional costs to the respondents other than those reported in Item 12 above in the Burden Cost Column.</w:t>
      </w:r>
    </w:p>
    <w:p w:rsidR="00126A79" w:rsidRPr="006C7FAE" w:rsidP="00126A79" w14:paraId="7366D260" w14:textId="77777777">
      <w:pPr>
        <w:keepLines/>
        <w:tabs>
          <w:tab w:val="left" w:pos="360"/>
        </w:tabs>
        <w:spacing w:after="80"/>
        <w:ind w:left="480"/>
        <w:rPr>
          <w:sz w:val="24"/>
          <w:szCs w:val="24"/>
        </w:rPr>
      </w:pPr>
    </w:p>
    <w:p w:rsidR="009E13B1" w:rsidRPr="00E72B01" w14:paraId="0F877C1B" w14:textId="77777777">
      <w:pPr>
        <w:keepLines/>
        <w:tabs>
          <w:tab w:val="left" w:pos="360"/>
        </w:tabs>
        <w:spacing w:after="80"/>
        <w:ind w:left="360" w:hanging="360"/>
        <w:rPr>
          <w:b/>
          <w:bCs/>
          <w:sz w:val="24"/>
          <w:szCs w:val="24"/>
        </w:rPr>
      </w:pPr>
      <w:r w:rsidRPr="006C7FAE">
        <w:rPr>
          <w:sz w:val="24"/>
          <w:szCs w:val="24"/>
        </w:rPr>
        <w:t>14.</w:t>
      </w:r>
      <w:r w:rsidRPr="006C7FAE">
        <w:rPr>
          <w:sz w:val="24"/>
          <w:szCs w:val="24"/>
        </w:rPr>
        <w:tab/>
      </w:r>
      <w:r w:rsidRPr="00E72B01">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tbl>
      <w:tblPr>
        <w:tblW w:w="990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976"/>
        <w:gridCol w:w="1362"/>
        <w:gridCol w:w="1175"/>
        <w:gridCol w:w="1140"/>
        <w:gridCol w:w="1058"/>
        <w:gridCol w:w="895"/>
        <w:gridCol w:w="1058"/>
        <w:gridCol w:w="1236"/>
      </w:tblGrid>
      <w:tr w14:paraId="1B46F95A" w14:textId="77777777" w:rsidTr="004B43CC">
        <w:tblPrEx>
          <w:tblW w:w="990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976" w:type="dxa"/>
            <w:tcMar>
              <w:top w:w="0" w:type="dxa"/>
              <w:left w:w="108" w:type="dxa"/>
              <w:bottom w:w="0" w:type="dxa"/>
              <w:right w:w="108" w:type="dxa"/>
            </w:tcMar>
            <w:hideMark/>
          </w:tcPr>
          <w:p w:rsidR="00167E53" w:rsidRPr="004B43CC" w:rsidP="00167E53" w14:paraId="2770CCD5" w14:textId="77777777">
            <w:pPr>
              <w:adjustRightInd/>
              <w:jc w:val="center"/>
              <w:textAlignment w:val="auto"/>
              <w:rPr>
                <w:rFonts w:eastAsia="Calibri"/>
                <w:b/>
                <w:bCs/>
                <w:color w:val="000000"/>
                <w:sz w:val="18"/>
                <w:szCs w:val="18"/>
              </w:rPr>
            </w:pPr>
            <w:r w:rsidRPr="004B43CC">
              <w:rPr>
                <w:rFonts w:eastAsia="Calibri"/>
                <w:b/>
                <w:bCs/>
                <w:color w:val="000000"/>
                <w:sz w:val="18"/>
                <w:szCs w:val="18"/>
              </w:rPr>
              <w:t>Information Collection</w:t>
            </w:r>
          </w:p>
        </w:tc>
        <w:tc>
          <w:tcPr>
            <w:tcW w:w="1362" w:type="dxa"/>
            <w:tcMar>
              <w:top w:w="0" w:type="dxa"/>
              <w:left w:w="108" w:type="dxa"/>
              <w:bottom w:w="0" w:type="dxa"/>
              <w:right w:w="108" w:type="dxa"/>
            </w:tcMar>
            <w:hideMark/>
          </w:tcPr>
          <w:p w:rsidR="00167E53" w:rsidRPr="004B43CC" w:rsidP="00167E53" w14:paraId="2D6ED408" w14:textId="77777777">
            <w:pPr>
              <w:adjustRightInd/>
              <w:jc w:val="center"/>
              <w:textAlignment w:val="auto"/>
              <w:rPr>
                <w:rFonts w:eastAsia="Calibri"/>
                <w:b/>
                <w:bCs/>
                <w:color w:val="000000"/>
                <w:sz w:val="18"/>
                <w:szCs w:val="18"/>
              </w:rPr>
            </w:pPr>
            <w:r w:rsidRPr="004B43CC">
              <w:rPr>
                <w:rFonts w:eastAsia="Calibri"/>
                <w:b/>
                <w:bCs/>
                <w:color w:val="000000"/>
                <w:sz w:val="18"/>
                <w:szCs w:val="18"/>
              </w:rPr>
              <w:t>Number of Respondents</w:t>
            </w:r>
          </w:p>
        </w:tc>
        <w:tc>
          <w:tcPr>
            <w:tcW w:w="1175" w:type="dxa"/>
            <w:tcMar>
              <w:top w:w="0" w:type="dxa"/>
              <w:left w:w="108" w:type="dxa"/>
              <w:bottom w:w="0" w:type="dxa"/>
              <w:right w:w="108" w:type="dxa"/>
            </w:tcMar>
            <w:hideMark/>
          </w:tcPr>
          <w:p w:rsidR="00167E53" w:rsidRPr="004B43CC" w:rsidP="00167E53" w14:paraId="0FC909C8" w14:textId="77777777">
            <w:pPr>
              <w:adjustRightInd/>
              <w:jc w:val="center"/>
              <w:textAlignment w:val="auto"/>
              <w:rPr>
                <w:rFonts w:eastAsia="Calibri"/>
                <w:b/>
                <w:bCs/>
                <w:color w:val="000000"/>
                <w:sz w:val="18"/>
                <w:szCs w:val="18"/>
              </w:rPr>
            </w:pPr>
            <w:r w:rsidRPr="004B43CC">
              <w:rPr>
                <w:rFonts w:eastAsia="Calibri"/>
                <w:b/>
                <w:bCs/>
                <w:color w:val="000000"/>
                <w:sz w:val="18"/>
                <w:szCs w:val="18"/>
              </w:rPr>
              <w:t>Frequency of Response</w:t>
            </w:r>
          </w:p>
        </w:tc>
        <w:tc>
          <w:tcPr>
            <w:tcW w:w="1140" w:type="dxa"/>
            <w:tcMar>
              <w:top w:w="0" w:type="dxa"/>
              <w:left w:w="108" w:type="dxa"/>
              <w:bottom w:w="0" w:type="dxa"/>
              <w:right w:w="108" w:type="dxa"/>
            </w:tcMar>
            <w:hideMark/>
          </w:tcPr>
          <w:p w:rsidR="00167E53" w:rsidRPr="004B43CC" w:rsidP="00167E53" w14:paraId="2E88ED16" w14:textId="77777777">
            <w:pPr>
              <w:overflowPunct/>
              <w:autoSpaceDE/>
              <w:autoSpaceDN/>
              <w:adjustRightInd/>
              <w:jc w:val="center"/>
              <w:textAlignment w:val="auto"/>
              <w:rPr>
                <w:rFonts w:eastAsia="Calibri"/>
                <w:b/>
                <w:bCs/>
                <w:color w:val="000000"/>
                <w:sz w:val="18"/>
                <w:szCs w:val="18"/>
              </w:rPr>
            </w:pPr>
            <w:r w:rsidRPr="004B43CC">
              <w:rPr>
                <w:rFonts w:eastAsia="Calibri"/>
                <w:b/>
                <w:bCs/>
                <w:color w:val="000000"/>
                <w:sz w:val="18"/>
                <w:szCs w:val="18"/>
              </w:rPr>
              <w:t>Responses</w:t>
            </w:r>
          </w:p>
          <w:p w:rsidR="00167E53" w:rsidRPr="004B43CC" w:rsidP="00167E53" w14:paraId="55FC3E02" w14:textId="77777777">
            <w:pPr>
              <w:adjustRightInd/>
              <w:jc w:val="center"/>
              <w:textAlignment w:val="auto"/>
              <w:rPr>
                <w:rFonts w:eastAsia="Calibri"/>
                <w:b/>
                <w:bCs/>
                <w:color w:val="000000"/>
                <w:sz w:val="18"/>
                <w:szCs w:val="18"/>
              </w:rPr>
            </w:pPr>
            <w:r w:rsidRPr="004B43CC">
              <w:rPr>
                <w:rFonts w:eastAsia="Calibri"/>
                <w:b/>
                <w:bCs/>
                <w:color w:val="000000"/>
                <w:sz w:val="18"/>
                <w:szCs w:val="18"/>
              </w:rPr>
              <w:t>Per Annum</w:t>
            </w:r>
          </w:p>
        </w:tc>
        <w:tc>
          <w:tcPr>
            <w:tcW w:w="1058" w:type="dxa"/>
            <w:tcMar>
              <w:top w:w="0" w:type="dxa"/>
              <w:left w:w="108" w:type="dxa"/>
              <w:bottom w:w="0" w:type="dxa"/>
              <w:right w:w="108" w:type="dxa"/>
            </w:tcMar>
            <w:hideMark/>
          </w:tcPr>
          <w:p w:rsidR="00167E53" w:rsidRPr="004B43CC" w:rsidP="00167E53" w14:paraId="48E3A479" w14:textId="77777777">
            <w:pPr>
              <w:adjustRightInd/>
              <w:jc w:val="center"/>
              <w:textAlignment w:val="auto"/>
              <w:rPr>
                <w:rFonts w:eastAsia="Calibri"/>
                <w:b/>
                <w:bCs/>
                <w:color w:val="000000"/>
                <w:sz w:val="18"/>
                <w:szCs w:val="18"/>
              </w:rPr>
            </w:pPr>
            <w:r w:rsidRPr="004B43CC">
              <w:rPr>
                <w:rFonts w:eastAsia="Calibri"/>
                <w:b/>
                <w:bCs/>
                <w:color w:val="000000"/>
                <w:sz w:val="18"/>
                <w:szCs w:val="18"/>
              </w:rPr>
              <w:t>Burden Hour Per Response</w:t>
            </w:r>
          </w:p>
        </w:tc>
        <w:tc>
          <w:tcPr>
            <w:tcW w:w="895" w:type="dxa"/>
            <w:tcMar>
              <w:top w:w="0" w:type="dxa"/>
              <w:left w:w="108" w:type="dxa"/>
              <w:bottom w:w="0" w:type="dxa"/>
              <w:right w:w="108" w:type="dxa"/>
            </w:tcMar>
            <w:hideMark/>
          </w:tcPr>
          <w:p w:rsidR="00167E53" w:rsidRPr="004B43CC" w:rsidP="00167E53" w14:paraId="60299650" w14:textId="77777777">
            <w:pPr>
              <w:adjustRightInd/>
              <w:jc w:val="center"/>
              <w:textAlignment w:val="auto"/>
              <w:rPr>
                <w:rFonts w:eastAsia="Calibri"/>
                <w:b/>
                <w:bCs/>
                <w:color w:val="000000"/>
                <w:sz w:val="18"/>
                <w:szCs w:val="18"/>
              </w:rPr>
            </w:pPr>
            <w:r w:rsidRPr="004B43CC">
              <w:rPr>
                <w:rFonts w:eastAsia="Calibri"/>
                <w:b/>
                <w:bCs/>
                <w:color w:val="000000"/>
                <w:sz w:val="18"/>
                <w:szCs w:val="18"/>
              </w:rPr>
              <w:t>Annual Burden Hours</w:t>
            </w:r>
          </w:p>
        </w:tc>
        <w:tc>
          <w:tcPr>
            <w:tcW w:w="1058" w:type="dxa"/>
            <w:tcMar>
              <w:top w:w="0" w:type="dxa"/>
              <w:left w:w="108" w:type="dxa"/>
              <w:bottom w:w="0" w:type="dxa"/>
              <w:right w:w="108" w:type="dxa"/>
            </w:tcMar>
            <w:hideMark/>
          </w:tcPr>
          <w:p w:rsidR="00167E53" w:rsidRPr="004B43CC" w:rsidP="00167E53" w14:paraId="36786B88" w14:textId="77777777">
            <w:pPr>
              <w:adjustRightInd/>
              <w:jc w:val="center"/>
              <w:textAlignment w:val="auto"/>
              <w:rPr>
                <w:rFonts w:eastAsia="Calibri"/>
                <w:b/>
                <w:bCs/>
                <w:color w:val="000000"/>
                <w:sz w:val="18"/>
                <w:szCs w:val="18"/>
              </w:rPr>
            </w:pPr>
            <w:r w:rsidRPr="004B43CC">
              <w:rPr>
                <w:rFonts w:eastAsia="Calibri"/>
                <w:b/>
                <w:bCs/>
                <w:color w:val="000000"/>
                <w:sz w:val="18"/>
                <w:szCs w:val="18"/>
              </w:rPr>
              <w:t>Hourly Cost Per Response</w:t>
            </w:r>
          </w:p>
        </w:tc>
        <w:tc>
          <w:tcPr>
            <w:tcW w:w="1236" w:type="dxa"/>
            <w:tcMar>
              <w:top w:w="0" w:type="dxa"/>
              <w:left w:w="108" w:type="dxa"/>
              <w:bottom w:w="0" w:type="dxa"/>
              <w:right w:w="108" w:type="dxa"/>
            </w:tcMar>
          </w:tcPr>
          <w:p w:rsidR="00167E53" w:rsidRPr="004B43CC" w:rsidP="00167E53" w14:paraId="44C20C89" w14:textId="77777777">
            <w:pPr>
              <w:overflowPunct/>
              <w:autoSpaceDE/>
              <w:autoSpaceDN/>
              <w:adjustRightInd/>
              <w:jc w:val="center"/>
              <w:textAlignment w:val="auto"/>
              <w:rPr>
                <w:rFonts w:eastAsia="Calibri"/>
                <w:b/>
                <w:bCs/>
                <w:color w:val="000000"/>
                <w:sz w:val="18"/>
                <w:szCs w:val="18"/>
              </w:rPr>
            </w:pPr>
            <w:r w:rsidRPr="004B43CC">
              <w:rPr>
                <w:rFonts w:eastAsia="Calibri"/>
                <w:b/>
                <w:bCs/>
                <w:color w:val="000000"/>
                <w:sz w:val="18"/>
                <w:szCs w:val="18"/>
              </w:rPr>
              <w:t>Annual Cost</w:t>
            </w:r>
          </w:p>
          <w:p w:rsidR="00167E53" w:rsidRPr="004B43CC" w:rsidP="00167E53" w14:paraId="6367AC39" w14:textId="77777777">
            <w:pPr>
              <w:adjustRightInd/>
              <w:jc w:val="center"/>
              <w:textAlignment w:val="auto"/>
              <w:rPr>
                <w:rFonts w:eastAsia="Calibri"/>
                <w:b/>
                <w:bCs/>
                <w:color w:val="000000"/>
                <w:sz w:val="18"/>
                <w:szCs w:val="18"/>
              </w:rPr>
            </w:pPr>
          </w:p>
        </w:tc>
      </w:tr>
      <w:tr w14:paraId="6A87C799"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0A248D" w:rsidRPr="004B43CC" w:rsidP="000A248D" w14:paraId="0CD8A1BA" w14:textId="7C03B44D">
            <w:pPr>
              <w:adjustRightInd/>
              <w:textAlignment w:val="auto"/>
              <w:rPr>
                <w:rFonts w:eastAsia="Calibri"/>
                <w:b/>
                <w:bCs/>
                <w:color w:val="000000"/>
                <w:sz w:val="18"/>
                <w:szCs w:val="18"/>
              </w:rPr>
            </w:pPr>
            <w:r w:rsidRPr="004B43CC">
              <w:rPr>
                <w:rFonts w:eastAsia="Calibri"/>
                <w:color w:val="000000"/>
                <w:sz w:val="18"/>
                <w:szCs w:val="18"/>
              </w:rPr>
              <w:t>Implementation grantees on-line quarterly reporting (CN Inform)</w:t>
            </w:r>
            <w:r w:rsidRPr="004B43CC" w:rsidR="00D55F35">
              <w:rPr>
                <w:rFonts w:eastAsia="Calibri"/>
                <w:color w:val="000000"/>
                <w:sz w:val="18"/>
                <w:szCs w:val="18"/>
              </w:rPr>
              <w:t xml:space="preserve"> (Quarterly)</w:t>
            </w:r>
          </w:p>
        </w:tc>
        <w:tc>
          <w:tcPr>
            <w:tcW w:w="1362" w:type="dxa"/>
            <w:tcMar>
              <w:top w:w="0" w:type="dxa"/>
              <w:left w:w="108" w:type="dxa"/>
              <w:bottom w:w="0" w:type="dxa"/>
              <w:right w:w="108" w:type="dxa"/>
            </w:tcMar>
          </w:tcPr>
          <w:p w:rsidR="000A248D" w:rsidRPr="004B43CC" w:rsidP="000A248D" w14:paraId="6DC1209A" w14:textId="702824CE">
            <w:pPr>
              <w:adjustRightInd/>
              <w:jc w:val="center"/>
              <w:textAlignment w:val="auto"/>
              <w:rPr>
                <w:rFonts w:eastAsia="Calibri"/>
                <w:b/>
                <w:bCs/>
                <w:color w:val="000000"/>
                <w:sz w:val="18"/>
                <w:szCs w:val="18"/>
              </w:rPr>
            </w:pPr>
            <w:r w:rsidRPr="004B43CC">
              <w:rPr>
                <w:rFonts w:eastAsia="Calibri"/>
                <w:color w:val="000000"/>
                <w:sz w:val="18"/>
                <w:szCs w:val="18"/>
              </w:rPr>
              <w:t>37</w:t>
            </w:r>
          </w:p>
        </w:tc>
        <w:tc>
          <w:tcPr>
            <w:tcW w:w="1175" w:type="dxa"/>
            <w:tcMar>
              <w:top w:w="0" w:type="dxa"/>
              <w:left w:w="108" w:type="dxa"/>
              <w:bottom w:w="0" w:type="dxa"/>
              <w:right w:w="108" w:type="dxa"/>
            </w:tcMar>
          </w:tcPr>
          <w:p w:rsidR="000A248D" w:rsidRPr="004B43CC" w:rsidP="000A248D" w14:paraId="250CB174" w14:textId="7FE83F07">
            <w:pPr>
              <w:adjustRightInd/>
              <w:jc w:val="center"/>
              <w:textAlignment w:val="auto"/>
              <w:rPr>
                <w:rFonts w:eastAsia="Calibri"/>
                <w:b/>
                <w:bCs/>
                <w:color w:val="000000"/>
                <w:sz w:val="18"/>
                <w:szCs w:val="18"/>
              </w:rPr>
            </w:pPr>
            <w:r w:rsidRPr="004B43CC">
              <w:rPr>
                <w:rFonts w:eastAsia="Calibri"/>
                <w:color w:val="000000"/>
                <w:sz w:val="18"/>
                <w:szCs w:val="18"/>
              </w:rPr>
              <w:t>4</w:t>
            </w:r>
          </w:p>
        </w:tc>
        <w:tc>
          <w:tcPr>
            <w:tcW w:w="1140" w:type="dxa"/>
            <w:tcMar>
              <w:top w:w="0" w:type="dxa"/>
              <w:left w:w="108" w:type="dxa"/>
              <w:bottom w:w="0" w:type="dxa"/>
              <w:right w:w="108" w:type="dxa"/>
            </w:tcMar>
          </w:tcPr>
          <w:p w:rsidR="000A248D" w:rsidRPr="004B43CC" w:rsidP="000A248D" w14:paraId="73006C34" w14:textId="094ACE50">
            <w:pPr>
              <w:adjustRightInd/>
              <w:jc w:val="center"/>
              <w:textAlignment w:val="auto"/>
              <w:rPr>
                <w:rFonts w:eastAsia="Calibri"/>
                <w:b/>
                <w:bCs/>
                <w:color w:val="000000"/>
                <w:sz w:val="18"/>
                <w:szCs w:val="18"/>
              </w:rPr>
            </w:pPr>
            <w:r w:rsidRPr="004B43CC">
              <w:rPr>
                <w:rFonts w:eastAsia="Calibri"/>
                <w:color w:val="000000"/>
                <w:sz w:val="18"/>
                <w:szCs w:val="18"/>
              </w:rPr>
              <w:t>148</w:t>
            </w:r>
          </w:p>
        </w:tc>
        <w:tc>
          <w:tcPr>
            <w:tcW w:w="1058" w:type="dxa"/>
            <w:tcMar>
              <w:top w:w="0" w:type="dxa"/>
              <w:left w:w="108" w:type="dxa"/>
              <w:bottom w:w="0" w:type="dxa"/>
              <w:right w:w="108" w:type="dxa"/>
            </w:tcMar>
          </w:tcPr>
          <w:p w:rsidR="000A248D" w:rsidRPr="004B43CC" w:rsidP="000A248D" w14:paraId="72440884" w14:textId="38AF63BB">
            <w:pPr>
              <w:adjustRightInd/>
              <w:jc w:val="center"/>
              <w:textAlignment w:val="auto"/>
              <w:rPr>
                <w:rFonts w:eastAsia="Calibri"/>
                <w:color w:val="000000"/>
                <w:sz w:val="18"/>
                <w:szCs w:val="18"/>
              </w:rPr>
            </w:pPr>
            <w:r w:rsidRPr="004B43CC">
              <w:rPr>
                <w:rFonts w:eastAsia="Calibri"/>
                <w:color w:val="000000"/>
                <w:sz w:val="18"/>
                <w:szCs w:val="18"/>
              </w:rPr>
              <w:t>1.5</w:t>
            </w:r>
          </w:p>
        </w:tc>
        <w:tc>
          <w:tcPr>
            <w:tcW w:w="895" w:type="dxa"/>
            <w:tcMar>
              <w:top w:w="0" w:type="dxa"/>
              <w:left w:w="108" w:type="dxa"/>
              <w:bottom w:w="0" w:type="dxa"/>
              <w:right w:w="108" w:type="dxa"/>
            </w:tcMar>
          </w:tcPr>
          <w:p w:rsidR="000A248D" w:rsidRPr="004B43CC" w:rsidP="000A248D" w14:paraId="37079316" w14:textId="1C367854">
            <w:pPr>
              <w:adjustRightInd/>
              <w:jc w:val="center"/>
              <w:textAlignment w:val="auto"/>
              <w:rPr>
                <w:rFonts w:eastAsia="Calibri"/>
                <w:color w:val="000000"/>
                <w:sz w:val="18"/>
                <w:szCs w:val="18"/>
              </w:rPr>
            </w:pPr>
            <w:r w:rsidRPr="004B43CC">
              <w:rPr>
                <w:rFonts w:eastAsia="Calibri"/>
                <w:color w:val="000000"/>
                <w:sz w:val="18"/>
                <w:szCs w:val="18"/>
              </w:rPr>
              <w:t>222</w:t>
            </w:r>
          </w:p>
        </w:tc>
        <w:tc>
          <w:tcPr>
            <w:tcW w:w="1058" w:type="dxa"/>
            <w:tcMar>
              <w:top w:w="0" w:type="dxa"/>
              <w:left w:w="108" w:type="dxa"/>
              <w:bottom w:w="0" w:type="dxa"/>
              <w:right w:w="108" w:type="dxa"/>
            </w:tcMar>
          </w:tcPr>
          <w:p w:rsidR="000A248D" w:rsidRPr="004B43CC" w:rsidP="000A248D" w14:paraId="38A27275" w14:textId="3D3C2AA6">
            <w:pPr>
              <w:adjustRightInd/>
              <w:jc w:val="right"/>
              <w:textAlignment w:val="auto"/>
              <w:rPr>
                <w:rFonts w:eastAsia="Calibri"/>
                <w:color w:val="000000"/>
                <w:sz w:val="18"/>
                <w:szCs w:val="18"/>
              </w:rPr>
            </w:pPr>
            <w:r w:rsidRPr="004B43CC">
              <w:rPr>
                <w:rFonts w:eastAsia="Calibri"/>
                <w:color w:val="000000"/>
                <w:sz w:val="18"/>
                <w:szCs w:val="18"/>
              </w:rPr>
              <w:t>$65.48</w:t>
            </w:r>
          </w:p>
        </w:tc>
        <w:tc>
          <w:tcPr>
            <w:tcW w:w="1236" w:type="dxa"/>
            <w:tcMar>
              <w:top w:w="0" w:type="dxa"/>
              <w:left w:w="108" w:type="dxa"/>
              <w:bottom w:w="0" w:type="dxa"/>
              <w:right w:w="108" w:type="dxa"/>
            </w:tcMar>
          </w:tcPr>
          <w:p w:rsidR="000A248D" w:rsidRPr="004B43CC" w:rsidP="000A248D" w14:paraId="4B0DC693" w14:textId="1DCE2428">
            <w:pPr>
              <w:adjustRightInd/>
              <w:jc w:val="right"/>
              <w:textAlignment w:val="auto"/>
              <w:rPr>
                <w:rFonts w:eastAsia="Calibri"/>
                <w:color w:val="000000"/>
                <w:sz w:val="18"/>
                <w:szCs w:val="18"/>
              </w:rPr>
            </w:pPr>
            <w:r w:rsidRPr="004B43CC">
              <w:rPr>
                <w:rFonts w:eastAsia="Calibri"/>
                <w:color w:val="000000"/>
                <w:sz w:val="18"/>
                <w:szCs w:val="18"/>
              </w:rPr>
              <w:t>$14,536.56</w:t>
            </w:r>
          </w:p>
        </w:tc>
      </w:tr>
      <w:tr w14:paraId="3BBA5C4B"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0A248D" w:rsidRPr="004B43CC" w:rsidP="000A248D" w14:paraId="76011C62" w14:textId="7CDBD663">
            <w:pPr>
              <w:adjustRightInd/>
              <w:textAlignment w:val="auto"/>
              <w:rPr>
                <w:rFonts w:eastAsia="Calibri"/>
                <w:b/>
                <w:bCs/>
                <w:color w:val="000000"/>
                <w:sz w:val="18"/>
                <w:szCs w:val="18"/>
              </w:rPr>
            </w:pPr>
            <w:r w:rsidRPr="004B43CC">
              <w:rPr>
                <w:rFonts w:eastAsia="Calibri"/>
                <w:color w:val="000000"/>
                <w:sz w:val="18"/>
                <w:szCs w:val="18"/>
              </w:rPr>
              <w:t>Implementation Grant Budget Form (HUD-53236)</w:t>
            </w:r>
            <w:r w:rsidRPr="004B43CC" w:rsidR="00D55F35">
              <w:rPr>
                <w:rFonts w:eastAsia="Calibri"/>
                <w:color w:val="000000"/>
                <w:sz w:val="18"/>
                <w:szCs w:val="18"/>
              </w:rPr>
              <w:t xml:space="preserve"> (Twice per year)</w:t>
            </w:r>
          </w:p>
        </w:tc>
        <w:tc>
          <w:tcPr>
            <w:tcW w:w="1362" w:type="dxa"/>
            <w:tcMar>
              <w:top w:w="0" w:type="dxa"/>
              <w:left w:w="108" w:type="dxa"/>
              <w:bottom w:w="0" w:type="dxa"/>
              <w:right w:w="108" w:type="dxa"/>
            </w:tcMar>
          </w:tcPr>
          <w:p w:rsidR="000A248D" w:rsidRPr="004B43CC" w:rsidP="000A248D" w14:paraId="23AAD9B5" w14:textId="57F3AC4F">
            <w:pPr>
              <w:adjustRightInd/>
              <w:jc w:val="center"/>
              <w:textAlignment w:val="auto"/>
              <w:rPr>
                <w:rFonts w:eastAsia="Calibri"/>
                <w:b/>
                <w:bCs/>
                <w:color w:val="000000"/>
                <w:sz w:val="18"/>
                <w:szCs w:val="18"/>
              </w:rPr>
            </w:pPr>
            <w:r w:rsidRPr="004B43CC">
              <w:rPr>
                <w:rFonts w:eastAsia="Calibri"/>
                <w:color w:val="000000"/>
                <w:sz w:val="18"/>
                <w:szCs w:val="18"/>
              </w:rPr>
              <w:t>37</w:t>
            </w:r>
          </w:p>
        </w:tc>
        <w:tc>
          <w:tcPr>
            <w:tcW w:w="1175" w:type="dxa"/>
            <w:tcMar>
              <w:top w:w="0" w:type="dxa"/>
              <w:left w:w="108" w:type="dxa"/>
              <w:bottom w:w="0" w:type="dxa"/>
              <w:right w:w="108" w:type="dxa"/>
            </w:tcMar>
          </w:tcPr>
          <w:p w:rsidR="000A248D" w:rsidRPr="004B43CC" w:rsidP="000A248D" w14:paraId="6C6EC334" w14:textId="6ABC57FD">
            <w:pPr>
              <w:adjustRightInd/>
              <w:jc w:val="center"/>
              <w:textAlignment w:val="auto"/>
              <w:rPr>
                <w:rFonts w:eastAsia="Calibri"/>
                <w:b/>
                <w:bCs/>
                <w:color w:val="000000"/>
                <w:sz w:val="18"/>
                <w:szCs w:val="18"/>
              </w:rPr>
            </w:pPr>
            <w:r w:rsidRPr="004B43CC">
              <w:rPr>
                <w:rFonts w:eastAsia="Calibri"/>
                <w:color w:val="000000"/>
                <w:sz w:val="18"/>
                <w:szCs w:val="18"/>
              </w:rPr>
              <w:t>2</w:t>
            </w:r>
          </w:p>
        </w:tc>
        <w:tc>
          <w:tcPr>
            <w:tcW w:w="1140" w:type="dxa"/>
            <w:tcMar>
              <w:top w:w="0" w:type="dxa"/>
              <w:left w:w="108" w:type="dxa"/>
              <w:bottom w:w="0" w:type="dxa"/>
              <w:right w:w="108" w:type="dxa"/>
            </w:tcMar>
          </w:tcPr>
          <w:p w:rsidR="000A248D" w:rsidRPr="004B43CC" w:rsidP="000A248D" w14:paraId="7043828C" w14:textId="667BD0CF">
            <w:pPr>
              <w:adjustRightInd/>
              <w:jc w:val="center"/>
              <w:textAlignment w:val="auto"/>
              <w:rPr>
                <w:rFonts w:eastAsia="Calibri"/>
                <w:b/>
                <w:bCs/>
                <w:color w:val="000000"/>
                <w:sz w:val="18"/>
                <w:szCs w:val="18"/>
              </w:rPr>
            </w:pPr>
            <w:r w:rsidRPr="004B43CC">
              <w:rPr>
                <w:rFonts w:eastAsia="Calibri"/>
                <w:color w:val="000000"/>
                <w:sz w:val="18"/>
                <w:szCs w:val="18"/>
              </w:rPr>
              <w:t>74</w:t>
            </w:r>
          </w:p>
        </w:tc>
        <w:tc>
          <w:tcPr>
            <w:tcW w:w="1058" w:type="dxa"/>
            <w:tcMar>
              <w:top w:w="0" w:type="dxa"/>
              <w:left w:w="108" w:type="dxa"/>
              <w:bottom w:w="0" w:type="dxa"/>
              <w:right w:w="108" w:type="dxa"/>
            </w:tcMar>
          </w:tcPr>
          <w:p w:rsidR="000A248D" w:rsidRPr="004B43CC" w:rsidP="000A248D" w14:paraId="68F41AFC" w14:textId="084DC26A">
            <w:pPr>
              <w:adjustRightInd/>
              <w:jc w:val="center"/>
              <w:textAlignment w:val="auto"/>
              <w:rPr>
                <w:rFonts w:eastAsia="Calibri"/>
                <w:color w:val="000000"/>
                <w:sz w:val="18"/>
                <w:szCs w:val="18"/>
              </w:rPr>
            </w:pPr>
            <w:r w:rsidRPr="004B43CC">
              <w:rPr>
                <w:rFonts w:eastAsia="Calibri"/>
                <w:color w:val="000000"/>
                <w:sz w:val="18"/>
                <w:szCs w:val="18"/>
              </w:rPr>
              <w:t>1</w:t>
            </w:r>
          </w:p>
        </w:tc>
        <w:tc>
          <w:tcPr>
            <w:tcW w:w="895" w:type="dxa"/>
            <w:tcMar>
              <w:top w:w="0" w:type="dxa"/>
              <w:left w:w="108" w:type="dxa"/>
              <w:bottom w:w="0" w:type="dxa"/>
              <w:right w:w="108" w:type="dxa"/>
            </w:tcMar>
          </w:tcPr>
          <w:p w:rsidR="000A248D" w:rsidRPr="004B43CC" w:rsidP="000A248D" w14:paraId="77BC2590" w14:textId="5E5EA3B1">
            <w:pPr>
              <w:adjustRightInd/>
              <w:jc w:val="center"/>
              <w:textAlignment w:val="auto"/>
              <w:rPr>
                <w:rFonts w:eastAsia="Calibri"/>
                <w:color w:val="000000"/>
                <w:sz w:val="18"/>
                <w:szCs w:val="18"/>
              </w:rPr>
            </w:pPr>
            <w:r w:rsidRPr="004B43CC">
              <w:rPr>
                <w:rFonts w:eastAsia="Calibri"/>
                <w:color w:val="000000"/>
                <w:sz w:val="18"/>
                <w:szCs w:val="18"/>
              </w:rPr>
              <w:t>74</w:t>
            </w:r>
          </w:p>
        </w:tc>
        <w:tc>
          <w:tcPr>
            <w:tcW w:w="1058" w:type="dxa"/>
            <w:tcMar>
              <w:top w:w="0" w:type="dxa"/>
              <w:left w:w="108" w:type="dxa"/>
              <w:bottom w:w="0" w:type="dxa"/>
              <w:right w:w="108" w:type="dxa"/>
            </w:tcMar>
          </w:tcPr>
          <w:p w:rsidR="000A248D" w:rsidRPr="004B43CC" w:rsidP="000A248D" w14:paraId="07F9F45C" w14:textId="6595629E">
            <w:pPr>
              <w:adjustRightInd/>
              <w:jc w:val="right"/>
              <w:textAlignment w:val="auto"/>
              <w:rPr>
                <w:rFonts w:eastAsia="Calibri"/>
                <w:color w:val="000000"/>
                <w:sz w:val="18"/>
                <w:szCs w:val="18"/>
              </w:rPr>
            </w:pPr>
            <w:r w:rsidRPr="004B43CC">
              <w:rPr>
                <w:rFonts w:eastAsia="Calibri"/>
                <w:color w:val="000000"/>
                <w:sz w:val="18"/>
                <w:szCs w:val="18"/>
              </w:rPr>
              <w:t>$65.48</w:t>
            </w:r>
          </w:p>
        </w:tc>
        <w:tc>
          <w:tcPr>
            <w:tcW w:w="1236" w:type="dxa"/>
            <w:tcMar>
              <w:top w:w="0" w:type="dxa"/>
              <w:left w:w="108" w:type="dxa"/>
              <w:bottom w:w="0" w:type="dxa"/>
              <w:right w:w="108" w:type="dxa"/>
            </w:tcMar>
          </w:tcPr>
          <w:p w:rsidR="000A248D" w:rsidRPr="004B43CC" w:rsidP="000A248D" w14:paraId="1B202865" w14:textId="6DA8F4B2">
            <w:pPr>
              <w:adjustRightInd/>
              <w:jc w:val="right"/>
              <w:textAlignment w:val="auto"/>
              <w:rPr>
                <w:rFonts w:eastAsia="Calibri"/>
                <w:color w:val="000000"/>
                <w:sz w:val="18"/>
                <w:szCs w:val="18"/>
              </w:rPr>
            </w:pPr>
            <w:r w:rsidRPr="004B43CC">
              <w:rPr>
                <w:rFonts w:eastAsia="Calibri"/>
                <w:color w:val="000000"/>
                <w:sz w:val="18"/>
                <w:szCs w:val="18"/>
              </w:rPr>
              <w:t>$4,845.52</w:t>
            </w:r>
          </w:p>
        </w:tc>
      </w:tr>
      <w:tr w14:paraId="3EA9DFC9"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0A248D" w:rsidRPr="004B43CC" w:rsidP="000A248D" w14:paraId="77738C86" w14:textId="691F5EE0">
            <w:pPr>
              <w:adjustRightInd/>
              <w:textAlignment w:val="auto"/>
              <w:rPr>
                <w:rFonts w:eastAsia="Calibri"/>
                <w:b/>
                <w:bCs/>
                <w:color w:val="000000"/>
                <w:sz w:val="18"/>
                <w:szCs w:val="18"/>
              </w:rPr>
            </w:pPr>
            <w:r w:rsidRPr="004B43CC">
              <w:rPr>
                <w:rFonts w:eastAsia="Calibri"/>
                <w:color w:val="000000"/>
                <w:sz w:val="18"/>
                <w:szCs w:val="18"/>
              </w:rPr>
              <w:t>Planning grantees quarterly reporting</w:t>
            </w:r>
            <w:r w:rsidRPr="004B43CC" w:rsidR="00D55F35">
              <w:rPr>
                <w:rFonts w:eastAsia="Calibri"/>
                <w:color w:val="000000"/>
                <w:sz w:val="18"/>
                <w:szCs w:val="18"/>
              </w:rPr>
              <w:t xml:space="preserve"> (Quarterly)</w:t>
            </w:r>
          </w:p>
        </w:tc>
        <w:tc>
          <w:tcPr>
            <w:tcW w:w="1362" w:type="dxa"/>
            <w:tcMar>
              <w:top w:w="0" w:type="dxa"/>
              <w:left w:w="108" w:type="dxa"/>
              <w:bottom w:w="0" w:type="dxa"/>
              <w:right w:w="108" w:type="dxa"/>
            </w:tcMar>
          </w:tcPr>
          <w:p w:rsidR="000A248D" w:rsidRPr="004B43CC" w:rsidP="000A248D" w14:paraId="26E2E45F" w14:textId="11CC8B89">
            <w:pPr>
              <w:adjustRightInd/>
              <w:jc w:val="center"/>
              <w:textAlignment w:val="auto"/>
              <w:rPr>
                <w:rFonts w:eastAsia="Calibri"/>
                <w:b/>
                <w:bCs/>
                <w:color w:val="000000"/>
                <w:sz w:val="18"/>
                <w:szCs w:val="18"/>
              </w:rPr>
            </w:pPr>
            <w:r w:rsidRPr="004B43CC">
              <w:rPr>
                <w:rFonts w:eastAsia="Calibri"/>
                <w:color w:val="000000"/>
                <w:sz w:val="18"/>
                <w:szCs w:val="18"/>
              </w:rPr>
              <w:t>27</w:t>
            </w:r>
          </w:p>
        </w:tc>
        <w:tc>
          <w:tcPr>
            <w:tcW w:w="1175" w:type="dxa"/>
            <w:tcMar>
              <w:top w:w="0" w:type="dxa"/>
              <w:left w:w="108" w:type="dxa"/>
              <w:bottom w:w="0" w:type="dxa"/>
              <w:right w:w="108" w:type="dxa"/>
            </w:tcMar>
          </w:tcPr>
          <w:p w:rsidR="000A248D" w:rsidRPr="004B43CC" w:rsidP="000A248D" w14:paraId="695FD55E" w14:textId="4B161163">
            <w:pPr>
              <w:adjustRightInd/>
              <w:jc w:val="center"/>
              <w:textAlignment w:val="auto"/>
              <w:rPr>
                <w:rFonts w:eastAsia="Calibri"/>
                <w:b/>
                <w:bCs/>
                <w:color w:val="000000"/>
                <w:sz w:val="18"/>
                <w:szCs w:val="18"/>
              </w:rPr>
            </w:pPr>
            <w:r w:rsidRPr="004B43CC">
              <w:rPr>
                <w:rFonts w:eastAsia="Calibri"/>
                <w:color w:val="000000"/>
                <w:sz w:val="18"/>
                <w:szCs w:val="18"/>
              </w:rPr>
              <w:t>4</w:t>
            </w:r>
          </w:p>
        </w:tc>
        <w:tc>
          <w:tcPr>
            <w:tcW w:w="1140" w:type="dxa"/>
            <w:tcMar>
              <w:top w:w="0" w:type="dxa"/>
              <w:left w:w="108" w:type="dxa"/>
              <w:bottom w:w="0" w:type="dxa"/>
              <w:right w:w="108" w:type="dxa"/>
            </w:tcMar>
          </w:tcPr>
          <w:p w:rsidR="000A248D" w:rsidRPr="004B43CC" w:rsidP="000A248D" w14:paraId="1C897495" w14:textId="1528BFD0">
            <w:pPr>
              <w:adjustRightInd/>
              <w:jc w:val="center"/>
              <w:textAlignment w:val="auto"/>
              <w:rPr>
                <w:rFonts w:eastAsia="Calibri"/>
                <w:b/>
                <w:bCs/>
                <w:color w:val="000000"/>
                <w:sz w:val="18"/>
                <w:szCs w:val="18"/>
              </w:rPr>
            </w:pPr>
            <w:r w:rsidRPr="004B43CC">
              <w:rPr>
                <w:rFonts w:eastAsia="Calibri"/>
                <w:color w:val="000000"/>
                <w:sz w:val="18"/>
                <w:szCs w:val="18"/>
              </w:rPr>
              <w:t>108</w:t>
            </w:r>
          </w:p>
        </w:tc>
        <w:tc>
          <w:tcPr>
            <w:tcW w:w="1058" w:type="dxa"/>
            <w:tcMar>
              <w:top w:w="0" w:type="dxa"/>
              <w:left w:w="108" w:type="dxa"/>
              <w:bottom w:w="0" w:type="dxa"/>
              <w:right w:w="108" w:type="dxa"/>
            </w:tcMar>
          </w:tcPr>
          <w:p w:rsidR="000A248D" w:rsidRPr="004B43CC" w:rsidP="000A248D" w14:paraId="604A2E27" w14:textId="2B0F581A">
            <w:pPr>
              <w:adjustRightInd/>
              <w:jc w:val="center"/>
              <w:textAlignment w:val="auto"/>
              <w:rPr>
                <w:rFonts w:eastAsia="Calibri"/>
                <w:color w:val="000000"/>
                <w:sz w:val="18"/>
                <w:szCs w:val="18"/>
              </w:rPr>
            </w:pPr>
            <w:r w:rsidRPr="004B43CC">
              <w:rPr>
                <w:rFonts w:eastAsia="Calibri"/>
                <w:color w:val="000000"/>
                <w:sz w:val="18"/>
                <w:szCs w:val="18"/>
              </w:rPr>
              <w:t>0.5</w:t>
            </w:r>
          </w:p>
        </w:tc>
        <w:tc>
          <w:tcPr>
            <w:tcW w:w="895" w:type="dxa"/>
            <w:tcMar>
              <w:top w:w="0" w:type="dxa"/>
              <w:left w:w="108" w:type="dxa"/>
              <w:bottom w:w="0" w:type="dxa"/>
              <w:right w:w="108" w:type="dxa"/>
            </w:tcMar>
          </w:tcPr>
          <w:p w:rsidR="000A248D" w:rsidRPr="004B43CC" w:rsidP="000A248D" w14:paraId="18D96696" w14:textId="367D0959">
            <w:pPr>
              <w:adjustRightInd/>
              <w:jc w:val="center"/>
              <w:textAlignment w:val="auto"/>
              <w:rPr>
                <w:rFonts w:eastAsia="Calibri"/>
                <w:color w:val="000000"/>
                <w:sz w:val="18"/>
                <w:szCs w:val="18"/>
              </w:rPr>
            </w:pPr>
            <w:r w:rsidRPr="004B43CC">
              <w:rPr>
                <w:rFonts w:eastAsia="Calibri"/>
                <w:color w:val="000000"/>
                <w:sz w:val="18"/>
                <w:szCs w:val="18"/>
              </w:rPr>
              <w:t>54</w:t>
            </w:r>
          </w:p>
        </w:tc>
        <w:tc>
          <w:tcPr>
            <w:tcW w:w="1058" w:type="dxa"/>
            <w:tcMar>
              <w:top w:w="0" w:type="dxa"/>
              <w:left w:w="108" w:type="dxa"/>
              <w:bottom w:w="0" w:type="dxa"/>
              <w:right w:w="108" w:type="dxa"/>
            </w:tcMar>
          </w:tcPr>
          <w:p w:rsidR="000A248D" w:rsidRPr="004B43CC" w:rsidP="000A248D" w14:paraId="674148DB" w14:textId="2EF5316C">
            <w:pPr>
              <w:adjustRightInd/>
              <w:jc w:val="right"/>
              <w:textAlignment w:val="auto"/>
              <w:rPr>
                <w:rFonts w:eastAsia="Calibri"/>
                <w:color w:val="000000"/>
                <w:sz w:val="18"/>
                <w:szCs w:val="18"/>
              </w:rPr>
            </w:pPr>
            <w:r w:rsidRPr="004B43CC">
              <w:rPr>
                <w:rFonts w:eastAsia="Calibri"/>
                <w:color w:val="000000"/>
                <w:sz w:val="18"/>
                <w:szCs w:val="18"/>
              </w:rPr>
              <w:t>$65.48</w:t>
            </w:r>
          </w:p>
        </w:tc>
        <w:tc>
          <w:tcPr>
            <w:tcW w:w="1236" w:type="dxa"/>
            <w:tcMar>
              <w:top w:w="0" w:type="dxa"/>
              <w:left w:w="108" w:type="dxa"/>
              <w:bottom w:w="0" w:type="dxa"/>
              <w:right w:w="108" w:type="dxa"/>
            </w:tcMar>
          </w:tcPr>
          <w:p w:rsidR="000A248D" w:rsidRPr="004B43CC" w:rsidP="000A248D" w14:paraId="4E94D485" w14:textId="46FA94A9">
            <w:pPr>
              <w:adjustRightInd/>
              <w:jc w:val="right"/>
              <w:textAlignment w:val="auto"/>
              <w:rPr>
                <w:rFonts w:eastAsia="Calibri"/>
                <w:color w:val="000000"/>
                <w:sz w:val="18"/>
                <w:szCs w:val="18"/>
              </w:rPr>
            </w:pPr>
            <w:r w:rsidRPr="004B43CC">
              <w:rPr>
                <w:rFonts w:eastAsia="Calibri"/>
                <w:color w:val="000000"/>
                <w:sz w:val="18"/>
                <w:szCs w:val="18"/>
              </w:rPr>
              <w:t>$3,535.92</w:t>
            </w:r>
          </w:p>
        </w:tc>
      </w:tr>
      <w:tr w14:paraId="16EA08C4"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0A248D" w:rsidRPr="004B43CC" w:rsidP="000A248D" w14:paraId="15FB0A53" w14:textId="57534EED">
            <w:pPr>
              <w:adjustRightInd/>
              <w:textAlignment w:val="auto"/>
              <w:rPr>
                <w:rFonts w:eastAsia="Calibri"/>
                <w:b/>
                <w:bCs/>
                <w:color w:val="000000"/>
                <w:sz w:val="18"/>
                <w:szCs w:val="18"/>
              </w:rPr>
            </w:pPr>
            <w:r w:rsidRPr="004B43CC">
              <w:rPr>
                <w:rFonts w:eastAsia="Calibri"/>
                <w:color w:val="000000"/>
                <w:sz w:val="18"/>
                <w:szCs w:val="18"/>
              </w:rPr>
              <w:t>Planning Grant Budget Form (HUD-53421)</w:t>
            </w:r>
          </w:p>
        </w:tc>
        <w:tc>
          <w:tcPr>
            <w:tcW w:w="1362" w:type="dxa"/>
            <w:tcMar>
              <w:top w:w="0" w:type="dxa"/>
              <w:left w:w="108" w:type="dxa"/>
              <w:bottom w:w="0" w:type="dxa"/>
              <w:right w:w="108" w:type="dxa"/>
            </w:tcMar>
          </w:tcPr>
          <w:p w:rsidR="000A248D" w:rsidRPr="004B43CC" w:rsidP="000A248D" w14:paraId="5AC7BFA2" w14:textId="3207B510">
            <w:pPr>
              <w:adjustRightInd/>
              <w:jc w:val="center"/>
              <w:textAlignment w:val="auto"/>
              <w:rPr>
                <w:rFonts w:eastAsia="Calibri"/>
                <w:b/>
                <w:bCs/>
                <w:color w:val="000000"/>
                <w:sz w:val="18"/>
                <w:szCs w:val="18"/>
              </w:rPr>
            </w:pPr>
            <w:r w:rsidRPr="004B43CC">
              <w:rPr>
                <w:rFonts w:eastAsia="Calibri"/>
                <w:color w:val="000000"/>
                <w:sz w:val="18"/>
                <w:szCs w:val="18"/>
              </w:rPr>
              <w:t>27</w:t>
            </w:r>
          </w:p>
        </w:tc>
        <w:tc>
          <w:tcPr>
            <w:tcW w:w="1175" w:type="dxa"/>
            <w:tcMar>
              <w:top w:w="0" w:type="dxa"/>
              <w:left w:w="108" w:type="dxa"/>
              <w:bottom w:w="0" w:type="dxa"/>
              <w:right w:w="108" w:type="dxa"/>
            </w:tcMar>
          </w:tcPr>
          <w:p w:rsidR="000A248D" w:rsidRPr="004B43CC" w:rsidP="000A248D" w14:paraId="3C0F8D82" w14:textId="38809B9A">
            <w:pPr>
              <w:adjustRightInd/>
              <w:jc w:val="center"/>
              <w:textAlignment w:val="auto"/>
              <w:rPr>
                <w:rFonts w:eastAsia="Calibri"/>
                <w:b/>
                <w:bCs/>
                <w:color w:val="000000"/>
                <w:sz w:val="18"/>
                <w:szCs w:val="18"/>
              </w:rPr>
            </w:pPr>
            <w:r w:rsidRPr="004B43CC">
              <w:rPr>
                <w:rFonts w:eastAsia="Calibri"/>
                <w:color w:val="000000"/>
                <w:sz w:val="18"/>
                <w:szCs w:val="18"/>
              </w:rPr>
              <w:t>1</w:t>
            </w:r>
          </w:p>
        </w:tc>
        <w:tc>
          <w:tcPr>
            <w:tcW w:w="1140" w:type="dxa"/>
            <w:tcMar>
              <w:top w:w="0" w:type="dxa"/>
              <w:left w:w="108" w:type="dxa"/>
              <w:bottom w:w="0" w:type="dxa"/>
              <w:right w:w="108" w:type="dxa"/>
            </w:tcMar>
          </w:tcPr>
          <w:p w:rsidR="000A248D" w:rsidRPr="004B43CC" w:rsidP="000A248D" w14:paraId="3BB47E08" w14:textId="48EE2B74">
            <w:pPr>
              <w:adjustRightInd/>
              <w:jc w:val="center"/>
              <w:textAlignment w:val="auto"/>
              <w:rPr>
                <w:rFonts w:eastAsia="Calibri"/>
                <w:b/>
                <w:bCs/>
                <w:color w:val="000000"/>
                <w:sz w:val="18"/>
                <w:szCs w:val="18"/>
              </w:rPr>
            </w:pPr>
            <w:r w:rsidRPr="004B43CC">
              <w:rPr>
                <w:rFonts w:eastAsia="Calibri"/>
                <w:color w:val="000000"/>
                <w:sz w:val="18"/>
                <w:szCs w:val="18"/>
              </w:rPr>
              <w:t>27</w:t>
            </w:r>
          </w:p>
        </w:tc>
        <w:tc>
          <w:tcPr>
            <w:tcW w:w="1058" w:type="dxa"/>
            <w:tcMar>
              <w:top w:w="0" w:type="dxa"/>
              <w:left w:w="108" w:type="dxa"/>
              <w:bottom w:w="0" w:type="dxa"/>
              <w:right w:w="108" w:type="dxa"/>
            </w:tcMar>
          </w:tcPr>
          <w:p w:rsidR="000A248D" w:rsidRPr="004B43CC" w:rsidP="000A248D" w14:paraId="1653CF87" w14:textId="1625E9AB">
            <w:pPr>
              <w:adjustRightInd/>
              <w:jc w:val="center"/>
              <w:textAlignment w:val="auto"/>
              <w:rPr>
                <w:rFonts w:eastAsia="Calibri"/>
                <w:color w:val="000000"/>
                <w:sz w:val="18"/>
                <w:szCs w:val="18"/>
              </w:rPr>
            </w:pPr>
            <w:r w:rsidRPr="004B43CC">
              <w:rPr>
                <w:rFonts w:eastAsia="Calibri"/>
                <w:color w:val="000000"/>
                <w:sz w:val="18"/>
                <w:szCs w:val="18"/>
              </w:rPr>
              <w:t>1</w:t>
            </w:r>
          </w:p>
        </w:tc>
        <w:tc>
          <w:tcPr>
            <w:tcW w:w="895" w:type="dxa"/>
            <w:tcMar>
              <w:top w:w="0" w:type="dxa"/>
              <w:left w:w="108" w:type="dxa"/>
              <w:bottom w:w="0" w:type="dxa"/>
              <w:right w:w="108" w:type="dxa"/>
            </w:tcMar>
          </w:tcPr>
          <w:p w:rsidR="000A248D" w:rsidRPr="004B43CC" w:rsidP="000A248D" w14:paraId="284D209F" w14:textId="62B47A06">
            <w:pPr>
              <w:adjustRightInd/>
              <w:jc w:val="center"/>
              <w:textAlignment w:val="auto"/>
              <w:rPr>
                <w:rFonts w:eastAsia="Calibri"/>
                <w:color w:val="000000"/>
                <w:sz w:val="18"/>
                <w:szCs w:val="18"/>
              </w:rPr>
            </w:pPr>
            <w:r w:rsidRPr="004B43CC">
              <w:rPr>
                <w:rFonts w:eastAsia="Calibri"/>
                <w:color w:val="000000"/>
                <w:sz w:val="18"/>
                <w:szCs w:val="18"/>
              </w:rPr>
              <w:t>27</w:t>
            </w:r>
          </w:p>
        </w:tc>
        <w:tc>
          <w:tcPr>
            <w:tcW w:w="1058" w:type="dxa"/>
            <w:tcMar>
              <w:top w:w="0" w:type="dxa"/>
              <w:left w:w="108" w:type="dxa"/>
              <w:bottom w:w="0" w:type="dxa"/>
              <w:right w:w="108" w:type="dxa"/>
            </w:tcMar>
          </w:tcPr>
          <w:p w:rsidR="000A248D" w:rsidRPr="004B43CC" w:rsidP="000A248D" w14:paraId="31E93E8B" w14:textId="0F75D6E7">
            <w:pPr>
              <w:adjustRightInd/>
              <w:jc w:val="right"/>
              <w:textAlignment w:val="auto"/>
              <w:rPr>
                <w:rFonts w:eastAsia="Calibri"/>
                <w:color w:val="000000"/>
                <w:sz w:val="18"/>
                <w:szCs w:val="18"/>
              </w:rPr>
            </w:pPr>
            <w:r w:rsidRPr="004B43CC">
              <w:rPr>
                <w:rFonts w:eastAsia="Calibri"/>
                <w:color w:val="000000"/>
                <w:sz w:val="18"/>
                <w:szCs w:val="18"/>
              </w:rPr>
              <w:t>$65.48</w:t>
            </w:r>
          </w:p>
        </w:tc>
        <w:tc>
          <w:tcPr>
            <w:tcW w:w="1236" w:type="dxa"/>
            <w:tcMar>
              <w:top w:w="0" w:type="dxa"/>
              <w:left w:w="108" w:type="dxa"/>
              <w:bottom w:w="0" w:type="dxa"/>
              <w:right w:w="108" w:type="dxa"/>
            </w:tcMar>
          </w:tcPr>
          <w:p w:rsidR="000A248D" w:rsidRPr="004B43CC" w:rsidP="000A248D" w14:paraId="5C11189C" w14:textId="01A4E3C4">
            <w:pPr>
              <w:adjustRightInd/>
              <w:jc w:val="right"/>
              <w:textAlignment w:val="auto"/>
              <w:rPr>
                <w:rFonts w:eastAsia="Calibri"/>
                <w:color w:val="000000"/>
                <w:sz w:val="18"/>
                <w:szCs w:val="18"/>
              </w:rPr>
            </w:pPr>
            <w:r w:rsidRPr="004B43CC">
              <w:rPr>
                <w:rFonts w:eastAsia="Calibri"/>
                <w:color w:val="000000"/>
                <w:sz w:val="18"/>
                <w:szCs w:val="18"/>
              </w:rPr>
              <w:t>$1,767.96</w:t>
            </w:r>
          </w:p>
        </w:tc>
      </w:tr>
      <w:tr w14:paraId="01572605"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0A248D" w:rsidRPr="004B43CC" w:rsidP="000A248D" w14:paraId="47F56BC7" w14:textId="075A51C8">
            <w:pPr>
              <w:adjustRightInd/>
              <w:textAlignment w:val="auto"/>
              <w:rPr>
                <w:rFonts w:eastAsia="Calibri"/>
                <w:color w:val="000000"/>
                <w:sz w:val="18"/>
                <w:szCs w:val="18"/>
              </w:rPr>
            </w:pPr>
            <w:r w:rsidRPr="004B43CC">
              <w:rPr>
                <w:rFonts w:eastAsia="Calibri"/>
                <w:color w:val="000000"/>
                <w:sz w:val="18"/>
                <w:szCs w:val="18"/>
              </w:rPr>
              <w:t>Actual Cost Certificate (HUD-50163) closeout</w:t>
            </w:r>
          </w:p>
        </w:tc>
        <w:tc>
          <w:tcPr>
            <w:tcW w:w="1362" w:type="dxa"/>
            <w:tcMar>
              <w:top w:w="0" w:type="dxa"/>
              <w:left w:w="108" w:type="dxa"/>
              <w:bottom w:w="0" w:type="dxa"/>
              <w:right w:w="108" w:type="dxa"/>
            </w:tcMar>
          </w:tcPr>
          <w:p w:rsidR="000A248D" w:rsidRPr="004B43CC" w:rsidP="000A248D" w14:paraId="2D349732" w14:textId="2F000F78">
            <w:pPr>
              <w:adjustRightInd/>
              <w:jc w:val="center"/>
              <w:textAlignment w:val="auto"/>
              <w:rPr>
                <w:rFonts w:eastAsia="Calibri"/>
                <w:color w:val="000000"/>
                <w:sz w:val="18"/>
                <w:szCs w:val="18"/>
              </w:rPr>
            </w:pPr>
            <w:r w:rsidRPr="004B43CC">
              <w:rPr>
                <w:rFonts w:eastAsia="Calibri"/>
                <w:color w:val="000000"/>
                <w:sz w:val="18"/>
                <w:szCs w:val="18"/>
              </w:rPr>
              <w:t>15</w:t>
            </w:r>
          </w:p>
        </w:tc>
        <w:tc>
          <w:tcPr>
            <w:tcW w:w="1175" w:type="dxa"/>
            <w:tcMar>
              <w:top w:w="0" w:type="dxa"/>
              <w:left w:w="108" w:type="dxa"/>
              <w:bottom w:w="0" w:type="dxa"/>
              <w:right w:w="108" w:type="dxa"/>
            </w:tcMar>
          </w:tcPr>
          <w:p w:rsidR="000A248D" w:rsidRPr="004B43CC" w:rsidP="000A248D" w14:paraId="55993433" w14:textId="408F7F89">
            <w:pPr>
              <w:adjustRightInd/>
              <w:jc w:val="center"/>
              <w:textAlignment w:val="auto"/>
              <w:rPr>
                <w:rFonts w:eastAsia="Calibri"/>
                <w:color w:val="000000"/>
                <w:sz w:val="18"/>
                <w:szCs w:val="18"/>
              </w:rPr>
            </w:pPr>
            <w:r w:rsidRPr="004B43CC">
              <w:rPr>
                <w:rFonts w:eastAsia="Calibri"/>
                <w:color w:val="000000"/>
                <w:sz w:val="18"/>
                <w:szCs w:val="18"/>
              </w:rPr>
              <w:t>1</w:t>
            </w:r>
          </w:p>
        </w:tc>
        <w:tc>
          <w:tcPr>
            <w:tcW w:w="1140" w:type="dxa"/>
            <w:tcMar>
              <w:top w:w="0" w:type="dxa"/>
              <w:left w:w="108" w:type="dxa"/>
              <w:bottom w:w="0" w:type="dxa"/>
              <w:right w:w="108" w:type="dxa"/>
            </w:tcMar>
          </w:tcPr>
          <w:p w:rsidR="000A248D" w:rsidRPr="004B43CC" w:rsidP="000A248D" w14:paraId="71747CF7" w14:textId="7DF472B6">
            <w:pPr>
              <w:adjustRightInd/>
              <w:jc w:val="center"/>
              <w:textAlignment w:val="auto"/>
              <w:rPr>
                <w:rFonts w:eastAsia="Calibri"/>
                <w:color w:val="000000"/>
                <w:sz w:val="18"/>
                <w:szCs w:val="18"/>
              </w:rPr>
            </w:pPr>
            <w:r w:rsidRPr="004B43CC">
              <w:rPr>
                <w:rFonts w:eastAsia="Calibri"/>
                <w:color w:val="000000"/>
                <w:sz w:val="18"/>
                <w:szCs w:val="18"/>
              </w:rPr>
              <w:t>15</w:t>
            </w:r>
          </w:p>
        </w:tc>
        <w:tc>
          <w:tcPr>
            <w:tcW w:w="1058" w:type="dxa"/>
            <w:tcMar>
              <w:top w:w="0" w:type="dxa"/>
              <w:left w:w="108" w:type="dxa"/>
              <w:bottom w:w="0" w:type="dxa"/>
              <w:right w:w="108" w:type="dxa"/>
            </w:tcMar>
          </w:tcPr>
          <w:p w:rsidR="000A248D" w:rsidRPr="004B43CC" w:rsidP="000A248D" w14:paraId="1CEAF3E9" w14:textId="11A93472">
            <w:pPr>
              <w:adjustRightInd/>
              <w:jc w:val="center"/>
              <w:textAlignment w:val="auto"/>
              <w:rPr>
                <w:rFonts w:eastAsia="Calibri"/>
                <w:color w:val="000000"/>
                <w:sz w:val="18"/>
                <w:szCs w:val="18"/>
              </w:rPr>
            </w:pPr>
            <w:r w:rsidRPr="004B43CC">
              <w:rPr>
                <w:rFonts w:eastAsia="Calibri"/>
                <w:color w:val="000000"/>
                <w:sz w:val="18"/>
                <w:szCs w:val="18"/>
              </w:rPr>
              <w:t>0.75</w:t>
            </w:r>
          </w:p>
        </w:tc>
        <w:tc>
          <w:tcPr>
            <w:tcW w:w="895" w:type="dxa"/>
            <w:tcMar>
              <w:top w:w="0" w:type="dxa"/>
              <w:left w:w="108" w:type="dxa"/>
              <w:bottom w:w="0" w:type="dxa"/>
              <w:right w:w="108" w:type="dxa"/>
            </w:tcMar>
          </w:tcPr>
          <w:p w:rsidR="000A248D" w:rsidRPr="004B43CC" w:rsidP="000A248D" w14:paraId="7C9C05EF" w14:textId="5175EC0D">
            <w:pPr>
              <w:adjustRightInd/>
              <w:jc w:val="center"/>
              <w:textAlignment w:val="auto"/>
              <w:rPr>
                <w:rFonts w:eastAsia="Calibri"/>
                <w:color w:val="000000"/>
                <w:sz w:val="18"/>
                <w:szCs w:val="18"/>
              </w:rPr>
            </w:pPr>
            <w:r w:rsidRPr="004B43CC">
              <w:rPr>
                <w:rFonts w:eastAsia="Calibri"/>
                <w:color w:val="000000"/>
                <w:sz w:val="18"/>
                <w:szCs w:val="18"/>
              </w:rPr>
              <w:t>11.25</w:t>
            </w:r>
          </w:p>
        </w:tc>
        <w:tc>
          <w:tcPr>
            <w:tcW w:w="1058" w:type="dxa"/>
            <w:tcMar>
              <w:top w:w="0" w:type="dxa"/>
              <w:left w:w="108" w:type="dxa"/>
              <w:bottom w:w="0" w:type="dxa"/>
              <w:right w:w="108" w:type="dxa"/>
            </w:tcMar>
          </w:tcPr>
          <w:p w:rsidR="000A248D" w:rsidRPr="004B43CC" w:rsidP="000A248D" w14:paraId="089CAF4B" w14:textId="36C20727">
            <w:pPr>
              <w:adjustRightInd/>
              <w:jc w:val="right"/>
              <w:textAlignment w:val="auto"/>
              <w:rPr>
                <w:rFonts w:eastAsia="Calibri"/>
                <w:color w:val="000000"/>
                <w:sz w:val="18"/>
                <w:szCs w:val="18"/>
              </w:rPr>
            </w:pPr>
            <w:r w:rsidRPr="004B43CC">
              <w:rPr>
                <w:rFonts w:eastAsia="Calibri"/>
                <w:color w:val="000000"/>
                <w:sz w:val="18"/>
                <w:szCs w:val="18"/>
              </w:rPr>
              <w:t>$65.48</w:t>
            </w:r>
          </w:p>
        </w:tc>
        <w:tc>
          <w:tcPr>
            <w:tcW w:w="1236" w:type="dxa"/>
            <w:tcMar>
              <w:top w:w="0" w:type="dxa"/>
              <w:left w:w="108" w:type="dxa"/>
              <w:bottom w:w="0" w:type="dxa"/>
              <w:right w:w="108" w:type="dxa"/>
            </w:tcMar>
          </w:tcPr>
          <w:p w:rsidR="000A248D" w:rsidRPr="004B43CC" w:rsidP="000A248D" w14:paraId="7DFD8152" w14:textId="7A617A1B">
            <w:pPr>
              <w:adjustRightInd/>
              <w:jc w:val="right"/>
              <w:textAlignment w:val="auto"/>
              <w:rPr>
                <w:rFonts w:eastAsia="Calibri"/>
                <w:color w:val="000000"/>
                <w:sz w:val="18"/>
                <w:szCs w:val="18"/>
              </w:rPr>
            </w:pPr>
            <w:r w:rsidRPr="004B43CC">
              <w:rPr>
                <w:rFonts w:eastAsia="Calibri"/>
                <w:color w:val="000000"/>
                <w:sz w:val="18"/>
                <w:szCs w:val="18"/>
              </w:rPr>
              <w:t>$736.65</w:t>
            </w:r>
          </w:p>
        </w:tc>
      </w:tr>
      <w:tr w14:paraId="59EE0B1F"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237EB3" w:rsidRPr="004B43CC" w:rsidP="00237EB3" w14:paraId="3D181C84" w14:textId="4A4282C6">
            <w:pPr>
              <w:adjustRightInd/>
              <w:textAlignment w:val="auto"/>
              <w:rPr>
                <w:rFonts w:eastAsia="Calibri"/>
                <w:color w:val="000000"/>
                <w:sz w:val="18"/>
                <w:szCs w:val="18"/>
              </w:rPr>
            </w:pPr>
            <w:r w:rsidRPr="004B43CC">
              <w:rPr>
                <w:rFonts w:eastAsia="Calibri"/>
                <w:color w:val="000000"/>
                <w:sz w:val="18"/>
                <w:szCs w:val="18"/>
              </w:rPr>
              <w:t>Voucher payments using eLOCCS (once per month) (OMB Approval No. 2535-0102)</w:t>
            </w:r>
          </w:p>
        </w:tc>
        <w:tc>
          <w:tcPr>
            <w:tcW w:w="1362" w:type="dxa"/>
            <w:tcMar>
              <w:top w:w="0" w:type="dxa"/>
              <w:left w:w="108" w:type="dxa"/>
              <w:bottom w:w="0" w:type="dxa"/>
              <w:right w:w="108" w:type="dxa"/>
            </w:tcMar>
          </w:tcPr>
          <w:p w:rsidR="00237EB3" w:rsidRPr="004B43CC" w:rsidP="00237EB3" w14:paraId="610AD6EF" w14:textId="749FB9FF">
            <w:pPr>
              <w:adjustRightInd/>
              <w:jc w:val="center"/>
              <w:textAlignment w:val="auto"/>
              <w:rPr>
                <w:rFonts w:eastAsia="Calibri"/>
                <w:color w:val="000000"/>
                <w:sz w:val="18"/>
                <w:szCs w:val="18"/>
              </w:rPr>
            </w:pPr>
            <w:r w:rsidRPr="004B43CC">
              <w:rPr>
                <w:rFonts w:eastAsia="Calibri"/>
                <w:color w:val="000000"/>
                <w:sz w:val="18"/>
                <w:szCs w:val="18"/>
              </w:rPr>
              <w:t>64</w:t>
            </w:r>
          </w:p>
        </w:tc>
        <w:tc>
          <w:tcPr>
            <w:tcW w:w="1175" w:type="dxa"/>
            <w:tcMar>
              <w:top w:w="0" w:type="dxa"/>
              <w:left w:w="108" w:type="dxa"/>
              <w:bottom w:w="0" w:type="dxa"/>
              <w:right w:w="108" w:type="dxa"/>
            </w:tcMar>
          </w:tcPr>
          <w:p w:rsidR="00237EB3" w:rsidRPr="004B43CC" w:rsidP="00237EB3" w14:paraId="77E466A3" w14:textId="2EAF6433">
            <w:pPr>
              <w:adjustRightInd/>
              <w:jc w:val="center"/>
              <w:textAlignment w:val="auto"/>
              <w:rPr>
                <w:rFonts w:eastAsia="Calibri"/>
                <w:color w:val="000000"/>
                <w:sz w:val="18"/>
                <w:szCs w:val="18"/>
              </w:rPr>
            </w:pPr>
            <w:r w:rsidRPr="004B43CC">
              <w:rPr>
                <w:rFonts w:eastAsia="Calibri"/>
                <w:color w:val="000000"/>
                <w:sz w:val="18"/>
                <w:szCs w:val="18"/>
              </w:rPr>
              <w:t>12</w:t>
            </w:r>
          </w:p>
        </w:tc>
        <w:tc>
          <w:tcPr>
            <w:tcW w:w="1140" w:type="dxa"/>
            <w:tcMar>
              <w:top w:w="0" w:type="dxa"/>
              <w:left w:w="108" w:type="dxa"/>
              <w:bottom w:w="0" w:type="dxa"/>
              <w:right w:w="108" w:type="dxa"/>
            </w:tcMar>
          </w:tcPr>
          <w:p w:rsidR="00237EB3" w:rsidRPr="004B43CC" w:rsidP="00237EB3" w14:paraId="104276ED" w14:textId="19A3B60C">
            <w:pPr>
              <w:adjustRightInd/>
              <w:jc w:val="center"/>
              <w:textAlignment w:val="auto"/>
              <w:rPr>
                <w:rFonts w:eastAsia="Calibri"/>
                <w:color w:val="000000"/>
                <w:sz w:val="18"/>
                <w:szCs w:val="18"/>
              </w:rPr>
            </w:pPr>
            <w:r w:rsidRPr="004B43CC">
              <w:rPr>
                <w:rFonts w:eastAsia="Calibri"/>
                <w:color w:val="000000"/>
                <w:sz w:val="18"/>
                <w:szCs w:val="18"/>
              </w:rPr>
              <w:t>768</w:t>
            </w:r>
          </w:p>
        </w:tc>
        <w:tc>
          <w:tcPr>
            <w:tcW w:w="1058" w:type="dxa"/>
            <w:tcMar>
              <w:top w:w="0" w:type="dxa"/>
              <w:left w:w="108" w:type="dxa"/>
              <w:bottom w:w="0" w:type="dxa"/>
              <w:right w:w="108" w:type="dxa"/>
            </w:tcMar>
          </w:tcPr>
          <w:p w:rsidR="00237EB3" w:rsidRPr="004B43CC" w:rsidP="00237EB3" w14:paraId="60D91160" w14:textId="388BA2B5">
            <w:pPr>
              <w:adjustRightInd/>
              <w:jc w:val="center"/>
              <w:textAlignment w:val="auto"/>
              <w:rPr>
                <w:rFonts w:eastAsia="Calibri"/>
                <w:color w:val="000000"/>
                <w:sz w:val="18"/>
                <w:szCs w:val="18"/>
              </w:rPr>
            </w:pPr>
            <w:r w:rsidRPr="004B43CC">
              <w:rPr>
                <w:rFonts w:eastAsia="Calibri"/>
                <w:color w:val="000000"/>
                <w:sz w:val="18"/>
                <w:szCs w:val="18"/>
              </w:rPr>
              <w:t>0</w:t>
            </w:r>
          </w:p>
        </w:tc>
        <w:tc>
          <w:tcPr>
            <w:tcW w:w="895" w:type="dxa"/>
            <w:tcMar>
              <w:top w:w="0" w:type="dxa"/>
              <w:left w:w="108" w:type="dxa"/>
              <w:bottom w:w="0" w:type="dxa"/>
              <w:right w:w="108" w:type="dxa"/>
            </w:tcMar>
          </w:tcPr>
          <w:p w:rsidR="00237EB3" w:rsidRPr="004B43CC" w:rsidP="00237EB3" w14:paraId="027C8152" w14:textId="5FEDC402">
            <w:pPr>
              <w:adjustRightInd/>
              <w:jc w:val="center"/>
              <w:textAlignment w:val="auto"/>
              <w:rPr>
                <w:rFonts w:eastAsia="Calibri"/>
                <w:color w:val="000000"/>
                <w:sz w:val="18"/>
                <w:szCs w:val="18"/>
              </w:rPr>
            </w:pPr>
            <w:r w:rsidRPr="004B43CC">
              <w:rPr>
                <w:rFonts w:eastAsia="Calibri"/>
                <w:color w:val="000000"/>
                <w:sz w:val="18"/>
                <w:szCs w:val="18"/>
              </w:rPr>
              <w:t>0</w:t>
            </w:r>
          </w:p>
        </w:tc>
        <w:tc>
          <w:tcPr>
            <w:tcW w:w="1058" w:type="dxa"/>
            <w:tcMar>
              <w:top w:w="0" w:type="dxa"/>
              <w:left w:w="108" w:type="dxa"/>
              <w:bottom w:w="0" w:type="dxa"/>
              <w:right w:w="108" w:type="dxa"/>
            </w:tcMar>
          </w:tcPr>
          <w:p w:rsidR="00237EB3" w:rsidRPr="004B43CC" w:rsidP="00237EB3" w14:paraId="7D79DA69" w14:textId="3F855ACA">
            <w:pPr>
              <w:adjustRightInd/>
              <w:jc w:val="right"/>
              <w:textAlignment w:val="auto"/>
              <w:rPr>
                <w:rFonts w:eastAsia="Calibri"/>
                <w:color w:val="000000"/>
                <w:sz w:val="18"/>
                <w:szCs w:val="18"/>
              </w:rPr>
            </w:pPr>
            <w:r w:rsidRPr="004B43CC">
              <w:rPr>
                <w:rFonts w:eastAsia="Calibri"/>
                <w:color w:val="000000"/>
                <w:sz w:val="18"/>
                <w:szCs w:val="18"/>
              </w:rPr>
              <w:t>0</w:t>
            </w:r>
          </w:p>
        </w:tc>
        <w:tc>
          <w:tcPr>
            <w:tcW w:w="1236" w:type="dxa"/>
            <w:tcMar>
              <w:top w:w="0" w:type="dxa"/>
              <w:left w:w="108" w:type="dxa"/>
              <w:bottom w:w="0" w:type="dxa"/>
              <w:right w:w="108" w:type="dxa"/>
            </w:tcMar>
          </w:tcPr>
          <w:p w:rsidR="00237EB3" w:rsidRPr="004B43CC" w:rsidP="00237EB3" w14:paraId="46BCF41E" w14:textId="79F8DDF5">
            <w:pPr>
              <w:adjustRightInd/>
              <w:jc w:val="right"/>
              <w:textAlignment w:val="auto"/>
              <w:rPr>
                <w:rFonts w:eastAsia="Calibri"/>
                <w:color w:val="000000"/>
                <w:sz w:val="18"/>
                <w:szCs w:val="18"/>
              </w:rPr>
            </w:pPr>
            <w:r w:rsidRPr="004B43CC">
              <w:rPr>
                <w:rFonts w:eastAsia="Calibri"/>
                <w:color w:val="000000"/>
                <w:sz w:val="18"/>
                <w:szCs w:val="18"/>
              </w:rPr>
              <w:t>0</w:t>
            </w:r>
          </w:p>
        </w:tc>
      </w:tr>
      <w:tr w14:paraId="707DF0C5" w14:textId="77777777" w:rsidTr="004B43CC">
        <w:tblPrEx>
          <w:tblW w:w="9900" w:type="dxa"/>
          <w:tblInd w:w="170" w:type="dxa"/>
          <w:tblCellMar>
            <w:left w:w="0" w:type="dxa"/>
            <w:right w:w="0" w:type="dxa"/>
          </w:tblCellMar>
          <w:tblLook w:val="04A0"/>
        </w:tblPrEx>
        <w:tc>
          <w:tcPr>
            <w:tcW w:w="1976" w:type="dxa"/>
            <w:tcMar>
              <w:top w:w="0" w:type="dxa"/>
              <w:left w:w="108" w:type="dxa"/>
              <w:bottom w:w="0" w:type="dxa"/>
              <w:right w:w="108" w:type="dxa"/>
            </w:tcMar>
          </w:tcPr>
          <w:p w:rsidR="00237EB3" w:rsidRPr="004B43CC" w:rsidP="00237EB3" w14:paraId="2A44A13C" w14:textId="2A8A98C6">
            <w:pPr>
              <w:adjustRightInd/>
              <w:textAlignment w:val="auto"/>
              <w:rPr>
                <w:rFonts w:eastAsia="Calibri"/>
                <w:color w:val="000000"/>
                <w:sz w:val="18"/>
                <w:szCs w:val="18"/>
              </w:rPr>
            </w:pPr>
            <w:r w:rsidRPr="004B43CC">
              <w:rPr>
                <w:rFonts w:eastAsia="Calibri"/>
                <w:color w:val="000000"/>
                <w:sz w:val="18"/>
                <w:szCs w:val="18"/>
              </w:rPr>
              <w:t>Total</w:t>
            </w:r>
          </w:p>
        </w:tc>
        <w:tc>
          <w:tcPr>
            <w:tcW w:w="1362" w:type="dxa"/>
            <w:tcMar>
              <w:top w:w="0" w:type="dxa"/>
              <w:left w:w="108" w:type="dxa"/>
              <w:bottom w:w="0" w:type="dxa"/>
              <w:right w:w="108" w:type="dxa"/>
            </w:tcMar>
          </w:tcPr>
          <w:p w:rsidR="00237EB3" w:rsidRPr="004B43CC" w:rsidP="00237EB3" w14:paraId="25EA480D" w14:textId="4401F0DF">
            <w:pPr>
              <w:adjustRightInd/>
              <w:jc w:val="center"/>
              <w:textAlignment w:val="auto"/>
              <w:rPr>
                <w:rFonts w:eastAsia="Calibri"/>
                <w:b/>
                <w:bCs/>
                <w:color w:val="000000"/>
                <w:sz w:val="18"/>
                <w:szCs w:val="18"/>
              </w:rPr>
            </w:pPr>
            <w:r w:rsidRPr="004B43CC">
              <w:rPr>
                <w:rFonts w:eastAsia="Calibri"/>
                <w:b/>
                <w:bCs/>
                <w:color w:val="000000"/>
                <w:sz w:val="18"/>
                <w:szCs w:val="18"/>
              </w:rPr>
              <w:t>207</w:t>
            </w:r>
          </w:p>
        </w:tc>
        <w:tc>
          <w:tcPr>
            <w:tcW w:w="1175" w:type="dxa"/>
            <w:tcMar>
              <w:top w:w="0" w:type="dxa"/>
              <w:left w:w="108" w:type="dxa"/>
              <w:bottom w:w="0" w:type="dxa"/>
              <w:right w:w="108" w:type="dxa"/>
            </w:tcMar>
          </w:tcPr>
          <w:p w:rsidR="00237EB3" w:rsidRPr="004B43CC" w:rsidP="00237EB3" w14:paraId="27DAD89D" w14:textId="77777777">
            <w:pPr>
              <w:adjustRightInd/>
              <w:jc w:val="center"/>
              <w:textAlignment w:val="auto"/>
              <w:rPr>
                <w:rFonts w:eastAsia="Calibri"/>
                <w:color w:val="000000"/>
                <w:sz w:val="18"/>
                <w:szCs w:val="18"/>
              </w:rPr>
            </w:pPr>
          </w:p>
        </w:tc>
        <w:tc>
          <w:tcPr>
            <w:tcW w:w="1140" w:type="dxa"/>
            <w:tcMar>
              <w:top w:w="0" w:type="dxa"/>
              <w:left w:w="108" w:type="dxa"/>
              <w:bottom w:w="0" w:type="dxa"/>
              <w:right w:w="108" w:type="dxa"/>
            </w:tcMar>
          </w:tcPr>
          <w:p w:rsidR="00237EB3" w:rsidRPr="004B43CC" w:rsidP="00237EB3" w14:paraId="11B4DA3A" w14:textId="38369B8E">
            <w:pPr>
              <w:adjustRightInd/>
              <w:jc w:val="center"/>
              <w:textAlignment w:val="auto"/>
              <w:rPr>
                <w:rFonts w:eastAsia="Calibri"/>
                <w:color w:val="000000"/>
                <w:sz w:val="18"/>
                <w:szCs w:val="18"/>
              </w:rPr>
            </w:pPr>
            <w:r w:rsidRPr="004B43CC">
              <w:rPr>
                <w:rFonts w:eastAsia="Calibri"/>
                <w:b/>
                <w:bCs/>
                <w:color w:val="000000"/>
                <w:sz w:val="18"/>
                <w:szCs w:val="18"/>
              </w:rPr>
              <w:t>1</w:t>
            </w:r>
            <w:r w:rsidRPr="004B43CC" w:rsidR="004B43CC">
              <w:rPr>
                <w:rFonts w:eastAsia="Calibri"/>
                <w:b/>
                <w:bCs/>
                <w:color w:val="000000"/>
                <w:sz w:val="18"/>
                <w:szCs w:val="18"/>
              </w:rPr>
              <w:t>,</w:t>
            </w:r>
            <w:r w:rsidRPr="004B43CC">
              <w:rPr>
                <w:rFonts w:eastAsia="Calibri"/>
                <w:b/>
                <w:bCs/>
                <w:color w:val="000000"/>
                <w:sz w:val="18"/>
                <w:szCs w:val="18"/>
              </w:rPr>
              <w:t>140</w:t>
            </w:r>
          </w:p>
        </w:tc>
        <w:tc>
          <w:tcPr>
            <w:tcW w:w="1058" w:type="dxa"/>
            <w:tcMar>
              <w:top w:w="0" w:type="dxa"/>
              <w:left w:w="108" w:type="dxa"/>
              <w:bottom w:w="0" w:type="dxa"/>
              <w:right w:w="108" w:type="dxa"/>
            </w:tcMar>
          </w:tcPr>
          <w:p w:rsidR="00237EB3" w:rsidRPr="004B43CC" w:rsidP="00237EB3" w14:paraId="622498B8" w14:textId="77777777">
            <w:pPr>
              <w:adjustRightInd/>
              <w:jc w:val="center"/>
              <w:textAlignment w:val="auto"/>
              <w:rPr>
                <w:rFonts w:eastAsia="Calibri"/>
                <w:color w:val="000000"/>
                <w:sz w:val="18"/>
                <w:szCs w:val="18"/>
              </w:rPr>
            </w:pPr>
          </w:p>
        </w:tc>
        <w:tc>
          <w:tcPr>
            <w:tcW w:w="895" w:type="dxa"/>
            <w:tcMar>
              <w:top w:w="0" w:type="dxa"/>
              <w:left w:w="108" w:type="dxa"/>
              <w:bottom w:w="0" w:type="dxa"/>
              <w:right w:w="108" w:type="dxa"/>
            </w:tcMar>
          </w:tcPr>
          <w:p w:rsidR="00237EB3" w:rsidRPr="004B43CC" w:rsidP="00237EB3" w14:paraId="3103A6C8" w14:textId="772E1EBC">
            <w:pPr>
              <w:adjustRightInd/>
              <w:jc w:val="center"/>
              <w:textAlignment w:val="auto"/>
              <w:rPr>
                <w:rFonts w:eastAsia="Calibri"/>
                <w:b/>
                <w:bCs/>
                <w:color w:val="000000"/>
                <w:sz w:val="18"/>
                <w:szCs w:val="18"/>
              </w:rPr>
            </w:pPr>
            <w:r w:rsidRPr="004B43CC">
              <w:rPr>
                <w:rFonts w:eastAsia="Calibri"/>
                <w:b/>
                <w:bCs/>
                <w:color w:val="000000"/>
                <w:sz w:val="18"/>
                <w:szCs w:val="18"/>
              </w:rPr>
              <w:t>388.25</w:t>
            </w:r>
          </w:p>
        </w:tc>
        <w:tc>
          <w:tcPr>
            <w:tcW w:w="1058" w:type="dxa"/>
            <w:tcMar>
              <w:top w:w="0" w:type="dxa"/>
              <w:left w:w="108" w:type="dxa"/>
              <w:bottom w:w="0" w:type="dxa"/>
              <w:right w:w="108" w:type="dxa"/>
            </w:tcMar>
          </w:tcPr>
          <w:p w:rsidR="00237EB3" w:rsidRPr="004B43CC" w:rsidP="00237EB3" w14:paraId="74221B9F" w14:textId="77777777">
            <w:pPr>
              <w:adjustRightInd/>
              <w:jc w:val="right"/>
              <w:textAlignment w:val="auto"/>
              <w:rPr>
                <w:rFonts w:eastAsia="Calibri"/>
                <w:color w:val="000000"/>
                <w:sz w:val="18"/>
                <w:szCs w:val="18"/>
              </w:rPr>
            </w:pPr>
          </w:p>
        </w:tc>
        <w:tc>
          <w:tcPr>
            <w:tcW w:w="1236" w:type="dxa"/>
            <w:tcMar>
              <w:top w:w="0" w:type="dxa"/>
              <w:left w:w="108" w:type="dxa"/>
              <w:bottom w:w="0" w:type="dxa"/>
              <w:right w:w="108" w:type="dxa"/>
            </w:tcMar>
          </w:tcPr>
          <w:p w:rsidR="00237EB3" w:rsidRPr="004B43CC" w:rsidP="00237EB3" w14:paraId="5B8AA237" w14:textId="610FDB91">
            <w:pPr>
              <w:adjustRightInd/>
              <w:jc w:val="right"/>
              <w:textAlignment w:val="auto"/>
              <w:rPr>
                <w:rFonts w:eastAsia="Calibri"/>
                <w:color w:val="000000"/>
                <w:sz w:val="18"/>
                <w:szCs w:val="18"/>
              </w:rPr>
            </w:pPr>
            <w:r w:rsidRPr="004B43CC">
              <w:rPr>
                <w:rFonts w:eastAsia="Calibri"/>
                <w:b/>
                <w:bCs/>
                <w:color w:val="000000"/>
                <w:sz w:val="18"/>
                <w:szCs w:val="18"/>
              </w:rPr>
              <w:t>$25,422.61</w:t>
            </w:r>
          </w:p>
        </w:tc>
      </w:tr>
    </w:tbl>
    <w:p w:rsidR="009E13B1" w:rsidRPr="006C7FAE" w:rsidP="00167E53" w14:paraId="2B5F16DA" w14:textId="77777777">
      <w:pPr>
        <w:keepLines/>
        <w:tabs>
          <w:tab w:val="left" w:pos="360"/>
          <w:tab w:val="left" w:pos="720"/>
        </w:tabs>
        <w:ind w:left="720"/>
      </w:pPr>
    </w:p>
    <w:p w:rsidR="009E13B1" w14:paraId="79FC8641" w14:textId="33381A79">
      <w:pPr>
        <w:tabs>
          <w:tab w:val="left" w:pos="360"/>
        </w:tabs>
        <w:ind w:left="360" w:hanging="360"/>
        <w:rPr>
          <w:sz w:val="24"/>
          <w:szCs w:val="24"/>
        </w:rPr>
      </w:pPr>
      <w:r>
        <w:rPr>
          <w:sz w:val="24"/>
          <w:szCs w:val="24"/>
        </w:rPr>
        <w:tab/>
      </w:r>
      <w:r w:rsidR="00AC77D3">
        <w:rPr>
          <w:sz w:val="24"/>
          <w:szCs w:val="24"/>
        </w:rPr>
        <w:t xml:space="preserve">The ‘Number of Respondents’ is based on average of number of active grantees.  Frequency is based on reporting requirements (for quarterly reports and closeout documents) and typical experience of prior/current grantees (budget form and LOCCS voucher payments).  </w:t>
      </w:r>
      <w:r w:rsidR="000A248D">
        <w:rPr>
          <w:sz w:val="24"/>
          <w:szCs w:val="24"/>
        </w:rPr>
        <w:t>Salary: OPM 2025, GS-13-5 for Washington, DC metro area</w:t>
      </w:r>
    </w:p>
    <w:p w:rsidR="006C7FAE" w:rsidRPr="006C7FAE" w14:paraId="67B75C61" w14:textId="77777777">
      <w:pPr>
        <w:tabs>
          <w:tab w:val="left" w:pos="360"/>
        </w:tabs>
        <w:ind w:left="360" w:hanging="360"/>
        <w:rPr>
          <w:sz w:val="24"/>
          <w:szCs w:val="24"/>
        </w:rPr>
      </w:pPr>
    </w:p>
    <w:p w:rsidR="009E13B1" w:rsidRPr="00E72B01" w14:paraId="005FDD51" w14:textId="77777777">
      <w:pPr>
        <w:keepLines/>
        <w:tabs>
          <w:tab w:val="left" w:pos="360"/>
        </w:tabs>
        <w:spacing w:after="80"/>
        <w:ind w:left="360" w:hanging="360"/>
        <w:rPr>
          <w:b/>
          <w:bCs/>
          <w:sz w:val="24"/>
          <w:szCs w:val="24"/>
        </w:rPr>
      </w:pPr>
      <w:r w:rsidRPr="006C7FAE">
        <w:rPr>
          <w:sz w:val="24"/>
          <w:szCs w:val="24"/>
        </w:rPr>
        <w:t>15.</w:t>
      </w:r>
      <w:r w:rsidRPr="006C7FAE">
        <w:rPr>
          <w:sz w:val="24"/>
          <w:szCs w:val="24"/>
        </w:rPr>
        <w:tab/>
      </w:r>
      <w:r w:rsidRPr="00E72B01">
        <w:rPr>
          <w:b/>
          <w:bCs/>
          <w:sz w:val="24"/>
          <w:szCs w:val="24"/>
        </w:rPr>
        <w:t>Explain the reasons for any program changes or adjustments reported in Items 1</w:t>
      </w:r>
      <w:r w:rsidRPr="00E72B01" w:rsidR="000D5079">
        <w:rPr>
          <w:b/>
          <w:bCs/>
          <w:sz w:val="24"/>
          <w:szCs w:val="24"/>
        </w:rPr>
        <w:t>2</w:t>
      </w:r>
      <w:r w:rsidRPr="00E72B01">
        <w:rPr>
          <w:b/>
          <w:bCs/>
          <w:sz w:val="24"/>
          <w:szCs w:val="24"/>
        </w:rPr>
        <w:t xml:space="preserve"> and 14 of the </w:t>
      </w:r>
      <w:r w:rsidRPr="00E72B01" w:rsidR="00CA06CC">
        <w:rPr>
          <w:b/>
          <w:bCs/>
          <w:sz w:val="24"/>
          <w:szCs w:val="24"/>
        </w:rPr>
        <w:t>Supporting Statement</w:t>
      </w:r>
      <w:r w:rsidRPr="00E72B01">
        <w:rPr>
          <w:b/>
          <w:bCs/>
          <w:sz w:val="24"/>
          <w:szCs w:val="24"/>
        </w:rPr>
        <w:t>.</w:t>
      </w:r>
    </w:p>
    <w:p w:rsidR="004B43CC" w:rsidP="004B43CC" w14:paraId="58A06997" w14:textId="77777777">
      <w:pPr>
        <w:pStyle w:val="NoSpacing"/>
      </w:pPr>
      <w:r>
        <w:tab/>
      </w:r>
    </w:p>
    <w:p w:rsidR="00644DC5" w:rsidP="00644DC5" w14:paraId="3DC8558A" w14:textId="1CFFA35E">
      <w:pPr>
        <w:pStyle w:val="BodyTextIndent2"/>
        <w:tabs>
          <w:tab w:val="left" w:pos="360"/>
        </w:tabs>
        <w:spacing w:after="120" w:line="240" w:lineRule="auto"/>
        <w:ind w:hanging="336"/>
      </w:pPr>
      <w:r>
        <w:tab/>
      </w:r>
      <w:r w:rsidRPr="00DF27C6">
        <w:t xml:space="preserve">Program Change: </w:t>
      </w:r>
    </w:p>
    <w:p w:rsidR="00644DC5" w:rsidP="00644DC5" w14:paraId="498666E0" w14:textId="667225ED">
      <w:pPr>
        <w:pStyle w:val="BodyTextIndent2"/>
        <w:numPr>
          <w:ilvl w:val="0"/>
          <w:numId w:val="15"/>
        </w:numPr>
        <w:tabs>
          <w:tab w:val="left" w:pos="360"/>
        </w:tabs>
        <w:spacing w:after="120" w:line="240" w:lineRule="auto"/>
      </w:pPr>
      <w:r w:rsidRPr="00DF27C6">
        <w:t>All</w:t>
      </w:r>
      <w:r>
        <w:t xml:space="preserve"> items related to applications and pre-award documents have been removed from this information collection and included with </w:t>
      </w:r>
      <w:r w:rsidR="009D5292">
        <w:t>OMB 2501-0044-</w:t>
      </w:r>
      <w:r w:rsidRPr="009D5292" w:rsidR="009D5292">
        <w:t>Generic Solution for Solicitation for HUD's Competitive Discretionary Funding Opportunity Announcements</w:t>
      </w:r>
      <w:r>
        <w:t xml:space="preserve">. </w:t>
      </w:r>
    </w:p>
    <w:p w:rsidR="00644DC5" w:rsidP="00644DC5" w14:paraId="44256DC0" w14:textId="7054A010">
      <w:pPr>
        <w:pStyle w:val="BodyTextIndent2"/>
        <w:numPr>
          <w:ilvl w:val="0"/>
          <w:numId w:val="15"/>
        </w:numPr>
        <w:tabs>
          <w:tab w:val="left" w:pos="360"/>
        </w:tabs>
        <w:spacing w:after="120" w:line="240" w:lineRule="auto"/>
      </w:pPr>
      <w:r>
        <w:t>Quarterly Progress Reports have been streamlined to reduce burden on grantees</w:t>
      </w:r>
    </w:p>
    <w:p w:rsidR="00644DC5" w:rsidRPr="00DF27C6" w:rsidP="00644DC5" w14:paraId="6AF03870" w14:textId="77777777">
      <w:pPr>
        <w:pStyle w:val="BodyTextIndent2"/>
        <w:numPr>
          <w:ilvl w:val="0"/>
          <w:numId w:val="15"/>
        </w:numPr>
        <w:tabs>
          <w:tab w:val="left" w:pos="360"/>
        </w:tabs>
        <w:spacing w:after="120" w:line="240" w:lineRule="auto"/>
      </w:pPr>
      <w:r>
        <w:t>Number of active grants has increased due to increased funding and length of grant terms</w:t>
      </w:r>
    </w:p>
    <w:p w:rsidR="009E13B1" w:rsidRPr="006C7FAE" w14:paraId="78BA2B5D" w14:textId="77777777">
      <w:pPr>
        <w:keepLines/>
        <w:tabs>
          <w:tab w:val="left" w:pos="360"/>
          <w:tab w:val="left" w:pos="720"/>
        </w:tabs>
        <w:ind w:left="360"/>
        <w:rPr>
          <w:sz w:val="24"/>
          <w:szCs w:val="24"/>
        </w:rPr>
      </w:pPr>
    </w:p>
    <w:p w:rsidR="009E13B1" w:rsidRPr="00E72B01" w14:paraId="191E7ECF" w14:textId="77777777">
      <w:pPr>
        <w:keepLines/>
        <w:tabs>
          <w:tab w:val="left" w:pos="360"/>
        </w:tabs>
        <w:spacing w:after="80"/>
        <w:ind w:left="360" w:hanging="360"/>
        <w:rPr>
          <w:b/>
          <w:bCs/>
          <w:sz w:val="24"/>
          <w:szCs w:val="24"/>
        </w:rPr>
      </w:pPr>
      <w:r w:rsidRPr="006C7FAE">
        <w:rPr>
          <w:sz w:val="24"/>
          <w:szCs w:val="24"/>
        </w:rPr>
        <w:t>16.</w:t>
      </w:r>
      <w:r w:rsidRPr="006C7FAE">
        <w:rPr>
          <w:sz w:val="24"/>
          <w:szCs w:val="24"/>
        </w:rPr>
        <w:tab/>
      </w:r>
      <w:r w:rsidRPr="00E72B01">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B43CC" w:rsidP="00644DC5" w14:paraId="15163E71" w14:textId="77777777">
      <w:pPr>
        <w:tabs>
          <w:tab w:val="left" w:pos="360"/>
        </w:tabs>
        <w:rPr>
          <w:sz w:val="24"/>
          <w:szCs w:val="24"/>
        </w:rPr>
      </w:pPr>
    </w:p>
    <w:p w:rsidR="009E13B1" w:rsidP="004B43CC" w14:paraId="41F37BFA" w14:textId="5B382CA9">
      <w:pPr>
        <w:tabs>
          <w:tab w:val="left" w:pos="360"/>
        </w:tabs>
        <w:ind w:left="360"/>
        <w:rPr>
          <w:sz w:val="24"/>
          <w:szCs w:val="24"/>
        </w:rPr>
      </w:pPr>
      <w:r>
        <w:rPr>
          <w:sz w:val="24"/>
          <w:szCs w:val="24"/>
        </w:rPr>
        <w:t xml:space="preserve">These </w:t>
      </w:r>
      <w:r w:rsidRPr="00A171BA">
        <w:rPr>
          <w:sz w:val="24"/>
          <w:szCs w:val="24"/>
        </w:rPr>
        <w:t>data are not collected for use in research</w:t>
      </w:r>
      <w:r>
        <w:rPr>
          <w:sz w:val="24"/>
          <w:szCs w:val="24"/>
        </w:rPr>
        <w:t xml:space="preserve"> or planned publication</w:t>
      </w:r>
      <w:r w:rsidRPr="00A171BA">
        <w:rPr>
          <w:sz w:val="24"/>
          <w:szCs w:val="24"/>
        </w:rPr>
        <w:t xml:space="preserve">. </w:t>
      </w:r>
      <w:r w:rsidRPr="00644DC5" w:rsidR="00644DC5">
        <w:rPr>
          <w:sz w:val="24"/>
          <w:szCs w:val="24"/>
        </w:rPr>
        <w:t>Aggregated information may be made available publicly depending on requests from OMB, Congress, or Federal agencies with appropriate authority.  Individual information collection results will not be published.</w:t>
      </w:r>
    </w:p>
    <w:p w:rsidR="00644DC5" w:rsidRPr="006C7FAE" w14:paraId="1F90D300" w14:textId="77777777">
      <w:pPr>
        <w:tabs>
          <w:tab w:val="left" w:pos="360"/>
        </w:tabs>
        <w:ind w:left="360" w:hanging="360"/>
        <w:rPr>
          <w:sz w:val="24"/>
          <w:szCs w:val="24"/>
        </w:rPr>
      </w:pPr>
    </w:p>
    <w:p w:rsidR="009E13B1" w:rsidRPr="00E72B01" w14:paraId="34E8092D" w14:textId="77777777">
      <w:pPr>
        <w:keepLines/>
        <w:tabs>
          <w:tab w:val="left" w:pos="360"/>
        </w:tabs>
        <w:spacing w:after="80"/>
        <w:ind w:left="360" w:hanging="360"/>
        <w:rPr>
          <w:b/>
          <w:bCs/>
          <w:sz w:val="24"/>
          <w:szCs w:val="24"/>
        </w:rPr>
      </w:pPr>
      <w:r w:rsidRPr="006C7FAE">
        <w:rPr>
          <w:sz w:val="24"/>
          <w:szCs w:val="24"/>
        </w:rPr>
        <w:t>17.</w:t>
      </w:r>
      <w:r w:rsidRPr="006C7FAE">
        <w:rPr>
          <w:sz w:val="24"/>
          <w:szCs w:val="24"/>
        </w:rPr>
        <w:tab/>
      </w:r>
      <w:r w:rsidRPr="00E72B01">
        <w:rPr>
          <w:b/>
          <w:bCs/>
          <w:sz w:val="24"/>
          <w:szCs w:val="24"/>
        </w:rPr>
        <w:t>If seeking approval to not display the expiration date for OMB approval of the information collection, explain the reasons that display would be inappropriate.</w:t>
      </w:r>
    </w:p>
    <w:p w:rsidR="004B43CC" w14:paraId="1847480B" w14:textId="77777777">
      <w:pPr>
        <w:keepLines/>
        <w:tabs>
          <w:tab w:val="left" w:pos="360"/>
        </w:tabs>
        <w:spacing w:after="80"/>
        <w:ind w:left="360" w:hanging="360"/>
        <w:rPr>
          <w:sz w:val="24"/>
          <w:szCs w:val="24"/>
        </w:rPr>
      </w:pPr>
    </w:p>
    <w:p w:rsidR="00644DC5" w:rsidRPr="006C7FAE" w:rsidP="004B43CC" w14:paraId="3A0D9D2B" w14:textId="11662FDF">
      <w:pPr>
        <w:keepLines/>
        <w:tabs>
          <w:tab w:val="left" w:pos="360"/>
        </w:tabs>
        <w:spacing w:after="80"/>
        <w:ind w:left="720" w:hanging="360"/>
        <w:rPr>
          <w:sz w:val="24"/>
          <w:szCs w:val="24"/>
        </w:rPr>
      </w:pPr>
      <w:r w:rsidRPr="00644DC5">
        <w:rPr>
          <w:sz w:val="24"/>
          <w:szCs w:val="24"/>
        </w:rPr>
        <w:t>HUD is not seeking an exception to the certification statement.</w:t>
      </w:r>
    </w:p>
    <w:p w:rsidR="009E13B1" w:rsidRPr="006C7FAE" w14:paraId="44B4D7A4" w14:textId="77777777">
      <w:pPr>
        <w:keepLines/>
        <w:tabs>
          <w:tab w:val="left" w:pos="360"/>
          <w:tab w:val="left" w:pos="720"/>
        </w:tabs>
        <w:ind w:left="360"/>
        <w:rPr>
          <w:sz w:val="24"/>
          <w:szCs w:val="24"/>
        </w:rPr>
      </w:pPr>
    </w:p>
    <w:p w:rsidR="009E13B1" w:rsidRPr="00E72B01" w14:paraId="68C195AD" w14:textId="01A39329">
      <w:pPr>
        <w:keepLines/>
        <w:tabs>
          <w:tab w:val="left" w:pos="360"/>
        </w:tabs>
        <w:spacing w:after="80"/>
        <w:ind w:left="360" w:hanging="360"/>
        <w:rPr>
          <w:b/>
          <w:bCs/>
          <w:sz w:val="24"/>
          <w:szCs w:val="24"/>
        </w:rPr>
      </w:pPr>
      <w:r w:rsidRPr="006C7FAE">
        <w:rPr>
          <w:sz w:val="24"/>
          <w:szCs w:val="24"/>
        </w:rPr>
        <w:t>18.</w:t>
      </w:r>
      <w:r w:rsidRPr="006C7FAE">
        <w:rPr>
          <w:sz w:val="24"/>
          <w:szCs w:val="24"/>
        </w:rPr>
        <w:tab/>
      </w:r>
      <w:r w:rsidRPr="00E72B01">
        <w:rPr>
          <w:b/>
          <w:bCs/>
          <w:sz w:val="24"/>
          <w:szCs w:val="24"/>
        </w:rPr>
        <w:t>Explain each exception to the certification statement.</w:t>
      </w:r>
    </w:p>
    <w:p w:rsidR="00644DC5" w:rsidRPr="00644DC5" w14:paraId="66CD1420" w14:textId="262AECB9">
      <w:pPr>
        <w:keepLines/>
        <w:tabs>
          <w:tab w:val="left" w:pos="360"/>
        </w:tabs>
        <w:spacing w:after="80"/>
        <w:ind w:left="360" w:hanging="360"/>
        <w:rPr>
          <w:sz w:val="24"/>
          <w:szCs w:val="24"/>
        </w:rPr>
      </w:pPr>
      <w:r w:rsidRPr="00644DC5">
        <w:rPr>
          <w:sz w:val="24"/>
          <w:szCs w:val="24"/>
        </w:rPr>
        <w:t>This information collection does not employ statistical methods.</w:t>
      </w:r>
    </w:p>
    <w:sectPr w:rsidSect="006C7FAE">
      <w:headerReference w:type="default" r:id="rId9"/>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A5F7E77"/>
    <w:multiLevelType w:val="hybridMultilevel"/>
    <w:tmpl w:val="C03C3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44BE6F8A"/>
    <w:multiLevelType w:val="hybridMultilevel"/>
    <w:tmpl w:val="83606EDE"/>
    <w:lvl w:ilvl="0">
      <w:start w:val="1"/>
      <w:numFmt w:val="bullet"/>
      <w:lvlText w:val=""/>
      <w:lvlJc w:val="left"/>
      <w:pPr>
        <w:ind w:left="744" w:hanging="360"/>
      </w:pPr>
      <w:rPr>
        <w:rFonts w:ascii="Symbol" w:hAnsi="Symbol" w:hint="default"/>
      </w:rPr>
    </w:lvl>
    <w:lvl w:ilvl="1" w:tentative="1">
      <w:start w:val="1"/>
      <w:numFmt w:val="bullet"/>
      <w:lvlText w:val="o"/>
      <w:lvlJc w:val="left"/>
      <w:pPr>
        <w:ind w:left="1464" w:hanging="360"/>
      </w:pPr>
      <w:rPr>
        <w:rFonts w:ascii="Courier New" w:hAnsi="Courier New" w:cs="Courier New" w:hint="default"/>
      </w:rPr>
    </w:lvl>
    <w:lvl w:ilvl="2" w:tentative="1">
      <w:start w:val="1"/>
      <w:numFmt w:val="bullet"/>
      <w:lvlText w:val=""/>
      <w:lvlJc w:val="left"/>
      <w:pPr>
        <w:ind w:left="2184" w:hanging="360"/>
      </w:pPr>
      <w:rPr>
        <w:rFonts w:ascii="Wingdings" w:hAnsi="Wingdings" w:hint="default"/>
      </w:rPr>
    </w:lvl>
    <w:lvl w:ilvl="3" w:tentative="1">
      <w:start w:val="1"/>
      <w:numFmt w:val="bullet"/>
      <w:lvlText w:val=""/>
      <w:lvlJc w:val="left"/>
      <w:pPr>
        <w:ind w:left="2904" w:hanging="360"/>
      </w:pPr>
      <w:rPr>
        <w:rFonts w:ascii="Symbol" w:hAnsi="Symbol" w:hint="default"/>
      </w:rPr>
    </w:lvl>
    <w:lvl w:ilvl="4" w:tentative="1">
      <w:start w:val="1"/>
      <w:numFmt w:val="bullet"/>
      <w:lvlText w:val="o"/>
      <w:lvlJc w:val="left"/>
      <w:pPr>
        <w:ind w:left="3624" w:hanging="360"/>
      </w:pPr>
      <w:rPr>
        <w:rFonts w:ascii="Courier New" w:hAnsi="Courier New" w:cs="Courier New" w:hint="default"/>
      </w:rPr>
    </w:lvl>
    <w:lvl w:ilvl="5" w:tentative="1">
      <w:start w:val="1"/>
      <w:numFmt w:val="bullet"/>
      <w:lvlText w:val=""/>
      <w:lvlJc w:val="left"/>
      <w:pPr>
        <w:ind w:left="4344" w:hanging="360"/>
      </w:pPr>
      <w:rPr>
        <w:rFonts w:ascii="Wingdings" w:hAnsi="Wingdings" w:hint="default"/>
      </w:rPr>
    </w:lvl>
    <w:lvl w:ilvl="6" w:tentative="1">
      <w:start w:val="1"/>
      <w:numFmt w:val="bullet"/>
      <w:lvlText w:val=""/>
      <w:lvlJc w:val="left"/>
      <w:pPr>
        <w:ind w:left="5064" w:hanging="360"/>
      </w:pPr>
      <w:rPr>
        <w:rFonts w:ascii="Symbol" w:hAnsi="Symbol" w:hint="default"/>
      </w:rPr>
    </w:lvl>
    <w:lvl w:ilvl="7" w:tentative="1">
      <w:start w:val="1"/>
      <w:numFmt w:val="bullet"/>
      <w:lvlText w:val="o"/>
      <w:lvlJc w:val="left"/>
      <w:pPr>
        <w:ind w:left="5784" w:hanging="360"/>
      </w:pPr>
      <w:rPr>
        <w:rFonts w:ascii="Courier New" w:hAnsi="Courier New" w:cs="Courier New" w:hint="default"/>
      </w:rPr>
    </w:lvl>
    <w:lvl w:ilvl="8" w:tentative="1">
      <w:start w:val="1"/>
      <w:numFmt w:val="bullet"/>
      <w:lvlText w:val=""/>
      <w:lvlJc w:val="left"/>
      <w:pPr>
        <w:ind w:left="6504" w:hanging="360"/>
      </w:pPr>
      <w:rPr>
        <w:rFonts w:ascii="Wingdings" w:hAnsi="Wingdings" w:hint="default"/>
      </w:rPr>
    </w:lvl>
  </w:abstractNum>
  <w:abstractNum w:abstractNumId="9">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6FAB45B5"/>
    <w:multiLevelType w:val="hybridMultilevel"/>
    <w:tmpl w:val="0A6A0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10"/>
  </w:num>
  <w:num w:numId="4" w16cid:durableId="887451858">
    <w:abstractNumId w:val="6"/>
  </w:num>
  <w:num w:numId="5" w16cid:durableId="1830825219">
    <w:abstractNumId w:val="7"/>
  </w:num>
  <w:num w:numId="6" w16cid:durableId="2036811765">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4"/>
  </w:num>
  <w:num w:numId="9" w16cid:durableId="36247648">
    <w:abstractNumId w:val="1"/>
  </w:num>
  <w:num w:numId="10" w16cid:durableId="1269002932">
    <w:abstractNumId w:val="13"/>
  </w:num>
  <w:num w:numId="11" w16cid:durableId="804929379">
    <w:abstractNumId w:val="12"/>
  </w:num>
  <w:num w:numId="12" w16cid:durableId="1778601022">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9"/>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428235183">
    <w:abstractNumId w:val="8"/>
  </w:num>
  <w:num w:numId="16" w16cid:durableId="328794486">
    <w:abstractNumId w:val="5"/>
  </w:num>
  <w:num w:numId="17" w16cid:durableId="1653411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84104"/>
    <w:rsid w:val="000A1639"/>
    <w:rsid w:val="000A248D"/>
    <w:rsid w:val="000C117C"/>
    <w:rsid w:val="000C38FD"/>
    <w:rsid w:val="000C5870"/>
    <w:rsid w:val="000D5079"/>
    <w:rsid w:val="000E00A8"/>
    <w:rsid w:val="000E2A89"/>
    <w:rsid w:val="00126A79"/>
    <w:rsid w:val="00167E53"/>
    <w:rsid w:val="0022019C"/>
    <w:rsid w:val="00225669"/>
    <w:rsid w:val="0023256B"/>
    <w:rsid w:val="00237EB3"/>
    <w:rsid w:val="00250EB8"/>
    <w:rsid w:val="00271285"/>
    <w:rsid w:val="0028513A"/>
    <w:rsid w:val="002C5BA8"/>
    <w:rsid w:val="002F6CE8"/>
    <w:rsid w:val="003035C0"/>
    <w:rsid w:val="003132DD"/>
    <w:rsid w:val="00314D98"/>
    <w:rsid w:val="003170F9"/>
    <w:rsid w:val="00324F98"/>
    <w:rsid w:val="0034758B"/>
    <w:rsid w:val="00360090"/>
    <w:rsid w:val="003C5B16"/>
    <w:rsid w:val="004367F0"/>
    <w:rsid w:val="00450591"/>
    <w:rsid w:val="00493BA7"/>
    <w:rsid w:val="004B43CC"/>
    <w:rsid w:val="005018AC"/>
    <w:rsid w:val="00504682"/>
    <w:rsid w:val="00531D51"/>
    <w:rsid w:val="00532200"/>
    <w:rsid w:val="00573194"/>
    <w:rsid w:val="0058747D"/>
    <w:rsid w:val="0059092E"/>
    <w:rsid w:val="00631585"/>
    <w:rsid w:val="00644DC5"/>
    <w:rsid w:val="006B7674"/>
    <w:rsid w:val="006C4830"/>
    <w:rsid w:val="006C7FAE"/>
    <w:rsid w:val="00713A52"/>
    <w:rsid w:val="007672CB"/>
    <w:rsid w:val="007719A3"/>
    <w:rsid w:val="0077628A"/>
    <w:rsid w:val="0078579C"/>
    <w:rsid w:val="007B2334"/>
    <w:rsid w:val="007B4A33"/>
    <w:rsid w:val="007C423B"/>
    <w:rsid w:val="007C7E46"/>
    <w:rsid w:val="0080150A"/>
    <w:rsid w:val="008314BA"/>
    <w:rsid w:val="00897B05"/>
    <w:rsid w:val="008A7175"/>
    <w:rsid w:val="008B6EFA"/>
    <w:rsid w:val="008E0A84"/>
    <w:rsid w:val="00974097"/>
    <w:rsid w:val="009D5292"/>
    <w:rsid w:val="009E0C3E"/>
    <w:rsid w:val="009E13B1"/>
    <w:rsid w:val="00A02484"/>
    <w:rsid w:val="00A16FA9"/>
    <w:rsid w:val="00A171BA"/>
    <w:rsid w:val="00A65F9E"/>
    <w:rsid w:val="00A83E46"/>
    <w:rsid w:val="00AC2BAC"/>
    <w:rsid w:val="00AC77D3"/>
    <w:rsid w:val="00AF07AC"/>
    <w:rsid w:val="00B01940"/>
    <w:rsid w:val="00B03398"/>
    <w:rsid w:val="00B04BA6"/>
    <w:rsid w:val="00B50BCB"/>
    <w:rsid w:val="00B72037"/>
    <w:rsid w:val="00B80D36"/>
    <w:rsid w:val="00B94401"/>
    <w:rsid w:val="00BB2518"/>
    <w:rsid w:val="00BC10AF"/>
    <w:rsid w:val="00BC50C0"/>
    <w:rsid w:val="00BE7028"/>
    <w:rsid w:val="00C06B8A"/>
    <w:rsid w:val="00CA06CC"/>
    <w:rsid w:val="00CC55E4"/>
    <w:rsid w:val="00CE1567"/>
    <w:rsid w:val="00CF4A2F"/>
    <w:rsid w:val="00CF783A"/>
    <w:rsid w:val="00D01DBB"/>
    <w:rsid w:val="00D41D4B"/>
    <w:rsid w:val="00D55F35"/>
    <w:rsid w:val="00D717DB"/>
    <w:rsid w:val="00D74136"/>
    <w:rsid w:val="00D81406"/>
    <w:rsid w:val="00DB0DE3"/>
    <w:rsid w:val="00DD3286"/>
    <w:rsid w:val="00DF27C6"/>
    <w:rsid w:val="00E01140"/>
    <w:rsid w:val="00E47E20"/>
    <w:rsid w:val="00E722C1"/>
    <w:rsid w:val="00E72B01"/>
    <w:rsid w:val="00F035D5"/>
    <w:rsid w:val="00F16B9A"/>
    <w:rsid w:val="00F27C8F"/>
    <w:rsid w:val="00F51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NoSpacing">
    <w:name w:val="No Spacing"/>
    <w:uiPriority w:val="1"/>
    <w:qFormat/>
    <w:rsid w:val="00225669"/>
    <w:rPr>
      <w:rFonts w:asciiTheme="minorHAnsi" w:eastAsiaTheme="minorHAnsi" w:hAnsiTheme="minorHAnsi" w:cstheme="minorBidi"/>
      <w:sz w:val="22"/>
      <w:szCs w:val="22"/>
    </w:rPr>
  </w:style>
  <w:style w:type="character" w:styleId="Hyperlink">
    <w:name w:val="Hyperlink"/>
    <w:basedOn w:val="DefaultParagraphFont"/>
    <w:uiPriority w:val="99"/>
    <w:unhideWhenUsed/>
    <w:rsid w:val="00225669"/>
    <w:rPr>
      <w:color w:val="467886" w:themeColor="hyperlink"/>
      <w:u w:val="single"/>
    </w:rPr>
  </w:style>
  <w:style w:type="character" w:styleId="UnresolvedMention">
    <w:name w:val="Unresolved Mention"/>
    <w:basedOn w:val="DefaultParagraphFont"/>
    <w:uiPriority w:val="99"/>
    <w:semiHidden/>
    <w:unhideWhenUsed/>
    <w:rsid w:val="00225669"/>
    <w:rPr>
      <w:color w:val="605E5C"/>
      <w:shd w:val="clear" w:color="auto" w:fill="E1DFDD"/>
    </w:rPr>
  </w:style>
  <w:style w:type="paragraph" w:styleId="BodyTextIndent2">
    <w:name w:val="Body Text Indent 2"/>
    <w:basedOn w:val="Normal"/>
    <w:link w:val="BodyTextIndent2Char"/>
    <w:rsid w:val="00644DC5"/>
    <w:pPr>
      <w:widowControl w:val="0"/>
      <w:tabs>
        <w:tab w:val="left" w:pos="-720"/>
        <w:tab w:val="left" w:pos="0"/>
      </w:tabs>
      <w:suppressAutoHyphens/>
      <w:spacing w:line="480" w:lineRule="auto"/>
      <w:ind w:left="360"/>
    </w:pPr>
    <w:rPr>
      <w:sz w:val="24"/>
      <w:szCs w:val="24"/>
    </w:rPr>
  </w:style>
  <w:style w:type="character" w:customStyle="1" w:styleId="BodyTextIndent2Char">
    <w:name w:val="Body Text Indent 2 Char"/>
    <w:basedOn w:val="DefaultParagraphFont"/>
    <w:link w:val="BodyTextIndent2"/>
    <w:rsid w:val="00644DC5"/>
    <w:rPr>
      <w:sz w:val="24"/>
      <w:szCs w:val="24"/>
    </w:rPr>
  </w:style>
  <w:style w:type="character" w:styleId="FollowedHyperlink">
    <w:name w:val="FollowedHyperlink"/>
    <w:basedOn w:val="DefaultParagraphFont"/>
    <w:uiPriority w:val="99"/>
    <w:semiHidden/>
    <w:unhideWhenUsed/>
    <w:rsid w:val="003170F9"/>
    <w:rPr>
      <w:color w:val="96607D" w:themeColor="followedHyperlink"/>
      <w:u w:val="single"/>
    </w:rPr>
  </w:style>
  <w:style w:type="character" w:styleId="CommentReference">
    <w:name w:val="annotation reference"/>
    <w:basedOn w:val="DefaultParagraphFont"/>
    <w:uiPriority w:val="99"/>
    <w:semiHidden/>
    <w:unhideWhenUsed/>
    <w:rsid w:val="003C5B16"/>
    <w:rPr>
      <w:sz w:val="16"/>
      <w:szCs w:val="16"/>
    </w:rPr>
  </w:style>
  <w:style w:type="paragraph" w:styleId="CommentText">
    <w:name w:val="annotation text"/>
    <w:basedOn w:val="Normal"/>
    <w:link w:val="CommentTextChar"/>
    <w:uiPriority w:val="99"/>
    <w:unhideWhenUsed/>
    <w:rsid w:val="003C5B16"/>
  </w:style>
  <w:style w:type="character" w:customStyle="1" w:styleId="CommentTextChar">
    <w:name w:val="Comment Text Char"/>
    <w:basedOn w:val="DefaultParagraphFont"/>
    <w:link w:val="CommentText"/>
    <w:uiPriority w:val="99"/>
    <w:rsid w:val="003C5B16"/>
  </w:style>
  <w:style w:type="paragraph" w:styleId="CommentSubject">
    <w:name w:val="annotation subject"/>
    <w:basedOn w:val="CommentText"/>
    <w:next w:val="CommentText"/>
    <w:link w:val="CommentSubjectChar"/>
    <w:uiPriority w:val="99"/>
    <w:semiHidden/>
    <w:unhideWhenUsed/>
    <w:rsid w:val="003C5B16"/>
    <w:rPr>
      <w:b/>
      <w:bCs/>
    </w:rPr>
  </w:style>
  <w:style w:type="character" w:customStyle="1" w:styleId="CommentSubjectChar">
    <w:name w:val="Comment Subject Char"/>
    <w:basedOn w:val="CommentTextChar"/>
    <w:link w:val="CommentSubject"/>
    <w:uiPriority w:val="99"/>
    <w:semiHidden/>
    <w:rsid w:val="003C5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USCODE-2023-title42/html/USCODE-2023-title42-chap8-subchapI-sec1437v.htm" TargetMode="External" /><Relationship Id="rId8" Type="http://schemas.openxmlformats.org/officeDocument/2006/relationships/hyperlink" Target="https://www.bls.gov/oes/tables.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2443</Words>
  <Characters>14627</Characters>
  <Application>Microsoft Office Word</Application>
  <DocSecurity>2</DocSecurity>
  <Lines>121</Lines>
  <Paragraphs>34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Martin, Dawn E</cp:lastModifiedBy>
  <cp:revision>2</cp:revision>
  <cp:lastPrinted>2025-03-05T19:17:00Z</cp:lastPrinted>
  <dcterms:created xsi:type="dcterms:W3CDTF">2025-09-09T11:07:00Z</dcterms:created>
  <dcterms:modified xsi:type="dcterms:W3CDTF">2025-09-09T11:07:00Z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