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E66DA" w:rsidP="000E66DA" w14:paraId="42B6CDB1" w14:textId="77777777">
      <w:pPr>
        <w:jc w:val="center"/>
        <w:rPr>
          <w:b/>
          <w:sz w:val="24"/>
          <w:szCs w:val="24"/>
        </w:rPr>
      </w:pPr>
      <w:r w:rsidRPr="00167E53">
        <w:rPr>
          <w:b/>
          <w:sz w:val="24"/>
          <w:szCs w:val="24"/>
        </w:rPr>
        <w:t>Supporting Statement for Paperwork Reduction Act Submissions</w:t>
      </w:r>
    </w:p>
    <w:p w:rsidR="000E66DA" w:rsidP="000E66DA" w14:paraId="79FDE580" w14:textId="77777777">
      <w:pPr>
        <w:spacing w:before="15" w:line="274" w:lineRule="exact"/>
        <w:jc w:val="center"/>
        <w:rPr>
          <w:b/>
          <w:color w:val="000000"/>
          <w:sz w:val="24"/>
        </w:rPr>
      </w:pPr>
      <w:r>
        <w:rPr>
          <w:b/>
          <w:color w:val="000000"/>
          <w:sz w:val="24"/>
        </w:rPr>
        <w:t>Public Housing Agency Executive Compensation Information</w:t>
      </w:r>
    </w:p>
    <w:p w:rsidR="000E66DA" w:rsidP="000E66DA" w14:paraId="1C5A566A" w14:textId="77777777">
      <w:pPr>
        <w:spacing w:before="15" w:line="274" w:lineRule="exact"/>
        <w:jc w:val="center"/>
        <w:rPr>
          <w:b/>
          <w:color w:val="000000"/>
          <w:sz w:val="24"/>
        </w:rPr>
      </w:pPr>
      <w:r>
        <w:rPr>
          <w:b/>
          <w:color w:val="000000"/>
          <w:sz w:val="24"/>
        </w:rPr>
        <w:t>OMB No: 2577-0272</w:t>
      </w:r>
    </w:p>
    <w:p w:rsidR="000E66DA" w14:paraId="1B4270D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szCs w:val="24"/>
        </w:rPr>
      </w:pPr>
    </w:p>
    <w:p w:rsidR="000E66DA" w14:paraId="40DBE42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szCs w:val="24"/>
        </w:rPr>
      </w:pPr>
    </w:p>
    <w:p w:rsidR="009E13B1" w:rsidRPr="000E66DA" w14:paraId="6BD1C1B0" w14:textId="5EF0398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0E66DA">
        <w:rPr>
          <w:b/>
          <w:sz w:val="24"/>
          <w:szCs w:val="24"/>
        </w:rPr>
        <w:t xml:space="preserve">A. </w:t>
      </w:r>
      <w:r w:rsidRPr="000E66DA">
        <w:rPr>
          <w:b/>
          <w:sz w:val="24"/>
          <w:szCs w:val="24"/>
        </w:rPr>
        <w:tab/>
        <w:t>Justification</w:t>
      </w:r>
    </w:p>
    <w:p w:rsidR="009E13B1" w:rsidRPr="006C7FAE" w14:paraId="690066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9E13B1" w:rsidRPr="00881B97" w14:paraId="4F66A6EF" w14:textId="77777777">
      <w:pPr>
        <w:keepLines/>
        <w:tabs>
          <w:tab w:val="left" w:pos="360"/>
        </w:tabs>
        <w:spacing w:after="80"/>
        <w:ind w:left="360" w:hanging="360"/>
        <w:rPr>
          <w:b/>
          <w:bCs/>
          <w:sz w:val="24"/>
          <w:szCs w:val="24"/>
        </w:rPr>
      </w:pPr>
      <w:r w:rsidRPr="00881B97">
        <w:rPr>
          <w:b/>
          <w:bCs/>
          <w:sz w:val="24"/>
          <w:szCs w:val="24"/>
        </w:rPr>
        <w:t>1.</w:t>
      </w:r>
      <w:r w:rsidRPr="00881B97">
        <w:rPr>
          <w:b/>
          <w:bCs/>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C0034" w:rsidP="003C0034" w14:paraId="33138C29" w14:textId="77777777">
      <w:pPr>
        <w:pStyle w:val="ListParagraph"/>
        <w:spacing w:before="229" w:line="230" w:lineRule="exact"/>
        <w:ind w:left="450" w:right="288"/>
        <w:rPr>
          <w:color w:val="000000" w:themeColor="text1"/>
          <w:sz w:val="24"/>
          <w:szCs w:val="24"/>
        </w:rPr>
      </w:pPr>
      <w:r w:rsidRPr="002E5CD0">
        <w:rPr>
          <w:color w:val="000000" w:themeColor="text1"/>
          <w:sz w:val="24"/>
          <w:szCs w:val="24"/>
        </w:rPr>
        <w:t>Under current law, non-profit organizations receiving federal tax exemptions are required to report to the Internal Revenue Service (IRS) annually with the names and compensation of their highest compensated employees. Public Housing Agencies (PHAs) receive significant direct federal funds, and to promote similar public transparency and to enhance oversight by the Department of Housing and Urban Development (HUD) and by state and local authorities, the same information is being collected from PHAs and made available. After the compensation information is collected, it will be made available on the HUD website.</w:t>
      </w:r>
    </w:p>
    <w:p w:rsidR="003C0034" w:rsidRPr="001F2C09" w:rsidP="003C0034" w14:paraId="0FF4D3C5" w14:textId="77777777">
      <w:pPr>
        <w:pStyle w:val="ListParagraph"/>
        <w:spacing w:before="228" w:line="230" w:lineRule="exact"/>
        <w:ind w:left="450" w:right="144"/>
        <w:rPr>
          <w:color w:val="000000"/>
          <w:sz w:val="24"/>
          <w:szCs w:val="24"/>
        </w:rPr>
      </w:pPr>
      <w:r w:rsidRPr="4353F856">
        <w:rPr>
          <w:color w:val="000000" w:themeColor="text1"/>
          <w:sz w:val="24"/>
          <w:szCs w:val="24"/>
        </w:rPr>
        <w:t xml:space="preserve">The collection is authorized pursuant to HUD’s specific oversight of the public housing </w:t>
      </w:r>
      <w:r>
        <w:rPr>
          <w:color w:val="000000" w:themeColor="text1"/>
          <w:sz w:val="24"/>
          <w:szCs w:val="24"/>
        </w:rPr>
        <w:t>O</w:t>
      </w:r>
      <w:r w:rsidRPr="01F53145">
        <w:rPr>
          <w:color w:val="000000" w:themeColor="text1"/>
          <w:sz w:val="24"/>
          <w:szCs w:val="24"/>
        </w:rPr>
        <w:t xml:space="preserve">perating </w:t>
      </w:r>
      <w:r>
        <w:rPr>
          <w:color w:val="000000" w:themeColor="text1"/>
          <w:sz w:val="24"/>
          <w:szCs w:val="24"/>
        </w:rPr>
        <w:t>F</w:t>
      </w:r>
      <w:r w:rsidRPr="4353F856">
        <w:rPr>
          <w:color w:val="000000" w:themeColor="text1"/>
          <w:sz w:val="24"/>
          <w:szCs w:val="24"/>
        </w:rPr>
        <w:t xml:space="preserve">und that is found in the U.S. Housing Act of 1937, as amended, 42 U.S.C. 1437 </w:t>
      </w:r>
      <w:r w:rsidRPr="4353F856">
        <w:rPr>
          <w:color w:val="000000" w:themeColor="text1"/>
          <w:sz w:val="24"/>
          <w:szCs w:val="24"/>
          <w:u w:val="single"/>
        </w:rPr>
        <w:t>et seq.</w:t>
      </w:r>
      <w:r w:rsidRPr="4353F856">
        <w:rPr>
          <w:color w:val="000000" w:themeColor="text1"/>
          <w:sz w:val="24"/>
          <w:szCs w:val="24"/>
        </w:rPr>
        <w:t xml:space="preserve">, particularly 42 U.S.C. 1437c(a)(1) and (f) and 42 U.S.C. 1437f(b)(1). Authority also is found in the Department of Housing and Urban Development Act (42 U.S.C. 3531 </w:t>
      </w:r>
      <w:r w:rsidRPr="006C7E07">
        <w:rPr>
          <w:color w:val="000000" w:themeColor="text1"/>
          <w:sz w:val="24"/>
          <w:szCs w:val="24"/>
          <w:u w:val="single"/>
        </w:rPr>
        <w:t>et. seq</w:t>
      </w:r>
      <w:r w:rsidRPr="4353F856">
        <w:rPr>
          <w:color w:val="000000" w:themeColor="text1"/>
          <w:sz w:val="24"/>
          <w:szCs w:val="24"/>
        </w:rPr>
        <w:t>.) (HUD Act</w:t>
      </w:r>
      <w:r w:rsidRPr="01F53145">
        <w:rPr>
          <w:color w:val="000000" w:themeColor="text1"/>
          <w:sz w:val="24"/>
          <w:szCs w:val="24"/>
        </w:rPr>
        <w:t>).</w:t>
      </w:r>
      <w:r w:rsidRPr="4353F856">
        <w:rPr>
          <w:color w:val="000000" w:themeColor="text1"/>
          <w:sz w:val="24"/>
          <w:szCs w:val="24"/>
        </w:rPr>
        <w:t xml:space="preserve"> Under the HUD Act, HUD is provided general oversight and monetary authority over its funded programs. In particular, section 7(r)(1) of the HUD Act (42 </w:t>
      </w:r>
      <w:r w:rsidRPr="01F53145">
        <w:rPr>
          <w:color w:val="000000" w:themeColor="text1"/>
          <w:sz w:val="24"/>
          <w:szCs w:val="24"/>
        </w:rPr>
        <w:t>U.S.C.</w:t>
      </w:r>
      <w:r w:rsidRPr="4353F856">
        <w:rPr>
          <w:color w:val="000000" w:themeColor="text1"/>
          <w:sz w:val="24"/>
          <w:szCs w:val="24"/>
        </w:rPr>
        <w:t xml:space="preserve"> 3535(r)(1)) authorizes the Secretary to expend funds “for evaluating and monitoring” housing programs, including public housing and all other programs authorized under the U.S. Housing Act of 1937 and other HUD statutes, and for “collecting and maintaining data for such purposes.”</w:t>
      </w:r>
    </w:p>
    <w:p w:rsidR="003C0034" w:rsidRPr="001F2C09" w:rsidP="003C0034" w14:paraId="3E6CDBFF" w14:textId="77777777">
      <w:pPr>
        <w:pStyle w:val="ListParagraph"/>
        <w:spacing w:before="229" w:line="230" w:lineRule="exact"/>
        <w:ind w:left="450" w:right="288"/>
        <w:rPr>
          <w:color w:val="000000"/>
          <w:sz w:val="24"/>
          <w:szCs w:val="24"/>
        </w:rPr>
      </w:pPr>
      <w:r w:rsidRPr="5155C6B4">
        <w:rPr>
          <w:color w:val="000000" w:themeColor="text1"/>
          <w:sz w:val="24"/>
          <w:szCs w:val="24"/>
        </w:rPr>
        <w:t>In addition, the government-wide regulations governing grants and cooperative agreements to state, local, and federally recognized Tribal governments at 2 CFR 200.33</w:t>
      </w:r>
      <w:r w:rsidRPr="01F53145">
        <w:rPr>
          <w:color w:val="000000" w:themeColor="text1"/>
          <w:sz w:val="24"/>
          <w:szCs w:val="24"/>
        </w:rPr>
        <w:t>7</w:t>
      </w:r>
      <w:r w:rsidRPr="5155C6B4">
        <w:rPr>
          <w:color w:val="000000" w:themeColor="text1"/>
          <w:sz w:val="24"/>
          <w:szCs w:val="24"/>
        </w:rPr>
        <w:t>, Access to Records, provide: “(a) Records of non-Federal entities. The Federal awarding agency, the Inspectors General, the Comptroller General of the United States, and the pass-through entity, or any of their authorized representatives must have the right of access to any documents, papers or other records of the non-Federal entity that are pertinent to the Federal award, in order to make audits, examinations, excerpts, and transcripts. The right also includes timely and reasonable access to the non-Federal entity’s personnel for the purpose of interview and discussion related to such documents.”</w:t>
      </w:r>
    </w:p>
    <w:p w:rsidR="003C0034" w:rsidP="003C0034" w14:paraId="71409EA6" w14:textId="77777777">
      <w:pPr>
        <w:pStyle w:val="ListParagraph"/>
        <w:spacing w:before="232" w:line="230" w:lineRule="exact"/>
        <w:ind w:left="450" w:right="288"/>
        <w:jc w:val="both"/>
        <w:rPr>
          <w:color w:val="000000" w:themeColor="text1"/>
          <w:sz w:val="24"/>
        </w:rPr>
      </w:pPr>
      <w:r w:rsidRPr="00C50C23">
        <w:rPr>
          <w:color w:val="000000" w:themeColor="text1"/>
          <w:sz w:val="24"/>
        </w:rPr>
        <w:t xml:space="preserve">Beginning in HUD’s federal fiscal year </w:t>
      </w:r>
      <w:r w:rsidRPr="01F53145">
        <w:rPr>
          <w:color w:val="000000" w:themeColor="text1"/>
          <w:sz w:val="24"/>
          <w:szCs w:val="24"/>
        </w:rPr>
        <w:t xml:space="preserve">(FFY) </w:t>
      </w:r>
      <w:r w:rsidRPr="00C50C23">
        <w:rPr>
          <w:color w:val="000000" w:themeColor="text1"/>
          <w:sz w:val="24"/>
        </w:rPr>
        <w:t xml:space="preserve">2012 appropriations, and carried forward in subsequent </w:t>
      </w:r>
      <w:r w:rsidRPr="01F53145">
        <w:rPr>
          <w:color w:val="000000" w:themeColor="text1"/>
          <w:sz w:val="24"/>
          <w:szCs w:val="24"/>
        </w:rPr>
        <w:t>year</w:t>
      </w:r>
      <w:r>
        <w:rPr>
          <w:color w:val="000000" w:themeColor="text1"/>
          <w:sz w:val="24"/>
          <w:szCs w:val="24"/>
        </w:rPr>
        <w:t>s’</w:t>
      </w:r>
      <w:r w:rsidRPr="00C50C23">
        <w:rPr>
          <w:color w:val="000000" w:themeColor="text1"/>
          <w:sz w:val="24"/>
        </w:rPr>
        <w:t xml:space="preserve"> appropriations act, Congress limited the use of Section 8 </w:t>
      </w:r>
      <w:r>
        <w:rPr>
          <w:color w:val="000000" w:themeColor="text1"/>
          <w:sz w:val="24"/>
          <w:szCs w:val="24"/>
        </w:rPr>
        <w:t>(only tenant-based rental assistance program)</w:t>
      </w:r>
      <w:r w:rsidRPr="01F53145">
        <w:rPr>
          <w:color w:val="000000" w:themeColor="text1"/>
          <w:sz w:val="24"/>
          <w:szCs w:val="24"/>
        </w:rPr>
        <w:t xml:space="preserve"> and</w:t>
      </w:r>
      <w:r>
        <w:rPr>
          <w:color w:val="000000" w:themeColor="text1"/>
          <w:sz w:val="24"/>
          <w:szCs w:val="24"/>
        </w:rPr>
        <w:t xml:space="preserve"> Section</w:t>
      </w:r>
      <w:r w:rsidRPr="00C50C23">
        <w:rPr>
          <w:color w:val="000000" w:themeColor="text1"/>
          <w:sz w:val="24"/>
        </w:rPr>
        <w:t xml:space="preserve"> 9 </w:t>
      </w:r>
      <w:r>
        <w:rPr>
          <w:color w:val="000000" w:themeColor="text1"/>
          <w:sz w:val="24"/>
          <w:szCs w:val="24"/>
        </w:rPr>
        <w:t xml:space="preserve">public housing </w:t>
      </w:r>
      <w:r w:rsidRPr="00C50C23">
        <w:rPr>
          <w:color w:val="000000" w:themeColor="text1"/>
          <w:sz w:val="24"/>
        </w:rPr>
        <w:t xml:space="preserve">appropriations </w:t>
      </w:r>
      <w:r>
        <w:rPr>
          <w:color w:val="000000" w:themeColor="text1"/>
          <w:sz w:val="24"/>
          <w:szCs w:val="24"/>
        </w:rPr>
        <w:t>(Section 8 and 9 funds)</w:t>
      </w:r>
      <w:r w:rsidRPr="01F53145">
        <w:rPr>
          <w:color w:val="000000" w:themeColor="text1"/>
          <w:sz w:val="24"/>
          <w:szCs w:val="24"/>
        </w:rPr>
        <w:t xml:space="preserve"> </w:t>
      </w:r>
      <w:r w:rsidRPr="00C50C23">
        <w:rPr>
          <w:color w:val="000000" w:themeColor="text1"/>
          <w:sz w:val="24"/>
        </w:rPr>
        <w:t xml:space="preserve">to pay the salary of any public housing agency employee. </w:t>
      </w:r>
    </w:p>
    <w:p w:rsidR="003C0034" w:rsidRPr="001F2C09" w:rsidP="003C0034" w14:paraId="57133E6A" w14:textId="77777777">
      <w:pPr>
        <w:pStyle w:val="ListParagraph"/>
        <w:spacing w:before="232" w:line="230" w:lineRule="exact"/>
        <w:ind w:left="450" w:right="288"/>
        <w:jc w:val="both"/>
        <w:rPr>
          <w:bCs/>
          <w:color w:val="000000"/>
          <w:sz w:val="24"/>
          <w:szCs w:val="24"/>
        </w:rPr>
      </w:pPr>
      <w:r w:rsidRPr="00C50C23">
        <w:rPr>
          <w:color w:val="000000" w:themeColor="text1"/>
          <w:sz w:val="24"/>
        </w:rPr>
        <w:t xml:space="preserve">The limit on the amount of Section 8 and 9 funds that can be paid for any public housing agency employee that year is tied to the annual rate of basic pay payable for a position at level IV of the Executive Schedule. Beginning in FFY 2015, and continuing every FFY thereafter, Congress included bonuses paid from Section 8 and 9 </w:t>
      </w:r>
      <w:r>
        <w:rPr>
          <w:color w:val="000000" w:themeColor="text1"/>
          <w:sz w:val="24"/>
          <w:szCs w:val="24"/>
        </w:rPr>
        <w:t xml:space="preserve">funds </w:t>
      </w:r>
      <w:r w:rsidRPr="00C50C23">
        <w:rPr>
          <w:color w:val="000000" w:themeColor="text1"/>
          <w:sz w:val="24"/>
        </w:rPr>
        <w:t>in this limitation.</w:t>
      </w:r>
    </w:p>
    <w:p w:rsidR="003C0034" w:rsidP="003C0034" w14:paraId="184E48F1" w14:textId="77777777">
      <w:pPr>
        <w:pStyle w:val="ListParagraph"/>
        <w:spacing w:before="231" w:line="230" w:lineRule="exact"/>
        <w:ind w:left="450" w:right="288"/>
        <w:rPr>
          <w:bCs/>
          <w:color w:val="000000"/>
          <w:sz w:val="24"/>
          <w:szCs w:val="24"/>
        </w:rPr>
      </w:pPr>
      <w:r w:rsidRPr="001F2C09">
        <w:rPr>
          <w:bCs/>
          <w:color w:val="000000"/>
          <w:sz w:val="24"/>
          <w:szCs w:val="24"/>
        </w:rPr>
        <w:t>These statutory and regulatory authorities are the basis for the information collection which improves regulatory oversight and monitors PHAs compliance with Congress’s directive.</w:t>
      </w:r>
    </w:p>
    <w:p w:rsidR="009E13B1" w:rsidRPr="00881B97" w14:paraId="324CDFDE" w14:textId="77777777">
      <w:pPr>
        <w:keepLines/>
        <w:tabs>
          <w:tab w:val="left" w:pos="360"/>
        </w:tabs>
        <w:spacing w:after="80"/>
        <w:ind w:left="360" w:hanging="360"/>
        <w:rPr>
          <w:b/>
          <w:bCs/>
          <w:sz w:val="24"/>
          <w:szCs w:val="24"/>
        </w:rPr>
      </w:pPr>
      <w:r w:rsidRPr="00881B97">
        <w:rPr>
          <w:b/>
          <w:bCs/>
          <w:sz w:val="24"/>
          <w:szCs w:val="24"/>
        </w:rPr>
        <w:t>2.</w:t>
      </w:r>
      <w:r w:rsidRPr="00881B97">
        <w:rPr>
          <w:b/>
          <w:bCs/>
          <w:sz w:val="24"/>
          <w:szCs w:val="24"/>
        </w:rPr>
        <w:tab/>
        <w:t>Indicate how, by whom and for what purpose the information is to be used.  Except for a new collection, indicate the actual use the agency has made of the information received from the current collection.</w:t>
      </w:r>
    </w:p>
    <w:p w:rsidR="005B7356" w:rsidRPr="001F2C09" w:rsidP="005B7356" w14:paraId="520C5F30" w14:textId="77777777">
      <w:pPr>
        <w:pStyle w:val="ListParagraph"/>
        <w:spacing w:before="233" w:line="230" w:lineRule="exact"/>
        <w:ind w:left="450" w:right="288"/>
        <w:rPr>
          <w:bCs/>
          <w:color w:val="000000"/>
          <w:spacing w:val="1"/>
          <w:sz w:val="24"/>
          <w:szCs w:val="24"/>
        </w:rPr>
      </w:pPr>
      <w:r w:rsidRPr="001F2C09">
        <w:rPr>
          <w:bCs/>
          <w:color w:val="000000"/>
          <w:spacing w:val="1"/>
          <w:sz w:val="24"/>
          <w:szCs w:val="24"/>
        </w:rPr>
        <w:t>The information is similar to what the IRS requires from all non-profit organizations receiving federal tax exemptions. This collection includes the PHA name, identifying PHA code, and the following information for the PHA’s top management official, top financial official and any employee whose salary exceeds the Congressionally imposed cap level IV of the Executive Schedule: name, title, and compensation (including reportable compensation from the PHA and related organizations). For each employee reported, PHAs will submit a salary breakdown and report the sources of the funds.</w:t>
      </w:r>
    </w:p>
    <w:p w:rsidR="005B7356" w:rsidRPr="001F2C09" w:rsidP="005B7356" w14:paraId="3FAC96E5" w14:textId="77777777">
      <w:pPr>
        <w:pStyle w:val="ListParagraph"/>
        <w:spacing w:before="229" w:line="230" w:lineRule="exact"/>
        <w:ind w:left="450" w:right="504"/>
        <w:rPr>
          <w:color w:val="000000"/>
          <w:sz w:val="24"/>
          <w:szCs w:val="24"/>
        </w:rPr>
      </w:pPr>
      <w:r w:rsidRPr="3358A5AB">
        <w:rPr>
          <w:color w:val="000000" w:themeColor="text1"/>
          <w:sz w:val="24"/>
          <w:szCs w:val="24"/>
        </w:rPr>
        <w:t xml:space="preserve">The information will be used for several purposes. HUD officials will use the information as part of their oversight and review of PHAs. One of the factors HUD officials consider of PHAs is how they handle administrative and related expenses. Having data available on these individuals at each PHA will allow HUD officials to review this aspect of PHA administrative expenses and compare these expenses across the range of all PHAs. This will be particularly useful in evaluating PHAs designated </w:t>
      </w:r>
      <w:r w:rsidRPr="01F53145">
        <w:rPr>
          <w:color w:val="000000" w:themeColor="text1"/>
          <w:sz w:val="24"/>
          <w:szCs w:val="24"/>
        </w:rPr>
        <w:t>as “</w:t>
      </w:r>
      <w:r w:rsidRPr="3358A5AB">
        <w:rPr>
          <w:color w:val="000000" w:themeColor="text1"/>
          <w:sz w:val="24"/>
          <w:szCs w:val="24"/>
        </w:rPr>
        <w:t>troubled</w:t>
      </w:r>
      <w:r w:rsidRPr="01F53145">
        <w:rPr>
          <w:color w:val="000000" w:themeColor="text1"/>
          <w:sz w:val="24"/>
          <w:szCs w:val="24"/>
        </w:rPr>
        <w:t>”</w:t>
      </w:r>
      <w:r w:rsidRPr="3358A5AB">
        <w:rPr>
          <w:color w:val="000000" w:themeColor="text1"/>
          <w:sz w:val="24"/>
          <w:szCs w:val="24"/>
        </w:rPr>
        <w:t xml:space="preserve"> because of administrative or other problems. It is anticipated the state and local authorities that also oversee PHAs, and often appoint their boards of directors, will find this information useful for oversight purposes.</w:t>
      </w:r>
    </w:p>
    <w:p w:rsidR="005B7356" w:rsidRPr="001F2C09" w:rsidP="005B7356" w14:paraId="5B259C97" w14:textId="77777777">
      <w:pPr>
        <w:pStyle w:val="ListParagraph"/>
        <w:spacing w:before="231" w:line="230" w:lineRule="exact"/>
        <w:ind w:left="450" w:right="288"/>
        <w:rPr>
          <w:bCs/>
          <w:color w:val="000000"/>
          <w:sz w:val="24"/>
          <w:szCs w:val="24"/>
        </w:rPr>
      </w:pPr>
      <w:r w:rsidRPr="001F2C09">
        <w:rPr>
          <w:bCs/>
          <w:color w:val="000000"/>
          <w:sz w:val="24"/>
          <w:szCs w:val="24"/>
        </w:rPr>
        <w:t>In addition, the information is used to promote transparency. HUD will post on its website the job title and compensation of the employees covered by the collection, just as this information is available for tax-exempt organizations, federal employees, and many private corporations.</w:t>
      </w:r>
    </w:p>
    <w:p w:rsidR="009E13B1" w:rsidRPr="006C7FAE" w14:paraId="4A350C48" w14:textId="77777777">
      <w:pPr>
        <w:keepLines/>
        <w:tabs>
          <w:tab w:val="left" w:pos="360"/>
          <w:tab w:val="left" w:pos="720"/>
        </w:tabs>
        <w:ind w:left="360"/>
        <w:rPr>
          <w:sz w:val="24"/>
          <w:szCs w:val="24"/>
        </w:rPr>
      </w:pPr>
    </w:p>
    <w:p w:rsidR="009E13B1" w:rsidRPr="00881B97" w14:paraId="70250EAE" w14:textId="77777777">
      <w:pPr>
        <w:keepLines/>
        <w:tabs>
          <w:tab w:val="left" w:pos="360"/>
        </w:tabs>
        <w:spacing w:after="80"/>
        <w:ind w:left="360" w:hanging="360"/>
        <w:rPr>
          <w:b/>
          <w:bCs/>
          <w:sz w:val="24"/>
          <w:szCs w:val="24"/>
        </w:rPr>
      </w:pPr>
      <w:r w:rsidRPr="00881B97">
        <w:rPr>
          <w:b/>
          <w:bCs/>
          <w:sz w:val="24"/>
          <w:szCs w:val="24"/>
        </w:rPr>
        <w:t>3.</w:t>
      </w:r>
      <w:r w:rsidRPr="00881B97">
        <w:rPr>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C5177" w:rsidRPr="001F2C09" w:rsidP="000C5177" w14:paraId="18221054" w14:textId="77777777">
      <w:pPr>
        <w:pStyle w:val="ListParagraph"/>
        <w:spacing w:before="228" w:line="230" w:lineRule="exact"/>
        <w:ind w:left="450" w:right="792"/>
        <w:rPr>
          <w:bCs/>
          <w:color w:val="000000"/>
          <w:sz w:val="24"/>
          <w:szCs w:val="24"/>
        </w:rPr>
      </w:pPr>
      <w:r w:rsidRPr="001F2C09">
        <w:rPr>
          <w:bCs/>
          <w:color w:val="000000"/>
          <w:sz w:val="24"/>
          <w:szCs w:val="24"/>
        </w:rPr>
        <w:t>Yes. The compensation information will be completed and submitted electronically to HUD</w:t>
      </w:r>
      <w:r>
        <w:rPr>
          <w:bCs/>
          <w:color w:val="000000"/>
          <w:sz w:val="24"/>
          <w:szCs w:val="24"/>
        </w:rPr>
        <w:t xml:space="preserve"> via the Executive Compensation portal on HUD Secure Systems (</w:t>
      </w:r>
      <w:hyperlink r:id="rId7" w:history="1">
        <w:r w:rsidRPr="0081472F">
          <w:rPr>
            <w:rStyle w:val="Hyperlink"/>
            <w:bCs/>
            <w:sz w:val="24"/>
            <w:szCs w:val="24"/>
          </w:rPr>
          <w:t>Secure Systems External Login</w:t>
        </w:r>
      </w:hyperlink>
      <w:r>
        <w:rPr>
          <w:bCs/>
          <w:color w:val="000000"/>
          <w:sz w:val="24"/>
          <w:szCs w:val="24"/>
        </w:rPr>
        <w:t>)</w:t>
      </w:r>
      <w:r w:rsidRPr="001F2C09">
        <w:rPr>
          <w:bCs/>
          <w:color w:val="000000"/>
          <w:sz w:val="24"/>
          <w:szCs w:val="24"/>
        </w:rPr>
        <w:t xml:space="preserve">. </w:t>
      </w:r>
      <w:r>
        <w:rPr>
          <w:bCs/>
          <w:color w:val="000000"/>
          <w:sz w:val="24"/>
          <w:szCs w:val="24"/>
        </w:rPr>
        <w:t xml:space="preserve">Key PHA personnel have access to HUD Secure Systems and can make the appropriate data submissions for their PHA. </w:t>
      </w:r>
      <w:r w:rsidRPr="001F2C09">
        <w:rPr>
          <w:bCs/>
          <w:color w:val="000000"/>
          <w:sz w:val="24"/>
          <w:szCs w:val="24"/>
        </w:rPr>
        <w:t>HUD will then compile, analyze, and make the data available.</w:t>
      </w:r>
    </w:p>
    <w:p w:rsidR="009E13B1" w:rsidRPr="006C7FAE" w14:paraId="58B111F6" w14:textId="77777777">
      <w:pPr>
        <w:tabs>
          <w:tab w:val="left" w:pos="360"/>
        </w:tabs>
        <w:ind w:left="360" w:hanging="360"/>
        <w:rPr>
          <w:sz w:val="24"/>
          <w:szCs w:val="24"/>
        </w:rPr>
      </w:pPr>
    </w:p>
    <w:p w:rsidR="009E13B1" w:rsidRPr="00881B97" w14:paraId="1C0AE1D0" w14:textId="77777777">
      <w:pPr>
        <w:keepLines/>
        <w:tabs>
          <w:tab w:val="left" w:pos="360"/>
        </w:tabs>
        <w:spacing w:after="80"/>
        <w:ind w:left="360" w:hanging="360"/>
        <w:rPr>
          <w:b/>
          <w:bCs/>
          <w:sz w:val="24"/>
          <w:szCs w:val="24"/>
        </w:rPr>
      </w:pPr>
      <w:r w:rsidRPr="00881B97">
        <w:rPr>
          <w:b/>
          <w:bCs/>
          <w:sz w:val="24"/>
          <w:szCs w:val="24"/>
        </w:rPr>
        <w:t>4.</w:t>
      </w:r>
      <w:r w:rsidRPr="00881B97">
        <w:rPr>
          <w:b/>
          <w:bCs/>
          <w:sz w:val="24"/>
          <w:szCs w:val="24"/>
        </w:rPr>
        <w:tab/>
        <w:t>Describe efforts to identify duplication.  Show specifically why any similar information already available cannot be used or modified for use for the purposes described in Item 2 above.</w:t>
      </w:r>
    </w:p>
    <w:p w:rsidR="00097E29" w:rsidRPr="001F2C09" w:rsidP="00097E29" w14:paraId="600DC358" w14:textId="77777777">
      <w:pPr>
        <w:pStyle w:val="ListParagraph"/>
        <w:spacing w:before="228" w:line="230" w:lineRule="exact"/>
        <w:ind w:left="450" w:right="144"/>
        <w:rPr>
          <w:color w:val="000000"/>
          <w:sz w:val="24"/>
          <w:szCs w:val="24"/>
        </w:rPr>
      </w:pPr>
      <w:r w:rsidRPr="5155C6B4">
        <w:rPr>
          <w:color w:val="000000" w:themeColor="text1"/>
          <w:sz w:val="24"/>
          <w:szCs w:val="24"/>
        </w:rPr>
        <w:t>Similar information is collected by the IRS from all entities required to file Form 990s, which may include some PHAs or their affiliates. Similar information is or will be collected by the General Services Administration (GSA) from many federal grantees, including many PHAs, under the American Recovery and Reinvestment Act of 2009 and the Federal Funding Accountability and Transparency Act of 2006. However, the breakdown of the sources of funds for salary information is NOT collected elsewhere.</w:t>
      </w:r>
    </w:p>
    <w:p w:rsidR="00881B97" w14:paraId="3DD075D1" w14:textId="77777777">
      <w:pPr>
        <w:keepLines/>
        <w:tabs>
          <w:tab w:val="left" w:pos="360"/>
          <w:tab w:val="left" w:pos="720"/>
        </w:tabs>
        <w:ind w:left="360"/>
        <w:rPr>
          <w:sz w:val="24"/>
          <w:szCs w:val="24"/>
        </w:rPr>
      </w:pPr>
    </w:p>
    <w:p w:rsidR="00B7485C" w14:paraId="20B2CE31" w14:textId="77777777">
      <w:pPr>
        <w:keepLines/>
        <w:tabs>
          <w:tab w:val="left" w:pos="360"/>
          <w:tab w:val="left" w:pos="720"/>
        </w:tabs>
        <w:ind w:left="360"/>
        <w:rPr>
          <w:sz w:val="24"/>
          <w:szCs w:val="24"/>
        </w:rPr>
      </w:pPr>
    </w:p>
    <w:p w:rsidR="00B7485C" w14:paraId="4BE2ADCF" w14:textId="77777777">
      <w:pPr>
        <w:keepLines/>
        <w:tabs>
          <w:tab w:val="left" w:pos="360"/>
          <w:tab w:val="left" w:pos="720"/>
        </w:tabs>
        <w:ind w:left="360"/>
        <w:rPr>
          <w:sz w:val="24"/>
          <w:szCs w:val="24"/>
        </w:rPr>
      </w:pPr>
    </w:p>
    <w:p w:rsidR="00B7485C" w:rsidRPr="006C7FAE" w14:paraId="7F7D6148" w14:textId="77777777">
      <w:pPr>
        <w:keepLines/>
        <w:tabs>
          <w:tab w:val="left" w:pos="360"/>
          <w:tab w:val="left" w:pos="720"/>
        </w:tabs>
        <w:ind w:left="360"/>
        <w:rPr>
          <w:sz w:val="24"/>
          <w:szCs w:val="24"/>
        </w:rPr>
      </w:pPr>
    </w:p>
    <w:p w:rsidR="009E13B1" w:rsidRPr="00881B97" w14:paraId="689A9EFC" w14:textId="77777777">
      <w:pPr>
        <w:keepLines/>
        <w:tabs>
          <w:tab w:val="left" w:pos="360"/>
        </w:tabs>
        <w:spacing w:after="80"/>
        <w:ind w:left="360" w:hanging="360"/>
        <w:rPr>
          <w:b/>
          <w:bCs/>
          <w:sz w:val="24"/>
          <w:szCs w:val="24"/>
        </w:rPr>
      </w:pPr>
      <w:r w:rsidRPr="00881B97">
        <w:rPr>
          <w:b/>
          <w:bCs/>
          <w:sz w:val="24"/>
          <w:szCs w:val="24"/>
        </w:rPr>
        <w:t>5.</w:t>
      </w:r>
      <w:r w:rsidRPr="00881B97">
        <w:rPr>
          <w:b/>
          <w:bCs/>
          <w:sz w:val="24"/>
          <w:szCs w:val="24"/>
        </w:rPr>
        <w:tab/>
        <w:t>If the collection of information impacts small businesses or other small entities describe any methods used to minimize burden.</w:t>
      </w:r>
    </w:p>
    <w:p w:rsidR="00DE2C80" w:rsidRPr="001F2C09" w:rsidP="00DE2C80" w14:paraId="5776909E" w14:textId="77777777">
      <w:pPr>
        <w:pStyle w:val="ListParagraph"/>
        <w:spacing w:before="233" w:after="223" w:line="230" w:lineRule="exact"/>
        <w:ind w:left="450" w:right="288"/>
        <w:rPr>
          <w:color w:val="000000"/>
          <w:spacing w:val="1"/>
          <w:sz w:val="24"/>
          <w:szCs w:val="24"/>
        </w:rPr>
      </w:pPr>
      <w:r w:rsidRPr="3358A5AB">
        <w:rPr>
          <w:color w:val="000000"/>
          <w:spacing w:val="1"/>
          <w:sz w:val="24"/>
          <w:szCs w:val="24"/>
        </w:rPr>
        <w:t xml:space="preserve">Many PHAs are small entities; however, the reporting burden for all respondents is minimal because </w:t>
      </w:r>
      <w:r w:rsidRPr="004A2847">
        <w:rPr>
          <w:color w:val="000000"/>
          <w:spacing w:val="1"/>
          <w:sz w:val="24"/>
          <w:szCs w:val="24"/>
        </w:rPr>
        <w:t xml:space="preserve">HUD Form 57725 </w:t>
      </w:r>
      <w:r w:rsidRPr="3358A5AB">
        <w:rPr>
          <w:color w:val="000000"/>
          <w:spacing w:val="1"/>
          <w:sz w:val="24"/>
          <w:szCs w:val="24"/>
        </w:rPr>
        <w:t>uses compensation data from the employee Internal Revenue Service</w:t>
      </w:r>
      <w:r w:rsidRPr="004A2847">
        <w:rPr>
          <w:color w:val="000000"/>
          <w:spacing w:val="1"/>
          <w:sz w:val="24"/>
          <w:szCs w:val="24"/>
        </w:rPr>
        <w:t xml:space="preserve"> (IRS) Form W-2 Wage and Tax Statement. PHA personnel will manually fill out HUD Form 57725 with the information in the IRS W-2 form.</w:t>
      </w:r>
    </w:p>
    <w:p w:rsidR="00DE2C80" w:rsidP="00DE2C80" w14:paraId="7A96F308" w14:textId="77777777">
      <w:pPr>
        <w:pStyle w:val="ListParagraph"/>
        <w:spacing w:after="212" w:line="230" w:lineRule="exact"/>
        <w:ind w:left="450" w:right="144"/>
        <w:rPr>
          <w:bCs/>
          <w:color w:val="000000"/>
          <w:sz w:val="24"/>
          <w:szCs w:val="24"/>
        </w:rPr>
      </w:pPr>
      <w:r>
        <w:rPr>
          <w:bCs/>
          <w:color w:val="000000"/>
          <w:sz w:val="24"/>
          <w:szCs w:val="24"/>
        </w:rPr>
        <w:t>O</w:t>
      </w:r>
      <w:r w:rsidRPr="006B79B4">
        <w:rPr>
          <w:bCs/>
          <w:color w:val="000000"/>
          <w:sz w:val="24"/>
          <w:szCs w:val="24"/>
        </w:rPr>
        <w:t xml:space="preserve">ne of the primary purposes of this revision to the current PRA is to reduce the reporting burden on ALL PHAs by collecting one year of data once every three years – this reduces the reporting burden on PHAs by 66.7%. </w:t>
      </w:r>
    </w:p>
    <w:p w:rsidR="00093788" w:rsidRPr="00093788" w:rsidP="00093788" w14:paraId="62DBBBA5" w14:textId="77777777">
      <w:pPr>
        <w:spacing w:after="212" w:line="230" w:lineRule="exact"/>
        <w:ind w:left="360" w:right="144"/>
        <w:rPr>
          <w:bCs/>
          <w:color w:val="000000"/>
          <w:sz w:val="24"/>
          <w:szCs w:val="24"/>
        </w:rPr>
      </w:pPr>
      <w:r w:rsidRPr="00093788">
        <w:rPr>
          <w:bCs/>
          <w:color w:val="000000"/>
          <w:sz w:val="24"/>
          <w:szCs w:val="24"/>
        </w:rPr>
        <w:t>While HUD may only collect PHA compensation data once every three years, PHAs are still subject to the annual compensation restrictions imposed by Congress.</w:t>
      </w:r>
      <w:r w:rsidRPr="00093788">
        <w:rPr>
          <w:b/>
          <w:bCs/>
          <w:color w:val="000000"/>
          <w:sz w:val="24"/>
          <w:szCs w:val="24"/>
        </w:rPr>
        <w:t xml:space="preserve"> </w:t>
      </w:r>
      <w:r w:rsidRPr="00093788">
        <w:rPr>
          <w:bCs/>
          <w:color w:val="000000"/>
          <w:sz w:val="24"/>
          <w:szCs w:val="24"/>
        </w:rPr>
        <w:t>Therefore, all years</w:t>
      </w:r>
      <w:r w:rsidRPr="00093788">
        <w:rPr>
          <w:b/>
          <w:bCs/>
          <w:color w:val="000000"/>
          <w:sz w:val="24"/>
          <w:szCs w:val="24"/>
        </w:rPr>
        <w:t xml:space="preserve"> </w:t>
      </w:r>
      <w:r w:rsidRPr="00093788">
        <w:rPr>
          <w:bCs/>
          <w:color w:val="000000"/>
          <w:sz w:val="24"/>
          <w:szCs w:val="24"/>
        </w:rPr>
        <w:t>remain subject to potential review by HUD to ensure compliance with the Annual Appropriations Act.</w:t>
      </w:r>
    </w:p>
    <w:p w:rsidR="009E13B1" w:rsidRPr="00881B97" w14:paraId="2C0F0529" w14:textId="77777777">
      <w:pPr>
        <w:keepLines/>
        <w:tabs>
          <w:tab w:val="left" w:pos="360"/>
        </w:tabs>
        <w:spacing w:after="80"/>
        <w:ind w:left="360" w:hanging="360"/>
        <w:rPr>
          <w:b/>
          <w:bCs/>
          <w:sz w:val="24"/>
          <w:szCs w:val="24"/>
        </w:rPr>
      </w:pPr>
      <w:r w:rsidRPr="00881B97">
        <w:rPr>
          <w:b/>
          <w:bCs/>
          <w:sz w:val="24"/>
          <w:szCs w:val="24"/>
        </w:rPr>
        <w:t>6.</w:t>
      </w:r>
      <w:r w:rsidRPr="00881B97">
        <w:rPr>
          <w:b/>
          <w:bCs/>
          <w:sz w:val="24"/>
          <w:szCs w:val="24"/>
        </w:rPr>
        <w:tab/>
        <w:t>Describe the consequence to Federal program or policy activities if the collection is not conducted or is conducted less frequently, as well as any technical or legal obstacles to reducing burden.</w:t>
      </w:r>
    </w:p>
    <w:p w:rsidR="00AE3B5B" w:rsidP="00AE3B5B" w14:paraId="3D95B390" w14:textId="77777777">
      <w:pPr>
        <w:pStyle w:val="ListParagraph"/>
        <w:spacing w:line="225" w:lineRule="exact"/>
        <w:ind w:left="450"/>
        <w:rPr>
          <w:bCs/>
          <w:color w:val="000000"/>
          <w:sz w:val="24"/>
          <w:szCs w:val="24"/>
        </w:rPr>
      </w:pPr>
    </w:p>
    <w:p w:rsidR="00AE3B5B" w:rsidRPr="001F2C09" w:rsidP="00AE3B5B" w14:paraId="17262DB5" w14:textId="332F6DD8">
      <w:pPr>
        <w:pStyle w:val="ListParagraph"/>
        <w:spacing w:line="225" w:lineRule="exact"/>
        <w:ind w:left="450"/>
        <w:rPr>
          <w:bCs/>
          <w:color w:val="000000"/>
          <w:sz w:val="24"/>
          <w:szCs w:val="24"/>
        </w:rPr>
      </w:pPr>
      <w:r w:rsidRPr="001F2C09">
        <w:rPr>
          <w:bCs/>
          <w:color w:val="000000"/>
          <w:sz w:val="24"/>
          <w:szCs w:val="24"/>
        </w:rPr>
        <w:t>The information is collected triennially (collecting one year of data once every three years). Not collecting the information would obviate the purpose of providing oversight and transparency concerning the administrative functions and expenses of PHAs that receive significant direct federal funding and would not provide HUD with a means to determine PHA compliance with the salary limitations imposed by Congress.</w:t>
      </w:r>
    </w:p>
    <w:p w:rsidR="00AE3B5B" w:rsidRPr="001F2C09" w:rsidP="00AE3B5B" w14:paraId="2EB448B4" w14:textId="77777777">
      <w:pPr>
        <w:spacing w:line="225" w:lineRule="exact"/>
        <w:ind w:left="450" w:hanging="270"/>
        <w:rPr>
          <w:bCs/>
          <w:color w:val="000000"/>
          <w:sz w:val="24"/>
          <w:szCs w:val="24"/>
        </w:rPr>
      </w:pPr>
    </w:p>
    <w:p w:rsidR="00AE3B5B" w:rsidP="00AE3B5B" w14:paraId="5555F3F6" w14:textId="77777777">
      <w:pPr>
        <w:pStyle w:val="ListParagraph"/>
        <w:spacing w:line="210" w:lineRule="exact"/>
        <w:ind w:left="450" w:right="432"/>
        <w:rPr>
          <w:bCs/>
          <w:color w:val="000000"/>
          <w:sz w:val="24"/>
          <w:szCs w:val="24"/>
        </w:rPr>
      </w:pPr>
      <w:r w:rsidRPr="001F2C09">
        <w:rPr>
          <w:bCs/>
          <w:color w:val="000000"/>
          <w:sz w:val="24"/>
          <w:szCs w:val="24"/>
        </w:rPr>
        <w:t>Collecting this information once every three years provides sufficient oversight and reasonable assurance that PHAs are complying with the salary limitations imposed by Congress.</w:t>
      </w:r>
    </w:p>
    <w:p w:rsidR="009E13B1" w:rsidRPr="006C7FAE" w14:paraId="5745C910" w14:textId="77777777">
      <w:pPr>
        <w:keepLines/>
        <w:tabs>
          <w:tab w:val="left" w:pos="360"/>
          <w:tab w:val="left" w:pos="720"/>
        </w:tabs>
        <w:ind w:left="360"/>
        <w:rPr>
          <w:sz w:val="24"/>
          <w:szCs w:val="24"/>
        </w:rPr>
      </w:pPr>
    </w:p>
    <w:p w:rsidR="00A65F9E" w:rsidRPr="00881B97" w14:paraId="2B3F5C7B" w14:textId="77777777">
      <w:pPr>
        <w:numPr>
          <w:ilvl w:val="0"/>
          <w:numId w:val="13"/>
        </w:numPr>
        <w:tabs>
          <w:tab w:val="left" w:pos="360"/>
        </w:tabs>
        <w:rPr>
          <w:b/>
          <w:bCs/>
          <w:sz w:val="24"/>
          <w:szCs w:val="24"/>
        </w:rPr>
      </w:pPr>
      <w:r w:rsidRPr="00881B97">
        <w:rPr>
          <w:b/>
          <w:bCs/>
          <w:sz w:val="24"/>
          <w:szCs w:val="24"/>
        </w:rPr>
        <w:t>Explain any special circumstances that would cause an information collection to be conducted in a manner:</w:t>
      </w:r>
    </w:p>
    <w:p w:rsidR="009E13B1" w:rsidRPr="006C7FAE" w:rsidP="00A65F9E" w14:paraId="38CBA337" w14:textId="609F8E11">
      <w:pPr>
        <w:tabs>
          <w:tab w:val="left" w:pos="360"/>
        </w:tabs>
        <w:ind w:left="360"/>
        <w:rPr>
          <w:sz w:val="24"/>
          <w:szCs w:val="24"/>
        </w:rPr>
      </w:pPr>
    </w:p>
    <w:p w:rsidR="000B4C72" w:rsidRPr="00B7485C" w:rsidP="00B7485C" w14:paraId="3807CAA6" w14:textId="0EE2D4A3">
      <w:pPr>
        <w:numPr>
          <w:ilvl w:val="0"/>
          <w:numId w:val="14"/>
        </w:numPr>
        <w:tabs>
          <w:tab w:val="left" w:pos="600"/>
        </w:tabs>
        <w:rPr>
          <w:sz w:val="24"/>
          <w:szCs w:val="24"/>
        </w:rPr>
      </w:pPr>
      <w:r w:rsidRPr="006C7FAE">
        <w:rPr>
          <w:sz w:val="24"/>
          <w:szCs w:val="24"/>
        </w:rPr>
        <w:t xml:space="preserve">requiring respondents to report information to the agency more than quarterly; </w:t>
      </w:r>
      <w:r w:rsidR="00B7485C">
        <w:rPr>
          <w:sz w:val="24"/>
          <w:szCs w:val="24"/>
        </w:rPr>
        <w:t xml:space="preserve"> </w:t>
      </w:r>
      <w:r w:rsidRPr="00B7485C" w:rsidR="00A140C9">
        <w:rPr>
          <w:b/>
          <w:bCs/>
          <w:sz w:val="24"/>
          <w:szCs w:val="24"/>
        </w:rPr>
        <w:t>NA – The data collection is completed triennially</w:t>
      </w:r>
      <w:r w:rsidRPr="00B7485C" w:rsidR="00A140C9">
        <w:rPr>
          <w:sz w:val="24"/>
          <w:szCs w:val="24"/>
        </w:rPr>
        <w:t>.</w:t>
      </w:r>
    </w:p>
    <w:p w:rsidR="001D7F7A" w:rsidRPr="00B7485C" w:rsidP="00B7485C" w14:paraId="7CEC16E4" w14:textId="5A440B28">
      <w:pPr>
        <w:numPr>
          <w:ilvl w:val="0"/>
          <w:numId w:val="14"/>
        </w:numPr>
        <w:tabs>
          <w:tab w:val="left" w:pos="600"/>
        </w:tabs>
        <w:rPr>
          <w:sz w:val="24"/>
          <w:szCs w:val="24"/>
        </w:rPr>
      </w:pPr>
      <w:r w:rsidRPr="006C7FAE">
        <w:rPr>
          <w:sz w:val="24"/>
          <w:szCs w:val="24"/>
        </w:rPr>
        <w:t xml:space="preserve">requiring respondents to prepare a written response to a collection of information in fewer than 30 days after receipt of it; </w:t>
      </w:r>
      <w:r w:rsidRPr="00B7485C">
        <w:rPr>
          <w:b/>
          <w:bCs/>
          <w:sz w:val="24"/>
          <w:szCs w:val="24"/>
        </w:rPr>
        <w:t>NA – No requirement due within 30 days</w:t>
      </w:r>
    </w:p>
    <w:p w:rsidR="001D7F7A" w:rsidRPr="00B7485C" w:rsidP="00B7485C" w14:paraId="76F5FF75" w14:textId="0C26E21E">
      <w:pPr>
        <w:numPr>
          <w:ilvl w:val="0"/>
          <w:numId w:val="14"/>
        </w:numPr>
        <w:tabs>
          <w:tab w:val="left" w:pos="600"/>
        </w:tabs>
        <w:rPr>
          <w:sz w:val="24"/>
          <w:szCs w:val="24"/>
        </w:rPr>
      </w:pPr>
      <w:r w:rsidRPr="006C7FAE">
        <w:rPr>
          <w:sz w:val="24"/>
          <w:szCs w:val="24"/>
        </w:rPr>
        <w:t xml:space="preserve">requiring respondents to submit more than an original and two copies of any document; </w:t>
      </w:r>
      <w:r w:rsidRPr="00B7485C">
        <w:rPr>
          <w:b/>
          <w:bCs/>
          <w:sz w:val="24"/>
          <w:szCs w:val="24"/>
        </w:rPr>
        <w:t>NA – No such requirement</w:t>
      </w:r>
    </w:p>
    <w:p w:rsidR="00FE66D7" w:rsidRPr="00B7485C" w:rsidP="00B7485C" w14:paraId="0F788C1D" w14:textId="51613A48">
      <w:pPr>
        <w:numPr>
          <w:ilvl w:val="0"/>
          <w:numId w:val="14"/>
        </w:numPr>
        <w:tabs>
          <w:tab w:val="left" w:pos="600"/>
        </w:tabs>
        <w:rPr>
          <w:sz w:val="24"/>
          <w:szCs w:val="24"/>
        </w:rPr>
      </w:pPr>
      <w:r w:rsidRPr="006C7FAE">
        <w:rPr>
          <w:sz w:val="24"/>
          <w:szCs w:val="24"/>
        </w:rPr>
        <w:t xml:space="preserve">requiring respondents to retain records other than health, medical, government contract, grant-in-aid, or tax records for more than three years; </w:t>
      </w:r>
      <w:r w:rsidRPr="00B7485C">
        <w:rPr>
          <w:b/>
          <w:bCs/>
          <w:sz w:val="24"/>
          <w:szCs w:val="24"/>
        </w:rPr>
        <w:t>NA – No additional documentation requirements posed by this data collection</w:t>
      </w:r>
    </w:p>
    <w:p w:rsidR="00573BDA" w:rsidRPr="00B7485C" w:rsidP="00B7485C" w14:paraId="4BE31C6F" w14:textId="0805CF57">
      <w:pPr>
        <w:numPr>
          <w:ilvl w:val="0"/>
          <w:numId w:val="14"/>
        </w:numPr>
        <w:tabs>
          <w:tab w:val="left" w:pos="600"/>
        </w:tabs>
        <w:rPr>
          <w:sz w:val="24"/>
          <w:szCs w:val="24"/>
        </w:rPr>
      </w:pPr>
      <w:r w:rsidRPr="006C7FAE">
        <w:rPr>
          <w:sz w:val="24"/>
          <w:szCs w:val="24"/>
        </w:rPr>
        <w:t xml:space="preserve">in connection with a statistical survey, that is not designed to produce valid and reliable results than can be generalized to the universe of study; </w:t>
      </w:r>
      <w:r w:rsidRPr="00B7485C">
        <w:rPr>
          <w:b/>
          <w:bCs/>
          <w:sz w:val="24"/>
          <w:szCs w:val="24"/>
        </w:rPr>
        <w:t>NA – Not a statistical survey</w:t>
      </w:r>
    </w:p>
    <w:p w:rsidR="00573BDA" w:rsidRPr="00B7485C" w:rsidP="00B7485C" w14:paraId="61918815" w14:textId="1870AE05">
      <w:pPr>
        <w:numPr>
          <w:ilvl w:val="0"/>
          <w:numId w:val="14"/>
        </w:numPr>
        <w:tabs>
          <w:tab w:val="left" w:pos="600"/>
        </w:tabs>
        <w:rPr>
          <w:sz w:val="24"/>
          <w:szCs w:val="24"/>
        </w:rPr>
      </w:pPr>
      <w:r w:rsidRPr="006C7FAE">
        <w:rPr>
          <w:sz w:val="24"/>
          <w:szCs w:val="24"/>
        </w:rPr>
        <w:t>requiring the use of a statistical data classification that has not been reviewed and approved by OMB;</w:t>
      </w:r>
      <w:r w:rsidR="00B7485C">
        <w:rPr>
          <w:sz w:val="24"/>
          <w:szCs w:val="24"/>
        </w:rPr>
        <w:t xml:space="preserve"> </w:t>
      </w:r>
      <w:r w:rsidRPr="00B7485C">
        <w:rPr>
          <w:b/>
          <w:bCs/>
          <w:sz w:val="24"/>
          <w:szCs w:val="24"/>
        </w:rPr>
        <w:t>NA – Not a statistical survey</w:t>
      </w:r>
    </w:p>
    <w:p w:rsidR="00573BDA" w:rsidRPr="00B7485C" w:rsidP="00B7485C" w14:paraId="09B5D388" w14:textId="60501AFA">
      <w:pPr>
        <w:numPr>
          <w:ilvl w:val="0"/>
          <w:numId w:val="14"/>
        </w:numPr>
        <w:tabs>
          <w:tab w:val="left" w:pos="600"/>
        </w:tabs>
        <w:rPr>
          <w:sz w:val="24"/>
          <w:szCs w:val="24"/>
        </w:rPr>
      </w:pPr>
      <w:r w:rsidRPr="006C7FAE">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B7485C">
        <w:rPr>
          <w:b/>
          <w:bCs/>
          <w:sz w:val="24"/>
          <w:szCs w:val="24"/>
        </w:rPr>
        <w:t>NA – No pledge made.</w:t>
      </w:r>
      <w:r w:rsidRPr="00B7485C">
        <w:rPr>
          <w:sz w:val="24"/>
          <w:szCs w:val="24"/>
        </w:rPr>
        <w:t xml:space="preserve"> </w:t>
      </w:r>
    </w:p>
    <w:p w:rsidR="00573BDA" w:rsidRPr="00B7485C" w:rsidP="00B7485C" w14:paraId="631B3FAC" w14:textId="1108653C">
      <w:pPr>
        <w:keepLines/>
        <w:numPr>
          <w:ilvl w:val="0"/>
          <w:numId w:val="14"/>
        </w:numPr>
        <w:tabs>
          <w:tab w:val="left" w:pos="600"/>
        </w:tabs>
        <w:spacing w:after="80"/>
        <w:rPr>
          <w:sz w:val="24"/>
          <w:szCs w:val="24"/>
        </w:rPr>
      </w:pPr>
      <w:r w:rsidRPr="006C7FAE">
        <w:rPr>
          <w:sz w:val="24"/>
          <w:szCs w:val="24"/>
        </w:rPr>
        <w:t>requiring respondents to submit proprietary trade secret, or other confidential information unless the agency can demonstrate that it has instituted procedures to protect the information</w:t>
      </w:r>
      <w:r w:rsidR="00881B97">
        <w:rPr>
          <w:sz w:val="24"/>
          <w:szCs w:val="24"/>
        </w:rPr>
        <w:t>’</w:t>
      </w:r>
      <w:r w:rsidRPr="006C7FAE">
        <w:rPr>
          <w:sz w:val="24"/>
          <w:szCs w:val="24"/>
        </w:rPr>
        <w:t>s confidentiality to the extent permitted by law.</w:t>
      </w:r>
      <w:r w:rsidR="00B7485C">
        <w:rPr>
          <w:sz w:val="24"/>
          <w:szCs w:val="24"/>
        </w:rPr>
        <w:t xml:space="preserve"> </w:t>
      </w:r>
      <w:r w:rsidRPr="00B7485C">
        <w:rPr>
          <w:b/>
          <w:bCs/>
          <w:sz w:val="24"/>
          <w:szCs w:val="24"/>
        </w:rPr>
        <w:t xml:space="preserve">NA – No proprietary </w:t>
      </w:r>
      <w:r w:rsidRPr="00B7485C" w:rsidR="00F92A0A">
        <w:rPr>
          <w:b/>
          <w:bCs/>
          <w:sz w:val="24"/>
          <w:szCs w:val="24"/>
        </w:rPr>
        <w:t>information requested.</w:t>
      </w:r>
    </w:p>
    <w:p w:rsidR="009E13B1" w:rsidRPr="006C7FAE" w14:paraId="313F58B2" w14:textId="77777777">
      <w:pPr>
        <w:tabs>
          <w:tab w:val="left" w:pos="360"/>
        </w:tabs>
        <w:ind w:left="360" w:hanging="360"/>
        <w:rPr>
          <w:sz w:val="24"/>
          <w:szCs w:val="24"/>
        </w:rPr>
      </w:pPr>
    </w:p>
    <w:p w:rsidR="00A65F9E" w:rsidRPr="00881B97" w:rsidP="00A65F9E" w14:paraId="663A6B8B" w14:textId="788F6DDA">
      <w:pPr>
        <w:numPr>
          <w:ilvl w:val="0"/>
          <w:numId w:val="13"/>
        </w:numPr>
        <w:tabs>
          <w:tab w:val="left" w:pos="360"/>
        </w:tabs>
        <w:rPr>
          <w:b/>
          <w:bCs/>
          <w:sz w:val="24"/>
          <w:szCs w:val="24"/>
        </w:rPr>
      </w:pPr>
      <w:r w:rsidRPr="00881B97">
        <w:rPr>
          <w:b/>
          <w:bCs/>
          <w:sz w:val="24"/>
          <w:szCs w:val="24"/>
        </w:rPr>
        <w:t>If applicable, provide a copy and identify the date and page number of publication in the Federal Register of the agency</w:t>
      </w:r>
      <w:r w:rsidR="00881B97">
        <w:rPr>
          <w:b/>
          <w:bCs/>
          <w:sz w:val="24"/>
          <w:szCs w:val="24"/>
        </w:rPr>
        <w:t>’</w:t>
      </w:r>
      <w:r w:rsidRPr="00881B97">
        <w:rPr>
          <w:b/>
          <w:bCs/>
          <w:sz w:val="24"/>
          <w:szCs w:val="24"/>
        </w:rPr>
        <w:t>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E13B1" w:rsidRPr="00881B97" w:rsidP="00A65F9E" w14:paraId="6A3CAD41" w14:textId="317635CA">
      <w:pPr>
        <w:tabs>
          <w:tab w:val="left" w:pos="360"/>
        </w:tabs>
        <w:ind w:left="360"/>
        <w:rPr>
          <w:b/>
          <w:bCs/>
          <w:sz w:val="24"/>
          <w:szCs w:val="24"/>
        </w:rPr>
      </w:pPr>
    </w:p>
    <w:p w:rsidR="009E13B1" w:rsidRPr="00881B97" w14:paraId="34CF76D2" w14:textId="77777777">
      <w:pPr>
        <w:numPr>
          <w:ilvl w:val="0"/>
          <w:numId w:val="14"/>
        </w:numPr>
        <w:tabs>
          <w:tab w:val="left" w:pos="360"/>
        </w:tabs>
        <w:ind w:left="480"/>
        <w:rPr>
          <w:b/>
          <w:bCs/>
          <w:sz w:val="24"/>
          <w:szCs w:val="24"/>
        </w:rPr>
      </w:pPr>
      <w:r w:rsidRPr="00881B97">
        <w:rPr>
          <w:b/>
          <w:bCs/>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D83877" w:rsidRPr="00881B97" w:rsidP="00D83877" w14:paraId="36B97880" w14:textId="77777777">
      <w:pPr>
        <w:tabs>
          <w:tab w:val="left" w:pos="360"/>
        </w:tabs>
        <w:ind w:left="480"/>
        <w:rPr>
          <w:b/>
          <w:bCs/>
          <w:sz w:val="24"/>
          <w:szCs w:val="24"/>
        </w:rPr>
      </w:pPr>
    </w:p>
    <w:p w:rsidR="009E13B1" w:rsidRPr="00881B97" w14:paraId="3AA6A4A9" w14:textId="02A6E649">
      <w:pPr>
        <w:keepLines/>
        <w:numPr>
          <w:ilvl w:val="0"/>
          <w:numId w:val="14"/>
        </w:numPr>
        <w:tabs>
          <w:tab w:val="left" w:pos="360"/>
        </w:tabs>
        <w:spacing w:after="80"/>
        <w:ind w:left="480"/>
        <w:rPr>
          <w:b/>
          <w:bCs/>
          <w:sz w:val="24"/>
          <w:szCs w:val="24"/>
        </w:rPr>
      </w:pPr>
      <w:r w:rsidRPr="00881B97">
        <w:rPr>
          <w:b/>
          <w:bCs/>
          <w:sz w:val="24"/>
          <w:szCs w:val="24"/>
        </w:rPr>
        <w:t xml:space="preserve">Consultation with representatives of those from whom information is to be obtained or those who must compile records should occur at least once every 3 years </w:t>
      </w:r>
      <w:r w:rsidR="00881B97">
        <w:rPr>
          <w:b/>
          <w:bCs/>
          <w:sz w:val="24"/>
          <w:szCs w:val="24"/>
        </w:rPr>
        <w:t>–</w:t>
      </w:r>
      <w:r w:rsidRPr="00881B97">
        <w:rPr>
          <w:b/>
          <w:bCs/>
          <w:sz w:val="24"/>
          <w:szCs w:val="24"/>
        </w:rPr>
        <w:t xml:space="preserve"> even if the collection of information activity is the same as in prior periods.  There may be circumstances that preclude consultation in a specific situation.  These circumstances should be explained. </w:t>
      </w:r>
    </w:p>
    <w:p w:rsidR="00881B97" w:rsidP="00881B97" w14:paraId="57DD2A0D" w14:textId="77777777">
      <w:pPr>
        <w:pStyle w:val="ListParagraph"/>
        <w:rPr>
          <w:color w:val="000000" w:themeColor="text1"/>
          <w:sz w:val="24"/>
          <w:szCs w:val="24"/>
        </w:rPr>
      </w:pPr>
    </w:p>
    <w:p w:rsidR="00441C8D" w:rsidP="00441C8D" w14:paraId="7A03FDAE" w14:textId="77777777">
      <w:pPr>
        <w:ind w:left="336"/>
        <w:rPr>
          <w:color w:val="000000" w:themeColor="text1"/>
          <w:sz w:val="24"/>
          <w:szCs w:val="24"/>
        </w:rPr>
      </w:pPr>
      <w:r w:rsidRPr="00441C8D">
        <w:rPr>
          <w:color w:val="000000" w:themeColor="text1"/>
          <w:sz w:val="24"/>
          <w:szCs w:val="24"/>
        </w:rPr>
        <w:t>In accordance with 5 CFR 1320.8(d), the agency’s notice announcing this collection of information appeared in the Federal Register on 05-13-2025, (Volume 90, No 91, Page 20312).  The public was given until 07-14-2025, to submit comments on the proposed information collection.  One anonymous public comment was received on this Proposed Information Collection. HUD addressed the comments in the 30-day Notice of Proposed Information Collection for Public Comments in the Federal Register and below.</w:t>
      </w:r>
    </w:p>
    <w:p w:rsidR="00B66A5F" w:rsidP="00B66A5F" w14:paraId="27C32E8C" w14:textId="77777777">
      <w:pPr>
        <w:ind w:left="336"/>
        <w:rPr>
          <w:b/>
          <w:bCs/>
          <w:color w:val="000000" w:themeColor="text1"/>
          <w:sz w:val="24"/>
          <w:szCs w:val="24"/>
        </w:rPr>
      </w:pPr>
    </w:p>
    <w:p w:rsidR="00B66A5F" w:rsidP="00B66A5F" w14:paraId="6008691E" w14:textId="6A7BBB09">
      <w:pPr>
        <w:ind w:left="336"/>
        <w:rPr>
          <w:color w:val="000000" w:themeColor="text1"/>
          <w:sz w:val="24"/>
          <w:szCs w:val="24"/>
        </w:rPr>
      </w:pPr>
      <w:r w:rsidRPr="008B7108">
        <w:rPr>
          <w:b/>
          <w:bCs/>
          <w:color w:val="000000" w:themeColor="text1"/>
          <w:sz w:val="24"/>
          <w:szCs w:val="24"/>
        </w:rPr>
        <w:t xml:space="preserve">On addressing access to sensitive information: </w:t>
      </w:r>
      <w:r>
        <w:rPr>
          <w:color w:val="000000" w:themeColor="text1"/>
          <w:sz w:val="24"/>
          <w:szCs w:val="24"/>
        </w:rPr>
        <w:t>The comment stated that access to sensitive information is not restricted in this Proposed Information Collection.</w:t>
      </w:r>
    </w:p>
    <w:p w:rsidR="00B66A5F" w:rsidP="00B66A5F" w14:paraId="3DB57BE7" w14:textId="77777777">
      <w:pPr>
        <w:ind w:left="336"/>
        <w:rPr>
          <w:color w:val="000000" w:themeColor="text1"/>
          <w:sz w:val="24"/>
          <w:szCs w:val="24"/>
        </w:rPr>
      </w:pPr>
      <w:r>
        <w:rPr>
          <w:b/>
          <w:bCs/>
          <w:color w:val="000000" w:themeColor="text1"/>
          <w:sz w:val="24"/>
          <w:szCs w:val="24"/>
        </w:rPr>
        <w:t xml:space="preserve">HUD response: </w:t>
      </w:r>
      <w:r>
        <w:rPr>
          <w:color w:val="000000" w:themeColor="text1"/>
          <w:sz w:val="24"/>
          <w:szCs w:val="24"/>
        </w:rPr>
        <w:t xml:space="preserve">HUD is only requesting salary information from HUD-related entities that receive federal funds. Similar information is provided to the IRS by non-profit organizations that receive federal tax exemptions. HUD does not request information of a sensitive nature, such as religion, medical information, or other sensitive or private information. </w:t>
      </w:r>
    </w:p>
    <w:p w:rsidR="00B66A5F" w:rsidP="00B66A5F" w14:paraId="765F2089" w14:textId="77777777">
      <w:pPr>
        <w:ind w:left="336"/>
        <w:rPr>
          <w:sz w:val="24"/>
          <w:szCs w:val="24"/>
        </w:rPr>
      </w:pPr>
    </w:p>
    <w:p w:rsidR="00B66A5F" w:rsidP="00B66A5F" w14:paraId="3A701CE2" w14:textId="77777777">
      <w:pPr>
        <w:ind w:left="336"/>
        <w:rPr>
          <w:sz w:val="24"/>
          <w:szCs w:val="24"/>
        </w:rPr>
      </w:pPr>
      <w:r w:rsidRPr="005D1291">
        <w:rPr>
          <w:b/>
          <w:bCs/>
          <w:sz w:val="24"/>
          <w:szCs w:val="24"/>
        </w:rPr>
        <w:t>On the cost burden to PHAs for providing this information:</w:t>
      </w:r>
      <w:r>
        <w:rPr>
          <w:sz w:val="24"/>
          <w:szCs w:val="24"/>
        </w:rPr>
        <w:t xml:space="preserve"> The comment indicated that this Proposed Information Collection was an unnecessary cost to the government. </w:t>
      </w:r>
    </w:p>
    <w:p w:rsidR="00B66A5F" w:rsidRPr="00053C2E" w:rsidP="00B66A5F" w14:paraId="7A10E057" w14:textId="77777777">
      <w:pPr>
        <w:ind w:left="336"/>
        <w:rPr>
          <w:sz w:val="24"/>
          <w:szCs w:val="24"/>
        </w:rPr>
      </w:pPr>
      <w:r w:rsidRPr="00FE2645">
        <w:rPr>
          <w:b/>
          <w:bCs/>
          <w:sz w:val="24"/>
          <w:szCs w:val="24"/>
        </w:rPr>
        <w:t>HUD response</w:t>
      </w:r>
      <w:r>
        <w:rPr>
          <w:sz w:val="24"/>
          <w:szCs w:val="24"/>
        </w:rPr>
        <w:t xml:space="preserve">: HUD estimates that each PHA will require approximately 1 hour to assemble and submit the requested compensation information. HUD does not believe that this is a substantial burden for individual PHAs given the level of support provided by the federal government. </w:t>
      </w:r>
    </w:p>
    <w:p w:rsidR="009E13B1" w:rsidRPr="006C7FAE" w14:paraId="2607AF1A" w14:textId="77777777">
      <w:pPr>
        <w:tabs>
          <w:tab w:val="left" w:pos="360"/>
        </w:tabs>
        <w:ind w:left="360" w:hanging="360"/>
        <w:rPr>
          <w:sz w:val="24"/>
          <w:szCs w:val="24"/>
        </w:rPr>
      </w:pPr>
    </w:p>
    <w:p w:rsidR="009E13B1" w:rsidRPr="00881B97" w:rsidP="00881B97" w14:paraId="0FD54BC5" w14:textId="5AA32305">
      <w:pPr>
        <w:pStyle w:val="ListParagraph"/>
        <w:keepLines/>
        <w:numPr>
          <w:ilvl w:val="0"/>
          <w:numId w:val="13"/>
        </w:numPr>
        <w:tabs>
          <w:tab w:val="left" w:pos="360"/>
        </w:tabs>
        <w:spacing w:after="80"/>
        <w:rPr>
          <w:b/>
          <w:bCs/>
          <w:sz w:val="24"/>
          <w:szCs w:val="24"/>
        </w:rPr>
      </w:pPr>
      <w:r w:rsidRPr="00881B97">
        <w:rPr>
          <w:b/>
          <w:bCs/>
          <w:sz w:val="24"/>
          <w:szCs w:val="24"/>
        </w:rPr>
        <w:t>Explain any decision to provide any payment or gift to respondents, other than renumeration of contractors or grantees.</w:t>
      </w:r>
    </w:p>
    <w:p w:rsidR="00881B97" w:rsidP="00A95BE7" w14:paraId="49732000" w14:textId="77777777">
      <w:pPr>
        <w:tabs>
          <w:tab w:val="left" w:pos="468"/>
          <w:tab w:val="left" w:pos="504"/>
        </w:tabs>
        <w:ind w:left="360"/>
        <w:rPr>
          <w:bCs/>
          <w:color w:val="000000"/>
          <w:sz w:val="24"/>
          <w:szCs w:val="24"/>
        </w:rPr>
      </w:pPr>
    </w:p>
    <w:p w:rsidR="00A95BE7" w:rsidRPr="001F2C09" w:rsidP="00A95BE7" w14:paraId="072B75BF" w14:textId="36933C0A">
      <w:pPr>
        <w:tabs>
          <w:tab w:val="left" w:pos="468"/>
          <w:tab w:val="left" w:pos="504"/>
        </w:tabs>
        <w:ind w:left="360"/>
        <w:rPr>
          <w:bCs/>
          <w:color w:val="000000"/>
          <w:sz w:val="24"/>
          <w:szCs w:val="24"/>
        </w:rPr>
      </w:pPr>
      <w:r w:rsidRPr="001F2C09">
        <w:rPr>
          <w:bCs/>
          <w:color w:val="000000"/>
          <w:sz w:val="24"/>
          <w:szCs w:val="24"/>
        </w:rPr>
        <w:t>Not applicable to this information collection requirement.</w:t>
      </w:r>
    </w:p>
    <w:p w:rsidR="009E13B1" w:rsidRPr="006C7FAE" w14:paraId="04C87772" w14:textId="77777777">
      <w:pPr>
        <w:tabs>
          <w:tab w:val="left" w:pos="360"/>
        </w:tabs>
        <w:ind w:left="360" w:hanging="360"/>
        <w:rPr>
          <w:sz w:val="24"/>
          <w:szCs w:val="24"/>
        </w:rPr>
      </w:pPr>
    </w:p>
    <w:p w:rsidR="009E13B1" w:rsidRPr="00881B97" w14:paraId="199B10B5" w14:textId="77777777">
      <w:pPr>
        <w:keepLines/>
        <w:tabs>
          <w:tab w:val="left" w:pos="360"/>
        </w:tabs>
        <w:spacing w:after="80"/>
        <w:ind w:left="360" w:hanging="360"/>
        <w:rPr>
          <w:b/>
          <w:bCs/>
          <w:sz w:val="24"/>
          <w:szCs w:val="24"/>
        </w:rPr>
      </w:pPr>
      <w:r w:rsidRPr="00881B97">
        <w:rPr>
          <w:b/>
          <w:bCs/>
          <w:sz w:val="24"/>
          <w:szCs w:val="24"/>
        </w:rPr>
        <w:t>10.</w:t>
      </w:r>
      <w:r w:rsidRPr="00881B97">
        <w:rPr>
          <w:b/>
          <w:bCs/>
          <w:sz w:val="24"/>
          <w:szCs w:val="24"/>
        </w:rPr>
        <w:tab/>
        <w:t>Describe any assurance of confidentiality provided to respondents and the basis for assurance in statute, regulation or agency policy.</w:t>
      </w:r>
      <w:r w:rsidRPr="00881B97" w:rsidR="000D5079">
        <w:rPr>
          <w:b/>
          <w:bCs/>
        </w:rPr>
        <w:t xml:space="preserve"> </w:t>
      </w:r>
      <w:r w:rsidRPr="00881B97" w:rsidR="000D5079">
        <w:rPr>
          <w:b/>
          <w:bCs/>
          <w:sz w:val="24"/>
          <w:szCs w:val="24"/>
        </w:rPr>
        <w:t xml:space="preserve">If the collection requires a </w:t>
      </w:r>
      <w:r w:rsidRPr="00881B97" w:rsidR="00BB2518">
        <w:rPr>
          <w:b/>
          <w:bCs/>
          <w:sz w:val="24"/>
          <w:szCs w:val="24"/>
        </w:rPr>
        <w:t>system of records notice (SORN)</w:t>
      </w:r>
      <w:r w:rsidRPr="00881B97" w:rsidR="000D5079">
        <w:rPr>
          <w:b/>
          <w:bCs/>
          <w:sz w:val="24"/>
          <w:szCs w:val="24"/>
        </w:rPr>
        <w:t xml:space="preserve"> or privacy impact assessment (PIA), those should be cited and described here.</w:t>
      </w:r>
    </w:p>
    <w:p w:rsidR="00F60CEA" w:rsidRPr="002A61E9" w:rsidP="006570B7" w14:paraId="1C5CF0FF" w14:textId="10017523">
      <w:pPr>
        <w:tabs>
          <w:tab w:val="left" w:pos="576"/>
        </w:tabs>
        <w:overflowPunct/>
        <w:autoSpaceDE/>
        <w:autoSpaceDN/>
        <w:adjustRightInd/>
        <w:spacing w:before="274" w:line="230" w:lineRule="exact"/>
        <w:ind w:left="360" w:right="720"/>
        <w:rPr>
          <w:color w:val="000000"/>
          <w:sz w:val="24"/>
          <w:szCs w:val="24"/>
        </w:rPr>
      </w:pPr>
      <w:r>
        <w:rPr>
          <w:bCs/>
          <w:color w:val="000000"/>
          <w:sz w:val="24"/>
          <w:szCs w:val="24"/>
        </w:rPr>
        <w:t xml:space="preserve">No assurances of confidentiality are offered.  </w:t>
      </w:r>
      <w:r w:rsidRPr="00665CA0">
        <w:rPr>
          <w:bCs/>
          <w:color w:val="000000"/>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1F2C09">
        <w:rPr>
          <w:b/>
          <w:bCs/>
          <w:color w:val="000000"/>
          <w:sz w:val="24"/>
          <w:szCs w:val="24"/>
        </w:rPr>
        <w:t>.</w:t>
      </w:r>
      <w:r w:rsidR="006570B7">
        <w:rPr>
          <w:b/>
          <w:bCs/>
          <w:color w:val="000000"/>
          <w:sz w:val="24"/>
          <w:szCs w:val="24"/>
        </w:rPr>
        <w:t xml:space="preserve">  </w:t>
      </w:r>
      <w:r w:rsidRPr="002A61E9">
        <w:rPr>
          <w:color w:val="000000" w:themeColor="text1"/>
          <w:sz w:val="24"/>
          <w:szCs w:val="24"/>
        </w:rPr>
        <w:t>No such sensitive information is sought through this information collection.</w:t>
      </w:r>
    </w:p>
    <w:p w:rsidR="009E13B1" w:rsidRPr="006C7FAE" w14:paraId="6CDC9D62" w14:textId="77777777">
      <w:pPr>
        <w:tabs>
          <w:tab w:val="left" w:pos="360"/>
        </w:tabs>
        <w:ind w:left="360" w:hanging="360"/>
        <w:rPr>
          <w:sz w:val="24"/>
          <w:szCs w:val="24"/>
        </w:rPr>
      </w:pPr>
    </w:p>
    <w:p w:rsidR="009E13B1" w:rsidRPr="006C7FAE" w14:paraId="668EAA31" w14:textId="77777777">
      <w:pPr>
        <w:keepLines/>
        <w:tabs>
          <w:tab w:val="left" w:pos="360"/>
        </w:tabs>
        <w:spacing w:after="80"/>
        <w:ind w:left="360" w:hanging="360"/>
        <w:rPr>
          <w:sz w:val="24"/>
          <w:szCs w:val="24"/>
        </w:rPr>
      </w:pPr>
      <w:r w:rsidRPr="006C7FAE">
        <w:rPr>
          <w:sz w:val="24"/>
          <w:szCs w:val="24"/>
        </w:rPr>
        <w:t>1</w:t>
      </w:r>
      <w:r w:rsidRPr="00881B97">
        <w:rPr>
          <w:b/>
          <w:bCs/>
          <w:sz w:val="24"/>
          <w:szCs w:val="24"/>
        </w:rPr>
        <w:t>1.</w:t>
      </w:r>
      <w:r w:rsidRPr="00881B97">
        <w:rPr>
          <w:b/>
          <w:bCs/>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C7FAE">
        <w:rPr>
          <w:sz w:val="24"/>
          <w:szCs w:val="24"/>
        </w:rPr>
        <w:t>.</w:t>
      </w:r>
    </w:p>
    <w:p w:rsidR="006F6504" w:rsidRPr="002A61E9" w:rsidP="006F6504" w14:paraId="3CE1B242" w14:textId="77777777">
      <w:pPr>
        <w:spacing w:before="229" w:line="227" w:lineRule="exact"/>
        <w:ind w:left="360"/>
        <w:rPr>
          <w:color w:val="000000"/>
          <w:sz w:val="24"/>
          <w:szCs w:val="24"/>
        </w:rPr>
      </w:pPr>
      <w:r w:rsidRPr="002A61E9">
        <w:rPr>
          <w:color w:val="000000" w:themeColor="text1"/>
          <w:sz w:val="24"/>
          <w:szCs w:val="24"/>
        </w:rPr>
        <w:t>No such sensitive information is sought through this information collection.</w:t>
      </w:r>
    </w:p>
    <w:p w:rsidR="00A65F9E" w14:paraId="06BC304E" w14:textId="77777777">
      <w:pPr>
        <w:tabs>
          <w:tab w:val="left" w:pos="360"/>
        </w:tabs>
        <w:ind w:left="360" w:hanging="360"/>
        <w:rPr>
          <w:sz w:val="24"/>
          <w:szCs w:val="24"/>
        </w:rPr>
      </w:pPr>
    </w:p>
    <w:p w:rsidR="000D5079" w:rsidRPr="00881B97" w14:paraId="7C95C366" w14:textId="77777777">
      <w:pPr>
        <w:tabs>
          <w:tab w:val="left" w:pos="360"/>
        </w:tabs>
        <w:ind w:left="360" w:hanging="360"/>
        <w:rPr>
          <w:b/>
          <w:bCs/>
          <w:sz w:val="24"/>
          <w:szCs w:val="24"/>
        </w:rPr>
      </w:pPr>
      <w:r w:rsidRPr="00881B97">
        <w:rPr>
          <w:b/>
          <w:bCs/>
          <w:sz w:val="24"/>
          <w:szCs w:val="24"/>
        </w:rPr>
        <w:t>12.</w:t>
      </w:r>
      <w:r w:rsidRPr="00881B97">
        <w:rPr>
          <w:b/>
          <w:bCs/>
          <w:sz w:val="24"/>
          <w:szCs w:val="24"/>
        </w:rPr>
        <w:tab/>
        <w:t>Provide estimates of the hour burden of the collection of information.  The statement should:</w:t>
      </w:r>
    </w:p>
    <w:p w:rsidR="009E13B1" w:rsidRPr="00881B97" w14:paraId="1876208F" w14:textId="77777777">
      <w:pPr>
        <w:tabs>
          <w:tab w:val="left" w:pos="360"/>
        </w:tabs>
        <w:ind w:left="360" w:hanging="360"/>
        <w:rPr>
          <w:b/>
          <w:bCs/>
          <w:sz w:val="24"/>
          <w:szCs w:val="24"/>
        </w:rPr>
      </w:pPr>
      <w:r w:rsidRPr="00881B97">
        <w:rPr>
          <w:b/>
          <w:bCs/>
          <w:sz w:val="24"/>
          <w:szCs w:val="24"/>
        </w:rPr>
        <w:t xml:space="preserve"> </w:t>
      </w:r>
    </w:p>
    <w:p w:rsidR="009E13B1" w:rsidRPr="00881B97" w14:paraId="06CBD536" w14:textId="77777777">
      <w:pPr>
        <w:numPr>
          <w:ilvl w:val="0"/>
          <w:numId w:val="14"/>
        </w:numPr>
        <w:tabs>
          <w:tab w:val="left" w:pos="480"/>
        </w:tabs>
        <w:ind w:left="480"/>
        <w:rPr>
          <w:b/>
          <w:bCs/>
          <w:sz w:val="24"/>
          <w:szCs w:val="24"/>
        </w:rPr>
      </w:pPr>
      <w:r w:rsidRPr="00881B97">
        <w:rPr>
          <w:b/>
          <w:bCs/>
          <w:sz w:val="24"/>
          <w:szCs w:val="24"/>
        </w:rPr>
        <w:t>I</w:t>
      </w:r>
      <w:r w:rsidRPr="00881B97">
        <w:rPr>
          <w:b/>
          <w:bCs/>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881B97" w:rsidR="006C7FAE">
        <w:rPr>
          <w:b/>
          <w:bCs/>
          <w:sz w:val="24"/>
          <w:szCs w:val="24"/>
        </w:rPr>
        <w:t>Generally,</w:t>
      </w:r>
      <w:r w:rsidRPr="00881B97">
        <w:rPr>
          <w:b/>
          <w:bCs/>
          <w:sz w:val="24"/>
          <w:szCs w:val="24"/>
        </w:rPr>
        <w:t xml:space="preserve"> estimates should not include burden hours for customary and usual business practices; </w:t>
      </w:r>
    </w:p>
    <w:p w:rsidR="00D83877" w:rsidRPr="00881B97" w:rsidP="00D83877" w14:paraId="200DAA5B" w14:textId="77777777">
      <w:pPr>
        <w:tabs>
          <w:tab w:val="left" w:pos="480"/>
        </w:tabs>
        <w:ind w:left="480"/>
        <w:rPr>
          <w:b/>
          <w:bCs/>
          <w:sz w:val="24"/>
          <w:szCs w:val="24"/>
        </w:rPr>
      </w:pPr>
    </w:p>
    <w:p w:rsidR="009E13B1" w:rsidRPr="00881B97" w14:paraId="54BF2220" w14:textId="77777777">
      <w:pPr>
        <w:numPr>
          <w:ilvl w:val="0"/>
          <w:numId w:val="14"/>
        </w:numPr>
        <w:tabs>
          <w:tab w:val="left" w:pos="480"/>
        </w:tabs>
        <w:ind w:left="480"/>
        <w:rPr>
          <w:b/>
          <w:bCs/>
          <w:sz w:val="24"/>
          <w:szCs w:val="24"/>
        </w:rPr>
      </w:pPr>
      <w:r w:rsidRPr="00881B97">
        <w:rPr>
          <w:b/>
          <w:bCs/>
          <w:sz w:val="24"/>
          <w:szCs w:val="24"/>
        </w:rPr>
        <w:t>I</w:t>
      </w:r>
      <w:r w:rsidRPr="00881B97">
        <w:rPr>
          <w:b/>
          <w:bCs/>
          <w:sz w:val="24"/>
          <w:szCs w:val="24"/>
        </w:rPr>
        <w:t xml:space="preserve">f this request covers more than one form, provide separate hour burden estimates for each form and aggregate the hour burdens in </w:t>
      </w:r>
      <w:r w:rsidRPr="00881B97" w:rsidR="00CA06CC">
        <w:rPr>
          <w:b/>
          <w:bCs/>
          <w:sz w:val="24"/>
          <w:szCs w:val="24"/>
        </w:rPr>
        <w:t>chart below</w:t>
      </w:r>
      <w:r w:rsidRPr="00881B97">
        <w:rPr>
          <w:b/>
          <w:bCs/>
          <w:sz w:val="24"/>
          <w:szCs w:val="24"/>
        </w:rPr>
        <w:t xml:space="preserve">; and </w:t>
      </w:r>
    </w:p>
    <w:p w:rsidR="00D83877" w:rsidRPr="00881B97" w:rsidP="00D83877" w14:paraId="0857FC6A" w14:textId="77777777">
      <w:pPr>
        <w:pStyle w:val="ListParagraph"/>
        <w:rPr>
          <w:b/>
          <w:bCs/>
          <w:sz w:val="24"/>
          <w:szCs w:val="24"/>
        </w:rPr>
      </w:pPr>
    </w:p>
    <w:p w:rsidR="009E13B1" w:rsidRPr="00881B97" w14:paraId="438D1797" w14:textId="77777777">
      <w:pPr>
        <w:keepLines/>
        <w:numPr>
          <w:ilvl w:val="0"/>
          <w:numId w:val="14"/>
        </w:numPr>
        <w:tabs>
          <w:tab w:val="left" w:pos="480"/>
        </w:tabs>
        <w:spacing w:after="80"/>
        <w:ind w:left="480"/>
        <w:rPr>
          <w:b/>
          <w:bCs/>
          <w:sz w:val="24"/>
          <w:szCs w:val="24"/>
        </w:rPr>
      </w:pPr>
      <w:r w:rsidRPr="00881B97">
        <w:rPr>
          <w:b/>
          <w:bCs/>
          <w:sz w:val="24"/>
          <w:szCs w:val="24"/>
        </w:rPr>
        <w:t>P</w:t>
      </w:r>
      <w:r w:rsidRPr="00881B97">
        <w:rPr>
          <w:b/>
          <w:bCs/>
          <w:sz w:val="24"/>
          <w:szCs w:val="24"/>
        </w:rPr>
        <w:t xml:space="preserve">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881B97" w:rsidR="00CA06CC">
        <w:rPr>
          <w:b/>
          <w:bCs/>
          <w:sz w:val="24"/>
          <w:szCs w:val="24"/>
        </w:rPr>
        <w:t>Instead,</w:t>
      </w:r>
      <w:r w:rsidRPr="00881B97">
        <w:rPr>
          <w:b/>
          <w:bCs/>
          <w:sz w:val="24"/>
          <w:szCs w:val="24"/>
        </w:rPr>
        <w:t xml:space="preserve"> this cost should be included in Item 13.</w:t>
      </w:r>
    </w:p>
    <w:p w:rsidR="005E055F" w:rsidP="005E055F" w14:paraId="1C1C5F90" w14:textId="77777777">
      <w:pPr>
        <w:keepLines/>
        <w:tabs>
          <w:tab w:val="left" w:pos="480"/>
        </w:tabs>
        <w:spacing w:after="80"/>
        <w:ind w:left="480"/>
        <w:rPr>
          <w:sz w:val="24"/>
          <w:szCs w:val="24"/>
        </w:rPr>
      </w:pPr>
    </w:p>
    <w:tbl>
      <w:tblPr>
        <w:tblW w:w="10458" w:type="dxa"/>
        <w:tblInd w:w="-5" w:type="dxa"/>
        <w:tblLook w:val="04A0"/>
      </w:tblPr>
      <w:tblGrid>
        <w:gridCol w:w="1650"/>
        <w:gridCol w:w="1306"/>
        <w:gridCol w:w="1450"/>
        <w:gridCol w:w="1571"/>
        <w:gridCol w:w="1247"/>
        <w:gridCol w:w="1181"/>
        <w:gridCol w:w="1017"/>
        <w:gridCol w:w="1036"/>
      </w:tblGrid>
      <w:tr w14:paraId="085B3E7F" w14:textId="77777777" w:rsidTr="006570B7">
        <w:tblPrEx>
          <w:tblW w:w="10458" w:type="dxa"/>
          <w:tblInd w:w="-5" w:type="dxa"/>
          <w:tblLook w:val="04A0"/>
        </w:tblPrEx>
        <w:trPr>
          <w:trHeight w:val="433"/>
        </w:trPr>
        <w:tc>
          <w:tcPr>
            <w:tcW w:w="1650" w:type="dxa"/>
            <w:vMerge w:val="restart"/>
            <w:tcBorders>
              <w:top w:val="single" w:sz="4" w:space="0" w:color="auto"/>
              <w:left w:val="single" w:sz="4" w:space="0" w:color="auto"/>
              <w:bottom w:val="single" w:sz="4" w:space="0" w:color="auto"/>
              <w:right w:val="single" w:sz="4" w:space="0" w:color="auto"/>
            </w:tcBorders>
            <w:shd w:val="clear" w:color="000000" w:fill="C5D9F0"/>
            <w:vAlign w:val="center"/>
            <w:hideMark/>
          </w:tcPr>
          <w:p w:rsidR="005E055F" w:rsidRPr="00B7485C" w:rsidP="00C96A59" w14:paraId="792A9BA7" w14:textId="77777777">
            <w:pPr>
              <w:jc w:val="center"/>
              <w:rPr>
                <w:b/>
                <w:bCs/>
                <w:color w:val="000000"/>
                <w:sz w:val="18"/>
                <w:szCs w:val="18"/>
              </w:rPr>
            </w:pPr>
            <w:bookmarkStart w:id="0" w:name="_Hlk192151112"/>
            <w:r w:rsidRPr="00B7485C">
              <w:rPr>
                <w:b/>
                <w:bCs/>
                <w:color w:val="000000"/>
                <w:sz w:val="18"/>
                <w:szCs w:val="18"/>
              </w:rPr>
              <w:t>Information Collection</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C5D9F0"/>
            <w:vAlign w:val="center"/>
            <w:hideMark/>
          </w:tcPr>
          <w:p w:rsidR="005E055F" w:rsidRPr="00B7485C" w:rsidP="00C96A59" w14:paraId="72A24F0D" w14:textId="77777777">
            <w:pPr>
              <w:jc w:val="center"/>
              <w:rPr>
                <w:b/>
                <w:bCs/>
                <w:color w:val="000000"/>
                <w:sz w:val="18"/>
                <w:szCs w:val="18"/>
              </w:rPr>
            </w:pPr>
            <w:r w:rsidRPr="00B7485C">
              <w:rPr>
                <w:b/>
                <w:bCs/>
                <w:color w:val="000000"/>
                <w:sz w:val="18"/>
                <w:szCs w:val="18"/>
              </w:rPr>
              <w:t>Number of Respondents</w:t>
            </w:r>
          </w:p>
        </w:tc>
        <w:tc>
          <w:tcPr>
            <w:tcW w:w="1450" w:type="dxa"/>
            <w:vMerge w:val="restart"/>
            <w:tcBorders>
              <w:top w:val="single" w:sz="4" w:space="0" w:color="auto"/>
              <w:left w:val="single" w:sz="4" w:space="0" w:color="auto"/>
              <w:bottom w:val="single" w:sz="4" w:space="0" w:color="auto"/>
              <w:right w:val="single" w:sz="4" w:space="0" w:color="auto"/>
            </w:tcBorders>
            <w:shd w:val="clear" w:color="000000" w:fill="C5D9F0"/>
            <w:vAlign w:val="center"/>
            <w:hideMark/>
          </w:tcPr>
          <w:p w:rsidR="005E055F" w:rsidRPr="00B7485C" w:rsidP="00C96A59" w14:paraId="57BF8973" w14:textId="77777777">
            <w:pPr>
              <w:jc w:val="center"/>
              <w:rPr>
                <w:b/>
                <w:bCs/>
                <w:color w:val="000000"/>
                <w:sz w:val="18"/>
                <w:szCs w:val="18"/>
              </w:rPr>
            </w:pPr>
            <w:r w:rsidRPr="00B7485C">
              <w:rPr>
                <w:b/>
                <w:bCs/>
                <w:color w:val="000000"/>
                <w:spacing w:val="-1"/>
                <w:sz w:val="18"/>
                <w:szCs w:val="18"/>
              </w:rPr>
              <w:t>*Frequency of Responses</w:t>
            </w:r>
          </w:p>
        </w:tc>
        <w:tc>
          <w:tcPr>
            <w:tcW w:w="1571" w:type="dxa"/>
            <w:vMerge w:val="restart"/>
            <w:tcBorders>
              <w:top w:val="single" w:sz="4" w:space="0" w:color="auto"/>
              <w:left w:val="single" w:sz="4" w:space="0" w:color="auto"/>
              <w:bottom w:val="single" w:sz="4" w:space="0" w:color="auto"/>
              <w:right w:val="single" w:sz="4" w:space="0" w:color="auto"/>
            </w:tcBorders>
            <w:shd w:val="clear" w:color="000000" w:fill="C5D9F0"/>
            <w:vAlign w:val="center"/>
            <w:hideMark/>
          </w:tcPr>
          <w:p w:rsidR="005E055F" w:rsidRPr="00B7485C" w:rsidP="00C96A59" w14:paraId="6A08F7FC" w14:textId="77777777">
            <w:pPr>
              <w:jc w:val="center"/>
              <w:rPr>
                <w:b/>
                <w:bCs/>
                <w:color w:val="000000"/>
                <w:sz w:val="18"/>
                <w:szCs w:val="18"/>
              </w:rPr>
            </w:pPr>
            <w:r w:rsidRPr="00B7485C">
              <w:rPr>
                <w:b/>
                <w:bCs/>
                <w:color w:val="000000"/>
                <w:sz w:val="18"/>
                <w:szCs w:val="18"/>
              </w:rPr>
              <w:t>Responses Per Annum</w:t>
            </w:r>
          </w:p>
        </w:tc>
        <w:tc>
          <w:tcPr>
            <w:tcW w:w="1247" w:type="dxa"/>
            <w:vMerge w:val="restart"/>
            <w:tcBorders>
              <w:top w:val="single" w:sz="4" w:space="0" w:color="auto"/>
              <w:left w:val="single" w:sz="4" w:space="0" w:color="auto"/>
              <w:bottom w:val="single" w:sz="4" w:space="0" w:color="auto"/>
              <w:right w:val="single" w:sz="4" w:space="0" w:color="auto"/>
            </w:tcBorders>
            <w:shd w:val="clear" w:color="000000" w:fill="C5D9F0"/>
            <w:vAlign w:val="center"/>
            <w:hideMark/>
          </w:tcPr>
          <w:p w:rsidR="005E055F" w:rsidRPr="00B7485C" w:rsidP="00C96A59" w14:paraId="751E7E5F" w14:textId="77777777">
            <w:pPr>
              <w:jc w:val="center"/>
              <w:rPr>
                <w:b/>
                <w:bCs/>
                <w:color w:val="000000"/>
                <w:sz w:val="18"/>
                <w:szCs w:val="18"/>
              </w:rPr>
            </w:pPr>
            <w:r w:rsidRPr="00B7485C">
              <w:rPr>
                <w:b/>
                <w:bCs/>
                <w:color w:val="000000"/>
                <w:sz w:val="18"/>
                <w:szCs w:val="18"/>
              </w:rPr>
              <w:t>Burden Hours per Response</w:t>
            </w:r>
          </w:p>
        </w:tc>
        <w:tc>
          <w:tcPr>
            <w:tcW w:w="1181" w:type="dxa"/>
            <w:vMerge w:val="restart"/>
            <w:tcBorders>
              <w:top w:val="single" w:sz="4" w:space="0" w:color="auto"/>
              <w:left w:val="single" w:sz="4" w:space="0" w:color="auto"/>
              <w:bottom w:val="single" w:sz="4" w:space="0" w:color="auto"/>
              <w:right w:val="single" w:sz="4" w:space="0" w:color="auto"/>
            </w:tcBorders>
            <w:shd w:val="clear" w:color="000000" w:fill="C5D9F0"/>
            <w:vAlign w:val="center"/>
            <w:hideMark/>
          </w:tcPr>
          <w:p w:rsidR="005E055F" w:rsidRPr="00B7485C" w:rsidP="00C96A59" w14:paraId="2DE2FE12" w14:textId="77777777">
            <w:pPr>
              <w:jc w:val="center"/>
              <w:rPr>
                <w:b/>
                <w:bCs/>
                <w:color w:val="000000"/>
                <w:sz w:val="18"/>
                <w:szCs w:val="18"/>
              </w:rPr>
            </w:pPr>
            <w:r w:rsidRPr="00B7485C">
              <w:rPr>
                <w:b/>
                <w:bCs/>
                <w:color w:val="000000"/>
                <w:sz w:val="18"/>
                <w:szCs w:val="18"/>
              </w:rPr>
              <w:t>Annual Burden  Hours</w:t>
            </w:r>
          </w:p>
        </w:tc>
        <w:tc>
          <w:tcPr>
            <w:tcW w:w="1017" w:type="dxa"/>
            <w:vMerge w:val="restart"/>
            <w:tcBorders>
              <w:top w:val="single" w:sz="4" w:space="0" w:color="auto"/>
              <w:left w:val="single" w:sz="4" w:space="0" w:color="auto"/>
              <w:bottom w:val="single" w:sz="4" w:space="0" w:color="auto"/>
              <w:right w:val="single" w:sz="4" w:space="0" w:color="auto"/>
            </w:tcBorders>
            <w:shd w:val="clear" w:color="000000" w:fill="C5D9F0"/>
            <w:vAlign w:val="center"/>
            <w:hideMark/>
          </w:tcPr>
          <w:p w:rsidR="005E055F" w:rsidRPr="00B7485C" w:rsidP="00C96A59" w14:paraId="7839C03E" w14:textId="77777777">
            <w:pPr>
              <w:jc w:val="center"/>
              <w:rPr>
                <w:b/>
                <w:bCs/>
                <w:color w:val="000000"/>
                <w:sz w:val="18"/>
                <w:szCs w:val="18"/>
              </w:rPr>
            </w:pPr>
            <w:r w:rsidRPr="00B7485C">
              <w:rPr>
                <w:b/>
                <w:bCs/>
                <w:color w:val="000000"/>
                <w:sz w:val="18"/>
                <w:szCs w:val="18"/>
              </w:rPr>
              <w:t>Hourly Cost per Response</w:t>
            </w:r>
          </w:p>
        </w:tc>
        <w:tc>
          <w:tcPr>
            <w:tcW w:w="1036" w:type="dxa"/>
            <w:vMerge w:val="restart"/>
            <w:tcBorders>
              <w:top w:val="single" w:sz="4" w:space="0" w:color="auto"/>
              <w:left w:val="single" w:sz="4" w:space="0" w:color="auto"/>
              <w:bottom w:val="single" w:sz="4" w:space="0" w:color="auto"/>
              <w:right w:val="single" w:sz="4" w:space="0" w:color="auto"/>
            </w:tcBorders>
            <w:shd w:val="clear" w:color="000000" w:fill="C5D9F0"/>
            <w:vAlign w:val="center"/>
            <w:hideMark/>
          </w:tcPr>
          <w:p w:rsidR="005E055F" w:rsidRPr="00B7485C" w:rsidP="00C96A59" w14:paraId="5A910435" w14:textId="77777777">
            <w:pPr>
              <w:jc w:val="center"/>
              <w:rPr>
                <w:b/>
                <w:bCs/>
                <w:color w:val="000000"/>
                <w:sz w:val="18"/>
                <w:szCs w:val="18"/>
              </w:rPr>
            </w:pPr>
            <w:r w:rsidRPr="00B7485C">
              <w:rPr>
                <w:b/>
                <w:bCs/>
                <w:color w:val="000000"/>
                <w:sz w:val="18"/>
                <w:szCs w:val="18"/>
              </w:rPr>
              <w:t>Annual Cost</w:t>
            </w:r>
          </w:p>
        </w:tc>
      </w:tr>
      <w:tr w14:paraId="4B992BA1" w14:textId="77777777" w:rsidTr="006570B7">
        <w:tblPrEx>
          <w:tblW w:w="10458" w:type="dxa"/>
          <w:tblInd w:w="-5" w:type="dxa"/>
          <w:tblLook w:val="04A0"/>
        </w:tblPrEx>
        <w:trPr>
          <w:trHeight w:val="300"/>
        </w:trPr>
        <w:tc>
          <w:tcPr>
            <w:tcW w:w="1650" w:type="dxa"/>
            <w:vMerge/>
            <w:tcBorders>
              <w:top w:val="single" w:sz="4" w:space="0" w:color="auto"/>
              <w:left w:val="single" w:sz="4" w:space="0" w:color="auto"/>
              <w:bottom w:val="single" w:sz="4" w:space="0" w:color="auto"/>
              <w:right w:val="single" w:sz="4" w:space="0" w:color="auto"/>
            </w:tcBorders>
            <w:vAlign w:val="center"/>
            <w:hideMark/>
          </w:tcPr>
          <w:p w:rsidR="006570B7" w:rsidRPr="00B7485C" w:rsidP="00C96A59" w14:paraId="2F794E6D" w14:textId="77777777">
            <w:pPr>
              <w:rPr>
                <w:b/>
                <w:bCs/>
                <w:color w:val="000000"/>
                <w:sz w:val="18"/>
                <w:szCs w:val="18"/>
              </w:rPr>
            </w:pPr>
          </w:p>
        </w:tc>
        <w:tc>
          <w:tcPr>
            <w:tcW w:w="1306" w:type="dxa"/>
            <w:vMerge/>
            <w:tcBorders>
              <w:top w:val="single" w:sz="4" w:space="0" w:color="auto"/>
              <w:left w:val="single" w:sz="4" w:space="0" w:color="auto"/>
              <w:bottom w:val="single" w:sz="4" w:space="0" w:color="auto"/>
              <w:right w:val="single" w:sz="4" w:space="0" w:color="auto"/>
            </w:tcBorders>
            <w:vAlign w:val="center"/>
            <w:hideMark/>
          </w:tcPr>
          <w:p w:rsidR="006570B7" w:rsidRPr="00B7485C" w:rsidP="00C96A59" w14:paraId="5BC27F97" w14:textId="77777777">
            <w:pPr>
              <w:rPr>
                <w:b/>
                <w:bCs/>
                <w:color w:val="000000"/>
                <w:sz w:val="18"/>
                <w:szCs w:val="18"/>
              </w:rPr>
            </w:pPr>
          </w:p>
        </w:tc>
        <w:tc>
          <w:tcPr>
            <w:tcW w:w="1450" w:type="dxa"/>
            <w:vMerge/>
            <w:tcBorders>
              <w:top w:val="single" w:sz="4" w:space="0" w:color="auto"/>
              <w:left w:val="single" w:sz="4" w:space="0" w:color="auto"/>
              <w:bottom w:val="single" w:sz="4" w:space="0" w:color="auto"/>
              <w:right w:val="single" w:sz="4" w:space="0" w:color="auto"/>
            </w:tcBorders>
            <w:vAlign w:val="center"/>
            <w:hideMark/>
          </w:tcPr>
          <w:p w:rsidR="006570B7" w:rsidRPr="00B7485C" w:rsidP="00C96A59" w14:paraId="4FA5B572" w14:textId="77777777">
            <w:pPr>
              <w:rPr>
                <w:b/>
                <w:bCs/>
                <w:color w:val="000000"/>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rsidR="006570B7" w:rsidRPr="00B7485C" w:rsidP="00C96A59" w14:paraId="232EBE57" w14:textId="77777777">
            <w:pPr>
              <w:rPr>
                <w:b/>
                <w:bCs/>
                <w:color w:val="000000"/>
                <w:sz w:val="18"/>
                <w:szCs w:val="18"/>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6570B7" w:rsidRPr="00B7485C" w:rsidP="00C96A59" w14:paraId="5348E6F9" w14:textId="77777777">
            <w:pPr>
              <w:rPr>
                <w:b/>
                <w:bCs/>
                <w:color w:val="000000"/>
                <w:sz w:val="18"/>
                <w:szCs w:val="18"/>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6570B7" w:rsidRPr="00B7485C" w:rsidP="00C96A59" w14:paraId="2ED1B05B" w14:textId="77777777">
            <w:pPr>
              <w:rPr>
                <w:b/>
                <w:bCs/>
                <w:color w:val="000000"/>
                <w:sz w:val="18"/>
                <w:szCs w:val="18"/>
              </w:rPr>
            </w:pPr>
          </w:p>
        </w:tc>
        <w:tc>
          <w:tcPr>
            <w:tcW w:w="1017" w:type="dxa"/>
            <w:vMerge/>
            <w:tcBorders>
              <w:top w:val="single" w:sz="4" w:space="0" w:color="auto"/>
              <w:left w:val="single" w:sz="4" w:space="0" w:color="auto"/>
              <w:bottom w:val="single" w:sz="4" w:space="0" w:color="auto"/>
              <w:right w:val="single" w:sz="4" w:space="0" w:color="auto"/>
            </w:tcBorders>
            <w:vAlign w:val="center"/>
            <w:hideMark/>
          </w:tcPr>
          <w:p w:rsidR="006570B7" w:rsidRPr="00B7485C" w:rsidP="00C96A59" w14:paraId="3D675AFE" w14:textId="77777777">
            <w:pPr>
              <w:rPr>
                <w:b/>
                <w:bCs/>
                <w:color w:val="000000"/>
                <w:sz w:val="18"/>
                <w:szCs w:val="18"/>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6570B7" w:rsidRPr="00B7485C" w:rsidP="00C96A59" w14:paraId="411A8423" w14:textId="77777777">
            <w:pPr>
              <w:rPr>
                <w:b/>
                <w:bCs/>
                <w:color w:val="000000"/>
                <w:sz w:val="18"/>
                <w:szCs w:val="18"/>
              </w:rPr>
            </w:pPr>
          </w:p>
        </w:tc>
      </w:tr>
      <w:tr w14:paraId="06C89A4D" w14:textId="77777777" w:rsidTr="006570B7">
        <w:tblPrEx>
          <w:tblW w:w="10458" w:type="dxa"/>
          <w:tblInd w:w="-5" w:type="dxa"/>
          <w:tblLook w:val="04A0"/>
        </w:tblPrEx>
        <w:trPr>
          <w:trHeight w:val="230"/>
        </w:trPr>
        <w:tc>
          <w:tcPr>
            <w:tcW w:w="1650" w:type="dxa"/>
            <w:vMerge/>
            <w:tcBorders>
              <w:top w:val="single" w:sz="4" w:space="0" w:color="auto"/>
              <w:left w:val="single" w:sz="4" w:space="0" w:color="auto"/>
              <w:bottom w:val="single" w:sz="4" w:space="0" w:color="auto"/>
              <w:right w:val="single" w:sz="4" w:space="0" w:color="auto"/>
            </w:tcBorders>
            <w:vAlign w:val="center"/>
            <w:hideMark/>
          </w:tcPr>
          <w:p w:rsidR="006570B7" w:rsidRPr="00B7485C" w:rsidP="00C96A59" w14:paraId="4E2BAF48" w14:textId="77777777">
            <w:pPr>
              <w:rPr>
                <w:b/>
                <w:bCs/>
                <w:color w:val="000000"/>
                <w:sz w:val="18"/>
                <w:szCs w:val="18"/>
              </w:rPr>
            </w:pPr>
          </w:p>
        </w:tc>
        <w:tc>
          <w:tcPr>
            <w:tcW w:w="1306" w:type="dxa"/>
            <w:vMerge/>
            <w:tcBorders>
              <w:top w:val="single" w:sz="4" w:space="0" w:color="auto"/>
              <w:left w:val="single" w:sz="4" w:space="0" w:color="auto"/>
              <w:bottom w:val="single" w:sz="4" w:space="0" w:color="auto"/>
              <w:right w:val="single" w:sz="4" w:space="0" w:color="auto"/>
            </w:tcBorders>
            <w:vAlign w:val="center"/>
            <w:hideMark/>
          </w:tcPr>
          <w:p w:rsidR="006570B7" w:rsidRPr="00B7485C" w:rsidP="00C96A59" w14:paraId="7CF0374B" w14:textId="77777777">
            <w:pPr>
              <w:rPr>
                <w:b/>
                <w:bCs/>
                <w:color w:val="000000"/>
                <w:sz w:val="18"/>
                <w:szCs w:val="18"/>
              </w:rPr>
            </w:pPr>
          </w:p>
        </w:tc>
        <w:tc>
          <w:tcPr>
            <w:tcW w:w="1450" w:type="dxa"/>
            <w:vMerge/>
            <w:tcBorders>
              <w:top w:val="single" w:sz="4" w:space="0" w:color="auto"/>
              <w:left w:val="single" w:sz="4" w:space="0" w:color="auto"/>
              <w:bottom w:val="single" w:sz="4" w:space="0" w:color="auto"/>
              <w:right w:val="single" w:sz="4" w:space="0" w:color="auto"/>
            </w:tcBorders>
            <w:vAlign w:val="center"/>
            <w:hideMark/>
          </w:tcPr>
          <w:p w:rsidR="006570B7" w:rsidRPr="00B7485C" w:rsidP="00C96A59" w14:paraId="268625CB" w14:textId="77777777">
            <w:pPr>
              <w:rPr>
                <w:b/>
                <w:bCs/>
                <w:color w:val="000000"/>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rsidR="006570B7" w:rsidRPr="00B7485C" w:rsidP="00C96A59" w14:paraId="0364A5CE" w14:textId="77777777">
            <w:pPr>
              <w:rPr>
                <w:b/>
                <w:bCs/>
                <w:color w:val="000000"/>
                <w:sz w:val="18"/>
                <w:szCs w:val="18"/>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6570B7" w:rsidRPr="00B7485C" w:rsidP="00C96A59" w14:paraId="47398722" w14:textId="77777777">
            <w:pPr>
              <w:rPr>
                <w:b/>
                <w:bCs/>
                <w:color w:val="000000"/>
                <w:sz w:val="18"/>
                <w:szCs w:val="18"/>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6570B7" w:rsidRPr="00B7485C" w:rsidP="00C96A59" w14:paraId="0501FF25" w14:textId="77777777">
            <w:pPr>
              <w:rPr>
                <w:b/>
                <w:bCs/>
                <w:color w:val="000000"/>
                <w:sz w:val="18"/>
                <w:szCs w:val="18"/>
              </w:rPr>
            </w:pPr>
          </w:p>
        </w:tc>
        <w:tc>
          <w:tcPr>
            <w:tcW w:w="1017" w:type="dxa"/>
            <w:vMerge/>
            <w:tcBorders>
              <w:top w:val="single" w:sz="4" w:space="0" w:color="auto"/>
              <w:left w:val="single" w:sz="4" w:space="0" w:color="auto"/>
              <w:bottom w:val="single" w:sz="4" w:space="0" w:color="auto"/>
              <w:right w:val="single" w:sz="4" w:space="0" w:color="auto"/>
            </w:tcBorders>
            <w:vAlign w:val="center"/>
            <w:hideMark/>
          </w:tcPr>
          <w:p w:rsidR="006570B7" w:rsidRPr="00B7485C" w:rsidP="00C96A59" w14:paraId="38A5CF1C" w14:textId="77777777">
            <w:pPr>
              <w:rPr>
                <w:b/>
                <w:bCs/>
                <w:color w:val="000000"/>
                <w:sz w:val="18"/>
                <w:szCs w:val="18"/>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6570B7" w:rsidRPr="00B7485C" w:rsidP="00C96A59" w14:paraId="4C074681" w14:textId="77777777">
            <w:pPr>
              <w:rPr>
                <w:b/>
                <w:bCs/>
                <w:color w:val="000000"/>
                <w:sz w:val="18"/>
                <w:szCs w:val="18"/>
              </w:rPr>
            </w:pPr>
          </w:p>
        </w:tc>
      </w:tr>
      <w:tr w14:paraId="291AA758" w14:textId="77777777" w:rsidTr="006570B7">
        <w:tblPrEx>
          <w:tblW w:w="10458" w:type="dxa"/>
          <w:tblInd w:w="-5" w:type="dxa"/>
          <w:tblLook w:val="04A0"/>
        </w:tblPrEx>
        <w:trPr>
          <w:trHeight w:hRule="exact" w:val="820"/>
        </w:trPr>
        <w:tc>
          <w:tcPr>
            <w:tcW w:w="1650" w:type="dxa"/>
            <w:tcBorders>
              <w:top w:val="single" w:sz="4" w:space="0" w:color="auto"/>
              <w:left w:val="single" w:sz="4" w:space="0" w:color="auto"/>
              <w:bottom w:val="single" w:sz="4" w:space="0" w:color="auto"/>
              <w:right w:val="single" w:sz="4" w:space="0" w:color="auto"/>
            </w:tcBorders>
            <w:vAlign w:val="center"/>
            <w:hideMark/>
          </w:tcPr>
          <w:p w:rsidR="006570B7" w:rsidRPr="00B7485C" w:rsidP="006570B7" w14:paraId="58D422EF" w14:textId="1AE20F1B">
            <w:pPr>
              <w:rPr>
                <w:b/>
                <w:bCs/>
                <w:color w:val="000000"/>
                <w:sz w:val="18"/>
                <w:szCs w:val="18"/>
              </w:rPr>
            </w:pPr>
            <w:r w:rsidRPr="00B7485C">
              <w:rPr>
                <w:b/>
                <w:bCs/>
                <w:color w:val="000000"/>
                <w:sz w:val="18"/>
                <w:szCs w:val="18"/>
              </w:rPr>
              <w:t>Executive Compensation HUD-52725</w:t>
            </w:r>
          </w:p>
        </w:tc>
        <w:tc>
          <w:tcPr>
            <w:tcW w:w="1306" w:type="dxa"/>
            <w:tcBorders>
              <w:top w:val="single" w:sz="4" w:space="0" w:color="auto"/>
              <w:left w:val="single" w:sz="4" w:space="0" w:color="auto"/>
              <w:bottom w:val="single" w:sz="4" w:space="0" w:color="auto"/>
              <w:right w:val="single" w:sz="4" w:space="0" w:color="auto"/>
            </w:tcBorders>
            <w:vAlign w:val="center"/>
            <w:hideMark/>
          </w:tcPr>
          <w:p w:rsidR="006570B7" w:rsidRPr="00B7485C" w:rsidP="00C96A59" w14:paraId="5D4D160C" w14:textId="31518AD5">
            <w:pPr>
              <w:jc w:val="center"/>
              <w:rPr>
                <w:color w:val="000000"/>
                <w:sz w:val="18"/>
                <w:szCs w:val="18"/>
              </w:rPr>
            </w:pPr>
            <w:r w:rsidRPr="00B7485C">
              <w:rPr>
                <w:color w:val="000000"/>
                <w:sz w:val="18"/>
                <w:szCs w:val="18"/>
              </w:rPr>
              <w:t>4,000</w:t>
            </w:r>
          </w:p>
        </w:tc>
        <w:tc>
          <w:tcPr>
            <w:tcW w:w="1450" w:type="dxa"/>
            <w:tcBorders>
              <w:top w:val="single" w:sz="4" w:space="0" w:color="auto"/>
              <w:left w:val="single" w:sz="4" w:space="0" w:color="auto"/>
              <w:bottom w:val="single" w:sz="4" w:space="0" w:color="auto"/>
              <w:right w:val="single" w:sz="4" w:space="0" w:color="auto"/>
            </w:tcBorders>
            <w:vAlign w:val="center"/>
            <w:hideMark/>
          </w:tcPr>
          <w:p w:rsidR="006570B7" w:rsidRPr="00B7485C" w:rsidP="00C96A59" w14:paraId="7153A16C" w14:textId="77777777">
            <w:pPr>
              <w:jc w:val="center"/>
              <w:rPr>
                <w:color w:val="000000"/>
                <w:sz w:val="18"/>
                <w:szCs w:val="18"/>
              </w:rPr>
            </w:pPr>
            <w:r w:rsidRPr="00B7485C">
              <w:rPr>
                <w:color w:val="000000"/>
                <w:sz w:val="18"/>
                <w:szCs w:val="18"/>
              </w:rPr>
              <w:t>1</w:t>
            </w:r>
          </w:p>
        </w:tc>
        <w:tc>
          <w:tcPr>
            <w:tcW w:w="1571" w:type="dxa"/>
            <w:tcBorders>
              <w:top w:val="single" w:sz="4" w:space="0" w:color="auto"/>
              <w:left w:val="single" w:sz="4" w:space="0" w:color="auto"/>
              <w:bottom w:val="single" w:sz="4" w:space="0" w:color="auto"/>
              <w:right w:val="single" w:sz="4" w:space="0" w:color="auto"/>
            </w:tcBorders>
            <w:vAlign w:val="center"/>
            <w:hideMark/>
          </w:tcPr>
          <w:p w:rsidR="006570B7" w:rsidRPr="00B7485C" w:rsidP="00C96A59" w14:paraId="3064AEFC" w14:textId="2047DE01">
            <w:pPr>
              <w:jc w:val="center"/>
              <w:rPr>
                <w:color w:val="000000"/>
                <w:sz w:val="18"/>
                <w:szCs w:val="18"/>
              </w:rPr>
            </w:pPr>
            <w:r w:rsidRPr="00B7485C">
              <w:rPr>
                <w:rFonts w:eastAsia="Arial"/>
                <w:color w:val="000000"/>
                <w:sz w:val="18"/>
                <w:szCs w:val="18"/>
              </w:rPr>
              <w:t>4,000</w:t>
            </w:r>
          </w:p>
        </w:tc>
        <w:tc>
          <w:tcPr>
            <w:tcW w:w="1247" w:type="dxa"/>
            <w:tcBorders>
              <w:top w:val="single" w:sz="4" w:space="0" w:color="auto"/>
              <w:left w:val="single" w:sz="4" w:space="0" w:color="auto"/>
              <w:bottom w:val="single" w:sz="4" w:space="0" w:color="auto"/>
              <w:right w:val="single" w:sz="4" w:space="0" w:color="auto"/>
            </w:tcBorders>
            <w:vAlign w:val="center"/>
            <w:hideMark/>
          </w:tcPr>
          <w:p w:rsidR="006570B7" w:rsidRPr="00B7485C" w:rsidP="00C96A59" w14:paraId="2199D20A" w14:textId="77777777">
            <w:pPr>
              <w:jc w:val="center"/>
              <w:rPr>
                <w:color w:val="000000"/>
                <w:sz w:val="18"/>
                <w:szCs w:val="18"/>
              </w:rPr>
            </w:pPr>
            <w:r w:rsidRPr="00B7485C">
              <w:rPr>
                <w:color w:val="000000"/>
                <w:sz w:val="18"/>
                <w:szCs w:val="18"/>
              </w:rPr>
              <w:t>1</w:t>
            </w:r>
          </w:p>
        </w:tc>
        <w:tc>
          <w:tcPr>
            <w:tcW w:w="1181" w:type="dxa"/>
            <w:tcBorders>
              <w:top w:val="single" w:sz="4" w:space="0" w:color="auto"/>
              <w:left w:val="single" w:sz="4" w:space="0" w:color="auto"/>
              <w:bottom w:val="single" w:sz="4" w:space="0" w:color="auto"/>
              <w:right w:val="single" w:sz="4" w:space="0" w:color="auto"/>
            </w:tcBorders>
            <w:vAlign w:val="center"/>
            <w:hideMark/>
          </w:tcPr>
          <w:p w:rsidR="006570B7" w:rsidRPr="00B7485C" w:rsidP="00C96A59" w14:paraId="251B90F7" w14:textId="001C90ED">
            <w:pPr>
              <w:jc w:val="center"/>
              <w:rPr>
                <w:color w:val="000000"/>
                <w:sz w:val="18"/>
                <w:szCs w:val="18"/>
              </w:rPr>
            </w:pPr>
            <w:r w:rsidRPr="00B7485C">
              <w:rPr>
                <w:color w:val="000000"/>
                <w:sz w:val="18"/>
                <w:szCs w:val="18"/>
              </w:rPr>
              <w:t>4,000</w:t>
            </w:r>
          </w:p>
        </w:tc>
        <w:tc>
          <w:tcPr>
            <w:tcW w:w="1017" w:type="dxa"/>
            <w:tcBorders>
              <w:top w:val="single" w:sz="4" w:space="0" w:color="auto"/>
              <w:left w:val="single" w:sz="4" w:space="0" w:color="auto"/>
              <w:bottom w:val="single" w:sz="4" w:space="0" w:color="auto"/>
              <w:right w:val="single" w:sz="4" w:space="0" w:color="auto"/>
            </w:tcBorders>
            <w:vAlign w:val="center"/>
            <w:hideMark/>
          </w:tcPr>
          <w:p w:rsidR="006570B7" w:rsidRPr="00B7485C" w:rsidP="00C96A59" w14:paraId="2D952A93" w14:textId="77777777">
            <w:pPr>
              <w:jc w:val="center"/>
              <w:rPr>
                <w:color w:val="000000"/>
                <w:sz w:val="18"/>
                <w:szCs w:val="18"/>
              </w:rPr>
            </w:pPr>
            <w:r w:rsidRPr="00B7485C">
              <w:rPr>
                <w:color w:val="000000"/>
                <w:sz w:val="18"/>
                <w:szCs w:val="18"/>
              </w:rPr>
              <w:t xml:space="preserve">$39.86 </w:t>
            </w:r>
          </w:p>
        </w:tc>
        <w:tc>
          <w:tcPr>
            <w:tcW w:w="1036" w:type="dxa"/>
            <w:tcBorders>
              <w:top w:val="single" w:sz="4" w:space="0" w:color="auto"/>
              <w:left w:val="single" w:sz="4" w:space="0" w:color="auto"/>
              <w:bottom w:val="single" w:sz="4" w:space="0" w:color="auto"/>
              <w:right w:val="single" w:sz="4" w:space="0" w:color="auto"/>
            </w:tcBorders>
            <w:vAlign w:val="center"/>
            <w:hideMark/>
          </w:tcPr>
          <w:p w:rsidR="006570B7" w:rsidRPr="00B7485C" w:rsidP="00C96A59" w14:paraId="4E8F10E2" w14:textId="77777777">
            <w:pPr>
              <w:jc w:val="right"/>
              <w:rPr>
                <w:b/>
                <w:bCs/>
                <w:color w:val="000000"/>
                <w:sz w:val="18"/>
                <w:szCs w:val="18"/>
              </w:rPr>
            </w:pPr>
            <w:r w:rsidRPr="00B7485C">
              <w:rPr>
                <w:b/>
                <w:bCs/>
                <w:color w:val="000000"/>
                <w:sz w:val="18"/>
                <w:szCs w:val="18"/>
              </w:rPr>
              <w:t xml:space="preserve">$159,440 </w:t>
            </w:r>
          </w:p>
        </w:tc>
      </w:tr>
    </w:tbl>
    <w:bookmarkEnd w:id="0"/>
    <w:p w:rsidR="005E055F" w:rsidP="00B7485C" w14:paraId="1E07157A" w14:textId="61B159E3">
      <w:pPr>
        <w:pStyle w:val="ListParagraph"/>
        <w:spacing w:before="224" w:line="255" w:lineRule="exact"/>
        <w:ind w:left="450" w:right="504"/>
        <w:rPr>
          <w:color w:val="000000" w:themeColor="text1"/>
          <w:sz w:val="24"/>
          <w:szCs w:val="24"/>
        </w:rPr>
      </w:pPr>
      <w:r w:rsidRPr="5155C6B4">
        <w:rPr>
          <w:color w:val="000000" w:themeColor="text1"/>
          <w:sz w:val="24"/>
          <w:szCs w:val="24"/>
        </w:rPr>
        <w:t>The total burden of this collection is expected to be 4</w:t>
      </w:r>
      <w:r w:rsidR="00881B97">
        <w:rPr>
          <w:color w:val="000000" w:themeColor="text1"/>
          <w:sz w:val="24"/>
          <w:szCs w:val="24"/>
        </w:rPr>
        <w:t>,</w:t>
      </w:r>
      <w:r w:rsidRPr="5155C6B4">
        <w:rPr>
          <w:color w:val="000000" w:themeColor="text1"/>
          <w:sz w:val="24"/>
          <w:szCs w:val="24"/>
        </w:rPr>
        <w:t>000 hours. The total estimated triennial cost of this information collection is $</w:t>
      </w:r>
      <w:r>
        <w:rPr>
          <w:color w:val="000000" w:themeColor="text1"/>
          <w:sz w:val="24"/>
          <w:szCs w:val="24"/>
        </w:rPr>
        <w:t>159,440</w:t>
      </w:r>
      <w:r w:rsidRPr="5155C6B4">
        <w:rPr>
          <w:color w:val="000000" w:themeColor="text1"/>
          <w:sz w:val="24"/>
          <w:szCs w:val="24"/>
        </w:rPr>
        <w:t xml:space="preserve"> To estimate the hourly cost per respondent, HUD used the </w:t>
      </w:r>
      <w:r w:rsidRPr="5155C6B4">
        <w:rPr>
          <w:rFonts w:eastAsia="Calibri"/>
          <w:sz w:val="24"/>
          <w:szCs w:val="24"/>
        </w:rPr>
        <w:t>Department of Labor Bureau of Labor Statistics’ most recent (May 202</w:t>
      </w:r>
      <w:r>
        <w:rPr>
          <w:rFonts w:eastAsia="Calibri"/>
          <w:sz w:val="24"/>
          <w:szCs w:val="24"/>
        </w:rPr>
        <w:t>4</w:t>
      </w:r>
      <w:r w:rsidRPr="5155C6B4">
        <w:rPr>
          <w:rFonts w:eastAsia="Calibri"/>
          <w:sz w:val="24"/>
          <w:szCs w:val="24"/>
        </w:rPr>
        <w:t xml:space="preserve">) on the State and local government workers by occupational and industry group </w:t>
      </w:r>
      <w:r>
        <w:fldChar w:fldCharType="begin"/>
      </w:r>
      <w:r w:rsidRPr="5155C6B4">
        <w:rPr>
          <w:rStyle w:val="Hyperlink"/>
          <w:rFonts w:eastAsia="Calibri"/>
          <w:sz w:val="24"/>
          <w:szCs w:val="24"/>
        </w:rPr>
        <w:instrText xml:space="preserve"> HYPERLINK "https://www.bls.gov/oes/current/oes131141.htm"  \h </w:instrText>
      </w:r>
      <w:r>
        <w:fldChar w:fldCharType="separate"/>
      </w:r>
      <w:r w:rsidRPr="5155C6B4">
        <w:rPr>
          <w:rStyle w:val="Hyperlink"/>
          <w:rFonts w:eastAsia="Calibri"/>
          <w:sz w:val="24"/>
          <w:szCs w:val="24"/>
        </w:rPr>
        <w:t>https://www.bls.gov/oes/current/oes131141.htm</w:t>
      </w:r>
      <w:r>
        <w:fldChar w:fldCharType="end"/>
      </w:r>
      <w:r w:rsidRPr="5155C6B4">
        <w:rPr>
          <w:rFonts w:eastAsia="Calibri"/>
          <w:sz w:val="24"/>
          <w:szCs w:val="24"/>
        </w:rPr>
        <w:t>. We based our hourly wage estimate for personnel with a Compensation</w:t>
      </w:r>
      <w:r w:rsidRPr="5155C6B4">
        <w:rPr>
          <w:color w:val="000000" w:themeColor="text1"/>
          <w:sz w:val="24"/>
          <w:szCs w:val="24"/>
        </w:rPr>
        <w:t>, Benefits, and Job Analysis Specialist designation (13-1141) to have a salary of $8</w:t>
      </w:r>
      <w:r>
        <w:rPr>
          <w:color w:val="000000" w:themeColor="text1"/>
          <w:sz w:val="24"/>
          <w:szCs w:val="24"/>
        </w:rPr>
        <w:t>2,920</w:t>
      </w:r>
      <w:r w:rsidRPr="5155C6B4">
        <w:rPr>
          <w:color w:val="000000" w:themeColor="text1"/>
          <w:sz w:val="24"/>
          <w:szCs w:val="24"/>
        </w:rPr>
        <w:t xml:space="preserve"> per year based on the bureau of labor and statistics (Occupational Employment and Wage Statistics 202</w:t>
      </w:r>
      <w:r>
        <w:rPr>
          <w:color w:val="000000" w:themeColor="text1"/>
          <w:sz w:val="24"/>
          <w:szCs w:val="24"/>
        </w:rPr>
        <w:t>4</w:t>
      </w:r>
      <w:r w:rsidRPr="5155C6B4">
        <w:rPr>
          <w:color w:val="000000" w:themeColor="text1"/>
          <w:sz w:val="24"/>
          <w:szCs w:val="24"/>
        </w:rPr>
        <w:t>), to have an hourly rate of $3</w:t>
      </w:r>
      <w:r>
        <w:rPr>
          <w:color w:val="000000" w:themeColor="text1"/>
          <w:sz w:val="24"/>
          <w:szCs w:val="24"/>
        </w:rPr>
        <w:t>9.86.</w:t>
      </w:r>
    </w:p>
    <w:p w:rsidR="006F6504" w:rsidRPr="00710EDC" w:rsidP="00B7485C" w14:paraId="588E236B" w14:textId="77777777">
      <w:pPr>
        <w:pStyle w:val="NoSpacing"/>
      </w:pPr>
    </w:p>
    <w:p w:rsidR="000D5079" w:rsidRPr="00881B97" w14:paraId="0CEE4D0B" w14:textId="77777777">
      <w:pPr>
        <w:tabs>
          <w:tab w:val="left" w:pos="360"/>
        </w:tabs>
        <w:ind w:left="360" w:hanging="360"/>
        <w:rPr>
          <w:b/>
          <w:bCs/>
          <w:sz w:val="24"/>
          <w:szCs w:val="24"/>
        </w:rPr>
      </w:pPr>
      <w:r w:rsidRPr="00881B97">
        <w:rPr>
          <w:b/>
          <w:bCs/>
          <w:sz w:val="24"/>
          <w:szCs w:val="24"/>
        </w:rPr>
        <w:t>13.</w:t>
      </w:r>
      <w:r w:rsidRPr="00881B97">
        <w:rPr>
          <w:b/>
          <w:bCs/>
          <w:sz w:val="24"/>
          <w:szCs w:val="24"/>
        </w:rPr>
        <w:tab/>
        <w:t>Provide an estimate of the total annual cost burden to respondents or recordkeepers resulting from the collection of information</w:t>
      </w:r>
      <w:r w:rsidRPr="00881B97">
        <w:rPr>
          <w:b/>
          <w:bCs/>
          <w:sz w:val="24"/>
          <w:szCs w:val="24"/>
        </w:rPr>
        <w:t>. (Do not include the cost of any hour burden already reflected on the burden worksheet</w:t>
      </w:r>
      <w:r w:rsidRPr="00881B97">
        <w:rPr>
          <w:b/>
          <w:bCs/>
          <w:sz w:val="24"/>
          <w:szCs w:val="24"/>
        </w:rPr>
        <w:t xml:space="preserve"> shown in Items 12 and 14).</w:t>
      </w:r>
    </w:p>
    <w:p w:rsidR="009E13B1" w:rsidRPr="00881B97" w14:paraId="2D0E6548" w14:textId="77777777">
      <w:pPr>
        <w:tabs>
          <w:tab w:val="left" w:pos="360"/>
        </w:tabs>
        <w:ind w:left="360" w:hanging="360"/>
        <w:rPr>
          <w:b/>
          <w:bCs/>
          <w:sz w:val="24"/>
          <w:szCs w:val="24"/>
        </w:rPr>
      </w:pPr>
      <w:r w:rsidRPr="00881B97">
        <w:rPr>
          <w:b/>
          <w:bCs/>
          <w:sz w:val="24"/>
          <w:szCs w:val="24"/>
        </w:rPr>
        <w:t xml:space="preserve"> </w:t>
      </w:r>
    </w:p>
    <w:p w:rsidR="009E13B1" w:rsidRPr="00881B97" w14:paraId="1C503D2C" w14:textId="48840CC4">
      <w:pPr>
        <w:numPr>
          <w:ilvl w:val="0"/>
          <w:numId w:val="14"/>
        </w:numPr>
        <w:tabs>
          <w:tab w:val="left" w:pos="360"/>
        </w:tabs>
        <w:ind w:left="480"/>
        <w:rPr>
          <w:b/>
          <w:bCs/>
          <w:sz w:val="24"/>
          <w:szCs w:val="24"/>
        </w:rPr>
      </w:pPr>
      <w:r w:rsidRPr="00881B97">
        <w:rPr>
          <w:b/>
          <w:bCs/>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r w:rsidRPr="00881B97" w:rsidR="00D83877">
        <w:rPr>
          <w:b/>
          <w:bCs/>
          <w:sz w:val="24"/>
          <w:szCs w:val="24"/>
        </w:rPr>
        <w:t>Not applicable</w:t>
      </w:r>
    </w:p>
    <w:p w:rsidR="00D83877" w:rsidRPr="00881B97" w:rsidP="00D83877" w14:paraId="39AE0864" w14:textId="77777777">
      <w:pPr>
        <w:tabs>
          <w:tab w:val="left" w:pos="360"/>
        </w:tabs>
        <w:ind w:left="480"/>
        <w:rPr>
          <w:b/>
          <w:bCs/>
          <w:sz w:val="24"/>
          <w:szCs w:val="24"/>
        </w:rPr>
      </w:pPr>
    </w:p>
    <w:p w:rsidR="009E13B1" w:rsidRPr="00881B97" w14:paraId="4D47756F" w14:textId="2F4CCF88">
      <w:pPr>
        <w:numPr>
          <w:ilvl w:val="0"/>
          <w:numId w:val="14"/>
        </w:numPr>
        <w:tabs>
          <w:tab w:val="left" w:pos="360"/>
        </w:tabs>
        <w:ind w:left="480"/>
        <w:rPr>
          <w:b/>
          <w:bCs/>
          <w:sz w:val="24"/>
          <w:szCs w:val="24"/>
        </w:rPr>
      </w:pPr>
      <w:r w:rsidRPr="00881B97">
        <w:rPr>
          <w:b/>
          <w:bCs/>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r w:rsidRPr="00881B97" w:rsidR="00D83877">
        <w:rPr>
          <w:b/>
          <w:bCs/>
          <w:sz w:val="24"/>
          <w:szCs w:val="24"/>
        </w:rPr>
        <w:t>Not applicable</w:t>
      </w:r>
    </w:p>
    <w:p w:rsidR="00D83877" w:rsidRPr="00881B97" w:rsidP="00D83877" w14:paraId="36C7617A" w14:textId="77777777">
      <w:pPr>
        <w:pStyle w:val="ListParagraph"/>
        <w:rPr>
          <w:b/>
          <w:bCs/>
          <w:sz w:val="24"/>
          <w:szCs w:val="24"/>
        </w:rPr>
      </w:pPr>
    </w:p>
    <w:p w:rsidR="009E13B1" w14:paraId="497102DC" w14:textId="77777777">
      <w:pPr>
        <w:keepLines/>
        <w:numPr>
          <w:ilvl w:val="0"/>
          <w:numId w:val="14"/>
        </w:numPr>
        <w:tabs>
          <w:tab w:val="left" w:pos="360"/>
        </w:tabs>
        <w:spacing w:after="80"/>
        <w:ind w:left="480"/>
        <w:rPr>
          <w:sz w:val="24"/>
          <w:szCs w:val="24"/>
        </w:rPr>
      </w:pPr>
      <w:r w:rsidRPr="00881B97">
        <w:rPr>
          <w:b/>
          <w:bCs/>
          <w:sz w:val="24"/>
          <w:szCs w:val="24"/>
        </w:rPr>
        <w:t>G</w:t>
      </w:r>
      <w:r w:rsidRPr="00881B97">
        <w:rPr>
          <w:b/>
          <w:bCs/>
          <w:sz w:val="24"/>
          <w:szCs w:val="24"/>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C7FAE">
        <w:rPr>
          <w:sz w:val="24"/>
          <w:szCs w:val="24"/>
        </w:rPr>
        <w:t>.</w:t>
      </w:r>
    </w:p>
    <w:p w:rsidR="006570B7" w:rsidP="002A2BF4" w14:paraId="161D5D9C" w14:textId="77777777">
      <w:pPr>
        <w:keepLines/>
        <w:tabs>
          <w:tab w:val="left" w:pos="360"/>
        </w:tabs>
        <w:spacing w:after="80"/>
        <w:ind w:left="480"/>
        <w:rPr>
          <w:sz w:val="24"/>
          <w:szCs w:val="24"/>
        </w:rPr>
      </w:pPr>
    </w:p>
    <w:p w:rsidR="002A2BF4" w:rsidP="002A2BF4" w14:paraId="265115C1" w14:textId="3ADEF302">
      <w:pPr>
        <w:keepLines/>
        <w:tabs>
          <w:tab w:val="left" w:pos="360"/>
        </w:tabs>
        <w:spacing w:after="80"/>
        <w:ind w:left="480"/>
        <w:rPr>
          <w:sz w:val="24"/>
          <w:szCs w:val="24"/>
        </w:rPr>
      </w:pPr>
      <w:r>
        <w:rPr>
          <w:sz w:val="24"/>
          <w:szCs w:val="24"/>
        </w:rPr>
        <w:t>Not applicable.</w:t>
      </w:r>
    </w:p>
    <w:p w:rsidR="006570B7" w:rsidP="006570B7" w14:paraId="406C8603" w14:textId="77777777">
      <w:pPr>
        <w:pStyle w:val="NoSpacing"/>
      </w:pPr>
    </w:p>
    <w:p w:rsidR="006570B7" w:rsidP="006570B7" w14:paraId="0B69A0B3" w14:textId="77777777">
      <w:pPr>
        <w:pStyle w:val="NoSpacing"/>
      </w:pPr>
    </w:p>
    <w:p w:rsidR="006570B7" w:rsidP="006570B7" w14:paraId="26C1FC4C" w14:textId="77777777">
      <w:pPr>
        <w:pStyle w:val="NoSpacing"/>
      </w:pPr>
    </w:p>
    <w:p w:rsidR="006570B7" w:rsidP="006570B7" w14:paraId="321937B2" w14:textId="77777777">
      <w:pPr>
        <w:pStyle w:val="NoSpacing"/>
      </w:pPr>
    </w:p>
    <w:p w:rsidR="009E13B1" w:rsidRPr="00881B97" w14:paraId="0F877C1B" w14:textId="77777777">
      <w:pPr>
        <w:keepLines/>
        <w:tabs>
          <w:tab w:val="left" w:pos="360"/>
        </w:tabs>
        <w:spacing w:after="80"/>
        <w:ind w:left="360" w:hanging="360"/>
        <w:rPr>
          <w:b/>
          <w:bCs/>
          <w:sz w:val="24"/>
          <w:szCs w:val="24"/>
        </w:rPr>
      </w:pPr>
      <w:r w:rsidRPr="00881B97">
        <w:rPr>
          <w:b/>
          <w:bCs/>
          <w:sz w:val="24"/>
          <w:szCs w:val="24"/>
        </w:rPr>
        <w:t>14.</w:t>
      </w:r>
      <w:r w:rsidRPr="00881B97">
        <w:rPr>
          <w:b/>
          <w:bCs/>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E138F" w:rsidRPr="001F2C09" w:rsidP="00FE138F" w14:paraId="65281118" w14:textId="197B7C05">
      <w:pPr>
        <w:pStyle w:val="ListParagraph"/>
        <w:spacing w:before="236" w:after="199" w:line="227" w:lineRule="exact"/>
        <w:ind w:left="450" w:right="216"/>
        <w:rPr>
          <w:bCs/>
          <w:color w:val="000000"/>
          <w:sz w:val="24"/>
          <w:szCs w:val="24"/>
        </w:rPr>
      </w:pPr>
      <w:r w:rsidRPr="001F2C09">
        <w:rPr>
          <w:bCs/>
          <w:color w:val="000000"/>
          <w:sz w:val="24"/>
          <w:szCs w:val="24"/>
        </w:rPr>
        <w:t>Our estimated triennial cost to the federal government is based on the FY 2025 general schedule</w:t>
      </w:r>
      <w:r w:rsidR="00171D68">
        <w:rPr>
          <w:bCs/>
          <w:color w:val="000000"/>
          <w:sz w:val="24"/>
          <w:szCs w:val="24"/>
        </w:rPr>
        <w:t xml:space="preserve"> (Base)</w:t>
      </w:r>
      <w:r w:rsidRPr="001F2C09">
        <w:rPr>
          <w:bCs/>
          <w:color w:val="000000"/>
          <w:sz w:val="24"/>
          <w:szCs w:val="24"/>
        </w:rPr>
        <w:t xml:space="preserve"> for a GS-13, Step 5 at an annual rate of $102,029 or an hourly rate of $48.89. On a per submission basis, it is estimated to take approximately 30 minutes to review the submission, extract the data, and compile the analysis.</w:t>
      </w:r>
    </w:p>
    <w:tbl>
      <w:tblPr>
        <w:tblW w:w="10710" w:type="dxa"/>
        <w:tblInd w:w="-5" w:type="dxa"/>
        <w:tblLook w:val="04A0"/>
      </w:tblPr>
      <w:tblGrid>
        <w:gridCol w:w="1890"/>
        <w:gridCol w:w="1620"/>
        <w:gridCol w:w="1260"/>
        <w:gridCol w:w="1170"/>
        <w:gridCol w:w="1040"/>
        <w:gridCol w:w="1160"/>
        <w:gridCol w:w="1040"/>
        <w:gridCol w:w="1530"/>
      </w:tblGrid>
      <w:tr w14:paraId="0506239D" w14:textId="77777777" w:rsidTr="00C96A59">
        <w:tblPrEx>
          <w:tblW w:w="10710" w:type="dxa"/>
          <w:tblInd w:w="-5" w:type="dxa"/>
          <w:tblLook w:val="04A0"/>
        </w:tblPrEx>
        <w:trPr>
          <w:trHeight w:val="290"/>
        </w:trPr>
        <w:tc>
          <w:tcPr>
            <w:tcW w:w="189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rsidR="00FE138F" w:rsidP="00C96A59" w14:paraId="4D24C505" w14:textId="77777777">
            <w:pPr>
              <w:jc w:val="center"/>
              <w:rPr>
                <w:rFonts w:eastAsiaTheme="minorHAnsi"/>
                <w:b/>
                <w:bCs/>
                <w:color w:val="000000"/>
                <w:sz w:val="18"/>
                <w:szCs w:val="18"/>
              </w:rPr>
            </w:pPr>
          </w:p>
          <w:p w:rsidR="00FE138F" w:rsidRPr="007607C8" w:rsidP="00C96A59" w14:paraId="16A741F6" w14:textId="77777777">
            <w:pPr>
              <w:jc w:val="center"/>
              <w:rPr>
                <w:color w:val="000000"/>
                <w:sz w:val="18"/>
                <w:szCs w:val="18"/>
              </w:rPr>
            </w:pPr>
            <w:r w:rsidRPr="007607C8">
              <w:rPr>
                <w:rFonts w:eastAsiaTheme="minorHAnsi"/>
                <w:b/>
                <w:bCs/>
                <w:color w:val="000000"/>
                <w:sz w:val="18"/>
                <w:szCs w:val="18"/>
              </w:rPr>
              <w:t>Information Collection</w:t>
            </w:r>
          </w:p>
        </w:tc>
        <w:tc>
          <w:tcPr>
            <w:tcW w:w="162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rsidR="00FE138F" w:rsidRPr="007607C8" w:rsidP="00C96A59" w14:paraId="299A387C" w14:textId="77777777">
            <w:pPr>
              <w:jc w:val="center"/>
              <w:rPr>
                <w:b/>
                <w:bCs/>
                <w:color w:val="000000"/>
                <w:sz w:val="18"/>
                <w:szCs w:val="18"/>
              </w:rPr>
            </w:pPr>
            <w:r w:rsidRPr="007607C8">
              <w:rPr>
                <w:b/>
                <w:bCs/>
                <w:color w:val="000000"/>
                <w:sz w:val="18"/>
                <w:szCs w:val="18"/>
              </w:rPr>
              <w:t>Number of Respondents</w:t>
            </w:r>
          </w:p>
        </w:tc>
        <w:tc>
          <w:tcPr>
            <w:tcW w:w="1260" w:type="dxa"/>
            <w:tcBorders>
              <w:top w:val="single" w:sz="4" w:space="0" w:color="auto"/>
              <w:left w:val="nil"/>
              <w:bottom w:val="single" w:sz="4" w:space="0" w:color="auto"/>
              <w:right w:val="single" w:sz="4" w:space="0" w:color="auto"/>
            </w:tcBorders>
            <w:shd w:val="clear" w:color="auto" w:fill="DAE9F7" w:themeFill="text2" w:themeFillTint="1A"/>
            <w:vAlign w:val="center"/>
          </w:tcPr>
          <w:p w:rsidR="00FE138F" w:rsidRPr="007607C8" w:rsidP="00C96A59" w14:paraId="1C75B6C7" w14:textId="77777777">
            <w:pPr>
              <w:jc w:val="center"/>
              <w:rPr>
                <w:b/>
                <w:bCs/>
                <w:color w:val="000000"/>
                <w:sz w:val="18"/>
                <w:szCs w:val="18"/>
              </w:rPr>
            </w:pPr>
            <w:r w:rsidRPr="007607C8">
              <w:rPr>
                <w:b/>
                <w:bCs/>
                <w:color w:val="000000"/>
                <w:sz w:val="18"/>
                <w:szCs w:val="18"/>
              </w:rPr>
              <w:t>Frequency of Responses</w:t>
            </w:r>
          </w:p>
        </w:tc>
        <w:tc>
          <w:tcPr>
            <w:tcW w:w="1170" w:type="dxa"/>
            <w:tcBorders>
              <w:top w:val="single" w:sz="4" w:space="0" w:color="auto"/>
              <w:left w:val="nil"/>
              <w:bottom w:val="single" w:sz="4" w:space="0" w:color="auto"/>
              <w:right w:val="single" w:sz="4" w:space="0" w:color="auto"/>
            </w:tcBorders>
            <w:shd w:val="clear" w:color="auto" w:fill="DAE9F7" w:themeFill="text2" w:themeFillTint="1A"/>
            <w:vAlign w:val="center"/>
          </w:tcPr>
          <w:p w:rsidR="00FE138F" w:rsidRPr="007607C8" w:rsidP="00C96A59" w14:paraId="6AF1BFF0" w14:textId="77777777">
            <w:pPr>
              <w:jc w:val="center"/>
              <w:rPr>
                <w:color w:val="000000"/>
                <w:sz w:val="18"/>
                <w:szCs w:val="18"/>
              </w:rPr>
            </w:pPr>
            <w:r w:rsidRPr="00710EDC">
              <w:rPr>
                <w:b/>
                <w:bCs/>
                <w:color w:val="000000"/>
                <w:sz w:val="18"/>
                <w:szCs w:val="18"/>
              </w:rPr>
              <w:t>Responses Per Annum</w:t>
            </w:r>
          </w:p>
        </w:tc>
        <w:tc>
          <w:tcPr>
            <w:tcW w:w="1040" w:type="dxa"/>
            <w:tcBorders>
              <w:top w:val="single" w:sz="4" w:space="0" w:color="auto"/>
              <w:left w:val="nil"/>
              <w:bottom w:val="single" w:sz="4" w:space="0" w:color="auto"/>
              <w:right w:val="single" w:sz="4" w:space="0" w:color="auto"/>
            </w:tcBorders>
            <w:shd w:val="clear" w:color="auto" w:fill="DAE9F7" w:themeFill="text2" w:themeFillTint="1A"/>
            <w:vAlign w:val="center"/>
          </w:tcPr>
          <w:p w:rsidR="00FE138F" w:rsidRPr="007607C8" w:rsidP="00C96A59" w14:paraId="575D5D9C" w14:textId="77777777">
            <w:pPr>
              <w:jc w:val="center"/>
              <w:rPr>
                <w:b/>
                <w:bCs/>
                <w:color w:val="000000"/>
                <w:sz w:val="18"/>
                <w:szCs w:val="18"/>
              </w:rPr>
            </w:pPr>
            <w:r w:rsidRPr="007607C8">
              <w:rPr>
                <w:b/>
                <w:bCs/>
                <w:color w:val="000000"/>
                <w:sz w:val="18"/>
                <w:szCs w:val="18"/>
              </w:rPr>
              <w:t>Burden Hour Per Response</w:t>
            </w:r>
          </w:p>
        </w:tc>
        <w:tc>
          <w:tcPr>
            <w:tcW w:w="1160" w:type="dxa"/>
            <w:tcBorders>
              <w:top w:val="single" w:sz="4" w:space="0" w:color="auto"/>
              <w:left w:val="nil"/>
              <w:bottom w:val="single" w:sz="4" w:space="0" w:color="auto"/>
              <w:right w:val="single" w:sz="4" w:space="0" w:color="auto"/>
            </w:tcBorders>
            <w:shd w:val="clear" w:color="auto" w:fill="DAE9F7" w:themeFill="text2" w:themeFillTint="1A"/>
            <w:vAlign w:val="center"/>
          </w:tcPr>
          <w:p w:rsidR="00FE138F" w:rsidRPr="007607C8" w:rsidP="00C96A59" w14:paraId="33DD1A97" w14:textId="77777777">
            <w:pPr>
              <w:jc w:val="center"/>
              <w:rPr>
                <w:b/>
                <w:bCs/>
                <w:color w:val="000000"/>
                <w:sz w:val="18"/>
                <w:szCs w:val="18"/>
              </w:rPr>
            </w:pPr>
            <w:r w:rsidRPr="00710EDC">
              <w:rPr>
                <w:b/>
                <w:bCs/>
                <w:color w:val="000000"/>
                <w:sz w:val="18"/>
                <w:szCs w:val="18"/>
              </w:rPr>
              <w:t>Annual Burden  Hours</w:t>
            </w:r>
          </w:p>
        </w:tc>
        <w:tc>
          <w:tcPr>
            <w:tcW w:w="1040" w:type="dxa"/>
            <w:tcBorders>
              <w:top w:val="single" w:sz="4" w:space="0" w:color="auto"/>
              <w:left w:val="nil"/>
              <w:bottom w:val="single" w:sz="4" w:space="0" w:color="auto"/>
              <w:right w:val="single" w:sz="4" w:space="0" w:color="auto"/>
            </w:tcBorders>
            <w:shd w:val="clear" w:color="auto" w:fill="DAE9F7" w:themeFill="text2" w:themeFillTint="1A"/>
            <w:vAlign w:val="center"/>
          </w:tcPr>
          <w:p w:rsidR="00FE138F" w:rsidRPr="007607C8" w:rsidP="00C96A59" w14:paraId="4451E26E" w14:textId="77777777">
            <w:pPr>
              <w:jc w:val="center"/>
              <w:rPr>
                <w:b/>
                <w:bCs/>
                <w:color w:val="000000"/>
                <w:sz w:val="18"/>
                <w:szCs w:val="18"/>
              </w:rPr>
            </w:pPr>
            <w:r w:rsidRPr="007607C8">
              <w:rPr>
                <w:b/>
                <w:bCs/>
                <w:color w:val="000000"/>
                <w:sz w:val="18"/>
                <w:szCs w:val="18"/>
              </w:rPr>
              <w:t>Hourly Cost per Response</w:t>
            </w:r>
          </w:p>
        </w:tc>
        <w:tc>
          <w:tcPr>
            <w:tcW w:w="1530" w:type="dxa"/>
            <w:tcBorders>
              <w:top w:val="single" w:sz="4" w:space="0" w:color="auto"/>
              <w:left w:val="nil"/>
              <w:bottom w:val="single" w:sz="4" w:space="0" w:color="auto"/>
              <w:right w:val="single" w:sz="4" w:space="0" w:color="auto"/>
            </w:tcBorders>
            <w:shd w:val="clear" w:color="auto" w:fill="DAE9F7" w:themeFill="text2" w:themeFillTint="1A"/>
            <w:vAlign w:val="center"/>
          </w:tcPr>
          <w:p w:rsidR="00FE138F" w:rsidRPr="007607C8" w:rsidP="00C96A59" w14:paraId="14686C0E" w14:textId="77777777">
            <w:pPr>
              <w:jc w:val="center"/>
              <w:rPr>
                <w:b/>
                <w:bCs/>
                <w:color w:val="000000"/>
                <w:sz w:val="18"/>
                <w:szCs w:val="18"/>
              </w:rPr>
            </w:pPr>
            <w:r w:rsidRPr="00B57169">
              <w:rPr>
                <w:b/>
                <w:bCs/>
                <w:color w:val="000000"/>
                <w:sz w:val="18"/>
                <w:szCs w:val="18"/>
              </w:rPr>
              <w:t>Annual Cost</w:t>
            </w:r>
          </w:p>
        </w:tc>
      </w:tr>
      <w:tr w14:paraId="58F60768" w14:textId="77777777" w:rsidTr="00C96A59">
        <w:tblPrEx>
          <w:tblW w:w="10710" w:type="dxa"/>
          <w:tblInd w:w="-5" w:type="dxa"/>
          <w:tblLook w:val="04A0"/>
        </w:tblPrEx>
        <w:trPr>
          <w:trHeight w:val="290"/>
        </w:trPr>
        <w:tc>
          <w:tcPr>
            <w:tcW w:w="1890" w:type="dxa"/>
            <w:tcBorders>
              <w:top w:val="single" w:sz="4" w:space="0" w:color="auto"/>
              <w:left w:val="single" w:sz="4" w:space="0" w:color="auto"/>
              <w:bottom w:val="single" w:sz="4" w:space="0" w:color="auto"/>
              <w:right w:val="single" w:sz="4" w:space="0" w:color="auto"/>
            </w:tcBorders>
          </w:tcPr>
          <w:p w:rsidR="00FE138F" w:rsidRPr="007607C8" w:rsidP="00C96A59" w14:paraId="5790FF4C" w14:textId="358CBE1F">
            <w:pPr>
              <w:rPr>
                <w:color w:val="000000"/>
                <w:sz w:val="18"/>
                <w:szCs w:val="18"/>
              </w:rPr>
            </w:pPr>
            <w:r>
              <w:rPr>
                <w:rFonts w:eastAsiaTheme="minorHAnsi"/>
                <w:color w:val="000000"/>
                <w:sz w:val="18"/>
                <w:szCs w:val="18"/>
              </w:rPr>
              <w:t xml:space="preserve">Executive Compensation </w:t>
            </w:r>
            <w:r w:rsidR="000C7B2C">
              <w:rPr>
                <w:rFonts w:eastAsiaTheme="minorHAnsi"/>
                <w:color w:val="000000"/>
                <w:sz w:val="18"/>
                <w:szCs w:val="18"/>
              </w:rPr>
              <w:t>HUD-</w:t>
            </w:r>
            <w:r>
              <w:rPr>
                <w:rFonts w:eastAsiaTheme="minorHAnsi"/>
                <w:color w:val="000000"/>
                <w:sz w:val="18"/>
                <w:szCs w:val="18"/>
              </w:rPr>
              <w:t>52725</w:t>
            </w:r>
          </w:p>
        </w:tc>
        <w:tc>
          <w:tcPr>
            <w:tcW w:w="1620" w:type="dxa"/>
            <w:tcBorders>
              <w:top w:val="single" w:sz="4" w:space="0" w:color="auto"/>
              <w:left w:val="single" w:sz="4" w:space="0" w:color="auto"/>
              <w:bottom w:val="single" w:sz="4" w:space="0" w:color="auto"/>
              <w:right w:val="single" w:sz="4" w:space="0" w:color="auto"/>
            </w:tcBorders>
            <w:vAlign w:val="center"/>
            <w:hideMark/>
          </w:tcPr>
          <w:p w:rsidR="00FE138F" w:rsidRPr="007607C8" w:rsidP="00C96A59" w14:paraId="709EE877" w14:textId="62F08F4A">
            <w:pPr>
              <w:jc w:val="center"/>
              <w:rPr>
                <w:color w:val="000000"/>
                <w:sz w:val="18"/>
                <w:szCs w:val="18"/>
              </w:rPr>
            </w:pPr>
            <w:r>
              <w:rPr>
                <w:color w:val="000000"/>
                <w:sz w:val="18"/>
                <w:szCs w:val="18"/>
              </w:rPr>
              <w:t>4</w:t>
            </w:r>
            <w:r w:rsidR="00171D68">
              <w:rPr>
                <w:color w:val="000000"/>
                <w:sz w:val="18"/>
                <w:szCs w:val="18"/>
              </w:rPr>
              <w:t>,</w:t>
            </w:r>
            <w:r>
              <w:rPr>
                <w:color w:val="000000"/>
                <w:sz w:val="18"/>
                <w:szCs w:val="18"/>
              </w:rPr>
              <w:t>000</w:t>
            </w:r>
          </w:p>
        </w:tc>
        <w:tc>
          <w:tcPr>
            <w:tcW w:w="1260" w:type="dxa"/>
            <w:tcBorders>
              <w:top w:val="single" w:sz="4" w:space="0" w:color="auto"/>
              <w:left w:val="nil"/>
              <w:bottom w:val="single" w:sz="4" w:space="0" w:color="auto"/>
              <w:right w:val="single" w:sz="4" w:space="0" w:color="auto"/>
            </w:tcBorders>
            <w:vAlign w:val="center"/>
            <w:hideMark/>
          </w:tcPr>
          <w:p w:rsidR="00FE138F" w:rsidRPr="007607C8" w:rsidP="00C96A59" w14:paraId="1B48FF9D" w14:textId="77777777">
            <w:pPr>
              <w:jc w:val="center"/>
              <w:rPr>
                <w:color w:val="000000"/>
                <w:sz w:val="18"/>
                <w:szCs w:val="18"/>
              </w:rPr>
            </w:pPr>
            <w:r>
              <w:rPr>
                <w:color w:val="000000"/>
                <w:sz w:val="18"/>
                <w:szCs w:val="18"/>
              </w:rPr>
              <w:t>1</w:t>
            </w:r>
          </w:p>
        </w:tc>
        <w:tc>
          <w:tcPr>
            <w:tcW w:w="1170" w:type="dxa"/>
            <w:tcBorders>
              <w:top w:val="single" w:sz="4" w:space="0" w:color="auto"/>
              <w:left w:val="nil"/>
              <w:bottom w:val="single" w:sz="4" w:space="0" w:color="auto"/>
              <w:right w:val="single" w:sz="4" w:space="0" w:color="auto"/>
            </w:tcBorders>
            <w:vAlign w:val="center"/>
            <w:hideMark/>
          </w:tcPr>
          <w:p w:rsidR="00FE138F" w:rsidRPr="007607C8" w:rsidP="00C96A59" w14:paraId="5A82F08B" w14:textId="41B5F6C1">
            <w:pPr>
              <w:jc w:val="center"/>
              <w:rPr>
                <w:color w:val="000000"/>
                <w:sz w:val="18"/>
                <w:szCs w:val="18"/>
              </w:rPr>
            </w:pPr>
            <w:r>
              <w:rPr>
                <w:color w:val="000000"/>
                <w:sz w:val="18"/>
                <w:szCs w:val="18"/>
              </w:rPr>
              <w:t>4</w:t>
            </w:r>
            <w:r w:rsidR="00171D68">
              <w:rPr>
                <w:color w:val="000000"/>
                <w:sz w:val="18"/>
                <w:szCs w:val="18"/>
              </w:rPr>
              <w:t>,</w:t>
            </w:r>
            <w:r>
              <w:rPr>
                <w:color w:val="000000"/>
                <w:sz w:val="18"/>
                <w:szCs w:val="18"/>
              </w:rPr>
              <w:t>000</w:t>
            </w:r>
          </w:p>
        </w:tc>
        <w:tc>
          <w:tcPr>
            <w:tcW w:w="1040" w:type="dxa"/>
            <w:tcBorders>
              <w:top w:val="single" w:sz="4" w:space="0" w:color="auto"/>
              <w:left w:val="nil"/>
              <w:bottom w:val="single" w:sz="4" w:space="0" w:color="auto"/>
              <w:right w:val="single" w:sz="4" w:space="0" w:color="auto"/>
            </w:tcBorders>
            <w:vAlign w:val="center"/>
            <w:hideMark/>
          </w:tcPr>
          <w:p w:rsidR="00FE138F" w:rsidRPr="007607C8" w:rsidP="00C96A59" w14:paraId="6C52DB69" w14:textId="77777777">
            <w:pPr>
              <w:jc w:val="center"/>
              <w:rPr>
                <w:color w:val="000000"/>
                <w:sz w:val="18"/>
                <w:szCs w:val="18"/>
              </w:rPr>
            </w:pPr>
            <w:r w:rsidRPr="007607C8">
              <w:rPr>
                <w:color w:val="000000"/>
                <w:sz w:val="18"/>
                <w:szCs w:val="18"/>
              </w:rPr>
              <w:t>0.</w:t>
            </w:r>
            <w:r>
              <w:rPr>
                <w:color w:val="000000"/>
                <w:sz w:val="18"/>
                <w:szCs w:val="18"/>
              </w:rPr>
              <w:t>5</w:t>
            </w:r>
          </w:p>
        </w:tc>
        <w:tc>
          <w:tcPr>
            <w:tcW w:w="1160" w:type="dxa"/>
            <w:tcBorders>
              <w:top w:val="single" w:sz="4" w:space="0" w:color="auto"/>
              <w:left w:val="nil"/>
              <w:bottom w:val="single" w:sz="4" w:space="0" w:color="auto"/>
              <w:right w:val="single" w:sz="4" w:space="0" w:color="auto"/>
            </w:tcBorders>
            <w:vAlign w:val="center"/>
            <w:hideMark/>
          </w:tcPr>
          <w:p w:rsidR="00FE138F" w:rsidRPr="007607C8" w:rsidP="00C96A59" w14:paraId="41B83FF5" w14:textId="7CC82F6A">
            <w:pPr>
              <w:jc w:val="center"/>
              <w:rPr>
                <w:color w:val="000000"/>
                <w:sz w:val="18"/>
                <w:szCs w:val="18"/>
              </w:rPr>
            </w:pPr>
            <w:r>
              <w:rPr>
                <w:color w:val="000000"/>
                <w:sz w:val="18"/>
                <w:szCs w:val="18"/>
              </w:rPr>
              <w:t>2</w:t>
            </w:r>
            <w:r w:rsidR="00171D68">
              <w:rPr>
                <w:color w:val="000000"/>
                <w:sz w:val="18"/>
                <w:szCs w:val="18"/>
              </w:rPr>
              <w:t>,</w:t>
            </w:r>
            <w:r>
              <w:rPr>
                <w:color w:val="000000"/>
                <w:sz w:val="18"/>
                <w:szCs w:val="18"/>
              </w:rPr>
              <w:t>000</w:t>
            </w:r>
          </w:p>
        </w:tc>
        <w:tc>
          <w:tcPr>
            <w:tcW w:w="1040" w:type="dxa"/>
            <w:tcBorders>
              <w:top w:val="single" w:sz="4" w:space="0" w:color="auto"/>
              <w:left w:val="nil"/>
              <w:bottom w:val="single" w:sz="4" w:space="0" w:color="auto"/>
              <w:right w:val="single" w:sz="4" w:space="0" w:color="auto"/>
            </w:tcBorders>
            <w:vAlign w:val="center"/>
            <w:hideMark/>
          </w:tcPr>
          <w:p w:rsidR="00FE138F" w:rsidRPr="007607C8" w:rsidP="00C96A59" w14:paraId="547A7ABC" w14:textId="77777777">
            <w:pPr>
              <w:jc w:val="center"/>
              <w:rPr>
                <w:color w:val="000000"/>
                <w:sz w:val="18"/>
                <w:szCs w:val="18"/>
              </w:rPr>
            </w:pPr>
            <w:r>
              <w:rPr>
                <w:color w:val="000000"/>
                <w:sz w:val="18"/>
                <w:szCs w:val="18"/>
              </w:rPr>
              <w:t>48.89</w:t>
            </w:r>
          </w:p>
        </w:tc>
        <w:tc>
          <w:tcPr>
            <w:tcW w:w="1530" w:type="dxa"/>
            <w:tcBorders>
              <w:top w:val="single" w:sz="4" w:space="0" w:color="auto"/>
              <w:left w:val="nil"/>
              <w:bottom w:val="single" w:sz="4" w:space="0" w:color="auto"/>
              <w:right w:val="single" w:sz="4" w:space="0" w:color="auto"/>
            </w:tcBorders>
            <w:vAlign w:val="center"/>
            <w:hideMark/>
          </w:tcPr>
          <w:p w:rsidR="00FE138F" w:rsidRPr="007607C8" w:rsidP="00C96A59" w14:paraId="79C36B3D" w14:textId="77777777">
            <w:pPr>
              <w:jc w:val="center"/>
              <w:rPr>
                <w:color w:val="000000"/>
                <w:sz w:val="18"/>
                <w:szCs w:val="18"/>
              </w:rPr>
            </w:pPr>
            <w:r>
              <w:rPr>
                <w:color w:val="000000"/>
                <w:sz w:val="18"/>
                <w:szCs w:val="18"/>
              </w:rPr>
              <w:t>$97,780</w:t>
            </w:r>
          </w:p>
        </w:tc>
      </w:tr>
    </w:tbl>
    <w:p w:rsidR="006C7FAE" w:rsidRPr="006C7FAE" w14:paraId="67B75C61" w14:textId="77777777">
      <w:pPr>
        <w:tabs>
          <w:tab w:val="left" w:pos="360"/>
        </w:tabs>
        <w:ind w:left="360" w:hanging="360"/>
        <w:rPr>
          <w:sz w:val="24"/>
          <w:szCs w:val="24"/>
        </w:rPr>
      </w:pPr>
    </w:p>
    <w:p w:rsidR="009E13B1" w:rsidRPr="00881B97" w14:paraId="005FDD51" w14:textId="77777777">
      <w:pPr>
        <w:keepLines/>
        <w:tabs>
          <w:tab w:val="left" w:pos="360"/>
        </w:tabs>
        <w:spacing w:after="80"/>
        <w:ind w:left="360" w:hanging="360"/>
        <w:rPr>
          <w:b/>
          <w:bCs/>
          <w:sz w:val="24"/>
          <w:szCs w:val="24"/>
        </w:rPr>
      </w:pPr>
      <w:r w:rsidRPr="00881B97">
        <w:rPr>
          <w:b/>
          <w:bCs/>
          <w:sz w:val="24"/>
          <w:szCs w:val="24"/>
        </w:rPr>
        <w:t>15.</w:t>
      </w:r>
      <w:r w:rsidRPr="00881B97">
        <w:rPr>
          <w:b/>
          <w:bCs/>
          <w:sz w:val="24"/>
          <w:szCs w:val="24"/>
        </w:rPr>
        <w:tab/>
        <w:t>Explain the reasons for any program changes or adjustments reported in Items 1</w:t>
      </w:r>
      <w:r w:rsidRPr="00881B97" w:rsidR="000D5079">
        <w:rPr>
          <w:b/>
          <w:bCs/>
          <w:sz w:val="24"/>
          <w:szCs w:val="24"/>
        </w:rPr>
        <w:t>2</w:t>
      </w:r>
      <w:r w:rsidRPr="00881B97">
        <w:rPr>
          <w:b/>
          <w:bCs/>
          <w:sz w:val="24"/>
          <w:szCs w:val="24"/>
        </w:rPr>
        <w:t xml:space="preserve"> and 14 of the </w:t>
      </w:r>
      <w:r w:rsidRPr="00881B97" w:rsidR="00CA06CC">
        <w:rPr>
          <w:b/>
          <w:bCs/>
          <w:sz w:val="24"/>
          <w:szCs w:val="24"/>
        </w:rPr>
        <w:t>Supporting Statement</w:t>
      </w:r>
      <w:r w:rsidRPr="00881B97">
        <w:rPr>
          <w:b/>
          <w:bCs/>
          <w:sz w:val="24"/>
          <w:szCs w:val="24"/>
        </w:rPr>
        <w:t>.</w:t>
      </w:r>
    </w:p>
    <w:p w:rsidR="00881B97" w:rsidP="006570B7" w14:paraId="065FEE80" w14:textId="77777777">
      <w:pPr>
        <w:pStyle w:val="NoSpacing"/>
      </w:pPr>
    </w:p>
    <w:p w:rsidR="000136F8" w:rsidRPr="006C7FAE" w14:paraId="3BA85017" w14:textId="392B150F">
      <w:pPr>
        <w:keepLines/>
        <w:tabs>
          <w:tab w:val="left" w:pos="360"/>
        </w:tabs>
        <w:spacing w:after="80"/>
        <w:ind w:left="360" w:hanging="360"/>
        <w:rPr>
          <w:sz w:val="24"/>
          <w:szCs w:val="24"/>
        </w:rPr>
      </w:pPr>
      <w:r>
        <w:rPr>
          <w:sz w:val="24"/>
          <w:szCs w:val="24"/>
        </w:rPr>
        <w:tab/>
      </w:r>
      <w:r w:rsidR="00565A3E">
        <w:rPr>
          <w:sz w:val="24"/>
          <w:szCs w:val="24"/>
        </w:rPr>
        <w:t>Reinstatement with updates to current year figures</w:t>
      </w:r>
      <w:r>
        <w:rPr>
          <w:sz w:val="24"/>
          <w:szCs w:val="24"/>
        </w:rPr>
        <w:t>.</w:t>
      </w:r>
    </w:p>
    <w:p w:rsidR="009E13B1" w:rsidRPr="006570B7" w:rsidP="006570B7" w14:paraId="78BA2B5D" w14:textId="77777777">
      <w:pPr>
        <w:pStyle w:val="NoSpacing"/>
      </w:pPr>
    </w:p>
    <w:p w:rsidR="009E13B1" w:rsidRPr="00881B97" w14:paraId="191E7ECF" w14:textId="77777777">
      <w:pPr>
        <w:keepLines/>
        <w:tabs>
          <w:tab w:val="left" w:pos="360"/>
        </w:tabs>
        <w:spacing w:after="80"/>
        <w:ind w:left="360" w:hanging="360"/>
        <w:rPr>
          <w:b/>
          <w:bCs/>
          <w:sz w:val="24"/>
          <w:szCs w:val="24"/>
        </w:rPr>
      </w:pPr>
      <w:r w:rsidRPr="00881B97">
        <w:rPr>
          <w:b/>
          <w:bCs/>
          <w:sz w:val="24"/>
          <w:szCs w:val="24"/>
        </w:rPr>
        <w:t>16.</w:t>
      </w:r>
      <w:r w:rsidRPr="00881B97">
        <w:rPr>
          <w:b/>
          <w:bCs/>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40280" w:rsidP="00440280" w14:paraId="301E76C6" w14:textId="77777777">
      <w:pPr>
        <w:pStyle w:val="ListParagraph"/>
        <w:spacing w:before="229" w:line="231" w:lineRule="exact"/>
        <w:ind w:left="450" w:right="144"/>
        <w:rPr>
          <w:bCs/>
          <w:color w:val="000000"/>
          <w:sz w:val="24"/>
          <w:szCs w:val="24"/>
        </w:rPr>
      </w:pPr>
      <w:r w:rsidRPr="001F2C09">
        <w:rPr>
          <w:bCs/>
          <w:color w:val="000000"/>
          <w:sz w:val="24"/>
          <w:szCs w:val="24"/>
        </w:rPr>
        <w:t>HUD will consolidate all responses and publish the information on its website. For publication purposes, information will be tabulated into three categories: PHA name/code, title, and Section 8 and 9 funds paid for salary and bonuses. HUD does not intend to publish the names of those holding the reported positions.</w:t>
      </w:r>
    </w:p>
    <w:p w:rsidR="009E13B1" w:rsidRPr="006C7FAE" w14:paraId="41F37BFA" w14:textId="77777777">
      <w:pPr>
        <w:tabs>
          <w:tab w:val="left" w:pos="360"/>
        </w:tabs>
        <w:ind w:left="360" w:hanging="360"/>
        <w:rPr>
          <w:sz w:val="24"/>
          <w:szCs w:val="24"/>
        </w:rPr>
      </w:pPr>
    </w:p>
    <w:p w:rsidR="009E13B1" w:rsidRPr="00881B97" w14:paraId="34E8092D" w14:textId="77777777">
      <w:pPr>
        <w:keepLines/>
        <w:tabs>
          <w:tab w:val="left" w:pos="360"/>
        </w:tabs>
        <w:spacing w:after="80"/>
        <w:ind w:left="360" w:hanging="360"/>
        <w:rPr>
          <w:b/>
          <w:bCs/>
          <w:sz w:val="24"/>
          <w:szCs w:val="24"/>
        </w:rPr>
      </w:pPr>
      <w:r w:rsidRPr="00881B97">
        <w:rPr>
          <w:b/>
          <w:bCs/>
          <w:sz w:val="24"/>
          <w:szCs w:val="24"/>
        </w:rPr>
        <w:t>17.</w:t>
      </w:r>
      <w:r w:rsidRPr="00881B97">
        <w:rPr>
          <w:b/>
          <w:bCs/>
          <w:sz w:val="24"/>
          <w:szCs w:val="24"/>
        </w:rPr>
        <w:tab/>
        <w:t>If seeking approval to not display the expiration date for OMB approval of the information collection, explain the reasons that display would be inappropriate.</w:t>
      </w:r>
    </w:p>
    <w:p w:rsidR="008F75F1" w:rsidRPr="001F2C09" w:rsidP="008F75F1" w14:paraId="5BEA367D" w14:textId="77777777">
      <w:pPr>
        <w:pStyle w:val="ListParagraph"/>
        <w:tabs>
          <w:tab w:val="left" w:pos="360"/>
        </w:tabs>
        <w:spacing w:before="5" w:line="456" w:lineRule="exact"/>
        <w:ind w:left="450"/>
        <w:rPr>
          <w:bCs/>
          <w:color w:val="000000"/>
          <w:sz w:val="24"/>
          <w:szCs w:val="24"/>
        </w:rPr>
      </w:pPr>
      <w:r w:rsidRPr="001F2C09">
        <w:rPr>
          <w:bCs/>
          <w:color w:val="000000"/>
          <w:sz w:val="24"/>
          <w:szCs w:val="24"/>
        </w:rPr>
        <w:t>Not applicable to this request.</w:t>
      </w:r>
    </w:p>
    <w:p w:rsidR="009E13B1" w:rsidRPr="006C7FAE" w14:paraId="44B4D7A4" w14:textId="77777777">
      <w:pPr>
        <w:keepLines/>
        <w:tabs>
          <w:tab w:val="left" w:pos="360"/>
          <w:tab w:val="left" w:pos="720"/>
        </w:tabs>
        <w:ind w:left="360"/>
        <w:rPr>
          <w:sz w:val="24"/>
          <w:szCs w:val="24"/>
        </w:rPr>
      </w:pPr>
    </w:p>
    <w:p w:rsidR="009E13B1" w:rsidRPr="00881B97" w14:paraId="68C195AD" w14:textId="77777777">
      <w:pPr>
        <w:keepLines/>
        <w:tabs>
          <w:tab w:val="left" w:pos="360"/>
        </w:tabs>
        <w:spacing w:after="80"/>
        <w:ind w:left="360" w:hanging="360"/>
        <w:rPr>
          <w:rFonts w:ascii="Courier" w:hAnsi="Courier"/>
          <w:b/>
          <w:bCs/>
          <w:sz w:val="24"/>
          <w:szCs w:val="24"/>
        </w:rPr>
      </w:pPr>
      <w:r w:rsidRPr="00881B97">
        <w:rPr>
          <w:b/>
          <w:bCs/>
          <w:sz w:val="24"/>
          <w:szCs w:val="24"/>
        </w:rPr>
        <w:t>18.</w:t>
      </w:r>
      <w:r w:rsidRPr="00881B97">
        <w:rPr>
          <w:b/>
          <w:bCs/>
          <w:sz w:val="24"/>
          <w:szCs w:val="24"/>
        </w:rPr>
        <w:tab/>
        <w:t>Explain each exception to the certification statement identified in item 19.</w:t>
      </w:r>
    </w:p>
    <w:p w:rsidR="003664F7" w:rsidRPr="001F2C09" w:rsidP="003664F7" w14:paraId="217A5CDA" w14:textId="77777777">
      <w:pPr>
        <w:pStyle w:val="ListParagraph"/>
        <w:spacing w:before="5" w:line="456" w:lineRule="exact"/>
        <w:ind w:left="450"/>
        <w:rPr>
          <w:sz w:val="24"/>
          <w:szCs w:val="24"/>
        </w:rPr>
      </w:pPr>
      <w:r w:rsidRPr="001F2C09">
        <w:rPr>
          <w:color w:val="000000"/>
          <w:sz w:val="24"/>
          <w:szCs w:val="24"/>
        </w:rPr>
        <w:t>There is no exception to the “Certification for Paperwork Act Submissions” for this request.</w:t>
      </w:r>
    </w:p>
    <w:p w:rsidR="009E13B1" w:rsidRPr="006C7FAE" w14:paraId="65980BA6" w14:textId="77777777">
      <w:pPr>
        <w:keepLines/>
        <w:tabs>
          <w:tab w:val="left" w:pos="360"/>
          <w:tab w:val="left" w:pos="720"/>
        </w:tabs>
        <w:ind w:left="360"/>
        <w:rPr>
          <w:sz w:val="24"/>
          <w:szCs w:val="24"/>
        </w:rPr>
      </w:pPr>
    </w:p>
    <w:p w:rsidR="009E13B1" w:rsidRPr="006C7FAE" w14:paraId="1503DE89" w14:textId="77777777">
      <w:pPr>
        <w:tabs>
          <w:tab w:val="left" w:pos="360"/>
          <w:tab w:val="left" w:pos="720"/>
        </w:tabs>
        <w:rPr>
          <w:sz w:val="24"/>
          <w:szCs w:val="24"/>
        </w:rPr>
      </w:pPr>
    </w:p>
    <w:p w:rsidR="009E13B1" w:rsidRPr="006C7FAE" w:rsidP="00167E53" w14:paraId="507CF194"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6C7FAE">
        <w:rPr>
          <w:rFonts w:ascii="Helvetica" w:hAnsi="Helvetica"/>
          <w:b/>
          <w:sz w:val="24"/>
          <w:szCs w:val="24"/>
        </w:rPr>
        <w:t xml:space="preserve">B. </w:t>
      </w:r>
      <w:r w:rsidRPr="006C7FAE">
        <w:rPr>
          <w:rFonts w:ascii="Helvetica" w:hAnsi="Helvetica"/>
          <w:b/>
          <w:sz w:val="24"/>
          <w:szCs w:val="24"/>
        </w:rPr>
        <w:tab/>
        <w:t>Collections of Information Employing Statistical Methods</w:t>
      </w:r>
    </w:p>
    <w:sectPr w:rsidSect="006C7FAE">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auto"/>
    <w:notTrueType/>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8">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73961B19"/>
    <w:multiLevelType w:val="multilevel"/>
    <w:tmpl w:val="4F3C2CE4"/>
    <w:lvl w:ilvl="0">
      <w:start w:val="1"/>
      <w:numFmt w:val="decimal"/>
      <w:lvlText w:val="%1."/>
      <w:lvlJc w:val="left"/>
      <w:pPr>
        <w:tabs>
          <w:tab w:val="num" w:pos="396"/>
        </w:tabs>
        <w:ind w:left="180" w:firstLine="0"/>
      </w:pPr>
      <w:rPr>
        <w:rFonts w:hint="default"/>
        <w:color w:val="000000"/>
        <w:spacing w:val="0"/>
        <w:w w:val="100"/>
        <w:sz w:val="24"/>
        <w:szCs w:val="24"/>
        <w:vertAlign w:val="baseline"/>
      </w:rPr>
    </w:lvl>
    <w:lvl w:ilvl="1">
      <w:start w:val="0"/>
      <w:numFmt w:val="decimal"/>
      <w:lvlJc w:val="left"/>
      <w:pPr>
        <w:ind w:left="0" w:firstLine="0"/>
      </w:pPr>
      <w:rPr>
        <w:rFonts w:hint="default"/>
      </w:rPr>
    </w:lvl>
    <w:lvl w:ilvl="2">
      <w:start w:val="0"/>
      <w:numFmt w:val="decimal"/>
      <w:lvlJc w:val="left"/>
      <w:pPr>
        <w:ind w:left="0" w:firstLine="0"/>
      </w:pPr>
      <w:rPr>
        <w:rFonts w:hint="default"/>
      </w:rPr>
    </w:lvl>
    <w:lvl w:ilvl="3">
      <w:start w:val="0"/>
      <w:numFmt w:val="decimal"/>
      <w:lvlJc w:val="left"/>
      <w:pPr>
        <w:ind w:left="0" w:firstLine="0"/>
      </w:pPr>
      <w:rPr>
        <w:rFonts w:hint="default"/>
      </w:rPr>
    </w:lvl>
    <w:lvl w:ilvl="4">
      <w:start w:val="0"/>
      <w:numFmt w:val="decimal"/>
      <w:lvlJc w:val="left"/>
      <w:pPr>
        <w:ind w:left="0" w:firstLine="0"/>
      </w:pPr>
      <w:rPr>
        <w:rFonts w:hint="default"/>
      </w:rPr>
    </w:lvl>
    <w:lvl w:ilvl="5">
      <w:start w:val="0"/>
      <w:numFmt w:val="decimal"/>
      <w:lvlJc w:val="left"/>
      <w:pPr>
        <w:ind w:left="0" w:firstLine="0"/>
      </w:pPr>
      <w:rPr>
        <w:rFonts w:hint="default"/>
      </w:rPr>
    </w:lvl>
    <w:lvl w:ilvl="6">
      <w:start w:val="0"/>
      <w:numFmt w:val="decimal"/>
      <w:lvlJc w:val="left"/>
      <w:pPr>
        <w:ind w:left="0" w:firstLine="0"/>
      </w:pPr>
      <w:rPr>
        <w:rFonts w:hint="default"/>
      </w:rPr>
    </w:lvl>
    <w:lvl w:ilvl="7">
      <w:start w:val="0"/>
      <w:numFmt w:val="decimal"/>
      <w:lvlJc w:val="left"/>
      <w:pPr>
        <w:ind w:left="0" w:firstLine="0"/>
      </w:pPr>
      <w:rPr>
        <w:rFonts w:hint="default"/>
      </w:rPr>
    </w:lvl>
    <w:lvl w:ilvl="8">
      <w:start w:val="0"/>
      <w:numFmt w:val="decimal"/>
      <w:lvlJc w:val="left"/>
      <w:pPr>
        <w:ind w:left="0" w:firstLine="0"/>
      </w:pPr>
      <w:rPr>
        <w:rFonts w:hint="default"/>
      </w:rPr>
    </w:lvl>
  </w:abstractNum>
  <w:abstractNum w:abstractNumId="11">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2">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743601999">
    <w:abstractNumId w:val="4"/>
  </w:num>
  <w:num w:numId="2" w16cid:durableId="1939675396">
    <w:abstractNumId w:val="2"/>
  </w:num>
  <w:num w:numId="3" w16cid:durableId="1587377701">
    <w:abstractNumId w:val="8"/>
  </w:num>
  <w:num w:numId="4" w16cid:durableId="887451858">
    <w:abstractNumId w:val="5"/>
  </w:num>
  <w:num w:numId="5" w16cid:durableId="1830825219">
    <w:abstractNumId w:val="6"/>
  </w:num>
  <w:num w:numId="6" w16cid:durableId="2036811765">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017346939">
    <w:abstractNumId w:val="3"/>
  </w:num>
  <w:num w:numId="8" w16cid:durableId="1708868018">
    <w:abstractNumId w:val="12"/>
  </w:num>
  <w:num w:numId="9" w16cid:durableId="36247648">
    <w:abstractNumId w:val="1"/>
  </w:num>
  <w:num w:numId="10" w16cid:durableId="1269002932">
    <w:abstractNumId w:val="11"/>
  </w:num>
  <w:num w:numId="11" w16cid:durableId="804929379">
    <w:abstractNumId w:val="9"/>
  </w:num>
  <w:num w:numId="12" w16cid:durableId="1778601022">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962225968">
    <w:abstractNumId w:val="7"/>
  </w:num>
  <w:num w:numId="14" w16cid:durableId="1774594277">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15" w16cid:durableId="2265030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136F8"/>
    <w:rsid w:val="00053C2E"/>
    <w:rsid w:val="0007696E"/>
    <w:rsid w:val="00093788"/>
    <w:rsid w:val="00097E29"/>
    <w:rsid w:val="000A1639"/>
    <w:rsid w:val="000B4C72"/>
    <w:rsid w:val="000C117C"/>
    <w:rsid w:val="000C38FD"/>
    <w:rsid w:val="000C5177"/>
    <w:rsid w:val="000C7B2C"/>
    <w:rsid w:val="000D5079"/>
    <w:rsid w:val="000E00A8"/>
    <w:rsid w:val="000E2A89"/>
    <w:rsid w:val="000E66DA"/>
    <w:rsid w:val="00167E53"/>
    <w:rsid w:val="00171D68"/>
    <w:rsid w:val="001D7F7A"/>
    <w:rsid w:val="001F2C09"/>
    <w:rsid w:val="0023256B"/>
    <w:rsid w:val="0025017D"/>
    <w:rsid w:val="0028513A"/>
    <w:rsid w:val="002A2BF4"/>
    <w:rsid w:val="002A61E9"/>
    <w:rsid w:val="002C5BA8"/>
    <w:rsid w:val="002E5CD0"/>
    <w:rsid w:val="002F6CE8"/>
    <w:rsid w:val="003035C0"/>
    <w:rsid w:val="00360090"/>
    <w:rsid w:val="003664F7"/>
    <w:rsid w:val="003C0034"/>
    <w:rsid w:val="0041546D"/>
    <w:rsid w:val="00415A24"/>
    <w:rsid w:val="00424B2B"/>
    <w:rsid w:val="00440280"/>
    <w:rsid w:val="00441C8D"/>
    <w:rsid w:val="00450591"/>
    <w:rsid w:val="004552FB"/>
    <w:rsid w:val="004A2847"/>
    <w:rsid w:val="004C1DA0"/>
    <w:rsid w:val="004F0EE1"/>
    <w:rsid w:val="00532200"/>
    <w:rsid w:val="00565A3E"/>
    <w:rsid w:val="00573BDA"/>
    <w:rsid w:val="0058747D"/>
    <w:rsid w:val="005B308C"/>
    <w:rsid w:val="005B7356"/>
    <w:rsid w:val="005D1291"/>
    <w:rsid w:val="005E055F"/>
    <w:rsid w:val="00644591"/>
    <w:rsid w:val="006570B7"/>
    <w:rsid w:val="00665CA0"/>
    <w:rsid w:val="006A43A7"/>
    <w:rsid w:val="006B7674"/>
    <w:rsid w:val="006B79B4"/>
    <w:rsid w:val="006C4830"/>
    <w:rsid w:val="006C7E07"/>
    <w:rsid w:val="006C7FAE"/>
    <w:rsid w:val="006F6504"/>
    <w:rsid w:val="00710EDC"/>
    <w:rsid w:val="00735439"/>
    <w:rsid w:val="00744A5A"/>
    <w:rsid w:val="007607C8"/>
    <w:rsid w:val="007B4A33"/>
    <w:rsid w:val="0081472F"/>
    <w:rsid w:val="008314BA"/>
    <w:rsid w:val="00881B97"/>
    <w:rsid w:val="00887F24"/>
    <w:rsid w:val="008A7175"/>
    <w:rsid w:val="008B7108"/>
    <w:rsid w:val="008E0A84"/>
    <w:rsid w:val="008E5A3C"/>
    <w:rsid w:val="008F75F1"/>
    <w:rsid w:val="009219F2"/>
    <w:rsid w:val="00971164"/>
    <w:rsid w:val="009E0C3E"/>
    <w:rsid w:val="009E13B1"/>
    <w:rsid w:val="00A140C9"/>
    <w:rsid w:val="00A16FA9"/>
    <w:rsid w:val="00A65F9E"/>
    <w:rsid w:val="00A83E46"/>
    <w:rsid w:val="00A95BE7"/>
    <w:rsid w:val="00AC62EE"/>
    <w:rsid w:val="00AD712E"/>
    <w:rsid w:val="00AE3B5B"/>
    <w:rsid w:val="00B01940"/>
    <w:rsid w:val="00B03398"/>
    <w:rsid w:val="00B04BA6"/>
    <w:rsid w:val="00B57169"/>
    <w:rsid w:val="00B66A5F"/>
    <w:rsid w:val="00B7485C"/>
    <w:rsid w:val="00B924AA"/>
    <w:rsid w:val="00B94401"/>
    <w:rsid w:val="00BB2518"/>
    <w:rsid w:val="00BC10AF"/>
    <w:rsid w:val="00BC50C0"/>
    <w:rsid w:val="00C06B8A"/>
    <w:rsid w:val="00C50C23"/>
    <w:rsid w:val="00C85D62"/>
    <w:rsid w:val="00C96A59"/>
    <w:rsid w:val="00CA06CC"/>
    <w:rsid w:val="00CE1567"/>
    <w:rsid w:val="00D17A95"/>
    <w:rsid w:val="00D666B1"/>
    <w:rsid w:val="00D717DB"/>
    <w:rsid w:val="00D74136"/>
    <w:rsid w:val="00D81406"/>
    <w:rsid w:val="00D83877"/>
    <w:rsid w:val="00DD3286"/>
    <w:rsid w:val="00DE2C80"/>
    <w:rsid w:val="00E01140"/>
    <w:rsid w:val="00E01292"/>
    <w:rsid w:val="00E168E5"/>
    <w:rsid w:val="00F035D5"/>
    <w:rsid w:val="00F27C8F"/>
    <w:rsid w:val="00F5145B"/>
    <w:rsid w:val="00F60CEA"/>
    <w:rsid w:val="00F92A0A"/>
    <w:rsid w:val="00FD650F"/>
    <w:rsid w:val="00FE138F"/>
    <w:rsid w:val="00FE2645"/>
    <w:rsid w:val="00FE66D7"/>
    <w:rsid w:val="01F53145"/>
    <w:rsid w:val="3358A5AB"/>
    <w:rsid w:val="4353F856"/>
    <w:rsid w:val="5155C6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20CF03"/>
  <w15:chartTrackingRefBased/>
  <w15:docId w15:val="{3A2AB263-B26C-40F8-8369-1CCD19EA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ListParagraph">
    <w:name w:val="List Paragraph"/>
    <w:basedOn w:val="Normal"/>
    <w:uiPriority w:val="34"/>
    <w:qFormat/>
    <w:rsid w:val="00A65F9E"/>
    <w:pPr>
      <w:ind w:left="720"/>
    </w:pPr>
  </w:style>
  <w:style w:type="character" w:customStyle="1" w:styleId="HeaderChar">
    <w:name w:val="Header Char"/>
    <w:basedOn w:val="DefaultParagraphFont"/>
    <w:link w:val="Header"/>
    <w:uiPriority w:val="99"/>
    <w:rsid w:val="00AD712E"/>
  </w:style>
  <w:style w:type="character" w:styleId="Hyperlink">
    <w:name w:val="Hyperlink"/>
    <w:basedOn w:val="DefaultParagraphFont"/>
    <w:uiPriority w:val="99"/>
    <w:unhideWhenUsed/>
    <w:rsid w:val="000C5177"/>
    <w:rPr>
      <w:color w:val="467886" w:themeColor="hyperlink"/>
      <w:u w:val="single"/>
    </w:rPr>
  </w:style>
  <w:style w:type="character" w:styleId="CommentReference">
    <w:name w:val="annotation reference"/>
    <w:basedOn w:val="DefaultParagraphFont"/>
    <w:uiPriority w:val="99"/>
    <w:semiHidden/>
    <w:unhideWhenUsed/>
    <w:rsid w:val="00171D68"/>
    <w:rPr>
      <w:sz w:val="16"/>
      <w:szCs w:val="16"/>
    </w:rPr>
  </w:style>
  <w:style w:type="paragraph" w:styleId="CommentText">
    <w:name w:val="annotation text"/>
    <w:basedOn w:val="Normal"/>
    <w:link w:val="CommentTextChar"/>
    <w:uiPriority w:val="99"/>
    <w:unhideWhenUsed/>
    <w:rsid w:val="00171D68"/>
  </w:style>
  <w:style w:type="character" w:customStyle="1" w:styleId="CommentTextChar">
    <w:name w:val="Comment Text Char"/>
    <w:basedOn w:val="DefaultParagraphFont"/>
    <w:link w:val="CommentText"/>
    <w:uiPriority w:val="99"/>
    <w:rsid w:val="00171D68"/>
  </w:style>
  <w:style w:type="paragraph" w:styleId="CommentSubject">
    <w:name w:val="annotation subject"/>
    <w:basedOn w:val="CommentText"/>
    <w:next w:val="CommentText"/>
    <w:link w:val="CommentSubjectChar"/>
    <w:uiPriority w:val="99"/>
    <w:semiHidden/>
    <w:unhideWhenUsed/>
    <w:rsid w:val="00171D68"/>
    <w:rPr>
      <w:b/>
      <w:bCs/>
    </w:rPr>
  </w:style>
  <w:style w:type="character" w:customStyle="1" w:styleId="CommentSubjectChar">
    <w:name w:val="Comment Subject Char"/>
    <w:basedOn w:val="CommentTextChar"/>
    <w:link w:val="CommentSubject"/>
    <w:uiPriority w:val="99"/>
    <w:semiHidden/>
    <w:rsid w:val="00171D68"/>
    <w:rPr>
      <w:b/>
      <w:bCs/>
    </w:rPr>
  </w:style>
  <w:style w:type="paragraph" w:styleId="NoSpacing">
    <w:name w:val="No Spacing"/>
    <w:uiPriority w:val="1"/>
    <w:qFormat/>
    <w:rsid w:val="00B7485C"/>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hudapps.hud.gov/login/login_wass_external.fcc?TYPE=33554433&amp;REALMOID=06-b311226d-d082-4c8c-9a0b-3b5bce5ce90a&amp;GUID=&amp;SMAUTHREASON=0&amp;METHOD=GET&amp;SMAGENTNAME=Mjrzczd0eNRFrJTgaRrbXxegs0ZNpVlNKjMOsQI4m9VwS0hjdt3aWIfHkkEMnP25&amp;TARGET=-SM-https%3a%2f%2fhudapps%2ehud%2egov%2fHUD_Systems%2f"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d90dfa2cff6cfb46cb55e09fff85b58f">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ff2878398517a6040330cde16783e480"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EC86D7-B7B0-45C9-94ED-DEB24A9249F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6F01091-BF72-4B3E-88B9-34BB13B5C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3B7782-02BD-4EFC-ABDD-E5EB6B32463E}">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3141</Words>
  <Characters>18154</Characters>
  <Application>Microsoft Office Word</Application>
  <DocSecurity>2</DocSecurity>
  <Lines>151</Lines>
  <Paragraphs>42</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HUDWARE II</dc:creator>
  <cp:lastModifiedBy>Miller, Danielle L</cp:lastModifiedBy>
  <cp:revision>2</cp:revision>
  <cp:lastPrinted>2025-07-31T12:17:00Z</cp:lastPrinted>
  <dcterms:created xsi:type="dcterms:W3CDTF">2025-09-16T13:12:00Z</dcterms:created>
  <dcterms:modified xsi:type="dcterms:W3CDTF">2025-09-16T13:12:00Z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y fmtid="{D5CDD505-2E9C-101B-9397-08002B2CF9AE}" pid="3" name="_NewReviewCycle">
    <vt:lpwstr/>
  </property>
</Properties>
</file>