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014FF0" w:rsidP="007F0B11" w14:paraId="75F30524" w14:textId="202EEF08">
            <w:pPr>
              <w:rPr>
                <w:rFonts w:ascii="Times New Roman" w:hAnsi="Times New Roman" w:cs="Times New Roman"/>
                <w:b/>
                <w:bCs/>
                <w:sz w:val="24"/>
                <w:szCs w:val="24"/>
                <w:u w:val="single"/>
              </w:rPr>
            </w:pPr>
            <w:r w:rsidRPr="00014FF0">
              <w:rPr>
                <w:rFonts w:ascii="Times New Roman" w:hAnsi="Times New Roman" w:cs="Times New Roman"/>
                <w:b/>
                <w:bCs/>
                <w:sz w:val="24"/>
                <w:szCs w:val="24"/>
                <w:u w:val="single"/>
              </w:rPr>
              <w:t xml:space="preserve">Summary of Changes </w:t>
            </w:r>
          </w:p>
          <w:p w:rsidR="00014FF0" w:rsidRPr="00014FF0" w:rsidP="00014FF0" w14:paraId="6F9A5C6B" w14:textId="388B8811">
            <w:pPr>
              <w:pStyle w:val="ListParagraph"/>
              <w:numPr>
                <w:ilvl w:val="0"/>
                <w:numId w:val="15"/>
              </w:numPr>
              <w:ind w:left="430"/>
              <w:rPr>
                <w:rFonts w:ascii="Times New Roman" w:hAnsi="Times New Roman" w:cs="Times New Roman"/>
                <w:sz w:val="24"/>
                <w:szCs w:val="24"/>
              </w:rPr>
            </w:pPr>
            <w:r w:rsidRPr="00014FF0">
              <w:rPr>
                <w:rFonts w:ascii="Times New Roman" w:hAnsi="Times New Roman" w:cs="Times New Roman"/>
                <w:sz w:val="24"/>
                <w:szCs w:val="24"/>
              </w:rPr>
              <w:t>VAF 20-1020</w:t>
            </w:r>
            <w:r w:rsidR="009D3B54">
              <w:rPr>
                <w:rFonts w:ascii="Times New Roman" w:hAnsi="Times New Roman" w:cs="Times New Roman"/>
                <w:sz w:val="24"/>
                <w:szCs w:val="24"/>
              </w:rPr>
              <w:t>7</w:t>
            </w:r>
            <w:r w:rsidRPr="00014FF0">
              <w:rPr>
                <w:rFonts w:ascii="Times New Roman" w:hAnsi="Times New Roman" w:cs="Times New Roman"/>
                <w:sz w:val="24"/>
                <w:szCs w:val="24"/>
              </w:rPr>
              <w:t xml:space="preserve"> is currently under the OMB control number of 2900-0877. </w:t>
            </w:r>
            <w:r w:rsidR="00A905F4">
              <w:rPr>
                <w:rFonts w:ascii="Times New Roman" w:hAnsi="Times New Roman" w:cs="Times New Roman"/>
                <w:sz w:val="24"/>
                <w:szCs w:val="24"/>
              </w:rPr>
              <w:t xml:space="preserve">Due to </w:t>
            </w:r>
            <w:r w:rsidR="003C529E">
              <w:rPr>
                <w:rFonts w:ascii="Times New Roman" w:hAnsi="Times New Roman" w:cs="Times New Roman"/>
                <w:sz w:val="24"/>
                <w:szCs w:val="24"/>
              </w:rPr>
              <w:t xml:space="preserve">transferring ownership of this collection to a new </w:t>
            </w:r>
            <w:r w:rsidR="00E1761D">
              <w:rPr>
                <w:rFonts w:ascii="Times New Roman" w:hAnsi="Times New Roman" w:cs="Times New Roman"/>
                <w:sz w:val="24"/>
                <w:szCs w:val="24"/>
              </w:rPr>
              <w:t xml:space="preserve">program office, a </w:t>
            </w:r>
            <w:r w:rsidRPr="00014FF0">
              <w:rPr>
                <w:rFonts w:ascii="Times New Roman" w:hAnsi="Times New Roman" w:cs="Times New Roman"/>
                <w:sz w:val="24"/>
                <w:szCs w:val="24"/>
              </w:rPr>
              <w:t xml:space="preserve">new control number is requested to be assigned.  </w:t>
            </w:r>
          </w:p>
          <w:p w:rsidR="00092677" w:rsidP="00B520B4" w14:paraId="116E5686" w14:textId="77777777">
            <w:pPr>
              <w:pStyle w:val="ListParagraph"/>
              <w:numPr>
                <w:ilvl w:val="0"/>
                <w:numId w:val="15"/>
              </w:numPr>
              <w:ind w:left="430"/>
              <w:rPr>
                <w:rFonts w:ascii="Times New Roman" w:hAnsi="Times New Roman" w:cs="Times New Roman"/>
                <w:sz w:val="24"/>
                <w:szCs w:val="24"/>
              </w:rPr>
            </w:pPr>
            <w:r w:rsidRPr="00014FF0">
              <w:rPr>
                <w:rFonts w:ascii="Times New Roman" w:hAnsi="Times New Roman" w:cs="Times New Roman"/>
                <w:sz w:val="24"/>
                <w:szCs w:val="24"/>
              </w:rPr>
              <w:t xml:space="preserve">This is a new </w:t>
            </w:r>
            <w:r w:rsidRPr="00014FF0" w:rsidR="00EE745A">
              <w:rPr>
                <w:rFonts w:ascii="Times New Roman" w:hAnsi="Times New Roman" w:cs="Times New Roman"/>
                <w:sz w:val="24"/>
                <w:szCs w:val="24"/>
              </w:rPr>
              <w:t>collection</w:t>
            </w:r>
            <w:r w:rsidR="00EE745A">
              <w:rPr>
                <w:rFonts w:ascii="Times New Roman" w:hAnsi="Times New Roman" w:cs="Times New Roman"/>
                <w:sz w:val="24"/>
                <w:szCs w:val="24"/>
              </w:rPr>
              <w:t>;</w:t>
            </w:r>
            <w:r w:rsidR="00D50E8D">
              <w:rPr>
                <w:rFonts w:ascii="Times New Roman" w:hAnsi="Times New Roman" w:cs="Times New Roman"/>
                <w:sz w:val="24"/>
                <w:szCs w:val="24"/>
              </w:rPr>
              <w:t xml:space="preserve"> however, the burden associated with the previous control number has increased</w:t>
            </w:r>
            <w:r w:rsidR="00B520B4">
              <w:rPr>
                <w:rFonts w:ascii="Times New Roman" w:hAnsi="Times New Roman" w:cs="Times New Roman"/>
                <w:sz w:val="24"/>
                <w:szCs w:val="24"/>
              </w:rPr>
              <w:t xml:space="preserve"> due to </w:t>
            </w:r>
            <w:r w:rsidRPr="00014FF0" w:rsidR="002A6B41">
              <w:rPr>
                <w:rFonts w:ascii="Times New Roman" w:hAnsi="Times New Roman" w:cs="Times New Roman"/>
                <w:sz w:val="24"/>
                <w:szCs w:val="24"/>
              </w:rPr>
              <w:t xml:space="preserve">the estimated number of </w:t>
            </w:r>
            <w:r w:rsidRPr="00014FF0" w:rsidR="00AD31F6">
              <w:rPr>
                <w:rFonts w:ascii="Times New Roman" w:hAnsi="Times New Roman" w:cs="Times New Roman"/>
                <w:sz w:val="24"/>
                <w:szCs w:val="24"/>
              </w:rPr>
              <w:t>receivables</w:t>
            </w:r>
            <w:r w:rsidRPr="00014FF0" w:rsidR="002A6B41">
              <w:rPr>
                <w:rFonts w:ascii="Times New Roman" w:hAnsi="Times New Roman" w:cs="Times New Roman"/>
                <w:sz w:val="24"/>
                <w:szCs w:val="24"/>
              </w:rPr>
              <w:t xml:space="preserve"> </w:t>
            </w:r>
            <w:r w:rsidRPr="00014FF0" w:rsidR="00AD31F6">
              <w:rPr>
                <w:rFonts w:ascii="Times New Roman" w:hAnsi="Times New Roman" w:cs="Times New Roman"/>
                <w:sz w:val="24"/>
                <w:szCs w:val="24"/>
              </w:rPr>
              <w:t xml:space="preserve">averaged </w:t>
            </w:r>
            <w:r w:rsidRPr="00014FF0" w:rsidR="002A6B41">
              <w:rPr>
                <w:rFonts w:ascii="Times New Roman" w:hAnsi="Times New Roman" w:cs="Times New Roman"/>
                <w:sz w:val="24"/>
                <w:szCs w:val="24"/>
              </w:rPr>
              <w:t xml:space="preserve">over the past year.  </w:t>
            </w:r>
          </w:p>
          <w:p w:rsidR="00516ACF" w:rsidRPr="00014FF0" w:rsidP="00B520B4" w14:paraId="152E1C82" w14:textId="03931ADB">
            <w:pPr>
              <w:pStyle w:val="ListParagraph"/>
              <w:numPr>
                <w:ilvl w:val="0"/>
                <w:numId w:val="15"/>
              </w:numPr>
              <w:ind w:left="430"/>
              <w:rPr>
                <w:rFonts w:ascii="Times New Roman" w:hAnsi="Times New Roman" w:cs="Times New Roman"/>
                <w:sz w:val="24"/>
                <w:szCs w:val="24"/>
              </w:rPr>
            </w:pPr>
            <w:r>
              <w:rPr>
                <w:rFonts w:ascii="Times New Roman" w:hAnsi="Times New Roman" w:cs="Times New Roman"/>
                <w:sz w:val="24"/>
                <w:szCs w:val="24"/>
              </w:rPr>
              <w:t>No comments received during the 60-Day comment period.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51524F" w:rsidRPr="00037F25" w:rsidP="00092677" w14:paraId="05A129E5" w14:textId="0E87C3D8">
      <w:pPr>
        <w:ind w:left="360"/>
        <w:rPr>
          <w:sz w:val="24"/>
          <w:szCs w:val="24"/>
          <w:highlight w:val="yellow"/>
        </w:rPr>
      </w:pPr>
      <w:r w:rsidRPr="00BC5827">
        <w:rPr>
          <w:sz w:val="24"/>
          <w:szCs w:val="24"/>
        </w:rPr>
        <w:t xml:space="preserve">The Department of Veterans Affairs (VA) through its Veterans Benefits Administration (VBA), administers an integrated program of benefits and services, established by law, for veterans, service personnel and their survivors. </w:t>
      </w:r>
      <w:r>
        <w:rPr>
          <w:sz w:val="24"/>
          <w:szCs w:val="24"/>
        </w:rPr>
        <w:t xml:space="preserve">Information is requested by </w:t>
      </w:r>
      <w:r w:rsidRPr="00055B76">
        <w:rPr>
          <w:sz w:val="24"/>
          <w:szCs w:val="24"/>
        </w:rPr>
        <w:t>VA Form</w:t>
      </w:r>
      <w:r>
        <w:rPr>
          <w:sz w:val="24"/>
          <w:szCs w:val="24"/>
        </w:rPr>
        <w:t xml:space="preserve"> (VAF)</w:t>
      </w:r>
      <w:r w:rsidRPr="00055B76">
        <w:rPr>
          <w:sz w:val="24"/>
          <w:szCs w:val="24"/>
        </w:rPr>
        <w:t xml:space="preserve"> 20-1020</w:t>
      </w:r>
      <w:r>
        <w:rPr>
          <w:sz w:val="24"/>
          <w:szCs w:val="24"/>
        </w:rPr>
        <w:t>7</w:t>
      </w:r>
      <w:r w:rsidRPr="00055B76">
        <w:rPr>
          <w:sz w:val="24"/>
          <w:szCs w:val="24"/>
        </w:rPr>
        <w:t xml:space="preserve">, </w:t>
      </w:r>
      <w:r>
        <w:rPr>
          <w:i/>
          <w:iCs/>
          <w:sz w:val="24"/>
          <w:szCs w:val="24"/>
        </w:rPr>
        <w:t xml:space="preserve">Priority Processing Request, </w:t>
      </w:r>
      <w:r>
        <w:rPr>
          <w:sz w:val="24"/>
          <w:szCs w:val="24"/>
        </w:rPr>
        <w:t xml:space="preserve">under the authority 38 U.S.C. </w:t>
      </w:r>
      <w:r w:rsidRPr="00055B76">
        <w:rPr>
          <w:sz w:val="24"/>
          <w:szCs w:val="24"/>
        </w:rPr>
        <w:t>§</w:t>
      </w:r>
      <w:r>
        <w:rPr>
          <w:sz w:val="24"/>
          <w:szCs w:val="24"/>
        </w:rPr>
        <w:t xml:space="preserve"> 5102(b) </w:t>
      </w:r>
      <w:r w:rsidRPr="005F6E28">
        <w:rPr>
          <w:i/>
          <w:iCs/>
          <w:sz w:val="24"/>
          <w:szCs w:val="24"/>
        </w:rPr>
        <w:t>Application forms furnished upon request</w:t>
      </w:r>
      <w:r>
        <w:rPr>
          <w:sz w:val="24"/>
          <w:szCs w:val="24"/>
        </w:rPr>
        <w:t xml:space="preserve">, 38 U.S.C. </w:t>
      </w:r>
      <w:r w:rsidRPr="00055B76">
        <w:rPr>
          <w:sz w:val="24"/>
          <w:szCs w:val="24"/>
        </w:rPr>
        <w:t>§</w:t>
      </w:r>
      <w:r>
        <w:rPr>
          <w:sz w:val="24"/>
          <w:szCs w:val="24"/>
        </w:rPr>
        <w:t xml:space="preserve"> 5101(a) </w:t>
      </w:r>
      <w:r w:rsidRPr="005F6E28">
        <w:rPr>
          <w:i/>
          <w:iCs/>
          <w:sz w:val="24"/>
          <w:szCs w:val="24"/>
        </w:rPr>
        <w:t>Claims and Forms</w:t>
      </w:r>
      <w:r>
        <w:rPr>
          <w:sz w:val="24"/>
          <w:szCs w:val="24"/>
        </w:rPr>
        <w:t xml:space="preserve">, and 38 U.S.C. </w:t>
      </w:r>
      <w:r w:rsidRPr="00055B76">
        <w:rPr>
          <w:sz w:val="24"/>
          <w:szCs w:val="24"/>
        </w:rPr>
        <w:t>§</w:t>
      </w:r>
      <w:r>
        <w:rPr>
          <w:sz w:val="24"/>
          <w:szCs w:val="24"/>
        </w:rPr>
        <w:t xml:space="preserve"> 501 </w:t>
      </w:r>
      <w:r w:rsidRPr="005F6E28">
        <w:rPr>
          <w:i/>
          <w:iCs/>
          <w:sz w:val="24"/>
          <w:szCs w:val="24"/>
        </w:rPr>
        <w:t>Rules and Regulations</w:t>
      </w:r>
      <w:r>
        <w:rPr>
          <w:i/>
          <w:iCs/>
          <w:sz w:val="24"/>
          <w:szCs w:val="24"/>
        </w:rPr>
        <w:t>.</w:t>
      </w:r>
      <w:r>
        <w:rPr>
          <w:sz w:val="24"/>
          <w:szCs w:val="24"/>
        </w:rPr>
        <w:t xml:space="preserve"> </w:t>
      </w:r>
      <w:r w:rsidRPr="00055B76">
        <w:rPr>
          <w:sz w:val="24"/>
          <w:szCs w:val="24"/>
        </w:rPr>
        <w:t>Regulatory authority is found in 38 C.F.R</w:t>
      </w:r>
      <w:r>
        <w:rPr>
          <w:sz w:val="24"/>
          <w:szCs w:val="24"/>
        </w:rPr>
        <w:t>.</w:t>
      </w:r>
      <w:r w:rsidRPr="00055B76">
        <w:rPr>
          <w:sz w:val="24"/>
          <w:szCs w:val="24"/>
        </w:rPr>
        <w:t xml:space="preserve"> § 3.109.</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3DC2EB9C" w14:textId="2078F783">
      <w:pPr>
        <w:tabs>
          <w:tab w:val="left" w:pos="480"/>
          <w:tab w:val="right" w:pos="720"/>
        </w:tabs>
        <w:ind w:left="360" w:right="684"/>
        <w:rPr>
          <w:sz w:val="24"/>
          <w:szCs w:val="24"/>
        </w:rPr>
      </w:pPr>
      <w:r w:rsidRPr="00BC08F9">
        <w:rPr>
          <w:sz w:val="24"/>
          <w:szCs w:val="24"/>
        </w:rPr>
        <w:t xml:space="preserve">The respondent </w:t>
      </w:r>
      <w:r w:rsidRPr="00207221">
        <w:rPr>
          <w:sz w:val="24"/>
          <w:szCs w:val="24"/>
        </w:rPr>
        <w:t xml:space="preserve">population for </w:t>
      </w:r>
      <w:r w:rsidRPr="00207221">
        <w:rPr>
          <w:color w:val="000000"/>
          <w:sz w:val="24"/>
          <w:szCs w:val="24"/>
        </w:rPr>
        <w:t>VA</w:t>
      </w:r>
      <w:r w:rsidRPr="00207221" w:rsidR="00207221">
        <w:rPr>
          <w:color w:val="000000"/>
          <w:sz w:val="24"/>
          <w:szCs w:val="24"/>
        </w:rPr>
        <w:t>F</w:t>
      </w:r>
      <w:r w:rsidRPr="00207221">
        <w:rPr>
          <w:color w:val="000000"/>
          <w:sz w:val="24"/>
          <w:szCs w:val="24"/>
        </w:rPr>
        <w:t xml:space="preserve"> 20-10207</w:t>
      </w:r>
      <w:r w:rsidRPr="00207221">
        <w:rPr>
          <w:sz w:val="24"/>
          <w:szCs w:val="24"/>
        </w:rPr>
        <w:t xml:space="preserve"> is</w:t>
      </w:r>
      <w:r w:rsidRPr="00BC08F9">
        <w:rPr>
          <w:sz w:val="24"/>
          <w:szCs w:val="24"/>
        </w:rPr>
        <w:t xml:space="preserve"> composed of individuals who are notifying VA of an urgent need due to change in status or circumstance in order to </w:t>
      </w:r>
      <w:r w:rsidR="00D26C5E">
        <w:rPr>
          <w:sz w:val="24"/>
          <w:szCs w:val="24"/>
        </w:rPr>
        <w:t xml:space="preserve">prioritize </w:t>
      </w:r>
      <w:r w:rsidRPr="00BC08F9">
        <w:rPr>
          <w:sz w:val="24"/>
          <w:szCs w:val="24"/>
        </w:rPr>
        <w:t>the processing of their claim</w:t>
      </w:r>
      <w:r w:rsidR="00D26C5E">
        <w:rPr>
          <w:sz w:val="24"/>
          <w:szCs w:val="24"/>
        </w:rPr>
        <w:t>(</w:t>
      </w:r>
      <w:r w:rsidRPr="00BC08F9">
        <w:rPr>
          <w:sz w:val="24"/>
          <w:szCs w:val="24"/>
        </w:rPr>
        <w:t>s</w:t>
      </w:r>
      <w:r w:rsidR="00D26C5E">
        <w:rPr>
          <w:sz w:val="24"/>
          <w:szCs w:val="24"/>
        </w:rPr>
        <w:t>)</w:t>
      </w:r>
      <w:r w:rsidRPr="00BC08F9">
        <w:rPr>
          <w:sz w:val="24"/>
          <w:szCs w:val="24"/>
        </w:rPr>
        <w:t>.</w:t>
      </w:r>
    </w:p>
    <w:p w:rsidR="00A64C05" w:rsidP="00A64C05" w14:paraId="79D5A20D" w14:textId="77777777">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8841F8" w:rsidRPr="00DE674E" w:rsidP="008841F8" w14:paraId="539EF9C5" w14:textId="6E78F0B2">
      <w:pPr>
        <w:pStyle w:val="NoSpacing"/>
        <w:ind w:left="360"/>
      </w:pPr>
      <w:r w:rsidRPr="00DE13A6">
        <w:t>VAF</w:t>
      </w:r>
      <w:r>
        <w:t xml:space="preserve"> 20-10207, is available on the One-VA web site in a fillable electronic format.  </w:t>
      </w:r>
      <w:r w:rsidRPr="00DE674E">
        <w:t xml:space="preserve">VBA is currently hosting this form on a secure server. Validation edits are performed to assure data integrity. There currently is </w:t>
      </w:r>
      <w:r>
        <w:t>a</w:t>
      </w:r>
      <w:r w:rsidRPr="00DE674E">
        <w:t xml:space="preserve"> utility process in place that will allow the data submitted on the form to be incorporated with an exist</w:t>
      </w:r>
      <w:r>
        <w:t xml:space="preserve">ing centralized legacy database.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037F25" w:rsidP="001F4E8D" w14:paraId="2973C1B7" w14:textId="6EBD10DB">
      <w:pPr>
        <w:tabs>
          <w:tab w:val="left" w:pos="480"/>
          <w:tab w:val="right" w:pos="8640"/>
        </w:tabs>
        <w:ind w:left="360" w:right="684"/>
        <w:rPr>
          <w:sz w:val="24"/>
          <w:szCs w:val="24"/>
        </w:rPr>
      </w:pPr>
      <w:r w:rsidRPr="00910C19">
        <w:rPr>
          <w:bCs/>
          <w:sz w:val="24"/>
        </w:rPr>
        <w:t>VAF 20-10207 is</w:t>
      </w:r>
      <w:r w:rsidRPr="00BC08F9">
        <w:rPr>
          <w:bCs/>
          <w:sz w:val="24"/>
        </w:rPr>
        <w:t xml:space="preserve"> used by VA to gather the necessary information to determine priority processing of a </w:t>
      </w:r>
      <w:r w:rsidRPr="00BC08F9">
        <w:rPr>
          <w:sz w:val="24"/>
          <w:szCs w:val="24"/>
        </w:rPr>
        <w:t>claim due to special circumstances or status. W</w:t>
      </w:r>
      <w:r w:rsidRPr="00BC08F9">
        <w:rPr>
          <w:bCs/>
          <w:sz w:val="24"/>
        </w:rPr>
        <w:t xml:space="preserve">ithout this </w:t>
      </w:r>
      <w:r w:rsidRPr="00BC08F9">
        <w:rPr>
          <w:bCs/>
          <w:sz w:val="24"/>
        </w:rPr>
        <w:t xml:space="preserve">information, VA would not be able to identify claims for priority processing for those claimants who are in urgent or immediate need due to changed circumstances. VA would also utilize this information collection for reporting purposes and for outreach efforts for those claimants.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6A597C" w:rsidP="006B0B12" w14:paraId="4A77905C" w14:textId="06793A6B">
      <w:pPr>
        <w:pStyle w:val="NormalWeb"/>
        <w:spacing w:line="288" w:lineRule="atLeast"/>
        <w:ind w:left="360"/>
        <w:rPr>
          <w:rFonts w:eastAsiaTheme="minorHAnsi"/>
          <w:sz w:val="24"/>
          <w:szCs w:val="24"/>
        </w:rPr>
      </w:pPr>
      <w:r w:rsidRPr="006A597C">
        <w:rPr>
          <w:rFonts w:eastAsiaTheme="minorHAnsi"/>
          <w:sz w:val="24"/>
          <w:szCs w:val="24"/>
        </w:rPr>
        <w:t>Part A: PUBLIC NOTICE</w:t>
      </w:r>
    </w:p>
    <w:p w:rsidR="006B0B12" w:rsidRPr="006A597C" w:rsidP="006B0B12" w14:paraId="67EA0265" w14:textId="18E4709E">
      <w:pPr>
        <w:pStyle w:val="NormalWeb"/>
        <w:spacing w:line="288" w:lineRule="atLeast"/>
        <w:ind w:left="360"/>
        <w:rPr>
          <w:rFonts w:eastAsiaTheme="minorHAnsi"/>
          <w:sz w:val="24"/>
          <w:szCs w:val="24"/>
        </w:rPr>
      </w:pPr>
      <w:r w:rsidRPr="006A597C">
        <w:rPr>
          <w:rFonts w:eastAsiaTheme="minorHAnsi"/>
          <w:sz w:val="24"/>
          <w:szCs w:val="24"/>
        </w:rPr>
        <w:t xml:space="preserve">A 60-Day Federal Register Notice (FRN) for the collection published on </w:t>
      </w:r>
      <w:r w:rsidR="00A3565F">
        <w:rPr>
          <w:rFonts w:eastAsiaTheme="minorHAnsi"/>
          <w:sz w:val="24"/>
          <w:szCs w:val="24"/>
        </w:rPr>
        <w:t xml:space="preserve">Monday, November </w:t>
      </w:r>
      <w:r w:rsidR="00AD1C6B">
        <w:rPr>
          <w:rFonts w:eastAsiaTheme="minorHAnsi"/>
          <w:sz w:val="24"/>
          <w:szCs w:val="24"/>
        </w:rPr>
        <w:t>24</w:t>
      </w:r>
      <w:r>
        <w:rPr>
          <w:rFonts w:eastAsiaTheme="minorHAnsi"/>
          <w:sz w:val="24"/>
          <w:szCs w:val="24"/>
        </w:rPr>
        <w:t>, 2025</w:t>
      </w:r>
      <w:r w:rsidRPr="006A597C">
        <w:rPr>
          <w:rFonts w:eastAsiaTheme="minorHAnsi"/>
          <w:sz w:val="24"/>
          <w:szCs w:val="24"/>
        </w:rPr>
        <w:t xml:space="preserve">. The 60-Day FRN citation is </w:t>
      </w:r>
      <w:r>
        <w:rPr>
          <w:rFonts w:eastAsiaTheme="minorHAnsi"/>
          <w:sz w:val="24"/>
          <w:szCs w:val="24"/>
        </w:rPr>
        <w:t xml:space="preserve">90 </w:t>
      </w:r>
      <w:r w:rsidRPr="006A597C">
        <w:rPr>
          <w:rFonts w:eastAsiaTheme="minorHAnsi"/>
          <w:sz w:val="24"/>
          <w:szCs w:val="24"/>
        </w:rPr>
        <w:t xml:space="preserve">FRN </w:t>
      </w:r>
      <w:r w:rsidR="00AD1C6B">
        <w:rPr>
          <w:rFonts w:eastAsiaTheme="minorHAnsi"/>
          <w:sz w:val="24"/>
          <w:szCs w:val="24"/>
        </w:rPr>
        <w:t>53065</w:t>
      </w:r>
      <w:r w:rsidRPr="006A597C">
        <w:rPr>
          <w:rFonts w:eastAsiaTheme="minorHAnsi"/>
          <w:sz w:val="24"/>
          <w:szCs w:val="24"/>
        </w:rPr>
        <w:t xml:space="preserve">. </w:t>
      </w:r>
    </w:p>
    <w:p w:rsidR="006B0B12" w:rsidRPr="006A597C" w:rsidP="006B0B12" w14:paraId="176AC8E4" w14:textId="01847197">
      <w:pPr>
        <w:pStyle w:val="NormalWeb"/>
        <w:spacing w:line="288" w:lineRule="atLeast"/>
        <w:ind w:left="360"/>
        <w:rPr>
          <w:rFonts w:eastAsiaTheme="minorHAnsi"/>
          <w:sz w:val="24"/>
          <w:szCs w:val="24"/>
        </w:rPr>
      </w:pPr>
      <w:r w:rsidRPr="006A597C">
        <w:rPr>
          <w:rFonts w:eastAsiaTheme="minorHAnsi"/>
          <w:sz w:val="24"/>
          <w:szCs w:val="24"/>
        </w:rPr>
        <w:t xml:space="preserve">No comments were received during the 60-Day </w:t>
      </w:r>
      <w:r w:rsidR="006A597C">
        <w:rPr>
          <w:rFonts w:eastAsiaTheme="minorHAnsi"/>
          <w:sz w:val="24"/>
          <w:szCs w:val="24"/>
        </w:rPr>
        <w:t>c</w:t>
      </w:r>
      <w:r w:rsidRPr="006A597C">
        <w:rPr>
          <w:rFonts w:eastAsiaTheme="minorHAnsi"/>
          <w:sz w:val="24"/>
          <w:szCs w:val="24"/>
        </w:rPr>
        <w:t xml:space="preserve">omment </w:t>
      </w:r>
      <w:r w:rsidR="006A597C">
        <w:rPr>
          <w:rFonts w:eastAsiaTheme="minorHAnsi"/>
          <w:sz w:val="24"/>
          <w:szCs w:val="24"/>
        </w:rPr>
        <w:t>p</w:t>
      </w:r>
      <w:r w:rsidRPr="006A597C">
        <w:rPr>
          <w:rFonts w:eastAsiaTheme="minorHAnsi"/>
          <w:sz w:val="24"/>
          <w:szCs w:val="24"/>
        </w:rPr>
        <w:t xml:space="preserve">eriod. </w:t>
      </w:r>
    </w:p>
    <w:p w:rsidR="006B0B12" w:rsidRPr="006A597C" w:rsidP="006B0B12" w14:paraId="623B9CDE" w14:textId="5D8AEA0F">
      <w:pPr>
        <w:pStyle w:val="NormalWeb"/>
        <w:spacing w:line="288" w:lineRule="atLeast"/>
        <w:ind w:left="360"/>
        <w:rPr>
          <w:rFonts w:eastAsiaTheme="minorHAnsi"/>
          <w:sz w:val="24"/>
          <w:szCs w:val="24"/>
        </w:rPr>
      </w:pPr>
      <w:r w:rsidRPr="006A597C">
        <w:rPr>
          <w:rFonts w:eastAsiaTheme="minorHAnsi"/>
          <w:sz w:val="24"/>
          <w:szCs w:val="24"/>
        </w:rPr>
        <w:t xml:space="preserve">A 30-Day Federal Register Notice for the collection published on </w:t>
      </w:r>
      <w:r w:rsidR="0057145A">
        <w:rPr>
          <w:rFonts w:eastAsiaTheme="minorHAnsi"/>
          <w:sz w:val="24"/>
          <w:szCs w:val="24"/>
        </w:rPr>
        <w:t>Monday, June 8, 2026</w:t>
      </w:r>
      <w:r w:rsidRPr="006A597C">
        <w:rPr>
          <w:rFonts w:eastAsiaTheme="minorHAnsi"/>
          <w:sz w:val="24"/>
          <w:szCs w:val="24"/>
        </w:rPr>
        <w:t xml:space="preserve">. The 30-Day FRN citation is </w:t>
      </w:r>
      <w:r w:rsidR="0057145A">
        <w:rPr>
          <w:rFonts w:eastAsiaTheme="minorHAnsi"/>
          <w:sz w:val="24"/>
          <w:szCs w:val="24"/>
        </w:rPr>
        <w:t xml:space="preserve">91 </w:t>
      </w:r>
      <w:r w:rsidRPr="006A597C">
        <w:rPr>
          <w:rFonts w:eastAsiaTheme="minorHAnsi"/>
          <w:sz w:val="24"/>
          <w:szCs w:val="24"/>
        </w:rPr>
        <w:t xml:space="preserve">FRN </w:t>
      </w:r>
      <w:r w:rsidR="0057145A">
        <w:rPr>
          <w:rFonts w:eastAsiaTheme="minorHAnsi"/>
          <w:sz w:val="24"/>
          <w:szCs w:val="24"/>
        </w:rPr>
        <w:t>34723</w:t>
      </w:r>
      <w:r w:rsidRPr="006A597C">
        <w:rPr>
          <w:rFonts w:eastAsiaTheme="minorHAnsi"/>
          <w:sz w:val="24"/>
          <w:szCs w:val="24"/>
        </w:rPr>
        <w:t>.</w:t>
      </w:r>
    </w:p>
    <w:p w:rsidR="006B0B12" w:rsidRPr="006A597C" w:rsidP="006B0B12" w14:paraId="66900121" w14:textId="5C04A336">
      <w:pPr>
        <w:pStyle w:val="NormalWeb"/>
        <w:spacing w:line="288" w:lineRule="atLeast"/>
        <w:ind w:left="360"/>
        <w:rPr>
          <w:rFonts w:eastAsiaTheme="minorHAnsi"/>
          <w:sz w:val="24"/>
          <w:szCs w:val="24"/>
        </w:rPr>
      </w:pPr>
      <w:r w:rsidRPr="006A597C">
        <w:rPr>
          <w:rFonts w:eastAsiaTheme="minorHAnsi"/>
          <w:sz w:val="24"/>
          <w:szCs w:val="24"/>
        </w:rPr>
        <w:t xml:space="preserve">Part B: CONSULTATION </w:t>
      </w:r>
    </w:p>
    <w:p w:rsidR="006B0B12" w:rsidRPr="00037F25" w:rsidP="006B0B12" w14:paraId="2FA9E1C7" w14:textId="05C9CD64">
      <w:pPr>
        <w:pStyle w:val="NormalWeb"/>
        <w:spacing w:line="288" w:lineRule="atLeast"/>
        <w:ind w:left="360"/>
        <w:rPr>
          <w:i/>
          <w:sz w:val="24"/>
          <w:szCs w:val="24"/>
        </w:rPr>
      </w:pPr>
      <w:r w:rsidRPr="006A597C">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w:t>
      </w:r>
      <w:r w:rsidRPr="004F43E4">
        <w:rPr>
          <w:sz w:val="24"/>
          <w:szCs w:val="24"/>
        </w:rPr>
        <w:t>74 FR 29275 on June 19, 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AD1C6B" w14:paraId="3379CF6D" w14:textId="77777777">
      <w:pPr>
        <w:rPr>
          <w:b/>
          <w:sz w:val="24"/>
          <w:szCs w:val="24"/>
          <w:u w:val="single"/>
        </w:rPr>
      </w:pPr>
      <w:bookmarkStart w:id="0" w:name="_Hlk163624435"/>
      <w:bookmarkStart w:id="1" w:name="_Hlk100146812"/>
      <w:bookmarkStart w:id="2" w:name="_Hlk133326302"/>
      <w:r>
        <w:rPr>
          <w:b/>
          <w:sz w:val="24"/>
          <w:szCs w:val="24"/>
          <w:u w:val="single"/>
        </w:rPr>
        <w:br w:type="page"/>
      </w:r>
    </w:p>
    <w:p w:rsidR="00310573" w:rsidRPr="00037F25" w:rsidP="003B6D49" w14:paraId="5C550AF8" w14:textId="74E294F7">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29C17508">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247A98">
        <w:rPr>
          <w:sz w:val="24"/>
          <w:szCs w:val="24"/>
        </w:rPr>
        <w:t>54,685</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21D8699D">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9F4A51">
        <w:rPr>
          <w:sz w:val="24"/>
          <w:szCs w:val="24"/>
        </w:rPr>
        <w:t>6,380</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3B96EAC0">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2E00DB">
        <w:rPr>
          <w:sz w:val="24"/>
          <w:szCs w:val="24"/>
        </w:rPr>
        <w:t>7</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6B0EA5" w:rsidRPr="007C5B03" w:rsidP="006B0EA5" w14:paraId="51572D96" w14:textId="77777777">
      <w:pPr>
        <w:tabs>
          <w:tab w:val="left" w:pos="480"/>
          <w:tab w:val="right" w:pos="8640"/>
          <w:tab w:val="left" w:pos="9504"/>
        </w:tabs>
        <w:ind w:left="720" w:right="54"/>
        <w:rPr>
          <w:sz w:val="24"/>
          <w:szCs w:val="24"/>
        </w:rPr>
      </w:pPr>
      <w:bookmarkStart w:id="4" w:name="_Hlk2954761"/>
      <w:bookmarkEnd w:id="0"/>
      <w:bookmarkEnd w:id="1"/>
      <w:bookmarkEnd w:id="2"/>
      <w:bookmarkEnd w:id="3"/>
      <w:r w:rsidRPr="00365302">
        <w:rPr>
          <w:sz w:val="24"/>
          <w:szCs w:val="24"/>
        </w:rPr>
        <w:t>The Bureau of Labor Statistics (BLS) gathers information on full-time wage and salary workers. According to the latest available BLS data</w:t>
      </w:r>
      <w:r w:rsidRPr="007C5B03">
        <w:rPr>
          <w:sz w:val="24"/>
          <w:szCs w:val="24"/>
        </w:rPr>
        <w:t xml:space="preserve">, the mean hourly wage is $33.54 based on the BLS wage code – “00-0000 All Occupations.” This information was taken from the following website: </w:t>
      </w:r>
      <w:hyperlink r:id="rId8" w:history="1">
        <w:r w:rsidRPr="007C5B03">
          <w:rPr>
            <w:rStyle w:val="Hyperlink"/>
            <w:sz w:val="24"/>
            <w:szCs w:val="24"/>
          </w:rPr>
          <w:t>https://www.bls.gov/oes/tables.htm</w:t>
        </w:r>
      </w:hyperlink>
      <w:r w:rsidRPr="007C5B03">
        <w:rPr>
          <w:sz w:val="24"/>
          <w:szCs w:val="24"/>
        </w:rPr>
        <w:t xml:space="preserve">. Once in the link, click under the May 2026 bulleted list ‘All data’ (XLSX) (TXT) and choose which format you prefer of the spreadsheet attached to this link.  </w:t>
      </w:r>
    </w:p>
    <w:p w:rsidR="006B0EA5" w:rsidRPr="007C5B03" w:rsidP="006B0EA5" w14:paraId="187CA35E" w14:textId="77777777">
      <w:pPr>
        <w:tabs>
          <w:tab w:val="left" w:pos="480"/>
          <w:tab w:val="right" w:pos="8640"/>
          <w:tab w:val="left" w:pos="9504"/>
        </w:tabs>
        <w:ind w:left="720" w:right="54"/>
        <w:rPr>
          <w:sz w:val="24"/>
          <w:szCs w:val="24"/>
        </w:rPr>
      </w:pPr>
    </w:p>
    <w:p w:rsidR="006B0EA5" w:rsidRPr="00037F25" w:rsidP="006B0EA5" w14:paraId="009418C1" w14:textId="1D9B35AE">
      <w:pPr>
        <w:pStyle w:val="NoSpacing"/>
        <w:ind w:left="720"/>
        <w:rPr>
          <w:szCs w:val="24"/>
        </w:rPr>
      </w:pPr>
      <w:r w:rsidRPr="007C5B03">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7C5B03" w:rsidR="007C5B03">
        <w:rPr>
          <w:szCs w:val="24"/>
        </w:rPr>
        <w:t>213,985.20</w:t>
      </w:r>
      <w:r w:rsidRPr="007C5B03">
        <w:rPr>
          <w:szCs w:val="24"/>
        </w:rPr>
        <w:t xml:space="preserve"> (6,380 burden hours x $33.54 per</w:t>
      </w:r>
      <w:r w:rsidRPr="00037F25">
        <w:rPr>
          <w:szCs w:val="24"/>
        </w:rPr>
        <w:t xml:space="preserve"> hour). </w:t>
      </w:r>
      <w:bookmarkEnd w:id="4"/>
      <w:r w:rsidRPr="00037F25">
        <w:rPr>
          <w:szCs w:val="24"/>
        </w:rPr>
        <w:t xml:space="preserve"> </w:t>
      </w:r>
    </w:p>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5"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5"/>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6"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E3211D" w:rsidP="00F54C17" w14:paraId="5E5ED5E9" w14:textId="77777777">
      <w:pPr>
        <w:tabs>
          <w:tab w:val="left" w:pos="480"/>
          <w:tab w:val="right" w:pos="8640"/>
        </w:tabs>
        <w:ind w:left="360" w:right="684"/>
        <w:rPr>
          <w:sz w:val="24"/>
          <w:szCs w:val="24"/>
        </w:rPr>
      </w:pPr>
    </w:p>
    <w:tbl>
      <w:tblPr>
        <w:tblW w:w="8100" w:type="dxa"/>
        <w:tblInd w:w="440" w:type="dxa"/>
        <w:tblLook w:val="04A0"/>
      </w:tblPr>
      <w:tblGrid>
        <w:gridCol w:w="706"/>
        <w:gridCol w:w="557"/>
        <w:gridCol w:w="799"/>
        <w:gridCol w:w="1178"/>
        <w:gridCol w:w="976"/>
        <w:gridCol w:w="937"/>
        <w:gridCol w:w="1078"/>
        <w:gridCol w:w="1869"/>
      </w:tblGrid>
      <w:tr w14:paraId="5900C53B" w14:textId="77777777" w:rsidTr="006F0BCE">
        <w:tblPrEx>
          <w:tblW w:w="8100" w:type="dxa"/>
          <w:tblInd w:w="44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9BBB59"/>
            <w:vAlign w:val="center"/>
            <w:hideMark/>
          </w:tcPr>
          <w:p w:rsidR="006F0BCE" w:rsidRPr="006F0BCE" w:rsidP="006F0BCE" w14:paraId="4BB349D5" w14:textId="77777777">
            <w:pPr>
              <w:jc w:val="center"/>
              <w:rPr>
                <w:b/>
                <w:bCs/>
                <w:color w:val="000000"/>
                <w:sz w:val="18"/>
                <w:szCs w:val="18"/>
              </w:rPr>
            </w:pPr>
            <w:r w:rsidRPr="006F0BCE">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382451C9" w14:textId="77777777">
            <w:pPr>
              <w:jc w:val="center"/>
              <w:rPr>
                <w:b/>
                <w:bCs/>
                <w:color w:val="000000"/>
                <w:sz w:val="18"/>
                <w:szCs w:val="18"/>
              </w:rPr>
            </w:pPr>
            <w:r w:rsidRPr="006F0BCE">
              <w:rPr>
                <w:b/>
                <w:bCs/>
                <w:color w:val="000000"/>
                <w:sz w:val="18"/>
                <w:szCs w:val="18"/>
              </w:rPr>
              <w:t>Step</w:t>
            </w:r>
          </w:p>
        </w:tc>
        <w:tc>
          <w:tcPr>
            <w:tcW w:w="799"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64626AF4" w14:textId="77777777">
            <w:pPr>
              <w:jc w:val="center"/>
              <w:rPr>
                <w:b/>
                <w:bCs/>
                <w:color w:val="000000"/>
                <w:sz w:val="18"/>
                <w:szCs w:val="18"/>
              </w:rPr>
            </w:pPr>
            <w:r w:rsidRPr="006F0BCE">
              <w:rPr>
                <w:b/>
                <w:bCs/>
                <w:color w:val="000000"/>
                <w:sz w:val="18"/>
                <w:szCs w:val="18"/>
              </w:rPr>
              <w:t>Burden Time</w:t>
            </w:r>
          </w:p>
        </w:tc>
        <w:tc>
          <w:tcPr>
            <w:tcW w:w="1178"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2EADF1CD" w14:textId="77777777">
            <w:pPr>
              <w:jc w:val="center"/>
              <w:rPr>
                <w:b/>
                <w:bCs/>
                <w:color w:val="000000"/>
                <w:sz w:val="18"/>
                <w:szCs w:val="18"/>
              </w:rPr>
            </w:pPr>
            <w:r w:rsidRPr="006F0BCE">
              <w:rPr>
                <w:b/>
                <w:bCs/>
                <w:color w:val="000000"/>
                <w:sz w:val="18"/>
                <w:szCs w:val="18"/>
              </w:rPr>
              <w:t>Fraction of Hour</w:t>
            </w:r>
          </w:p>
        </w:tc>
        <w:tc>
          <w:tcPr>
            <w:tcW w:w="976"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6222132C" w14:textId="77777777">
            <w:pPr>
              <w:jc w:val="center"/>
              <w:rPr>
                <w:b/>
                <w:bCs/>
                <w:color w:val="000000"/>
                <w:sz w:val="18"/>
                <w:szCs w:val="18"/>
              </w:rPr>
            </w:pPr>
            <w:r w:rsidRPr="006F0BCE">
              <w:rPr>
                <w:b/>
                <w:bCs/>
                <w:color w:val="000000"/>
                <w:sz w:val="18"/>
                <w:szCs w:val="18"/>
              </w:rPr>
              <w:t>Hourly Rate</w:t>
            </w:r>
          </w:p>
        </w:tc>
        <w:tc>
          <w:tcPr>
            <w:tcW w:w="937"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504666AF" w14:textId="77777777">
            <w:pPr>
              <w:jc w:val="center"/>
              <w:rPr>
                <w:b/>
                <w:bCs/>
                <w:color w:val="000000"/>
                <w:sz w:val="18"/>
                <w:szCs w:val="18"/>
              </w:rPr>
            </w:pPr>
            <w:r w:rsidRPr="006F0BCE">
              <w:rPr>
                <w:b/>
                <w:bCs/>
                <w:color w:val="000000"/>
                <w:sz w:val="18"/>
                <w:szCs w:val="18"/>
              </w:rPr>
              <w:t>Cost Per Response</w:t>
            </w:r>
          </w:p>
        </w:tc>
        <w:tc>
          <w:tcPr>
            <w:tcW w:w="1078"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37DE3066" w14:textId="77777777">
            <w:pPr>
              <w:jc w:val="center"/>
              <w:rPr>
                <w:b/>
                <w:bCs/>
                <w:color w:val="000000"/>
                <w:sz w:val="18"/>
                <w:szCs w:val="18"/>
              </w:rPr>
            </w:pPr>
            <w:r w:rsidRPr="006F0BCE">
              <w:rPr>
                <w:b/>
                <w:bCs/>
                <w:color w:val="000000"/>
                <w:sz w:val="18"/>
                <w:szCs w:val="18"/>
              </w:rPr>
              <w:t>Total Responses</w:t>
            </w:r>
          </w:p>
        </w:tc>
        <w:tc>
          <w:tcPr>
            <w:tcW w:w="1869" w:type="dxa"/>
            <w:tcBorders>
              <w:top w:val="single" w:sz="8" w:space="0" w:color="auto"/>
              <w:left w:val="nil"/>
              <w:bottom w:val="single" w:sz="8" w:space="0" w:color="auto"/>
              <w:right w:val="single" w:sz="8" w:space="0" w:color="auto"/>
            </w:tcBorders>
            <w:shd w:val="clear" w:color="000000" w:fill="9BBB59"/>
            <w:vAlign w:val="center"/>
            <w:hideMark/>
          </w:tcPr>
          <w:p w:rsidR="006F0BCE" w:rsidRPr="006F0BCE" w:rsidP="006F0BCE" w14:paraId="61F39750" w14:textId="77777777">
            <w:pPr>
              <w:jc w:val="center"/>
              <w:rPr>
                <w:b/>
                <w:bCs/>
                <w:color w:val="000000"/>
                <w:sz w:val="18"/>
                <w:szCs w:val="18"/>
              </w:rPr>
            </w:pPr>
            <w:r w:rsidRPr="006F0BCE">
              <w:rPr>
                <w:b/>
                <w:bCs/>
                <w:color w:val="000000"/>
                <w:sz w:val="18"/>
                <w:szCs w:val="18"/>
              </w:rPr>
              <w:t>Total</w:t>
            </w:r>
          </w:p>
        </w:tc>
      </w:tr>
      <w:tr w14:paraId="31CD2CF1" w14:textId="77777777" w:rsidTr="006F0BCE">
        <w:tblPrEx>
          <w:tblW w:w="8100" w:type="dxa"/>
          <w:tblInd w:w="44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F0BCE" w:rsidRPr="006F0BCE" w:rsidP="006F0BCE" w14:paraId="0D9B5B3A" w14:textId="77777777">
            <w:pPr>
              <w:jc w:val="center"/>
              <w:rPr>
                <w:color w:val="000000"/>
                <w:sz w:val="22"/>
                <w:szCs w:val="22"/>
              </w:rPr>
            </w:pPr>
            <w:r w:rsidRPr="006F0BCE">
              <w:rPr>
                <w:color w:val="000000"/>
                <w:sz w:val="22"/>
                <w:szCs w:val="22"/>
              </w:rPr>
              <w:t>7</w:t>
            </w:r>
          </w:p>
        </w:tc>
        <w:tc>
          <w:tcPr>
            <w:tcW w:w="557" w:type="dxa"/>
            <w:tcBorders>
              <w:top w:val="nil"/>
              <w:left w:val="nil"/>
              <w:bottom w:val="single" w:sz="4" w:space="0" w:color="auto"/>
              <w:right w:val="single" w:sz="4" w:space="0" w:color="auto"/>
            </w:tcBorders>
            <w:vAlign w:val="bottom"/>
            <w:hideMark/>
          </w:tcPr>
          <w:p w:rsidR="006F0BCE" w:rsidRPr="006F0BCE" w:rsidP="006F0BCE" w14:paraId="1C077E0A" w14:textId="77777777">
            <w:pPr>
              <w:jc w:val="center"/>
              <w:rPr>
                <w:color w:val="000000"/>
                <w:sz w:val="22"/>
                <w:szCs w:val="22"/>
              </w:rPr>
            </w:pPr>
            <w:r w:rsidRPr="006F0BCE">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F0BCE" w:rsidRPr="006F0BCE" w:rsidP="006F0BCE" w14:paraId="667B016C" w14:textId="77777777">
            <w:pPr>
              <w:jc w:val="center"/>
              <w:rPr>
                <w:color w:val="000000"/>
                <w:sz w:val="22"/>
                <w:szCs w:val="22"/>
              </w:rPr>
            </w:pPr>
            <w:r w:rsidRPr="006F0BCE">
              <w:rPr>
                <w:color w:val="000000"/>
                <w:sz w:val="22"/>
                <w:szCs w:val="22"/>
              </w:rPr>
              <w:t>10</w:t>
            </w:r>
          </w:p>
        </w:tc>
        <w:tc>
          <w:tcPr>
            <w:tcW w:w="1178" w:type="dxa"/>
            <w:tcBorders>
              <w:top w:val="nil"/>
              <w:left w:val="nil"/>
              <w:bottom w:val="single" w:sz="4" w:space="0" w:color="auto"/>
              <w:right w:val="single" w:sz="4" w:space="0" w:color="auto"/>
            </w:tcBorders>
            <w:vAlign w:val="bottom"/>
            <w:hideMark/>
          </w:tcPr>
          <w:p w:rsidR="006F0BCE" w:rsidRPr="006F0BCE" w:rsidP="006F0BCE" w14:paraId="17F28A7E" w14:textId="77777777">
            <w:pPr>
              <w:jc w:val="center"/>
              <w:rPr>
                <w:color w:val="000000"/>
                <w:sz w:val="22"/>
                <w:szCs w:val="22"/>
              </w:rPr>
            </w:pPr>
            <w:r w:rsidRPr="006F0BCE">
              <w:rPr>
                <w:color w:val="000000"/>
                <w:sz w:val="22"/>
                <w:szCs w:val="22"/>
              </w:rPr>
              <w:t>0.17</w:t>
            </w:r>
          </w:p>
        </w:tc>
        <w:tc>
          <w:tcPr>
            <w:tcW w:w="976" w:type="dxa"/>
            <w:tcBorders>
              <w:top w:val="nil"/>
              <w:left w:val="nil"/>
              <w:bottom w:val="single" w:sz="4" w:space="0" w:color="auto"/>
              <w:right w:val="single" w:sz="4" w:space="0" w:color="auto"/>
            </w:tcBorders>
            <w:vAlign w:val="bottom"/>
            <w:hideMark/>
          </w:tcPr>
          <w:p w:rsidR="006F0BCE" w:rsidRPr="006F0BCE" w:rsidP="006F0BCE" w14:paraId="4EB7B9B9" w14:textId="77777777">
            <w:pPr>
              <w:jc w:val="center"/>
              <w:rPr>
                <w:color w:val="000000"/>
                <w:sz w:val="22"/>
                <w:szCs w:val="22"/>
              </w:rPr>
            </w:pPr>
            <w:r w:rsidRPr="006F0BCE">
              <w:rPr>
                <w:color w:val="000000"/>
                <w:sz w:val="22"/>
                <w:szCs w:val="22"/>
              </w:rPr>
              <w:t xml:space="preserve"> $22.03 </w:t>
            </w:r>
          </w:p>
        </w:tc>
        <w:tc>
          <w:tcPr>
            <w:tcW w:w="937" w:type="dxa"/>
            <w:tcBorders>
              <w:top w:val="nil"/>
              <w:left w:val="nil"/>
              <w:bottom w:val="single" w:sz="4" w:space="0" w:color="auto"/>
              <w:right w:val="single" w:sz="4" w:space="0" w:color="auto"/>
            </w:tcBorders>
            <w:vAlign w:val="bottom"/>
            <w:hideMark/>
          </w:tcPr>
          <w:p w:rsidR="006F0BCE" w:rsidRPr="006F0BCE" w:rsidP="006F0BCE" w14:paraId="795CBFA7" w14:textId="77777777">
            <w:pPr>
              <w:jc w:val="center"/>
              <w:rPr>
                <w:color w:val="000000"/>
                <w:sz w:val="22"/>
                <w:szCs w:val="22"/>
              </w:rPr>
            </w:pPr>
            <w:r w:rsidRPr="006F0BCE">
              <w:rPr>
                <w:color w:val="000000"/>
                <w:sz w:val="22"/>
                <w:szCs w:val="22"/>
              </w:rPr>
              <w:t>3.672</w:t>
            </w:r>
          </w:p>
        </w:tc>
        <w:tc>
          <w:tcPr>
            <w:tcW w:w="1078" w:type="dxa"/>
            <w:tcBorders>
              <w:top w:val="nil"/>
              <w:left w:val="nil"/>
              <w:bottom w:val="single" w:sz="4" w:space="0" w:color="auto"/>
              <w:right w:val="single" w:sz="4" w:space="0" w:color="auto"/>
            </w:tcBorders>
            <w:vAlign w:val="bottom"/>
            <w:hideMark/>
          </w:tcPr>
          <w:p w:rsidR="006F0BCE" w:rsidRPr="006F0BCE" w:rsidP="006F0BCE" w14:paraId="76315483" w14:textId="2B52E157">
            <w:pPr>
              <w:jc w:val="center"/>
              <w:rPr>
                <w:color w:val="000000"/>
                <w:sz w:val="22"/>
                <w:szCs w:val="22"/>
              </w:rPr>
            </w:pPr>
            <w:r w:rsidRPr="006F0BCE">
              <w:rPr>
                <w:color w:val="000000"/>
                <w:sz w:val="22"/>
                <w:szCs w:val="22"/>
              </w:rPr>
              <w:t xml:space="preserve">    54,685 </w:t>
            </w:r>
          </w:p>
        </w:tc>
        <w:tc>
          <w:tcPr>
            <w:tcW w:w="1869" w:type="dxa"/>
            <w:tcBorders>
              <w:top w:val="nil"/>
              <w:left w:val="nil"/>
              <w:bottom w:val="single" w:sz="4" w:space="0" w:color="auto"/>
              <w:right w:val="single" w:sz="8" w:space="0" w:color="auto"/>
            </w:tcBorders>
            <w:vAlign w:val="bottom"/>
            <w:hideMark/>
          </w:tcPr>
          <w:p w:rsidR="006F0BCE" w:rsidRPr="006F0BCE" w:rsidP="006F0BCE" w14:paraId="5D8426B1" w14:textId="77777777">
            <w:pPr>
              <w:jc w:val="center"/>
              <w:rPr>
                <w:color w:val="000000"/>
                <w:sz w:val="22"/>
                <w:szCs w:val="22"/>
              </w:rPr>
            </w:pPr>
            <w:r w:rsidRPr="006F0BCE">
              <w:rPr>
                <w:color w:val="000000"/>
                <w:sz w:val="22"/>
                <w:szCs w:val="22"/>
              </w:rPr>
              <w:t xml:space="preserve"> $       200,785.09 </w:t>
            </w:r>
          </w:p>
        </w:tc>
      </w:tr>
      <w:tr w14:paraId="1E223F10"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2741EED2" w14:textId="77777777">
            <w:pPr>
              <w:rPr>
                <w:color w:val="000000"/>
                <w:sz w:val="22"/>
                <w:szCs w:val="22"/>
              </w:rPr>
            </w:pPr>
            <w:r w:rsidRPr="006F0BCE">
              <w:rPr>
                <w:color w:val="000000"/>
                <w:sz w:val="22"/>
                <w:szCs w:val="22"/>
              </w:rPr>
              <w:t>Overhead at 100% Salary</w:t>
            </w:r>
          </w:p>
        </w:tc>
        <w:tc>
          <w:tcPr>
            <w:tcW w:w="1869" w:type="dxa"/>
            <w:tcBorders>
              <w:top w:val="nil"/>
              <w:left w:val="nil"/>
              <w:bottom w:val="single" w:sz="4" w:space="0" w:color="auto"/>
              <w:right w:val="single" w:sz="8" w:space="0" w:color="auto"/>
            </w:tcBorders>
            <w:vAlign w:val="bottom"/>
            <w:hideMark/>
          </w:tcPr>
          <w:p w:rsidR="006F0BCE" w:rsidRPr="006F0BCE" w:rsidP="006F0BCE" w14:paraId="2773BCE4" w14:textId="77777777">
            <w:pPr>
              <w:jc w:val="center"/>
              <w:rPr>
                <w:color w:val="000000"/>
                <w:sz w:val="22"/>
                <w:szCs w:val="22"/>
              </w:rPr>
            </w:pPr>
            <w:r w:rsidRPr="006F0BCE">
              <w:rPr>
                <w:color w:val="000000"/>
                <w:sz w:val="22"/>
                <w:szCs w:val="22"/>
              </w:rPr>
              <w:t xml:space="preserve"> $       200,785.09 </w:t>
            </w:r>
          </w:p>
        </w:tc>
      </w:tr>
      <w:tr w14:paraId="64998C73" w14:textId="77777777" w:rsidTr="006F0BCE">
        <w:tblPrEx>
          <w:tblW w:w="8100" w:type="dxa"/>
          <w:tblInd w:w="44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F0BCE" w:rsidRPr="006F0BCE" w:rsidP="006F0BCE" w14:paraId="22DA0030" w14:textId="77777777">
            <w:pPr>
              <w:jc w:val="center"/>
              <w:rPr>
                <w:color w:val="000000"/>
                <w:sz w:val="22"/>
                <w:szCs w:val="22"/>
              </w:rPr>
            </w:pPr>
            <w:r w:rsidRPr="006F0BCE">
              <w:rPr>
                <w:color w:val="000000"/>
                <w:sz w:val="22"/>
                <w:szCs w:val="22"/>
              </w:rPr>
              <w:t>9</w:t>
            </w:r>
          </w:p>
        </w:tc>
        <w:tc>
          <w:tcPr>
            <w:tcW w:w="557" w:type="dxa"/>
            <w:tcBorders>
              <w:top w:val="nil"/>
              <w:left w:val="nil"/>
              <w:bottom w:val="single" w:sz="4" w:space="0" w:color="auto"/>
              <w:right w:val="single" w:sz="4" w:space="0" w:color="auto"/>
            </w:tcBorders>
            <w:vAlign w:val="bottom"/>
            <w:hideMark/>
          </w:tcPr>
          <w:p w:rsidR="006F0BCE" w:rsidRPr="006F0BCE" w:rsidP="006F0BCE" w14:paraId="2045EDD5" w14:textId="77777777">
            <w:pPr>
              <w:jc w:val="center"/>
              <w:rPr>
                <w:color w:val="000000"/>
                <w:sz w:val="22"/>
                <w:szCs w:val="22"/>
              </w:rPr>
            </w:pPr>
            <w:r w:rsidRPr="006F0BCE">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F0BCE" w:rsidRPr="006F0BCE" w:rsidP="006F0BCE" w14:paraId="35C1C74A" w14:textId="77777777">
            <w:pPr>
              <w:jc w:val="center"/>
              <w:rPr>
                <w:color w:val="000000"/>
                <w:sz w:val="22"/>
                <w:szCs w:val="22"/>
              </w:rPr>
            </w:pPr>
            <w:r w:rsidRPr="006F0BCE">
              <w:rPr>
                <w:color w:val="000000"/>
                <w:sz w:val="22"/>
                <w:szCs w:val="22"/>
              </w:rPr>
              <w:t>5</w:t>
            </w:r>
          </w:p>
        </w:tc>
        <w:tc>
          <w:tcPr>
            <w:tcW w:w="1178" w:type="dxa"/>
            <w:tcBorders>
              <w:top w:val="nil"/>
              <w:left w:val="nil"/>
              <w:bottom w:val="single" w:sz="4" w:space="0" w:color="auto"/>
              <w:right w:val="single" w:sz="4" w:space="0" w:color="auto"/>
            </w:tcBorders>
            <w:vAlign w:val="bottom"/>
            <w:hideMark/>
          </w:tcPr>
          <w:p w:rsidR="006F0BCE" w:rsidRPr="006F0BCE" w:rsidP="006F0BCE" w14:paraId="66074396" w14:textId="77777777">
            <w:pPr>
              <w:jc w:val="center"/>
              <w:rPr>
                <w:color w:val="000000"/>
                <w:sz w:val="22"/>
                <w:szCs w:val="22"/>
              </w:rPr>
            </w:pPr>
            <w:r w:rsidRPr="006F0BCE">
              <w:rPr>
                <w:color w:val="000000"/>
                <w:sz w:val="22"/>
                <w:szCs w:val="22"/>
              </w:rPr>
              <w:t>0.08</w:t>
            </w:r>
          </w:p>
        </w:tc>
        <w:tc>
          <w:tcPr>
            <w:tcW w:w="976" w:type="dxa"/>
            <w:tcBorders>
              <w:top w:val="nil"/>
              <w:left w:val="nil"/>
              <w:bottom w:val="single" w:sz="4" w:space="0" w:color="auto"/>
              <w:right w:val="single" w:sz="4" w:space="0" w:color="auto"/>
            </w:tcBorders>
            <w:vAlign w:val="bottom"/>
            <w:hideMark/>
          </w:tcPr>
          <w:p w:rsidR="006F0BCE" w:rsidRPr="006F0BCE" w:rsidP="006F0BCE" w14:paraId="3FB8CC4D" w14:textId="77777777">
            <w:pPr>
              <w:jc w:val="center"/>
              <w:rPr>
                <w:color w:val="000000"/>
                <w:sz w:val="22"/>
                <w:szCs w:val="22"/>
              </w:rPr>
            </w:pPr>
            <w:r w:rsidRPr="006F0BCE">
              <w:rPr>
                <w:color w:val="000000"/>
                <w:sz w:val="22"/>
                <w:szCs w:val="22"/>
              </w:rPr>
              <w:t xml:space="preserve"> $26.95 </w:t>
            </w:r>
          </w:p>
        </w:tc>
        <w:tc>
          <w:tcPr>
            <w:tcW w:w="937" w:type="dxa"/>
            <w:tcBorders>
              <w:top w:val="nil"/>
              <w:left w:val="nil"/>
              <w:bottom w:val="single" w:sz="4" w:space="0" w:color="auto"/>
              <w:right w:val="single" w:sz="4" w:space="0" w:color="auto"/>
            </w:tcBorders>
            <w:vAlign w:val="bottom"/>
            <w:hideMark/>
          </w:tcPr>
          <w:p w:rsidR="006F0BCE" w:rsidRPr="006F0BCE" w:rsidP="006F0BCE" w14:paraId="2F8274A6" w14:textId="77777777">
            <w:pPr>
              <w:jc w:val="center"/>
              <w:rPr>
                <w:color w:val="000000"/>
                <w:sz w:val="22"/>
                <w:szCs w:val="22"/>
              </w:rPr>
            </w:pPr>
            <w:r w:rsidRPr="006F0BCE">
              <w:rPr>
                <w:color w:val="000000"/>
                <w:sz w:val="22"/>
                <w:szCs w:val="22"/>
              </w:rPr>
              <w:t>2.246</w:t>
            </w:r>
          </w:p>
        </w:tc>
        <w:tc>
          <w:tcPr>
            <w:tcW w:w="1078" w:type="dxa"/>
            <w:tcBorders>
              <w:top w:val="nil"/>
              <w:left w:val="nil"/>
              <w:bottom w:val="single" w:sz="4" w:space="0" w:color="auto"/>
              <w:right w:val="single" w:sz="4" w:space="0" w:color="auto"/>
            </w:tcBorders>
            <w:vAlign w:val="bottom"/>
            <w:hideMark/>
          </w:tcPr>
          <w:p w:rsidR="006F0BCE" w:rsidRPr="006F0BCE" w:rsidP="006F0BCE" w14:paraId="3AC1D381" w14:textId="259B8566">
            <w:pPr>
              <w:jc w:val="center"/>
              <w:rPr>
                <w:color w:val="000000"/>
                <w:sz w:val="22"/>
                <w:szCs w:val="22"/>
              </w:rPr>
            </w:pPr>
            <w:r w:rsidRPr="006F0BCE">
              <w:rPr>
                <w:color w:val="000000"/>
                <w:sz w:val="22"/>
                <w:szCs w:val="22"/>
              </w:rPr>
              <w:t xml:space="preserve">     4,685 </w:t>
            </w:r>
          </w:p>
        </w:tc>
        <w:tc>
          <w:tcPr>
            <w:tcW w:w="1869" w:type="dxa"/>
            <w:tcBorders>
              <w:top w:val="nil"/>
              <w:left w:val="nil"/>
              <w:bottom w:val="single" w:sz="4" w:space="0" w:color="auto"/>
              <w:right w:val="single" w:sz="8" w:space="0" w:color="auto"/>
            </w:tcBorders>
            <w:vAlign w:val="bottom"/>
            <w:hideMark/>
          </w:tcPr>
          <w:p w:rsidR="006F0BCE" w:rsidRPr="006F0BCE" w:rsidP="006F0BCE" w14:paraId="38DBD57A" w14:textId="77777777">
            <w:pPr>
              <w:jc w:val="center"/>
              <w:rPr>
                <w:color w:val="000000"/>
                <w:sz w:val="22"/>
                <w:szCs w:val="22"/>
              </w:rPr>
            </w:pPr>
            <w:r w:rsidRPr="006F0BCE">
              <w:rPr>
                <w:color w:val="000000"/>
                <w:sz w:val="22"/>
                <w:szCs w:val="22"/>
              </w:rPr>
              <w:t xml:space="preserve"> $       122,813.40 </w:t>
            </w:r>
          </w:p>
        </w:tc>
      </w:tr>
      <w:tr w14:paraId="5B66AC9E"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71ADFD87" w14:textId="77777777">
            <w:pPr>
              <w:rPr>
                <w:color w:val="000000"/>
                <w:sz w:val="22"/>
                <w:szCs w:val="22"/>
              </w:rPr>
            </w:pPr>
            <w:r w:rsidRPr="006F0BCE">
              <w:rPr>
                <w:color w:val="000000"/>
                <w:sz w:val="22"/>
                <w:szCs w:val="22"/>
              </w:rPr>
              <w:t>Overhead at 100% Salary</w:t>
            </w:r>
          </w:p>
        </w:tc>
        <w:tc>
          <w:tcPr>
            <w:tcW w:w="1869" w:type="dxa"/>
            <w:tcBorders>
              <w:top w:val="nil"/>
              <w:left w:val="nil"/>
              <w:bottom w:val="single" w:sz="4" w:space="0" w:color="auto"/>
              <w:right w:val="single" w:sz="8" w:space="0" w:color="auto"/>
            </w:tcBorders>
            <w:vAlign w:val="bottom"/>
            <w:hideMark/>
          </w:tcPr>
          <w:p w:rsidR="006F0BCE" w:rsidRPr="006F0BCE" w:rsidP="006F0BCE" w14:paraId="3AE41782" w14:textId="77777777">
            <w:pPr>
              <w:jc w:val="center"/>
              <w:rPr>
                <w:color w:val="000000"/>
                <w:sz w:val="22"/>
                <w:szCs w:val="22"/>
              </w:rPr>
            </w:pPr>
            <w:r w:rsidRPr="006F0BCE">
              <w:rPr>
                <w:color w:val="000000"/>
                <w:sz w:val="22"/>
                <w:szCs w:val="22"/>
              </w:rPr>
              <w:t xml:space="preserve"> $       122,813.40 </w:t>
            </w:r>
          </w:p>
        </w:tc>
      </w:tr>
      <w:tr w14:paraId="7B3C8369" w14:textId="77777777" w:rsidTr="006F0BCE">
        <w:tblPrEx>
          <w:tblW w:w="8100" w:type="dxa"/>
          <w:tblInd w:w="44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6F0BCE" w:rsidRPr="006F0BCE" w:rsidP="006F0BCE" w14:paraId="0CF913CD" w14:textId="77777777">
            <w:pPr>
              <w:jc w:val="center"/>
              <w:rPr>
                <w:color w:val="000000"/>
                <w:sz w:val="22"/>
                <w:szCs w:val="22"/>
              </w:rPr>
            </w:pPr>
            <w:r w:rsidRPr="006F0BCE">
              <w:rPr>
                <w:color w:val="000000"/>
                <w:sz w:val="22"/>
                <w:szCs w:val="22"/>
              </w:rPr>
              <w:t>11</w:t>
            </w:r>
          </w:p>
        </w:tc>
        <w:tc>
          <w:tcPr>
            <w:tcW w:w="557" w:type="dxa"/>
            <w:tcBorders>
              <w:top w:val="nil"/>
              <w:left w:val="nil"/>
              <w:bottom w:val="single" w:sz="4" w:space="0" w:color="auto"/>
              <w:right w:val="single" w:sz="4" w:space="0" w:color="auto"/>
            </w:tcBorders>
            <w:vAlign w:val="bottom"/>
            <w:hideMark/>
          </w:tcPr>
          <w:p w:rsidR="006F0BCE" w:rsidRPr="006F0BCE" w:rsidP="006F0BCE" w14:paraId="4A795040" w14:textId="77777777">
            <w:pPr>
              <w:jc w:val="center"/>
              <w:rPr>
                <w:color w:val="000000"/>
                <w:sz w:val="22"/>
                <w:szCs w:val="22"/>
              </w:rPr>
            </w:pPr>
            <w:r w:rsidRPr="006F0BCE">
              <w:rPr>
                <w:color w:val="000000"/>
                <w:sz w:val="22"/>
                <w:szCs w:val="22"/>
              </w:rPr>
              <w:t>3</w:t>
            </w:r>
          </w:p>
        </w:tc>
        <w:tc>
          <w:tcPr>
            <w:tcW w:w="799" w:type="dxa"/>
            <w:tcBorders>
              <w:top w:val="nil"/>
              <w:left w:val="nil"/>
              <w:bottom w:val="single" w:sz="4" w:space="0" w:color="auto"/>
              <w:right w:val="single" w:sz="4" w:space="0" w:color="auto"/>
            </w:tcBorders>
            <w:vAlign w:val="bottom"/>
            <w:hideMark/>
          </w:tcPr>
          <w:p w:rsidR="006F0BCE" w:rsidRPr="006F0BCE" w:rsidP="006F0BCE" w14:paraId="2B088A9B" w14:textId="77777777">
            <w:pPr>
              <w:jc w:val="center"/>
              <w:rPr>
                <w:color w:val="000000"/>
                <w:sz w:val="22"/>
                <w:szCs w:val="22"/>
              </w:rPr>
            </w:pPr>
            <w:r w:rsidRPr="006F0BCE">
              <w:rPr>
                <w:color w:val="000000"/>
                <w:sz w:val="22"/>
                <w:szCs w:val="22"/>
              </w:rPr>
              <w:t>5</w:t>
            </w:r>
          </w:p>
        </w:tc>
        <w:tc>
          <w:tcPr>
            <w:tcW w:w="1178" w:type="dxa"/>
            <w:tcBorders>
              <w:top w:val="nil"/>
              <w:left w:val="nil"/>
              <w:bottom w:val="single" w:sz="4" w:space="0" w:color="auto"/>
              <w:right w:val="single" w:sz="4" w:space="0" w:color="auto"/>
            </w:tcBorders>
            <w:vAlign w:val="bottom"/>
            <w:hideMark/>
          </w:tcPr>
          <w:p w:rsidR="006F0BCE" w:rsidRPr="006F0BCE" w:rsidP="006F0BCE" w14:paraId="01BA309B" w14:textId="77777777">
            <w:pPr>
              <w:jc w:val="center"/>
              <w:rPr>
                <w:color w:val="000000"/>
                <w:sz w:val="22"/>
                <w:szCs w:val="22"/>
              </w:rPr>
            </w:pPr>
            <w:r w:rsidRPr="006F0BCE">
              <w:rPr>
                <w:color w:val="000000"/>
                <w:sz w:val="22"/>
                <w:szCs w:val="22"/>
              </w:rPr>
              <w:t>0.08</w:t>
            </w:r>
          </w:p>
        </w:tc>
        <w:tc>
          <w:tcPr>
            <w:tcW w:w="976" w:type="dxa"/>
            <w:tcBorders>
              <w:top w:val="nil"/>
              <w:left w:val="nil"/>
              <w:bottom w:val="single" w:sz="4" w:space="0" w:color="auto"/>
              <w:right w:val="single" w:sz="4" w:space="0" w:color="auto"/>
            </w:tcBorders>
            <w:vAlign w:val="bottom"/>
            <w:hideMark/>
          </w:tcPr>
          <w:p w:rsidR="006F0BCE" w:rsidRPr="006F0BCE" w:rsidP="006F0BCE" w14:paraId="5EE76B0C" w14:textId="77777777">
            <w:pPr>
              <w:jc w:val="center"/>
              <w:rPr>
                <w:color w:val="000000"/>
                <w:sz w:val="22"/>
                <w:szCs w:val="22"/>
              </w:rPr>
            </w:pPr>
            <w:r w:rsidRPr="006F0BCE">
              <w:rPr>
                <w:color w:val="000000"/>
                <w:sz w:val="22"/>
                <w:szCs w:val="22"/>
              </w:rPr>
              <w:t xml:space="preserve"> $32.61 </w:t>
            </w:r>
          </w:p>
        </w:tc>
        <w:tc>
          <w:tcPr>
            <w:tcW w:w="937" w:type="dxa"/>
            <w:tcBorders>
              <w:top w:val="nil"/>
              <w:left w:val="nil"/>
              <w:bottom w:val="single" w:sz="4" w:space="0" w:color="auto"/>
              <w:right w:val="single" w:sz="4" w:space="0" w:color="auto"/>
            </w:tcBorders>
            <w:vAlign w:val="bottom"/>
            <w:hideMark/>
          </w:tcPr>
          <w:p w:rsidR="006F0BCE" w:rsidRPr="006F0BCE" w:rsidP="006F0BCE" w14:paraId="6F0282CD" w14:textId="77777777">
            <w:pPr>
              <w:jc w:val="center"/>
              <w:rPr>
                <w:color w:val="000000"/>
                <w:sz w:val="22"/>
                <w:szCs w:val="22"/>
              </w:rPr>
            </w:pPr>
            <w:r w:rsidRPr="006F0BCE">
              <w:rPr>
                <w:color w:val="000000"/>
                <w:sz w:val="22"/>
                <w:szCs w:val="22"/>
              </w:rPr>
              <w:t>2.718</w:t>
            </w:r>
          </w:p>
        </w:tc>
        <w:tc>
          <w:tcPr>
            <w:tcW w:w="1078" w:type="dxa"/>
            <w:tcBorders>
              <w:top w:val="nil"/>
              <w:left w:val="nil"/>
              <w:bottom w:val="single" w:sz="4" w:space="0" w:color="auto"/>
              <w:right w:val="single" w:sz="4" w:space="0" w:color="auto"/>
            </w:tcBorders>
            <w:vAlign w:val="bottom"/>
            <w:hideMark/>
          </w:tcPr>
          <w:p w:rsidR="006F0BCE" w:rsidRPr="006F0BCE" w:rsidP="006F0BCE" w14:paraId="4E60E257" w14:textId="5A596CC6">
            <w:pPr>
              <w:jc w:val="center"/>
              <w:rPr>
                <w:color w:val="000000"/>
                <w:sz w:val="22"/>
                <w:szCs w:val="22"/>
              </w:rPr>
            </w:pPr>
            <w:r w:rsidRPr="006F0BCE">
              <w:rPr>
                <w:color w:val="000000"/>
                <w:sz w:val="22"/>
                <w:szCs w:val="22"/>
              </w:rPr>
              <w:t xml:space="preserve">    54,685 </w:t>
            </w:r>
          </w:p>
        </w:tc>
        <w:tc>
          <w:tcPr>
            <w:tcW w:w="1869" w:type="dxa"/>
            <w:tcBorders>
              <w:top w:val="nil"/>
              <w:left w:val="nil"/>
              <w:bottom w:val="single" w:sz="4" w:space="0" w:color="auto"/>
              <w:right w:val="single" w:sz="8" w:space="0" w:color="auto"/>
            </w:tcBorders>
            <w:vAlign w:val="bottom"/>
            <w:hideMark/>
          </w:tcPr>
          <w:p w:rsidR="006F0BCE" w:rsidRPr="006F0BCE" w:rsidP="006F0BCE" w14:paraId="75D804C9" w14:textId="77777777">
            <w:pPr>
              <w:jc w:val="center"/>
              <w:rPr>
                <w:color w:val="000000"/>
                <w:sz w:val="22"/>
                <w:szCs w:val="22"/>
              </w:rPr>
            </w:pPr>
            <w:r w:rsidRPr="006F0BCE">
              <w:rPr>
                <w:color w:val="000000"/>
                <w:sz w:val="22"/>
                <w:szCs w:val="22"/>
              </w:rPr>
              <w:t xml:space="preserve"> $       148,606.49 </w:t>
            </w:r>
          </w:p>
        </w:tc>
      </w:tr>
      <w:tr w14:paraId="5D7868CD"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5B8A3EAA" w14:textId="77777777">
            <w:pPr>
              <w:rPr>
                <w:color w:val="000000"/>
                <w:sz w:val="22"/>
                <w:szCs w:val="22"/>
              </w:rPr>
            </w:pPr>
            <w:r w:rsidRPr="006F0BCE">
              <w:rPr>
                <w:color w:val="000000"/>
                <w:sz w:val="22"/>
                <w:szCs w:val="22"/>
              </w:rPr>
              <w:t>Overhead at 100% Salary</w:t>
            </w:r>
          </w:p>
        </w:tc>
        <w:tc>
          <w:tcPr>
            <w:tcW w:w="1869" w:type="dxa"/>
            <w:tcBorders>
              <w:top w:val="nil"/>
              <w:left w:val="nil"/>
              <w:bottom w:val="single" w:sz="4" w:space="0" w:color="auto"/>
              <w:right w:val="single" w:sz="8" w:space="0" w:color="auto"/>
            </w:tcBorders>
            <w:vAlign w:val="bottom"/>
            <w:hideMark/>
          </w:tcPr>
          <w:p w:rsidR="006F0BCE" w:rsidRPr="006F0BCE" w:rsidP="006F0BCE" w14:paraId="6192F2C5" w14:textId="77777777">
            <w:pPr>
              <w:jc w:val="center"/>
              <w:rPr>
                <w:color w:val="000000"/>
                <w:sz w:val="22"/>
                <w:szCs w:val="22"/>
              </w:rPr>
            </w:pPr>
            <w:r w:rsidRPr="006F0BCE">
              <w:rPr>
                <w:color w:val="000000"/>
                <w:sz w:val="22"/>
                <w:szCs w:val="22"/>
              </w:rPr>
              <w:t xml:space="preserve"> $       148,606.49 </w:t>
            </w:r>
          </w:p>
        </w:tc>
      </w:tr>
      <w:tr w14:paraId="697F2F97"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6F595643" w14:textId="77777777">
            <w:pPr>
              <w:jc w:val="center"/>
              <w:rPr>
                <w:color w:val="000000"/>
                <w:sz w:val="22"/>
                <w:szCs w:val="22"/>
              </w:rPr>
            </w:pPr>
            <w:r w:rsidRPr="006F0BCE">
              <w:rPr>
                <w:color w:val="000000"/>
                <w:sz w:val="22"/>
                <w:szCs w:val="22"/>
              </w:rPr>
              <w:t> </w:t>
            </w:r>
          </w:p>
        </w:tc>
        <w:tc>
          <w:tcPr>
            <w:tcW w:w="1869" w:type="dxa"/>
            <w:tcBorders>
              <w:top w:val="nil"/>
              <w:left w:val="nil"/>
              <w:bottom w:val="single" w:sz="4" w:space="0" w:color="auto"/>
              <w:right w:val="single" w:sz="8" w:space="0" w:color="auto"/>
            </w:tcBorders>
            <w:vAlign w:val="bottom"/>
            <w:hideMark/>
          </w:tcPr>
          <w:p w:rsidR="006F0BCE" w:rsidRPr="006F0BCE" w:rsidP="006F0BCE" w14:paraId="514F47B8" w14:textId="77777777">
            <w:pPr>
              <w:jc w:val="center"/>
              <w:rPr>
                <w:color w:val="000000"/>
                <w:sz w:val="22"/>
                <w:szCs w:val="22"/>
              </w:rPr>
            </w:pPr>
            <w:r w:rsidRPr="006F0BCE">
              <w:rPr>
                <w:color w:val="000000"/>
                <w:sz w:val="22"/>
                <w:szCs w:val="22"/>
              </w:rPr>
              <w:t> </w:t>
            </w:r>
          </w:p>
        </w:tc>
      </w:tr>
      <w:tr w14:paraId="7E35341E"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4F519436" w14:textId="77777777">
            <w:pPr>
              <w:rPr>
                <w:color w:val="000000"/>
                <w:sz w:val="22"/>
                <w:szCs w:val="22"/>
              </w:rPr>
            </w:pPr>
            <w:r w:rsidRPr="006F0BCE">
              <w:rPr>
                <w:color w:val="000000"/>
                <w:sz w:val="22"/>
                <w:szCs w:val="22"/>
              </w:rPr>
              <w:t>Processing / Analyzing Costs</w:t>
            </w:r>
          </w:p>
        </w:tc>
        <w:tc>
          <w:tcPr>
            <w:tcW w:w="1869" w:type="dxa"/>
            <w:tcBorders>
              <w:top w:val="nil"/>
              <w:left w:val="nil"/>
              <w:bottom w:val="single" w:sz="4" w:space="0" w:color="auto"/>
              <w:right w:val="single" w:sz="8" w:space="0" w:color="auto"/>
            </w:tcBorders>
            <w:vAlign w:val="bottom"/>
            <w:hideMark/>
          </w:tcPr>
          <w:p w:rsidR="006F0BCE" w:rsidRPr="006F0BCE" w:rsidP="006F0BCE" w14:paraId="07AFCC17" w14:textId="77777777">
            <w:pPr>
              <w:jc w:val="center"/>
              <w:rPr>
                <w:color w:val="000000"/>
                <w:sz w:val="22"/>
                <w:szCs w:val="22"/>
              </w:rPr>
            </w:pPr>
            <w:r w:rsidRPr="006F0BCE">
              <w:rPr>
                <w:color w:val="000000"/>
                <w:sz w:val="22"/>
                <w:szCs w:val="22"/>
              </w:rPr>
              <w:t xml:space="preserve"> $       944,409.95 </w:t>
            </w:r>
          </w:p>
        </w:tc>
      </w:tr>
      <w:tr w14:paraId="4BAA7786" w14:textId="77777777" w:rsidTr="006F0BCE">
        <w:tblPrEx>
          <w:tblW w:w="8100" w:type="dxa"/>
          <w:tblInd w:w="440" w:type="dxa"/>
          <w:tblLook w:val="04A0"/>
        </w:tblPrEx>
        <w:trPr>
          <w:trHeight w:val="290"/>
        </w:trPr>
        <w:tc>
          <w:tcPr>
            <w:tcW w:w="6231" w:type="dxa"/>
            <w:gridSpan w:val="7"/>
            <w:tcBorders>
              <w:top w:val="single" w:sz="4" w:space="0" w:color="auto"/>
              <w:left w:val="single" w:sz="8" w:space="0" w:color="auto"/>
              <w:bottom w:val="single" w:sz="4" w:space="0" w:color="auto"/>
              <w:right w:val="single" w:sz="4" w:space="0" w:color="000000"/>
            </w:tcBorders>
            <w:vAlign w:val="bottom"/>
            <w:hideMark/>
          </w:tcPr>
          <w:p w:rsidR="006F0BCE" w:rsidRPr="006F0BCE" w:rsidP="006F0BCE" w14:paraId="5A1D51B7" w14:textId="77777777">
            <w:pPr>
              <w:rPr>
                <w:color w:val="000000"/>
                <w:sz w:val="22"/>
                <w:szCs w:val="22"/>
              </w:rPr>
            </w:pPr>
            <w:r w:rsidRPr="006F0BCE">
              <w:rPr>
                <w:color w:val="000000"/>
                <w:sz w:val="22"/>
                <w:szCs w:val="22"/>
              </w:rPr>
              <w:t>Printing and Production Cost</w:t>
            </w:r>
          </w:p>
        </w:tc>
        <w:tc>
          <w:tcPr>
            <w:tcW w:w="1869" w:type="dxa"/>
            <w:tcBorders>
              <w:top w:val="nil"/>
              <w:left w:val="nil"/>
              <w:bottom w:val="single" w:sz="4" w:space="0" w:color="auto"/>
              <w:right w:val="single" w:sz="8" w:space="0" w:color="auto"/>
            </w:tcBorders>
            <w:vAlign w:val="bottom"/>
            <w:hideMark/>
          </w:tcPr>
          <w:p w:rsidR="006F0BCE" w:rsidRPr="006F0BCE" w:rsidP="006F0BCE" w14:paraId="31D4CC32" w14:textId="77777777">
            <w:pPr>
              <w:jc w:val="center"/>
              <w:rPr>
                <w:color w:val="000000"/>
                <w:sz w:val="22"/>
                <w:szCs w:val="22"/>
              </w:rPr>
            </w:pPr>
            <w:r w:rsidRPr="006F0BCE">
              <w:rPr>
                <w:color w:val="000000"/>
                <w:sz w:val="22"/>
                <w:szCs w:val="22"/>
              </w:rPr>
              <w:t xml:space="preserve"> $         10,493.44 </w:t>
            </w:r>
          </w:p>
        </w:tc>
      </w:tr>
      <w:tr w14:paraId="3EF80126" w14:textId="77777777" w:rsidTr="006F0BCE">
        <w:tblPrEx>
          <w:tblW w:w="8100" w:type="dxa"/>
          <w:tblInd w:w="440" w:type="dxa"/>
          <w:tblLook w:val="04A0"/>
        </w:tblPrEx>
        <w:trPr>
          <w:trHeight w:val="300"/>
        </w:trPr>
        <w:tc>
          <w:tcPr>
            <w:tcW w:w="6231" w:type="dxa"/>
            <w:gridSpan w:val="7"/>
            <w:tcBorders>
              <w:top w:val="single" w:sz="4" w:space="0" w:color="auto"/>
              <w:left w:val="single" w:sz="8" w:space="0" w:color="auto"/>
              <w:bottom w:val="single" w:sz="8" w:space="0" w:color="auto"/>
              <w:right w:val="single" w:sz="4" w:space="0" w:color="000000"/>
            </w:tcBorders>
            <w:vAlign w:val="bottom"/>
            <w:hideMark/>
          </w:tcPr>
          <w:p w:rsidR="006F0BCE" w:rsidRPr="006F0BCE" w:rsidP="006F0BCE" w14:paraId="65B835F4" w14:textId="77777777">
            <w:pPr>
              <w:rPr>
                <w:color w:val="000000"/>
                <w:sz w:val="22"/>
                <w:szCs w:val="22"/>
              </w:rPr>
            </w:pPr>
            <w:r w:rsidRPr="006F0BCE">
              <w:rPr>
                <w:color w:val="000000"/>
                <w:sz w:val="22"/>
                <w:szCs w:val="22"/>
              </w:rPr>
              <w:t>Total Cost to Government</w:t>
            </w:r>
          </w:p>
        </w:tc>
        <w:tc>
          <w:tcPr>
            <w:tcW w:w="1869" w:type="dxa"/>
            <w:tcBorders>
              <w:top w:val="nil"/>
              <w:left w:val="nil"/>
              <w:bottom w:val="single" w:sz="8" w:space="0" w:color="auto"/>
              <w:right w:val="single" w:sz="8" w:space="0" w:color="auto"/>
            </w:tcBorders>
            <w:vAlign w:val="bottom"/>
            <w:hideMark/>
          </w:tcPr>
          <w:p w:rsidR="006F0BCE" w:rsidRPr="006F0BCE" w:rsidP="006F0BCE" w14:paraId="66FACF85" w14:textId="77777777">
            <w:pPr>
              <w:jc w:val="center"/>
              <w:rPr>
                <w:color w:val="000000"/>
                <w:sz w:val="22"/>
                <w:szCs w:val="22"/>
              </w:rPr>
            </w:pPr>
            <w:r w:rsidRPr="006F0BCE">
              <w:rPr>
                <w:color w:val="000000"/>
                <w:sz w:val="22"/>
                <w:szCs w:val="22"/>
              </w:rPr>
              <w:t xml:space="preserve"> $       954,903.39 </w:t>
            </w:r>
          </w:p>
        </w:tc>
      </w:tr>
    </w:tbl>
    <w:p w:rsidR="00A67C37" w:rsidP="00F54C17" w14:paraId="5EB87274" w14:textId="77777777">
      <w:pPr>
        <w:tabs>
          <w:tab w:val="left" w:pos="480"/>
          <w:tab w:val="right" w:pos="8640"/>
        </w:tabs>
        <w:ind w:left="360" w:right="684"/>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E337C3" w:rsidP="003D0AC3" w14:paraId="622B4860" w14:textId="555FFDDC">
      <w:pPr>
        <w:pStyle w:val="ListParagraph"/>
        <w:ind w:left="360" w:right="576"/>
        <w:rPr>
          <w:sz w:val="24"/>
          <w:szCs w:val="24"/>
        </w:rPr>
      </w:pPr>
      <w:r w:rsidRPr="00037F25">
        <w:rPr>
          <w:sz w:val="24"/>
          <w:szCs w:val="24"/>
        </w:rPr>
        <w:t>Printing and production costs approximates the cost of printing this information collection per year</w:t>
      </w:r>
      <w:r w:rsidRPr="00E337C3">
        <w:rPr>
          <w:sz w:val="24"/>
          <w:szCs w:val="24"/>
        </w:rPr>
        <w:t>. (Processing/Analyzing Cost total divided by $90).</w:t>
      </w:r>
    </w:p>
    <w:p w:rsidR="003D0AC3" w:rsidRPr="00E337C3" w:rsidP="003D0AC3" w14:paraId="31847B45" w14:textId="77777777">
      <w:pPr>
        <w:pStyle w:val="ListParagraph"/>
        <w:ind w:left="0" w:right="576"/>
        <w:jc w:val="both"/>
        <w:rPr>
          <w:sz w:val="24"/>
          <w:szCs w:val="24"/>
        </w:rPr>
      </w:pPr>
    </w:p>
    <w:p w:rsidR="00BC6BAE" w:rsidRPr="00BC6BAE" w:rsidP="00BC6BAE" w14:paraId="2CA39511" w14:textId="77777777">
      <w:pPr>
        <w:pStyle w:val="ListParagraph"/>
        <w:ind w:left="360"/>
        <w:rPr>
          <w:sz w:val="24"/>
          <w:szCs w:val="24"/>
        </w:rPr>
      </w:pPr>
      <w:bookmarkStart w:id="7" w:name="_Hlk29579534"/>
      <w:r w:rsidRPr="00BC6BAE">
        <w:rPr>
          <w:sz w:val="24"/>
          <w:szCs w:val="24"/>
        </w:rPr>
        <w:t>Note: The hourly wage information above is based on the hourly 2026 General Schedule (Base) Pay (</w:t>
      </w:r>
      <w:hyperlink r:id="rId9" w:history="1">
        <w:r w:rsidRPr="00BC6BAE">
          <w:rPr>
            <w:rStyle w:val="Hyperlink"/>
            <w:sz w:val="24"/>
            <w:szCs w:val="24"/>
          </w:rPr>
          <w:t>https://www.opm.gov/policy-data-oversight/pay-leave/salaries-wages/salary-tables/pdf/2026/GS_h.pdf</w:t>
        </w:r>
      </w:hyperlink>
      <w:r w:rsidRPr="00BC6BAE">
        <w:rPr>
          <w:sz w:val="24"/>
          <w:szCs w:val="24"/>
        </w:rPr>
        <w:t xml:space="preserve"> ). This rate does not include any locality adjustment as applicable.</w:t>
      </w:r>
    </w:p>
    <w:bookmarkEnd w:id="7"/>
    <w:p w:rsidR="003D0AC3" w:rsidRPr="00BC6BAE"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BC6BAE">
        <w:rPr>
          <w:sz w:val="24"/>
          <w:szCs w:val="24"/>
        </w:rPr>
        <w:t>The processing time estimates above are based on the actual amount of tim</w:t>
      </w:r>
      <w:r w:rsidRPr="00037F25">
        <w:rPr>
          <w:sz w:val="24"/>
          <w:szCs w:val="24"/>
        </w:rPr>
        <w:t>e employees of each grade level spend to process to completion a claim received on this form. The within-grade step (3) of each employee represents the average experience of employees within each grade.</w:t>
      </w:r>
    </w:p>
    <w:bookmarkEnd w:id="6"/>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171C87" w:rsidP="00F54C17" w14:paraId="21D065B5" w14:textId="3A6714F1">
      <w:pPr>
        <w:pStyle w:val="OmniPage9"/>
        <w:tabs>
          <w:tab w:val="clear" w:pos="100"/>
          <w:tab w:val="left" w:pos="540"/>
          <w:tab w:val="left" w:pos="1080"/>
          <w:tab w:val="clear" w:pos="9162"/>
        </w:tabs>
        <w:ind w:left="360"/>
        <w:rPr>
          <w:rFonts w:ascii="Times New Roman" w:hAnsi="Times New Roman"/>
          <w:sz w:val="24"/>
          <w:szCs w:val="24"/>
        </w:rPr>
      </w:pPr>
      <w:r w:rsidRPr="00014FF0">
        <w:rPr>
          <w:rFonts w:ascii="Times New Roman" w:hAnsi="Times New Roman" w:eastAsiaTheme="minorHAnsi"/>
          <w:sz w:val="24"/>
          <w:szCs w:val="24"/>
        </w:rPr>
        <w:t xml:space="preserve">This is a new </w:t>
      </w:r>
      <w:r w:rsidRPr="00014FF0">
        <w:rPr>
          <w:rFonts w:ascii="Times New Roman" w:hAnsi="Times New Roman"/>
          <w:sz w:val="24"/>
          <w:szCs w:val="24"/>
        </w:rPr>
        <w:t>collection</w:t>
      </w:r>
      <w:r>
        <w:rPr>
          <w:rFonts w:ascii="Times New Roman" w:hAnsi="Times New Roman"/>
          <w:sz w:val="24"/>
          <w:szCs w:val="24"/>
        </w:rPr>
        <w:t xml:space="preserve">; however, the burden associated with the previous control number has increased due to </w:t>
      </w:r>
      <w:r w:rsidRPr="00014FF0">
        <w:rPr>
          <w:rFonts w:ascii="Times New Roman" w:hAnsi="Times New Roman"/>
          <w:sz w:val="24"/>
          <w:szCs w:val="24"/>
        </w:rPr>
        <w:t xml:space="preserve">the estimated number of receivables averaged over the past year.  </w:t>
      </w:r>
    </w:p>
    <w:p w:rsidR="00EE745A" w:rsidRPr="00037F25" w:rsidP="00F54C17" w14:paraId="1E2EA070"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3A419D" w:rsidRPr="003A419D" w:rsidP="00F81B22" w14:paraId="1001B7E2" w14:textId="77777777">
    <w:pPr>
      <w:jc w:val="center"/>
      <w:rPr>
        <w:b/>
        <w:bCs/>
        <w:sz w:val="24"/>
        <w:szCs w:val="24"/>
      </w:rPr>
    </w:pPr>
    <w:r w:rsidRPr="003A419D">
      <w:rPr>
        <w:b/>
        <w:bCs/>
        <w:i/>
        <w:iCs/>
        <w:sz w:val="24"/>
        <w:szCs w:val="24"/>
      </w:rPr>
      <w:t>Priority Processing Request</w:t>
    </w:r>
    <w:r w:rsidRPr="003A419D" w:rsidR="00FD4DFF">
      <w:rPr>
        <w:b/>
        <w:bCs/>
        <w:sz w:val="24"/>
        <w:szCs w:val="24"/>
      </w:rPr>
      <w:t xml:space="preserve"> </w:t>
    </w:r>
  </w:p>
  <w:p w:rsidR="00726753" w:rsidRPr="00F81B22" w:rsidP="00F81B22" w14:paraId="75B0C283" w14:textId="1EADE39D">
    <w:pPr>
      <w:jc w:val="center"/>
      <w:rPr>
        <w:sz w:val="24"/>
        <w:szCs w:val="24"/>
      </w:rPr>
    </w:pPr>
    <w:r w:rsidRPr="003A419D">
      <w:rPr>
        <w:b/>
        <w:bCs/>
        <w:sz w:val="24"/>
        <w:szCs w:val="24"/>
      </w:rPr>
      <w:t>– Control #2900-</w:t>
    </w:r>
    <w:r w:rsidRPr="003A419D" w:rsidR="003A419D">
      <w:rPr>
        <w:b/>
        <w:bCs/>
        <w:sz w:val="24"/>
        <w:szCs w:val="24"/>
      </w:rPr>
      <w:t>NEW</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531F0"/>
    <w:multiLevelType w:val="hybridMultilevel"/>
    <w:tmpl w:val="DF24F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8E4480D"/>
    <w:multiLevelType w:val="hybridMultilevel"/>
    <w:tmpl w:val="B31821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E238C9"/>
    <w:multiLevelType w:val="hybridMultilevel"/>
    <w:tmpl w:val="903A9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2"/>
  </w:num>
  <w:num w:numId="6" w16cid:durableId="1860270195">
    <w:abstractNumId w:val="8"/>
  </w:num>
  <w:num w:numId="7" w16cid:durableId="1350983592">
    <w:abstractNumId w:val="13"/>
  </w:num>
  <w:num w:numId="8" w16cid:durableId="855777057">
    <w:abstractNumId w:val="9"/>
  </w:num>
  <w:num w:numId="9" w16cid:durableId="682322945">
    <w:abstractNumId w:val="5"/>
  </w:num>
  <w:num w:numId="10" w16cid:durableId="1658071338">
    <w:abstractNumId w:val="1"/>
  </w:num>
  <w:num w:numId="11" w16cid:durableId="1417019664">
    <w:abstractNumId w:val="14"/>
  </w:num>
  <w:num w:numId="12" w16cid:durableId="1187788720">
    <w:abstractNumId w:val="7"/>
  </w:num>
  <w:num w:numId="13" w16cid:durableId="2080594647">
    <w:abstractNumId w:val="3"/>
  </w:num>
  <w:num w:numId="14" w16cid:durableId="916749455">
    <w:abstractNumId w:val="15"/>
  </w:num>
  <w:num w:numId="15" w16cid:durableId="1011488472">
    <w:abstractNumId w:val="2"/>
  </w:num>
  <w:num w:numId="16" w16cid:durableId="467629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4FF0"/>
    <w:rsid w:val="00023F6B"/>
    <w:rsid w:val="00034AE1"/>
    <w:rsid w:val="00034BE2"/>
    <w:rsid w:val="00037F25"/>
    <w:rsid w:val="00055B76"/>
    <w:rsid w:val="000719CA"/>
    <w:rsid w:val="00072B8C"/>
    <w:rsid w:val="00074607"/>
    <w:rsid w:val="00092677"/>
    <w:rsid w:val="000A3F32"/>
    <w:rsid w:val="000A5F35"/>
    <w:rsid w:val="00100128"/>
    <w:rsid w:val="00142589"/>
    <w:rsid w:val="00145314"/>
    <w:rsid w:val="0016376A"/>
    <w:rsid w:val="00171C87"/>
    <w:rsid w:val="00174B1F"/>
    <w:rsid w:val="0018351B"/>
    <w:rsid w:val="001968BC"/>
    <w:rsid w:val="001D52F4"/>
    <w:rsid w:val="001D6A97"/>
    <w:rsid w:val="001D6D11"/>
    <w:rsid w:val="001D7264"/>
    <w:rsid w:val="001E2E15"/>
    <w:rsid w:val="001E4D59"/>
    <w:rsid w:val="001F4E8D"/>
    <w:rsid w:val="00207221"/>
    <w:rsid w:val="00216351"/>
    <w:rsid w:val="00247A98"/>
    <w:rsid w:val="00272B57"/>
    <w:rsid w:val="00294ACF"/>
    <w:rsid w:val="00295605"/>
    <w:rsid w:val="002A6B41"/>
    <w:rsid w:val="002E00DB"/>
    <w:rsid w:val="00303259"/>
    <w:rsid w:val="00310573"/>
    <w:rsid w:val="00312610"/>
    <w:rsid w:val="003210D0"/>
    <w:rsid w:val="00334E84"/>
    <w:rsid w:val="00344C6D"/>
    <w:rsid w:val="00347A7B"/>
    <w:rsid w:val="00365302"/>
    <w:rsid w:val="00366B3D"/>
    <w:rsid w:val="003A209D"/>
    <w:rsid w:val="003A419D"/>
    <w:rsid w:val="003B6D49"/>
    <w:rsid w:val="003B797D"/>
    <w:rsid w:val="003C529E"/>
    <w:rsid w:val="003C5502"/>
    <w:rsid w:val="003C71D4"/>
    <w:rsid w:val="003D0AC3"/>
    <w:rsid w:val="003F26D8"/>
    <w:rsid w:val="003F663E"/>
    <w:rsid w:val="0043068B"/>
    <w:rsid w:val="00430D02"/>
    <w:rsid w:val="00447F72"/>
    <w:rsid w:val="00486812"/>
    <w:rsid w:val="00495C22"/>
    <w:rsid w:val="004C38A1"/>
    <w:rsid w:val="004D3BF6"/>
    <w:rsid w:val="004E0438"/>
    <w:rsid w:val="004F43E4"/>
    <w:rsid w:val="0051524F"/>
    <w:rsid w:val="00516ACF"/>
    <w:rsid w:val="00517283"/>
    <w:rsid w:val="0053151A"/>
    <w:rsid w:val="0053466D"/>
    <w:rsid w:val="00541318"/>
    <w:rsid w:val="00547E0C"/>
    <w:rsid w:val="00562178"/>
    <w:rsid w:val="00563695"/>
    <w:rsid w:val="0057145A"/>
    <w:rsid w:val="0057258A"/>
    <w:rsid w:val="00581C1C"/>
    <w:rsid w:val="005966F5"/>
    <w:rsid w:val="005A3925"/>
    <w:rsid w:val="005C0CE5"/>
    <w:rsid w:val="005E4CE3"/>
    <w:rsid w:val="005E651E"/>
    <w:rsid w:val="005F40C9"/>
    <w:rsid w:val="005F6E28"/>
    <w:rsid w:val="00606AD2"/>
    <w:rsid w:val="00617D2B"/>
    <w:rsid w:val="0062093E"/>
    <w:rsid w:val="00651EF4"/>
    <w:rsid w:val="00651FB2"/>
    <w:rsid w:val="0066426E"/>
    <w:rsid w:val="006729B9"/>
    <w:rsid w:val="006A19BA"/>
    <w:rsid w:val="006A4E5C"/>
    <w:rsid w:val="006A4F03"/>
    <w:rsid w:val="006A597C"/>
    <w:rsid w:val="006B0B12"/>
    <w:rsid w:val="006B0EA5"/>
    <w:rsid w:val="006C4C6F"/>
    <w:rsid w:val="006E764F"/>
    <w:rsid w:val="006F0393"/>
    <w:rsid w:val="006F0BCE"/>
    <w:rsid w:val="006F5974"/>
    <w:rsid w:val="00710DDD"/>
    <w:rsid w:val="007201B3"/>
    <w:rsid w:val="00723416"/>
    <w:rsid w:val="00726753"/>
    <w:rsid w:val="00747FF1"/>
    <w:rsid w:val="00763A4D"/>
    <w:rsid w:val="00766ACB"/>
    <w:rsid w:val="00772F07"/>
    <w:rsid w:val="00773666"/>
    <w:rsid w:val="00782C13"/>
    <w:rsid w:val="00794474"/>
    <w:rsid w:val="007A26A7"/>
    <w:rsid w:val="007C4A68"/>
    <w:rsid w:val="007C5B03"/>
    <w:rsid w:val="007D0781"/>
    <w:rsid w:val="007D14AB"/>
    <w:rsid w:val="007D2741"/>
    <w:rsid w:val="007F0B11"/>
    <w:rsid w:val="007F3759"/>
    <w:rsid w:val="007F4953"/>
    <w:rsid w:val="00823C3C"/>
    <w:rsid w:val="00836648"/>
    <w:rsid w:val="0084157F"/>
    <w:rsid w:val="00843870"/>
    <w:rsid w:val="008841F8"/>
    <w:rsid w:val="0089361A"/>
    <w:rsid w:val="008A68B3"/>
    <w:rsid w:val="008B76E8"/>
    <w:rsid w:val="008C254F"/>
    <w:rsid w:val="008E32A9"/>
    <w:rsid w:val="008F2F38"/>
    <w:rsid w:val="00910C19"/>
    <w:rsid w:val="009135FA"/>
    <w:rsid w:val="0094691E"/>
    <w:rsid w:val="0095533E"/>
    <w:rsid w:val="009658F9"/>
    <w:rsid w:val="00993FA5"/>
    <w:rsid w:val="009A3FA7"/>
    <w:rsid w:val="009A5278"/>
    <w:rsid w:val="009B5624"/>
    <w:rsid w:val="009D1D80"/>
    <w:rsid w:val="009D3B54"/>
    <w:rsid w:val="009E3506"/>
    <w:rsid w:val="009E6EA0"/>
    <w:rsid w:val="009F4A51"/>
    <w:rsid w:val="00A03C4E"/>
    <w:rsid w:val="00A073C3"/>
    <w:rsid w:val="00A16101"/>
    <w:rsid w:val="00A21543"/>
    <w:rsid w:val="00A22565"/>
    <w:rsid w:val="00A25D47"/>
    <w:rsid w:val="00A3565F"/>
    <w:rsid w:val="00A411DD"/>
    <w:rsid w:val="00A64C05"/>
    <w:rsid w:val="00A67C37"/>
    <w:rsid w:val="00A82599"/>
    <w:rsid w:val="00A905F4"/>
    <w:rsid w:val="00AB2852"/>
    <w:rsid w:val="00AD1C6B"/>
    <w:rsid w:val="00AD31F6"/>
    <w:rsid w:val="00AD768C"/>
    <w:rsid w:val="00B03501"/>
    <w:rsid w:val="00B11C91"/>
    <w:rsid w:val="00B32D2A"/>
    <w:rsid w:val="00B37719"/>
    <w:rsid w:val="00B40113"/>
    <w:rsid w:val="00B520B4"/>
    <w:rsid w:val="00B568DC"/>
    <w:rsid w:val="00B6651E"/>
    <w:rsid w:val="00B713C7"/>
    <w:rsid w:val="00B82974"/>
    <w:rsid w:val="00BA0556"/>
    <w:rsid w:val="00BA45CB"/>
    <w:rsid w:val="00BC08F9"/>
    <w:rsid w:val="00BC5827"/>
    <w:rsid w:val="00BC6BAE"/>
    <w:rsid w:val="00BD7201"/>
    <w:rsid w:val="00BD7E78"/>
    <w:rsid w:val="00C17C77"/>
    <w:rsid w:val="00C34486"/>
    <w:rsid w:val="00C4296A"/>
    <w:rsid w:val="00C47978"/>
    <w:rsid w:val="00C75126"/>
    <w:rsid w:val="00CA418A"/>
    <w:rsid w:val="00CA7E43"/>
    <w:rsid w:val="00CC5AA3"/>
    <w:rsid w:val="00CD6B4C"/>
    <w:rsid w:val="00D0476D"/>
    <w:rsid w:val="00D20A37"/>
    <w:rsid w:val="00D26C5E"/>
    <w:rsid w:val="00D32064"/>
    <w:rsid w:val="00D447E2"/>
    <w:rsid w:val="00D50E8D"/>
    <w:rsid w:val="00D656BB"/>
    <w:rsid w:val="00D7449F"/>
    <w:rsid w:val="00D944D7"/>
    <w:rsid w:val="00D94A38"/>
    <w:rsid w:val="00D975C9"/>
    <w:rsid w:val="00DC0CDA"/>
    <w:rsid w:val="00DD0140"/>
    <w:rsid w:val="00DD5D06"/>
    <w:rsid w:val="00DE13A6"/>
    <w:rsid w:val="00DE674E"/>
    <w:rsid w:val="00E075F3"/>
    <w:rsid w:val="00E1761D"/>
    <w:rsid w:val="00E3211D"/>
    <w:rsid w:val="00E337C3"/>
    <w:rsid w:val="00E36537"/>
    <w:rsid w:val="00E87FDC"/>
    <w:rsid w:val="00E915F3"/>
    <w:rsid w:val="00E948A8"/>
    <w:rsid w:val="00EC2E2D"/>
    <w:rsid w:val="00EE745A"/>
    <w:rsid w:val="00EF3568"/>
    <w:rsid w:val="00F01D5F"/>
    <w:rsid w:val="00F109B4"/>
    <w:rsid w:val="00F266BD"/>
    <w:rsid w:val="00F458E2"/>
    <w:rsid w:val="00F4700A"/>
    <w:rsid w:val="00F47131"/>
    <w:rsid w:val="00F531B6"/>
    <w:rsid w:val="00F54C17"/>
    <w:rsid w:val="00F81B22"/>
    <w:rsid w:val="00F94D45"/>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tables.htm"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McCleave, Kendra</dc:creator>
  <cp:lastModifiedBy>McCleave, Kendra</cp:lastModifiedBy>
  <cp:revision>2</cp:revision>
  <dcterms:created xsi:type="dcterms:W3CDTF">2026-06-08T15:26:00Z</dcterms:created>
  <dcterms:modified xsi:type="dcterms:W3CDTF">2026-06-08T15:26:00Z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