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25086D96" w14:textId="77777777" w:rsidTr="00FA103D">
        <w:tblPrEx>
          <w:tblW w:w="8910" w:type="dxa"/>
          <w:tblInd w:w="355" w:type="dxa"/>
          <w:tblLook w:val="04A0"/>
        </w:tblPrEx>
        <w:trPr>
          <w:trHeight w:val="595"/>
        </w:trPr>
        <w:tc>
          <w:tcPr>
            <w:tcW w:w="8910" w:type="dxa"/>
          </w:tcPr>
          <w:p w:rsidR="00092677" w:rsidRPr="00FA103D" w:rsidP="007F0B11" w14:paraId="75F30524" w14:textId="77777777">
            <w:pPr>
              <w:rPr>
                <w:rFonts w:ascii="Times New Roman" w:hAnsi="Times New Roman" w:cs="Times New Roman"/>
                <w:b/>
                <w:bCs/>
                <w:sz w:val="24"/>
                <w:szCs w:val="24"/>
              </w:rPr>
            </w:pPr>
            <w:r w:rsidRPr="00FA103D">
              <w:rPr>
                <w:rFonts w:ascii="Times New Roman" w:hAnsi="Times New Roman" w:cs="Times New Roman"/>
                <w:b/>
                <w:bCs/>
                <w:sz w:val="24"/>
                <w:szCs w:val="24"/>
              </w:rPr>
              <w:t xml:space="preserve">Summary of Changes from Previously Approved Collection </w:t>
            </w:r>
          </w:p>
          <w:p w:rsidR="00092677" w:rsidRPr="00FA103D" w:rsidP="009A269E" w14:paraId="3395791E" w14:textId="74A4B15D">
            <w:pPr>
              <w:pStyle w:val="ListParagraph"/>
              <w:numPr>
                <w:ilvl w:val="0"/>
                <w:numId w:val="15"/>
              </w:numPr>
              <w:ind w:right="540"/>
              <w:rPr>
                <w:rFonts w:ascii="Times New Roman" w:hAnsi="Times New Roman" w:cs="Times New Roman"/>
                <w:sz w:val="24"/>
                <w:szCs w:val="24"/>
              </w:rPr>
            </w:pPr>
            <w:r w:rsidRPr="00FA103D">
              <w:rPr>
                <w:rFonts w:ascii="Times New Roman" w:hAnsi="Times New Roman" w:cs="Times New Roman"/>
                <w:sz w:val="24"/>
                <w:szCs w:val="24"/>
              </w:rPr>
              <w:t xml:space="preserve">The respondent burden has decreased due to </w:t>
            </w:r>
            <w:r w:rsidRPr="00FA103D" w:rsidR="00C879DB">
              <w:rPr>
                <w:rFonts w:ascii="Times New Roman" w:hAnsi="Times New Roman" w:cs="Times New Roman"/>
                <w:sz w:val="24"/>
                <w:szCs w:val="24"/>
              </w:rPr>
              <w:t>being associated with final rule RIN#2900-AP67</w:t>
            </w:r>
            <w:r w:rsidRPr="00FA103D" w:rsidR="000413A4">
              <w:rPr>
                <w:rFonts w:ascii="Times New Roman" w:hAnsi="Times New Roman" w:cs="Times New Roman"/>
                <w:sz w:val="24"/>
                <w:szCs w:val="24"/>
              </w:rPr>
              <w:t xml:space="preserve">. The burden has decreased from 30 minutes to 15 minutes. </w:t>
            </w:r>
          </w:p>
          <w:p w:rsidR="00092677" w:rsidRPr="009A269E" w:rsidP="000413A4" w14:paraId="152E1C82" w14:textId="21BFB3A3">
            <w:pPr>
              <w:pStyle w:val="BodyText3"/>
              <w:numPr>
                <w:ilvl w:val="0"/>
                <w:numId w:val="12"/>
              </w:numPr>
              <w:spacing w:after="0"/>
              <w:rPr>
                <w:rFonts w:ascii="Times New Roman" w:hAnsi="Times New Roman" w:cs="Times New Roman"/>
                <w:sz w:val="24"/>
                <w:szCs w:val="24"/>
              </w:rPr>
            </w:pPr>
            <w:r w:rsidRPr="00FA103D">
              <w:rPr>
                <w:rFonts w:ascii="Times New Roman" w:hAnsi="Times New Roman" w:cs="Times New Roman"/>
                <w:sz w:val="24"/>
                <w:szCs w:val="24"/>
              </w:rPr>
              <w:t>A</w:t>
            </w:r>
            <w:r w:rsidRPr="00FA103D" w:rsidR="009A269E">
              <w:rPr>
                <w:rFonts w:ascii="Times New Roman" w:hAnsi="Times New Roman" w:cs="Times New Roman"/>
                <w:sz w:val="24"/>
                <w:szCs w:val="24"/>
              </w:rPr>
              <w:t>pproximately two (2) pages of the information collection pertaining to income and net worth data</w:t>
            </w:r>
            <w:r w:rsidRPr="00FA103D" w:rsidR="00901A90">
              <w:rPr>
                <w:rFonts w:ascii="Times New Roman" w:hAnsi="Times New Roman" w:cs="Times New Roman"/>
                <w:sz w:val="24"/>
                <w:szCs w:val="24"/>
              </w:rPr>
              <w:t xml:space="preserve"> has been removed</w:t>
            </w:r>
            <w:r w:rsidRPr="00FA103D" w:rsidR="009A269E">
              <w:rPr>
                <w:rFonts w:ascii="Times New Roman" w:hAnsi="Times New Roman" w:cs="Times New Roman"/>
                <w:sz w:val="24"/>
                <w:szCs w:val="24"/>
              </w:rPr>
              <w:t>; the final regulation eliminates the need to collect this data from a claimant/beneficiary.</w:t>
            </w:r>
            <w:r w:rsidRPr="009A269E" w:rsidR="009A269E">
              <w:rPr>
                <w:rFonts w:ascii="Times New Roman" w:hAnsi="Times New Roman" w:cs="Times New Roman"/>
                <w:sz w:val="24"/>
                <w:szCs w:val="24"/>
              </w:rPr>
              <w:t xml:space="preserve">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9A269E" w:rsidP="009A269E" w14:paraId="3AFB39F8" w14:textId="77777777">
      <w:pPr>
        <w:autoSpaceDE w:val="0"/>
        <w:autoSpaceDN w:val="0"/>
        <w:adjustRightInd w:val="0"/>
        <w:ind w:left="360"/>
        <w:rPr>
          <w:sz w:val="24"/>
        </w:rPr>
      </w:pPr>
      <w:r w:rsidRPr="005016FE">
        <w:rPr>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0311AD">
        <w:rPr>
          <w:sz w:val="24"/>
        </w:rPr>
        <w:t xml:space="preserve">Information </w:t>
      </w:r>
      <w:r>
        <w:rPr>
          <w:sz w:val="24"/>
        </w:rPr>
        <w:t>a</w:t>
      </w:r>
      <w:r w:rsidRPr="000311AD">
        <w:rPr>
          <w:sz w:val="24"/>
        </w:rPr>
        <w:t xml:space="preserve">s requested by </w:t>
      </w:r>
      <w:r>
        <w:rPr>
          <w:sz w:val="24"/>
        </w:rPr>
        <w:t xml:space="preserve">VA Form 21-0788, </w:t>
      </w:r>
      <w:r w:rsidRPr="005B0D91">
        <w:rPr>
          <w:i/>
          <w:iCs/>
          <w:sz w:val="24"/>
        </w:rPr>
        <w:t>Information Regarding Apportionment of Beneficiary’s Award</w:t>
      </w:r>
      <w:r>
        <w:rPr>
          <w:sz w:val="24"/>
        </w:rPr>
        <w:t>,</w:t>
      </w:r>
      <w:r w:rsidRPr="000311AD">
        <w:rPr>
          <w:sz w:val="24"/>
        </w:rPr>
        <w:t xml:space="preserve"> under the authority of 38 U.S.C. 5307</w:t>
      </w:r>
      <w:r>
        <w:rPr>
          <w:sz w:val="24"/>
        </w:rPr>
        <w:t>,</w:t>
      </w:r>
      <w:r w:rsidRPr="000311AD">
        <w:rPr>
          <w:sz w:val="24"/>
        </w:rPr>
        <w:t xml:space="preserve"> which states that a veteran’s or beneficiary’s compensation and pension benefits may be apportioned for his/her dependents. Regulatory authority is found in 38 C.F.R. 3.450</w:t>
      </w:r>
      <w:r>
        <w:rPr>
          <w:sz w:val="24"/>
        </w:rPr>
        <w:t>-3.454 and</w:t>
      </w:r>
      <w:r w:rsidRPr="000311AD">
        <w:rPr>
          <w:sz w:val="24"/>
        </w:rPr>
        <w:t xml:space="preserve"> 3.4</w:t>
      </w:r>
      <w:r>
        <w:rPr>
          <w:sz w:val="24"/>
        </w:rPr>
        <w:t>58-3.461</w:t>
      </w:r>
      <w:r w:rsidRPr="000311AD">
        <w:rPr>
          <w:sz w:val="24"/>
        </w:rPr>
        <w:t xml:space="preserve">.  </w:t>
      </w:r>
    </w:p>
    <w:p w:rsidR="009A269E" w:rsidP="009A269E" w14:paraId="52EBBEED" w14:textId="77777777">
      <w:pPr>
        <w:autoSpaceDE w:val="0"/>
        <w:autoSpaceDN w:val="0"/>
        <w:adjustRightInd w:val="0"/>
        <w:ind w:left="360"/>
        <w:rPr>
          <w:sz w:val="24"/>
        </w:rPr>
      </w:pPr>
    </w:p>
    <w:p w:rsidR="009A269E" w:rsidRPr="00CC4618" w:rsidP="000F3AEA" w14:paraId="3ECC96C8" w14:textId="6DB9F8AE">
      <w:pPr>
        <w:ind w:left="360" w:right="540"/>
        <w:rPr>
          <w:sz w:val="24"/>
        </w:rPr>
      </w:pPr>
      <w:r>
        <w:rPr>
          <w:sz w:val="24"/>
          <w:szCs w:val="24"/>
        </w:rPr>
        <w:t xml:space="preserve">Under the final rule RIN#2900-AP67, </w:t>
      </w:r>
      <w:r w:rsidRPr="00955F0D">
        <w:rPr>
          <w:i/>
          <w:iCs/>
          <w:sz w:val="24"/>
          <w:szCs w:val="24"/>
        </w:rPr>
        <w:t>A</w:t>
      </w:r>
      <w:r>
        <w:rPr>
          <w:i/>
          <w:iCs/>
          <w:sz w:val="24"/>
          <w:szCs w:val="24"/>
        </w:rPr>
        <w:t>pportionment</w:t>
      </w:r>
      <w:r>
        <w:rPr>
          <w:sz w:val="24"/>
          <w:szCs w:val="24"/>
        </w:rPr>
        <w:t xml:space="preserve">, </w:t>
      </w:r>
      <w:r w:rsidRPr="007576E7">
        <w:rPr>
          <w:sz w:val="24"/>
        </w:rPr>
        <w:t xml:space="preserve">VA proposes to amend its regulations to limit the circumstances in which benefits will be apportioned and to stop apportioning certain benefits. Currently, in limited situations, VA may pay a portion of a VA beneficiary's monetary benefits directly to the beneficiary's dependents. This is referred to as </w:t>
      </w:r>
      <w:r w:rsidRPr="007576E7" w:rsidR="00401A96">
        <w:rPr>
          <w:sz w:val="24"/>
        </w:rPr>
        <w:t>an apportionment</w:t>
      </w:r>
      <w:r w:rsidRPr="007576E7">
        <w:rPr>
          <w:sz w:val="24"/>
        </w:rPr>
        <w:t xml:space="preserve"> of benefits. Most claims </w:t>
      </w:r>
      <w:r w:rsidR="000F3AEA">
        <w:rPr>
          <w:sz w:val="24"/>
        </w:rPr>
        <w:t>of</w:t>
      </w:r>
      <w:r w:rsidRPr="007576E7">
        <w:rPr>
          <w:sz w:val="24"/>
        </w:rPr>
        <w:t xml:space="preserve"> apportionment involve complex issues of family law, issues that are best suited to the expertise and authority of state courts. VA claims adjudicators have limited ability to analyze these complex and fact-intensive claims, to include both technical expertise as well as an ability to compel participation in necessary accounting measures. When VA awards apportionments, decisions rendered can disturb state court support awards, requiring a state court to expend additional resources to revisit a prior determination. Finally, due to their intricacy, a significant amount of information is needed to properly adjudicate apportionment claims. While this information is typically already available to state courts, VA must attempt to gather this information from the VA beneficiary and beneficiary's dependent, which is unavoidably a time-consuming process and often cannot result in a comprehensive evidentiary picture. The additional time and effort needed to gather this information increases VA </w:t>
      </w:r>
      <w:r w:rsidRPr="007576E7" w:rsidR="000F3AEA">
        <w:rPr>
          <w:sz w:val="24"/>
        </w:rPr>
        <w:t>workload</w:t>
      </w:r>
      <w:r w:rsidRPr="007576E7">
        <w:rPr>
          <w:sz w:val="24"/>
        </w:rPr>
        <w:t xml:space="preserve"> and results in the potential for delays </w:t>
      </w:r>
      <w:r w:rsidRPr="007576E7" w:rsidR="000F3AEA">
        <w:rPr>
          <w:sz w:val="24"/>
        </w:rPr>
        <w:t>in</w:t>
      </w:r>
      <w:r w:rsidRPr="007576E7">
        <w:rPr>
          <w:sz w:val="24"/>
        </w:rPr>
        <w:t xml:space="preserve"> all VA claims processes, </w:t>
      </w:r>
      <w:r w:rsidRPr="007576E7" w:rsidR="000F3AEA">
        <w:rPr>
          <w:sz w:val="24"/>
        </w:rPr>
        <w:t>including</w:t>
      </w:r>
      <w:r w:rsidRPr="007576E7">
        <w:rPr>
          <w:sz w:val="24"/>
        </w:rPr>
        <w:t xml:space="preserve"> apportionment awards. Because VA apportionment awards often conflict with the awards of better-situated state family courts and because VA lacks the authority and expertise to make fully informed, accurate, and economically appropriate awards, VA is proposing to amend its regulations to discontinue making apportionment awards in most circumstances and to stop apportioning certain benefits.</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F95DA3" w:rsidP="00F95DA3" w14:paraId="1DA8708B" w14:textId="77777777">
      <w:pPr>
        <w:tabs>
          <w:tab w:val="left" w:pos="480"/>
          <w:tab w:val="right" w:pos="720"/>
        </w:tabs>
        <w:ind w:left="360" w:right="684"/>
        <w:rPr>
          <w:sz w:val="24"/>
          <w:szCs w:val="24"/>
        </w:rPr>
      </w:pPr>
      <w:r>
        <w:rPr>
          <w:sz w:val="24"/>
          <w:szCs w:val="24"/>
        </w:rPr>
        <w:t xml:space="preserve">The respondent population for </w:t>
      </w:r>
      <w:r>
        <w:rPr>
          <w:color w:val="000000"/>
          <w:sz w:val="24"/>
          <w:szCs w:val="24"/>
        </w:rPr>
        <w:t>VA Form 21-0788</w:t>
      </w:r>
      <w:r>
        <w:rPr>
          <w:sz w:val="24"/>
          <w:szCs w:val="24"/>
        </w:rPr>
        <w:t xml:space="preserve"> is composed of individuals who are requesting an apportionment of a beneficiary’s award amount.</w:t>
      </w: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37224161">
      <w:pPr>
        <w:tabs>
          <w:tab w:val="left" w:pos="630"/>
        </w:tabs>
        <w:ind w:left="360"/>
        <w:rPr>
          <w:sz w:val="24"/>
          <w:szCs w:val="24"/>
        </w:rPr>
      </w:pPr>
      <w:r w:rsidRPr="00037F25">
        <w:rPr>
          <w:color w:val="000000"/>
          <w:sz w:val="24"/>
          <w:szCs w:val="24"/>
        </w:rPr>
        <w:t xml:space="preserve">VA Form </w:t>
      </w:r>
      <w:r w:rsidR="00D53CA7">
        <w:rPr>
          <w:color w:val="000000"/>
          <w:sz w:val="24"/>
          <w:szCs w:val="24"/>
        </w:rPr>
        <w:t>21-0788</w:t>
      </w:r>
      <w:r w:rsidRPr="00037F25">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9D57D8" w:rsidRPr="000311AD" w:rsidP="009D57D8" w14:paraId="413FD17A" w14:textId="71A65652">
      <w:pPr>
        <w:pStyle w:val="ListParagraph"/>
        <w:ind w:left="360" w:right="540"/>
        <w:rPr>
          <w:sz w:val="24"/>
        </w:rPr>
      </w:pPr>
      <w:r w:rsidRPr="000311AD">
        <w:rPr>
          <w:sz w:val="24"/>
        </w:rPr>
        <w:t>VA Form 21-0788</w:t>
      </w:r>
      <w:r>
        <w:rPr>
          <w:sz w:val="24"/>
        </w:rPr>
        <w:t>, associated with the final rule RIN#2900-AP67,</w:t>
      </w:r>
      <w:r w:rsidRPr="000311AD">
        <w:rPr>
          <w:sz w:val="24"/>
        </w:rPr>
        <w:t xml:space="preserve"> </w:t>
      </w:r>
      <w:r>
        <w:rPr>
          <w:sz w:val="24"/>
        </w:rPr>
        <w:t xml:space="preserve">will be </w:t>
      </w:r>
      <w:r w:rsidRPr="000311AD">
        <w:rPr>
          <w:sz w:val="24"/>
        </w:rPr>
        <w:t xml:space="preserve">used to determine whether benefits may be apportioned and, if so, the amount. A veteran’s benefits may be paid to </w:t>
      </w:r>
      <w:r>
        <w:rPr>
          <w:sz w:val="24"/>
        </w:rPr>
        <w:t>their</w:t>
      </w:r>
      <w:r w:rsidRPr="000311AD">
        <w:rPr>
          <w:sz w:val="24"/>
        </w:rPr>
        <w:t xml:space="preserve"> spouse and children if the veteran is incarcerated or is deemed incompetent and hospitalized at government expense. This form will be completed to obtain the information needed to determine whether benefits may be apportioned and the amount payable.</w:t>
      </w:r>
      <w:r w:rsidR="00D53CA7">
        <w:rPr>
          <w:sz w:val="24"/>
        </w:rPr>
        <w:t xml:space="preserve"> </w:t>
      </w:r>
      <w:r w:rsidRPr="004D17DC" w:rsidR="00D53CA7">
        <w:rPr>
          <w:sz w:val="24"/>
        </w:rPr>
        <w:t>Without this collection of information, VA would be unable to properly authorize apportionments of compensation and pension benefits.</w:t>
      </w:r>
      <w:r w:rsidR="00D53CA7">
        <w:rPr>
          <w:sz w:val="24"/>
        </w:rPr>
        <w:t xml:space="preserve">  </w:t>
      </w:r>
      <w:r w:rsidRPr="000311AD">
        <w:rPr>
          <w:sz w:val="24"/>
        </w:rPr>
        <w:t xml:space="preserve">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AA1A0F" w:rsidP="006B0B12" w14:paraId="176AC8E4" w14:textId="335F78A2">
      <w:pPr>
        <w:pStyle w:val="NormalWeb"/>
        <w:spacing w:line="288" w:lineRule="atLeast"/>
        <w:ind w:left="360"/>
        <w:rPr>
          <w:rFonts w:eastAsiaTheme="minorHAnsi"/>
          <w:sz w:val="24"/>
          <w:szCs w:val="24"/>
        </w:rPr>
      </w:pPr>
      <w:r>
        <w:rPr>
          <w:sz w:val="24"/>
          <w:szCs w:val="24"/>
        </w:rPr>
        <w:t>A 60-</w:t>
      </w:r>
      <w:r w:rsidR="005E59D5">
        <w:rPr>
          <w:sz w:val="24"/>
          <w:szCs w:val="24"/>
        </w:rPr>
        <w:t xml:space="preserve">Day Federal Register (FRN) for the proposed regulation was </w:t>
      </w:r>
      <w:r w:rsidRPr="00DE7F2A" w:rsidR="001C7576">
        <w:rPr>
          <w:sz w:val="24"/>
          <w:szCs w:val="24"/>
        </w:rPr>
        <w:t xml:space="preserve">published on </w:t>
      </w:r>
      <w:r w:rsidR="001C7576">
        <w:rPr>
          <w:sz w:val="24"/>
          <w:szCs w:val="24"/>
        </w:rPr>
        <w:t xml:space="preserve">October 14, </w:t>
      </w:r>
      <w:r w:rsidRPr="00AA1A0F" w:rsidR="001C7576">
        <w:rPr>
          <w:sz w:val="24"/>
          <w:szCs w:val="24"/>
        </w:rPr>
        <w:t xml:space="preserve">2021, Volume 86, No. 196, pages 57084 to 57094.  </w:t>
      </w:r>
    </w:p>
    <w:p w:rsidR="006B0B12" w:rsidRPr="00AA1A0F" w:rsidP="006B0B12" w14:paraId="76A99164" w14:textId="107D8080">
      <w:pPr>
        <w:pStyle w:val="NormalWeb"/>
        <w:spacing w:line="288" w:lineRule="atLeast"/>
        <w:ind w:left="360"/>
        <w:rPr>
          <w:rFonts w:eastAsiaTheme="minorHAnsi"/>
          <w:sz w:val="24"/>
          <w:szCs w:val="24"/>
        </w:rPr>
      </w:pPr>
      <w:r w:rsidRPr="00AA1A0F">
        <w:rPr>
          <w:rFonts w:eastAsiaTheme="minorHAnsi"/>
          <w:sz w:val="24"/>
          <w:szCs w:val="24"/>
        </w:rPr>
        <w:t xml:space="preserve">One </w:t>
      </w:r>
      <w:r w:rsidRPr="00AA1A0F">
        <w:rPr>
          <w:rFonts w:eastAsiaTheme="minorHAnsi"/>
          <w:sz w:val="24"/>
          <w:szCs w:val="24"/>
        </w:rPr>
        <w:t xml:space="preserve">comment </w:t>
      </w:r>
      <w:r w:rsidRPr="00AA1A0F">
        <w:rPr>
          <w:rFonts w:eastAsiaTheme="minorHAnsi"/>
          <w:sz w:val="24"/>
          <w:szCs w:val="24"/>
        </w:rPr>
        <w:t xml:space="preserve">was </w:t>
      </w:r>
      <w:r w:rsidRPr="00AA1A0F">
        <w:rPr>
          <w:rFonts w:eastAsiaTheme="minorHAnsi"/>
          <w:sz w:val="24"/>
          <w:szCs w:val="24"/>
        </w:rPr>
        <w:t xml:space="preserve">received during the 60-Day </w:t>
      </w:r>
      <w:r w:rsidRPr="00AA1A0F" w:rsidR="00431745">
        <w:rPr>
          <w:rFonts w:eastAsiaTheme="minorHAnsi"/>
          <w:sz w:val="24"/>
          <w:szCs w:val="24"/>
        </w:rPr>
        <w:t>c</w:t>
      </w:r>
      <w:r w:rsidRPr="00AA1A0F">
        <w:rPr>
          <w:rFonts w:eastAsiaTheme="minorHAnsi"/>
          <w:sz w:val="24"/>
          <w:szCs w:val="24"/>
        </w:rPr>
        <w:t xml:space="preserve">omment </w:t>
      </w:r>
      <w:r w:rsidRPr="00AA1A0F" w:rsidR="00431745">
        <w:rPr>
          <w:rFonts w:eastAsiaTheme="minorHAnsi"/>
          <w:sz w:val="24"/>
          <w:szCs w:val="24"/>
        </w:rPr>
        <w:t>p</w:t>
      </w:r>
      <w:r w:rsidRPr="00AA1A0F">
        <w:rPr>
          <w:rFonts w:eastAsiaTheme="minorHAnsi"/>
          <w:sz w:val="24"/>
          <w:szCs w:val="24"/>
        </w:rPr>
        <w:t xml:space="preserve">eriod. </w:t>
      </w:r>
      <w:r w:rsidRPr="00AA1A0F" w:rsidR="00431745">
        <w:rPr>
          <w:rFonts w:eastAsiaTheme="minorHAnsi"/>
          <w:sz w:val="24"/>
          <w:szCs w:val="24"/>
        </w:rPr>
        <w:t xml:space="preserve">It is </w:t>
      </w:r>
      <w:r w:rsidRPr="00AA1A0F">
        <w:rPr>
          <w:rFonts w:eastAsiaTheme="minorHAnsi"/>
          <w:sz w:val="24"/>
          <w:szCs w:val="24"/>
        </w:rPr>
        <w:t xml:space="preserve">included below, as well as our Agency’s response to the comment. </w:t>
      </w:r>
    </w:p>
    <w:p w:rsidR="00AA1A0F" w:rsidRPr="00AA1A0F" w:rsidP="00AA1A0F" w14:paraId="576B08FD" w14:textId="77777777">
      <w:pPr>
        <w:pStyle w:val="NoSpacing"/>
        <w:ind w:left="360"/>
        <w:rPr>
          <w:szCs w:val="24"/>
        </w:rPr>
      </w:pPr>
      <w:r w:rsidRPr="00AA1A0F">
        <w:rPr>
          <w:b/>
          <w:szCs w:val="24"/>
        </w:rPr>
        <w:t>Comment</w:t>
      </w:r>
      <w:r w:rsidRPr="00AA1A0F">
        <w:rPr>
          <w:szCs w:val="24"/>
        </w:rPr>
        <w:t xml:space="preserve">: On December 6, 2021, a Mai-Linh Dean, no affiliate or organization, stated the following: It </w:t>
      </w:r>
      <w:r w:rsidRPr="00AA1A0F">
        <w:rPr>
          <w:szCs w:val="24"/>
        </w:rPr>
        <w:t>wàs</w:t>
      </w:r>
      <w:r w:rsidRPr="00AA1A0F">
        <w:rPr>
          <w:szCs w:val="24"/>
        </w:rPr>
        <w:t xml:space="preserve"> </w:t>
      </w:r>
      <w:r w:rsidRPr="00AA1A0F">
        <w:rPr>
          <w:szCs w:val="24"/>
        </w:rPr>
        <w:t>àlmost</w:t>
      </w:r>
      <w:r w:rsidRPr="00AA1A0F">
        <w:rPr>
          <w:szCs w:val="24"/>
        </w:rPr>
        <w:t xml:space="preserve"> 3 decades when my husband </w:t>
      </w:r>
      <w:r w:rsidRPr="00AA1A0F">
        <w:rPr>
          <w:szCs w:val="24"/>
        </w:rPr>
        <w:t>pàssed</w:t>
      </w:r>
      <w:r w:rsidRPr="00AA1A0F">
        <w:rPr>
          <w:szCs w:val="24"/>
        </w:rPr>
        <w:t xml:space="preserve"> </w:t>
      </w:r>
      <w:r w:rsidRPr="00AA1A0F">
        <w:rPr>
          <w:szCs w:val="24"/>
        </w:rPr>
        <w:t>away,I</w:t>
      </w:r>
      <w:r w:rsidRPr="00AA1A0F">
        <w:rPr>
          <w:szCs w:val="24"/>
        </w:rPr>
        <w:t xml:space="preserve"> am seeking all the benefits which I am entitled as surviving </w:t>
      </w:r>
      <w:r w:rsidRPr="00AA1A0F">
        <w:rPr>
          <w:szCs w:val="24"/>
        </w:rPr>
        <w:t>spouse,beneficiary</w:t>
      </w:r>
      <w:r w:rsidRPr="00AA1A0F">
        <w:rPr>
          <w:szCs w:val="24"/>
        </w:rPr>
        <w:t>,</w:t>
      </w:r>
    </w:p>
    <w:p w:rsidR="00AA1A0F" w:rsidRPr="00AA1A0F" w:rsidP="00AA1A0F" w14:paraId="4044B02C" w14:textId="77777777">
      <w:pPr>
        <w:pStyle w:val="NoSpacing"/>
        <w:rPr>
          <w:szCs w:val="24"/>
        </w:rPr>
      </w:pPr>
    </w:p>
    <w:p w:rsidR="00AA1A0F" w:rsidRPr="00AA1A0F" w:rsidP="00AA1A0F" w14:paraId="26274ECB" w14:textId="14482437">
      <w:pPr>
        <w:pStyle w:val="NoSpacing"/>
        <w:ind w:left="360"/>
        <w:rPr>
          <w:szCs w:val="24"/>
        </w:rPr>
      </w:pPr>
      <w:r w:rsidRPr="00AA1A0F">
        <w:rPr>
          <w:b/>
          <w:bCs/>
          <w:szCs w:val="24"/>
        </w:rPr>
        <w:t>VBA Response</w:t>
      </w:r>
      <w:r w:rsidRPr="00AA1A0F">
        <w:rPr>
          <w:szCs w:val="24"/>
        </w:rPr>
        <w:t xml:space="preserve">: </w:t>
      </w:r>
      <w:r w:rsidRPr="00AA1A0F" w:rsidR="005B7560">
        <w:rPr>
          <w:szCs w:val="24"/>
        </w:rPr>
        <w:t>As</w:t>
      </w:r>
      <w:r w:rsidRPr="00AA1A0F">
        <w:rPr>
          <w:szCs w:val="24"/>
        </w:rPr>
        <w:t xml:space="preserve"> this comment is not relevant to the proposed revision; VBA will not make any changes to VA Form 21-0788. However, since the commenter is requesting information on benefit entitlement, our response would include information on how to contact the local regional office to request assistance on filing a claim. </w:t>
      </w:r>
    </w:p>
    <w:p w:rsidR="006B0B12" w:rsidRPr="00037F25" w:rsidP="006B0B12" w14:paraId="623B9CDE" w14:textId="749D93CA">
      <w:pPr>
        <w:pStyle w:val="NormalWeb"/>
        <w:spacing w:line="288" w:lineRule="atLeast"/>
        <w:ind w:left="360"/>
        <w:rPr>
          <w:rFonts w:eastAsiaTheme="minorHAnsi"/>
          <w:sz w:val="24"/>
          <w:szCs w:val="24"/>
        </w:rPr>
      </w:pPr>
      <w:r w:rsidRPr="00431745">
        <w:rPr>
          <w:rFonts w:eastAsiaTheme="minorHAnsi"/>
          <w:sz w:val="24"/>
          <w:szCs w:val="24"/>
        </w:rPr>
        <w:t xml:space="preserve">A 30-Day Federal Register Notice for the </w:t>
      </w:r>
      <w:r w:rsidR="00AF3F03">
        <w:rPr>
          <w:rFonts w:eastAsiaTheme="minorHAnsi"/>
          <w:sz w:val="24"/>
          <w:szCs w:val="24"/>
        </w:rPr>
        <w:t xml:space="preserve">proposed regulation </w:t>
      </w:r>
      <w:r w:rsidRPr="00431745">
        <w:rPr>
          <w:rFonts w:eastAsiaTheme="minorHAnsi"/>
          <w:sz w:val="24"/>
          <w:szCs w:val="24"/>
        </w:rPr>
        <w:t xml:space="preserve">published on </w:t>
      </w:r>
      <w:r w:rsidR="00345CB2">
        <w:rPr>
          <w:rFonts w:eastAsiaTheme="minorHAnsi"/>
          <w:sz w:val="24"/>
          <w:szCs w:val="24"/>
        </w:rPr>
        <w:t>Friday, J</w:t>
      </w:r>
      <w:r w:rsidR="004839A5">
        <w:rPr>
          <w:rFonts w:eastAsiaTheme="minorHAnsi"/>
          <w:sz w:val="24"/>
          <w:szCs w:val="24"/>
        </w:rPr>
        <w:t xml:space="preserve">anuary 9, 2026. </w:t>
      </w:r>
      <w:r w:rsidRPr="00431745">
        <w:rPr>
          <w:rFonts w:eastAsiaTheme="minorHAnsi"/>
          <w:sz w:val="24"/>
          <w:szCs w:val="24"/>
        </w:rPr>
        <w:t xml:space="preserve">The 30-Day FRN citation is </w:t>
      </w:r>
      <w:r w:rsidR="00C14461">
        <w:rPr>
          <w:rFonts w:eastAsiaTheme="minorHAnsi"/>
          <w:sz w:val="24"/>
          <w:szCs w:val="24"/>
        </w:rPr>
        <w:t>91</w:t>
      </w:r>
      <w:r w:rsidRPr="00431745">
        <w:rPr>
          <w:rFonts w:eastAsiaTheme="minorHAnsi"/>
          <w:sz w:val="24"/>
          <w:szCs w:val="24"/>
        </w:rPr>
        <w:t xml:space="preserve"> FRN </w:t>
      </w:r>
      <w:r w:rsidR="00C14461">
        <w:rPr>
          <w:rFonts w:eastAsiaTheme="minorHAnsi"/>
          <w:sz w:val="24"/>
          <w:szCs w:val="24"/>
        </w:rPr>
        <w:t>899</w:t>
      </w:r>
      <w:r w:rsidRPr="00431745">
        <w:rPr>
          <w:rFonts w:eastAsiaTheme="minorHAnsi"/>
          <w:sz w:val="24"/>
          <w:szCs w:val="24"/>
        </w:rPr>
        <w:t>.</w:t>
      </w:r>
    </w:p>
    <w:p w:rsidR="006B0B12" w:rsidRPr="00037F25" w:rsidP="006B0B12" w14:paraId="66900121" w14:textId="49B74C8D">
      <w:pPr>
        <w:pStyle w:val="NormalWeb"/>
        <w:spacing w:line="288" w:lineRule="atLeast"/>
        <w:ind w:left="360"/>
        <w:rPr>
          <w:rFonts w:eastAsiaTheme="minorHAnsi"/>
          <w:sz w:val="24"/>
          <w:szCs w:val="24"/>
        </w:rPr>
      </w:pPr>
      <w:r w:rsidRPr="00037F25">
        <w:rPr>
          <w:rFonts w:eastAsiaTheme="minorHAnsi"/>
          <w:sz w:val="24"/>
          <w:szCs w:val="24"/>
        </w:rPr>
        <w:t xml:space="preserve">Part B: CONSULTATION </w:t>
      </w:r>
    </w:p>
    <w:p w:rsidR="006B0B12" w:rsidRPr="00037F25" w:rsidP="006B0B12" w14:paraId="2FA9E1C7" w14:textId="067F6B68">
      <w:pPr>
        <w:pStyle w:val="NormalWeb"/>
        <w:spacing w:line="288" w:lineRule="atLeast"/>
        <w:ind w:left="360"/>
        <w:rPr>
          <w:i/>
          <w:sz w:val="24"/>
          <w:szCs w:val="24"/>
        </w:rPr>
      </w:pPr>
      <w:r w:rsidRPr="00431745">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8A361A">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w:t>
      </w:r>
      <w:r w:rsidRPr="008A361A">
        <w:rPr>
          <w:sz w:val="24"/>
          <w:szCs w:val="24"/>
        </w:rPr>
        <w:t xml:space="preserve">29275 on June 19, 2009, </w:t>
      </w:r>
      <w:r w:rsidRPr="008A361A">
        <w:rPr>
          <w:sz w:val="24"/>
          <w:szCs w:val="24"/>
        </w:rPr>
        <w:t>and last amended at 87 FR 8740 (February 16, 2022).</w:t>
      </w:r>
    </w:p>
    <w:p w:rsidR="00E36537" w:rsidRPr="00037F25" w:rsidP="0057258A" w14:paraId="45CE1490" w14:textId="54F21221">
      <w:pPr>
        <w:ind w:left="360"/>
        <w:rPr>
          <w:sz w:val="24"/>
          <w:szCs w:val="24"/>
        </w:rPr>
      </w:pPr>
    </w:p>
    <w:p w:rsidR="00726753" w:rsidRPr="008A361A" w:rsidP="00726753" w14:paraId="6E484345" w14:textId="2AA8C41B">
      <w:pPr>
        <w:pStyle w:val="NormalWeb"/>
        <w:numPr>
          <w:ilvl w:val="0"/>
          <w:numId w:val="5"/>
        </w:numPr>
        <w:spacing w:before="0" w:beforeAutospacing="0" w:after="0" w:afterAutospacing="0"/>
        <w:rPr>
          <w:b/>
          <w:sz w:val="24"/>
          <w:szCs w:val="24"/>
          <w:u w:val="single"/>
        </w:rPr>
      </w:pPr>
      <w:r w:rsidRPr="008A361A">
        <w:rPr>
          <w:b/>
          <w:sz w:val="24"/>
          <w:szCs w:val="24"/>
          <w:u w:val="single"/>
        </w:rPr>
        <w:t>Sensitive Questions</w:t>
      </w:r>
    </w:p>
    <w:p w:rsidR="001D6A97" w:rsidRPr="008A361A"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8A361A">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00146812"/>
      <w:bookmarkStart w:id="1"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755DEB38">
      <w:pPr>
        <w:pStyle w:val="ListParagraph"/>
        <w:numPr>
          <w:ilvl w:val="0"/>
          <w:numId w:val="8"/>
        </w:numPr>
        <w:tabs>
          <w:tab w:val="left" w:pos="480"/>
          <w:tab w:val="right" w:pos="8640"/>
        </w:tabs>
        <w:ind w:right="684"/>
        <w:rPr>
          <w:sz w:val="24"/>
          <w:szCs w:val="24"/>
        </w:rPr>
      </w:pPr>
      <w:r>
        <w:rPr>
          <w:sz w:val="24"/>
          <w:szCs w:val="24"/>
        </w:rPr>
        <w:t xml:space="preserve">The </w:t>
      </w:r>
      <w:r w:rsidRPr="00037F25" w:rsidR="00E36537">
        <w:rPr>
          <w:sz w:val="24"/>
          <w:szCs w:val="24"/>
        </w:rPr>
        <w:t xml:space="preserve">Number of Respondents is estimated at </w:t>
      </w:r>
      <w:r w:rsidR="003C0D97">
        <w:rPr>
          <w:sz w:val="24"/>
          <w:szCs w:val="24"/>
        </w:rPr>
        <w:t>328</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5D67F325">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1B40BB">
        <w:rPr>
          <w:sz w:val="24"/>
          <w:szCs w:val="24"/>
        </w:rPr>
        <w:t>82</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6DE9B751">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3C0D97">
        <w:rPr>
          <w:sz w:val="24"/>
          <w:szCs w:val="24"/>
        </w:rPr>
        <w:t>15</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6AA2178C">
      <w:pPr>
        <w:pStyle w:val="ListParagraph"/>
        <w:numPr>
          <w:ilvl w:val="0"/>
          <w:numId w:val="8"/>
        </w:numPr>
        <w:tabs>
          <w:tab w:val="left" w:pos="480"/>
          <w:tab w:val="right" w:pos="720"/>
        </w:tabs>
        <w:ind w:right="684"/>
        <w:rPr>
          <w:sz w:val="24"/>
          <w:szCs w:val="24"/>
        </w:rPr>
      </w:pPr>
      <w:bookmarkStart w:id="2" w:name="_Hlk100146777"/>
      <w:r w:rsidRPr="00037F25">
        <w:rPr>
          <w:sz w:val="24"/>
          <w:szCs w:val="24"/>
        </w:rPr>
        <w:t xml:space="preserve">VA cannot make further assumptions about the population of respondents because of the variability of factors such as the educational background and wage potential </w:t>
      </w:r>
      <w:r w:rsidRPr="00037F25">
        <w:rPr>
          <w:sz w:val="24"/>
          <w:szCs w:val="24"/>
        </w:rPr>
        <w:t xml:space="preserve">of respondents. Therefore, VBA used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F67CAB" w:rsidRPr="00100128" w:rsidP="00F67CAB" w14:paraId="2F5BA13D" w14:textId="77777777">
      <w:pPr>
        <w:tabs>
          <w:tab w:val="left" w:pos="480"/>
          <w:tab w:val="right" w:pos="8640"/>
          <w:tab w:val="left" w:pos="9504"/>
        </w:tabs>
        <w:ind w:left="720" w:right="54"/>
        <w:rPr>
          <w:sz w:val="24"/>
          <w:szCs w:val="24"/>
        </w:rPr>
      </w:pPr>
      <w:bookmarkStart w:id="3" w:name="_Hlk2954761"/>
      <w:bookmarkEnd w:id="0"/>
      <w:bookmarkEnd w:id="1"/>
      <w:bookmarkEnd w:id="2"/>
      <w:r w:rsidRPr="00037F25">
        <w:rPr>
          <w:sz w:val="24"/>
          <w:szCs w:val="24"/>
        </w:rPr>
        <w:t xml:space="preserve">The Bureau of Labor Statistics (BLS) gathers information on full-time wage and salary workers. According to the latest available </w:t>
      </w:r>
      <w:r w:rsidRPr="001B40BB">
        <w:rPr>
          <w:sz w:val="24"/>
          <w:szCs w:val="24"/>
        </w:rPr>
        <w:t>BLS data, the mean hourly wage is $32.66 based on the BLS wage code – “00-0000 All Occupations</w:t>
      </w:r>
      <w:r w:rsidRPr="00037F25">
        <w:rPr>
          <w:sz w:val="24"/>
          <w:szCs w:val="24"/>
        </w:rPr>
        <w:t xml:space="preserve">.” This </w:t>
      </w:r>
      <w:r w:rsidRPr="00100128">
        <w:rPr>
          <w:sz w:val="24"/>
          <w:szCs w:val="24"/>
        </w:rPr>
        <w:t xml:space="preserve">information was taken from the following website: </w:t>
      </w:r>
      <w:bookmarkStart w:id="4" w:name="_Hlk194585855"/>
      <w:hyperlink r:id="rId8" w:history="1">
        <w:r w:rsidRPr="005F40C9">
          <w:rPr>
            <w:rStyle w:val="Hyperlink"/>
            <w:sz w:val="24"/>
            <w:szCs w:val="24"/>
          </w:rPr>
          <w:t>https://data.bls.gov/oes/#/industry/000000</w:t>
        </w:r>
      </w:hyperlink>
      <w:bookmarkEnd w:id="4"/>
      <w:r>
        <w:rPr>
          <w:sz w:val="24"/>
          <w:szCs w:val="24"/>
        </w:rPr>
        <w:t>.</w:t>
      </w:r>
      <w:r w:rsidRPr="00100128">
        <w:rPr>
          <w:sz w:val="24"/>
          <w:szCs w:val="24"/>
        </w:rPr>
        <w:t xml:space="preserve">  </w:t>
      </w:r>
    </w:p>
    <w:p w:rsidR="00F67CAB" w:rsidRPr="00037F25" w:rsidP="00F67CAB" w14:paraId="694565DE" w14:textId="77777777">
      <w:pPr>
        <w:tabs>
          <w:tab w:val="left" w:pos="480"/>
          <w:tab w:val="right" w:pos="8640"/>
          <w:tab w:val="left" w:pos="9504"/>
        </w:tabs>
        <w:ind w:left="720" w:right="54"/>
        <w:rPr>
          <w:sz w:val="24"/>
          <w:szCs w:val="24"/>
        </w:rPr>
      </w:pPr>
    </w:p>
    <w:p w:rsidR="00F67CAB" w:rsidRPr="00037F25" w:rsidP="00F67CAB" w14:paraId="2661F0A5" w14:textId="4DD5408A">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265C1D">
        <w:rPr>
          <w:szCs w:val="24"/>
        </w:rPr>
        <w:t>2,678.12</w:t>
      </w:r>
      <w:r w:rsidRPr="00037F25">
        <w:rPr>
          <w:szCs w:val="24"/>
        </w:rPr>
        <w:t xml:space="preserve"> (</w:t>
      </w:r>
      <w:r w:rsidR="001B40BB">
        <w:rPr>
          <w:szCs w:val="24"/>
        </w:rPr>
        <w:t>82</w:t>
      </w:r>
      <w:r w:rsidRPr="00037F25">
        <w:rPr>
          <w:szCs w:val="24"/>
        </w:rPr>
        <w:t xml:space="preserve"> burden </w:t>
      </w:r>
      <w:r w:rsidRPr="001B40BB">
        <w:rPr>
          <w:szCs w:val="24"/>
        </w:rPr>
        <w:t>hours x $32.66 per</w:t>
      </w:r>
      <w:r w:rsidRPr="00037F25">
        <w:rPr>
          <w:szCs w:val="24"/>
        </w:rPr>
        <w:t xml:space="preserve"> hour). </w:t>
      </w:r>
      <w:bookmarkEnd w:id="3"/>
      <w:r w:rsidRPr="00037F25">
        <w:rPr>
          <w:szCs w:val="24"/>
        </w:rPr>
        <w:t xml:space="preserve"> </w:t>
      </w:r>
    </w:p>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5"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5"/>
    <w:p w:rsidR="00B32D2A" w:rsidRPr="00037F25" w:rsidP="001D6A97" w14:paraId="5266B3B6" w14:textId="6B1A7913">
      <w:pPr>
        <w:pStyle w:val="BodyText3"/>
        <w:tabs>
          <w:tab w:val="left" w:pos="547"/>
          <w:tab w:val="left" w:pos="1627"/>
        </w:tabs>
        <w:ind w:left="360"/>
        <w:rPr>
          <w:sz w:val="24"/>
          <w:szCs w:val="24"/>
        </w:rPr>
      </w:pPr>
      <w:r w:rsidRPr="00F67CAB">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6"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bookmarkEnd w:id="6"/>
    <w:p w:rsidR="00265C1D" w:rsidP="00E324B7" w14:paraId="4D16B3CA" w14:textId="77777777">
      <w:pPr>
        <w:pStyle w:val="ListParagraph"/>
        <w:tabs>
          <w:tab w:val="right" w:pos="8370"/>
        </w:tabs>
        <w:ind w:left="360" w:right="576"/>
        <w:jc w:val="both"/>
        <w:rPr>
          <w:sz w:val="24"/>
          <w:szCs w:val="24"/>
        </w:rPr>
      </w:pPr>
    </w:p>
    <w:tbl>
      <w:tblPr>
        <w:tblW w:w="8910" w:type="dxa"/>
        <w:tblInd w:w="440" w:type="dxa"/>
        <w:tblLook w:val="04A0"/>
      </w:tblPr>
      <w:tblGrid>
        <w:gridCol w:w="762"/>
        <w:gridCol w:w="594"/>
        <w:gridCol w:w="861"/>
        <w:gridCol w:w="1047"/>
        <w:gridCol w:w="1146"/>
        <w:gridCol w:w="1440"/>
        <w:gridCol w:w="1170"/>
        <w:gridCol w:w="1890"/>
      </w:tblGrid>
      <w:tr w14:paraId="7730D369" w14:textId="77777777" w:rsidTr="00585756">
        <w:tblPrEx>
          <w:tblW w:w="8910" w:type="dxa"/>
          <w:tblInd w:w="440" w:type="dxa"/>
          <w:tblLook w:val="04A0"/>
        </w:tblPrEx>
        <w:trPr>
          <w:trHeight w:val="765"/>
        </w:trPr>
        <w:tc>
          <w:tcPr>
            <w:tcW w:w="762"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585756" w:rsidRPr="00585756" w:rsidP="00585756" w14:paraId="7A97CEC9" w14:textId="77777777">
            <w:pPr>
              <w:jc w:val="center"/>
              <w:rPr>
                <w:b/>
                <w:bCs/>
                <w:color w:val="000000"/>
              </w:rPr>
            </w:pPr>
            <w:r w:rsidRPr="00585756">
              <w:rPr>
                <w:b/>
                <w:bCs/>
                <w:color w:val="000000"/>
              </w:rPr>
              <w:t>Grade</w:t>
            </w:r>
          </w:p>
        </w:tc>
        <w:tc>
          <w:tcPr>
            <w:tcW w:w="594"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2CE4F7EC" w14:textId="77777777">
            <w:pPr>
              <w:jc w:val="center"/>
              <w:rPr>
                <w:b/>
                <w:bCs/>
                <w:color w:val="000000"/>
              </w:rPr>
            </w:pPr>
            <w:r w:rsidRPr="00585756">
              <w:rPr>
                <w:b/>
                <w:bCs/>
                <w:color w:val="000000"/>
              </w:rPr>
              <w:t>Step</w:t>
            </w:r>
          </w:p>
        </w:tc>
        <w:tc>
          <w:tcPr>
            <w:tcW w:w="861"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6707D8CC" w14:textId="77777777">
            <w:pPr>
              <w:jc w:val="center"/>
              <w:rPr>
                <w:b/>
                <w:bCs/>
                <w:color w:val="000000"/>
              </w:rPr>
            </w:pPr>
            <w:r w:rsidRPr="00585756">
              <w:rPr>
                <w:b/>
                <w:bCs/>
                <w:color w:val="000000"/>
              </w:rPr>
              <w:t>Burden Time</w:t>
            </w:r>
          </w:p>
        </w:tc>
        <w:tc>
          <w:tcPr>
            <w:tcW w:w="1047"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3314EF90" w14:textId="77777777">
            <w:pPr>
              <w:jc w:val="center"/>
              <w:rPr>
                <w:b/>
                <w:bCs/>
                <w:color w:val="000000"/>
              </w:rPr>
            </w:pPr>
            <w:r w:rsidRPr="00585756">
              <w:rPr>
                <w:b/>
                <w:bCs/>
                <w:color w:val="000000"/>
              </w:rPr>
              <w:t>Fraction of Hour</w:t>
            </w:r>
          </w:p>
        </w:tc>
        <w:tc>
          <w:tcPr>
            <w:tcW w:w="1146"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45373EE7" w14:textId="77777777">
            <w:pPr>
              <w:jc w:val="center"/>
              <w:rPr>
                <w:b/>
                <w:bCs/>
                <w:color w:val="000000"/>
              </w:rPr>
            </w:pPr>
            <w:r w:rsidRPr="00585756">
              <w:rPr>
                <w:b/>
                <w:bCs/>
                <w:color w:val="000000"/>
              </w:rPr>
              <w:t>Hourly Rate</w:t>
            </w:r>
          </w:p>
        </w:tc>
        <w:tc>
          <w:tcPr>
            <w:tcW w:w="1440"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73750AB7" w14:textId="77777777">
            <w:pPr>
              <w:jc w:val="center"/>
              <w:rPr>
                <w:b/>
                <w:bCs/>
                <w:color w:val="000000"/>
              </w:rPr>
            </w:pPr>
            <w:r w:rsidRPr="00585756">
              <w:rPr>
                <w:b/>
                <w:bCs/>
                <w:color w:val="000000"/>
              </w:rPr>
              <w:t>Cost Per Response</w:t>
            </w:r>
          </w:p>
        </w:tc>
        <w:tc>
          <w:tcPr>
            <w:tcW w:w="1170"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6C2916C6" w14:textId="77777777">
            <w:pPr>
              <w:jc w:val="center"/>
              <w:rPr>
                <w:b/>
                <w:bCs/>
                <w:color w:val="000000"/>
              </w:rPr>
            </w:pPr>
            <w:r w:rsidRPr="00585756">
              <w:rPr>
                <w:b/>
                <w:bCs/>
                <w:color w:val="000000"/>
              </w:rPr>
              <w:t>Total Responses</w:t>
            </w:r>
          </w:p>
        </w:tc>
        <w:tc>
          <w:tcPr>
            <w:tcW w:w="1890" w:type="dxa"/>
            <w:tcBorders>
              <w:top w:val="single" w:sz="8" w:space="0" w:color="auto"/>
              <w:left w:val="nil"/>
              <w:bottom w:val="single" w:sz="8" w:space="0" w:color="auto"/>
              <w:right w:val="single" w:sz="8" w:space="0" w:color="auto"/>
            </w:tcBorders>
            <w:shd w:val="clear" w:color="000000" w:fill="B8CCE4"/>
            <w:vAlign w:val="center"/>
            <w:hideMark/>
          </w:tcPr>
          <w:p w:rsidR="00585756" w:rsidRPr="00585756" w:rsidP="00585756" w14:paraId="7F5B935A" w14:textId="77777777">
            <w:pPr>
              <w:jc w:val="center"/>
              <w:rPr>
                <w:b/>
                <w:bCs/>
                <w:color w:val="000000"/>
              </w:rPr>
            </w:pPr>
            <w:r w:rsidRPr="00585756">
              <w:rPr>
                <w:b/>
                <w:bCs/>
                <w:color w:val="000000"/>
              </w:rPr>
              <w:t>Total</w:t>
            </w:r>
          </w:p>
        </w:tc>
      </w:tr>
      <w:tr w14:paraId="6839061C" w14:textId="77777777" w:rsidTr="00585756">
        <w:tblPrEx>
          <w:tblW w:w="8910" w:type="dxa"/>
          <w:tblInd w:w="440" w:type="dxa"/>
          <w:tblLook w:val="04A0"/>
        </w:tblPrEx>
        <w:trPr>
          <w:trHeight w:val="290"/>
        </w:trPr>
        <w:tc>
          <w:tcPr>
            <w:tcW w:w="762" w:type="dxa"/>
            <w:tcBorders>
              <w:top w:val="nil"/>
              <w:left w:val="single" w:sz="8" w:space="0" w:color="auto"/>
              <w:bottom w:val="single" w:sz="4" w:space="0" w:color="auto"/>
              <w:right w:val="single" w:sz="4" w:space="0" w:color="auto"/>
            </w:tcBorders>
            <w:vAlign w:val="bottom"/>
            <w:hideMark/>
          </w:tcPr>
          <w:p w:rsidR="00585756" w:rsidRPr="00585756" w:rsidP="00585756" w14:paraId="272B5CC1" w14:textId="77777777">
            <w:pPr>
              <w:jc w:val="center"/>
              <w:rPr>
                <w:color w:val="000000"/>
              </w:rPr>
            </w:pPr>
            <w:r w:rsidRPr="00585756">
              <w:rPr>
                <w:color w:val="000000"/>
              </w:rPr>
              <w:t>7</w:t>
            </w:r>
          </w:p>
        </w:tc>
        <w:tc>
          <w:tcPr>
            <w:tcW w:w="594" w:type="dxa"/>
            <w:tcBorders>
              <w:top w:val="nil"/>
              <w:left w:val="nil"/>
              <w:bottom w:val="single" w:sz="4" w:space="0" w:color="auto"/>
              <w:right w:val="single" w:sz="4" w:space="0" w:color="auto"/>
            </w:tcBorders>
            <w:vAlign w:val="bottom"/>
            <w:hideMark/>
          </w:tcPr>
          <w:p w:rsidR="00585756" w:rsidRPr="00585756" w:rsidP="00585756" w14:paraId="45922A76" w14:textId="77777777">
            <w:pPr>
              <w:jc w:val="center"/>
              <w:rPr>
                <w:color w:val="000000"/>
              </w:rPr>
            </w:pPr>
            <w:r w:rsidRPr="00585756">
              <w:rPr>
                <w:color w:val="000000"/>
              </w:rPr>
              <w:t>3</w:t>
            </w:r>
          </w:p>
        </w:tc>
        <w:tc>
          <w:tcPr>
            <w:tcW w:w="861" w:type="dxa"/>
            <w:tcBorders>
              <w:top w:val="nil"/>
              <w:left w:val="nil"/>
              <w:bottom w:val="single" w:sz="4" w:space="0" w:color="auto"/>
              <w:right w:val="single" w:sz="4" w:space="0" w:color="auto"/>
            </w:tcBorders>
            <w:vAlign w:val="bottom"/>
            <w:hideMark/>
          </w:tcPr>
          <w:p w:rsidR="00585756" w:rsidRPr="00585756" w:rsidP="00585756" w14:paraId="1373BC40" w14:textId="77777777">
            <w:pPr>
              <w:jc w:val="center"/>
              <w:rPr>
                <w:color w:val="000000"/>
              </w:rPr>
            </w:pPr>
            <w:r w:rsidRPr="00585756">
              <w:rPr>
                <w:color w:val="000000"/>
              </w:rPr>
              <w:t>15</w:t>
            </w:r>
          </w:p>
        </w:tc>
        <w:tc>
          <w:tcPr>
            <w:tcW w:w="1047" w:type="dxa"/>
            <w:tcBorders>
              <w:top w:val="nil"/>
              <w:left w:val="nil"/>
              <w:bottom w:val="single" w:sz="4" w:space="0" w:color="auto"/>
              <w:right w:val="single" w:sz="4" w:space="0" w:color="auto"/>
            </w:tcBorders>
            <w:vAlign w:val="bottom"/>
            <w:hideMark/>
          </w:tcPr>
          <w:p w:rsidR="00585756" w:rsidRPr="00585756" w:rsidP="00585756" w14:paraId="5A098C62" w14:textId="77777777">
            <w:pPr>
              <w:jc w:val="center"/>
              <w:rPr>
                <w:color w:val="000000"/>
              </w:rPr>
            </w:pPr>
            <w:r w:rsidRPr="00585756">
              <w:rPr>
                <w:color w:val="000000"/>
              </w:rPr>
              <w:t>0.25</w:t>
            </w:r>
          </w:p>
        </w:tc>
        <w:tc>
          <w:tcPr>
            <w:tcW w:w="1146" w:type="dxa"/>
            <w:tcBorders>
              <w:top w:val="nil"/>
              <w:left w:val="nil"/>
              <w:bottom w:val="single" w:sz="4" w:space="0" w:color="auto"/>
              <w:right w:val="single" w:sz="4" w:space="0" w:color="auto"/>
            </w:tcBorders>
            <w:vAlign w:val="bottom"/>
            <w:hideMark/>
          </w:tcPr>
          <w:p w:rsidR="00585756" w:rsidRPr="00585756" w:rsidP="00585756" w14:paraId="3B5B8117" w14:textId="77777777">
            <w:pPr>
              <w:jc w:val="center"/>
              <w:rPr>
                <w:color w:val="000000"/>
              </w:rPr>
            </w:pPr>
            <w:r w:rsidRPr="00585756">
              <w:rPr>
                <w:color w:val="000000"/>
              </w:rPr>
              <w:t xml:space="preserve"> $   22.03 </w:t>
            </w:r>
          </w:p>
        </w:tc>
        <w:tc>
          <w:tcPr>
            <w:tcW w:w="1440" w:type="dxa"/>
            <w:tcBorders>
              <w:top w:val="nil"/>
              <w:left w:val="nil"/>
              <w:bottom w:val="single" w:sz="4" w:space="0" w:color="auto"/>
              <w:right w:val="single" w:sz="4" w:space="0" w:color="auto"/>
            </w:tcBorders>
            <w:vAlign w:val="bottom"/>
            <w:hideMark/>
          </w:tcPr>
          <w:p w:rsidR="00585756" w:rsidRPr="00585756" w:rsidP="00585756" w14:paraId="40742200" w14:textId="77777777">
            <w:pPr>
              <w:jc w:val="center"/>
              <w:rPr>
                <w:color w:val="000000"/>
              </w:rPr>
            </w:pPr>
            <w:r w:rsidRPr="00585756">
              <w:rPr>
                <w:color w:val="000000"/>
              </w:rPr>
              <w:t>5.508</w:t>
            </w:r>
          </w:p>
        </w:tc>
        <w:tc>
          <w:tcPr>
            <w:tcW w:w="1170" w:type="dxa"/>
            <w:tcBorders>
              <w:top w:val="nil"/>
              <w:left w:val="nil"/>
              <w:bottom w:val="single" w:sz="4" w:space="0" w:color="auto"/>
              <w:right w:val="single" w:sz="4" w:space="0" w:color="auto"/>
            </w:tcBorders>
            <w:vAlign w:val="bottom"/>
            <w:hideMark/>
          </w:tcPr>
          <w:p w:rsidR="00585756" w:rsidRPr="00585756" w:rsidP="00585756" w14:paraId="42494140" w14:textId="77777777">
            <w:pPr>
              <w:jc w:val="center"/>
              <w:rPr>
                <w:color w:val="000000"/>
              </w:rPr>
            </w:pPr>
            <w:r w:rsidRPr="00585756">
              <w:rPr>
                <w:color w:val="000000"/>
              </w:rPr>
              <w:t xml:space="preserve">             328 </w:t>
            </w:r>
          </w:p>
        </w:tc>
        <w:tc>
          <w:tcPr>
            <w:tcW w:w="1890" w:type="dxa"/>
            <w:tcBorders>
              <w:top w:val="nil"/>
              <w:left w:val="nil"/>
              <w:bottom w:val="single" w:sz="4" w:space="0" w:color="auto"/>
              <w:right w:val="single" w:sz="8" w:space="0" w:color="auto"/>
            </w:tcBorders>
            <w:vAlign w:val="bottom"/>
            <w:hideMark/>
          </w:tcPr>
          <w:p w:rsidR="00585756" w:rsidRPr="00585756" w:rsidP="00585756" w14:paraId="0F5919A2" w14:textId="77777777">
            <w:pPr>
              <w:jc w:val="center"/>
              <w:rPr>
                <w:color w:val="000000"/>
              </w:rPr>
            </w:pPr>
            <w:r w:rsidRPr="00585756">
              <w:rPr>
                <w:color w:val="000000"/>
              </w:rPr>
              <w:t xml:space="preserve"> $               1,806.46 </w:t>
            </w:r>
          </w:p>
        </w:tc>
      </w:tr>
      <w:tr w14:paraId="6FD59F73"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6EAC4B18" w14:textId="77777777">
            <w:pPr>
              <w:rPr>
                <w:color w:val="000000"/>
              </w:rPr>
            </w:pPr>
            <w:r w:rsidRPr="00585756">
              <w:rPr>
                <w:color w:val="000000"/>
              </w:rPr>
              <w:t>Overhead at 100% Salary</w:t>
            </w:r>
          </w:p>
        </w:tc>
        <w:tc>
          <w:tcPr>
            <w:tcW w:w="1890" w:type="dxa"/>
            <w:tcBorders>
              <w:top w:val="nil"/>
              <w:left w:val="nil"/>
              <w:bottom w:val="single" w:sz="4" w:space="0" w:color="auto"/>
              <w:right w:val="single" w:sz="8" w:space="0" w:color="auto"/>
            </w:tcBorders>
            <w:vAlign w:val="bottom"/>
            <w:hideMark/>
          </w:tcPr>
          <w:p w:rsidR="00585756" w:rsidRPr="00585756" w:rsidP="00585756" w14:paraId="62C9B946" w14:textId="77777777">
            <w:pPr>
              <w:jc w:val="center"/>
              <w:rPr>
                <w:color w:val="000000"/>
              </w:rPr>
            </w:pPr>
            <w:r w:rsidRPr="00585756">
              <w:rPr>
                <w:color w:val="000000"/>
              </w:rPr>
              <w:t xml:space="preserve"> $               1,806.46 </w:t>
            </w:r>
          </w:p>
        </w:tc>
      </w:tr>
      <w:tr w14:paraId="04333F1A" w14:textId="77777777" w:rsidTr="00585756">
        <w:tblPrEx>
          <w:tblW w:w="8910" w:type="dxa"/>
          <w:tblInd w:w="440" w:type="dxa"/>
          <w:tblLook w:val="04A0"/>
        </w:tblPrEx>
        <w:trPr>
          <w:trHeight w:val="290"/>
        </w:trPr>
        <w:tc>
          <w:tcPr>
            <w:tcW w:w="762" w:type="dxa"/>
            <w:tcBorders>
              <w:top w:val="nil"/>
              <w:left w:val="single" w:sz="8" w:space="0" w:color="auto"/>
              <w:bottom w:val="single" w:sz="4" w:space="0" w:color="auto"/>
              <w:right w:val="single" w:sz="4" w:space="0" w:color="auto"/>
            </w:tcBorders>
            <w:vAlign w:val="bottom"/>
            <w:hideMark/>
          </w:tcPr>
          <w:p w:rsidR="00585756" w:rsidRPr="00585756" w:rsidP="00585756" w14:paraId="7152E3A1" w14:textId="77777777">
            <w:pPr>
              <w:jc w:val="center"/>
              <w:rPr>
                <w:color w:val="000000"/>
              </w:rPr>
            </w:pPr>
            <w:r w:rsidRPr="00585756">
              <w:rPr>
                <w:color w:val="000000"/>
              </w:rPr>
              <w:t>9</w:t>
            </w:r>
          </w:p>
        </w:tc>
        <w:tc>
          <w:tcPr>
            <w:tcW w:w="594" w:type="dxa"/>
            <w:tcBorders>
              <w:top w:val="nil"/>
              <w:left w:val="nil"/>
              <w:bottom w:val="single" w:sz="4" w:space="0" w:color="auto"/>
              <w:right w:val="single" w:sz="4" w:space="0" w:color="auto"/>
            </w:tcBorders>
            <w:vAlign w:val="bottom"/>
            <w:hideMark/>
          </w:tcPr>
          <w:p w:rsidR="00585756" w:rsidRPr="00585756" w:rsidP="00585756" w14:paraId="13F38436" w14:textId="77777777">
            <w:pPr>
              <w:jc w:val="center"/>
              <w:rPr>
                <w:color w:val="000000"/>
              </w:rPr>
            </w:pPr>
            <w:r w:rsidRPr="00585756">
              <w:rPr>
                <w:color w:val="000000"/>
              </w:rPr>
              <w:t>3</w:t>
            </w:r>
          </w:p>
        </w:tc>
        <w:tc>
          <w:tcPr>
            <w:tcW w:w="861" w:type="dxa"/>
            <w:tcBorders>
              <w:top w:val="nil"/>
              <w:left w:val="nil"/>
              <w:bottom w:val="single" w:sz="4" w:space="0" w:color="auto"/>
              <w:right w:val="single" w:sz="4" w:space="0" w:color="auto"/>
            </w:tcBorders>
            <w:vAlign w:val="bottom"/>
            <w:hideMark/>
          </w:tcPr>
          <w:p w:rsidR="00585756" w:rsidRPr="00585756" w:rsidP="00585756" w14:paraId="0023D4AD" w14:textId="77777777">
            <w:pPr>
              <w:jc w:val="center"/>
              <w:rPr>
                <w:color w:val="000000"/>
              </w:rPr>
            </w:pPr>
            <w:r w:rsidRPr="00585756">
              <w:rPr>
                <w:color w:val="000000"/>
              </w:rPr>
              <w:t>10</w:t>
            </w:r>
          </w:p>
        </w:tc>
        <w:tc>
          <w:tcPr>
            <w:tcW w:w="1047" w:type="dxa"/>
            <w:tcBorders>
              <w:top w:val="nil"/>
              <w:left w:val="nil"/>
              <w:bottom w:val="single" w:sz="4" w:space="0" w:color="auto"/>
              <w:right w:val="single" w:sz="4" w:space="0" w:color="auto"/>
            </w:tcBorders>
            <w:vAlign w:val="bottom"/>
            <w:hideMark/>
          </w:tcPr>
          <w:p w:rsidR="00585756" w:rsidRPr="00585756" w:rsidP="00585756" w14:paraId="79A2A824" w14:textId="77777777">
            <w:pPr>
              <w:jc w:val="center"/>
              <w:rPr>
                <w:color w:val="000000"/>
              </w:rPr>
            </w:pPr>
            <w:r w:rsidRPr="00585756">
              <w:rPr>
                <w:color w:val="000000"/>
              </w:rPr>
              <w:t>0.17</w:t>
            </w:r>
          </w:p>
        </w:tc>
        <w:tc>
          <w:tcPr>
            <w:tcW w:w="1146" w:type="dxa"/>
            <w:tcBorders>
              <w:top w:val="nil"/>
              <w:left w:val="nil"/>
              <w:bottom w:val="single" w:sz="4" w:space="0" w:color="auto"/>
              <w:right w:val="single" w:sz="4" w:space="0" w:color="auto"/>
            </w:tcBorders>
            <w:vAlign w:val="bottom"/>
            <w:hideMark/>
          </w:tcPr>
          <w:p w:rsidR="00585756" w:rsidRPr="00585756" w:rsidP="00585756" w14:paraId="70196F3A" w14:textId="77777777">
            <w:pPr>
              <w:jc w:val="center"/>
              <w:rPr>
                <w:color w:val="000000"/>
              </w:rPr>
            </w:pPr>
            <w:r w:rsidRPr="00585756">
              <w:rPr>
                <w:color w:val="000000"/>
              </w:rPr>
              <w:t xml:space="preserve"> $   26.95 </w:t>
            </w:r>
          </w:p>
        </w:tc>
        <w:tc>
          <w:tcPr>
            <w:tcW w:w="1440" w:type="dxa"/>
            <w:tcBorders>
              <w:top w:val="nil"/>
              <w:left w:val="nil"/>
              <w:bottom w:val="single" w:sz="4" w:space="0" w:color="auto"/>
              <w:right w:val="single" w:sz="4" w:space="0" w:color="auto"/>
            </w:tcBorders>
            <w:vAlign w:val="bottom"/>
            <w:hideMark/>
          </w:tcPr>
          <w:p w:rsidR="00585756" w:rsidRPr="00585756" w:rsidP="00585756" w14:paraId="1ACCFFEE" w14:textId="77777777">
            <w:pPr>
              <w:jc w:val="center"/>
              <w:rPr>
                <w:color w:val="000000"/>
              </w:rPr>
            </w:pPr>
            <w:r w:rsidRPr="00585756">
              <w:rPr>
                <w:color w:val="000000"/>
              </w:rPr>
              <w:t>4.492</w:t>
            </w:r>
          </w:p>
        </w:tc>
        <w:tc>
          <w:tcPr>
            <w:tcW w:w="1170" w:type="dxa"/>
            <w:tcBorders>
              <w:top w:val="nil"/>
              <w:left w:val="nil"/>
              <w:bottom w:val="single" w:sz="4" w:space="0" w:color="auto"/>
              <w:right w:val="single" w:sz="4" w:space="0" w:color="auto"/>
            </w:tcBorders>
            <w:vAlign w:val="bottom"/>
            <w:hideMark/>
          </w:tcPr>
          <w:p w:rsidR="00585756" w:rsidRPr="00585756" w:rsidP="00585756" w14:paraId="45830AAD" w14:textId="77777777">
            <w:pPr>
              <w:jc w:val="center"/>
              <w:rPr>
                <w:color w:val="000000"/>
              </w:rPr>
            </w:pPr>
            <w:r w:rsidRPr="00585756">
              <w:rPr>
                <w:color w:val="000000"/>
              </w:rPr>
              <w:t xml:space="preserve">             328 </w:t>
            </w:r>
          </w:p>
        </w:tc>
        <w:tc>
          <w:tcPr>
            <w:tcW w:w="1890" w:type="dxa"/>
            <w:tcBorders>
              <w:top w:val="nil"/>
              <w:left w:val="nil"/>
              <w:bottom w:val="single" w:sz="4" w:space="0" w:color="auto"/>
              <w:right w:val="single" w:sz="8" w:space="0" w:color="auto"/>
            </w:tcBorders>
            <w:vAlign w:val="bottom"/>
            <w:hideMark/>
          </w:tcPr>
          <w:p w:rsidR="00585756" w:rsidRPr="00585756" w:rsidP="00585756" w14:paraId="4F3D780C" w14:textId="77777777">
            <w:pPr>
              <w:jc w:val="center"/>
              <w:rPr>
                <w:color w:val="000000"/>
              </w:rPr>
            </w:pPr>
            <w:r w:rsidRPr="00585756">
              <w:rPr>
                <w:color w:val="000000"/>
              </w:rPr>
              <w:t xml:space="preserve"> $               1,473.27 </w:t>
            </w:r>
          </w:p>
        </w:tc>
      </w:tr>
      <w:tr w14:paraId="43620D08"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3D087AA6" w14:textId="77777777">
            <w:pPr>
              <w:rPr>
                <w:color w:val="000000"/>
              </w:rPr>
            </w:pPr>
            <w:r w:rsidRPr="00585756">
              <w:rPr>
                <w:color w:val="000000"/>
              </w:rPr>
              <w:t>Overhead at 100% Salary</w:t>
            </w:r>
          </w:p>
        </w:tc>
        <w:tc>
          <w:tcPr>
            <w:tcW w:w="1890" w:type="dxa"/>
            <w:tcBorders>
              <w:top w:val="nil"/>
              <w:left w:val="nil"/>
              <w:bottom w:val="single" w:sz="4" w:space="0" w:color="auto"/>
              <w:right w:val="single" w:sz="8" w:space="0" w:color="auto"/>
            </w:tcBorders>
            <w:vAlign w:val="bottom"/>
            <w:hideMark/>
          </w:tcPr>
          <w:p w:rsidR="00585756" w:rsidRPr="00585756" w:rsidP="00585756" w14:paraId="0956009C" w14:textId="77777777">
            <w:pPr>
              <w:jc w:val="center"/>
              <w:rPr>
                <w:color w:val="000000"/>
              </w:rPr>
            </w:pPr>
            <w:r w:rsidRPr="00585756">
              <w:rPr>
                <w:color w:val="000000"/>
              </w:rPr>
              <w:t xml:space="preserve"> $               1,473.27 </w:t>
            </w:r>
          </w:p>
        </w:tc>
      </w:tr>
      <w:tr w14:paraId="6F4B68E4" w14:textId="77777777" w:rsidTr="00585756">
        <w:tblPrEx>
          <w:tblW w:w="8910" w:type="dxa"/>
          <w:tblInd w:w="440" w:type="dxa"/>
          <w:tblLook w:val="04A0"/>
        </w:tblPrEx>
        <w:trPr>
          <w:trHeight w:val="290"/>
        </w:trPr>
        <w:tc>
          <w:tcPr>
            <w:tcW w:w="762" w:type="dxa"/>
            <w:tcBorders>
              <w:top w:val="nil"/>
              <w:left w:val="single" w:sz="8" w:space="0" w:color="auto"/>
              <w:bottom w:val="single" w:sz="4" w:space="0" w:color="auto"/>
              <w:right w:val="single" w:sz="4" w:space="0" w:color="auto"/>
            </w:tcBorders>
            <w:vAlign w:val="bottom"/>
            <w:hideMark/>
          </w:tcPr>
          <w:p w:rsidR="00585756" w:rsidRPr="00585756" w:rsidP="00585756" w14:paraId="239AB3C4" w14:textId="77777777">
            <w:pPr>
              <w:jc w:val="center"/>
              <w:rPr>
                <w:color w:val="000000"/>
              </w:rPr>
            </w:pPr>
            <w:r w:rsidRPr="00585756">
              <w:rPr>
                <w:color w:val="000000"/>
              </w:rPr>
              <w:t>11</w:t>
            </w:r>
          </w:p>
        </w:tc>
        <w:tc>
          <w:tcPr>
            <w:tcW w:w="594" w:type="dxa"/>
            <w:tcBorders>
              <w:top w:val="nil"/>
              <w:left w:val="nil"/>
              <w:bottom w:val="single" w:sz="4" w:space="0" w:color="auto"/>
              <w:right w:val="single" w:sz="4" w:space="0" w:color="auto"/>
            </w:tcBorders>
            <w:vAlign w:val="bottom"/>
            <w:hideMark/>
          </w:tcPr>
          <w:p w:rsidR="00585756" w:rsidRPr="00585756" w:rsidP="00585756" w14:paraId="00EF211A" w14:textId="77777777">
            <w:pPr>
              <w:jc w:val="center"/>
              <w:rPr>
                <w:color w:val="000000"/>
              </w:rPr>
            </w:pPr>
            <w:r w:rsidRPr="00585756">
              <w:rPr>
                <w:color w:val="000000"/>
              </w:rPr>
              <w:t>3</w:t>
            </w:r>
          </w:p>
        </w:tc>
        <w:tc>
          <w:tcPr>
            <w:tcW w:w="861" w:type="dxa"/>
            <w:tcBorders>
              <w:top w:val="nil"/>
              <w:left w:val="nil"/>
              <w:bottom w:val="single" w:sz="4" w:space="0" w:color="auto"/>
              <w:right w:val="single" w:sz="4" w:space="0" w:color="auto"/>
            </w:tcBorders>
            <w:vAlign w:val="bottom"/>
            <w:hideMark/>
          </w:tcPr>
          <w:p w:rsidR="00585756" w:rsidRPr="00585756" w:rsidP="00585756" w14:paraId="70D58D14" w14:textId="77777777">
            <w:pPr>
              <w:jc w:val="center"/>
              <w:rPr>
                <w:color w:val="000000"/>
              </w:rPr>
            </w:pPr>
            <w:r w:rsidRPr="00585756">
              <w:rPr>
                <w:color w:val="000000"/>
              </w:rPr>
              <w:t>5</w:t>
            </w:r>
          </w:p>
        </w:tc>
        <w:tc>
          <w:tcPr>
            <w:tcW w:w="1047" w:type="dxa"/>
            <w:tcBorders>
              <w:top w:val="nil"/>
              <w:left w:val="nil"/>
              <w:bottom w:val="single" w:sz="4" w:space="0" w:color="auto"/>
              <w:right w:val="single" w:sz="4" w:space="0" w:color="auto"/>
            </w:tcBorders>
            <w:vAlign w:val="bottom"/>
            <w:hideMark/>
          </w:tcPr>
          <w:p w:rsidR="00585756" w:rsidRPr="00585756" w:rsidP="00585756" w14:paraId="4B921FAB" w14:textId="77777777">
            <w:pPr>
              <w:jc w:val="center"/>
              <w:rPr>
                <w:color w:val="000000"/>
              </w:rPr>
            </w:pPr>
            <w:r w:rsidRPr="00585756">
              <w:rPr>
                <w:color w:val="000000"/>
              </w:rPr>
              <w:t>0.08</w:t>
            </w:r>
          </w:p>
        </w:tc>
        <w:tc>
          <w:tcPr>
            <w:tcW w:w="1146" w:type="dxa"/>
            <w:tcBorders>
              <w:top w:val="nil"/>
              <w:left w:val="nil"/>
              <w:bottom w:val="single" w:sz="4" w:space="0" w:color="auto"/>
              <w:right w:val="single" w:sz="4" w:space="0" w:color="auto"/>
            </w:tcBorders>
            <w:vAlign w:val="bottom"/>
            <w:hideMark/>
          </w:tcPr>
          <w:p w:rsidR="00585756" w:rsidRPr="00585756" w:rsidP="00585756" w14:paraId="3FD5BB9D" w14:textId="77777777">
            <w:pPr>
              <w:jc w:val="center"/>
              <w:rPr>
                <w:color w:val="000000"/>
              </w:rPr>
            </w:pPr>
            <w:r w:rsidRPr="00585756">
              <w:rPr>
                <w:color w:val="000000"/>
              </w:rPr>
              <w:t xml:space="preserve"> $   32.61 </w:t>
            </w:r>
          </w:p>
        </w:tc>
        <w:tc>
          <w:tcPr>
            <w:tcW w:w="1440" w:type="dxa"/>
            <w:tcBorders>
              <w:top w:val="nil"/>
              <w:left w:val="nil"/>
              <w:bottom w:val="single" w:sz="4" w:space="0" w:color="auto"/>
              <w:right w:val="single" w:sz="4" w:space="0" w:color="auto"/>
            </w:tcBorders>
            <w:vAlign w:val="bottom"/>
            <w:hideMark/>
          </w:tcPr>
          <w:p w:rsidR="00585756" w:rsidRPr="00585756" w:rsidP="00585756" w14:paraId="058B3D5F" w14:textId="77777777">
            <w:pPr>
              <w:jc w:val="center"/>
              <w:rPr>
                <w:color w:val="000000"/>
              </w:rPr>
            </w:pPr>
            <w:r w:rsidRPr="00585756">
              <w:rPr>
                <w:color w:val="000000"/>
              </w:rPr>
              <w:t>2.718</w:t>
            </w:r>
          </w:p>
        </w:tc>
        <w:tc>
          <w:tcPr>
            <w:tcW w:w="1170" w:type="dxa"/>
            <w:tcBorders>
              <w:top w:val="nil"/>
              <w:left w:val="nil"/>
              <w:bottom w:val="single" w:sz="4" w:space="0" w:color="auto"/>
              <w:right w:val="single" w:sz="4" w:space="0" w:color="auto"/>
            </w:tcBorders>
            <w:vAlign w:val="bottom"/>
            <w:hideMark/>
          </w:tcPr>
          <w:p w:rsidR="00585756" w:rsidRPr="00585756" w:rsidP="00585756" w14:paraId="49BE15FD" w14:textId="77777777">
            <w:pPr>
              <w:jc w:val="center"/>
              <w:rPr>
                <w:color w:val="000000"/>
              </w:rPr>
            </w:pPr>
            <w:r w:rsidRPr="00585756">
              <w:rPr>
                <w:color w:val="000000"/>
              </w:rPr>
              <w:t xml:space="preserve">             328 </w:t>
            </w:r>
          </w:p>
        </w:tc>
        <w:tc>
          <w:tcPr>
            <w:tcW w:w="1890" w:type="dxa"/>
            <w:tcBorders>
              <w:top w:val="nil"/>
              <w:left w:val="nil"/>
              <w:bottom w:val="single" w:sz="4" w:space="0" w:color="auto"/>
              <w:right w:val="single" w:sz="8" w:space="0" w:color="auto"/>
            </w:tcBorders>
            <w:vAlign w:val="bottom"/>
            <w:hideMark/>
          </w:tcPr>
          <w:p w:rsidR="00585756" w:rsidRPr="00585756" w:rsidP="00585756" w14:paraId="1C5E78C2" w14:textId="77777777">
            <w:pPr>
              <w:jc w:val="center"/>
              <w:rPr>
                <w:color w:val="000000"/>
              </w:rPr>
            </w:pPr>
            <w:r w:rsidRPr="00585756">
              <w:rPr>
                <w:color w:val="000000"/>
              </w:rPr>
              <w:t xml:space="preserve"> $                  891.34 </w:t>
            </w:r>
          </w:p>
        </w:tc>
      </w:tr>
      <w:tr w14:paraId="25AE6EF9"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3B03D86E" w14:textId="77777777">
            <w:pPr>
              <w:rPr>
                <w:color w:val="000000"/>
              </w:rPr>
            </w:pPr>
            <w:r w:rsidRPr="00585756">
              <w:rPr>
                <w:color w:val="000000"/>
              </w:rPr>
              <w:t>Overhead at 100% Salary</w:t>
            </w:r>
          </w:p>
        </w:tc>
        <w:tc>
          <w:tcPr>
            <w:tcW w:w="1890" w:type="dxa"/>
            <w:tcBorders>
              <w:top w:val="nil"/>
              <w:left w:val="nil"/>
              <w:bottom w:val="single" w:sz="4" w:space="0" w:color="auto"/>
              <w:right w:val="single" w:sz="8" w:space="0" w:color="auto"/>
            </w:tcBorders>
            <w:vAlign w:val="bottom"/>
            <w:hideMark/>
          </w:tcPr>
          <w:p w:rsidR="00585756" w:rsidRPr="00585756" w:rsidP="00585756" w14:paraId="1D92D97E" w14:textId="77777777">
            <w:pPr>
              <w:jc w:val="center"/>
              <w:rPr>
                <w:color w:val="000000"/>
              </w:rPr>
            </w:pPr>
            <w:r w:rsidRPr="00585756">
              <w:rPr>
                <w:color w:val="000000"/>
              </w:rPr>
              <w:t xml:space="preserve"> $                  891.34 </w:t>
            </w:r>
          </w:p>
        </w:tc>
      </w:tr>
      <w:tr w14:paraId="381F0BA0"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2FE402C7" w14:textId="77777777">
            <w:pPr>
              <w:jc w:val="center"/>
              <w:rPr>
                <w:color w:val="000000"/>
              </w:rPr>
            </w:pPr>
            <w:r w:rsidRPr="00585756">
              <w:rPr>
                <w:color w:val="000000"/>
              </w:rPr>
              <w:t> </w:t>
            </w:r>
          </w:p>
        </w:tc>
        <w:tc>
          <w:tcPr>
            <w:tcW w:w="1890" w:type="dxa"/>
            <w:tcBorders>
              <w:top w:val="nil"/>
              <w:left w:val="nil"/>
              <w:bottom w:val="single" w:sz="4" w:space="0" w:color="auto"/>
              <w:right w:val="single" w:sz="8" w:space="0" w:color="auto"/>
            </w:tcBorders>
            <w:vAlign w:val="bottom"/>
            <w:hideMark/>
          </w:tcPr>
          <w:p w:rsidR="00585756" w:rsidRPr="00585756" w:rsidP="00585756" w14:paraId="594B483C" w14:textId="77777777">
            <w:pPr>
              <w:jc w:val="center"/>
              <w:rPr>
                <w:color w:val="000000"/>
              </w:rPr>
            </w:pPr>
            <w:r w:rsidRPr="00585756">
              <w:rPr>
                <w:color w:val="000000"/>
              </w:rPr>
              <w:t> </w:t>
            </w:r>
          </w:p>
        </w:tc>
      </w:tr>
      <w:tr w14:paraId="0D8AB23B"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1A0DCD32" w14:textId="77777777">
            <w:pPr>
              <w:rPr>
                <w:color w:val="000000"/>
              </w:rPr>
            </w:pPr>
            <w:r w:rsidRPr="00585756">
              <w:rPr>
                <w:color w:val="000000"/>
              </w:rPr>
              <w:t>Processing / Analyzing Costs</w:t>
            </w:r>
          </w:p>
        </w:tc>
        <w:tc>
          <w:tcPr>
            <w:tcW w:w="1890" w:type="dxa"/>
            <w:tcBorders>
              <w:top w:val="nil"/>
              <w:left w:val="nil"/>
              <w:bottom w:val="single" w:sz="4" w:space="0" w:color="auto"/>
              <w:right w:val="single" w:sz="8" w:space="0" w:color="auto"/>
            </w:tcBorders>
            <w:vAlign w:val="bottom"/>
            <w:hideMark/>
          </w:tcPr>
          <w:p w:rsidR="00585756" w:rsidRPr="00585756" w:rsidP="00585756" w14:paraId="1E85C95D" w14:textId="77777777">
            <w:pPr>
              <w:jc w:val="center"/>
              <w:rPr>
                <w:color w:val="000000"/>
              </w:rPr>
            </w:pPr>
            <w:r w:rsidRPr="00585756">
              <w:rPr>
                <w:color w:val="000000"/>
              </w:rPr>
              <w:t xml:space="preserve"> $               8,342.13 </w:t>
            </w:r>
          </w:p>
        </w:tc>
      </w:tr>
      <w:tr w14:paraId="773587E0" w14:textId="77777777" w:rsidTr="00585756">
        <w:tblPrEx>
          <w:tblW w:w="8910" w:type="dxa"/>
          <w:tblInd w:w="440" w:type="dxa"/>
          <w:tblLook w:val="04A0"/>
        </w:tblPrEx>
        <w:trPr>
          <w:trHeight w:val="290"/>
        </w:trPr>
        <w:tc>
          <w:tcPr>
            <w:tcW w:w="7020" w:type="dxa"/>
            <w:gridSpan w:val="7"/>
            <w:tcBorders>
              <w:top w:val="single" w:sz="4" w:space="0" w:color="auto"/>
              <w:left w:val="single" w:sz="8" w:space="0" w:color="auto"/>
              <w:bottom w:val="single" w:sz="4" w:space="0" w:color="auto"/>
              <w:right w:val="single" w:sz="4" w:space="0" w:color="000000"/>
            </w:tcBorders>
            <w:vAlign w:val="bottom"/>
            <w:hideMark/>
          </w:tcPr>
          <w:p w:rsidR="00585756" w:rsidRPr="00585756" w:rsidP="00585756" w14:paraId="1CE432D0" w14:textId="77777777">
            <w:pPr>
              <w:rPr>
                <w:color w:val="000000"/>
              </w:rPr>
            </w:pPr>
            <w:r w:rsidRPr="00585756">
              <w:rPr>
                <w:color w:val="000000"/>
              </w:rPr>
              <w:t>Printing and Production Cost</w:t>
            </w:r>
          </w:p>
        </w:tc>
        <w:tc>
          <w:tcPr>
            <w:tcW w:w="1890" w:type="dxa"/>
            <w:tcBorders>
              <w:top w:val="nil"/>
              <w:left w:val="nil"/>
              <w:bottom w:val="single" w:sz="4" w:space="0" w:color="auto"/>
              <w:right w:val="single" w:sz="8" w:space="0" w:color="auto"/>
            </w:tcBorders>
            <w:vAlign w:val="bottom"/>
            <w:hideMark/>
          </w:tcPr>
          <w:p w:rsidR="00585756" w:rsidRPr="00585756" w:rsidP="00585756" w14:paraId="797E23EF" w14:textId="77777777">
            <w:pPr>
              <w:jc w:val="center"/>
              <w:rPr>
                <w:color w:val="000000"/>
              </w:rPr>
            </w:pPr>
            <w:r w:rsidRPr="00585756">
              <w:rPr>
                <w:color w:val="000000"/>
              </w:rPr>
              <w:t xml:space="preserve"> $                    92.69 </w:t>
            </w:r>
          </w:p>
        </w:tc>
      </w:tr>
      <w:tr w14:paraId="55F40517" w14:textId="77777777" w:rsidTr="00585756">
        <w:tblPrEx>
          <w:tblW w:w="8910" w:type="dxa"/>
          <w:tblInd w:w="440" w:type="dxa"/>
          <w:tblLook w:val="04A0"/>
        </w:tblPrEx>
        <w:trPr>
          <w:trHeight w:val="300"/>
        </w:trPr>
        <w:tc>
          <w:tcPr>
            <w:tcW w:w="7020" w:type="dxa"/>
            <w:gridSpan w:val="7"/>
            <w:tcBorders>
              <w:top w:val="single" w:sz="4" w:space="0" w:color="auto"/>
              <w:left w:val="single" w:sz="8" w:space="0" w:color="auto"/>
              <w:bottom w:val="single" w:sz="8" w:space="0" w:color="auto"/>
              <w:right w:val="single" w:sz="4" w:space="0" w:color="000000"/>
            </w:tcBorders>
            <w:vAlign w:val="bottom"/>
            <w:hideMark/>
          </w:tcPr>
          <w:p w:rsidR="00585756" w:rsidRPr="00585756" w:rsidP="00585756" w14:paraId="5BAA868C" w14:textId="77777777">
            <w:pPr>
              <w:rPr>
                <w:color w:val="000000"/>
              </w:rPr>
            </w:pPr>
            <w:r w:rsidRPr="00585756">
              <w:rPr>
                <w:color w:val="000000"/>
              </w:rPr>
              <w:t>Total Cost to Government</w:t>
            </w:r>
          </w:p>
        </w:tc>
        <w:tc>
          <w:tcPr>
            <w:tcW w:w="1890" w:type="dxa"/>
            <w:tcBorders>
              <w:top w:val="nil"/>
              <w:left w:val="nil"/>
              <w:bottom w:val="single" w:sz="8" w:space="0" w:color="auto"/>
              <w:right w:val="single" w:sz="8" w:space="0" w:color="auto"/>
            </w:tcBorders>
            <w:vAlign w:val="bottom"/>
            <w:hideMark/>
          </w:tcPr>
          <w:p w:rsidR="00585756" w:rsidRPr="00585756" w:rsidP="00585756" w14:paraId="37F89189" w14:textId="77777777">
            <w:pPr>
              <w:jc w:val="center"/>
              <w:rPr>
                <w:color w:val="000000"/>
              </w:rPr>
            </w:pPr>
            <w:r w:rsidRPr="00585756">
              <w:rPr>
                <w:color w:val="000000"/>
              </w:rPr>
              <w:t xml:space="preserve"> $               8,434.82 </w:t>
            </w:r>
          </w:p>
        </w:tc>
      </w:tr>
    </w:tbl>
    <w:p w:rsidR="00265C1D" w:rsidP="00E324B7" w14:paraId="35BDB11B" w14:textId="77777777">
      <w:pPr>
        <w:pStyle w:val="ListParagraph"/>
        <w:tabs>
          <w:tab w:val="right" w:pos="8370"/>
        </w:tabs>
        <w:ind w:left="360" w:right="576"/>
        <w:jc w:val="both"/>
        <w:rPr>
          <w:sz w:val="24"/>
          <w:szCs w:val="24"/>
        </w:rPr>
      </w:pPr>
    </w:p>
    <w:p w:rsidR="002D77AA" w:rsidRPr="00037F25" w:rsidP="00E324B7" w14:paraId="3233EC4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2D77AA" w:rsidRPr="00037F25" w:rsidP="00E324B7" w14:paraId="0CFCFE3F" w14:textId="77777777">
      <w:pPr>
        <w:pStyle w:val="ListParagraph"/>
        <w:ind w:left="360" w:right="576"/>
        <w:rPr>
          <w:sz w:val="24"/>
          <w:szCs w:val="24"/>
        </w:rPr>
      </w:pPr>
    </w:p>
    <w:p w:rsidR="002D77AA" w:rsidRPr="006A5286" w:rsidP="00E324B7" w14:paraId="60B27A2C" w14:textId="40037958">
      <w:pPr>
        <w:pStyle w:val="ListParagraph"/>
        <w:ind w:left="360" w:right="576"/>
        <w:rPr>
          <w:sz w:val="24"/>
          <w:szCs w:val="24"/>
        </w:rPr>
      </w:pPr>
      <w:r w:rsidRPr="00037F25">
        <w:rPr>
          <w:sz w:val="24"/>
          <w:szCs w:val="24"/>
        </w:rPr>
        <w:t xml:space="preserve">Printing and production costs </w:t>
      </w:r>
      <w:r w:rsidRPr="00037F25" w:rsidR="006A5286">
        <w:rPr>
          <w:sz w:val="24"/>
          <w:szCs w:val="24"/>
        </w:rPr>
        <w:t>approximate</w:t>
      </w:r>
      <w:r w:rsidRPr="00037F25">
        <w:rPr>
          <w:sz w:val="24"/>
          <w:szCs w:val="24"/>
        </w:rPr>
        <w:t xml:space="preserve"> the cost of printing this information collection per year. (</w:t>
      </w:r>
      <w:r w:rsidRPr="006A5286">
        <w:rPr>
          <w:sz w:val="24"/>
          <w:szCs w:val="24"/>
        </w:rPr>
        <w:t>Processing/Analyzing Cost total divided by $90).</w:t>
      </w:r>
    </w:p>
    <w:p w:rsidR="002D77AA" w:rsidRPr="006A5286" w:rsidP="00E324B7" w14:paraId="3A05C82C" w14:textId="77777777">
      <w:pPr>
        <w:pStyle w:val="ListParagraph"/>
        <w:ind w:left="360" w:right="576"/>
        <w:jc w:val="both"/>
        <w:rPr>
          <w:sz w:val="24"/>
          <w:szCs w:val="24"/>
        </w:rPr>
      </w:pPr>
    </w:p>
    <w:p w:rsidR="002D77AA" w:rsidRPr="00301402" w:rsidP="00E324B7" w14:paraId="0ADCFFD4" w14:textId="4199BE43">
      <w:pPr>
        <w:pStyle w:val="ListParagraph"/>
        <w:ind w:left="360"/>
        <w:rPr>
          <w:sz w:val="24"/>
          <w:szCs w:val="24"/>
        </w:rPr>
      </w:pPr>
      <w:bookmarkStart w:id="7" w:name="_Hlk29579534"/>
      <w:r w:rsidRPr="00301402">
        <w:rPr>
          <w:sz w:val="24"/>
          <w:szCs w:val="24"/>
        </w:rPr>
        <w:t>Note: The hourly wage information above is based on the hourly 202</w:t>
      </w:r>
      <w:r w:rsidRPr="00301402" w:rsidR="00301402">
        <w:rPr>
          <w:sz w:val="24"/>
          <w:szCs w:val="24"/>
        </w:rPr>
        <w:t>6</w:t>
      </w:r>
      <w:r w:rsidRPr="00301402">
        <w:rPr>
          <w:sz w:val="24"/>
          <w:szCs w:val="24"/>
        </w:rPr>
        <w:t xml:space="preserve"> General Schedule (Base) Pay (</w:t>
      </w:r>
      <w:hyperlink r:id="rId9" w:history="1">
        <w:r w:rsidRPr="00301402" w:rsidR="00D65EEC">
          <w:rPr>
            <w:rStyle w:val="Hyperlink"/>
            <w:sz w:val="24"/>
            <w:szCs w:val="24"/>
          </w:rPr>
          <w:t>https://www.opm.gov/policy-data-oversight/pay-leave/salaries-wages/salary-tables/pdf/2026/GS_h.pdf</w:t>
        </w:r>
      </w:hyperlink>
      <w:r w:rsidRPr="00301402" w:rsidR="00D65EEC">
        <w:rPr>
          <w:sz w:val="24"/>
          <w:szCs w:val="24"/>
        </w:rPr>
        <w:t xml:space="preserve"> </w:t>
      </w:r>
      <w:r w:rsidRPr="00301402">
        <w:rPr>
          <w:sz w:val="24"/>
          <w:szCs w:val="24"/>
        </w:rPr>
        <w:t>). This rate does not include any locality adjustment as applicable.</w:t>
      </w:r>
    </w:p>
    <w:bookmarkEnd w:id="7"/>
    <w:p w:rsidR="002D77AA" w:rsidRPr="002D77AA" w:rsidP="00E324B7" w14:paraId="037A127C" w14:textId="77777777">
      <w:pPr>
        <w:pStyle w:val="ListParagraph"/>
        <w:ind w:left="360" w:right="684"/>
        <w:rPr>
          <w:sz w:val="24"/>
          <w:szCs w:val="24"/>
        </w:rPr>
      </w:pPr>
      <w:r w:rsidRPr="002D77AA">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037F25" w:rsidRPr="00037F25" w:rsidP="006A5286" w14:paraId="49DD5BCD" w14:textId="77777777">
      <w:pPr>
        <w:rPr>
          <w:sz w:val="24"/>
          <w:szCs w:val="24"/>
        </w:rPr>
      </w:pPr>
    </w:p>
    <w:p w:rsidR="00171C87" w:rsidP="00F54C17" w14:paraId="21D065B5" w14:textId="0125B47B">
      <w:pPr>
        <w:pStyle w:val="OmniPage9"/>
        <w:tabs>
          <w:tab w:val="clear" w:pos="100"/>
          <w:tab w:val="left" w:pos="540"/>
          <w:tab w:val="left" w:pos="1080"/>
          <w:tab w:val="clear" w:pos="9162"/>
        </w:tabs>
        <w:ind w:left="360"/>
        <w:rPr>
          <w:sz w:val="24"/>
          <w:szCs w:val="24"/>
        </w:rPr>
      </w:pPr>
      <w:r>
        <w:rPr>
          <w:sz w:val="24"/>
          <w:szCs w:val="24"/>
        </w:rPr>
        <w:t>Due to the final rule, the estimated burden has decreased from 30 minutes to 15 minutes.</w:t>
      </w:r>
    </w:p>
    <w:p w:rsidR="00662395" w:rsidRPr="00037F25" w:rsidP="00F54C17" w14:paraId="2AAFE01B"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E324B7" w:rsidP="00037F25" w14:paraId="3249E2C4" w14:textId="256A17AE">
      <w:pPr>
        <w:tabs>
          <w:tab w:val="left" w:pos="480"/>
          <w:tab w:val="right" w:pos="8640"/>
        </w:tabs>
        <w:ind w:left="360" w:right="684"/>
        <w:rPr>
          <w:sz w:val="24"/>
          <w:szCs w:val="24"/>
        </w:rPr>
      </w:pPr>
      <w:r w:rsidRPr="00E324B7">
        <w:rPr>
          <w:sz w:val="24"/>
          <w:szCs w:val="24"/>
        </w:rPr>
        <w:t>The results of this information collection will not be published.</w:t>
      </w:r>
    </w:p>
    <w:p w:rsidR="00037F25" w:rsidRPr="00E324B7" w14:paraId="721B27C1" w14:textId="77777777">
      <w:pPr>
        <w:tabs>
          <w:tab w:val="left" w:pos="480"/>
          <w:tab w:val="right" w:pos="8640"/>
        </w:tabs>
        <w:ind w:right="684"/>
        <w:rPr>
          <w:sz w:val="24"/>
          <w:szCs w:val="24"/>
        </w:rPr>
      </w:pPr>
    </w:p>
    <w:p w:rsidR="00037F25" w:rsidRPr="00E324B7" w:rsidP="00037F25" w14:paraId="10960A1B" w14:textId="0A4ED7FB">
      <w:pPr>
        <w:pStyle w:val="BodyText3"/>
        <w:numPr>
          <w:ilvl w:val="0"/>
          <w:numId w:val="5"/>
        </w:numPr>
        <w:tabs>
          <w:tab w:val="left" w:pos="547"/>
          <w:tab w:val="left" w:pos="1627"/>
        </w:tabs>
        <w:rPr>
          <w:b/>
          <w:bCs/>
          <w:sz w:val="24"/>
          <w:szCs w:val="24"/>
        </w:rPr>
      </w:pPr>
      <w:r w:rsidRPr="00E324B7">
        <w:rPr>
          <w:b/>
          <w:bCs/>
          <w:sz w:val="24"/>
          <w:szCs w:val="24"/>
          <w:u w:val="single"/>
        </w:rPr>
        <w:t xml:space="preserve">Non-Display of OMB Expiration Date </w:t>
      </w:r>
    </w:p>
    <w:p w:rsidR="00037F25" w:rsidRPr="00E324B7" w:rsidP="00037F25" w14:paraId="464E3150" w14:textId="77777777">
      <w:pPr>
        <w:ind w:left="360"/>
        <w:rPr>
          <w:sz w:val="24"/>
          <w:szCs w:val="24"/>
        </w:rPr>
      </w:pPr>
      <w:r w:rsidRPr="00E324B7">
        <w:rPr>
          <w:sz w:val="24"/>
          <w:szCs w:val="24"/>
        </w:rPr>
        <w:t xml:space="preserve">We are not seeking approval to omit the display of the expiration date of the OMB approval on the collection instrument. </w:t>
      </w:r>
    </w:p>
    <w:p w:rsidR="008C254F" w:rsidRPr="00E324B7" w14:paraId="4DBFDD39" w14:textId="77777777">
      <w:pPr>
        <w:tabs>
          <w:tab w:val="left" w:pos="480"/>
          <w:tab w:val="right" w:pos="8640"/>
        </w:tabs>
        <w:ind w:right="684"/>
        <w:rPr>
          <w:b/>
          <w:sz w:val="24"/>
          <w:szCs w:val="24"/>
        </w:rPr>
      </w:pPr>
    </w:p>
    <w:p w:rsidR="008C254F" w:rsidRPr="00E324B7" w:rsidP="008C254F" w14:paraId="5496B1F7" w14:textId="70BA32A6">
      <w:pPr>
        <w:pStyle w:val="BodyText3"/>
        <w:numPr>
          <w:ilvl w:val="0"/>
          <w:numId w:val="5"/>
        </w:numPr>
        <w:rPr>
          <w:b/>
          <w:bCs/>
          <w:sz w:val="24"/>
          <w:szCs w:val="24"/>
        </w:rPr>
      </w:pPr>
      <w:r w:rsidRPr="00E324B7">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E324B7">
        <w:rPr>
          <w:sz w:val="24"/>
          <w:szCs w:val="24"/>
        </w:rPr>
        <w:t xml:space="preserve">      </w:t>
      </w:r>
      <w:r w:rsidRPr="00E324B7" w:rsidR="00037F25">
        <w:rPr>
          <w:sz w:val="24"/>
          <w:szCs w:val="24"/>
        </w:rPr>
        <w:t xml:space="preserve">We are not requesting any exemptions </w:t>
      </w:r>
      <w:r w:rsidRPr="00E324B7" w:rsidR="00037F25">
        <w:rPr>
          <w:sz w:val="24"/>
          <w:szCs w:val="24"/>
        </w:rPr>
        <w:t>to</w:t>
      </w:r>
      <w:r w:rsidRPr="00E324B7" w:rsidR="00037F25">
        <w:rPr>
          <w:sz w:val="24"/>
          <w:szCs w:val="24"/>
        </w:rPr>
        <w:t xml:space="preserve">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9A269E" w:rsidP="00F81B22" w14:paraId="36BE6F3C" w14:textId="77777777">
    <w:pPr>
      <w:jc w:val="center"/>
      <w:rPr>
        <w:sz w:val="24"/>
        <w:szCs w:val="24"/>
      </w:rPr>
    </w:pPr>
    <w:r w:rsidRPr="005B0D91">
      <w:rPr>
        <w:i/>
        <w:iCs/>
        <w:sz w:val="24"/>
      </w:rPr>
      <w:t>Information Regarding Apportionment of Beneficiary’s Award</w:t>
    </w:r>
    <w:r w:rsidR="00FD4DFF">
      <w:rPr>
        <w:sz w:val="24"/>
        <w:szCs w:val="24"/>
      </w:rPr>
      <w:t xml:space="preserve"> </w:t>
    </w:r>
  </w:p>
  <w:p w:rsidR="00726753" w:rsidRPr="00F81B22" w:rsidP="00F81B22" w14:paraId="75B0C283" w14:textId="68499824">
    <w:pPr>
      <w:jc w:val="center"/>
      <w:rPr>
        <w:sz w:val="24"/>
        <w:szCs w:val="24"/>
      </w:rPr>
    </w:pPr>
    <w:r>
      <w:rPr>
        <w:sz w:val="24"/>
        <w:szCs w:val="24"/>
      </w:rPr>
      <w:t>– Control #2900</w:t>
    </w:r>
    <w:r w:rsidRPr="00F81B22">
      <w:rPr>
        <w:sz w:val="24"/>
        <w:szCs w:val="24"/>
      </w:rPr>
      <w:t>-</w:t>
    </w:r>
    <w:r w:rsidR="009A269E">
      <w:rPr>
        <w:sz w:val="24"/>
        <w:szCs w:val="24"/>
      </w:rPr>
      <w:t>0666</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22F7F"/>
    <w:multiLevelType w:val="hybridMultilevel"/>
    <w:tmpl w:val="94E24C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4F60663"/>
    <w:multiLevelType w:val="hybridMultilevel"/>
    <w:tmpl w:val="4A029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2"/>
  </w:num>
  <w:num w:numId="6" w16cid:durableId="1860270195">
    <w:abstractNumId w:val="8"/>
  </w:num>
  <w:num w:numId="7" w16cid:durableId="1350983592">
    <w:abstractNumId w:val="13"/>
  </w:num>
  <w:num w:numId="8" w16cid:durableId="855777057">
    <w:abstractNumId w:val="9"/>
  </w:num>
  <w:num w:numId="9" w16cid:durableId="682322945">
    <w:abstractNumId w:val="5"/>
  </w:num>
  <w:num w:numId="10" w16cid:durableId="1658071338">
    <w:abstractNumId w:val="1"/>
  </w:num>
  <w:num w:numId="11" w16cid:durableId="1417019664">
    <w:abstractNumId w:val="14"/>
  </w:num>
  <w:num w:numId="12" w16cid:durableId="1187788720">
    <w:abstractNumId w:val="7"/>
  </w:num>
  <w:num w:numId="13" w16cid:durableId="2080594647">
    <w:abstractNumId w:val="3"/>
  </w:num>
  <w:num w:numId="14" w16cid:durableId="857236692">
    <w:abstractNumId w:val="2"/>
  </w:num>
  <w:num w:numId="15" w16cid:durableId="1744331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11AD"/>
    <w:rsid w:val="00034BE2"/>
    <w:rsid w:val="00037F25"/>
    <w:rsid w:val="000413A4"/>
    <w:rsid w:val="000522FF"/>
    <w:rsid w:val="00072B8C"/>
    <w:rsid w:val="00083824"/>
    <w:rsid w:val="00092677"/>
    <w:rsid w:val="000A3F32"/>
    <w:rsid w:val="000F3AEA"/>
    <w:rsid w:val="00100128"/>
    <w:rsid w:val="00142589"/>
    <w:rsid w:val="00145314"/>
    <w:rsid w:val="0016376A"/>
    <w:rsid w:val="00171C87"/>
    <w:rsid w:val="00174B1F"/>
    <w:rsid w:val="001968BC"/>
    <w:rsid w:val="001B40BB"/>
    <w:rsid w:val="001C7576"/>
    <w:rsid w:val="001D52F4"/>
    <w:rsid w:val="001D6A97"/>
    <w:rsid w:val="001D6D11"/>
    <w:rsid w:val="001E2E15"/>
    <w:rsid w:val="00216351"/>
    <w:rsid w:val="00265C1D"/>
    <w:rsid w:val="00272B57"/>
    <w:rsid w:val="00295605"/>
    <w:rsid w:val="002D77AA"/>
    <w:rsid w:val="00301402"/>
    <w:rsid w:val="00303259"/>
    <w:rsid w:val="00310573"/>
    <w:rsid w:val="00312610"/>
    <w:rsid w:val="003210D0"/>
    <w:rsid w:val="00334E84"/>
    <w:rsid w:val="00345CB2"/>
    <w:rsid w:val="00347A7B"/>
    <w:rsid w:val="003A209D"/>
    <w:rsid w:val="003B6D49"/>
    <w:rsid w:val="003B797D"/>
    <w:rsid w:val="003C0D97"/>
    <w:rsid w:val="003D0AC3"/>
    <w:rsid w:val="003E1E57"/>
    <w:rsid w:val="003F26D8"/>
    <w:rsid w:val="003F663E"/>
    <w:rsid w:val="00401A96"/>
    <w:rsid w:val="0043068B"/>
    <w:rsid w:val="00430D02"/>
    <w:rsid w:val="00431745"/>
    <w:rsid w:val="00444AF8"/>
    <w:rsid w:val="00447F72"/>
    <w:rsid w:val="00453D32"/>
    <w:rsid w:val="004839A5"/>
    <w:rsid w:val="00486812"/>
    <w:rsid w:val="00495C22"/>
    <w:rsid w:val="004D17DC"/>
    <w:rsid w:val="004D283D"/>
    <w:rsid w:val="004D3BF6"/>
    <w:rsid w:val="004E0438"/>
    <w:rsid w:val="004E048D"/>
    <w:rsid w:val="005016FE"/>
    <w:rsid w:val="0051524F"/>
    <w:rsid w:val="00517283"/>
    <w:rsid w:val="0053151A"/>
    <w:rsid w:val="0053466D"/>
    <w:rsid w:val="00541318"/>
    <w:rsid w:val="00547E0C"/>
    <w:rsid w:val="00563695"/>
    <w:rsid w:val="0057258A"/>
    <w:rsid w:val="00576820"/>
    <w:rsid w:val="00581C1C"/>
    <w:rsid w:val="00585756"/>
    <w:rsid w:val="005B0D91"/>
    <w:rsid w:val="005B7560"/>
    <w:rsid w:val="005C0CE5"/>
    <w:rsid w:val="005E4CE3"/>
    <w:rsid w:val="005E59D5"/>
    <w:rsid w:val="005E651E"/>
    <w:rsid w:val="005F40C9"/>
    <w:rsid w:val="00606AD2"/>
    <w:rsid w:val="0061364E"/>
    <w:rsid w:val="00617D2B"/>
    <w:rsid w:val="00651FB2"/>
    <w:rsid w:val="00662395"/>
    <w:rsid w:val="0066426E"/>
    <w:rsid w:val="0067044A"/>
    <w:rsid w:val="006729B9"/>
    <w:rsid w:val="006977F5"/>
    <w:rsid w:val="006A4E5C"/>
    <w:rsid w:val="006A4F03"/>
    <w:rsid w:val="006A5286"/>
    <w:rsid w:val="006A75DF"/>
    <w:rsid w:val="006B0B12"/>
    <w:rsid w:val="006C4C6F"/>
    <w:rsid w:val="00710DDD"/>
    <w:rsid w:val="007201B3"/>
    <w:rsid w:val="00723416"/>
    <w:rsid w:val="00726753"/>
    <w:rsid w:val="00747FF1"/>
    <w:rsid w:val="007531B9"/>
    <w:rsid w:val="007576E7"/>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022E"/>
    <w:rsid w:val="0089361A"/>
    <w:rsid w:val="008A361A"/>
    <w:rsid w:val="008A68B3"/>
    <w:rsid w:val="008B76E8"/>
    <w:rsid w:val="008C254F"/>
    <w:rsid w:val="008C44A3"/>
    <w:rsid w:val="00901A90"/>
    <w:rsid w:val="009135FA"/>
    <w:rsid w:val="0094691E"/>
    <w:rsid w:val="0095533E"/>
    <w:rsid w:val="00955F0D"/>
    <w:rsid w:val="00964FC5"/>
    <w:rsid w:val="00993FA5"/>
    <w:rsid w:val="009A269E"/>
    <w:rsid w:val="009A3FA7"/>
    <w:rsid w:val="009A5278"/>
    <w:rsid w:val="009B5624"/>
    <w:rsid w:val="009D1D80"/>
    <w:rsid w:val="009D57D8"/>
    <w:rsid w:val="009E3506"/>
    <w:rsid w:val="00A0204A"/>
    <w:rsid w:val="00A073C3"/>
    <w:rsid w:val="00A15FAF"/>
    <w:rsid w:val="00A16101"/>
    <w:rsid w:val="00A21543"/>
    <w:rsid w:val="00A22565"/>
    <w:rsid w:val="00A25D47"/>
    <w:rsid w:val="00A411DD"/>
    <w:rsid w:val="00A53FBE"/>
    <w:rsid w:val="00A64C05"/>
    <w:rsid w:val="00AA1A0F"/>
    <w:rsid w:val="00AB2852"/>
    <w:rsid w:val="00AD768C"/>
    <w:rsid w:val="00AF3F03"/>
    <w:rsid w:val="00B03501"/>
    <w:rsid w:val="00B11C91"/>
    <w:rsid w:val="00B32D2A"/>
    <w:rsid w:val="00B37719"/>
    <w:rsid w:val="00B40113"/>
    <w:rsid w:val="00B568DC"/>
    <w:rsid w:val="00B6651E"/>
    <w:rsid w:val="00B713C7"/>
    <w:rsid w:val="00B82974"/>
    <w:rsid w:val="00BA0556"/>
    <w:rsid w:val="00BA45CB"/>
    <w:rsid w:val="00BD7201"/>
    <w:rsid w:val="00C14461"/>
    <w:rsid w:val="00C17C77"/>
    <w:rsid w:val="00C34486"/>
    <w:rsid w:val="00C47978"/>
    <w:rsid w:val="00C75126"/>
    <w:rsid w:val="00C879DB"/>
    <w:rsid w:val="00CA418A"/>
    <w:rsid w:val="00CA7E43"/>
    <w:rsid w:val="00CC4618"/>
    <w:rsid w:val="00D20A37"/>
    <w:rsid w:val="00D20EA1"/>
    <w:rsid w:val="00D53CA7"/>
    <w:rsid w:val="00D656BB"/>
    <w:rsid w:val="00D65EEC"/>
    <w:rsid w:val="00D7449F"/>
    <w:rsid w:val="00D944D7"/>
    <w:rsid w:val="00D94A38"/>
    <w:rsid w:val="00D975C9"/>
    <w:rsid w:val="00DC0CDA"/>
    <w:rsid w:val="00DD0140"/>
    <w:rsid w:val="00DD5D06"/>
    <w:rsid w:val="00DE7F2A"/>
    <w:rsid w:val="00E3211D"/>
    <w:rsid w:val="00E324B7"/>
    <w:rsid w:val="00E36537"/>
    <w:rsid w:val="00E70026"/>
    <w:rsid w:val="00E87FDC"/>
    <w:rsid w:val="00E915F3"/>
    <w:rsid w:val="00E948A8"/>
    <w:rsid w:val="00EC2E2D"/>
    <w:rsid w:val="00F01D5F"/>
    <w:rsid w:val="00F458E2"/>
    <w:rsid w:val="00F4700A"/>
    <w:rsid w:val="00F47131"/>
    <w:rsid w:val="00F531B6"/>
    <w:rsid w:val="00F54C17"/>
    <w:rsid w:val="00F67CAB"/>
    <w:rsid w:val="00F72F54"/>
    <w:rsid w:val="00F81B22"/>
    <w:rsid w:val="00F9546D"/>
    <w:rsid w:val="00F95DA3"/>
    <w:rsid w:val="00FA103D"/>
    <w:rsid w:val="00FB23B0"/>
    <w:rsid w:val="00FD4DFF"/>
    <w:rsid w:val="00FD7F94"/>
    <w:rsid w:val="00FE73BA"/>
    <w:rsid w:val="00FF75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industry/000000"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8101</Characters>
  <Application>Microsoft Office Word</Application>
  <DocSecurity>0</DocSecurity>
  <Lines>224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2024-03-04T22:46:00Z</dcterms:created>
  <dcterms:modified xsi:type="dcterms:W3CDTF">2026-01-26T15:47:00Z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