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960C1" w:rsidRPr="003A46F9" w:rsidP="00AF37B7" w14:paraId="42B577EE" w14:textId="77777777">
      <w:pPr>
        <w:keepNext/>
        <w:keepLines/>
        <w:suppressAutoHyphens/>
        <w:jc w:val="center"/>
        <w:rPr>
          <w:rFonts w:ascii="Times New Roman" w:hAnsi="Times New Roman"/>
          <w:b/>
        </w:rPr>
      </w:pPr>
      <w:r w:rsidRPr="003A46F9">
        <w:rPr>
          <w:rFonts w:ascii="Times New Roman" w:hAnsi="Times New Roman"/>
          <w:b/>
        </w:rPr>
        <w:t>SUPPORTING STATEMENT FOR NEW AND</w:t>
      </w:r>
    </w:p>
    <w:p w:rsidR="00A960C1" w:rsidRPr="003A46F9" w14:paraId="46C6C718" w14:textId="77777777">
      <w:pPr>
        <w:suppressAutoHyphens/>
        <w:spacing w:after="240"/>
        <w:jc w:val="center"/>
        <w:rPr>
          <w:rFonts w:ascii="Times New Roman" w:hAnsi="Times New Roman"/>
          <w:b/>
        </w:rPr>
      </w:pPr>
      <w:r w:rsidRPr="003A46F9">
        <w:rPr>
          <w:rFonts w:ascii="Times New Roman" w:hAnsi="Times New Roman"/>
          <w:b/>
        </w:rPr>
        <w:t>REVISED INFORMATION COLLECTIONS</w:t>
      </w:r>
    </w:p>
    <w:p w:rsidR="00A960C1" w:rsidRPr="003A46F9" w:rsidP="001A76ED" w14:paraId="52D0B132" w14:textId="77777777">
      <w:pPr>
        <w:suppressAutoHyphens/>
        <w:spacing w:after="240"/>
        <w:jc w:val="center"/>
        <w:rPr>
          <w:rFonts w:ascii="Times New Roman" w:hAnsi="Times New Roman"/>
          <w:b/>
          <w:u w:val="single"/>
        </w:rPr>
      </w:pPr>
      <w:r w:rsidRPr="003A46F9">
        <w:rPr>
          <w:rFonts w:ascii="Times New Roman" w:hAnsi="Times New Roman"/>
          <w:b/>
          <w:u w:val="single"/>
        </w:rPr>
        <w:t>Swap Dealer and Major Swap Participant Conflicts of Interest and Business Conduct Standards with Counterparties</w:t>
      </w:r>
    </w:p>
    <w:p w:rsidR="00A960C1" w:rsidRPr="003A46F9" w14:paraId="2B2A9DF6" w14:textId="77777777">
      <w:pPr>
        <w:tabs>
          <w:tab w:val="center" w:pos="4680"/>
        </w:tabs>
        <w:suppressAutoHyphens/>
        <w:spacing w:after="240"/>
        <w:jc w:val="center"/>
        <w:rPr>
          <w:rFonts w:ascii="Times New Roman" w:hAnsi="Times New Roman"/>
          <w:b/>
        </w:rPr>
      </w:pPr>
      <w:r w:rsidRPr="003A46F9">
        <w:rPr>
          <w:rFonts w:ascii="Times New Roman" w:hAnsi="Times New Roman"/>
          <w:b/>
        </w:rPr>
        <w:t>OMB CONTROL NUMBER 3038-0079</w:t>
      </w:r>
    </w:p>
    <w:p w:rsidR="00A960C1" w:rsidRPr="003A46F9" w:rsidP="002E237C" w14:paraId="5905F5EF" w14:textId="5B39E9EE">
      <w:pPr>
        <w:pStyle w:val="Heading1"/>
        <w:keepLines/>
        <w:spacing w:after="240"/>
        <w:jc w:val="both"/>
        <w:rPr>
          <w:rFonts w:ascii="Times New Roman" w:hAnsi="Times New Roman"/>
        </w:rPr>
      </w:pPr>
      <w:r w:rsidRPr="003A46F9">
        <w:rPr>
          <w:rFonts w:ascii="Times New Roman" w:hAnsi="Times New Roman"/>
          <w:szCs w:val="24"/>
        </w:rPr>
        <w:t>Justification</w:t>
      </w:r>
    </w:p>
    <w:p w:rsidR="00A960C1" w:rsidRPr="003A46F9" w:rsidP="002E237C" w14:paraId="501956D4" w14:textId="57D039DC">
      <w:pPr>
        <w:tabs>
          <w:tab w:val="left" w:pos="-720"/>
        </w:tabs>
        <w:spacing w:after="240"/>
        <w:ind w:left="720" w:hanging="720"/>
        <w:jc w:val="both"/>
        <w:rPr>
          <w:rFonts w:ascii="Times New Roman" w:hAnsi="Times New Roman"/>
        </w:rPr>
      </w:pPr>
      <w:r w:rsidRPr="003A46F9">
        <w:rPr>
          <w:rFonts w:ascii="Times New Roman" w:hAnsi="Times New Roman"/>
          <w:b/>
        </w:rPr>
        <w:t>1.</w:t>
      </w:r>
      <w:r w:rsidRPr="003A46F9">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960C1" w:rsidRPr="003A46F9" w:rsidP="002E237C" w14:paraId="5CF466D3" w14:textId="2CDA6EEB">
      <w:pPr>
        <w:pStyle w:val="Default"/>
        <w:spacing w:after="240"/>
        <w:jc w:val="both"/>
        <w:rPr>
          <w:rFonts w:ascii="Times New Roman" w:hAnsi="Times New Roman" w:cs="Times New Roman"/>
        </w:rPr>
      </w:pPr>
      <w:r w:rsidRPr="003A46F9">
        <w:rPr>
          <w:rFonts w:ascii="Times New Roman" w:hAnsi="Times New Roman" w:cs="Times New Roman"/>
        </w:rPr>
        <w:t>Section 731 of Title VII of the Dodd-Frank Wall Street Reform and Consumer Protection Act</w:t>
      </w:r>
      <w:r>
        <w:rPr>
          <w:rStyle w:val="FootnoteReference"/>
          <w:rFonts w:ascii="Times New Roman" w:hAnsi="Times New Roman" w:cs="Times New Roman"/>
        </w:rPr>
        <w:footnoteReference w:id="3"/>
      </w:r>
      <w:r w:rsidRPr="003A46F9">
        <w:rPr>
          <w:rFonts w:ascii="Times New Roman" w:hAnsi="Times New Roman" w:cs="Times New Roman"/>
        </w:rPr>
        <w:t xml:space="preserve">  amended the Commodity Exchange Act (</w:t>
      </w:r>
      <w:r w:rsidR="004B0647">
        <w:rPr>
          <w:rFonts w:ascii="Times New Roman" w:hAnsi="Times New Roman" w:cs="Times New Roman"/>
        </w:rPr>
        <w:t>“</w:t>
      </w:r>
      <w:r w:rsidRPr="003A46F9">
        <w:rPr>
          <w:rFonts w:ascii="Times New Roman" w:hAnsi="Times New Roman" w:cs="Times New Roman"/>
        </w:rPr>
        <w:t>CEA</w:t>
      </w:r>
      <w:r w:rsidR="004B0647">
        <w:rPr>
          <w:rFonts w:ascii="Times New Roman" w:hAnsi="Times New Roman" w:cs="Times New Roman"/>
        </w:rPr>
        <w:t>”</w:t>
      </w:r>
      <w:r w:rsidRPr="003A46F9">
        <w:rPr>
          <w:rFonts w:ascii="Times New Roman" w:hAnsi="Times New Roman" w:cs="Times New Roman"/>
        </w:rPr>
        <w:t xml:space="preserve">) to add </w:t>
      </w:r>
      <w:r w:rsidR="00B00688">
        <w:rPr>
          <w:rFonts w:ascii="Times New Roman" w:hAnsi="Times New Roman" w:cs="Times New Roman"/>
        </w:rPr>
        <w:t>s</w:t>
      </w:r>
      <w:r w:rsidRPr="003A46F9" w:rsidR="00B00688">
        <w:rPr>
          <w:rFonts w:ascii="Times New Roman" w:hAnsi="Times New Roman" w:cs="Times New Roman"/>
        </w:rPr>
        <w:t xml:space="preserve">ections </w:t>
      </w:r>
      <w:r w:rsidRPr="003A46F9" w:rsidR="00922DA7">
        <w:rPr>
          <w:rFonts w:ascii="Times New Roman" w:hAnsi="Times New Roman" w:cs="Times New Roman"/>
        </w:rPr>
        <w:t>4s(h)</w:t>
      </w:r>
      <w:r w:rsidRPr="003A46F9">
        <w:rPr>
          <w:rFonts w:ascii="Times New Roman" w:hAnsi="Times New Roman" w:cs="Times New Roman"/>
        </w:rPr>
        <w:t xml:space="preserve"> </w:t>
      </w:r>
      <w:r w:rsidRPr="003A46F9" w:rsidR="00922DA7">
        <w:rPr>
          <w:rFonts w:ascii="Times New Roman" w:hAnsi="Times New Roman" w:cs="Times New Roman"/>
        </w:rPr>
        <w:t xml:space="preserve">and </w:t>
      </w:r>
      <w:r w:rsidRPr="003A46F9">
        <w:rPr>
          <w:rFonts w:ascii="Times New Roman" w:hAnsi="Times New Roman" w:cs="Times New Roman"/>
        </w:rPr>
        <w:t>4s(j)(5)</w:t>
      </w:r>
      <w:r>
        <w:rPr>
          <w:rStyle w:val="FootnoteReference"/>
          <w:rFonts w:ascii="Times New Roman" w:hAnsi="Times New Roman" w:cs="Times New Roman"/>
        </w:rPr>
        <w:footnoteReference w:id="4"/>
      </w:r>
      <w:r w:rsidR="004B0647">
        <w:rPr>
          <w:rFonts w:ascii="Times New Roman" w:hAnsi="Times New Roman" w:cs="Times New Roman"/>
        </w:rPr>
        <w:t>,</w:t>
      </w:r>
      <w:r w:rsidRPr="003A46F9">
        <w:rPr>
          <w:rFonts w:ascii="Times New Roman" w:hAnsi="Times New Roman" w:cs="Times New Roman"/>
        </w:rPr>
        <w:t xml:space="preserve"> which </w:t>
      </w:r>
      <w:r w:rsidRPr="003A46F9" w:rsidR="00AC28F2">
        <w:rPr>
          <w:rFonts w:ascii="Times New Roman" w:hAnsi="Times New Roman" w:cs="Times New Roman"/>
        </w:rPr>
        <w:t xml:space="preserve">provide the </w:t>
      </w:r>
      <w:r w:rsidR="00C61310">
        <w:rPr>
          <w:rFonts w:ascii="Times New Roman" w:hAnsi="Times New Roman" w:cs="Times New Roman"/>
        </w:rPr>
        <w:t>Commodity Futures Trading Commission (</w:t>
      </w:r>
      <w:r w:rsidR="004B0647">
        <w:rPr>
          <w:rFonts w:ascii="Times New Roman" w:hAnsi="Times New Roman" w:cs="Times New Roman"/>
        </w:rPr>
        <w:t>the “</w:t>
      </w:r>
      <w:r w:rsidRPr="003A46F9" w:rsidR="00AC28F2">
        <w:rPr>
          <w:rFonts w:ascii="Times New Roman" w:hAnsi="Times New Roman" w:cs="Times New Roman"/>
        </w:rPr>
        <w:t>Commission</w:t>
      </w:r>
      <w:r w:rsidR="00E27613">
        <w:rPr>
          <w:rFonts w:ascii="Times New Roman" w:hAnsi="Times New Roman" w:cs="Times New Roman"/>
        </w:rPr>
        <w:t>”</w:t>
      </w:r>
      <w:r w:rsidR="00B00688">
        <w:rPr>
          <w:rFonts w:ascii="Times New Roman" w:hAnsi="Times New Roman" w:cs="Times New Roman"/>
        </w:rPr>
        <w:t xml:space="preserve"> or </w:t>
      </w:r>
      <w:r w:rsidR="007F615D">
        <w:rPr>
          <w:rFonts w:ascii="Times New Roman" w:hAnsi="Times New Roman" w:cs="Times New Roman"/>
        </w:rPr>
        <w:t xml:space="preserve">the </w:t>
      </w:r>
      <w:r w:rsidR="00B00688">
        <w:rPr>
          <w:rFonts w:ascii="Times New Roman" w:hAnsi="Times New Roman" w:cs="Times New Roman"/>
        </w:rPr>
        <w:t>“CFTC”</w:t>
      </w:r>
      <w:r w:rsidR="00C61310">
        <w:rPr>
          <w:rFonts w:ascii="Times New Roman" w:hAnsi="Times New Roman" w:cs="Times New Roman"/>
        </w:rPr>
        <w:t>)</w:t>
      </w:r>
      <w:r w:rsidRPr="003A46F9" w:rsidR="00AC28F2">
        <w:rPr>
          <w:rFonts w:ascii="Times New Roman" w:hAnsi="Times New Roman" w:cs="Times New Roman"/>
        </w:rPr>
        <w:t xml:space="preserve"> with both mandatory and discretionary rulemaking authority to impose business conduct requirements on swap dealers </w:t>
      </w:r>
      <w:r w:rsidRPr="006F6A6C" w:rsidR="006F6A6C">
        <w:rPr>
          <w:rFonts w:ascii="Times New Roman" w:hAnsi="Times New Roman" w:cs="Times New Roman"/>
        </w:rPr>
        <w:t>(“SDs”)</w:t>
      </w:r>
      <w:r>
        <w:rPr>
          <w:rStyle w:val="FootnoteReference"/>
          <w:rFonts w:ascii="Times New Roman" w:hAnsi="Times New Roman" w:cs="Times New Roman"/>
        </w:rPr>
        <w:footnoteReference w:id="5"/>
      </w:r>
      <w:r w:rsidRPr="006F6A6C" w:rsidR="006F6A6C">
        <w:rPr>
          <w:rFonts w:ascii="Times New Roman" w:hAnsi="Times New Roman" w:cs="Times New Roman"/>
        </w:rPr>
        <w:t xml:space="preserve"> </w:t>
      </w:r>
      <w:r w:rsidRPr="003A46F9" w:rsidR="00AC28F2">
        <w:rPr>
          <w:rFonts w:ascii="Times New Roman" w:hAnsi="Times New Roman" w:cs="Times New Roman"/>
        </w:rPr>
        <w:t xml:space="preserve">and major swap participants </w:t>
      </w:r>
      <w:r w:rsidRPr="006F6A6C" w:rsidR="006F6A6C">
        <w:rPr>
          <w:rFonts w:ascii="Times New Roman" w:hAnsi="Times New Roman" w:cs="Times New Roman"/>
        </w:rPr>
        <w:t>(“MSPs”)</w:t>
      </w:r>
      <w:r>
        <w:rPr>
          <w:rStyle w:val="FootnoteReference"/>
          <w:rFonts w:ascii="Times New Roman" w:hAnsi="Times New Roman" w:cs="Times New Roman"/>
        </w:rPr>
        <w:footnoteReference w:id="6"/>
      </w:r>
      <w:r w:rsidRPr="006F6A6C" w:rsidR="006F6A6C">
        <w:rPr>
          <w:rFonts w:ascii="Times New Roman" w:hAnsi="Times New Roman" w:cs="Times New Roman"/>
        </w:rPr>
        <w:t xml:space="preserve"> </w:t>
      </w:r>
      <w:r w:rsidRPr="003A46F9" w:rsidR="00AC28F2">
        <w:rPr>
          <w:rFonts w:ascii="Times New Roman" w:hAnsi="Times New Roman" w:cs="Times New Roman"/>
        </w:rPr>
        <w:t>in their dealings with counterparties, including “Special Entities,”</w:t>
      </w:r>
      <w:r>
        <w:rPr>
          <w:rStyle w:val="FootnoteReference"/>
          <w:rFonts w:ascii="Times New Roman" w:hAnsi="Times New Roman" w:cs="Times New Roman"/>
        </w:rPr>
        <w:footnoteReference w:id="7"/>
      </w:r>
      <w:r w:rsidRPr="003A46F9" w:rsidR="00AC28F2">
        <w:rPr>
          <w:rFonts w:ascii="Times New Roman" w:hAnsi="Times New Roman" w:cs="Times New Roman"/>
        </w:rPr>
        <w:t xml:space="preserve"> and </w:t>
      </w:r>
      <w:r w:rsidRPr="003A46F9">
        <w:rPr>
          <w:rFonts w:ascii="Times New Roman" w:hAnsi="Times New Roman" w:cs="Times New Roman"/>
        </w:rPr>
        <w:t xml:space="preserve">require that each </w:t>
      </w:r>
      <w:r w:rsidR="006F6A6C">
        <w:rPr>
          <w:rFonts w:ascii="Times New Roman" w:hAnsi="Times New Roman" w:cs="Times New Roman"/>
        </w:rPr>
        <w:t>SD</w:t>
      </w:r>
      <w:r w:rsidRPr="003A46F9">
        <w:rPr>
          <w:rFonts w:ascii="Times New Roman" w:hAnsi="Times New Roman" w:cs="Times New Roman"/>
        </w:rPr>
        <w:t xml:space="preserve"> and </w:t>
      </w:r>
      <w:r w:rsidR="006F6A6C">
        <w:rPr>
          <w:rFonts w:ascii="Times New Roman" w:hAnsi="Times New Roman" w:cs="Times New Roman"/>
        </w:rPr>
        <w:t>MSP</w:t>
      </w:r>
      <w:r w:rsidRPr="003A46F9">
        <w:rPr>
          <w:rFonts w:ascii="Times New Roman" w:hAnsi="Times New Roman" w:cs="Times New Roman"/>
        </w:rPr>
        <w:t xml:space="preserve"> implement conflicts of interest systems and procedures</w:t>
      </w:r>
      <w:r w:rsidRPr="003A46F9" w:rsidR="00AC28F2">
        <w:rPr>
          <w:rFonts w:ascii="Times New Roman" w:hAnsi="Times New Roman" w:cs="Times New Roman"/>
        </w:rPr>
        <w:t>.</w:t>
      </w:r>
      <w:r w:rsidR="00D87061">
        <w:rPr>
          <w:rFonts w:ascii="Times New Roman" w:hAnsi="Times New Roman" w:cs="Times New Roman"/>
        </w:rPr>
        <w:t xml:space="preserve">  </w:t>
      </w:r>
      <w:r w:rsidRPr="003A46F9" w:rsidR="00922DA7">
        <w:rPr>
          <w:rFonts w:ascii="Times New Roman" w:hAnsi="Times New Roman" w:cs="Times New Roman"/>
        </w:rPr>
        <w:t>Congress granted the Commission broad discretionary authority to promulgate business conduct requirements, as appropriate in the public interest, for the protection of investors, or otherwise in furtherance of the purposes of the CEA.</w:t>
      </w:r>
      <w:r>
        <w:rPr>
          <w:rStyle w:val="FootnoteReference"/>
          <w:rFonts w:ascii="Times New Roman" w:hAnsi="Times New Roman" w:cs="Times New Roman"/>
        </w:rPr>
        <w:footnoteReference w:id="8"/>
      </w:r>
    </w:p>
    <w:p w:rsidR="0043166C" w:rsidP="002E237C" w14:paraId="59CA8CDF" w14:textId="52DDEE2F">
      <w:pPr>
        <w:pStyle w:val="Default"/>
        <w:spacing w:after="240"/>
        <w:jc w:val="both"/>
        <w:rPr>
          <w:rFonts w:ascii="Times New Roman" w:hAnsi="Times New Roman" w:cs="Times New Roman"/>
        </w:rPr>
      </w:pPr>
      <w:r w:rsidRPr="003A46F9">
        <w:rPr>
          <w:rFonts w:ascii="Times New Roman" w:hAnsi="Times New Roman" w:cs="Times New Roman"/>
        </w:rPr>
        <w:t xml:space="preserve">Accordingly, the Commission has </w:t>
      </w:r>
      <w:r w:rsidRPr="003A46F9" w:rsidR="000123A0">
        <w:rPr>
          <w:rFonts w:ascii="Times New Roman" w:hAnsi="Times New Roman" w:cs="Times New Roman"/>
        </w:rPr>
        <w:t xml:space="preserve">adopted </w:t>
      </w:r>
      <w:r w:rsidR="00B00688">
        <w:rPr>
          <w:rFonts w:ascii="Times New Roman" w:hAnsi="Times New Roman" w:cs="Times New Roman"/>
        </w:rPr>
        <w:t>s</w:t>
      </w:r>
      <w:r w:rsidRPr="003A46F9" w:rsidR="00B00688">
        <w:rPr>
          <w:rFonts w:ascii="Times New Roman" w:hAnsi="Times New Roman" w:cs="Times New Roman"/>
        </w:rPr>
        <w:t xml:space="preserve">ubpart </w:t>
      </w:r>
      <w:r w:rsidRPr="003A46F9" w:rsidR="00922DA7">
        <w:rPr>
          <w:rFonts w:ascii="Times New Roman" w:hAnsi="Times New Roman" w:cs="Times New Roman"/>
        </w:rPr>
        <w:t xml:space="preserve">H of </w:t>
      </w:r>
      <w:r w:rsidR="00B00688">
        <w:rPr>
          <w:rFonts w:ascii="Times New Roman" w:hAnsi="Times New Roman" w:cs="Times New Roman"/>
        </w:rPr>
        <w:t>p</w:t>
      </w:r>
      <w:r w:rsidRPr="003A46F9" w:rsidR="00B00688">
        <w:rPr>
          <w:rFonts w:ascii="Times New Roman" w:hAnsi="Times New Roman" w:cs="Times New Roman"/>
        </w:rPr>
        <w:t xml:space="preserve">art </w:t>
      </w:r>
      <w:r w:rsidRPr="003A46F9" w:rsidR="00922DA7">
        <w:rPr>
          <w:rFonts w:ascii="Times New Roman" w:hAnsi="Times New Roman" w:cs="Times New Roman"/>
        </w:rPr>
        <w:t xml:space="preserve">23 </w:t>
      </w:r>
      <w:r w:rsidRPr="003A46F9" w:rsidR="00FA71B7">
        <w:rPr>
          <w:rFonts w:ascii="Times New Roman" w:hAnsi="Times New Roman" w:cs="Times New Roman"/>
        </w:rPr>
        <w:t xml:space="preserve">of </w:t>
      </w:r>
      <w:r w:rsidRPr="003A46F9" w:rsidR="00922DA7">
        <w:rPr>
          <w:rFonts w:ascii="Times New Roman" w:hAnsi="Times New Roman" w:cs="Times New Roman"/>
        </w:rPr>
        <w:t>its regulations</w:t>
      </w:r>
      <w:r w:rsidR="006F6A6C">
        <w:rPr>
          <w:rFonts w:ascii="Times New Roman" w:hAnsi="Times New Roman" w:cs="Times New Roman"/>
        </w:rPr>
        <w:t xml:space="preserve"> </w:t>
      </w:r>
      <w:r w:rsidRPr="003A46F9" w:rsidR="00922DA7">
        <w:rPr>
          <w:rFonts w:ascii="Times New Roman" w:hAnsi="Times New Roman" w:cs="Times New Roman"/>
        </w:rPr>
        <w:t>(</w:t>
      </w:r>
      <w:r w:rsidR="004B0647">
        <w:rPr>
          <w:rFonts w:ascii="Times New Roman" w:hAnsi="Times New Roman" w:cs="Times New Roman"/>
        </w:rPr>
        <w:t>“</w:t>
      </w:r>
      <w:r w:rsidRPr="003A46F9" w:rsidR="00922DA7">
        <w:rPr>
          <w:rFonts w:ascii="Times New Roman" w:hAnsi="Times New Roman" w:cs="Times New Roman"/>
        </w:rPr>
        <w:t>EB</w:t>
      </w:r>
      <w:r w:rsidRPr="003A46F9" w:rsidR="00914B7D">
        <w:rPr>
          <w:rFonts w:ascii="Times New Roman" w:hAnsi="Times New Roman" w:cs="Times New Roman"/>
        </w:rPr>
        <w:t>C</w:t>
      </w:r>
      <w:r w:rsidRPr="003A46F9" w:rsidR="00922DA7">
        <w:rPr>
          <w:rFonts w:ascii="Times New Roman" w:hAnsi="Times New Roman" w:cs="Times New Roman"/>
        </w:rPr>
        <w:t>S Rules</w:t>
      </w:r>
      <w:r w:rsidR="004B0647">
        <w:rPr>
          <w:rFonts w:ascii="Times New Roman" w:hAnsi="Times New Roman" w:cs="Times New Roman"/>
        </w:rPr>
        <w:t>”</w:t>
      </w:r>
      <w:r w:rsidRPr="003A46F9" w:rsidR="00922DA7">
        <w:rPr>
          <w:rFonts w:ascii="Times New Roman" w:hAnsi="Times New Roman" w:cs="Times New Roman"/>
        </w:rPr>
        <w:t>)</w:t>
      </w:r>
      <w:r>
        <w:rPr>
          <w:rStyle w:val="FootnoteReference"/>
          <w:rFonts w:ascii="Times New Roman" w:hAnsi="Times New Roman" w:cs="Times New Roman"/>
        </w:rPr>
        <w:footnoteReference w:id="9"/>
      </w:r>
      <w:r w:rsidR="00C17835">
        <w:rPr>
          <w:rFonts w:ascii="Times New Roman" w:hAnsi="Times New Roman" w:cs="Times New Roman"/>
        </w:rPr>
        <w:t xml:space="preserve"> </w:t>
      </w:r>
      <w:r w:rsidRPr="003A46F9" w:rsidR="00922DA7">
        <w:rPr>
          <w:rFonts w:ascii="Times New Roman" w:hAnsi="Times New Roman" w:cs="Times New Roman"/>
        </w:rPr>
        <w:t xml:space="preserve">and </w:t>
      </w:r>
      <w:r w:rsidRPr="007945C9" w:rsidR="00353274">
        <w:rPr>
          <w:rFonts w:ascii="Times New Roman" w:hAnsi="Times New Roman" w:cs="Times New Roman"/>
        </w:rPr>
        <w:t>§</w:t>
      </w:r>
      <w:r w:rsidRPr="007945C9" w:rsidR="00353274">
        <w:t> </w:t>
      </w:r>
      <w:r w:rsidRPr="003A46F9" w:rsidR="003F6F39">
        <w:rPr>
          <w:rFonts w:ascii="Times New Roman" w:hAnsi="Times New Roman" w:cs="Times New Roman"/>
        </w:rPr>
        <w:t>23.605</w:t>
      </w:r>
      <w:r w:rsidRPr="003A46F9" w:rsidR="002470E0">
        <w:rPr>
          <w:rFonts w:ascii="Times New Roman" w:hAnsi="Times New Roman" w:cs="Times New Roman"/>
        </w:rPr>
        <w:t>,</w:t>
      </w:r>
      <w:r>
        <w:rPr>
          <w:rStyle w:val="FootnoteReference"/>
          <w:rFonts w:ascii="Times New Roman" w:hAnsi="Times New Roman" w:cs="Times New Roman"/>
        </w:rPr>
        <w:footnoteReference w:id="10"/>
      </w:r>
      <w:r w:rsidRPr="003A46F9">
        <w:rPr>
          <w:rFonts w:ascii="Times New Roman" w:hAnsi="Times New Roman" w:cs="Times New Roman"/>
        </w:rPr>
        <w:t xml:space="preserve"> </w:t>
      </w:r>
      <w:r w:rsidRPr="003A46F9" w:rsidR="002A0875">
        <w:rPr>
          <w:rFonts w:ascii="Times New Roman" w:hAnsi="Times New Roman" w:cs="Times New Roman"/>
        </w:rPr>
        <w:t>requiring</w:t>
      </w:r>
      <w:r w:rsidRPr="003A46F9">
        <w:rPr>
          <w:rFonts w:ascii="Times New Roman" w:hAnsi="Times New Roman" w:cs="Times New Roman"/>
        </w:rPr>
        <w:t xml:space="preserve"> </w:t>
      </w:r>
      <w:r w:rsidR="00417E66">
        <w:rPr>
          <w:rFonts w:ascii="Times New Roman" w:hAnsi="Times New Roman" w:cs="Times New Roman"/>
        </w:rPr>
        <w:t>SD</w:t>
      </w:r>
      <w:r w:rsidRPr="003A46F9">
        <w:rPr>
          <w:rFonts w:ascii="Times New Roman" w:hAnsi="Times New Roman" w:cs="Times New Roman"/>
        </w:rPr>
        <w:t xml:space="preserve">s and </w:t>
      </w:r>
      <w:r w:rsidR="00417E66">
        <w:rPr>
          <w:rFonts w:ascii="Times New Roman" w:hAnsi="Times New Roman" w:cs="Times New Roman"/>
        </w:rPr>
        <w:t>MSP</w:t>
      </w:r>
      <w:r w:rsidRPr="003A46F9">
        <w:rPr>
          <w:rFonts w:ascii="Times New Roman" w:hAnsi="Times New Roman" w:cs="Times New Roman"/>
        </w:rPr>
        <w:t xml:space="preserve">s to </w:t>
      </w:r>
      <w:r w:rsidRPr="003A46F9" w:rsidR="00AC28F2">
        <w:rPr>
          <w:rFonts w:ascii="Times New Roman" w:hAnsi="Times New Roman" w:cs="Times New Roman"/>
        </w:rPr>
        <w:t>follow specified procedures and provide specified di</w:t>
      </w:r>
      <w:r w:rsidR="00721536">
        <w:rPr>
          <w:rFonts w:ascii="Times New Roman" w:hAnsi="Times New Roman" w:cs="Times New Roman"/>
        </w:rPr>
        <w:t>s</w:t>
      </w:r>
      <w:r w:rsidRPr="003A46F9" w:rsidR="00AC28F2">
        <w:rPr>
          <w:rFonts w:ascii="Times New Roman" w:hAnsi="Times New Roman" w:cs="Times New Roman"/>
        </w:rPr>
        <w:t>closures in their dealings with</w:t>
      </w:r>
      <w:r w:rsidR="0088583B">
        <w:rPr>
          <w:rFonts w:ascii="Times New Roman" w:hAnsi="Times New Roman" w:cs="Times New Roman"/>
        </w:rPr>
        <w:t xml:space="preserve"> </w:t>
      </w:r>
      <w:r w:rsidRPr="003A46F9" w:rsidR="00AC28F2">
        <w:rPr>
          <w:rFonts w:ascii="Times New Roman" w:hAnsi="Times New Roman" w:cs="Times New Roman"/>
        </w:rPr>
        <w:t xml:space="preserve">counterparties, to </w:t>
      </w:r>
      <w:r w:rsidRPr="003A46F9" w:rsidR="000123A0">
        <w:rPr>
          <w:rFonts w:ascii="Times New Roman" w:hAnsi="Times New Roman" w:cs="Times New Roman"/>
        </w:rPr>
        <w:t xml:space="preserve">adopt and implement </w:t>
      </w:r>
      <w:r w:rsidRPr="003A46F9">
        <w:rPr>
          <w:rFonts w:ascii="Times New Roman" w:hAnsi="Times New Roman" w:cs="Times New Roman"/>
        </w:rPr>
        <w:t>conflicts of interest procedures and disclosures, and to maintain specified records related to those requirements.</w:t>
      </w:r>
    </w:p>
    <w:p w:rsidR="00C36518" w:rsidP="002E237C" w14:paraId="03E15A3F" w14:textId="27075F7C">
      <w:pPr>
        <w:pStyle w:val="Default"/>
        <w:spacing w:after="240"/>
        <w:jc w:val="both"/>
        <w:rPr>
          <w:rFonts w:ascii="Times New Roman" w:hAnsi="Times New Roman" w:cs="Times New Roman"/>
        </w:rPr>
      </w:pPr>
      <w:r>
        <w:rPr>
          <w:rFonts w:ascii="Times New Roman" w:hAnsi="Times New Roman" w:cs="Times New Roman"/>
        </w:rPr>
        <w:t>In addition, t</w:t>
      </w:r>
      <w:r w:rsidRPr="0043166C" w:rsidR="0043166C">
        <w:rPr>
          <w:rFonts w:ascii="Times New Roman" w:hAnsi="Times New Roman" w:cs="Times New Roman"/>
        </w:rPr>
        <w:t xml:space="preserve">he Commission </w:t>
      </w:r>
      <w:r w:rsidR="00353274">
        <w:rPr>
          <w:rFonts w:ascii="Times New Roman" w:hAnsi="Times New Roman" w:cs="Times New Roman"/>
        </w:rPr>
        <w:t>promulgated</w:t>
      </w:r>
      <w:r w:rsidRPr="0043166C" w:rsidR="00353274">
        <w:rPr>
          <w:rFonts w:ascii="Times New Roman" w:hAnsi="Times New Roman" w:cs="Times New Roman"/>
        </w:rPr>
        <w:t xml:space="preserve"> </w:t>
      </w:r>
      <w:r w:rsidRPr="0043166C" w:rsidR="0043166C">
        <w:rPr>
          <w:rFonts w:ascii="Times New Roman" w:hAnsi="Times New Roman" w:cs="Times New Roman"/>
        </w:rPr>
        <w:t>certain exceptions from the EBCS Rules for certain foreign swaps i</w:t>
      </w:r>
      <w:r w:rsidR="001C43E1">
        <w:rPr>
          <w:rFonts w:ascii="Times New Roman" w:hAnsi="Times New Roman" w:cs="Times New Roman"/>
        </w:rPr>
        <w:t xml:space="preserve">n </w:t>
      </w:r>
      <w:bookmarkStart w:id="0" w:name="_Hlk137026168"/>
      <w:r w:rsidR="001C43E1">
        <w:rPr>
          <w:rFonts w:ascii="Times New Roman" w:hAnsi="Times New Roman" w:cs="Times New Roman"/>
        </w:rPr>
        <w:t>§ </w:t>
      </w:r>
      <w:bookmarkEnd w:id="0"/>
      <w:r w:rsidR="001C43E1">
        <w:rPr>
          <w:rFonts w:ascii="Times New Roman" w:hAnsi="Times New Roman" w:cs="Times New Roman"/>
        </w:rPr>
        <w:t>23.23</w:t>
      </w:r>
      <w:r>
        <w:rPr>
          <w:rFonts w:ascii="Times New Roman" w:hAnsi="Times New Roman" w:cs="Times New Roman"/>
        </w:rPr>
        <w:t>(e)</w:t>
      </w:r>
      <w:r w:rsidRPr="0043166C" w:rsidR="0043166C">
        <w:rPr>
          <w:rFonts w:ascii="Times New Roman" w:hAnsi="Times New Roman" w:cs="Times New Roman"/>
        </w:rPr>
        <w:t>.</w:t>
      </w:r>
      <w:r>
        <w:rPr>
          <w:rStyle w:val="FootnoteReference"/>
          <w:rFonts w:ascii="Times New Roman" w:hAnsi="Times New Roman" w:cs="Times New Roman"/>
        </w:rPr>
        <w:footnoteReference w:id="11"/>
      </w:r>
      <w:r w:rsidRPr="0043166C" w:rsidR="0043166C">
        <w:rPr>
          <w:rFonts w:ascii="Times New Roman" w:hAnsi="Times New Roman" w:cs="Times New Roman"/>
        </w:rPr>
        <w:t xml:space="preserve">  </w:t>
      </w:r>
      <w:r>
        <w:rPr>
          <w:rFonts w:ascii="Times New Roman" w:hAnsi="Times New Roman" w:cs="Times New Roman"/>
        </w:rPr>
        <w:t xml:space="preserve">To the extent a </w:t>
      </w:r>
      <w:r w:rsidR="00417E66">
        <w:rPr>
          <w:rFonts w:ascii="Times New Roman" w:hAnsi="Times New Roman" w:cs="Times New Roman"/>
        </w:rPr>
        <w:t xml:space="preserve">SD </w:t>
      </w:r>
      <w:r w:rsidRPr="00730E89" w:rsidR="00730E89">
        <w:rPr>
          <w:rFonts w:ascii="Times New Roman" w:hAnsi="Times New Roman" w:cs="Times New Roman"/>
        </w:rPr>
        <w:t xml:space="preserve">or </w:t>
      </w:r>
      <w:r w:rsidR="00417E66">
        <w:rPr>
          <w:rFonts w:ascii="Times New Roman" w:hAnsi="Times New Roman" w:cs="Times New Roman"/>
        </w:rPr>
        <w:t xml:space="preserve">MSP </w:t>
      </w:r>
      <w:r>
        <w:rPr>
          <w:rFonts w:ascii="Times New Roman" w:hAnsi="Times New Roman" w:cs="Times New Roman"/>
        </w:rPr>
        <w:t>avails itself of one or more of these exceptions,</w:t>
      </w:r>
      <w:r w:rsidR="00417E66">
        <w:rPr>
          <w:rFonts w:ascii="Times New Roman" w:hAnsi="Times New Roman" w:cs="Times New Roman"/>
        </w:rPr>
        <w:t xml:space="preserve"> </w:t>
      </w:r>
      <w:r>
        <w:rPr>
          <w:rFonts w:ascii="Times New Roman" w:hAnsi="Times New Roman" w:cs="Times New Roman"/>
        </w:rPr>
        <w:t>§ 23.23(h)(1)</w:t>
      </w:r>
      <w:r w:rsidR="00CF6F6B">
        <w:rPr>
          <w:rFonts w:ascii="Times New Roman" w:hAnsi="Times New Roman" w:cs="Times New Roman"/>
        </w:rPr>
        <w:t xml:space="preserve"> </w:t>
      </w:r>
      <w:r>
        <w:rPr>
          <w:rFonts w:ascii="Times New Roman" w:hAnsi="Times New Roman" w:cs="Times New Roman"/>
        </w:rPr>
        <w:t>imposes information collection requirements in lieu of such requirements in the EBCS Rules.</w:t>
      </w:r>
      <w:r>
        <w:rPr>
          <w:rStyle w:val="FootnoteReference"/>
          <w:rFonts w:ascii="Times New Roman" w:hAnsi="Times New Roman" w:cs="Times New Roman"/>
        </w:rPr>
        <w:footnoteReference w:id="12"/>
      </w:r>
    </w:p>
    <w:p w:rsidR="00C36518" w:rsidP="002E237C" w14:paraId="65E34B9E" w14:textId="4B502E08">
      <w:pPr>
        <w:pStyle w:val="Default"/>
        <w:spacing w:after="24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 xml:space="preserve">n its notice </w:t>
      </w:r>
      <w:r w:rsidRPr="00C36518">
        <w:rPr>
          <w:rFonts w:ascii="Times New Roman" w:hAnsi="Times New Roman" w:cs="Times New Roman"/>
        </w:rPr>
        <w:t>of proposed rulemaking (the “Proposal”)</w:t>
      </w:r>
      <w:r>
        <w:rPr>
          <w:rFonts w:ascii="Times New Roman" w:hAnsi="Times New Roman" w:cs="Times New Roman"/>
        </w:rPr>
        <w:t>,</w:t>
      </w:r>
      <w:r w:rsidRPr="00C36518">
        <w:rPr>
          <w:rFonts w:ascii="Times New Roman" w:hAnsi="Times New Roman" w:cs="Times New Roman"/>
        </w:rPr>
        <w:t xml:space="preserve"> </w:t>
      </w:r>
      <w:r>
        <w:rPr>
          <w:rFonts w:ascii="Times New Roman" w:hAnsi="Times New Roman" w:cs="Times New Roman"/>
        </w:rPr>
        <w:t xml:space="preserve">the Commission proposes </w:t>
      </w:r>
      <w:r w:rsidRPr="00C36518">
        <w:rPr>
          <w:rFonts w:ascii="Times New Roman" w:hAnsi="Times New Roman" w:cs="Times New Roman"/>
        </w:rPr>
        <w:t xml:space="preserve">to (1) amend certain business conduct standards for SDs and MSPs </w:t>
      </w:r>
      <w:r>
        <w:rPr>
          <w:rFonts w:ascii="Times New Roman" w:hAnsi="Times New Roman" w:cs="Times New Roman"/>
        </w:rPr>
        <w:t>(</w:t>
      </w:r>
      <w:r w:rsidRPr="00C36518">
        <w:rPr>
          <w:rFonts w:ascii="Times New Roman" w:hAnsi="Times New Roman" w:cs="Times New Roman"/>
        </w:rPr>
        <w:t xml:space="preserve">together “Swap Entities”) in their dealings with counterparties contained in </w:t>
      </w:r>
      <w:r>
        <w:rPr>
          <w:rFonts w:ascii="Times New Roman" w:hAnsi="Times New Roman" w:cs="Times New Roman"/>
        </w:rPr>
        <w:t>the EBCS Rules</w:t>
      </w:r>
      <w:r w:rsidRPr="00C36518">
        <w:rPr>
          <w:rFonts w:ascii="Times New Roman" w:hAnsi="Times New Roman" w:cs="Times New Roman"/>
        </w:rPr>
        <w:t xml:space="preserve">; and (2) amend the swap trading relationship documentation rule for Swap Entities in existing Commission regulation 23.504.  These amendments would provide exceptions to compliance with such requirements when executing swaps that are: (1) intended by the parties to be cleared contemporaneously with execution; or (2) subject to prime broker arrangements that meet certain qualifying conditions.  These proposed amendments, if adopted, are intended to supersede the Market Participants Division’s (“MPD”) no-action positions contained in CFTC Staff Letters 12-58, 13-11, 13-12, 19-06, and 23-01 (collectively, the “Covered Staff Letters”) and to make other adjustments to such rules in order to harmonize such requirements with those of the Securities and Exchange Commission (“SEC”) and the Municipal Securities Rulemaking Board to reduce administrative burdens on dually-registered entities.  MPD expects that, upon the adoption of a final rule enacting the Proposal, it will withdraw some or </w:t>
      </w:r>
      <w:r w:rsidRPr="00C36518">
        <w:rPr>
          <w:rFonts w:ascii="Times New Roman" w:hAnsi="Times New Roman" w:cs="Times New Roman"/>
        </w:rPr>
        <w:t>all of</w:t>
      </w:r>
      <w:r w:rsidRPr="00C36518">
        <w:rPr>
          <w:rFonts w:ascii="Times New Roman" w:hAnsi="Times New Roman" w:cs="Times New Roman"/>
        </w:rPr>
        <w:t xml:space="preserve"> the Covered Staff Letters.</w:t>
      </w:r>
    </w:p>
    <w:p w:rsidR="00C36518" w:rsidP="002E237C" w14:paraId="288A0931" w14:textId="24550CEA">
      <w:pPr>
        <w:pStyle w:val="Default"/>
        <w:spacing w:after="240"/>
        <w:jc w:val="both"/>
        <w:rPr>
          <w:rFonts w:ascii="Times New Roman" w:hAnsi="Times New Roman" w:cs="Times New Roman"/>
        </w:rPr>
      </w:pPr>
      <w:r>
        <w:rPr>
          <w:rFonts w:ascii="Times New Roman" w:hAnsi="Times New Roman" w:cs="Times New Roman"/>
        </w:rPr>
        <w:t xml:space="preserve">The proposed definition and compliance exceptions, if adopted, </w:t>
      </w:r>
      <w:r w:rsidR="006D1A8F">
        <w:rPr>
          <w:rFonts w:ascii="Times New Roman" w:hAnsi="Times New Roman" w:cs="Times New Roman"/>
        </w:rPr>
        <w:t>would</w:t>
      </w:r>
      <w:r>
        <w:rPr>
          <w:rFonts w:ascii="Times New Roman" w:hAnsi="Times New Roman" w:cs="Times New Roman"/>
        </w:rPr>
        <w:t xml:space="preserve"> </w:t>
      </w:r>
      <w:r w:rsidRPr="000644A6">
        <w:rPr>
          <w:rFonts w:ascii="Times New Roman" w:hAnsi="Times New Roman" w:cs="Times New Roman"/>
        </w:rPr>
        <w:t>significantly reduce the number of required disclosures an SD would otherwise be required to make</w:t>
      </w:r>
      <w:r>
        <w:rPr>
          <w:rFonts w:ascii="Times New Roman" w:hAnsi="Times New Roman" w:cs="Times New Roman"/>
        </w:rPr>
        <w:t xml:space="preserve"> pursuant to </w:t>
      </w:r>
      <w:r w:rsidR="006D1A8F">
        <w:rPr>
          <w:rFonts w:ascii="Times New Roman" w:hAnsi="Times New Roman" w:cs="Times New Roman"/>
        </w:rPr>
        <w:t xml:space="preserve">Commission regulation </w:t>
      </w:r>
      <w:r w:rsidRPr="000644A6">
        <w:rPr>
          <w:rFonts w:ascii="Times New Roman" w:hAnsi="Times New Roman" w:cs="Times New Roman"/>
        </w:rPr>
        <w:t>23.431</w:t>
      </w:r>
      <w:r>
        <w:rPr>
          <w:rFonts w:ascii="Times New Roman" w:hAnsi="Times New Roman" w:cs="Times New Roman"/>
        </w:rPr>
        <w:t>,</w:t>
      </w:r>
      <w:r>
        <w:rPr>
          <w:rStyle w:val="FootnoteReference"/>
          <w:rFonts w:ascii="Times New Roman" w:hAnsi="Times New Roman" w:cs="Times New Roman"/>
        </w:rPr>
        <w:footnoteReference w:id="13"/>
      </w:r>
      <w:r>
        <w:rPr>
          <w:rFonts w:ascii="Times New Roman" w:hAnsi="Times New Roman" w:cs="Times New Roman"/>
        </w:rPr>
        <w:t xml:space="preserve"> including disclosure of the price of the swap and the so-called “pre-trade mid-market mark” (“PTMMM”) of a particular swap</w:t>
      </w:r>
      <w:r>
        <w:rPr>
          <w:rStyle w:val="FootnoteReference"/>
          <w:rFonts w:ascii="Times New Roman" w:hAnsi="Times New Roman" w:cs="Times New Roman"/>
        </w:rPr>
        <w:footnoteReference w:id="14"/>
      </w:r>
      <w:r>
        <w:rPr>
          <w:rFonts w:ascii="Times New Roman" w:hAnsi="Times New Roman" w:cs="Times New Roman"/>
        </w:rPr>
        <w:t xml:space="preserve"> and the </w:t>
      </w:r>
      <w:r w:rsidRPr="00B4193B">
        <w:rPr>
          <w:rFonts w:ascii="Times New Roman" w:hAnsi="Times New Roman" w:cs="Times New Roman"/>
        </w:rPr>
        <w:t>scenario-analysis-upon-request requirement</w:t>
      </w:r>
      <w:r>
        <w:rPr>
          <w:rFonts w:ascii="Times New Roman" w:hAnsi="Times New Roman" w:cs="Times New Roman"/>
        </w:rPr>
        <w:t xml:space="preserve"> (“Scenario Analysis Requirement”)</w:t>
      </w:r>
      <w:r w:rsidRPr="00B4193B">
        <w:rPr>
          <w:rFonts w:ascii="Times New Roman" w:hAnsi="Times New Roman" w:cs="Times New Roman"/>
        </w:rPr>
        <w:t xml:space="preserve"> in </w:t>
      </w:r>
      <w:r w:rsidR="006D1A8F">
        <w:rPr>
          <w:rFonts w:ascii="Times New Roman" w:hAnsi="Times New Roman" w:cs="Times New Roman"/>
        </w:rPr>
        <w:t xml:space="preserve">Commission regulation </w:t>
      </w:r>
      <w:r w:rsidRPr="00B4193B">
        <w:rPr>
          <w:rFonts w:ascii="Times New Roman" w:hAnsi="Times New Roman" w:cs="Times New Roman"/>
        </w:rPr>
        <w:t>23.431(b).</w:t>
      </w:r>
      <w:r>
        <w:rPr>
          <w:rStyle w:val="FootnoteReference"/>
          <w:rFonts w:ascii="Times New Roman" w:hAnsi="Times New Roman" w:cs="Times New Roman"/>
        </w:rPr>
        <w:footnoteReference w:id="15"/>
      </w:r>
    </w:p>
    <w:p w:rsidR="00A960C1" w:rsidRPr="003A46F9" w:rsidP="002E237C" w14:paraId="57FF0B47" w14:textId="6DDD2354">
      <w:pPr>
        <w:pStyle w:val="Default"/>
        <w:spacing w:after="240"/>
        <w:jc w:val="both"/>
        <w:rPr>
          <w:rFonts w:ascii="Times New Roman" w:hAnsi="Times New Roman" w:cs="Times New Roman"/>
        </w:rPr>
      </w:pPr>
      <w:r w:rsidRPr="007051EA">
        <w:rPr>
          <w:rFonts w:ascii="Times New Roman" w:hAnsi="Times New Roman" w:cs="Times New Roman"/>
        </w:rPr>
        <w:t xml:space="preserve">The </w:t>
      </w:r>
      <w:r>
        <w:rPr>
          <w:rFonts w:ascii="Times New Roman" w:hAnsi="Times New Roman" w:cs="Times New Roman"/>
        </w:rPr>
        <w:t>proposed rules, if adopted,</w:t>
      </w:r>
      <w:r w:rsidRPr="007051EA">
        <w:rPr>
          <w:rFonts w:ascii="Times New Roman" w:hAnsi="Times New Roman" w:cs="Times New Roman"/>
        </w:rPr>
        <w:t xml:space="preserve"> </w:t>
      </w:r>
      <w:r w:rsidR="006D1A8F">
        <w:rPr>
          <w:rFonts w:ascii="Times New Roman" w:hAnsi="Times New Roman" w:cs="Times New Roman"/>
        </w:rPr>
        <w:t>would</w:t>
      </w:r>
      <w:r w:rsidRPr="007051EA">
        <w:rPr>
          <w:rFonts w:ascii="Times New Roman" w:hAnsi="Times New Roman" w:cs="Times New Roman"/>
        </w:rPr>
        <w:t xml:space="preserve"> also expand other existing exceptions in </w:t>
      </w:r>
      <w:r w:rsidR="006D1A8F">
        <w:rPr>
          <w:rFonts w:ascii="Times New Roman" w:hAnsi="Times New Roman" w:cs="Times New Roman"/>
        </w:rPr>
        <w:t xml:space="preserve">Commission regulation </w:t>
      </w:r>
      <w:r w:rsidRPr="007051EA">
        <w:rPr>
          <w:rFonts w:ascii="Times New Roman" w:hAnsi="Times New Roman" w:cs="Times New Roman"/>
        </w:rPr>
        <w:t>23.431.</w:t>
      </w:r>
      <w:r>
        <w:rPr>
          <w:rStyle w:val="FootnoteReference"/>
          <w:rFonts w:ascii="Times New Roman" w:hAnsi="Times New Roman" w:cs="Times New Roman"/>
        </w:rPr>
        <w:footnoteReference w:id="16"/>
      </w:r>
      <w:r>
        <w:rPr>
          <w:rFonts w:ascii="Times New Roman" w:hAnsi="Times New Roman" w:cs="Times New Roman"/>
        </w:rPr>
        <w:t xml:space="preserve">  </w:t>
      </w:r>
      <w:r w:rsidRPr="007051EA">
        <w:rPr>
          <w:rFonts w:ascii="Times New Roman" w:hAnsi="Times New Roman" w:cs="Times New Roman"/>
        </w:rPr>
        <w:t xml:space="preserve">Meeting the requirements for certain of these exceptions may entail certain burdens and costs, but the Commission preliminarily believes that, in the aggregate, the modifications may reduce the burden of the regulations.  However, </w:t>
      </w:r>
      <w:r w:rsidRPr="007051EA">
        <w:rPr>
          <w:rFonts w:ascii="Times New Roman" w:hAnsi="Times New Roman" w:cs="Times New Roman"/>
        </w:rPr>
        <w:t>in an effort to</w:t>
      </w:r>
      <w:r w:rsidRPr="007051EA">
        <w:rPr>
          <w:rFonts w:ascii="Times New Roman" w:hAnsi="Times New Roman" w:cs="Times New Roman"/>
        </w:rPr>
        <w:t xml:space="preserve"> be conservative, because the number of swaps that will be eligible for the new and expanded exceptions is unknown, the Commission is leaving the estimated burden of the regulation associated with these </w:t>
      </w:r>
      <w:r w:rsidRPr="007051EA">
        <w:rPr>
          <w:rFonts w:ascii="Times New Roman" w:hAnsi="Times New Roman" w:cs="Times New Roman"/>
        </w:rPr>
        <w:t>amendments unchanged.</w:t>
      </w:r>
    </w:p>
    <w:p w:rsidR="00A960C1" w:rsidRPr="003A46F9" w:rsidP="002E237C" w14:paraId="08C7CB70" w14:textId="60665214">
      <w:pPr>
        <w:pStyle w:val="Default"/>
        <w:spacing w:after="240"/>
        <w:jc w:val="both"/>
        <w:rPr>
          <w:rFonts w:ascii="Times New Roman" w:hAnsi="Times New Roman" w:cs="Times New Roman"/>
        </w:rPr>
      </w:pPr>
      <w:r w:rsidRPr="003A46F9">
        <w:rPr>
          <w:rFonts w:ascii="Times New Roman" w:hAnsi="Times New Roman" w:cs="Times New Roman"/>
        </w:rPr>
        <w:t>The information collection obligations imposed by the regulation</w:t>
      </w:r>
      <w:r w:rsidRPr="003A46F9" w:rsidR="00AC28F2">
        <w:rPr>
          <w:rFonts w:ascii="Times New Roman" w:hAnsi="Times New Roman" w:cs="Times New Roman"/>
        </w:rPr>
        <w:t>s</w:t>
      </w:r>
      <w:r w:rsidRPr="003A46F9">
        <w:rPr>
          <w:rFonts w:ascii="Times New Roman" w:hAnsi="Times New Roman" w:cs="Times New Roman"/>
        </w:rPr>
        <w:t xml:space="preserve"> are essential to ensuring that </w:t>
      </w:r>
      <w:r w:rsidR="00417E66">
        <w:rPr>
          <w:rFonts w:ascii="Times New Roman" w:hAnsi="Times New Roman" w:cs="Times New Roman"/>
        </w:rPr>
        <w:t>SD</w:t>
      </w:r>
      <w:r w:rsidRPr="003A46F9" w:rsidR="00417E66">
        <w:rPr>
          <w:rFonts w:ascii="Times New Roman" w:hAnsi="Times New Roman" w:cs="Times New Roman"/>
        </w:rPr>
        <w:t xml:space="preserve">s and </w:t>
      </w:r>
      <w:r w:rsidR="00417E66">
        <w:rPr>
          <w:rFonts w:ascii="Times New Roman" w:hAnsi="Times New Roman" w:cs="Times New Roman"/>
        </w:rPr>
        <w:t>MSP</w:t>
      </w:r>
      <w:r w:rsidRPr="003A46F9" w:rsidR="00417E66">
        <w:rPr>
          <w:rFonts w:ascii="Times New Roman" w:hAnsi="Times New Roman" w:cs="Times New Roman"/>
        </w:rPr>
        <w:t>s</w:t>
      </w:r>
      <w:r w:rsidRPr="003A46F9">
        <w:rPr>
          <w:rFonts w:ascii="Times New Roman" w:hAnsi="Times New Roman" w:cs="Times New Roman"/>
        </w:rPr>
        <w:t xml:space="preserve"> develop and maintain procedures and disclosures required by the CEA and Commission regulations.</w:t>
      </w:r>
    </w:p>
    <w:p w:rsidR="00A960C1" w:rsidRPr="003A46F9" w:rsidP="002E237C" w14:paraId="30C9021A" w14:textId="5067A5BA">
      <w:pPr>
        <w:tabs>
          <w:tab w:val="left" w:pos="-720"/>
        </w:tabs>
        <w:spacing w:after="240"/>
        <w:ind w:left="720" w:hanging="720"/>
        <w:jc w:val="both"/>
        <w:rPr>
          <w:rFonts w:ascii="Times New Roman" w:hAnsi="Times New Roman"/>
        </w:rPr>
      </w:pPr>
      <w:r w:rsidRPr="003A46F9">
        <w:rPr>
          <w:rFonts w:ascii="Times New Roman" w:hAnsi="Times New Roman"/>
          <w:b/>
        </w:rPr>
        <w:t>2.</w:t>
      </w:r>
      <w:r w:rsidRPr="003A46F9">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A960C1" w:rsidRPr="003A46F9" w:rsidP="002E237C" w14:paraId="1DD102D5" w14:textId="4664063F">
      <w:pPr>
        <w:spacing w:after="240"/>
        <w:jc w:val="both"/>
        <w:rPr>
          <w:rFonts w:ascii="Times New Roman" w:hAnsi="Times New Roman"/>
        </w:rPr>
      </w:pPr>
      <w:r w:rsidRPr="003A46F9">
        <w:rPr>
          <w:rFonts w:ascii="Times New Roman" w:hAnsi="Times New Roman"/>
        </w:rPr>
        <w:t xml:space="preserve">The required records </w:t>
      </w:r>
      <w:r w:rsidRPr="003A46F9" w:rsidR="00F33E39">
        <w:rPr>
          <w:rFonts w:ascii="Times New Roman" w:hAnsi="Times New Roman"/>
        </w:rPr>
        <w:t xml:space="preserve">will </w:t>
      </w:r>
      <w:r w:rsidRPr="003A46F9">
        <w:rPr>
          <w:rFonts w:ascii="Times New Roman" w:hAnsi="Times New Roman"/>
        </w:rPr>
        <w:t xml:space="preserve">be used by Commission staff to evaluate the </w:t>
      </w:r>
      <w:r w:rsidRPr="003A46F9" w:rsidR="0084301E">
        <w:rPr>
          <w:rFonts w:ascii="Times New Roman" w:hAnsi="Times New Roman"/>
        </w:rPr>
        <w:t>procedures and disclosures required by the CEA and Commission regulations</w:t>
      </w:r>
      <w:r w:rsidRPr="003A46F9">
        <w:rPr>
          <w:rFonts w:ascii="Times New Roman" w:hAnsi="Times New Roman"/>
        </w:rPr>
        <w:t>.</w:t>
      </w:r>
    </w:p>
    <w:p w:rsidR="00A960C1" w:rsidRPr="003A46F9" w:rsidP="002E237C" w14:paraId="76667207"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3.</w:t>
      </w:r>
      <w:r w:rsidRPr="003A46F9">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60C1" w:rsidRPr="003A46F9" w:rsidP="002E237C" w14:paraId="53316FC7" w14:textId="67E3B65B">
      <w:pPr>
        <w:tabs>
          <w:tab w:val="left" w:pos="-720"/>
          <w:tab w:val="left" w:pos="0"/>
        </w:tabs>
        <w:spacing w:after="240"/>
        <w:jc w:val="both"/>
        <w:rPr>
          <w:rFonts w:ascii="Times New Roman" w:hAnsi="Times New Roman"/>
        </w:rPr>
      </w:pPr>
      <w:r w:rsidRPr="003A46F9">
        <w:rPr>
          <w:rFonts w:ascii="Times New Roman" w:hAnsi="Times New Roman"/>
        </w:rPr>
        <w:t xml:space="preserve">The regulation requires that recordkeeping be performed in accordance with </w:t>
      </w:r>
      <w:r w:rsidR="006D1A8F">
        <w:rPr>
          <w:rFonts w:ascii="Times New Roman" w:hAnsi="Times New Roman"/>
        </w:rPr>
        <w:t xml:space="preserve">Commission regulation </w:t>
      </w:r>
      <w:r w:rsidR="007573DC">
        <w:rPr>
          <w:rFonts w:ascii="Times New Roman" w:hAnsi="Times New Roman"/>
        </w:rPr>
        <w:t xml:space="preserve"> </w:t>
      </w:r>
      <w:r w:rsidRPr="003A46F9">
        <w:rPr>
          <w:rFonts w:ascii="Times New Roman" w:hAnsi="Times New Roman"/>
        </w:rPr>
        <w:t>1.31,</w:t>
      </w:r>
      <w:r>
        <w:rPr>
          <w:rStyle w:val="FootnoteReference"/>
          <w:rFonts w:ascii="Times New Roman" w:hAnsi="Times New Roman"/>
        </w:rPr>
        <w:footnoteReference w:id="17"/>
      </w:r>
      <w:r w:rsidRPr="003A46F9">
        <w:rPr>
          <w:rFonts w:ascii="Times New Roman" w:hAnsi="Times New Roman"/>
        </w:rPr>
        <w:t xml:space="preserve"> which permits the use of electronic </w:t>
      </w:r>
      <w:r w:rsidRPr="003A46F9" w:rsidR="00343FC8">
        <w:rPr>
          <w:rFonts w:ascii="Times New Roman" w:hAnsi="Times New Roman"/>
        </w:rPr>
        <w:t>regulatory records</w:t>
      </w:r>
      <w:r w:rsidRPr="003A46F9">
        <w:rPr>
          <w:rFonts w:ascii="Times New Roman" w:hAnsi="Times New Roman"/>
        </w:rPr>
        <w:t>.</w:t>
      </w:r>
    </w:p>
    <w:p w:rsidR="00A960C1" w:rsidRPr="003A46F9" w:rsidP="001D6099" w14:paraId="2A99FB16" w14:textId="77777777">
      <w:pPr>
        <w:tabs>
          <w:tab w:val="left" w:pos="-720"/>
        </w:tabs>
        <w:spacing w:after="240"/>
        <w:ind w:left="720" w:hanging="720"/>
        <w:jc w:val="both"/>
        <w:rPr>
          <w:rFonts w:ascii="Times New Roman" w:hAnsi="Times New Roman"/>
          <w:b/>
        </w:rPr>
      </w:pPr>
      <w:r w:rsidRPr="003A46F9">
        <w:rPr>
          <w:rFonts w:ascii="Times New Roman" w:hAnsi="Times New Roman"/>
          <w:b/>
        </w:rPr>
        <w:t>4.</w:t>
      </w:r>
      <w:r w:rsidRPr="003A46F9">
        <w:rPr>
          <w:rFonts w:ascii="Times New Roman" w:hAnsi="Times New Roman"/>
          <w:b/>
        </w:rPr>
        <w:tab/>
        <w:t>Describe efforts to identify duplication.  Show specifically why any similar information already available cannot be used or modified for use for the purposes described in Item 2 above.</w:t>
      </w:r>
    </w:p>
    <w:p w:rsidR="00A960C1" w:rsidRPr="003A46F9" w:rsidP="001D6099" w14:paraId="70425401" w14:textId="77777777">
      <w:pPr>
        <w:tabs>
          <w:tab w:val="left" w:pos="-720"/>
        </w:tabs>
        <w:spacing w:after="240"/>
        <w:jc w:val="both"/>
        <w:rPr>
          <w:rFonts w:ascii="Times New Roman" w:hAnsi="Times New Roman"/>
        </w:rPr>
      </w:pPr>
      <w:r w:rsidRPr="003A46F9">
        <w:rPr>
          <w:rFonts w:ascii="Times New Roman" w:hAnsi="Times New Roman"/>
        </w:rPr>
        <w:t xml:space="preserve">The required information is not already collected by the Commission for any other purpose, collected by any other agency, or available for public disclosure through any other source. </w:t>
      </w:r>
    </w:p>
    <w:p w:rsidR="00A960C1" w:rsidRPr="003A46F9" w:rsidP="001D6099" w14:paraId="3B9DA279" w14:textId="77777777">
      <w:pPr>
        <w:tabs>
          <w:tab w:val="left" w:pos="-720"/>
        </w:tabs>
        <w:spacing w:after="240"/>
        <w:ind w:left="720" w:hanging="720"/>
        <w:jc w:val="both"/>
        <w:rPr>
          <w:rFonts w:ascii="Times New Roman" w:hAnsi="Times New Roman"/>
          <w:b/>
        </w:rPr>
      </w:pPr>
      <w:r w:rsidRPr="003A46F9">
        <w:rPr>
          <w:rFonts w:ascii="Times New Roman" w:hAnsi="Times New Roman"/>
          <w:b/>
        </w:rPr>
        <w:t>5.</w:t>
      </w:r>
      <w:r w:rsidRPr="003A46F9">
        <w:rPr>
          <w:rFonts w:ascii="Times New Roman" w:hAnsi="Times New Roman"/>
          <w:b/>
        </w:rPr>
        <w:tab/>
        <w:t>If the collection of information involves small business or other small entities (Item 5 of OMB From 83-I), describe the methods used to minimize burden.</w:t>
      </w:r>
    </w:p>
    <w:p w:rsidR="00A960C1" w:rsidRPr="003A46F9" w:rsidP="001D6099" w14:paraId="296EDC64" w14:textId="77777777">
      <w:pPr>
        <w:tabs>
          <w:tab w:val="left" w:pos="-720"/>
        </w:tabs>
        <w:spacing w:after="240"/>
        <w:jc w:val="both"/>
        <w:rPr>
          <w:rFonts w:ascii="Times New Roman" w:hAnsi="Times New Roman"/>
        </w:rPr>
      </w:pPr>
      <w:r w:rsidRPr="003A46F9">
        <w:rPr>
          <w:rFonts w:ascii="Times New Roman" w:hAnsi="Times New Roman"/>
        </w:rPr>
        <w:t xml:space="preserve">The collection of the required information does not involve any small businesses or small entities. </w:t>
      </w:r>
    </w:p>
    <w:p w:rsidR="00A960C1" w:rsidRPr="003A46F9" w:rsidP="002E237C" w14:paraId="1D09B967" w14:textId="77777777">
      <w:pPr>
        <w:tabs>
          <w:tab w:val="left" w:pos="-720"/>
        </w:tabs>
        <w:spacing w:after="240"/>
        <w:ind w:left="720" w:hanging="720"/>
        <w:jc w:val="both"/>
        <w:rPr>
          <w:rFonts w:ascii="Times New Roman" w:hAnsi="Times New Roman"/>
          <w:b/>
        </w:rPr>
      </w:pPr>
      <w:r w:rsidRPr="003A46F9">
        <w:rPr>
          <w:rFonts w:ascii="Times New Roman" w:hAnsi="Times New Roman"/>
          <w:b/>
        </w:rPr>
        <w:t>6.</w:t>
      </w:r>
      <w:r w:rsidRPr="003A46F9">
        <w:rPr>
          <w:rFonts w:ascii="Times New Roman" w:hAnsi="Times New Roman"/>
          <w:b/>
        </w:rPr>
        <w:tab/>
        <w:t>Describe the consequence to the Federal Program or policy activities if the collection were conducted less frequently as well as any technical or legal obstacles to reducing burden.</w:t>
      </w:r>
    </w:p>
    <w:p w:rsidR="00A960C1" w:rsidRPr="003A46F9" w:rsidP="002E237C" w14:paraId="25BE5A6E" w14:textId="5F9766E8">
      <w:pPr>
        <w:pStyle w:val="Default"/>
        <w:spacing w:after="240"/>
        <w:jc w:val="both"/>
        <w:rPr>
          <w:rFonts w:ascii="Times New Roman" w:hAnsi="Times New Roman" w:cs="Times New Roman"/>
        </w:rPr>
      </w:pPr>
    </w:p>
    <w:p w:rsidR="00A960C1" w:rsidRPr="003A46F9" w:rsidP="002E237C" w14:paraId="1DC8B2A2" w14:textId="062FA84B">
      <w:pPr>
        <w:pStyle w:val="Default"/>
        <w:spacing w:after="240"/>
        <w:jc w:val="both"/>
        <w:rPr>
          <w:rFonts w:ascii="Times New Roman" w:hAnsi="Times New Roman" w:cs="Times New Roman"/>
        </w:rPr>
      </w:pPr>
      <w:r w:rsidRPr="003A46F9">
        <w:rPr>
          <w:rFonts w:ascii="Times New Roman" w:hAnsi="Times New Roman" w:cs="Times New Roman"/>
        </w:rPr>
        <w:t xml:space="preserve">Failure to maintain the policies, procedures and other records required by the regulation would adversely affect the Commission’s ability to ensure </w:t>
      </w:r>
      <w:r w:rsidRPr="003A46F9">
        <w:rPr>
          <w:rFonts w:ascii="Times New Roman" w:hAnsi="Times New Roman" w:cs="Times New Roman"/>
        </w:rPr>
        <w:t>the compliance</w:t>
      </w:r>
      <w:r w:rsidRPr="003A46F9">
        <w:rPr>
          <w:rFonts w:ascii="Times New Roman" w:hAnsi="Times New Roman" w:cs="Times New Roman"/>
        </w:rPr>
        <w:t xml:space="preserve"> </w:t>
      </w:r>
      <w:r w:rsidRPr="003A46F9">
        <w:rPr>
          <w:rFonts w:ascii="Times New Roman" w:hAnsi="Times New Roman" w:cs="Times New Roman"/>
        </w:rPr>
        <w:t>of</w:t>
      </w:r>
      <w:r w:rsidRPr="003A46F9">
        <w:rPr>
          <w:rFonts w:ascii="Times New Roman" w:hAnsi="Times New Roman" w:cs="Times New Roman"/>
        </w:rPr>
        <w:t xml:space="preserve"> </w:t>
      </w:r>
      <w:r w:rsidR="00417E66">
        <w:rPr>
          <w:rFonts w:ascii="Times New Roman" w:hAnsi="Times New Roman" w:cs="Times New Roman"/>
        </w:rPr>
        <w:t>SD</w:t>
      </w:r>
      <w:r w:rsidRPr="003A46F9" w:rsidR="00417E66">
        <w:rPr>
          <w:rFonts w:ascii="Times New Roman" w:hAnsi="Times New Roman" w:cs="Times New Roman"/>
        </w:rPr>
        <w:t xml:space="preserve">s and </w:t>
      </w:r>
      <w:r w:rsidR="00417E66">
        <w:rPr>
          <w:rFonts w:ascii="Times New Roman" w:hAnsi="Times New Roman" w:cs="Times New Roman"/>
        </w:rPr>
        <w:t>MSP</w:t>
      </w:r>
      <w:r w:rsidRPr="003A46F9" w:rsidR="00417E66">
        <w:rPr>
          <w:rFonts w:ascii="Times New Roman" w:hAnsi="Times New Roman" w:cs="Times New Roman"/>
        </w:rPr>
        <w:t xml:space="preserve">s </w:t>
      </w:r>
      <w:r w:rsidRPr="003A46F9">
        <w:rPr>
          <w:rFonts w:ascii="Times New Roman" w:hAnsi="Times New Roman" w:cs="Times New Roman"/>
        </w:rPr>
        <w:t xml:space="preserve">with their </w:t>
      </w:r>
      <w:r w:rsidRPr="003A46F9" w:rsidR="006446B6">
        <w:rPr>
          <w:rFonts w:ascii="Times New Roman" w:hAnsi="Times New Roman" w:cs="Times New Roman"/>
        </w:rPr>
        <w:t>business conduct and conflict of interest</w:t>
      </w:r>
      <w:r w:rsidRPr="003A46F9">
        <w:rPr>
          <w:rFonts w:ascii="Times New Roman" w:hAnsi="Times New Roman" w:cs="Times New Roman"/>
        </w:rPr>
        <w:t xml:space="preserve"> obligations under the CEA and Commission regulations.</w:t>
      </w:r>
    </w:p>
    <w:p w:rsidR="00A960C1" w:rsidRPr="003A46F9" w:rsidP="001D6099" w14:paraId="3779B6C3" w14:textId="77777777">
      <w:pPr>
        <w:tabs>
          <w:tab w:val="left" w:pos="-720"/>
          <w:tab w:val="left" w:pos="0"/>
        </w:tabs>
        <w:spacing w:after="240"/>
        <w:jc w:val="both"/>
        <w:rPr>
          <w:rFonts w:ascii="Times New Roman" w:hAnsi="Times New Roman"/>
          <w:b/>
        </w:rPr>
      </w:pPr>
      <w:r w:rsidRPr="003A46F9">
        <w:rPr>
          <w:rFonts w:ascii="Times New Roman" w:hAnsi="Times New Roman"/>
          <w:b/>
        </w:rPr>
        <w:t>7.</w:t>
      </w:r>
      <w:r w:rsidRPr="003A46F9">
        <w:rPr>
          <w:rFonts w:ascii="Times New Roman" w:hAnsi="Times New Roman"/>
          <w:b/>
        </w:rPr>
        <w:tab/>
        <w:t>Explain any special circumstances that require the collection to be conducted in a manner:</w:t>
      </w:r>
    </w:p>
    <w:p w:rsidR="00A960C1" w:rsidRPr="003A46F9" w:rsidP="001D6099" w14:paraId="53651C5F"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requiring respondents to report information to the agency more often than </w:t>
      </w:r>
      <w:r w:rsidRPr="003A46F9">
        <w:rPr>
          <w:rFonts w:ascii="Times New Roman" w:hAnsi="Times New Roman"/>
          <w:b/>
        </w:rPr>
        <w:t>quarterly;</w:t>
      </w:r>
    </w:p>
    <w:p w:rsidR="00A960C1" w:rsidRPr="003A46F9" w:rsidP="001D6099" w14:paraId="68FE57EE" w14:textId="58E8821F">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w:t>
      </w:r>
      <w:r w:rsidR="00D3038B">
        <w:rPr>
          <w:rFonts w:ascii="Times New Roman" w:hAnsi="Times New Roman"/>
        </w:rPr>
        <w:t xml:space="preserve">Respondents to this collection are only required to submit reports when requesting an exemption under section 23.451 of the Commission’s regulation and are not required to submit reports more often than </w:t>
      </w:r>
      <w:r w:rsidR="00D3038B">
        <w:rPr>
          <w:rFonts w:ascii="Times New Roman" w:hAnsi="Times New Roman"/>
        </w:rPr>
        <w:t>quarterly.</w:t>
      </w:r>
      <w:r w:rsidRPr="003A46F9">
        <w:rPr>
          <w:rFonts w:ascii="Times New Roman" w:hAnsi="Times New Roman"/>
        </w:rPr>
        <w:t>.</w:t>
      </w:r>
      <w:r>
        <w:rPr>
          <w:rStyle w:val="FootnoteReference"/>
          <w:rFonts w:ascii="Times New Roman" w:hAnsi="Times New Roman"/>
        </w:rPr>
        <w:footnoteReference w:id="18"/>
      </w:r>
    </w:p>
    <w:p w:rsidR="00A960C1" w:rsidRPr="003A46F9" w:rsidP="001D6099" w14:paraId="00802320"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prepare a written response to a collection of information in fewer than 30 days after receipt of it:</w:t>
      </w:r>
    </w:p>
    <w:p w:rsidR="00A960C1" w:rsidRPr="003A46F9" w:rsidP="001D6099" w14:paraId="4ED0380C"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w:t>
      </w:r>
      <w:r w:rsidRPr="003A46F9" w:rsidR="00343FC8">
        <w:rPr>
          <w:rFonts w:ascii="Times New Roman" w:hAnsi="Times New Roman"/>
        </w:rPr>
        <w:t xml:space="preserve">  </w:t>
      </w:r>
    </w:p>
    <w:p w:rsidR="00A960C1" w:rsidRPr="003A46F9" w:rsidP="001D6099" w14:paraId="250311C2" w14:textId="57562024">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submit more tha</w:t>
      </w:r>
      <w:r w:rsidR="00D3038B">
        <w:rPr>
          <w:rFonts w:ascii="Times New Roman" w:hAnsi="Times New Roman"/>
          <w:b/>
        </w:rPr>
        <w:t>n</w:t>
      </w:r>
      <w:r w:rsidRPr="003A46F9">
        <w:rPr>
          <w:rFonts w:ascii="Times New Roman" w:hAnsi="Times New Roman"/>
          <w:b/>
        </w:rPr>
        <w:t xml:space="preserve"> an original and two copies of any </w:t>
      </w:r>
      <w:r w:rsidRPr="003A46F9">
        <w:rPr>
          <w:rFonts w:ascii="Times New Roman" w:hAnsi="Times New Roman"/>
          <w:b/>
        </w:rPr>
        <w:t>document;</w:t>
      </w:r>
    </w:p>
    <w:p w:rsidR="00A960C1" w:rsidRPr="003A46F9" w:rsidP="001D6099" w14:paraId="01CD05EA" w14:textId="299A3E6C">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w:t>
      </w:r>
      <w:r w:rsidR="00D3038B">
        <w:rPr>
          <w:rFonts w:ascii="Times New Roman" w:hAnsi="Times New Roman"/>
        </w:rPr>
        <w:t xml:space="preserve">Respondents are not required to submit more than </w:t>
      </w:r>
      <w:r w:rsidR="00D3038B">
        <w:rPr>
          <w:rFonts w:ascii="Times New Roman" w:hAnsi="Times New Roman"/>
        </w:rPr>
        <w:t>an</w:t>
      </w:r>
      <w:r w:rsidR="00D3038B">
        <w:rPr>
          <w:rFonts w:ascii="Times New Roman" w:hAnsi="Times New Roman"/>
        </w:rPr>
        <w:t xml:space="preserve"> original and two copies of any document.</w:t>
      </w:r>
      <w:r>
        <w:rPr>
          <w:rStyle w:val="FootnoteReference"/>
          <w:rFonts w:ascii="Times New Roman" w:hAnsi="Times New Roman"/>
        </w:rPr>
        <w:footnoteReference w:id="19"/>
      </w:r>
    </w:p>
    <w:p w:rsidR="00A960C1" w:rsidRPr="003A46F9" w:rsidP="001D6099" w14:paraId="31688B98"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requiring respondents to retain records other than health, medical, government contract, grant-in-aid, or tax records, for more than three </w:t>
      </w:r>
      <w:r w:rsidRPr="003A46F9">
        <w:rPr>
          <w:rFonts w:ascii="Times New Roman" w:hAnsi="Times New Roman"/>
          <w:b/>
        </w:rPr>
        <w:t>years;</w:t>
      </w:r>
    </w:p>
    <w:p w:rsidR="00A960C1" w:rsidRPr="003A46F9" w:rsidP="001D6099" w14:paraId="12C018CC" w14:textId="7906B630">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Commission </w:t>
      </w:r>
      <w:r w:rsidR="004B0647">
        <w:rPr>
          <w:rFonts w:ascii="Times New Roman" w:hAnsi="Times New Roman"/>
        </w:rPr>
        <w:t>R</w:t>
      </w:r>
      <w:r w:rsidRPr="003A46F9" w:rsidR="004B0647">
        <w:rPr>
          <w:rFonts w:ascii="Times New Roman" w:hAnsi="Times New Roman"/>
        </w:rPr>
        <w:t xml:space="preserve">egulation </w:t>
      </w:r>
      <w:r w:rsidRPr="003A46F9">
        <w:rPr>
          <w:rFonts w:ascii="Times New Roman" w:hAnsi="Times New Roman"/>
        </w:rPr>
        <w:t>1.31</w:t>
      </w:r>
      <w:r w:rsidRPr="003A46F9" w:rsidR="00B33E66">
        <w:rPr>
          <w:rFonts w:ascii="Times New Roman" w:hAnsi="Times New Roman"/>
        </w:rPr>
        <w:t>(b)</w:t>
      </w:r>
      <w:r>
        <w:rPr>
          <w:rStyle w:val="FootnoteReference"/>
          <w:rFonts w:ascii="Times New Roman" w:hAnsi="Times New Roman"/>
        </w:rPr>
        <w:footnoteReference w:id="20"/>
      </w:r>
      <w:r w:rsidRPr="003A46F9">
        <w:rPr>
          <w:rFonts w:ascii="Times New Roman" w:hAnsi="Times New Roman"/>
        </w:rPr>
        <w:t xml:space="preserve"> expressly requires that</w:t>
      </w:r>
      <w:r w:rsidRPr="003A46F9" w:rsidR="00553344">
        <w:rPr>
          <w:rFonts w:ascii="Times New Roman" w:hAnsi="Times New Roman"/>
        </w:rPr>
        <w:t xml:space="preserve"> </w:t>
      </w:r>
      <w:r w:rsidRPr="003A46F9" w:rsidR="00B33E66">
        <w:rPr>
          <w:rFonts w:ascii="Times New Roman" w:hAnsi="Times New Roman"/>
        </w:rPr>
        <w:t>books and records required to be kept by the CEA or Commission regulations be retained for certain specified periods.  Other than with respect to oral communications, the shortest of these periods is five years from the date of creation.</w:t>
      </w:r>
    </w:p>
    <w:p w:rsidR="00A960C1" w:rsidRPr="003A46F9" w:rsidP="001D6099" w14:paraId="6E83F4AB"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in connection with a statistical survey, that is not designed to produce valid and reliable results that can be generalized to the universe of </w:t>
      </w:r>
      <w:r w:rsidRPr="003A46F9">
        <w:rPr>
          <w:rFonts w:ascii="Times New Roman" w:hAnsi="Times New Roman"/>
          <w:b/>
        </w:rPr>
        <w:t>study;</w:t>
      </w:r>
      <w:r w:rsidRPr="003A46F9">
        <w:rPr>
          <w:rFonts w:ascii="Times New Roman" w:hAnsi="Times New Roman"/>
          <w:b/>
        </w:rPr>
        <w:t xml:space="preserve"> </w:t>
      </w:r>
    </w:p>
    <w:p w:rsidR="00A960C1" w:rsidRPr="003A46F9" w:rsidP="001D6099" w14:paraId="574E248D"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The </w:t>
      </w:r>
      <w:r w:rsidRPr="003A46F9">
        <w:rPr>
          <w:rFonts w:ascii="Times New Roman" w:hAnsi="Times New Roman"/>
        </w:rPr>
        <w:t xml:space="preserve">regulation </w:t>
      </w:r>
      <w:r w:rsidRPr="003A46F9" w:rsidR="00111AB7">
        <w:rPr>
          <w:rFonts w:ascii="Times New Roman" w:hAnsi="Times New Roman"/>
        </w:rPr>
        <w:t>neither</w:t>
      </w:r>
      <w:r w:rsidRPr="003A46F9" w:rsidR="00111AB7">
        <w:rPr>
          <w:rFonts w:ascii="Times New Roman" w:hAnsi="Times New Roman"/>
        </w:rPr>
        <w:t xml:space="preserve">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any statistical surveys.</w:t>
      </w:r>
    </w:p>
    <w:p w:rsidR="00A960C1" w:rsidRPr="003A46F9" w:rsidP="001D6099" w14:paraId="6BDD2CBB"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requiring the use of a statistical data classification that has not been reviewed and approved by </w:t>
      </w:r>
      <w:r w:rsidRPr="003A46F9">
        <w:rPr>
          <w:rFonts w:ascii="Times New Roman" w:hAnsi="Times New Roman"/>
          <w:b/>
        </w:rPr>
        <w:t>OMB;</w:t>
      </w:r>
    </w:p>
    <w:p w:rsidR="00A960C1" w:rsidRPr="003A46F9" w:rsidP="001D6099" w14:paraId="1F09F746" w14:textId="630432ED">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w:t>
      </w:r>
      <w:r w:rsidR="00551127">
        <w:rPr>
          <w:rFonts w:ascii="Times New Roman" w:hAnsi="Times New Roman"/>
        </w:rPr>
        <w:t xml:space="preserve"> </w:t>
      </w:r>
      <w:r w:rsidRPr="003A46F9">
        <w:rPr>
          <w:rFonts w:ascii="Times New Roman" w:hAnsi="Times New Roman"/>
        </w:rPr>
        <w:t xml:space="preserve">The regulation </w:t>
      </w:r>
      <w:r w:rsidRPr="003A46F9" w:rsidR="00111AB7">
        <w:rPr>
          <w:rFonts w:ascii="Times New Roman" w:hAnsi="Times New Roman"/>
        </w:rPr>
        <w:t xml:space="preserve">neither </w:t>
      </w:r>
      <w:r w:rsidRPr="003A46F9">
        <w:rPr>
          <w:rFonts w:ascii="Times New Roman" w:hAnsi="Times New Roman"/>
        </w:rPr>
        <w:t>require</w:t>
      </w:r>
      <w:r w:rsidRPr="003A46F9" w:rsidR="00111AB7">
        <w:rPr>
          <w:rFonts w:ascii="Times New Roman" w:hAnsi="Times New Roman"/>
        </w:rPr>
        <w:t>s</w:t>
      </w:r>
      <w:r w:rsidRPr="003A46F9">
        <w:rPr>
          <w:rFonts w:ascii="Times New Roman" w:hAnsi="Times New Roman"/>
        </w:rPr>
        <w:t xml:space="preserve"> nor involve</w:t>
      </w:r>
      <w:r w:rsidRPr="003A46F9" w:rsidR="00111AB7">
        <w:rPr>
          <w:rFonts w:ascii="Times New Roman" w:hAnsi="Times New Roman"/>
        </w:rPr>
        <w:t>s</w:t>
      </w:r>
      <w:r w:rsidRPr="003A46F9">
        <w:rPr>
          <w:rFonts w:ascii="Times New Roman" w:hAnsi="Times New Roman"/>
        </w:rPr>
        <w:t xml:space="preserve"> the use of any statistical data classification.</w:t>
      </w:r>
    </w:p>
    <w:p w:rsidR="00A960C1" w:rsidRPr="003A46F9" w:rsidP="001D6099" w14:paraId="5C5FFD2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that includes a pledge of confidentiality that is not supported by authority established in </w:t>
      </w:r>
      <w:r w:rsidRPr="003A46F9">
        <w:rPr>
          <w:rFonts w:ascii="Times New Roman" w:hAnsi="Times New Roman"/>
          <w:b/>
        </w:rPr>
        <w:t>statue</w:t>
      </w:r>
      <w:r w:rsidRPr="003A46F9">
        <w:rPr>
          <w:rFonts w:ascii="Times New Roman" w:hAnsi="Times New Roman"/>
          <w:b/>
        </w:rPr>
        <w:t xml:space="preserve"> or regulation, that is not supported by disclosure and data security policies that are consistent with the pledge, or which unnecessarily impedes sharing of data with other agencies for compatible confidential use; or</w:t>
      </w:r>
    </w:p>
    <w:p w:rsidR="00A960C1" w:rsidRPr="003A46F9" w:rsidP="001D6099" w14:paraId="697F1735" w14:textId="77777777">
      <w:pPr>
        <w:tabs>
          <w:tab w:val="left" w:pos="-720"/>
          <w:tab w:val="left" w:pos="0"/>
          <w:tab w:val="left" w:pos="720"/>
        </w:tabs>
        <w:spacing w:after="240"/>
        <w:jc w:val="both"/>
        <w:rPr>
          <w:rFonts w:ascii="Times New Roman" w:hAnsi="Times New Roman"/>
        </w:rPr>
      </w:pPr>
      <w:r w:rsidRPr="003A46F9">
        <w:rPr>
          <w:rFonts w:ascii="Times New Roman" w:hAnsi="Times New Roman"/>
        </w:rPr>
        <w:t>This question does not apply.  The regulation does not require a pledge of confidentiality.</w:t>
      </w:r>
    </w:p>
    <w:p w:rsidR="00A960C1" w:rsidRPr="003A46F9" w:rsidP="001D6099" w14:paraId="4BAA30E2"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rsidR="00A960C1" w:rsidRPr="003A46F9" w:rsidP="001D6099" w14:paraId="5B2225C4" w14:textId="1D598902">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This question does not apply.  In any event, the Commission has promulgated regulations to protect the confidentiality of any information collected from respondents.  Such regulations are set forth in 17 CFR </w:t>
      </w:r>
      <w:r w:rsidR="000C1D5B">
        <w:rPr>
          <w:rFonts w:ascii="Times New Roman" w:hAnsi="Times New Roman"/>
        </w:rPr>
        <w:t>p</w:t>
      </w:r>
      <w:r w:rsidRPr="003A46F9">
        <w:rPr>
          <w:rFonts w:ascii="Times New Roman" w:hAnsi="Times New Roman"/>
        </w:rPr>
        <w:t>art</w:t>
      </w:r>
      <w:r w:rsidRPr="003A46F9" w:rsidR="0017237F">
        <w:rPr>
          <w:rFonts w:ascii="Times New Roman" w:hAnsi="Times New Roman"/>
        </w:rPr>
        <w:t>s</w:t>
      </w:r>
      <w:r w:rsidRPr="003A46F9">
        <w:rPr>
          <w:rFonts w:ascii="Times New Roman" w:hAnsi="Times New Roman"/>
        </w:rPr>
        <w:t xml:space="preserve"> 145</w:t>
      </w:r>
      <w:r w:rsidRPr="003A46F9" w:rsidR="0017237F">
        <w:rPr>
          <w:rFonts w:ascii="Times New Roman" w:hAnsi="Times New Roman"/>
        </w:rPr>
        <w:t xml:space="preserve"> and 147</w:t>
      </w:r>
      <w:r w:rsidRPr="003A46F9">
        <w:rPr>
          <w:rFonts w:ascii="Times New Roman" w:hAnsi="Times New Roman"/>
        </w:rPr>
        <w:t>.</w:t>
      </w:r>
    </w:p>
    <w:p w:rsidR="00A960C1" w:rsidRPr="003A46F9" w:rsidP="001D6099" w14:paraId="480FBDF9" w14:textId="77777777">
      <w:pPr>
        <w:tabs>
          <w:tab w:val="left" w:pos="-720"/>
        </w:tabs>
        <w:spacing w:after="240"/>
        <w:ind w:left="720" w:hanging="720"/>
        <w:jc w:val="both"/>
        <w:rPr>
          <w:rFonts w:ascii="Times New Roman" w:hAnsi="Times New Roman"/>
          <w:b/>
        </w:rPr>
      </w:pPr>
      <w:r w:rsidRPr="003A46F9">
        <w:rPr>
          <w:rFonts w:ascii="Times New Roman" w:hAnsi="Times New Roman"/>
          <w:b/>
        </w:rPr>
        <w:t>8.</w:t>
      </w:r>
      <w:r w:rsidRPr="003A46F9">
        <w:rPr>
          <w:rFonts w:ascii="Times New Roman" w:hAnsi="Times New Roman"/>
          <w:b/>
        </w:rPr>
        <w:tab/>
        <w:t xml:space="preserve">If applicable, provide a copy and identify the date and page number of </w:t>
      </w:r>
      <w:r w:rsidRPr="003A46F9">
        <w:rPr>
          <w:rFonts w:ascii="Times New Roman" w:hAnsi="Times New Roman"/>
          <w:b/>
        </w:rPr>
        <w:t>publication</w:t>
      </w:r>
      <w:r w:rsidRPr="003A46F9">
        <w:rPr>
          <w:rFonts w:ascii="Times New Roman" w:hAnsi="Times New Roman"/>
          <w:b/>
        </w:rPr>
        <w:t xml:space="preserve"> in the </w:t>
      </w:r>
      <w:r w:rsidRPr="003A46F9">
        <w:rPr>
          <w:rFonts w:ascii="Times New Roman" w:hAnsi="Times New Roman"/>
          <w:b/>
          <w:i/>
        </w:rPr>
        <w:t>Federal Register</w:t>
      </w:r>
      <w:r w:rsidRPr="003A46F9">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D38D2" w:rsidRPr="00D75D15" w:rsidP="002E237C" w14:paraId="66537442" w14:textId="0523438B">
      <w:pPr>
        <w:pStyle w:val="TOC6"/>
        <w:tabs>
          <w:tab w:val="left" w:pos="-720"/>
          <w:tab w:val="left" w:pos="0"/>
          <w:tab w:val="clear" w:pos="9360"/>
        </w:tabs>
        <w:suppressAutoHyphens w:val="0"/>
        <w:spacing w:after="240"/>
        <w:ind w:left="0" w:firstLine="0"/>
      </w:pPr>
      <w:r>
        <w:rPr>
          <w:rFonts w:ascii="Times New Roman" w:hAnsi="Times New Roman"/>
        </w:rPr>
        <w:t>T</w:t>
      </w:r>
      <w:r w:rsidRPr="00C07D6F">
        <w:rPr>
          <w:rFonts w:ascii="Times New Roman" w:hAnsi="Times New Roman"/>
        </w:rPr>
        <w:t>he Commission</w:t>
      </w:r>
      <w:r>
        <w:rPr>
          <w:rFonts w:ascii="Times New Roman" w:hAnsi="Times New Roman"/>
        </w:rPr>
        <w:t xml:space="preserve"> is</w:t>
      </w:r>
      <w:r w:rsidRPr="00C07D6F">
        <w:rPr>
          <w:rFonts w:ascii="Times New Roman" w:hAnsi="Times New Roman"/>
        </w:rPr>
        <w:t xml:space="preserve"> publish</w:t>
      </w:r>
      <w:r>
        <w:rPr>
          <w:rFonts w:ascii="Times New Roman" w:hAnsi="Times New Roman"/>
        </w:rPr>
        <w:t>ing</w:t>
      </w:r>
      <w:r w:rsidRPr="00C07D6F">
        <w:rPr>
          <w:rFonts w:ascii="Times New Roman" w:hAnsi="Times New Roman"/>
        </w:rPr>
        <w:t xml:space="preserve"> </w:t>
      </w:r>
      <w:r>
        <w:rPr>
          <w:rFonts w:ascii="Times New Roman" w:hAnsi="Times New Roman"/>
        </w:rPr>
        <w:t xml:space="preserve">the Proposal, which </w:t>
      </w:r>
      <w:r w:rsidRPr="009C7B87">
        <w:rPr>
          <w:rFonts w:ascii="Times New Roman" w:hAnsi="Times New Roman"/>
        </w:rPr>
        <w:t>provid</w:t>
      </w:r>
      <w:r>
        <w:rPr>
          <w:rFonts w:ascii="Times New Roman" w:hAnsi="Times New Roman"/>
        </w:rPr>
        <w:t>es</w:t>
      </w:r>
      <w:r w:rsidRPr="009C7B87">
        <w:rPr>
          <w:rFonts w:ascii="Times New Roman" w:hAnsi="Times New Roman"/>
        </w:rPr>
        <w:t xml:space="preserve"> a 60-day period during which the public </w:t>
      </w:r>
      <w:r>
        <w:rPr>
          <w:rFonts w:ascii="Times New Roman" w:hAnsi="Times New Roman"/>
        </w:rPr>
        <w:t>is</w:t>
      </w:r>
      <w:r w:rsidRPr="009C7B87">
        <w:rPr>
          <w:rFonts w:ascii="Times New Roman" w:hAnsi="Times New Roman"/>
        </w:rPr>
        <w:t xml:space="preserve"> invited to comment on the </w:t>
      </w:r>
      <w:r>
        <w:rPr>
          <w:rFonts w:ascii="Times New Roman" w:hAnsi="Times New Roman"/>
        </w:rPr>
        <w:t xml:space="preserve">proposed </w:t>
      </w:r>
      <w:r w:rsidRPr="009C7B87">
        <w:rPr>
          <w:rFonts w:ascii="Times New Roman" w:hAnsi="Times New Roman"/>
        </w:rPr>
        <w:t>rulemaking, the relevant information collection</w:t>
      </w:r>
      <w:r>
        <w:rPr>
          <w:rFonts w:ascii="Times New Roman" w:hAnsi="Times New Roman"/>
        </w:rPr>
        <w:t>,</w:t>
      </w:r>
      <w:r w:rsidRPr="009C7B87">
        <w:rPr>
          <w:rFonts w:ascii="Times New Roman" w:hAnsi="Times New Roman"/>
        </w:rPr>
        <w:t xml:space="preserve"> and the burdens imposed by it.</w:t>
      </w:r>
    </w:p>
    <w:p w:rsidR="00A960C1" w:rsidRPr="003A46F9" w:rsidP="001D6099" w14:paraId="250A356E" w14:textId="77777777">
      <w:pPr>
        <w:tabs>
          <w:tab w:val="left" w:pos="-720"/>
        </w:tabs>
        <w:spacing w:after="240"/>
        <w:ind w:left="720"/>
        <w:jc w:val="both"/>
        <w:rPr>
          <w:rFonts w:ascii="Times New Roman" w:hAnsi="Times New Roman"/>
          <w:b/>
        </w:rPr>
      </w:pPr>
      <w:r w:rsidRPr="003A46F9">
        <w:rPr>
          <w:rFonts w:ascii="Times New Roman" w:hAnsi="Times New Roman"/>
          <w:b/>
        </w:rPr>
        <w:t xml:space="preserve">Describe efforts to consult with </w:t>
      </w:r>
      <w:r w:rsidRPr="003A46F9">
        <w:rPr>
          <w:rFonts w:ascii="Times New Roman" w:hAnsi="Times New Roman"/>
          <w:b/>
        </w:rPr>
        <w:t>persons</w:t>
      </w:r>
      <w:r w:rsidRPr="003A46F9">
        <w:rPr>
          <w:rFonts w:ascii="Times New Roman" w:hAnsi="Times New Roman"/>
          <w:b/>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FB629C" w:rsidRPr="003A46F9" w:rsidP="001D6099" w14:paraId="13B07BC1" w14:textId="3F5E2E7C">
      <w:pPr>
        <w:pStyle w:val="TOC6"/>
        <w:tabs>
          <w:tab w:val="left" w:pos="-720"/>
          <w:tab w:val="left" w:pos="0"/>
          <w:tab w:val="clear" w:pos="9360"/>
        </w:tabs>
        <w:suppressAutoHyphens w:val="0"/>
        <w:spacing w:after="240"/>
        <w:ind w:left="0" w:firstLine="0"/>
        <w:jc w:val="both"/>
        <w:rPr>
          <w:rFonts w:ascii="Times New Roman" w:hAnsi="Times New Roman"/>
          <w:szCs w:val="24"/>
        </w:rPr>
      </w:pPr>
      <w:r w:rsidRPr="003A46F9">
        <w:rPr>
          <w:rFonts w:ascii="Times New Roman" w:hAnsi="Times New Roman"/>
          <w:szCs w:val="24"/>
        </w:rPr>
        <w:t>As set forth above, t</w:t>
      </w:r>
      <w:r w:rsidRPr="003A46F9" w:rsidR="00A960C1">
        <w:rPr>
          <w:rFonts w:ascii="Times New Roman" w:hAnsi="Times New Roman"/>
          <w:szCs w:val="24"/>
        </w:rPr>
        <w:t xml:space="preserve">he Commission affirmatively </w:t>
      </w:r>
      <w:r w:rsidRPr="003A46F9">
        <w:rPr>
          <w:rFonts w:ascii="Times New Roman" w:hAnsi="Times New Roman"/>
          <w:szCs w:val="24"/>
        </w:rPr>
        <w:t xml:space="preserve">sought </w:t>
      </w:r>
      <w:r w:rsidRPr="003A46F9" w:rsidR="00A960C1">
        <w:rPr>
          <w:rFonts w:ascii="Times New Roman" w:hAnsi="Times New Roman"/>
          <w:szCs w:val="24"/>
        </w:rPr>
        <w:t>comment</w:t>
      </w:r>
      <w:r w:rsidRPr="003A46F9" w:rsidR="0061185F">
        <w:rPr>
          <w:rFonts w:ascii="Times New Roman" w:hAnsi="Times New Roman"/>
          <w:szCs w:val="24"/>
        </w:rPr>
        <w:t>s</w:t>
      </w:r>
      <w:r w:rsidRPr="003A46F9" w:rsidR="00A960C1">
        <w:rPr>
          <w:rFonts w:ascii="Times New Roman" w:hAnsi="Times New Roman"/>
          <w:szCs w:val="24"/>
        </w:rPr>
        <w:t xml:space="preserve"> on the information collection requirements</w:t>
      </w:r>
      <w:r w:rsidRPr="003A46F9" w:rsidR="0061185F">
        <w:rPr>
          <w:rFonts w:ascii="Times New Roman" w:hAnsi="Times New Roman"/>
          <w:szCs w:val="24"/>
        </w:rPr>
        <w:t xml:space="preserve"> described herein</w:t>
      </w:r>
      <w:r w:rsidRPr="003A46F9" w:rsidR="00A960C1">
        <w:rPr>
          <w:rFonts w:ascii="Times New Roman" w:hAnsi="Times New Roman"/>
          <w:szCs w:val="24"/>
        </w:rPr>
        <w:t>.</w:t>
      </w:r>
    </w:p>
    <w:p w:rsidR="00A960C1" w:rsidRPr="003A46F9" w:rsidP="001D6099" w14:paraId="748856D4" w14:textId="77777777">
      <w:pPr>
        <w:tabs>
          <w:tab w:val="left" w:pos="-720"/>
        </w:tabs>
        <w:spacing w:after="240"/>
        <w:ind w:left="720"/>
        <w:jc w:val="both"/>
        <w:rPr>
          <w:rFonts w:ascii="Times New Roman" w:hAnsi="Times New Roman"/>
          <w:b/>
        </w:rPr>
      </w:pPr>
      <w:r w:rsidRPr="003A46F9">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960C1" w:rsidRPr="003A46F9" w:rsidP="001D6099" w14:paraId="2D77FA4E" w14:textId="77777777">
      <w:pPr>
        <w:tabs>
          <w:tab w:val="left" w:pos="-720"/>
        </w:tabs>
        <w:spacing w:after="240"/>
        <w:jc w:val="both"/>
        <w:rPr>
          <w:rFonts w:ascii="Times New Roman" w:hAnsi="Times New Roman"/>
        </w:rPr>
      </w:pPr>
      <w:r w:rsidRPr="003A46F9">
        <w:rPr>
          <w:rFonts w:ascii="Times New Roman" w:hAnsi="Times New Roman"/>
        </w:rPr>
        <w:t xml:space="preserve">No such circumstances are anticipated.  </w:t>
      </w:r>
    </w:p>
    <w:p w:rsidR="00A960C1" w:rsidRPr="003A46F9" w:rsidP="001D6099" w14:paraId="6ECA3C67" w14:textId="77777777">
      <w:pPr>
        <w:tabs>
          <w:tab w:val="left" w:pos="-720"/>
        </w:tabs>
        <w:spacing w:after="240"/>
        <w:ind w:left="720" w:hanging="720"/>
        <w:jc w:val="both"/>
        <w:rPr>
          <w:rFonts w:ascii="Times New Roman" w:hAnsi="Times New Roman"/>
          <w:b/>
        </w:rPr>
      </w:pPr>
      <w:r w:rsidRPr="003A46F9">
        <w:rPr>
          <w:rFonts w:ascii="Times New Roman" w:hAnsi="Times New Roman"/>
          <w:b/>
        </w:rPr>
        <w:t>9.</w:t>
      </w:r>
      <w:r w:rsidRPr="003A46F9">
        <w:rPr>
          <w:rFonts w:ascii="Times New Roman" w:hAnsi="Times New Roman"/>
          <w:b/>
        </w:rPr>
        <w:tab/>
        <w:t>Explain any decision to provide any payment or gift to respondents, other than renumeration of contractors or grantees.</w:t>
      </w:r>
    </w:p>
    <w:p w:rsidR="00A960C1" w:rsidRPr="003A46F9" w:rsidP="001D6099" w14:paraId="5F7C32DA"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3AB7C391" w14:textId="77777777">
      <w:pPr>
        <w:tabs>
          <w:tab w:val="left" w:pos="-720"/>
        </w:tabs>
        <w:spacing w:after="240"/>
        <w:ind w:left="720" w:hanging="720"/>
        <w:jc w:val="both"/>
        <w:rPr>
          <w:rFonts w:ascii="Times New Roman" w:hAnsi="Times New Roman"/>
          <w:b/>
        </w:rPr>
      </w:pPr>
      <w:r w:rsidRPr="003A46F9">
        <w:rPr>
          <w:rFonts w:ascii="Times New Roman" w:hAnsi="Times New Roman"/>
          <w:b/>
        </w:rPr>
        <w:t>10.</w:t>
      </w:r>
      <w:r w:rsidRPr="003A46F9">
        <w:rPr>
          <w:rFonts w:ascii="Times New Roman" w:hAnsi="Times New Roman"/>
          <w:b/>
        </w:rPr>
        <w:tab/>
        <w:t>Describe any assurance of confidentiality provided to respondents and the basis for the assurance in statute, regulations, or agency policy.</w:t>
      </w:r>
    </w:p>
    <w:p w:rsidR="00A960C1" w:rsidRPr="003A46F9" w:rsidP="001D6099" w14:paraId="36D65A82" w14:textId="21691D95">
      <w:pPr>
        <w:tabs>
          <w:tab w:val="left" w:pos="-720"/>
          <w:tab w:val="left" w:pos="0"/>
          <w:tab w:val="left" w:pos="720"/>
        </w:tabs>
        <w:spacing w:after="240"/>
        <w:jc w:val="both"/>
        <w:rPr>
          <w:rFonts w:ascii="Times New Roman" w:hAnsi="Times New Roman"/>
        </w:rPr>
      </w:pPr>
      <w:r w:rsidRPr="003A46F9">
        <w:rPr>
          <w:rFonts w:ascii="Times New Roman" w:hAnsi="Times New Roman"/>
        </w:rPr>
        <w:t xml:space="preserve">The Commission does not provide respondents with </w:t>
      </w:r>
      <w:r w:rsidRPr="003A46F9" w:rsidR="004C1A79">
        <w:rPr>
          <w:rFonts w:ascii="Times New Roman" w:hAnsi="Times New Roman"/>
        </w:rPr>
        <w:t>assurance</w:t>
      </w:r>
      <w:r w:rsidRPr="003A46F9">
        <w:rPr>
          <w:rFonts w:ascii="Times New Roman" w:hAnsi="Times New Roman"/>
        </w:rPr>
        <w:t xml:space="preserve"> of confidentiality</w:t>
      </w:r>
      <w:r w:rsidRPr="003A46F9">
        <w:rPr>
          <w:rFonts w:ascii="Times New Roman" w:hAnsi="Times New Roman"/>
        </w:rPr>
        <w:t xml:space="preserve">.  The Commission fully complies with </w:t>
      </w:r>
      <w:r w:rsidR="00DF0006">
        <w:rPr>
          <w:rFonts w:ascii="Times New Roman" w:hAnsi="Times New Roman"/>
        </w:rPr>
        <w:t>s</w:t>
      </w:r>
      <w:r w:rsidRPr="003A46F9" w:rsidR="004B0647">
        <w:rPr>
          <w:rFonts w:ascii="Times New Roman" w:hAnsi="Times New Roman"/>
        </w:rPr>
        <w:t xml:space="preserve">ection </w:t>
      </w:r>
      <w:r w:rsidRPr="003A46F9">
        <w:rPr>
          <w:rFonts w:ascii="Times New Roman" w:hAnsi="Times New Roman"/>
        </w:rPr>
        <w:t xml:space="preserve">8(a)(1) of the </w:t>
      </w:r>
      <w:r w:rsidR="004B0647">
        <w:rPr>
          <w:rFonts w:ascii="Times New Roman" w:hAnsi="Times New Roman"/>
        </w:rPr>
        <w:t>CEA</w:t>
      </w:r>
      <w:r w:rsidRPr="003A46F9">
        <w:rPr>
          <w:rFonts w:ascii="Times New Roman" w:hAnsi="Times New Roman"/>
        </w:rPr>
        <w:t>,</w:t>
      </w:r>
      <w:r>
        <w:rPr>
          <w:rStyle w:val="FootnoteReference"/>
          <w:rFonts w:ascii="Times New Roman" w:hAnsi="Times New Roman"/>
        </w:rPr>
        <w:footnoteReference w:id="21"/>
      </w:r>
      <w:r w:rsidRPr="003A46F9">
        <w:rPr>
          <w:rFonts w:ascii="Times New Roman" w:hAnsi="Times New Roman"/>
        </w:rPr>
        <w:t xml:space="preserve"> which strictly prohibits the Commission, unless specifically authorized by the </w:t>
      </w:r>
      <w:r w:rsidR="004B0647">
        <w:rPr>
          <w:rFonts w:ascii="Times New Roman" w:hAnsi="Times New Roman"/>
        </w:rPr>
        <w:t>CEA</w:t>
      </w:r>
      <w:r w:rsidRPr="003A46F9">
        <w:rPr>
          <w:rFonts w:ascii="Times New Roman" w:hAnsi="Times New Roman"/>
        </w:rPr>
        <w:t xml:space="preserve">, from making public “data and information that would separately disclose the business transactions or market positions of any person and trade secrets or </w:t>
      </w:r>
      <w:r w:rsidRPr="003A46F9">
        <w:rPr>
          <w:rFonts w:ascii="Times New Roman" w:hAnsi="Times New Roman"/>
        </w:rPr>
        <w:t xml:space="preserve">names of customers.”  The Commission has procedures to protect the confidentiality of an applicant’s or registrant’s data.  These are set forth in the Commission’s regulations </w:t>
      </w:r>
      <w:r w:rsidRPr="003A46F9">
        <w:rPr>
          <w:rFonts w:ascii="Times New Roman" w:hAnsi="Times New Roman"/>
        </w:rPr>
        <w:t>at</w:t>
      </w:r>
      <w:r w:rsidRPr="003A46F9">
        <w:rPr>
          <w:rFonts w:ascii="Times New Roman" w:hAnsi="Times New Roman"/>
        </w:rPr>
        <w:t xml:space="preserve"> </w:t>
      </w:r>
      <w:r w:rsidR="000C1D5B">
        <w:rPr>
          <w:rFonts w:ascii="Times New Roman" w:hAnsi="Times New Roman"/>
        </w:rPr>
        <w:t>p</w:t>
      </w:r>
      <w:r w:rsidRPr="003A46F9">
        <w:rPr>
          <w:rFonts w:ascii="Times New Roman" w:hAnsi="Times New Roman"/>
        </w:rPr>
        <w:t>arts 145 and 147 of title</w:t>
      </w:r>
      <w:r w:rsidRPr="003A46F9" w:rsidR="001462A0">
        <w:rPr>
          <w:rFonts w:ascii="Times New Roman" w:hAnsi="Times New Roman"/>
        </w:rPr>
        <w:t xml:space="preserve"> </w:t>
      </w:r>
      <w:r w:rsidRPr="003A46F9">
        <w:rPr>
          <w:rFonts w:ascii="Times New Roman" w:hAnsi="Times New Roman"/>
        </w:rPr>
        <w:t>17 of the Code of Federal Regulations.</w:t>
      </w:r>
    </w:p>
    <w:p w:rsidR="00A960C1" w:rsidRPr="003A46F9" w:rsidP="001D6099" w14:paraId="585AF5FB" w14:textId="77777777">
      <w:pPr>
        <w:tabs>
          <w:tab w:val="left" w:pos="-720"/>
        </w:tabs>
        <w:spacing w:after="240"/>
        <w:ind w:left="720" w:hanging="720"/>
        <w:jc w:val="both"/>
        <w:rPr>
          <w:rFonts w:ascii="Times New Roman" w:hAnsi="Times New Roman"/>
          <w:b/>
        </w:rPr>
      </w:pPr>
      <w:r w:rsidRPr="003A46F9">
        <w:rPr>
          <w:rFonts w:ascii="Times New Roman" w:hAnsi="Times New Roman"/>
          <w:b/>
        </w:rPr>
        <w:t>11.</w:t>
      </w:r>
      <w:r w:rsidRPr="003A46F9">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3A46F9">
        <w:rPr>
          <w:rFonts w:ascii="Times New Roman" w:hAnsi="Times New Roman"/>
          <w:b/>
        </w:rPr>
        <w:t>persons</w:t>
      </w:r>
      <w:r w:rsidRPr="003A46F9">
        <w:rPr>
          <w:rFonts w:ascii="Times New Roman" w:hAnsi="Times New Roman"/>
          <w:b/>
        </w:rPr>
        <w:t xml:space="preserve"> from whom the information is requested, and any steps to be taken to obtain their consent.</w:t>
      </w:r>
    </w:p>
    <w:p w:rsidR="00A960C1" w:rsidRPr="003A46F9" w:rsidP="001D6099" w14:paraId="349B8656" w14:textId="65D3BAFA">
      <w:pPr>
        <w:tabs>
          <w:tab w:val="left" w:pos="-720"/>
        </w:tabs>
        <w:spacing w:after="240"/>
        <w:jc w:val="both"/>
        <w:rPr>
          <w:rFonts w:ascii="Times New Roman" w:hAnsi="Times New Roman"/>
        </w:rPr>
      </w:pPr>
      <w:r w:rsidRPr="003A46F9">
        <w:rPr>
          <w:rFonts w:ascii="Times New Roman" w:hAnsi="Times New Roman"/>
        </w:rPr>
        <w:t>This question does not apply.  The regulation do</w:t>
      </w:r>
      <w:r w:rsidRPr="003A46F9" w:rsidR="00790A71">
        <w:rPr>
          <w:rFonts w:ascii="Times New Roman" w:hAnsi="Times New Roman"/>
        </w:rPr>
        <w:t>es</w:t>
      </w:r>
      <w:r w:rsidRPr="003A46F9">
        <w:rPr>
          <w:rFonts w:ascii="Times New Roman" w:hAnsi="Times New Roman"/>
        </w:rPr>
        <w:t xml:space="preserve"> not request </w:t>
      </w:r>
      <w:r w:rsidRPr="003A46F9" w:rsidR="00790A71">
        <w:rPr>
          <w:rFonts w:ascii="Times New Roman" w:hAnsi="Times New Roman"/>
        </w:rPr>
        <w:t>n</w:t>
      </w:r>
      <w:r w:rsidRPr="003A46F9">
        <w:rPr>
          <w:rFonts w:ascii="Times New Roman" w:hAnsi="Times New Roman"/>
        </w:rPr>
        <w:t>or require the provision of sensitive information, as that term is used in question 11.</w:t>
      </w:r>
    </w:p>
    <w:p w:rsidR="00A960C1" w:rsidRPr="003A46F9" w:rsidP="001D6099" w14:paraId="4D7D5726" w14:textId="77777777">
      <w:pPr>
        <w:tabs>
          <w:tab w:val="left" w:pos="-720"/>
        </w:tabs>
        <w:spacing w:after="240"/>
        <w:ind w:left="720" w:hanging="720"/>
        <w:jc w:val="both"/>
        <w:rPr>
          <w:rFonts w:ascii="Times New Roman" w:hAnsi="Times New Roman"/>
          <w:b/>
        </w:rPr>
      </w:pPr>
      <w:r w:rsidRPr="003A46F9">
        <w:rPr>
          <w:rFonts w:ascii="Times New Roman" w:hAnsi="Times New Roman"/>
          <w:b/>
        </w:rPr>
        <w:t>12.</w:t>
      </w:r>
      <w:r w:rsidRPr="003A46F9">
        <w:rPr>
          <w:rFonts w:ascii="Times New Roman" w:hAnsi="Times New Roman"/>
          <w:b/>
        </w:rPr>
        <w:tab/>
        <w:t>Provide estimates of the hour burden of the collection of information.  The Statement should:</w:t>
      </w:r>
    </w:p>
    <w:p w:rsidR="00A960C1" w:rsidRPr="003A46F9" w:rsidP="001D6099" w14:paraId="5C8538B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960C1" w:rsidRPr="003A46F9" w:rsidP="001D6099" w14:paraId="7DDD1A71"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If the request for approval covers more than one form, provide separate hour burden estimates for each form and aggregate the hour burdens in Item 13 of OMB Form 83-I.</w:t>
      </w:r>
    </w:p>
    <w:p w:rsidR="00A960C1" w:rsidRPr="003A46F9" w:rsidP="001D6099" w14:paraId="264C6514"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960C1" w:rsidRPr="003A46F9" w:rsidP="001D6099" w14:paraId="5BCE65B0" w14:textId="084D35CB">
      <w:pPr>
        <w:pStyle w:val="PlainText"/>
        <w:spacing w:line="360" w:lineRule="auto"/>
        <w:jc w:val="both"/>
        <w:rPr>
          <w:rFonts w:ascii="Times New Roman" w:hAnsi="Times New Roman"/>
          <w:color w:val="auto"/>
          <w:sz w:val="24"/>
          <w:szCs w:val="24"/>
        </w:rPr>
      </w:pPr>
      <w:r w:rsidRPr="003A46F9">
        <w:rPr>
          <w:rFonts w:ascii="Times New Roman" w:hAnsi="Times New Roman"/>
          <w:i/>
          <w:color w:val="auto"/>
          <w:sz w:val="24"/>
          <w:szCs w:val="24"/>
        </w:rPr>
        <w:t>See</w:t>
      </w:r>
      <w:r w:rsidRPr="003A46F9">
        <w:rPr>
          <w:rFonts w:ascii="Times New Roman" w:hAnsi="Times New Roman"/>
          <w:color w:val="auto"/>
          <w:sz w:val="24"/>
          <w:szCs w:val="24"/>
        </w:rPr>
        <w:t xml:space="preserve"> Attachment A.</w:t>
      </w:r>
    </w:p>
    <w:p w:rsidR="00DD38D2" w:rsidP="001D6099" w14:paraId="03C74A8B" w14:textId="1BA2E6F9">
      <w:pPr>
        <w:widowControl w:val="0"/>
        <w:jc w:val="both"/>
        <w:rPr>
          <w:rFonts w:ascii="Times New Roman" w:hAnsi="Times New Roman"/>
        </w:rPr>
      </w:pPr>
      <w:r w:rsidRPr="003A46F9">
        <w:rPr>
          <w:rFonts w:ascii="Times New Roman" w:hAnsi="Times New Roman"/>
        </w:rPr>
        <w:t xml:space="preserve">As detailed in Attachment A, the Commission estimates the overall burden to be approximately </w:t>
      </w:r>
      <w:r>
        <w:rPr>
          <w:rFonts w:ascii="Times New Roman" w:hAnsi="Times New Roman"/>
        </w:rPr>
        <w:t xml:space="preserve">2,173 </w:t>
      </w:r>
      <w:r w:rsidRPr="003A46F9">
        <w:rPr>
          <w:rFonts w:ascii="Times New Roman" w:hAnsi="Times New Roman"/>
        </w:rPr>
        <w:t xml:space="preserve">hours per year per </w:t>
      </w:r>
      <w:r w:rsidR="004C1A79">
        <w:rPr>
          <w:rFonts w:ascii="Times New Roman" w:hAnsi="Times New Roman"/>
        </w:rPr>
        <w:t>Swap Entity</w:t>
      </w:r>
      <w:r w:rsidRPr="003A46F9">
        <w:rPr>
          <w:rFonts w:ascii="Times New Roman" w:hAnsi="Times New Roman"/>
        </w:rPr>
        <w:t xml:space="preserve">, at an annual cost of approximately </w:t>
      </w:r>
      <w:r w:rsidRPr="008E6105">
        <w:rPr>
          <w:rFonts w:ascii="Times New Roman" w:hAnsi="Times New Roman"/>
        </w:rPr>
        <w:t>$2</w:t>
      </w:r>
      <w:r>
        <w:rPr>
          <w:rFonts w:ascii="Times New Roman" w:hAnsi="Times New Roman"/>
        </w:rPr>
        <w:t>17</w:t>
      </w:r>
      <w:r w:rsidRPr="008E6105">
        <w:rPr>
          <w:rFonts w:ascii="Times New Roman" w:hAnsi="Times New Roman"/>
        </w:rPr>
        <w:t>,</w:t>
      </w:r>
      <w:r>
        <w:rPr>
          <w:rFonts w:ascii="Times New Roman" w:hAnsi="Times New Roman"/>
        </w:rPr>
        <w:t>300</w:t>
      </w:r>
      <w:r w:rsidRPr="008E6105">
        <w:rPr>
          <w:rFonts w:ascii="Times New Roman" w:hAnsi="Times New Roman"/>
        </w:rPr>
        <w:t xml:space="preserve"> [</w:t>
      </w:r>
      <w:r>
        <w:rPr>
          <w:rFonts w:ascii="Times New Roman" w:hAnsi="Times New Roman"/>
        </w:rPr>
        <w:t>2,173</w:t>
      </w:r>
      <w:r w:rsidRPr="008E6105">
        <w:rPr>
          <w:rFonts w:ascii="Times New Roman" w:hAnsi="Times New Roman"/>
        </w:rPr>
        <w:t xml:space="preserve"> hrs. × $100 per hour].  The aggregate cost for all </w:t>
      </w:r>
      <w:r>
        <w:rPr>
          <w:rFonts w:ascii="Times New Roman" w:hAnsi="Times New Roman"/>
        </w:rPr>
        <w:t>SD</w:t>
      </w:r>
      <w:r w:rsidRPr="003A46F9">
        <w:rPr>
          <w:rFonts w:ascii="Times New Roman" w:hAnsi="Times New Roman"/>
        </w:rPr>
        <w:t xml:space="preserve">s and </w:t>
      </w:r>
      <w:r>
        <w:rPr>
          <w:rFonts w:ascii="Times New Roman" w:hAnsi="Times New Roman"/>
        </w:rPr>
        <w:t>MSP</w:t>
      </w:r>
      <w:r w:rsidRPr="003A46F9">
        <w:rPr>
          <w:rFonts w:ascii="Times New Roman" w:hAnsi="Times New Roman"/>
        </w:rPr>
        <w:t xml:space="preserve">s </w:t>
      </w:r>
      <w:r w:rsidRPr="008E6105">
        <w:rPr>
          <w:rFonts w:ascii="Times New Roman" w:hAnsi="Times New Roman"/>
        </w:rPr>
        <w:t xml:space="preserve">is approximately </w:t>
      </w:r>
      <w:r w:rsidRPr="00446A63">
        <w:rPr>
          <w:rFonts w:ascii="Times New Roman" w:hAnsi="Times New Roman"/>
        </w:rPr>
        <w:t>2</w:t>
      </w:r>
      <w:r w:rsidR="00F4473E">
        <w:rPr>
          <w:rFonts w:ascii="Times New Roman" w:hAnsi="Times New Roman"/>
        </w:rPr>
        <w:t>34</w:t>
      </w:r>
      <w:r w:rsidRPr="00446A63">
        <w:rPr>
          <w:rFonts w:ascii="Times New Roman" w:hAnsi="Times New Roman"/>
        </w:rPr>
        <w:t>,</w:t>
      </w:r>
      <w:r w:rsidR="00332923">
        <w:rPr>
          <w:rFonts w:ascii="Times New Roman" w:hAnsi="Times New Roman"/>
        </w:rPr>
        <w:t>686</w:t>
      </w:r>
      <w:r w:rsidRPr="008E6105">
        <w:rPr>
          <w:rFonts w:ascii="Times New Roman" w:hAnsi="Times New Roman"/>
        </w:rPr>
        <w:t xml:space="preserve"> burden hours and $</w:t>
      </w:r>
      <w:r w:rsidRPr="000B5EDD" w:rsidR="000B5EDD">
        <w:rPr>
          <w:rFonts w:ascii="Times New Roman" w:hAnsi="Times New Roman"/>
        </w:rPr>
        <w:t>23,468,600</w:t>
      </w:r>
      <w:r w:rsidRPr="000B5EDD" w:rsidR="000B5EDD">
        <w:rPr>
          <w:rFonts w:ascii="Times New Roman" w:hAnsi="Times New Roman"/>
        </w:rPr>
        <w:t>‬</w:t>
      </w:r>
      <w:r>
        <w:rPr>
          <w:rFonts w:ascii="Times New Roman" w:hAnsi="Times New Roman"/>
        </w:rPr>
        <w:t xml:space="preserve"> </w:t>
      </w:r>
      <w:r w:rsidRPr="008E6105">
        <w:rPr>
          <w:rFonts w:ascii="Times New Roman" w:hAnsi="Times New Roman"/>
        </w:rPr>
        <w:t>[</w:t>
      </w:r>
      <w:r w:rsidRPr="00446A63" w:rsidR="00332923">
        <w:rPr>
          <w:rFonts w:ascii="Times New Roman" w:hAnsi="Times New Roman"/>
        </w:rPr>
        <w:t>2</w:t>
      </w:r>
      <w:r w:rsidR="00332923">
        <w:rPr>
          <w:rFonts w:ascii="Times New Roman" w:hAnsi="Times New Roman"/>
        </w:rPr>
        <w:t>34</w:t>
      </w:r>
      <w:r w:rsidRPr="00446A63" w:rsidR="00332923">
        <w:rPr>
          <w:rFonts w:ascii="Times New Roman" w:hAnsi="Times New Roman"/>
        </w:rPr>
        <w:t>,</w:t>
      </w:r>
      <w:r w:rsidR="00332923">
        <w:rPr>
          <w:rFonts w:ascii="Times New Roman" w:hAnsi="Times New Roman"/>
        </w:rPr>
        <w:t>686</w:t>
      </w:r>
      <w:r w:rsidRPr="008E6105" w:rsidR="00332923">
        <w:rPr>
          <w:rFonts w:ascii="Times New Roman" w:hAnsi="Times New Roman"/>
        </w:rPr>
        <w:t xml:space="preserve"> </w:t>
      </w:r>
      <w:r w:rsidRPr="002E3F4C">
        <w:rPr>
          <w:rFonts w:ascii="Times New Roman" w:hAnsi="Times New Roman"/>
        </w:rPr>
        <w:t>hrs.</w:t>
      </w:r>
      <w:r w:rsidRPr="008E6105">
        <w:rPr>
          <w:rFonts w:ascii="Times New Roman" w:hAnsi="Times New Roman"/>
        </w:rPr>
        <w:t xml:space="preserve"> × $100 per hour].</w:t>
      </w:r>
      <w:r w:rsidRPr="003A46F9">
        <w:rPr>
          <w:rFonts w:ascii="Times New Roman" w:hAnsi="Times New Roman"/>
        </w:rPr>
        <w:t xml:space="preserve">  This burden results from the recordkeeping, disclosure and optional reporting provisions of the regulations listed in Attachment A.  The burden hours are not anticipated to vary widely among </w:t>
      </w:r>
      <w:r w:rsidRPr="003A46F9">
        <w:rPr>
          <w:rFonts w:ascii="Times New Roman" w:hAnsi="Times New Roman"/>
        </w:rPr>
        <w:t>registrants</w:t>
      </w:r>
      <w:r w:rsidRPr="003A46F9">
        <w:rPr>
          <w:rFonts w:ascii="Times New Roman" w:hAnsi="Times New Roman"/>
        </w:rPr>
        <w:t>.</w:t>
      </w:r>
    </w:p>
    <w:p w:rsidR="00303AD8" w:rsidP="001D6099" w14:paraId="65BBFE22" w14:textId="77777777">
      <w:pPr>
        <w:widowControl w:val="0"/>
        <w:jc w:val="both"/>
        <w:rPr>
          <w:rFonts w:ascii="Times New Roman" w:hAnsi="Times New Roman"/>
        </w:rPr>
      </w:pPr>
    </w:p>
    <w:p w:rsidR="003D2155" w:rsidRPr="003D2155" w:rsidP="00303AD8" w14:paraId="32E910A5" w14:textId="4B25FE64">
      <w:pPr>
        <w:widowControl w:val="0"/>
        <w:jc w:val="both"/>
        <w:rPr>
          <w:rFonts w:ascii="Times New Roman" w:hAnsi="Times New Roman"/>
        </w:rPr>
      </w:pPr>
      <w:r w:rsidRPr="003A46F9">
        <w:rPr>
          <w:rFonts w:ascii="Times New Roman" w:hAnsi="Times New Roman"/>
        </w:rPr>
        <w:t xml:space="preserve">The annualized costs per affected registrant and in the aggregate were determined using an average salary of $100.00 per </w:t>
      </w:r>
      <w:r w:rsidRPr="003A46F9" w:rsidR="007B2644">
        <w:rPr>
          <w:rFonts w:ascii="Times New Roman" w:hAnsi="Times New Roman"/>
        </w:rPr>
        <w:t>hour</w:t>
      </w:r>
      <w:r w:rsidRPr="003A46F9">
        <w:rPr>
          <w:rFonts w:ascii="Times New Roman" w:hAnsi="Times New Roman"/>
        </w:rPr>
        <w:t>.  The Commission believe</w:t>
      </w:r>
      <w:r w:rsidRPr="003A46F9" w:rsidR="00370131">
        <w:rPr>
          <w:rFonts w:ascii="Times New Roman" w:hAnsi="Times New Roman"/>
        </w:rPr>
        <w:t>s</w:t>
      </w:r>
      <w:r w:rsidRPr="003A46F9">
        <w:rPr>
          <w:rFonts w:ascii="Times New Roman" w:hAnsi="Times New Roman"/>
        </w:rPr>
        <w:t xml:space="preserve"> that this is an appropriate salary estimate for purposes of this regulation.</w:t>
      </w:r>
      <w:r w:rsidRPr="003A46F9" w:rsidR="00116E7D">
        <w:rPr>
          <w:rFonts w:ascii="Times New Roman" w:hAnsi="Times New Roman"/>
        </w:rPr>
        <w:t xml:space="preserve">  </w:t>
      </w:r>
      <w:r w:rsidRPr="003D2155">
        <w:rPr>
          <w:rFonts w:ascii="Times New Roman" w:hAnsi="Times New Roman"/>
        </w:rPr>
        <w:t xml:space="preserve">In support of this determination, the Commission notes that the </w:t>
      </w:r>
      <w:r w:rsidRPr="003D2155">
        <w:rPr>
          <w:rFonts w:ascii="Times New Roman" w:hAnsi="Times New Roman"/>
        </w:rPr>
        <w:t>salary estimate is based upon May 2024 Bureau of Labor Statistics’ findings of National Occupation Employment and Wage Estimates, United States, including the mean hourly wage of an employee under occupation code 23-1011, “Lawyers,” that are employed by the “Securities, Commodity Contracts, and Other Financial Investments and Related Activities Industry,” which is $128.34; the mean hourly wage of an employee under occupation code 11-3031, “Financial Managers,” in the same industry, which is $126.19; and the mean hourly wage of an employee under occupation code-13-1041, “Compliance Officers” in the same industry, which is $49.34.</w:t>
      </w:r>
      <w:r>
        <w:rPr>
          <w:rFonts w:ascii="Times New Roman" w:hAnsi="Times New Roman"/>
          <w:vertAlign w:val="superscript"/>
        </w:rPr>
        <w:footnoteReference w:id="22"/>
      </w:r>
    </w:p>
    <w:p w:rsidR="00D54F6B" w:rsidRPr="003A46F9" w:rsidP="001D6099" w14:paraId="710B0E68" w14:textId="77777777">
      <w:pPr>
        <w:jc w:val="both"/>
        <w:rPr>
          <w:rFonts w:ascii="Times New Roman" w:hAnsi="Times New Roman"/>
        </w:rPr>
      </w:pPr>
    </w:p>
    <w:p w:rsidR="002470E0" w:rsidRPr="003A46F9" w:rsidP="002E237C" w14:paraId="777D25A8" w14:textId="7A2AB274">
      <w:pPr>
        <w:spacing w:after="240"/>
        <w:jc w:val="both"/>
        <w:rPr>
          <w:rFonts w:ascii="Times New Roman" w:hAnsi="Times New Roman"/>
        </w:rPr>
      </w:pPr>
      <w:r w:rsidRPr="003A46F9">
        <w:rPr>
          <w:rFonts w:ascii="Times New Roman" w:hAnsi="Times New Roman"/>
        </w:rPr>
        <w:t>The Commission also notes that</w:t>
      </w:r>
      <w:r w:rsidRPr="003A46F9" w:rsidR="00D34B8D">
        <w:rPr>
          <w:rFonts w:ascii="Times New Roman" w:hAnsi="Times New Roman"/>
        </w:rPr>
        <w:t xml:space="preserve"> </w:t>
      </w:r>
      <w:r w:rsidRPr="003A46F9">
        <w:rPr>
          <w:rFonts w:ascii="Times New Roman" w:hAnsi="Times New Roman"/>
        </w:rPr>
        <w:t>it</w:t>
      </w:r>
      <w:r w:rsidRPr="003A46F9" w:rsidR="00D34B8D">
        <w:rPr>
          <w:rFonts w:ascii="Times New Roman" w:hAnsi="Times New Roman"/>
        </w:rPr>
        <w:t xml:space="preserve"> took the foregoing data and then increased its hourly wage estimate in recognition of the fact that some respondents may be large financial institutions whose employees’ salaries may exceed the mean wage.  </w:t>
      </w:r>
      <w:r w:rsidRPr="003A46F9" w:rsidR="00187B09">
        <w:rPr>
          <w:rFonts w:ascii="Times New Roman" w:hAnsi="Times New Roman"/>
        </w:rPr>
        <w:t xml:space="preserve">In addition, the Commission recognizes that some respondents may hire outside counsel with expertise in the various regulatory areas covered by the regulation and that outside counsel may be able to leverage its expertise to substantially reduce the number of hours needed to fulfill a requested assignment.  While the Commission is uncertain about the billing rates that these respondents may pay for outside counsel, the Commission believes that such counsel may </w:t>
      </w:r>
      <w:r w:rsidRPr="003A46F9" w:rsidR="00187B09">
        <w:rPr>
          <w:rFonts w:ascii="Times New Roman" w:hAnsi="Times New Roman"/>
        </w:rPr>
        <w:t>bill</w:t>
      </w:r>
      <w:r w:rsidRPr="003A46F9" w:rsidR="00187B09">
        <w:rPr>
          <w:rFonts w:ascii="Times New Roman" w:hAnsi="Times New Roman"/>
        </w:rPr>
        <w:t xml:space="preserve"> at a rate of several hundred dollars per hour.  Any determination to use outside counsel, however, is at the discretion of the respondent.</w:t>
      </w:r>
    </w:p>
    <w:p w:rsidR="00A960C1" w:rsidRPr="003A46F9" w:rsidP="001D6099" w14:paraId="171A9CE3" w14:textId="77777777">
      <w:pPr>
        <w:keepNext/>
        <w:tabs>
          <w:tab w:val="left" w:pos="-720"/>
          <w:tab w:val="left" w:pos="0"/>
        </w:tabs>
        <w:spacing w:after="240"/>
        <w:jc w:val="both"/>
        <w:rPr>
          <w:rFonts w:ascii="Times New Roman" w:hAnsi="Times New Roman"/>
          <w:b/>
        </w:rPr>
      </w:pPr>
      <w:r w:rsidRPr="003A46F9">
        <w:rPr>
          <w:rFonts w:ascii="Times New Roman" w:hAnsi="Times New Roman"/>
          <w:b/>
        </w:rPr>
        <w:t>13.</w:t>
      </w:r>
      <w:r w:rsidRPr="003A46F9">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A960C1" w:rsidRPr="003A46F9" w:rsidP="001D6099" w14:paraId="730177DE"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The cost estimate should be split into two </w:t>
      </w:r>
      <w:r w:rsidRPr="003A46F9">
        <w:rPr>
          <w:rFonts w:ascii="Times New Roman" w:hAnsi="Times New Roman"/>
          <w:b/>
        </w:rPr>
        <w:t>components;</w:t>
      </w:r>
      <w:r w:rsidRPr="003A46F9">
        <w:rPr>
          <w:rFonts w:ascii="Times New Roman" w:hAnsi="Times New Roman"/>
          <w:b/>
        </w:rPr>
        <w:t xml:space="preserve"> (a) a total capital and start-up cost component (annualized over its expected useful life) and (b) a total operation and maintenance and purchase of services component.  The estimates should </w:t>
      </w:r>
      <w:r w:rsidRPr="003A46F9">
        <w:rPr>
          <w:rFonts w:ascii="Times New Roman" w:hAnsi="Times New Roman"/>
          <w:b/>
        </w:rPr>
        <w:t>take into account</w:t>
      </w:r>
      <w:r w:rsidRPr="003A46F9">
        <w:rPr>
          <w:rFonts w:ascii="Times New Roman" w:hAnsi="Times New Roman"/>
          <w:b/>
        </w:rPr>
        <w:t xml:space="preserve"> costs associated with generating, maintaining, and disclosing or providing the information.  Include descriptions of methods used to estimate major </w:t>
      </w:r>
      <w:r w:rsidRPr="003A46F9">
        <w:rPr>
          <w:rFonts w:ascii="Times New Roman" w:hAnsi="Times New Roman"/>
          <w:b/>
        </w:rPr>
        <w:t>costs</w:t>
      </w:r>
      <w:r w:rsidRPr="003A46F9">
        <w:rPr>
          <w:rFonts w:ascii="Times New Roman" w:hAnsi="Times New Roman"/>
          <w:b/>
        </w:rPr>
        <w:t xml:space="preserve"> factors including system and technology acquisition, expected useful life of capital equipment, the discount rate(s), and the </w:t>
      </w:r>
      <w:r w:rsidRPr="003A46F9">
        <w:rPr>
          <w:rFonts w:ascii="Times New Roman" w:hAnsi="Times New Roman"/>
          <w:b/>
        </w:rPr>
        <w:t>time period</w:t>
      </w:r>
      <w:r w:rsidRPr="003A46F9">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A960C1" w:rsidRPr="003A46F9" w:rsidP="001D6099" w14:paraId="1A6083D3"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A960C1" w:rsidRPr="003A46F9" w:rsidP="001D6099" w14:paraId="03ADF904" w14:textId="77777777">
      <w:pPr>
        <w:numPr>
          <w:ilvl w:val="0"/>
          <w:numId w:val="1"/>
        </w:numPr>
        <w:tabs>
          <w:tab w:val="left" w:pos="-720"/>
          <w:tab w:val="left" w:pos="0"/>
          <w:tab w:val="left" w:pos="720"/>
          <w:tab w:val="clear" w:pos="936"/>
          <w:tab w:val="num" w:pos="1080"/>
        </w:tabs>
        <w:spacing w:after="240"/>
        <w:ind w:left="1080" w:hanging="360"/>
        <w:jc w:val="both"/>
        <w:rPr>
          <w:rFonts w:ascii="Times New Roman" w:hAnsi="Times New Roman"/>
          <w:b/>
        </w:rPr>
      </w:pPr>
      <w:r w:rsidRPr="003A46F9">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w:t>
      </w:r>
      <w:r w:rsidRPr="003A46F9">
        <w:rPr>
          <w:rFonts w:ascii="Times New Roman" w:hAnsi="Times New Roman"/>
          <w:b/>
        </w:rPr>
        <w:t xml:space="preserve">for reasons other than </w:t>
      </w:r>
      <w:r w:rsidRPr="003A46F9">
        <w:rPr>
          <w:rFonts w:ascii="Times New Roman" w:hAnsi="Times New Roman"/>
          <w:b/>
        </w:rPr>
        <w:t>to provide</w:t>
      </w:r>
      <w:r w:rsidRPr="003A46F9">
        <w:rPr>
          <w:rFonts w:ascii="Times New Roman" w:hAnsi="Times New Roman"/>
          <w:b/>
        </w:rPr>
        <w:t xml:space="preserve"> information or keep records for the government, or (4) as part of customary and usual business or private practices.</w:t>
      </w:r>
    </w:p>
    <w:p w:rsidR="00A960C1" w:rsidRPr="003A46F9" w:rsidP="001D6099" w14:paraId="4436CD3E" w14:textId="34D0929D">
      <w:pPr>
        <w:tabs>
          <w:tab w:val="left" w:pos="-720"/>
        </w:tabs>
        <w:spacing w:after="240"/>
        <w:jc w:val="both"/>
        <w:rPr>
          <w:rFonts w:ascii="Times New Roman" w:hAnsi="Times New Roman"/>
        </w:rPr>
      </w:pPr>
      <w:r w:rsidRPr="003A46F9">
        <w:rPr>
          <w:rFonts w:ascii="Times New Roman" w:hAnsi="Times New Roman"/>
        </w:rPr>
        <w:t xml:space="preserve">The information collection required by </w:t>
      </w:r>
      <w:r w:rsidRPr="003A46F9">
        <w:rPr>
          <w:rFonts w:ascii="Times New Roman" w:hAnsi="Times New Roman"/>
        </w:rPr>
        <w:t>the regulation</w:t>
      </w:r>
      <w:r w:rsidRPr="003A46F9">
        <w:rPr>
          <w:rFonts w:ascii="Times New Roman" w:hAnsi="Times New Roman"/>
        </w:rPr>
        <w:t xml:space="preserve"> </w:t>
      </w:r>
      <w:r w:rsidRPr="003A46F9" w:rsidR="00446001">
        <w:rPr>
          <w:rFonts w:ascii="Times New Roman" w:hAnsi="Times New Roman"/>
        </w:rPr>
        <w:t xml:space="preserve">does </w:t>
      </w:r>
      <w:r w:rsidRPr="003A46F9">
        <w:rPr>
          <w:rFonts w:ascii="Times New Roman" w:hAnsi="Times New Roman"/>
        </w:rPr>
        <w:t>not involve any capital or start-up capital, operations or maintenance costs</w:t>
      </w:r>
      <w:r w:rsidR="0060167E">
        <w:rPr>
          <w:rFonts w:ascii="Times New Roman" w:hAnsi="Times New Roman"/>
        </w:rPr>
        <w:t>,</w:t>
      </w:r>
      <w:r w:rsidRPr="003A46F9">
        <w:rPr>
          <w:rFonts w:ascii="Times New Roman" w:hAnsi="Times New Roman"/>
        </w:rPr>
        <w:t xml:space="preserve"> as the Commission anticipates that </w:t>
      </w:r>
      <w:r w:rsidR="00417E66">
        <w:rPr>
          <w:rFonts w:ascii="Times New Roman" w:hAnsi="Times New Roman"/>
        </w:rPr>
        <w:t>SD</w:t>
      </w:r>
      <w:r w:rsidRPr="003A46F9" w:rsidR="00417E66">
        <w:rPr>
          <w:rFonts w:ascii="Times New Roman" w:hAnsi="Times New Roman"/>
        </w:rPr>
        <w:t xml:space="preserve">s and </w:t>
      </w:r>
      <w:r w:rsidR="00417E66">
        <w:rPr>
          <w:rFonts w:ascii="Times New Roman" w:hAnsi="Times New Roman"/>
        </w:rPr>
        <w:t>MSP</w:t>
      </w:r>
      <w:r w:rsidRPr="003A46F9" w:rsidR="00417E66">
        <w:rPr>
          <w:rFonts w:ascii="Times New Roman" w:hAnsi="Times New Roman"/>
        </w:rPr>
        <w:t>s</w:t>
      </w:r>
      <w:r w:rsidRPr="003A46F9">
        <w:rPr>
          <w:rFonts w:ascii="Times New Roman" w:hAnsi="Times New Roman"/>
        </w:rPr>
        <w:t xml:space="preserve"> already maintain mechanisms to preserve records of their compliance with regulatory requirements as part of their customary or usual business practices.</w:t>
      </w:r>
    </w:p>
    <w:p w:rsidR="00A960C1" w:rsidRPr="003A46F9" w:rsidP="001D6099" w14:paraId="056CA59C" w14:textId="3D299C75">
      <w:pPr>
        <w:tabs>
          <w:tab w:val="left" w:pos="-720"/>
        </w:tabs>
        <w:spacing w:after="240"/>
        <w:ind w:left="720" w:hanging="720"/>
        <w:jc w:val="both"/>
        <w:rPr>
          <w:rFonts w:ascii="Times New Roman" w:hAnsi="Times New Roman"/>
          <w:b/>
        </w:rPr>
      </w:pPr>
      <w:r w:rsidRPr="003A46F9">
        <w:rPr>
          <w:rFonts w:ascii="Times New Roman" w:hAnsi="Times New Roman"/>
          <w:b/>
        </w:rPr>
        <w:t>14.</w:t>
      </w:r>
      <w:r w:rsidRPr="003A46F9">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w:t>
      </w:r>
      <w:r w:rsidRPr="003A46F9">
        <w:rPr>
          <w:rFonts w:ascii="Times New Roman" w:hAnsi="Times New Roman"/>
          <w:b/>
        </w:rPr>
        <w:t>expense</w:t>
      </w:r>
      <w:r w:rsidRPr="003A46F9">
        <w:rPr>
          <w:rFonts w:ascii="Times New Roman" w:hAnsi="Times New Roman"/>
          <w:b/>
        </w:rPr>
        <w:t xml:space="preserve"> that would not have been incurred without this collection of information.  Agencies may also aggregate cost estimates from Items 12, 13, and 14 in a single table.</w:t>
      </w:r>
    </w:p>
    <w:p w:rsidR="00A960C1" w:rsidRPr="003A46F9" w:rsidP="001D6099" w14:paraId="3419FC3B" w14:textId="4D413F22">
      <w:pPr>
        <w:tabs>
          <w:tab w:val="left" w:pos="-720"/>
        </w:tabs>
        <w:spacing w:after="240"/>
        <w:jc w:val="both"/>
        <w:rPr>
          <w:rFonts w:ascii="Times New Roman" w:hAnsi="Times New Roman"/>
        </w:rPr>
      </w:pPr>
      <w:r w:rsidRPr="003A46F9">
        <w:rPr>
          <w:rFonts w:ascii="Times New Roman" w:hAnsi="Times New Roman"/>
        </w:rPr>
        <w:t xml:space="preserve">The </w:t>
      </w:r>
      <w:r w:rsidRPr="003A46F9" w:rsidR="00437F0B">
        <w:rPr>
          <w:rFonts w:ascii="Times New Roman" w:hAnsi="Times New Roman"/>
        </w:rPr>
        <w:t xml:space="preserve">regulation </w:t>
      </w:r>
      <w:r w:rsidRPr="003A46F9">
        <w:rPr>
          <w:rFonts w:ascii="Times New Roman" w:hAnsi="Times New Roman"/>
        </w:rPr>
        <w:t xml:space="preserve">would </w:t>
      </w:r>
      <w:r w:rsidRPr="003A46F9" w:rsidR="00446001">
        <w:rPr>
          <w:rFonts w:ascii="Times New Roman" w:hAnsi="Times New Roman"/>
        </w:rPr>
        <w:t xml:space="preserve">not </w:t>
      </w:r>
      <w:r w:rsidRPr="003A46F9">
        <w:rPr>
          <w:rFonts w:ascii="Times New Roman" w:hAnsi="Times New Roman"/>
        </w:rPr>
        <w:t xml:space="preserve">impose any additional costs to the </w:t>
      </w:r>
      <w:r w:rsidR="00880226">
        <w:rPr>
          <w:rFonts w:ascii="Times New Roman" w:hAnsi="Times New Roman"/>
        </w:rPr>
        <w:t>F</w:t>
      </w:r>
      <w:r w:rsidRPr="003A46F9">
        <w:rPr>
          <w:rFonts w:ascii="Times New Roman" w:hAnsi="Times New Roman"/>
        </w:rPr>
        <w:t xml:space="preserve">ederal </w:t>
      </w:r>
      <w:r w:rsidR="00880226">
        <w:rPr>
          <w:rFonts w:ascii="Times New Roman" w:hAnsi="Times New Roman"/>
        </w:rPr>
        <w:t>G</w:t>
      </w:r>
      <w:r w:rsidRPr="003A46F9">
        <w:rPr>
          <w:rFonts w:ascii="Times New Roman" w:hAnsi="Times New Roman"/>
        </w:rPr>
        <w:t>overnment.</w:t>
      </w:r>
    </w:p>
    <w:p w:rsidR="00A960C1" w:rsidRPr="003A46F9" w:rsidP="001D6099" w14:paraId="63EE43DD" w14:textId="77777777">
      <w:pPr>
        <w:tabs>
          <w:tab w:val="left" w:pos="-720"/>
        </w:tabs>
        <w:spacing w:after="240"/>
        <w:ind w:left="720" w:hanging="720"/>
        <w:jc w:val="both"/>
        <w:rPr>
          <w:rFonts w:ascii="Times New Roman" w:hAnsi="Times New Roman"/>
          <w:b/>
        </w:rPr>
      </w:pPr>
      <w:r w:rsidRPr="003A46F9">
        <w:rPr>
          <w:rFonts w:ascii="Times New Roman" w:hAnsi="Times New Roman"/>
          <w:b/>
        </w:rPr>
        <w:t>15.</w:t>
      </w:r>
      <w:r w:rsidRPr="003A46F9">
        <w:rPr>
          <w:rFonts w:ascii="Times New Roman" w:hAnsi="Times New Roman"/>
          <w:b/>
        </w:rPr>
        <w:tab/>
        <w:t>Explain the reasons for any program changes or adjustments reported in Items 13 or 14 of the OMB Form 83-I.</w:t>
      </w:r>
    </w:p>
    <w:p w:rsidR="00C159F8" w:rsidP="002E237C" w14:paraId="07C77AD0" w14:textId="76B70E13">
      <w:pPr>
        <w:pStyle w:val="FootnoteText"/>
        <w:spacing w:after="240"/>
        <w:jc w:val="both"/>
      </w:pPr>
      <w:r w:rsidRPr="00DA1C44">
        <w:t xml:space="preserve">In connection with the Proposal, the Commission is proposing to amend the information collection under OMB Control No. 3038–0079 to reduce the burden for SDs.  As discussed in the Proposal, the Commission preliminarily estimates that eliminating the requirement to provide a PTMMM will decrease SDs’ burden hours incurred for each swap transaction under </w:t>
      </w:r>
      <w:r w:rsidR="009D2CA7">
        <w:t>Commission regulation</w:t>
      </w:r>
      <w:r w:rsidRPr="00DA1C44">
        <w:t xml:space="preserve"> 23.431 by 10% on average across all SDs; and eliminating the Scenario Analysis Requirement as proposed will decrease a SD’s burden hours incurred for each swap transaction under </w:t>
      </w:r>
      <w:r w:rsidR="00560C3B">
        <w:t>Commission regulation</w:t>
      </w:r>
      <w:r w:rsidRPr="00DA1C44">
        <w:t xml:space="preserve"> 23.431 by 5% on average across all SDs.  Thus, the Commission estimates that the burden hours for compliance with </w:t>
      </w:r>
      <w:r w:rsidR="00560C3B">
        <w:t>Commission regulation</w:t>
      </w:r>
      <w:r w:rsidRPr="00DA1C44">
        <w:t xml:space="preserve"> 23.431 will decrease by 15% (from app. 12</w:t>
      </w:r>
      <w:r w:rsidR="003420F7">
        <w:t>9</w:t>
      </w:r>
      <w:r w:rsidRPr="00DA1C44">
        <w:t>,</w:t>
      </w:r>
      <w:r w:rsidR="003420F7">
        <w:t>5</w:t>
      </w:r>
      <w:r w:rsidRPr="00DA1C44">
        <w:t>4</w:t>
      </w:r>
      <w:r w:rsidR="003420F7">
        <w:t>0</w:t>
      </w:r>
      <w:r w:rsidRPr="00DA1C44">
        <w:t xml:space="preserve"> to 1</w:t>
      </w:r>
      <w:r w:rsidR="003420F7">
        <w:t>10</w:t>
      </w:r>
      <w:r w:rsidRPr="00DA1C44">
        <w:t>,</w:t>
      </w:r>
      <w:r w:rsidR="003420F7">
        <w:t>108</w:t>
      </w:r>
      <w:r w:rsidRPr="00DA1C44">
        <w:t xml:space="preserve"> burden hours).  </w:t>
      </w:r>
      <w:r w:rsidR="00E254D4">
        <w:t>This results in an overall decrease in the Commission’s estimate of</w:t>
      </w:r>
      <w:r w:rsidRPr="00DA1C44">
        <w:t xml:space="preserve"> total annual burden hour</w:t>
      </w:r>
      <w:r w:rsidR="00E254D4">
        <w:t>s from 254,118 to</w:t>
      </w:r>
      <w:r w:rsidRPr="00DA1C44">
        <w:t>2</w:t>
      </w:r>
      <w:r w:rsidR="00DC2D7D">
        <w:t>34</w:t>
      </w:r>
      <w:r w:rsidRPr="00DA1C44">
        <w:t>,68</w:t>
      </w:r>
      <w:r w:rsidR="00DC2D7D">
        <w:t>6</w:t>
      </w:r>
      <w:r w:rsidRPr="00DA1C44">
        <w:t xml:space="preserve"> </w:t>
      </w:r>
      <w:r w:rsidR="00E254D4">
        <w:t>(a decrease of 19,432 annual burden hours)</w:t>
      </w:r>
      <w:r w:rsidR="001B278E">
        <w:t>, as well as a decrease in associated labor costs from $235,294 to $217,302 (a reduction in annual labor costs of $17,992)</w:t>
      </w:r>
      <w:r w:rsidRPr="00DA1C44">
        <w:t>.</w:t>
      </w:r>
      <w:r>
        <w:rPr>
          <w:rStyle w:val="FootnoteReference"/>
        </w:rPr>
        <w:footnoteReference w:id="23"/>
      </w:r>
    </w:p>
    <w:p w:rsidR="00A960C1" w:rsidRPr="003A46F9" w:rsidP="001D6099" w14:paraId="2C8DBD37" w14:textId="77777777">
      <w:pPr>
        <w:tabs>
          <w:tab w:val="left" w:pos="-720"/>
        </w:tabs>
        <w:spacing w:after="240"/>
        <w:ind w:left="720" w:hanging="720"/>
        <w:jc w:val="both"/>
        <w:rPr>
          <w:rFonts w:ascii="Times New Roman" w:hAnsi="Times New Roman"/>
          <w:b/>
        </w:rPr>
      </w:pPr>
      <w:r w:rsidRPr="003A46F9">
        <w:rPr>
          <w:rFonts w:ascii="Times New Roman" w:hAnsi="Times New Roman"/>
          <w:b/>
        </w:rPr>
        <w:t>16.</w:t>
      </w:r>
      <w:r w:rsidRPr="003A46F9">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A960C1" w:rsidRPr="003A46F9" w:rsidP="001D6099" w14:paraId="54A0AFCF"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33858752" w14:textId="77777777">
      <w:pPr>
        <w:tabs>
          <w:tab w:val="left" w:pos="-720"/>
        </w:tabs>
        <w:spacing w:after="240"/>
        <w:ind w:left="720" w:hanging="720"/>
        <w:jc w:val="both"/>
        <w:rPr>
          <w:rFonts w:ascii="Times New Roman" w:hAnsi="Times New Roman"/>
          <w:b/>
        </w:rPr>
      </w:pPr>
      <w:r w:rsidRPr="003A46F9">
        <w:rPr>
          <w:rFonts w:ascii="Times New Roman" w:hAnsi="Times New Roman"/>
          <w:b/>
        </w:rPr>
        <w:t>17.</w:t>
      </w:r>
      <w:r w:rsidRPr="003A46F9">
        <w:rPr>
          <w:rFonts w:ascii="Times New Roman" w:hAnsi="Times New Roman"/>
          <w:b/>
        </w:rPr>
        <w:tab/>
        <w:t>If seeking approval to not display the expiration date for OMB approval of the information collection, explain the reasons that display would be inappropriate.</w:t>
      </w:r>
    </w:p>
    <w:p w:rsidR="00A960C1" w:rsidRPr="003A46F9" w:rsidP="001D6099" w14:paraId="24A51694" w14:textId="77777777">
      <w:pPr>
        <w:tabs>
          <w:tab w:val="left" w:pos="-720"/>
        </w:tabs>
        <w:spacing w:after="240"/>
        <w:jc w:val="both"/>
        <w:rPr>
          <w:rFonts w:ascii="Times New Roman" w:hAnsi="Times New Roman"/>
        </w:rPr>
      </w:pPr>
      <w:r w:rsidRPr="003A46F9">
        <w:rPr>
          <w:rFonts w:ascii="Times New Roman" w:hAnsi="Times New Roman"/>
        </w:rPr>
        <w:t>This question does not apply.</w:t>
      </w:r>
    </w:p>
    <w:p w:rsidR="00A960C1" w:rsidRPr="003A46F9" w:rsidP="001D6099" w14:paraId="6C5FF1AC" w14:textId="77777777">
      <w:pPr>
        <w:keepNext/>
        <w:tabs>
          <w:tab w:val="left" w:pos="-720"/>
        </w:tabs>
        <w:spacing w:after="240"/>
        <w:ind w:left="720" w:hanging="720"/>
        <w:jc w:val="both"/>
        <w:rPr>
          <w:rFonts w:ascii="Times New Roman" w:hAnsi="Times New Roman"/>
          <w:b/>
        </w:rPr>
      </w:pPr>
      <w:r w:rsidRPr="003A46F9">
        <w:rPr>
          <w:rFonts w:ascii="Times New Roman" w:hAnsi="Times New Roman"/>
          <w:b/>
        </w:rPr>
        <w:t>18.</w:t>
      </w:r>
      <w:r w:rsidRPr="003A46F9">
        <w:rPr>
          <w:rFonts w:ascii="Times New Roman" w:hAnsi="Times New Roman"/>
          <w:b/>
        </w:rPr>
        <w:tab/>
        <w:t>Explain each exception to the certification statement identified in Item 19, "Certification for Paperwork Reduction Act Submissions," of OMB Form 83-I.</w:t>
      </w:r>
    </w:p>
    <w:p w:rsidR="002E237C" w:rsidP="001D6099" w14:paraId="1662B715" w14:textId="77777777">
      <w:pPr>
        <w:tabs>
          <w:tab w:val="left" w:pos="-720"/>
        </w:tabs>
        <w:spacing w:after="240"/>
        <w:jc w:val="both"/>
        <w:rPr>
          <w:rFonts w:ascii="Times New Roman" w:hAnsi="Times New Roman"/>
        </w:rPr>
        <w:sectPr w:rsidSect="00293241">
          <w:footerReference w:type="default" r:id="rId9"/>
          <w:headerReference w:type="first" r:id="rId10"/>
          <w:type w:val="continuous"/>
          <w:pgSz w:w="12240" w:h="15840" w:code="1"/>
          <w:pgMar w:top="1440" w:right="1440" w:bottom="1152" w:left="1440" w:header="720" w:footer="720" w:gutter="0"/>
          <w:cols w:space="720"/>
          <w:docGrid w:linePitch="360"/>
        </w:sectPr>
      </w:pPr>
      <w:r w:rsidRPr="003A46F9">
        <w:rPr>
          <w:rFonts w:ascii="Times New Roman" w:hAnsi="Times New Roman"/>
        </w:rPr>
        <w:t>This question does not apply.</w:t>
      </w:r>
    </w:p>
    <w:p w:rsidR="0034378D" w:rsidRPr="003A46F9" w:rsidP="002E237C" w14:paraId="2175DE0A" w14:textId="64165E98">
      <w:pPr>
        <w:pStyle w:val="Title"/>
        <w:spacing w:after="240"/>
        <w:rPr>
          <w:sz w:val="24"/>
          <w:szCs w:val="24"/>
        </w:rPr>
      </w:pPr>
      <w:r w:rsidRPr="003A46F9">
        <w:rPr>
          <w:sz w:val="24"/>
          <w:szCs w:val="24"/>
        </w:rPr>
        <w:t>Attachment A</w:t>
      </w:r>
    </w:p>
    <w:p w:rsidR="0034378D" w:rsidRPr="003A46F9" w:rsidP="002E2E06" w14:paraId="41D3F5BB" w14:textId="77777777">
      <w:pPr>
        <w:pStyle w:val="Title"/>
        <w:spacing w:after="240"/>
        <w:rPr>
          <w:sz w:val="24"/>
          <w:szCs w:val="24"/>
        </w:rPr>
      </w:pPr>
      <w:r w:rsidRPr="003A46F9">
        <w:rPr>
          <w:sz w:val="24"/>
          <w:szCs w:val="24"/>
        </w:rPr>
        <w:t>Part 23 – Swap Dealer and Major Swap Participant Conflicts of Interest and Business Conduct Standards with Counterparties</w:t>
      </w:r>
    </w:p>
    <w:p w:rsidR="0034378D" w:rsidRPr="003A46F9" w:rsidP="002E2E06" w14:paraId="7B86E770" w14:textId="77777777">
      <w:pPr>
        <w:pStyle w:val="Title"/>
        <w:spacing w:after="240"/>
        <w:rPr>
          <w:sz w:val="24"/>
          <w:szCs w:val="24"/>
        </w:rPr>
      </w:pPr>
      <w:r w:rsidRPr="003A46F9">
        <w:rPr>
          <w:sz w:val="24"/>
          <w:szCs w:val="24"/>
        </w:rPr>
        <w:t>OMB Collection File 3038-0079</w:t>
      </w:r>
    </w:p>
    <w:p w:rsidR="0034378D" w:rsidRPr="003A46F9" w:rsidP="0034378D" w14:paraId="0169B218" w14:textId="77777777">
      <w:pPr>
        <w:pStyle w:val="Title"/>
        <w:spacing w:after="240"/>
        <w:rPr>
          <w:sz w:val="24"/>
          <w:szCs w:val="24"/>
        </w:rPr>
      </w:pPr>
      <w:r w:rsidRPr="003A46F9">
        <w:rPr>
          <w:sz w:val="24"/>
          <w:szCs w:val="24"/>
        </w:rPr>
        <w:t>Annual Estimated Burdens</w:t>
      </w:r>
    </w:p>
    <w:tbl>
      <w:tblPr>
        <w:tblpPr w:leftFromText="180" w:rightFromText="180" w:vertAnchor="text" w:tblpXSpec="center" w:tblpY="1"/>
        <w:tblOverlap w:val="never"/>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1390"/>
        <w:gridCol w:w="1296"/>
        <w:gridCol w:w="1270"/>
        <w:gridCol w:w="1310"/>
        <w:gridCol w:w="1310"/>
        <w:gridCol w:w="1296"/>
      </w:tblGrid>
      <w:tr w14:paraId="3CF2916A" w14:textId="77777777" w:rsidTr="00293241">
        <w:tblPrEx>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40"/>
        </w:trPr>
        <w:tc>
          <w:tcPr>
            <w:tcW w:w="1114" w:type="pct"/>
            <w:hideMark/>
          </w:tcPr>
          <w:p w:rsidR="00553344" w:rsidRPr="003A46F9" w:rsidP="00880226" w14:paraId="4FBBBB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bookmarkStart w:id="1" w:name="_Hlk136943411"/>
            <w:r w:rsidRPr="003A46F9">
              <w:rPr>
                <w:rFonts w:ascii="Times New Roman" w:hAnsi="Times New Roman"/>
                <w:b/>
                <w:bCs/>
              </w:rPr>
              <w:t>Re</w:t>
            </w:r>
            <w:r w:rsidRPr="003A46F9" w:rsidR="00C1478A">
              <w:rPr>
                <w:rFonts w:ascii="Times New Roman" w:hAnsi="Times New Roman"/>
                <w:b/>
                <w:bCs/>
              </w:rPr>
              <w:t>gulation</w:t>
            </w:r>
          </w:p>
        </w:tc>
        <w:tc>
          <w:tcPr>
            <w:tcW w:w="686" w:type="pct"/>
            <w:hideMark/>
          </w:tcPr>
          <w:p w:rsidR="00553344" w:rsidRPr="003A46F9" w:rsidP="00880226" w14:paraId="700834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 xml:space="preserve">Estimated </w:t>
            </w:r>
            <w:r w:rsidRPr="003A46F9">
              <w:rPr>
                <w:rFonts w:ascii="Times New Roman" w:hAnsi="Times New Roman"/>
                <w:b/>
                <w:bCs/>
              </w:rPr>
              <w:t># of Registrants</w:t>
            </w:r>
            <w:r w:rsidRPr="003A46F9">
              <w:rPr>
                <w:rFonts w:ascii="Times New Roman" w:hAnsi="Times New Roman"/>
                <w:b/>
                <w:bCs/>
              </w:rPr>
              <w:t xml:space="preserve"> Per Year</w:t>
            </w:r>
          </w:p>
        </w:tc>
        <w:tc>
          <w:tcPr>
            <w:tcW w:w="640" w:type="pct"/>
            <w:hideMark/>
          </w:tcPr>
          <w:p w:rsidR="00553344" w:rsidRPr="003A46F9" w:rsidP="00880226" w14:paraId="05D19C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 of Annual Responses Per Registrant</w:t>
            </w:r>
          </w:p>
        </w:tc>
        <w:tc>
          <w:tcPr>
            <w:tcW w:w="627" w:type="pct"/>
            <w:hideMark/>
          </w:tcPr>
          <w:p w:rsidR="00553344" w:rsidRPr="003A46F9" w:rsidP="00880226" w14:paraId="557C7A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Total #Annual Responses</w:t>
            </w:r>
          </w:p>
        </w:tc>
        <w:tc>
          <w:tcPr>
            <w:tcW w:w="647" w:type="pct"/>
            <w:hideMark/>
          </w:tcPr>
          <w:p w:rsidR="00553344" w:rsidRPr="003A46F9" w:rsidP="00880226" w14:paraId="236B7F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Average # of Hours Per Response</w:t>
            </w:r>
            <w:r w:rsidRPr="003A46F9">
              <w:rPr>
                <w:rFonts w:ascii="Times New Roman" w:hAnsi="Times New Roman"/>
                <w:b/>
                <w:bCs/>
              </w:rPr>
              <w:br/>
              <w:t>(Rounded)</w:t>
            </w:r>
          </w:p>
        </w:tc>
        <w:tc>
          <w:tcPr>
            <w:tcW w:w="647" w:type="pct"/>
            <w:hideMark/>
          </w:tcPr>
          <w:p w:rsidR="00553344" w:rsidRPr="003A46F9" w:rsidP="00880226" w14:paraId="6E0E35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Total # of Hours of Annual Burden in Fiscal Year</w:t>
            </w:r>
            <w:r w:rsidRPr="003A46F9">
              <w:rPr>
                <w:rFonts w:ascii="Times New Roman" w:hAnsi="Times New Roman"/>
                <w:b/>
                <w:bCs/>
              </w:rPr>
              <w:br/>
              <w:t>(Rounded)</w:t>
            </w:r>
          </w:p>
        </w:tc>
        <w:tc>
          <w:tcPr>
            <w:tcW w:w="640" w:type="pct"/>
            <w:hideMark/>
          </w:tcPr>
          <w:p w:rsidR="00553344" w:rsidRPr="003A46F9" w:rsidP="00880226" w14:paraId="3227D3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rPr>
            </w:pPr>
            <w:r w:rsidRPr="003A46F9">
              <w:rPr>
                <w:rFonts w:ascii="Times New Roman" w:hAnsi="Times New Roman"/>
                <w:b/>
                <w:bCs/>
              </w:rPr>
              <w:t>Estimated Annual Cost Per Registrant</w:t>
            </w:r>
            <w:r w:rsidRPr="003A46F9">
              <w:rPr>
                <w:rFonts w:ascii="Times New Roman" w:hAnsi="Times New Roman"/>
                <w:b/>
                <w:bCs/>
              </w:rPr>
              <w:br/>
              <w:t>($100/</w:t>
            </w:r>
            <w:r w:rsidRPr="003A46F9">
              <w:rPr>
                <w:rFonts w:ascii="Times New Roman" w:hAnsi="Times New Roman"/>
                <w:b/>
                <w:bCs/>
              </w:rPr>
              <w:t>hr</w:t>
            </w:r>
            <w:r w:rsidRPr="003A46F9">
              <w:rPr>
                <w:rFonts w:ascii="Times New Roman" w:hAnsi="Times New Roman"/>
                <w:b/>
                <w:bCs/>
              </w:rPr>
              <w:t>)</w:t>
            </w:r>
          </w:p>
        </w:tc>
      </w:tr>
      <w:tr w14:paraId="3CA8EE1C" w14:textId="77777777" w:rsidTr="00293241">
        <w:tblPrEx>
          <w:tblW w:w="5416" w:type="pct"/>
          <w:tblLook w:val="04A0"/>
        </w:tblPrEx>
        <w:trPr>
          <w:trHeight w:val="473"/>
        </w:trPr>
        <w:tc>
          <w:tcPr>
            <w:tcW w:w="1114" w:type="pct"/>
            <w:vAlign w:val="bottom"/>
            <w:hideMark/>
          </w:tcPr>
          <w:p w:rsidR="008E6105" w:rsidRPr="008E6105" w:rsidP="00880226" w14:paraId="40C1593D" w14:textId="126E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23.605 Recordkeeping</w:t>
            </w:r>
          </w:p>
        </w:tc>
        <w:tc>
          <w:tcPr>
            <w:tcW w:w="686" w:type="pct"/>
            <w:noWrap/>
            <w:vAlign w:val="bottom"/>
            <w:hideMark/>
          </w:tcPr>
          <w:p w:rsidR="00880226" w:rsidP="00880226" w14:paraId="5967CA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rPr>
            </w:pPr>
          </w:p>
          <w:p w:rsidR="008E6105" w:rsidRPr="008E6105" w:rsidP="00880226" w14:paraId="548948CF" w14:textId="00E9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CF2F88">
              <w:rPr>
                <w:rFonts w:ascii="Times New Roman" w:hAnsi="Times New Roman"/>
                <w:color w:val="000000"/>
              </w:rPr>
              <w:t>10</w:t>
            </w:r>
            <w:r>
              <w:rPr>
                <w:rFonts w:ascii="Times New Roman" w:hAnsi="Times New Roman"/>
                <w:color w:val="000000"/>
              </w:rPr>
              <w:t>8</w:t>
            </w:r>
            <w:r>
              <w:rPr>
                <w:rStyle w:val="FootnoteReference"/>
                <w:rFonts w:ascii="Times New Roman" w:hAnsi="Times New Roman"/>
                <w:color w:val="000000"/>
              </w:rPr>
              <w:footnoteReference w:id="24"/>
            </w:r>
          </w:p>
        </w:tc>
        <w:tc>
          <w:tcPr>
            <w:tcW w:w="640" w:type="pct"/>
            <w:noWrap/>
            <w:vAlign w:val="bottom"/>
            <w:hideMark/>
          </w:tcPr>
          <w:p w:rsidR="008E6105" w:rsidRPr="008E6105" w:rsidP="00880226" w14:paraId="31BB0A43" w14:textId="5158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21</w:t>
            </w:r>
          </w:p>
        </w:tc>
        <w:tc>
          <w:tcPr>
            <w:tcW w:w="627" w:type="pct"/>
            <w:noWrap/>
            <w:vAlign w:val="bottom"/>
          </w:tcPr>
          <w:p w:rsidR="008E6105" w:rsidRPr="008E6105" w:rsidP="00880226" w14:paraId="6F8576BE" w14:textId="2D82E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w:t>
            </w:r>
            <w:r w:rsidRPr="008E6105" w:rsidR="0024740A">
              <w:rPr>
                <w:rFonts w:ascii="Times New Roman" w:hAnsi="Times New Roman"/>
                <w:color w:val="000000"/>
              </w:rPr>
              <w:t>2</w:t>
            </w:r>
            <w:r w:rsidR="00B62B85">
              <w:rPr>
                <w:rFonts w:ascii="Times New Roman" w:hAnsi="Times New Roman"/>
                <w:color w:val="000000"/>
              </w:rPr>
              <w:t>68</w:t>
            </w:r>
          </w:p>
        </w:tc>
        <w:tc>
          <w:tcPr>
            <w:tcW w:w="647" w:type="pct"/>
            <w:noWrap/>
            <w:vAlign w:val="bottom"/>
            <w:hideMark/>
          </w:tcPr>
          <w:p w:rsidR="008E6105" w:rsidRPr="008E6105" w:rsidP="00880226" w14:paraId="6E293F05" w14:textId="53F2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0.6</w:t>
            </w:r>
          </w:p>
        </w:tc>
        <w:tc>
          <w:tcPr>
            <w:tcW w:w="647" w:type="pct"/>
            <w:noWrap/>
            <w:vAlign w:val="bottom"/>
          </w:tcPr>
          <w:p w:rsidR="008E6105" w:rsidRPr="008E6105" w:rsidP="00880226" w14:paraId="3F63A784" w14:textId="12C44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w:t>
            </w:r>
            <w:r w:rsidR="0024740A">
              <w:rPr>
                <w:rFonts w:ascii="Times New Roman" w:hAnsi="Times New Roman"/>
                <w:color w:val="000000"/>
              </w:rPr>
              <w:t>2</w:t>
            </w:r>
            <w:r w:rsidR="00DE551F">
              <w:rPr>
                <w:rFonts w:ascii="Times New Roman" w:hAnsi="Times New Roman"/>
                <w:color w:val="000000"/>
              </w:rPr>
              <w:t>9</w:t>
            </w:r>
            <w:r w:rsidR="00CF2F88">
              <w:rPr>
                <w:rFonts w:ascii="Times New Roman" w:hAnsi="Times New Roman"/>
                <w:color w:val="000000"/>
              </w:rPr>
              <w:t>6</w:t>
            </w:r>
          </w:p>
        </w:tc>
        <w:tc>
          <w:tcPr>
            <w:tcW w:w="640" w:type="pct"/>
            <w:noWrap/>
            <w:vAlign w:val="bottom"/>
          </w:tcPr>
          <w:p w:rsidR="008E6105" w:rsidRPr="008E6105" w:rsidP="00880226" w14:paraId="6D1E40CD" w14:textId="59A67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$1,200</w:t>
            </w:r>
          </w:p>
        </w:tc>
      </w:tr>
      <w:tr w14:paraId="221B8FBC" w14:textId="77777777" w:rsidTr="00293241">
        <w:tblPrEx>
          <w:tblW w:w="5416" w:type="pct"/>
          <w:tblLook w:val="04A0"/>
        </w:tblPrEx>
        <w:trPr>
          <w:trHeight w:val="300"/>
        </w:trPr>
        <w:tc>
          <w:tcPr>
            <w:tcW w:w="1114" w:type="pct"/>
            <w:noWrap/>
            <w:vAlign w:val="bottom"/>
            <w:hideMark/>
          </w:tcPr>
          <w:p w:rsidR="008E6105" w:rsidRPr="008E6105" w:rsidP="00880226" w14:paraId="37C388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23.605 Disclosure</w:t>
            </w:r>
          </w:p>
        </w:tc>
        <w:tc>
          <w:tcPr>
            <w:tcW w:w="686" w:type="pct"/>
            <w:noWrap/>
            <w:vAlign w:val="bottom"/>
            <w:hideMark/>
          </w:tcPr>
          <w:p w:rsidR="008E6105" w:rsidRPr="008E6105" w:rsidP="00880226" w14:paraId="6362331F" w14:textId="0F88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49501264" w14:textId="5D39A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65</w:t>
            </w:r>
          </w:p>
        </w:tc>
        <w:tc>
          <w:tcPr>
            <w:tcW w:w="627" w:type="pct"/>
            <w:noWrap/>
            <w:vAlign w:val="bottom"/>
          </w:tcPr>
          <w:p w:rsidR="008E6105" w:rsidRPr="008E6105" w:rsidP="00880226" w14:paraId="1FDE4FE9" w14:textId="137DE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5F7BC2">
              <w:rPr>
                <w:rFonts w:ascii="Times New Roman" w:hAnsi="Times New Roman"/>
                <w:color w:val="000000"/>
              </w:rPr>
              <w:t>7,020</w:t>
            </w:r>
          </w:p>
        </w:tc>
        <w:tc>
          <w:tcPr>
            <w:tcW w:w="647" w:type="pct"/>
            <w:noWrap/>
            <w:vAlign w:val="bottom"/>
            <w:hideMark/>
          </w:tcPr>
          <w:p w:rsidR="008E6105" w:rsidRPr="008E6105" w:rsidP="00880226" w14:paraId="2EAC5F5C" w14:textId="5AB7F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0.5</w:t>
            </w:r>
          </w:p>
        </w:tc>
        <w:tc>
          <w:tcPr>
            <w:tcW w:w="647" w:type="pct"/>
            <w:noWrap/>
            <w:vAlign w:val="bottom"/>
          </w:tcPr>
          <w:p w:rsidR="008E6105" w:rsidRPr="008E6105" w:rsidP="00880226" w14:paraId="25D30B5D" w14:textId="78A09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3,</w:t>
            </w:r>
            <w:r w:rsidR="00DE551F">
              <w:rPr>
                <w:rFonts w:ascii="Times New Roman" w:hAnsi="Times New Roman"/>
                <w:color w:val="000000"/>
              </w:rPr>
              <w:t>510</w:t>
            </w:r>
          </w:p>
        </w:tc>
        <w:tc>
          <w:tcPr>
            <w:tcW w:w="640" w:type="pct"/>
            <w:noWrap/>
            <w:vAlign w:val="bottom"/>
          </w:tcPr>
          <w:p w:rsidR="008E6105" w:rsidRPr="008E6105" w:rsidP="00880226" w14:paraId="2C67B871" w14:textId="275FD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$3,250</w:t>
            </w:r>
          </w:p>
        </w:tc>
      </w:tr>
      <w:tr w14:paraId="7155C41C" w14:textId="77777777" w:rsidTr="00293241">
        <w:tblPrEx>
          <w:tblW w:w="5416" w:type="pct"/>
          <w:tblLook w:val="04A0"/>
        </w:tblPrEx>
        <w:trPr>
          <w:trHeight w:val="368"/>
        </w:trPr>
        <w:tc>
          <w:tcPr>
            <w:tcW w:w="1114" w:type="pct"/>
            <w:vAlign w:val="bottom"/>
            <w:hideMark/>
          </w:tcPr>
          <w:p w:rsidR="008E6105" w:rsidRPr="008E6105" w:rsidP="00880226" w14:paraId="1665DA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Cs/>
              </w:rPr>
            </w:pPr>
            <w:r w:rsidRPr="008E6105">
              <w:rPr>
                <w:rFonts w:ascii="Times New Roman" w:hAnsi="Times New Roman"/>
                <w:bCs/>
              </w:rPr>
              <w:t>23.402 Recordkeeping</w:t>
            </w:r>
            <w:r>
              <w:rPr>
                <w:rStyle w:val="FootnoteReference"/>
                <w:rFonts w:ascii="Times New Roman" w:hAnsi="Times New Roman"/>
                <w:bCs/>
              </w:rPr>
              <w:footnoteReference w:id="25"/>
            </w:r>
            <w:r w:rsidRPr="008E6105">
              <w:rPr>
                <w:rFonts w:ascii="Times New Roman" w:hAnsi="Times New Roman"/>
                <w:bCs/>
              </w:rPr>
              <w:t>,</w:t>
            </w:r>
            <w:r>
              <w:rPr>
                <w:rStyle w:val="FootnoteReference"/>
                <w:rFonts w:ascii="Times New Roman" w:hAnsi="Times New Roman"/>
                <w:bCs/>
              </w:rPr>
              <w:footnoteReference w:id="26"/>
            </w:r>
          </w:p>
        </w:tc>
        <w:tc>
          <w:tcPr>
            <w:tcW w:w="686" w:type="pct"/>
            <w:noWrap/>
            <w:vAlign w:val="bottom"/>
            <w:hideMark/>
          </w:tcPr>
          <w:p w:rsidR="008E6105" w:rsidRPr="008E6105" w:rsidP="00880226" w14:paraId="5C6D7AED" w14:textId="43E3E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6F11C19E" w14:textId="0B22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252</w:t>
            </w:r>
          </w:p>
        </w:tc>
        <w:tc>
          <w:tcPr>
            <w:tcW w:w="627" w:type="pct"/>
            <w:noWrap/>
            <w:vAlign w:val="bottom"/>
          </w:tcPr>
          <w:p w:rsidR="008E6105" w:rsidRPr="008E6105" w:rsidP="00880226" w14:paraId="173DBD57" w14:textId="59939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5F7BC2">
              <w:rPr>
                <w:rFonts w:ascii="Times New Roman" w:hAnsi="Times New Roman"/>
                <w:color w:val="000000"/>
              </w:rPr>
              <w:t>27,216</w:t>
            </w:r>
          </w:p>
        </w:tc>
        <w:tc>
          <w:tcPr>
            <w:tcW w:w="647" w:type="pct"/>
            <w:noWrap/>
            <w:vAlign w:val="bottom"/>
            <w:hideMark/>
          </w:tcPr>
          <w:p w:rsidR="008E6105" w:rsidRPr="008E6105" w:rsidP="00880226" w14:paraId="36957E82" w14:textId="6ECBE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4.3</w:t>
            </w:r>
          </w:p>
        </w:tc>
        <w:tc>
          <w:tcPr>
            <w:tcW w:w="647" w:type="pct"/>
            <w:noWrap/>
            <w:vAlign w:val="bottom"/>
          </w:tcPr>
          <w:p w:rsidR="008E6105" w:rsidRPr="008E6105" w:rsidP="00880226" w14:paraId="20231B25" w14:textId="3BCBB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11</w:t>
            </w:r>
            <w:r>
              <w:rPr>
                <w:rFonts w:ascii="Times New Roman" w:hAnsi="Times New Roman"/>
                <w:color w:val="000000"/>
              </w:rPr>
              <w:t>7</w:t>
            </w:r>
            <w:r w:rsidRPr="008E6105">
              <w:rPr>
                <w:rFonts w:ascii="Times New Roman" w:hAnsi="Times New Roman"/>
                <w:color w:val="000000"/>
              </w:rPr>
              <w:t>,</w:t>
            </w:r>
            <w:r>
              <w:rPr>
                <w:rFonts w:ascii="Times New Roman" w:hAnsi="Times New Roman"/>
                <w:color w:val="000000"/>
              </w:rPr>
              <w:t>72</w:t>
            </w:r>
            <w:r w:rsidRPr="008E6105">
              <w:rPr>
                <w:rFonts w:ascii="Times New Roman" w:hAnsi="Times New Roman"/>
                <w:color w:val="000000"/>
              </w:rPr>
              <w:t>0</w:t>
            </w:r>
          </w:p>
        </w:tc>
        <w:tc>
          <w:tcPr>
            <w:tcW w:w="640" w:type="pct"/>
            <w:noWrap/>
            <w:vAlign w:val="bottom"/>
          </w:tcPr>
          <w:p w:rsidR="008E6105" w:rsidRPr="008E6105" w:rsidP="00880226" w14:paraId="7DD50CB7" w14:textId="03AA9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rPr>
            </w:pPr>
            <w:r w:rsidRPr="008E6105">
              <w:rPr>
                <w:rFonts w:ascii="Times New Roman" w:hAnsi="Times New Roman"/>
                <w:color w:val="000000"/>
              </w:rPr>
              <w:t>$109,000</w:t>
            </w:r>
          </w:p>
        </w:tc>
      </w:tr>
      <w:tr w14:paraId="42F48AC1" w14:textId="77777777" w:rsidTr="00293241">
        <w:tblPrEx>
          <w:tblW w:w="5416" w:type="pct"/>
          <w:tblLook w:val="04A0"/>
        </w:tblPrEx>
        <w:trPr>
          <w:trHeight w:val="300"/>
        </w:trPr>
        <w:tc>
          <w:tcPr>
            <w:tcW w:w="1114" w:type="pct"/>
            <w:noWrap/>
            <w:vAlign w:val="bottom"/>
            <w:hideMark/>
          </w:tcPr>
          <w:p w:rsidR="008E6105" w:rsidRPr="008E6105" w:rsidP="00880226" w14:paraId="02515B24" w14:textId="3CEA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23.430 Disclosure</w:t>
            </w:r>
          </w:p>
        </w:tc>
        <w:tc>
          <w:tcPr>
            <w:tcW w:w="686" w:type="pct"/>
            <w:noWrap/>
            <w:vAlign w:val="bottom"/>
            <w:hideMark/>
          </w:tcPr>
          <w:p w:rsidR="008E6105" w:rsidRPr="008E6105" w:rsidP="00880226" w14:paraId="06221606" w14:textId="11FC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64B3A285" w14:textId="6C979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5A6EBDF3" w14:textId="0ED9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6579EC37" w14:textId="0A9D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noWrap/>
            <w:vAlign w:val="bottom"/>
            <w:hideMark/>
          </w:tcPr>
          <w:p w:rsidR="008E6105" w:rsidRPr="008E6105" w:rsidP="00880226" w14:paraId="1167EB20" w14:textId="41C0C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DE551F">
              <w:rPr>
                <w:rFonts w:ascii="Times New Roman" w:hAnsi="Times New Roman"/>
                <w:color w:val="000000"/>
              </w:rPr>
              <w:t>8</w:t>
            </w:r>
          </w:p>
        </w:tc>
        <w:tc>
          <w:tcPr>
            <w:tcW w:w="640" w:type="pct"/>
            <w:noWrap/>
            <w:vAlign w:val="bottom"/>
            <w:hideMark/>
          </w:tcPr>
          <w:p w:rsidR="008E6105" w:rsidRPr="008E6105" w:rsidP="00880226" w14:paraId="5AB3E8BD" w14:textId="256F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105AA2E2" w14:textId="77777777" w:rsidTr="00E254D4">
        <w:tblPrEx>
          <w:tblW w:w="5416" w:type="pct"/>
          <w:tblLook w:val="04A0"/>
        </w:tblPrEx>
        <w:trPr>
          <w:trHeight w:val="300"/>
        </w:trPr>
        <w:tc>
          <w:tcPr>
            <w:tcW w:w="1114" w:type="pct"/>
            <w:shd w:val="clear" w:color="auto" w:fill="FFFF00"/>
            <w:noWrap/>
            <w:vAlign w:val="bottom"/>
            <w:hideMark/>
          </w:tcPr>
          <w:p w:rsidR="00E254D4" w:rsidRPr="00E254D4" w:rsidP="00880226" w14:paraId="45696B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highlight w:val="yellow"/>
              </w:rPr>
              <w:t>REVISED:</w:t>
            </w:r>
          </w:p>
          <w:p w:rsidR="008E6105" w:rsidRPr="00E254D4" w:rsidP="00880226" w14:paraId="3A7BDDC3" w14:textId="0A77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highlight w:val="yellow"/>
              </w:rPr>
              <w:t>23.431 Disclosure</w:t>
            </w:r>
          </w:p>
        </w:tc>
        <w:tc>
          <w:tcPr>
            <w:tcW w:w="686" w:type="pct"/>
            <w:shd w:val="clear" w:color="auto" w:fill="FFFF00"/>
            <w:noWrap/>
            <w:vAlign w:val="bottom"/>
            <w:hideMark/>
          </w:tcPr>
          <w:p w:rsidR="008E6105" w:rsidRPr="00E254D4" w:rsidP="00880226" w14:paraId="3CF75EE7" w14:textId="1C85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10</w:t>
            </w:r>
            <w:r w:rsidRPr="00E254D4" w:rsidR="0031778E">
              <w:rPr>
                <w:rFonts w:ascii="Times New Roman" w:hAnsi="Times New Roman"/>
                <w:b/>
                <w:color w:val="000000"/>
                <w:highlight w:val="yellow"/>
              </w:rPr>
              <w:t>8</w:t>
            </w:r>
          </w:p>
        </w:tc>
        <w:tc>
          <w:tcPr>
            <w:tcW w:w="640" w:type="pct"/>
            <w:shd w:val="clear" w:color="auto" w:fill="FFFF00"/>
            <w:noWrap/>
            <w:vAlign w:val="bottom"/>
            <w:hideMark/>
          </w:tcPr>
          <w:p w:rsidR="008E6105" w:rsidRPr="00E254D4" w:rsidP="00880226" w14:paraId="79008E52" w14:textId="3DFDE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1,000</w:t>
            </w:r>
          </w:p>
        </w:tc>
        <w:tc>
          <w:tcPr>
            <w:tcW w:w="627" w:type="pct"/>
            <w:shd w:val="clear" w:color="auto" w:fill="FFFF00"/>
            <w:noWrap/>
            <w:vAlign w:val="bottom"/>
            <w:hideMark/>
          </w:tcPr>
          <w:p w:rsidR="008E6105" w:rsidRPr="00E254D4" w:rsidP="00880226" w14:paraId="2560C7CB" w14:textId="20205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108</w:t>
            </w:r>
            <w:r w:rsidRPr="00E254D4">
              <w:rPr>
                <w:rFonts w:ascii="Times New Roman" w:hAnsi="Times New Roman"/>
                <w:b/>
                <w:color w:val="000000"/>
                <w:highlight w:val="yellow"/>
              </w:rPr>
              <w:t>,000</w:t>
            </w:r>
          </w:p>
        </w:tc>
        <w:tc>
          <w:tcPr>
            <w:tcW w:w="647" w:type="pct"/>
            <w:shd w:val="clear" w:color="auto" w:fill="FFFF00"/>
            <w:noWrap/>
            <w:vAlign w:val="bottom"/>
            <w:hideMark/>
          </w:tcPr>
          <w:p w:rsidR="008E6105" w:rsidRPr="00E254D4" w:rsidP="00880226" w14:paraId="413C4BD3" w14:textId="7D53A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trike/>
                <w:color w:val="000000"/>
                <w:highlight w:val="yellow"/>
              </w:rPr>
            </w:pPr>
            <w:r w:rsidRPr="00E254D4">
              <w:rPr>
                <w:rFonts w:ascii="Times New Roman" w:hAnsi="Times New Roman"/>
                <w:b/>
                <w:strike/>
                <w:color w:val="000000"/>
                <w:highlight w:val="yellow"/>
              </w:rPr>
              <w:t>1.</w:t>
            </w:r>
            <w:r w:rsidRPr="00E254D4" w:rsidR="00E254D4">
              <w:rPr>
                <w:rFonts w:ascii="Times New Roman" w:hAnsi="Times New Roman"/>
                <w:b/>
                <w:strike/>
                <w:color w:val="000000"/>
                <w:highlight w:val="yellow"/>
              </w:rPr>
              <w:t>2</w:t>
            </w:r>
          </w:p>
          <w:p w:rsidR="00E254D4" w:rsidRPr="00E254D4" w:rsidP="00880226" w14:paraId="0CDD6EB9" w14:textId="2BFBE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1.0</w:t>
            </w:r>
          </w:p>
        </w:tc>
        <w:tc>
          <w:tcPr>
            <w:tcW w:w="647" w:type="pct"/>
            <w:shd w:val="clear" w:color="auto" w:fill="FFFF00"/>
            <w:noWrap/>
            <w:vAlign w:val="bottom"/>
            <w:hideMark/>
          </w:tcPr>
          <w:p w:rsidR="008E6105" w:rsidRPr="00E254D4" w:rsidP="00880226" w14:paraId="25ED569F" w14:textId="681A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1</w:t>
            </w:r>
            <w:r w:rsidRPr="00E254D4" w:rsidR="007C67F1">
              <w:rPr>
                <w:rFonts w:ascii="Times New Roman" w:hAnsi="Times New Roman"/>
                <w:b/>
                <w:color w:val="000000"/>
                <w:highlight w:val="yellow"/>
              </w:rPr>
              <w:t>10</w:t>
            </w:r>
            <w:r w:rsidRPr="00E254D4">
              <w:rPr>
                <w:rFonts w:ascii="Times New Roman" w:hAnsi="Times New Roman"/>
                <w:b/>
                <w:color w:val="000000"/>
                <w:highlight w:val="yellow"/>
              </w:rPr>
              <w:t>,</w:t>
            </w:r>
            <w:r w:rsidRPr="00E254D4" w:rsidR="007C67F1">
              <w:rPr>
                <w:rFonts w:ascii="Times New Roman" w:hAnsi="Times New Roman"/>
                <w:b/>
                <w:color w:val="000000"/>
                <w:highlight w:val="yellow"/>
              </w:rPr>
              <w:t>108</w:t>
            </w:r>
          </w:p>
        </w:tc>
        <w:tc>
          <w:tcPr>
            <w:tcW w:w="640" w:type="pct"/>
            <w:shd w:val="clear" w:color="auto" w:fill="FFFF00"/>
            <w:noWrap/>
            <w:vAlign w:val="bottom"/>
            <w:hideMark/>
          </w:tcPr>
          <w:p w:rsidR="008E6105" w:rsidRPr="00E254D4" w:rsidP="00880226" w14:paraId="1D20DA12" w14:textId="79D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highlight w:val="yellow"/>
              </w:rPr>
            </w:pPr>
            <w:r w:rsidRPr="00E254D4">
              <w:rPr>
                <w:rFonts w:ascii="Times New Roman" w:hAnsi="Times New Roman"/>
                <w:b/>
                <w:color w:val="000000"/>
                <w:highlight w:val="yellow"/>
              </w:rPr>
              <w:t>$</w:t>
            </w:r>
            <w:r w:rsidRPr="00E254D4" w:rsidR="00CB502C">
              <w:rPr>
                <w:rFonts w:ascii="Times New Roman" w:hAnsi="Times New Roman"/>
                <w:b/>
                <w:color w:val="000000"/>
                <w:highlight w:val="yellow"/>
              </w:rPr>
              <w:t>101</w:t>
            </w:r>
            <w:r w:rsidRPr="00E254D4">
              <w:rPr>
                <w:rFonts w:ascii="Times New Roman" w:hAnsi="Times New Roman"/>
                <w:b/>
                <w:color w:val="000000"/>
                <w:highlight w:val="yellow"/>
              </w:rPr>
              <w:t>,</w:t>
            </w:r>
            <w:r w:rsidRPr="00E254D4" w:rsidR="00CB502C">
              <w:rPr>
                <w:rFonts w:ascii="Times New Roman" w:hAnsi="Times New Roman"/>
                <w:b/>
                <w:color w:val="000000"/>
                <w:highlight w:val="yellow"/>
              </w:rPr>
              <w:t>952</w:t>
            </w:r>
          </w:p>
        </w:tc>
      </w:tr>
      <w:tr w14:paraId="0A1EA92F" w14:textId="77777777" w:rsidTr="00293241">
        <w:tblPrEx>
          <w:tblW w:w="5416" w:type="pct"/>
          <w:tblLook w:val="04A0"/>
        </w:tblPrEx>
        <w:trPr>
          <w:trHeight w:val="300"/>
        </w:trPr>
        <w:tc>
          <w:tcPr>
            <w:tcW w:w="1114" w:type="pct"/>
            <w:noWrap/>
            <w:vAlign w:val="bottom"/>
            <w:hideMark/>
          </w:tcPr>
          <w:p w:rsidR="008E6105" w:rsidRPr="008E6105" w:rsidP="00880226" w14:paraId="00277060" w14:textId="215EC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23.432 Disclosure</w:t>
            </w:r>
          </w:p>
        </w:tc>
        <w:tc>
          <w:tcPr>
            <w:tcW w:w="686" w:type="pct"/>
            <w:noWrap/>
            <w:vAlign w:val="bottom"/>
            <w:hideMark/>
          </w:tcPr>
          <w:p w:rsidR="008E6105" w:rsidRPr="008E6105" w:rsidP="00880226" w14:paraId="040ED62A" w14:textId="242CF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483AC115" w14:textId="4EAF9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110E10D8" w14:textId="6B36B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63A8E35E" w14:textId="774F0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noWrap/>
            <w:vAlign w:val="bottom"/>
            <w:hideMark/>
          </w:tcPr>
          <w:p w:rsidR="008E6105" w:rsidRPr="008E6105" w:rsidP="00880226" w14:paraId="61277021" w14:textId="5DE34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Pr>
                <w:rFonts w:ascii="Times New Roman" w:hAnsi="Times New Roman"/>
                <w:color w:val="000000"/>
              </w:rPr>
              <w:t>8</w:t>
            </w:r>
          </w:p>
        </w:tc>
        <w:tc>
          <w:tcPr>
            <w:tcW w:w="640" w:type="pct"/>
            <w:noWrap/>
            <w:vAlign w:val="bottom"/>
            <w:hideMark/>
          </w:tcPr>
          <w:p w:rsidR="008E6105" w:rsidRPr="008E6105" w:rsidP="00880226" w14:paraId="410579CE" w14:textId="54472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3DD1D473" w14:textId="77777777" w:rsidTr="00293241">
        <w:tblPrEx>
          <w:tblW w:w="5416" w:type="pct"/>
          <w:tblLook w:val="04A0"/>
        </w:tblPrEx>
        <w:trPr>
          <w:trHeight w:val="300"/>
        </w:trPr>
        <w:tc>
          <w:tcPr>
            <w:tcW w:w="1114" w:type="pct"/>
            <w:noWrap/>
            <w:vAlign w:val="bottom"/>
            <w:hideMark/>
          </w:tcPr>
          <w:p w:rsidR="008E6105" w:rsidRPr="008E6105" w:rsidP="00880226" w14:paraId="554D1F47" w14:textId="4CA9D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23.434 Disclosure</w:t>
            </w:r>
          </w:p>
        </w:tc>
        <w:tc>
          <w:tcPr>
            <w:tcW w:w="686" w:type="pct"/>
            <w:noWrap/>
            <w:vAlign w:val="bottom"/>
            <w:hideMark/>
          </w:tcPr>
          <w:p w:rsidR="008E6105" w:rsidRPr="0024740A" w:rsidP="00880226" w14:paraId="0AB5D145" w14:textId="72A4A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7C29FBCF" w14:textId="7F8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71AE39CB" w14:textId="314DD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43EC1BDA" w14:textId="0B00E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noWrap/>
            <w:vAlign w:val="bottom"/>
            <w:hideMark/>
          </w:tcPr>
          <w:p w:rsidR="008E6105" w:rsidRPr="008E6105" w:rsidP="00880226" w14:paraId="53F564D1" w14:textId="46C8F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Pr>
                <w:rFonts w:ascii="Times New Roman" w:hAnsi="Times New Roman"/>
                <w:color w:val="000000"/>
              </w:rPr>
              <w:t>8</w:t>
            </w:r>
          </w:p>
        </w:tc>
        <w:tc>
          <w:tcPr>
            <w:tcW w:w="640" w:type="pct"/>
            <w:noWrap/>
            <w:vAlign w:val="bottom"/>
            <w:hideMark/>
          </w:tcPr>
          <w:p w:rsidR="008E6105" w:rsidRPr="008E6105" w:rsidP="00880226" w14:paraId="082991FA" w14:textId="5A61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0ABE2B57" w14:textId="77777777" w:rsidTr="00293241">
        <w:tblPrEx>
          <w:tblW w:w="5416" w:type="pct"/>
          <w:tblLook w:val="04A0"/>
        </w:tblPrEx>
        <w:trPr>
          <w:trHeight w:val="300"/>
        </w:trPr>
        <w:tc>
          <w:tcPr>
            <w:tcW w:w="1114" w:type="pct"/>
            <w:noWrap/>
            <w:vAlign w:val="bottom"/>
            <w:hideMark/>
          </w:tcPr>
          <w:p w:rsidR="008E6105" w:rsidRPr="008E6105" w:rsidP="00880226" w14:paraId="35D01532" w14:textId="2A0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23.440 Disclosure</w:t>
            </w:r>
          </w:p>
        </w:tc>
        <w:tc>
          <w:tcPr>
            <w:tcW w:w="686" w:type="pct"/>
            <w:noWrap/>
            <w:vAlign w:val="bottom"/>
            <w:hideMark/>
          </w:tcPr>
          <w:p w:rsidR="008E6105" w:rsidRPr="0024740A" w:rsidP="00880226" w14:paraId="0AC9FBB4" w14:textId="272EE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01C9E862" w14:textId="5EAF7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39E4AFB9" w14:textId="4E26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153627ED" w14:textId="69C81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p>
        </w:tc>
        <w:tc>
          <w:tcPr>
            <w:tcW w:w="647" w:type="pct"/>
            <w:noWrap/>
            <w:vAlign w:val="bottom"/>
            <w:hideMark/>
          </w:tcPr>
          <w:p w:rsidR="008E6105" w:rsidRPr="008E6105" w:rsidP="00880226" w14:paraId="59A65FCD" w14:textId="24AFD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950E53">
              <w:rPr>
                <w:rFonts w:ascii="Times New Roman" w:hAnsi="Times New Roman"/>
                <w:color w:val="000000"/>
              </w:rPr>
              <w:t>8</w:t>
            </w:r>
          </w:p>
        </w:tc>
        <w:tc>
          <w:tcPr>
            <w:tcW w:w="640" w:type="pct"/>
            <w:noWrap/>
            <w:vAlign w:val="bottom"/>
            <w:hideMark/>
          </w:tcPr>
          <w:p w:rsidR="008E6105" w:rsidRPr="008E6105" w:rsidP="00880226" w14:paraId="5EB617DC" w14:textId="5C6AB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r>
      <w:tr w14:paraId="034F64E8" w14:textId="77777777" w:rsidTr="00293241">
        <w:tblPrEx>
          <w:tblW w:w="5416" w:type="pct"/>
          <w:tblLook w:val="04A0"/>
        </w:tblPrEx>
        <w:trPr>
          <w:trHeight w:val="300"/>
        </w:trPr>
        <w:tc>
          <w:tcPr>
            <w:tcW w:w="1114" w:type="pct"/>
            <w:noWrap/>
            <w:vAlign w:val="bottom"/>
            <w:hideMark/>
          </w:tcPr>
          <w:p w:rsidR="008E6105" w:rsidRPr="008E6105" w:rsidP="00880226" w14:paraId="3C9168F8" w14:textId="1E8BA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23.450 Disclosure</w:t>
            </w:r>
          </w:p>
        </w:tc>
        <w:tc>
          <w:tcPr>
            <w:tcW w:w="686" w:type="pct"/>
            <w:noWrap/>
            <w:vAlign w:val="bottom"/>
            <w:hideMark/>
          </w:tcPr>
          <w:p w:rsidR="008E6105" w:rsidRPr="008E6105" w:rsidP="00880226" w14:paraId="3174CD0F" w14:textId="09C49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68EB7F8E" w14:textId="25C1C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2D8952E3" w14:textId="5680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083DA250" w14:textId="1C90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w:t>
            </w:r>
          </w:p>
        </w:tc>
        <w:tc>
          <w:tcPr>
            <w:tcW w:w="647" w:type="pct"/>
            <w:noWrap/>
            <w:vAlign w:val="bottom"/>
            <w:hideMark/>
          </w:tcPr>
          <w:p w:rsidR="008E6105" w:rsidRPr="008E6105" w:rsidP="00880226" w14:paraId="3F88945B" w14:textId="5937D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r w:rsidRPr="008E6105" w:rsidR="00950E53">
              <w:rPr>
                <w:rFonts w:ascii="Times New Roman" w:hAnsi="Times New Roman"/>
                <w:color w:val="000000"/>
              </w:rPr>
              <w:t>0</w:t>
            </w:r>
            <w:r w:rsidR="00950E53">
              <w:rPr>
                <w:rFonts w:ascii="Times New Roman" w:hAnsi="Times New Roman"/>
                <w:color w:val="000000"/>
              </w:rPr>
              <w:t>8</w:t>
            </w:r>
            <w:r w:rsidRPr="008E6105" w:rsidR="00950E53">
              <w:rPr>
                <w:rFonts w:ascii="Times New Roman" w:hAnsi="Times New Roman"/>
                <w:color w:val="000000"/>
              </w:rPr>
              <w:t>0</w:t>
            </w:r>
          </w:p>
        </w:tc>
        <w:tc>
          <w:tcPr>
            <w:tcW w:w="640" w:type="pct"/>
            <w:noWrap/>
            <w:vAlign w:val="bottom"/>
          </w:tcPr>
          <w:p w:rsidR="008E6105" w:rsidRPr="008E6105" w:rsidP="00880226" w14:paraId="75B030DC" w14:textId="4C77E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$1,000</w:t>
            </w:r>
          </w:p>
        </w:tc>
      </w:tr>
      <w:tr w14:paraId="50FDE385" w14:textId="77777777" w:rsidTr="00293241">
        <w:tblPrEx>
          <w:tblW w:w="5416" w:type="pct"/>
          <w:tblLook w:val="04A0"/>
        </w:tblPrEx>
        <w:trPr>
          <w:trHeight w:val="315"/>
        </w:trPr>
        <w:tc>
          <w:tcPr>
            <w:tcW w:w="1114" w:type="pct"/>
            <w:noWrap/>
            <w:vAlign w:val="bottom"/>
            <w:hideMark/>
          </w:tcPr>
          <w:p w:rsidR="008E6105" w:rsidRPr="008E6105" w:rsidP="00880226" w14:paraId="17DECADC" w14:textId="4639E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sidRPr="008E6105">
              <w:rPr>
                <w:rFonts w:ascii="Times New Roman" w:hAnsi="Times New Roman"/>
                <w:bCs/>
              </w:rPr>
              <w:t>23.451 Reporting</w:t>
            </w:r>
            <w:r>
              <w:rPr>
                <w:rStyle w:val="FootnoteReference"/>
                <w:rFonts w:ascii="Times New Roman" w:hAnsi="Times New Roman"/>
                <w:bCs/>
              </w:rPr>
              <w:footnoteReference w:id="27"/>
            </w:r>
          </w:p>
        </w:tc>
        <w:tc>
          <w:tcPr>
            <w:tcW w:w="686" w:type="pct"/>
            <w:noWrap/>
            <w:vAlign w:val="bottom"/>
            <w:hideMark/>
          </w:tcPr>
          <w:p w:rsidR="008E6105" w:rsidRPr="008E6105" w:rsidP="00880226" w14:paraId="591924B4" w14:textId="4F215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31778E">
              <w:rPr>
                <w:rFonts w:ascii="Times New Roman" w:hAnsi="Times New Roman"/>
                <w:color w:val="000000"/>
              </w:rPr>
              <w:t>8</w:t>
            </w:r>
          </w:p>
        </w:tc>
        <w:tc>
          <w:tcPr>
            <w:tcW w:w="640" w:type="pct"/>
            <w:noWrap/>
            <w:vAlign w:val="bottom"/>
            <w:hideMark/>
          </w:tcPr>
          <w:p w:rsidR="008E6105" w:rsidRPr="008E6105" w:rsidP="00880226" w14:paraId="34A1E283" w14:textId="1FF5B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w:t>
            </w:r>
          </w:p>
        </w:tc>
        <w:tc>
          <w:tcPr>
            <w:tcW w:w="627" w:type="pct"/>
            <w:noWrap/>
            <w:vAlign w:val="bottom"/>
            <w:hideMark/>
          </w:tcPr>
          <w:p w:rsidR="008E6105" w:rsidRPr="008E6105" w:rsidP="00880226" w14:paraId="417B7C41" w14:textId="4C2A3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10</w:t>
            </w:r>
            <w:r w:rsidR="005F7BC2">
              <w:rPr>
                <w:rFonts w:ascii="Times New Roman" w:hAnsi="Times New Roman"/>
                <w:color w:val="000000"/>
              </w:rPr>
              <w:t>8</w:t>
            </w:r>
          </w:p>
        </w:tc>
        <w:tc>
          <w:tcPr>
            <w:tcW w:w="647" w:type="pct"/>
            <w:noWrap/>
            <w:vAlign w:val="bottom"/>
            <w:hideMark/>
          </w:tcPr>
          <w:p w:rsidR="008E6105" w:rsidRPr="008E6105" w:rsidP="00880226" w14:paraId="395A9A16" w14:textId="1B21A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5.0</w:t>
            </w:r>
          </w:p>
        </w:tc>
        <w:tc>
          <w:tcPr>
            <w:tcW w:w="647" w:type="pct"/>
            <w:noWrap/>
            <w:vAlign w:val="bottom"/>
            <w:hideMark/>
          </w:tcPr>
          <w:p w:rsidR="008E6105" w:rsidRPr="008E6105" w:rsidP="00880226" w14:paraId="63D61AFA" w14:textId="0A53E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w:t>
            </w:r>
            <w:r w:rsidR="00950E53">
              <w:rPr>
                <w:rFonts w:ascii="Times New Roman" w:hAnsi="Times New Roman"/>
                <w:color w:val="000000"/>
              </w:rPr>
              <w:t>40</w:t>
            </w:r>
          </w:p>
        </w:tc>
        <w:tc>
          <w:tcPr>
            <w:tcW w:w="640" w:type="pct"/>
            <w:noWrap/>
            <w:vAlign w:val="bottom"/>
          </w:tcPr>
          <w:p w:rsidR="008E6105" w:rsidRPr="008E6105" w:rsidP="00880226" w14:paraId="27D5D29F" w14:textId="0D61D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8E6105">
              <w:rPr>
                <w:rFonts w:ascii="Times New Roman" w:hAnsi="Times New Roman"/>
                <w:color w:val="000000"/>
              </w:rPr>
              <w:t>$500</w:t>
            </w:r>
          </w:p>
        </w:tc>
      </w:tr>
      <w:tr w14:paraId="3B005E98" w14:textId="77777777" w:rsidTr="00812ED1">
        <w:tblPrEx>
          <w:tblW w:w="5416" w:type="pct"/>
          <w:tblLook w:val="04A0"/>
        </w:tblPrEx>
        <w:trPr>
          <w:trHeight w:val="315"/>
        </w:trPr>
        <w:tc>
          <w:tcPr>
            <w:tcW w:w="1114" w:type="pct"/>
            <w:noWrap/>
            <w:hideMark/>
          </w:tcPr>
          <w:p w:rsidR="00553344" w:rsidRPr="008E6105" w:rsidP="00880226" w14:paraId="0A70E5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Total</w:t>
            </w:r>
          </w:p>
        </w:tc>
        <w:tc>
          <w:tcPr>
            <w:tcW w:w="686" w:type="pct"/>
            <w:noWrap/>
            <w:hideMark/>
          </w:tcPr>
          <w:p w:rsidR="00553344" w:rsidRPr="000F41B2" w:rsidP="00880226" w14:paraId="28169373" w14:textId="43FE4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Pr>
                <w:rFonts w:ascii="Times New Roman" w:hAnsi="Times New Roman"/>
                <w:b/>
                <w:bCs/>
              </w:rPr>
              <w:t>108</w:t>
            </w:r>
          </w:p>
        </w:tc>
        <w:tc>
          <w:tcPr>
            <w:tcW w:w="640" w:type="pct"/>
            <w:shd w:val="clear" w:color="auto" w:fill="D9D9D9" w:themeFill="background1" w:themeFillShade="D9"/>
            <w:noWrap/>
            <w:hideMark/>
          </w:tcPr>
          <w:p w:rsidR="00553344" w:rsidRPr="008E6105" w:rsidP="00880226" w14:paraId="052371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27" w:type="pct"/>
            <w:shd w:val="clear" w:color="auto" w:fill="FFFFFF" w:themeFill="background1"/>
            <w:noWrap/>
            <w:hideMark/>
          </w:tcPr>
          <w:p w:rsidR="00553344" w:rsidRPr="00812ED1" w:rsidP="00880226" w14:paraId="3BB8BEDC" w14:textId="6F73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12ED1">
              <w:rPr>
                <w:rFonts w:ascii="Times New Roman" w:hAnsi="Times New Roman"/>
                <w:b/>
                <w:bCs/>
              </w:rPr>
              <w:t>145,152</w:t>
            </w:r>
          </w:p>
        </w:tc>
        <w:tc>
          <w:tcPr>
            <w:tcW w:w="647" w:type="pct"/>
            <w:shd w:val="clear" w:color="auto" w:fill="D9D9D9" w:themeFill="background1" w:themeFillShade="D9"/>
            <w:noWrap/>
            <w:hideMark/>
          </w:tcPr>
          <w:p w:rsidR="00553344" w:rsidRPr="008E6105" w:rsidP="00880226" w14:paraId="397EC1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647" w:type="pct"/>
            <w:noWrap/>
          </w:tcPr>
          <w:p w:rsidR="00553344" w:rsidRPr="008E6105" w:rsidP="00880226" w14:paraId="4ED82BAA" w14:textId="4A75D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2</w:t>
            </w:r>
            <w:r w:rsidR="005B0EFB">
              <w:rPr>
                <w:rFonts w:ascii="Times New Roman" w:hAnsi="Times New Roman"/>
                <w:b/>
                <w:bCs/>
              </w:rPr>
              <w:t>3</w:t>
            </w:r>
            <w:r>
              <w:rPr>
                <w:rFonts w:ascii="Times New Roman" w:hAnsi="Times New Roman"/>
                <w:b/>
                <w:bCs/>
              </w:rPr>
              <w:t>4</w:t>
            </w:r>
            <w:r w:rsidRPr="008E6105" w:rsidR="008E6105">
              <w:rPr>
                <w:rFonts w:ascii="Times New Roman" w:hAnsi="Times New Roman"/>
                <w:b/>
                <w:bCs/>
              </w:rPr>
              <w:t>,</w:t>
            </w:r>
            <w:r w:rsidR="005B0EFB">
              <w:rPr>
                <w:rFonts w:ascii="Times New Roman" w:hAnsi="Times New Roman"/>
                <w:b/>
                <w:bCs/>
              </w:rPr>
              <w:t>686</w:t>
            </w:r>
          </w:p>
        </w:tc>
        <w:tc>
          <w:tcPr>
            <w:tcW w:w="640" w:type="pct"/>
            <w:noWrap/>
          </w:tcPr>
          <w:p w:rsidR="00553344" w:rsidRPr="008E6105" w:rsidP="00880226" w14:paraId="560FE63C" w14:textId="6AF19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8E6105">
              <w:rPr>
                <w:rFonts w:ascii="Times New Roman" w:hAnsi="Times New Roman"/>
                <w:b/>
                <w:bCs/>
              </w:rPr>
              <w:t>$</w:t>
            </w:r>
            <w:r w:rsidRPr="008E6105" w:rsidR="005B0EFB">
              <w:rPr>
                <w:rFonts w:ascii="Times New Roman" w:hAnsi="Times New Roman"/>
                <w:b/>
                <w:bCs/>
              </w:rPr>
              <w:t>2</w:t>
            </w:r>
            <w:r w:rsidR="005B0EFB">
              <w:rPr>
                <w:rFonts w:ascii="Times New Roman" w:hAnsi="Times New Roman"/>
                <w:b/>
                <w:bCs/>
              </w:rPr>
              <w:t>17</w:t>
            </w:r>
            <w:r w:rsidRPr="008E6105">
              <w:rPr>
                <w:rFonts w:ascii="Times New Roman" w:hAnsi="Times New Roman"/>
                <w:b/>
                <w:bCs/>
              </w:rPr>
              <w:t>,</w:t>
            </w:r>
            <w:r w:rsidR="005B0EFB">
              <w:rPr>
                <w:rFonts w:ascii="Times New Roman" w:hAnsi="Times New Roman"/>
                <w:b/>
                <w:bCs/>
              </w:rPr>
              <w:t>302</w:t>
            </w:r>
          </w:p>
        </w:tc>
      </w:tr>
      <w:bookmarkEnd w:id="1"/>
    </w:tbl>
    <w:p w:rsidR="004B71E6" w:rsidRPr="00893BDA" w:rsidP="002E237C" w14:paraId="7217086E" w14:textId="77777777">
      <w:pPr>
        <w:rPr>
          <w:rFonts w:ascii="Times New Roman" w:hAnsi="Times New Roman"/>
        </w:rPr>
      </w:pPr>
    </w:p>
    <w:sectPr w:rsidSect="002E237C">
      <w:footnotePr>
        <w:numRestart w:val="eachSect"/>
      </w:footnotePr>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Optim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47072" w:rsidRPr="007D6964" w:rsidP="007D6964" w14:paraId="6A2D7DD0" w14:textId="4DBD3077">
    <w:pPr>
      <w:pStyle w:val="Footer"/>
      <w:jc w:val="center"/>
      <w:rPr>
        <w:rFonts w:ascii="Times New Roman" w:hAnsi="Times New Roman"/>
        <w:sz w:val="20"/>
        <w:szCs w:val="20"/>
      </w:rPr>
    </w:pPr>
    <w:r w:rsidRPr="007D6964">
      <w:rPr>
        <w:rFonts w:ascii="Times New Roman" w:hAnsi="Times New Roman"/>
        <w:sz w:val="20"/>
        <w:szCs w:val="20"/>
      </w:rPr>
      <w:fldChar w:fldCharType="begin"/>
    </w:r>
    <w:r w:rsidRPr="007D6964">
      <w:rPr>
        <w:rFonts w:ascii="Times New Roman" w:hAnsi="Times New Roman"/>
        <w:sz w:val="20"/>
        <w:szCs w:val="20"/>
      </w:rPr>
      <w:instrText xml:space="preserve"> PAGE   \* MERGEFORMAT </w:instrText>
    </w:r>
    <w:r w:rsidRPr="007D6964">
      <w:rPr>
        <w:rFonts w:ascii="Times New Roman" w:hAnsi="Times New Roman"/>
        <w:sz w:val="20"/>
        <w:szCs w:val="20"/>
      </w:rPr>
      <w:fldChar w:fldCharType="separate"/>
    </w:r>
    <w:r w:rsidRPr="007D6964" w:rsidR="00E95039">
      <w:rPr>
        <w:rFonts w:ascii="Times New Roman" w:hAnsi="Times New Roman"/>
        <w:noProof/>
        <w:sz w:val="20"/>
        <w:szCs w:val="20"/>
      </w:rPr>
      <w:t>9</w:t>
    </w:r>
    <w:r w:rsidRPr="007D696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EA33BD" w14:paraId="1F1BA228" w14:textId="77777777">
      <w:r>
        <w:separator/>
      </w:r>
    </w:p>
  </w:footnote>
  <w:footnote w:type="continuationSeparator" w:id="1">
    <w:p w:rsidR="00EA33BD" w14:paraId="6D30451D" w14:textId="77777777">
      <w:r>
        <w:continuationSeparator/>
      </w:r>
    </w:p>
  </w:footnote>
  <w:footnote w:type="continuationNotice" w:id="2">
    <w:p w:rsidR="00EA33BD" w14:paraId="5AD0B22E" w14:textId="77777777"/>
  </w:footnote>
  <w:footnote w:id="3">
    <w:p w:rsidR="006F6A6C" w:rsidRPr="00EE40F8" w:rsidP="002E237C" w14:paraId="2F1AB325" w14:textId="71AB6C9D">
      <w:pPr>
        <w:pStyle w:val="FootnoteText"/>
        <w:spacing w:after="120"/>
        <w:jc w:val="both"/>
        <w:rPr>
          <w:sz w:val="20"/>
        </w:rPr>
      </w:pPr>
      <w:r w:rsidRPr="00EE40F8">
        <w:rPr>
          <w:rStyle w:val="FootnoteReference"/>
          <w:sz w:val="20"/>
        </w:rPr>
        <w:footnoteRef/>
      </w:r>
      <w:r w:rsidRPr="00EE40F8">
        <w:rPr>
          <w:sz w:val="20"/>
        </w:rPr>
        <w:t xml:space="preserve"> Dodd-Frank Act, Pub. L. No. 111-203, 124 Stat. 1376 (2010).</w:t>
      </w:r>
    </w:p>
  </w:footnote>
  <w:footnote w:id="4">
    <w:p w:rsidR="006F6A6C" w:rsidRPr="00EE40F8" w:rsidP="002E237C" w14:paraId="29A6D9A6" w14:textId="7A291CD9">
      <w:pPr>
        <w:pStyle w:val="FootnoteText"/>
        <w:spacing w:after="120"/>
        <w:jc w:val="both"/>
        <w:rPr>
          <w:sz w:val="20"/>
        </w:rPr>
      </w:pPr>
      <w:r w:rsidRPr="00EE40F8">
        <w:rPr>
          <w:rStyle w:val="FootnoteReference"/>
          <w:sz w:val="20"/>
        </w:rPr>
        <w:footnoteRef/>
      </w:r>
      <w:r w:rsidRPr="00EE40F8">
        <w:rPr>
          <w:sz w:val="20"/>
        </w:rPr>
        <w:t xml:space="preserve"> 7 U.S.C. 6s(h) and </w:t>
      </w:r>
      <w:r w:rsidRPr="00EE40F8" w:rsidR="004E32B1">
        <w:rPr>
          <w:sz w:val="20"/>
        </w:rPr>
        <w:t>6s</w:t>
      </w:r>
      <w:r w:rsidRPr="00EE40F8">
        <w:rPr>
          <w:sz w:val="20"/>
        </w:rPr>
        <w:t>(j)(5).</w:t>
      </w:r>
    </w:p>
  </w:footnote>
  <w:footnote w:id="5">
    <w:p w:rsidR="00C36518" w:rsidRPr="00D75D15" w:rsidP="002E237C" w14:paraId="7B8D7B13" w14:textId="37E178A8">
      <w:pPr>
        <w:pStyle w:val="FootnoteText"/>
        <w:spacing w:after="120"/>
        <w:rPr>
          <w:sz w:val="20"/>
        </w:rPr>
      </w:pPr>
      <w:r w:rsidRPr="00D75D15">
        <w:rPr>
          <w:rStyle w:val="FootnoteReference"/>
          <w:sz w:val="20"/>
        </w:rPr>
        <w:footnoteRef/>
      </w:r>
      <w:r w:rsidRPr="00D75D15">
        <w:rPr>
          <w:sz w:val="20"/>
        </w:rPr>
        <w:t xml:space="preserve"> “Swap dealer” is defined in section 1a(49) of the CEA, 7 U.S.C. 1a(49); and § 1.3, 17 CFR 1.3.</w:t>
      </w:r>
    </w:p>
  </w:footnote>
  <w:footnote w:id="6">
    <w:p w:rsidR="00C36518" w:rsidRPr="00D75D15" w:rsidP="002E237C" w14:paraId="2AE3BB62" w14:textId="40B31765">
      <w:pPr>
        <w:pStyle w:val="FootnoteText"/>
        <w:spacing w:after="120"/>
        <w:rPr>
          <w:sz w:val="20"/>
        </w:rPr>
      </w:pPr>
      <w:r w:rsidRPr="00D75D15">
        <w:rPr>
          <w:rStyle w:val="FootnoteReference"/>
          <w:sz w:val="20"/>
        </w:rPr>
        <w:footnoteRef/>
      </w:r>
      <w:r w:rsidRPr="00D75D15">
        <w:rPr>
          <w:sz w:val="20"/>
        </w:rPr>
        <w:t xml:space="preserve"> “Major swap participant” is defined in section 1a(33) of the CEA, 7 U.S.C. 1a(33); and § 1.3, 17 CFR 1.3.</w:t>
      </w:r>
    </w:p>
  </w:footnote>
  <w:footnote w:id="7">
    <w:p w:rsidR="00914B7D" w:rsidRPr="00EE40F8" w:rsidP="002E237C" w14:paraId="7FEA1CB8" w14:textId="5ACACB66">
      <w:pPr>
        <w:pStyle w:val="FootnoteText"/>
        <w:spacing w:after="120"/>
        <w:jc w:val="both"/>
        <w:rPr>
          <w:sz w:val="20"/>
        </w:rPr>
      </w:pPr>
      <w:r w:rsidRPr="00EE40F8">
        <w:rPr>
          <w:rStyle w:val="FootnoteReference"/>
          <w:sz w:val="20"/>
        </w:rPr>
        <w:footnoteRef/>
      </w:r>
      <w:r w:rsidRPr="00EE40F8">
        <w:rPr>
          <w:sz w:val="20"/>
        </w:rPr>
        <w:t xml:space="preserve"> </w:t>
      </w:r>
      <w:r w:rsidRPr="00EE40F8" w:rsidR="00C36518">
        <w:rPr>
          <w:sz w:val="20"/>
        </w:rPr>
        <w:t xml:space="preserve">“Special Entity” is defined in § 23.401(c), 17 CFR 23.401(c).  </w:t>
      </w:r>
      <w:r w:rsidRPr="00EE40F8">
        <w:rPr>
          <w:sz w:val="20"/>
        </w:rPr>
        <w:t>Such entities are generally defined to include Federal agencies, States and political subdivisions, employee benefit plans as defined under the Employee Retirement Income Security Act of 1974 (</w:t>
      </w:r>
      <w:r w:rsidRPr="00EE40F8" w:rsidR="00E27613">
        <w:rPr>
          <w:sz w:val="20"/>
        </w:rPr>
        <w:t>“</w:t>
      </w:r>
      <w:r w:rsidRPr="00EE40F8">
        <w:rPr>
          <w:sz w:val="20"/>
        </w:rPr>
        <w:t>ERISA</w:t>
      </w:r>
      <w:r w:rsidRPr="00EE40F8" w:rsidR="00E27613">
        <w:rPr>
          <w:sz w:val="20"/>
        </w:rPr>
        <w:t>”</w:t>
      </w:r>
      <w:r w:rsidRPr="00EE40F8">
        <w:rPr>
          <w:sz w:val="20"/>
        </w:rPr>
        <w:t>), governmental plans as defined under ERISA, and endowments</w:t>
      </w:r>
      <w:r w:rsidRPr="00EE40F8">
        <w:rPr>
          <w:sz w:val="20"/>
        </w:rPr>
        <w:t>.</w:t>
      </w:r>
    </w:p>
  </w:footnote>
  <w:footnote w:id="8">
    <w:p w:rsidR="00AD4C39" w:rsidRPr="00EE40F8" w:rsidP="002E237C" w14:paraId="299B2FC7" w14:textId="33CA85A9">
      <w:pPr>
        <w:pStyle w:val="FootnoteText"/>
        <w:spacing w:after="120"/>
        <w:jc w:val="both"/>
        <w:rPr>
          <w:sz w:val="20"/>
        </w:rPr>
      </w:pPr>
      <w:r w:rsidRPr="00EE40F8">
        <w:rPr>
          <w:rStyle w:val="FootnoteReference"/>
          <w:sz w:val="20"/>
        </w:rPr>
        <w:footnoteRef/>
      </w:r>
      <w:r w:rsidRPr="00EE40F8">
        <w:rPr>
          <w:sz w:val="20"/>
        </w:rPr>
        <w:t xml:space="preserve"> </w:t>
      </w:r>
      <w:r w:rsidRPr="00EE40F8" w:rsidR="006F6A6C">
        <w:rPr>
          <w:i/>
          <w:sz w:val="20"/>
        </w:rPr>
        <w:t>See</w:t>
      </w:r>
      <w:r w:rsidRPr="00EE40F8" w:rsidR="006F6A6C">
        <w:rPr>
          <w:sz w:val="20"/>
        </w:rPr>
        <w:t xml:space="preserve"> </w:t>
      </w:r>
      <w:r w:rsidRPr="00EE40F8" w:rsidR="00B00688">
        <w:rPr>
          <w:sz w:val="20"/>
        </w:rPr>
        <w:t xml:space="preserve">section </w:t>
      </w:r>
      <w:r w:rsidRPr="00EE40F8" w:rsidR="006F6A6C">
        <w:rPr>
          <w:sz w:val="20"/>
        </w:rPr>
        <w:t xml:space="preserve">4s(h)(3)(D) of the CEA, 7 U.S.C. 6s(h)(3)(D) (“Business conduct requirements adopted by the Commission shall . . . establish such other standards and requirements as the Commission may determine are appropriate in the public interest, for the protection of investors, or otherwise in furtherance of the purposes of [the CEA]”); </w:t>
      </w:r>
      <w:r w:rsidRPr="00EE40F8" w:rsidR="006F6A6C">
        <w:rPr>
          <w:i/>
          <w:sz w:val="20"/>
        </w:rPr>
        <w:t>see also</w:t>
      </w:r>
      <w:r w:rsidRPr="00EE40F8" w:rsidR="006F6A6C">
        <w:rPr>
          <w:sz w:val="20"/>
        </w:rPr>
        <w:t xml:space="preserve"> </w:t>
      </w:r>
      <w:r w:rsidRPr="00EE40F8" w:rsidR="00B00688">
        <w:rPr>
          <w:sz w:val="20"/>
        </w:rPr>
        <w:t xml:space="preserve">sections </w:t>
      </w:r>
      <w:r w:rsidRPr="00EE40F8" w:rsidR="006F6A6C">
        <w:rPr>
          <w:sz w:val="20"/>
        </w:rPr>
        <w:t>4s(h)(1)(D), 4s(h)(5)(B) and 4s(h)(6) of the CEA; 7 U.S.C. 6s(h)(1)(D), 6s(h)(5)(B)</w:t>
      </w:r>
      <w:r w:rsidRPr="00EE40F8" w:rsidR="009F2348">
        <w:rPr>
          <w:sz w:val="20"/>
        </w:rPr>
        <w:t>,</w:t>
      </w:r>
      <w:r w:rsidRPr="00EE40F8" w:rsidR="006F6A6C">
        <w:rPr>
          <w:sz w:val="20"/>
        </w:rPr>
        <w:t xml:space="preserve"> and 6s(h)(6).</w:t>
      </w:r>
    </w:p>
  </w:footnote>
  <w:footnote w:id="9">
    <w:p w:rsidR="004B0647" w:rsidRPr="00EE40F8" w:rsidP="002E237C" w14:paraId="74E65083" w14:textId="451AEB93">
      <w:pPr>
        <w:pStyle w:val="FootnoteText"/>
        <w:spacing w:after="120"/>
        <w:jc w:val="both"/>
        <w:rPr>
          <w:sz w:val="20"/>
        </w:rPr>
      </w:pPr>
      <w:r w:rsidRPr="00EE40F8">
        <w:rPr>
          <w:rStyle w:val="FootnoteReference"/>
          <w:sz w:val="20"/>
        </w:rPr>
        <w:footnoteRef/>
      </w:r>
      <w:r w:rsidRPr="00EE40F8">
        <w:rPr>
          <w:sz w:val="20"/>
        </w:rPr>
        <w:t xml:space="preserve"> </w:t>
      </w:r>
      <w:r w:rsidRPr="00EE40F8" w:rsidR="0052003B">
        <w:rPr>
          <w:sz w:val="20"/>
        </w:rPr>
        <w:t xml:space="preserve">17 CFR </w:t>
      </w:r>
      <w:r w:rsidRPr="00EE40F8" w:rsidR="00B00688">
        <w:rPr>
          <w:sz w:val="20"/>
        </w:rPr>
        <w:t xml:space="preserve">part </w:t>
      </w:r>
      <w:r w:rsidRPr="00EE40F8" w:rsidR="0052003B">
        <w:rPr>
          <w:sz w:val="20"/>
        </w:rPr>
        <w:t xml:space="preserve">23, </w:t>
      </w:r>
      <w:r w:rsidRPr="00EE40F8" w:rsidR="00B00688">
        <w:rPr>
          <w:sz w:val="20"/>
        </w:rPr>
        <w:t xml:space="preserve">subpart </w:t>
      </w:r>
      <w:r w:rsidRPr="00EE40F8" w:rsidR="0052003B">
        <w:rPr>
          <w:sz w:val="20"/>
        </w:rPr>
        <w:t xml:space="preserve">H.  Subpart H of </w:t>
      </w:r>
      <w:r w:rsidRPr="00EE40F8" w:rsidR="00B00688">
        <w:rPr>
          <w:sz w:val="20"/>
        </w:rPr>
        <w:t xml:space="preserve">part </w:t>
      </w:r>
      <w:r w:rsidRPr="00EE40F8" w:rsidR="0052003B">
        <w:rPr>
          <w:sz w:val="20"/>
        </w:rPr>
        <w:t xml:space="preserve">23 (titled “Business Conduct Standards for Swap Dealers and Major Swap Participants Dealing with Counterparties, Including Special Entities”) includes the following provisions: § 23.400 (Scope); § 23.401 (Definitions); § 23.402 (General Provisions); § 23.410 (Prohibition on fraud, manipulation and other abusive practices); § 23.430 (Verification of counterparty eligibility); § 23.431 (Disclosures of material information); § 23.432 (Clearing disclosures); § 23.433 (Communications—fair dealing); § 23.434 (Recommendations to counterparties—institutional suitability; § 23.440 (Requirements for swap dealers acting as advisors to Special Entities); § 23.450 (Requirements for swap dealers and major swap participants acting counterparties to Special Entities); and § 23.451 (Political contributions by certain swap dealers).  </w:t>
      </w:r>
    </w:p>
  </w:footnote>
  <w:footnote w:id="10">
    <w:p w:rsidR="00492B63" w:rsidRPr="00EE40F8" w:rsidP="002E237C" w14:paraId="1B5ABBE6" w14:textId="3702145B">
      <w:pPr>
        <w:pStyle w:val="Default"/>
        <w:spacing w:after="120"/>
        <w:jc w:val="both"/>
        <w:rPr>
          <w:rFonts w:ascii="Times New Roman" w:hAnsi="Times New Roman" w:cs="Times New Roman"/>
          <w:sz w:val="20"/>
          <w:szCs w:val="20"/>
        </w:rPr>
      </w:pPr>
      <w:r w:rsidRPr="00EE40F8">
        <w:rPr>
          <w:rStyle w:val="FootnoteReference"/>
          <w:rFonts w:ascii="Times New Roman" w:hAnsi="Times New Roman" w:cs="Times New Roman"/>
          <w:sz w:val="20"/>
          <w:szCs w:val="20"/>
        </w:rPr>
        <w:footnoteRef/>
      </w:r>
      <w:r w:rsidRPr="00EE40F8">
        <w:rPr>
          <w:rFonts w:ascii="Georgia" w:hAnsi="Georgia"/>
          <w:sz w:val="20"/>
          <w:szCs w:val="20"/>
        </w:rPr>
        <w:t xml:space="preserve"> </w:t>
      </w:r>
      <w:r w:rsidRPr="00EE40F8" w:rsidR="004B0647">
        <w:rPr>
          <w:rFonts w:ascii="Times New Roman" w:hAnsi="Times New Roman" w:cs="Times New Roman"/>
          <w:sz w:val="20"/>
          <w:szCs w:val="20"/>
        </w:rPr>
        <w:t xml:space="preserve">17 CFR 23.605. </w:t>
      </w:r>
      <w:r w:rsidRPr="00EE40F8" w:rsidR="0052003B">
        <w:rPr>
          <w:rFonts w:ascii="Times New Roman" w:hAnsi="Times New Roman" w:cs="Times New Roman"/>
          <w:sz w:val="20"/>
          <w:szCs w:val="20"/>
        </w:rPr>
        <w:t xml:space="preserve"> </w:t>
      </w:r>
      <w:r w:rsidRPr="00EE40F8" w:rsidR="001D6099">
        <w:rPr>
          <w:rFonts w:ascii="Times New Roman" w:hAnsi="Times New Roman" w:cs="Times New Roman"/>
          <w:sz w:val="20"/>
          <w:szCs w:val="20"/>
        </w:rPr>
        <w:t>Commission r</w:t>
      </w:r>
      <w:r w:rsidRPr="00EE40F8" w:rsidR="009B4DFA">
        <w:rPr>
          <w:rFonts w:ascii="Times New Roman" w:hAnsi="Times New Roman" w:cs="Times New Roman"/>
          <w:sz w:val="20"/>
          <w:szCs w:val="20"/>
        </w:rPr>
        <w:t>egulation </w:t>
      </w:r>
      <w:r w:rsidRPr="00EE40F8" w:rsidR="004B0647">
        <w:rPr>
          <w:rFonts w:ascii="Times New Roman" w:hAnsi="Times New Roman" w:cs="Times New Roman"/>
          <w:sz w:val="20"/>
          <w:szCs w:val="20"/>
        </w:rPr>
        <w:t xml:space="preserve">23.605 is titled </w:t>
      </w:r>
      <w:r w:rsidRPr="00EE40F8" w:rsidR="004B0647">
        <w:rPr>
          <w:rFonts w:ascii="Times New Roman" w:hAnsi="Times New Roman" w:cs="Times New Roman"/>
          <w:i/>
          <w:sz w:val="20"/>
          <w:szCs w:val="20"/>
        </w:rPr>
        <w:t>Conflicts of interest policies and procedures</w:t>
      </w:r>
      <w:r w:rsidRPr="00EE40F8" w:rsidR="004B0647">
        <w:rPr>
          <w:rFonts w:ascii="Times New Roman" w:hAnsi="Times New Roman" w:cs="Times New Roman"/>
          <w:sz w:val="20"/>
          <w:szCs w:val="20"/>
        </w:rPr>
        <w:t>.</w:t>
      </w:r>
    </w:p>
  </w:footnote>
  <w:footnote w:id="11">
    <w:p w:rsidR="00D03017" w:rsidRPr="00EE40F8" w:rsidP="002E237C" w14:paraId="78D57FF1" w14:textId="4BCED341">
      <w:pPr>
        <w:pStyle w:val="FootnoteText"/>
        <w:spacing w:after="120"/>
        <w:jc w:val="both"/>
        <w:rPr>
          <w:sz w:val="20"/>
        </w:rPr>
      </w:pPr>
      <w:r w:rsidRPr="00EE40F8">
        <w:rPr>
          <w:rStyle w:val="FootnoteReference"/>
          <w:sz w:val="20"/>
        </w:rPr>
        <w:footnoteRef/>
      </w:r>
      <w:r w:rsidRPr="00EE40F8" w:rsidR="00F74C03">
        <w:rPr>
          <w:sz w:val="20"/>
        </w:rPr>
        <w:t xml:space="preserve"> </w:t>
      </w:r>
      <w:r w:rsidRPr="00EE40F8">
        <w:rPr>
          <w:sz w:val="20"/>
        </w:rPr>
        <w:t xml:space="preserve">17 CFR 23.23(e).  </w:t>
      </w:r>
      <w:r w:rsidRPr="00EE40F8">
        <w:rPr>
          <w:i/>
          <w:sz w:val="20"/>
        </w:rPr>
        <w:t>See</w:t>
      </w:r>
      <w:r w:rsidRPr="00EE40F8">
        <w:rPr>
          <w:sz w:val="20"/>
        </w:rPr>
        <w:t xml:space="preserve"> Cross-Border Application of the Registration Thresholds and Certain Requirements Applicable to Swap Dealers and Major Swap Participants,</w:t>
      </w:r>
      <w:r w:rsidRPr="00EE40F8" w:rsidR="006A04DE">
        <w:rPr>
          <w:sz w:val="20"/>
        </w:rPr>
        <w:t xml:space="preserve"> </w:t>
      </w:r>
      <w:r w:rsidRPr="00EE40F8" w:rsidR="002E3F4C">
        <w:rPr>
          <w:sz w:val="20"/>
        </w:rPr>
        <w:t>85 FR 56924 (Sep. 14, 2020)</w:t>
      </w:r>
      <w:r w:rsidRPr="00EE40F8">
        <w:rPr>
          <w:sz w:val="20"/>
        </w:rPr>
        <w:t>.</w:t>
      </w:r>
    </w:p>
  </w:footnote>
  <w:footnote w:id="12">
    <w:p w:rsidR="00CF6F6B" w:rsidRPr="00EE40F8" w:rsidP="002E237C" w14:paraId="01FE9E3B" w14:textId="588B5262">
      <w:pPr>
        <w:pStyle w:val="FootnoteText"/>
        <w:spacing w:after="120"/>
        <w:jc w:val="both"/>
        <w:rPr>
          <w:sz w:val="20"/>
        </w:rPr>
      </w:pPr>
      <w:r w:rsidRPr="00EE40F8">
        <w:rPr>
          <w:rStyle w:val="FootnoteReference"/>
          <w:sz w:val="20"/>
        </w:rPr>
        <w:footnoteRef/>
      </w:r>
      <w:r w:rsidRPr="00EE40F8">
        <w:rPr>
          <w:sz w:val="20"/>
        </w:rPr>
        <w:t xml:space="preserve"> 17 CFR 23.23(h)(1).</w:t>
      </w:r>
    </w:p>
  </w:footnote>
  <w:footnote w:id="13">
    <w:p w:rsidR="00C36518" w:rsidRPr="00EE40F8" w:rsidP="002E237C" w14:paraId="479DFF83" w14:textId="77777777">
      <w:pPr>
        <w:pStyle w:val="FootnoteText"/>
        <w:spacing w:after="120"/>
        <w:jc w:val="both"/>
        <w:rPr>
          <w:sz w:val="20"/>
        </w:rPr>
      </w:pPr>
      <w:r w:rsidRPr="00EE40F8">
        <w:rPr>
          <w:rStyle w:val="FootnoteReference"/>
          <w:sz w:val="20"/>
        </w:rPr>
        <w:footnoteRef/>
      </w:r>
      <w:r w:rsidRPr="00EE40F8">
        <w:rPr>
          <w:sz w:val="20"/>
        </w:rPr>
        <w:t xml:space="preserve"> 17 CFR 23.431.</w:t>
      </w:r>
    </w:p>
  </w:footnote>
  <w:footnote w:id="14">
    <w:p w:rsidR="00C36518" w:rsidRPr="00EE40F8" w:rsidP="002E237C" w14:paraId="13601E35" w14:textId="77777777">
      <w:pPr>
        <w:pStyle w:val="FootnoteText"/>
        <w:spacing w:after="120"/>
        <w:jc w:val="both"/>
        <w:rPr>
          <w:sz w:val="20"/>
        </w:rPr>
      </w:pPr>
      <w:r w:rsidRPr="00EE40F8">
        <w:rPr>
          <w:rStyle w:val="FootnoteReference"/>
          <w:sz w:val="20"/>
        </w:rPr>
        <w:footnoteRef/>
      </w:r>
      <w:r w:rsidRPr="00EE40F8">
        <w:rPr>
          <w:sz w:val="20"/>
        </w:rPr>
        <w:t xml:space="preserve"> 17 CFR 23.431(a)(3)(i).</w:t>
      </w:r>
    </w:p>
  </w:footnote>
  <w:footnote w:id="15">
    <w:p w:rsidR="00C36518" w:rsidRPr="00EE40F8" w:rsidP="002E237C" w14:paraId="69739405" w14:textId="77777777">
      <w:pPr>
        <w:pStyle w:val="FootnoteText"/>
        <w:spacing w:after="120"/>
        <w:jc w:val="both"/>
        <w:rPr>
          <w:sz w:val="20"/>
        </w:rPr>
      </w:pPr>
      <w:r w:rsidRPr="00EE40F8">
        <w:rPr>
          <w:rStyle w:val="FootnoteReference"/>
          <w:sz w:val="20"/>
        </w:rPr>
        <w:footnoteRef/>
      </w:r>
      <w:r w:rsidRPr="00EE40F8">
        <w:rPr>
          <w:sz w:val="20"/>
        </w:rPr>
        <w:t xml:space="preserve"> 17 CFR 23.431(b).</w:t>
      </w:r>
    </w:p>
  </w:footnote>
  <w:footnote w:id="16">
    <w:p w:rsidR="00C36518" w:rsidRPr="00EE40F8" w:rsidP="002E237C" w14:paraId="12026992" w14:textId="77777777">
      <w:pPr>
        <w:pStyle w:val="FootnoteText"/>
        <w:spacing w:after="120"/>
        <w:jc w:val="both"/>
        <w:rPr>
          <w:i/>
          <w:sz w:val="20"/>
        </w:rPr>
      </w:pPr>
      <w:r w:rsidRPr="00EE40F8">
        <w:rPr>
          <w:rStyle w:val="FootnoteReference"/>
          <w:sz w:val="20"/>
        </w:rPr>
        <w:footnoteRef/>
      </w:r>
      <w:r w:rsidRPr="00EE40F8">
        <w:rPr>
          <w:sz w:val="20"/>
        </w:rPr>
        <w:t xml:space="preserve"> </w:t>
      </w:r>
      <w:r w:rsidRPr="00EE40F8">
        <w:rPr>
          <w:i/>
          <w:sz w:val="20"/>
        </w:rPr>
        <w:t xml:space="preserve">See </w:t>
      </w:r>
      <w:r w:rsidRPr="00EE40F8">
        <w:rPr>
          <w:sz w:val="20"/>
        </w:rPr>
        <w:t>17 CFR 23.431.</w:t>
      </w:r>
    </w:p>
  </w:footnote>
  <w:footnote w:id="17">
    <w:p w:rsidR="00353274" w:rsidRPr="00EE40F8" w:rsidP="002E237C" w14:paraId="689FD65A" w14:textId="577E7F43">
      <w:pPr>
        <w:pStyle w:val="FootnoteText"/>
        <w:spacing w:after="120"/>
        <w:jc w:val="both"/>
        <w:rPr>
          <w:sz w:val="20"/>
        </w:rPr>
      </w:pPr>
      <w:r w:rsidRPr="00EE40F8">
        <w:rPr>
          <w:rStyle w:val="FootnoteReference"/>
          <w:sz w:val="20"/>
        </w:rPr>
        <w:footnoteRef/>
      </w:r>
      <w:r w:rsidRPr="00EE40F8">
        <w:rPr>
          <w:sz w:val="20"/>
        </w:rPr>
        <w:t xml:space="preserve"> 17 CFR 1.31.</w:t>
      </w:r>
    </w:p>
  </w:footnote>
  <w:footnote w:id="18">
    <w:p w:rsidR="00EE40F8" w:rsidRPr="00D75D15" w:rsidP="002E237C" w14:paraId="10B24EE4" w14:textId="747C78FE">
      <w:pPr>
        <w:pStyle w:val="FootnoteText"/>
        <w:spacing w:after="120"/>
        <w:rPr>
          <w:sz w:val="20"/>
        </w:rPr>
      </w:pPr>
      <w:r w:rsidRPr="00D75D15">
        <w:rPr>
          <w:rStyle w:val="FootnoteReference"/>
          <w:sz w:val="20"/>
        </w:rPr>
        <w:footnoteRef/>
      </w:r>
      <w:r w:rsidRPr="00D75D15">
        <w:rPr>
          <w:sz w:val="20"/>
        </w:rPr>
        <w:t xml:space="preserve"> This burden includes all recordkeeping required under the EBCS Rules other than that already included under OMB Collection No. 3038-0087 in relation to records of communications under § 23.202.</w:t>
      </w:r>
    </w:p>
  </w:footnote>
  <w:footnote w:id="19">
    <w:p w:rsidR="00EE40F8" w:rsidRPr="00D75D15" w:rsidP="002E237C" w14:paraId="26D32853" w14:textId="31C8A0E8">
      <w:pPr>
        <w:pStyle w:val="FootnoteText"/>
        <w:spacing w:after="120"/>
        <w:rPr>
          <w:sz w:val="20"/>
        </w:rPr>
      </w:pPr>
      <w:r w:rsidRPr="00D75D15">
        <w:rPr>
          <w:rStyle w:val="FootnoteReference"/>
          <w:sz w:val="20"/>
        </w:rPr>
        <w:footnoteRef/>
      </w:r>
      <w:r w:rsidRPr="00D75D15">
        <w:rPr>
          <w:sz w:val="20"/>
        </w:rPr>
        <w:t xml:space="preserve"> </w:t>
      </w:r>
      <w:r w:rsidRPr="004C1A79" w:rsidR="004C1A79">
        <w:rPr>
          <w:i/>
          <w:iCs/>
          <w:sz w:val="20"/>
        </w:rPr>
        <w:t>Id</w:t>
      </w:r>
      <w:r w:rsidR="004C1A79">
        <w:rPr>
          <w:sz w:val="20"/>
        </w:rPr>
        <w:t>.</w:t>
      </w:r>
    </w:p>
  </w:footnote>
  <w:footnote w:id="20">
    <w:p w:rsidR="00353274" w:rsidRPr="00EE40F8" w:rsidP="002E237C" w14:paraId="73F25162" w14:textId="7883A4AB">
      <w:pPr>
        <w:pStyle w:val="FootnoteText"/>
        <w:spacing w:after="120"/>
        <w:jc w:val="both"/>
        <w:rPr>
          <w:sz w:val="20"/>
        </w:rPr>
      </w:pPr>
      <w:r w:rsidRPr="00EE40F8">
        <w:rPr>
          <w:rStyle w:val="FootnoteReference"/>
          <w:sz w:val="20"/>
        </w:rPr>
        <w:footnoteRef/>
      </w:r>
      <w:r w:rsidRPr="00EE40F8">
        <w:rPr>
          <w:sz w:val="20"/>
        </w:rPr>
        <w:t xml:space="preserve"> 17 CFR 1.31(b).</w:t>
      </w:r>
    </w:p>
  </w:footnote>
  <w:footnote w:id="21">
    <w:p w:rsidR="009C22F9" w:rsidRPr="00EE40F8" w:rsidP="002E237C" w14:paraId="296AB1F4" w14:textId="5D781D17">
      <w:pPr>
        <w:pStyle w:val="FootnoteText"/>
        <w:spacing w:after="120"/>
        <w:jc w:val="both"/>
        <w:rPr>
          <w:sz w:val="20"/>
        </w:rPr>
      </w:pPr>
      <w:r w:rsidRPr="00EE40F8">
        <w:rPr>
          <w:rStyle w:val="FootnoteReference"/>
          <w:sz w:val="20"/>
        </w:rPr>
        <w:footnoteRef/>
      </w:r>
      <w:r w:rsidRPr="00EE40F8" w:rsidR="00870DCB">
        <w:rPr>
          <w:sz w:val="20"/>
        </w:rPr>
        <w:t xml:space="preserve"> 7 U.S.C. 12</w:t>
      </w:r>
      <w:r w:rsidRPr="00EE40F8" w:rsidR="00880226">
        <w:rPr>
          <w:sz w:val="20"/>
        </w:rPr>
        <w:t xml:space="preserve">(a)(1). </w:t>
      </w:r>
    </w:p>
  </w:footnote>
  <w:footnote w:id="22">
    <w:p w:rsidR="003D2155" w:rsidRPr="003125C1" w:rsidP="002E237C" w14:paraId="323058FE" w14:textId="77777777">
      <w:pPr>
        <w:pStyle w:val="FootnoteText"/>
        <w:spacing w:after="120"/>
        <w:rPr>
          <w:sz w:val="20"/>
        </w:rPr>
      </w:pPr>
      <w:r w:rsidRPr="003125C1">
        <w:rPr>
          <w:rStyle w:val="FootnoteReference"/>
          <w:sz w:val="20"/>
        </w:rPr>
        <w:footnoteRef/>
      </w:r>
      <w:r w:rsidRPr="003125C1">
        <w:rPr>
          <w:sz w:val="20"/>
        </w:rPr>
        <w:t xml:space="preserve"> </w:t>
      </w:r>
      <w:r w:rsidRPr="00CD501D">
        <w:rPr>
          <w:i/>
          <w:iCs/>
          <w:sz w:val="20"/>
        </w:rPr>
        <w:t>See</w:t>
      </w:r>
      <w:r>
        <w:rPr>
          <w:sz w:val="20"/>
        </w:rPr>
        <w:t xml:space="preserve"> </w:t>
      </w:r>
      <w:r w:rsidRPr="003125C1">
        <w:rPr>
          <w:sz w:val="20"/>
        </w:rPr>
        <w:t>https://data.bls.gov/oes/#/industry/523000.</w:t>
      </w:r>
    </w:p>
  </w:footnote>
  <w:footnote w:id="23">
    <w:p w:rsidR="00F63368" w:rsidRPr="00F63368" w:rsidP="002E237C" w14:paraId="45C065CD" w14:textId="372FCF90">
      <w:pPr>
        <w:pStyle w:val="FootnoteText"/>
        <w:spacing w:after="120"/>
        <w:rPr>
          <w:sz w:val="20"/>
        </w:rPr>
      </w:pPr>
      <w:r w:rsidRPr="00F63368">
        <w:rPr>
          <w:rStyle w:val="FootnoteReference"/>
          <w:sz w:val="20"/>
        </w:rPr>
        <w:footnoteRef/>
      </w:r>
      <w:r w:rsidRPr="00F63368">
        <w:rPr>
          <w:sz w:val="20"/>
        </w:rPr>
        <w:t xml:space="preserve"> The Commission has </w:t>
      </w:r>
      <w:r w:rsidR="00E254D4">
        <w:rPr>
          <w:sz w:val="20"/>
        </w:rPr>
        <w:t>updated</w:t>
      </w:r>
      <w:r w:rsidRPr="00F63368" w:rsidR="00E254D4">
        <w:rPr>
          <w:sz w:val="20"/>
        </w:rPr>
        <w:t xml:space="preserve"> </w:t>
      </w:r>
      <w:r w:rsidRPr="00F63368">
        <w:rPr>
          <w:sz w:val="20"/>
        </w:rPr>
        <w:t>its estimate of the number of respondents based on the current number of registered SDs (10</w:t>
      </w:r>
      <w:r w:rsidR="007D66FE">
        <w:rPr>
          <w:sz w:val="20"/>
        </w:rPr>
        <w:t>8</w:t>
      </w:r>
      <w:r w:rsidRPr="00F63368">
        <w:rPr>
          <w:sz w:val="20"/>
        </w:rPr>
        <w:t xml:space="preserve"> as opposed to the 10</w:t>
      </w:r>
      <w:r w:rsidR="007D66FE">
        <w:rPr>
          <w:sz w:val="20"/>
        </w:rPr>
        <w:t>5</w:t>
      </w:r>
      <w:r w:rsidRPr="00F63368">
        <w:rPr>
          <w:sz w:val="20"/>
        </w:rPr>
        <w:t xml:space="preserve"> reflected</w:t>
      </w:r>
      <w:r w:rsidR="007D66FE">
        <w:rPr>
          <w:sz w:val="20"/>
        </w:rPr>
        <w:t xml:space="preserve"> in the previous renewal of this collection).</w:t>
      </w:r>
      <w:r w:rsidR="00D3038B">
        <w:rPr>
          <w:sz w:val="20"/>
        </w:rPr>
        <w:t xml:space="preserve">  Because the Commission has increased the estimated number of respondents to reflect current registration numbers, these burden estimates likely understate the overall deregulatory reduction in burden associated with the rule amendments.</w:t>
      </w:r>
    </w:p>
  </w:footnote>
  <w:footnote w:id="24">
    <w:p w:rsidR="007D66FE" w:rsidP="002E237C" w14:paraId="0AC1DABD" w14:textId="3FC485F1">
      <w:pPr>
        <w:pStyle w:val="FootnoteText"/>
        <w:spacing w:after="120"/>
      </w:pPr>
      <w:r w:rsidRPr="00A82A07">
        <w:rPr>
          <w:rStyle w:val="FootnoteReference"/>
          <w:sz w:val="20"/>
        </w:rPr>
        <w:footnoteRef/>
      </w:r>
      <w:r w:rsidRPr="00A82A07">
        <w:rPr>
          <w:rStyle w:val="FootnoteReference"/>
          <w:sz w:val="20"/>
        </w:rPr>
        <w:t xml:space="preserve"> </w:t>
      </w:r>
      <w:r w:rsidRPr="00A82A07">
        <w:rPr>
          <w:sz w:val="20"/>
        </w:rPr>
        <w:t xml:space="preserve">The Commission has </w:t>
      </w:r>
      <w:r w:rsidR="00E254D4">
        <w:rPr>
          <w:sz w:val="20"/>
        </w:rPr>
        <w:t>updated</w:t>
      </w:r>
      <w:r w:rsidRPr="00A82A07" w:rsidR="00E254D4">
        <w:rPr>
          <w:sz w:val="20"/>
        </w:rPr>
        <w:t xml:space="preserve"> </w:t>
      </w:r>
      <w:r w:rsidRPr="00A82A07">
        <w:rPr>
          <w:sz w:val="20"/>
        </w:rPr>
        <w:t>its estimate of the number of respondents based on the current number of registered SDs (108 as opposed to the 105 reflected in the previous renewal of this collection).</w:t>
      </w:r>
    </w:p>
  </w:footnote>
  <w:footnote w:id="25">
    <w:p w:rsidR="008E6105" w:rsidRPr="00EE40F8" w:rsidP="002E237C" w14:paraId="0ADC993C" w14:textId="3D4A5ADD">
      <w:pPr>
        <w:pStyle w:val="FootnoteText"/>
        <w:spacing w:after="120"/>
        <w:jc w:val="both"/>
        <w:rPr>
          <w:sz w:val="20"/>
        </w:rPr>
      </w:pPr>
      <w:r w:rsidRPr="00EE40F8">
        <w:rPr>
          <w:rStyle w:val="FootnoteReference"/>
          <w:sz w:val="20"/>
        </w:rPr>
        <w:footnoteRef/>
      </w:r>
      <w:r w:rsidRPr="00EE40F8">
        <w:rPr>
          <w:sz w:val="20"/>
        </w:rPr>
        <w:t xml:space="preserve"> This burden includes all recordkeeping required under the EBCS Rules other than that already included under OMB </w:t>
      </w:r>
      <w:r w:rsidRPr="00EE40F8" w:rsidR="00B254DD">
        <w:rPr>
          <w:sz w:val="20"/>
        </w:rPr>
        <w:t xml:space="preserve">Collection No. </w:t>
      </w:r>
      <w:r w:rsidRPr="00EE40F8">
        <w:rPr>
          <w:sz w:val="20"/>
        </w:rPr>
        <w:t xml:space="preserve">3038-0087 in relation to records of communications under </w:t>
      </w:r>
      <w:r w:rsidRPr="00EE40F8" w:rsidR="0034378D">
        <w:rPr>
          <w:sz w:val="20"/>
        </w:rPr>
        <w:t xml:space="preserve">§ </w:t>
      </w:r>
      <w:r w:rsidRPr="00EE40F8">
        <w:rPr>
          <w:sz w:val="20"/>
        </w:rPr>
        <w:t>23.202.</w:t>
      </w:r>
    </w:p>
  </w:footnote>
  <w:footnote w:id="26">
    <w:p w:rsidR="008E6105" w:rsidRPr="00EE40F8" w:rsidP="002E237C" w14:paraId="341A4C1B" w14:textId="73E45769">
      <w:pPr>
        <w:pStyle w:val="FootnoteText"/>
        <w:spacing w:after="120"/>
        <w:jc w:val="both"/>
        <w:rPr>
          <w:sz w:val="20"/>
        </w:rPr>
      </w:pPr>
      <w:r w:rsidRPr="00EE40F8">
        <w:rPr>
          <w:rStyle w:val="FootnoteReference"/>
          <w:sz w:val="20"/>
        </w:rPr>
        <w:footnoteRef/>
      </w:r>
      <w:r w:rsidRPr="00EE40F8">
        <w:rPr>
          <w:sz w:val="20"/>
        </w:rPr>
        <w:t xml:space="preserve"> The Commission expects the paperwork burden of § 23.23(h)(1), where applicable, in relation to exceptions from the EBCS Rules in § 23.23(e) would be less than that of the EBCS Rules.  However, </w:t>
      </w:r>
      <w:r w:rsidRPr="00EE40F8">
        <w:rPr>
          <w:sz w:val="20"/>
        </w:rPr>
        <w:t>in an effort to</w:t>
      </w:r>
      <w:r w:rsidRPr="00EE40F8">
        <w:rPr>
          <w:sz w:val="20"/>
        </w:rPr>
        <w:t xml:space="preserve"> be conservative, because the Commission does not know how many </w:t>
      </w:r>
      <w:r w:rsidRPr="00EE40F8" w:rsidR="0034378D">
        <w:rPr>
          <w:sz w:val="20"/>
        </w:rPr>
        <w:t>SDs</w:t>
      </w:r>
      <w:r w:rsidRPr="00EE40F8">
        <w:rPr>
          <w:sz w:val="20"/>
        </w:rPr>
        <w:t xml:space="preserve"> and/or </w:t>
      </w:r>
      <w:r w:rsidRPr="00EE40F8" w:rsidR="0034378D">
        <w:rPr>
          <w:sz w:val="20"/>
        </w:rPr>
        <w:t>MSPs</w:t>
      </w:r>
      <w:r w:rsidRPr="00EE40F8">
        <w:rPr>
          <w:sz w:val="20"/>
        </w:rPr>
        <w:t xml:space="preserve"> will choose to avail themselves of the exceptions in § 23.23(e) and for how many of their swaps, the Commission is not reducing the estimated burden of these rules to reflect the availability of such exceptions.</w:t>
      </w:r>
    </w:p>
  </w:footnote>
  <w:footnote w:id="27">
    <w:p w:rsidR="008E6105" w:rsidRPr="00EE40F8" w:rsidP="001D6099" w14:paraId="6FE66C84" w14:textId="6DD197FD">
      <w:pPr>
        <w:pStyle w:val="FootnoteText"/>
        <w:spacing w:after="120"/>
        <w:jc w:val="both"/>
        <w:rPr>
          <w:sz w:val="20"/>
        </w:rPr>
      </w:pPr>
      <w:r w:rsidRPr="00EE40F8">
        <w:rPr>
          <w:rStyle w:val="FootnoteReference"/>
          <w:sz w:val="20"/>
        </w:rPr>
        <w:footnoteRef/>
      </w:r>
      <w:r w:rsidRPr="00EE40F8">
        <w:rPr>
          <w:sz w:val="20"/>
        </w:rPr>
        <w:t xml:space="preserve"> Reporting under </w:t>
      </w:r>
      <w:r w:rsidRPr="00EE40F8" w:rsidR="00353274">
        <w:rPr>
          <w:sz w:val="20"/>
        </w:rPr>
        <w:t xml:space="preserve">§ </w:t>
      </w:r>
      <w:r w:rsidRPr="00EE40F8">
        <w:rPr>
          <w:sz w:val="20"/>
        </w:rPr>
        <w:t xml:space="preserve">23.451 (Political contributions by certain swap dealers) is optional and it is unknown how many registrants, if any, will engage in such reporting and how much burden, if any, will be incurred.  Nevertheless, the Commission is providing this estimate of the regulation’s burden for purposes of the </w:t>
      </w:r>
      <w:r w:rsidRPr="00EE40F8" w:rsidR="0019206B">
        <w:rPr>
          <w:sz w:val="20"/>
        </w:rPr>
        <w:t>PRA</w:t>
      </w:r>
      <w:r w:rsidRPr="00EE40F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87061" w:rsidRPr="00D87061" w14:paraId="18DA9199" w14:textId="41448EA6">
    <w:pPr>
      <w:pStyle w:val="Header"/>
      <w:rPr>
        <w:rFonts w:ascii="Times New Roman" w:hAnsi="Times New Roman"/>
        <w:sz w:val="20"/>
        <w:szCs w:val="20"/>
      </w:rPr>
    </w:pPr>
    <w:r w:rsidRPr="00D87061">
      <w:rPr>
        <w:rFonts w:ascii="Times New Roman" w:hAnsi="Times New Roman"/>
        <w:sz w:val="20"/>
        <w:szCs w:val="20"/>
      </w:rPr>
      <w:t xml:space="preserve">MPD DRAFT (last updated 09-05-2023) </w:t>
    </w:r>
    <w:r w:rsidRPr="00D87061">
      <w:rPr>
        <w:rFonts w:ascii="Times New Roman" w:hAnsi="Times New Roman"/>
        <w:sz w:val="20"/>
        <w:szCs w:val="20"/>
      </w:rPr>
      <w:br/>
      <w:t>PRIVILEGED &amp; CONFIDENTIAL</w:t>
    </w:r>
  </w:p>
  <w:p w:rsidR="00971D4C" w:rsidRPr="00D87061" w:rsidP="00D87061" w14:paraId="3E951501" w14:textId="03FF3DF8">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DC33F2A"/>
    <w:multiLevelType w:val="hybridMultilevel"/>
    <w:tmpl w:val="F5DA2ED4"/>
    <w:lvl w:ilvl="0">
      <w:start w:val="1"/>
      <w:numFmt w:val="bullet"/>
      <w:lvlText w:val="•"/>
      <w:lvlJc w:val="left"/>
      <w:pPr>
        <w:tabs>
          <w:tab w:val="num" w:pos="936"/>
        </w:tabs>
        <w:ind w:left="936" w:hanging="216"/>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642011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ffice of the General Counsel">
    <w15:presenceInfo w15:providerId="None" w15:userId="Office of the General Coun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E0"/>
    <w:rsid w:val="0000683E"/>
    <w:rsid w:val="000123A0"/>
    <w:rsid w:val="00015AD7"/>
    <w:rsid w:val="00016538"/>
    <w:rsid w:val="00017977"/>
    <w:rsid w:val="00027341"/>
    <w:rsid w:val="000333AA"/>
    <w:rsid w:val="00036707"/>
    <w:rsid w:val="00046F4F"/>
    <w:rsid w:val="000644A6"/>
    <w:rsid w:val="000646E7"/>
    <w:rsid w:val="00074F81"/>
    <w:rsid w:val="00077832"/>
    <w:rsid w:val="00095B57"/>
    <w:rsid w:val="000A1C36"/>
    <w:rsid w:val="000B5EDD"/>
    <w:rsid w:val="000B6AD0"/>
    <w:rsid w:val="000B6FFC"/>
    <w:rsid w:val="000C1D5B"/>
    <w:rsid w:val="000D2375"/>
    <w:rsid w:val="000F0217"/>
    <w:rsid w:val="000F0BDE"/>
    <w:rsid w:val="000F41B2"/>
    <w:rsid w:val="00111AB7"/>
    <w:rsid w:val="00116E7D"/>
    <w:rsid w:val="00117CBC"/>
    <w:rsid w:val="00124998"/>
    <w:rsid w:val="001249E8"/>
    <w:rsid w:val="00133271"/>
    <w:rsid w:val="0014409A"/>
    <w:rsid w:val="00144C62"/>
    <w:rsid w:val="001462A0"/>
    <w:rsid w:val="0017237F"/>
    <w:rsid w:val="00185851"/>
    <w:rsid w:val="00187B09"/>
    <w:rsid w:val="0019206B"/>
    <w:rsid w:val="001A6DD5"/>
    <w:rsid w:val="001A76ED"/>
    <w:rsid w:val="001B278E"/>
    <w:rsid w:val="001C20AB"/>
    <w:rsid w:val="001C43E1"/>
    <w:rsid w:val="001D5913"/>
    <w:rsid w:val="001D6099"/>
    <w:rsid w:val="001E62F9"/>
    <w:rsid w:val="00214B31"/>
    <w:rsid w:val="002156B8"/>
    <w:rsid w:val="00226AD0"/>
    <w:rsid w:val="002275AD"/>
    <w:rsid w:val="00227FC2"/>
    <w:rsid w:val="00246D83"/>
    <w:rsid w:val="002470E0"/>
    <w:rsid w:val="0024740A"/>
    <w:rsid w:val="0027011D"/>
    <w:rsid w:val="00293241"/>
    <w:rsid w:val="0029504E"/>
    <w:rsid w:val="002A0875"/>
    <w:rsid w:val="002D2A17"/>
    <w:rsid w:val="002D4BDF"/>
    <w:rsid w:val="002E237C"/>
    <w:rsid w:val="002E2E06"/>
    <w:rsid w:val="002E3F4C"/>
    <w:rsid w:val="002E40CE"/>
    <w:rsid w:val="002F222F"/>
    <w:rsid w:val="00303AD8"/>
    <w:rsid w:val="00312021"/>
    <w:rsid w:val="003125C1"/>
    <w:rsid w:val="00313AFE"/>
    <w:rsid w:val="003143AA"/>
    <w:rsid w:val="003153D8"/>
    <w:rsid w:val="0031778E"/>
    <w:rsid w:val="003227B4"/>
    <w:rsid w:val="00332923"/>
    <w:rsid w:val="00336DFC"/>
    <w:rsid w:val="003420F7"/>
    <w:rsid w:val="00342F5B"/>
    <w:rsid w:val="0034378D"/>
    <w:rsid w:val="00343FC8"/>
    <w:rsid w:val="003525A7"/>
    <w:rsid w:val="00353274"/>
    <w:rsid w:val="00353A8C"/>
    <w:rsid w:val="00355682"/>
    <w:rsid w:val="00363515"/>
    <w:rsid w:val="003635CC"/>
    <w:rsid w:val="00370131"/>
    <w:rsid w:val="00376462"/>
    <w:rsid w:val="0037651E"/>
    <w:rsid w:val="00381037"/>
    <w:rsid w:val="00383CBE"/>
    <w:rsid w:val="00385AF7"/>
    <w:rsid w:val="00395010"/>
    <w:rsid w:val="003A46F9"/>
    <w:rsid w:val="003A6406"/>
    <w:rsid w:val="003B5C59"/>
    <w:rsid w:val="003D2155"/>
    <w:rsid w:val="003D3522"/>
    <w:rsid w:val="003E1EA3"/>
    <w:rsid w:val="003E3822"/>
    <w:rsid w:val="003F2C06"/>
    <w:rsid w:val="003F6F39"/>
    <w:rsid w:val="0041212C"/>
    <w:rsid w:val="00413F97"/>
    <w:rsid w:val="00417E66"/>
    <w:rsid w:val="0042780B"/>
    <w:rsid w:val="0043166C"/>
    <w:rsid w:val="00437F0B"/>
    <w:rsid w:val="00442EBF"/>
    <w:rsid w:val="00446001"/>
    <w:rsid w:val="00446A63"/>
    <w:rsid w:val="0044740F"/>
    <w:rsid w:val="00450374"/>
    <w:rsid w:val="00474DE2"/>
    <w:rsid w:val="0047789E"/>
    <w:rsid w:val="00480AA2"/>
    <w:rsid w:val="00484545"/>
    <w:rsid w:val="00492B63"/>
    <w:rsid w:val="00495063"/>
    <w:rsid w:val="004A3E11"/>
    <w:rsid w:val="004B0647"/>
    <w:rsid w:val="004B2525"/>
    <w:rsid w:val="004B71E6"/>
    <w:rsid w:val="004C1A79"/>
    <w:rsid w:val="004D1483"/>
    <w:rsid w:val="004E32B1"/>
    <w:rsid w:val="004E39AE"/>
    <w:rsid w:val="004F005E"/>
    <w:rsid w:val="004F1402"/>
    <w:rsid w:val="004F3FA9"/>
    <w:rsid w:val="005072F5"/>
    <w:rsid w:val="00512D2B"/>
    <w:rsid w:val="0052003B"/>
    <w:rsid w:val="00540063"/>
    <w:rsid w:val="005444CA"/>
    <w:rsid w:val="00547762"/>
    <w:rsid w:val="00550939"/>
    <w:rsid w:val="00551127"/>
    <w:rsid w:val="00553344"/>
    <w:rsid w:val="00554FAD"/>
    <w:rsid w:val="00560C3B"/>
    <w:rsid w:val="00564A52"/>
    <w:rsid w:val="00567829"/>
    <w:rsid w:val="00573961"/>
    <w:rsid w:val="00581F2B"/>
    <w:rsid w:val="00595F26"/>
    <w:rsid w:val="005B0EFB"/>
    <w:rsid w:val="005C0EA8"/>
    <w:rsid w:val="005D40FE"/>
    <w:rsid w:val="005E00AC"/>
    <w:rsid w:val="005F3505"/>
    <w:rsid w:val="005F7BC2"/>
    <w:rsid w:val="0060167E"/>
    <w:rsid w:val="00610442"/>
    <w:rsid w:val="0061185F"/>
    <w:rsid w:val="00612EE5"/>
    <w:rsid w:val="0062289A"/>
    <w:rsid w:val="00630D8B"/>
    <w:rsid w:val="0063569F"/>
    <w:rsid w:val="00642477"/>
    <w:rsid w:val="006446B6"/>
    <w:rsid w:val="0065636E"/>
    <w:rsid w:val="00660C5C"/>
    <w:rsid w:val="006848B1"/>
    <w:rsid w:val="00694AC8"/>
    <w:rsid w:val="006A04DE"/>
    <w:rsid w:val="006A469C"/>
    <w:rsid w:val="006B3750"/>
    <w:rsid w:val="006B6D70"/>
    <w:rsid w:val="006D0232"/>
    <w:rsid w:val="006D1A8F"/>
    <w:rsid w:val="006E744D"/>
    <w:rsid w:val="006F3483"/>
    <w:rsid w:val="006F6A6C"/>
    <w:rsid w:val="007051EA"/>
    <w:rsid w:val="00720292"/>
    <w:rsid w:val="00721536"/>
    <w:rsid w:val="007269C2"/>
    <w:rsid w:val="0072770C"/>
    <w:rsid w:val="00730E89"/>
    <w:rsid w:val="007441CB"/>
    <w:rsid w:val="0075654A"/>
    <w:rsid w:val="007573DC"/>
    <w:rsid w:val="007672F6"/>
    <w:rsid w:val="007769C2"/>
    <w:rsid w:val="00790A71"/>
    <w:rsid w:val="00791E07"/>
    <w:rsid w:val="007945C9"/>
    <w:rsid w:val="007A6DCB"/>
    <w:rsid w:val="007A75DF"/>
    <w:rsid w:val="007B0C51"/>
    <w:rsid w:val="007B2644"/>
    <w:rsid w:val="007C1E0C"/>
    <w:rsid w:val="007C5AAA"/>
    <w:rsid w:val="007C67F1"/>
    <w:rsid w:val="007D104E"/>
    <w:rsid w:val="007D234C"/>
    <w:rsid w:val="007D66FE"/>
    <w:rsid w:val="007D6964"/>
    <w:rsid w:val="007E33CA"/>
    <w:rsid w:val="007E4E56"/>
    <w:rsid w:val="007F615D"/>
    <w:rsid w:val="008064CC"/>
    <w:rsid w:val="00812ED1"/>
    <w:rsid w:val="008241DF"/>
    <w:rsid w:val="0084301E"/>
    <w:rsid w:val="008537C0"/>
    <w:rsid w:val="00856597"/>
    <w:rsid w:val="00870DCB"/>
    <w:rsid w:val="00880226"/>
    <w:rsid w:val="0088583B"/>
    <w:rsid w:val="008859E9"/>
    <w:rsid w:val="00886B22"/>
    <w:rsid w:val="00893BDA"/>
    <w:rsid w:val="008A3C4F"/>
    <w:rsid w:val="008B3773"/>
    <w:rsid w:val="008C02C3"/>
    <w:rsid w:val="008D1D25"/>
    <w:rsid w:val="008E6105"/>
    <w:rsid w:val="008F4876"/>
    <w:rsid w:val="008F7604"/>
    <w:rsid w:val="00914B7D"/>
    <w:rsid w:val="00921A72"/>
    <w:rsid w:val="00922DA7"/>
    <w:rsid w:val="00931967"/>
    <w:rsid w:val="00931B07"/>
    <w:rsid w:val="0094053C"/>
    <w:rsid w:val="00950E53"/>
    <w:rsid w:val="009561D3"/>
    <w:rsid w:val="00971D4C"/>
    <w:rsid w:val="00972EC2"/>
    <w:rsid w:val="00981517"/>
    <w:rsid w:val="00983F53"/>
    <w:rsid w:val="009A3069"/>
    <w:rsid w:val="009B4DFA"/>
    <w:rsid w:val="009C22F9"/>
    <w:rsid w:val="009C61B7"/>
    <w:rsid w:val="009C7B87"/>
    <w:rsid w:val="009D0587"/>
    <w:rsid w:val="009D2CA7"/>
    <w:rsid w:val="009E14CB"/>
    <w:rsid w:val="009E41DC"/>
    <w:rsid w:val="009F2348"/>
    <w:rsid w:val="009F6281"/>
    <w:rsid w:val="009F6C5C"/>
    <w:rsid w:val="009F7209"/>
    <w:rsid w:val="00A118A6"/>
    <w:rsid w:val="00A17CFC"/>
    <w:rsid w:val="00A72B2D"/>
    <w:rsid w:val="00A741EA"/>
    <w:rsid w:val="00A82A07"/>
    <w:rsid w:val="00A90A0A"/>
    <w:rsid w:val="00A91B6E"/>
    <w:rsid w:val="00A960C1"/>
    <w:rsid w:val="00AA24BF"/>
    <w:rsid w:val="00AB0936"/>
    <w:rsid w:val="00AB2A50"/>
    <w:rsid w:val="00AB53E1"/>
    <w:rsid w:val="00AC28F2"/>
    <w:rsid w:val="00AC51C4"/>
    <w:rsid w:val="00AD2F18"/>
    <w:rsid w:val="00AD4C39"/>
    <w:rsid w:val="00AF37B7"/>
    <w:rsid w:val="00B00688"/>
    <w:rsid w:val="00B0491B"/>
    <w:rsid w:val="00B143DE"/>
    <w:rsid w:val="00B217F5"/>
    <w:rsid w:val="00B22703"/>
    <w:rsid w:val="00B232BF"/>
    <w:rsid w:val="00B254DD"/>
    <w:rsid w:val="00B27827"/>
    <w:rsid w:val="00B27CE8"/>
    <w:rsid w:val="00B32C70"/>
    <w:rsid w:val="00B33E66"/>
    <w:rsid w:val="00B33F83"/>
    <w:rsid w:val="00B4193B"/>
    <w:rsid w:val="00B47072"/>
    <w:rsid w:val="00B52959"/>
    <w:rsid w:val="00B62B85"/>
    <w:rsid w:val="00B979D3"/>
    <w:rsid w:val="00BB660E"/>
    <w:rsid w:val="00BC2893"/>
    <w:rsid w:val="00BD5B26"/>
    <w:rsid w:val="00C008F3"/>
    <w:rsid w:val="00C01AAA"/>
    <w:rsid w:val="00C01AF9"/>
    <w:rsid w:val="00C07D6F"/>
    <w:rsid w:val="00C1478A"/>
    <w:rsid w:val="00C159F8"/>
    <w:rsid w:val="00C17835"/>
    <w:rsid w:val="00C205B7"/>
    <w:rsid w:val="00C237FF"/>
    <w:rsid w:val="00C364D7"/>
    <w:rsid w:val="00C36518"/>
    <w:rsid w:val="00C42686"/>
    <w:rsid w:val="00C43C09"/>
    <w:rsid w:val="00C61310"/>
    <w:rsid w:val="00C756CF"/>
    <w:rsid w:val="00C83671"/>
    <w:rsid w:val="00C8542C"/>
    <w:rsid w:val="00C949B2"/>
    <w:rsid w:val="00CA12B1"/>
    <w:rsid w:val="00CA55F1"/>
    <w:rsid w:val="00CB502C"/>
    <w:rsid w:val="00CC09A7"/>
    <w:rsid w:val="00CD501D"/>
    <w:rsid w:val="00CD67B0"/>
    <w:rsid w:val="00CE5B1E"/>
    <w:rsid w:val="00CE63E0"/>
    <w:rsid w:val="00CF01EF"/>
    <w:rsid w:val="00CF1F9E"/>
    <w:rsid w:val="00CF2F88"/>
    <w:rsid w:val="00CF6F6B"/>
    <w:rsid w:val="00D03017"/>
    <w:rsid w:val="00D05747"/>
    <w:rsid w:val="00D079E3"/>
    <w:rsid w:val="00D1784B"/>
    <w:rsid w:val="00D24405"/>
    <w:rsid w:val="00D3038B"/>
    <w:rsid w:val="00D34B8D"/>
    <w:rsid w:val="00D41E2B"/>
    <w:rsid w:val="00D42056"/>
    <w:rsid w:val="00D54F6B"/>
    <w:rsid w:val="00D614B1"/>
    <w:rsid w:val="00D6597D"/>
    <w:rsid w:val="00D75D15"/>
    <w:rsid w:val="00D779E8"/>
    <w:rsid w:val="00D851A3"/>
    <w:rsid w:val="00D86FB7"/>
    <w:rsid w:val="00D87061"/>
    <w:rsid w:val="00D9183B"/>
    <w:rsid w:val="00D9298C"/>
    <w:rsid w:val="00DA1162"/>
    <w:rsid w:val="00DA1C44"/>
    <w:rsid w:val="00DC2D7D"/>
    <w:rsid w:val="00DD021A"/>
    <w:rsid w:val="00DD38D2"/>
    <w:rsid w:val="00DE551F"/>
    <w:rsid w:val="00DE5E4A"/>
    <w:rsid w:val="00DE6E78"/>
    <w:rsid w:val="00DF0006"/>
    <w:rsid w:val="00E01E55"/>
    <w:rsid w:val="00E13F67"/>
    <w:rsid w:val="00E20ABB"/>
    <w:rsid w:val="00E254D4"/>
    <w:rsid w:val="00E26980"/>
    <w:rsid w:val="00E27613"/>
    <w:rsid w:val="00E32E5D"/>
    <w:rsid w:val="00E43572"/>
    <w:rsid w:val="00E45642"/>
    <w:rsid w:val="00E613A2"/>
    <w:rsid w:val="00E6192D"/>
    <w:rsid w:val="00E662A9"/>
    <w:rsid w:val="00E86C72"/>
    <w:rsid w:val="00E95039"/>
    <w:rsid w:val="00EA22B4"/>
    <w:rsid w:val="00EA2982"/>
    <w:rsid w:val="00EA33BD"/>
    <w:rsid w:val="00EC7E14"/>
    <w:rsid w:val="00ED2910"/>
    <w:rsid w:val="00ED3BD2"/>
    <w:rsid w:val="00ED3DCC"/>
    <w:rsid w:val="00ED5B78"/>
    <w:rsid w:val="00ED657F"/>
    <w:rsid w:val="00ED6E48"/>
    <w:rsid w:val="00EE0B25"/>
    <w:rsid w:val="00EE40F8"/>
    <w:rsid w:val="00EE753B"/>
    <w:rsid w:val="00EF3297"/>
    <w:rsid w:val="00EF7805"/>
    <w:rsid w:val="00F1222D"/>
    <w:rsid w:val="00F133E0"/>
    <w:rsid w:val="00F33E39"/>
    <w:rsid w:val="00F41FFB"/>
    <w:rsid w:val="00F42AF6"/>
    <w:rsid w:val="00F4473E"/>
    <w:rsid w:val="00F44D1F"/>
    <w:rsid w:val="00F50EBC"/>
    <w:rsid w:val="00F60020"/>
    <w:rsid w:val="00F607DA"/>
    <w:rsid w:val="00F63368"/>
    <w:rsid w:val="00F65F2D"/>
    <w:rsid w:val="00F74C03"/>
    <w:rsid w:val="00F85A3F"/>
    <w:rsid w:val="00FA0C34"/>
    <w:rsid w:val="00FA4085"/>
    <w:rsid w:val="00FA71B7"/>
    <w:rsid w:val="00FB033A"/>
    <w:rsid w:val="00FB629C"/>
    <w:rsid w:val="00FD6860"/>
    <w:rsid w:val="00FE0F48"/>
    <w:rsid w:val="00FE2847"/>
    <w:rsid w:val="00FE77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876D0A"/>
  <w15:docId w15:val="{B5D75FBA-9FC0-420D-87B1-46EBB982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Style 16,Style 19,Style 35,fr"/>
    <w:uiPriority w:val="99"/>
    <w:rPr>
      <w:vertAlign w:val="superscript"/>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Style 36,fn,ft"/>
    <w:basedOn w:val="Normal"/>
    <w:link w:val="FootnoteTextChar"/>
    <w:uiPriority w:val="99"/>
    <w:qFormat/>
    <w:rPr>
      <w:rFonts w:ascii="Times New Roman" w:hAnsi="Times New Roman"/>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link w:val="FootnoteText"/>
    <w:uiPriority w:val="99"/>
    <w:rPr>
      <w:sz w:val="24"/>
    </w:rPr>
  </w:style>
  <w:style w:type="paragraph" w:customStyle="1" w:styleId="Default">
    <w:name w:val="Default"/>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Arial" w:hAnsi="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rial" w:hAnsi="Arial"/>
      <w:sz w:val="24"/>
      <w:szCs w:val="24"/>
    </w:rPr>
  </w:style>
  <w:style w:type="paragraph" w:styleId="PlainText">
    <w:name w:val="Plain Text"/>
    <w:basedOn w:val="Normal"/>
    <w:link w:val="PlainTextChar"/>
    <w:uiPriority w:val="99"/>
    <w:unhideWhenUsed/>
    <w:rPr>
      <w:rFonts w:ascii="Calibri" w:hAnsi="Calibri"/>
      <w:color w:val="1F497D"/>
      <w:sz w:val="22"/>
      <w:szCs w:val="21"/>
    </w:rPr>
  </w:style>
  <w:style w:type="character" w:customStyle="1" w:styleId="PlainTextChar">
    <w:name w:val="Plain Text Char"/>
    <w:link w:val="PlainText"/>
    <w:uiPriority w:val="99"/>
    <w:rPr>
      <w:rFonts w:ascii="Calibri" w:hAnsi="Calibri"/>
      <w:color w:val="1F497D"/>
      <w:sz w:val="22"/>
      <w:szCs w:val="21"/>
    </w:rPr>
  </w:style>
  <w:style w:type="paragraph" w:customStyle="1" w:styleId="CM3">
    <w:name w:val="CM3"/>
    <w:basedOn w:val="Default"/>
    <w:next w:val="Default"/>
    <w:uiPriority w:val="99"/>
    <w:pPr>
      <w:spacing w:line="268" w:lineRule="atLeast"/>
    </w:pPr>
    <w:rPr>
      <w:rFonts w:cs="Times New Roman"/>
      <w:color w:val="auto"/>
    </w:rPr>
  </w:style>
  <w:style w:type="paragraph" w:styleId="Title">
    <w:name w:val="Title"/>
    <w:basedOn w:val="Normal"/>
    <w:link w:val="TitleChar"/>
    <w:qFormat/>
    <w:pPr>
      <w:jc w:val="center"/>
    </w:pPr>
    <w:rPr>
      <w:rFonts w:ascii="Times New Roman" w:hAnsi="Times New Roman"/>
      <w:b/>
      <w:sz w:val="40"/>
      <w:szCs w:val="20"/>
    </w:rPr>
  </w:style>
  <w:style w:type="character" w:customStyle="1" w:styleId="TitleChar">
    <w:name w:val="Title Char"/>
    <w:link w:val="Title"/>
    <w:rPr>
      <w:b/>
      <w:sz w:val="40"/>
    </w:rPr>
  </w:style>
  <w:style w:type="paragraph" w:styleId="BalloonText">
    <w:name w:val="Balloon Text"/>
    <w:basedOn w:val="Normal"/>
    <w:link w:val="BalloonTextChar"/>
    <w:rsid w:val="00A960C1"/>
    <w:rPr>
      <w:rFonts w:ascii="Tahoma" w:hAnsi="Tahoma" w:cs="Tahoma"/>
      <w:sz w:val="16"/>
      <w:szCs w:val="16"/>
    </w:rPr>
  </w:style>
  <w:style w:type="character" w:customStyle="1" w:styleId="BalloonTextChar">
    <w:name w:val="Balloon Text Char"/>
    <w:link w:val="BalloonText"/>
    <w:rsid w:val="00A960C1"/>
    <w:rPr>
      <w:rFonts w:ascii="Tahoma" w:hAnsi="Tahoma" w:cs="Tahoma"/>
      <w:sz w:val="16"/>
      <w:szCs w:val="16"/>
    </w:rPr>
  </w:style>
  <w:style w:type="character" w:styleId="CommentReference">
    <w:name w:val="annotation reference"/>
    <w:rsid w:val="00116E7D"/>
    <w:rPr>
      <w:sz w:val="16"/>
      <w:szCs w:val="16"/>
    </w:rPr>
  </w:style>
  <w:style w:type="paragraph" w:styleId="CommentText">
    <w:name w:val="annotation text"/>
    <w:basedOn w:val="Normal"/>
    <w:link w:val="CommentTextChar"/>
    <w:rsid w:val="00116E7D"/>
    <w:rPr>
      <w:sz w:val="20"/>
      <w:szCs w:val="20"/>
    </w:rPr>
  </w:style>
  <w:style w:type="character" w:customStyle="1" w:styleId="CommentTextChar">
    <w:name w:val="Comment Text Char"/>
    <w:link w:val="CommentText"/>
    <w:rsid w:val="00116E7D"/>
    <w:rPr>
      <w:rFonts w:ascii="Arial" w:hAnsi="Arial"/>
    </w:rPr>
  </w:style>
  <w:style w:type="paragraph" w:styleId="CommentSubject">
    <w:name w:val="annotation subject"/>
    <w:basedOn w:val="CommentText"/>
    <w:next w:val="CommentText"/>
    <w:link w:val="CommentSubjectChar"/>
    <w:rsid w:val="00116E7D"/>
    <w:rPr>
      <w:b/>
      <w:bCs/>
    </w:rPr>
  </w:style>
  <w:style w:type="character" w:customStyle="1" w:styleId="CommentSubjectChar">
    <w:name w:val="Comment Subject Char"/>
    <w:link w:val="CommentSubject"/>
    <w:rsid w:val="00116E7D"/>
    <w:rPr>
      <w:rFonts w:ascii="Arial" w:hAnsi="Arial"/>
      <w:b/>
      <w:bCs/>
    </w:rPr>
  </w:style>
  <w:style w:type="table" w:styleId="TableGrid">
    <w:name w:val="Table Grid"/>
    <w:basedOn w:val="TableNormal"/>
    <w:rsid w:val="0055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E753B"/>
    <w:rPr>
      <w:b/>
      <w:bCs/>
    </w:rPr>
  </w:style>
  <w:style w:type="character" w:styleId="EndnoteReference">
    <w:name w:val="endnote reference"/>
    <w:basedOn w:val="DefaultParagraphFont"/>
    <w:rsid w:val="008B3773"/>
    <w:rPr>
      <w:vertAlign w:val="superscript"/>
    </w:rPr>
  </w:style>
  <w:style w:type="character" w:styleId="Hyperlink">
    <w:name w:val="Hyperlink"/>
    <w:basedOn w:val="DefaultParagraphFont"/>
    <w:rsid w:val="0043166C"/>
    <w:rPr>
      <w:color w:val="0000FF" w:themeColor="hyperlink"/>
      <w:u w:val="single"/>
    </w:rPr>
  </w:style>
  <w:style w:type="paragraph" w:styleId="Revision">
    <w:name w:val="Revision"/>
    <w:hidden/>
    <w:uiPriority w:val="99"/>
    <w:semiHidden/>
    <w:rsid w:val="00983F53"/>
    <w:rPr>
      <w:rFonts w:ascii="Arial" w:hAnsi="Arial"/>
      <w:sz w:val="24"/>
      <w:szCs w:val="24"/>
    </w:rPr>
  </w:style>
  <w:style w:type="character" w:styleId="FollowedHyperlink">
    <w:name w:val="FollowedHyperlink"/>
    <w:basedOn w:val="DefaultParagraphFont"/>
    <w:rsid w:val="00385AF7"/>
    <w:rPr>
      <w:color w:val="800080" w:themeColor="followedHyperlink"/>
      <w:u w:val="single"/>
    </w:rPr>
  </w:style>
  <w:style w:type="character" w:styleId="UnresolvedMention">
    <w:name w:val="Unresolved Mention"/>
    <w:basedOn w:val="DefaultParagraphFont"/>
    <w:uiPriority w:val="99"/>
    <w:semiHidden/>
    <w:unhideWhenUsed/>
    <w:rsid w:val="00A9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469FA1F0334D47B578F006A5C3C8ED" ma:contentTypeVersion="6" ma:contentTypeDescription="Create a new document." ma:contentTypeScope="" ma:versionID="4d56dcb974ac81803a8dfb4654905530">
  <xsd:schema xmlns:xsd="http://www.w3.org/2001/XMLSchema" xmlns:xs="http://www.w3.org/2001/XMLSchema" xmlns:p="http://schemas.microsoft.com/office/2006/metadata/properties" xmlns:ns3="356e6b93-e4b3-4e52-9914-8b9c20074670" targetNamespace="http://schemas.microsoft.com/office/2006/metadata/properties" ma:root="true" ma:fieldsID="cad230d9112710f36ae7418d4cde56f4" ns3:_="">
    <xsd:import namespace="356e6b93-e4b3-4e52-9914-8b9c20074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e6b93-e4b3-4e52-9914-8b9c20074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CA3A0-9161-4F8A-BFFA-168DC409191C}">
  <ds:schemaRefs>
    <ds:schemaRef ds:uri="http://schemas.microsoft.com/sharepoint/v3/contenttype/forms"/>
  </ds:schemaRefs>
</ds:datastoreItem>
</file>

<file path=customXml/itemProps2.xml><?xml version="1.0" encoding="utf-8"?>
<ds:datastoreItem xmlns:ds="http://schemas.openxmlformats.org/officeDocument/2006/customXml" ds:itemID="{C4F2DF88-E797-4D31-ACAC-D6464E8C39A1}">
  <ds:schemaRefs>
    <ds:schemaRef ds:uri="http://schemas.openxmlformats.org/officeDocument/2006/bibliography"/>
  </ds:schemaRefs>
</ds:datastoreItem>
</file>

<file path=customXml/itemProps3.xml><?xml version="1.0" encoding="utf-8"?>
<ds:datastoreItem xmlns:ds="http://schemas.openxmlformats.org/officeDocument/2006/customXml" ds:itemID="{99B27675-561A-484D-B034-78F0E570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e6b93-e4b3-4e52-9914-8b9c2007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12C92-2936-4064-B2C0-6B2FE26CE0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3220</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Office of the General Counsel</cp:lastModifiedBy>
  <cp:revision>6</cp:revision>
  <cp:lastPrinted>2017-08-01T14:35:00Z</cp:lastPrinted>
  <dcterms:created xsi:type="dcterms:W3CDTF">2025-09-24T16:16:00Z</dcterms:created>
  <dcterms:modified xsi:type="dcterms:W3CDTF">2025-09-24T19:57:00Z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0x0101006B469FA1F0334D47B578F006A5C3C8ED</vt:lpwstr>
  </property>
</Properties>
</file>