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0F6" w14:paraId="3A97C29C" w14:textId="77777777">
      <w:pPr>
        <w:pStyle w:val="Heading1"/>
        <w:spacing w:before="80"/>
        <w:ind w:left="288" w:right="267" w:firstLine="0"/>
        <w:jc w:val="center"/>
      </w:pPr>
      <w:r>
        <w:t>Information</w:t>
      </w:r>
      <w:r>
        <w:rPr>
          <w:spacing w:val="-5"/>
        </w:rPr>
        <w:t xml:space="preserve"> </w:t>
      </w:r>
      <w:r>
        <w:t>Collection</w:t>
      </w:r>
      <w:r>
        <w:rPr>
          <w:spacing w:val="-4"/>
        </w:rPr>
        <w:t xml:space="preserve"> </w:t>
      </w:r>
      <w:r>
        <w:t>Request</w:t>
      </w:r>
      <w:r>
        <w:rPr>
          <w:spacing w:val="-5"/>
        </w:rPr>
        <w:t xml:space="preserve"> </w:t>
      </w:r>
      <w:r>
        <w:rPr>
          <w:spacing w:val="-4"/>
        </w:rPr>
        <w:t>(ICR)</w:t>
      </w:r>
    </w:p>
    <w:p w:rsidR="003510F6" w14:paraId="3A97C29D" w14:textId="77777777">
      <w:pPr>
        <w:pStyle w:val="BodyText"/>
        <w:rPr>
          <w:b/>
        </w:rPr>
      </w:pPr>
    </w:p>
    <w:p w:rsidR="003510F6" w14:paraId="3A97C29E" w14:textId="77777777">
      <w:pPr>
        <w:pStyle w:val="BodyText"/>
        <w:ind w:left="288" w:right="268"/>
        <w:jc w:val="center"/>
      </w:pPr>
      <w:r>
        <w:t>Supporting</w:t>
      </w:r>
      <w:r>
        <w:rPr>
          <w:spacing w:val="-4"/>
        </w:rPr>
        <w:t xml:space="preserve"> </w:t>
      </w:r>
      <w:r>
        <w:t>Statement</w:t>
      </w:r>
      <w:r>
        <w:rPr>
          <w:spacing w:val="-5"/>
        </w:rPr>
        <w:t xml:space="preserve"> </w:t>
      </w:r>
      <w:r>
        <w:t>for</w:t>
      </w:r>
      <w:r>
        <w:rPr>
          <w:spacing w:val="-4"/>
        </w:rPr>
        <w:t xml:space="preserve"> </w:t>
      </w:r>
      <w:r>
        <w:t>the</w:t>
      </w:r>
      <w:r>
        <w:rPr>
          <w:spacing w:val="-4"/>
        </w:rPr>
        <w:t xml:space="preserve"> </w:t>
      </w:r>
      <w:r>
        <w:t>Standard</w:t>
      </w:r>
      <w:r>
        <w:rPr>
          <w:spacing w:val="-4"/>
        </w:rPr>
        <w:t xml:space="preserve"> </w:t>
      </w:r>
      <w:r>
        <w:t>for</w:t>
      </w:r>
      <w:r>
        <w:rPr>
          <w:spacing w:val="-6"/>
        </w:rPr>
        <w:t xml:space="preserve"> </w:t>
      </w:r>
      <w:r>
        <w:t>Automatic</w:t>
      </w:r>
      <w:r>
        <w:rPr>
          <w:spacing w:val="-3"/>
        </w:rPr>
        <w:t xml:space="preserve"> </w:t>
      </w:r>
      <w:r>
        <w:t>Residential</w:t>
      </w:r>
      <w:r>
        <w:rPr>
          <w:spacing w:val="-3"/>
        </w:rPr>
        <w:t xml:space="preserve"> </w:t>
      </w:r>
      <w:r>
        <w:t>Garage</w:t>
      </w:r>
      <w:r>
        <w:rPr>
          <w:spacing w:val="-2"/>
        </w:rPr>
        <w:t xml:space="preserve"> </w:t>
      </w:r>
      <w:r>
        <w:t xml:space="preserve">Door </w:t>
      </w:r>
      <w:r>
        <w:rPr>
          <w:spacing w:val="-2"/>
        </w:rPr>
        <w:t>Operators</w:t>
      </w:r>
    </w:p>
    <w:p w:rsidR="003510F6" w14:paraId="3A97C29F" w14:textId="77777777">
      <w:pPr>
        <w:pStyle w:val="BodyText"/>
      </w:pPr>
    </w:p>
    <w:p w:rsidR="003510F6" w14:paraId="3A97C2A0" w14:textId="77777777">
      <w:pPr>
        <w:pStyle w:val="BodyText"/>
        <w:ind w:left="287" w:right="268"/>
        <w:jc w:val="center"/>
      </w:pPr>
      <w:r>
        <w:t>OMB</w:t>
      </w:r>
      <w:r>
        <w:rPr>
          <w:spacing w:val="-3"/>
        </w:rPr>
        <w:t xml:space="preserve"> </w:t>
      </w:r>
      <w:r>
        <w:t>Control</w:t>
      </w:r>
      <w:r>
        <w:rPr>
          <w:spacing w:val="-3"/>
        </w:rPr>
        <w:t xml:space="preserve"> </w:t>
      </w:r>
      <w:r>
        <w:t>Number</w:t>
      </w:r>
      <w:r>
        <w:rPr>
          <w:spacing w:val="-6"/>
        </w:rPr>
        <w:t xml:space="preserve"> </w:t>
      </w:r>
      <w:r>
        <w:t>3041-</w:t>
      </w:r>
      <w:r>
        <w:rPr>
          <w:spacing w:val="-4"/>
        </w:rPr>
        <w:t>0125</w:t>
      </w:r>
    </w:p>
    <w:p w:rsidR="003510F6" w14:paraId="3A97C2A1" w14:textId="77777777">
      <w:pPr>
        <w:pStyle w:val="BodyText"/>
        <w:rPr>
          <w:sz w:val="26"/>
        </w:rPr>
      </w:pPr>
    </w:p>
    <w:p w:rsidR="003510F6" w14:paraId="3A97C2A2" w14:textId="77777777">
      <w:pPr>
        <w:pStyle w:val="BodyText"/>
        <w:rPr>
          <w:sz w:val="26"/>
        </w:rPr>
      </w:pPr>
    </w:p>
    <w:p w:rsidR="003510F6" w14:paraId="3A97C2A3" w14:textId="77777777">
      <w:pPr>
        <w:pStyle w:val="Heading1"/>
        <w:numPr>
          <w:ilvl w:val="0"/>
          <w:numId w:val="1"/>
        </w:numPr>
        <w:tabs>
          <w:tab w:val="left" w:pos="839"/>
          <w:tab w:val="left" w:pos="840"/>
        </w:tabs>
        <w:spacing w:before="230"/>
      </w:pPr>
      <w:r>
        <w:rPr>
          <w:spacing w:val="-2"/>
        </w:rPr>
        <w:t>Justification</w:t>
      </w:r>
    </w:p>
    <w:p w:rsidR="003510F6" w14:paraId="3A97C2A4" w14:textId="77777777">
      <w:pPr>
        <w:pStyle w:val="BodyText"/>
        <w:rPr>
          <w:b/>
        </w:rPr>
      </w:pPr>
    </w:p>
    <w:p w:rsidR="003510F6" w14:paraId="3A97C2A5" w14:textId="77777777">
      <w:pPr>
        <w:pStyle w:val="Heading2"/>
        <w:numPr>
          <w:ilvl w:val="1"/>
          <w:numId w:val="1"/>
        </w:numPr>
        <w:tabs>
          <w:tab w:val="left" w:pos="839"/>
          <w:tab w:val="left" w:pos="840"/>
        </w:tabs>
        <w:ind w:right="1095" w:firstLine="0"/>
      </w:pPr>
      <w:r>
        <w:t>Information</w:t>
      </w:r>
      <w:r>
        <w:rPr>
          <w:spacing w:val="-5"/>
        </w:rPr>
        <w:t xml:space="preserve"> </w:t>
      </w:r>
      <w:r>
        <w:t>to</w:t>
      </w:r>
      <w:r>
        <w:rPr>
          <w:spacing w:val="-5"/>
        </w:rPr>
        <w:t xml:space="preserve"> </w:t>
      </w:r>
      <w:r>
        <w:t>be</w:t>
      </w:r>
      <w:r>
        <w:rPr>
          <w:spacing w:val="-4"/>
        </w:rPr>
        <w:t xml:space="preserve"> </w:t>
      </w:r>
      <w:r>
        <w:t>collected</w:t>
      </w:r>
      <w:r>
        <w:rPr>
          <w:spacing w:val="-5"/>
        </w:rPr>
        <w:t xml:space="preserve"> </w:t>
      </w:r>
      <w:r>
        <w:t>and</w:t>
      </w:r>
      <w:r>
        <w:rPr>
          <w:spacing w:val="-7"/>
        </w:rPr>
        <w:t xml:space="preserve"> </w:t>
      </w:r>
      <w:r>
        <w:t>circumstances</w:t>
      </w:r>
      <w:r>
        <w:rPr>
          <w:spacing w:val="-4"/>
        </w:rPr>
        <w:t xml:space="preserve"> </w:t>
      </w:r>
      <w:r>
        <w:t>that</w:t>
      </w:r>
      <w:r>
        <w:rPr>
          <w:spacing w:val="-6"/>
        </w:rPr>
        <w:t xml:space="preserve"> </w:t>
      </w:r>
      <w:r>
        <w:t>make</w:t>
      </w:r>
      <w:r>
        <w:rPr>
          <w:spacing w:val="-6"/>
        </w:rPr>
        <w:t xml:space="preserve"> </w:t>
      </w:r>
      <w:r>
        <w:t>the collection of information necessary</w:t>
      </w:r>
    </w:p>
    <w:p w:rsidR="003510F6" w14:paraId="3A97C2A6" w14:textId="77777777">
      <w:pPr>
        <w:pStyle w:val="BodyText"/>
        <w:rPr>
          <w:b/>
          <w:i/>
        </w:rPr>
      </w:pPr>
    </w:p>
    <w:p w:rsidR="003510F6" w:rsidP="0031095A" w14:paraId="3A97C2A7" w14:textId="77777777">
      <w:pPr>
        <w:pStyle w:val="BodyText"/>
        <w:ind w:left="120" w:right="184"/>
      </w:pPr>
      <w:r>
        <w:t>The Consumer Product Safety Commission is responsible for the enforcement</w:t>
      </w:r>
      <w:r>
        <w:rPr>
          <w:spacing w:val="-5"/>
        </w:rPr>
        <w:t xml:space="preserve"> </w:t>
      </w:r>
      <w:r>
        <w:t>of the</w:t>
      </w:r>
      <w:r>
        <w:rPr>
          <w:spacing w:val="-4"/>
        </w:rPr>
        <w:t xml:space="preserve"> </w:t>
      </w:r>
      <w:r>
        <w:t>mandatory</w:t>
      </w:r>
      <w:r>
        <w:rPr>
          <w:spacing w:val="-5"/>
        </w:rPr>
        <w:t xml:space="preserve"> </w:t>
      </w:r>
      <w:r>
        <w:t>federal</w:t>
      </w:r>
      <w:r>
        <w:rPr>
          <w:spacing w:val="-3"/>
        </w:rPr>
        <w:t xml:space="preserve"> </w:t>
      </w:r>
      <w:r>
        <w:t>regulation</w:t>
      </w:r>
      <w:r>
        <w:rPr>
          <w:spacing w:val="-2"/>
        </w:rPr>
        <w:t xml:space="preserve"> </w:t>
      </w:r>
      <w:r>
        <w:t>“Safety</w:t>
      </w:r>
      <w:r>
        <w:rPr>
          <w:spacing w:val="-5"/>
        </w:rPr>
        <w:t xml:space="preserve"> </w:t>
      </w:r>
      <w:r>
        <w:t>Standard</w:t>
      </w:r>
      <w:r>
        <w:rPr>
          <w:spacing w:val="-7"/>
        </w:rPr>
        <w:t xml:space="preserve"> </w:t>
      </w:r>
      <w:r>
        <w:t>for</w:t>
      </w:r>
      <w:r>
        <w:rPr>
          <w:spacing w:val="-4"/>
        </w:rPr>
        <w:t xml:space="preserve"> </w:t>
      </w:r>
      <w:r>
        <w:t>Automatic Residential Garage Door Operators” (16 CFR, Part 1211).</w:t>
      </w:r>
      <w:r>
        <w:rPr>
          <w:spacing w:val="40"/>
        </w:rPr>
        <w:t xml:space="preserve"> </w:t>
      </w:r>
      <w:r>
        <w:t>This standard requires all automatic residential garage door operators manufactured and sold in the U.S. on or after January 1, 1993, to conform to the entrapment protection requirements developed by Underwriters Laboratories, Inc. (UL 325), including subsequent revisions.</w:t>
      </w:r>
    </w:p>
    <w:p w:rsidR="003510F6" w14:paraId="3A97C2A8" w14:textId="77777777">
      <w:pPr>
        <w:pStyle w:val="BodyText"/>
      </w:pPr>
    </w:p>
    <w:p w:rsidR="003510F6" w:rsidP="00A8334B" w14:paraId="3A97C2A9" w14:textId="77777777">
      <w:pPr>
        <w:pStyle w:val="BodyText"/>
        <w:spacing w:before="1"/>
        <w:ind w:left="119" w:right="184"/>
      </w:pPr>
      <w:r>
        <w:t>The recordkeeping requirements of the standard (16 CFR, Part 1211.31 attached) became effective on January 21, 1993.</w:t>
      </w:r>
      <w:r>
        <w:rPr>
          <w:spacing w:val="40"/>
        </w:rPr>
        <w:t xml:space="preserve"> </w:t>
      </w:r>
      <w:r>
        <w:t>According to these requirements, written certification records must be maintained for a period of at least three years from the date of certification of each residential garage door operator subject to the standard.</w:t>
      </w:r>
      <w:r>
        <w:rPr>
          <w:spacing w:val="40"/>
        </w:rPr>
        <w:t xml:space="preserve"> </w:t>
      </w:r>
      <w:r>
        <w:t>These certificates are based on a test of each operator</w:t>
      </w:r>
      <w:r>
        <w:rPr>
          <w:spacing w:val="-4"/>
        </w:rPr>
        <w:t xml:space="preserve"> </w:t>
      </w:r>
      <w:r>
        <w:t>or</w:t>
      </w:r>
      <w:r>
        <w:rPr>
          <w:spacing w:val="-4"/>
        </w:rPr>
        <w:t xml:space="preserve"> </w:t>
      </w:r>
      <w:r>
        <w:t>on</w:t>
      </w:r>
      <w:r>
        <w:rPr>
          <w:spacing w:val="-2"/>
        </w:rPr>
        <w:t xml:space="preserve"> </w:t>
      </w:r>
      <w:r>
        <w:t>a</w:t>
      </w:r>
      <w:r>
        <w:rPr>
          <w:spacing w:val="-4"/>
        </w:rPr>
        <w:t xml:space="preserve"> </w:t>
      </w:r>
      <w:r>
        <w:t>“reasonable</w:t>
      </w:r>
      <w:r>
        <w:rPr>
          <w:spacing w:val="-4"/>
        </w:rPr>
        <w:t xml:space="preserve"> </w:t>
      </w:r>
      <w:r>
        <w:t>testing</w:t>
      </w:r>
      <w:r>
        <w:rPr>
          <w:spacing w:val="-4"/>
        </w:rPr>
        <w:t xml:space="preserve"> </w:t>
      </w:r>
      <w:r>
        <w:t>program.”</w:t>
      </w:r>
      <w:r>
        <w:rPr>
          <w:spacing w:val="40"/>
        </w:rPr>
        <w:t xml:space="preserve"> </w:t>
      </w:r>
      <w:r>
        <w:t>These</w:t>
      </w:r>
      <w:r>
        <w:rPr>
          <w:spacing w:val="-2"/>
        </w:rPr>
        <w:t xml:space="preserve"> </w:t>
      </w:r>
      <w:r>
        <w:t>records</w:t>
      </w:r>
      <w:r>
        <w:rPr>
          <w:spacing w:val="-5"/>
        </w:rPr>
        <w:t xml:space="preserve"> </w:t>
      </w:r>
      <w:r>
        <w:t>must</w:t>
      </w:r>
      <w:r>
        <w:rPr>
          <w:spacing w:val="-7"/>
        </w:rPr>
        <w:t xml:space="preserve"> </w:t>
      </w:r>
      <w:r>
        <w:t>be</w:t>
      </w:r>
      <w:r>
        <w:rPr>
          <w:spacing w:val="-2"/>
        </w:rPr>
        <w:t xml:space="preserve"> </w:t>
      </w:r>
      <w:r>
        <w:t>available upon request to any designated officer or employee of the Commission upon request in accordance with section 16(b) of the CPSA, 15 U.S.C. 2065(b).</w:t>
      </w:r>
    </w:p>
    <w:p w:rsidR="003510F6" w14:paraId="3A97C2AA" w14:textId="77777777">
      <w:pPr>
        <w:pStyle w:val="BodyText"/>
      </w:pPr>
    </w:p>
    <w:p w:rsidR="003510F6" w:rsidRPr="00A8334B" w:rsidP="00A8334B" w14:paraId="3A97C2AC" w14:textId="2923DF95">
      <w:pPr>
        <w:pStyle w:val="BodyText"/>
        <w:ind w:left="120" w:right="184"/>
      </w:pPr>
      <w:r>
        <w:t>Automatic residential garage door operators are continually being introduced into the</w:t>
      </w:r>
      <w:r>
        <w:rPr>
          <w:spacing w:val="-2"/>
        </w:rPr>
        <w:t xml:space="preserve"> </w:t>
      </w:r>
      <w:r>
        <w:t>market, either</w:t>
      </w:r>
      <w:r>
        <w:rPr>
          <w:spacing w:val="-2"/>
        </w:rPr>
        <w:t xml:space="preserve"> </w:t>
      </w:r>
      <w:r>
        <w:t>by</w:t>
      </w:r>
      <w:r>
        <w:rPr>
          <w:spacing w:val="-3"/>
        </w:rPr>
        <w:t xml:space="preserve"> </w:t>
      </w:r>
      <w:r>
        <w:t>established</w:t>
      </w:r>
      <w:r>
        <w:rPr>
          <w:spacing w:val="-2"/>
        </w:rPr>
        <w:t xml:space="preserve"> </w:t>
      </w:r>
      <w:r>
        <w:t>manufacturers</w:t>
      </w:r>
      <w:r>
        <w:rPr>
          <w:spacing w:val="-1"/>
        </w:rPr>
        <w:t xml:space="preserve"> </w:t>
      </w:r>
      <w:r>
        <w:t>and importers</w:t>
      </w:r>
      <w:r>
        <w:rPr>
          <w:spacing w:val="-1"/>
        </w:rPr>
        <w:t xml:space="preserve"> </w:t>
      </w:r>
      <w:r>
        <w:t>or new</w:t>
      </w:r>
      <w:r>
        <w:rPr>
          <w:spacing w:val="-7"/>
        </w:rPr>
        <w:t xml:space="preserve"> </w:t>
      </w:r>
      <w:r>
        <w:t>manufacturers</w:t>
      </w:r>
      <w:r>
        <w:rPr>
          <w:spacing w:val="-4"/>
        </w:rPr>
        <w:t xml:space="preserve"> </w:t>
      </w:r>
      <w:r>
        <w:t>and</w:t>
      </w:r>
      <w:r>
        <w:rPr>
          <w:spacing w:val="-3"/>
        </w:rPr>
        <w:t xml:space="preserve"> </w:t>
      </w:r>
      <w:r>
        <w:t>importers.</w:t>
      </w:r>
      <w:r>
        <w:rPr>
          <w:spacing w:val="-6"/>
        </w:rPr>
        <w:t xml:space="preserve"> </w:t>
      </w:r>
      <w:r>
        <w:t>Therefore,</w:t>
      </w:r>
      <w:r>
        <w:rPr>
          <w:spacing w:val="-6"/>
        </w:rPr>
        <w:t xml:space="preserve"> </w:t>
      </w:r>
      <w:r>
        <w:t>the</w:t>
      </w:r>
      <w:r>
        <w:rPr>
          <w:spacing w:val="-3"/>
        </w:rPr>
        <w:t xml:space="preserve"> </w:t>
      </w:r>
      <w:r>
        <w:t>Commission</w:t>
      </w:r>
      <w:r>
        <w:rPr>
          <w:spacing w:val="-3"/>
        </w:rPr>
        <w:t xml:space="preserve"> </w:t>
      </w:r>
      <w:r>
        <w:t>seeks</w:t>
      </w:r>
      <w:r>
        <w:rPr>
          <w:spacing w:val="-4"/>
        </w:rPr>
        <w:t xml:space="preserve"> </w:t>
      </w:r>
      <w:r>
        <w:t>approval</w:t>
      </w:r>
      <w:r>
        <w:rPr>
          <w:spacing w:val="-4"/>
        </w:rPr>
        <w:t xml:space="preserve"> </w:t>
      </w:r>
      <w:r>
        <w:t>to continue the recordkeeping requirements without change.</w:t>
      </w:r>
    </w:p>
    <w:p w:rsidR="003510F6" w14:paraId="3A97C2AD" w14:textId="77777777">
      <w:pPr>
        <w:pStyle w:val="BodyText"/>
        <w:rPr>
          <w:sz w:val="22"/>
        </w:rPr>
      </w:pPr>
    </w:p>
    <w:p w:rsidR="003510F6" w14:paraId="3A97C2AE" w14:textId="77777777">
      <w:pPr>
        <w:pStyle w:val="Heading2"/>
        <w:numPr>
          <w:ilvl w:val="1"/>
          <w:numId w:val="1"/>
        </w:numPr>
        <w:tabs>
          <w:tab w:val="left" w:pos="839"/>
          <w:tab w:val="left" w:pos="840"/>
        </w:tabs>
        <w:ind w:left="840"/>
      </w:pPr>
      <w:r>
        <w:t>Use</w:t>
      </w:r>
      <w:r>
        <w:rPr>
          <w:spacing w:val="-1"/>
        </w:rPr>
        <w:t xml:space="preserve"> </w:t>
      </w:r>
      <w:r>
        <w:t>and</w:t>
      </w:r>
      <w:r>
        <w:rPr>
          <w:spacing w:val="-5"/>
        </w:rPr>
        <w:t xml:space="preserve"> </w:t>
      </w:r>
      <w:r>
        <w:t>sharing</w:t>
      </w:r>
      <w:r>
        <w:rPr>
          <w:spacing w:val="-1"/>
        </w:rPr>
        <w:t xml:space="preserve"> </w:t>
      </w:r>
      <w:r>
        <w:t>of</w:t>
      </w:r>
      <w:r>
        <w:rPr>
          <w:spacing w:val="-3"/>
        </w:rPr>
        <w:t xml:space="preserve"> </w:t>
      </w:r>
      <w:r>
        <w:t>collected</w:t>
      </w:r>
      <w:r>
        <w:rPr>
          <w:spacing w:val="-4"/>
        </w:rPr>
        <w:t xml:space="preserve"> </w:t>
      </w:r>
      <w:r>
        <w:rPr>
          <w:spacing w:val="-2"/>
        </w:rPr>
        <w:t>information</w:t>
      </w:r>
    </w:p>
    <w:p w:rsidR="003510F6" w14:paraId="3A97C2AF" w14:textId="77777777">
      <w:pPr>
        <w:pStyle w:val="BodyText"/>
        <w:rPr>
          <w:b/>
          <w:i/>
        </w:rPr>
      </w:pPr>
    </w:p>
    <w:p w:rsidR="003510F6" w:rsidP="00A8334B" w14:paraId="3A97C2B0" w14:textId="77777777">
      <w:pPr>
        <w:pStyle w:val="BodyText"/>
        <w:ind w:left="120" w:right="115"/>
      </w:pPr>
      <w:r>
        <w:t>CPSC will use the information obtained from the requested records to assess the current level of compliance with the entrapment provisions of the standard for automatic garage door operators.</w:t>
      </w:r>
      <w:r>
        <w:rPr>
          <w:spacing w:val="40"/>
        </w:rPr>
        <w:t xml:space="preserve"> </w:t>
      </w:r>
      <w:r>
        <w:t>Also, we will use information we obtain at a given firm in any appropriate legal action(s) initiated, if the firm or its product(s) fail to comply with the entrapment provisions of the standard.</w:t>
      </w:r>
      <w:r>
        <w:rPr>
          <w:spacing w:val="40"/>
        </w:rPr>
        <w:t xml:space="preserve"> </w:t>
      </w:r>
      <w:r>
        <w:t>The recordkeeping</w:t>
      </w:r>
      <w:r>
        <w:rPr>
          <w:spacing w:val="-6"/>
        </w:rPr>
        <w:t xml:space="preserve"> </w:t>
      </w:r>
      <w:r>
        <w:t>requirements</w:t>
      </w:r>
      <w:r>
        <w:rPr>
          <w:spacing w:val="-5"/>
        </w:rPr>
        <w:t xml:space="preserve"> </w:t>
      </w:r>
      <w:r>
        <w:t>will</w:t>
      </w:r>
      <w:r>
        <w:rPr>
          <w:spacing w:val="-5"/>
        </w:rPr>
        <w:t xml:space="preserve"> </w:t>
      </w:r>
      <w:r>
        <w:t>enable</w:t>
      </w:r>
      <w:r>
        <w:rPr>
          <w:spacing w:val="-4"/>
        </w:rPr>
        <w:t xml:space="preserve"> </w:t>
      </w:r>
      <w:r>
        <w:t>the</w:t>
      </w:r>
      <w:r>
        <w:rPr>
          <w:spacing w:val="-6"/>
        </w:rPr>
        <w:t xml:space="preserve"> </w:t>
      </w:r>
      <w:r>
        <w:t>Commission</w:t>
      </w:r>
      <w:r>
        <w:rPr>
          <w:spacing w:val="-4"/>
        </w:rPr>
        <w:t xml:space="preserve"> </w:t>
      </w:r>
      <w:r>
        <w:t>to</w:t>
      </w:r>
      <w:r>
        <w:rPr>
          <w:spacing w:val="-4"/>
        </w:rPr>
        <w:t xml:space="preserve"> </w:t>
      </w:r>
      <w:r>
        <w:t>identify</w:t>
      </w:r>
      <w:r>
        <w:rPr>
          <w:spacing w:val="-7"/>
        </w:rPr>
        <w:t xml:space="preserve"> </w:t>
      </w:r>
      <w:r>
        <w:t>industry-wide</w:t>
      </w:r>
    </w:p>
    <w:p w:rsidR="003510F6" w14:paraId="3A97C2B1" w14:textId="77777777">
      <w:pPr>
        <w:sectPr>
          <w:footerReference w:type="default" r:id="rId9"/>
          <w:type w:val="continuous"/>
          <w:pgSz w:w="12240" w:h="15840"/>
          <w:pgMar w:top="1360" w:right="1700" w:bottom="1260" w:left="1680" w:header="0" w:footer="1063" w:gutter="0"/>
          <w:pgNumType w:start="1"/>
          <w:cols w:space="720"/>
        </w:sectPr>
      </w:pPr>
    </w:p>
    <w:p w:rsidR="003510F6" w14:paraId="3A97C2B2" w14:textId="77777777">
      <w:pPr>
        <w:pStyle w:val="BodyText"/>
        <w:spacing w:before="80"/>
        <w:ind w:left="120" w:right="211"/>
      </w:pPr>
      <w:r>
        <w:t>problems</w:t>
      </w:r>
      <w:r>
        <w:rPr>
          <w:spacing w:val="-4"/>
        </w:rPr>
        <w:t xml:space="preserve"> </w:t>
      </w:r>
      <w:r>
        <w:t>and</w:t>
      </w:r>
      <w:r>
        <w:rPr>
          <w:spacing w:val="-5"/>
        </w:rPr>
        <w:t xml:space="preserve"> </w:t>
      </w:r>
      <w:r>
        <w:t>address</w:t>
      </w:r>
      <w:r>
        <w:rPr>
          <w:spacing w:val="-9"/>
        </w:rPr>
        <w:t xml:space="preserve"> </w:t>
      </w:r>
      <w:r>
        <w:t>them</w:t>
      </w:r>
      <w:r>
        <w:rPr>
          <w:spacing w:val="-2"/>
        </w:rPr>
        <w:t xml:space="preserve"> </w:t>
      </w:r>
      <w:r>
        <w:t>prior</w:t>
      </w:r>
      <w:r>
        <w:rPr>
          <w:spacing w:val="-5"/>
        </w:rPr>
        <w:t xml:space="preserve"> </w:t>
      </w:r>
      <w:r>
        <w:t>to</w:t>
      </w:r>
      <w:r>
        <w:rPr>
          <w:spacing w:val="-3"/>
        </w:rPr>
        <w:t xml:space="preserve"> </w:t>
      </w:r>
      <w:r>
        <w:t>the</w:t>
      </w:r>
      <w:r>
        <w:rPr>
          <w:spacing w:val="-3"/>
        </w:rPr>
        <w:t xml:space="preserve"> </w:t>
      </w:r>
      <w:r>
        <w:t>report</w:t>
      </w:r>
      <w:r>
        <w:rPr>
          <w:spacing w:val="-6"/>
        </w:rPr>
        <w:t xml:space="preserve"> </w:t>
      </w:r>
      <w:r>
        <w:t>of</w:t>
      </w:r>
      <w:r>
        <w:rPr>
          <w:spacing w:val="-1"/>
        </w:rPr>
        <w:t xml:space="preserve"> </w:t>
      </w:r>
      <w:r>
        <w:t>related</w:t>
      </w:r>
      <w:r>
        <w:rPr>
          <w:spacing w:val="-3"/>
        </w:rPr>
        <w:t xml:space="preserve"> </w:t>
      </w:r>
      <w:r>
        <w:t>incidents</w:t>
      </w:r>
      <w:r>
        <w:rPr>
          <w:spacing w:val="-4"/>
        </w:rPr>
        <w:t xml:space="preserve"> </w:t>
      </w:r>
      <w:r>
        <w:t>associated with noncomplying products.</w:t>
      </w:r>
    </w:p>
    <w:p w:rsidR="003510F6" w14:paraId="3A97C2B3" w14:textId="77777777">
      <w:pPr>
        <w:pStyle w:val="BodyText"/>
      </w:pPr>
    </w:p>
    <w:p w:rsidR="003510F6" w14:paraId="3A97C2B4" w14:textId="77777777">
      <w:pPr>
        <w:pStyle w:val="Heading2"/>
        <w:numPr>
          <w:ilvl w:val="1"/>
          <w:numId w:val="1"/>
        </w:numPr>
        <w:tabs>
          <w:tab w:val="left" w:pos="907"/>
          <w:tab w:val="left" w:pos="908"/>
        </w:tabs>
        <w:ind w:left="907" w:hanging="788"/>
      </w:pPr>
      <w:r>
        <w:t>Use</w:t>
      </w:r>
      <w:r>
        <w:rPr>
          <w:spacing w:val="-5"/>
        </w:rPr>
        <w:t xml:space="preserve"> </w:t>
      </w:r>
      <w:r>
        <w:t>of</w:t>
      </w:r>
      <w:r>
        <w:rPr>
          <w:spacing w:val="-5"/>
        </w:rPr>
        <w:t xml:space="preserve"> </w:t>
      </w:r>
      <w:r>
        <w:t>information</w:t>
      </w:r>
      <w:r>
        <w:rPr>
          <w:spacing w:val="-3"/>
        </w:rPr>
        <w:t xml:space="preserve"> </w:t>
      </w:r>
      <w:r>
        <w:t>technology</w:t>
      </w:r>
      <w:r>
        <w:rPr>
          <w:spacing w:val="-3"/>
        </w:rPr>
        <w:t xml:space="preserve"> </w:t>
      </w:r>
      <w:r>
        <w:t>(IT)</w:t>
      </w:r>
      <w:r>
        <w:rPr>
          <w:spacing w:val="-4"/>
        </w:rPr>
        <w:t xml:space="preserve"> </w:t>
      </w:r>
      <w:r>
        <w:t>in</w:t>
      </w:r>
      <w:r>
        <w:rPr>
          <w:spacing w:val="-4"/>
        </w:rPr>
        <w:t xml:space="preserve"> </w:t>
      </w:r>
      <w:r>
        <w:t>information</w:t>
      </w:r>
      <w:r>
        <w:rPr>
          <w:spacing w:val="-3"/>
        </w:rPr>
        <w:t xml:space="preserve"> </w:t>
      </w:r>
      <w:r>
        <w:rPr>
          <w:spacing w:val="-2"/>
        </w:rPr>
        <w:t>collection</w:t>
      </w:r>
    </w:p>
    <w:p w:rsidR="003510F6" w14:paraId="3A97C2B5" w14:textId="77777777">
      <w:pPr>
        <w:pStyle w:val="BodyText"/>
        <w:rPr>
          <w:b/>
          <w:i/>
        </w:rPr>
      </w:pPr>
    </w:p>
    <w:p w:rsidR="003510F6" w:rsidP="00A8334B" w14:paraId="3A97C2B6" w14:textId="77777777">
      <w:pPr>
        <w:pStyle w:val="BodyText"/>
        <w:ind w:left="120" w:right="184"/>
      </w:pPr>
      <w:r>
        <w:t>Manufacturers and importers subject to the regulation may use any improvements</w:t>
      </w:r>
      <w:r>
        <w:rPr>
          <w:spacing w:val="-4"/>
        </w:rPr>
        <w:t xml:space="preserve"> </w:t>
      </w:r>
      <w:r>
        <w:t>in</w:t>
      </w:r>
      <w:r>
        <w:rPr>
          <w:spacing w:val="-5"/>
        </w:rPr>
        <w:t xml:space="preserve"> </w:t>
      </w:r>
      <w:r>
        <w:t>information</w:t>
      </w:r>
      <w:r>
        <w:rPr>
          <w:spacing w:val="-3"/>
        </w:rPr>
        <w:t xml:space="preserve"> </w:t>
      </w:r>
      <w:r>
        <w:t>technology</w:t>
      </w:r>
      <w:r>
        <w:rPr>
          <w:spacing w:val="-6"/>
        </w:rPr>
        <w:t xml:space="preserve"> </w:t>
      </w:r>
      <w:r>
        <w:t>that</w:t>
      </w:r>
      <w:r>
        <w:rPr>
          <w:spacing w:val="-6"/>
        </w:rPr>
        <w:t xml:space="preserve"> </w:t>
      </w:r>
      <w:r>
        <w:t>they</w:t>
      </w:r>
      <w:r>
        <w:rPr>
          <w:spacing w:val="-6"/>
        </w:rPr>
        <w:t xml:space="preserve"> </w:t>
      </w:r>
      <w:r>
        <w:t>deem</w:t>
      </w:r>
      <w:r>
        <w:rPr>
          <w:spacing w:val="-2"/>
        </w:rPr>
        <w:t xml:space="preserve"> </w:t>
      </w:r>
      <w:r>
        <w:t>suitable</w:t>
      </w:r>
      <w:r>
        <w:rPr>
          <w:spacing w:val="-5"/>
        </w:rPr>
        <w:t xml:space="preserve"> </w:t>
      </w:r>
      <w:r>
        <w:t>for</w:t>
      </w:r>
      <w:r>
        <w:rPr>
          <w:spacing w:val="-5"/>
        </w:rPr>
        <w:t xml:space="preserve"> </w:t>
      </w:r>
      <w:r>
        <w:t>compiling and maintaining the records required by the regulation.</w:t>
      </w:r>
    </w:p>
    <w:p w:rsidR="003510F6" w14:paraId="3A97C2B7" w14:textId="77777777">
      <w:pPr>
        <w:pStyle w:val="BodyText"/>
      </w:pPr>
    </w:p>
    <w:p w:rsidR="003510F6" w14:paraId="3A97C2B8" w14:textId="77777777">
      <w:pPr>
        <w:pStyle w:val="Heading2"/>
        <w:numPr>
          <w:ilvl w:val="1"/>
          <w:numId w:val="1"/>
        </w:numPr>
        <w:tabs>
          <w:tab w:val="left" w:pos="839"/>
          <w:tab w:val="left" w:pos="840"/>
        </w:tabs>
        <w:ind w:left="840"/>
      </w:pPr>
      <w:r>
        <w:t>Efforts</w:t>
      </w:r>
      <w:r>
        <w:rPr>
          <w:spacing w:val="-2"/>
        </w:rPr>
        <w:t xml:space="preserve"> </w:t>
      </w:r>
      <w:r>
        <w:t>to</w:t>
      </w:r>
      <w:r>
        <w:rPr>
          <w:spacing w:val="-3"/>
        </w:rPr>
        <w:t xml:space="preserve"> </w:t>
      </w:r>
      <w:r>
        <w:t>identify</w:t>
      </w:r>
      <w:r>
        <w:rPr>
          <w:spacing w:val="-1"/>
        </w:rPr>
        <w:t xml:space="preserve"> </w:t>
      </w:r>
      <w:r>
        <w:rPr>
          <w:spacing w:val="-2"/>
        </w:rPr>
        <w:t>duplication</w:t>
      </w:r>
    </w:p>
    <w:p w:rsidR="003510F6" w14:paraId="3A97C2B9" w14:textId="77777777">
      <w:pPr>
        <w:pStyle w:val="BodyText"/>
        <w:rPr>
          <w:b/>
          <w:i/>
        </w:rPr>
      </w:pPr>
    </w:p>
    <w:p w:rsidR="003510F6" w:rsidP="00A8334B" w14:paraId="3A97C2BA" w14:textId="77777777">
      <w:pPr>
        <w:pStyle w:val="BodyText"/>
        <w:ind w:left="120" w:right="211"/>
      </w:pPr>
      <w:r>
        <w:t>Information</w:t>
      </w:r>
      <w:r>
        <w:rPr>
          <w:spacing w:val="-4"/>
        </w:rPr>
        <w:t xml:space="preserve"> </w:t>
      </w:r>
      <w:r>
        <w:t>collected</w:t>
      </w:r>
      <w:r>
        <w:rPr>
          <w:spacing w:val="-6"/>
        </w:rPr>
        <w:t xml:space="preserve"> </w:t>
      </w:r>
      <w:r>
        <w:t>by</w:t>
      </w:r>
      <w:r>
        <w:rPr>
          <w:spacing w:val="-7"/>
        </w:rPr>
        <w:t xml:space="preserve"> </w:t>
      </w:r>
      <w:r>
        <w:t>the</w:t>
      </w:r>
      <w:r>
        <w:rPr>
          <w:spacing w:val="-4"/>
        </w:rPr>
        <w:t xml:space="preserve"> </w:t>
      </w:r>
      <w:r>
        <w:t>Commission</w:t>
      </w:r>
      <w:r>
        <w:rPr>
          <w:spacing w:val="-6"/>
        </w:rPr>
        <w:t xml:space="preserve"> </w:t>
      </w:r>
      <w:r>
        <w:t>during</w:t>
      </w:r>
      <w:r>
        <w:rPr>
          <w:spacing w:val="-6"/>
        </w:rPr>
        <w:t xml:space="preserve"> </w:t>
      </w:r>
      <w:r>
        <w:t>this</w:t>
      </w:r>
      <w:r>
        <w:rPr>
          <w:spacing w:val="-5"/>
        </w:rPr>
        <w:t xml:space="preserve"> </w:t>
      </w:r>
      <w:r>
        <w:t>enforcement</w:t>
      </w:r>
      <w:r>
        <w:rPr>
          <w:spacing w:val="-4"/>
        </w:rPr>
        <w:t xml:space="preserve"> </w:t>
      </w:r>
      <w:r>
        <w:t>activity is not collected by any other agency, organization, or individual.</w:t>
      </w:r>
      <w:r>
        <w:rPr>
          <w:spacing w:val="40"/>
        </w:rPr>
        <w:t xml:space="preserve"> </w:t>
      </w:r>
      <w:r>
        <w:t>There is no similar information available.</w:t>
      </w:r>
    </w:p>
    <w:p w:rsidR="003510F6" w14:paraId="3A97C2BB" w14:textId="77777777">
      <w:pPr>
        <w:pStyle w:val="BodyText"/>
      </w:pPr>
    </w:p>
    <w:p w:rsidR="003510F6" w14:paraId="3A97C2BC" w14:textId="77777777">
      <w:pPr>
        <w:pStyle w:val="Heading2"/>
        <w:numPr>
          <w:ilvl w:val="1"/>
          <w:numId w:val="1"/>
        </w:numPr>
        <w:tabs>
          <w:tab w:val="left" w:pos="839"/>
          <w:tab w:val="left" w:pos="840"/>
        </w:tabs>
        <w:spacing w:before="1"/>
        <w:ind w:left="840"/>
      </w:pPr>
      <w:r>
        <w:t>Impact</w:t>
      </w:r>
      <w:r>
        <w:rPr>
          <w:spacing w:val="-3"/>
        </w:rPr>
        <w:t xml:space="preserve"> </w:t>
      </w:r>
      <w:r>
        <w:t>on</w:t>
      </w:r>
      <w:r>
        <w:rPr>
          <w:spacing w:val="-2"/>
        </w:rPr>
        <w:t xml:space="preserve"> </w:t>
      </w:r>
      <w:r>
        <w:t xml:space="preserve">small </w:t>
      </w:r>
      <w:r>
        <w:rPr>
          <w:spacing w:val="-2"/>
        </w:rPr>
        <w:t>businesses</w:t>
      </w:r>
    </w:p>
    <w:p w:rsidR="003510F6" w14:paraId="3A97C2BD" w14:textId="77777777">
      <w:pPr>
        <w:pStyle w:val="BodyText"/>
        <w:spacing w:before="11"/>
        <w:rPr>
          <w:b/>
          <w:i/>
          <w:sz w:val="23"/>
        </w:rPr>
      </w:pPr>
    </w:p>
    <w:p w:rsidR="003510F6" w:rsidP="00A8334B" w14:paraId="3A97C2BE" w14:textId="25562C44">
      <w:pPr>
        <w:pStyle w:val="BodyText"/>
        <w:ind w:left="120" w:right="184"/>
      </w:pPr>
      <w:r>
        <w:t>In the August</w:t>
      </w:r>
      <w:r>
        <w:rPr>
          <w:spacing w:val="-3"/>
        </w:rPr>
        <w:t xml:space="preserve"> </w:t>
      </w:r>
      <w:r>
        <w:t>2015</w:t>
      </w:r>
      <w:r>
        <w:rPr>
          <w:spacing w:val="-5"/>
        </w:rPr>
        <w:t xml:space="preserve"> </w:t>
      </w:r>
      <w:r>
        <w:t>proposed</w:t>
      </w:r>
      <w:r>
        <w:rPr>
          <w:spacing w:val="-5"/>
        </w:rPr>
        <w:t xml:space="preserve"> </w:t>
      </w:r>
      <w:r>
        <w:t>update</w:t>
      </w:r>
      <w:r>
        <w:rPr>
          <w:spacing w:val="-5"/>
        </w:rPr>
        <w:t xml:space="preserve"> </w:t>
      </w:r>
      <w:r>
        <w:t>of</w:t>
      </w:r>
      <w:r>
        <w:rPr>
          <w:spacing w:val="-3"/>
        </w:rPr>
        <w:t xml:space="preserve"> </w:t>
      </w:r>
      <w:r>
        <w:t>the</w:t>
      </w:r>
      <w:r>
        <w:rPr>
          <w:spacing w:val="-5"/>
        </w:rPr>
        <w:t xml:space="preserve"> </w:t>
      </w:r>
      <w:r>
        <w:t>mandatory</w:t>
      </w:r>
      <w:r>
        <w:rPr>
          <w:spacing w:val="-5"/>
        </w:rPr>
        <w:t xml:space="preserve"> </w:t>
      </w:r>
      <w:r>
        <w:t>rule,</w:t>
      </w:r>
      <w:r>
        <w:rPr>
          <w:spacing w:val="-4"/>
        </w:rPr>
        <w:t xml:space="preserve"> </w:t>
      </w:r>
      <w:r>
        <w:t>the</w:t>
      </w:r>
      <w:r>
        <w:rPr>
          <w:spacing w:val="-3"/>
        </w:rPr>
        <w:t xml:space="preserve"> </w:t>
      </w:r>
      <w:r>
        <w:t>Commission</w:t>
      </w:r>
      <w:r>
        <w:rPr>
          <w:spacing w:val="-3"/>
        </w:rPr>
        <w:t xml:space="preserve"> </w:t>
      </w:r>
      <w:r>
        <w:t>noted</w:t>
      </w:r>
      <w:r>
        <w:rPr>
          <w:spacing w:val="-3"/>
        </w:rPr>
        <w:t xml:space="preserve"> </w:t>
      </w:r>
      <w:r>
        <w:t>that all known firms met the UL certification requirements; UL certification is considered sufficient evidence of compliance with the mandatory rule. Thus, the requirements do not impose significant impacts on small businesses.</w:t>
      </w:r>
      <w:r>
        <w:rPr>
          <w:rStyle w:val="FootnoteReference"/>
        </w:rPr>
        <w:footnoteReference w:id="2"/>
      </w:r>
    </w:p>
    <w:p w:rsidR="003510F6" w14:paraId="3A97C2BF" w14:textId="77777777">
      <w:pPr>
        <w:pStyle w:val="BodyText"/>
        <w:spacing w:before="7"/>
        <w:rPr>
          <w:sz w:val="23"/>
        </w:rPr>
      </w:pPr>
    </w:p>
    <w:p w:rsidR="003510F6" w14:paraId="3A97C2C0" w14:textId="77777777">
      <w:pPr>
        <w:pStyle w:val="Heading2"/>
        <w:numPr>
          <w:ilvl w:val="1"/>
          <w:numId w:val="1"/>
        </w:numPr>
        <w:tabs>
          <w:tab w:val="left" w:pos="839"/>
          <w:tab w:val="left" w:pos="840"/>
        </w:tabs>
        <w:ind w:left="211" w:right="225" w:hanging="92"/>
      </w:pPr>
      <w:r>
        <w:t>Consequences</w:t>
      </w:r>
      <w:r>
        <w:rPr>
          <w:spacing w:val="-3"/>
        </w:rPr>
        <w:t xml:space="preserve"> </w:t>
      </w:r>
      <w:r>
        <w:t>to</w:t>
      </w:r>
      <w:r>
        <w:rPr>
          <w:spacing w:val="-4"/>
        </w:rPr>
        <w:t xml:space="preserve"> </w:t>
      </w:r>
      <w:r>
        <w:t>Federal</w:t>
      </w:r>
      <w:r>
        <w:rPr>
          <w:spacing w:val="-3"/>
        </w:rPr>
        <w:t xml:space="preserve"> </w:t>
      </w:r>
      <w:r>
        <w:t>program</w:t>
      </w:r>
      <w:r>
        <w:rPr>
          <w:spacing w:val="-4"/>
        </w:rPr>
        <w:t xml:space="preserve"> </w:t>
      </w:r>
      <w:r>
        <w:t>or</w:t>
      </w:r>
      <w:r>
        <w:rPr>
          <w:spacing w:val="-4"/>
        </w:rPr>
        <w:t xml:space="preserve"> </w:t>
      </w:r>
      <w:r>
        <w:t>policy</w:t>
      </w:r>
      <w:r>
        <w:rPr>
          <w:spacing w:val="-3"/>
        </w:rPr>
        <w:t xml:space="preserve"> </w:t>
      </w:r>
      <w:r>
        <w:t>activities</w:t>
      </w:r>
      <w:r>
        <w:rPr>
          <w:spacing w:val="-3"/>
        </w:rPr>
        <w:t xml:space="preserve"> </w:t>
      </w:r>
      <w:r>
        <w:t>if</w:t>
      </w:r>
      <w:r>
        <w:rPr>
          <w:spacing w:val="-8"/>
        </w:rPr>
        <w:t xml:space="preserve"> </w:t>
      </w:r>
      <w:r>
        <w:t>collection</w:t>
      </w:r>
      <w:r>
        <w:rPr>
          <w:spacing w:val="-4"/>
        </w:rPr>
        <w:t xml:space="preserve"> </w:t>
      </w:r>
      <w:r>
        <w:t>is not conducted or is conducted less frequently</w:t>
      </w:r>
    </w:p>
    <w:p w:rsidR="003510F6" w14:paraId="3A97C2C1" w14:textId="77777777">
      <w:pPr>
        <w:pStyle w:val="BodyText"/>
        <w:rPr>
          <w:b/>
          <w:i/>
        </w:rPr>
      </w:pPr>
    </w:p>
    <w:p w:rsidR="00940E2C" w:rsidP="008D5FB5" w14:paraId="4ACCAF89" w14:textId="77777777">
      <w:pPr>
        <w:pStyle w:val="BodyText"/>
        <w:ind w:left="120" w:right="168"/>
        <w:rPr>
          <w:spacing w:val="-2"/>
        </w:rPr>
      </w:pPr>
      <w:r>
        <w:t>The Commission relies on the recordkeeping provisions of the UL standard to monitor compliance with the rule. Without the recordkeeping requirements,</w:t>
      </w:r>
      <w:r>
        <w:rPr>
          <w:spacing w:val="-3"/>
        </w:rPr>
        <w:t xml:space="preserve"> </w:t>
      </w:r>
      <w:r>
        <w:t>the</w:t>
      </w:r>
      <w:r>
        <w:rPr>
          <w:spacing w:val="-3"/>
        </w:rPr>
        <w:t xml:space="preserve"> </w:t>
      </w:r>
      <w:r>
        <w:t>level</w:t>
      </w:r>
      <w:r>
        <w:rPr>
          <w:spacing w:val="-4"/>
        </w:rPr>
        <w:t xml:space="preserve"> </w:t>
      </w:r>
      <w:r>
        <w:t>of</w:t>
      </w:r>
      <w:r>
        <w:rPr>
          <w:spacing w:val="-1"/>
        </w:rPr>
        <w:t xml:space="preserve"> </w:t>
      </w:r>
      <w:r>
        <w:t>compliance</w:t>
      </w:r>
      <w:r>
        <w:rPr>
          <w:spacing w:val="-3"/>
        </w:rPr>
        <w:t xml:space="preserve"> </w:t>
      </w:r>
      <w:r>
        <w:t>would</w:t>
      </w:r>
      <w:r>
        <w:rPr>
          <w:spacing w:val="-5"/>
        </w:rPr>
        <w:t xml:space="preserve"> </w:t>
      </w:r>
      <w:r>
        <w:t>be</w:t>
      </w:r>
      <w:r>
        <w:rPr>
          <w:spacing w:val="-3"/>
        </w:rPr>
        <w:t xml:space="preserve"> </w:t>
      </w:r>
      <w:r>
        <w:t>unknown.</w:t>
      </w:r>
      <w:r>
        <w:rPr>
          <w:spacing w:val="-6"/>
        </w:rPr>
        <w:t xml:space="preserve"> </w:t>
      </w:r>
      <w:r>
        <w:t>The</w:t>
      </w:r>
      <w:r>
        <w:rPr>
          <w:spacing w:val="-5"/>
        </w:rPr>
        <w:t xml:space="preserve"> </w:t>
      </w:r>
      <w:r>
        <w:t>lack</w:t>
      </w:r>
      <w:r>
        <w:rPr>
          <w:spacing w:val="-4"/>
        </w:rPr>
        <w:t xml:space="preserve"> </w:t>
      </w:r>
      <w:r>
        <w:t>of</w:t>
      </w:r>
      <w:r>
        <w:rPr>
          <w:spacing w:val="-1"/>
        </w:rPr>
        <w:t xml:space="preserve"> </w:t>
      </w:r>
      <w:r>
        <w:t>written</w:t>
      </w:r>
      <w:r>
        <w:rPr>
          <w:spacing w:val="-3"/>
        </w:rPr>
        <w:t xml:space="preserve"> </w:t>
      </w:r>
      <w:r>
        <w:t xml:space="preserve">test records would require an increase in Federal government inspections and sample collections for testing to determine the industry’s compliance with the </w:t>
      </w:r>
      <w:r>
        <w:rPr>
          <w:spacing w:val="-2"/>
        </w:rPr>
        <w:t>standard.</w:t>
      </w:r>
    </w:p>
    <w:p w:rsidR="00940E2C" w:rsidP="008D5FB5" w14:paraId="557292D2" w14:textId="77777777">
      <w:pPr>
        <w:pStyle w:val="BodyText"/>
        <w:ind w:left="120" w:right="168"/>
        <w:rPr>
          <w:spacing w:val="-2"/>
        </w:rPr>
      </w:pPr>
    </w:p>
    <w:p w:rsidR="00940E2C" w:rsidP="00940E2C" w14:paraId="4DAA327F" w14:textId="7A3F0FFD">
      <w:pPr>
        <w:pStyle w:val="Heading2"/>
        <w:numPr>
          <w:ilvl w:val="1"/>
          <w:numId w:val="1"/>
        </w:numPr>
        <w:tabs>
          <w:tab w:val="left" w:pos="839"/>
          <w:tab w:val="left" w:pos="840"/>
        </w:tabs>
        <w:ind w:left="211" w:right="225" w:hanging="92"/>
      </w:pPr>
      <w:r>
        <w:rPr>
          <w:spacing w:val="-3"/>
        </w:rPr>
        <w:t xml:space="preserve">Special circumstances requiring respondents to </w:t>
      </w:r>
      <w:r w:rsidR="008857EF">
        <w:rPr>
          <w:spacing w:val="-3"/>
        </w:rPr>
        <w:t xml:space="preserve">report </w:t>
      </w:r>
      <w:r>
        <w:rPr>
          <w:spacing w:val="-3"/>
        </w:rPr>
        <w:t xml:space="preserve">information </w:t>
      </w:r>
      <w:r w:rsidR="00294FA6">
        <w:rPr>
          <w:spacing w:val="-3"/>
        </w:rPr>
        <w:t>more often than quarterly or to prepare responses in fewer than 30 days</w:t>
      </w:r>
    </w:p>
    <w:p w:rsidR="00940E2C" w:rsidP="008D5FB5" w14:paraId="6A579E98" w14:textId="77777777">
      <w:pPr>
        <w:pStyle w:val="BodyText"/>
        <w:ind w:left="120" w:right="168"/>
        <w:rPr>
          <w:spacing w:val="-2"/>
        </w:rPr>
      </w:pPr>
    </w:p>
    <w:p w:rsidR="003510F6" w:rsidP="008D5FB5" w14:paraId="3A97C2C9" w14:textId="010465AD">
      <w:pPr>
        <w:pStyle w:val="BodyText"/>
        <w:ind w:left="120" w:right="128"/>
      </w:pPr>
      <w:r>
        <w:t>There may be special circumstances in which respondents will be requested to prepare a written response involving the collection of information within fewer than 30 days after receipt of the request.</w:t>
      </w:r>
      <w:r w:rsidR="008857EF">
        <w:rPr>
          <w:spacing w:val="80"/>
        </w:rPr>
        <w:t xml:space="preserve"> </w:t>
      </w:r>
      <w:r>
        <w:t>These circumstances apply when the CPSC Compliance staff is trying to determine preliminarily whether</w:t>
      </w:r>
      <w:r>
        <w:rPr>
          <w:spacing w:val="-4"/>
        </w:rPr>
        <w:t xml:space="preserve"> </w:t>
      </w:r>
      <w:r>
        <w:t>a</w:t>
      </w:r>
      <w:r>
        <w:rPr>
          <w:spacing w:val="-2"/>
        </w:rPr>
        <w:t xml:space="preserve"> </w:t>
      </w:r>
      <w:r>
        <w:t>defect</w:t>
      </w:r>
      <w:r>
        <w:rPr>
          <w:spacing w:val="-2"/>
        </w:rPr>
        <w:t xml:space="preserve"> </w:t>
      </w:r>
      <w:r>
        <w:t>is</w:t>
      </w:r>
      <w:r>
        <w:rPr>
          <w:spacing w:val="-3"/>
        </w:rPr>
        <w:t xml:space="preserve"> </w:t>
      </w:r>
      <w:r>
        <w:t>present</w:t>
      </w:r>
      <w:r>
        <w:rPr>
          <w:spacing w:val="-3"/>
        </w:rPr>
        <w:t xml:space="preserve"> </w:t>
      </w:r>
      <w:r>
        <w:t>in</w:t>
      </w:r>
      <w:r>
        <w:rPr>
          <w:spacing w:val="-4"/>
        </w:rPr>
        <w:t xml:space="preserve"> </w:t>
      </w:r>
      <w:r>
        <w:t>an</w:t>
      </w:r>
      <w:r>
        <w:rPr>
          <w:spacing w:val="-4"/>
        </w:rPr>
        <w:t xml:space="preserve"> </w:t>
      </w:r>
      <w:r>
        <w:t>automatic</w:t>
      </w:r>
      <w:r>
        <w:rPr>
          <w:spacing w:val="-3"/>
        </w:rPr>
        <w:t xml:space="preserve"> </w:t>
      </w:r>
      <w:r>
        <w:t>residential</w:t>
      </w:r>
      <w:r>
        <w:rPr>
          <w:spacing w:val="-3"/>
        </w:rPr>
        <w:t xml:space="preserve"> </w:t>
      </w:r>
      <w:r>
        <w:t>garage</w:t>
      </w:r>
      <w:r>
        <w:rPr>
          <w:spacing w:val="-2"/>
        </w:rPr>
        <w:t xml:space="preserve"> </w:t>
      </w:r>
      <w:r>
        <w:t>door</w:t>
      </w:r>
      <w:r>
        <w:rPr>
          <w:spacing w:val="-6"/>
        </w:rPr>
        <w:t xml:space="preserve"> </w:t>
      </w:r>
      <w:r>
        <w:t>operator,</w:t>
      </w:r>
      <w:r>
        <w:rPr>
          <w:spacing w:val="-5"/>
        </w:rPr>
        <w:t xml:space="preserve"> </w:t>
      </w:r>
      <w:r>
        <w:t>and whether that defect rises to the level of a substantial product hazard under Section</w:t>
      </w:r>
      <w:r>
        <w:rPr>
          <w:spacing w:val="-1"/>
        </w:rPr>
        <w:t xml:space="preserve"> </w:t>
      </w:r>
      <w:r>
        <w:t>15</w:t>
      </w:r>
      <w:r>
        <w:rPr>
          <w:spacing w:val="-1"/>
        </w:rPr>
        <w:t xml:space="preserve"> </w:t>
      </w:r>
      <w:r>
        <w:t>of the</w:t>
      </w:r>
      <w:r>
        <w:rPr>
          <w:spacing w:val="-1"/>
        </w:rPr>
        <w:t xml:space="preserve"> </w:t>
      </w:r>
      <w:r>
        <w:t>Consumer</w:t>
      </w:r>
      <w:r>
        <w:rPr>
          <w:spacing w:val="-3"/>
        </w:rPr>
        <w:t xml:space="preserve"> </w:t>
      </w:r>
      <w:r>
        <w:t>Product Safety</w:t>
      </w:r>
      <w:r>
        <w:rPr>
          <w:spacing w:val="-2"/>
        </w:rPr>
        <w:t xml:space="preserve"> </w:t>
      </w:r>
      <w:r>
        <w:t>Act (CPSA), 15 U.S.C.</w:t>
      </w:r>
      <w:r>
        <w:rPr>
          <w:spacing w:val="40"/>
        </w:rPr>
        <w:t xml:space="preserve"> </w:t>
      </w:r>
      <w:r>
        <w:t>2064.</w:t>
      </w:r>
      <w:r>
        <w:rPr>
          <w:spacing w:val="40"/>
        </w:rPr>
        <w:t xml:space="preserve"> </w:t>
      </w:r>
      <w:r>
        <w:t>Firms are typically given 10 working days to respond to our request for information.</w:t>
      </w:r>
    </w:p>
    <w:p w:rsidR="003510F6" w14:paraId="3A97C2CA" w14:textId="77777777">
      <w:pPr>
        <w:pStyle w:val="BodyText"/>
      </w:pPr>
    </w:p>
    <w:p w:rsidR="003510F6" w14:paraId="3A97C2CB" w14:textId="77777777">
      <w:pPr>
        <w:pStyle w:val="Heading2"/>
        <w:numPr>
          <w:ilvl w:val="1"/>
          <w:numId w:val="1"/>
        </w:numPr>
        <w:tabs>
          <w:tab w:val="left" w:pos="839"/>
          <w:tab w:val="left" w:pos="840"/>
        </w:tabs>
        <w:ind w:left="840"/>
      </w:pPr>
      <w:r>
        <w:t>Agency’s</w:t>
      </w:r>
      <w:r>
        <w:rPr>
          <w:spacing w:val="-7"/>
        </w:rPr>
        <w:t xml:space="preserve"> </w:t>
      </w:r>
      <w:r>
        <w:t>Federal</w:t>
      </w:r>
      <w:r>
        <w:rPr>
          <w:spacing w:val="-4"/>
        </w:rPr>
        <w:t xml:space="preserve"> </w:t>
      </w:r>
      <w:r>
        <w:t>Register</w:t>
      </w:r>
      <w:r>
        <w:rPr>
          <w:spacing w:val="-3"/>
        </w:rPr>
        <w:t xml:space="preserve"> </w:t>
      </w:r>
      <w:r>
        <w:t>Notice</w:t>
      </w:r>
      <w:r>
        <w:rPr>
          <w:spacing w:val="-5"/>
        </w:rPr>
        <w:t xml:space="preserve"> </w:t>
      </w:r>
      <w:r>
        <w:t>and</w:t>
      </w:r>
      <w:r>
        <w:rPr>
          <w:spacing w:val="-4"/>
        </w:rPr>
        <w:t xml:space="preserve"> </w:t>
      </w:r>
      <w:r>
        <w:t>related</w:t>
      </w:r>
      <w:r>
        <w:rPr>
          <w:spacing w:val="-3"/>
        </w:rPr>
        <w:t xml:space="preserve"> </w:t>
      </w:r>
      <w:r>
        <w:rPr>
          <w:spacing w:val="-2"/>
        </w:rPr>
        <w:t>information</w:t>
      </w:r>
    </w:p>
    <w:p w:rsidR="003510F6" w14:paraId="3A97C2CC" w14:textId="77777777">
      <w:pPr>
        <w:pStyle w:val="BodyText"/>
        <w:rPr>
          <w:b/>
          <w:i/>
        </w:rPr>
      </w:pPr>
    </w:p>
    <w:p w:rsidR="003510F6" w:rsidP="008857EF" w14:paraId="3A97C2CD" w14:textId="4CD30813">
      <w:pPr>
        <w:pStyle w:val="BodyText"/>
        <w:spacing w:before="1"/>
        <w:ind w:left="120" w:right="184"/>
      </w:pPr>
      <w:r>
        <w:t>A</w:t>
      </w:r>
      <w:r>
        <w:rPr>
          <w:spacing w:val="-3"/>
        </w:rPr>
        <w:t xml:space="preserve"> </w:t>
      </w:r>
      <w:r>
        <w:t>Federal</w:t>
      </w:r>
      <w:r>
        <w:rPr>
          <w:spacing w:val="-4"/>
        </w:rPr>
        <w:t xml:space="preserve"> </w:t>
      </w:r>
      <w:r w:rsidRPr="000945F0">
        <w:t>Register</w:t>
      </w:r>
      <w:r w:rsidRPr="000945F0">
        <w:rPr>
          <w:spacing w:val="-5"/>
        </w:rPr>
        <w:t xml:space="preserve"> </w:t>
      </w:r>
      <w:r w:rsidRPr="000945F0">
        <w:t>Notice</w:t>
      </w:r>
      <w:r w:rsidRPr="000945F0">
        <w:rPr>
          <w:spacing w:val="-3"/>
        </w:rPr>
        <w:t xml:space="preserve"> </w:t>
      </w:r>
      <w:r w:rsidRPr="000945F0">
        <w:t>announcing</w:t>
      </w:r>
      <w:r w:rsidRPr="000945F0">
        <w:rPr>
          <w:spacing w:val="-5"/>
        </w:rPr>
        <w:t xml:space="preserve"> </w:t>
      </w:r>
      <w:r w:rsidRPr="000945F0">
        <w:t>the</w:t>
      </w:r>
      <w:r w:rsidRPr="000945F0">
        <w:rPr>
          <w:spacing w:val="-5"/>
        </w:rPr>
        <w:t xml:space="preserve"> </w:t>
      </w:r>
      <w:r w:rsidRPr="000945F0">
        <w:t>renewal</w:t>
      </w:r>
      <w:r w:rsidRPr="000945F0">
        <w:rPr>
          <w:spacing w:val="-4"/>
        </w:rPr>
        <w:t xml:space="preserve"> </w:t>
      </w:r>
      <w:r w:rsidRPr="000945F0">
        <w:t>of</w:t>
      </w:r>
      <w:r w:rsidRPr="000945F0">
        <w:rPr>
          <w:spacing w:val="-4"/>
        </w:rPr>
        <w:t xml:space="preserve"> </w:t>
      </w:r>
      <w:r w:rsidRPr="000945F0">
        <w:t>this</w:t>
      </w:r>
      <w:r w:rsidRPr="000945F0">
        <w:rPr>
          <w:spacing w:val="-4"/>
        </w:rPr>
        <w:t xml:space="preserve"> </w:t>
      </w:r>
      <w:r w:rsidRPr="000945F0">
        <w:t>clearance</w:t>
      </w:r>
      <w:r w:rsidRPr="000945F0">
        <w:rPr>
          <w:spacing w:val="-8"/>
        </w:rPr>
        <w:t xml:space="preserve"> </w:t>
      </w:r>
      <w:r w:rsidRPr="000945F0">
        <w:t xml:space="preserve">was published </w:t>
      </w:r>
      <w:r w:rsidRPr="000945F0" w:rsidR="008857EF">
        <w:t>June</w:t>
      </w:r>
      <w:r w:rsidRPr="000945F0">
        <w:t xml:space="preserve"> </w:t>
      </w:r>
      <w:r w:rsidRPr="000945F0" w:rsidR="002F686F">
        <w:t>23</w:t>
      </w:r>
      <w:r w:rsidRPr="000945F0">
        <w:t>, 202</w:t>
      </w:r>
      <w:r w:rsidRPr="000945F0" w:rsidR="002350C5">
        <w:t>5</w:t>
      </w:r>
      <w:r w:rsidRPr="000945F0">
        <w:t xml:space="preserve">, </w:t>
      </w:r>
      <w:r w:rsidRPr="000945F0" w:rsidR="000945F0">
        <w:t>90</w:t>
      </w:r>
      <w:r w:rsidRPr="000945F0">
        <w:t xml:space="preserve"> FR </w:t>
      </w:r>
      <w:r w:rsidRPr="000945F0" w:rsidR="000945F0">
        <w:t>26560</w:t>
      </w:r>
      <w:r w:rsidRPr="000945F0">
        <w:t xml:space="preserve">. </w:t>
      </w:r>
      <w:r w:rsidRPr="000945F0" w:rsidR="003730F7">
        <w:t>One</w:t>
      </w:r>
      <w:r w:rsidR="00CE6820">
        <w:t xml:space="preserve"> ou</w:t>
      </w:r>
      <w:r w:rsidR="000945F0">
        <w:t>t</w:t>
      </w:r>
      <w:r w:rsidR="00CE6820">
        <w:t xml:space="preserve"> of scope</w:t>
      </w:r>
      <w:r>
        <w:t xml:space="preserve"> comment w</w:t>
      </w:r>
      <w:r w:rsidR="00CE6820">
        <w:t>as</w:t>
      </w:r>
      <w:r>
        <w:t xml:space="preserve"> received.</w:t>
      </w:r>
      <w:r w:rsidR="003E1210">
        <w:t xml:space="preserve"> </w:t>
      </w:r>
      <w:r w:rsidR="00A75E60">
        <w:t>The comment</w:t>
      </w:r>
      <w:r w:rsidR="002E522D">
        <w:t xml:space="preserve"> reads:</w:t>
      </w:r>
    </w:p>
    <w:p w:rsidR="002E522D" w:rsidP="008857EF" w14:paraId="15C6EE80" w14:textId="77777777">
      <w:pPr>
        <w:pStyle w:val="BodyText"/>
        <w:spacing w:before="1"/>
        <w:ind w:left="120" w:right="184"/>
      </w:pPr>
    </w:p>
    <w:p w:rsidR="003510F6" w14:paraId="3A97C2CE" w14:textId="44041EAC">
      <w:pPr>
        <w:pStyle w:val="BodyText"/>
      </w:pPr>
      <w:r>
        <w:rPr>
          <w:noProof/>
        </w:rPr>
        <w:drawing>
          <wp:inline distT="0" distB="0" distL="0" distR="0">
            <wp:extent cx="5626100" cy="859155"/>
            <wp:effectExtent l="0" t="0" r="0" b="0"/>
            <wp:docPr id="96192623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26239" name="Picture 1" descr="Graphical user interface&#10;&#10;AI-generated content may be incorrect."/>
                    <pic:cNvPicPr/>
                  </pic:nvPicPr>
                  <pic:blipFill>
                    <a:blip xmlns:r="http://schemas.openxmlformats.org/officeDocument/2006/relationships" r:embed="rId10"/>
                    <a:stretch>
                      <a:fillRect/>
                    </a:stretch>
                  </pic:blipFill>
                  <pic:spPr>
                    <a:xfrm>
                      <a:off x="0" y="0"/>
                      <a:ext cx="5626100" cy="859155"/>
                    </a:xfrm>
                    <a:prstGeom prst="rect">
                      <a:avLst/>
                    </a:prstGeom>
                  </pic:spPr>
                </pic:pic>
              </a:graphicData>
            </a:graphic>
          </wp:inline>
        </w:drawing>
      </w:r>
    </w:p>
    <w:p w:rsidR="00A75E60" w14:paraId="25EDDE14" w14:textId="77777777">
      <w:pPr>
        <w:pStyle w:val="BodyText"/>
      </w:pPr>
    </w:p>
    <w:p w:rsidR="003510F6" w:rsidP="002350C5" w14:paraId="3A97C2CF" w14:textId="31BB0401">
      <w:pPr>
        <w:ind w:left="120" w:right="115"/>
        <w:rPr>
          <w:sz w:val="25"/>
        </w:rPr>
      </w:pPr>
      <w:r>
        <w:rPr>
          <w:color w:val="1B1B1B"/>
          <w:sz w:val="25"/>
        </w:rPr>
        <w:t xml:space="preserve">CPSC staff participates in the Underwriters Laboratories, Inc. (UL) Standards Technical Panel for UL 325, </w:t>
      </w:r>
      <w:r w:rsidR="000239D3">
        <w:rPr>
          <w:color w:val="1B1B1B"/>
          <w:sz w:val="25"/>
        </w:rPr>
        <w:t>the Standard for Door, Drapery, Gate, Louver, and Window Operators and Systems.</w:t>
      </w:r>
      <w:r w:rsidR="005A4BAB">
        <w:rPr>
          <w:color w:val="1B1B1B"/>
          <w:sz w:val="25"/>
        </w:rPr>
        <w:t xml:space="preserve"> UL 325 is industry-supported</w:t>
      </w:r>
      <w:r w:rsidR="00E85448">
        <w:rPr>
          <w:color w:val="1B1B1B"/>
          <w:sz w:val="25"/>
        </w:rPr>
        <w:t xml:space="preserve"> and has guided meaningful garage door operator product safety advances over many years, helping to mitigate entrapment and injury hazards.</w:t>
      </w:r>
      <w:r>
        <w:rPr>
          <w:rStyle w:val="FootnoteReference"/>
          <w:color w:val="1B1B1B"/>
          <w:sz w:val="25"/>
        </w:rPr>
        <w:footnoteReference w:id="3"/>
      </w:r>
    </w:p>
    <w:p w:rsidR="003510F6" w14:paraId="3A97C2D0" w14:textId="77777777">
      <w:pPr>
        <w:pStyle w:val="BodyText"/>
        <w:spacing w:before="9"/>
        <w:rPr>
          <w:sz w:val="15"/>
        </w:rPr>
      </w:pPr>
    </w:p>
    <w:p w:rsidR="003510F6" w14:paraId="3A97C2D1" w14:textId="77777777">
      <w:pPr>
        <w:pStyle w:val="Heading2"/>
        <w:numPr>
          <w:ilvl w:val="1"/>
          <w:numId w:val="1"/>
        </w:numPr>
        <w:tabs>
          <w:tab w:val="left" w:pos="839"/>
          <w:tab w:val="left" w:pos="840"/>
        </w:tabs>
        <w:spacing w:before="93"/>
        <w:ind w:left="840"/>
      </w:pPr>
      <w:r>
        <w:t>Decision</w:t>
      </w:r>
      <w:r>
        <w:rPr>
          <w:spacing w:val="-3"/>
        </w:rPr>
        <w:t xml:space="preserve"> </w:t>
      </w:r>
      <w:r>
        <w:t>to</w:t>
      </w:r>
      <w:r>
        <w:rPr>
          <w:spacing w:val="-3"/>
        </w:rPr>
        <w:t xml:space="preserve"> </w:t>
      </w:r>
      <w:r>
        <w:t>provide</w:t>
      </w:r>
      <w:r>
        <w:rPr>
          <w:spacing w:val="-1"/>
        </w:rPr>
        <w:t xml:space="preserve"> </w:t>
      </w:r>
      <w:r>
        <w:t>payment</w:t>
      </w:r>
      <w:r>
        <w:rPr>
          <w:spacing w:val="-4"/>
        </w:rPr>
        <w:t xml:space="preserve"> </w:t>
      </w:r>
      <w:r>
        <w:t>or</w:t>
      </w:r>
      <w:r>
        <w:rPr>
          <w:spacing w:val="-2"/>
        </w:rPr>
        <w:t xml:space="preserve"> </w:t>
      </w:r>
      <w:r>
        <w:rPr>
          <w:spacing w:val="-4"/>
        </w:rPr>
        <w:t>gift</w:t>
      </w:r>
    </w:p>
    <w:p w:rsidR="003510F6" w14:paraId="3A97C2D2" w14:textId="77777777">
      <w:pPr>
        <w:pStyle w:val="BodyText"/>
        <w:rPr>
          <w:b/>
          <w:i/>
        </w:rPr>
      </w:pPr>
    </w:p>
    <w:p w:rsidR="003510F6" w:rsidP="006C09D4" w14:paraId="3A97C2D3" w14:textId="77777777">
      <w:pPr>
        <w:pStyle w:val="BodyText"/>
      </w:pPr>
      <w:r>
        <w:t>Not</w:t>
      </w:r>
      <w:r>
        <w:rPr>
          <w:spacing w:val="-3"/>
        </w:rPr>
        <w:t xml:space="preserve"> </w:t>
      </w:r>
      <w:r>
        <w:rPr>
          <w:spacing w:val="-2"/>
        </w:rPr>
        <w:t>applicable.</w:t>
      </w:r>
    </w:p>
    <w:p w:rsidR="003510F6" w14:paraId="3A97C2D4" w14:textId="77777777">
      <w:pPr>
        <w:pStyle w:val="BodyText"/>
      </w:pPr>
    </w:p>
    <w:p w:rsidR="003510F6" w14:paraId="3A97C2D5" w14:textId="77777777">
      <w:pPr>
        <w:pStyle w:val="Heading2"/>
        <w:numPr>
          <w:ilvl w:val="1"/>
          <w:numId w:val="1"/>
        </w:numPr>
        <w:tabs>
          <w:tab w:val="left" w:pos="839"/>
          <w:tab w:val="left" w:pos="840"/>
        </w:tabs>
        <w:ind w:left="840"/>
      </w:pPr>
      <w:r>
        <w:t>Assurance</w:t>
      </w:r>
      <w:r>
        <w:rPr>
          <w:spacing w:val="-3"/>
        </w:rPr>
        <w:t xml:space="preserve"> </w:t>
      </w:r>
      <w:r>
        <w:t>of</w:t>
      </w:r>
      <w:r>
        <w:rPr>
          <w:spacing w:val="-3"/>
        </w:rPr>
        <w:t xml:space="preserve"> </w:t>
      </w:r>
      <w:r>
        <w:rPr>
          <w:spacing w:val="-2"/>
        </w:rPr>
        <w:t>confidentiality</w:t>
      </w:r>
    </w:p>
    <w:p w:rsidR="003510F6" w14:paraId="3A97C2D6" w14:textId="77777777">
      <w:pPr>
        <w:pStyle w:val="BodyText"/>
        <w:rPr>
          <w:b/>
          <w:i/>
        </w:rPr>
      </w:pPr>
    </w:p>
    <w:p w:rsidR="003510F6" w:rsidP="006C09D4" w14:paraId="3A97C2D7" w14:textId="77777777">
      <w:pPr>
        <w:pStyle w:val="BodyText"/>
        <w:ind w:left="120" w:right="184"/>
      </w:pPr>
      <w:r>
        <w:t>All</w:t>
      </w:r>
      <w:r>
        <w:rPr>
          <w:spacing w:val="-4"/>
        </w:rPr>
        <w:t xml:space="preserve"> </w:t>
      </w:r>
      <w:r>
        <w:t>records</w:t>
      </w:r>
      <w:r>
        <w:rPr>
          <w:spacing w:val="-4"/>
        </w:rPr>
        <w:t xml:space="preserve"> </w:t>
      </w:r>
      <w:r>
        <w:t>cited</w:t>
      </w:r>
      <w:r>
        <w:rPr>
          <w:spacing w:val="-3"/>
        </w:rPr>
        <w:t xml:space="preserve"> </w:t>
      </w:r>
      <w:r>
        <w:t>as</w:t>
      </w:r>
      <w:r>
        <w:rPr>
          <w:spacing w:val="-6"/>
        </w:rPr>
        <w:t xml:space="preserve"> </w:t>
      </w:r>
      <w:r>
        <w:t>being</w:t>
      </w:r>
      <w:r>
        <w:rPr>
          <w:spacing w:val="-5"/>
        </w:rPr>
        <w:t xml:space="preserve"> </w:t>
      </w:r>
      <w:r>
        <w:t>confidential</w:t>
      </w:r>
      <w:r>
        <w:rPr>
          <w:spacing w:val="-4"/>
        </w:rPr>
        <w:t xml:space="preserve"> </w:t>
      </w:r>
      <w:r>
        <w:t>remain</w:t>
      </w:r>
      <w:r>
        <w:rPr>
          <w:spacing w:val="-5"/>
        </w:rPr>
        <w:t xml:space="preserve"> </w:t>
      </w:r>
      <w:r>
        <w:t>confidential</w:t>
      </w:r>
      <w:r>
        <w:rPr>
          <w:spacing w:val="-7"/>
        </w:rPr>
        <w:t xml:space="preserve"> </w:t>
      </w:r>
      <w:r>
        <w:t>according</w:t>
      </w:r>
      <w:r>
        <w:rPr>
          <w:spacing w:val="-5"/>
        </w:rPr>
        <w:t xml:space="preserve"> </w:t>
      </w:r>
      <w:r>
        <w:t>to</w:t>
      </w:r>
      <w:r>
        <w:rPr>
          <w:spacing w:val="-3"/>
        </w:rPr>
        <w:t xml:space="preserve"> </w:t>
      </w:r>
      <w:r>
        <w:t>the Commission’s procedures under the Freedom of Information Act.</w:t>
      </w:r>
      <w:r>
        <w:rPr>
          <w:spacing w:val="40"/>
        </w:rPr>
        <w:t xml:space="preserve"> </w:t>
      </w:r>
      <w:r>
        <w:t>These procedures are provided in 15 U.S.C. 1015.</w:t>
      </w:r>
    </w:p>
    <w:p w:rsidR="003510F6" w14:paraId="3A97C2D8" w14:textId="77777777">
      <w:pPr>
        <w:pStyle w:val="BodyText"/>
      </w:pPr>
    </w:p>
    <w:p w:rsidR="003510F6" w14:paraId="3A97C2D9" w14:textId="77777777">
      <w:pPr>
        <w:pStyle w:val="Heading2"/>
        <w:numPr>
          <w:ilvl w:val="1"/>
          <w:numId w:val="1"/>
        </w:numPr>
        <w:tabs>
          <w:tab w:val="left" w:pos="839"/>
          <w:tab w:val="left" w:pos="840"/>
        </w:tabs>
        <w:ind w:left="840"/>
      </w:pPr>
      <w:r>
        <w:t>Questions</w:t>
      </w:r>
      <w:r>
        <w:rPr>
          <w:spacing w:val="-3"/>
        </w:rPr>
        <w:t xml:space="preserve"> </w:t>
      </w:r>
      <w:r>
        <w:t>of</w:t>
      </w:r>
      <w:r>
        <w:rPr>
          <w:spacing w:val="-3"/>
        </w:rPr>
        <w:t xml:space="preserve"> </w:t>
      </w:r>
      <w:r>
        <w:t>a</w:t>
      </w:r>
      <w:r>
        <w:rPr>
          <w:spacing w:val="-4"/>
        </w:rPr>
        <w:t xml:space="preserve"> </w:t>
      </w:r>
      <w:r>
        <w:t>sensitive</w:t>
      </w:r>
      <w:r>
        <w:rPr>
          <w:spacing w:val="-2"/>
        </w:rPr>
        <w:t xml:space="preserve"> nature</w:t>
      </w:r>
    </w:p>
    <w:p w:rsidR="003510F6" w14:paraId="3A97C2DA" w14:textId="77777777">
      <w:pPr>
        <w:pStyle w:val="BodyText"/>
        <w:rPr>
          <w:b/>
          <w:i/>
        </w:rPr>
      </w:pPr>
    </w:p>
    <w:p w:rsidR="003510F6" w:rsidP="006C09D4" w14:paraId="3A97C2DB" w14:textId="77777777">
      <w:pPr>
        <w:pStyle w:val="BodyText"/>
      </w:pPr>
      <w:r>
        <w:t>Not</w:t>
      </w:r>
      <w:r>
        <w:rPr>
          <w:spacing w:val="-3"/>
        </w:rPr>
        <w:t xml:space="preserve"> </w:t>
      </w:r>
      <w:r>
        <w:t>applicable.</w:t>
      </w:r>
      <w:r>
        <w:rPr>
          <w:spacing w:val="57"/>
        </w:rPr>
        <w:t xml:space="preserve"> </w:t>
      </w:r>
      <w:r>
        <w:t>There</w:t>
      </w:r>
      <w:r>
        <w:rPr>
          <w:spacing w:val="-3"/>
        </w:rPr>
        <w:t xml:space="preserve"> </w:t>
      </w:r>
      <w:r>
        <w:t>are</w:t>
      </w:r>
      <w:r>
        <w:rPr>
          <w:spacing w:val="-2"/>
        </w:rPr>
        <w:t xml:space="preserve"> </w:t>
      </w:r>
      <w:r>
        <w:t>no</w:t>
      </w:r>
      <w:r>
        <w:rPr>
          <w:spacing w:val="-3"/>
        </w:rPr>
        <w:t xml:space="preserve"> </w:t>
      </w:r>
      <w:r>
        <w:t>questions</w:t>
      </w:r>
      <w:r>
        <w:rPr>
          <w:spacing w:val="-3"/>
        </w:rPr>
        <w:t xml:space="preserve"> </w:t>
      </w:r>
      <w:r>
        <w:t>of</w:t>
      </w:r>
      <w:r>
        <w:rPr>
          <w:spacing w:val="-1"/>
        </w:rPr>
        <w:t xml:space="preserve"> </w:t>
      </w:r>
      <w:r>
        <w:t>a</w:t>
      </w:r>
      <w:r>
        <w:rPr>
          <w:spacing w:val="-2"/>
        </w:rPr>
        <w:t xml:space="preserve"> </w:t>
      </w:r>
      <w:r>
        <w:t>sensitive</w:t>
      </w:r>
      <w:r>
        <w:rPr>
          <w:spacing w:val="-1"/>
        </w:rPr>
        <w:t xml:space="preserve"> </w:t>
      </w:r>
      <w:r>
        <w:rPr>
          <w:spacing w:val="-2"/>
        </w:rPr>
        <w:t>nature.</w:t>
      </w:r>
    </w:p>
    <w:p w:rsidR="003510F6" w14:paraId="3A97C2DC" w14:textId="77777777">
      <w:pPr>
        <w:sectPr>
          <w:pgSz w:w="12240" w:h="15840"/>
          <w:pgMar w:top="1640" w:right="1700" w:bottom="1260" w:left="1680" w:header="0" w:footer="1063" w:gutter="0"/>
          <w:cols w:space="720"/>
        </w:sectPr>
      </w:pPr>
    </w:p>
    <w:p w:rsidR="003510F6" w14:paraId="3A97C2DD" w14:textId="77777777">
      <w:pPr>
        <w:pStyle w:val="Heading2"/>
        <w:numPr>
          <w:ilvl w:val="1"/>
          <w:numId w:val="1"/>
        </w:numPr>
        <w:tabs>
          <w:tab w:val="left" w:pos="839"/>
          <w:tab w:val="left" w:pos="840"/>
        </w:tabs>
        <w:spacing w:before="80"/>
        <w:ind w:left="840"/>
      </w:pPr>
      <w:r>
        <w:t>Estimate</w:t>
      </w:r>
      <w:r>
        <w:rPr>
          <w:spacing w:val="-2"/>
        </w:rPr>
        <w:t xml:space="preserve"> </w:t>
      </w:r>
      <w:r>
        <w:t>of</w:t>
      </w:r>
      <w:r>
        <w:rPr>
          <w:spacing w:val="-3"/>
        </w:rPr>
        <w:t xml:space="preserve"> </w:t>
      </w:r>
      <w:r>
        <w:t>hour</w:t>
      </w:r>
      <w:r>
        <w:rPr>
          <w:spacing w:val="-3"/>
        </w:rPr>
        <w:t xml:space="preserve"> </w:t>
      </w:r>
      <w:r>
        <w:t>burden</w:t>
      </w:r>
      <w:r>
        <w:rPr>
          <w:spacing w:val="-2"/>
        </w:rPr>
        <w:t xml:space="preserve"> </w:t>
      </w:r>
      <w:r>
        <w:t>to</w:t>
      </w:r>
      <w:r>
        <w:rPr>
          <w:spacing w:val="-2"/>
        </w:rPr>
        <w:t xml:space="preserve"> respondents</w:t>
      </w:r>
    </w:p>
    <w:p w:rsidR="003510F6" w14:paraId="3A97C2DE" w14:textId="77777777">
      <w:pPr>
        <w:pStyle w:val="BodyText"/>
        <w:rPr>
          <w:b/>
          <w:i/>
        </w:rPr>
      </w:pPr>
    </w:p>
    <w:p w:rsidR="003510F6" w:rsidP="006C09D4" w14:paraId="3A97C2DF" w14:textId="511B4D20">
      <w:pPr>
        <w:pStyle w:val="BodyText"/>
        <w:ind w:left="120" w:right="184"/>
      </w:pPr>
      <w:r>
        <w:t>CPSC staff has identified 17 respondents.</w:t>
      </w:r>
      <w:r>
        <w:rPr>
          <w:spacing w:val="40"/>
        </w:rPr>
        <w:t xml:space="preserve"> </w:t>
      </w:r>
      <w:r>
        <w:t>These firms conduct performance tests and maintain records based on the test results in order to maintain</w:t>
      </w:r>
      <w:r>
        <w:rPr>
          <w:spacing w:val="-3"/>
        </w:rPr>
        <w:t xml:space="preserve"> </w:t>
      </w:r>
      <w:r>
        <w:t>UL</w:t>
      </w:r>
      <w:r>
        <w:rPr>
          <w:spacing w:val="-5"/>
        </w:rPr>
        <w:t xml:space="preserve"> </w:t>
      </w:r>
      <w:r>
        <w:t>certification</w:t>
      </w:r>
      <w:r>
        <w:rPr>
          <w:spacing w:val="-3"/>
        </w:rPr>
        <w:t xml:space="preserve"> </w:t>
      </w:r>
      <w:r>
        <w:t>and</w:t>
      </w:r>
      <w:r>
        <w:rPr>
          <w:spacing w:val="-3"/>
        </w:rPr>
        <w:t xml:space="preserve"> </w:t>
      </w:r>
      <w:r>
        <w:t>verify</w:t>
      </w:r>
      <w:r>
        <w:rPr>
          <w:spacing w:val="-6"/>
        </w:rPr>
        <w:t xml:space="preserve"> </w:t>
      </w:r>
      <w:r>
        <w:t>compliance</w:t>
      </w:r>
      <w:r>
        <w:rPr>
          <w:spacing w:val="-3"/>
        </w:rPr>
        <w:t xml:space="preserve"> </w:t>
      </w:r>
      <w:r>
        <w:t>with</w:t>
      </w:r>
      <w:r>
        <w:rPr>
          <w:spacing w:val="-3"/>
        </w:rPr>
        <w:t xml:space="preserve"> </w:t>
      </w:r>
      <w:r>
        <w:t>the</w:t>
      </w:r>
      <w:r>
        <w:rPr>
          <w:spacing w:val="-3"/>
        </w:rPr>
        <w:t xml:space="preserve"> </w:t>
      </w:r>
      <w:r>
        <w:t>rule.</w:t>
      </w:r>
      <w:r>
        <w:rPr>
          <w:spacing w:val="-3"/>
        </w:rPr>
        <w:t xml:space="preserve"> </w:t>
      </w:r>
      <w:r>
        <w:t>Staff</w:t>
      </w:r>
      <w:r>
        <w:rPr>
          <w:spacing w:val="-4"/>
        </w:rPr>
        <w:t xml:space="preserve"> </w:t>
      </w:r>
      <w:r>
        <w:t>estimates</w:t>
      </w:r>
      <w:r>
        <w:rPr>
          <w:spacing w:val="-4"/>
        </w:rPr>
        <w:t xml:space="preserve"> </w:t>
      </w:r>
      <w:r>
        <w:t xml:space="preserve">that each respondent will spend 40 hours annually (35 hours for testing and 5 hours for recordkeeping) on the collection of information related to the rule. Therefore, the total estimated burden is 680 hours (17 firms </w:t>
      </w:r>
      <w:r w:rsidR="006C09D4">
        <w:t>×</w:t>
      </w:r>
      <w:r>
        <w:t xml:space="preserve"> 40 hours).</w:t>
      </w:r>
    </w:p>
    <w:p w:rsidR="003510F6" w14:paraId="3A97C2E0" w14:textId="77777777">
      <w:pPr>
        <w:pStyle w:val="BodyText"/>
      </w:pPr>
    </w:p>
    <w:p w:rsidR="003510F6" w:rsidP="00EA5B12" w14:paraId="3A97C2E1" w14:textId="77777777">
      <w:pPr>
        <w:pStyle w:val="BodyText"/>
        <w:ind w:left="115"/>
      </w:pPr>
      <w:r>
        <w:t>The</w:t>
      </w:r>
      <w:r>
        <w:rPr>
          <w:spacing w:val="-3"/>
        </w:rPr>
        <w:t xml:space="preserve"> </w:t>
      </w:r>
      <w:r>
        <w:t>total</w:t>
      </w:r>
      <w:r>
        <w:rPr>
          <w:spacing w:val="-2"/>
        </w:rPr>
        <w:t xml:space="preserve"> </w:t>
      </w:r>
      <w:r>
        <w:t>annual</w:t>
      </w:r>
      <w:r>
        <w:rPr>
          <w:spacing w:val="-1"/>
        </w:rPr>
        <w:t xml:space="preserve"> </w:t>
      </w:r>
      <w:r>
        <w:t>cost</w:t>
      </w:r>
      <w:r>
        <w:rPr>
          <w:spacing w:val="-1"/>
        </w:rPr>
        <w:t xml:space="preserve"> </w:t>
      </w:r>
      <w:r>
        <w:t>of</w:t>
      </w:r>
      <w:r>
        <w:rPr>
          <w:spacing w:val="-1"/>
        </w:rPr>
        <w:t xml:space="preserve"> </w:t>
      </w:r>
      <w:r>
        <w:t>the</w:t>
      </w:r>
      <w:r>
        <w:rPr>
          <w:spacing w:val="-2"/>
        </w:rPr>
        <w:t xml:space="preserve"> </w:t>
      </w:r>
      <w:r>
        <w:t>testing</w:t>
      </w:r>
      <w:r>
        <w:rPr>
          <w:spacing w:val="-3"/>
        </w:rPr>
        <w:t xml:space="preserve"> </w:t>
      </w:r>
      <w:r>
        <w:t>burden is</w:t>
      </w:r>
      <w:r>
        <w:rPr>
          <w:spacing w:val="-4"/>
        </w:rPr>
        <w:t xml:space="preserve"> </w:t>
      </w:r>
      <w:r>
        <w:t>estimated</w:t>
      </w:r>
      <w:r>
        <w:rPr>
          <w:spacing w:val="-3"/>
        </w:rPr>
        <w:t xml:space="preserve"> </w:t>
      </w:r>
      <w:r>
        <w:t>to</w:t>
      </w:r>
      <w:r>
        <w:rPr>
          <w:spacing w:val="-3"/>
        </w:rPr>
        <w:t xml:space="preserve"> </w:t>
      </w:r>
      <w:r>
        <w:t>be</w:t>
      </w:r>
      <w:r>
        <w:rPr>
          <w:spacing w:val="-2"/>
        </w:rPr>
        <w:t xml:space="preserve"> about</w:t>
      </w:r>
    </w:p>
    <w:p w:rsidR="003510F6" w:rsidP="00EA5B12" w14:paraId="3A97C2E2" w14:textId="0D4F8C19">
      <w:pPr>
        <w:pStyle w:val="BodyText"/>
        <w:ind w:left="115" w:right="113"/>
      </w:pPr>
      <w:r>
        <w:t>$</w:t>
      </w:r>
      <w:r w:rsidR="00826BDC">
        <w:t>45,101</w:t>
      </w:r>
      <w:r>
        <w:t>, based on an hourly rate of $</w:t>
      </w:r>
      <w:r w:rsidR="002D6AC4">
        <w:t>75</w:t>
      </w:r>
      <w:r>
        <w:t>.8</w:t>
      </w:r>
      <w:r w:rsidR="002D6AC4">
        <w:t>0</w:t>
      </w:r>
      <w:r>
        <w:t xml:space="preserve"> as total compensation for management, professional, and related occupations in goods-producing private industries (17 firms </w:t>
      </w:r>
      <w:r w:rsidR="00A31EB8">
        <w:t>×</w:t>
      </w:r>
      <w:r>
        <w:t xml:space="preserve"> 35 hours </w:t>
      </w:r>
      <w:r w:rsidR="00A31EB8">
        <w:t>×</w:t>
      </w:r>
      <w:r>
        <w:t xml:space="preserve"> $7</w:t>
      </w:r>
      <w:r w:rsidR="004F714B">
        <w:t>5.80</w:t>
      </w:r>
      <w:r>
        <w:t>); the annual cost of recordkeeping is estimated to be about $</w:t>
      </w:r>
      <w:r w:rsidR="002658AB">
        <w:t>3,472</w:t>
      </w:r>
      <w:r>
        <w:t xml:space="preserve"> based on an hourly rate of $</w:t>
      </w:r>
      <w:r w:rsidR="004271D2">
        <w:t>40.85</w:t>
      </w:r>
      <w:r>
        <w:t xml:space="preserve"> for sales and office</w:t>
      </w:r>
      <w:r>
        <w:rPr>
          <w:spacing w:val="-1"/>
        </w:rPr>
        <w:t xml:space="preserve"> </w:t>
      </w:r>
      <w:r>
        <w:t>workers</w:t>
      </w:r>
      <w:r>
        <w:rPr>
          <w:spacing w:val="-2"/>
        </w:rPr>
        <w:t xml:space="preserve"> </w:t>
      </w:r>
      <w:r>
        <w:t>(17</w:t>
      </w:r>
      <w:r>
        <w:rPr>
          <w:spacing w:val="-3"/>
        </w:rPr>
        <w:t xml:space="preserve"> </w:t>
      </w:r>
      <w:r>
        <w:t>firms</w:t>
      </w:r>
      <w:r>
        <w:rPr>
          <w:spacing w:val="-2"/>
        </w:rPr>
        <w:t xml:space="preserve"> </w:t>
      </w:r>
      <w:r w:rsidR="00A31EB8">
        <w:t>×</w:t>
      </w:r>
      <w:r>
        <w:rPr>
          <w:spacing w:val="-4"/>
        </w:rPr>
        <w:t xml:space="preserve"> </w:t>
      </w:r>
      <w:r>
        <w:t>5</w:t>
      </w:r>
      <w:r>
        <w:rPr>
          <w:spacing w:val="-1"/>
        </w:rPr>
        <w:t xml:space="preserve"> </w:t>
      </w:r>
      <w:r>
        <w:t>hours</w:t>
      </w:r>
      <w:r>
        <w:rPr>
          <w:spacing w:val="-2"/>
        </w:rPr>
        <w:t xml:space="preserve"> </w:t>
      </w:r>
      <w:r w:rsidR="00A31EB8">
        <w:t>×</w:t>
      </w:r>
      <w:r>
        <w:rPr>
          <w:spacing w:val="-4"/>
        </w:rPr>
        <w:t xml:space="preserve"> </w:t>
      </w:r>
      <w:r>
        <w:t>$</w:t>
      </w:r>
      <w:r w:rsidR="00C76A70">
        <w:t>40.85</w:t>
      </w:r>
      <w:r w:rsidR="002658AB">
        <w:t xml:space="preserve"> = $3,472.25</w:t>
      </w:r>
      <w:r>
        <w:t>).</w:t>
      </w:r>
      <w:hyperlink w:anchor="_bookmark1" w:history="1">
        <w:r>
          <w:rPr>
            <w:position w:val="8"/>
            <w:sz w:val="16"/>
          </w:rPr>
          <w:t>2</w:t>
        </w:r>
      </w:hyperlink>
      <w:r>
        <w:rPr>
          <w:spacing w:val="80"/>
          <w:position w:val="8"/>
          <w:sz w:val="16"/>
        </w:rPr>
        <w:t xml:space="preserve"> </w:t>
      </w:r>
      <w:r>
        <w:t>Thus,</w:t>
      </w:r>
      <w:r>
        <w:rPr>
          <w:spacing w:val="-1"/>
        </w:rPr>
        <w:t xml:space="preserve"> </w:t>
      </w:r>
      <w:r>
        <w:t>the</w:t>
      </w:r>
      <w:r>
        <w:rPr>
          <w:spacing w:val="-3"/>
        </w:rPr>
        <w:t xml:space="preserve"> </w:t>
      </w:r>
      <w:r>
        <w:t>total</w:t>
      </w:r>
      <w:r>
        <w:rPr>
          <w:spacing w:val="-2"/>
        </w:rPr>
        <w:t xml:space="preserve"> </w:t>
      </w:r>
      <w:r>
        <w:t>cost</w:t>
      </w:r>
      <w:r>
        <w:rPr>
          <w:spacing w:val="-4"/>
        </w:rPr>
        <w:t xml:space="preserve"> </w:t>
      </w:r>
      <w:r>
        <w:t>associated</w:t>
      </w:r>
      <w:r>
        <w:rPr>
          <w:spacing w:val="-1"/>
        </w:rPr>
        <w:t xml:space="preserve"> </w:t>
      </w:r>
      <w:r>
        <w:t>with the testing and recordkeeping burden is about $4</w:t>
      </w:r>
      <w:r w:rsidR="00C941F4">
        <w:t>8,573</w:t>
      </w:r>
      <w:r>
        <w:t xml:space="preserve"> ($4</w:t>
      </w:r>
      <w:r w:rsidR="00034910">
        <w:t>5,101</w:t>
      </w:r>
      <w:r>
        <w:t xml:space="preserve"> + $</w:t>
      </w:r>
      <w:r w:rsidR="00034910">
        <w:t>3,472</w:t>
      </w:r>
      <w:r>
        <w:t>). This estimate includes professional and clerical time that may be spent to retrieve product data from automated or other records systems, explain firm practices/policies intended to assure compliance with the standard, or accompany Commission personnel during inspections.</w:t>
      </w:r>
    </w:p>
    <w:p w:rsidR="003510F6" w14:paraId="3A97C2E3" w14:textId="77777777">
      <w:pPr>
        <w:pStyle w:val="BodyText"/>
        <w:spacing w:before="7"/>
        <w:rPr>
          <w:sz w:val="23"/>
        </w:rPr>
      </w:pPr>
    </w:p>
    <w:p w:rsidR="003510F6" w14:paraId="3A97C2E4" w14:textId="77777777">
      <w:pPr>
        <w:pStyle w:val="Heading2"/>
        <w:numPr>
          <w:ilvl w:val="1"/>
          <w:numId w:val="1"/>
        </w:numPr>
        <w:tabs>
          <w:tab w:val="left" w:pos="907"/>
          <w:tab w:val="left" w:pos="908"/>
        </w:tabs>
        <w:ind w:right="894" w:firstLine="0"/>
      </w:pPr>
      <w:r>
        <w:t>Estimates</w:t>
      </w:r>
      <w:r>
        <w:rPr>
          <w:spacing w:val="-3"/>
        </w:rPr>
        <w:t xml:space="preserve"> </w:t>
      </w:r>
      <w:r>
        <w:t>of</w:t>
      </w:r>
      <w:r>
        <w:rPr>
          <w:spacing w:val="-5"/>
        </w:rPr>
        <w:t xml:space="preserve"> </w:t>
      </w:r>
      <w:r>
        <w:t>other</w:t>
      </w:r>
      <w:r>
        <w:rPr>
          <w:spacing w:val="-4"/>
        </w:rPr>
        <w:t xml:space="preserve"> </w:t>
      </w:r>
      <w:r>
        <w:t>total</w:t>
      </w:r>
      <w:r>
        <w:rPr>
          <w:spacing w:val="-3"/>
        </w:rPr>
        <w:t xml:space="preserve"> </w:t>
      </w:r>
      <w:r>
        <w:t>annual</w:t>
      </w:r>
      <w:r>
        <w:rPr>
          <w:spacing w:val="-6"/>
        </w:rPr>
        <w:t xml:space="preserve"> </w:t>
      </w:r>
      <w:r>
        <w:t>cost</w:t>
      </w:r>
      <w:r>
        <w:rPr>
          <w:spacing w:val="-5"/>
        </w:rPr>
        <w:t xml:space="preserve"> </w:t>
      </w:r>
      <w:r>
        <w:t>burden</w:t>
      </w:r>
      <w:r>
        <w:rPr>
          <w:spacing w:val="-4"/>
        </w:rPr>
        <w:t xml:space="preserve"> </w:t>
      </w:r>
      <w:r>
        <w:t>to</w:t>
      </w:r>
      <w:r>
        <w:rPr>
          <w:spacing w:val="-4"/>
        </w:rPr>
        <w:t xml:space="preserve"> </w:t>
      </w:r>
      <w:r>
        <w:t>respondents</w:t>
      </w:r>
      <w:r>
        <w:rPr>
          <w:spacing w:val="-3"/>
        </w:rPr>
        <w:t xml:space="preserve"> </w:t>
      </w:r>
      <w:r>
        <w:t xml:space="preserve">or </w:t>
      </w:r>
      <w:r>
        <w:rPr>
          <w:spacing w:val="-2"/>
        </w:rPr>
        <w:t>recordkeepers</w:t>
      </w:r>
    </w:p>
    <w:p w:rsidR="003510F6" w14:paraId="3A97C2E5" w14:textId="77777777">
      <w:pPr>
        <w:pStyle w:val="BodyText"/>
        <w:rPr>
          <w:b/>
          <w:i/>
        </w:rPr>
      </w:pPr>
    </w:p>
    <w:p w:rsidR="003510F6" w:rsidP="00C941F4" w14:paraId="3A97C2E6" w14:textId="77777777">
      <w:pPr>
        <w:pStyle w:val="BodyText"/>
        <w:ind w:left="115"/>
      </w:pPr>
      <w:r>
        <w:t>There</w:t>
      </w:r>
      <w:r>
        <w:rPr>
          <w:spacing w:val="-3"/>
        </w:rPr>
        <w:t xml:space="preserve"> </w:t>
      </w:r>
      <w:r>
        <w:t>are</w:t>
      </w:r>
      <w:r>
        <w:rPr>
          <w:spacing w:val="-4"/>
        </w:rPr>
        <w:t xml:space="preserve"> </w:t>
      </w:r>
      <w:r>
        <w:t>no</w:t>
      </w:r>
      <w:r>
        <w:rPr>
          <w:spacing w:val="-4"/>
        </w:rPr>
        <w:t xml:space="preserve"> </w:t>
      </w:r>
      <w:r>
        <w:t>costs</w:t>
      </w:r>
      <w:r>
        <w:rPr>
          <w:spacing w:val="-5"/>
        </w:rPr>
        <w:t xml:space="preserve"> </w:t>
      </w:r>
      <w:r>
        <w:t>to</w:t>
      </w:r>
      <w:r>
        <w:rPr>
          <w:spacing w:val="-2"/>
        </w:rPr>
        <w:t xml:space="preserve"> </w:t>
      </w:r>
      <w:r>
        <w:t>respondents</w:t>
      </w:r>
      <w:r>
        <w:rPr>
          <w:spacing w:val="-3"/>
        </w:rPr>
        <w:t xml:space="preserve"> </w:t>
      </w:r>
      <w:r>
        <w:t>beyond</w:t>
      </w:r>
      <w:r>
        <w:rPr>
          <w:spacing w:val="-2"/>
        </w:rPr>
        <w:t xml:space="preserve"> </w:t>
      </w:r>
      <w:r>
        <w:t>those</w:t>
      </w:r>
      <w:r>
        <w:rPr>
          <w:spacing w:val="-2"/>
        </w:rPr>
        <w:t xml:space="preserve"> </w:t>
      </w:r>
      <w:r>
        <w:t>presented</w:t>
      </w:r>
      <w:r>
        <w:rPr>
          <w:spacing w:val="-2"/>
        </w:rPr>
        <w:t xml:space="preserve"> </w:t>
      </w:r>
      <w:r>
        <w:t>in</w:t>
      </w:r>
      <w:r>
        <w:rPr>
          <w:spacing w:val="-1"/>
        </w:rPr>
        <w:t xml:space="preserve"> </w:t>
      </w:r>
      <w:r>
        <w:rPr>
          <w:spacing w:val="-2"/>
        </w:rPr>
        <w:t>Section</w:t>
      </w:r>
    </w:p>
    <w:p w:rsidR="003510F6" w14:paraId="3A97C2E7" w14:textId="77777777">
      <w:pPr>
        <w:pStyle w:val="BodyText"/>
        <w:ind w:left="120"/>
      </w:pPr>
      <w:r>
        <w:t>A.12.</w:t>
      </w:r>
      <w:r>
        <w:rPr>
          <w:spacing w:val="-7"/>
        </w:rPr>
        <w:t xml:space="preserve"> </w:t>
      </w:r>
      <w:r>
        <w:t>There</w:t>
      </w:r>
      <w:r>
        <w:rPr>
          <w:spacing w:val="-4"/>
        </w:rPr>
        <w:t xml:space="preserve"> </w:t>
      </w:r>
      <w:r>
        <w:t>are</w:t>
      </w:r>
      <w:r>
        <w:rPr>
          <w:spacing w:val="-4"/>
        </w:rPr>
        <w:t xml:space="preserve"> </w:t>
      </w:r>
      <w:r>
        <w:t>no</w:t>
      </w:r>
      <w:r>
        <w:rPr>
          <w:spacing w:val="-4"/>
        </w:rPr>
        <w:t xml:space="preserve"> </w:t>
      </w:r>
      <w:r>
        <w:t>other</w:t>
      </w:r>
      <w:r>
        <w:rPr>
          <w:spacing w:val="-3"/>
        </w:rPr>
        <w:t xml:space="preserve"> </w:t>
      </w:r>
      <w:r>
        <w:t>operating,</w:t>
      </w:r>
      <w:r>
        <w:rPr>
          <w:spacing w:val="-2"/>
        </w:rPr>
        <w:t xml:space="preserve"> </w:t>
      </w:r>
      <w:r>
        <w:t>maintenance,</w:t>
      </w:r>
      <w:r>
        <w:rPr>
          <w:spacing w:val="-5"/>
        </w:rPr>
        <w:t xml:space="preserve"> </w:t>
      </w:r>
      <w:r>
        <w:t>or</w:t>
      </w:r>
      <w:r>
        <w:rPr>
          <w:spacing w:val="-4"/>
        </w:rPr>
        <w:t xml:space="preserve"> </w:t>
      </w:r>
      <w:r>
        <w:t>capital</w:t>
      </w:r>
      <w:r>
        <w:rPr>
          <w:spacing w:val="-3"/>
        </w:rPr>
        <w:t xml:space="preserve"> </w:t>
      </w:r>
      <w:r>
        <w:t>costs</w:t>
      </w:r>
      <w:r>
        <w:rPr>
          <w:spacing w:val="-5"/>
        </w:rPr>
        <w:t xml:space="preserve"> </w:t>
      </w:r>
      <w:r>
        <w:t>associated</w:t>
      </w:r>
      <w:r>
        <w:rPr>
          <w:spacing w:val="-2"/>
        </w:rPr>
        <w:t xml:space="preserve"> </w:t>
      </w:r>
      <w:r>
        <w:t>with the collection.</w:t>
      </w:r>
    </w:p>
    <w:p w:rsidR="003510F6" w14:paraId="3A97C2E8" w14:textId="77777777">
      <w:pPr>
        <w:pStyle w:val="BodyText"/>
      </w:pPr>
    </w:p>
    <w:p w:rsidR="003510F6" w14:paraId="3A97C2E9" w14:textId="77777777">
      <w:pPr>
        <w:pStyle w:val="Heading2"/>
        <w:numPr>
          <w:ilvl w:val="1"/>
          <w:numId w:val="1"/>
        </w:numPr>
        <w:tabs>
          <w:tab w:val="left" w:pos="839"/>
          <w:tab w:val="left" w:pos="840"/>
        </w:tabs>
        <w:ind w:left="840"/>
      </w:pPr>
      <w:r>
        <w:t>Estimate</w:t>
      </w:r>
      <w:r>
        <w:rPr>
          <w:spacing w:val="-4"/>
        </w:rPr>
        <w:t xml:space="preserve"> </w:t>
      </w:r>
      <w:r>
        <w:t>of</w:t>
      </w:r>
      <w:r>
        <w:rPr>
          <w:spacing w:val="-5"/>
        </w:rPr>
        <w:t xml:space="preserve"> </w:t>
      </w:r>
      <w:r>
        <w:t>annualized</w:t>
      </w:r>
      <w:r>
        <w:rPr>
          <w:spacing w:val="-3"/>
        </w:rPr>
        <w:t xml:space="preserve"> </w:t>
      </w:r>
      <w:r>
        <w:t>costs</w:t>
      </w:r>
      <w:r>
        <w:rPr>
          <w:spacing w:val="-1"/>
        </w:rPr>
        <w:t xml:space="preserve"> </w:t>
      </w:r>
      <w:r>
        <w:t>to</w:t>
      </w:r>
      <w:r>
        <w:rPr>
          <w:spacing w:val="-3"/>
        </w:rPr>
        <w:t xml:space="preserve"> </w:t>
      </w:r>
      <w:r>
        <w:t>the</w:t>
      </w:r>
      <w:r>
        <w:rPr>
          <w:spacing w:val="-1"/>
        </w:rPr>
        <w:t xml:space="preserve"> </w:t>
      </w:r>
      <w:r>
        <w:t>federal</w:t>
      </w:r>
      <w:r>
        <w:rPr>
          <w:spacing w:val="-4"/>
        </w:rPr>
        <w:t xml:space="preserve"> </w:t>
      </w:r>
      <w:r>
        <w:rPr>
          <w:spacing w:val="-2"/>
        </w:rPr>
        <w:t>government</w:t>
      </w:r>
    </w:p>
    <w:p w:rsidR="003510F6" w14:paraId="3A97C2EA" w14:textId="77777777">
      <w:pPr>
        <w:pStyle w:val="BodyText"/>
        <w:rPr>
          <w:b/>
          <w:i/>
        </w:rPr>
      </w:pPr>
    </w:p>
    <w:p w:rsidR="003510F6" w:rsidP="00317BB5" w14:paraId="3A97C2EC" w14:textId="2329A499">
      <w:pPr>
        <w:pStyle w:val="BodyText"/>
        <w:ind w:left="119" w:right="184"/>
      </w:pPr>
      <w:r>
        <w:t>Approximately 1.5 staff months for agency employees to examine and evaluate the information could be required for compliance activities. The estimated</w:t>
      </w:r>
      <w:r>
        <w:rPr>
          <w:spacing w:val="-4"/>
        </w:rPr>
        <w:t xml:space="preserve"> </w:t>
      </w:r>
      <w:r>
        <w:t>annual</w:t>
      </w:r>
      <w:r>
        <w:rPr>
          <w:spacing w:val="-3"/>
        </w:rPr>
        <w:t xml:space="preserve"> </w:t>
      </w:r>
      <w:r>
        <w:t>cost</w:t>
      </w:r>
      <w:r>
        <w:rPr>
          <w:spacing w:val="-5"/>
        </w:rPr>
        <w:t xml:space="preserve"> </w:t>
      </w:r>
      <w:r>
        <w:t>to</w:t>
      </w:r>
      <w:r>
        <w:rPr>
          <w:spacing w:val="-2"/>
        </w:rPr>
        <w:t xml:space="preserve"> </w:t>
      </w:r>
      <w:r>
        <w:t>the</w:t>
      </w:r>
      <w:r>
        <w:rPr>
          <w:spacing w:val="-4"/>
        </w:rPr>
        <w:t xml:space="preserve"> </w:t>
      </w:r>
      <w:r>
        <w:t>federal</w:t>
      </w:r>
      <w:r>
        <w:rPr>
          <w:spacing w:val="-3"/>
        </w:rPr>
        <w:t xml:space="preserve"> </w:t>
      </w:r>
      <w:r>
        <w:t>government</w:t>
      </w:r>
      <w:r>
        <w:rPr>
          <w:spacing w:val="-3"/>
        </w:rPr>
        <w:t xml:space="preserve"> </w:t>
      </w:r>
      <w:r>
        <w:t>is</w:t>
      </w:r>
      <w:r>
        <w:rPr>
          <w:spacing w:val="-5"/>
        </w:rPr>
        <w:t xml:space="preserve"> </w:t>
      </w:r>
      <w:r>
        <w:t>based</w:t>
      </w:r>
      <w:r>
        <w:rPr>
          <w:spacing w:val="-2"/>
        </w:rPr>
        <w:t xml:space="preserve"> </w:t>
      </w:r>
      <w:r>
        <w:t>on</w:t>
      </w:r>
      <w:r>
        <w:rPr>
          <w:spacing w:val="-2"/>
        </w:rPr>
        <w:t xml:space="preserve"> </w:t>
      </w:r>
      <w:r>
        <w:t>performance</w:t>
      </w:r>
      <w:r>
        <w:rPr>
          <w:spacing w:val="-2"/>
        </w:rPr>
        <w:t xml:space="preserve"> </w:t>
      </w:r>
      <w:r>
        <w:t>of</w:t>
      </w:r>
      <w:r>
        <w:rPr>
          <w:spacing w:val="-2"/>
        </w:rPr>
        <w:t xml:space="preserve"> </w:t>
      </w:r>
      <w:r>
        <w:t>the work by employees paid at a GS-12 Step 5 pay rate employee, $</w:t>
      </w:r>
      <w:r w:rsidR="00680019">
        <w:t>114</w:t>
      </w:r>
      <w:r w:rsidR="00317BB5">
        <w:t>,923</w:t>
      </w:r>
      <w:r>
        <w:t>.</w:t>
      </w:r>
      <w:r w:rsidR="00317BB5">
        <w:t xml:space="preserve"> </w:t>
      </w:r>
      <w:r>
        <w:t>According to the most recent Employer Costs for Employee Compensation, this represents approximately 6</w:t>
      </w:r>
      <w:r w:rsidR="00F848D4">
        <w:t>7.</w:t>
      </w:r>
      <w:r w:rsidR="00C34733">
        <w:t>8</w:t>
      </w:r>
      <w:r>
        <w:t xml:space="preserve"> percent of total compensation for management, professional</w:t>
      </w:r>
      <w:r>
        <w:rPr>
          <w:spacing w:val="-3"/>
        </w:rPr>
        <w:t xml:space="preserve"> </w:t>
      </w:r>
      <w:r>
        <w:t>and</w:t>
      </w:r>
      <w:r>
        <w:rPr>
          <w:spacing w:val="-3"/>
        </w:rPr>
        <w:t xml:space="preserve"> </w:t>
      </w:r>
      <w:r>
        <w:t>related</w:t>
      </w:r>
      <w:r>
        <w:rPr>
          <w:spacing w:val="-3"/>
        </w:rPr>
        <w:t xml:space="preserve"> </w:t>
      </w:r>
      <w:r>
        <w:t>occupational</w:t>
      </w:r>
      <w:r>
        <w:rPr>
          <w:spacing w:val="-3"/>
        </w:rPr>
        <w:t xml:space="preserve"> </w:t>
      </w:r>
      <w:r>
        <w:t>groups.</w:t>
      </w:r>
      <w:hyperlink w:anchor="_bookmark2" w:history="1">
        <w:r>
          <w:rPr>
            <w:position w:val="8"/>
            <w:sz w:val="16"/>
          </w:rPr>
          <w:t>3</w:t>
        </w:r>
      </w:hyperlink>
      <w:r>
        <w:rPr>
          <w:spacing w:val="19"/>
          <w:position w:val="8"/>
          <w:sz w:val="16"/>
        </w:rPr>
        <w:t xml:space="preserve"> </w:t>
      </w:r>
      <w:r>
        <w:t>Therefore,</w:t>
      </w:r>
      <w:r>
        <w:rPr>
          <w:spacing w:val="-3"/>
        </w:rPr>
        <w:t xml:space="preserve"> </w:t>
      </w:r>
      <w:r>
        <w:t>total</w:t>
      </w:r>
      <w:r>
        <w:rPr>
          <w:spacing w:val="-4"/>
        </w:rPr>
        <w:t xml:space="preserve"> </w:t>
      </w:r>
      <w:r>
        <w:t>compensation</w:t>
      </w:r>
      <w:r>
        <w:rPr>
          <w:spacing w:val="-4"/>
        </w:rPr>
        <w:t xml:space="preserve"> </w:t>
      </w:r>
      <w:r>
        <w:t>for an employee at the GS-12 Step 5 pay rate will have an annual value of about</w:t>
      </w:r>
    </w:p>
    <w:p w:rsidR="003510F6" w14:paraId="3A97C2ED" w14:textId="271EAC7B">
      <w:pPr>
        <w:pStyle w:val="BodyText"/>
        <w:spacing w:before="4"/>
        <w:ind w:left="120" w:right="184"/>
      </w:pPr>
      <w:r>
        <w:t>$1</w:t>
      </w:r>
      <w:r w:rsidR="00C12374">
        <w:t>69,503</w:t>
      </w:r>
      <w:r>
        <w:t xml:space="preserve"> (or</w:t>
      </w:r>
      <w:r w:rsidR="00F96378">
        <w:t xml:space="preserve"> approximately</w:t>
      </w:r>
      <w:r>
        <w:t xml:space="preserve"> $1</w:t>
      </w:r>
      <w:r w:rsidR="00F96378">
        <w:t>4</w:t>
      </w:r>
      <w:r>
        <w:t>,</w:t>
      </w:r>
      <w:r w:rsidR="00F96378">
        <w:t>125</w:t>
      </w:r>
      <w:r>
        <w:t xml:space="preserve"> per month). The annual cost to the federal government of the</w:t>
      </w:r>
      <w:r>
        <w:rPr>
          <w:spacing w:val="-2"/>
        </w:rPr>
        <w:t xml:space="preserve"> </w:t>
      </w:r>
      <w:r>
        <w:t>collection</w:t>
      </w:r>
      <w:r>
        <w:rPr>
          <w:spacing w:val="-4"/>
        </w:rPr>
        <w:t xml:space="preserve"> </w:t>
      </w:r>
      <w:r>
        <w:t>of information</w:t>
      </w:r>
      <w:r>
        <w:rPr>
          <w:spacing w:val="-2"/>
        </w:rPr>
        <w:t xml:space="preserve"> </w:t>
      </w:r>
      <w:r>
        <w:t>is</w:t>
      </w:r>
      <w:r>
        <w:rPr>
          <w:spacing w:val="-5"/>
        </w:rPr>
        <w:t xml:space="preserve"> </w:t>
      </w:r>
      <w:r>
        <w:t>therefore</w:t>
      </w:r>
      <w:r>
        <w:rPr>
          <w:spacing w:val="-4"/>
        </w:rPr>
        <w:t xml:space="preserve"> </w:t>
      </w:r>
      <w:r>
        <w:t>estimated</w:t>
      </w:r>
      <w:r>
        <w:rPr>
          <w:spacing w:val="-4"/>
        </w:rPr>
        <w:t xml:space="preserve"> </w:t>
      </w:r>
      <w:r>
        <w:t>to</w:t>
      </w:r>
      <w:r>
        <w:rPr>
          <w:spacing w:val="-4"/>
        </w:rPr>
        <w:t xml:space="preserve"> </w:t>
      </w:r>
      <w:r>
        <w:t>be</w:t>
      </w:r>
      <w:r>
        <w:rPr>
          <w:spacing w:val="-4"/>
        </w:rPr>
        <w:t xml:space="preserve"> </w:t>
      </w:r>
      <w:r>
        <w:t>about</w:t>
      </w:r>
      <w:r>
        <w:rPr>
          <w:spacing w:val="-5"/>
        </w:rPr>
        <w:t xml:space="preserve"> </w:t>
      </w:r>
      <w:r>
        <w:t>$</w:t>
      </w:r>
      <w:r w:rsidR="007F49EF">
        <w:t>21,188</w:t>
      </w:r>
      <w:r>
        <w:rPr>
          <w:spacing w:val="-1"/>
        </w:rPr>
        <w:t xml:space="preserve"> </w:t>
      </w:r>
      <w:r>
        <w:t>($</w:t>
      </w:r>
      <w:r w:rsidR="007F49EF">
        <w:t>14,125</w:t>
      </w:r>
      <w:r>
        <w:t xml:space="preserve"> </w:t>
      </w:r>
      <w:r w:rsidR="007F49EF">
        <w:t xml:space="preserve">× </w:t>
      </w:r>
      <w:r>
        <w:t>1.5 months</w:t>
      </w:r>
      <w:r w:rsidR="007F49EF">
        <w:t xml:space="preserve"> = $21,187.50</w:t>
      </w:r>
      <w:r>
        <w:t>).</w:t>
      </w:r>
    </w:p>
    <w:p w:rsidR="003510F6" w14:paraId="3A97C2EE" w14:textId="77777777">
      <w:pPr>
        <w:pStyle w:val="BodyText"/>
        <w:rPr>
          <w:sz w:val="20"/>
        </w:rPr>
      </w:pPr>
    </w:p>
    <w:p w:rsidR="003510F6" w14:paraId="3A97C2EF" w14:textId="4BC2FCC5">
      <w:pPr>
        <w:pStyle w:val="BodyText"/>
        <w:spacing w:before="9"/>
        <w:rPr>
          <w:sz w:val="10"/>
        </w:rPr>
      </w:pPr>
      <w:r>
        <w:rPr>
          <w:noProof/>
        </w:rPr>
        <mc:AlternateContent>
          <mc:Choice Requires="wps">
            <w:drawing>
              <wp:anchor distT="0" distB="0" distL="0" distR="0" simplePos="0" relativeHeight="251658240" behindDoc="1" locked="0" layoutInCell="1" allowOverlap="1">
                <wp:simplePos x="0" y="0"/>
                <wp:positionH relativeFrom="page">
                  <wp:posOffset>1143000</wp:posOffset>
                </wp:positionH>
                <wp:positionV relativeFrom="paragraph">
                  <wp:posOffset>94615</wp:posOffset>
                </wp:positionV>
                <wp:extent cx="1828800" cy="7620"/>
                <wp:effectExtent l="0" t="0" r="0" b="0"/>
                <wp:wrapTopAndBottom/>
                <wp:docPr id="597475801"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5" style="width:2in;height:0.6pt;margin-top:7.45pt;margin-left:90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3510F6" w14:paraId="3A97C2F0" w14:textId="40DAC614">
      <w:pPr>
        <w:spacing w:before="100"/>
        <w:ind w:left="119" w:right="184"/>
        <w:rPr>
          <w:sz w:val="20"/>
        </w:rPr>
      </w:pPr>
      <w:bookmarkStart w:id="0" w:name="_bookmark1"/>
      <w:bookmarkEnd w:id="0"/>
      <w:r>
        <w:rPr>
          <w:position w:val="6"/>
          <w:sz w:val="13"/>
        </w:rPr>
        <w:t>2</w:t>
      </w:r>
      <w:r>
        <w:rPr>
          <w:spacing w:val="14"/>
          <w:position w:val="6"/>
          <w:sz w:val="13"/>
        </w:rPr>
        <w:t xml:space="preserve"> </w:t>
      </w:r>
      <w:r>
        <w:rPr>
          <w:sz w:val="20"/>
        </w:rPr>
        <w:t>U.S.</w:t>
      </w:r>
      <w:r>
        <w:rPr>
          <w:spacing w:val="-4"/>
          <w:sz w:val="20"/>
        </w:rPr>
        <w:t xml:space="preserve"> </w:t>
      </w:r>
      <w:r>
        <w:rPr>
          <w:sz w:val="20"/>
        </w:rPr>
        <w:t>Bureau</w:t>
      </w:r>
      <w:r>
        <w:rPr>
          <w:spacing w:val="-4"/>
          <w:sz w:val="20"/>
        </w:rPr>
        <w:t xml:space="preserve"> </w:t>
      </w:r>
      <w:r>
        <w:rPr>
          <w:sz w:val="20"/>
        </w:rPr>
        <w:t>of</w:t>
      </w:r>
      <w:r>
        <w:rPr>
          <w:spacing w:val="-4"/>
          <w:sz w:val="20"/>
        </w:rPr>
        <w:t xml:space="preserve"> </w:t>
      </w:r>
      <w:r>
        <w:rPr>
          <w:sz w:val="20"/>
        </w:rPr>
        <w:t>Labor</w:t>
      </w:r>
      <w:r>
        <w:rPr>
          <w:spacing w:val="-3"/>
          <w:sz w:val="20"/>
        </w:rPr>
        <w:t xml:space="preserve"> </w:t>
      </w:r>
      <w:r>
        <w:rPr>
          <w:sz w:val="20"/>
        </w:rPr>
        <w:t>Statistics,</w:t>
      </w:r>
      <w:r>
        <w:rPr>
          <w:spacing w:val="-5"/>
          <w:sz w:val="20"/>
        </w:rPr>
        <w:t xml:space="preserve"> </w:t>
      </w:r>
      <w:r>
        <w:rPr>
          <w:sz w:val="20"/>
        </w:rPr>
        <w:t>“Employer</w:t>
      </w:r>
      <w:r>
        <w:rPr>
          <w:spacing w:val="-4"/>
          <w:sz w:val="20"/>
        </w:rPr>
        <w:t xml:space="preserve"> </w:t>
      </w:r>
      <w:r>
        <w:rPr>
          <w:sz w:val="20"/>
        </w:rPr>
        <w:t>Costs</w:t>
      </w:r>
      <w:r>
        <w:rPr>
          <w:spacing w:val="-4"/>
          <w:sz w:val="20"/>
        </w:rPr>
        <w:t xml:space="preserve"> </w:t>
      </w:r>
      <w:r>
        <w:rPr>
          <w:sz w:val="20"/>
        </w:rPr>
        <w:t>for</w:t>
      </w:r>
      <w:r>
        <w:rPr>
          <w:spacing w:val="-4"/>
          <w:sz w:val="20"/>
        </w:rPr>
        <w:t xml:space="preserve"> </w:t>
      </w:r>
      <w:r>
        <w:rPr>
          <w:sz w:val="20"/>
        </w:rPr>
        <w:t>Employee</w:t>
      </w:r>
      <w:r>
        <w:rPr>
          <w:spacing w:val="-5"/>
          <w:sz w:val="20"/>
        </w:rPr>
        <w:t xml:space="preserve"> </w:t>
      </w:r>
      <w:r>
        <w:rPr>
          <w:sz w:val="20"/>
        </w:rPr>
        <w:t>Compensation,”</w:t>
      </w:r>
      <w:r>
        <w:rPr>
          <w:spacing w:val="-3"/>
          <w:sz w:val="20"/>
        </w:rPr>
        <w:t xml:space="preserve"> </w:t>
      </w:r>
      <w:r w:rsidR="00BF4F9F">
        <w:rPr>
          <w:sz w:val="20"/>
        </w:rPr>
        <w:t>December 2024</w:t>
      </w:r>
      <w:r>
        <w:rPr>
          <w:sz w:val="20"/>
        </w:rPr>
        <w:t xml:space="preserve">, Table 4. Private industry workers by occupational and industry group: </w:t>
      </w:r>
      <w:r w:rsidRPr="004A6FB1" w:rsidR="004A6FB1">
        <w:rPr>
          <w:spacing w:val="-2"/>
          <w:sz w:val="20"/>
        </w:rPr>
        <w:t>https://www.bls.gov/news.release/archives/ecec_03142025.pdf</w:t>
      </w:r>
    </w:p>
    <w:p w:rsidR="003510F6" w14:paraId="3A97C2F1" w14:textId="1C4110E1">
      <w:pPr>
        <w:spacing w:before="1"/>
        <w:ind w:left="120" w:right="184" w:hanging="1"/>
        <w:rPr>
          <w:sz w:val="20"/>
        </w:rPr>
      </w:pPr>
      <w:bookmarkStart w:id="1" w:name="_bookmark2"/>
      <w:bookmarkEnd w:id="1"/>
      <w:r>
        <w:rPr>
          <w:rFonts w:ascii="Times New Roman" w:hAnsi="Times New Roman"/>
          <w:sz w:val="20"/>
          <w:vertAlign w:val="superscript"/>
        </w:rPr>
        <w:t>3</w:t>
      </w:r>
      <w:r>
        <w:rPr>
          <w:rFonts w:ascii="Times New Roman" w:hAnsi="Times New Roman"/>
          <w:spacing w:val="-4"/>
          <w:sz w:val="20"/>
        </w:rPr>
        <w:t xml:space="preserve"> </w:t>
      </w:r>
      <w:r>
        <w:rPr>
          <w:sz w:val="20"/>
        </w:rPr>
        <w:t>U.S.</w:t>
      </w:r>
      <w:r>
        <w:rPr>
          <w:spacing w:val="-3"/>
          <w:sz w:val="20"/>
        </w:rPr>
        <w:t xml:space="preserve"> </w:t>
      </w:r>
      <w:r>
        <w:rPr>
          <w:sz w:val="20"/>
        </w:rPr>
        <w:t>Bureau</w:t>
      </w:r>
      <w:r>
        <w:rPr>
          <w:spacing w:val="-5"/>
          <w:sz w:val="20"/>
        </w:rPr>
        <w:t xml:space="preserve"> </w:t>
      </w:r>
      <w:r>
        <w:rPr>
          <w:sz w:val="20"/>
        </w:rPr>
        <w:t>of</w:t>
      </w:r>
      <w:r>
        <w:rPr>
          <w:spacing w:val="-3"/>
          <w:sz w:val="20"/>
        </w:rPr>
        <w:t xml:space="preserve"> </w:t>
      </w:r>
      <w:r>
        <w:rPr>
          <w:sz w:val="20"/>
        </w:rPr>
        <w:t>Labor</w:t>
      </w:r>
      <w:r>
        <w:rPr>
          <w:spacing w:val="-2"/>
          <w:sz w:val="20"/>
        </w:rPr>
        <w:t xml:space="preserve"> </w:t>
      </w:r>
      <w:r>
        <w:rPr>
          <w:sz w:val="20"/>
        </w:rPr>
        <w:t>Statistics,</w:t>
      </w:r>
      <w:r>
        <w:rPr>
          <w:spacing w:val="-5"/>
          <w:sz w:val="20"/>
        </w:rPr>
        <w:t xml:space="preserve"> </w:t>
      </w:r>
      <w:r>
        <w:rPr>
          <w:sz w:val="20"/>
        </w:rPr>
        <w:t>“Employer</w:t>
      </w:r>
      <w:r>
        <w:rPr>
          <w:spacing w:val="-4"/>
          <w:sz w:val="20"/>
        </w:rPr>
        <w:t xml:space="preserve"> </w:t>
      </w:r>
      <w:r>
        <w:rPr>
          <w:sz w:val="20"/>
        </w:rPr>
        <w:t>Costs</w:t>
      </w:r>
      <w:r>
        <w:rPr>
          <w:spacing w:val="-4"/>
          <w:sz w:val="20"/>
        </w:rPr>
        <w:t xml:space="preserve"> </w:t>
      </w:r>
      <w:r>
        <w:rPr>
          <w:sz w:val="20"/>
        </w:rPr>
        <w:t>for</w:t>
      </w:r>
      <w:r>
        <w:rPr>
          <w:spacing w:val="-4"/>
          <w:sz w:val="20"/>
        </w:rPr>
        <w:t xml:space="preserve"> </w:t>
      </w:r>
      <w:r>
        <w:rPr>
          <w:sz w:val="20"/>
        </w:rPr>
        <w:t>Employee</w:t>
      </w:r>
      <w:r>
        <w:rPr>
          <w:spacing w:val="-5"/>
          <w:sz w:val="20"/>
        </w:rPr>
        <w:t xml:space="preserve"> </w:t>
      </w:r>
      <w:r>
        <w:rPr>
          <w:sz w:val="20"/>
        </w:rPr>
        <w:t>Compensation,”</w:t>
      </w:r>
      <w:r>
        <w:rPr>
          <w:spacing w:val="-2"/>
          <w:sz w:val="20"/>
        </w:rPr>
        <w:t xml:space="preserve"> </w:t>
      </w:r>
      <w:r w:rsidR="00BF4F9F">
        <w:rPr>
          <w:sz w:val="20"/>
        </w:rPr>
        <w:t xml:space="preserve">December </w:t>
      </w:r>
      <w:r w:rsidR="00783723">
        <w:rPr>
          <w:sz w:val="20"/>
        </w:rPr>
        <w:t>2024</w:t>
      </w:r>
      <w:r>
        <w:rPr>
          <w:sz w:val="20"/>
        </w:rPr>
        <w:t xml:space="preserve">, Table 2, </w:t>
      </w:r>
      <w:r w:rsidRPr="00783723" w:rsidR="00783723">
        <w:rPr>
          <w:sz w:val="20"/>
        </w:rPr>
        <w:t>https://www.bls.gov/news.release/archives/ecec_03142025.pdf</w:t>
      </w:r>
    </w:p>
    <w:p w:rsidR="003510F6" w14:paraId="3A97C2F2" w14:textId="77777777">
      <w:pPr>
        <w:rPr>
          <w:sz w:val="20"/>
        </w:rPr>
        <w:sectPr>
          <w:pgSz w:w="12240" w:h="15840"/>
          <w:pgMar w:top="1360" w:right="1700" w:bottom="1260" w:left="1680" w:header="0" w:footer="1063" w:gutter="0"/>
          <w:cols w:space="720"/>
        </w:sectPr>
      </w:pPr>
    </w:p>
    <w:p w:rsidR="003510F6" w14:paraId="3A97C2F3" w14:textId="77777777">
      <w:pPr>
        <w:pStyle w:val="Heading2"/>
        <w:numPr>
          <w:ilvl w:val="1"/>
          <w:numId w:val="1"/>
        </w:numPr>
        <w:tabs>
          <w:tab w:val="left" w:pos="839"/>
          <w:tab w:val="left" w:pos="840"/>
        </w:tabs>
        <w:spacing w:before="76"/>
        <w:ind w:left="840"/>
      </w:pPr>
      <w:r>
        <w:t>Program</w:t>
      </w:r>
      <w:r>
        <w:rPr>
          <w:spacing w:val="-3"/>
        </w:rPr>
        <w:t xml:space="preserve"> </w:t>
      </w:r>
      <w:r>
        <w:t>changes</w:t>
      </w:r>
      <w:r>
        <w:rPr>
          <w:spacing w:val="-1"/>
        </w:rPr>
        <w:t xml:space="preserve"> </w:t>
      </w:r>
      <w:r>
        <w:t>or</w:t>
      </w:r>
      <w:r>
        <w:rPr>
          <w:spacing w:val="-6"/>
        </w:rPr>
        <w:t xml:space="preserve"> </w:t>
      </w:r>
      <w:r>
        <w:rPr>
          <w:spacing w:val="-2"/>
        </w:rPr>
        <w:t>adjustments</w:t>
      </w:r>
    </w:p>
    <w:p w:rsidR="003510F6" w14:paraId="3A97C2F4" w14:textId="77777777">
      <w:pPr>
        <w:pStyle w:val="BodyText"/>
        <w:rPr>
          <w:b/>
          <w:i/>
        </w:rPr>
      </w:pPr>
    </w:p>
    <w:p w:rsidR="003510F6" w:rsidP="0031095A" w14:paraId="3A97C2F5" w14:textId="77777777">
      <w:pPr>
        <w:pStyle w:val="BodyText"/>
        <w:ind w:left="120" w:right="184"/>
      </w:pPr>
      <w:r>
        <w:t>No</w:t>
      </w:r>
      <w:r>
        <w:rPr>
          <w:spacing w:val="-3"/>
        </w:rPr>
        <w:t xml:space="preserve"> </w:t>
      </w:r>
      <w:r>
        <w:t>change</w:t>
      </w:r>
      <w:r>
        <w:rPr>
          <w:spacing w:val="-3"/>
        </w:rPr>
        <w:t xml:space="preserve"> </w:t>
      </w:r>
      <w:r>
        <w:t>has</w:t>
      </w:r>
      <w:r>
        <w:rPr>
          <w:spacing w:val="-6"/>
        </w:rPr>
        <w:t xml:space="preserve"> </w:t>
      </w:r>
      <w:r>
        <w:t>been</w:t>
      </w:r>
      <w:r>
        <w:rPr>
          <w:spacing w:val="-5"/>
        </w:rPr>
        <w:t xml:space="preserve"> </w:t>
      </w:r>
      <w:r>
        <w:t>made</w:t>
      </w:r>
      <w:r>
        <w:rPr>
          <w:spacing w:val="-3"/>
        </w:rPr>
        <w:t xml:space="preserve"> </w:t>
      </w:r>
      <w:r>
        <w:t>to</w:t>
      </w:r>
      <w:r>
        <w:rPr>
          <w:spacing w:val="-3"/>
        </w:rPr>
        <w:t xml:space="preserve"> </w:t>
      </w:r>
      <w:r>
        <w:t>the</w:t>
      </w:r>
      <w:r>
        <w:rPr>
          <w:spacing w:val="-3"/>
        </w:rPr>
        <w:t xml:space="preserve"> </w:t>
      </w:r>
      <w:r>
        <w:t>collection</w:t>
      </w:r>
      <w:r>
        <w:rPr>
          <w:spacing w:val="-5"/>
        </w:rPr>
        <w:t xml:space="preserve"> </w:t>
      </w:r>
      <w:r>
        <w:t>of</w:t>
      </w:r>
      <w:r>
        <w:rPr>
          <w:spacing w:val="-1"/>
        </w:rPr>
        <w:t xml:space="preserve"> </w:t>
      </w:r>
      <w:r>
        <w:t>information</w:t>
      </w:r>
      <w:r>
        <w:rPr>
          <w:spacing w:val="-3"/>
        </w:rPr>
        <w:t xml:space="preserve"> </w:t>
      </w:r>
      <w:r>
        <w:t>in</w:t>
      </w:r>
      <w:r>
        <w:rPr>
          <w:spacing w:val="-5"/>
        </w:rPr>
        <w:t xml:space="preserve"> </w:t>
      </w:r>
      <w:r>
        <w:t>the</w:t>
      </w:r>
      <w:r>
        <w:rPr>
          <w:spacing w:val="-3"/>
        </w:rPr>
        <w:t xml:space="preserve"> </w:t>
      </w:r>
      <w:r>
        <w:t>Safety Standard for Automatic Residential Garage Door Operators since it was last approved by OMB.</w:t>
      </w:r>
    </w:p>
    <w:p w:rsidR="003510F6" w14:paraId="3A97C2F8" w14:textId="77777777">
      <w:pPr>
        <w:pStyle w:val="BodyText"/>
      </w:pPr>
    </w:p>
    <w:p w:rsidR="003510F6" w14:paraId="3A97C2F9" w14:textId="77777777">
      <w:pPr>
        <w:pStyle w:val="Heading2"/>
        <w:numPr>
          <w:ilvl w:val="1"/>
          <w:numId w:val="1"/>
        </w:numPr>
        <w:tabs>
          <w:tab w:val="left" w:pos="839"/>
          <w:tab w:val="left" w:pos="840"/>
        </w:tabs>
        <w:spacing w:before="1"/>
        <w:ind w:left="840"/>
      </w:pPr>
      <w:r>
        <w:t>Plans</w:t>
      </w:r>
      <w:r>
        <w:rPr>
          <w:spacing w:val="-3"/>
        </w:rPr>
        <w:t xml:space="preserve"> </w:t>
      </w:r>
      <w:r>
        <w:t>for</w:t>
      </w:r>
      <w:r>
        <w:rPr>
          <w:spacing w:val="-3"/>
        </w:rPr>
        <w:t xml:space="preserve"> </w:t>
      </w:r>
      <w:r>
        <w:t>tabulation</w:t>
      </w:r>
      <w:r>
        <w:rPr>
          <w:spacing w:val="-3"/>
        </w:rPr>
        <w:t xml:space="preserve"> </w:t>
      </w:r>
      <w:r>
        <w:t>and</w:t>
      </w:r>
      <w:r>
        <w:rPr>
          <w:spacing w:val="-3"/>
        </w:rPr>
        <w:t xml:space="preserve"> </w:t>
      </w:r>
      <w:r>
        <w:rPr>
          <w:spacing w:val="-2"/>
        </w:rPr>
        <w:t>publication</w:t>
      </w:r>
    </w:p>
    <w:p w:rsidR="003510F6" w14:paraId="3A97C2FA" w14:textId="77777777">
      <w:pPr>
        <w:pStyle w:val="BodyText"/>
        <w:spacing w:before="11"/>
        <w:rPr>
          <w:b/>
          <w:i/>
          <w:sz w:val="23"/>
        </w:rPr>
      </w:pPr>
    </w:p>
    <w:p w:rsidR="003510F6" w:rsidP="0031095A" w14:paraId="3A97C2FB" w14:textId="77777777">
      <w:pPr>
        <w:pStyle w:val="BodyText"/>
      </w:pPr>
      <w:r>
        <w:t>Not</w:t>
      </w:r>
      <w:r>
        <w:rPr>
          <w:spacing w:val="-3"/>
        </w:rPr>
        <w:t xml:space="preserve"> </w:t>
      </w:r>
      <w:r>
        <w:rPr>
          <w:spacing w:val="-2"/>
        </w:rPr>
        <w:t>applicable.</w:t>
      </w:r>
    </w:p>
    <w:p w:rsidR="003510F6" w14:paraId="3A97C2FC" w14:textId="77777777">
      <w:pPr>
        <w:pStyle w:val="BodyText"/>
      </w:pPr>
    </w:p>
    <w:p w:rsidR="003510F6" w14:paraId="3A97C2FD" w14:textId="77777777">
      <w:pPr>
        <w:pStyle w:val="Heading2"/>
        <w:numPr>
          <w:ilvl w:val="1"/>
          <w:numId w:val="1"/>
        </w:numPr>
        <w:tabs>
          <w:tab w:val="left" w:pos="839"/>
          <w:tab w:val="left" w:pos="840"/>
        </w:tabs>
        <w:ind w:left="840"/>
      </w:pPr>
      <w:r>
        <w:t>Rationale</w:t>
      </w:r>
      <w:r>
        <w:rPr>
          <w:spacing w:val="-4"/>
        </w:rPr>
        <w:t xml:space="preserve"> </w:t>
      </w:r>
      <w:r>
        <w:t>for</w:t>
      </w:r>
      <w:r>
        <w:rPr>
          <w:spacing w:val="-3"/>
        </w:rPr>
        <w:t xml:space="preserve"> </w:t>
      </w:r>
      <w:r>
        <w:t>not</w:t>
      </w:r>
      <w:r>
        <w:rPr>
          <w:spacing w:val="-4"/>
        </w:rPr>
        <w:t xml:space="preserve"> </w:t>
      </w:r>
      <w:r>
        <w:t>displaying</w:t>
      </w:r>
      <w:r>
        <w:rPr>
          <w:spacing w:val="-3"/>
        </w:rPr>
        <w:t xml:space="preserve"> </w:t>
      </w:r>
      <w:r>
        <w:t>the</w:t>
      </w:r>
      <w:r>
        <w:rPr>
          <w:spacing w:val="-4"/>
        </w:rPr>
        <w:t xml:space="preserve"> </w:t>
      </w:r>
      <w:r>
        <w:t>expiration</w:t>
      </w:r>
      <w:r>
        <w:rPr>
          <w:spacing w:val="-3"/>
        </w:rPr>
        <w:t xml:space="preserve"> </w:t>
      </w:r>
      <w:r>
        <w:t>date</w:t>
      </w:r>
      <w:r>
        <w:rPr>
          <w:spacing w:val="-2"/>
        </w:rPr>
        <w:t xml:space="preserve"> </w:t>
      </w:r>
      <w:r>
        <w:t>for</w:t>
      </w:r>
      <w:r>
        <w:rPr>
          <w:spacing w:val="-3"/>
        </w:rPr>
        <w:t xml:space="preserve"> </w:t>
      </w:r>
      <w:r>
        <w:t>OMB</w:t>
      </w:r>
      <w:r>
        <w:rPr>
          <w:spacing w:val="-2"/>
        </w:rPr>
        <w:t xml:space="preserve"> approval</w:t>
      </w:r>
    </w:p>
    <w:p w:rsidR="003510F6" w14:paraId="3A97C2FE" w14:textId="77777777">
      <w:pPr>
        <w:pStyle w:val="BodyText"/>
        <w:rPr>
          <w:b/>
          <w:i/>
        </w:rPr>
      </w:pPr>
    </w:p>
    <w:p w:rsidR="003510F6" w:rsidP="0031095A" w14:paraId="3A97C2FF" w14:textId="77777777">
      <w:pPr>
        <w:pStyle w:val="BodyText"/>
      </w:pPr>
      <w:r>
        <w:t>Not</w:t>
      </w:r>
      <w:r>
        <w:rPr>
          <w:spacing w:val="-3"/>
        </w:rPr>
        <w:t xml:space="preserve"> </w:t>
      </w:r>
      <w:r>
        <w:rPr>
          <w:spacing w:val="-2"/>
        </w:rPr>
        <w:t>applicable.</w:t>
      </w:r>
    </w:p>
    <w:p w:rsidR="003510F6" w14:paraId="3A97C300" w14:textId="77777777">
      <w:pPr>
        <w:pStyle w:val="BodyText"/>
      </w:pPr>
    </w:p>
    <w:p w:rsidR="003510F6" w14:paraId="3A97C301" w14:textId="77777777">
      <w:pPr>
        <w:pStyle w:val="Heading1"/>
        <w:numPr>
          <w:ilvl w:val="0"/>
          <w:numId w:val="1"/>
        </w:numPr>
        <w:tabs>
          <w:tab w:val="left" w:pos="839"/>
          <w:tab w:val="left" w:pos="840"/>
        </w:tabs>
      </w:pPr>
      <w:r>
        <w:t>Collection</w:t>
      </w:r>
      <w:r>
        <w:rPr>
          <w:spacing w:val="-7"/>
        </w:rPr>
        <w:t xml:space="preserve"> </w:t>
      </w:r>
      <w:r>
        <w:t>of</w:t>
      </w:r>
      <w:r>
        <w:rPr>
          <w:spacing w:val="-5"/>
        </w:rPr>
        <w:t xml:space="preserve"> </w:t>
      </w:r>
      <w:r>
        <w:t>Information</w:t>
      </w:r>
      <w:r>
        <w:rPr>
          <w:spacing w:val="-5"/>
        </w:rPr>
        <w:t xml:space="preserve"> </w:t>
      </w:r>
      <w:r>
        <w:t>Employing</w:t>
      </w:r>
      <w:r>
        <w:rPr>
          <w:spacing w:val="-4"/>
        </w:rPr>
        <w:t xml:space="preserve"> </w:t>
      </w:r>
      <w:r>
        <w:t>Statistical</w:t>
      </w:r>
      <w:r>
        <w:rPr>
          <w:spacing w:val="-3"/>
        </w:rPr>
        <w:t xml:space="preserve"> </w:t>
      </w:r>
      <w:r>
        <w:rPr>
          <w:spacing w:val="-2"/>
        </w:rPr>
        <w:t>Methods</w:t>
      </w:r>
    </w:p>
    <w:p w:rsidR="003510F6" w14:paraId="3A97C302" w14:textId="77777777">
      <w:pPr>
        <w:pStyle w:val="BodyText"/>
        <w:rPr>
          <w:b/>
        </w:rPr>
      </w:pPr>
    </w:p>
    <w:p w:rsidR="003510F6" w:rsidP="0031095A" w14:paraId="3A97C303" w14:textId="77777777">
      <w:pPr>
        <w:pStyle w:val="BodyText"/>
      </w:pPr>
      <w:r>
        <w:t>Not</w:t>
      </w:r>
      <w:r>
        <w:rPr>
          <w:spacing w:val="-3"/>
        </w:rPr>
        <w:t xml:space="preserve"> </w:t>
      </w:r>
      <w:r>
        <w:rPr>
          <w:spacing w:val="-2"/>
        </w:rPr>
        <w:t>applicable.</w:t>
      </w:r>
    </w:p>
    <w:sectPr>
      <w:pgSz w:w="12240" w:h="15840"/>
      <w:pgMar w:top="1640" w:right="1700" w:bottom="1260" w:left="168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0F6" w14:paraId="3A97C30A" w14:textId="75CA5A2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6515100</wp:posOffset>
              </wp:positionH>
              <wp:positionV relativeFrom="page">
                <wp:posOffset>9243695</wp:posOffset>
              </wp:positionV>
              <wp:extent cx="165100" cy="194310"/>
              <wp:effectExtent l="0" t="0" r="0" b="0"/>
              <wp:wrapNone/>
              <wp:docPr id="77211945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510F6" w14:textId="77777777">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27.85pt;margin-left:5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510F6" w14:paraId="3A97C30C" w14:textId="77777777">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6CD5" w14:paraId="663EA6D8" w14:textId="77777777">
      <w:r>
        <w:separator/>
      </w:r>
    </w:p>
  </w:footnote>
  <w:footnote w:type="continuationSeparator" w:id="1">
    <w:p w:rsidR="007E6CD5" w14:paraId="140FC54E" w14:textId="77777777">
      <w:r>
        <w:continuationSeparator/>
      </w:r>
    </w:p>
  </w:footnote>
  <w:footnote w:id="2">
    <w:p w:rsidR="00BF6C55" w:rsidP="00BF6C55" w14:paraId="37EF9CD9" w14:textId="77777777">
      <w:pPr>
        <w:spacing w:before="101"/>
        <w:ind w:left="120"/>
        <w:rPr>
          <w:rFonts w:ascii="Times New Roman" w:hAnsi="Times New Roman"/>
          <w:sz w:val="20"/>
        </w:rPr>
      </w:pPr>
      <w:r>
        <w:rPr>
          <w:rStyle w:val="FootnoteReference"/>
        </w:rPr>
        <w:footnoteRef/>
      </w:r>
      <w:r>
        <w:t xml:space="preserve"> </w:t>
      </w:r>
      <w:r>
        <w:rPr>
          <w:rFonts w:ascii="Times New Roman" w:hAnsi="Times New Roman"/>
          <w:sz w:val="20"/>
        </w:rPr>
        <w:t>Domestic</w:t>
      </w:r>
      <w:r>
        <w:rPr>
          <w:rFonts w:ascii="Times New Roman" w:hAnsi="Times New Roman"/>
          <w:spacing w:val="-7"/>
          <w:sz w:val="20"/>
        </w:rPr>
        <w:t xml:space="preserve"> </w:t>
      </w:r>
      <w:r>
        <w:rPr>
          <w:rFonts w:ascii="Times New Roman" w:hAnsi="Times New Roman"/>
          <w:sz w:val="20"/>
        </w:rPr>
        <w:t>manufacturers</w:t>
      </w:r>
      <w:r>
        <w:rPr>
          <w:rFonts w:ascii="Times New Roman" w:hAnsi="Times New Roman"/>
          <w:spacing w:val="-10"/>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“other</w:t>
      </w:r>
      <w:r>
        <w:rPr>
          <w:rFonts w:ascii="Times New Roman" w:hAnsi="Times New Roman"/>
          <w:spacing w:val="-7"/>
          <w:sz w:val="20"/>
        </w:rPr>
        <w:t xml:space="preserve"> </w:t>
      </w:r>
      <w:r>
        <w:rPr>
          <w:rFonts w:ascii="Times New Roman" w:hAnsi="Times New Roman"/>
          <w:sz w:val="20"/>
        </w:rPr>
        <w:t>miscellaneous</w:t>
      </w:r>
      <w:r>
        <w:rPr>
          <w:rFonts w:ascii="Times New Roman" w:hAnsi="Times New Roman"/>
          <w:spacing w:val="-10"/>
          <w:sz w:val="20"/>
        </w:rPr>
        <w:t xml:space="preserve"> </w:t>
      </w:r>
      <w:r>
        <w:rPr>
          <w:rFonts w:ascii="Times New Roman" w:hAnsi="Times New Roman"/>
          <w:sz w:val="20"/>
        </w:rPr>
        <w:t>electrical</w:t>
      </w:r>
      <w:r>
        <w:rPr>
          <w:rFonts w:ascii="Times New Roman" w:hAnsi="Times New Roman"/>
          <w:spacing w:val="-8"/>
          <w:sz w:val="20"/>
        </w:rPr>
        <w:t xml:space="preserve"> </w:t>
      </w:r>
      <w:r>
        <w:rPr>
          <w:rFonts w:ascii="Times New Roman" w:hAnsi="Times New Roman"/>
          <w:sz w:val="20"/>
        </w:rPr>
        <w:t>equipment”</w:t>
      </w:r>
      <w:r>
        <w:rPr>
          <w:rFonts w:ascii="Times New Roman" w:hAnsi="Times New Roman"/>
          <w:spacing w:val="-9"/>
          <w:sz w:val="20"/>
        </w:rPr>
        <w:t xml:space="preserve"> </w:t>
      </w:r>
      <w:r>
        <w:rPr>
          <w:rFonts w:ascii="Times New Roman" w:hAnsi="Times New Roman"/>
          <w:sz w:val="20"/>
        </w:rPr>
        <w:t>(NAICS</w:t>
      </w:r>
      <w:r>
        <w:rPr>
          <w:rFonts w:ascii="Times New Roman" w:hAnsi="Times New Roman"/>
          <w:spacing w:val="-10"/>
          <w:sz w:val="20"/>
        </w:rPr>
        <w:t xml:space="preserve"> </w:t>
      </w:r>
      <w:r>
        <w:rPr>
          <w:rFonts w:ascii="Times New Roman" w:hAnsi="Times New Roman"/>
          <w:spacing w:val="-4"/>
          <w:sz w:val="20"/>
        </w:rPr>
        <w:t>code</w:t>
      </w:r>
    </w:p>
    <w:p w:rsidR="0056441F" w:rsidRPr="00BF6C55" w:rsidP="00BF6C55" w14:paraId="75ECFEBF" w14:textId="0BEEE2AC">
      <w:pPr>
        <w:ind w:left="120" w:right="184"/>
        <w:rPr>
          <w:rFonts w:ascii="Times New Roman" w:hAnsi="Times New Roman"/>
          <w:sz w:val="20"/>
        </w:rPr>
      </w:pPr>
      <w:r>
        <w:rPr>
          <w:rFonts w:ascii="Times New Roman" w:hAnsi="Times New Roman"/>
          <w:sz w:val="20"/>
        </w:rPr>
        <w:t>335999)</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5"/>
          <w:sz w:val="20"/>
        </w:rPr>
        <w:t xml:space="preserve"> </w:t>
      </w:r>
      <w:r>
        <w:rPr>
          <w:rFonts w:ascii="Times New Roman" w:hAnsi="Times New Roman"/>
          <w:sz w:val="20"/>
        </w:rPr>
        <w:t>fewer</w:t>
      </w:r>
      <w:r>
        <w:rPr>
          <w:rFonts w:ascii="Times New Roman" w:hAnsi="Times New Roman"/>
          <w:spacing w:val="-3"/>
          <w:sz w:val="20"/>
        </w:rPr>
        <w:t xml:space="preserve"> </w:t>
      </w:r>
      <w:r>
        <w:rPr>
          <w:rFonts w:ascii="Times New Roman" w:hAnsi="Times New Roman"/>
          <w:sz w:val="20"/>
        </w:rPr>
        <w:t>than</w:t>
      </w:r>
      <w:r>
        <w:rPr>
          <w:rFonts w:ascii="Times New Roman" w:hAnsi="Times New Roman"/>
          <w:spacing w:val="-5"/>
          <w:sz w:val="20"/>
        </w:rPr>
        <w:t xml:space="preserve"> </w:t>
      </w:r>
      <w:r>
        <w:rPr>
          <w:rFonts w:ascii="Times New Roman" w:hAnsi="Times New Roman"/>
          <w:sz w:val="20"/>
        </w:rPr>
        <w:t>500</w:t>
      </w:r>
      <w:r>
        <w:rPr>
          <w:rFonts w:ascii="Times New Roman" w:hAnsi="Times New Roman"/>
          <w:spacing w:val="-5"/>
          <w:sz w:val="20"/>
        </w:rPr>
        <w:t xml:space="preserve"> </w:t>
      </w:r>
      <w:r>
        <w:rPr>
          <w:rFonts w:ascii="Times New Roman" w:hAnsi="Times New Roman"/>
          <w:sz w:val="20"/>
        </w:rPr>
        <w:t>employees;</w:t>
      </w:r>
      <w:r>
        <w:rPr>
          <w:rFonts w:ascii="Times New Roman" w:hAnsi="Times New Roman"/>
          <w:spacing w:val="-4"/>
          <w:sz w:val="20"/>
        </w:rPr>
        <w:t xml:space="preserve"> </w:t>
      </w:r>
      <w:r>
        <w:rPr>
          <w:rFonts w:ascii="Times New Roman" w:hAnsi="Times New Roman"/>
          <w:sz w:val="20"/>
        </w:rPr>
        <w:t>and merchant</w:t>
      </w:r>
      <w:r>
        <w:rPr>
          <w:rFonts w:ascii="Times New Roman" w:hAnsi="Times New Roman"/>
          <w:spacing w:val="-2"/>
          <w:sz w:val="20"/>
        </w:rPr>
        <w:t xml:space="preserve"> </w:t>
      </w:r>
      <w:r>
        <w:rPr>
          <w:rFonts w:ascii="Times New Roman" w:hAnsi="Times New Roman"/>
          <w:sz w:val="20"/>
        </w:rPr>
        <w:t>wholesalers</w:t>
      </w:r>
      <w:r>
        <w:rPr>
          <w:rFonts w:ascii="Times New Roman" w:hAnsi="Times New Roman"/>
          <w:spacing w:val="-5"/>
          <w:sz w:val="20"/>
        </w:rPr>
        <w:t xml:space="preserve"> </w:t>
      </w:r>
      <w:r>
        <w:rPr>
          <w:rFonts w:ascii="Times New Roman" w:hAnsi="Times New Roman"/>
          <w:sz w:val="20"/>
        </w:rPr>
        <w:t>(including</w:t>
      </w:r>
      <w:r>
        <w:rPr>
          <w:rFonts w:ascii="Times New Roman" w:hAnsi="Times New Roman"/>
          <w:spacing w:val="-5"/>
          <w:sz w:val="20"/>
        </w:rPr>
        <w:t xml:space="preserve"> </w:t>
      </w:r>
      <w:r>
        <w:rPr>
          <w:rFonts w:ascii="Times New Roman" w:hAnsi="Times New Roman"/>
          <w:sz w:val="20"/>
        </w:rPr>
        <w:t>importers)</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“durable goods” (NAICS Subsector 423) with fewer than 100 employees.</w:t>
      </w:r>
    </w:p>
  </w:footnote>
  <w:footnote w:id="3">
    <w:p w:rsidR="004A430C" w14:paraId="6E955A20" w14:textId="0DDF08A2">
      <w:pPr>
        <w:pStyle w:val="FootnoteText"/>
      </w:pPr>
      <w:r>
        <w:rPr>
          <w:rStyle w:val="FootnoteReference"/>
        </w:rPr>
        <w:footnoteRef/>
      </w:r>
      <w:r>
        <w:t xml:space="preserve"> </w:t>
      </w:r>
      <w:r w:rsidRPr="004A430C">
        <w:t>https://ulse.org/insight/standards-and-engagement-standards-matter-automatic-garage-door-standards-helping-keep/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580D9A"/>
    <w:multiLevelType w:val="hybridMultilevel"/>
    <w:tmpl w:val="220696AE"/>
    <w:lvl w:ilvl="0">
      <w:start w:val="1"/>
      <w:numFmt w:val="upperLetter"/>
      <w:lvlText w:val="%1."/>
      <w:lvlJc w:val="left"/>
      <w:pPr>
        <w:ind w:left="840" w:hanging="720"/>
      </w:pPr>
      <w:rPr>
        <w:rFonts w:ascii="Arial" w:eastAsia="Arial" w:hAnsi="Arial" w:cs="Arial" w:hint="default"/>
        <w:b/>
        <w:bCs/>
        <w:i w:val="0"/>
        <w:iCs w:val="0"/>
        <w:spacing w:val="-6"/>
        <w:w w:val="100"/>
        <w:sz w:val="24"/>
        <w:szCs w:val="24"/>
        <w:lang w:val="en-US" w:eastAsia="en-US" w:bidi="ar-SA"/>
      </w:rPr>
    </w:lvl>
    <w:lvl w:ilvl="1">
      <w:start w:val="1"/>
      <w:numFmt w:val="decimal"/>
      <w:lvlText w:val="%2."/>
      <w:lvlJc w:val="left"/>
      <w:pPr>
        <w:ind w:left="120" w:hanging="720"/>
      </w:pPr>
      <w:rPr>
        <w:rFonts w:ascii="Arial" w:eastAsia="Arial" w:hAnsi="Arial" w:cs="Arial" w:hint="default"/>
        <w:b/>
        <w:bCs/>
        <w:i/>
        <w:iCs/>
        <w:w w:val="100"/>
        <w:sz w:val="24"/>
        <w:szCs w:val="24"/>
        <w:lang w:val="en-US" w:eastAsia="en-US" w:bidi="ar-SA"/>
      </w:rPr>
    </w:lvl>
    <w:lvl w:ilvl="2">
      <w:start w:val="0"/>
      <w:numFmt w:val="bullet"/>
      <w:lvlText w:val="•"/>
      <w:lvlJc w:val="left"/>
      <w:pPr>
        <w:ind w:left="1731" w:hanging="720"/>
      </w:pPr>
      <w:rPr>
        <w:rFonts w:hint="default"/>
        <w:lang w:val="en-US" w:eastAsia="en-US" w:bidi="ar-SA"/>
      </w:rPr>
    </w:lvl>
    <w:lvl w:ilvl="3">
      <w:start w:val="0"/>
      <w:numFmt w:val="bullet"/>
      <w:lvlText w:val="•"/>
      <w:lvlJc w:val="left"/>
      <w:pPr>
        <w:ind w:left="2622" w:hanging="720"/>
      </w:pPr>
      <w:rPr>
        <w:rFonts w:hint="default"/>
        <w:lang w:val="en-US" w:eastAsia="en-US" w:bidi="ar-SA"/>
      </w:rPr>
    </w:lvl>
    <w:lvl w:ilvl="4">
      <w:start w:val="0"/>
      <w:numFmt w:val="bullet"/>
      <w:lvlText w:val="•"/>
      <w:lvlJc w:val="left"/>
      <w:pPr>
        <w:ind w:left="3513" w:hanging="720"/>
      </w:pPr>
      <w:rPr>
        <w:rFonts w:hint="default"/>
        <w:lang w:val="en-US" w:eastAsia="en-US" w:bidi="ar-SA"/>
      </w:rPr>
    </w:lvl>
    <w:lvl w:ilvl="5">
      <w:start w:val="0"/>
      <w:numFmt w:val="bullet"/>
      <w:lvlText w:val="•"/>
      <w:lvlJc w:val="left"/>
      <w:pPr>
        <w:ind w:left="4404" w:hanging="720"/>
      </w:pPr>
      <w:rPr>
        <w:rFonts w:hint="default"/>
        <w:lang w:val="en-US" w:eastAsia="en-US" w:bidi="ar-SA"/>
      </w:rPr>
    </w:lvl>
    <w:lvl w:ilvl="6">
      <w:start w:val="0"/>
      <w:numFmt w:val="bullet"/>
      <w:lvlText w:val="•"/>
      <w:lvlJc w:val="left"/>
      <w:pPr>
        <w:ind w:left="5295" w:hanging="720"/>
      </w:pPr>
      <w:rPr>
        <w:rFonts w:hint="default"/>
        <w:lang w:val="en-US" w:eastAsia="en-US" w:bidi="ar-SA"/>
      </w:rPr>
    </w:lvl>
    <w:lvl w:ilvl="7">
      <w:start w:val="0"/>
      <w:numFmt w:val="bullet"/>
      <w:lvlText w:val="•"/>
      <w:lvlJc w:val="left"/>
      <w:pPr>
        <w:ind w:left="6186" w:hanging="720"/>
      </w:pPr>
      <w:rPr>
        <w:rFonts w:hint="default"/>
        <w:lang w:val="en-US" w:eastAsia="en-US" w:bidi="ar-SA"/>
      </w:rPr>
    </w:lvl>
    <w:lvl w:ilvl="8">
      <w:start w:val="0"/>
      <w:numFmt w:val="bullet"/>
      <w:lvlText w:val="•"/>
      <w:lvlJc w:val="left"/>
      <w:pPr>
        <w:ind w:left="7077" w:hanging="720"/>
      </w:pPr>
      <w:rPr>
        <w:rFonts w:hint="default"/>
        <w:lang w:val="en-US" w:eastAsia="en-US" w:bidi="ar-SA"/>
      </w:rPr>
    </w:lvl>
  </w:abstractNum>
  <w:num w:numId="1" w16cid:durableId="95101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F6"/>
    <w:rsid w:val="000239D3"/>
    <w:rsid w:val="00033D7A"/>
    <w:rsid w:val="00034910"/>
    <w:rsid w:val="0004006B"/>
    <w:rsid w:val="000945F0"/>
    <w:rsid w:val="000D307F"/>
    <w:rsid w:val="001208B9"/>
    <w:rsid w:val="00186E5C"/>
    <w:rsid w:val="002350C5"/>
    <w:rsid w:val="002658AB"/>
    <w:rsid w:val="00294FA6"/>
    <w:rsid w:val="002D6AC4"/>
    <w:rsid w:val="002E522D"/>
    <w:rsid w:val="002F686F"/>
    <w:rsid w:val="0031095A"/>
    <w:rsid w:val="00317BB5"/>
    <w:rsid w:val="003474BF"/>
    <w:rsid w:val="003510F6"/>
    <w:rsid w:val="003730F7"/>
    <w:rsid w:val="003E1210"/>
    <w:rsid w:val="004271D2"/>
    <w:rsid w:val="004A430C"/>
    <w:rsid w:val="004A6FB1"/>
    <w:rsid w:val="004F714B"/>
    <w:rsid w:val="0056441F"/>
    <w:rsid w:val="005A4BAB"/>
    <w:rsid w:val="006220DC"/>
    <w:rsid w:val="00680019"/>
    <w:rsid w:val="006C09D4"/>
    <w:rsid w:val="006F15A1"/>
    <w:rsid w:val="00783723"/>
    <w:rsid w:val="007E6CD5"/>
    <w:rsid w:val="007F49EF"/>
    <w:rsid w:val="00826BDC"/>
    <w:rsid w:val="00842E7E"/>
    <w:rsid w:val="008857EF"/>
    <w:rsid w:val="008D5FB5"/>
    <w:rsid w:val="00940E2C"/>
    <w:rsid w:val="00A31EB8"/>
    <w:rsid w:val="00A343DA"/>
    <w:rsid w:val="00A75E60"/>
    <w:rsid w:val="00A8334B"/>
    <w:rsid w:val="00BC654F"/>
    <w:rsid w:val="00BF4F9F"/>
    <w:rsid w:val="00BF6C55"/>
    <w:rsid w:val="00C12374"/>
    <w:rsid w:val="00C17348"/>
    <w:rsid w:val="00C34733"/>
    <w:rsid w:val="00C76A70"/>
    <w:rsid w:val="00C941F4"/>
    <w:rsid w:val="00CA629B"/>
    <w:rsid w:val="00CE6820"/>
    <w:rsid w:val="00CF709D"/>
    <w:rsid w:val="00D06CAC"/>
    <w:rsid w:val="00DA24FD"/>
    <w:rsid w:val="00DE7533"/>
    <w:rsid w:val="00E85448"/>
    <w:rsid w:val="00EA5B12"/>
    <w:rsid w:val="00F37934"/>
    <w:rsid w:val="00F848D4"/>
    <w:rsid w:val="00F963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97C29C"/>
  <w15:docId w15:val="{89C2700E-2AD7-4C5D-B5F1-26353675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sz w:val="24"/>
      <w:szCs w:val="24"/>
    </w:rPr>
  </w:style>
  <w:style w:type="paragraph" w:styleId="Heading2">
    <w:name w:val="heading 2"/>
    <w:basedOn w:val="Normal"/>
    <w:uiPriority w:val="9"/>
    <w:unhideWhenUsed/>
    <w:qFormat/>
    <w:pPr>
      <w:ind w:left="840" w:hanging="7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Revision">
    <w:name w:val="Revision"/>
    <w:hidden/>
    <w:uiPriority w:val="99"/>
    <w:semiHidden/>
    <w:rsid w:val="00DA24FD"/>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56441F"/>
    <w:rPr>
      <w:sz w:val="20"/>
      <w:szCs w:val="20"/>
    </w:rPr>
  </w:style>
  <w:style w:type="character" w:customStyle="1" w:styleId="FootnoteTextChar">
    <w:name w:val="Footnote Text Char"/>
    <w:basedOn w:val="DefaultParagraphFont"/>
    <w:link w:val="FootnoteText"/>
    <w:uiPriority w:val="99"/>
    <w:semiHidden/>
    <w:rsid w:val="0056441F"/>
    <w:rPr>
      <w:rFonts w:ascii="Arial" w:eastAsia="Arial" w:hAnsi="Arial" w:cs="Arial"/>
      <w:sz w:val="20"/>
      <w:szCs w:val="20"/>
    </w:rPr>
  </w:style>
  <w:style w:type="character" w:styleId="FootnoteReference">
    <w:name w:val="footnote reference"/>
    <w:basedOn w:val="DefaultParagraphFont"/>
    <w:uiPriority w:val="99"/>
    <w:semiHidden/>
    <w:unhideWhenUsed/>
    <w:rsid w:val="0056441F"/>
    <w:rPr>
      <w:vertAlign w:val="superscript"/>
    </w:rPr>
  </w:style>
  <w:style w:type="character" w:styleId="Hyperlink">
    <w:name w:val="Hyperlink"/>
    <w:basedOn w:val="DefaultParagraphFont"/>
    <w:uiPriority w:val="99"/>
    <w:unhideWhenUsed/>
    <w:rsid w:val="004A430C"/>
    <w:rPr>
      <w:color w:val="0000FF" w:themeColor="hyperlink"/>
      <w:u w:val="single"/>
    </w:rPr>
  </w:style>
  <w:style w:type="character" w:styleId="UnresolvedMention">
    <w:name w:val="Unresolved Mention"/>
    <w:basedOn w:val="DefaultParagraphFont"/>
    <w:uiPriority w:val="99"/>
    <w:semiHidden/>
    <w:unhideWhenUsed/>
    <w:rsid w:val="004A4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3C30D-AE15-4D65-8D48-B69B865A1616}">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2.xml><?xml version="1.0" encoding="utf-8"?>
<ds:datastoreItem xmlns:ds="http://schemas.openxmlformats.org/officeDocument/2006/customXml" ds:itemID="{9EA2110E-E5C3-434B-844B-75662FDA9DEC}">
  <ds:schemaRefs>
    <ds:schemaRef ds:uri="http://schemas.microsoft.com/sharepoint/v3/contenttype/forms"/>
  </ds:schemaRefs>
</ds:datastoreItem>
</file>

<file path=customXml/itemProps3.xml><?xml version="1.0" encoding="utf-8"?>
<ds:datastoreItem xmlns:ds="http://schemas.openxmlformats.org/officeDocument/2006/customXml" ds:itemID="{20C590BC-022C-47AA-8910-A5FD3EDF17A0}">
  <ds:schemaRefs>
    <ds:schemaRef ds:uri="http://schemas.openxmlformats.org/officeDocument/2006/bibliography"/>
  </ds:schemaRefs>
</ds:datastoreItem>
</file>

<file path=customXml/itemProps4.xml><?xml version="1.0" encoding="utf-8"?>
<ds:datastoreItem xmlns:ds="http://schemas.openxmlformats.org/officeDocument/2006/customXml" ds:itemID="{611E799F-E174-44BD-B9B4-42C6506C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vt:lpstr>
    </vt:vector>
  </TitlesOfParts>
  <Company>Dell Computer Corporation</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Preferred Customer</dc:creator>
  <cp:lastModifiedBy>Gillham, Cynthia</cp:lastModifiedBy>
  <cp:revision>2</cp:revision>
  <dcterms:created xsi:type="dcterms:W3CDTF">2025-09-22T17:40:00Z</dcterms:created>
  <dcterms:modified xsi:type="dcterms:W3CDTF">2025-09-22T17:40:00Z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Created">
    <vt:filetime>2022-08-03T00:00:00Z</vt:filetime>
  </property>
  <property fmtid="{D5CDD505-2E9C-101B-9397-08002B2CF9AE}" pid="4" name="Creator">
    <vt:lpwstr>Acrobat PDFMaker 22 for Word</vt:lpwstr>
  </property>
  <property fmtid="{D5CDD505-2E9C-101B-9397-08002B2CF9AE}" pid="5" name="docLang">
    <vt:lpwstr>en</vt:lpwstr>
  </property>
  <property fmtid="{D5CDD505-2E9C-101B-9397-08002B2CF9AE}" pid="6" name="LastSaved">
    <vt:filetime>2022-08-31T00:00:00Z</vt:filetime>
  </property>
  <property fmtid="{D5CDD505-2E9C-101B-9397-08002B2CF9AE}" pid="7" name="MediaServiceImageTags">
    <vt:lpwstr/>
  </property>
  <property fmtid="{D5CDD505-2E9C-101B-9397-08002B2CF9AE}" pid="8" name="Producer">
    <vt:lpwstr>Adobe PDF Library 22.1.201</vt:lpwstr>
  </property>
  <property fmtid="{D5CDD505-2E9C-101B-9397-08002B2CF9AE}" pid="9" name="SourceModified">
    <vt:lpwstr>D:20220803142559</vt:lpwstr>
  </property>
</Properties>
</file>