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46C9" w:rsidRPr="002746C9" w:rsidP="002746C9" w14:paraId="6346DF4E" w14:textId="334CDD83">
      <w:pPr>
        <w:jc w:val="center"/>
        <w:rPr>
          <w:rFonts w:ascii="Times New Roman" w:hAnsi="Times New Roman"/>
          <w:b/>
          <w:bCs/>
        </w:rPr>
      </w:pPr>
      <w:hyperlink r:id="rId8" w:tgtFrame="_blank" w:history="1">
        <w:r w:rsidRPr="002746C9">
          <w:rPr>
            <w:rStyle w:val="Hyperlink"/>
            <w:rFonts w:ascii="Times New Roman" w:hAnsi="Times New Roman"/>
            <w:b/>
            <w:bCs/>
            <w:color w:val="auto"/>
          </w:rPr>
          <w:t>SUPPORTING STATEMENT</w:t>
        </w:r>
      </w:hyperlink>
    </w:p>
    <w:p w:rsidR="002746C9" w:rsidRPr="002746C9" w:rsidP="002746C9" w14:paraId="30F1969E" w14:textId="77777777">
      <w:pPr>
        <w:jc w:val="center"/>
        <w:rPr>
          <w:rFonts w:ascii="Times New Roman" w:hAnsi="Times New Roman"/>
        </w:rPr>
      </w:pPr>
      <w:hyperlink r:id="rId8" w:tgtFrame="_blank" w:history="1">
        <w:r w:rsidRPr="002746C9">
          <w:rPr>
            <w:rStyle w:val="Hyperlink"/>
            <w:rFonts w:ascii="Times New Roman" w:hAnsi="Times New Roman"/>
            <w:b/>
            <w:bCs/>
            <w:color w:val="auto"/>
          </w:rPr>
          <w:t>FOR PAPERWORK REDUCTION ACT SUBMISSION</w:t>
        </w:r>
      </w:hyperlink>
    </w:p>
    <w:p w:rsidR="000278AE" w:rsidRPr="001461A3" w:rsidP="002746C9" w14:paraId="091D01F2" w14:textId="77777777">
      <w:pPr>
        <w:jc w:val="center"/>
        <w:rPr>
          <w:rFonts w:ascii="Times New Roman" w:hAnsi="Times New Roman"/>
        </w:rPr>
      </w:pPr>
    </w:p>
    <w:p w:rsidR="00F374F4" w:rsidRPr="001461A3" w:rsidP="000278AE" w14:paraId="0F96E313" w14:textId="68E433C9">
      <w:pPr>
        <w:rPr>
          <w:rFonts w:ascii="Times New Roman" w:hAnsi="Times New Roman"/>
        </w:rPr>
      </w:pPr>
      <w:r>
        <w:rPr>
          <w:rFonts w:ascii="Times New Roman" w:hAnsi="Times New Roman"/>
        </w:rPr>
        <w:t xml:space="preserve">OMB No. - 3206-0212; </w:t>
      </w:r>
      <w:r w:rsidRPr="001461A3" w:rsidR="000278AE">
        <w:rPr>
          <w:rFonts w:ascii="Times New Roman" w:hAnsi="Times New Roman"/>
        </w:rPr>
        <w:t>RI 38-117 –</w:t>
      </w:r>
      <w:r>
        <w:rPr>
          <w:rFonts w:ascii="Times New Roman" w:hAnsi="Times New Roman"/>
        </w:rPr>
        <w:t xml:space="preserve"> </w:t>
      </w:r>
      <w:r w:rsidRPr="001461A3" w:rsidR="00A61F99">
        <w:rPr>
          <w:rFonts w:ascii="Times New Roman" w:hAnsi="Times New Roman"/>
        </w:rPr>
        <w:t>R</w:t>
      </w:r>
      <w:r w:rsidRPr="001461A3" w:rsidR="000278AE">
        <w:rPr>
          <w:rFonts w:ascii="Times New Roman" w:hAnsi="Times New Roman"/>
        </w:rPr>
        <w:t>ollover Election</w:t>
      </w:r>
      <w:r>
        <w:rPr>
          <w:rFonts w:ascii="Times New Roman" w:hAnsi="Times New Roman"/>
        </w:rPr>
        <w:t xml:space="preserve">, </w:t>
      </w:r>
      <w:r w:rsidRPr="001461A3">
        <w:rPr>
          <w:rFonts w:ascii="Times New Roman" w:hAnsi="Times New Roman"/>
        </w:rPr>
        <w:t>RI 38-118 –</w:t>
      </w:r>
      <w:r>
        <w:rPr>
          <w:rFonts w:ascii="Times New Roman" w:hAnsi="Times New Roman"/>
        </w:rPr>
        <w:t xml:space="preserve"> </w:t>
      </w:r>
      <w:r w:rsidRPr="001461A3" w:rsidR="00A61F99">
        <w:rPr>
          <w:rFonts w:ascii="Times New Roman" w:hAnsi="Times New Roman"/>
        </w:rPr>
        <w:t>R</w:t>
      </w:r>
      <w:r w:rsidRPr="001461A3">
        <w:rPr>
          <w:rFonts w:ascii="Times New Roman" w:hAnsi="Times New Roman"/>
        </w:rPr>
        <w:t xml:space="preserve">ollover </w:t>
      </w:r>
      <w:r w:rsidRPr="001461A3" w:rsidR="00A61F99">
        <w:rPr>
          <w:rFonts w:ascii="Times New Roman" w:hAnsi="Times New Roman"/>
        </w:rPr>
        <w:t>Information</w:t>
      </w:r>
      <w:r>
        <w:rPr>
          <w:rFonts w:ascii="Times New Roman" w:hAnsi="Times New Roman"/>
        </w:rPr>
        <w:t xml:space="preserve">, </w:t>
      </w:r>
    </w:p>
    <w:p w:rsidR="00A61F99" w:rsidP="002746C9" w14:paraId="2A9209D3" w14:textId="3CD13279">
      <w:pPr>
        <w:ind w:left="2160"/>
        <w:rPr>
          <w:rFonts w:ascii="Times New Roman" w:hAnsi="Times New Roman"/>
        </w:rPr>
      </w:pPr>
      <w:r>
        <w:rPr>
          <w:rFonts w:ascii="Times New Roman" w:hAnsi="Times New Roman"/>
        </w:rPr>
        <w:t xml:space="preserve">   </w:t>
      </w:r>
      <w:r w:rsidRPr="001461A3">
        <w:rPr>
          <w:rFonts w:ascii="Times New Roman" w:hAnsi="Times New Roman"/>
        </w:rPr>
        <w:t>RI 37-22 –</w:t>
      </w:r>
      <w:r>
        <w:rPr>
          <w:rFonts w:ascii="Times New Roman" w:hAnsi="Times New Roman"/>
        </w:rPr>
        <w:t xml:space="preserve"> </w:t>
      </w:r>
      <w:r w:rsidRPr="001461A3">
        <w:rPr>
          <w:rFonts w:ascii="Times New Roman" w:hAnsi="Times New Roman"/>
        </w:rPr>
        <w:t>Special Tax Notice Regarding Rollovers</w:t>
      </w:r>
    </w:p>
    <w:p w:rsidR="000278AE" w:rsidRPr="001461A3" w:rsidP="000278AE" w14:paraId="3F8FA6CA" w14:textId="77777777">
      <w:pPr>
        <w:rPr>
          <w:rFonts w:ascii="Times New Roman" w:hAnsi="Times New Roman"/>
        </w:rPr>
      </w:pPr>
    </w:p>
    <w:p w:rsidR="00BB4D6D" w:rsidRPr="00BB4D6D" w:rsidP="00BB4D6D" w14:paraId="36784F3F" w14:textId="77777777">
      <w:pPr>
        <w:rPr>
          <w:rFonts w:ascii="Times New Roman" w:hAnsi="Times New Roman"/>
          <w:b/>
          <w:bCs/>
        </w:rPr>
      </w:pPr>
      <w:r w:rsidRPr="00BB4D6D">
        <w:rPr>
          <w:rFonts w:ascii="Times New Roman" w:hAnsi="Times New Roman"/>
          <w:b/>
          <w:bCs/>
        </w:rPr>
        <w:t>A.  JUSTIFICATION </w:t>
      </w:r>
    </w:p>
    <w:p w:rsidR="00BB4D6D" w:rsidP="00BB4D6D" w14:paraId="4084E84C" w14:textId="77777777">
      <w:pPr>
        <w:numPr>
          <w:ilvl w:val="0"/>
          <w:numId w:val="10"/>
        </w:numPr>
        <w:shd w:val="clear" w:color="auto" w:fill="BFBFBF" w:themeFill="background1" w:themeFillShade="BF"/>
        <w:rPr>
          <w:rFonts w:ascii="Times New Roman" w:hAnsi="Times New Roman"/>
        </w:rPr>
      </w:pPr>
      <w:r w:rsidRPr="00BB4D6D">
        <w:rPr>
          <w:rFonts w:ascii="Times New Roman" w:hAnsi="Times New Roman"/>
          <w:i/>
          <w:iCs/>
        </w:rPr>
        <w:t>Explain the circumstances of this collection, why this collection is necessary. and the legal statutes that allow it.</w:t>
      </w:r>
      <w:r w:rsidRPr="00BB4D6D">
        <w:rPr>
          <w:rFonts w:ascii="Times New Roman" w:hAnsi="Times New Roman"/>
        </w:rPr>
        <w:t> </w:t>
      </w:r>
    </w:p>
    <w:p w:rsidR="00BB4D6D" w:rsidRPr="00BB4D6D" w:rsidP="00BB4D6D" w14:paraId="5CEF22A4" w14:textId="77777777">
      <w:pPr>
        <w:ind w:left="720"/>
        <w:rPr>
          <w:rFonts w:ascii="Times New Roman" w:hAnsi="Times New Roman"/>
        </w:rPr>
      </w:pPr>
    </w:p>
    <w:p w:rsidR="000278AE" w:rsidRPr="001461A3" w:rsidP="001461A3" w14:paraId="5D31BA00" w14:textId="7B90644C">
      <w:pPr>
        <w:ind w:left="660"/>
        <w:rPr>
          <w:rFonts w:ascii="Times New Roman" w:hAnsi="Times New Roman"/>
        </w:rPr>
      </w:pPr>
      <w:r w:rsidRPr="001461A3">
        <w:rPr>
          <w:rFonts w:ascii="Times New Roman" w:hAnsi="Times New Roman"/>
        </w:rPr>
        <w:t>Public Law 107-16 amend</w:t>
      </w:r>
      <w:r w:rsidR="002C5955">
        <w:rPr>
          <w:rFonts w:ascii="Times New Roman" w:hAnsi="Times New Roman"/>
        </w:rPr>
        <w:t>ed</w:t>
      </w:r>
      <w:r w:rsidRPr="001461A3">
        <w:rPr>
          <w:rFonts w:ascii="Times New Roman" w:hAnsi="Times New Roman"/>
        </w:rPr>
        <w:t xml:space="preserve"> the Internal Revenue Code to allow an individual to </w:t>
      </w:r>
      <w:r w:rsidRPr="001461A3" w:rsidR="007F6F56">
        <w:rPr>
          <w:rFonts w:ascii="Times New Roman" w:hAnsi="Times New Roman"/>
        </w:rPr>
        <w:t>roll over the post-tax portion of certain distributions from the Office of Personnel Management</w:t>
      </w:r>
      <w:r w:rsidRPr="001461A3" w:rsidR="00F374F4">
        <w:rPr>
          <w:rFonts w:ascii="Times New Roman" w:hAnsi="Times New Roman"/>
        </w:rPr>
        <w:t xml:space="preserve"> (OPM)</w:t>
      </w:r>
      <w:r w:rsidRPr="001461A3" w:rsidR="007F6F56">
        <w:rPr>
          <w:rFonts w:ascii="Times New Roman" w:hAnsi="Times New Roman"/>
        </w:rPr>
        <w:t xml:space="preserve">. The pre-tax portion could already be rolled over. These monies may be rolled into a traditional IRA, </w:t>
      </w:r>
      <w:r w:rsidRPr="001461A3" w:rsidR="00F374F4">
        <w:rPr>
          <w:rFonts w:ascii="Times New Roman" w:hAnsi="Times New Roman"/>
        </w:rPr>
        <w:t xml:space="preserve">a Roth IRA, </w:t>
      </w:r>
      <w:r w:rsidRPr="001461A3" w:rsidR="007F6F56">
        <w:rPr>
          <w:rFonts w:ascii="Times New Roman" w:hAnsi="Times New Roman"/>
        </w:rPr>
        <w:t xml:space="preserve">the </w:t>
      </w:r>
      <w:r w:rsidRPr="001461A3" w:rsidR="00E26035">
        <w:rPr>
          <w:rFonts w:ascii="Times New Roman" w:hAnsi="Times New Roman"/>
        </w:rPr>
        <w:t xml:space="preserve">Federal Retirement </w:t>
      </w:r>
      <w:r w:rsidRPr="001461A3" w:rsidR="007F6F56">
        <w:rPr>
          <w:rFonts w:ascii="Times New Roman" w:hAnsi="Times New Roman"/>
        </w:rPr>
        <w:t>Thrift Savings Plan, or into an eligible employer plan, provided the financial institution or other plan agrees to accept the rollover.</w:t>
      </w:r>
    </w:p>
    <w:p w:rsidR="007F6F56" w:rsidP="007F6F56" w14:paraId="57B97AC0" w14:textId="77777777">
      <w:pPr>
        <w:rPr>
          <w:rFonts w:ascii="Times New Roman" w:hAnsi="Times New Roman"/>
        </w:rPr>
      </w:pPr>
    </w:p>
    <w:p w:rsidR="001461A3" w:rsidRPr="001461A3" w:rsidP="00BB4D6D" w14:paraId="7C2D43EC" w14:textId="301A3482">
      <w:pPr>
        <w:numPr>
          <w:ilvl w:val="0"/>
          <w:numId w:val="10"/>
        </w:numPr>
        <w:shd w:val="clear" w:color="auto" w:fill="BFBFBF" w:themeFill="background1" w:themeFillShade="BF"/>
        <w:rPr>
          <w:rFonts w:ascii="Times New Roman" w:hAnsi="Times New Roman"/>
        </w:rPr>
      </w:pPr>
      <w:r w:rsidRPr="00BB4D6D">
        <w:rPr>
          <w:rFonts w:ascii="Times New Roman" w:hAnsi="Times New Roman"/>
          <w:i/>
          <w:iCs/>
          <w:szCs w:val="20"/>
        </w:rPr>
        <w:t>Describe how, by whom, and for what purpose the information is to be used.  Except for a new collection, describe how the agency has made use of the information received from the current collection. </w:t>
      </w:r>
      <w:r w:rsidRPr="00BB4D6D">
        <w:rPr>
          <w:rFonts w:ascii="Times New Roman" w:hAnsi="Times New Roman"/>
          <w:szCs w:val="20"/>
        </w:rPr>
        <w:t> </w:t>
      </w:r>
    </w:p>
    <w:p w:rsidR="00BB4D6D" w:rsidP="001461A3" w14:paraId="29DC2470" w14:textId="77777777">
      <w:pPr>
        <w:pStyle w:val="ListParagraph"/>
        <w:tabs>
          <w:tab w:val="left" w:pos="-720"/>
        </w:tabs>
        <w:suppressAutoHyphens/>
      </w:pPr>
    </w:p>
    <w:p w:rsidR="001461A3" w:rsidP="36C84EA1" w14:paraId="6F93A726" w14:textId="0111903D">
      <w:pPr>
        <w:pStyle w:val="ListParagraph"/>
        <w:shd w:val="clear" w:color="auto" w:fill="FFFFFF" w:themeFill="background1"/>
        <w:suppressAutoHyphens/>
      </w:pPr>
      <w:r>
        <w:t>RI 38-117, Rollover Election, is used to collect information from each payee affected by a change in the tax code so that OPM can make payment in accordance</w:t>
      </w:r>
      <w:r w:rsidR="00E30D45">
        <w:t xml:space="preserve"> with the wishes of the payee. </w:t>
      </w:r>
      <w:r>
        <w:t xml:space="preserve">RI 38-118, Rollover Information, explains the election. RI 37-22, Special Tax Notice Regarding Rollovers, provides more detailed information. </w:t>
      </w:r>
    </w:p>
    <w:p w:rsidR="007F6F56" w:rsidP="001461A3" w14:paraId="0E805046" w14:textId="77777777">
      <w:pPr>
        <w:ind w:left="660"/>
        <w:rPr>
          <w:rFonts w:ascii="Times New Roman" w:hAnsi="Times New Roman"/>
        </w:rPr>
      </w:pPr>
    </w:p>
    <w:p w:rsidR="007F6F56" w:rsidRPr="001461A3" w:rsidP="003803D0" w14:paraId="31069BE7" w14:textId="6340E37D">
      <w:pPr>
        <w:numPr>
          <w:ilvl w:val="0"/>
          <w:numId w:val="10"/>
        </w:numPr>
        <w:shd w:val="clear" w:color="auto" w:fill="BFBFBF" w:themeFill="background1" w:themeFillShade="BF"/>
        <w:rPr>
          <w:rFonts w:ascii="Times New Roman" w:hAnsi="Times New Roman"/>
        </w:rPr>
      </w:pPr>
      <w:r w:rsidRPr="003803D0">
        <w:rPr>
          <w:rFonts w:ascii="Times New Roman" w:hAnsi="Times New Roman"/>
          <w:i/>
          <w:iCs/>
          <w:szCs w:val="20"/>
        </w:rPr>
        <w:t>How are the respondents expected to complete the collection?</w:t>
      </w:r>
      <w:r w:rsidR="008A4E5A">
        <w:rPr>
          <w:rFonts w:ascii="Times New Roman" w:hAnsi="Times New Roman"/>
          <w:i/>
          <w:iCs/>
          <w:szCs w:val="20"/>
        </w:rPr>
        <w:t xml:space="preserve"> </w:t>
      </w:r>
      <w:r w:rsidRPr="008A4E5A" w:rsidR="008A4E5A">
        <w:rPr>
          <w:rFonts w:ascii="Times New Roman" w:hAnsi="Times New Roman"/>
          <w:i/>
          <w:iCs/>
          <w:szCs w:val="20"/>
        </w:rPr>
        <w:t>Can this collection be completed electronically (e.g., through a website or application)?  </w:t>
      </w:r>
      <w:r w:rsidRPr="003803D0">
        <w:rPr>
          <w:rFonts w:ascii="Times New Roman" w:hAnsi="Times New Roman"/>
          <w:i/>
          <w:iCs/>
          <w:szCs w:val="20"/>
        </w:rPr>
        <w:t xml:space="preserve"> </w:t>
      </w:r>
    </w:p>
    <w:p w:rsidR="003803D0" w:rsidP="00891D75" w14:paraId="2792EB10" w14:textId="77777777">
      <w:pPr>
        <w:ind w:left="660"/>
        <w:rPr>
          <w:rFonts w:ascii="Times New Roman" w:hAnsi="Times New Roman"/>
        </w:rPr>
      </w:pPr>
    </w:p>
    <w:p w:rsidR="00D2694E" w:rsidP="00891D75" w14:paraId="6597C40F" w14:textId="461719D0">
      <w:pPr>
        <w:ind w:left="660"/>
        <w:rPr>
          <w:rFonts w:ascii="Times New Roman" w:hAnsi="Times New Roman"/>
        </w:rPr>
      </w:pPr>
      <w:r w:rsidRPr="008F76CD">
        <w:rPr>
          <w:rFonts w:ascii="Times New Roman" w:hAnsi="Times New Roman"/>
        </w:rPr>
        <w:t>Respondents can complete the</w:t>
      </w:r>
      <w:r>
        <w:rPr>
          <w:rFonts w:ascii="Times New Roman" w:hAnsi="Times New Roman"/>
        </w:rPr>
        <w:t xml:space="preserve"> </w:t>
      </w:r>
      <w:r w:rsidR="0034398B">
        <w:rPr>
          <w:rFonts w:ascii="Times New Roman" w:hAnsi="Times New Roman"/>
        </w:rPr>
        <w:t>RI 38-117</w:t>
      </w:r>
      <w:r w:rsidR="007B629D">
        <w:rPr>
          <w:rFonts w:ascii="Times New Roman" w:hAnsi="Times New Roman"/>
        </w:rPr>
        <w:t>/</w:t>
      </w:r>
      <w:r w:rsidR="0034398B">
        <w:rPr>
          <w:rFonts w:ascii="Times New Roman" w:hAnsi="Times New Roman"/>
        </w:rPr>
        <w:t xml:space="preserve">RI 38-118 and mail the </w:t>
      </w:r>
      <w:r w:rsidR="007B629D">
        <w:rPr>
          <w:rFonts w:ascii="Times New Roman" w:hAnsi="Times New Roman"/>
        </w:rPr>
        <w:t xml:space="preserve">completed </w:t>
      </w:r>
      <w:r w:rsidR="0034398B">
        <w:rPr>
          <w:rFonts w:ascii="Times New Roman" w:hAnsi="Times New Roman"/>
        </w:rPr>
        <w:t>form to</w:t>
      </w:r>
      <w:r w:rsidR="007B629D">
        <w:rPr>
          <w:rFonts w:ascii="Times New Roman" w:hAnsi="Times New Roman"/>
        </w:rPr>
        <w:t xml:space="preserve"> the address provided on the provided reply envelope. This information collection is a</w:t>
      </w:r>
      <w:r w:rsidR="001D47CD">
        <w:rPr>
          <w:rFonts w:ascii="Times New Roman" w:hAnsi="Times New Roman"/>
        </w:rPr>
        <w:t xml:space="preserve">n OPM generated </w:t>
      </w:r>
      <w:r w:rsidR="007B629D">
        <w:rPr>
          <w:rFonts w:ascii="Times New Roman" w:hAnsi="Times New Roman"/>
        </w:rPr>
        <w:t>personalized form containing the annuitant’s information</w:t>
      </w:r>
      <w:r w:rsidR="001D47CD">
        <w:rPr>
          <w:rFonts w:ascii="Times New Roman" w:hAnsi="Times New Roman"/>
        </w:rPr>
        <w:t>. The annuitant is required to reply by the date instructed on the form.</w:t>
      </w:r>
      <w:r w:rsidR="007B629D">
        <w:rPr>
          <w:rFonts w:ascii="Times New Roman" w:hAnsi="Times New Roman"/>
        </w:rPr>
        <w:t xml:space="preserve"> </w:t>
      </w:r>
      <w:r w:rsidR="001D47CD">
        <w:rPr>
          <w:rFonts w:ascii="Times New Roman" w:hAnsi="Times New Roman"/>
        </w:rPr>
        <w:t xml:space="preserve">The form can also be </w:t>
      </w:r>
      <w:r w:rsidR="002A5FE3">
        <w:rPr>
          <w:rFonts w:ascii="Times New Roman" w:hAnsi="Times New Roman"/>
        </w:rPr>
        <w:t xml:space="preserve">scanned and </w:t>
      </w:r>
      <w:r w:rsidR="001D47CD">
        <w:rPr>
          <w:rFonts w:ascii="Times New Roman" w:hAnsi="Times New Roman"/>
        </w:rPr>
        <w:t xml:space="preserve">submitted electronically </w:t>
      </w:r>
      <w:r w:rsidR="002A5FE3">
        <w:rPr>
          <w:rFonts w:ascii="Times New Roman" w:hAnsi="Times New Roman"/>
        </w:rPr>
        <w:t>to OPM’s retirement email account.</w:t>
      </w:r>
    </w:p>
    <w:p w:rsidR="00891D75" w:rsidP="00D2694E" w14:paraId="0A4956CF" w14:textId="77777777">
      <w:pPr>
        <w:rPr>
          <w:rFonts w:ascii="Times New Roman" w:hAnsi="Times New Roman"/>
        </w:rPr>
      </w:pPr>
    </w:p>
    <w:p w:rsidR="00891D75" w:rsidP="002A5FE3" w14:paraId="58966617" w14:textId="1A4314C7">
      <w:pPr>
        <w:numPr>
          <w:ilvl w:val="0"/>
          <w:numId w:val="10"/>
        </w:numPr>
        <w:shd w:val="clear" w:color="auto" w:fill="BFBFBF" w:themeFill="background1" w:themeFillShade="BF"/>
        <w:rPr>
          <w:rFonts w:ascii="Times New Roman" w:hAnsi="Times New Roman"/>
        </w:rPr>
      </w:pPr>
      <w:r w:rsidRPr="002A5FE3">
        <w:rPr>
          <w:rFonts w:ascii="Times New Roman" w:hAnsi="Times New Roman"/>
          <w:i/>
          <w:iCs/>
          <w:szCs w:val="20"/>
        </w:rPr>
        <w:t>Does this collection duplicate any other collection of information? Describe why the agency doesn’t already have this information within their systems.</w:t>
      </w:r>
    </w:p>
    <w:p w:rsidR="00262A15" w:rsidP="00891D75" w14:paraId="69C85154" w14:textId="77777777">
      <w:pPr>
        <w:pStyle w:val="ListParagraph"/>
        <w:tabs>
          <w:tab w:val="left" w:pos="-720"/>
        </w:tabs>
        <w:suppressAutoHyphens/>
      </w:pPr>
    </w:p>
    <w:p w:rsidR="00891D75" w:rsidP="00891D75" w14:paraId="0C5005FA" w14:textId="056BE44D">
      <w:pPr>
        <w:pStyle w:val="ListParagraph"/>
        <w:tabs>
          <w:tab w:val="left" w:pos="-720"/>
        </w:tabs>
        <w:suppressAutoHyphens/>
      </w:pPr>
      <w:r w:rsidRPr="00262A15">
        <w:t xml:space="preserve">While OPM must give the annuitant the opportunity to initiate a change in their election, OPM is continuing its </w:t>
      </w:r>
      <w:r>
        <w:t>online retirement application system</w:t>
      </w:r>
      <w:r w:rsidRPr="00262A15">
        <w:t xml:space="preserve"> to</w:t>
      </w:r>
      <w:r>
        <w:t xml:space="preserve"> maintain</w:t>
      </w:r>
      <w:r w:rsidRPr="00262A15">
        <w:t xml:space="preserve"> a fully digital retirement case processing method. Additionally, OPM will continue building on pilot initiatives to improve the annuitant experience like the online retirement guide and chatbot. Retirement Services will use data-driven evaluations of these pilots to inform additional ways to better answer annuitant questions and reduce their burden.</w:t>
      </w:r>
    </w:p>
    <w:p w:rsidR="00262A15" w:rsidP="00891D75" w14:paraId="1C8DEC67" w14:textId="77777777">
      <w:pPr>
        <w:pStyle w:val="ListParagraph"/>
        <w:tabs>
          <w:tab w:val="left" w:pos="-720"/>
        </w:tabs>
        <w:suppressAutoHyphens/>
      </w:pPr>
    </w:p>
    <w:p w:rsidR="00891D75" w:rsidP="00092BE2" w14:paraId="6A850816" w14:textId="12EB2BEA">
      <w:pPr>
        <w:numPr>
          <w:ilvl w:val="0"/>
          <w:numId w:val="10"/>
        </w:numPr>
        <w:shd w:val="clear" w:color="auto" w:fill="BFBFBF" w:themeFill="background1" w:themeFillShade="BF"/>
      </w:pPr>
      <w:r w:rsidRPr="00092BE2">
        <w:rPr>
          <w:rFonts w:ascii="Times New Roman" w:hAnsi="Times New Roman"/>
          <w:i/>
          <w:iCs/>
          <w:szCs w:val="20"/>
        </w:rPr>
        <w:t>Describe any impacts on small business. If applicable, describe any methods used to minimize those impacts.</w:t>
      </w:r>
      <w:r>
        <w:rPr>
          <w:rFonts w:ascii="Times New Roman" w:hAnsi="Times New Roman"/>
          <w:i/>
          <w:iCs/>
          <w:szCs w:val="20"/>
          <w:shd w:val="clear" w:color="auto" w:fill="BFBFBF" w:themeFill="background1" w:themeFillShade="BF"/>
        </w:rPr>
        <w:t xml:space="preserve"> </w:t>
      </w:r>
    </w:p>
    <w:p w:rsidR="00A57790" w:rsidP="00891D75" w14:paraId="02A4E9BB" w14:textId="77777777">
      <w:pPr>
        <w:ind w:firstLine="660"/>
        <w:rPr>
          <w:rFonts w:ascii="Times New Roman" w:hAnsi="Times New Roman"/>
        </w:rPr>
      </w:pPr>
    </w:p>
    <w:p w:rsidR="00A57790" w:rsidP="00A57790" w14:paraId="59156D2E" w14:textId="77777777">
      <w:pPr>
        <w:ind w:firstLine="660"/>
        <w:rPr>
          <w:rFonts w:ascii="Times New Roman" w:hAnsi="Times New Roman"/>
        </w:rPr>
      </w:pPr>
      <w:r>
        <w:rPr>
          <w:rFonts w:ascii="Times New Roman" w:hAnsi="Times New Roman"/>
        </w:rPr>
        <w:t xml:space="preserve"> </w:t>
      </w:r>
      <w:r w:rsidRPr="001461A3" w:rsidR="002613FD">
        <w:rPr>
          <w:rFonts w:ascii="Times New Roman" w:hAnsi="Times New Roman"/>
        </w:rPr>
        <w:t>This information collection request has no impact on small businesses and organizations.</w:t>
      </w:r>
    </w:p>
    <w:p w:rsidR="00A57790" w:rsidP="00A57790" w14:paraId="0C7DEE07" w14:textId="77777777">
      <w:pPr>
        <w:ind w:firstLine="660"/>
        <w:rPr>
          <w:rFonts w:ascii="Times New Roman" w:hAnsi="Times New Roman"/>
        </w:rPr>
      </w:pPr>
    </w:p>
    <w:p w:rsidR="00A57790" w:rsidRPr="00092BE2" w:rsidP="00092BE2" w14:paraId="55B19200" w14:textId="5149DBA8">
      <w:pPr>
        <w:numPr>
          <w:ilvl w:val="0"/>
          <w:numId w:val="10"/>
        </w:numPr>
        <w:shd w:val="clear" w:color="auto" w:fill="BFBFBF" w:themeFill="background1" w:themeFillShade="BF"/>
        <w:rPr>
          <w:rFonts w:ascii="Times New Roman" w:hAnsi="Times New Roman"/>
        </w:rPr>
      </w:pPr>
      <w:r w:rsidRPr="00092BE2">
        <w:rPr>
          <w:rFonts w:ascii="Times New Roman" w:hAnsi="Times New Roman"/>
          <w:i/>
          <w:iCs/>
        </w:rPr>
        <w:t>What are consequences to the Federal program or policy goals if this collection is not done or the information is collected less frequently? Describe any technical or legal obstacles to reducing burden.</w:t>
      </w:r>
      <w:r w:rsidRPr="00092BE2" w:rsidR="00043D0F">
        <w:rPr>
          <w:rFonts w:ascii="Times New Roman" w:hAnsi="Times New Roman"/>
          <w:i/>
          <w:iCs/>
        </w:rPr>
        <w:tab/>
      </w:r>
    </w:p>
    <w:p w:rsidR="00092BE2" w:rsidRPr="00092BE2" w:rsidP="00092BE2" w14:paraId="5D7427D3" w14:textId="77777777">
      <w:pPr>
        <w:ind w:left="720"/>
        <w:rPr>
          <w:rFonts w:ascii="Times New Roman" w:hAnsi="Times New Roman"/>
        </w:rPr>
      </w:pPr>
    </w:p>
    <w:p w:rsidR="00D2694E" w:rsidP="00891D75" w14:paraId="657A63F7" w14:textId="77777777">
      <w:pPr>
        <w:ind w:left="660"/>
        <w:rPr>
          <w:rFonts w:ascii="Times New Roman" w:hAnsi="Times New Roman"/>
        </w:rPr>
      </w:pPr>
      <w:r w:rsidRPr="001461A3">
        <w:rPr>
          <w:rFonts w:ascii="Times New Roman" w:hAnsi="Times New Roman"/>
        </w:rPr>
        <w:t>This information collection cannot be made less frequently</w:t>
      </w:r>
      <w:r w:rsidRPr="001461A3" w:rsidR="00BF7F9D">
        <w:rPr>
          <w:rFonts w:ascii="Times New Roman" w:hAnsi="Times New Roman"/>
        </w:rPr>
        <w:t xml:space="preserve"> because it is filed at the annuitant’s option</w:t>
      </w:r>
      <w:r w:rsidRPr="001461A3">
        <w:rPr>
          <w:rFonts w:ascii="Times New Roman" w:hAnsi="Times New Roman"/>
        </w:rPr>
        <w:t xml:space="preserve">. If this information were collected less frequently, OPM would not </w:t>
      </w:r>
      <w:r w:rsidR="00891D75">
        <w:rPr>
          <w:rFonts w:ascii="Times New Roman" w:hAnsi="Times New Roman"/>
        </w:rPr>
        <w:br/>
      </w:r>
      <w:r w:rsidRPr="001461A3">
        <w:rPr>
          <w:rFonts w:ascii="Times New Roman" w:hAnsi="Times New Roman"/>
        </w:rPr>
        <w:t xml:space="preserve">be in compliance with </w:t>
      </w:r>
      <w:r w:rsidRPr="001461A3" w:rsidR="00BF7F9D">
        <w:rPr>
          <w:rFonts w:ascii="Times New Roman" w:hAnsi="Times New Roman"/>
        </w:rPr>
        <w:t>Public Law 107-16.</w:t>
      </w:r>
    </w:p>
    <w:p w:rsidR="00891D75" w:rsidP="00891D75" w14:paraId="2359F457" w14:textId="77777777">
      <w:pPr>
        <w:ind w:left="660"/>
        <w:rPr>
          <w:rFonts w:ascii="Times New Roman" w:hAnsi="Times New Roman"/>
        </w:rPr>
      </w:pPr>
    </w:p>
    <w:p w:rsidR="00401B4E" w:rsidRPr="00401B4E" w:rsidP="00401B4E" w14:paraId="7C96852E" w14:textId="77777777">
      <w:pPr>
        <w:numPr>
          <w:ilvl w:val="0"/>
          <w:numId w:val="11"/>
        </w:numPr>
        <w:shd w:val="clear" w:color="auto" w:fill="BFBFBF" w:themeFill="background1" w:themeFillShade="BF"/>
        <w:rPr>
          <w:rFonts w:ascii="Times New Roman" w:hAnsi="Times New Roman"/>
          <w:szCs w:val="20"/>
        </w:rPr>
      </w:pPr>
      <w:r w:rsidRPr="00401B4E">
        <w:rPr>
          <w:rFonts w:ascii="Times New Roman" w:hAnsi="Times New Roman"/>
          <w:i/>
          <w:iCs/>
          <w:szCs w:val="20"/>
        </w:rPr>
        <w:t>Do any of the following special circumstances apply?</w:t>
      </w:r>
      <w:r w:rsidRPr="00401B4E">
        <w:rPr>
          <w:rFonts w:ascii="Times New Roman" w:hAnsi="Times New Roman"/>
          <w:szCs w:val="20"/>
        </w:rPr>
        <w:t>  </w:t>
      </w:r>
    </w:p>
    <w:p w:rsidR="00401B4E" w:rsidRPr="00401B4E" w:rsidP="00401B4E" w14:paraId="3580208F"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report information to the agency more often than quarterly; </w:t>
      </w:r>
      <w:r w:rsidRPr="00401B4E">
        <w:rPr>
          <w:rFonts w:ascii="Times New Roman" w:hAnsi="Times New Roman"/>
          <w:szCs w:val="20"/>
        </w:rPr>
        <w:t> </w:t>
      </w:r>
    </w:p>
    <w:p w:rsidR="00401B4E" w:rsidRPr="00401B4E" w:rsidP="00401B4E" w14:paraId="0F6DE8B1"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•requiring respondents to prepare a written response to a collection of information in fewer than 30 days after receipt of it;  </w:t>
      </w:r>
      <w:r w:rsidRPr="00401B4E">
        <w:rPr>
          <w:rFonts w:ascii="Times New Roman" w:hAnsi="Times New Roman"/>
          <w:szCs w:val="20"/>
        </w:rPr>
        <w:t> </w:t>
      </w:r>
    </w:p>
    <w:p w:rsidR="00401B4E" w:rsidRPr="00401B4E" w:rsidP="00401B4E" w14:paraId="06848082"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•requiring respondents to submit more than an original and two copies of any document; </w:t>
      </w:r>
      <w:r w:rsidRPr="00401B4E">
        <w:rPr>
          <w:rFonts w:ascii="Times New Roman" w:hAnsi="Times New Roman"/>
          <w:szCs w:val="20"/>
        </w:rPr>
        <w:t> </w:t>
      </w:r>
    </w:p>
    <w:p w:rsidR="00401B4E" w:rsidRPr="00401B4E" w:rsidP="00401B4E" w14:paraId="2442A32A"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retain records, other than health, medical, government contract, grant-in-aid, or tax records, for more than three years; </w:t>
      </w:r>
      <w:r w:rsidRPr="00401B4E">
        <w:rPr>
          <w:rFonts w:ascii="Times New Roman" w:hAnsi="Times New Roman"/>
          <w:szCs w:val="20"/>
        </w:rPr>
        <w:t> </w:t>
      </w:r>
    </w:p>
    <w:p w:rsidR="00401B4E" w:rsidRPr="00401B4E" w:rsidP="00401B4E" w14:paraId="2B7A54FB"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in connection with a statistical survey, that is not designed to produce valid and reliable results that can be generalized to the universe of study; </w:t>
      </w:r>
      <w:r w:rsidRPr="00401B4E">
        <w:rPr>
          <w:rFonts w:ascii="Times New Roman" w:hAnsi="Times New Roman"/>
          <w:szCs w:val="20"/>
        </w:rPr>
        <w:t> </w:t>
      </w:r>
    </w:p>
    <w:p w:rsidR="00401B4E" w:rsidRPr="00401B4E" w:rsidP="00401B4E" w14:paraId="0F1AE90B"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the use of a statistical data classification that has not been reviewed and approved by OMB; </w:t>
      </w:r>
      <w:r w:rsidRPr="00401B4E">
        <w:rPr>
          <w:rFonts w:ascii="Times New Roman" w:hAnsi="Times New Roman"/>
          <w:szCs w:val="20"/>
        </w:rPr>
        <w:t> </w:t>
      </w:r>
    </w:p>
    <w:p w:rsidR="00401B4E" w:rsidRPr="00401B4E" w:rsidP="00401B4E" w14:paraId="166B05E5"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rFonts w:ascii="Times New Roman" w:hAnsi="Times New Roman"/>
          <w:szCs w:val="20"/>
        </w:rPr>
        <w:t> </w:t>
      </w:r>
    </w:p>
    <w:p w:rsidR="00401B4E" w:rsidRPr="00401B4E" w:rsidP="00401B4E" w14:paraId="22CDCCD4" w14:textId="77777777">
      <w:pPr>
        <w:shd w:val="clear" w:color="auto" w:fill="BFBFBF" w:themeFill="background1" w:themeFillShade="BF"/>
        <w:ind w:left="660"/>
        <w:rPr>
          <w:rFonts w:ascii="Times New Roman" w:hAnsi="Times New Roman"/>
          <w:szCs w:val="20"/>
        </w:rPr>
      </w:pPr>
      <w:r w:rsidRPr="00401B4E">
        <w:rPr>
          <w:rFonts w:ascii="Times New Roman" w:hAnsi="Times New Roman"/>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rFonts w:ascii="Times New Roman" w:hAnsi="Times New Roman"/>
          <w:szCs w:val="20"/>
        </w:rPr>
        <w:t> </w:t>
      </w:r>
    </w:p>
    <w:p w:rsidR="00401B4E" w:rsidP="00401B4E" w14:paraId="29AF3F51" w14:textId="77777777">
      <w:pPr>
        <w:ind w:left="660"/>
        <w:rPr>
          <w:rFonts w:ascii="Times New Roman" w:hAnsi="Times New Roman"/>
          <w:szCs w:val="20"/>
        </w:rPr>
      </w:pPr>
    </w:p>
    <w:p w:rsidR="00401B4E" w:rsidP="00401B4E" w14:paraId="4C37A20E" w14:textId="3BD3068E">
      <w:pPr>
        <w:ind w:left="660"/>
        <w:rPr>
          <w:rFonts w:ascii="Times New Roman" w:hAnsi="Times New Roman"/>
          <w:szCs w:val="20"/>
        </w:rPr>
      </w:pPr>
      <w:r w:rsidRPr="00401B4E">
        <w:rPr>
          <w:rFonts w:ascii="Times New Roman" w:hAnsi="Times New Roman"/>
          <w:szCs w:val="20"/>
        </w:rPr>
        <w:t>There are no special circumstances involved in the collection of this information. </w:t>
      </w:r>
    </w:p>
    <w:p w:rsidR="00092BE2" w:rsidP="00092BE2" w14:paraId="12C0CC6F" w14:textId="77777777">
      <w:pPr>
        <w:rPr>
          <w:rFonts w:ascii="Times New Roman" w:hAnsi="Times New Roman"/>
          <w:szCs w:val="20"/>
        </w:rPr>
      </w:pPr>
    </w:p>
    <w:p w:rsidR="00092BE2" w:rsidRPr="00092BE2" w:rsidP="00092BE2" w14:paraId="30FCE528" w14:textId="5B8310FF">
      <w:pPr>
        <w:numPr>
          <w:ilvl w:val="0"/>
          <w:numId w:val="20"/>
        </w:numPr>
        <w:shd w:val="clear" w:color="auto" w:fill="BFBFBF" w:themeFill="background1" w:themeFillShade="BF"/>
        <w:rPr>
          <w:rFonts w:ascii="Times New Roman" w:hAnsi="Times New Roman"/>
          <w:szCs w:val="20"/>
        </w:rPr>
      </w:pPr>
      <w:r w:rsidRPr="00092BE2">
        <w:rPr>
          <w:rFonts w:ascii="Times New Roman" w:hAnsi="Times New Roman"/>
          <w:i/>
          <w:iCs/>
          <w:szCs w:val="20"/>
        </w:rPr>
        <w:t>Cite the Federal Register publication for a request for public comments and address any comments received.</w:t>
      </w:r>
      <w:r w:rsidRPr="00092BE2">
        <w:rPr>
          <w:rFonts w:ascii="Times New Roman" w:hAnsi="Times New Roman"/>
          <w:szCs w:val="20"/>
        </w:rPr>
        <w:t> </w:t>
      </w:r>
    </w:p>
    <w:p w:rsidR="00092BE2" w:rsidP="00092BE2" w14:paraId="4A052C65" w14:textId="77777777">
      <w:pPr>
        <w:ind w:firstLine="720"/>
        <w:rPr>
          <w:rFonts w:ascii="Times New Roman" w:hAnsi="Times New Roman"/>
          <w:szCs w:val="20"/>
        </w:rPr>
      </w:pPr>
    </w:p>
    <w:p w:rsidR="00A6128E" w:rsidRPr="00401B4E" w:rsidP="00A6128E" w14:paraId="15B8A275" w14:textId="48E87C53">
      <w:pPr>
        <w:ind w:left="720"/>
        <w:rPr>
          <w:rFonts w:ascii="Times New Roman" w:hAnsi="Times New Roman"/>
          <w:szCs w:val="20"/>
        </w:rPr>
      </w:pPr>
      <w:r w:rsidRPr="00092BE2">
        <w:rPr>
          <w:rFonts w:ascii="Times New Roman" w:hAnsi="Times New Roman"/>
          <w:szCs w:val="20"/>
        </w:rPr>
        <w:t xml:space="preserve">On </w:t>
      </w:r>
      <w:r w:rsidR="00A415BF">
        <w:rPr>
          <w:rFonts w:ascii="Times New Roman" w:hAnsi="Times New Roman"/>
          <w:szCs w:val="20"/>
        </w:rPr>
        <w:t xml:space="preserve">April </w:t>
      </w:r>
      <w:r w:rsidR="00322268">
        <w:rPr>
          <w:rFonts w:ascii="Times New Roman" w:hAnsi="Times New Roman"/>
          <w:szCs w:val="20"/>
        </w:rPr>
        <w:t>3</w:t>
      </w:r>
      <w:r w:rsidR="00A415BF">
        <w:rPr>
          <w:rFonts w:ascii="Times New Roman" w:hAnsi="Times New Roman"/>
          <w:szCs w:val="20"/>
        </w:rPr>
        <w:t>, 2025</w:t>
      </w:r>
      <w:r w:rsidRPr="00092BE2">
        <w:rPr>
          <w:rFonts w:ascii="Times New Roman" w:hAnsi="Times New Roman"/>
          <w:szCs w:val="20"/>
        </w:rPr>
        <w:t>, a 60-Day Federal Register Notice was published at 9</w:t>
      </w:r>
      <w:r w:rsidR="00A415BF">
        <w:rPr>
          <w:rFonts w:ascii="Times New Roman" w:hAnsi="Times New Roman"/>
          <w:szCs w:val="20"/>
        </w:rPr>
        <w:t>0</w:t>
      </w:r>
      <w:r w:rsidRPr="00092BE2">
        <w:rPr>
          <w:rFonts w:ascii="Times New Roman" w:hAnsi="Times New Roman"/>
          <w:szCs w:val="20"/>
        </w:rPr>
        <w:t xml:space="preserve"> FR 1</w:t>
      </w:r>
      <w:r w:rsidR="003E6960">
        <w:rPr>
          <w:rFonts w:ascii="Times New Roman" w:hAnsi="Times New Roman"/>
          <w:szCs w:val="20"/>
        </w:rPr>
        <w:t>4665</w:t>
      </w:r>
      <w:r w:rsidRPr="00092BE2">
        <w:rPr>
          <w:rFonts w:ascii="Times New Roman" w:hAnsi="Times New Roman"/>
          <w:szCs w:val="20"/>
        </w:rPr>
        <w:t>, requesting comments. No comments were received. </w:t>
      </w:r>
      <w:r>
        <w:rPr>
          <w:rFonts w:ascii="Times New Roman" w:hAnsi="Times New Roman"/>
          <w:szCs w:val="20"/>
        </w:rPr>
        <w:t xml:space="preserve">A 30-Day notice was published on </w:t>
      </w:r>
      <w:r w:rsidR="003C2CE5">
        <w:rPr>
          <w:rFonts w:ascii="Times New Roman" w:hAnsi="Times New Roman"/>
          <w:szCs w:val="20"/>
        </w:rPr>
        <w:t xml:space="preserve">September 26, 2025, at </w:t>
      </w:r>
      <w:r w:rsidRPr="003C2CE5" w:rsidR="003C2CE5">
        <w:rPr>
          <w:rFonts w:ascii="Times New Roman" w:hAnsi="Times New Roman"/>
          <w:szCs w:val="20"/>
        </w:rPr>
        <w:t>90 FR 46422</w:t>
      </w:r>
      <w:r w:rsidR="003C2CE5">
        <w:rPr>
          <w:rFonts w:ascii="Times New Roman" w:hAnsi="Times New Roman"/>
          <w:szCs w:val="20"/>
        </w:rPr>
        <w:t>. No comments were received.</w:t>
      </w:r>
    </w:p>
    <w:p w:rsidR="00401B4E" w:rsidRPr="00401B4E" w:rsidP="00401B4E" w14:paraId="6DE40803" w14:textId="431CD613">
      <w:pPr>
        <w:ind w:left="660"/>
        <w:rPr>
          <w:rFonts w:ascii="Times New Roman" w:hAnsi="Times New Roman"/>
          <w:szCs w:val="20"/>
        </w:rPr>
      </w:pPr>
      <w:r w:rsidRPr="00401B4E">
        <w:rPr>
          <w:rFonts w:ascii="Times New Roman" w:hAnsi="Times New Roman"/>
          <w:szCs w:val="20"/>
        </w:rPr>
        <w:t>  </w:t>
      </w:r>
    </w:p>
    <w:p w:rsidR="00401B4E" w:rsidRPr="00A415BF" w:rsidP="00A415BF" w14:paraId="19A9873A" w14:textId="39A10AA9">
      <w:pPr>
        <w:pStyle w:val="ListParagraph"/>
        <w:numPr>
          <w:ilvl w:val="0"/>
          <w:numId w:val="20"/>
        </w:numPr>
        <w:shd w:val="clear" w:color="auto" w:fill="BFBFBF" w:themeFill="background1" w:themeFillShade="BF"/>
        <w:tabs>
          <w:tab w:val="left" w:pos="-720"/>
        </w:tabs>
        <w:suppressAutoHyphens/>
        <w:rPr>
          <w:i/>
          <w:iCs/>
        </w:rPr>
      </w:pPr>
      <w:r w:rsidRPr="00A415BF">
        <w:rPr>
          <w:i/>
          <w:iCs/>
        </w:rPr>
        <w:t>Are payments or gifts given to the respondents? </w:t>
      </w:r>
    </w:p>
    <w:p w:rsidR="00401B4E" w:rsidP="00401B4E" w14:paraId="38EECB9B" w14:textId="77777777">
      <w:pPr>
        <w:pStyle w:val="ListParagraph"/>
        <w:tabs>
          <w:tab w:val="left" w:pos="-720"/>
        </w:tabs>
        <w:suppressAutoHyphens/>
        <w:rPr>
          <w:i/>
          <w:iCs/>
        </w:rPr>
      </w:pPr>
    </w:p>
    <w:p w:rsidR="00401B4E" w:rsidRPr="00401B4E" w:rsidP="00401B4E" w14:paraId="17B5691B" w14:textId="111DA27A">
      <w:pPr>
        <w:pStyle w:val="ListParagraph"/>
        <w:tabs>
          <w:tab w:val="left" w:pos="-720"/>
        </w:tabs>
        <w:suppressAutoHyphens/>
      </w:pPr>
      <w:r w:rsidRPr="00401B4E">
        <w:t>No gifts or payments of any kind have been provided to any individuals who are connected to this collection. </w:t>
      </w:r>
    </w:p>
    <w:p w:rsidR="00401B4E" w:rsidRPr="00401B4E" w:rsidP="00401B4E" w14:paraId="258DEAA8" w14:textId="77777777">
      <w:pPr>
        <w:pStyle w:val="ListParagraph"/>
        <w:tabs>
          <w:tab w:val="left" w:pos="-720"/>
        </w:tabs>
        <w:suppressAutoHyphens/>
        <w:rPr>
          <w:i/>
          <w:iCs/>
        </w:rPr>
      </w:pPr>
      <w:r w:rsidRPr="00401B4E">
        <w:rPr>
          <w:i/>
          <w:iCs/>
        </w:rPr>
        <w:t> </w:t>
      </w:r>
    </w:p>
    <w:p w:rsidR="00401B4E" w:rsidRPr="00092BE2" w:rsidP="00A415BF" w14:paraId="506FEB33" w14:textId="33A45A5A">
      <w:pPr>
        <w:pStyle w:val="ListParagraph"/>
        <w:numPr>
          <w:ilvl w:val="0"/>
          <w:numId w:val="20"/>
        </w:numPr>
        <w:shd w:val="clear" w:color="auto" w:fill="BFBFBF" w:themeFill="background1" w:themeFillShade="BF"/>
        <w:tabs>
          <w:tab w:val="left" w:pos="-720"/>
        </w:tabs>
        <w:suppressAutoHyphens/>
        <w:rPr>
          <w:i/>
          <w:iCs/>
        </w:rPr>
      </w:pPr>
      <w:r w:rsidRPr="00092BE2">
        <w:rPr>
          <w:i/>
          <w:iCs/>
        </w:rPr>
        <w:t>Describe any assurances of privacy/confidentiality. Cite specific privacy laws, relevant OPM regulations, and SORNs. </w:t>
      </w:r>
    </w:p>
    <w:p w:rsidR="00401B4E" w:rsidP="00401B4E" w14:paraId="1DCE2797" w14:textId="77777777">
      <w:pPr>
        <w:pStyle w:val="ListParagraph"/>
        <w:tabs>
          <w:tab w:val="left" w:pos="-720"/>
        </w:tabs>
        <w:suppressAutoHyphens/>
      </w:pPr>
    </w:p>
    <w:p w:rsidR="00401B4E" w:rsidRPr="00401B4E" w:rsidP="00401B4E" w14:paraId="709ED7E5" w14:textId="6D63840F">
      <w:pPr>
        <w:pStyle w:val="ListParagraph"/>
        <w:tabs>
          <w:tab w:val="left" w:pos="-720"/>
        </w:tabs>
        <w:suppressAutoHyphens/>
      </w:pPr>
      <w:r w:rsidRPr="00401B4E">
        <w:t>This information collection is protected by the Privacy Act of 1974 and OPM regulations (5 CFR 831.106). The routine uses of disclosure appear in the Federal Register for OPM/Central-1 (87 FR 5874, published February 2, 2022).  </w:t>
      </w:r>
    </w:p>
    <w:p w:rsidR="00401B4E" w:rsidRPr="00401B4E" w:rsidP="00401B4E" w14:paraId="190C8FBD" w14:textId="4532F21C">
      <w:pPr>
        <w:pStyle w:val="ListParagraph"/>
        <w:tabs>
          <w:tab w:val="left" w:pos="-720"/>
        </w:tabs>
        <w:suppressAutoHyphens/>
        <w:rPr>
          <w:i/>
          <w:iCs/>
        </w:rPr>
      </w:pPr>
      <w:r w:rsidRPr="00401B4E">
        <w:t> </w:t>
      </w:r>
      <w:r w:rsidRPr="00401B4E">
        <w:rPr>
          <w:i/>
          <w:iCs/>
        </w:rPr>
        <w:t> </w:t>
      </w:r>
    </w:p>
    <w:p w:rsidR="00401B4E" w:rsidRPr="00092BE2" w:rsidP="00A415BF" w14:paraId="11F2FF82" w14:textId="329B39A4">
      <w:pPr>
        <w:pStyle w:val="ListParagraph"/>
        <w:numPr>
          <w:ilvl w:val="0"/>
          <w:numId w:val="20"/>
        </w:numPr>
        <w:shd w:val="clear" w:color="auto" w:fill="BFBFBF" w:themeFill="background1" w:themeFillShade="BF"/>
        <w:tabs>
          <w:tab w:val="left" w:pos="-720"/>
        </w:tabs>
        <w:suppressAutoHyphens/>
        <w:rPr>
          <w:i/>
          <w:iCs/>
        </w:rPr>
      </w:pPr>
      <w:r w:rsidRPr="00092BE2">
        <w:rPr>
          <w:i/>
          <w:iCs/>
        </w:rPr>
        <w:t>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01B4E" w:rsidRPr="00401B4E" w:rsidP="00401B4E" w14:paraId="3240DA65" w14:textId="77777777">
      <w:pPr>
        <w:pStyle w:val="ListParagraph"/>
        <w:tabs>
          <w:tab w:val="left" w:pos="-720"/>
        </w:tabs>
        <w:suppressAutoHyphens/>
        <w:rPr>
          <w:i/>
          <w:iCs/>
        </w:rPr>
      </w:pPr>
      <w:r w:rsidRPr="00401B4E">
        <w:rPr>
          <w:i/>
          <w:iCs/>
        </w:rPr>
        <w:t> </w:t>
      </w:r>
    </w:p>
    <w:p w:rsidR="00401B4E" w:rsidRPr="00401B4E" w:rsidP="00401B4E" w14:paraId="7D07290F" w14:textId="77777777">
      <w:pPr>
        <w:pStyle w:val="ListParagraph"/>
        <w:tabs>
          <w:tab w:val="left" w:pos="-720"/>
        </w:tabs>
        <w:suppressAutoHyphens/>
      </w:pPr>
      <w:r w:rsidRPr="00401B4E">
        <w:t>The information collection does not include questions of a sensitive nature, such as sexual behavior and attitudes, religious beliefs, and other matters that are commonly considered private. The submission of this information is voluntary. However, if it is not collected, annuitants could be paid less than the law provides. </w:t>
      </w:r>
    </w:p>
    <w:p w:rsidR="00401B4E" w:rsidRPr="00401B4E" w:rsidP="00401B4E" w14:paraId="16BF1286" w14:textId="77777777">
      <w:pPr>
        <w:pStyle w:val="ListParagraph"/>
        <w:tabs>
          <w:tab w:val="left" w:pos="-720"/>
        </w:tabs>
        <w:suppressAutoHyphens/>
        <w:rPr>
          <w:i/>
          <w:iCs/>
        </w:rPr>
      </w:pPr>
      <w:r w:rsidRPr="00401B4E">
        <w:rPr>
          <w:i/>
          <w:iCs/>
        </w:rPr>
        <w:t> </w:t>
      </w:r>
    </w:p>
    <w:p w:rsidR="00401B4E" w:rsidRPr="00092BE2" w:rsidP="00A415BF" w14:paraId="3B364BB6" w14:textId="0DB99322">
      <w:pPr>
        <w:pStyle w:val="ListParagraph"/>
        <w:numPr>
          <w:ilvl w:val="0"/>
          <w:numId w:val="20"/>
        </w:numPr>
        <w:shd w:val="clear" w:color="auto" w:fill="BFBFBF" w:themeFill="background1" w:themeFillShade="BF"/>
        <w:tabs>
          <w:tab w:val="left" w:pos="-720"/>
        </w:tabs>
        <w:suppressAutoHyphens/>
        <w:rPr>
          <w:i/>
          <w:iCs/>
        </w:rPr>
      </w:pPr>
      <w:r w:rsidRPr="00092BE2">
        <w:rPr>
          <w:i/>
          <w:iCs/>
        </w:rPr>
        <w:t> </w:t>
      </w: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9" w:tgtFrame="_blank" w:history="1">
        <w:r w:rsidRPr="00092BE2">
          <w:rPr>
            <w:rStyle w:val="Hyperlink"/>
            <w:i/>
            <w:iCs/>
            <w:shd w:val="clear" w:color="auto" w:fill="BFBFBF" w:themeFill="background1" w:themeFillShade="BF"/>
          </w:rPr>
          <w:t>Bureau of Labor Statistics Occupational Employment and Wage Estimates</w:t>
        </w:r>
      </w:hyperlink>
      <w:r w:rsidRPr="00092BE2" w:rsid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1B0A66" w:rsidRPr="00401B4E" w:rsidP="00401B4E" w14:paraId="3F9F2815" w14:textId="6ADADF9F">
      <w:pPr>
        <w:pStyle w:val="ListParagraph"/>
        <w:tabs>
          <w:tab w:val="left" w:pos="-720"/>
        </w:tabs>
        <w:suppressAutoHyphens/>
        <w:rPr>
          <w:i/>
          <w:iCs/>
        </w:rPr>
      </w:pPr>
      <w:r w:rsidRPr="00401B4E">
        <w:rPr>
          <w:i/>
          <w:iCs/>
        </w:rPr>
        <w:t> </w:t>
      </w:r>
    </w:p>
    <w:tbl>
      <w:tblPr>
        <w:tblpPr w:leftFromText="180" w:rightFromText="180" w:vertAnchor="text" w:horzAnchor="margin" w:tblpXSpec="right" w:tblpY="9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1040"/>
        <w:gridCol w:w="1230"/>
        <w:gridCol w:w="1174"/>
        <w:gridCol w:w="1107"/>
        <w:gridCol w:w="1021"/>
        <w:gridCol w:w="1051"/>
        <w:gridCol w:w="1174"/>
      </w:tblGrid>
      <w:tr w14:paraId="5335EDFC" w14:textId="77777777" w:rsidTr="456624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1117" w:type="dxa"/>
            <w:shd w:val="clear" w:color="auto" w:fill="D9D9D9" w:themeFill="background1" w:themeFillShade="D9"/>
          </w:tcPr>
          <w:p w:rsidR="000E6B39" w:rsidRPr="001461A3" w:rsidP="000E6B39" w14:paraId="57D17D6D" w14:textId="77777777">
            <w:pPr>
              <w:spacing w:before="240"/>
              <w:rPr>
                <w:rFonts w:ascii="Times New Roman" w:hAnsi="Times New Roman"/>
                <w:b/>
                <w:sz w:val="16"/>
                <w:szCs w:val="16"/>
              </w:rPr>
            </w:pPr>
            <w:r w:rsidRPr="001461A3">
              <w:rPr>
                <w:rFonts w:ascii="Times New Roman" w:hAnsi="Times New Roman"/>
                <w:b/>
                <w:sz w:val="16"/>
                <w:szCs w:val="16"/>
              </w:rPr>
              <w:t>Form Name</w:t>
            </w:r>
          </w:p>
        </w:tc>
        <w:tc>
          <w:tcPr>
            <w:tcW w:w="1040" w:type="dxa"/>
            <w:shd w:val="clear" w:color="auto" w:fill="D9D9D9" w:themeFill="background1" w:themeFillShade="D9"/>
          </w:tcPr>
          <w:p w:rsidR="000E6B39" w:rsidRPr="001461A3" w:rsidP="000E6B39" w14:paraId="1AC5A999" w14:textId="77777777">
            <w:pPr>
              <w:spacing w:before="240"/>
              <w:rPr>
                <w:rFonts w:ascii="Times New Roman" w:hAnsi="Times New Roman"/>
                <w:b/>
                <w:sz w:val="16"/>
                <w:szCs w:val="16"/>
              </w:rPr>
            </w:pPr>
            <w:r w:rsidRPr="001461A3">
              <w:rPr>
                <w:rFonts w:ascii="Times New Roman" w:hAnsi="Times New Roman"/>
                <w:b/>
                <w:sz w:val="16"/>
                <w:szCs w:val="16"/>
              </w:rPr>
              <w:t>Form Number</w:t>
            </w:r>
          </w:p>
        </w:tc>
        <w:tc>
          <w:tcPr>
            <w:tcW w:w="1230" w:type="dxa"/>
            <w:shd w:val="clear" w:color="auto" w:fill="D9D9D9" w:themeFill="background1" w:themeFillShade="D9"/>
          </w:tcPr>
          <w:p w:rsidR="000E6B39" w:rsidRPr="001461A3" w:rsidP="000E6B39" w14:paraId="2C0814BF" w14:textId="77777777">
            <w:pPr>
              <w:spacing w:before="240"/>
              <w:rPr>
                <w:rFonts w:ascii="Times New Roman" w:hAnsi="Times New Roman"/>
                <w:b/>
                <w:sz w:val="16"/>
                <w:szCs w:val="16"/>
              </w:rPr>
            </w:pPr>
            <w:r w:rsidRPr="001461A3">
              <w:rPr>
                <w:rFonts w:ascii="Times New Roman" w:hAnsi="Times New Roman"/>
                <w:b/>
                <w:sz w:val="16"/>
                <w:szCs w:val="16"/>
              </w:rPr>
              <w:t>No. of Respondents</w:t>
            </w:r>
          </w:p>
        </w:tc>
        <w:tc>
          <w:tcPr>
            <w:tcW w:w="1174" w:type="dxa"/>
            <w:shd w:val="clear" w:color="auto" w:fill="D9D9D9" w:themeFill="background1" w:themeFillShade="D9"/>
          </w:tcPr>
          <w:p w:rsidR="000E6B39" w:rsidRPr="001461A3" w:rsidP="000E6B39" w14:paraId="4D10A5C6" w14:textId="77777777">
            <w:pPr>
              <w:spacing w:before="240"/>
              <w:rPr>
                <w:rFonts w:ascii="Times New Roman" w:hAnsi="Times New Roman"/>
                <w:b/>
                <w:sz w:val="16"/>
                <w:szCs w:val="16"/>
              </w:rPr>
            </w:pPr>
            <w:r w:rsidRPr="001461A3">
              <w:rPr>
                <w:rFonts w:ascii="Times New Roman" w:hAnsi="Times New Roman"/>
                <w:b/>
                <w:sz w:val="16"/>
                <w:szCs w:val="16"/>
              </w:rPr>
              <w:t>No. of Responses per Respondent</w:t>
            </w:r>
          </w:p>
        </w:tc>
        <w:tc>
          <w:tcPr>
            <w:tcW w:w="1107" w:type="dxa"/>
            <w:shd w:val="clear" w:color="auto" w:fill="D9D9D9" w:themeFill="background1" w:themeFillShade="D9"/>
          </w:tcPr>
          <w:p w:rsidR="000E6B39" w:rsidRPr="001461A3" w:rsidP="000E6B39" w14:paraId="12B47439" w14:textId="77777777">
            <w:pPr>
              <w:spacing w:before="240"/>
              <w:rPr>
                <w:rFonts w:ascii="Times New Roman" w:hAnsi="Times New Roman"/>
                <w:b/>
                <w:sz w:val="16"/>
                <w:szCs w:val="16"/>
              </w:rPr>
            </w:pPr>
            <w:r w:rsidRPr="001461A3">
              <w:rPr>
                <w:rFonts w:ascii="Times New Roman" w:hAnsi="Times New Roman"/>
                <w:b/>
                <w:sz w:val="16"/>
                <w:szCs w:val="16"/>
              </w:rPr>
              <w:t>Average Burden per Response (in hours)</w:t>
            </w:r>
          </w:p>
        </w:tc>
        <w:tc>
          <w:tcPr>
            <w:tcW w:w="1021" w:type="dxa"/>
            <w:shd w:val="clear" w:color="auto" w:fill="D9D9D9" w:themeFill="background1" w:themeFillShade="D9"/>
          </w:tcPr>
          <w:p w:rsidR="000E6B39" w:rsidRPr="001461A3" w:rsidP="000E6B39" w14:paraId="2FDB79A3" w14:textId="77777777">
            <w:pPr>
              <w:spacing w:before="240"/>
              <w:rPr>
                <w:rFonts w:ascii="Times New Roman" w:hAnsi="Times New Roman"/>
                <w:b/>
                <w:sz w:val="16"/>
                <w:szCs w:val="16"/>
              </w:rPr>
            </w:pPr>
            <w:r w:rsidRPr="001461A3">
              <w:rPr>
                <w:rFonts w:ascii="Times New Roman" w:hAnsi="Times New Roman"/>
                <w:b/>
                <w:sz w:val="16"/>
                <w:szCs w:val="16"/>
              </w:rPr>
              <w:t>Total Annual Burden (in hours)</w:t>
            </w:r>
          </w:p>
        </w:tc>
        <w:tc>
          <w:tcPr>
            <w:tcW w:w="1051" w:type="dxa"/>
            <w:shd w:val="clear" w:color="auto" w:fill="D9D9D9" w:themeFill="background1" w:themeFillShade="D9"/>
          </w:tcPr>
          <w:p w:rsidR="000E6B39" w:rsidRPr="001461A3" w:rsidP="000E6B39" w14:paraId="11D62E45" w14:textId="77777777">
            <w:pPr>
              <w:spacing w:before="240"/>
              <w:rPr>
                <w:rFonts w:ascii="Times New Roman" w:hAnsi="Times New Roman"/>
                <w:b/>
                <w:sz w:val="16"/>
                <w:szCs w:val="16"/>
              </w:rPr>
            </w:pPr>
            <w:r w:rsidRPr="001461A3">
              <w:rPr>
                <w:rFonts w:ascii="Times New Roman" w:hAnsi="Times New Roman"/>
                <w:b/>
                <w:sz w:val="16"/>
                <w:szCs w:val="16"/>
              </w:rPr>
              <w:t>Average Hourly Wage Rate</w:t>
            </w:r>
          </w:p>
        </w:tc>
        <w:tc>
          <w:tcPr>
            <w:tcW w:w="1174" w:type="dxa"/>
            <w:shd w:val="clear" w:color="auto" w:fill="D9D9D9" w:themeFill="background1" w:themeFillShade="D9"/>
          </w:tcPr>
          <w:p w:rsidR="000E6B39" w:rsidRPr="001461A3" w:rsidP="000E6B39" w14:paraId="60B9CE8D" w14:textId="77777777">
            <w:pPr>
              <w:spacing w:before="240"/>
              <w:rPr>
                <w:rFonts w:ascii="Times New Roman" w:hAnsi="Times New Roman"/>
                <w:b/>
                <w:sz w:val="16"/>
                <w:szCs w:val="16"/>
              </w:rPr>
            </w:pPr>
            <w:r w:rsidRPr="001461A3">
              <w:rPr>
                <w:rFonts w:ascii="Times New Roman" w:hAnsi="Times New Roman"/>
                <w:b/>
                <w:sz w:val="16"/>
                <w:szCs w:val="16"/>
              </w:rPr>
              <w:t>Total Annual Respondent Cost</w:t>
            </w:r>
          </w:p>
        </w:tc>
      </w:tr>
      <w:tr w14:paraId="2DC47D52" w14:textId="77777777" w:rsidTr="456624D5">
        <w:tblPrEx>
          <w:tblW w:w="0" w:type="auto"/>
          <w:tblLook w:val="04A0"/>
        </w:tblPrEx>
        <w:trPr>
          <w:cantSplit/>
          <w:trHeight w:val="20"/>
        </w:trPr>
        <w:tc>
          <w:tcPr>
            <w:tcW w:w="1117" w:type="dxa"/>
          </w:tcPr>
          <w:p w:rsidR="000E6B39" w:rsidRPr="001461A3" w:rsidP="000E6B39" w14:paraId="56F7B290" w14:textId="77777777">
            <w:pPr>
              <w:spacing w:before="240"/>
              <w:rPr>
                <w:rFonts w:ascii="Times New Roman" w:hAnsi="Times New Roman"/>
                <w:bCs/>
                <w:sz w:val="18"/>
                <w:szCs w:val="18"/>
              </w:rPr>
            </w:pPr>
            <w:r w:rsidRPr="001461A3">
              <w:rPr>
                <w:rFonts w:ascii="Times New Roman" w:hAnsi="Times New Roman"/>
                <w:bCs/>
                <w:sz w:val="18"/>
                <w:szCs w:val="18"/>
              </w:rPr>
              <w:t>Rollover Election</w:t>
            </w:r>
          </w:p>
          <w:p w:rsidR="000E6B39" w:rsidRPr="001461A3" w:rsidP="000E6B39" w14:paraId="778A2C3B" w14:textId="77777777">
            <w:pPr>
              <w:spacing w:before="240"/>
              <w:rPr>
                <w:rFonts w:ascii="Times New Roman" w:hAnsi="Times New Roman"/>
                <w:bCs/>
                <w:sz w:val="18"/>
                <w:szCs w:val="18"/>
              </w:rPr>
            </w:pPr>
            <w:r w:rsidRPr="001461A3">
              <w:rPr>
                <w:rFonts w:ascii="Times New Roman" w:hAnsi="Times New Roman"/>
                <w:bCs/>
                <w:sz w:val="18"/>
                <w:szCs w:val="18"/>
              </w:rPr>
              <w:t>Rollover Information</w:t>
            </w:r>
          </w:p>
          <w:p w:rsidR="000E6B39" w:rsidRPr="001461A3" w:rsidP="000E6B39" w14:paraId="0ACFBF2F" w14:textId="77777777">
            <w:pPr>
              <w:spacing w:before="240"/>
              <w:rPr>
                <w:rFonts w:ascii="Times New Roman" w:hAnsi="Times New Roman"/>
                <w:sz w:val="18"/>
                <w:szCs w:val="18"/>
              </w:rPr>
            </w:pPr>
            <w:r w:rsidRPr="001461A3">
              <w:rPr>
                <w:rFonts w:ascii="Times New Roman" w:hAnsi="Times New Roman"/>
                <w:bCs/>
                <w:sz w:val="18"/>
                <w:szCs w:val="18"/>
              </w:rPr>
              <w:t>Special Tax Notice Regarding Rollovers</w:t>
            </w:r>
          </w:p>
        </w:tc>
        <w:tc>
          <w:tcPr>
            <w:tcW w:w="1040" w:type="dxa"/>
          </w:tcPr>
          <w:p w:rsidR="000E6B39" w:rsidRPr="001461A3" w:rsidP="000E6B39" w14:paraId="5EE62957" w14:textId="77777777">
            <w:pPr>
              <w:spacing w:before="240"/>
              <w:rPr>
                <w:rFonts w:ascii="Times New Roman" w:hAnsi="Times New Roman"/>
                <w:sz w:val="18"/>
                <w:szCs w:val="18"/>
              </w:rPr>
            </w:pPr>
            <w:r w:rsidRPr="001461A3">
              <w:rPr>
                <w:rFonts w:ascii="Times New Roman" w:hAnsi="Times New Roman"/>
                <w:sz w:val="18"/>
                <w:szCs w:val="18"/>
              </w:rPr>
              <w:t>RI 38-117</w:t>
            </w:r>
          </w:p>
          <w:p w:rsidR="000E6B39" w:rsidRPr="001461A3" w:rsidP="000E6B39" w14:paraId="3ECCE272" w14:textId="77777777">
            <w:pPr>
              <w:rPr>
                <w:rFonts w:ascii="Times New Roman" w:hAnsi="Times New Roman"/>
                <w:sz w:val="18"/>
                <w:szCs w:val="18"/>
              </w:rPr>
            </w:pPr>
          </w:p>
          <w:p w:rsidR="000E6B39" w:rsidRPr="001461A3" w:rsidP="000E6B39" w14:paraId="55180235" w14:textId="77777777">
            <w:pPr>
              <w:rPr>
                <w:rFonts w:ascii="Times New Roman" w:hAnsi="Times New Roman"/>
                <w:sz w:val="18"/>
                <w:szCs w:val="18"/>
              </w:rPr>
            </w:pPr>
          </w:p>
          <w:p w:rsidR="000E6B39" w:rsidRPr="001461A3" w:rsidP="000E6B39" w14:paraId="1519A072" w14:textId="77777777">
            <w:pPr>
              <w:rPr>
                <w:rFonts w:ascii="Times New Roman" w:hAnsi="Times New Roman"/>
                <w:sz w:val="18"/>
                <w:szCs w:val="18"/>
              </w:rPr>
            </w:pPr>
            <w:r w:rsidRPr="001461A3">
              <w:rPr>
                <w:rFonts w:ascii="Times New Roman" w:hAnsi="Times New Roman"/>
                <w:sz w:val="18"/>
                <w:szCs w:val="18"/>
              </w:rPr>
              <w:t>RI 38-118</w:t>
            </w:r>
          </w:p>
          <w:p w:rsidR="000E6B39" w:rsidRPr="001461A3" w:rsidP="000E6B39" w14:paraId="132CEC31" w14:textId="77777777">
            <w:pPr>
              <w:rPr>
                <w:rFonts w:ascii="Times New Roman" w:hAnsi="Times New Roman"/>
                <w:sz w:val="18"/>
                <w:szCs w:val="18"/>
              </w:rPr>
            </w:pPr>
          </w:p>
          <w:p w:rsidR="000E6B39" w:rsidRPr="001461A3" w:rsidP="000E6B39" w14:paraId="3D6DBECF" w14:textId="77777777">
            <w:pPr>
              <w:rPr>
                <w:rFonts w:ascii="Times New Roman" w:hAnsi="Times New Roman"/>
                <w:sz w:val="18"/>
                <w:szCs w:val="18"/>
              </w:rPr>
            </w:pPr>
          </w:p>
          <w:p w:rsidR="000E6B39" w:rsidRPr="001461A3" w:rsidP="000E6B39" w14:paraId="363DEF14" w14:textId="77777777">
            <w:pPr>
              <w:rPr>
                <w:rFonts w:ascii="Times New Roman" w:hAnsi="Times New Roman"/>
                <w:sz w:val="18"/>
                <w:szCs w:val="18"/>
              </w:rPr>
            </w:pPr>
            <w:r w:rsidRPr="001461A3">
              <w:rPr>
                <w:rFonts w:ascii="Times New Roman" w:hAnsi="Times New Roman"/>
                <w:sz w:val="18"/>
                <w:szCs w:val="18"/>
              </w:rPr>
              <w:t>RI 37-22</w:t>
            </w:r>
          </w:p>
        </w:tc>
        <w:tc>
          <w:tcPr>
            <w:tcW w:w="1230" w:type="dxa"/>
          </w:tcPr>
          <w:p w:rsidR="002F1783" w:rsidRPr="001461A3" w:rsidP="000E6B39" w14:paraId="0109B0FB" w14:textId="77777777">
            <w:pPr>
              <w:spacing w:before="240"/>
              <w:jc w:val="right"/>
              <w:rPr>
                <w:rFonts w:ascii="Times New Roman" w:hAnsi="Times New Roman"/>
                <w:sz w:val="18"/>
                <w:szCs w:val="18"/>
              </w:rPr>
            </w:pPr>
          </w:p>
          <w:p w:rsidR="002F1783" w:rsidRPr="001461A3" w:rsidP="000E6B39" w14:paraId="6BD73112" w14:textId="77777777">
            <w:pPr>
              <w:spacing w:before="240"/>
              <w:jc w:val="right"/>
              <w:rPr>
                <w:rFonts w:ascii="Times New Roman" w:hAnsi="Times New Roman"/>
                <w:sz w:val="18"/>
                <w:szCs w:val="18"/>
              </w:rPr>
            </w:pPr>
          </w:p>
          <w:p w:rsidR="000E6B39" w:rsidRPr="001461A3" w:rsidP="000E6B39" w14:paraId="39827FF8" w14:textId="77777777">
            <w:pPr>
              <w:spacing w:before="240"/>
              <w:jc w:val="right"/>
              <w:rPr>
                <w:rFonts w:ascii="Times New Roman" w:hAnsi="Times New Roman"/>
                <w:sz w:val="18"/>
                <w:szCs w:val="18"/>
              </w:rPr>
            </w:pPr>
            <w:r w:rsidRPr="001461A3">
              <w:rPr>
                <w:rFonts w:ascii="Times New Roman" w:hAnsi="Times New Roman"/>
                <w:sz w:val="18"/>
                <w:szCs w:val="18"/>
              </w:rPr>
              <w:t>1, 500</w:t>
            </w:r>
          </w:p>
        </w:tc>
        <w:tc>
          <w:tcPr>
            <w:tcW w:w="1174" w:type="dxa"/>
          </w:tcPr>
          <w:p w:rsidR="002F1783" w:rsidRPr="001461A3" w:rsidP="000E6B39" w14:paraId="5E7418D8" w14:textId="77777777">
            <w:pPr>
              <w:spacing w:before="240"/>
              <w:jc w:val="right"/>
              <w:rPr>
                <w:rFonts w:ascii="Times New Roman" w:hAnsi="Times New Roman"/>
                <w:sz w:val="18"/>
                <w:szCs w:val="18"/>
              </w:rPr>
            </w:pPr>
          </w:p>
          <w:p w:rsidR="002F1783" w:rsidRPr="001461A3" w:rsidP="000E6B39" w14:paraId="26EA08D0" w14:textId="77777777">
            <w:pPr>
              <w:spacing w:before="240"/>
              <w:jc w:val="right"/>
              <w:rPr>
                <w:rFonts w:ascii="Times New Roman" w:hAnsi="Times New Roman"/>
                <w:sz w:val="18"/>
                <w:szCs w:val="18"/>
              </w:rPr>
            </w:pPr>
          </w:p>
          <w:p w:rsidR="000E6B39" w:rsidRPr="001461A3" w:rsidP="000E6B39" w14:paraId="7B60CE14" w14:textId="77777777">
            <w:pPr>
              <w:spacing w:before="240"/>
              <w:jc w:val="right"/>
              <w:rPr>
                <w:rFonts w:ascii="Times New Roman" w:hAnsi="Times New Roman"/>
                <w:sz w:val="18"/>
                <w:szCs w:val="18"/>
              </w:rPr>
            </w:pPr>
            <w:r w:rsidRPr="001461A3">
              <w:rPr>
                <w:rFonts w:ascii="Times New Roman" w:hAnsi="Times New Roman"/>
                <w:sz w:val="18"/>
                <w:szCs w:val="18"/>
              </w:rPr>
              <w:t>1</w:t>
            </w:r>
          </w:p>
        </w:tc>
        <w:tc>
          <w:tcPr>
            <w:tcW w:w="1107" w:type="dxa"/>
          </w:tcPr>
          <w:p w:rsidR="002F1783" w:rsidRPr="001461A3" w:rsidP="000E6B39" w14:paraId="4BCED026" w14:textId="77777777">
            <w:pPr>
              <w:spacing w:before="240"/>
              <w:jc w:val="right"/>
              <w:rPr>
                <w:rFonts w:ascii="Times New Roman" w:hAnsi="Times New Roman"/>
                <w:sz w:val="18"/>
                <w:szCs w:val="18"/>
              </w:rPr>
            </w:pPr>
          </w:p>
          <w:p w:rsidR="002F1783" w:rsidRPr="001461A3" w:rsidP="000E6B39" w14:paraId="58141772" w14:textId="77777777">
            <w:pPr>
              <w:spacing w:before="240"/>
              <w:jc w:val="right"/>
              <w:rPr>
                <w:rFonts w:ascii="Times New Roman" w:hAnsi="Times New Roman"/>
                <w:sz w:val="18"/>
                <w:szCs w:val="18"/>
              </w:rPr>
            </w:pPr>
          </w:p>
          <w:p w:rsidR="000E6B39" w:rsidRPr="001461A3" w:rsidP="000E6B39" w14:paraId="15D461DC" w14:textId="77777777">
            <w:pPr>
              <w:spacing w:before="240"/>
              <w:jc w:val="right"/>
              <w:rPr>
                <w:rFonts w:ascii="Times New Roman" w:hAnsi="Times New Roman"/>
                <w:sz w:val="18"/>
                <w:szCs w:val="18"/>
              </w:rPr>
            </w:pPr>
            <w:r w:rsidRPr="001461A3">
              <w:rPr>
                <w:rFonts w:ascii="Times New Roman" w:hAnsi="Times New Roman"/>
                <w:sz w:val="18"/>
                <w:szCs w:val="18"/>
              </w:rPr>
              <w:t>.6667</w:t>
            </w:r>
          </w:p>
        </w:tc>
        <w:tc>
          <w:tcPr>
            <w:tcW w:w="1021" w:type="dxa"/>
          </w:tcPr>
          <w:p w:rsidR="002F1783" w:rsidRPr="001461A3" w:rsidP="000E6B39" w14:paraId="0FBAE88D" w14:textId="77777777">
            <w:pPr>
              <w:spacing w:before="240"/>
              <w:jc w:val="right"/>
              <w:rPr>
                <w:rFonts w:ascii="Times New Roman" w:hAnsi="Times New Roman"/>
                <w:sz w:val="18"/>
                <w:szCs w:val="18"/>
              </w:rPr>
            </w:pPr>
          </w:p>
          <w:p w:rsidR="002F1783" w:rsidRPr="001461A3" w:rsidP="000E6B39" w14:paraId="10782279" w14:textId="77777777">
            <w:pPr>
              <w:spacing w:before="240"/>
              <w:jc w:val="right"/>
              <w:rPr>
                <w:rFonts w:ascii="Times New Roman" w:hAnsi="Times New Roman"/>
                <w:sz w:val="18"/>
                <w:szCs w:val="18"/>
              </w:rPr>
            </w:pPr>
          </w:p>
          <w:p w:rsidR="000E6B39" w:rsidRPr="001461A3" w:rsidP="000E6B39" w14:paraId="6BCF26BD" w14:textId="77777777">
            <w:pPr>
              <w:spacing w:before="240"/>
              <w:jc w:val="right"/>
              <w:rPr>
                <w:rFonts w:ascii="Times New Roman" w:hAnsi="Times New Roman"/>
                <w:sz w:val="18"/>
                <w:szCs w:val="18"/>
              </w:rPr>
            </w:pPr>
            <w:r w:rsidRPr="001461A3">
              <w:rPr>
                <w:rFonts w:ascii="Times New Roman" w:hAnsi="Times New Roman"/>
                <w:sz w:val="18"/>
                <w:szCs w:val="18"/>
              </w:rPr>
              <w:t>1,000</w:t>
            </w:r>
          </w:p>
        </w:tc>
        <w:tc>
          <w:tcPr>
            <w:tcW w:w="1051" w:type="dxa"/>
          </w:tcPr>
          <w:p w:rsidR="002F1783" w:rsidRPr="001461A3" w:rsidP="000E6B39" w14:paraId="050E1600" w14:textId="77777777">
            <w:pPr>
              <w:spacing w:before="240"/>
              <w:jc w:val="center"/>
              <w:rPr>
                <w:rFonts w:ascii="Times New Roman" w:hAnsi="Times New Roman"/>
                <w:sz w:val="18"/>
                <w:szCs w:val="18"/>
              </w:rPr>
            </w:pPr>
          </w:p>
          <w:p w:rsidR="002F1783" w:rsidRPr="001461A3" w:rsidP="000E6B39" w14:paraId="086EC2DD" w14:textId="77777777">
            <w:pPr>
              <w:spacing w:before="240"/>
              <w:jc w:val="center"/>
              <w:rPr>
                <w:rFonts w:ascii="Times New Roman" w:hAnsi="Times New Roman"/>
                <w:sz w:val="18"/>
                <w:szCs w:val="18"/>
              </w:rPr>
            </w:pPr>
          </w:p>
          <w:p w:rsidR="000E6B39" w:rsidRPr="001461A3" w:rsidP="000E6B39" w14:paraId="1C3648FE" w14:textId="491E8243">
            <w:pPr>
              <w:spacing w:before="240"/>
              <w:jc w:val="center"/>
              <w:rPr>
                <w:rFonts w:ascii="Times New Roman" w:hAnsi="Times New Roman"/>
                <w:sz w:val="18"/>
                <w:szCs w:val="18"/>
              </w:rPr>
            </w:pPr>
            <w:r w:rsidRPr="456624D5">
              <w:rPr>
                <w:rFonts w:ascii="Times New Roman" w:hAnsi="Times New Roman"/>
                <w:sz w:val="18"/>
                <w:szCs w:val="18"/>
              </w:rPr>
              <w:t>$</w:t>
            </w:r>
            <w:r w:rsidRPr="456624D5" w:rsidR="5E668CCD">
              <w:rPr>
                <w:rFonts w:ascii="Times New Roman" w:hAnsi="Times New Roman"/>
                <w:sz w:val="18"/>
                <w:szCs w:val="18"/>
              </w:rPr>
              <w:t>32.66</w:t>
            </w:r>
          </w:p>
        </w:tc>
        <w:tc>
          <w:tcPr>
            <w:tcW w:w="1174" w:type="dxa"/>
          </w:tcPr>
          <w:p w:rsidR="002F1783" w:rsidRPr="001461A3" w:rsidP="000E6B39" w14:paraId="699AEE4B" w14:textId="77777777">
            <w:pPr>
              <w:spacing w:before="240"/>
              <w:jc w:val="center"/>
              <w:rPr>
                <w:rFonts w:ascii="Times New Roman" w:hAnsi="Times New Roman"/>
                <w:sz w:val="18"/>
                <w:szCs w:val="18"/>
              </w:rPr>
            </w:pPr>
          </w:p>
          <w:p w:rsidR="002F1783" w:rsidRPr="001461A3" w:rsidP="000E6B39" w14:paraId="77B4B206" w14:textId="77777777">
            <w:pPr>
              <w:spacing w:before="240"/>
              <w:jc w:val="center"/>
              <w:rPr>
                <w:rFonts w:ascii="Times New Roman" w:hAnsi="Times New Roman"/>
                <w:sz w:val="18"/>
                <w:szCs w:val="18"/>
              </w:rPr>
            </w:pPr>
          </w:p>
          <w:p w:rsidR="000E6B39" w:rsidRPr="001461A3" w:rsidP="000E6B39" w14:paraId="6A1E76E7" w14:textId="7AF4658E">
            <w:pPr>
              <w:spacing w:before="240"/>
              <w:jc w:val="center"/>
              <w:rPr>
                <w:rFonts w:ascii="Times New Roman" w:hAnsi="Times New Roman"/>
                <w:sz w:val="18"/>
                <w:szCs w:val="18"/>
              </w:rPr>
            </w:pPr>
            <w:r w:rsidRPr="456624D5">
              <w:rPr>
                <w:rFonts w:ascii="Times New Roman" w:hAnsi="Times New Roman"/>
                <w:sz w:val="18"/>
                <w:szCs w:val="18"/>
              </w:rPr>
              <w:t>$</w:t>
            </w:r>
            <w:r w:rsidRPr="456624D5" w:rsidR="24EA95F9">
              <w:rPr>
                <w:rFonts w:ascii="Times New Roman" w:hAnsi="Times New Roman"/>
                <w:sz w:val="18"/>
                <w:szCs w:val="18"/>
              </w:rPr>
              <w:t>32,660</w:t>
            </w:r>
          </w:p>
        </w:tc>
      </w:tr>
    </w:tbl>
    <w:p w:rsidR="00B67688" w:rsidP="456624D5" w14:paraId="49DFD035" w14:textId="0AE52093">
      <w:pPr>
        <w:suppressAutoHyphens/>
        <w:ind w:left="720"/>
      </w:pPr>
      <w:r w:rsidRPr="456624D5">
        <w:rPr>
          <w:rFonts w:ascii="Times New Roman" w:hAnsi="Times New Roman"/>
        </w:rPr>
        <w:t>Approximately 1,500 forms will be processed annually. The form</w:t>
      </w:r>
      <w:r w:rsidRPr="456624D5" w:rsidR="00B86B39">
        <w:rPr>
          <w:rFonts w:ascii="Times New Roman" w:hAnsi="Times New Roman"/>
        </w:rPr>
        <w:t>s require</w:t>
      </w:r>
      <w:r w:rsidRPr="456624D5">
        <w:rPr>
          <w:rFonts w:ascii="Times New Roman" w:hAnsi="Times New Roman"/>
        </w:rPr>
        <w:t xml:space="preserve"> approximately 40 minutes</w:t>
      </w:r>
      <w:r w:rsidRPr="456624D5" w:rsidR="002F1783">
        <w:rPr>
          <w:rFonts w:ascii="Times New Roman" w:hAnsi="Times New Roman"/>
        </w:rPr>
        <w:t xml:space="preserve"> each</w:t>
      </w:r>
      <w:r w:rsidRPr="456624D5">
        <w:rPr>
          <w:rFonts w:ascii="Times New Roman" w:hAnsi="Times New Roman"/>
        </w:rPr>
        <w:t xml:space="preserve"> to complete. The annual burden is 1,000 hours.</w:t>
      </w:r>
      <w:r>
        <w:br/>
      </w:r>
    </w:p>
    <w:p w:rsidR="00B67688" w:rsidP="00B67688" w14:paraId="2A4359E5" w14:textId="77777777">
      <w:pPr>
        <w:pStyle w:val="ListParagraph"/>
        <w:tabs>
          <w:tab w:val="left" w:pos="-720"/>
        </w:tabs>
        <w:suppressAutoHyphens/>
      </w:pPr>
    </w:p>
    <w:p w:rsidR="00B67688" w:rsidP="00B67688" w14:paraId="74DC7B75" w14:textId="66BBE7FB">
      <w:pPr>
        <w:ind w:left="660"/>
      </w:pPr>
      <w:r w:rsidRPr="456624D5">
        <w:rPr>
          <w:rFonts w:ascii="Times New Roman" w:hAnsi="Times New Roman"/>
        </w:rPr>
        <w:t>The Total Annual Respondent Cost is</w:t>
      </w:r>
      <w:r w:rsidRPr="456624D5" w:rsidR="00327F45">
        <w:rPr>
          <w:rFonts w:ascii="Times New Roman" w:hAnsi="Times New Roman"/>
        </w:rPr>
        <w:t xml:space="preserve"> $</w:t>
      </w:r>
      <w:r w:rsidRPr="456624D5" w:rsidR="26252928">
        <w:rPr>
          <w:rFonts w:ascii="Times New Roman" w:hAnsi="Times New Roman"/>
        </w:rPr>
        <w:t>32,6600</w:t>
      </w:r>
    </w:p>
    <w:p w:rsidR="00437E3D" w:rsidRPr="00092BE2" w:rsidP="00A415BF" w14:paraId="399A94B5" w14:textId="09630B55">
      <w:pPr>
        <w:pStyle w:val="ListParagraph"/>
        <w:numPr>
          <w:ilvl w:val="0"/>
          <w:numId w:val="20"/>
        </w:numPr>
        <w:shd w:val="clear" w:color="auto" w:fill="BFBFBF" w:themeFill="background1" w:themeFillShade="BF"/>
      </w:pPr>
      <w:r w:rsidRPr="00092BE2">
        <w:rPr>
          <w:i/>
          <w:iCs/>
        </w:rPr>
        <w:t>Describe the non-hourly monetary burden to respondents needed to complete this</w:t>
      </w:r>
      <w:r w:rsidRPr="00092BE2" w:rsidR="00253624">
        <w:rPr>
          <w:i/>
          <w:iCs/>
        </w:rPr>
        <w:tab/>
      </w:r>
      <w:r w:rsidRPr="00092BE2">
        <w:rPr>
          <w:i/>
          <w:iCs/>
        </w:rPr>
        <w:t xml:space="preserve"> collection. This is defined as out-of-pocket costs such as application fees for the collection, document fees (</w:t>
      </w:r>
      <w:hyperlink r:id="rId10" w:tgtFrame="_blank" w:history="1">
        <w:r w:rsidRPr="00092BE2">
          <w:rPr>
            <w:rStyle w:val="Hyperlink"/>
            <w:i/>
            <w:iCs/>
          </w:rPr>
          <w:t>birth/death certificates</w:t>
        </w:r>
      </w:hyperlink>
      <w:r w:rsidRPr="00092BE2">
        <w:rPr>
          <w:i/>
          <w:iCs/>
        </w:rPr>
        <w:t>, school transcripts), mailing costs (</w:t>
      </w:r>
      <w:hyperlink r:id="rId11" w:tgtFrame="_blank" w:history="1">
        <w:r w:rsidRPr="00092BE2">
          <w:rPr>
            <w:rStyle w:val="Hyperlink"/>
            <w:i/>
            <w:iCs/>
          </w:rPr>
          <w:t>printing</w:t>
        </w:r>
      </w:hyperlink>
      <w:r w:rsidRPr="00092BE2">
        <w:rPr>
          <w:i/>
          <w:iCs/>
        </w:rPr>
        <w:t xml:space="preserve">, </w:t>
      </w:r>
      <w:hyperlink r:id="rId12" w:tgtFrame="_blank" w:history="1">
        <w:r w:rsidRPr="00092BE2">
          <w:rPr>
            <w:rStyle w:val="Hyperlink"/>
            <w:i/>
            <w:iCs/>
          </w:rPr>
          <w:t>postage</w:t>
        </w:r>
      </w:hyperlink>
      <w:r w:rsidRPr="00092BE2">
        <w:rPr>
          <w:i/>
          <w:iCs/>
        </w:rPr>
        <w:t xml:space="preserve">, and/or </w:t>
      </w:r>
      <w:hyperlink r:id="rId13" w:tgtFrame="_blank" w:history="1">
        <w:r w:rsidRPr="00092BE2">
          <w:rPr>
            <w:rStyle w:val="Hyperlink"/>
            <w:i/>
            <w:iCs/>
          </w:rPr>
          <w:t>mileage</w:t>
        </w:r>
      </w:hyperlink>
      <w:r w:rsidRPr="00092BE2">
        <w:rPr>
          <w:i/>
          <w:iCs/>
        </w:rPr>
        <w:t xml:space="preserve">), or anything else respondents may need to pay to </w:t>
      </w:r>
      <w:r w:rsidRPr="00092BE2">
        <w:rPr>
          <w:i/>
          <w:iCs/>
        </w:rPr>
        <w:t>complete and/or implement the collection</w:t>
      </w:r>
      <w:r w:rsidRPr="00092BE2">
        <w:t xml:space="preserve">. </w:t>
      </w:r>
      <w:r w:rsidRPr="00092BE2">
        <w:tab/>
      </w:r>
      <w:r w:rsidRPr="00092BE2">
        <w:rPr>
          <w:shd w:val="clear" w:color="auto" w:fill="A6A6A6" w:themeFill="background1" w:themeFillShade="A6"/>
        </w:rPr>
        <w:t> </w:t>
      </w:r>
      <w:r w:rsidRPr="00092BE2">
        <w:rPr>
          <w:shd w:val="clear" w:color="auto" w:fill="A6A6A6" w:themeFill="background1" w:themeFillShade="A6"/>
        </w:rPr>
        <w:br/>
      </w:r>
      <w:r w:rsidRPr="00092BE2">
        <w:t> </w:t>
      </w:r>
    </w:p>
    <w:p w:rsidR="00A51792" w:rsidP="00437E3D" w14:paraId="66B7812C" w14:textId="664B2E05">
      <w:pPr>
        <w:ind w:left="660"/>
        <w:rPr>
          <w:rFonts w:ascii="Times New Roman" w:hAnsi="Times New Roman"/>
          <w:szCs w:val="20"/>
        </w:rPr>
      </w:pPr>
      <w:r w:rsidRPr="00437E3D">
        <w:rPr>
          <w:rFonts w:ascii="Times New Roman" w:hAnsi="Times New Roman"/>
          <w:szCs w:val="20"/>
        </w:rPr>
        <w:t> </w:t>
      </w:r>
    </w:p>
    <w:p w:rsidR="008A5ACD" w:rsidRPr="008A5ACD" w:rsidP="008A5ACD" w14:paraId="374BA1DB" w14:textId="77777777">
      <w:pPr>
        <w:ind w:left="660"/>
        <w:rPr>
          <w:rFonts w:ascii="Times New Roman" w:hAnsi="Times New Roman"/>
          <w:szCs w:val="20"/>
        </w:rPr>
      </w:pPr>
      <w:r w:rsidRPr="008A5ACD">
        <w:rPr>
          <w:rFonts w:ascii="Times New Roman" w:hAnsi="Times New Roman"/>
          <w:szCs w:val="20"/>
        </w:rPr>
        <w:t xml:space="preserve">While OPM provides postage for the return of the form, there is still the cost of mileage for mailing the form back to OPM. USPS estimates that the average driving distance between post offices is around 9 miles. The IRS announced that the 2025 mileage rate is $0.70 per mile. </w:t>
      </w:r>
    </w:p>
    <w:p w:rsidR="008A5ACD" w:rsidRPr="008A5ACD" w:rsidP="008A5ACD" w14:paraId="6B8D1849" w14:textId="77777777">
      <w:pPr>
        <w:ind w:left="660"/>
        <w:rPr>
          <w:rFonts w:ascii="Times New Roman" w:hAnsi="Times New Roman"/>
          <w:szCs w:val="20"/>
        </w:rPr>
      </w:pPr>
    </w:p>
    <w:p w:rsidR="00E754C1" w:rsidP="008A5ACD" w14:paraId="01FCDAD2" w14:textId="7EF456EE">
      <w:pPr>
        <w:ind w:left="660"/>
        <w:rPr>
          <w:rFonts w:ascii="Times New Roman" w:hAnsi="Times New Roman"/>
          <w:szCs w:val="20"/>
        </w:rPr>
      </w:pPr>
      <w:r w:rsidRPr="008A5ACD">
        <w:rPr>
          <w:rFonts w:ascii="Times New Roman" w:hAnsi="Times New Roman"/>
          <w:szCs w:val="20"/>
        </w:rPr>
        <w:t>Therefore, the estimated total non-hourly cost is $9,450.00.</w:t>
      </w:r>
    </w:p>
    <w:p w:rsidR="008A5ACD" w:rsidP="008A5ACD" w14:paraId="6955E5DE" w14:textId="77777777">
      <w:pPr>
        <w:ind w:left="660"/>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1230"/>
        <w:gridCol w:w="1107"/>
        <w:gridCol w:w="1021"/>
        <w:gridCol w:w="1174"/>
      </w:tblGrid>
      <w:tr w14:paraId="3B876625" w14:textId="77777777" w:rsidTr="00F705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jc w:val="center"/>
        </w:trPr>
        <w:tc>
          <w:tcPr>
            <w:tcW w:w="1117" w:type="dxa"/>
            <w:shd w:val="clear" w:color="auto" w:fill="D9D9D9" w:themeFill="background1" w:themeFillShade="D9"/>
          </w:tcPr>
          <w:p w:rsidR="00AC04C5" w:rsidRPr="001461A3" w:rsidP="008A5ACD" w14:paraId="69C87DCD" w14:textId="77777777">
            <w:pPr>
              <w:rPr>
                <w:rFonts w:ascii="Times New Roman" w:hAnsi="Times New Roman"/>
                <w:b/>
                <w:sz w:val="16"/>
                <w:szCs w:val="16"/>
              </w:rPr>
            </w:pPr>
            <w:r w:rsidRPr="001461A3">
              <w:rPr>
                <w:rFonts w:ascii="Times New Roman" w:hAnsi="Times New Roman"/>
                <w:b/>
                <w:sz w:val="16"/>
                <w:szCs w:val="16"/>
              </w:rPr>
              <w:t>Form Name</w:t>
            </w:r>
          </w:p>
        </w:tc>
        <w:tc>
          <w:tcPr>
            <w:tcW w:w="1230" w:type="dxa"/>
            <w:shd w:val="clear" w:color="auto" w:fill="D9D9D9" w:themeFill="background1" w:themeFillShade="D9"/>
          </w:tcPr>
          <w:p w:rsidR="00AC04C5" w:rsidRPr="001461A3" w:rsidP="008A5ACD" w14:paraId="4B8F0DAB" w14:textId="77777777">
            <w:pPr>
              <w:rPr>
                <w:rFonts w:ascii="Times New Roman" w:hAnsi="Times New Roman"/>
                <w:b/>
                <w:sz w:val="16"/>
                <w:szCs w:val="16"/>
              </w:rPr>
            </w:pPr>
            <w:r w:rsidRPr="001461A3">
              <w:rPr>
                <w:rFonts w:ascii="Times New Roman" w:hAnsi="Times New Roman"/>
                <w:b/>
                <w:sz w:val="16"/>
                <w:szCs w:val="16"/>
              </w:rPr>
              <w:t>No. of Respondents</w:t>
            </w:r>
          </w:p>
        </w:tc>
        <w:tc>
          <w:tcPr>
            <w:tcW w:w="1107" w:type="dxa"/>
            <w:shd w:val="clear" w:color="auto" w:fill="D9D9D9" w:themeFill="background1" w:themeFillShade="D9"/>
          </w:tcPr>
          <w:p w:rsidR="00AC04C5" w:rsidP="008A5ACD" w14:paraId="4A0C3E0D" w14:textId="77777777">
            <w:pPr>
              <w:rPr>
                <w:rFonts w:ascii="Times New Roman" w:hAnsi="Times New Roman"/>
                <w:b/>
                <w:sz w:val="16"/>
                <w:szCs w:val="16"/>
              </w:rPr>
            </w:pPr>
            <w:r>
              <w:rPr>
                <w:rFonts w:ascii="Times New Roman" w:hAnsi="Times New Roman"/>
                <w:b/>
                <w:sz w:val="16"/>
                <w:szCs w:val="16"/>
              </w:rPr>
              <w:t>Mileage at</w:t>
            </w:r>
          </w:p>
          <w:p w:rsidR="00AC04C5" w:rsidRPr="001461A3" w:rsidP="008A5ACD" w14:paraId="52B545E6" w14:textId="77777777">
            <w:pPr>
              <w:rPr>
                <w:rFonts w:ascii="Times New Roman" w:hAnsi="Times New Roman"/>
                <w:b/>
                <w:sz w:val="16"/>
                <w:szCs w:val="16"/>
              </w:rPr>
            </w:pPr>
            <w:r>
              <w:rPr>
                <w:rFonts w:ascii="Times New Roman" w:hAnsi="Times New Roman"/>
                <w:b/>
                <w:sz w:val="16"/>
                <w:szCs w:val="16"/>
              </w:rPr>
              <w:t>$0.70 a mile</w:t>
            </w:r>
          </w:p>
        </w:tc>
        <w:tc>
          <w:tcPr>
            <w:tcW w:w="1021" w:type="dxa"/>
            <w:shd w:val="clear" w:color="auto" w:fill="D9D9D9" w:themeFill="background1" w:themeFillShade="D9"/>
          </w:tcPr>
          <w:p w:rsidR="00AC04C5" w:rsidRPr="001461A3" w:rsidP="008A5ACD" w14:paraId="0F4765D8" w14:textId="77777777">
            <w:pPr>
              <w:rPr>
                <w:rFonts w:ascii="Times New Roman" w:hAnsi="Times New Roman"/>
                <w:b/>
                <w:sz w:val="16"/>
                <w:szCs w:val="16"/>
              </w:rPr>
            </w:pPr>
            <w:r w:rsidRPr="001461A3">
              <w:rPr>
                <w:rFonts w:ascii="Times New Roman" w:hAnsi="Times New Roman"/>
                <w:b/>
                <w:sz w:val="16"/>
                <w:szCs w:val="16"/>
              </w:rPr>
              <w:t xml:space="preserve">Total </w:t>
            </w:r>
            <w:r>
              <w:rPr>
                <w:rFonts w:ascii="Times New Roman" w:hAnsi="Times New Roman"/>
                <w:b/>
                <w:sz w:val="16"/>
                <w:szCs w:val="16"/>
              </w:rPr>
              <w:t>Mileage</w:t>
            </w:r>
          </w:p>
        </w:tc>
        <w:tc>
          <w:tcPr>
            <w:tcW w:w="1174" w:type="dxa"/>
            <w:shd w:val="clear" w:color="auto" w:fill="D9D9D9" w:themeFill="background1" w:themeFillShade="D9"/>
          </w:tcPr>
          <w:p w:rsidR="00AC04C5" w:rsidRPr="001461A3" w:rsidP="008A5ACD" w14:paraId="411AC86A" w14:textId="77777777">
            <w:pPr>
              <w:rPr>
                <w:rFonts w:ascii="Times New Roman" w:hAnsi="Times New Roman"/>
                <w:b/>
                <w:sz w:val="16"/>
                <w:szCs w:val="16"/>
              </w:rPr>
            </w:pPr>
            <w:r w:rsidRPr="001461A3">
              <w:rPr>
                <w:rFonts w:ascii="Times New Roman" w:hAnsi="Times New Roman"/>
                <w:b/>
                <w:sz w:val="16"/>
                <w:szCs w:val="16"/>
              </w:rPr>
              <w:t xml:space="preserve">Total </w:t>
            </w:r>
            <w:r>
              <w:rPr>
                <w:rFonts w:ascii="Times New Roman" w:hAnsi="Times New Roman"/>
                <w:b/>
                <w:sz w:val="16"/>
                <w:szCs w:val="16"/>
              </w:rPr>
              <w:t>Non-Hourly</w:t>
            </w:r>
            <w:r w:rsidRPr="001461A3">
              <w:rPr>
                <w:rFonts w:ascii="Times New Roman" w:hAnsi="Times New Roman"/>
                <w:b/>
                <w:sz w:val="16"/>
                <w:szCs w:val="16"/>
              </w:rPr>
              <w:t xml:space="preserve"> Cost</w:t>
            </w:r>
          </w:p>
        </w:tc>
      </w:tr>
      <w:tr w14:paraId="7D338D69" w14:textId="77777777" w:rsidTr="00F70592">
        <w:tblPrEx>
          <w:tblW w:w="0" w:type="auto"/>
          <w:jc w:val="center"/>
          <w:tblLook w:val="04A0"/>
        </w:tblPrEx>
        <w:trPr>
          <w:trHeight w:val="20"/>
          <w:jc w:val="center"/>
        </w:trPr>
        <w:tc>
          <w:tcPr>
            <w:tcW w:w="1117" w:type="dxa"/>
          </w:tcPr>
          <w:p w:rsidR="00AC04C5" w:rsidRPr="001461A3" w:rsidP="008A5ACD" w14:paraId="546678E6" w14:textId="77777777">
            <w:pPr>
              <w:spacing w:before="240"/>
              <w:rPr>
                <w:rFonts w:ascii="Times New Roman" w:hAnsi="Times New Roman"/>
                <w:bCs/>
                <w:sz w:val="18"/>
                <w:szCs w:val="18"/>
              </w:rPr>
            </w:pPr>
            <w:r w:rsidRPr="001461A3">
              <w:rPr>
                <w:rFonts w:ascii="Times New Roman" w:hAnsi="Times New Roman"/>
                <w:bCs/>
                <w:sz w:val="18"/>
                <w:szCs w:val="18"/>
              </w:rPr>
              <w:t>Rollover Election</w:t>
            </w:r>
          </w:p>
          <w:p w:rsidR="00AC04C5" w:rsidRPr="001461A3" w:rsidP="008A5ACD" w14:paraId="7A38F920" w14:textId="77777777">
            <w:pPr>
              <w:spacing w:before="240"/>
              <w:rPr>
                <w:rFonts w:ascii="Times New Roman" w:hAnsi="Times New Roman"/>
                <w:bCs/>
                <w:sz w:val="18"/>
                <w:szCs w:val="18"/>
              </w:rPr>
            </w:pPr>
            <w:r w:rsidRPr="001461A3">
              <w:rPr>
                <w:rFonts w:ascii="Times New Roman" w:hAnsi="Times New Roman"/>
                <w:bCs/>
                <w:sz w:val="18"/>
                <w:szCs w:val="18"/>
              </w:rPr>
              <w:t>Rollover Information</w:t>
            </w:r>
          </w:p>
          <w:p w:rsidR="00AC04C5" w:rsidRPr="001461A3" w:rsidP="008A5ACD" w14:paraId="76BA3E34" w14:textId="77777777">
            <w:pPr>
              <w:spacing w:before="240"/>
              <w:rPr>
                <w:rFonts w:ascii="Times New Roman" w:hAnsi="Times New Roman"/>
                <w:sz w:val="18"/>
                <w:szCs w:val="18"/>
              </w:rPr>
            </w:pPr>
            <w:r w:rsidRPr="001461A3">
              <w:rPr>
                <w:rFonts w:ascii="Times New Roman" w:hAnsi="Times New Roman"/>
                <w:bCs/>
                <w:sz w:val="18"/>
                <w:szCs w:val="18"/>
              </w:rPr>
              <w:t>Special Tax Notice Regarding Rollovers</w:t>
            </w:r>
          </w:p>
        </w:tc>
        <w:tc>
          <w:tcPr>
            <w:tcW w:w="1230" w:type="dxa"/>
          </w:tcPr>
          <w:p w:rsidR="00AC04C5" w:rsidRPr="001461A3" w:rsidP="008A5ACD" w14:paraId="61F13B36" w14:textId="77777777">
            <w:pPr>
              <w:spacing w:before="240"/>
              <w:jc w:val="right"/>
              <w:rPr>
                <w:rFonts w:ascii="Times New Roman" w:hAnsi="Times New Roman"/>
                <w:sz w:val="18"/>
                <w:szCs w:val="18"/>
              </w:rPr>
            </w:pPr>
          </w:p>
          <w:p w:rsidR="00AC04C5" w:rsidRPr="001461A3" w:rsidP="008A5ACD" w14:paraId="7E797D3A" w14:textId="77777777">
            <w:pPr>
              <w:spacing w:before="240"/>
              <w:jc w:val="right"/>
              <w:rPr>
                <w:rFonts w:ascii="Times New Roman" w:hAnsi="Times New Roman"/>
                <w:sz w:val="18"/>
                <w:szCs w:val="18"/>
              </w:rPr>
            </w:pPr>
          </w:p>
          <w:p w:rsidR="00AC04C5" w:rsidRPr="001461A3" w:rsidP="008A5ACD" w14:paraId="15C60884" w14:textId="77777777">
            <w:pPr>
              <w:spacing w:before="240"/>
              <w:jc w:val="right"/>
              <w:rPr>
                <w:rFonts w:ascii="Times New Roman" w:hAnsi="Times New Roman"/>
                <w:sz w:val="18"/>
                <w:szCs w:val="18"/>
              </w:rPr>
            </w:pPr>
            <w:r w:rsidRPr="001461A3">
              <w:rPr>
                <w:rFonts w:ascii="Times New Roman" w:hAnsi="Times New Roman"/>
                <w:sz w:val="18"/>
                <w:szCs w:val="18"/>
              </w:rPr>
              <w:t>1, 500</w:t>
            </w:r>
          </w:p>
        </w:tc>
        <w:tc>
          <w:tcPr>
            <w:tcW w:w="1107" w:type="dxa"/>
          </w:tcPr>
          <w:p w:rsidR="00AC04C5" w:rsidRPr="001461A3" w:rsidP="008A5ACD" w14:paraId="69417FE6" w14:textId="77777777">
            <w:pPr>
              <w:spacing w:before="240"/>
              <w:jc w:val="right"/>
              <w:rPr>
                <w:rFonts w:ascii="Times New Roman" w:hAnsi="Times New Roman"/>
                <w:sz w:val="18"/>
                <w:szCs w:val="18"/>
              </w:rPr>
            </w:pPr>
          </w:p>
          <w:p w:rsidR="00AC04C5" w:rsidRPr="001461A3" w:rsidP="008A5ACD" w14:paraId="10D4937E" w14:textId="77777777">
            <w:pPr>
              <w:spacing w:before="240"/>
              <w:jc w:val="right"/>
              <w:rPr>
                <w:rFonts w:ascii="Times New Roman" w:hAnsi="Times New Roman"/>
                <w:sz w:val="18"/>
                <w:szCs w:val="18"/>
              </w:rPr>
            </w:pPr>
          </w:p>
          <w:p w:rsidR="00AC04C5" w:rsidRPr="001461A3" w:rsidP="008A5ACD" w14:paraId="462B02B1" w14:textId="77777777">
            <w:pPr>
              <w:spacing w:before="240"/>
              <w:jc w:val="right"/>
              <w:rPr>
                <w:rFonts w:ascii="Times New Roman" w:hAnsi="Times New Roman"/>
                <w:sz w:val="18"/>
                <w:szCs w:val="18"/>
              </w:rPr>
            </w:pPr>
            <w:r>
              <w:rPr>
                <w:rFonts w:ascii="Times New Roman" w:hAnsi="Times New Roman"/>
                <w:sz w:val="18"/>
                <w:szCs w:val="18"/>
              </w:rPr>
              <w:t>9</w:t>
            </w:r>
          </w:p>
        </w:tc>
        <w:tc>
          <w:tcPr>
            <w:tcW w:w="1021" w:type="dxa"/>
          </w:tcPr>
          <w:p w:rsidR="00AC04C5" w:rsidRPr="001461A3" w:rsidP="008A5ACD" w14:paraId="7B1329CC" w14:textId="77777777">
            <w:pPr>
              <w:spacing w:before="240"/>
              <w:jc w:val="right"/>
              <w:rPr>
                <w:rFonts w:ascii="Times New Roman" w:hAnsi="Times New Roman"/>
                <w:sz w:val="18"/>
                <w:szCs w:val="18"/>
              </w:rPr>
            </w:pPr>
          </w:p>
          <w:p w:rsidR="00AC04C5" w:rsidRPr="001461A3" w:rsidP="008A5ACD" w14:paraId="29376DB9" w14:textId="77777777">
            <w:pPr>
              <w:spacing w:before="240"/>
              <w:jc w:val="right"/>
              <w:rPr>
                <w:rFonts w:ascii="Times New Roman" w:hAnsi="Times New Roman"/>
                <w:sz w:val="18"/>
                <w:szCs w:val="18"/>
              </w:rPr>
            </w:pPr>
          </w:p>
          <w:p w:rsidR="00AC04C5" w:rsidRPr="001461A3" w:rsidP="008A5ACD" w14:paraId="4E791A5D" w14:textId="77777777">
            <w:pPr>
              <w:spacing w:before="240"/>
              <w:jc w:val="right"/>
              <w:rPr>
                <w:rFonts w:ascii="Times New Roman" w:hAnsi="Times New Roman"/>
                <w:sz w:val="18"/>
                <w:szCs w:val="18"/>
              </w:rPr>
            </w:pPr>
            <w:r>
              <w:rPr>
                <w:rFonts w:ascii="Times New Roman" w:hAnsi="Times New Roman"/>
                <w:sz w:val="18"/>
                <w:szCs w:val="18"/>
              </w:rPr>
              <w:t>13,500</w:t>
            </w:r>
          </w:p>
        </w:tc>
        <w:tc>
          <w:tcPr>
            <w:tcW w:w="1174" w:type="dxa"/>
          </w:tcPr>
          <w:p w:rsidR="00AC04C5" w:rsidRPr="001461A3" w:rsidP="008A5ACD" w14:paraId="16F5388E" w14:textId="77777777">
            <w:pPr>
              <w:spacing w:before="240"/>
              <w:jc w:val="center"/>
              <w:rPr>
                <w:rFonts w:ascii="Times New Roman" w:hAnsi="Times New Roman"/>
                <w:sz w:val="18"/>
                <w:szCs w:val="18"/>
              </w:rPr>
            </w:pPr>
          </w:p>
          <w:p w:rsidR="00AC04C5" w:rsidRPr="001461A3" w:rsidP="008A5ACD" w14:paraId="58876019" w14:textId="77777777">
            <w:pPr>
              <w:spacing w:before="240"/>
              <w:jc w:val="center"/>
              <w:rPr>
                <w:rFonts w:ascii="Times New Roman" w:hAnsi="Times New Roman"/>
                <w:sz w:val="18"/>
                <w:szCs w:val="18"/>
              </w:rPr>
            </w:pPr>
          </w:p>
          <w:p w:rsidR="00AC04C5" w:rsidRPr="001461A3" w:rsidP="008A5ACD" w14:paraId="5C7E87FB" w14:textId="77777777">
            <w:pPr>
              <w:spacing w:before="240"/>
              <w:jc w:val="center"/>
              <w:rPr>
                <w:rFonts w:ascii="Times New Roman" w:hAnsi="Times New Roman"/>
                <w:sz w:val="18"/>
                <w:szCs w:val="18"/>
              </w:rPr>
            </w:pPr>
            <w:r w:rsidRPr="001461A3">
              <w:rPr>
                <w:rFonts w:ascii="Times New Roman" w:hAnsi="Times New Roman"/>
                <w:sz w:val="18"/>
                <w:szCs w:val="18"/>
              </w:rPr>
              <w:t>$</w:t>
            </w:r>
            <w:r>
              <w:rPr>
                <w:rFonts w:ascii="Times New Roman" w:hAnsi="Times New Roman"/>
                <w:sz w:val="18"/>
                <w:szCs w:val="18"/>
              </w:rPr>
              <w:t>9,450</w:t>
            </w:r>
          </w:p>
        </w:tc>
      </w:tr>
    </w:tbl>
    <w:p w:rsidR="006C4CBA" w:rsidRPr="006C4CBA" w:rsidP="006C4CBA" w14:paraId="0ACD39DD" w14:textId="0568623C">
      <w:pPr>
        <w:pStyle w:val="ListParagraph"/>
        <w:tabs>
          <w:tab w:val="left" w:pos="-720"/>
        </w:tabs>
        <w:suppressAutoHyphens/>
        <w:ind w:left="288"/>
      </w:pPr>
      <w:r w:rsidRPr="006C4CBA">
        <w:t> </w:t>
      </w:r>
    </w:p>
    <w:p w:rsidR="008A5ACD" w:rsidRPr="006C4CBA" w:rsidP="006C4CBA" w14:paraId="6D1F47A8" w14:textId="77777777">
      <w:pPr>
        <w:pStyle w:val="ListParagraph"/>
        <w:tabs>
          <w:tab w:val="left" w:pos="-720"/>
        </w:tabs>
        <w:suppressAutoHyphens/>
        <w:ind w:left="288"/>
      </w:pPr>
    </w:p>
    <w:p w:rsidR="00552BF1" w:rsidP="00A415BF" w14:paraId="63BCEEE7" w14:textId="4809E0F3">
      <w:pPr>
        <w:pStyle w:val="ListParagraph"/>
        <w:numPr>
          <w:ilvl w:val="0"/>
          <w:numId w:val="20"/>
        </w:numPr>
        <w:shd w:val="clear" w:color="auto" w:fill="BFBFBF" w:themeFill="background1" w:themeFillShade="BF"/>
        <w:tabs>
          <w:tab w:val="left" w:pos="-720"/>
        </w:tabs>
        <w:suppressAutoHyphens/>
      </w:pPr>
      <w:r w:rsidRPr="00092BE2">
        <w:rPr>
          <w:i/>
          <w:iCs/>
        </w:rPr>
        <w:t>Describe the cost incurred by the Federal Government to complete this collection table.</w:t>
      </w:r>
    </w:p>
    <w:p w:rsidR="006C4CBA" w:rsidRPr="006C4CBA" w:rsidP="006C4CBA" w14:paraId="05CC06E1" w14:textId="77777777">
      <w:pPr>
        <w:pStyle w:val="ListParagraph"/>
        <w:tabs>
          <w:tab w:val="left" w:pos="-720"/>
        </w:tabs>
        <w:suppressAutoHyphens/>
      </w:pPr>
    </w:p>
    <w:p w:rsidR="00B67688" w:rsidP="00B67688" w14:paraId="62260BBA" w14:textId="77777777">
      <w:pPr>
        <w:ind w:firstLine="660"/>
        <w:rPr>
          <w:rFonts w:ascii="Times New Roman" w:hAnsi="Times New Roman"/>
        </w:rPr>
      </w:pPr>
      <w:r w:rsidRPr="001461A3">
        <w:rPr>
          <w:rFonts w:ascii="Times New Roman" w:hAnsi="Times New Roman"/>
        </w:rPr>
        <w:t xml:space="preserve">The annualized cost to the Federal government is $8,500. This cost is derived from </w:t>
      </w:r>
    </w:p>
    <w:p w:rsidR="00B67688" w:rsidP="00B67688" w14:paraId="689CC96A" w14:textId="77777777">
      <w:pPr>
        <w:ind w:firstLine="660"/>
        <w:rPr>
          <w:rFonts w:ascii="Times New Roman" w:hAnsi="Times New Roman"/>
        </w:rPr>
      </w:pPr>
      <w:r w:rsidRPr="001461A3">
        <w:rPr>
          <w:rFonts w:ascii="Times New Roman" w:hAnsi="Times New Roman"/>
        </w:rPr>
        <w:t xml:space="preserve">employee salaries, staff hours required to process the forms and the cost of printing, </w:t>
      </w:r>
    </w:p>
    <w:p w:rsidR="004924F6" w:rsidP="00B67688" w14:paraId="61E7E875" w14:textId="77777777">
      <w:pPr>
        <w:ind w:firstLine="660"/>
        <w:rPr>
          <w:rFonts w:ascii="Times New Roman" w:hAnsi="Times New Roman"/>
        </w:rPr>
      </w:pPr>
      <w:r w:rsidRPr="001461A3">
        <w:rPr>
          <w:rFonts w:ascii="Times New Roman" w:hAnsi="Times New Roman"/>
        </w:rPr>
        <w:t xml:space="preserve">storing and shipping forms. </w:t>
      </w:r>
      <w:r w:rsidRPr="001461A3">
        <w:rPr>
          <w:rFonts w:ascii="Times New Roman" w:hAnsi="Times New Roman"/>
        </w:rPr>
        <w:br/>
      </w:r>
    </w:p>
    <w:p w:rsidR="00B67688" w:rsidRPr="006C4CBA" w:rsidP="456624D5" w14:paraId="2884FBAE" w14:textId="6336B7EE">
      <w:pPr>
        <w:pStyle w:val="ListParagraph"/>
        <w:numPr>
          <w:ilvl w:val="0"/>
          <w:numId w:val="20"/>
        </w:numPr>
        <w:shd w:val="clear" w:color="auto" w:fill="BFBFBF" w:themeFill="background1" w:themeFillShade="BF"/>
        <w:suppressAutoHyphens/>
        <w:rPr>
          <w:i/>
          <w:iCs/>
        </w:rPr>
      </w:pPr>
      <w:r w:rsidRPr="456624D5">
        <w:rPr>
          <w:i/>
          <w:iCs/>
        </w:rPr>
        <w:t>Explain any changes/adjustments to this collection since the previous submission, if applicable. Describe whether these changes impact the hour or cost burden. If yes, describe if the impact is the result of deliberate Federal government action (“program change”) or something else (“adjustment”).</w:t>
      </w:r>
      <w:r>
        <w:t> </w:t>
      </w:r>
    </w:p>
    <w:p w:rsidR="00B67688" w:rsidP="00B67688" w14:paraId="00EB1DFA" w14:textId="77777777">
      <w:pPr>
        <w:pStyle w:val="ListParagraph"/>
        <w:tabs>
          <w:tab w:val="left" w:pos="-720"/>
        </w:tabs>
        <w:suppressAutoHyphens/>
      </w:pPr>
    </w:p>
    <w:p w:rsidR="00B67688" w:rsidP="456624D5" w14:paraId="56E9BD8F" w14:textId="361BCB93">
      <w:pPr>
        <w:pStyle w:val="ListParagraph"/>
        <w:suppressAutoHyphens/>
      </w:pPr>
      <w:r>
        <w:t>There is no change in the hour or cost burden</w:t>
      </w:r>
      <w:r w:rsidR="7191B5DA">
        <w:t xml:space="preserve"> that is not based on updates on economic data</w:t>
      </w:r>
      <w:r w:rsidR="00663576">
        <w:t>, such as inflation</w:t>
      </w:r>
      <w:r>
        <w:t>.</w:t>
      </w:r>
      <w:r w:rsidR="23FE97CE">
        <w:t xml:space="preserve"> Therefore any changes noted would be categorized as “adjustments.”</w:t>
      </w:r>
    </w:p>
    <w:p w:rsidR="00663576" w:rsidP="456624D5" w14:paraId="34340E4D" w14:textId="77777777">
      <w:pPr>
        <w:pStyle w:val="ListParagraph"/>
        <w:suppressAutoHyphens/>
      </w:pPr>
    </w:p>
    <w:p w:rsidR="00663576" w:rsidP="00663576" w14:paraId="5FCCE057" w14:textId="64D7FB40">
      <w:pPr>
        <w:pStyle w:val="ListParagraph"/>
        <w:suppressAutoHyphens/>
      </w:pPr>
      <w:r>
        <w:t>For changes in the ICR</w:t>
      </w:r>
      <w:r w:rsidR="00D07D1A">
        <w:t>s</w:t>
      </w:r>
      <w:r>
        <w:t xml:space="preserve">, the Public Burden Statement </w:t>
      </w:r>
      <w:r w:rsidR="00D07D1A">
        <w:t>were all</w:t>
      </w:r>
      <w:r>
        <w:t xml:space="preserve"> updated to the latest agreed upon version. </w:t>
      </w:r>
      <w:r w:rsidR="00D07D1A">
        <w:t xml:space="preserve">For </w:t>
      </w:r>
      <w:r w:rsidR="00D07D1A">
        <w:t>the RI38-118</w:t>
      </w:r>
      <w:r w:rsidR="00D07D1A">
        <w:t>, the</w:t>
      </w:r>
      <w:r>
        <w:t xml:space="preserve"> following line was also added: “</w:t>
      </w:r>
      <w:r>
        <w:t>Hearing impaired respondents should use the</w:t>
      </w:r>
      <w:r>
        <w:t xml:space="preserve"> </w:t>
      </w:r>
      <w:r>
        <w:t>Federal Relay Service by dialing 711 or their local communications provider to reach a Communications Assistant.</w:t>
      </w:r>
      <w:r>
        <w:t>”</w:t>
      </w:r>
      <w:r w:rsidR="00D07D1A">
        <w:t xml:space="preserve"> For RI37-022, the instructions for rolling over to TSP were updated by deleting the line “</w:t>
      </w:r>
      <w:r w:rsidRPr="00D07D1A" w:rsidR="00D07D1A">
        <w:t>To accomplish a rollover to the TSP, you will need to submit form TSP-60 to us. See Part II Direct Rollover for more informatio</w:t>
      </w:r>
      <w:r w:rsidR="00D07D1A">
        <w:t>n” As well as reworking the “</w:t>
      </w:r>
      <w:r w:rsidRPr="00D07D1A" w:rsidR="00D07D1A">
        <w:t>Direct Rollover to the Thrift Savings Plan (TSP)</w:t>
      </w:r>
      <w:r w:rsidR="00D07D1A">
        <w:t>” section.</w:t>
      </w:r>
      <w:r w:rsidR="007F1D25">
        <w:t xml:space="preserve"> “</w:t>
      </w:r>
      <w:r w:rsidRPr="007F1D25" w:rsidR="007F1D25">
        <w:t xml:space="preserve">Instructions for Rollover to the Federal Retirement Thrift </w:t>
      </w:r>
      <w:r w:rsidRPr="007F1D25" w:rsidR="007F1D25">
        <w:t>Savings Plan</w:t>
      </w:r>
      <w:r w:rsidR="007F1D25">
        <w:t>” was also updated in the RI38-117.</w:t>
      </w:r>
      <w:r>
        <w:br/>
      </w:r>
    </w:p>
    <w:p w:rsidR="006C4CBA" w:rsidP="00B67688" w14:paraId="1E358925" w14:textId="77777777">
      <w:pPr>
        <w:pStyle w:val="ListParagraph"/>
        <w:tabs>
          <w:tab w:val="left" w:pos="-720"/>
        </w:tabs>
        <w:suppressAutoHyphens/>
      </w:pPr>
    </w:p>
    <w:p w:rsidR="006C4CBA" w:rsidRPr="006C4CBA" w:rsidP="00A415BF" w14:paraId="2F9E147F" w14:textId="06DB1B39">
      <w:pPr>
        <w:pStyle w:val="ListParagraph"/>
        <w:numPr>
          <w:ilvl w:val="0"/>
          <w:numId w:val="20"/>
        </w:numPr>
        <w:shd w:val="clear" w:color="auto" w:fill="BFBFBF" w:themeFill="background1" w:themeFillShade="BF"/>
        <w:rPr>
          <w:i/>
          <w:iCs/>
        </w:rPr>
      </w:pPr>
      <w:r w:rsidRPr="006C4CBA">
        <w:rPr>
          <w:i/>
          <w:iCs/>
        </w:rPr>
        <w:t>Specify if the data gathered by this collection will be published. This could include Congressional reporting, using respondent numbers in budget justification, or other broad reporting</w:t>
      </w:r>
      <w:r>
        <w:rPr>
          <w:i/>
          <w:iCs/>
        </w:rPr>
        <w:t>.</w:t>
      </w:r>
    </w:p>
    <w:p w:rsidR="006C4CBA" w:rsidP="00B67688" w14:paraId="5D255406" w14:textId="77777777">
      <w:pPr>
        <w:ind w:left="660"/>
        <w:rPr>
          <w:rFonts w:ascii="Times New Roman" w:hAnsi="Times New Roman"/>
          <w:i/>
          <w:iCs/>
          <w:szCs w:val="20"/>
        </w:rPr>
      </w:pPr>
    </w:p>
    <w:p w:rsidR="00D02287" w:rsidP="00B67688" w14:paraId="3FEBCE92" w14:textId="68A37974">
      <w:pPr>
        <w:ind w:left="660"/>
        <w:rPr>
          <w:rFonts w:ascii="Times New Roman" w:hAnsi="Times New Roman"/>
        </w:rPr>
      </w:pPr>
      <w:r w:rsidRPr="001461A3">
        <w:rPr>
          <w:rFonts w:ascii="Times New Roman" w:hAnsi="Times New Roman"/>
        </w:rPr>
        <w:t xml:space="preserve">The </w:t>
      </w:r>
      <w:r w:rsidR="006C4CBA">
        <w:rPr>
          <w:rFonts w:ascii="Times New Roman" w:hAnsi="Times New Roman"/>
        </w:rPr>
        <w:t xml:space="preserve">details of this ICR are not published. However, there </w:t>
      </w:r>
      <w:r w:rsidR="00B06699">
        <w:rPr>
          <w:rFonts w:ascii="Times New Roman" w:hAnsi="Times New Roman"/>
        </w:rPr>
        <w:t>may occasionally be aggregate data reported, as needed, including in Congressional reporting, budget justifications, or other broad reporting.</w:t>
      </w:r>
      <w:r w:rsidRPr="001461A3">
        <w:rPr>
          <w:rFonts w:ascii="Times New Roman" w:hAnsi="Times New Roman"/>
        </w:rPr>
        <w:br/>
      </w:r>
    </w:p>
    <w:p w:rsidR="00B06699" w:rsidRPr="00B06699" w:rsidP="456624D5" w14:paraId="5B92230F" w14:textId="3C6429DD">
      <w:pPr>
        <w:pStyle w:val="ListParagraph"/>
        <w:numPr>
          <w:ilvl w:val="0"/>
          <w:numId w:val="19"/>
        </w:numPr>
        <w:shd w:val="clear" w:color="auto" w:fill="BFBFBF" w:themeFill="background1" w:themeFillShade="BF"/>
        <w:suppressAutoHyphens/>
      </w:pPr>
      <w:r w:rsidRPr="456624D5">
        <w:rPr>
          <w:i/>
          <w:iCs/>
        </w:rPr>
        <w:t>If applicable, explain the reason(s) for seeking approval to not display the OMB expiration date.</w:t>
      </w:r>
      <w:r>
        <w:t> </w:t>
      </w:r>
    </w:p>
    <w:p w:rsidR="00B67688" w:rsidP="00B06699" w14:paraId="68D67927" w14:textId="16F77454">
      <w:pPr>
        <w:pStyle w:val="ListParagraph"/>
        <w:tabs>
          <w:tab w:val="left" w:pos="-720"/>
        </w:tabs>
        <w:suppressAutoHyphens/>
      </w:pPr>
    </w:p>
    <w:p w:rsidR="00A415BF" w:rsidP="00A415BF" w14:paraId="008C8303" w14:textId="77777777">
      <w:pPr>
        <w:pStyle w:val="ListParagraph"/>
        <w:tabs>
          <w:tab w:val="left" w:pos="-720"/>
        </w:tabs>
        <w:suppressAutoHyphens/>
      </w:pPr>
      <w:r w:rsidRPr="00B06699">
        <w:t>We seek approval to not display the OMB clearance expiration date on the forms and to communicate version changes to the public via the revision date. OPM has modified our Paperwork Reduction Act notice to ensure respondents can verify the validity of the OMB control number and collection. </w:t>
      </w:r>
    </w:p>
    <w:p w:rsidR="00A415BF" w:rsidP="00A415BF" w14:paraId="0988CD62" w14:textId="77777777">
      <w:pPr>
        <w:tabs>
          <w:tab w:val="left" w:pos="-720"/>
        </w:tabs>
        <w:suppressAutoHyphens/>
        <w:ind w:left="288"/>
        <w:rPr>
          <w:rFonts w:ascii="Times New Roman" w:hAnsi="Times New Roman"/>
          <w:i/>
          <w:iCs/>
          <w:shd w:val="clear" w:color="auto" w:fill="BFBFBF" w:themeFill="background1" w:themeFillShade="BF"/>
        </w:rPr>
      </w:pPr>
      <w:r w:rsidRPr="00B06699">
        <w:br/>
      </w:r>
      <w:bookmarkStart w:id="0" w:name="_Hlk71715172"/>
      <w:r w:rsidRPr="00A415BF" w:rsidR="00B67688">
        <w:rPr>
          <w:rFonts w:ascii="Times New Roman" w:hAnsi="Times New Roman"/>
          <w:i/>
          <w:iCs/>
          <w:shd w:val="clear" w:color="auto" w:fill="BFBFBF" w:themeFill="background1" w:themeFillShade="BF"/>
        </w:rPr>
        <w:t>18</w:t>
      </w:r>
      <w:bookmarkEnd w:id="0"/>
      <w:r w:rsidRPr="00A415BF" w:rsidR="00092BE2">
        <w:rPr>
          <w:rFonts w:ascii="Times New Roman" w:hAnsi="Times New Roman"/>
          <w:i/>
          <w:iCs/>
          <w:shd w:val="clear" w:color="auto" w:fill="BFBFBF" w:themeFill="background1" w:themeFillShade="BF"/>
        </w:rPr>
        <w:t>.</w:t>
      </w:r>
      <w:r w:rsidRPr="00A415BF">
        <w:rPr>
          <w:rFonts w:ascii="Times New Roman" w:hAnsi="Times New Roman"/>
          <w:i/>
          <w:iCs/>
          <w:color w:val="000000"/>
          <w:shd w:val="clear" w:color="auto" w:fill="BFBFBF" w:themeFill="background1" w:themeFillShade="BF"/>
        </w:rPr>
        <w:t xml:space="preserve"> </w:t>
      </w:r>
      <w:r w:rsidRPr="00A415BF">
        <w:rPr>
          <w:rFonts w:ascii="Times New Roman" w:hAnsi="Times New Roman"/>
          <w:i/>
          <w:iCs/>
          <w:shd w:val="clear" w:color="auto" w:fill="BFBFBF" w:themeFill="background1" w:themeFillShade="BF"/>
        </w:rPr>
        <w:t>Explain each exception to the topics of the certification statement identified in</w:t>
      </w:r>
      <w:r>
        <w:rPr>
          <w:rFonts w:ascii="Times New Roman" w:hAnsi="Times New Roman"/>
          <w:i/>
          <w:iCs/>
          <w:shd w:val="clear" w:color="auto" w:fill="BFBFBF" w:themeFill="background1" w:themeFillShade="BF"/>
        </w:rPr>
        <w:t xml:space="preserve">              </w:t>
      </w:r>
      <w:r w:rsidRPr="00A415BF">
        <w:rPr>
          <w:rFonts w:ascii="Times New Roman" w:hAnsi="Times New Roman"/>
          <w:i/>
          <w:iCs/>
          <w:shd w:val="clear" w:color="auto" w:fill="BFBFBF" w:themeFill="background1" w:themeFillShade="BF"/>
        </w:rPr>
        <w:t xml:space="preserve"> </w:t>
      </w:r>
      <w:r>
        <w:rPr>
          <w:rFonts w:ascii="Times New Roman" w:hAnsi="Times New Roman"/>
          <w:i/>
          <w:iCs/>
          <w:shd w:val="clear" w:color="auto" w:fill="BFBFBF" w:themeFill="background1" w:themeFillShade="BF"/>
        </w:rPr>
        <w:t xml:space="preserve">  </w:t>
      </w:r>
    </w:p>
    <w:p w:rsidR="00064AD8" w:rsidRPr="00A415BF" w:rsidP="456624D5" w14:paraId="2ACEF1EB" w14:textId="4290B9C1">
      <w:pPr>
        <w:suppressAutoHyphens/>
        <w:ind w:left="288"/>
        <w:rPr>
          <w:rFonts w:ascii="Times New Roman" w:hAnsi="Times New Roman"/>
        </w:rPr>
      </w:pPr>
      <w:r w:rsidRPr="456624D5">
        <w:rPr>
          <w:rFonts w:ascii="Times New Roman" w:hAnsi="Times New Roman"/>
          <w:i/>
          <w:iCs/>
          <w:shd w:val="clear" w:color="auto" w:fill="BFBFBF" w:themeFill="background1" w:themeFillShade="BF"/>
        </w:rPr>
        <w:t xml:space="preserve">     </w:t>
      </w:r>
      <w:r w:rsidRPr="456624D5" w:rsidR="00B06699">
        <w:rPr>
          <w:rFonts w:ascii="Times New Roman" w:hAnsi="Times New Roman"/>
          <w:i/>
          <w:iCs/>
          <w:shd w:val="clear" w:color="auto" w:fill="BFBFBF" w:themeFill="background1" w:themeFillShade="BF"/>
        </w:rPr>
        <w:t>“</w:t>
      </w:r>
      <w:hyperlink r:id="rId14" w:tgtFrame="_blank" w:history="1">
        <w:r w:rsidRPr="456624D5" w:rsidR="00B06699">
          <w:rPr>
            <w:rStyle w:val="Hyperlink"/>
            <w:rFonts w:ascii="Times New Roman" w:hAnsi="Times New Roman"/>
            <w:i/>
            <w:iCs/>
            <w:shd w:val="clear" w:color="auto" w:fill="BFBFBF" w:themeFill="background1" w:themeFillShade="BF"/>
          </w:rPr>
          <w:t>Certification for Paperwork Reduction Act Submissions</w:t>
        </w:r>
      </w:hyperlink>
      <w:r w:rsidRPr="456624D5" w:rsidR="00B06699">
        <w:rPr>
          <w:rFonts w:ascii="Times New Roman" w:hAnsi="Times New Roman"/>
          <w:i/>
          <w:iCs/>
          <w:shd w:val="clear" w:color="auto" w:fill="BFBFBF" w:themeFill="background1" w:themeFillShade="BF"/>
        </w:rPr>
        <w:t>.”</w:t>
      </w:r>
      <w:r w:rsidRPr="456624D5">
        <w:rPr>
          <w:rFonts w:ascii="Times New Roman" w:hAnsi="Times New Roman"/>
          <w:i/>
          <w:iCs/>
          <w:shd w:val="clear" w:color="auto" w:fill="BFBFBF" w:themeFill="background1" w:themeFillShade="BF"/>
        </w:rPr>
        <w:t xml:space="preserve"> </w:t>
      </w:r>
      <w:r w:rsidRPr="456624D5" w:rsidR="00B06699">
        <w:rPr>
          <w:rFonts w:ascii="Times New Roman" w:hAnsi="Times New Roman"/>
          <w:i/>
          <w:iCs/>
        </w:rPr>
        <w:t>  </w:t>
      </w:r>
      <w:r w:rsidRPr="00A415BF" w:rsidR="00B06699">
        <w:rPr>
          <w:rFonts w:ascii="Times New Roman" w:hAnsi="Times New Roman"/>
        </w:rPr>
        <w:t xml:space="preserve">  </w:t>
      </w:r>
    </w:p>
    <w:p w:rsidR="00D2694E" w:rsidP="00B06699" w14:paraId="60239A89" w14:textId="4AEDB0F2">
      <w:r>
        <w:tab/>
      </w:r>
    </w:p>
    <w:p w:rsidR="00B06699" w:rsidRPr="001461A3" w:rsidP="00B06699" w14:paraId="273638FB" w14:textId="77777777">
      <w:pPr>
        <w:pStyle w:val="ListParagraph"/>
        <w:tabs>
          <w:tab w:val="left" w:pos="-720"/>
        </w:tabs>
        <w:suppressAutoHyphens/>
        <w:ind w:left="288"/>
      </w:pPr>
      <w:r>
        <w:tab/>
      </w:r>
      <w:r w:rsidRPr="001461A3">
        <w:t>There are no exceptions to the certification statement.</w:t>
      </w:r>
    </w:p>
    <w:p w:rsidR="00B06699" w:rsidP="00B06699" w14:paraId="65E71665" w14:textId="6634B672"/>
    <w:sectPr w:rsidSect="00027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1A8D"/>
    <w:multiLevelType w:val="hybridMultilevel"/>
    <w:tmpl w:val="7978841A"/>
    <w:lvl w:ilvl="0">
      <w:start w:val="1"/>
      <w:numFmt w:val="upperLetter"/>
      <w:lvlText w:val="%1."/>
      <w:lvlJc w:val="left"/>
      <w:pPr>
        <w:tabs>
          <w:tab w:val="num" w:pos="1005"/>
        </w:tabs>
        <w:ind w:left="1005" w:hanging="405"/>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
    <w:nsid w:val="06784B71"/>
    <w:multiLevelType w:val="multilevel"/>
    <w:tmpl w:val="CD863A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DB5098"/>
    <w:multiLevelType w:val="multilevel"/>
    <w:tmpl w:val="32901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334BD"/>
    <w:multiLevelType w:val="singleLevel"/>
    <w:tmpl w:val="57722588"/>
    <w:lvl w:ilvl="0">
      <w:start w:val="1"/>
      <w:numFmt w:val="decimal"/>
      <w:lvlText w:val="%1."/>
      <w:lvlJc w:val="left"/>
      <w:pPr>
        <w:tabs>
          <w:tab w:val="num" w:pos="720"/>
        </w:tabs>
        <w:ind w:left="720" w:hanging="360"/>
      </w:pPr>
    </w:lvl>
  </w:abstractNum>
  <w:abstractNum w:abstractNumId="5">
    <w:nsid w:val="137E781B"/>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nsid w:val="196747AE"/>
    <w:multiLevelType w:val="multilevel"/>
    <w:tmpl w:val="232CDB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D17D6"/>
    <w:multiLevelType w:val="hybridMultilevel"/>
    <w:tmpl w:val="CEC84B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669CA"/>
    <w:multiLevelType w:val="multilevel"/>
    <w:tmpl w:val="7DE2C000"/>
    <w:lvl w:ilvl="0">
      <w:start w:val="13"/>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A2E42"/>
    <w:multiLevelType w:val="hybridMultilevel"/>
    <w:tmpl w:val="2C32E1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193B88"/>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4">
    <w:nsid w:val="4E8452D0"/>
    <w:multiLevelType w:val="multilevel"/>
    <w:tmpl w:val="9176ED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66BA2D21"/>
    <w:multiLevelType w:val="multilevel"/>
    <w:tmpl w:val="FF7E0B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4E0F46"/>
    <w:multiLevelType w:val="multilevel"/>
    <w:tmpl w:val="4FE80D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19">
    <w:nsid w:val="74536BC5"/>
    <w:multiLevelType w:val="singleLevel"/>
    <w:tmpl w:val="57722588"/>
    <w:lvl w:ilvl="0">
      <w:start w:val="1"/>
      <w:numFmt w:val="decimal"/>
      <w:lvlText w:val="%1."/>
      <w:lvlJc w:val="left"/>
      <w:pPr>
        <w:tabs>
          <w:tab w:val="num" w:pos="720"/>
        </w:tabs>
        <w:ind w:left="720" w:hanging="360"/>
      </w:pPr>
    </w:lvl>
  </w:abstractNum>
  <w:num w:numId="1" w16cid:durableId="1677264251">
    <w:abstractNumId w:val="0"/>
  </w:num>
  <w:num w:numId="2" w16cid:durableId="1047681086">
    <w:abstractNumId w:val="11"/>
  </w:num>
  <w:num w:numId="3" w16cid:durableId="1530485534">
    <w:abstractNumId w:val="5"/>
  </w:num>
  <w:num w:numId="4" w16cid:durableId="448938906">
    <w:abstractNumId w:val="13"/>
  </w:num>
  <w:num w:numId="5" w16cid:durableId="2144151142">
    <w:abstractNumId w:val="18"/>
  </w:num>
  <w:num w:numId="6" w16cid:durableId="1718042527">
    <w:abstractNumId w:val="7"/>
  </w:num>
  <w:num w:numId="7" w16cid:durableId="373047598">
    <w:abstractNumId w:val="19"/>
    <w:lvlOverride w:ilvl="0">
      <w:startOverride w:val="1"/>
    </w:lvlOverride>
  </w:num>
  <w:num w:numId="8" w16cid:durableId="962886300">
    <w:abstractNumId w:val="15"/>
  </w:num>
  <w:num w:numId="9" w16cid:durableId="830370391">
    <w:abstractNumId w:val="4"/>
  </w:num>
  <w:num w:numId="10" w16cid:durableId="601836959">
    <w:abstractNumId w:val="2"/>
  </w:num>
  <w:num w:numId="11" w16cid:durableId="932400870">
    <w:abstractNumId w:val="8"/>
  </w:num>
  <w:num w:numId="12" w16cid:durableId="778984530">
    <w:abstractNumId w:val="3"/>
  </w:num>
  <w:num w:numId="13" w16cid:durableId="1378505289">
    <w:abstractNumId w:val="1"/>
  </w:num>
  <w:num w:numId="14" w16cid:durableId="43599282">
    <w:abstractNumId w:val="6"/>
  </w:num>
  <w:num w:numId="15" w16cid:durableId="1584143490">
    <w:abstractNumId w:val="17"/>
  </w:num>
  <w:num w:numId="16" w16cid:durableId="1277566704">
    <w:abstractNumId w:val="14"/>
  </w:num>
  <w:num w:numId="17" w16cid:durableId="1395810095">
    <w:abstractNumId w:val="9"/>
  </w:num>
  <w:num w:numId="18" w16cid:durableId="1070351662">
    <w:abstractNumId w:val="16"/>
  </w:num>
  <w:num w:numId="19" w16cid:durableId="1668054600">
    <w:abstractNumId w:val="10"/>
  </w:num>
  <w:num w:numId="20" w16cid:durableId="548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AE"/>
    <w:rsid w:val="00017F51"/>
    <w:rsid w:val="000278AE"/>
    <w:rsid w:val="00043D0F"/>
    <w:rsid w:val="00064AD8"/>
    <w:rsid w:val="00092BE2"/>
    <w:rsid w:val="000A4B18"/>
    <w:rsid w:val="000E6B39"/>
    <w:rsid w:val="000F24F9"/>
    <w:rsid w:val="001060A5"/>
    <w:rsid w:val="001276D8"/>
    <w:rsid w:val="001461A3"/>
    <w:rsid w:val="001823AC"/>
    <w:rsid w:val="001B0A66"/>
    <w:rsid w:val="001B4485"/>
    <w:rsid w:val="001C143B"/>
    <w:rsid w:val="001D47CD"/>
    <w:rsid w:val="001D77D0"/>
    <w:rsid w:val="001F617E"/>
    <w:rsid w:val="00215157"/>
    <w:rsid w:val="00243A41"/>
    <w:rsid w:val="00253624"/>
    <w:rsid w:val="002613FD"/>
    <w:rsid w:val="00262A15"/>
    <w:rsid w:val="002746C9"/>
    <w:rsid w:val="002A5FE3"/>
    <w:rsid w:val="002C5955"/>
    <w:rsid w:val="002E2FB9"/>
    <w:rsid w:val="002F1783"/>
    <w:rsid w:val="00322268"/>
    <w:rsid w:val="00327F45"/>
    <w:rsid w:val="0034398B"/>
    <w:rsid w:val="003544C2"/>
    <w:rsid w:val="003803D0"/>
    <w:rsid w:val="003C00A0"/>
    <w:rsid w:val="003C2CE5"/>
    <w:rsid w:val="003C2D4A"/>
    <w:rsid w:val="003C530A"/>
    <w:rsid w:val="003E6960"/>
    <w:rsid w:val="003F7DBA"/>
    <w:rsid w:val="00401B4E"/>
    <w:rsid w:val="00404B6B"/>
    <w:rsid w:val="00437E3D"/>
    <w:rsid w:val="004775B2"/>
    <w:rsid w:val="004924F6"/>
    <w:rsid w:val="004D16A8"/>
    <w:rsid w:val="00512DBC"/>
    <w:rsid w:val="005209E3"/>
    <w:rsid w:val="00527A0A"/>
    <w:rsid w:val="00552BF1"/>
    <w:rsid w:val="005619A5"/>
    <w:rsid w:val="00563975"/>
    <w:rsid w:val="005B4EEC"/>
    <w:rsid w:val="005C1CE4"/>
    <w:rsid w:val="005F187C"/>
    <w:rsid w:val="00601E59"/>
    <w:rsid w:val="00660C49"/>
    <w:rsid w:val="00663576"/>
    <w:rsid w:val="0069205D"/>
    <w:rsid w:val="006C4CBA"/>
    <w:rsid w:val="007B629D"/>
    <w:rsid w:val="007E6611"/>
    <w:rsid w:val="007F1D25"/>
    <w:rsid w:val="007F6F56"/>
    <w:rsid w:val="007F7DF2"/>
    <w:rsid w:val="0080699E"/>
    <w:rsid w:val="008354A7"/>
    <w:rsid w:val="00850B40"/>
    <w:rsid w:val="00874179"/>
    <w:rsid w:val="0089048A"/>
    <w:rsid w:val="00891D75"/>
    <w:rsid w:val="008A4E5A"/>
    <w:rsid w:val="008A5ACD"/>
    <w:rsid w:val="008F76CD"/>
    <w:rsid w:val="009145A1"/>
    <w:rsid w:val="009D0A51"/>
    <w:rsid w:val="00A04B80"/>
    <w:rsid w:val="00A415BF"/>
    <w:rsid w:val="00A51792"/>
    <w:rsid w:val="00A57790"/>
    <w:rsid w:val="00A6128E"/>
    <w:rsid w:val="00A61F99"/>
    <w:rsid w:val="00AA02F8"/>
    <w:rsid w:val="00AC04C5"/>
    <w:rsid w:val="00AE15A8"/>
    <w:rsid w:val="00AE52E6"/>
    <w:rsid w:val="00B00C00"/>
    <w:rsid w:val="00B06699"/>
    <w:rsid w:val="00B67688"/>
    <w:rsid w:val="00B73D82"/>
    <w:rsid w:val="00B815E7"/>
    <w:rsid w:val="00B86B39"/>
    <w:rsid w:val="00BB1858"/>
    <w:rsid w:val="00BB4D6D"/>
    <w:rsid w:val="00BF56A2"/>
    <w:rsid w:val="00BF7F9D"/>
    <w:rsid w:val="00C9316B"/>
    <w:rsid w:val="00CA588F"/>
    <w:rsid w:val="00CB5C26"/>
    <w:rsid w:val="00CD3227"/>
    <w:rsid w:val="00CE06EF"/>
    <w:rsid w:val="00D00066"/>
    <w:rsid w:val="00D02287"/>
    <w:rsid w:val="00D07D1A"/>
    <w:rsid w:val="00D128A5"/>
    <w:rsid w:val="00D2694E"/>
    <w:rsid w:val="00D35453"/>
    <w:rsid w:val="00D57AEC"/>
    <w:rsid w:val="00D8167B"/>
    <w:rsid w:val="00E02FA5"/>
    <w:rsid w:val="00E03F5F"/>
    <w:rsid w:val="00E17285"/>
    <w:rsid w:val="00E26035"/>
    <w:rsid w:val="00E30D45"/>
    <w:rsid w:val="00E67A19"/>
    <w:rsid w:val="00E754C1"/>
    <w:rsid w:val="00EB2714"/>
    <w:rsid w:val="00EC5163"/>
    <w:rsid w:val="00ED60E4"/>
    <w:rsid w:val="00F374F4"/>
    <w:rsid w:val="00F427CC"/>
    <w:rsid w:val="00F70592"/>
    <w:rsid w:val="00F87827"/>
    <w:rsid w:val="00FE42B7"/>
    <w:rsid w:val="04D98D72"/>
    <w:rsid w:val="17CC4D5F"/>
    <w:rsid w:val="23FE97CE"/>
    <w:rsid w:val="24EA95F9"/>
    <w:rsid w:val="26252928"/>
    <w:rsid w:val="358B1E4C"/>
    <w:rsid w:val="36C84EA1"/>
    <w:rsid w:val="456624D5"/>
    <w:rsid w:val="46FEAFF8"/>
    <w:rsid w:val="5E668CCD"/>
    <w:rsid w:val="62AC64EF"/>
    <w:rsid w:val="645B7D39"/>
    <w:rsid w:val="68AA6DB9"/>
    <w:rsid w:val="6B99EDAA"/>
    <w:rsid w:val="7191B5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695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FA5"/>
    <w:rPr>
      <w:rFonts w:ascii="Univers" w:hAnsi="Univer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7"/>
    <w:pPr>
      <w:ind w:left="720"/>
      <w:contextualSpacing/>
    </w:pPr>
    <w:rPr>
      <w:rFonts w:ascii="Times New Roman" w:hAnsi="Times New Roman"/>
      <w:szCs w:val="20"/>
    </w:rPr>
  </w:style>
  <w:style w:type="character" w:styleId="Hyperlink">
    <w:name w:val="Hyperlink"/>
    <w:basedOn w:val="DefaultParagraphFont"/>
    <w:uiPriority w:val="99"/>
    <w:unhideWhenUsed/>
    <w:rsid w:val="002746C9"/>
    <w:rPr>
      <w:color w:val="0563C1" w:themeColor="hyperlink"/>
      <w:u w:val="single"/>
    </w:rPr>
  </w:style>
  <w:style w:type="character" w:styleId="UnresolvedMention">
    <w:name w:val="Unresolved Mention"/>
    <w:basedOn w:val="DefaultParagraphFont"/>
    <w:uiPriority w:val="99"/>
    <w:semiHidden/>
    <w:unhideWhenUsed/>
    <w:rsid w:val="002746C9"/>
    <w:rPr>
      <w:color w:val="605E5C"/>
      <w:shd w:val="clear" w:color="auto" w:fill="E1DFDD"/>
    </w:rPr>
  </w:style>
  <w:style w:type="paragraph" w:customStyle="1" w:styleId="paragraph">
    <w:name w:val="paragraph"/>
    <w:basedOn w:val="Normal"/>
    <w:rsid w:val="00CE06EF"/>
    <w:pPr>
      <w:spacing w:before="100" w:beforeAutospacing="1" w:after="100" w:afterAutospacing="1"/>
    </w:pPr>
    <w:rPr>
      <w:rFonts w:ascii="Times New Roman" w:hAnsi="Times New Roman"/>
    </w:rPr>
  </w:style>
  <w:style w:type="character" w:customStyle="1" w:styleId="normaltextrun">
    <w:name w:val="normaltextrun"/>
    <w:basedOn w:val="DefaultParagraphFont"/>
    <w:rsid w:val="00CE06EF"/>
  </w:style>
  <w:style w:type="character" w:customStyle="1" w:styleId="eop">
    <w:name w:val="eop"/>
    <w:basedOn w:val="DefaultParagraphFont"/>
    <w:rsid w:val="00CE06EF"/>
  </w:style>
  <w:style w:type="paragraph" w:styleId="Header">
    <w:name w:val="header"/>
    <w:basedOn w:val="Normal"/>
    <w:link w:val="HeaderChar"/>
    <w:uiPriority w:val="99"/>
    <w:unhideWhenUsed/>
    <w:rsid w:val="003C00A0"/>
    <w:pPr>
      <w:tabs>
        <w:tab w:val="center" w:pos="4680"/>
        <w:tab w:val="right" w:pos="9360"/>
      </w:tabs>
    </w:pPr>
  </w:style>
  <w:style w:type="character" w:customStyle="1" w:styleId="HeaderChar">
    <w:name w:val="Header Char"/>
    <w:basedOn w:val="DefaultParagraphFont"/>
    <w:link w:val="Header"/>
    <w:uiPriority w:val="99"/>
    <w:rsid w:val="003C00A0"/>
    <w:rPr>
      <w:rFonts w:ascii="Univers" w:hAnsi="Univers"/>
      <w:sz w:val="24"/>
      <w:szCs w:val="24"/>
    </w:rPr>
  </w:style>
  <w:style w:type="paragraph" w:styleId="Footer">
    <w:name w:val="footer"/>
    <w:basedOn w:val="Normal"/>
    <w:link w:val="FooterChar"/>
    <w:uiPriority w:val="99"/>
    <w:unhideWhenUsed/>
    <w:rsid w:val="003C00A0"/>
    <w:pPr>
      <w:tabs>
        <w:tab w:val="center" w:pos="4680"/>
        <w:tab w:val="right" w:pos="9360"/>
      </w:tabs>
    </w:pPr>
  </w:style>
  <w:style w:type="character" w:customStyle="1" w:styleId="FooterChar">
    <w:name w:val="Footer Char"/>
    <w:basedOn w:val="DefaultParagraphFont"/>
    <w:link w:val="Footer"/>
    <w:uiPriority w:val="99"/>
    <w:rsid w:val="003C00A0"/>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italchek.com/v/timing-and-pricing" TargetMode="External" /><Relationship Id="rId11" Type="http://schemas.openxmlformats.org/officeDocument/2006/relationships/hyperlink" Target="https://www.office.fedex.com/default/copy-and-print-services" TargetMode="External" /><Relationship Id="rId12" Type="http://schemas.openxmlformats.org/officeDocument/2006/relationships/hyperlink" Target="https://www.usps.com/business/prices.htm" TargetMode="External" /><Relationship Id="rId13" Type="http://schemas.openxmlformats.org/officeDocument/2006/relationships/hyperlink" Target="https://www.irs.gov/tax-professionals/standard-mileage-rates" TargetMode="External" /><Relationship Id="rId14" Type="http://schemas.openxmlformats.org/officeDocument/2006/relationships/hyperlink" Target="https://www.ecfr.gov/current/title-5/chapter-III/subchapter-B/part-1320/section-1320.9"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ra.digital.gov/uploads/supporting-statement-a-instructions.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d265f378fbedbade716701c410865762">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c84ddb601c37ab0dcc9a75f06d822b7f"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Hidden xmlns="6230d612-7037-498f-bfff-b82b5e1a6587">false</Hidden>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828FF-621A-4F79-ABCE-1E6C828F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0d612-7037-498f-bfff-b82b5e1a6587"/>
    <ds:schemaRef ds:uri="d0cae902-28e2-4e17-856a-6e87d069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7E192-4CA8-44F3-840A-DE52F0A2F30B}">
  <ds:schemaRefs>
    <ds:schemaRef ds:uri="http://schemas.microsoft.com/office/2006/metadata/properties"/>
    <ds:schemaRef ds:uri="http://schemas.microsoft.com/office/infopath/2007/PartnerControls"/>
    <ds:schemaRef ds:uri="6230d612-7037-498f-bfff-b82b5e1a6587"/>
    <ds:schemaRef ds:uri="d0cae902-28e2-4e17-856a-6e87d0697a0c"/>
    <ds:schemaRef ds:uri="http://schemas.microsoft.com/sharepoint/v3"/>
  </ds:schemaRefs>
</ds:datastoreItem>
</file>

<file path=customXml/itemProps3.xml><?xml version="1.0" encoding="utf-8"?>
<ds:datastoreItem xmlns:ds="http://schemas.openxmlformats.org/officeDocument/2006/customXml" ds:itemID="{56E2A686-DA52-4A48-B4D9-BFFF2DD5E639}">
  <ds:schemaRefs>
    <ds:schemaRef ds:uri="http://schemas.openxmlformats.org/officeDocument/2006/bibliography"/>
  </ds:schemaRefs>
</ds:datastoreItem>
</file>

<file path=customXml/itemProps4.xml><?xml version="1.0" encoding="utf-8"?>
<ds:datastoreItem xmlns:ds="http://schemas.openxmlformats.org/officeDocument/2006/customXml" ds:itemID="{D4277468-901E-4D21-AEE3-C9CEEAF90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9281</Characters>
  <Application>Microsoft Office Word</Application>
  <DocSecurity>0</DocSecurity>
  <Lines>201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2026-03-18T17:50:00Z</dcterms:created>
  <dcterms:modified xsi:type="dcterms:W3CDTF">2026-03-18T17:50:00Z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docLang">
    <vt:lpwstr>en</vt:lpwstr>
  </property>
  <property fmtid="{D5CDD505-2E9C-101B-9397-08002B2CF9AE}" pid="4" name="MediaServiceImageTags">
    <vt:lpwstr/>
  </property>
</Properties>
</file>