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74B03" w:rsidRPr="00D16F8A" w:rsidP="00E44AF6" w14:paraId="00000001" w14:textId="77777777">
      <w:pPr>
        <w:jc w:val="center"/>
        <w:rPr>
          <w:b/>
          <w:bCs/>
          <w:sz w:val="24"/>
          <w:szCs w:val="24"/>
        </w:rPr>
      </w:pPr>
      <w:r w:rsidRPr="00D16F8A">
        <w:rPr>
          <w:b/>
          <w:bCs/>
          <w:sz w:val="24"/>
          <w:szCs w:val="24"/>
        </w:rPr>
        <w:t>SUPPORTING STATEMENT</w:t>
      </w:r>
    </w:p>
    <w:p w:rsidR="00974B03" w14:paraId="00000002" w14:textId="77777777">
      <w:pPr>
        <w:spacing w:line="259" w:lineRule="auto"/>
        <w:ind w:firstLine="14"/>
        <w:jc w:val="center"/>
        <w:rPr>
          <w:b/>
          <w:sz w:val="24"/>
          <w:szCs w:val="24"/>
        </w:rPr>
      </w:pPr>
      <w:r>
        <w:rPr>
          <w:b/>
          <w:sz w:val="24"/>
          <w:szCs w:val="24"/>
        </w:rPr>
        <w:t>U.S. Department of Commerce</w:t>
      </w:r>
    </w:p>
    <w:p w:rsidR="00974B03" w14:paraId="00000003" w14:textId="77777777">
      <w:pPr>
        <w:spacing w:line="259" w:lineRule="auto"/>
        <w:ind w:firstLine="14"/>
        <w:jc w:val="center"/>
        <w:rPr>
          <w:b/>
          <w:sz w:val="24"/>
          <w:szCs w:val="24"/>
        </w:rPr>
      </w:pPr>
      <w:r>
        <w:rPr>
          <w:b/>
          <w:sz w:val="24"/>
          <w:szCs w:val="24"/>
        </w:rPr>
        <w:t>National Oceanic &amp; Atmospheric Administration</w:t>
      </w:r>
    </w:p>
    <w:p w:rsidR="00974B03" w14:paraId="00000004" w14:textId="77777777">
      <w:pPr>
        <w:spacing w:line="259" w:lineRule="auto"/>
        <w:jc w:val="center"/>
        <w:rPr>
          <w:b/>
          <w:sz w:val="24"/>
          <w:szCs w:val="24"/>
        </w:rPr>
      </w:pPr>
      <w:r>
        <w:rPr>
          <w:b/>
          <w:sz w:val="24"/>
          <w:szCs w:val="24"/>
        </w:rPr>
        <w:t>Alaska Chinook Salmon Economic Data Report (EDR)</w:t>
      </w:r>
    </w:p>
    <w:p w:rsidR="00974B03" w14:paraId="00000005" w14:textId="77777777">
      <w:pPr>
        <w:spacing w:line="259" w:lineRule="auto"/>
        <w:jc w:val="center"/>
        <w:rPr>
          <w:b/>
          <w:color w:val="FF0000"/>
          <w:sz w:val="24"/>
          <w:szCs w:val="24"/>
        </w:rPr>
      </w:pPr>
      <w:r>
        <w:rPr>
          <w:b/>
          <w:sz w:val="24"/>
          <w:szCs w:val="24"/>
        </w:rPr>
        <w:t>OMB Control No. 0648-0633</w:t>
      </w:r>
    </w:p>
    <w:p w:rsidR="00974B03" w14:paraId="00000006" w14:textId="77777777">
      <w:pPr>
        <w:rPr>
          <w:sz w:val="24"/>
          <w:szCs w:val="24"/>
        </w:rPr>
      </w:pPr>
    </w:p>
    <w:p w:rsidR="00974B03" w14:paraId="00000007" w14:textId="77777777">
      <w:pPr>
        <w:tabs>
          <w:tab w:val="left" w:pos="720"/>
        </w:tabs>
        <w:ind w:left="720" w:hanging="720"/>
        <w:rPr>
          <w:b/>
          <w:sz w:val="24"/>
          <w:szCs w:val="24"/>
        </w:rPr>
      </w:pPr>
      <w:r>
        <w:rPr>
          <w:b/>
          <w:sz w:val="24"/>
          <w:szCs w:val="24"/>
        </w:rPr>
        <w:t>Abstract</w:t>
      </w:r>
    </w:p>
    <w:p w:rsidR="00974B03" w14:paraId="00000008" w14:textId="6FE03AEE">
      <w:pPr>
        <w:pBdr>
          <w:top w:val="nil"/>
          <w:left w:val="nil"/>
          <w:bottom w:val="nil"/>
          <w:right w:val="nil"/>
          <w:between w:val="nil"/>
        </w:pBdr>
        <w:rPr>
          <w:b/>
          <w:color w:val="000000"/>
          <w:sz w:val="24"/>
          <w:szCs w:val="24"/>
        </w:rPr>
      </w:pPr>
      <w:r>
        <w:rPr>
          <w:color w:val="000000"/>
          <w:sz w:val="24"/>
          <w:szCs w:val="24"/>
        </w:rPr>
        <w:t>This is a</w:t>
      </w:r>
      <w:r>
        <w:rPr>
          <w:sz w:val="24"/>
          <w:szCs w:val="24"/>
        </w:rPr>
        <w:t xml:space="preserve"> request</w:t>
      </w:r>
      <w:r>
        <w:rPr>
          <w:color w:val="000000"/>
          <w:sz w:val="24"/>
          <w:szCs w:val="24"/>
        </w:rPr>
        <w:t xml:space="preserve"> by the National Marine Fisheries Service (NMFS) Alaska Region for </w:t>
      </w:r>
      <w:r>
        <w:rPr>
          <w:sz w:val="24"/>
          <w:szCs w:val="24"/>
        </w:rPr>
        <w:t xml:space="preserve">extension of </w:t>
      </w:r>
      <w:r w:rsidR="00517CAD">
        <w:rPr>
          <w:sz w:val="24"/>
          <w:szCs w:val="24"/>
        </w:rPr>
        <w:t xml:space="preserve">this </w:t>
      </w:r>
      <w:r w:rsidR="00517CAD">
        <w:rPr>
          <w:color w:val="000000"/>
          <w:sz w:val="24"/>
          <w:szCs w:val="24"/>
        </w:rPr>
        <w:t>currently</w:t>
      </w:r>
      <w:r>
        <w:rPr>
          <w:color w:val="000000"/>
          <w:sz w:val="24"/>
          <w:szCs w:val="24"/>
        </w:rPr>
        <w:t xml:space="preserve"> approved information collection for the Annual Alaska Chinook Salmon Economic Data Report (Chinook Salmon EDR).</w:t>
      </w:r>
    </w:p>
    <w:p w:rsidR="00974B03" w14:paraId="00000009" w14:textId="77777777">
      <w:pPr>
        <w:tabs>
          <w:tab w:val="left" w:pos="720"/>
        </w:tabs>
        <w:rPr>
          <w:sz w:val="24"/>
          <w:szCs w:val="24"/>
        </w:rPr>
      </w:pPr>
    </w:p>
    <w:p w:rsidR="00974B03" w14:paraId="0000000A" w14:textId="77777777">
      <w:pPr>
        <w:tabs>
          <w:tab w:val="left" w:pos="720"/>
        </w:tabs>
        <w:rPr>
          <w:sz w:val="24"/>
          <w:szCs w:val="24"/>
        </w:rPr>
      </w:pPr>
      <w:r>
        <w:rPr>
          <w:sz w:val="24"/>
          <w:szCs w:val="24"/>
        </w:rPr>
        <w:t xml:space="preserve">The Chinook Salmon EDR evaluates the effectiveness of Chinook salmon bycatch management measures for the Bering Sea pollock fishery that were implemented under Amendment 91 to the Fishery Management Plan (FMP) for Groundfish of the Bering Sea and Aleutian Islands (BSAI) Management Area. The Chinook Salmon EDR Program provides information to the NMFS analysts and North Pacific Fisheries Management Council staff. </w:t>
      </w:r>
      <w:sdt>
        <w:sdtPr>
          <w:tag w:val="goog_rdk_0"/>
          <w:id w:val="1261291721"/>
          <w:richText/>
        </w:sdtPr>
        <w:sdtContent/>
      </w:sdt>
      <w:r>
        <w:rPr>
          <w:sz w:val="24"/>
          <w:szCs w:val="24"/>
        </w:rPr>
        <w:t>It is intended to be used to evaluate the effectiveness of the Chinook Salmon Incentive Plan Agreement (IPA) (see OMB Control No. 0648-0401); to evaluate where, when, and how pollock fishing and salmon bycatch occur; and to provide data to study and verify conclusions drawn by industry in the IPA annual reports.</w:t>
      </w:r>
    </w:p>
    <w:p w:rsidR="00974B03" w14:paraId="0000000B" w14:textId="77777777">
      <w:pPr>
        <w:widowControl/>
        <w:rPr>
          <w:sz w:val="24"/>
          <w:szCs w:val="24"/>
        </w:rPr>
      </w:pPr>
    </w:p>
    <w:p w:rsidR="00974B03" w14:paraId="0000000D" w14:textId="77777777">
      <w:pPr>
        <w:rPr>
          <w:b/>
          <w:sz w:val="24"/>
          <w:szCs w:val="24"/>
        </w:rPr>
      </w:pPr>
    </w:p>
    <w:p w:rsidR="00974B03" w14:paraId="0000000E" w14:textId="77777777">
      <w:pPr>
        <w:rPr>
          <w:b/>
          <w:sz w:val="24"/>
          <w:szCs w:val="24"/>
        </w:rPr>
      </w:pPr>
      <w:r>
        <w:rPr>
          <w:b/>
          <w:sz w:val="24"/>
          <w:szCs w:val="24"/>
        </w:rPr>
        <w:t>Justification</w:t>
      </w:r>
    </w:p>
    <w:p w:rsidR="00974B03" w14:paraId="0000000F" w14:textId="77777777">
      <w:pPr>
        <w:rPr>
          <w:b/>
          <w:sz w:val="24"/>
          <w:szCs w:val="24"/>
        </w:rPr>
      </w:pPr>
    </w:p>
    <w:p w:rsidR="00974B03" w14:paraId="00000010" w14:textId="77777777">
      <w:pPr>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 xml:space="preserve">Explain the circumstances that make the collection of </w:t>
      </w:r>
      <w:r>
        <w:rPr>
          <w:b/>
          <w:color w:val="000000"/>
          <w:sz w:val="24"/>
          <w:szCs w:val="24"/>
        </w:rPr>
        <w:t>information necessary. Identify any legal or administrative requirements that necessitate the collection. Attach a copy of the appropriate section of each statute and regulation mandating or authorizing the collection of information.</w:t>
      </w:r>
    </w:p>
    <w:p w:rsidR="00974B03" w14:paraId="00000011" w14:textId="77777777">
      <w:pPr>
        <w:rPr>
          <w:sz w:val="24"/>
          <w:szCs w:val="24"/>
        </w:rPr>
      </w:pPr>
    </w:p>
    <w:p w:rsidR="00974B03" w14:paraId="00000012" w14:textId="77777777">
      <w:pPr>
        <w:widowControl/>
        <w:rPr>
          <w:sz w:val="24"/>
          <w:szCs w:val="24"/>
        </w:rPr>
      </w:pPr>
      <w:r>
        <w:rPr>
          <w:sz w:val="24"/>
          <w:szCs w:val="24"/>
        </w:rPr>
        <w:t xml:space="preserve">The Secretary of Commerce is responsible for the conservation and management of marine fishery resources within the Exclusive Economic Zone (EEZ) of the United States through National Oceanic and Atmospheric Administration (NOAA)/NMFS. NMFS manages the groundfish fisheries in the EEZ off Alaska. The North Pacific Fishery Management Council (Council) prepared the BSAI FMP under the authority of the </w:t>
      </w:r>
      <w:hyperlink r:id="rId6">
        <w:r>
          <w:rPr>
            <w:color w:val="0000FF"/>
            <w:sz w:val="24"/>
            <w:szCs w:val="24"/>
            <w:u w:val="single"/>
          </w:rPr>
          <w:t>Magnuson-Stevens Fishery Conservation and Management Act</w:t>
        </w:r>
      </w:hyperlink>
      <w:r>
        <w:rPr>
          <w:sz w:val="24"/>
          <w:szCs w:val="24"/>
        </w:rPr>
        <w:t xml:space="preserve">, 16 U.S.C. 1801 </w:t>
      </w:r>
      <w:r>
        <w:rPr>
          <w:i/>
          <w:sz w:val="24"/>
          <w:szCs w:val="24"/>
        </w:rPr>
        <w:t>et seq.</w:t>
      </w:r>
      <w:r>
        <w:rPr>
          <w:sz w:val="24"/>
          <w:szCs w:val="24"/>
        </w:rPr>
        <w:t xml:space="preserve"> (Magnuson-Stevens Act). The BSAI FMP is implemented under regulations at </w:t>
      </w:r>
      <w:hyperlink r:id="rId7">
        <w:r>
          <w:rPr>
            <w:color w:val="0000FF"/>
            <w:sz w:val="24"/>
            <w:szCs w:val="24"/>
            <w:u w:val="single"/>
          </w:rPr>
          <w:t>50 CFR part 679</w:t>
        </w:r>
      </w:hyperlink>
      <w:r>
        <w:rPr>
          <w:sz w:val="24"/>
          <w:szCs w:val="24"/>
        </w:rPr>
        <w:t>.</w:t>
      </w:r>
    </w:p>
    <w:p w:rsidR="00974B03" w14:paraId="00000013" w14:textId="77777777">
      <w:pPr>
        <w:rPr>
          <w:sz w:val="24"/>
          <w:szCs w:val="24"/>
        </w:rPr>
      </w:pPr>
    </w:p>
    <w:p w:rsidR="00974B03" w14:paraId="00000014" w14:textId="77777777">
      <w:pPr>
        <w:rPr>
          <w:sz w:val="24"/>
          <w:szCs w:val="24"/>
        </w:rPr>
      </w:pPr>
      <w:r>
        <w:rPr>
          <w:sz w:val="24"/>
          <w:szCs w:val="24"/>
        </w:rPr>
        <w:t xml:space="preserve">NMFS manages the Bering Sea pollock fishery under the </w:t>
      </w:r>
      <w:hyperlink r:id="rId8" w:anchor=":~:text=American%20Fisheries%20Act%20(AFA)">
        <w:r>
          <w:rPr>
            <w:color w:val="0000FF"/>
            <w:sz w:val="24"/>
            <w:szCs w:val="24"/>
            <w:u w:val="single"/>
          </w:rPr>
          <w:t>American Fisheries Act</w:t>
        </w:r>
      </w:hyperlink>
      <w:r>
        <w:rPr>
          <w:sz w:val="24"/>
          <w:szCs w:val="24"/>
        </w:rPr>
        <w:t xml:space="preserve"> (AFA) </w:t>
      </w:r>
    </w:p>
    <w:p w:rsidR="00974B03" w14:paraId="00000015" w14:textId="77777777">
      <w:pPr>
        <w:rPr>
          <w:sz w:val="24"/>
          <w:szCs w:val="24"/>
        </w:rPr>
      </w:pPr>
      <w:r>
        <w:rPr>
          <w:sz w:val="24"/>
          <w:szCs w:val="24"/>
        </w:rPr>
        <w:t>(16 U.S.C. 1851). The AFA allows for the formation and management of fishery cooperatives in the Bering Sea pollock fishery. AFA fishing vessels harvest pollock using pelagic (mid-water) trawl gear, which consists of large nets towed through the water by the vessel. At times, Chinook salmon and pollock occur in the same locations in the Bering Sea. Consequently, Chinook salmon are incidentally caught in the nets as pollock is harvested. This incidental catch of Chinook salmon is called prohibited species ca</w:t>
      </w:r>
      <w:r>
        <w:rPr>
          <w:sz w:val="24"/>
          <w:szCs w:val="24"/>
        </w:rPr>
        <w:t xml:space="preserve">tch (PSC). Chinook salmon are defined as a prohibited species because they are caught by a vessel issued a Federal Fisheries Permit under </w:t>
      </w:r>
      <w:hyperlink r:id="rId9" w:anchor="p-679.4(b)">
        <w:r>
          <w:rPr>
            <w:color w:val="0000FF"/>
            <w:sz w:val="24"/>
            <w:szCs w:val="24"/>
            <w:u w:val="single"/>
          </w:rPr>
          <w:t>§ 679.4(b)</w:t>
        </w:r>
      </w:hyperlink>
      <w:r>
        <w:rPr>
          <w:sz w:val="24"/>
          <w:szCs w:val="24"/>
        </w:rPr>
        <w:t xml:space="preserve"> while fishing for groundfish (pollock) in the Bering Sea and Aleutian Islands Management Area (BSAI) or Gulf of Alaska.</w:t>
      </w:r>
    </w:p>
    <w:p w:rsidR="00974B03" w14:paraId="00000016" w14:textId="77777777">
      <w:pPr>
        <w:rPr>
          <w:sz w:val="24"/>
          <w:szCs w:val="24"/>
        </w:rPr>
      </w:pPr>
    </w:p>
    <w:p w:rsidR="00974B03" w14:paraId="00000017" w14:textId="77777777">
      <w:pPr>
        <w:rPr>
          <w:sz w:val="24"/>
          <w:szCs w:val="24"/>
        </w:rPr>
      </w:pPr>
      <w:r>
        <w:rPr>
          <w:sz w:val="24"/>
          <w:szCs w:val="24"/>
        </w:rPr>
        <w:t xml:space="preserve">The Chinook Salmon EDR is a mandatory reporting requirement under 50 CFR 679.65 for all entities </w:t>
      </w:r>
      <w:r>
        <w:rPr>
          <w:sz w:val="24"/>
          <w:szCs w:val="24"/>
        </w:rPr>
        <w:t>participating in the AFA BSAI pollock trawl fishery. This includes vessel masters and businesses that own or lease one or more AFA</w:t>
      </w:r>
      <w:r>
        <w:rPr>
          <w:rFonts w:ascii="Cambria Math" w:eastAsia="Cambria Math" w:hAnsi="Cambria Math" w:cs="Cambria Math"/>
          <w:sz w:val="24"/>
          <w:szCs w:val="24"/>
        </w:rPr>
        <w:t>‐</w:t>
      </w:r>
      <w:r>
        <w:rPr>
          <w:sz w:val="24"/>
          <w:szCs w:val="24"/>
        </w:rPr>
        <w:t>permitted vessels active in fishing or processing BSAI pollock, Western Alaska Community Development Quota (CDQ) groups receiving allocations of BSAI pollock, and representatives of sector entities receiving allocations of Chinook salmon PSC from NMFS.</w:t>
      </w:r>
    </w:p>
    <w:p w:rsidR="00974B03" w14:paraId="00000018" w14:textId="77777777">
      <w:pPr>
        <w:rPr>
          <w:sz w:val="24"/>
          <w:szCs w:val="24"/>
        </w:rPr>
      </w:pPr>
    </w:p>
    <w:p w:rsidR="00974B03" w14:paraId="00000019" w14:textId="1032B387">
      <w:pPr>
        <w:rPr>
          <w:sz w:val="24"/>
          <w:szCs w:val="24"/>
        </w:rPr>
      </w:pPr>
      <w:sdt>
        <w:sdtPr>
          <w:tag w:val="goog_rdk_1"/>
          <w:id w:val="-1275642748"/>
          <w:richText/>
        </w:sdtPr>
        <w:sdtContent/>
      </w:sdt>
      <w:r w:rsidR="00257459">
        <w:rPr>
          <w:sz w:val="24"/>
          <w:szCs w:val="24"/>
        </w:rPr>
        <w:t>The Chinook Salmon EDR, also known as the Amendment 91 EDR, was implemented in 2012 (77 FR 5389, February 3, 2012) to evaluate the effectiveness of Chinook salmon bycatch management measures for the Bering Sea pollock fishery that were implemented under Amendment 91 to the FMP (75 FR 53025, August 30, 2010).</w:t>
      </w:r>
      <w:r w:rsidR="00FD6493">
        <w:rPr>
          <w:sz w:val="24"/>
          <w:szCs w:val="24"/>
        </w:rPr>
        <w:t xml:space="preserve"> Additional changes were made to the EDR program to reduce costs and improve data access and usability </w:t>
      </w:r>
      <w:r w:rsidR="00842C2A">
        <w:rPr>
          <w:sz w:val="24"/>
          <w:szCs w:val="24"/>
        </w:rPr>
        <w:t xml:space="preserve">in 2023 </w:t>
      </w:r>
      <w:r w:rsidR="00FD6493">
        <w:rPr>
          <w:sz w:val="24"/>
          <w:szCs w:val="24"/>
        </w:rPr>
        <w:t>(88 FR 7586</w:t>
      </w:r>
      <w:r w:rsidR="00842C2A">
        <w:rPr>
          <w:sz w:val="24"/>
          <w:szCs w:val="24"/>
        </w:rPr>
        <w:t xml:space="preserve">, </w:t>
      </w:r>
      <w:r w:rsidR="00FD6493">
        <w:rPr>
          <w:sz w:val="24"/>
          <w:szCs w:val="24"/>
        </w:rPr>
        <w:t xml:space="preserve">February </w:t>
      </w:r>
      <w:r w:rsidR="00842C2A">
        <w:rPr>
          <w:sz w:val="24"/>
          <w:szCs w:val="24"/>
        </w:rPr>
        <w:t xml:space="preserve">6, </w:t>
      </w:r>
      <w:r w:rsidR="00FD6493">
        <w:rPr>
          <w:sz w:val="24"/>
          <w:szCs w:val="24"/>
        </w:rPr>
        <w:t>2023</w:t>
      </w:r>
      <w:r w:rsidR="00842C2A">
        <w:rPr>
          <w:sz w:val="24"/>
          <w:szCs w:val="24"/>
        </w:rPr>
        <w:t>)</w:t>
      </w:r>
      <w:r w:rsidR="00FD6493">
        <w:rPr>
          <w:sz w:val="24"/>
          <w:szCs w:val="24"/>
        </w:rPr>
        <w:t>.</w:t>
      </w:r>
      <w:r w:rsidR="00257459">
        <w:rPr>
          <w:sz w:val="24"/>
          <w:szCs w:val="24"/>
        </w:rPr>
        <w:t xml:space="preserve"> The Chinook Salmon EDR Program provides additional data to assess the effectiveness of the Chinook salmon bycatch management measures implemented under Amendment 91 to the FMP. The information collected is a combination of quantitative and qualitative data to conduct descriptive and quantitative analysis and comparisons of the annual and seasonal changes in the pollock fleet under Amendment 91.</w:t>
      </w:r>
    </w:p>
    <w:p w:rsidR="00974B03" w14:paraId="0000001A" w14:textId="77777777">
      <w:pPr>
        <w:widowControl/>
        <w:rPr>
          <w:sz w:val="24"/>
          <w:szCs w:val="24"/>
        </w:rPr>
      </w:pPr>
    </w:p>
    <w:p w:rsidR="00974B03" w14:paraId="0000001B" w14:textId="77777777">
      <w:pPr>
        <w:widowControl/>
        <w:rPr>
          <w:sz w:val="24"/>
          <w:szCs w:val="24"/>
        </w:rPr>
      </w:pPr>
    </w:p>
    <w:p w:rsidR="00974B03" w14:paraId="0000001C" w14:textId="77777777">
      <w:pPr>
        <w:widowControl/>
        <w:numPr>
          <w:ilvl w:val="0"/>
          <w:numId w:val="1"/>
        </w:numPr>
        <w:tabs>
          <w:tab w:val="left" w:pos="360"/>
        </w:tabs>
        <w:spacing w:before="197"/>
        <w:ind w:left="0" w:firstLine="0"/>
        <w:rPr>
          <w:b/>
          <w:sz w:val="24"/>
          <w:szCs w:val="24"/>
        </w:rPr>
      </w:pPr>
      <w:r>
        <w:rPr>
          <w:b/>
          <w:sz w:val="24"/>
          <w:szCs w:val="24"/>
        </w:rPr>
        <w:t>Indicate how, by whom, and for what purpose the information is to be used. Except for a new collection, indicate the actual use the agency has made of the information received from the current collection.</w:t>
      </w:r>
    </w:p>
    <w:p w:rsidR="00974B03" w14:paraId="0000001D" w14:textId="77777777">
      <w:pPr>
        <w:rPr>
          <w:sz w:val="24"/>
          <w:szCs w:val="24"/>
        </w:rPr>
      </w:pPr>
    </w:p>
    <w:p w:rsidR="00974B03" w14:paraId="0000001E" w14:textId="56B3D9B8">
      <w:pPr>
        <w:rPr>
          <w:sz w:val="24"/>
          <w:szCs w:val="24"/>
        </w:rPr>
      </w:pPr>
      <w:r>
        <w:rPr>
          <w:sz w:val="24"/>
          <w:szCs w:val="24"/>
        </w:rPr>
        <w:t xml:space="preserve">The Chinook Salmon EDR Program is managed primarily by the Alaska Fisheries Science Center, with support from NMFS Alaska Region, and is administered in collaboration with Pacific States Marine Fisheries Commission (Pacific States). The only change in this collection over time is that the responses are now all entered online. </w:t>
      </w:r>
    </w:p>
    <w:p w:rsidR="00974B03" w14:paraId="0000001F" w14:textId="77777777">
      <w:pPr>
        <w:rPr>
          <w:sz w:val="24"/>
          <w:szCs w:val="24"/>
        </w:rPr>
      </w:pPr>
    </w:p>
    <w:p w:rsidR="00974B03" w14:paraId="00000020" w14:textId="77777777">
      <w:pPr>
        <w:rPr>
          <w:sz w:val="24"/>
          <w:szCs w:val="24"/>
        </w:rPr>
      </w:pPr>
      <w:r>
        <w:rPr>
          <w:sz w:val="24"/>
          <w:szCs w:val="24"/>
        </w:rPr>
        <w:t>The Chinook Salmon EDR Program uses three separate survey forms:</w:t>
      </w:r>
    </w:p>
    <w:p w:rsidR="00974B03" w14:paraId="00000021" w14:textId="77777777">
      <w:pPr>
        <w:rPr>
          <w:sz w:val="24"/>
          <w:szCs w:val="24"/>
        </w:rPr>
      </w:pPr>
    </w:p>
    <w:p w:rsidR="00974B03" w14:paraId="00000022" w14:textId="77777777">
      <w:pPr>
        <w:tabs>
          <w:tab w:val="left" w:pos="360"/>
          <w:tab w:val="left" w:pos="720"/>
        </w:tabs>
        <w:ind w:left="720" w:hanging="720"/>
        <w:rPr>
          <w:sz w:val="24"/>
          <w:szCs w:val="24"/>
        </w:rPr>
      </w:pPr>
      <w:r>
        <w:rPr>
          <w:sz w:val="24"/>
          <w:szCs w:val="24"/>
        </w:rPr>
        <w:tab/>
        <w:t>♦</w:t>
      </w:r>
      <w:r>
        <w:rPr>
          <w:sz w:val="24"/>
          <w:szCs w:val="24"/>
        </w:rPr>
        <w:tab/>
        <w:t xml:space="preserve">Chinook PSC Allocation In-season Compensated Transfer Report (CTR) — </w:t>
      </w:r>
      <w:r>
        <w:rPr>
          <w:sz w:val="24"/>
          <w:szCs w:val="24"/>
        </w:rPr>
        <w:t>collects transfer and monetary compensation information for Chinook salmon PSC allocations;</w:t>
      </w:r>
    </w:p>
    <w:p w:rsidR="00974B03" w14:paraId="00000023" w14:textId="77777777">
      <w:pPr>
        <w:tabs>
          <w:tab w:val="left" w:pos="360"/>
          <w:tab w:val="left" w:pos="720"/>
          <w:tab w:val="left" w:pos="1080"/>
        </w:tabs>
        <w:rPr>
          <w:sz w:val="24"/>
          <w:szCs w:val="24"/>
        </w:rPr>
      </w:pPr>
    </w:p>
    <w:p w:rsidR="00974B03" w14:paraId="00000024" w14:textId="77777777">
      <w:pPr>
        <w:tabs>
          <w:tab w:val="left" w:pos="360"/>
          <w:tab w:val="left" w:pos="720"/>
          <w:tab w:val="left" w:pos="1080"/>
        </w:tabs>
        <w:rPr>
          <w:sz w:val="24"/>
          <w:szCs w:val="24"/>
        </w:rPr>
      </w:pPr>
      <w:r>
        <w:rPr>
          <w:sz w:val="24"/>
          <w:szCs w:val="24"/>
        </w:rPr>
        <w:tab/>
        <w:t>♦</w:t>
      </w:r>
      <w:r>
        <w:rPr>
          <w:sz w:val="24"/>
          <w:szCs w:val="24"/>
        </w:rPr>
        <w:tab/>
        <w:t xml:space="preserve">Vessel Fuel Survey — collects average fuel consumption and annual fuel costs; and </w:t>
      </w:r>
    </w:p>
    <w:p w:rsidR="00974B03" w14:paraId="00000025" w14:textId="77777777">
      <w:pPr>
        <w:tabs>
          <w:tab w:val="left" w:pos="360"/>
          <w:tab w:val="left" w:pos="720"/>
          <w:tab w:val="left" w:pos="1080"/>
        </w:tabs>
        <w:rPr>
          <w:sz w:val="24"/>
          <w:szCs w:val="24"/>
        </w:rPr>
      </w:pPr>
    </w:p>
    <w:p w:rsidR="00974B03" w14:paraId="00000026" w14:textId="77777777">
      <w:pPr>
        <w:tabs>
          <w:tab w:val="left" w:pos="360"/>
          <w:tab w:val="left" w:pos="720"/>
          <w:tab w:val="left" w:pos="1080"/>
        </w:tabs>
        <w:ind w:left="720" w:hanging="720"/>
        <w:rPr>
          <w:sz w:val="24"/>
          <w:szCs w:val="24"/>
        </w:rPr>
      </w:pPr>
      <w:r>
        <w:rPr>
          <w:sz w:val="24"/>
          <w:szCs w:val="24"/>
        </w:rPr>
        <w:tab/>
        <w:t>♦</w:t>
      </w:r>
      <w:r>
        <w:rPr>
          <w:sz w:val="24"/>
          <w:szCs w:val="24"/>
        </w:rPr>
        <w:tab/>
        <w:t xml:space="preserve">Vessel Master Survey — collects vessel master impressions of fishing experiences during the year as well as Chinook salmon PSC avoidance efforts. </w:t>
      </w:r>
    </w:p>
    <w:p w:rsidR="00974B03" w14:paraId="00000027" w14:textId="77777777">
      <w:pPr>
        <w:rPr>
          <w:sz w:val="24"/>
          <w:szCs w:val="24"/>
        </w:rPr>
      </w:pPr>
    </w:p>
    <w:p w:rsidR="00974B03" w14:paraId="00000028" w14:textId="77777777">
      <w:pPr>
        <w:rPr>
          <w:sz w:val="24"/>
          <w:szCs w:val="24"/>
        </w:rPr>
      </w:pPr>
      <w:r>
        <w:rPr>
          <w:sz w:val="24"/>
          <w:szCs w:val="24"/>
        </w:rPr>
        <w:t>In addition to the EDR program, the data collection measures developed by the Council for Amendment 91 also specified modification of the Daily Fishing Logbook (see OMB Control No. 0648-0213) for BSAI pollock trawl catcher vessels and catcher/processors (implemented for the 2012 fishing year) to add a "checkbox" to the tow</w:t>
      </w:r>
      <w:r>
        <w:rPr>
          <w:rFonts w:ascii="Cambria Math" w:eastAsia="Cambria Math" w:hAnsi="Cambria Math" w:cs="Cambria Math"/>
          <w:sz w:val="24"/>
          <w:szCs w:val="24"/>
        </w:rPr>
        <w:t>‐</w:t>
      </w:r>
      <w:r>
        <w:rPr>
          <w:sz w:val="24"/>
          <w:szCs w:val="24"/>
        </w:rPr>
        <w:t xml:space="preserve">level logbook record requiring vessel operators to indicate instances when a vessel fishing pollock in the BSAI changed fishing locations, prior to each tow, for the primary purpose of avoiding Chinook salmon PSC. For AFA catcher/processors, this information is recorded in the Trawl Catcher/processor Electronic Logbook (see OMB Control No. 0648-0515) and submitted to NMFS via the </w:t>
      </w:r>
      <w:r>
        <w:rPr>
          <w:sz w:val="24"/>
          <w:szCs w:val="24"/>
        </w:rPr>
        <w:t>eLandings</w:t>
      </w:r>
      <w:r>
        <w:rPr>
          <w:sz w:val="24"/>
          <w:szCs w:val="24"/>
        </w:rPr>
        <w:t xml:space="preserve"> system. </w:t>
      </w:r>
    </w:p>
    <w:p w:rsidR="00974B03" w14:paraId="00000029" w14:textId="77777777">
      <w:pPr>
        <w:rPr>
          <w:sz w:val="24"/>
          <w:szCs w:val="24"/>
        </w:rPr>
      </w:pPr>
    </w:p>
    <w:p w:rsidR="00974B03" w14:paraId="0000002A" w14:textId="77777777">
      <w:pPr>
        <w:rPr>
          <w:sz w:val="24"/>
          <w:szCs w:val="24"/>
        </w:rPr>
      </w:pPr>
      <w:r>
        <w:rPr>
          <w:sz w:val="24"/>
          <w:szCs w:val="24"/>
        </w:rPr>
        <w:t xml:space="preserve">Pacific States has been designated by NMFS to be the Data Collection Agent (DCA) for the </w:t>
      </w:r>
      <w:r>
        <w:rPr>
          <w:color w:val="000000"/>
          <w:sz w:val="24"/>
          <w:szCs w:val="24"/>
          <w:highlight w:val="white"/>
        </w:rPr>
        <w:t xml:space="preserve">Annual Chinook Salmon EDR. Pacific States mails EDR announcements and filing instructions to affected </w:t>
      </w:r>
      <w:r>
        <w:rPr>
          <w:color w:val="000000"/>
          <w:sz w:val="24"/>
          <w:szCs w:val="24"/>
          <w:highlight w:val="white"/>
        </w:rPr>
        <w:t>quota share permit holders, vessel owners, and applicable CDQ entities.</w:t>
      </w:r>
      <w:r>
        <w:rPr>
          <w:color w:val="000000"/>
          <w:sz w:val="24"/>
          <w:szCs w:val="24"/>
        </w:rPr>
        <w:t xml:space="preserve"> </w:t>
      </w:r>
      <w:r>
        <w:rPr>
          <w:sz w:val="24"/>
          <w:szCs w:val="24"/>
        </w:rPr>
        <w:t xml:space="preserve">The applicable Chinook Salmon EDR forms must be submitted annually online at </w:t>
      </w:r>
      <w:hyperlink r:id="rId10">
        <w:r>
          <w:rPr>
            <w:color w:val="0000FF"/>
            <w:sz w:val="24"/>
            <w:szCs w:val="24"/>
            <w:u w:val="single"/>
          </w:rPr>
          <w:t>Pacific States website</w:t>
        </w:r>
      </w:hyperlink>
      <w:r>
        <w:rPr>
          <w:color w:val="0000FF"/>
          <w:sz w:val="24"/>
          <w:szCs w:val="24"/>
          <w:u w:val="single"/>
        </w:rPr>
        <w:t xml:space="preserve"> </w:t>
      </w:r>
      <w:r>
        <w:rPr>
          <w:sz w:val="24"/>
          <w:szCs w:val="24"/>
        </w:rPr>
        <w:t>on or before 1700 hours Alaska local time on June 1.</w:t>
      </w:r>
    </w:p>
    <w:p w:rsidR="00974B03" w14:paraId="0000002B" w14:textId="77777777">
      <w:pPr>
        <w:tabs>
          <w:tab w:val="left" w:pos="360"/>
          <w:tab w:val="left" w:pos="720"/>
        </w:tabs>
        <w:rPr>
          <w:sz w:val="24"/>
          <w:szCs w:val="24"/>
        </w:rPr>
      </w:pPr>
      <w:r>
        <w:rPr>
          <w:sz w:val="24"/>
          <w:szCs w:val="24"/>
        </w:rPr>
        <w:tab/>
      </w:r>
    </w:p>
    <w:p w:rsidR="00974B03" w14:paraId="0000002C" w14:textId="77777777">
      <w:pPr>
        <w:rPr>
          <w:sz w:val="24"/>
          <w:szCs w:val="24"/>
        </w:rPr>
      </w:pPr>
      <w:r>
        <w:rPr>
          <w:sz w:val="24"/>
          <w:szCs w:val="24"/>
        </w:rPr>
        <w:t xml:space="preserve">NMFS sends login credentials for use with the online Chinook Salmon EDR submittal site to submitters by certified mail. The combination of the login credentials and the signature certification statement on the online form are equivalent to a signature for confidentiality and accuracy purposes. In addition, all AFA vessel owners and other known entities subject to Chinook Salmon EDR submission requirements are contacted directly by Pacific States with instructions for using the EDR web application to submit </w:t>
      </w:r>
      <w:r>
        <w:rPr>
          <w:sz w:val="24"/>
          <w:szCs w:val="24"/>
        </w:rPr>
        <w:t xml:space="preserve">the required forms. </w:t>
      </w:r>
    </w:p>
    <w:p w:rsidR="00974B03" w14:paraId="0000002D" w14:textId="77777777">
      <w:pPr>
        <w:ind w:left="455"/>
        <w:rPr>
          <w:rFonts w:ascii="Calibri" w:eastAsia="Calibri" w:hAnsi="Calibri" w:cs="Calibri"/>
        </w:rPr>
      </w:pPr>
    </w:p>
    <w:p w:rsidR="00974B03" w14:paraId="0000002E" w14:textId="77777777">
      <w:pPr>
        <w:widowControl/>
        <w:numPr>
          <w:ilvl w:val="3"/>
          <w:numId w:val="3"/>
        </w:numPr>
        <w:tabs>
          <w:tab w:val="left" w:pos="1199"/>
          <w:tab w:val="left" w:pos="1200"/>
        </w:tabs>
        <w:ind w:left="360"/>
      </w:pPr>
      <w:r>
        <w:rPr>
          <w:sz w:val="24"/>
          <w:szCs w:val="24"/>
        </w:rPr>
        <w:t>The following must complete and submit the CTR EDR forms:</w:t>
      </w:r>
    </w:p>
    <w:p w:rsidR="00974B03" w14:paraId="0000002F" w14:textId="77777777">
      <w:pPr>
        <w:tabs>
          <w:tab w:val="left" w:pos="1199"/>
          <w:tab w:val="left" w:pos="1200"/>
        </w:tabs>
        <w:ind w:left="455"/>
        <w:rPr>
          <w:sz w:val="24"/>
          <w:szCs w:val="24"/>
        </w:rPr>
      </w:pPr>
    </w:p>
    <w:p w:rsidR="00974B03" w14:paraId="00000030" w14:textId="77777777">
      <w:pPr>
        <w:widowControl/>
        <w:numPr>
          <w:ilvl w:val="4"/>
          <w:numId w:val="2"/>
        </w:numPr>
        <w:tabs>
          <w:tab w:val="left" w:pos="1200"/>
        </w:tabs>
        <w:ind w:left="815"/>
      </w:pPr>
      <w:r>
        <w:rPr>
          <w:sz w:val="24"/>
          <w:szCs w:val="24"/>
        </w:rPr>
        <w:t>An owner or leaseholder of an AFA-permitted vessel and the representative of any entity that received an allocation of Chinook salmon PSC from NMFS must complete and submit the Certification Page (Part 1) for the previous calendar year.</w:t>
      </w:r>
    </w:p>
    <w:p w:rsidR="00974B03" w14:paraId="00000031" w14:textId="77777777">
      <w:pPr>
        <w:tabs>
          <w:tab w:val="left" w:pos="1199"/>
          <w:tab w:val="left" w:pos="1200"/>
        </w:tabs>
        <w:ind w:left="455"/>
        <w:rPr>
          <w:sz w:val="24"/>
          <w:szCs w:val="24"/>
        </w:rPr>
      </w:pPr>
    </w:p>
    <w:p w:rsidR="00974B03" w14:paraId="00000032" w14:textId="77777777">
      <w:pPr>
        <w:widowControl/>
        <w:numPr>
          <w:ilvl w:val="4"/>
          <w:numId w:val="2"/>
        </w:numPr>
        <w:tabs>
          <w:tab w:val="left" w:pos="1200"/>
        </w:tabs>
        <w:ind w:left="815"/>
      </w:pPr>
      <w:r>
        <w:rPr>
          <w:sz w:val="24"/>
          <w:szCs w:val="24"/>
        </w:rPr>
        <w:t>Any person who transferred Chinook salmon PSC allocation after January 20, and paid or received money for the transfer, must submit a completed CTR (Part 1 and Part 2) for the previous calendar year.</w:t>
      </w:r>
    </w:p>
    <w:p w:rsidR="00974B03" w14:paraId="00000033" w14:textId="77777777">
      <w:pPr>
        <w:ind w:left="115"/>
        <w:rPr>
          <w:sz w:val="24"/>
          <w:szCs w:val="24"/>
        </w:rPr>
      </w:pPr>
    </w:p>
    <w:p w:rsidR="00974B03" w14:paraId="00000034" w14:textId="77777777">
      <w:pPr>
        <w:widowControl/>
        <w:numPr>
          <w:ilvl w:val="3"/>
          <w:numId w:val="2"/>
        </w:numPr>
        <w:tabs>
          <w:tab w:val="left" w:pos="840"/>
        </w:tabs>
        <w:ind w:left="455" w:hanging="340"/>
      </w:pPr>
      <w:r>
        <w:rPr>
          <w:sz w:val="24"/>
          <w:szCs w:val="24"/>
        </w:rPr>
        <w:t>The following must complete and submit the Vessel Fuel Survey EDR forms:</w:t>
      </w:r>
    </w:p>
    <w:p w:rsidR="00974B03" w14:paraId="00000035" w14:textId="77777777">
      <w:pPr>
        <w:ind w:left="115"/>
        <w:rPr>
          <w:sz w:val="24"/>
          <w:szCs w:val="24"/>
        </w:rPr>
      </w:pPr>
    </w:p>
    <w:p w:rsidR="00974B03" w14:paraId="00000036" w14:textId="77777777">
      <w:pPr>
        <w:widowControl/>
        <w:numPr>
          <w:ilvl w:val="4"/>
          <w:numId w:val="2"/>
        </w:numPr>
        <w:tabs>
          <w:tab w:val="left" w:pos="1199"/>
          <w:tab w:val="left" w:pos="1200"/>
        </w:tabs>
        <w:ind w:left="815"/>
      </w:pPr>
      <w:r>
        <w:rPr>
          <w:sz w:val="24"/>
          <w:szCs w:val="24"/>
        </w:rPr>
        <w:t xml:space="preserve">An owner or leaseholder of an </w:t>
      </w:r>
      <w:r>
        <w:rPr>
          <w:sz w:val="24"/>
          <w:szCs w:val="24"/>
        </w:rPr>
        <w:t>AFA-permitted vessel must submit a completed Vessel Fuel Survey for each vessel used to harvest pollock in the Bering Sea in a given year.</w:t>
      </w:r>
    </w:p>
    <w:p w:rsidR="00974B03" w14:paraId="00000037" w14:textId="77777777">
      <w:pPr>
        <w:ind w:left="455"/>
        <w:rPr>
          <w:sz w:val="24"/>
          <w:szCs w:val="24"/>
        </w:rPr>
      </w:pPr>
    </w:p>
    <w:p w:rsidR="00974B03" w14:paraId="00000038" w14:textId="77777777">
      <w:pPr>
        <w:widowControl/>
        <w:numPr>
          <w:ilvl w:val="4"/>
          <w:numId w:val="2"/>
        </w:numPr>
        <w:tabs>
          <w:tab w:val="left" w:pos="1199"/>
          <w:tab w:val="left" w:pos="1200"/>
        </w:tabs>
        <w:ind w:left="821"/>
      </w:pPr>
      <w:r>
        <w:rPr>
          <w:sz w:val="24"/>
          <w:szCs w:val="24"/>
        </w:rPr>
        <w:t>A catcher/processor leaseholder who harvested or processed groundfish in the Gulf of Alaska in that vessel.</w:t>
      </w:r>
    </w:p>
    <w:p w:rsidR="00974B03" w14:paraId="00000039" w14:textId="77777777">
      <w:pPr>
        <w:ind w:left="115"/>
        <w:rPr>
          <w:sz w:val="24"/>
          <w:szCs w:val="24"/>
        </w:rPr>
      </w:pPr>
    </w:p>
    <w:p w:rsidR="00974B03" w14:paraId="0000003A" w14:textId="77777777">
      <w:pPr>
        <w:widowControl/>
        <w:numPr>
          <w:ilvl w:val="3"/>
          <w:numId w:val="2"/>
        </w:numPr>
        <w:tabs>
          <w:tab w:val="left" w:pos="840"/>
        </w:tabs>
        <w:ind w:left="455" w:hanging="340"/>
      </w:pPr>
      <w:r>
        <w:rPr>
          <w:sz w:val="24"/>
          <w:szCs w:val="24"/>
        </w:rPr>
        <w:t>The following must complete and submit the Vessel Master Survey EDR forms:</w:t>
      </w:r>
    </w:p>
    <w:p w:rsidR="00974B03" w14:paraId="0000003B" w14:textId="77777777">
      <w:pPr>
        <w:ind w:left="115"/>
        <w:rPr>
          <w:sz w:val="24"/>
          <w:szCs w:val="24"/>
        </w:rPr>
      </w:pPr>
    </w:p>
    <w:p w:rsidR="00974B03" w14:paraId="0000003C" w14:textId="77777777">
      <w:pPr>
        <w:widowControl/>
        <w:numPr>
          <w:ilvl w:val="4"/>
          <w:numId w:val="2"/>
        </w:numPr>
        <w:tabs>
          <w:tab w:val="left" w:pos="1199"/>
          <w:tab w:val="left" w:pos="1200"/>
        </w:tabs>
        <w:ind w:left="821"/>
      </w:pPr>
      <w:r>
        <w:rPr>
          <w:sz w:val="24"/>
          <w:szCs w:val="24"/>
        </w:rPr>
        <w:t>An owner or leaseholder of an AFA-permitted vessel used to harvest pollock in the Bering Sea in the previous year must complete the Vessel Owner Certification (Part 1).</w:t>
      </w:r>
    </w:p>
    <w:p w:rsidR="00974B03" w14:paraId="0000003D" w14:textId="77777777">
      <w:pPr>
        <w:ind w:left="455"/>
        <w:rPr>
          <w:sz w:val="24"/>
          <w:szCs w:val="24"/>
        </w:rPr>
      </w:pPr>
    </w:p>
    <w:p w:rsidR="00974B03" w14:paraId="0000003E" w14:textId="77777777">
      <w:pPr>
        <w:widowControl/>
        <w:numPr>
          <w:ilvl w:val="4"/>
          <w:numId w:val="2"/>
        </w:numPr>
        <w:tabs>
          <w:tab w:val="left" w:pos="1199"/>
          <w:tab w:val="left" w:pos="1200"/>
        </w:tabs>
        <w:ind w:left="821"/>
      </w:pPr>
      <w:r>
        <w:rPr>
          <w:sz w:val="24"/>
          <w:szCs w:val="24"/>
        </w:rPr>
        <w:t>The vessel master of an AFA-permitted vessel used to harvest pollock in the Bering Sea in the previous year must complete the Vessel Master Survey, and the Vessel Master Certification (Part 2).</w:t>
      </w:r>
    </w:p>
    <w:p w:rsidR="00974B03" w14:paraId="0000003F" w14:textId="77777777">
      <w:pPr>
        <w:widowControl/>
        <w:tabs>
          <w:tab w:val="left" w:pos="1199"/>
          <w:tab w:val="left" w:pos="1200"/>
        </w:tabs>
        <w:ind w:left="815"/>
      </w:pPr>
    </w:p>
    <w:p w:rsidR="00974B03" w14:paraId="00000040" w14:textId="77777777">
      <w:pPr>
        <w:widowControl/>
        <w:numPr>
          <w:ilvl w:val="4"/>
          <w:numId w:val="2"/>
        </w:numPr>
        <w:tabs>
          <w:tab w:val="left" w:pos="1199"/>
          <w:tab w:val="left" w:pos="1200"/>
        </w:tabs>
        <w:ind w:left="815"/>
      </w:pPr>
      <w:r>
        <w:rPr>
          <w:sz w:val="24"/>
          <w:szCs w:val="24"/>
        </w:rPr>
        <w:t>If a vessel did not participate in the Bering Sea pollock fishery during the reporting year, the vessel owner is required to submit only the Vessel Owner Certification Page of the Vessel Master Survey.</w:t>
      </w:r>
    </w:p>
    <w:p w:rsidR="00974B03" w14:paraId="00000041" w14:textId="77777777">
      <w:pPr>
        <w:widowControl/>
        <w:rPr>
          <w:sz w:val="24"/>
          <w:szCs w:val="24"/>
        </w:rPr>
      </w:pPr>
    </w:p>
    <w:p w:rsidR="00974B03" w14:paraId="00000043" w14:textId="77777777">
      <w:pPr>
        <w:rPr>
          <w:b/>
          <w:sz w:val="24"/>
          <w:szCs w:val="24"/>
        </w:rPr>
      </w:pPr>
    </w:p>
    <w:p w:rsidR="00974B03" w14:paraId="00000044" w14:textId="194A693C">
      <w:pPr>
        <w:rPr>
          <w:sz w:val="24"/>
          <w:szCs w:val="24"/>
        </w:rPr>
      </w:pPr>
      <w:r>
        <w:rPr>
          <w:b/>
          <w:sz w:val="24"/>
          <w:szCs w:val="24"/>
        </w:rPr>
        <w:t>Uses of Chinook Salmon EDR Program Data</w:t>
      </w:r>
    </w:p>
    <w:p w:rsidR="00974B03" w14:paraId="00000045" w14:textId="77777777">
      <w:pPr>
        <w:rPr>
          <w:sz w:val="24"/>
          <w:szCs w:val="24"/>
        </w:rPr>
      </w:pPr>
    </w:p>
    <w:p w:rsidR="00974B03" w14:paraId="00000046" w14:textId="77777777">
      <w:pPr>
        <w:rPr>
          <w:sz w:val="24"/>
          <w:szCs w:val="24"/>
        </w:rPr>
      </w:pPr>
      <w:r>
        <w:rPr>
          <w:sz w:val="24"/>
          <w:szCs w:val="24"/>
        </w:rPr>
        <w:t xml:space="preserve">The CTR is intended to provide information to fishery managers to evaluate the effectiveness of </w:t>
      </w:r>
      <w:r>
        <w:rPr>
          <w:sz w:val="24"/>
          <w:szCs w:val="24"/>
        </w:rPr>
        <w:t>Chinook salmon bycatch management measures. The CTR collects information on transfers of Chinook salmon PSC allocation to or from another person during each calendar year for which the transferor or transferee paid or received monetary compensation. Compensated transfers are those transfers that include monetary compensation for a part of or the whole value of the transferred Chinook salmon PSC allocation.</w:t>
      </w:r>
    </w:p>
    <w:p w:rsidR="00974B03" w14:paraId="00000047" w14:textId="77777777">
      <w:pPr>
        <w:tabs>
          <w:tab w:val="left" w:pos="360"/>
          <w:tab w:val="left" w:pos="720"/>
        </w:tabs>
        <w:rPr>
          <w:sz w:val="24"/>
          <w:szCs w:val="24"/>
          <w:highlight w:val="yellow"/>
        </w:rPr>
      </w:pPr>
    </w:p>
    <w:p w:rsidR="00974B03" w14:paraId="00000048" w14:textId="77777777">
      <w:pPr>
        <w:tabs>
          <w:tab w:val="left" w:pos="360"/>
          <w:tab w:val="left" w:pos="720"/>
        </w:tabs>
        <w:rPr>
          <w:sz w:val="24"/>
          <w:szCs w:val="24"/>
        </w:rPr>
      </w:pPr>
      <w:r>
        <w:rPr>
          <w:sz w:val="24"/>
          <w:szCs w:val="24"/>
        </w:rPr>
        <w:t xml:space="preserve">NMFS examines data reported for each transaction and tabulates the data to </w:t>
      </w:r>
      <w:r>
        <w:rPr>
          <w:sz w:val="24"/>
          <w:szCs w:val="24"/>
        </w:rPr>
        <w:t>compare the amount of Chinook salmon PSC transferred in each transaction, number of transactions by vessel type (sector and AFA cooperative), and time intervals of the transfers in a season or year. NMFS also tabulates the average and variation in price paid for transactions by vessel operation type, sector, and AFA cooperative.</w:t>
      </w:r>
    </w:p>
    <w:p w:rsidR="00974B03" w14:paraId="00000049" w14:textId="77777777">
      <w:pPr>
        <w:rPr>
          <w:sz w:val="24"/>
          <w:szCs w:val="24"/>
        </w:rPr>
      </w:pPr>
    </w:p>
    <w:p w:rsidR="00974B03" w14:paraId="0000004A" w14:textId="77777777">
      <w:pPr>
        <w:rPr>
          <w:sz w:val="24"/>
          <w:szCs w:val="24"/>
        </w:rPr>
      </w:pPr>
      <w:r>
        <w:rPr>
          <w:sz w:val="24"/>
          <w:szCs w:val="24"/>
        </w:rPr>
        <w:t>NMFS uses data from these collections to compare the annual, seasonal, and, where possible, trip-level and haul-level changes in the behavior of the pollock fleet by sector, cooperative, and vessel. The four AFA sectors are catcher/processor, mothership, inshore processor, and CDQ. NMFS allocates annual transferrable or non-transferrable Chinook salmon PSC to members of a qualifying catcher/processor sector, the mothership sector, inshore cooperatives, and CDQ groups. Chinook salmon PSC may be transferred b</w:t>
      </w:r>
      <w:r>
        <w:rPr>
          <w:sz w:val="24"/>
          <w:szCs w:val="24"/>
        </w:rPr>
        <w:t>etween these entities and among members of each entity.</w:t>
      </w:r>
    </w:p>
    <w:p w:rsidR="00974B03" w14:paraId="0000004B" w14:textId="77777777">
      <w:pPr>
        <w:rPr>
          <w:sz w:val="24"/>
          <w:szCs w:val="24"/>
        </w:rPr>
      </w:pPr>
    </w:p>
    <w:p w:rsidR="00974B03" w14:paraId="0000004C" w14:textId="77777777">
      <w:pPr>
        <w:tabs>
          <w:tab w:val="left" w:pos="720"/>
        </w:tabs>
        <w:rPr>
          <w:sz w:val="24"/>
          <w:szCs w:val="24"/>
        </w:rPr>
      </w:pPr>
      <w:r>
        <w:rPr>
          <w:sz w:val="24"/>
          <w:szCs w:val="24"/>
        </w:rPr>
        <w:t>Information on the affiliation of transferor and transferee is used to determine the independence of the parties of any reported compensated transfer. This is required to differentiate market-based transactions and associated prices from transfer payments between affiliated or integrated entities. The majority of the respondents are vessels engaged in either catching or catching and processing pollock. Firms that also own inshore processing plants as well as catcher vessels and/or catcher/processors are own</w:t>
      </w:r>
      <w:r>
        <w:rPr>
          <w:sz w:val="24"/>
          <w:szCs w:val="24"/>
        </w:rPr>
        <w:t xml:space="preserve">ership affiliated entities. Owners of inshore processing plants may also be familiar with specific Chinook salmon PSC transfers and are potential respondents for the CTR. </w:t>
      </w:r>
    </w:p>
    <w:p w:rsidR="00974B03" w14:paraId="0000004D" w14:textId="77777777">
      <w:pPr>
        <w:widowControl/>
        <w:rPr>
          <w:sz w:val="24"/>
          <w:szCs w:val="24"/>
        </w:rPr>
      </w:pPr>
    </w:p>
    <w:p w:rsidR="00974B03" w14:paraId="0000004E" w14:textId="77777777">
      <w:pPr>
        <w:rPr>
          <w:sz w:val="24"/>
          <w:szCs w:val="24"/>
        </w:rPr>
      </w:pPr>
      <w:r>
        <w:rPr>
          <w:sz w:val="24"/>
          <w:szCs w:val="24"/>
        </w:rPr>
        <w:t>The Vessel Fuel Survey collects information on the estimated quantity and cost of all fuel consumed by each AFA vessel harvesting or processing pollock during the calendar year. This survey collects data on average fuel used fishing and transiting, and annual fuel use and costs. Data are reported on a vessel basis annually. These data, when used with existing data and data concerning Chinook salmon avoidance efforts, allow analysts to examine fuel use and costs associated with choices of fishing grounds and</w:t>
      </w:r>
      <w:r>
        <w:rPr>
          <w:sz w:val="24"/>
          <w:szCs w:val="24"/>
        </w:rPr>
        <w:t xml:space="preserve"> Chinook salmon PSC avoidance.</w:t>
      </w:r>
    </w:p>
    <w:p w:rsidR="00974B03" w14:paraId="0000004F" w14:textId="77777777">
      <w:pPr>
        <w:rPr>
          <w:sz w:val="24"/>
          <w:szCs w:val="24"/>
        </w:rPr>
      </w:pPr>
    </w:p>
    <w:p w:rsidR="00974B03" w14:paraId="00000050" w14:textId="77777777">
      <w:pPr>
        <w:rPr>
          <w:sz w:val="24"/>
          <w:szCs w:val="24"/>
        </w:rPr>
      </w:pPr>
      <w:r>
        <w:rPr>
          <w:sz w:val="24"/>
          <w:szCs w:val="24"/>
        </w:rPr>
        <w:t>These data, combined with other information in the Chinook Salmon EDR Program, provide information on movements of a vessel to avoid Chinook salmon in order to minimize Chinook salmon PSC. Fuel use and price data are not available for vessels in the pollock fishery in any uniform format. NMFS applies fuel usage data to assess the extent to which fleet members are willing to incur these expenses to avoid Chinook salmon PSC. These data provide useful estimates of fuel usage for evaluating the effects of Amend</w:t>
      </w:r>
      <w:r>
        <w:rPr>
          <w:sz w:val="24"/>
          <w:szCs w:val="24"/>
        </w:rPr>
        <w:t xml:space="preserve">ment 91. </w:t>
      </w:r>
    </w:p>
    <w:p w:rsidR="00974B03" w14:paraId="00000051" w14:textId="77777777">
      <w:pPr>
        <w:widowControl/>
        <w:rPr>
          <w:sz w:val="24"/>
          <w:szCs w:val="24"/>
        </w:rPr>
      </w:pPr>
    </w:p>
    <w:p w:rsidR="00974B03" w14:paraId="00000052" w14:textId="77777777">
      <w:pPr>
        <w:widowControl/>
        <w:tabs>
          <w:tab w:val="left" w:pos="360"/>
          <w:tab w:val="left" w:pos="720"/>
          <w:tab w:val="left" w:pos="1080"/>
          <w:tab w:val="left" w:pos="1440"/>
        </w:tabs>
        <w:rPr>
          <w:sz w:val="24"/>
          <w:szCs w:val="24"/>
        </w:rPr>
      </w:pPr>
      <w:r>
        <w:rPr>
          <w:sz w:val="24"/>
          <w:szCs w:val="24"/>
        </w:rPr>
        <w:t>The Vessel Master Survey is a qualitative assessment survey that poses a series of questions to elicit vessel operator input on factors that influenced the vessel’s performance during the year. The questions in this survey are primarily qualitative questions concerning operator on-grounds impressions and choices made during the pollock season, including incentives, fishing location choices, and salmon PSC reduction measures.</w:t>
      </w:r>
    </w:p>
    <w:p w:rsidR="00974B03" w14:paraId="00000053" w14:textId="77777777">
      <w:pPr>
        <w:rPr>
          <w:sz w:val="24"/>
          <w:szCs w:val="24"/>
        </w:rPr>
      </w:pPr>
    </w:p>
    <w:p w:rsidR="00974B03" w14:paraId="00000054" w14:textId="77777777">
      <w:pPr>
        <w:rPr>
          <w:sz w:val="24"/>
          <w:szCs w:val="24"/>
        </w:rPr>
      </w:pPr>
      <w:r>
        <w:rPr>
          <w:sz w:val="24"/>
          <w:szCs w:val="24"/>
        </w:rPr>
        <w:t>Many masters compile notes in-season to be used for response to the specific survey at year-end. The burden associated with tracking vessel activity in order to complete the survey varies depending on the circumstances encountered during the year.</w:t>
      </w:r>
    </w:p>
    <w:p w:rsidR="00974B03" w14:paraId="00000055" w14:textId="77777777">
      <w:pPr>
        <w:rPr>
          <w:sz w:val="24"/>
          <w:szCs w:val="24"/>
        </w:rPr>
      </w:pPr>
    </w:p>
    <w:p w:rsidR="00974B03" w14:paraId="00000056" w14:textId="77777777">
      <w:pPr>
        <w:keepNext/>
        <w:keepLines/>
        <w:widowControl/>
        <w:spacing w:before="120" w:after="60"/>
        <w:rPr>
          <w:b/>
          <w:sz w:val="24"/>
          <w:szCs w:val="24"/>
        </w:rPr>
      </w:pPr>
      <w:r>
        <w:rPr>
          <w:sz w:val="24"/>
          <w:szCs w:val="24"/>
        </w:rPr>
        <w:t>Information Requirements and Needs and Uses of Information Collected</w:t>
      </w:r>
    </w:p>
    <w:tbl>
      <w:tblPr>
        <w:tblStyle w:val="a"/>
        <w:tblpPr w:leftFromText="180" w:rightFromText="180" w:vertAnchor="text" w:tblpY="9"/>
        <w:tblW w:w="10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25"/>
        <w:gridCol w:w="1350"/>
        <w:gridCol w:w="1350"/>
        <w:gridCol w:w="1350"/>
        <w:gridCol w:w="4508"/>
      </w:tblGrid>
      <w:tr w14:paraId="7B675A43" w14:textId="77777777">
        <w:tblPrEx>
          <w:tblW w:w="10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530"/>
          <w:tblHeader/>
        </w:trPr>
        <w:tc>
          <w:tcPr>
            <w:tcW w:w="1525"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974B03" w14:paraId="00000057" w14:textId="77777777">
            <w:pPr>
              <w:keepNext/>
              <w:keepLines/>
              <w:widowControl/>
              <w:pBdr>
                <w:top w:val="nil"/>
                <w:left w:val="nil"/>
                <w:bottom w:val="nil"/>
                <w:right w:val="nil"/>
                <w:between w:val="nil"/>
              </w:pBdr>
              <w:jc w:val="center"/>
              <w:rPr>
                <w:rFonts w:ascii="Calibri" w:eastAsia="Calibri" w:hAnsi="Calibri" w:cs="Calibri"/>
                <w:b/>
                <w:sz w:val="18"/>
                <w:szCs w:val="18"/>
              </w:rPr>
            </w:pPr>
            <w:r>
              <w:rPr>
                <w:rFonts w:ascii="Calibri" w:eastAsia="Calibri" w:hAnsi="Calibri" w:cs="Calibri"/>
                <w:b/>
                <w:sz w:val="18"/>
                <w:szCs w:val="18"/>
              </w:rPr>
              <w:t>Requirement</w:t>
            </w:r>
          </w:p>
        </w:tc>
        <w:tc>
          <w:tcPr>
            <w:tcW w:w="135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974B03" w14:paraId="00000058" w14:textId="77777777">
            <w:pPr>
              <w:keepNext/>
              <w:keepLines/>
              <w:widowControl/>
              <w:pBdr>
                <w:top w:val="nil"/>
                <w:left w:val="nil"/>
                <w:bottom w:val="nil"/>
                <w:right w:val="nil"/>
                <w:between w:val="nil"/>
              </w:pBdr>
              <w:jc w:val="center"/>
              <w:rPr>
                <w:rFonts w:ascii="Calibri" w:eastAsia="Calibri" w:hAnsi="Calibri" w:cs="Calibri"/>
                <w:b/>
                <w:sz w:val="18"/>
                <w:szCs w:val="18"/>
              </w:rPr>
            </w:pPr>
            <w:r>
              <w:rPr>
                <w:rFonts w:ascii="Calibri" w:eastAsia="Calibri" w:hAnsi="Calibri" w:cs="Calibri"/>
                <w:b/>
                <w:sz w:val="18"/>
                <w:szCs w:val="18"/>
              </w:rPr>
              <w:t>Statute</w:t>
            </w:r>
          </w:p>
        </w:tc>
        <w:tc>
          <w:tcPr>
            <w:tcW w:w="135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974B03" w14:paraId="00000059" w14:textId="77777777">
            <w:pPr>
              <w:keepNext/>
              <w:keepLines/>
              <w:widowControl/>
              <w:pBdr>
                <w:top w:val="nil"/>
                <w:left w:val="nil"/>
                <w:bottom w:val="nil"/>
                <w:right w:val="nil"/>
                <w:between w:val="nil"/>
              </w:pBdr>
              <w:jc w:val="center"/>
              <w:rPr>
                <w:rFonts w:ascii="Calibri" w:eastAsia="Calibri" w:hAnsi="Calibri" w:cs="Calibri"/>
                <w:b/>
                <w:sz w:val="18"/>
                <w:szCs w:val="18"/>
              </w:rPr>
            </w:pPr>
            <w:r>
              <w:rPr>
                <w:rFonts w:ascii="Calibri" w:eastAsia="Calibri" w:hAnsi="Calibri" w:cs="Calibri"/>
                <w:b/>
                <w:sz w:val="18"/>
                <w:szCs w:val="18"/>
              </w:rPr>
              <w:t>Regulation</w:t>
            </w:r>
          </w:p>
        </w:tc>
        <w:tc>
          <w:tcPr>
            <w:tcW w:w="135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974B03" w14:paraId="0000005A" w14:textId="77777777">
            <w:pPr>
              <w:keepNext/>
              <w:keepLines/>
              <w:widowControl/>
              <w:pBdr>
                <w:top w:val="nil"/>
                <w:left w:val="nil"/>
                <w:bottom w:val="nil"/>
                <w:right w:val="nil"/>
                <w:between w:val="nil"/>
              </w:pBdr>
              <w:jc w:val="center"/>
              <w:rPr>
                <w:rFonts w:ascii="Calibri" w:eastAsia="Calibri" w:hAnsi="Calibri" w:cs="Calibri"/>
                <w:b/>
                <w:sz w:val="18"/>
                <w:szCs w:val="18"/>
              </w:rPr>
            </w:pPr>
            <w:r>
              <w:rPr>
                <w:rFonts w:ascii="Calibri" w:eastAsia="Calibri" w:hAnsi="Calibri" w:cs="Calibri"/>
                <w:b/>
                <w:sz w:val="18"/>
                <w:szCs w:val="18"/>
              </w:rPr>
              <w:t>Submission Method</w:t>
            </w:r>
          </w:p>
        </w:tc>
        <w:tc>
          <w:tcPr>
            <w:tcW w:w="450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974B03" w14:paraId="0000005B" w14:textId="77777777">
            <w:pPr>
              <w:keepNext/>
              <w:keepLines/>
              <w:widowControl/>
              <w:pBdr>
                <w:top w:val="nil"/>
                <w:left w:val="nil"/>
                <w:bottom w:val="nil"/>
                <w:right w:val="nil"/>
                <w:between w:val="nil"/>
              </w:pBdr>
              <w:jc w:val="center"/>
              <w:rPr>
                <w:rFonts w:ascii="Calibri" w:eastAsia="Calibri" w:hAnsi="Calibri" w:cs="Calibri"/>
                <w:b/>
                <w:sz w:val="18"/>
                <w:szCs w:val="18"/>
              </w:rPr>
            </w:pPr>
            <w:r>
              <w:rPr>
                <w:rFonts w:ascii="Calibri" w:eastAsia="Calibri" w:hAnsi="Calibri" w:cs="Calibri"/>
                <w:b/>
                <w:sz w:val="18"/>
                <w:szCs w:val="18"/>
              </w:rPr>
              <w:t>Needs and Uses</w:t>
            </w:r>
          </w:p>
        </w:tc>
      </w:tr>
      <w:tr w14:paraId="322179DF" w14:textId="77777777">
        <w:tblPrEx>
          <w:tblW w:w="10083" w:type="dxa"/>
          <w:tblLayout w:type="fixed"/>
          <w:tblLook w:val="0000"/>
        </w:tblPrEx>
        <w:trPr>
          <w:trHeight w:val="1613"/>
        </w:trPr>
        <w:tc>
          <w:tcPr>
            <w:tcW w:w="1525" w:type="dxa"/>
            <w:vAlign w:val="center"/>
          </w:tcPr>
          <w:p w:rsidR="00974B03" w14:paraId="0000005C" w14:textId="77777777">
            <w:pPr>
              <w:keepNext/>
              <w:keepLines/>
              <w:widowControl/>
              <w:pBdr>
                <w:top w:val="nil"/>
                <w:left w:val="nil"/>
                <w:bottom w:val="nil"/>
                <w:right w:val="nil"/>
                <w:between w:val="nil"/>
              </w:pBdr>
              <w:jc w:val="center"/>
              <w:rPr>
                <w:rFonts w:ascii="Calibri" w:eastAsia="Calibri" w:hAnsi="Calibri" w:cs="Calibri"/>
                <w:color w:val="000000"/>
                <w:sz w:val="18"/>
                <w:szCs w:val="18"/>
              </w:rPr>
            </w:pPr>
            <w:r>
              <w:rPr>
                <w:rFonts w:ascii="Calibri" w:eastAsia="Calibri" w:hAnsi="Calibri" w:cs="Calibri"/>
                <w:color w:val="000000"/>
                <w:sz w:val="18"/>
                <w:szCs w:val="18"/>
              </w:rPr>
              <w:t>Annual Chinook Salmon EDR</w:t>
            </w:r>
          </w:p>
          <w:p w:rsidR="00974B03" w14:paraId="0000005D" w14:textId="77777777">
            <w:pPr>
              <w:keepNext/>
              <w:keepLines/>
              <w:widowControl/>
              <w:pBdr>
                <w:top w:val="nil"/>
                <w:left w:val="nil"/>
                <w:bottom w:val="nil"/>
                <w:right w:val="nil"/>
                <w:between w:val="nil"/>
              </w:pBdr>
              <w:jc w:val="center"/>
              <w:rPr>
                <w:rFonts w:ascii="Calibri" w:eastAsia="Calibri" w:hAnsi="Calibri" w:cs="Calibri"/>
                <w:color w:val="000000"/>
                <w:sz w:val="18"/>
                <w:szCs w:val="18"/>
              </w:rPr>
            </w:pPr>
          </w:p>
        </w:tc>
        <w:tc>
          <w:tcPr>
            <w:tcW w:w="1350" w:type="dxa"/>
            <w:vAlign w:val="center"/>
          </w:tcPr>
          <w:p w:rsidR="00974B03" w14:paraId="0000005E" w14:textId="77777777">
            <w:pPr>
              <w:keepNext/>
              <w:keepLines/>
              <w:widowControl/>
              <w:pBdr>
                <w:top w:val="nil"/>
                <w:left w:val="nil"/>
                <w:bottom w:val="nil"/>
                <w:right w:val="nil"/>
                <w:between w:val="nil"/>
              </w:pBdr>
              <w:jc w:val="center"/>
              <w:rPr>
                <w:rFonts w:ascii="Calibri" w:eastAsia="Calibri" w:hAnsi="Calibri" w:cs="Calibri"/>
                <w:color w:val="000000"/>
                <w:sz w:val="18"/>
                <w:szCs w:val="18"/>
              </w:rPr>
            </w:pPr>
            <w:r>
              <w:rPr>
                <w:rFonts w:ascii="Calibri" w:eastAsia="Calibri" w:hAnsi="Calibri" w:cs="Calibri"/>
                <w:color w:val="000000"/>
                <w:sz w:val="18"/>
                <w:szCs w:val="18"/>
              </w:rPr>
              <w:t xml:space="preserve">16 U.S.C. 1801 </w:t>
            </w:r>
            <w:r>
              <w:rPr>
                <w:rFonts w:ascii="Calibri" w:eastAsia="Calibri" w:hAnsi="Calibri" w:cs="Calibri"/>
                <w:i/>
                <w:color w:val="000000"/>
                <w:sz w:val="18"/>
                <w:szCs w:val="18"/>
              </w:rPr>
              <w:t>et seq.</w:t>
            </w:r>
          </w:p>
        </w:tc>
        <w:tc>
          <w:tcPr>
            <w:tcW w:w="1350" w:type="dxa"/>
            <w:vAlign w:val="center"/>
          </w:tcPr>
          <w:p w:rsidR="00974B03" w14:paraId="0000005F" w14:textId="77777777">
            <w:pPr>
              <w:keepNext/>
              <w:keepLines/>
              <w:widowControl/>
              <w:pBdr>
                <w:top w:val="nil"/>
                <w:left w:val="nil"/>
                <w:bottom w:val="nil"/>
                <w:right w:val="nil"/>
                <w:between w:val="nil"/>
              </w:pBdr>
              <w:jc w:val="center"/>
              <w:rPr>
                <w:rFonts w:ascii="Calibri" w:eastAsia="Calibri" w:hAnsi="Calibri" w:cs="Calibri"/>
                <w:color w:val="000000"/>
                <w:sz w:val="18"/>
                <w:szCs w:val="18"/>
              </w:rPr>
            </w:pPr>
            <w:hyperlink r:id="rId11">
              <w:r w:rsidR="00257459">
                <w:rPr>
                  <w:rFonts w:ascii="Calibri" w:eastAsia="Calibri" w:hAnsi="Calibri" w:cs="Calibri"/>
                  <w:color w:val="0000FF"/>
                  <w:sz w:val="18"/>
                  <w:szCs w:val="18"/>
                  <w:u w:val="single"/>
                </w:rPr>
                <w:t>50 CFR 679.65</w:t>
              </w:r>
            </w:hyperlink>
          </w:p>
        </w:tc>
        <w:tc>
          <w:tcPr>
            <w:tcW w:w="1350" w:type="dxa"/>
            <w:vAlign w:val="center"/>
          </w:tcPr>
          <w:p w:rsidR="00974B03" w14:paraId="00000060" w14:textId="77777777">
            <w:pPr>
              <w:keepNext/>
              <w:keepLines/>
              <w:widowControl/>
              <w:pBdr>
                <w:top w:val="nil"/>
                <w:left w:val="nil"/>
                <w:bottom w:val="nil"/>
                <w:right w:val="nil"/>
                <w:between w:val="nil"/>
              </w:pBdr>
              <w:jc w:val="center"/>
              <w:rPr>
                <w:rFonts w:ascii="Calibri" w:eastAsia="Calibri" w:hAnsi="Calibri" w:cs="Calibri"/>
                <w:color w:val="000000"/>
                <w:sz w:val="18"/>
                <w:szCs w:val="18"/>
              </w:rPr>
            </w:pPr>
            <w:r>
              <w:rPr>
                <w:rFonts w:ascii="Calibri" w:eastAsia="Calibri" w:hAnsi="Calibri" w:cs="Calibri"/>
                <w:color w:val="000000"/>
                <w:sz w:val="18"/>
                <w:szCs w:val="18"/>
              </w:rPr>
              <w:t>On-line via web form</w:t>
            </w:r>
          </w:p>
        </w:tc>
        <w:tc>
          <w:tcPr>
            <w:tcW w:w="4508" w:type="dxa"/>
            <w:vAlign w:val="center"/>
          </w:tcPr>
          <w:p w:rsidR="00974B03" w14:paraId="00000061" w14:textId="77777777">
            <w:pPr>
              <w:keepNext/>
              <w:keepLines/>
              <w:widowControl/>
              <w:numPr>
                <w:ilvl w:val="0"/>
                <w:numId w:val="4"/>
              </w:numPr>
              <w:pBdr>
                <w:top w:val="nil"/>
                <w:left w:val="nil"/>
                <w:bottom w:val="nil"/>
                <w:right w:val="nil"/>
                <w:between w:val="nil"/>
              </w:pBdr>
              <w:tabs>
                <w:tab w:val="left" w:pos="469"/>
                <w:tab w:val="left" w:pos="470"/>
              </w:tabs>
              <w:spacing w:before="60" w:after="60"/>
              <w:ind w:left="144" w:hanging="144"/>
              <w:rPr>
                <w:rFonts w:ascii="Calibri" w:eastAsia="Calibri" w:hAnsi="Calibri" w:cs="Calibri"/>
                <w:color w:val="000000"/>
                <w:sz w:val="18"/>
                <w:szCs w:val="18"/>
              </w:rPr>
            </w:pPr>
            <w:sdt>
              <w:sdtPr>
                <w:tag w:val="goog_rdk_4"/>
                <w:id w:val="-1125465932"/>
                <w:richText/>
              </w:sdtPr>
              <w:sdtContent/>
            </w:sdt>
            <w:r w:rsidR="00257459">
              <w:rPr>
                <w:rFonts w:ascii="Calibri" w:eastAsia="Calibri" w:hAnsi="Calibri" w:cs="Calibri"/>
                <w:color w:val="000000"/>
                <w:sz w:val="18"/>
                <w:szCs w:val="18"/>
              </w:rPr>
              <w:t>Used by NMFS in annual reports and regulatory analysis.</w:t>
            </w:r>
          </w:p>
          <w:p w:rsidR="00974B03" w14:paraId="00000062" w14:textId="77777777">
            <w:pPr>
              <w:keepNext/>
              <w:keepLines/>
              <w:widowControl/>
              <w:numPr>
                <w:ilvl w:val="0"/>
                <w:numId w:val="4"/>
              </w:numPr>
              <w:pBdr>
                <w:top w:val="nil"/>
                <w:left w:val="nil"/>
                <w:bottom w:val="nil"/>
                <w:right w:val="nil"/>
                <w:between w:val="nil"/>
              </w:pBdr>
              <w:tabs>
                <w:tab w:val="left" w:pos="469"/>
                <w:tab w:val="left" w:pos="470"/>
              </w:tabs>
              <w:spacing w:before="60" w:after="60"/>
              <w:ind w:left="144" w:hanging="144"/>
              <w:rPr>
                <w:rFonts w:ascii="Calibri" w:eastAsia="Calibri" w:hAnsi="Calibri" w:cs="Calibri"/>
                <w:color w:val="000000"/>
                <w:sz w:val="18"/>
                <w:szCs w:val="18"/>
              </w:rPr>
            </w:pPr>
            <w:r>
              <w:rPr>
                <w:rFonts w:ascii="Calibri" w:eastAsia="Calibri" w:hAnsi="Calibri" w:cs="Calibri"/>
                <w:color w:val="000000"/>
                <w:sz w:val="18"/>
                <w:szCs w:val="18"/>
              </w:rPr>
              <w:t xml:space="preserve">Used by Council staff and </w:t>
            </w:r>
            <w:r>
              <w:rPr>
                <w:rFonts w:ascii="Calibri" w:eastAsia="Calibri" w:hAnsi="Calibri" w:cs="Calibri"/>
                <w:color w:val="000000"/>
                <w:sz w:val="18"/>
                <w:szCs w:val="18"/>
              </w:rPr>
              <w:t>NMFS staff in evaluating effectiveness of BSAI FMP Amendment 91.</w:t>
            </w:r>
          </w:p>
          <w:p w:rsidR="00974B03" w14:paraId="00000063" w14:textId="77777777">
            <w:pPr>
              <w:keepNext/>
              <w:keepLines/>
              <w:widowControl/>
              <w:numPr>
                <w:ilvl w:val="0"/>
                <w:numId w:val="4"/>
              </w:numPr>
              <w:pBdr>
                <w:top w:val="nil"/>
                <w:left w:val="nil"/>
                <w:bottom w:val="nil"/>
                <w:right w:val="nil"/>
                <w:between w:val="nil"/>
              </w:pBdr>
              <w:tabs>
                <w:tab w:val="left" w:pos="469"/>
                <w:tab w:val="left" w:pos="470"/>
              </w:tabs>
              <w:spacing w:before="60" w:after="60"/>
              <w:ind w:left="144" w:hanging="144"/>
              <w:rPr>
                <w:rFonts w:ascii="Calibri" w:eastAsia="Calibri" w:hAnsi="Calibri" w:cs="Calibri"/>
                <w:color w:val="000000"/>
                <w:sz w:val="18"/>
                <w:szCs w:val="18"/>
              </w:rPr>
            </w:pPr>
            <w:r>
              <w:rPr>
                <w:rFonts w:ascii="Calibri" w:eastAsia="Calibri" w:hAnsi="Calibri" w:cs="Calibri"/>
                <w:color w:val="000000"/>
                <w:sz w:val="18"/>
                <w:szCs w:val="18"/>
              </w:rPr>
              <w:t xml:space="preserve">Used by partnered researchers to conduct fishery economic research. </w:t>
            </w:r>
          </w:p>
        </w:tc>
      </w:tr>
    </w:tbl>
    <w:p w:rsidR="00974B03" w14:paraId="00000064" w14:textId="77777777">
      <w:pPr>
        <w:tabs>
          <w:tab w:val="left" w:pos="360"/>
          <w:tab w:val="left" w:pos="720"/>
          <w:tab w:val="left" w:pos="1080"/>
          <w:tab w:val="left" w:pos="1440"/>
        </w:tabs>
        <w:rPr>
          <w:sz w:val="24"/>
          <w:szCs w:val="24"/>
        </w:rPr>
      </w:pPr>
    </w:p>
    <w:p w:rsidR="00974B03" w14:paraId="00000065" w14:textId="77777777">
      <w:pPr>
        <w:tabs>
          <w:tab w:val="left" w:pos="360"/>
          <w:tab w:val="left" w:pos="720"/>
          <w:tab w:val="left" w:pos="1080"/>
          <w:tab w:val="left" w:pos="1440"/>
        </w:tabs>
        <w:rPr>
          <w:sz w:val="24"/>
          <w:szCs w:val="24"/>
        </w:rPr>
      </w:pPr>
    </w:p>
    <w:p w:rsidR="00974B03" w14:paraId="00000067" w14:textId="77777777">
      <w:pPr>
        <w:tabs>
          <w:tab w:val="left" w:pos="360"/>
          <w:tab w:val="left" w:pos="720"/>
          <w:tab w:val="left" w:pos="1080"/>
          <w:tab w:val="left" w:pos="1440"/>
        </w:tabs>
        <w:rPr>
          <w:sz w:val="24"/>
          <w:szCs w:val="24"/>
        </w:rPr>
      </w:pPr>
    </w:p>
    <w:p w:rsidR="00974B03" w14:paraId="00000068" w14:textId="77777777">
      <w:pPr>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 xml:space="preserve">Describe whether, and to what extent, the collection of information involves the use of automated, electronic, mechanical, or other technological </w:t>
      </w:r>
      <w:r>
        <w:rPr>
          <w:b/>
          <w:color w:val="000000"/>
          <w:sz w:val="24"/>
          <w:szCs w:val="24"/>
        </w:rPr>
        <w:t>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74B03" w14:paraId="00000069" w14:textId="77777777">
      <w:pPr>
        <w:widowControl/>
        <w:rPr>
          <w:sz w:val="24"/>
          <w:szCs w:val="24"/>
        </w:rPr>
      </w:pPr>
    </w:p>
    <w:p w:rsidR="00974B03" w14:paraId="0000006A" w14:textId="77777777">
      <w:pPr>
        <w:widowControl/>
        <w:rPr>
          <w:sz w:val="24"/>
          <w:szCs w:val="24"/>
        </w:rPr>
      </w:pPr>
      <w:r>
        <w:rPr>
          <w:sz w:val="24"/>
          <w:szCs w:val="24"/>
        </w:rPr>
        <w:t xml:space="preserve">This collection is 100 percent electronic; the Chinook salmon EDR reports are all submitted online using the Pacific States economic data reporting web application at </w:t>
      </w:r>
      <w:hyperlink r:id="rId10">
        <w:r>
          <w:rPr>
            <w:color w:val="0000FF"/>
            <w:sz w:val="24"/>
            <w:szCs w:val="24"/>
            <w:u w:val="single"/>
          </w:rPr>
          <w:t>https://chinookedr.psmfc.org</w:t>
        </w:r>
      </w:hyperlink>
      <w:r>
        <w:rPr>
          <w:sz w:val="24"/>
          <w:szCs w:val="24"/>
        </w:rPr>
        <w:t xml:space="preserve">/. </w:t>
      </w:r>
    </w:p>
    <w:p w:rsidR="00974B03" w14:paraId="0000006B" w14:textId="77777777">
      <w:pPr>
        <w:rPr>
          <w:sz w:val="24"/>
          <w:szCs w:val="24"/>
        </w:rPr>
      </w:pPr>
    </w:p>
    <w:p w:rsidR="00974B03" w14:paraId="0000006C" w14:textId="77777777">
      <w:pPr>
        <w:rPr>
          <w:sz w:val="24"/>
          <w:szCs w:val="24"/>
        </w:rPr>
      </w:pPr>
      <w:r>
        <w:rPr>
          <w:sz w:val="24"/>
          <w:szCs w:val="24"/>
        </w:rPr>
        <w:t>Pacific States ensures compliance by emailing non-respondents to remind them of the requirement to complete the Chinook Salmon EDR. If necessary, a follow up email is sent as a further reminder. A referral to the NOAA Office of Law Enforcement can be used to enforce compliance; however, this action has not been necessary since the Chinook Salmon EDR program was enacted.</w:t>
      </w:r>
    </w:p>
    <w:p w:rsidR="00974B03" w14:paraId="0000006D" w14:textId="77777777">
      <w:pPr>
        <w:rPr>
          <w:sz w:val="24"/>
          <w:szCs w:val="24"/>
        </w:rPr>
      </w:pPr>
    </w:p>
    <w:p w:rsidR="00974B03" w14:paraId="0000006E" w14:textId="77777777">
      <w:pPr>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Describe efforts to identify duplication. Show specifically why any similar information already available cannot be used or modified for use for the purposes described in Question 2.</w:t>
      </w:r>
    </w:p>
    <w:p w:rsidR="00974B03" w14:paraId="0000006F" w14:textId="77777777">
      <w:pPr>
        <w:rPr>
          <w:sz w:val="24"/>
          <w:szCs w:val="24"/>
        </w:rPr>
      </w:pPr>
    </w:p>
    <w:p w:rsidR="00974B03" w14:paraId="00000070" w14:textId="77777777">
      <w:pPr>
        <w:rPr>
          <w:sz w:val="24"/>
          <w:szCs w:val="24"/>
        </w:rPr>
      </w:pPr>
      <w:r>
        <w:rPr>
          <w:sz w:val="24"/>
          <w:szCs w:val="24"/>
        </w:rPr>
        <w:t>None of the information collected as part of this information collection duplicates other collections. This information collection is part of a specialized and unique technical program.</w:t>
      </w:r>
    </w:p>
    <w:p w:rsidR="00974B03" w14:paraId="00000071" w14:textId="77777777">
      <w:pPr>
        <w:rPr>
          <w:sz w:val="24"/>
          <w:szCs w:val="24"/>
        </w:rPr>
      </w:pPr>
    </w:p>
    <w:p w:rsidR="00974B03" w14:paraId="00000072" w14:textId="77777777">
      <w:pPr>
        <w:keepNext/>
        <w:keepLines/>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If the collection of information impacts small businesses or other small entities, describe any methods used to minimize burden.</w:t>
      </w:r>
    </w:p>
    <w:p w:rsidR="00974B03" w14:paraId="00000073" w14:textId="77777777">
      <w:pPr>
        <w:keepNext/>
        <w:keepLines/>
        <w:rPr>
          <w:sz w:val="24"/>
          <w:szCs w:val="24"/>
        </w:rPr>
      </w:pPr>
    </w:p>
    <w:p w:rsidR="00974B03" w14:paraId="00000074" w14:textId="77777777">
      <w:pPr>
        <w:keepNext/>
        <w:keepLines/>
        <w:rPr>
          <w:sz w:val="24"/>
          <w:szCs w:val="24"/>
        </w:rPr>
      </w:pPr>
      <w:r>
        <w:rPr>
          <w:sz w:val="24"/>
          <w:szCs w:val="24"/>
        </w:rPr>
        <w:t xml:space="preserve">This collection applies only to those entities that participate in the AFA directed pollock trawl fishery in the Bering Sea. The only small entities that are directly regulated by this action are the six CDQ organizations. If a CDQ group chooses to make or receive a compensated transfer of Chinook salmon PSC allocation, a representative of the CDQ group is required to complete some portion of the transfer report. </w:t>
      </w:r>
    </w:p>
    <w:p w:rsidR="00974B03" w14:paraId="00000075" w14:textId="77777777">
      <w:pPr>
        <w:widowControl/>
        <w:rPr>
          <w:sz w:val="24"/>
          <w:szCs w:val="24"/>
        </w:rPr>
      </w:pPr>
    </w:p>
    <w:p w:rsidR="00974B03" w14:paraId="00000076" w14:textId="77777777">
      <w:pPr>
        <w:widowControl/>
        <w:rPr>
          <w:sz w:val="24"/>
          <w:szCs w:val="24"/>
        </w:rPr>
      </w:pPr>
      <w:r>
        <w:rPr>
          <w:sz w:val="24"/>
          <w:szCs w:val="24"/>
        </w:rPr>
        <w:t xml:space="preserve">NMFS attempts to minimize the burden of this reporting requirement on all respondents, including directly regulated small entities, by allowing the online submission of this report. To date, no CDQ groups have submitted or contributed to a compensated transfer report. In addition, although the vessel owners are not considered small entities, NMFS has worked with them to reduce the burden by allowing multiple vessel masters to complete the Vessel Master Survey using the login credentials of one owner and by </w:t>
      </w:r>
      <w:r>
        <w:rPr>
          <w:sz w:val="24"/>
          <w:szCs w:val="24"/>
        </w:rPr>
        <w:t xml:space="preserve">allowing multiple Vessel Fuel Survey responses in a single online submission. </w:t>
      </w:r>
    </w:p>
    <w:p w:rsidR="00974B03" w14:paraId="00000077" w14:textId="77777777">
      <w:pPr>
        <w:widowControl/>
        <w:pBdr>
          <w:top w:val="nil"/>
          <w:left w:val="nil"/>
          <w:bottom w:val="nil"/>
          <w:right w:val="nil"/>
          <w:between w:val="nil"/>
        </w:pBdr>
        <w:rPr>
          <w:color w:val="000000"/>
          <w:sz w:val="24"/>
          <w:szCs w:val="24"/>
        </w:rPr>
      </w:pPr>
    </w:p>
    <w:p w:rsidR="00974B03" w14:paraId="00000078" w14:textId="77777777">
      <w:pPr>
        <w:widowControl/>
        <w:pBdr>
          <w:top w:val="nil"/>
          <w:left w:val="nil"/>
          <w:bottom w:val="nil"/>
          <w:right w:val="nil"/>
          <w:between w:val="nil"/>
        </w:pBdr>
        <w:rPr>
          <w:color w:val="000000"/>
          <w:sz w:val="24"/>
          <w:szCs w:val="24"/>
        </w:rPr>
      </w:pPr>
    </w:p>
    <w:p w:rsidR="00974B03" w14:paraId="00000079" w14:textId="77777777">
      <w:pPr>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 xml:space="preserve">Describe the consequence to Federal program or policy activities if the collection is not conducted or is conducted less frequently, as well as any technical or legal </w:t>
      </w:r>
      <w:r>
        <w:rPr>
          <w:b/>
          <w:color w:val="000000"/>
          <w:sz w:val="24"/>
          <w:szCs w:val="24"/>
        </w:rPr>
        <w:t>obstacles to reducing burden.</w:t>
      </w:r>
    </w:p>
    <w:p w:rsidR="00974B03" w14:paraId="0000007A" w14:textId="77777777">
      <w:pPr>
        <w:rPr>
          <w:sz w:val="24"/>
          <w:szCs w:val="24"/>
        </w:rPr>
      </w:pPr>
    </w:p>
    <w:p w:rsidR="00974B03" w14:paraId="0000007B" w14:textId="32FC6F66">
      <w:pPr>
        <w:rPr>
          <w:sz w:val="24"/>
          <w:szCs w:val="24"/>
        </w:rPr>
      </w:pPr>
      <w:r>
        <w:rPr>
          <w:sz w:val="24"/>
          <w:szCs w:val="24"/>
        </w:rPr>
        <w:t xml:space="preserve">Chinook salmon caught in the pollock fishery are considered PSC under the Magnuson-Stevens Act, the BSAI FMP, and NMFS regulations at 50 CFR part 679. National Standard 9 of the Magnuson-Stevens Act requires the Council to select, and NMFS to implement, conservation and management measures that, to the extent practicable, minimize bycatch and bycatch mortality. </w:t>
      </w:r>
    </w:p>
    <w:p w:rsidR="00974B03" w14:paraId="0000007C" w14:textId="77777777">
      <w:pPr>
        <w:rPr>
          <w:sz w:val="24"/>
          <w:szCs w:val="24"/>
        </w:rPr>
      </w:pPr>
    </w:p>
    <w:p w:rsidR="00974B03" w14:paraId="0000007D" w14:textId="77777777">
      <w:pPr>
        <w:rPr>
          <w:sz w:val="24"/>
          <w:szCs w:val="24"/>
        </w:rPr>
      </w:pPr>
      <w:r>
        <w:rPr>
          <w:sz w:val="24"/>
          <w:szCs w:val="24"/>
        </w:rPr>
        <w:t>The CTR in conjunction with data from IPA reports provides information on the number and characteristics of Chinook salmon PSC transfers. Without this data, NMFS will not be able to tell how vessels differ from each other in terms of efficient use of Chinook salmon PSC or of the costs of avoiding Chinook salmon PSC. Without this data, it will not be possible to determine if the trading of Chinook salmon PSC is occurring and, if it is occurring, what impact it may have on mitigating the impacts of Chinook sa</w:t>
      </w:r>
      <w:r>
        <w:rPr>
          <w:sz w:val="24"/>
          <w:szCs w:val="24"/>
        </w:rPr>
        <w:t xml:space="preserve">lmon PSC limits. </w:t>
      </w:r>
    </w:p>
    <w:p w:rsidR="00974B03" w14:paraId="0000007E" w14:textId="77777777">
      <w:pPr>
        <w:rPr>
          <w:sz w:val="24"/>
          <w:szCs w:val="24"/>
        </w:rPr>
      </w:pPr>
    </w:p>
    <w:p w:rsidR="00974B03" w14:paraId="0000007F" w14:textId="77777777">
      <w:pPr>
        <w:rPr>
          <w:sz w:val="24"/>
          <w:szCs w:val="24"/>
        </w:rPr>
      </w:pPr>
      <w:r>
        <w:rPr>
          <w:sz w:val="24"/>
          <w:szCs w:val="24"/>
        </w:rPr>
        <w:t>Without the Vessel Master Survey, we will not understand the tradeoffs vessel masters made to avoid Chinook salmon. NMFS may not be able to detect if there is essential information missing in other survey or report data that is needed to evaluate the effect of the IPAs implemented by Amendment 91.</w:t>
      </w:r>
    </w:p>
    <w:p w:rsidR="00974B03" w14:paraId="00000080" w14:textId="77777777">
      <w:pPr>
        <w:rPr>
          <w:sz w:val="24"/>
          <w:szCs w:val="24"/>
        </w:rPr>
      </w:pPr>
    </w:p>
    <w:p w:rsidR="00974B03" w14:paraId="00000081" w14:textId="77777777">
      <w:pPr>
        <w:rPr>
          <w:sz w:val="24"/>
          <w:szCs w:val="24"/>
        </w:rPr>
      </w:pPr>
      <w:r>
        <w:rPr>
          <w:sz w:val="24"/>
          <w:szCs w:val="24"/>
        </w:rPr>
        <w:t>Without the Vessel Fuel Survey NMFS would not be able to apply fuel usage data to assess the extent to which fleet members are willing to incur these expenses to avoid Chinook salmon PSC. These data provide useful estimates of fuel usage for evaluating the effects of Amendment 91.</w:t>
      </w:r>
    </w:p>
    <w:p w:rsidR="00974B03" w14:paraId="00000082" w14:textId="77777777">
      <w:pPr>
        <w:pBdr>
          <w:top w:val="nil"/>
          <w:left w:val="nil"/>
          <w:bottom w:val="nil"/>
          <w:right w:val="nil"/>
          <w:between w:val="nil"/>
        </w:pBdr>
        <w:rPr>
          <w:color w:val="000000"/>
          <w:sz w:val="24"/>
          <w:szCs w:val="24"/>
        </w:rPr>
      </w:pPr>
    </w:p>
    <w:p w:rsidR="00974B03" w14:paraId="00000083" w14:textId="132C4116">
      <w:pPr>
        <w:widowControl/>
        <w:pBdr>
          <w:top w:val="nil"/>
          <w:left w:val="nil"/>
          <w:bottom w:val="nil"/>
          <w:right w:val="nil"/>
          <w:between w:val="nil"/>
        </w:pBdr>
        <w:rPr>
          <w:rFonts w:ascii="Arial" w:eastAsia="Arial" w:hAnsi="Arial" w:cs="Arial"/>
          <w:sz w:val="22"/>
          <w:szCs w:val="22"/>
        </w:rPr>
      </w:pPr>
      <w:r>
        <w:rPr>
          <w:color w:val="000000"/>
          <w:sz w:val="24"/>
          <w:szCs w:val="24"/>
        </w:rPr>
        <w:t>In February 2022, the Council received a Final Review Draft Regulatory Impact Review that was developed following a comprehensive review of the Chinook Salmon EDR, along with the three other Alaska Region/North Pacific EDR Programs. One of the issues that was addressed in the review of the EDRs is whether annual submission of data by each respondent continues to be necessary to provide the data needed to monitor and evaluate the Bering Sea pollock fishery. An option was specifically considered to change the</w:t>
      </w:r>
      <w:r>
        <w:rPr>
          <w:color w:val="000000"/>
          <w:sz w:val="24"/>
          <w:szCs w:val="24"/>
        </w:rPr>
        <w:t xml:space="preserve"> frequency of the information collection from annually to either every other or every third year. The Council chose to retain annual EDR submission in all remaining EDRs</w:t>
      </w:r>
      <w:r w:rsidR="00FA6298">
        <w:rPr>
          <w:color w:val="000000"/>
          <w:sz w:val="24"/>
          <w:szCs w:val="24"/>
        </w:rPr>
        <w:t xml:space="preserve"> (88 FR 7586, February 6, 2023)</w:t>
      </w:r>
      <w:r>
        <w:rPr>
          <w:color w:val="000000"/>
          <w:sz w:val="24"/>
          <w:szCs w:val="24"/>
        </w:rPr>
        <w:t>. This decision was influenced by the fact that the agency and contractor infrastructure would likely have to be maintained annually, as would industry bookkeeping practices, resulting in little reduction in either recoverable agency costs or industry compliance costs. Concerns about data quality were also rais</w:t>
      </w:r>
      <w:r>
        <w:rPr>
          <w:color w:val="000000"/>
          <w:sz w:val="24"/>
          <w:szCs w:val="24"/>
        </w:rPr>
        <w:t xml:space="preserve">ed in that if an anomalous event occurred in a year when data is not collected the resulting impact to the analyst’s ability to evaluate economic impacts, to both fishery participants and fishery dependent communities would be severely constrained. An apt example of this risk specific to the BSAI crab rationalization program fisheries is the complete closure of the Bristol Bay red king crab fishery in 2022, and a nearly 90 percent reduction in the Bering Sea snow crab catch in 2022–23. Annual crab EDR data </w:t>
      </w:r>
      <w:r>
        <w:rPr>
          <w:sz w:val="24"/>
          <w:szCs w:val="24"/>
        </w:rPr>
        <w:t>is</w:t>
      </w:r>
      <w:r>
        <w:rPr>
          <w:color w:val="000000"/>
          <w:sz w:val="24"/>
          <w:szCs w:val="24"/>
        </w:rPr>
        <w:t xml:space="preserve"> instrumental in evaluating the overall impacts to participants and communities and in assessing any economic disaster declarations that may occur. Similarly, the Annual Trawl Catcher/Processor EDR will be instrumental in evaluating potential impacts that abundance based management of halibut prohibited species catch may have in the future on the Amendment 80 fleet.</w:t>
      </w:r>
    </w:p>
    <w:p w:rsidR="00974B03" w14:paraId="00000084" w14:textId="77777777">
      <w:pPr>
        <w:pBdr>
          <w:top w:val="nil"/>
          <w:left w:val="nil"/>
          <w:bottom w:val="nil"/>
          <w:right w:val="nil"/>
          <w:between w:val="nil"/>
        </w:pBdr>
        <w:rPr>
          <w:color w:val="000000"/>
          <w:sz w:val="24"/>
          <w:szCs w:val="24"/>
        </w:rPr>
      </w:pPr>
    </w:p>
    <w:p w:rsidR="00974B03" w14:paraId="00000085" w14:textId="77777777">
      <w:pPr>
        <w:keepNext/>
        <w:keepLines/>
        <w:widowControl/>
        <w:numPr>
          <w:ilvl w:val="0"/>
          <w:numId w:val="1"/>
        </w:numPr>
        <w:pBdr>
          <w:top w:val="nil"/>
          <w:left w:val="nil"/>
          <w:bottom w:val="nil"/>
          <w:right w:val="nil"/>
          <w:between w:val="nil"/>
        </w:pBdr>
        <w:tabs>
          <w:tab w:val="left" w:pos="360"/>
        </w:tabs>
        <w:spacing w:before="80"/>
        <w:rPr>
          <w:color w:val="000000"/>
        </w:rPr>
      </w:pPr>
      <w:r>
        <w:rPr>
          <w:b/>
          <w:color w:val="000000"/>
          <w:sz w:val="24"/>
          <w:szCs w:val="24"/>
        </w:rPr>
        <w:t xml:space="preserve"> Explain any special circumstances that would cause an information collection to be conducted in a manner</w:t>
      </w:r>
      <w:r>
        <w:t xml:space="preserve"> </w:t>
      </w:r>
      <w:r>
        <w:rPr>
          <w:b/>
          <w:color w:val="000000"/>
          <w:sz w:val="24"/>
          <w:szCs w:val="24"/>
        </w:rPr>
        <w:t>inconsistent with OMB guidelines.</w:t>
      </w:r>
    </w:p>
    <w:p w:rsidR="00974B03" w14:paraId="00000086" w14:textId="77777777">
      <w:pPr>
        <w:keepNext/>
        <w:keepLines/>
        <w:pBdr>
          <w:top w:val="nil"/>
          <w:left w:val="nil"/>
          <w:bottom w:val="nil"/>
          <w:right w:val="nil"/>
          <w:between w:val="nil"/>
        </w:pBdr>
        <w:rPr>
          <w:b/>
          <w:color w:val="000000"/>
          <w:sz w:val="24"/>
          <w:szCs w:val="24"/>
        </w:rPr>
      </w:pPr>
    </w:p>
    <w:p w:rsidR="00974B03" w14:paraId="00000087" w14:textId="77777777">
      <w:pPr>
        <w:keepNext/>
        <w:keepLines/>
        <w:rPr>
          <w:color w:val="000000"/>
          <w:sz w:val="24"/>
          <w:szCs w:val="24"/>
        </w:rPr>
      </w:pPr>
      <w:r>
        <w:rPr>
          <w:color w:val="000000"/>
          <w:sz w:val="24"/>
          <w:szCs w:val="24"/>
        </w:rPr>
        <w:t>This collection is conducted in a manner that is consistent with OMB guidelines.</w:t>
      </w:r>
    </w:p>
    <w:p w:rsidR="00974B03" w14:paraId="00000088" w14:textId="77777777">
      <w:pPr>
        <w:rPr>
          <w:sz w:val="24"/>
          <w:szCs w:val="24"/>
        </w:rPr>
      </w:pPr>
    </w:p>
    <w:p w:rsidR="00974B03" w14:paraId="00000089" w14:textId="77777777">
      <w:pPr>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 xml:space="preserve">If applicable, provide a copy and identify the date and page number of publications in the Federal Register of the agency's notice, required by 5 CFR 1320.8 (d), </w:t>
      </w:r>
      <w:r>
        <w:rPr>
          <w:b/>
          <w:color w:val="000000"/>
          <w:sz w:val="24"/>
          <w:szCs w:val="24"/>
        </w:rPr>
        <w:t>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74B03" w14:paraId="0000008A" w14:textId="77777777">
      <w:pPr>
        <w:rPr>
          <w:sz w:val="24"/>
          <w:szCs w:val="24"/>
        </w:rPr>
      </w:pPr>
    </w:p>
    <w:p w:rsidR="00974B03" w:rsidRPr="00E44AF6" w14:paraId="0000008B" w14:textId="4BF8E9E4">
      <w:pPr>
        <w:rPr>
          <w:sz w:val="24"/>
          <w:szCs w:val="24"/>
        </w:rPr>
      </w:pPr>
      <w:r>
        <w:rPr>
          <w:sz w:val="24"/>
          <w:szCs w:val="24"/>
        </w:rPr>
        <w:t xml:space="preserve">A Federal Register notice </w:t>
      </w:r>
      <w:r w:rsidR="00E44AF6">
        <w:rPr>
          <w:sz w:val="24"/>
          <w:szCs w:val="24"/>
        </w:rPr>
        <w:t xml:space="preserve">was </w:t>
      </w:r>
      <w:r>
        <w:rPr>
          <w:sz w:val="24"/>
          <w:szCs w:val="24"/>
        </w:rPr>
        <w:t>published (90 FR 30822</w:t>
      </w:r>
      <w:r w:rsidR="00E44AF6">
        <w:rPr>
          <w:sz w:val="24"/>
          <w:szCs w:val="24"/>
        </w:rPr>
        <w:t>, July 11, 2025</w:t>
      </w:r>
      <w:r>
        <w:rPr>
          <w:sz w:val="24"/>
          <w:szCs w:val="24"/>
        </w:rPr>
        <w:t xml:space="preserve">) </w:t>
      </w:r>
      <w:r w:rsidR="00E44AF6">
        <w:rPr>
          <w:sz w:val="24"/>
          <w:szCs w:val="24"/>
        </w:rPr>
        <w:t>to solicit</w:t>
      </w:r>
      <w:r>
        <w:rPr>
          <w:sz w:val="24"/>
          <w:szCs w:val="24"/>
        </w:rPr>
        <w:t xml:space="preserve"> public comment. </w:t>
      </w:r>
      <w:r w:rsidR="0062313E">
        <w:rPr>
          <w:sz w:val="24"/>
          <w:szCs w:val="24"/>
        </w:rPr>
        <w:t xml:space="preserve"> </w:t>
      </w:r>
      <w:r w:rsidRPr="00E44AF6" w:rsidR="0062313E">
        <w:rPr>
          <w:sz w:val="24"/>
          <w:szCs w:val="24"/>
        </w:rPr>
        <w:t>The Federal Register notice requested that commenters (a) Evaluate whether the proposed information collection is necessary for the proper functions of the Department, including whether the information will have practical utility; (b) Evaluate the accuracy of our estimate of the time and cost burden for this proposed collection, including the validity of the methodology and assumptions used; (c) Evaluate ways to enhance the quality, utility, and clarity of the information to be collected; and (d) Minimize the reporting burden on those who are to respond, including the use of automated collection techniques or other forms of information technology.</w:t>
      </w:r>
      <w:r w:rsidR="0062313E">
        <w:rPr>
          <w:sz w:val="24"/>
          <w:szCs w:val="24"/>
        </w:rPr>
        <w:t xml:space="preserve"> </w:t>
      </w:r>
      <w:r w:rsidRPr="00E44AF6">
        <w:rPr>
          <w:sz w:val="24"/>
          <w:szCs w:val="24"/>
        </w:rPr>
        <w:t>No comments</w:t>
      </w:r>
      <w:r w:rsidRPr="00E44AF6" w:rsidR="00FA6298">
        <w:rPr>
          <w:sz w:val="24"/>
          <w:szCs w:val="24"/>
        </w:rPr>
        <w:t xml:space="preserve"> regarding this information collection</w:t>
      </w:r>
      <w:r w:rsidRPr="00E44AF6">
        <w:rPr>
          <w:sz w:val="24"/>
          <w:szCs w:val="24"/>
        </w:rPr>
        <w:t xml:space="preserve"> were received.</w:t>
      </w:r>
    </w:p>
    <w:p w:rsidR="00974B03" w:rsidRPr="00E44AF6" w14:paraId="0000008E" w14:textId="4E70293B">
      <w:pPr>
        <w:spacing w:before="161"/>
        <w:rPr>
          <w:sz w:val="24"/>
          <w:szCs w:val="24"/>
        </w:rPr>
      </w:pPr>
      <w:r w:rsidRPr="00E44AF6">
        <w:rPr>
          <w:sz w:val="24"/>
          <w:szCs w:val="24"/>
        </w:rPr>
        <w:t xml:space="preserve">NOAA consulted with nine past respondents to this information collection to obtain their views on the </w:t>
      </w:r>
      <w:r w:rsidRPr="00E44AF6" w:rsidR="0062313E">
        <w:rPr>
          <w:sz w:val="24"/>
          <w:szCs w:val="24"/>
        </w:rPr>
        <w:t xml:space="preserve">accuracy of the burden estimate (time and cost) to comply with program requirements and whether there are paths to minimize the burden of these requirements, or any other aspect of these requirements. </w:t>
      </w:r>
      <w:r w:rsidRPr="00E44AF6" w:rsidR="00E44AF6">
        <w:rPr>
          <w:sz w:val="24"/>
          <w:szCs w:val="24"/>
        </w:rPr>
        <w:t>No comments were received.</w:t>
      </w:r>
    </w:p>
    <w:p w:rsidR="00974B03" w14:paraId="0000008F" w14:textId="77777777">
      <w:pPr>
        <w:rPr>
          <w:sz w:val="24"/>
          <w:szCs w:val="24"/>
        </w:rPr>
      </w:pPr>
    </w:p>
    <w:p w:rsidR="00974B03" w14:paraId="00000090" w14:textId="77777777">
      <w:pPr>
        <w:rPr>
          <w:sz w:val="24"/>
          <w:szCs w:val="24"/>
        </w:rPr>
      </w:pPr>
    </w:p>
    <w:p w:rsidR="00974B03" w14:paraId="00000091" w14:textId="77777777">
      <w:pPr>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Explain any decision to provide any payment or gift to respondents, other than remuneration of contractors or grantees.</w:t>
      </w:r>
    </w:p>
    <w:p w:rsidR="00974B03" w14:paraId="00000092" w14:textId="77777777">
      <w:pPr>
        <w:rPr>
          <w:sz w:val="24"/>
          <w:szCs w:val="24"/>
        </w:rPr>
      </w:pPr>
    </w:p>
    <w:p w:rsidR="00974B03" w14:paraId="00000093" w14:textId="77777777">
      <w:pPr>
        <w:rPr>
          <w:sz w:val="24"/>
          <w:szCs w:val="24"/>
        </w:rPr>
      </w:pPr>
      <w:r>
        <w:rPr>
          <w:sz w:val="24"/>
          <w:szCs w:val="24"/>
        </w:rPr>
        <w:t>No payment or gift is provided under the Chinook Salmon EDR program.</w:t>
      </w:r>
    </w:p>
    <w:p w:rsidR="00974B03" w14:paraId="00000094" w14:textId="77777777">
      <w:pPr>
        <w:rPr>
          <w:sz w:val="24"/>
          <w:szCs w:val="24"/>
        </w:rPr>
      </w:pPr>
    </w:p>
    <w:p w:rsidR="00974B03" w14:paraId="00000095" w14:textId="4E411CD8">
      <w:pPr>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Describe any assurance of confidentiality provided to respondents and the basis for the assurance in statute, regulation, or agency policy. If the collection requires a system</w:t>
      </w:r>
      <w:r>
        <w:rPr>
          <w:b/>
          <w:color w:val="000000"/>
          <w:sz w:val="24"/>
          <w:szCs w:val="24"/>
        </w:rPr>
        <w:t xml:space="preserve"> of records notice (SORN) or privacy impact assessment (PIA), those should be cited and described here.</w:t>
      </w:r>
    </w:p>
    <w:p w:rsidR="00974B03" w14:paraId="00000096" w14:textId="77777777">
      <w:pPr>
        <w:rPr>
          <w:sz w:val="24"/>
          <w:szCs w:val="24"/>
        </w:rPr>
      </w:pPr>
    </w:p>
    <w:p w:rsidR="00974B03" w14:paraId="00000097" w14:textId="77777777">
      <w:pPr>
        <w:rPr>
          <w:sz w:val="24"/>
          <w:szCs w:val="24"/>
        </w:rPr>
      </w:pPr>
      <w:r>
        <w:rPr>
          <w:sz w:val="24"/>
          <w:szCs w:val="24"/>
        </w:rPr>
        <w:t xml:space="preserve">The data requested in the Chinook Salmon EDR includes detailed proprietary information provided by firms and individuals, as well as personally identifiable information and business identifiable information. These data are considered confidential under section 402(b) of the Magnuson-Stevens Act and under </w:t>
      </w:r>
      <w:hyperlink r:id="rId12">
        <w:r>
          <w:rPr>
            <w:color w:val="0000FF"/>
            <w:sz w:val="24"/>
            <w:szCs w:val="24"/>
            <w:u w:val="single"/>
          </w:rPr>
          <w:t>NOAA Administrative Order 216-100</w:t>
        </w:r>
      </w:hyperlink>
      <w:r>
        <w:rPr>
          <w:sz w:val="24"/>
          <w:szCs w:val="24"/>
        </w:rPr>
        <w:t xml:space="preserve">, which sets forth procedures to protect confidentiality of fishery statistics. The confidential EDR data can only be released to the public in aggregated and non-confidential form. Access to EDR data is tightly controlled under numerous provisions of statute, regulation, and administrative order. </w:t>
      </w:r>
    </w:p>
    <w:p w:rsidR="00974B03" w14:paraId="00000098" w14:textId="77777777">
      <w:pPr>
        <w:rPr>
          <w:sz w:val="24"/>
          <w:szCs w:val="24"/>
        </w:rPr>
      </w:pPr>
    </w:p>
    <w:p w:rsidR="00974B03" w14:paraId="00000099" w14:textId="77777777">
      <w:pPr>
        <w:rPr>
          <w:sz w:val="24"/>
          <w:szCs w:val="24"/>
        </w:rPr>
      </w:pPr>
      <w:r>
        <w:rPr>
          <w:sz w:val="24"/>
          <w:szCs w:val="24"/>
        </w:rPr>
        <w:t>The Code of Federal Regulations (</w:t>
      </w:r>
      <w:hyperlink r:id="rId13">
        <w:r>
          <w:rPr>
            <w:color w:val="0000FF"/>
            <w:sz w:val="24"/>
            <w:szCs w:val="24"/>
            <w:u w:val="single"/>
          </w:rPr>
          <w:t>50 CFR 600.415</w:t>
        </w:r>
      </w:hyperlink>
      <w:r>
        <w:rPr>
          <w:sz w:val="24"/>
          <w:szCs w:val="24"/>
        </w:rPr>
        <w:t>) specifies that access to confidential data collected by NMFS is restricted to the following:</w:t>
      </w:r>
    </w:p>
    <w:p w:rsidR="00974B03" w14:paraId="0000009A" w14:textId="77777777">
      <w:pPr>
        <w:rPr>
          <w:sz w:val="24"/>
          <w:szCs w:val="24"/>
        </w:rPr>
      </w:pPr>
    </w:p>
    <w:p w:rsidR="00974B03" w14:paraId="0000009B" w14:textId="77777777">
      <w:pPr>
        <w:tabs>
          <w:tab w:val="left" w:pos="360"/>
          <w:tab w:val="left" w:pos="720"/>
        </w:tabs>
        <w:ind w:left="720" w:hanging="720"/>
        <w:rPr>
          <w:sz w:val="24"/>
          <w:szCs w:val="24"/>
        </w:rPr>
      </w:pPr>
      <w:r>
        <w:rPr>
          <w:color w:val="0000FF"/>
          <w:sz w:val="24"/>
          <w:szCs w:val="24"/>
        </w:rPr>
        <w:tab/>
      </w:r>
      <w:r>
        <w:rPr>
          <w:sz w:val="24"/>
          <w:szCs w:val="24"/>
        </w:rPr>
        <w:t>♦</w:t>
      </w:r>
      <w:r>
        <w:rPr>
          <w:sz w:val="24"/>
          <w:szCs w:val="24"/>
        </w:rPr>
        <w:tab/>
        <w:t>Federal and Council employees responsible for collection and maintenance of the data, FMP development, monitoring or enforcement, or performing research that requires access to confidential statistics, or on a demonstrable need-to-know basis.</w:t>
      </w:r>
    </w:p>
    <w:p w:rsidR="00974B03" w14:paraId="0000009C" w14:textId="77777777">
      <w:pPr>
        <w:tabs>
          <w:tab w:val="left" w:pos="360"/>
          <w:tab w:val="left" w:pos="720"/>
        </w:tabs>
        <w:rPr>
          <w:sz w:val="24"/>
          <w:szCs w:val="24"/>
        </w:rPr>
      </w:pPr>
    </w:p>
    <w:p w:rsidR="00974B03" w14:paraId="0000009D" w14:textId="77777777">
      <w:pPr>
        <w:widowControl/>
        <w:tabs>
          <w:tab w:val="left" w:pos="360"/>
          <w:tab w:val="left" w:pos="720"/>
        </w:tabs>
        <w:ind w:left="720" w:hanging="720"/>
        <w:rPr>
          <w:sz w:val="24"/>
          <w:szCs w:val="24"/>
        </w:rPr>
      </w:pPr>
      <w:r>
        <w:rPr>
          <w:sz w:val="24"/>
          <w:szCs w:val="24"/>
        </w:rPr>
        <w:tab/>
        <w:t>♦</w:t>
      </w:r>
      <w:r>
        <w:rPr>
          <w:sz w:val="24"/>
          <w:szCs w:val="24"/>
        </w:rPr>
        <w:tab/>
        <w:t xml:space="preserve">NOAA/NMFS contractors or grantees who require access to confidential statistics to perform functions authorized by a Federal </w:t>
      </w:r>
      <w:r>
        <w:rPr>
          <w:sz w:val="24"/>
          <w:szCs w:val="24"/>
        </w:rPr>
        <w:t>contract or grant.</w:t>
      </w:r>
    </w:p>
    <w:p w:rsidR="00974B03" w14:paraId="0000009E" w14:textId="77777777">
      <w:pPr>
        <w:tabs>
          <w:tab w:val="left" w:pos="360"/>
          <w:tab w:val="left" w:pos="720"/>
        </w:tabs>
        <w:rPr>
          <w:sz w:val="24"/>
          <w:szCs w:val="24"/>
        </w:rPr>
      </w:pPr>
    </w:p>
    <w:p w:rsidR="00974B03" w14:paraId="0000009F" w14:textId="77777777">
      <w:pPr>
        <w:tabs>
          <w:tab w:val="left" w:pos="360"/>
          <w:tab w:val="left" w:pos="720"/>
        </w:tabs>
        <w:ind w:left="720" w:hanging="720"/>
        <w:rPr>
          <w:sz w:val="24"/>
          <w:szCs w:val="24"/>
        </w:rPr>
      </w:pPr>
      <w:r>
        <w:rPr>
          <w:sz w:val="24"/>
          <w:szCs w:val="24"/>
        </w:rPr>
        <w:tab/>
        <w:t>♦</w:t>
      </w:r>
      <w:r>
        <w:rPr>
          <w:sz w:val="24"/>
          <w:szCs w:val="24"/>
        </w:rPr>
        <w:tab/>
        <w:t xml:space="preserve">State personnel who demonstrate a need for confidential statistics for use in fishery conservation and management, provided that the State has entered an agreement to protect confidential data to a standard comparable to that required by the Magnuson-Stevens Act. </w:t>
      </w:r>
    </w:p>
    <w:p w:rsidR="00974B03" w14:paraId="000000A0" w14:textId="77777777">
      <w:pPr>
        <w:tabs>
          <w:tab w:val="left" w:pos="360"/>
          <w:tab w:val="left" w:pos="720"/>
        </w:tabs>
        <w:ind w:left="720" w:hanging="720"/>
        <w:rPr>
          <w:sz w:val="24"/>
          <w:szCs w:val="24"/>
        </w:rPr>
      </w:pPr>
    </w:p>
    <w:p w:rsidR="00974B03" w14:paraId="000000A1" w14:textId="77777777">
      <w:pPr>
        <w:tabs>
          <w:tab w:val="left" w:pos="360"/>
          <w:tab w:val="left" w:pos="720"/>
        </w:tabs>
        <w:rPr>
          <w:sz w:val="24"/>
          <w:szCs w:val="24"/>
        </w:rPr>
      </w:pPr>
      <w:r>
        <w:rPr>
          <w:sz w:val="24"/>
          <w:szCs w:val="24"/>
        </w:rPr>
        <w:t xml:space="preserve">The regulations further provide for granting access to Council members under conditions that are unlikely to be met in the case of these Chinook Salmon EDR data, and individual submitters may request that their own records be released to themselves or a third party. </w:t>
      </w:r>
    </w:p>
    <w:p w:rsidR="00974B03" w14:paraId="000000A2" w14:textId="77777777">
      <w:pPr>
        <w:tabs>
          <w:tab w:val="left" w:pos="360"/>
          <w:tab w:val="left" w:pos="720"/>
        </w:tabs>
        <w:rPr>
          <w:sz w:val="24"/>
          <w:szCs w:val="24"/>
        </w:rPr>
      </w:pPr>
    </w:p>
    <w:p w:rsidR="00974B03" w14:paraId="000000A3" w14:textId="1AB9AD27">
      <w:pPr>
        <w:tabs>
          <w:tab w:val="left" w:pos="360"/>
          <w:tab w:val="left" w:pos="720"/>
        </w:tabs>
        <w:rPr>
          <w:sz w:val="24"/>
          <w:szCs w:val="24"/>
        </w:rPr>
      </w:pPr>
      <w:r>
        <w:rPr>
          <w:sz w:val="24"/>
          <w:szCs w:val="24"/>
        </w:rPr>
        <w:t xml:space="preserve">In addition, the confidential proprietary data collected in this Chinook Salmon EDR meet the definition of trade secrets as defined in the </w:t>
      </w:r>
      <w:hyperlink r:id="rId14">
        <w:r>
          <w:rPr>
            <w:color w:val="0000FF"/>
            <w:sz w:val="24"/>
            <w:szCs w:val="24"/>
            <w:u w:val="single"/>
          </w:rPr>
          <w:t>Freedom of Information Act</w:t>
        </w:r>
      </w:hyperlink>
      <w:r>
        <w:rPr>
          <w:sz w:val="24"/>
          <w:szCs w:val="24"/>
        </w:rPr>
        <w:t xml:space="preserve"> (FOIA) (5 U.S.C. 552), and </w:t>
      </w:r>
      <w:hyperlink r:id="rId15">
        <w:r>
          <w:rPr>
            <w:color w:val="0000FF"/>
            <w:sz w:val="24"/>
            <w:szCs w:val="24"/>
            <w:u w:val="single"/>
          </w:rPr>
          <w:t>Trade Secrets Act</w:t>
        </w:r>
      </w:hyperlink>
      <w:r>
        <w:rPr>
          <w:sz w:val="24"/>
          <w:szCs w:val="24"/>
        </w:rPr>
        <w:t xml:space="preserve"> (18 U.S.C. 1905), and as such are exempted from disclosure of raw, un-aggregated data under FOIA. All individuals who are determined to be authorized for access to confidential data are required to sign and submit a nondisclosure agreement, affirming the user's understanding of NMFS’ obligations with respect to confidential data and the penalties for unauthorized use and disclosure. </w:t>
      </w:r>
      <w:hyperlink r:id="rId12">
        <w:r>
          <w:rPr>
            <w:color w:val="0000FF"/>
            <w:sz w:val="24"/>
            <w:szCs w:val="24"/>
            <w:u w:val="single"/>
          </w:rPr>
          <w:t xml:space="preserve">NOAA Administrative Order 216-100 </w:t>
        </w:r>
      </w:hyperlink>
      <w:r>
        <w:rPr>
          <w:sz w:val="24"/>
          <w:szCs w:val="24"/>
        </w:rPr>
        <w:t xml:space="preserve">is the principal legal guidance for NMFS’ employees on specific protocols for handling confidential data, including definitions, policies, operational responsibilities and procedures, penalties, and statutory authorities and requirements. </w:t>
      </w:r>
    </w:p>
    <w:p w:rsidR="00974B03" w14:paraId="000000A4" w14:textId="77777777">
      <w:pPr>
        <w:pBdr>
          <w:top w:val="nil"/>
          <w:left w:val="nil"/>
          <w:bottom w:val="nil"/>
          <w:right w:val="nil"/>
          <w:between w:val="nil"/>
        </w:pBdr>
        <w:rPr>
          <w:color w:val="000000"/>
          <w:sz w:val="24"/>
          <w:szCs w:val="24"/>
        </w:rPr>
      </w:pPr>
    </w:p>
    <w:p w:rsidR="00AC7A53" w:rsidRPr="00AC7A53" w:rsidP="00AC7A53" w14:paraId="06116C6B" w14:textId="22D7DCDF">
      <w:pPr>
        <w:rPr>
          <w:sz w:val="24"/>
          <w:szCs w:val="24"/>
        </w:rPr>
      </w:pPr>
      <w:r>
        <w:rPr>
          <w:color w:val="000000"/>
          <w:sz w:val="24"/>
          <w:szCs w:val="24"/>
        </w:rPr>
        <w:t xml:space="preserve">The system of records notice that covers this information collection is </w:t>
      </w:r>
      <w:hyperlink r:id="rId16">
        <w:r>
          <w:rPr>
            <w:color w:val="1155CC"/>
            <w:sz w:val="24"/>
            <w:szCs w:val="24"/>
            <w:u w:val="single"/>
          </w:rPr>
          <w:t>COMMERCE/NOAA #16, Economic Data Reports for Alaska Federally Regulated Fisheries off the Coast of Alaska</w:t>
        </w:r>
      </w:hyperlink>
      <w:r>
        <w:rPr>
          <w:color w:val="0000FF"/>
          <w:sz w:val="24"/>
          <w:szCs w:val="24"/>
          <w:u w:val="single"/>
        </w:rPr>
        <w:t xml:space="preserve">.  </w:t>
      </w:r>
      <w:r w:rsidRPr="00AC7A53">
        <w:rPr>
          <w:sz w:val="24"/>
          <w:szCs w:val="24"/>
        </w:rPr>
        <w:t xml:space="preserve">Consistent with OMB’s guidance implementing the Privacy Act of 1974, “an agency record-keeping system on firms it regulates may contain “records” (i.e., personal information) about officers of the firm incident to evaluating the firm’s performance.  Even though these are clearly “records” under the “control of” an agency, they would not be considered part of a system as defined by the Act unless the agency accessed them by reference to a personal identifier (name, etc.).  That is, if these hypothetical “records” are never retrieved except by reference to company identifier or some other nonpersonal indexing scheme (e.g., type of firm) they are not a part of a system of records.”  </w:t>
      </w:r>
      <w:r>
        <w:rPr>
          <w:sz w:val="24"/>
          <w:szCs w:val="24"/>
        </w:rPr>
        <w:t>T</w:t>
      </w:r>
      <w:r w:rsidRPr="00AC7A53">
        <w:rPr>
          <w:sz w:val="24"/>
          <w:szCs w:val="24"/>
        </w:rPr>
        <w:t>his guidance speaks directly to this scenario and suggests that while the information system certainly will collect and maintain personally identifiable information (PII), they are not maintained in a system of records.</w:t>
      </w:r>
    </w:p>
    <w:p w:rsidR="00974B03" w14:paraId="000000A6" w14:textId="77777777">
      <w:pPr>
        <w:pBdr>
          <w:top w:val="nil"/>
          <w:left w:val="nil"/>
          <w:bottom w:val="nil"/>
          <w:right w:val="nil"/>
          <w:between w:val="nil"/>
        </w:pBdr>
        <w:rPr>
          <w:color w:val="0000FF"/>
          <w:sz w:val="24"/>
          <w:szCs w:val="24"/>
          <w:u w:val="single"/>
        </w:rPr>
      </w:pPr>
    </w:p>
    <w:p w:rsidR="00974B03" w14:paraId="000000A7" w14:textId="77777777">
      <w:pPr>
        <w:pBdr>
          <w:top w:val="nil"/>
          <w:left w:val="nil"/>
          <w:bottom w:val="nil"/>
          <w:right w:val="nil"/>
          <w:between w:val="nil"/>
        </w:pBdr>
        <w:rPr>
          <w:color w:val="000000"/>
          <w:sz w:val="24"/>
          <w:szCs w:val="24"/>
        </w:rPr>
      </w:pPr>
      <w:r>
        <w:rPr>
          <w:color w:val="000000"/>
          <w:sz w:val="24"/>
          <w:szCs w:val="24"/>
        </w:rPr>
        <w:t xml:space="preserve">The Privacy Impact Assessment that covers this information collection is </w:t>
      </w:r>
      <w:hyperlink r:id="rId17">
        <w:r>
          <w:rPr>
            <w:color w:val="1155CC"/>
            <w:sz w:val="24"/>
            <w:szCs w:val="24"/>
            <w:u w:val="single"/>
          </w:rPr>
          <w:t>NOAA NMFS Alaska Region Local Area Network (NOAA4700)</w:t>
        </w:r>
      </w:hyperlink>
      <w:r>
        <w:rPr>
          <w:color w:val="000000"/>
          <w:sz w:val="24"/>
          <w:szCs w:val="24"/>
        </w:rPr>
        <w:t>.</w:t>
      </w:r>
    </w:p>
    <w:p w:rsidR="00974B03" w14:paraId="000000A8" w14:textId="77777777">
      <w:pPr>
        <w:tabs>
          <w:tab w:val="left" w:pos="360"/>
          <w:tab w:val="left" w:pos="720"/>
        </w:tabs>
        <w:rPr>
          <w:sz w:val="24"/>
          <w:szCs w:val="24"/>
        </w:rPr>
      </w:pPr>
    </w:p>
    <w:p w:rsidR="00974B03" w14:paraId="000000A9" w14:textId="77777777">
      <w:pPr>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 xml:space="preserve"> 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74B03" w14:paraId="000000AA" w14:textId="77777777">
      <w:pPr>
        <w:rPr>
          <w:sz w:val="24"/>
          <w:szCs w:val="24"/>
        </w:rPr>
      </w:pPr>
    </w:p>
    <w:p w:rsidR="00974B03" w14:paraId="000000AB" w14:textId="77777777">
      <w:pPr>
        <w:rPr>
          <w:sz w:val="24"/>
          <w:szCs w:val="24"/>
        </w:rPr>
      </w:pPr>
      <w:r>
        <w:rPr>
          <w:sz w:val="24"/>
          <w:szCs w:val="24"/>
        </w:rPr>
        <w:t>This information collection does not involve information of a sensitive nature.</w:t>
      </w:r>
    </w:p>
    <w:p w:rsidR="00974B03" w14:paraId="000000AC" w14:textId="77777777">
      <w:pPr>
        <w:rPr>
          <w:sz w:val="24"/>
          <w:szCs w:val="24"/>
        </w:rPr>
      </w:pPr>
    </w:p>
    <w:p w:rsidR="00974B03" w14:paraId="000000AD" w14:textId="77777777">
      <w:pPr>
        <w:keepNext/>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Provide estimates of the hour burden of the collection of information.</w:t>
      </w:r>
    </w:p>
    <w:p w:rsidR="00974B03" w14:paraId="000000AE" w14:textId="77777777">
      <w:pPr>
        <w:rPr>
          <w:sz w:val="24"/>
          <w:szCs w:val="24"/>
        </w:rPr>
      </w:pPr>
    </w:p>
    <w:p w:rsidR="00974B03" w14:paraId="000000AF" w14:textId="77777777">
      <w:pPr>
        <w:rPr>
          <w:sz w:val="24"/>
          <w:szCs w:val="24"/>
        </w:rPr>
      </w:pPr>
      <w:r>
        <w:rPr>
          <w:sz w:val="24"/>
          <w:szCs w:val="24"/>
        </w:rPr>
        <w:t>The Chinook Salmon EDR applies to all entities that receive pollock allocations under the AFA. The designated Data Collection Agent, Pacific States, maintains a database of survey submissions. Each submission constitutes a single response with completion of the CTR estimated at 40 hours due to its length while the Vessel Fuel Survey and the Vessel Master Survey are estimated to require 4 hours to complete. The estimated time per response includes time to respond to the data verification process if necessary</w:t>
      </w:r>
      <w:r>
        <w:rPr>
          <w:sz w:val="24"/>
          <w:szCs w:val="24"/>
        </w:rPr>
        <w:t>. Due to low Chinook salmon encounters in the pollock fishery and low Chinook salmon abundance, compensated transfers have not occurred in recent years and are not expected to occur over the 3-year extension period of this collection. This collection is estimated to have a total number of annual responses of 151 with total burden hours of 640 resulting in a total annual wage burden cost of $27,565. Responses will vary from year to year depending on fishing effort, which has declined in the Alaska pollock fi</w:t>
      </w:r>
      <w:r>
        <w:rPr>
          <w:sz w:val="24"/>
          <w:szCs w:val="24"/>
        </w:rPr>
        <w:t xml:space="preserve">shery in recent years due to poor fishing conditions with the fleet experiencing very small fish not suitable for fillet production and fish being more widely dispersed. </w:t>
      </w:r>
    </w:p>
    <w:p w:rsidR="00974B03" w14:paraId="000000B0" w14:textId="77777777">
      <w:pPr>
        <w:rPr>
          <w:sz w:val="24"/>
          <w:szCs w:val="24"/>
        </w:rPr>
      </w:pPr>
    </w:p>
    <w:p w:rsidR="00974B03" w14:paraId="000000B1" w14:textId="77777777">
      <w:pPr>
        <w:widowControl/>
        <w:ind w:hanging="43"/>
        <w:jc w:val="center"/>
        <w:rPr>
          <w:b/>
          <w:color w:val="FF0000"/>
          <w:sz w:val="24"/>
          <w:szCs w:val="24"/>
        </w:rPr>
      </w:pPr>
    </w:p>
    <w:tbl>
      <w:tblPr>
        <w:tblStyle w:val="a0"/>
        <w:tblW w:w="10399" w:type="dxa"/>
        <w:jc w:val="center"/>
        <w:tblLayout w:type="fixed"/>
        <w:tblLook w:val="0400"/>
      </w:tblPr>
      <w:tblGrid>
        <w:gridCol w:w="1632"/>
        <w:gridCol w:w="1186"/>
        <w:gridCol w:w="1186"/>
        <w:gridCol w:w="1026"/>
        <w:gridCol w:w="1098"/>
        <w:gridCol w:w="1152"/>
        <w:gridCol w:w="880"/>
        <w:gridCol w:w="1090"/>
        <w:gridCol w:w="1149"/>
      </w:tblGrid>
      <w:tr w14:paraId="32805411" w14:textId="77777777">
        <w:tblPrEx>
          <w:tblW w:w="10399" w:type="dxa"/>
          <w:jc w:val="center"/>
          <w:tblLayout w:type="fixed"/>
          <w:tblLook w:val="0400"/>
        </w:tblPrEx>
        <w:trPr>
          <w:trHeight w:val="1293"/>
          <w:jc w:val="center"/>
        </w:trPr>
        <w:tc>
          <w:tcPr>
            <w:tcW w:w="1632"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974B03" w14:paraId="000000B2"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Information Collection</w:t>
            </w:r>
          </w:p>
        </w:tc>
        <w:tc>
          <w:tcPr>
            <w:tcW w:w="1186" w:type="dxa"/>
            <w:tcBorders>
              <w:top w:val="single" w:sz="8" w:space="0" w:color="000000"/>
              <w:left w:val="nil"/>
              <w:bottom w:val="single" w:sz="8" w:space="0" w:color="000000"/>
              <w:right w:val="single" w:sz="8" w:space="0" w:color="000000"/>
            </w:tcBorders>
            <w:shd w:val="clear" w:color="auto" w:fill="BDD7EE"/>
            <w:vAlign w:val="center"/>
          </w:tcPr>
          <w:p w:rsidR="00974B03" w14:paraId="000000B3"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Type of Respondent (e.g., Occupational Title)</w:t>
            </w:r>
          </w:p>
        </w:tc>
        <w:tc>
          <w:tcPr>
            <w:tcW w:w="1186" w:type="dxa"/>
            <w:tcBorders>
              <w:top w:val="single" w:sz="8" w:space="0" w:color="000000"/>
              <w:left w:val="nil"/>
              <w:bottom w:val="single" w:sz="8" w:space="0" w:color="000000"/>
              <w:right w:val="single" w:sz="8" w:space="0" w:color="000000"/>
            </w:tcBorders>
            <w:shd w:val="clear" w:color="auto" w:fill="BDD7EE"/>
            <w:vAlign w:val="center"/>
          </w:tcPr>
          <w:p w:rsidR="00974B03" w14:paraId="000000B4"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of Respondents/year</w:t>
            </w:r>
            <w:r>
              <w:rPr>
                <w:rFonts w:ascii="Calibri" w:eastAsia="Calibri" w:hAnsi="Calibri" w:cs="Calibri"/>
                <w:b/>
                <w:color w:val="000000"/>
                <w:sz w:val="16"/>
                <w:szCs w:val="16"/>
              </w:rPr>
              <w:br/>
              <w:t>(a)</w:t>
            </w:r>
          </w:p>
        </w:tc>
        <w:tc>
          <w:tcPr>
            <w:tcW w:w="1026" w:type="dxa"/>
            <w:tcBorders>
              <w:top w:val="single" w:sz="8" w:space="0" w:color="000000"/>
              <w:left w:val="nil"/>
              <w:bottom w:val="single" w:sz="8" w:space="0" w:color="000000"/>
              <w:right w:val="single" w:sz="8" w:space="0" w:color="000000"/>
            </w:tcBorders>
            <w:shd w:val="clear" w:color="auto" w:fill="BDD7EE"/>
            <w:vAlign w:val="center"/>
          </w:tcPr>
          <w:p w:rsidR="00974B03" w14:paraId="000000B5"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Annual # of Responses / Respondent</w:t>
            </w:r>
            <w:r>
              <w:rPr>
                <w:rFonts w:ascii="Calibri" w:eastAsia="Calibri" w:hAnsi="Calibri" w:cs="Calibri"/>
                <w:b/>
                <w:color w:val="000000"/>
                <w:sz w:val="16"/>
                <w:szCs w:val="16"/>
              </w:rPr>
              <w:br/>
              <w:t>(b)</w:t>
            </w:r>
          </w:p>
        </w:tc>
        <w:tc>
          <w:tcPr>
            <w:tcW w:w="1098" w:type="dxa"/>
            <w:tcBorders>
              <w:top w:val="single" w:sz="8" w:space="0" w:color="000000"/>
              <w:left w:val="nil"/>
              <w:bottom w:val="single" w:sz="8" w:space="0" w:color="000000"/>
              <w:right w:val="single" w:sz="8" w:space="0" w:color="000000"/>
            </w:tcBorders>
            <w:shd w:val="clear" w:color="auto" w:fill="BDD7EE"/>
            <w:vAlign w:val="center"/>
          </w:tcPr>
          <w:p w:rsidR="00974B03" w14:paraId="000000B6"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 Total # of Annual Responses*</w:t>
            </w:r>
            <w:r>
              <w:rPr>
                <w:rFonts w:ascii="Calibri" w:eastAsia="Calibri" w:hAnsi="Calibri" w:cs="Calibri"/>
                <w:b/>
                <w:color w:val="000000"/>
                <w:sz w:val="16"/>
                <w:szCs w:val="16"/>
              </w:rPr>
              <w:br/>
              <w:t>(c) = (a) x (b)</w:t>
            </w:r>
          </w:p>
        </w:tc>
        <w:tc>
          <w:tcPr>
            <w:tcW w:w="1152" w:type="dxa"/>
            <w:tcBorders>
              <w:top w:val="single" w:sz="8" w:space="0" w:color="000000"/>
              <w:left w:val="nil"/>
              <w:bottom w:val="single" w:sz="8" w:space="0" w:color="000000"/>
              <w:right w:val="single" w:sz="8" w:space="0" w:color="000000"/>
            </w:tcBorders>
            <w:shd w:val="clear" w:color="auto" w:fill="BDD7EE"/>
            <w:vAlign w:val="center"/>
          </w:tcPr>
          <w:p w:rsidR="00974B03" w14:paraId="000000B7"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Burden </w:t>
            </w:r>
            <w:r>
              <w:rPr>
                <w:rFonts w:ascii="Calibri" w:eastAsia="Calibri" w:hAnsi="Calibri" w:cs="Calibri"/>
                <w:b/>
                <w:color w:val="000000"/>
                <w:sz w:val="16"/>
                <w:szCs w:val="16"/>
              </w:rPr>
              <w:t>Hrs</w:t>
            </w:r>
            <w:r>
              <w:rPr>
                <w:rFonts w:ascii="Calibri" w:eastAsia="Calibri" w:hAnsi="Calibri" w:cs="Calibri"/>
                <w:b/>
                <w:color w:val="000000"/>
                <w:sz w:val="16"/>
                <w:szCs w:val="16"/>
              </w:rPr>
              <w:t xml:space="preserve"> / Response</w:t>
            </w:r>
            <w:r>
              <w:rPr>
                <w:rFonts w:ascii="Calibri" w:eastAsia="Calibri" w:hAnsi="Calibri" w:cs="Calibri"/>
                <w:b/>
                <w:color w:val="000000"/>
                <w:sz w:val="16"/>
                <w:szCs w:val="16"/>
              </w:rPr>
              <w:br/>
              <w:t>(d)</w:t>
            </w:r>
          </w:p>
        </w:tc>
        <w:tc>
          <w:tcPr>
            <w:tcW w:w="880" w:type="dxa"/>
            <w:tcBorders>
              <w:top w:val="single" w:sz="8" w:space="0" w:color="000000"/>
              <w:left w:val="nil"/>
              <w:bottom w:val="single" w:sz="8" w:space="0" w:color="000000"/>
              <w:right w:val="single" w:sz="8" w:space="0" w:color="000000"/>
            </w:tcBorders>
            <w:shd w:val="clear" w:color="auto" w:fill="BDD7EE"/>
            <w:vAlign w:val="center"/>
          </w:tcPr>
          <w:p w:rsidR="00974B03" w14:paraId="000000B8"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Total Annual Burden </w:t>
            </w:r>
            <w:r>
              <w:rPr>
                <w:rFonts w:ascii="Calibri" w:eastAsia="Calibri" w:hAnsi="Calibri" w:cs="Calibri"/>
                <w:b/>
                <w:color w:val="000000"/>
                <w:sz w:val="16"/>
                <w:szCs w:val="16"/>
              </w:rPr>
              <w:t>Hrs</w:t>
            </w:r>
            <w:r>
              <w:rPr>
                <w:rFonts w:ascii="Calibri" w:eastAsia="Calibri" w:hAnsi="Calibri" w:cs="Calibri"/>
                <w:b/>
                <w:color w:val="000000"/>
                <w:sz w:val="16"/>
                <w:szCs w:val="16"/>
              </w:rPr>
              <w:br/>
            </w:r>
            <w:r>
              <w:rPr>
                <w:rFonts w:ascii="Calibri" w:eastAsia="Calibri" w:hAnsi="Calibri" w:cs="Calibri"/>
                <w:b/>
                <w:color w:val="000000"/>
                <w:sz w:val="16"/>
                <w:szCs w:val="16"/>
              </w:rPr>
              <w:t>(e) = (c) x (d)</w:t>
            </w:r>
          </w:p>
        </w:tc>
        <w:tc>
          <w:tcPr>
            <w:tcW w:w="1090" w:type="dxa"/>
            <w:tcBorders>
              <w:top w:val="single" w:sz="8" w:space="0" w:color="000000"/>
              <w:left w:val="nil"/>
              <w:bottom w:val="single" w:sz="8" w:space="0" w:color="000000"/>
              <w:right w:val="single" w:sz="8" w:space="0" w:color="000000"/>
            </w:tcBorders>
            <w:shd w:val="clear" w:color="auto" w:fill="BDD7EE"/>
            <w:vAlign w:val="center"/>
          </w:tcPr>
          <w:p w:rsidR="00974B03" w14:paraId="000000B9"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Hourly Wage Rate** (for Type of Respondent)</w:t>
            </w:r>
            <w:r>
              <w:rPr>
                <w:rFonts w:ascii="Calibri" w:eastAsia="Calibri" w:hAnsi="Calibri" w:cs="Calibri"/>
                <w:b/>
                <w:color w:val="000000"/>
                <w:sz w:val="16"/>
                <w:szCs w:val="16"/>
              </w:rPr>
              <w:br/>
              <w:t>(f)</w:t>
            </w:r>
          </w:p>
        </w:tc>
        <w:tc>
          <w:tcPr>
            <w:tcW w:w="1149" w:type="dxa"/>
            <w:tcBorders>
              <w:top w:val="single" w:sz="8" w:space="0" w:color="000000"/>
              <w:left w:val="nil"/>
              <w:bottom w:val="single" w:sz="8" w:space="0" w:color="000000"/>
              <w:right w:val="single" w:sz="8" w:space="0" w:color="000000"/>
            </w:tcBorders>
            <w:shd w:val="clear" w:color="auto" w:fill="BDD7EE"/>
            <w:vAlign w:val="center"/>
          </w:tcPr>
          <w:p w:rsidR="00974B03" w14:paraId="000000BA"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Annual Wage Burden Costs</w:t>
            </w:r>
            <w:r>
              <w:rPr>
                <w:rFonts w:ascii="Calibri" w:eastAsia="Calibri" w:hAnsi="Calibri" w:cs="Calibri"/>
                <w:b/>
                <w:color w:val="000000"/>
                <w:sz w:val="16"/>
                <w:szCs w:val="16"/>
              </w:rPr>
              <w:br/>
              <w:t>(g) = (e) x (f)</w:t>
            </w:r>
          </w:p>
        </w:tc>
      </w:tr>
      <w:tr w14:paraId="0025E2E7" w14:textId="77777777">
        <w:tblPrEx>
          <w:tblW w:w="10399" w:type="dxa"/>
          <w:jc w:val="center"/>
          <w:tblLayout w:type="fixed"/>
          <w:tblLook w:val="0400"/>
        </w:tblPrEx>
        <w:trPr>
          <w:trHeight w:val="590"/>
          <w:jc w:val="center"/>
        </w:trPr>
        <w:tc>
          <w:tcPr>
            <w:tcW w:w="1632" w:type="dxa"/>
            <w:tcBorders>
              <w:top w:val="nil"/>
              <w:left w:val="single" w:sz="8" w:space="0" w:color="000000"/>
              <w:bottom w:val="single" w:sz="4" w:space="0" w:color="000000"/>
              <w:right w:val="single" w:sz="4" w:space="0" w:color="000000"/>
            </w:tcBorders>
            <w:shd w:val="clear" w:color="auto" w:fill="auto"/>
            <w:vAlign w:val="center"/>
          </w:tcPr>
          <w:p w:rsidR="00974B03" w14:paraId="000000BB"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Compensated Transfer Report</w:t>
            </w:r>
          </w:p>
        </w:tc>
        <w:tc>
          <w:tcPr>
            <w:tcW w:w="1186" w:type="dxa"/>
            <w:tcBorders>
              <w:top w:val="nil"/>
              <w:left w:val="nil"/>
              <w:bottom w:val="single" w:sz="4" w:space="0" w:color="000000"/>
              <w:right w:val="single" w:sz="4" w:space="0" w:color="000000"/>
            </w:tcBorders>
            <w:shd w:val="clear" w:color="auto" w:fill="auto"/>
            <w:vAlign w:val="center"/>
          </w:tcPr>
          <w:p w:rsidR="00974B03" w14:paraId="000000BC" w14:textId="77777777">
            <w:pPr>
              <w:widowControl/>
              <w:jc w:val="center"/>
              <w:rPr>
                <w:rFonts w:ascii="Calibri" w:eastAsia="Calibri" w:hAnsi="Calibri" w:cs="Calibri"/>
                <w:color w:val="000000"/>
                <w:sz w:val="18"/>
                <w:szCs w:val="18"/>
              </w:rPr>
            </w:pPr>
            <w:r>
              <w:rPr>
                <w:rFonts w:ascii="Calibri" w:eastAsia="Calibri" w:hAnsi="Calibri" w:cs="Calibri"/>
                <w:color w:val="000000"/>
                <w:sz w:val="18"/>
                <w:szCs w:val="18"/>
              </w:rPr>
              <w:t> Accountant/Manager</w:t>
            </w:r>
          </w:p>
        </w:tc>
        <w:tc>
          <w:tcPr>
            <w:tcW w:w="1186" w:type="dxa"/>
            <w:tcBorders>
              <w:top w:val="nil"/>
              <w:left w:val="nil"/>
              <w:bottom w:val="single" w:sz="8" w:space="0" w:color="000000"/>
              <w:right w:val="single" w:sz="8" w:space="0" w:color="000000"/>
            </w:tcBorders>
            <w:shd w:val="clear" w:color="auto" w:fill="auto"/>
            <w:vAlign w:val="center"/>
          </w:tcPr>
          <w:p w:rsidR="00974B03" w14:paraId="000000BD" w14:textId="77777777">
            <w:pPr>
              <w:widowControl/>
              <w:jc w:val="center"/>
              <w:rPr>
                <w:rFonts w:ascii="Calibri" w:eastAsia="Calibri" w:hAnsi="Calibri" w:cs="Calibri"/>
                <w:color w:val="000000"/>
                <w:sz w:val="18"/>
                <w:szCs w:val="18"/>
              </w:rPr>
            </w:pPr>
            <w:r>
              <w:rPr>
                <w:rFonts w:ascii="Calibri" w:eastAsia="Calibri" w:hAnsi="Calibri" w:cs="Calibri"/>
                <w:color w:val="000000"/>
                <w:sz w:val="18"/>
                <w:szCs w:val="18"/>
              </w:rPr>
              <w:t>1</w:t>
            </w:r>
          </w:p>
        </w:tc>
        <w:tc>
          <w:tcPr>
            <w:tcW w:w="1026" w:type="dxa"/>
            <w:tcBorders>
              <w:top w:val="nil"/>
              <w:left w:val="nil"/>
              <w:bottom w:val="single" w:sz="8" w:space="0" w:color="000000"/>
              <w:right w:val="single" w:sz="8" w:space="0" w:color="000000"/>
            </w:tcBorders>
            <w:shd w:val="clear" w:color="auto" w:fill="auto"/>
            <w:vAlign w:val="center"/>
          </w:tcPr>
          <w:p w:rsidR="00974B03" w14:paraId="000000BE"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1</w:t>
            </w:r>
          </w:p>
        </w:tc>
        <w:tc>
          <w:tcPr>
            <w:tcW w:w="1098" w:type="dxa"/>
            <w:tcBorders>
              <w:top w:val="nil"/>
              <w:left w:val="nil"/>
              <w:bottom w:val="single" w:sz="8" w:space="0" w:color="000000"/>
              <w:right w:val="single" w:sz="8" w:space="0" w:color="000000"/>
            </w:tcBorders>
            <w:shd w:val="clear" w:color="auto" w:fill="auto"/>
            <w:vAlign w:val="center"/>
          </w:tcPr>
          <w:p w:rsidR="00974B03" w14:paraId="000000BF"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1</w:t>
            </w:r>
          </w:p>
        </w:tc>
        <w:tc>
          <w:tcPr>
            <w:tcW w:w="1152" w:type="dxa"/>
            <w:tcBorders>
              <w:top w:val="nil"/>
              <w:left w:val="nil"/>
              <w:bottom w:val="single" w:sz="8" w:space="0" w:color="000000"/>
              <w:right w:val="single" w:sz="8" w:space="0" w:color="000000"/>
            </w:tcBorders>
            <w:shd w:val="clear" w:color="auto" w:fill="auto"/>
            <w:vAlign w:val="center"/>
          </w:tcPr>
          <w:p w:rsidR="00974B03" w14:paraId="000000C0"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40</w:t>
            </w:r>
          </w:p>
        </w:tc>
        <w:tc>
          <w:tcPr>
            <w:tcW w:w="880" w:type="dxa"/>
            <w:tcBorders>
              <w:top w:val="nil"/>
              <w:left w:val="nil"/>
              <w:bottom w:val="single" w:sz="8" w:space="0" w:color="000000"/>
              <w:right w:val="single" w:sz="8" w:space="0" w:color="000000"/>
            </w:tcBorders>
            <w:shd w:val="clear" w:color="auto" w:fill="auto"/>
            <w:vAlign w:val="center"/>
          </w:tcPr>
          <w:p w:rsidR="00974B03" w14:paraId="000000C1"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40</w:t>
            </w:r>
          </w:p>
        </w:tc>
        <w:tc>
          <w:tcPr>
            <w:tcW w:w="1090" w:type="dxa"/>
            <w:tcBorders>
              <w:top w:val="nil"/>
              <w:left w:val="nil"/>
              <w:bottom w:val="single" w:sz="8" w:space="0" w:color="000000"/>
              <w:right w:val="single" w:sz="8" w:space="0" w:color="000000"/>
            </w:tcBorders>
            <w:shd w:val="clear" w:color="auto" w:fill="auto"/>
            <w:vAlign w:val="center"/>
          </w:tcPr>
          <w:p w:rsidR="00974B03" w14:paraId="000000C2"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w:t>
            </w:r>
            <w:r>
              <w:rPr>
                <w:rFonts w:ascii="Calibri" w:eastAsia="Calibri" w:hAnsi="Calibri" w:cs="Calibri"/>
                <w:sz w:val="18"/>
                <w:szCs w:val="18"/>
              </w:rPr>
              <w:t>43.07</w:t>
            </w:r>
            <w:r>
              <w:rPr>
                <w:rFonts w:ascii="Calibri" w:eastAsia="Calibri" w:hAnsi="Calibri" w:cs="Calibri"/>
                <w:color w:val="000000"/>
                <w:sz w:val="18"/>
                <w:szCs w:val="18"/>
              </w:rPr>
              <w:t xml:space="preserve"> </w:t>
            </w:r>
          </w:p>
        </w:tc>
        <w:tc>
          <w:tcPr>
            <w:tcW w:w="1149" w:type="dxa"/>
            <w:tcBorders>
              <w:top w:val="nil"/>
              <w:left w:val="nil"/>
              <w:bottom w:val="single" w:sz="8" w:space="0" w:color="000000"/>
              <w:right w:val="single" w:sz="8" w:space="0" w:color="000000"/>
            </w:tcBorders>
            <w:shd w:val="clear" w:color="auto" w:fill="auto"/>
            <w:vAlign w:val="center"/>
          </w:tcPr>
          <w:p w:rsidR="00974B03" w14:paraId="000000C3"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w:t>
            </w:r>
            <w:r>
              <w:rPr>
                <w:rFonts w:ascii="Calibri" w:eastAsia="Calibri" w:hAnsi="Calibri" w:cs="Calibri"/>
                <w:sz w:val="18"/>
                <w:szCs w:val="18"/>
              </w:rPr>
              <w:t>1,723</w:t>
            </w:r>
          </w:p>
        </w:tc>
      </w:tr>
      <w:tr w14:paraId="487E5969" w14:textId="77777777">
        <w:tblPrEx>
          <w:tblW w:w="10399" w:type="dxa"/>
          <w:jc w:val="center"/>
          <w:tblLayout w:type="fixed"/>
          <w:tblLook w:val="0400"/>
        </w:tblPrEx>
        <w:trPr>
          <w:trHeight w:val="590"/>
          <w:jc w:val="center"/>
        </w:trPr>
        <w:tc>
          <w:tcPr>
            <w:tcW w:w="1632" w:type="dxa"/>
            <w:tcBorders>
              <w:top w:val="nil"/>
              <w:left w:val="single" w:sz="8" w:space="0" w:color="000000"/>
              <w:bottom w:val="single" w:sz="4" w:space="0" w:color="000000"/>
              <w:right w:val="single" w:sz="4" w:space="0" w:color="000000"/>
            </w:tcBorders>
            <w:shd w:val="clear" w:color="auto" w:fill="auto"/>
            <w:vAlign w:val="center"/>
          </w:tcPr>
          <w:p w:rsidR="00974B03" w14:paraId="000000C4"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Vessel Fuel Survey</w:t>
            </w:r>
          </w:p>
        </w:tc>
        <w:tc>
          <w:tcPr>
            <w:tcW w:w="1186" w:type="dxa"/>
            <w:tcBorders>
              <w:top w:val="nil"/>
              <w:left w:val="nil"/>
              <w:bottom w:val="single" w:sz="4" w:space="0" w:color="000000"/>
              <w:right w:val="single" w:sz="4" w:space="0" w:color="000000"/>
            </w:tcBorders>
            <w:shd w:val="clear" w:color="auto" w:fill="auto"/>
            <w:vAlign w:val="center"/>
          </w:tcPr>
          <w:p w:rsidR="00974B03" w14:paraId="000000C5" w14:textId="77777777">
            <w:pPr>
              <w:widowControl/>
              <w:jc w:val="center"/>
              <w:rPr>
                <w:rFonts w:ascii="Calibri" w:eastAsia="Calibri" w:hAnsi="Calibri" w:cs="Calibri"/>
                <w:color w:val="000000"/>
                <w:sz w:val="18"/>
                <w:szCs w:val="18"/>
              </w:rPr>
            </w:pPr>
            <w:r>
              <w:rPr>
                <w:rFonts w:ascii="Calibri" w:eastAsia="Calibri" w:hAnsi="Calibri" w:cs="Calibri"/>
                <w:color w:val="000000"/>
                <w:sz w:val="18"/>
                <w:szCs w:val="18"/>
              </w:rPr>
              <w:t>Accountant/</w:t>
            </w:r>
          </w:p>
          <w:p w:rsidR="00974B03" w14:paraId="000000C6" w14:textId="77777777">
            <w:pPr>
              <w:widowControl/>
              <w:jc w:val="center"/>
              <w:rPr>
                <w:rFonts w:ascii="Calibri" w:eastAsia="Calibri" w:hAnsi="Calibri" w:cs="Calibri"/>
                <w:color w:val="000000"/>
                <w:sz w:val="18"/>
                <w:szCs w:val="18"/>
              </w:rPr>
            </w:pPr>
            <w:r>
              <w:rPr>
                <w:rFonts w:ascii="Calibri" w:eastAsia="Calibri" w:hAnsi="Calibri" w:cs="Calibri"/>
                <w:color w:val="000000"/>
                <w:sz w:val="18"/>
                <w:szCs w:val="18"/>
              </w:rPr>
              <w:t>Manager</w:t>
            </w:r>
          </w:p>
        </w:tc>
        <w:tc>
          <w:tcPr>
            <w:tcW w:w="1186" w:type="dxa"/>
            <w:tcBorders>
              <w:top w:val="nil"/>
              <w:left w:val="nil"/>
              <w:bottom w:val="single" w:sz="8" w:space="0" w:color="000000"/>
              <w:right w:val="single" w:sz="8" w:space="0" w:color="000000"/>
            </w:tcBorders>
            <w:shd w:val="clear" w:color="auto" w:fill="auto"/>
            <w:vAlign w:val="center"/>
          </w:tcPr>
          <w:p w:rsidR="00974B03" w14:paraId="000000C7"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53</w:t>
            </w:r>
          </w:p>
        </w:tc>
        <w:tc>
          <w:tcPr>
            <w:tcW w:w="1026" w:type="dxa"/>
            <w:tcBorders>
              <w:top w:val="nil"/>
              <w:left w:val="nil"/>
              <w:bottom w:val="single" w:sz="8" w:space="0" w:color="000000"/>
              <w:right w:val="single" w:sz="8" w:space="0" w:color="000000"/>
            </w:tcBorders>
            <w:shd w:val="clear" w:color="auto" w:fill="auto"/>
            <w:vAlign w:val="center"/>
          </w:tcPr>
          <w:p w:rsidR="00974B03" w14:paraId="000000C8"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1</w:t>
            </w:r>
          </w:p>
        </w:tc>
        <w:tc>
          <w:tcPr>
            <w:tcW w:w="1098" w:type="dxa"/>
            <w:tcBorders>
              <w:top w:val="nil"/>
              <w:left w:val="nil"/>
              <w:bottom w:val="single" w:sz="8" w:space="0" w:color="000000"/>
              <w:right w:val="single" w:sz="8" w:space="0" w:color="000000"/>
            </w:tcBorders>
            <w:shd w:val="clear" w:color="auto" w:fill="auto"/>
            <w:vAlign w:val="center"/>
          </w:tcPr>
          <w:p w:rsidR="00974B03" w14:paraId="000000C9"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53</w:t>
            </w:r>
          </w:p>
        </w:tc>
        <w:tc>
          <w:tcPr>
            <w:tcW w:w="1152" w:type="dxa"/>
            <w:tcBorders>
              <w:top w:val="nil"/>
              <w:left w:val="nil"/>
              <w:bottom w:val="single" w:sz="8" w:space="0" w:color="000000"/>
              <w:right w:val="single" w:sz="8" w:space="0" w:color="000000"/>
            </w:tcBorders>
            <w:shd w:val="clear" w:color="auto" w:fill="auto"/>
            <w:vAlign w:val="center"/>
          </w:tcPr>
          <w:p w:rsidR="00974B03" w14:paraId="000000CA"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4</w:t>
            </w:r>
          </w:p>
        </w:tc>
        <w:tc>
          <w:tcPr>
            <w:tcW w:w="880" w:type="dxa"/>
            <w:tcBorders>
              <w:top w:val="nil"/>
              <w:left w:val="nil"/>
              <w:bottom w:val="single" w:sz="8" w:space="0" w:color="000000"/>
              <w:right w:val="single" w:sz="8" w:space="0" w:color="000000"/>
            </w:tcBorders>
            <w:shd w:val="clear" w:color="auto" w:fill="auto"/>
            <w:vAlign w:val="center"/>
          </w:tcPr>
          <w:p w:rsidR="00974B03" w14:paraId="000000CB"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212</w:t>
            </w:r>
          </w:p>
        </w:tc>
        <w:tc>
          <w:tcPr>
            <w:tcW w:w="1090" w:type="dxa"/>
            <w:tcBorders>
              <w:top w:val="nil"/>
              <w:left w:val="nil"/>
              <w:bottom w:val="single" w:sz="8" w:space="0" w:color="000000"/>
              <w:right w:val="single" w:sz="8" w:space="0" w:color="000000"/>
            </w:tcBorders>
            <w:shd w:val="clear" w:color="auto" w:fill="auto"/>
            <w:vAlign w:val="center"/>
          </w:tcPr>
          <w:p w:rsidR="00974B03" w14:paraId="000000CC"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w:t>
            </w:r>
            <w:r>
              <w:rPr>
                <w:rFonts w:ascii="Calibri" w:eastAsia="Calibri" w:hAnsi="Calibri" w:cs="Calibri"/>
                <w:sz w:val="18"/>
                <w:szCs w:val="18"/>
              </w:rPr>
              <w:t>43.07</w:t>
            </w:r>
          </w:p>
        </w:tc>
        <w:tc>
          <w:tcPr>
            <w:tcW w:w="1149" w:type="dxa"/>
            <w:tcBorders>
              <w:top w:val="nil"/>
              <w:left w:val="nil"/>
              <w:bottom w:val="single" w:sz="8" w:space="0" w:color="000000"/>
              <w:right w:val="single" w:sz="8" w:space="0" w:color="000000"/>
            </w:tcBorders>
            <w:shd w:val="clear" w:color="auto" w:fill="auto"/>
            <w:vAlign w:val="center"/>
          </w:tcPr>
          <w:p w:rsidR="00974B03" w14:paraId="000000CD"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w:t>
            </w:r>
            <w:r>
              <w:rPr>
                <w:rFonts w:ascii="Calibri" w:eastAsia="Calibri" w:hAnsi="Calibri" w:cs="Calibri"/>
                <w:sz w:val="18"/>
                <w:szCs w:val="18"/>
              </w:rPr>
              <w:t>9,131</w:t>
            </w:r>
          </w:p>
        </w:tc>
      </w:tr>
      <w:tr w14:paraId="3238F267" w14:textId="77777777">
        <w:tblPrEx>
          <w:tblW w:w="10399" w:type="dxa"/>
          <w:jc w:val="center"/>
          <w:tblLayout w:type="fixed"/>
          <w:tblLook w:val="0400"/>
        </w:tblPrEx>
        <w:trPr>
          <w:trHeight w:val="590"/>
          <w:jc w:val="center"/>
        </w:trPr>
        <w:tc>
          <w:tcPr>
            <w:tcW w:w="1632" w:type="dxa"/>
            <w:tcBorders>
              <w:top w:val="nil"/>
              <w:left w:val="single" w:sz="8" w:space="0" w:color="000000"/>
              <w:bottom w:val="single" w:sz="4" w:space="0" w:color="000000"/>
              <w:right w:val="single" w:sz="4" w:space="0" w:color="000000"/>
            </w:tcBorders>
            <w:shd w:val="clear" w:color="auto" w:fill="auto"/>
            <w:vAlign w:val="center"/>
          </w:tcPr>
          <w:p w:rsidR="00974B03" w14:paraId="000000CE"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Vessel Master Survey</w:t>
            </w:r>
          </w:p>
        </w:tc>
        <w:tc>
          <w:tcPr>
            <w:tcW w:w="1186" w:type="dxa"/>
            <w:tcBorders>
              <w:top w:val="nil"/>
              <w:left w:val="nil"/>
              <w:bottom w:val="single" w:sz="4" w:space="0" w:color="000000"/>
              <w:right w:val="single" w:sz="4" w:space="0" w:color="000000"/>
            </w:tcBorders>
            <w:shd w:val="clear" w:color="auto" w:fill="auto"/>
            <w:vAlign w:val="center"/>
          </w:tcPr>
          <w:p w:rsidR="00974B03" w14:paraId="000000CF" w14:textId="77777777">
            <w:pPr>
              <w:widowControl/>
              <w:jc w:val="center"/>
              <w:rPr>
                <w:rFonts w:ascii="Calibri" w:eastAsia="Calibri" w:hAnsi="Calibri" w:cs="Calibri"/>
                <w:color w:val="000000"/>
                <w:sz w:val="18"/>
                <w:szCs w:val="18"/>
              </w:rPr>
            </w:pPr>
            <w:r>
              <w:rPr>
                <w:rFonts w:ascii="Calibri" w:eastAsia="Calibri" w:hAnsi="Calibri" w:cs="Calibri"/>
                <w:color w:val="000000"/>
                <w:sz w:val="18"/>
                <w:szCs w:val="18"/>
              </w:rPr>
              <w:t>Accountant/Manager</w:t>
            </w:r>
          </w:p>
        </w:tc>
        <w:tc>
          <w:tcPr>
            <w:tcW w:w="1186" w:type="dxa"/>
            <w:tcBorders>
              <w:top w:val="nil"/>
              <w:left w:val="nil"/>
              <w:bottom w:val="single" w:sz="8" w:space="0" w:color="000000"/>
              <w:right w:val="single" w:sz="8" w:space="0" w:color="000000"/>
            </w:tcBorders>
            <w:shd w:val="clear" w:color="auto" w:fill="auto"/>
            <w:vAlign w:val="center"/>
          </w:tcPr>
          <w:p w:rsidR="00974B03" w14:paraId="000000D0"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97</w:t>
            </w:r>
          </w:p>
        </w:tc>
        <w:tc>
          <w:tcPr>
            <w:tcW w:w="1026" w:type="dxa"/>
            <w:tcBorders>
              <w:top w:val="nil"/>
              <w:left w:val="nil"/>
              <w:bottom w:val="single" w:sz="8" w:space="0" w:color="000000"/>
              <w:right w:val="single" w:sz="8" w:space="0" w:color="000000"/>
            </w:tcBorders>
            <w:shd w:val="clear" w:color="auto" w:fill="auto"/>
            <w:vAlign w:val="center"/>
          </w:tcPr>
          <w:p w:rsidR="00974B03" w14:paraId="000000D1"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1</w:t>
            </w:r>
          </w:p>
        </w:tc>
        <w:tc>
          <w:tcPr>
            <w:tcW w:w="1098" w:type="dxa"/>
            <w:tcBorders>
              <w:top w:val="nil"/>
              <w:left w:val="nil"/>
              <w:bottom w:val="single" w:sz="8" w:space="0" w:color="000000"/>
              <w:right w:val="single" w:sz="8" w:space="0" w:color="000000"/>
            </w:tcBorders>
            <w:shd w:val="clear" w:color="auto" w:fill="auto"/>
            <w:vAlign w:val="center"/>
          </w:tcPr>
          <w:p w:rsidR="00974B03" w14:paraId="000000D2"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97</w:t>
            </w:r>
          </w:p>
        </w:tc>
        <w:tc>
          <w:tcPr>
            <w:tcW w:w="1152" w:type="dxa"/>
            <w:tcBorders>
              <w:top w:val="nil"/>
              <w:left w:val="nil"/>
              <w:bottom w:val="single" w:sz="8" w:space="0" w:color="000000"/>
              <w:right w:val="single" w:sz="8" w:space="0" w:color="000000"/>
            </w:tcBorders>
            <w:shd w:val="clear" w:color="auto" w:fill="auto"/>
            <w:vAlign w:val="center"/>
          </w:tcPr>
          <w:p w:rsidR="00974B03" w14:paraId="000000D3"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4</w:t>
            </w:r>
          </w:p>
        </w:tc>
        <w:tc>
          <w:tcPr>
            <w:tcW w:w="880" w:type="dxa"/>
            <w:tcBorders>
              <w:top w:val="nil"/>
              <w:left w:val="nil"/>
              <w:bottom w:val="single" w:sz="8" w:space="0" w:color="000000"/>
              <w:right w:val="single" w:sz="8" w:space="0" w:color="000000"/>
            </w:tcBorders>
            <w:shd w:val="clear" w:color="auto" w:fill="auto"/>
            <w:vAlign w:val="center"/>
          </w:tcPr>
          <w:p w:rsidR="00974B03" w14:paraId="000000D4"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388</w:t>
            </w:r>
          </w:p>
        </w:tc>
        <w:tc>
          <w:tcPr>
            <w:tcW w:w="1090" w:type="dxa"/>
            <w:tcBorders>
              <w:top w:val="nil"/>
              <w:left w:val="nil"/>
              <w:bottom w:val="single" w:sz="8" w:space="0" w:color="000000"/>
              <w:right w:val="single" w:sz="8" w:space="0" w:color="000000"/>
            </w:tcBorders>
            <w:shd w:val="clear" w:color="auto" w:fill="auto"/>
            <w:vAlign w:val="center"/>
          </w:tcPr>
          <w:p w:rsidR="00974B03" w14:paraId="000000D5"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w:t>
            </w:r>
            <w:r>
              <w:rPr>
                <w:rFonts w:ascii="Calibri" w:eastAsia="Calibri" w:hAnsi="Calibri" w:cs="Calibri"/>
                <w:sz w:val="18"/>
                <w:szCs w:val="18"/>
              </w:rPr>
              <w:t>43.07</w:t>
            </w:r>
          </w:p>
        </w:tc>
        <w:tc>
          <w:tcPr>
            <w:tcW w:w="1149" w:type="dxa"/>
            <w:tcBorders>
              <w:top w:val="nil"/>
              <w:left w:val="nil"/>
              <w:bottom w:val="single" w:sz="8" w:space="0" w:color="000000"/>
              <w:right w:val="single" w:sz="8" w:space="0" w:color="000000"/>
            </w:tcBorders>
            <w:shd w:val="clear" w:color="auto" w:fill="auto"/>
            <w:vAlign w:val="center"/>
          </w:tcPr>
          <w:p w:rsidR="00974B03" w14:paraId="000000D6" w14:textId="77777777">
            <w:pPr>
              <w:jc w:val="center"/>
              <w:rPr>
                <w:rFonts w:ascii="Calibri" w:eastAsia="Calibri" w:hAnsi="Calibri" w:cs="Calibri"/>
                <w:color w:val="000000"/>
                <w:sz w:val="18"/>
                <w:szCs w:val="18"/>
              </w:rPr>
            </w:pPr>
            <w:r>
              <w:rPr>
                <w:rFonts w:ascii="Calibri" w:eastAsia="Calibri" w:hAnsi="Calibri" w:cs="Calibri"/>
                <w:color w:val="000000"/>
                <w:sz w:val="18"/>
                <w:szCs w:val="18"/>
              </w:rPr>
              <w:t>$</w:t>
            </w:r>
            <w:r>
              <w:rPr>
                <w:rFonts w:ascii="Calibri" w:eastAsia="Calibri" w:hAnsi="Calibri" w:cs="Calibri"/>
                <w:sz w:val="18"/>
                <w:szCs w:val="18"/>
              </w:rPr>
              <w:t>16,711</w:t>
            </w:r>
          </w:p>
        </w:tc>
      </w:tr>
      <w:tr w14:paraId="4DB838CD" w14:textId="77777777">
        <w:tblPrEx>
          <w:tblW w:w="10399" w:type="dxa"/>
          <w:jc w:val="center"/>
          <w:tblLayout w:type="fixed"/>
          <w:tblLook w:val="0400"/>
        </w:tblPrEx>
        <w:trPr>
          <w:trHeight w:val="637"/>
          <w:jc w:val="center"/>
        </w:trPr>
        <w:tc>
          <w:tcPr>
            <w:tcW w:w="1632" w:type="dxa"/>
            <w:tcBorders>
              <w:top w:val="nil"/>
              <w:left w:val="single" w:sz="8" w:space="0" w:color="000000"/>
              <w:bottom w:val="single" w:sz="8" w:space="0" w:color="000000"/>
              <w:right w:val="single" w:sz="8" w:space="0" w:color="000000"/>
            </w:tcBorders>
            <w:shd w:val="clear" w:color="auto" w:fill="DDEBF7"/>
            <w:vAlign w:val="center"/>
          </w:tcPr>
          <w:p w:rsidR="00974B03" w14:paraId="000000D7" w14:textId="77777777">
            <w:pPr>
              <w:widowControl/>
              <w:rPr>
                <w:rFonts w:ascii="Calibri" w:eastAsia="Calibri" w:hAnsi="Calibri" w:cs="Calibri"/>
                <w:b/>
                <w:color w:val="000000"/>
              </w:rPr>
            </w:pPr>
            <w:r>
              <w:rPr>
                <w:rFonts w:ascii="Calibri" w:eastAsia="Calibri" w:hAnsi="Calibri" w:cs="Calibri"/>
                <w:b/>
                <w:color w:val="000000"/>
              </w:rPr>
              <w:t>Totals</w:t>
            </w:r>
          </w:p>
        </w:tc>
        <w:tc>
          <w:tcPr>
            <w:tcW w:w="1186" w:type="dxa"/>
            <w:tcBorders>
              <w:top w:val="nil"/>
              <w:left w:val="nil"/>
              <w:bottom w:val="single" w:sz="8" w:space="0" w:color="000000"/>
              <w:right w:val="single" w:sz="8" w:space="0" w:color="000000"/>
            </w:tcBorders>
            <w:shd w:val="clear" w:color="auto" w:fill="000000"/>
            <w:vAlign w:val="center"/>
          </w:tcPr>
          <w:p w:rsidR="00974B03" w14:paraId="000000D8" w14:textId="77777777">
            <w:pPr>
              <w:widowControl/>
              <w:rPr>
                <w:rFonts w:ascii="Calibri" w:eastAsia="Calibri" w:hAnsi="Calibri" w:cs="Calibri"/>
                <w:b/>
                <w:color w:val="000000"/>
              </w:rPr>
            </w:pPr>
            <w:r>
              <w:rPr>
                <w:rFonts w:ascii="Calibri" w:eastAsia="Calibri" w:hAnsi="Calibri" w:cs="Calibri"/>
                <w:b/>
                <w:color w:val="000000"/>
              </w:rPr>
              <w:t> </w:t>
            </w:r>
          </w:p>
        </w:tc>
        <w:tc>
          <w:tcPr>
            <w:tcW w:w="1186" w:type="dxa"/>
            <w:tcBorders>
              <w:top w:val="nil"/>
              <w:left w:val="nil"/>
              <w:bottom w:val="single" w:sz="8" w:space="0" w:color="000000"/>
              <w:right w:val="single" w:sz="8" w:space="0" w:color="000000"/>
            </w:tcBorders>
            <w:shd w:val="clear" w:color="auto" w:fill="000000"/>
            <w:vAlign w:val="center"/>
          </w:tcPr>
          <w:p w:rsidR="00974B03" w14:paraId="000000D9" w14:textId="77777777">
            <w:pPr>
              <w:widowControl/>
              <w:rPr>
                <w:rFonts w:ascii="Calibri" w:eastAsia="Calibri" w:hAnsi="Calibri" w:cs="Calibri"/>
                <w:b/>
                <w:color w:val="000000"/>
              </w:rPr>
            </w:pPr>
            <w:r>
              <w:rPr>
                <w:rFonts w:ascii="Calibri" w:eastAsia="Calibri" w:hAnsi="Calibri" w:cs="Calibri"/>
                <w:b/>
                <w:color w:val="000000"/>
              </w:rPr>
              <w:t> </w:t>
            </w:r>
          </w:p>
        </w:tc>
        <w:tc>
          <w:tcPr>
            <w:tcW w:w="1026" w:type="dxa"/>
            <w:tcBorders>
              <w:top w:val="nil"/>
              <w:left w:val="nil"/>
              <w:bottom w:val="single" w:sz="8" w:space="0" w:color="000000"/>
              <w:right w:val="single" w:sz="8" w:space="0" w:color="000000"/>
            </w:tcBorders>
            <w:shd w:val="clear" w:color="auto" w:fill="000000"/>
            <w:vAlign w:val="center"/>
          </w:tcPr>
          <w:p w:rsidR="00974B03" w14:paraId="000000DA" w14:textId="77777777">
            <w:pPr>
              <w:widowControl/>
              <w:rPr>
                <w:rFonts w:ascii="Calibri" w:eastAsia="Calibri" w:hAnsi="Calibri" w:cs="Calibri"/>
                <w:b/>
                <w:color w:val="000000"/>
              </w:rPr>
            </w:pPr>
            <w:r>
              <w:rPr>
                <w:rFonts w:ascii="Calibri" w:eastAsia="Calibri" w:hAnsi="Calibri" w:cs="Calibri"/>
                <w:b/>
                <w:color w:val="000000"/>
              </w:rPr>
              <w:t> </w:t>
            </w:r>
          </w:p>
        </w:tc>
        <w:tc>
          <w:tcPr>
            <w:tcW w:w="1098" w:type="dxa"/>
            <w:tcBorders>
              <w:top w:val="nil"/>
              <w:left w:val="nil"/>
              <w:bottom w:val="single" w:sz="8" w:space="0" w:color="000000"/>
              <w:right w:val="single" w:sz="8" w:space="0" w:color="000000"/>
            </w:tcBorders>
            <w:shd w:val="clear" w:color="auto" w:fill="DDEBF7"/>
            <w:vAlign w:val="center"/>
          </w:tcPr>
          <w:p w:rsidR="00974B03" w14:paraId="000000DB" w14:textId="77777777">
            <w:pPr>
              <w:widowControl/>
              <w:jc w:val="center"/>
              <w:rPr>
                <w:rFonts w:ascii="Calibri" w:eastAsia="Calibri" w:hAnsi="Calibri" w:cs="Calibri"/>
                <w:b/>
                <w:color w:val="000000"/>
                <w:sz w:val="22"/>
                <w:szCs w:val="22"/>
              </w:rPr>
            </w:pPr>
            <w:r>
              <w:rPr>
                <w:rFonts w:ascii="Calibri" w:eastAsia="Calibri" w:hAnsi="Calibri" w:cs="Calibri"/>
                <w:b/>
                <w:color w:val="000000"/>
                <w:sz w:val="22"/>
                <w:szCs w:val="22"/>
              </w:rPr>
              <w:t>151</w:t>
            </w:r>
          </w:p>
        </w:tc>
        <w:tc>
          <w:tcPr>
            <w:tcW w:w="1152" w:type="dxa"/>
            <w:tcBorders>
              <w:top w:val="nil"/>
              <w:left w:val="nil"/>
              <w:bottom w:val="single" w:sz="8" w:space="0" w:color="000000"/>
              <w:right w:val="single" w:sz="8" w:space="0" w:color="000000"/>
            </w:tcBorders>
            <w:shd w:val="clear" w:color="auto" w:fill="000000"/>
            <w:vAlign w:val="center"/>
          </w:tcPr>
          <w:p w:rsidR="00974B03" w14:paraId="000000DC" w14:textId="77777777">
            <w:pPr>
              <w:jc w:val="center"/>
              <w:rPr>
                <w:rFonts w:ascii="Calibri" w:eastAsia="Calibri" w:hAnsi="Calibri" w:cs="Calibri"/>
                <w:b/>
                <w:color w:val="000000"/>
                <w:sz w:val="22"/>
                <w:szCs w:val="22"/>
              </w:rPr>
            </w:pPr>
          </w:p>
        </w:tc>
        <w:tc>
          <w:tcPr>
            <w:tcW w:w="880" w:type="dxa"/>
            <w:tcBorders>
              <w:top w:val="nil"/>
              <w:left w:val="nil"/>
              <w:bottom w:val="single" w:sz="8" w:space="0" w:color="000000"/>
              <w:right w:val="single" w:sz="8" w:space="0" w:color="000000"/>
            </w:tcBorders>
            <w:shd w:val="clear" w:color="auto" w:fill="DDEBF7"/>
            <w:vAlign w:val="center"/>
          </w:tcPr>
          <w:p w:rsidR="00974B03" w14:paraId="000000DD" w14:textId="77777777">
            <w:pPr>
              <w:jc w:val="center"/>
              <w:rPr>
                <w:rFonts w:ascii="Calibri" w:eastAsia="Calibri" w:hAnsi="Calibri" w:cs="Calibri"/>
                <w:b/>
                <w:color w:val="000000"/>
                <w:sz w:val="22"/>
                <w:szCs w:val="22"/>
              </w:rPr>
            </w:pPr>
            <w:r>
              <w:rPr>
                <w:rFonts w:ascii="Calibri" w:eastAsia="Calibri" w:hAnsi="Calibri" w:cs="Calibri"/>
                <w:b/>
                <w:color w:val="000000"/>
                <w:sz w:val="22"/>
                <w:szCs w:val="22"/>
              </w:rPr>
              <w:t>640</w:t>
            </w:r>
          </w:p>
        </w:tc>
        <w:tc>
          <w:tcPr>
            <w:tcW w:w="1090" w:type="dxa"/>
            <w:tcBorders>
              <w:top w:val="nil"/>
              <w:left w:val="nil"/>
              <w:bottom w:val="single" w:sz="8" w:space="0" w:color="000000"/>
              <w:right w:val="single" w:sz="8" w:space="0" w:color="000000"/>
            </w:tcBorders>
            <w:shd w:val="clear" w:color="auto" w:fill="000000"/>
            <w:vAlign w:val="center"/>
          </w:tcPr>
          <w:p w:rsidR="00974B03" w14:paraId="000000DE" w14:textId="77777777">
            <w:pPr>
              <w:jc w:val="right"/>
              <w:rPr>
                <w:rFonts w:ascii="Calibri" w:eastAsia="Calibri" w:hAnsi="Calibri" w:cs="Calibri"/>
                <w:b/>
                <w:color w:val="000000"/>
                <w:sz w:val="22"/>
                <w:szCs w:val="22"/>
              </w:rPr>
            </w:pPr>
            <w:r>
              <w:rPr>
                <w:rFonts w:ascii="Calibri" w:eastAsia="Calibri" w:hAnsi="Calibri" w:cs="Calibri"/>
                <w:b/>
                <w:color w:val="000000"/>
                <w:sz w:val="22"/>
                <w:szCs w:val="22"/>
              </w:rPr>
              <w:t> </w:t>
            </w:r>
          </w:p>
        </w:tc>
        <w:tc>
          <w:tcPr>
            <w:tcW w:w="1149" w:type="dxa"/>
            <w:tcBorders>
              <w:top w:val="nil"/>
              <w:left w:val="nil"/>
              <w:bottom w:val="single" w:sz="8" w:space="0" w:color="000000"/>
              <w:right w:val="single" w:sz="8" w:space="0" w:color="000000"/>
            </w:tcBorders>
            <w:shd w:val="clear" w:color="auto" w:fill="DDEBF7"/>
            <w:vAlign w:val="center"/>
          </w:tcPr>
          <w:p w:rsidR="00974B03" w14:paraId="000000DF" w14:textId="77777777">
            <w:pPr>
              <w:jc w:val="center"/>
              <w:rPr>
                <w:rFonts w:ascii="Calibri" w:eastAsia="Calibri" w:hAnsi="Calibri" w:cs="Calibri"/>
                <w:b/>
                <w:color w:val="000000"/>
                <w:sz w:val="22"/>
                <w:szCs w:val="22"/>
              </w:rPr>
            </w:pPr>
            <w:r>
              <w:rPr>
                <w:rFonts w:ascii="Calibri" w:eastAsia="Calibri" w:hAnsi="Calibri" w:cs="Calibri"/>
                <w:b/>
                <w:color w:val="000000"/>
                <w:sz w:val="22"/>
                <w:szCs w:val="22"/>
              </w:rPr>
              <w:t>$2</w:t>
            </w:r>
            <w:r>
              <w:rPr>
                <w:rFonts w:ascii="Calibri" w:eastAsia="Calibri" w:hAnsi="Calibri" w:cs="Calibri"/>
                <w:b/>
                <w:sz w:val="22"/>
                <w:szCs w:val="22"/>
              </w:rPr>
              <w:t>7,565</w:t>
            </w:r>
          </w:p>
        </w:tc>
      </w:tr>
    </w:tbl>
    <w:p w:rsidR="00974B03" w14:paraId="000000E0" w14:textId="77777777">
      <w:pPr>
        <w:ind w:hanging="144"/>
        <w:rPr>
          <w:rFonts w:ascii="Calibri" w:eastAsia="Calibri" w:hAnsi="Calibri" w:cs="Calibri"/>
          <w:sz w:val="18"/>
          <w:szCs w:val="18"/>
        </w:rPr>
      </w:pPr>
      <w:r>
        <w:rPr>
          <w:rFonts w:ascii="Calibri" w:eastAsia="Calibri" w:hAnsi="Calibri" w:cs="Calibri"/>
          <w:b/>
          <w:sz w:val="18"/>
          <w:szCs w:val="18"/>
        </w:rPr>
        <w:t xml:space="preserve">* </w:t>
      </w:r>
      <w:r>
        <w:rPr>
          <w:rFonts w:ascii="Calibri" w:eastAsia="Calibri" w:hAnsi="Calibri" w:cs="Calibri"/>
          <w:sz w:val="18"/>
          <w:szCs w:val="18"/>
        </w:rPr>
        <w:t>Estimates are based on actual reporting.</w:t>
      </w:r>
    </w:p>
    <w:p w:rsidR="00974B03" w14:paraId="000000E1" w14:textId="545481F7">
      <w:pPr>
        <w:ind w:hanging="144"/>
        <w:rPr>
          <w:rFonts w:ascii="Calibri" w:eastAsia="Calibri" w:hAnsi="Calibri" w:cs="Calibri"/>
          <w:sz w:val="18"/>
          <w:szCs w:val="18"/>
        </w:rPr>
      </w:pPr>
      <w:r>
        <w:rPr>
          <w:rFonts w:ascii="Calibri" w:eastAsia="Calibri" w:hAnsi="Calibri" w:cs="Calibri"/>
          <w:b/>
          <w:sz w:val="18"/>
          <w:szCs w:val="18"/>
        </w:rPr>
        <w:t xml:space="preserve">** </w:t>
      </w:r>
      <w:r>
        <w:rPr>
          <w:rFonts w:ascii="Calibri" w:eastAsia="Calibri" w:hAnsi="Calibri" w:cs="Calibri"/>
          <w:sz w:val="18"/>
          <w:szCs w:val="18"/>
        </w:rPr>
        <w:t xml:space="preserve">Accountant/manager staff complete the EDR form and the U.S. Bureau of Labor Statistics </w:t>
      </w:r>
      <w:r>
        <w:rPr>
          <w:rFonts w:ascii="Calibri" w:eastAsia="Calibri" w:hAnsi="Calibri" w:cs="Calibri"/>
          <w:sz w:val="18"/>
          <w:szCs w:val="18"/>
        </w:rPr>
        <w:t xml:space="preserve">occupation code 13-2011 (Accountants and Auditors) mean average wage rate of $43.07 for Alaska is used to estimate burden hour respondent costs. The wage rate used is the most current rate available (May 2024) on the BLS website: </w:t>
      </w:r>
      <w:r>
        <w:rPr>
          <w:rFonts w:ascii="Calibri" w:eastAsia="Calibri" w:hAnsi="Calibri" w:cs="Calibri"/>
          <w:sz w:val="18"/>
          <w:szCs w:val="18"/>
        </w:rPr>
        <w:t>https://data.bls.gov/oes/#/area/0200000</w:t>
      </w:r>
      <w:r>
        <w:rPr>
          <w:rFonts w:ascii="Calibri" w:eastAsia="Calibri" w:hAnsi="Calibri" w:cs="Calibri"/>
          <w:color w:val="0000FF"/>
          <w:sz w:val="18"/>
          <w:szCs w:val="18"/>
          <w:u w:val="single"/>
        </w:rPr>
        <w:t>.</w:t>
      </w:r>
    </w:p>
    <w:p w:rsidR="00974B03" w14:paraId="000000E2" w14:textId="77777777">
      <w:pPr>
        <w:rPr>
          <w:sz w:val="24"/>
          <w:szCs w:val="24"/>
        </w:rPr>
      </w:pPr>
    </w:p>
    <w:p w:rsidR="00974B03" w14:paraId="000000E3" w14:textId="77777777">
      <w:pPr>
        <w:rPr>
          <w:sz w:val="24"/>
          <w:szCs w:val="24"/>
        </w:rPr>
      </w:pPr>
    </w:p>
    <w:p w:rsidR="00974B03" w14:paraId="000000E4" w14:textId="77777777">
      <w:pPr>
        <w:keepNext/>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Provide an estimate for the total annual cost burden to respondents or record keepers resulting from the collection of information. (Do not include the cost of any hour burden already reflected on the burden worksheet).</w:t>
      </w:r>
    </w:p>
    <w:p w:rsidR="00974B03" w14:paraId="000000E5" w14:textId="77777777">
      <w:pPr>
        <w:rPr>
          <w:sz w:val="24"/>
          <w:szCs w:val="24"/>
        </w:rPr>
      </w:pPr>
    </w:p>
    <w:p w:rsidR="00974B03" w14:paraId="000000E6" w14:textId="77777777">
      <w:pPr>
        <w:keepNext/>
        <w:pBdr>
          <w:top w:val="nil"/>
          <w:left w:val="nil"/>
          <w:bottom w:val="nil"/>
          <w:right w:val="nil"/>
          <w:between w:val="nil"/>
        </w:pBdr>
        <w:rPr>
          <w:color w:val="000000"/>
          <w:sz w:val="24"/>
          <w:szCs w:val="24"/>
        </w:rPr>
      </w:pPr>
      <w:r>
        <w:rPr>
          <w:color w:val="000000"/>
          <w:sz w:val="24"/>
          <w:szCs w:val="24"/>
        </w:rPr>
        <w:t xml:space="preserve">There are no capital/start-up or ongoing operation/maintenance costs associated with this information collection, as it is </w:t>
      </w:r>
      <w:r>
        <w:rPr>
          <w:sz w:val="24"/>
          <w:szCs w:val="24"/>
        </w:rPr>
        <w:t>an extension</w:t>
      </w:r>
      <w:r>
        <w:rPr>
          <w:color w:val="000000"/>
          <w:sz w:val="24"/>
          <w:szCs w:val="24"/>
        </w:rPr>
        <w:t xml:space="preserve"> of an existing collection, and equipment used is customary business equipment. </w:t>
      </w:r>
    </w:p>
    <w:p w:rsidR="00974B03" w14:paraId="000000E7" w14:textId="77777777">
      <w:pPr>
        <w:pBdr>
          <w:top w:val="nil"/>
          <w:left w:val="nil"/>
          <w:bottom w:val="nil"/>
          <w:right w:val="nil"/>
          <w:between w:val="nil"/>
        </w:pBdr>
        <w:rPr>
          <w:color w:val="000000"/>
          <w:sz w:val="24"/>
          <w:szCs w:val="24"/>
        </w:rPr>
      </w:pPr>
    </w:p>
    <w:p w:rsidR="00974B03" w14:paraId="000000E8" w14:textId="77777777">
      <w:pPr>
        <w:rPr>
          <w:sz w:val="24"/>
          <w:szCs w:val="24"/>
        </w:rPr>
      </w:pPr>
      <w:r>
        <w:rPr>
          <w:sz w:val="24"/>
          <w:szCs w:val="24"/>
        </w:rPr>
        <w:t>This collection does not require additional recordkeeping burden or additional record-keepers, as records already customarily maintained are used to complete the forms. This collection may involve the use of photocopying, faxes, mail, and online access estimated to be approximately $5 per respondent.</w:t>
      </w:r>
    </w:p>
    <w:p w:rsidR="00974B03" w14:paraId="000000E9" w14:textId="77777777">
      <w:pPr>
        <w:widowControl/>
        <w:pBdr>
          <w:top w:val="nil"/>
          <w:left w:val="nil"/>
          <w:bottom w:val="nil"/>
          <w:right w:val="nil"/>
          <w:between w:val="nil"/>
        </w:pBdr>
        <w:rPr>
          <w:b/>
          <w:color w:val="000000"/>
          <w:sz w:val="24"/>
          <w:szCs w:val="24"/>
        </w:rPr>
      </w:pPr>
    </w:p>
    <w:tbl>
      <w:tblPr>
        <w:tblStyle w:val="a1"/>
        <w:tblW w:w="9649" w:type="dxa"/>
        <w:tblInd w:w="-25" w:type="dxa"/>
        <w:tblLayout w:type="fixed"/>
        <w:tblLook w:val="0400"/>
      </w:tblPr>
      <w:tblGrid>
        <w:gridCol w:w="2211"/>
        <w:gridCol w:w="1314"/>
        <w:gridCol w:w="1560"/>
        <w:gridCol w:w="1437"/>
        <w:gridCol w:w="1690"/>
        <w:gridCol w:w="1437"/>
      </w:tblGrid>
      <w:tr w14:paraId="2F67F314" w14:textId="77777777">
        <w:tblPrEx>
          <w:tblW w:w="9649" w:type="dxa"/>
          <w:tblInd w:w="-25" w:type="dxa"/>
          <w:tblLayout w:type="fixed"/>
          <w:tblLook w:val="0400"/>
        </w:tblPrEx>
        <w:trPr>
          <w:trHeight w:val="915"/>
        </w:trPr>
        <w:tc>
          <w:tcPr>
            <w:tcW w:w="2211"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974B03" w14:paraId="000000EA" w14:textId="77777777">
            <w:pPr>
              <w:keepNext/>
              <w:keepLines/>
              <w:widowControl/>
              <w:jc w:val="center"/>
              <w:rPr>
                <w:rFonts w:ascii="Calibri" w:eastAsia="Calibri" w:hAnsi="Calibri" w:cs="Calibri"/>
                <w:b/>
                <w:color w:val="000000"/>
                <w:sz w:val="18"/>
                <w:szCs w:val="18"/>
              </w:rPr>
            </w:pPr>
            <w:r>
              <w:rPr>
                <w:rFonts w:ascii="Calibri" w:eastAsia="Calibri" w:hAnsi="Calibri" w:cs="Calibri"/>
                <w:b/>
                <w:color w:val="000000"/>
                <w:sz w:val="18"/>
                <w:szCs w:val="18"/>
              </w:rPr>
              <w:t>Information Collection</w:t>
            </w:r>
          </w:p>
        </w:tc>
        <w:tc>
          <w:tcPr>
            <w:tcW w:w="1314" w:type="dxa"/>
            <w:tcBorders>
              <w:top w:val="single" w:sz="8" w:space="0" w:color="000000"/>
              <w:left w:val="nil"/>
              <w:bottom w:val="single" w:sz="8" w:space="0" w:color="000000"/>
              <w:right w:val="single" w:sz="8" w:space="0" w:color="000000"/>
            </w:tcBorders>
            <w:shd w:val="clear" w:color="auto" w:fill="BDD7EE"/>
            <w:vAlign w:val="center"/>
          </w:tcPr>
          <w:p w:rsidR="00974B03" w14:paraId="000000EB" w14:textId="77777777">
            <w:pPr>
              <w:keepNext/>
              <w:keepLines/>
              <w:widowControl/>
              <w:jc w:val="center"/>
              <w:rPr>
                <w:rFonts w:ascii="Calibri" w:eastAsia="Calibri" w:hAnsi="Calibri" w:cs="Calibri"/>
                <w:b/>
                <w:color w:val="000000"/>
                <w:sz w:val="18"/>
                <w:szCs w:val="18"/>
              </w:rPr>
            </w:pPr>
            <w:r>
              <w:rPr>
                <w:rFonts w:ascii="Calibri" w:eastAsia="Calibri" w:hAnsi="Calibri" w:cs="Calibri"/>
                <w:b/>
                <w:color w:val="000000"/>
                <w:sz w:val="18"/>
                <w:szCs w:val="18"/>
              </w:rPr>
              <w:t># of Respondents/year</w:t>
            </w:r>
            <w:r>
              <w:rPr>
                <w:rFonts w:ascii="Calibri" w:eastAsia="Calibri" w:hAnsi="Calibri" w:cs="Calibri"/>
                <w:b/>
                <w:color w:val="000000"/>
                <w:sz w:val="18"/>
                <w:szCs w:val="18"/>
              </w:rPr>
              <w:br/>
              <w:t>(a)</w:t>
            </w:r>
          </w:p>
        </w:tc>
        <w:tc>
          <w:tcPr>
            <w:tcW w:w="1560" w:type="dxa"/>
            <w:tcBorders>
              <w:top w:val="single" w:sz="8" w:space="0" w:color="000000"/>
              <w:left w:val="nil"/>
              <w:bottom w:val="single" w:sz="8" w:space="0" w:color="000000"/>
              <w:right w:val="single" w:sz="8" w:space="0" w:color="000000"/>
            </w:tcBorders>
            <w:shd w:val="clear" w:color="auto" w:fill="BDD7EE"/>
            <w:vAlign w:val="center"/>
          </w:tcPr>
          <w:p w:rsidR="00974B03" w14:paraId="000000EC" w14:textId="77777777">
            <w:pPr>
              <w:keepNext/>
              <w:keepLines/>
              <w:widowControl/>
              <w:jc w:val="center"/>
              <w:rPr>
                <w:rFonts w:ascii="Calibri" w:eastAsia="Calibri" w:hAnsi="Calibri" w:cs="Calibri"/>
                <w:b/>
                <w:color w:val="000000"/>
                <w:sz w:val="18"/>
                <w:szCs w:val="18"/>
              </w:rPr>
            </w:pPr>
            <w:r>
              <w:rPr>
                <w:rFonts w:ascii="Calibri" w:eastAsia="Calibri" w:hAnsi="Calibri" w:cs="Calibri"/>
                <w:b/>
                <w:color w:val="000000"/>
                <w:sz w:val="18"/>
                <w:szCs w:val="18"/>
              </w:rPr>
              <w:t>Annual # of Responses / Respondent</w:t>
            </w:r>
            <w:r>
              <w:rPr>
                <w:rFonts w:ascii="Calibri" w:eastAsia="Calibri" w:hAnsi="Calibri" w:cs="Calibri"/>
                <w:b/>
                <w:color w:val="000000"/>
                <w:sz w:val="18"/>
                <w:szCs w:val="18"/>
              </w:rPr>
              <w:br/>
              <w:t>(b)</w:t>
            </w:r>
          </w:p>
        </w:tc>
        <w:tc>
          <w:tcPr>
            <w:tcW w:w="1437" w:type="dxa"/>
            <w:tcBorders>
              <w:top w:val="single" w:sz="8" w:space="0" w:color="000000"/>
              <w:left w:val="nil"/>
              <w:bottom w:val="single" w:sz="8" w:space="0" w:color="000000"/>
              <w:right w:val="single" w:sz="8" w:space="0" w:color="000000"/>
            </w:tcBorders>
            <w:shd w:val="clear" w:color="auto" w:fill="BDD7EE"/>
            <w:vAlign w:val="center"/>
          </w:tcPr>
          <w:p w:rsidR="00974B03" w14:paraId="000000ED" w14:textId="77777777">
            <w:pPr>
              <w:keepNext/>
              <w:keepLines/>
              <w:widowControl/>
              <w:jc w:val="center"/>
              <w:rPr>
                <w:rFonts w:ascii="Calibri" w:eastAsia="Calibri" w:hAnsi="Calibri" w:cs="Calibri"/>
                <w:b/>
                <w:color w:val="000000"/>
                <w:sz w:val="18"/>
                <w:szCs w:val="18"/>
              </w:rPr>
            </w:pPr>
            <w:r>
              <w:rPr>
                <w:rFonts w:ascii="Calibri" w:eastAsia="Calibri" w:hAnsi="Calibri" w:cs="Calibri"/>
                <w:b/>
                <w:color w:val="000000"/>
                <w:sz w:val="18"/>
                <w:szCs w:val="18"/>
              </w:rPr>
              <w:t xml:space="preserve"> Total # of Annual Responses</w:t>
            </w:r>
            <w:r>
              <w:rPr>
                <w:rFonts w:ascii="Calibri" w:eastAsia="Calibri" w:hAnsi="Calibri" w:cs="Calibri"/>
                <w:b/>
                <w:color w:val="000000"/>
                <w:sz w:val="18"/>
                <w:szCs w:val="18"/>
              </w:rPr>
              <w:br/>
              <w:t>(c) = (a) x (b)</w:t>
            </w:r>
          </w:p>
        </w:tc>
        <w:tc>
          <w:tcPr>
            <w:tcW w:w="1690" w:type="dxa"/>
            <w:tcBorders>
              <w:top w:val="single" w:sz="8" w:space="0" w:color="000000"/>
              <w:left w:val="nil"/>
              <w:bottom w:val="single" w:sz="8" w:space="0" w:color="000000"/>
              <w:right w:val="single" w:sz="8" w:space="0" w:color="000000"/>
            </w:tcBorders>
            <w:shd w:val="clear" w:color="auto" w:fill="BDD7EE"/>
            <w:vAlign w:val="center"/>
          </w:tcPr>
          <w:p w:rsidR="00974B03" w14:paraId="000000EE" w14:textId="77777777">
            <w:pPr>
              <w:keepNext/>
              <w:keepLines/>
              <w:widowControl/>
              <w:jc w:val="center"/>
              <w:rPr>
                <w:rFonts w:ascii="Calibri" w:eastAsia="Calibri" w:hAnsi="Calibri" w:cs="Calibri"/>
                <w:b/>
                <w:color w:val="000000"/>
                <w:sz w:val="18"/>
                <w:szCs w:val="18"/>
              </w:rPr>
            </w:pPr>
            <w:r>
              <w:rPr>
                <w:rFonts w:ascii="Calibri" w:eastAsia="Calibri" w:hAnsi="Calibri" w:cs="Calibri"/>
                <w:b/>
                <w:color w:val="000000"/>
                <w:sz w:val="18"/>
                <w:szCs w:val="18"/>
              </w:rPr>
              <w:t>Cost Burden / Respondent</w:t>
            </w:r>
            <w:r>
              <w:rPr>
                <w:rFonts w:ascii="Calibri" w:eastAsia="Calibri" w:hAnsi="Calibri" w:cs="Calibri"/>
                <w:b/>
                <w:color w:val="000000"/>
                <w:sz w:val="18"/>
                <w:szCs w:val="18"/>
              </w:rPr>
              <w:br/>
              <w:t>(h)</w:t>
            </w:r>
          </w:p>
        </w:tc>
        <w:tc>
          <w:tcPr>
            <w:tcW w:w="1437" w:type="dxa"/>
            <w:tcBorders>
              <w:top w:val="single" w:sz="8" w:space="0" w:color="000000"/>
              <w:left w:val="nil"/>
              <w:bottom w:val="single" w:sz="8" w:space="0" w:color="000000"/>
              <w:right w:val="single" w:sz="8" w:space="0" w:color="000000"/>
            </w:tcBorders>
            <w:shd w:val="clear" w:color="auto" w:fill="BDD7EE"/>
            <w:vAlign w:val="center"/>
          </w:tcPr>
          <w:p w:rsidR="00974B03" w14:paraId="000000EF" w14:textId="77777777">
            <w:pPr>
              <w:keepNext/>
              <w:keepLines/>
              <w:widowControl/>
              <w:jc w:val="center"/>
              <w:rPr>
                <w:rFonts w:ascii="Calibri" w:eastAsia="Calibri" w:hAnsi="Calibri" w:cs="Calibri"/>
                <w:b/>
                <w:color w:val="000000"/>
                <w:sz w:val="18"/>
                <w:szCs w:val="18"/>
              </w:rPr>
            </w:pPr>
            <w:r>
              <w:rPr>
                <w:rFonts w:ascii="Calibri" w:eastAsia="Calibri" w:hAnsi="Calibri" w:cs="Calibri"/>
                <w:b/>
                <w:color w:val="000000"/>
                <w:sz w:val="18"/>
                <w:szCs w:val="18"/>
              </w:rPr>
              <w:t>Total Annual Cost Burden</w:t>
            </w:r>
            <w:r>
              <w:rPr>
                <w:rFonts w:ascii="Calibri" w:eastAsia="Calibri" w:hAnsi="Calibri" w:cs="Calibri"/>
                <w:b/>
                <w:color w:val="000000"/>
                <w:sz w:val="18"/>
                <w:szCs w:val="18"/>
              </w:rPr>
              <w:br/>
              <w:t>(</w:t>
            </w:r>
            <w:r>
              <w:rPr>
                <w:rFonts w:ascii="Calibri" w:eastAsia="Calibri" w:hAnsi="Calibri" w:cs="Calibri"/>
                <w:b/>
                <w:color w:val="000000"/>
                <w:sz w:val="18"/>
                <w:szCs w:val="18"/>
              </w:rPr>
              <w:t>i</w:t>
            </w:r>
            <w:r>
              <w:rPr>
                <w:rFonts w:ascii="Calibri" w:eastAsia="Calibri" w:hAnsi="Calibri" w:cs="Calibri"/>
                <w:b/>
                <w:color w:val="000000"/>
                <w:sz w:val="18"/>
                <w:szCs w:val="18"/>
              </w:rPr>
              <w:t>) = (c) x (h)</w:t>
            </w:r>
          </w:p>
        </w:tc>
      </w:tr>
      <w:tr w14:paraId="41E5219A" w14:textId="77777777">
        <w:tblPrEx>
          <w:tblW w:w="9649" w:type="dxa"/>
          <w:tblInd w:w="-25" w:type="dxa"/>
          <w:tblLayout w:type="fixed"/>
          <w:tblLook w:val="0400"/>
        </w:tblPrEx>
        <w:trPr>
          <w:trHeight w:val="300"/>
        </w:trPr>
        <w:tc>
          <w:tcPr>
            <w:tcW w:w="2211" w:type="dxa"/>
            <w:tcBorders>
              <w:top w:val="nil"/>
              <w:left w:val="single" w:sz="4" w:space="0" w:color="000000"/>
              <w:bottom w:val="single" w:sz="4" w:space="0" w:color="000000"/>
              <w:right w:val="single" w:sz="4" w:space="0" w:color="000000"/>
            </w:tcBorders>
            <w:shd w:val="clear" w:color="auto" w:fill="auto"/>
            <w:vAlign w:val="center"/>
          </w:tcPr>
          <w:p w:rsidR="00974B03" w14:paraId="000000F0" w14:textId="77777777">
            <w:pPr>
              <w:keepNext/>
              <w:keepLines/>
              <w:widowControl/>
              <w:rPr>
                <w:rFonts w:ascii="Calibri" w:eastAsia="Calibri" w:hAnsi="Calibri" w:cs="Calibri"/>
                <w:color w:val="000000"/>
                <w:sz w:val="18"/>
                <w:szCs w:val="18"/>
              </w:rPr>
            </w:pPr>
            <w:r>
              <w:rPr>
                <w:rFonts w:ascii="Calibri" w:eastAsia="Calibri" w:hAnsi="Calibri" w:cs="Calibri"/>
                <w:color w:val="000000"/>
                <w:sz w:val="18"/>
                <w:szCs w:val="18"/>
              </w:rPr>
              <w:t>Compensated Transfer Report</w:t>
            </w:r>
          </w:p>
        </w:tc>
        <w:tc>
          <w:tcPr>
            <w:tcW w:w="1314" w:type="dxa"/>
            <w:tcBorders>
              <w:top w:val="nil"/>
              <w:left w:val="nil"/>
              <w:bottom w:val="single" w:sz="8" w:space="0" w:color="000000"/>
              <w:right w:val="single" w:sz="8" w:space="0" w:color="000000"/>
            </w:tcBorders>
            <w:shd w:val="clear" w:color="auto" w:fill="FFFFFF"/>
            <w:vAlign w:val="center"/>
          </w:tcPr>
          <w:p w:rsidR="00974B03" w14:paraId="000000F1" w14:textId="77777777">
            <w:pPr>
              <w:keepNext/>
              <w:keepLines/>
              <w:widowControl/>
              <w:jc w:val="center"/>
              <w:rPr>
                <w:rFonts w:ascii="Calibri" w:eastAsia="Calibri" w:hAnsi="Calibri" w:cs="Calibri"/>
                <w:color w:val="000000"/>
                <w:sz w:val="18"/>
                <w:szCs w:val="18"/>
              </w:rPr>
            </w:pPr>
            <w:r>
              <w:rPr>
                <w:rFonts w:ascii="Calibri" w:eastAsia="Calibri" w:hAnsi="Calibri" w:cs="Calibri"/>
                <w:color w:val="000000"/>
                <w:sz w:val="18"/>
                <w:szCs w:val="18"/>
              </w:rPr>
              <w:t>1</w:t>
            </w:r>
          </w:p>
        </w:tc>
        <w:tc>
          <w:tcPr>
            <w:tcW w:w="1560" w:type="dxa"/>
            <w:tcBorders>
              <w:top w:val="nil"/>
              <w:left w:val="nil"/>
              <w:bottom w:val="single" w:sz="8" w:space="0" w:color="000000"/>
              <w:right w:val="single" w:sz="8" w:space="0" w:color="000000"/>
            </w:tcBorders>
            <w:shd w:val="clear" w:color="auto" w:fill="FFFFFF"/>
            <w:vAlign w:val="center"/>
          </w:tcPr>
          <w:p w:rsidR="00974B03" w14:paraId="000000F2" w14:textId="77777777">
            <w:pPr>
              <w:keepNext/>
              <w:keepLines/>
              <w:jc w:val="center"/>
              <w:rPr>
                <w:rFonts w:ascii="Calibri" w:eastAsia="Calibri" w:hAnsi="Calibri" w:cs="Calibri"/>
                <w:color w:val="000000"/>
                <w:sz w:val="18"/>
                <w:szCs w:val="18"/>
              </w:rPr>
            </w:pPr>
            <w:r>
              <w:rPr>
                <w:rFonts w:ascii="Calibri" w:eastAsia="Calibri" w:hAnsi="Calibri" w:cs="Calibri"/>
                <w:color w:val="000000"/>
                <w:sz w:val="18"/>
                <w:szCs w:val="18"/>
              </w:rPr>
              <w:t>1</w:t>
            </w:r>
          </w:p>
        </w:tc>
        <w:tc>
          <w:tcPr>
            <w:tcW w:w="1437" w:type="dxa"/>
            <w:tcBorders>
              <w:top w:val="nil"/>
              <w:left w:val="nil"/>
              <w:bottom w:val="single" w:sz="8" w:space="0" w:color="000000"/>
              <w:right w:val="single" w:sz="8" w:space="0" w:color="000000"/>
            </w:tcBorders>
            <w:shd w:val="clear" w:color="auto" w:fill="FFFFFF"/>
            <w:vAlign w:val="center"/>
          </w:tcPr>
          <w:p w:rsidR="00974B03" w14:paraId="000000F3" w14:textId="77777777">
            <w:pPr>
              <w:keepNext/>
              <w:keepLines/>
              <w:jc w:val="center"/>
              <w:rPr>
                <w:rFonts w:ascii="Calibri" w:eastAsia="Calibri" w:hAnsi="Calibri" w:cs="Calibri"/>
                <w:color w:val="000000"/>
                <w:sz w:val="18"/>
                <w:szCs w:val="18"/>
              </w:rPr>
            </w:pPr>
            <w:r>
              <w:rPr>
                <w:rFonts w:ascii="Calibri" w:eastAsia="Calibri" w:hAnsi="Calibri" w:cs="Calibri"/>
                <w:color w:val="000000"/>
                <w:sz w:val="18"/>
                <w:szCs w:val="18"/>
              </w:rPr>
              <w:t>1</w:t>
            </w:r>
          </w:p>
        </w:tc>
        <w:tc>
          <w:tcPr>
            <w:tcW w:w="1690" w:type="dxa"/>
            <w:tcBorders>
              <w:top w:val="nil"/>
              <w:left w:val="nil"/>
              <w:bottom w:val="single" w:sz="8" w:space="0" w:color="000000"/>
              <w:right w:val="single" w:sz="8" w:space="0" w:color="000000"/>
            </w:tcBorders>
            <w:shd w:val="clear" w:color="auto" w:fill="FFFFFF"/>
            <w:vAlign w:val="center"/>
          </w:tcPr>
          <w:p w:rsidR="00974B03" w14:paraId="000000F4" w14:textId="77777777">
            <w:pPr>
              <w:keepNext/>
              <w:keepLines/>
              <w:jc w:val="center"/>
              <w:rPr>
                <w:rFonts w:ascii="Calibri" w:eastAsia="Calibri" w:hAnsi="Calibri" w:cs="Calibri"/>
                <w:color w:val="000000"/>
                <w:sz w:val="18"/>
                <w:szCs w:val="18"/>
              </w:rPr>
            </w:pPr>
            <w:r>
              <w:rPr>
                <w:rFonts w:ascii="Calibri" w:eastAsia="Calibri" w:hAnsi="Calibri" w:cs="Calibri"/>
                <w:color w:val="000000"/>
                <w:sz w:val="18"/>
                <w:szCs w:val="18"/>
              </w:rPr>
              <w:t xml:space="preserve">$0 </w:t>
            </w:r>
          </w:p>
        </w:tc>
        <w:tc>
          <w:tcPr>
            <w:tcW w:w="1437" w:type="dxa"/>
            <w:tcBorders>
              <w:top w:val="nil"/>
              <w:left w:val="nil"/>
              <w:bottom w:val="single" w:sz="8" w:space="0" w:color="000000"/>
              <w:right w:val="single" w:sz="8" w:space="0" w:color="000000"/>
            </w:tcBorders>
            <w:shd w:val="clear" w:color="auto" w:fill="FFFFFF"/>
            <w:vAlign w:val="center"/>
          </w:tcPr>
          <w:p w:rsidR="00974B03" w14:paraId="000000F5" w14:textId="77777777">
            <w:pPr>
              <w:keepNext/>
              <w:keepLines/>
              <w:jc w:val="right"/>
              <w:rPr>
                <w:rFonts w:ascii="Calibri" w:eastAsia="Calibri" w:hAnsi="Calibri" w:cs="Calibri"/>
                <w:color w:val="000000"/>
                <w:sz w:val="18"/>
                <w:szCs w:val="18"/>
              </w:rPr>
            </w:pPr>
            <w:r>
              <w:rPr>
                <w:rFonts w:ascii="Calibri" w:eastAsia="Calibri" w:hAnsi="Calibri" w:cs="Calibri"/>
                <w:color w:val="000000"/>
                <w:sz w:val="18"/>
                <w:szCs w:val="18"/>
              </w:rPr>
              <w:t>0</w:t>
            </w:r>
          </w:p>
        </w:tc>
      </w:tr>
      <w:tr w14:paraId="0E46FAE6" w14:textId="77777777">
        <w:tblPrEx>
          <w:tblW w:w="9649" w:type="dxa"/>
          <w:tblInd w:w="-25" w:type="dxa"/>
          <w:tblLayout w:type="fixed"/>
          <w:tblLook w:val="0400"/>
        </w:tblPrEx>
        <w:trPr>
          <w:trHeight w:val="300"/>
        </w:trPr>
        <w:tc>
          <w:tcPr>
            <w:tcW w:w="2211" w:type="dxa"/>
            <w:tcBorders>
              <w:top w:val="nil"/>
              <w:left w:val="single" w:sz="4" w:space="0" w:color="000000"/>
              <w:bottom w:val="single" w:sz="4" w:space="0" w:color="000000"/>
              <w:right w:val="single" w:sz="4" w:space="0" w:color="000000"/>
            </w:tcBorders>
            <w:shd w:val="clear" w:color="auto" w:fill="auto"/>
            <w:vAlign w:val="center"/>
          </w:tcPr>
          <w:p w:rsidR="00974B03" w14:paraId="000000F6" w14:textId="77777777">
            <w:pPr>
              <w:keepNext/>
              <w:keepLines/>
              <w:widowControl/>
              <w:rPr>
                <w:rFonts w:ascii="Calibri" w:eastAsia="Calibri" w:hAnsi="Calibri" w:cs="Calibri"/>
                <w:color w:val="000000"/>
                <w:sz w:val="18"/>
                <w:szCs w:val="18"/>
              </w:rPr>
            </w:pPr>
            <w:r>
              <w:rPr>
                <w:rFonts w:ascii="Calibri" w:eastAsia="Calibri" w:hAnsi="Calibri" w:cs="Calibri"/>
                <w:color w:val="000000"/>
                <w:sz w:val="18"/>
                <w:szCs w:val="18"/>
              </w:rPr>
              <w:t>Vessel Fuel Survey</w:t>
            </w:r>
          </w:p>
        </w:tc>
        <w:tc>
          <w:tcPr>
            <w:tcW w:w="1314" w:type="dxa"/>
            <w:tcBorders>
              <w:top w:val="nil"/>
              <w:left w:val="nil"/>
              <w:bottom w:val="single" w:sz="8" w:space="0" w:color="000000"/>
              <w:right w:val="single" w:sz="8" w:space="0" w:color="000000"/>
            </w:tcBorders>
            <w:shd w:val="clear" w:color="auto" w:fill="auto"/>
            <w:vAlign w:val="center"/>
          </w:tcPr>
          <w:p w:rsidR="00974B03" w14:paraId="000000F7" w14:textId="77777777">
            <w:pPr>
              <w:keepNext/>
              <w:keepLines/>
              <w:jc w:val="center"/>
              <w:rPr>
                <w:rFonts w:ascii="Calibri" w:eastAsia="Calibri" w:hAnsi="Calibri" w:cs="Calibri"/>
                <w:color w:val="000000"/>
                <w:sz w:val="18"/>
                <w:szCs w:val="18"/>
              </w:rPr>
            </w:pPr>
            <w:r>
              <w:rPr>
                <w:rFonts w:ascii="Calibri" w:eastAsia="Calibri" w:hAnsi="Calibri" w:cs="Calibri"/>
                <w:color w:val="000000"/>
                <w:sz w:val="18"/>
                <w:szCs w:val="18"/>
              </w:rPr>
              <w:t>53</w:t>
            </w:r>
          </w:p>
        </w:tc>
        <w:tc>
          <w:tcPr>
            <w:tcW w:w="1560" w:type="dxa"/>
            <w:tcBorders>
              <w:top w:val="nil"/>
              <w:left w:val="nil"/>
              <w:bottom w:val="single" w:sz="8" w:space="0" w:color="000000"/>
              <w:right w:val="single" w:sz="8" w:space="0" w:color="000000"/>
            </w:tcBorders>
            <w:shd w:val="clear" w:color="auto" w:fill="FFFFFF"/>
            <w:vAlign w:val="center"/>
          </w:tcPr>
          <w:p w:rsidR="00974B03" w14:paraId="000000F8" w14:textId="77777777">
            <w:pPr>
              <w:keepNext/>
              <w:keepLines/>
              <w:jc w:val="center"/>
              <w:rPr>
                <w:rFonts w:ascii="Calibri" w:eastAsia="Calibri" w:hAnsi="Calibri" w:cs="Calibri"/>
                <w:color w:val="000000"/>
                <w:sz w:val="18"/>
                <w:szCs w:val="18"/>
              </w:rPr>
            </w:pPr>
            <w:r>
              <w:rPr>
                <w:rFonts w:ascii="Calibri" w:eastAsia="Calibri" w:hAnsi="Calibri" w:cs="Calibri"/>
                <w:color w:val="000000"/>
                <w:sz w:val="18"/>
                <w:szCs w:val="18"/>
              </w:rPr>
              <w:t>1</w:t>
            </w:r>
          </w:p>
        </w:tc>
        <w:tc>
          <w:tcPr>
            <w:tcW w:w="1437" w:type="dxa"/>
            <w:tcBorders>
              <w:top w:val="nil"/>
              <w:left w:val="nil"/>
              <w:bottom w:val="single" w:sz="8" w:space="0" w:color="000000"/>
              <w:right w:val="single" w:sz="8" w:space="0" w:color="000000"/>
            </w:tcBorders>
            <w:shd w:val="clear" w:color="auto" w:fill="auto"/>
            <w:vAlign w:val="center"/>
          </w:tcPr>
          <w:p w:rsidR="00974B03" w14:paraId="000000F9" w14:textId="77777777">
            <w:pPr>
              <w:keepNext/>
              <w:keepLines/>
              <w:jc w:val="center"/>
              <w:rPr>
                <w:rFonts w:ascii="Calibri" w:eastAsia="Calibri" w:hAnsi="Calibri" w:cs="Calibri"/>
                <w:color w:val="000000"/>
                <w:sz w:val="18"/>
                <w:szCs w:val="18"/>
              </w:rPr>
            </w:pPr>
            <w:r>
              <w:rPr>
                <w:rFonts w:ascii="Calibri" w:eastAsia="Calibri" w:hAnsi="Calibri" w:cs="Calibri"/>
                <w:color w:val="000000"/>
                <w:sz w:val="18"/>
                <w:szCs w:val="18"/>
              </w:rPr>
              <w:t>53</w:t>
            </w:r>
          </w:p>
        </w:tc>
        <w:tc>
          <w:tcPr>
            <w:tcW w:w="1690" w:type="dxa"/>
            <w:tcBorders>
              <w:top w:val="nil"/>
              <w:left w:val="nil"/>
              <w:bottom w:val="single" w:sz="8" w:space="0" w:color="000000"/>
              <w:right w:val="single" w:sz="8" w:space="0" w:color="000000"/>
            </w:tcBorders>
            <w:shd w:val="clear" w:color="auto" w:fill="FFFFFF"/>
            <w:vAlign w:val="center"/>
          </w:tcPr>
          <w:p w:rsidR="00974B03" w14:paraId="000000FA" w14:textId="77777777">
            <w:pPr>
              <w:keepNext/>
              <w:keepLines/>
              <w:jc w:val="center"/>
              <w:rPr>
                <w:rFonts w:ascii="Calibri" w:eastAsia="Calibri" w:hAnsi="Calibri" w:cs="Calibri"/>
                <w:color w:val="000000"/>
                <w:sz w:val="18"/>
                <w:szCs w:val="18"/>
              </w:rPr>
            </w:pPr>
            <w:r>
              <w:rPr>
                <w:rFonts w:ascii="Calibri" w:eastAsia="Calibri" w:hAnsi="Calibri" w:cs="Calibri"/>
                <w:color w:val="000000"/>
                <w:sz w:val="18"/>
                <w:szCs w:val="18"/>
              </w:rPr>
              <w:t>Operating Costs: $5</w:t>
            </w:r>
          </w:p>
        </w:tc>
        <w:tc>
          <w:tcPr>
            <w:tcW w:w="1437" w:type="dxa"/>
            <w:tcBorders>
              <w:top w:val="nil"/>
              <w:left w:val="nil"/>
              <w:bottom w:val="single" w:sz="8" w:space="0" w:color="000000"/>
              <w:right w:val="single" w:sz="8" w:space="0" w:color="000000"/>
            </w:tcBorders>
            <w:shd w:val="clear" w:color="auto" w:fill="FFFFFF"/>
            <w:vAlign w:val="center"/>
          </w:tcPr>
          <w:p w:rsidR="00974B03" w14:paraId="000000FB" w14:textId="77777777">
            <w:pPr>
              <w:keepNext/>
              <w:keepLines/>
              <w:jc w:val="right"/>
              <w:rPr>
                <w:rFonts w:ascii="Calibri" w:eastAsia="Calibri" w:hAnsi="Calibri" w:cs="Calibri"/>
                <w:color w:val="000000"/>
                <w:sz w:val="18"/>
                <w:szCs w:val="18"/>
              </w:rPr>
            </w:pPr>
            <w:r>
              <w:rPr>
                <w:rFonts w:ascii="Calibri" w:eastAsia="Calibri" w:hAnsi="Calibri" w:cs="Calibri"/>
                <w:color w:val="000000"/>
                <w:sz w:val="18"/>
                <w:szCs w:val="18"/>
              </w:rPr>
              <w:t xml:space="preserve">$265 </w:t>
            </w:r>
          </w:p>
        </w:tc>
      </w:tr>
      <w:tr w14:paraId="5413F6E3" w14:textId="77777777">
        <w:tblPrEx>
          <w:tblW w:w="9649" w:type="dxa"/>
          <w:tblInd w:w="-25" w:type="dxa"/>
          <w:tblLayout w:type="fixed"/>
          <w:tblLook w:val="0400"/>
        </w:tblPrEx>
        <w:trPr>
          <w:trHeight w:val="300"/>
        </w:trPr>
        <w:tc>
          <w:tcPr>
            <w:tcW w:w="2211" w:type="dxa"/>
            <w:tcBorders>
              <w:top w:val="nil"/>
              <w:left w:val="single" w:sz="4" w:space="0" w:color="000000"/>
              <w:bottom w:val="single" w:sz="4" w:space="0" w:color="000000"/>
              <w:right w:val="single" w:sz="4" w:space="0" w:color="000000"/>
            </w:tcBorders>
            <w:shd w:val="clear" w:color="auto" w:fill="auto"/>
            <w:vAlign w:val="center"/>
          </w:tcPr>
          <w:p w:rsidR="00974B03" w14:paraId="000000FC" w14:textId="77777777">
            <w:pPr>
              <w:keepNext/>
              <w:keepLines/>
              <w:widowControl/>
              <w:rPr>
                <w:rFonts w:ascii="Calibri" w:eastAsia="Calibri" w:hAnsi="Calibri" w:cs="Calibri"/>
                <w:color w:val="000000"/>
                <w:sz w:val="18"/>
                <w:szCs w:val="18"/>
              </w:rPr>
            </w:pPr>
            <w:r>
              <w:rPr>
                <w:rFonts w:ascii="Calibri" w:eastAsia="Calibri" w:hAnsi="Calibri" w:cs="Calibri"/>
                <w:color w:val="000000"/>
                <w:sz w:val="18"/>
                <w:szCs w:val="18"/>
              </w:rPr>
              <w:t>Vessel Master Survey</w:t>
            </w:r>
          </w:p>
        </w:tc>
        <w:tc>
          <w:tcPr>
            <w:tcW w:w="1314" w:type="dxa"/>
            <w:tcBorders>
              <w:top w:val="nil"/>
              <w:left w:val="nil"/>
              <w:bottom w:val="single" w:sz="8" w:space="0" w:color="000000"/>
              <w:right w:val="single" w:sz="8" w:space="0" w:color="000000"/>
            </w:tcBorders>
            <w:shd w:val="clear" w:color="auto" w:fill="auto"/>
            <w:vAlign w:val="center"/>
          </w:tcPr>
          <w:p w:rsidR="00974B03" w14:paraId="000000FD" w14:textId="77777777">
            <w:pPr>
              <w:keepNext/>
              <w:keepLines/>
              <w:jc w:val="center"/>
              <w:rPr>
                <w:rFonts w:ascii="Calibri" w:eastAsia="Calibri" w:hAnsi="Calibri" w:cs="Calibri"/>
                <w:color w:val="000000"/>
                <w:sz w:val="18"/>
                <w:szCs w:val="18"/>
              </w:rPr>
            </w:pPr>
            <w:r>
              <w:rPr>
                <w:rFonts w:ascii="Calibri" w:eastAsia="Calibri" w:hAnsi="Calibri" w:cs="Calibri"/>
                <w:color w:val="000000"/>
                <w:sz w:val="18"/>
                <w:szCs w:val="18"/>
              </w:rPr>
              <w:t>97</w:t>
            </w:r>
          </w:p>
        </w:tc>
        <w:tc>
          <w:tcPr>
            <w:tcW w:w="1560" w:type="dxa"/>
            <w:tcBorders>
              <w:top w:val="nil"/>
              <w:left w:val="nil"/>
              <w:bottom w:val="single" w:sz="8" w:space="0" w:color="000000"/>
              <w:right w:val="single" w:sz="8" w:space="0" w:color="000000"/>
            </w:tcBorders>
            <w:shd w:val="clear" w:color="auto" w:fill="FFFFFF"/>
            <w:vAlign w:val="center"/>
          </w:tcPr>
          <w:p w:rsidR="00974B03" w14:paraId="000000FE" w14:textId="77777777">
            <w:pPr>
              <w:keepNext/>
              <w:keepLines/>
              <w:jc w:val="center"/>
              <w:rPr>
                <w:rFonts w:ascii="Calibri" w:eastAsia="Calibri" w:hAnsi="Calibri" w:cs="Calibri"/>
                <w:color w:val="000000"/>
                <w:sz w:val="18"/>
                <w:szCs w:val="18"/>
              </w:rPr>
            </w:pPr>
            <w:r>
              <w:rPr>
                <w:rFonts w:ascii="Calibri" w:eastAsia="Calibri" w:hAnsi="Calibri" w:cs="Calibri"/>
                <w:color w:val="000000"/>
                <w:sz w:val="18"/>
                <w:szCs w:val="18"/>
              </w:rPr>
              <w:t>1</w:t>
            </w:r>
          </w:p>
        </w:tc>
        <w:tc>
          <w:tcPr>
            <w:tcW w:w="1437" w:type="dxa"/>
            <w:tcBorders>
              <w:top w:val="nil"/>
              <w:left w:val="nil"/>
              <w:bottom w:val="single" w:sz="8" w:space="0" w:color="000000"/>
              <w:right w:val="single" w:sz="8" w:space="0" w:color="000000"/>
            </w:tcBorders>
            <w:shd w:val="clear" w:color="auto" w:fill="auto"/>
            <w:vAlign w:val="center"/>
          </w:tcPr>
          <w:p w:rsidR="00974B03" w14:paraId="000000FF" w14:textId="77777777">
            <w:pPr>
              <w:keepNext/>
              <w:keepLines/>
              <w:jc w:val="center"/>
              <w:rPr>
                <w:rFonts w:ascii="Calibri" w:eastAsia="Calibri" w:hAnsi="Calibri" w:cs="Calibri"/>
                <w:color w:val="000000"/>
                <w:sz w:val="18"/>
                <w:szCs w:val="18"/>
              </w:rPr>
            </w:pPr>
            <w:r>
              <w:rPr>
                <w:rFonts w:ascii="Calibri" w:eastAsia="Calibri" w:hAnsi="Calibri" w:cs="Calibri"/>
                <w:color w:val="000000"/>
                <w:sz w:val="18"/>
                <w:szCs w:val="18"/>
              </w:rPr>
              <w:t>97</w:t>
            </w:r>
          </w:p>
        </w:tc>
        <w:tc>
          <w:tcPr>
            <w:tcW w:w="1690" w:type="dxa"/>
            <w:tcBorders>
              <w:top w:val="nil"/>
              <w:left w:val="nil"/>
              <w:bottom w:val="single" w:sz="8" w:space="0" w:color="000000"/>
              <w:right w:val="single" w:sz="8" w:space="0" w:color="000000"/>
            </w:tcBorders>
            <w:shd w:val="clear" w:color="auto" w:fill="FFFFFF"/>
            <w:vAlign w:val="center"/>
          </w:tcPr>
          <w:p w:rsidR="00974B03" w14:paraId="00000100" w14:textId="77777777">
            <w:pPr>
              <w:keepNext/>
              <w:keepLines/>
              <w:jc w:val="center"/>
              <w:rPr>
                <w:rFonts w:ascii="Calibri" w:eastAsia="Calibri" w:hAnsi="Calibri" w:cs="Calibri"/>
                <w:color w:val="000000"/>
                <w:sz w:val="18"/>
                <w:szCs w:val="18"/>
              </w:rPr>
            </w:pPr>
            <w:r>
              <w:rPr>
                <w:rFonts w:ascii="Calibri" w:eastAsia="Calibri" w:hAnsi="Calibri" w:cs="Calibri"/>
                <w:color w:val="000000"/>
                <w:sz w:val="18"/>
                <w:szCs w:val="18"/>
              </w:rPr>
              <w:t>Operating Costs: $5</w:t>
            </w:r>
          </w:p>
        </w:tc>
        <w:tc>
          <w:tcPr>
            <w:tcW w:w="1437" w:type="dxa"/>
            <w:tcBorders>
              <w:top w:val="nil"/>
              <w:left w:val="nil"/>
              <w:bottom w:val="single" w:sz="8" w:space="0" w:color="000000"/>
              <w:right w:val="single" w:sz="8" w:space="0" w:color="000000"/>
            </w:tcBorders>
            <w:shd w:val="clear" w:color="auto" w:fill="FFFFFF"/>
            <w:vAlign w:val="center"/>
          </w:tcPr>
          <w:p w:rsidR="00974B03" w14:paraId="00000101" w14:textId="77777777">
            <w:pPr>
              <w:keepNext/>
              <w:keepLines/>
              <w:jc w:val="right"/>
              <w:rPr>
                <w:rFonts w:ascii="Calibri" w:eastAsia="Calibri" w:hAnsi="Calibri" w:cs="Calibri"/>
                <w:color w:val="000000"/>
                <w:sz w:val="18"/>
                <w:szCs w:val="18"/>
              </w:rPr>
            </w:pPr>
            <w:r>
              <w:rPr>
                <w:rFonts w:ascii="Calibri" w:eastAsia="Calibri" w:hAnsi="Calibri" w:cs="Calibri"/>
                <w:color w:val="000000"/>
                <w:sz w:val="18"/>
                <w:szCs w:val="18"/>
              </w:rPr>
              <w:t xml:space="preserve">$485 </w:t>
            </w:r>
          </w:p>
        </w:tc>
      </w:tr>
      <w:tr w14:paraId="1CF3382F" w14:textId="77777777">
        <w:tblPrEx>
          <w:tblW w:w="9649" w:type="dxa"/>
          <w:tblInd w:w="-25" w:type="dxa"/>
          <w:tblLayout w:type="fixed"/>
          <w:tblLook w:val="0400"/>
        </w:tblPrEx>
        <w:trPr>
          <w:trHeight w:val="315"/>
        </w:trPr>
        <w:tc>
          <w:tcPr>
            <w:tcW w:w="2211" w:type="dxa"/>
            <w:tcBorders>
              <w:top w:val="single" w:sz="8" w:space="0" w:color="000000"/>
              <w:left w:val="single" w:sz="8" w:space="0" w:color="000000"/>
              <w:bottom w:val="single" w:sz="8" w:space="0" w:color="000000"/>
              <w:right w:val="single" w:sz="4" w:space="0" w:color="000000"/>
            </w:tcBorders>
            <w:shd w:val="clear" w:color="auto" w:fill="DDEBF7"/>
            <w:vAlign w:val="center"/>
          </w:tcPr>
          <w:p w:rsidR="00974B03" w14:paraId="00000102" w14:textId="77777777">
            <w:pPr>
              <w:keepNext/>
              <w:keepLines/>
              <w:widowControl/>
              <w:jc w:val="right"/>
              <w:rPr>
                <w:rFonts w:ascii="Calibri" w:eastAsia="Calibri" w:hAnsi="Calibri" w:cs="Calibri"/>
                <w:b/>
                <w:color w:val="000000"/>
                <w:sz w:val="18"/>
                <w:szCs w:val="18"/>
              </w:rPr>
            </w:pPr>
            <w:r>
              <w:rPr>
                <w:rFonts w:ascii="Calibri" w:eastAsia="Calibri" w:hAnsi="Calibri" w:cs="Calibri"/>
                <w:b/>
                <w:color w:val="000000"/>
                <w:sz w:val="18"/>
                <w:szCs w:val="18"/>
              </w:rPr>
              <w:t>TOTALS</w:t>
            </w:r>
          </w:p>
        </w:tc>
        <w:tc>
          <w:tcPr>
            <w:tcW w:w="1314" w:type="dxa"/>
            <w:tcBorders>
              <w:top w:val="nil"/>
              <w:left w:val="nil"/>
              <w:bottom w:val="single" w:sz="8" w:space="0" w:color="000000"/>
              <w:right w:val="single" w:sz="8" w:space="0" w:color="000000"/>
            </w:tcBorders>
            <w:shd w:val="clear" w:color="auto" w:fill="DDEBF7"/>
            <w:vAlign w:val="center"/>
          </w:tcPr>
          <w:p w:rsidR="00974B03" w14:paraId="00000103" w14:textId="77777777">
            <w:pPr>
              <w:keepNext/>
              <w:keepLines/>
              <w:jc w:val="center"/>
              <w:rPr>
                <w:rFonts w:ascii="Calibri" w:eastAsia="Calibri" w:hAnsi="Calibri" w:cs="Calibri"/>
                <w:b/>
                <w:color w:val="000000"/>
                <w:sz w:val="18"/>
                <w:szCs w:val="18"/>
              </w:rPr>
            </w:pPr>
            <w:r>
              <w:rPr>
                <w:rFonts w:ascii="Calibri" w:eastAsia="Calibri" w:hAnsi="Calibri" w:cs="Calibri"/>
                <w:b/>
                <w:color w:val="000000"/>
                <w:sz w:val="18"/>
                <w:szCs w:val="18"/>
              </w:rPr>
              <w:t>151</w:t>
            </w:r>
          </w:p>
        </w:tc>
        <w:tc>
          <w:tcPr>
            <w:tcW w:w="1560" w:type="dxa"/>
            <w:tcBorders>
              <w:top w:val="nil"/>
              <w:left w:val="nil"/>
              <w:bottom w:val="single" w:sz="8" w:space="0" w:color="000000"/>
              <w:right w:val="single" w:sz="8" w:space="0" w:color="000000"/>
            </w:tcBorders>
            <w:shd w:val="clear" w:color="auto" w:fill="000000"/>
            <w:vAlign w:val="center"/>
          </w:tcPr>
          <w:p w:rsidR="00974B03" w14:paraId="00000104" w14:textId="77777777">
            <w:pPr>
              <w:keepNext/>
              <w:keepLines/>
              <w:jc w:val="center"/>
              <w:rPr>
                <w:rFonts w:ascii="Calibri" w:eastAsia="Calibri" w:hAnsi="Calibri" w:cs="Calibri"/>
                <w:b/>
                <w:color w:val="000000"/>
                <w:sz w:val="18"/>
                <w:szCs w:val="18"/>
              </w:rPr>
            </w:pPr>
          </w:p>
        </w:tc>
        <w:tc>
          <w:tcPr>
            <w:tcW w:w="1437" w:type="dxa"/>
            <w:tcBorders>
              <w:top w:val="nil"/>
              <w:left w:val="nil"/>
              <w:bottom w:val="single" w:sz="8" w:space="0" w:color="000000"/>
              <w:right w:val="single" w:sz="8" w:space="0" w:color="000000"/>
            </w:tcBorders>
            <w:shd w:val="clear" w:color="auto" w:fill="DDEBF7"/>
            <w:vAlign w:val="center"/>
          </w:tcPr>
          <w:p w:rsidR="00974B03" w14:paraId="00000105" w14:textId="77777777">
            <w:pPr>
              <w:keepNext/>
              <w:keepLines/>
              <w:jc w:val="center"/>
              <w:rPr>
                <w:rFonts w:ascii="Calibri" w:eastAsia="Calibri" w:hAnsi="Calibri" w:cs="Calibri"/>
                <w:b/>
                <w:color w:val="000000"/>
                <w:sz w:val="18"/>
                <w:szCs w:val="18"/>
              </w:rPr>
            </w:pPr>
            <w:r>
              <w:rPr>
                <w:rFonts w:ascii="Calibri" w:eastAsia="Calibri" w:hAnsi="Calibri" w:cs="Calibri"/>
                <w:b/>
                <w:color w:val="000000"/>
                <w:sz w:val="18"/>
                <w:szCs w:val="18"/>
              </w:rPr>
              <w:t>151</w:t>
            </w:r>
          </w:p>
        </w:tc>
        <w:tc>
          <w:tcPr>
            <w:tcW w:w="1690" w:type="dxa"/>
            <w:tcBorders>
              <w:top w:val="nil"/>
              <w:left w:val="nil"/>
              <w:bottom w:val="single" w:sz="8" w:space="0" w:color="000000"/>
              <w:right w:val="single" w:sz="8" w:space="0" w:color="000000"/>
            </w:tcBorders>
            <w:shd w:val="clear" w:color="auto" w:fill="000000"/>
            <w:vAlign w:val="center"/>
          </w:tcPr>
          <w:p w:rsidR="00974B03" w14:paraId="00000106" w14:textId="77777777">
            <w:pPr>
              <w:keepNext/>
              <w:keepLines/>
              <w:jc w:val="right"/>
              <w:rPr>
                <w:rFonts w:ascii="Calibri" w:eastAsia="Calibri" w:hAnsi="Calibri" w:cs="Calibri"/>
                <w:b/>
                <w:color w:val="000000"/>
                <w:sz w:val="18"/>
                <w:szCs w:val="18"/>
              </w:rPr>
            </w:pPr>
            <w:r>
              <w:rPr>
                <w:rFonts w:ascii="Calibri" w:eastAsia="Calibri" w:hAnsi="Calibri" w:cs="Calibri"/>
                <w:b/>
                <w:color w:val="000000"/>
                <w:sz w:val="18"/>
                <w:szCs w:val="18"/>
              </w:rPr>
              <w:t> </w:t>
            </w:r>
          </w:p>
        </w:tc>
        <w:tc>
          <w:tcPr>
            <w:tcW w:w="1437" w:type="dxa"/>
            <w:tcBorders>
              <w:top w:val="nil"/>
              <w:left w:val="nil"/>
              <w:bottom w:val="single" w:sz="8" w:space="0" w:color="000000"/>
              <w:right w:val="single" w:sz="8" w:space="0" w:color="000000"/>
            </w:tcBorders>
            <w:shd w:val="clear" w:color="auto" w:fill="DDEBF7"/>
            <w:vAlign w:val="center"/>
          </w:tcPr>
          <w:p w:rsidR="00974B03" w14:paraId="00000107" w14:textId="77777777">
            <w:pPr>
              <w:keepNext/>
              <w:keepLines/>
              <w:jc w:val="right"/>
              <w:rPr>
                <w:rFonts w:ascii="Calibri" w:eastAsia="Calibri" w:hAnsi="Calibri" w:cs="Calibri"/>
                <w:b/>
                <w:color w:val="000000"/>
                <w:sz w:val="18"/>
                <w:szCs w:val="18"/>
              </w:rPr>
            </w:pPr>
            <w:r>
              <w:rPr>
                <w:rFonts w:ascii="Calibri" w:eastAsia="Calibri" w:hAnsi="Calibri" w:cs="Calibri"/>
                <w:b/>
                <w:color w:val="000000"/>
                <w:sz w:val="18"/>
                <w:szCs w:val="18"/>
              </w:rPr>
              <w:t xml:space="preserve">$750 </w:t>
            </w:r>
          </w:p>
        </w:tc>
      </w:tr>
    </w:tbl>
    <w:p w:rsidR="00974B03" w14:paraId="00000108" w14:textId="77777777">
      <w:pPr>
        <w:widowControl/>
        <w:pBdr>
          <w:top w:val="nil"/>
          <w:left w:val="nil"/>
          <w:bottom w:val="nil"/>
          <w:right w:val="nil"/>
          <w:between w:val="nil"/>
        </w:pBdr>
        <w:rPr>
          <w:b/>
          <w:color w:val="000000"/>
          <w:sz w:val="24"/>
          <w:szCs w:val="24"/>
        </w:rPr>
      </w:pPr>
    </w:p>
    <w:p w:rsidR="00974B03" w14:paraId="00000109" w14:textId="77777777">
      <w:pPr>
        <w:rPr>
          <w:sz w:val="24"/>
          <w:szCs w:val="24"/>
        </w:rPr>
      </w:pPr>
    </w:p>
    <w:p w:rsidR="00974B03" w14:paraId="0000010A" w14:textId="77777777">
      <w:pPr>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 xml:space="preserve">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974B03" w14:paraId="0000010B" w14:textId="77777777">
      <w:pPr>
        <w:rPr>
          <w:sz w:val="24"/>
          <w:szCs w:val="24"/>
        </w:rPr>
      </w:pPr>
    </w:p>
    <w:p w:rsidR="00974B03" w14:paraId="0000010C" w14:textId="77777777">
      <w:pPr>
        <w:rPr>
          <w:sz w:val="24"/>
          <w:szCs w:val="24"/>
        </w:rPr>
      </w:pPr>
      <w:r>
        <w:rPr>
          <w:sz w:val="24"/>
          <w:szCs w:val="24"/>
        </w:rPr>
        <w:t xml:space="preserve">NMFS costs associated with data collection for the Chinook Salmon EDR are recoverable through program cost recovery fees. Under this cost recovery program, NMFS is authorized to collect direct program costs from the permit holders, including agency costs for administration of mandatory recordkeeping and reporting requirements associated with the limited access privilege program. Therefore, the estimated Federal oversight and contractor costs associated with administration of the Chinook Salmon EDR shown in </w:t>
      </w:r>
      <w:r>
        <w:rPr>
          <w:sz w:val="24"/>
          <w:szCs w:val="24"/>
        </w:rPr>
        <w:t xml:space="preserve">the table below do not impose a cost on the Federal Government. </w:t>
      </w:r>
    </w:p>
    <w:p w:rsidR="00974B03" w14:paraId="0000010D" w14:textId="77777777">
      <w:pPr>
        <w:rPr>
          <w:sz w:val="24"/>
          <w:szCs w:val="24"/>
        </w:rPr>
      </w:pPr>
    </w:p>
    <w:p w:rsidR="00974B03" w14:paraId="0000010E" w14:textId="77777777">
      <w:pPr>
        <w:rPr>
          <w:sz w:val="24"/>
          <w:szCs w:val="24"/>
        </w:rPr>
      </w:pPr>
      <w:r>
        <w:rPr>
          <w:sz w:val="24"/>
          <w:szCs w:val="24"/>
        </w:rPr>
        <w:t>These costs are actual costs for a Federal oversight economist’s proportion of time applied to this collection within the overall EDR Program. Costs for the contracted services of the Pacific States Marine Fisheries Commission administration of data collection are based on a firm fixed prices mechanism and are inclusive of salaries, fringe benefits, supplies, and other miscellaneous costs.</w:t>
      </w:r>
    </w:p>
    <w:p w:rsidR="00974B03" w14:paraId="0000010F" w14:textId="77777777">
      <w:pPr>
        <w:rPr>
          <w:sz w:val="24"/>
          <w:szCs w:val="24"/>
        </w:rPr>
      </w:pPr>
    </w:p>
    <w:p w:rsidR="00974B03" w14:paraId="00000110" w14:textId="77777777">
      <w:pPr>
        <w:rPr>
          <w:sz w:val="24"/>
          <w:szCs w:val="24"/>
        </w:rPr>
      </w:pPr>
      <w:r>
        <w:rPr>
          <w:sz w:val="24"/>
          <w:szCs w:val="24"/>
        </w:rPr>
        <w:t xml:space="preserve">The Commerce Alternative Personnel System (CAPS) pay tables at </w:t>
      </w:r>
      <w:hyperlink r:id="rId18">
        <w:r>
          <w:rPr>
            <w:color w:val="1155CC"/>
            <w:sz w:val="24"/>
            <w:szCs w:val="24"/>
            <w:u w:val="single"/>
          </w:rPr>
          <w:t>https://www.commerce.gov/sites/default/files/2024-01/CAPS_rpStandard_2024.pdf</w:t>
        </w:r>
      </w:hyperlink>
      <w:r>
        <w:rPr>
          <w:sz w:val="24"/>
          <w:szCs w:val="24"/>
        </w:rPr>
        <w:t xml:space="preserve"> were used to determine the base salary for a ZP-III Interval 3.  A multiplier of 1.5 was used to calculate the loaded salary.</w:t>
      </w:r>
    </w:p>
    <w:p w:rsidR="00974B03" w14:paraId="00000111" w14:textId="77777777">
      <w:pPr>
        <w:rPr>
          <w:sz w:val="24"/>
          <w:szCs w:val="24"/>
        </w:rPr>
      </w:pPr>
    </w:p>
    <w:p w:rsidR="00974B03" w14:paraId="00000113" w14:textId="77777777">
      <w:pPr>
        <w:rPr>
          <w:sz w:val="24"/>
          <w:szCs w:val="24"/>
        </w:rPr>
      </w:pPr>
      <w:r>
        <w:rPr>
          <w:sz w:val="24"/>
          <w:szCs w:val="24"/>
        </w:rPr>
        <w:t>Section 303A(c)(9)(e) of the Magnuson-Stevens Act authorizes NMFS to implement a fee on the permit holders in the AFA Program to recover the costs of management, data collection and analyses, and enforcement activities for the program. The Chinook Salmon EDR falls under the category of costs that are recovered from participants in the AFA Program. Under this program, all Federal and contractor costs for the Chinook Salmon EDR are recovered and deposited into the U.S. Treasury. Therefore, the costs to the Fe</w:t>
      </w:r>
      <w:r>
        <w:rPr>
          <w:sz w:val="24"/>
          <w:szCs w:val="24"/>
        </w:rPr>
        <w:t>deral government for this information collection program are zero.</w:t>
      </w:r>
    </w:p>
    <w:p w:rsidR="00974B03" w14:paraId="00000114" w14:textId="77777777">
      <w:pPr>
        <w:rPr>
          <w:sz w:val="24"/>
          <w:szCs w:val="24"/>
        </w:rPr>
      </w:pPr>
    </w:p>
    <w:tbl>
      <w:tblPr>
        <w:tblStyle w:val="a2"/>
        <w:tblW w:w="10399" w:type="dxa"/>
        <w:jc w:val="center"/>
        <w:tblLayout w:type="fixed"/>
        <w:tblLook w:val="0400"/>
      </w:tblPr>
      <w:tblGrid>
        <w:gridCol w:w="2368"/>
        <w:gridCol w:w="1593"/>
        <w:gridCol w:w="1706"/>
        <w:gridCol w:w="1432"/>
        <w:gridCol w:w="1585"/>
        <w:gridCol w:w="1715"/>
      </w:tblGrid>
      <w:tr w14:paraId="39BF351F" w14:textId="77777777">
        <w:tblPrEx>
          <w:tblW w:w="10399" w:type="dxa"/>
          <w:jc w:val="center"/>
          <w:tblLayout w:type="fixed"/>
          <w:tblLook w:val="0400"/>
        </w:tblPrEx>
        <w:trPr>
          <w:trHeight w:val="493"/>
          <w:jc w:val="center"/>
        </w:trPr>
        <w:tc>
          <w:tcPr>
            <w:tcW w:w="2368" w:type="dxa"/>
            <w:tcBorders>
              <w:top w:val="single" w:sz="8" w:space="0" w:color="000000"/>
              <w:left w:val="single" w:sz="8" w:space="0" w:color="000000"/>
              <w:bottom w:val="nil"/>
              <w:right w:val="single" w:sz="8" w:space="0" w:color="000000"/>
            </w:tcBorders>
            <w:shd w:val="clear" w:color="auto" w:fill="BDD7EE"/>
            <w:vAlign w:val="center"/>
          </w:tcPr>
          <w:p w:rsidR="00974B03" w14:paraId="00000115" w14:textId="77777777">
            <w:pPr>
              <w:widowControl/>
              <w:jc w:val="center"/>
              <w:rPr>
                <w:rFonts w:ascii="Calibri" w:eastAsia="Calibri" w:hAnsi="Calibri" w:cs="Calibri"/>
                <w:b/>
                <w:color w:val="000000"/>
                <w:sz w:val="18"/>
                <w:szCs w:val="18"/>
              </w:rPr>
            </w:pPr>
            <w:r>
              <w:rPr>
                <w:rFonts w:ascii="Calibri" w:eastAsia="Calibri" w:hAnsi="Calibri" w:cs="Calibri"/>
                <w:b/>
                <w:color w:val="000000"/>
                <w:sz w:val="18"/>
                <w:szCs w:val="18"/>
              </w:rPr>
              <w:t>Cost Descriptions</w:t>
            </w:r>
          </w:p>
        </w:tc>
        <w:tc>
          <w:tcPr>
            <w:tcW w:w="1593" w:type="dxa"/>
            <w:tcBorders>
              <w:top w:val="single" w:sz="8" w:space="0" w:color="000000"/>
              <w:left w:val="nil"/>
              <w:bottom w:val="nil"/>
              <w:right w:val="single" w:sz="8" w:space="0" w:color="000000"/>
            </w:tcBorders>
            <w:shd w:val="clear" w:color="auto" w:fill="BDD7EE"/>
            <w:vAlign w:val="center"/>
          </w:tcPr>
          <w:p w:rsidR="00974B03" w14:paraId="00000116" w14:textId="77777777">
            <w:pPr>
              <w:widowControl/>
              <w:jc w:val="center"/>
              <w:rPr>
                <w:rFonts w:ascii="Calibri" w:eastAsia="Calibri" w:hAnsi="Calibri" w:cs="Calibri"/>
                <w:b/>
                <w:color w:val="000000"/>
                <w:sz w:val="18"/>
                <w:szCs w:val="18"/>
              </w:rPr>
            </w:pPr>
            <w:r>
              <w:rPr>
                <w:rFonts w:ascii="Calibri" w:eastAsia="Calibri" w:hAnsi="Calibri" w:cs="Calibri"/>
                <w:b/>
                <w:color w:val="000000"/>
                <w:sz w:val="18"/>
                <w:szCs w:val="18"/>
              </w:rPr>
              <w:t>Grade/Step</w:t>
            </w:r>
          </w:p>
        </w:tc>
        <w:tc>
          <w:tcPr>
            <w:tcW w:w="1706" w:type="dxa"/>
            <w:tcBorders>
              <w:top w:val="single" w:sz="8" w:space="0" w:color="000000"/>
              <w:left w:val="nil"/>
              <w:bottom w:val="nil"/>
              <w:right w:val="single" w:sz="8" w:space="0" w:color="000000"/>
            </w:tcBorders>
            <w:shd w:val="clear" w:color="auto" w:fill="BDD7EE"/>
            <w:vAlign w:val="center"/>
          </w:tcPr>
          <w:p w:rsidR="00974B03" w14:paraId="00000117" w14:textId="77777777">
            <w:pPr>
              <w:widowControl/>
              <w:jc w:val="center"/>
              <w:rPr>
                <w:rFonts w:ascii="Calibri" w:eastAsia="Calibri" w:hAnsi="Calibri" w:cs="Calibri"/>
                <w:b/>
                <w:color w:val="000000"/>
                <w:sz w:val="18"/>
                <w:szCs w:val="18"/>
              </w:rPr>
            </w:pPr>
            <w:r>
              <w:rPr>
                <w:rFonts w:ascii="Calibri" w:eastAsia="Calibri" w:hAnsi="Calibri" w:cs="Calibri"/>
                <w:b/>
                <w:color w:val="000000"/>
                <w:sz w:val="18"/>
                <w:szCs w:val="18"/>
              </w:rPr>
              <w:t xml:space="preserve"> Loaded Salary /Cost </w:t>
            </w:r>
          </w:p>
        </w:tc>
        <w:tc>
          <w:tcPr>
            <w:tcW w:w="1432" w:type="dxa"/>
            <w:tcBorders>
              <w:top w:val="single" w:sz="8" w:space="0" w:color="000000"/>
              <w:left w:val="nil"/>
              <w:bottom w:val="nil"/>
              <w:right w:val="single" w:sz="8" w:space="0" w:color="000000"/>
            </w:tcBorders>
            <w:shd w:val="clear" w:color="auto" w:fill="BDD7EE"/>
            <w:vAlign w:val="center"/>
          </w:tcPr>
          <w:p w:rsidR="00974B03" w14:paraId="00000118" w14:textId="77777777">
            <w:pPr>
              <w:widowControl/>
              <w:jc w:val="center"/>
              <w:rPr>
                <w:rFonts w:ascii="Calibri" w:eastAsia="Calibri" w:hAnsi="Calibri" w:cs="Calibri"/>
                <w:b/>
                <w:color w:val="000000"/>
                <w:sz w:val="18"/>
                <w:szCs w:val="18"/>
              </w:rPr>
            </w:pPr>
            <w:r>
              <w:rPr>
                <w:rFonts w:ascii="Calibri" w:eastAsia="Calibri" w:hAnsi="Calibri" w:cs="Calibri"/>
                <w:b/>
                <w:color w:val="000000"/>
                <w:sz w:val="18"/>
                <w:szCs w:val="18"/>
              </w:rPr>
              <w:t>% of Effort</w:t>
            </w:r>
          </w:p>
        </w:tc>
        <w:tc>
          <w:tcPr>
            <w:tcW w:w="1585" w:type="dxa"/>
            <w:tcBorders>
              <w:top w:val="single" w:sz="8" w:space="0" w:color="000000"/>
              <w:left w:val="nil"/>
              <w:bottom w:val="nil"/>
              <w:right w:val="single" w:sz="8" w:space="0" w:color="000000"/>
            </w:tcBorders>
            <w:shd w:val="clear" w:color="auto" w:fill="BDD7EE"/>
            <w:vAlign w:val="center"/>
          </w:tcPr>
          <w:p w:rsidR="00974B03" w14:paraId="00000119" w14:textId="77777777">
            <w:pPr>
              <w:widowControl/>
              <w:jc w:val="center"/>
              <w:rPr>
                <w:rFonts w:ascii="Calibri" w:eastAsia="Calibri" w:hAnsi="Calibri" w:cs="Calibri"/>
                <w:b/>
                <w:color w:val="000000"/>
                <w:sz w:val="18"/>
                <w:szCs w:val="18"/>
              </w:rPr>
            </w:pPr>
            <w:r>
              <w:rPr>
                <w:rFonts w:ascii="Calibri" w:eastAsia="Calibri" w:hAnsi="Calibri" w:cs="Calibri"/>
                <w:b/>
                <w:color w:val="000000"/>
                <w:sz w:val="18"/>
                <w:szCs w:val="18"/>
              </w:rPr>
              <w:t>Fringe (if Applicable)</w:t>
            </w:r>
          </w:p>
        </w:tc>
        <w:tc>
          <w:tcPr>
            <w:tcW w:w="1715" w:type="dxa"/>
            <w:tcBorders>
              <w:top w:val="single" w:sz="8" w:space="0" w:color="000000"/>
              <w:left w:val="nil"/>
              <w:bottom w:val="nil"/>
              <w:right w:val="single" w:sz="8" w:space="0" w:color="000000"/>
            </w:tcBorders>
            <w:shd w:val="clear" w:color="auto" w:fill="BDD7EE"/>
            <w:vAlign w:val="center"/>
          </w:tcPr>
          <w:p w:rsidR="00974B03" w14:paraId="0000011A" w14:textId="77777777">
            <w:pPr>
              <w:widowControl/>
              <w:jc w:val="center"/>
              <w:rPr>
                <w:rFonts w:ascii="Calibri" w:eastAsia="Calibri" w:hAnsi="Calibri" w:cs="Calibri"/>
                <w:b/>
                <w:color w:val="000000"/>
                <w:sz w:val="18"/>
                <w:szCs w:val="18"/>
              </w:rPr>
            </w:pPr>
            <w:r>
              <w:rPr>
                <w:rFonts w:ascii="Calibri" w:eastAsia="Calibri" w:hAnsi="Calibri" w:cs="Calibri"/>
                <w:b/>
                <w:color w:val="000000"/>
                <w:sz w:val="18"/>
                <w:szCs w:val="18"/>
              </w:rPr>
              <w:t xml:space="preserve"> Total Cost to Government </w:t>
            </w:r>
          </w:p>
        </w:tc>
      </w:tr>
      <w:tr w14:paraId="7765BC20" w14:textId="77777777">
        <w:tblPrEx>
          <w:tblW w:w="10399" w:type="dxa"/>
          <w:jc w:val="center"/>
          <w:tblLayout w:type="fixed"/>
          <w:tblLook w:val="0400"/>
        </w:tblPrEx>
        <w:trPr>
          <w:trHeight w:val="346"/>
          <w:jc w:val="center"/>
        </w:trPr>
        <w:tc>
          <w:tcPr>
            <w:tcW w:w="23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974B03" w14:paraId="0000011B" w14:textId="77777777">
            <w:pPr>
              <w:widowControl/>
              <w:rPr>
                <w:rFonts w:ascii="Calibri" w:eastAsia="Calibri" w:hAnsi="Calibri" w:cs="Calibri"/>
                <w:b/>
                <w:color w:val="000000"/>
                <w:sz w:val="18"/>
                <w:szCs w:val="18"/>
              </w:rPr>
            </w:pPr>
            <w:r>
              <w:rPr>
                <w:rFonts w:ascii="Calibri" w:eastAsia="Calibri" w:hAnsi="Calibri" w:cs="Calibri"/>
                <w:b/>
                <w:color w:val="000000"/>
                <w:sz w:val="18"/>
                <w:szCs w:val="18"/>
              </w:rPr>
              <w:t>Federal Oversight</w:t>
            </w:r>
          </w:p>
        </w:tc>
        <w:tc>
          <w:tcPr>
            <w:tcW w:w="1593" w:type="dxa"/>
            <w:tcBorders>
              <w:top w:val="single" w:sz="8" w:space="0" w:color="000000"/>
              <w:left w:val="nil"/>
              <w:bottom w:val="single" w:sz="8" w:space="0" w:color="000000"/>
              <w:right w:val="single" w:sz="8" w:space="0" w:color="000000"/>
            </w:tcBorders>
            <w:shd w:val="clear" w:color="auto" w:fill="auto"/>
            <w:vAlign w:val="center"/>
          </w:tcPr>
          <w:p w:rsidR="00974B03" w14:paraId="0000011C" w14:textId="77777777">
            <w:pPr>
              <w:widowControl/>
              <w:jc w:val="center"/>
              <w:rPr>
                <w:rFonts w:ascii="Calibri" w:eastAsia="Calibri" w:hAnsi="Calibri" w:cs="Calibri"/>
                <w:color w:val="000000"/>
                <w:sz w:val="18"/>
                <w:szCs w:val="18"/>
              </w:rPr>
            </w:pPr>
            <w:r>
              <w:rPr>
                <w:rFonts w:ascii="Calibri" w:eastAsia="Calibri" w:hAnsi="Calibri" w:cs="Calibri"/>
                <w:color w:val="000000"/>
                <w:sz w:val="18"/>
                <w:szCs w:val="18"/>
              </w:rPr>
              <w:t>ZP III/03</w:t>
            </w:r>
          </w:p>
        </w:tc>
        <w:tc>
          <w:tcPr>
            <w:tcW w:w="1706" w:type="dxa"/>
            <w:tcBorders>
              <w:top w:val="single" w:sz="8" w:space="0" w:color="000000"/>
              <w:left w:val="nil"/>
              <w:bottom w:val="single" w:sz="8" w:space="0" w:color="000000"/>
              <w:right w:val="single" w:sz="8" w:space="0" w:color="000000"/>
            </w:tcBorders>
            <w:shd w:val="clear" w:color="auto" w:fill="auto"/>
            <w:vAlign w:val="center"/>
          </w:tcPr>
          <w:p w:rsidR="00974B03" w14:paraId="0000011D" w14:textId="77777777">
            <w:pPr>
              <w:widowControl/>
              <w:jc w:val="center"/>
              <w:rPr>
                <w:rFonts w:ascii="Calibri" w:eastAsia="Calibri" w:hAnsi="Calibri" w:cs="Calibri"/>
                <w:color w:val="000000"/>
                <w:sz w:val="18"/>
                <w:szCs w:val="18"/>
              </w:rPr>
            </w:pPr>
            <w:r>
              <w:rPr>
                <w:rFonts w:ascii="Calibri" w:eastAsia="Calibri" w:hAnsi="Calibri" w:cs="Calibri"/>
                <w:color w:val="000000"/>
                <w:sz w:val="18"/>
                <w:szCs w:val="18"/>
              </w:rPr>
              <w:t>$</w:t>
            </w:r>
            <w:r>
              <w:rPr>
                <w:rFonts w:ascii="Calibri" w:eastAsia="Calibri" w:hAnsi="Calibri" w:cs="Calibri"/>
                <w:sz w:val="18"/>
                <w:szCs w:val="18"/>
              </w:rPr>
              <w:t>191,547</w:t>
            </w:r>
          </w:p>
        </w:tc>
        <w:tc>
          <w:tcPr>
            <w:tcW w:w="1432" w:type="dxa"/>
            <w:tcBorders>
              <w:top w:val="single" w:sz="8" w:space="0" w:color="000000"/>
              <w:left w:val="nil"/>
              <w:bottom w:val="single" w:sz="8" w:space="0" w:color="000000"/>
              <w:right w:val="single" w:sz="8" w:space="0" w:color="000000"/>
            </w:tcBorders>
            <w:shd w:val="clear" w:color="auto" w:fill="auto"/>
            <w:vAlign w:val="center"/>
          </w:tcPr>
          <w:p w:rsidR="00974B03" w14:paraId="0000011E" w14:textId="77777777">
            <w:pPr>
              <w:widowControl/>
              <w:jc w:val="center"/>
              <w:rPr>
                <w:rFonts w:ascii="Calibri" w:eastAsia="Calibri" w:hAnsi="Calibri" w:cs="Calibri"/>
                <w:color w:val="000000"/>
                <w:sz w:val="18"/>
                <w:szCs w:val="18"/>
              </w:rPr>
            </w:pPr>
            <w:r>
              <w:rPr>
                <w:rFonts w:ascii="Calibri" w:eastAsia="Calibri" w:hAnsi="Calibri" w:cs="Calibri"/>
                <w:color w:val="000000"/>
                <w:sz w:val="18"/>
                <w:szCs w:val="18"/>
              </w:rPr>
              <w:t>10</w:t>
            </w:r>
          </w:p>
        </w:tc>
        <w:tc>
          <w:tcPr>
            <w:tcW w:w="1585" w:type="dxa"/>
            <w:tcBorders>
              <w:top w:val="single" w:sz="8" w:space="0" w:color="000000"/>
              <w:left w:val="nil"/>
              <w:bottom w:val="single" w:sz="8" w:space="0" w:color="000000"/>
              <w:right w:val="single" w:sz="8" w:space="0" w:color="000000"/>
            </w:tcBorders>
            <w:shd w:val="clear" w:color="auto" w:fill="808080"/>
            <w:vAlign w:val="center"/>
          </w:tcPr>
          <w:p w:rsidR="00974B03" w14:paraId="0000011F" w14:textId="77777777">
            <w:pPr>
              <w:widowControl/>
              <w:jc w:val="center"/>
              <w:rPr>
                <w:rFonts w:ascii="Calibri" w:eastAsia="Calibri" w:hAnsi="Calibri" w:cs="Calibri"/>
                <w:color w:val="000000"/>
                <w:sz w:val="18"/>
                <w:szCs w:val="18"/>
              </w:rPr>
            </w:pPr>
          </w:p>
        </w:tc>
        <w:tc>
          <w:tcPr>
            <w:tcW w:w="1715" w:type="dxa"/>
            <w:tcBorders>
              <w:top w:val="single" w:sz="8" w:space="0" w:color="000000"/>
              <w:left w:val="nil"/>
              <w:bottom w:val="single" w:sz="8" w:space="0" w:color="000000"/>
              <w:right w:val="single" w:sz="8" w:space="0" w:color="000000"/>
            </w:tcBorders>
            <w:shd w:val="clear" w:color="auto" w:fill="auto"/>
            <w:vAlign w:val="center"/>
          </w:tcPr>
          <w:p w:rsidR="00974B03" w14:paraId="00000120" w14:textId="77777777">
            <w:pPr>
              <w:widowControl/>
              <w:jc w:val="center"/>
              <w:rPr>
                <w:rFonts w:ascii="Calibri" w:eastAsia="Calibri" w:hAnsi="Calibri" w:cs="Calibri"/>
                <w:color w:val="000000"/>
                <w:sz w:val="18"/>
                <w:szCs w:val="18"/>
              </w:rPr>
            </w:pPr>
            <w:r>
              <w:rPr>
                <w:rFonts w:ascii="Calibri" w:eastAsia="Calibri" w:hAnsi="Calibri" w:cs="Calibri"/>
                <w:color w:val="000000"/>
                <w:sz w:val="18"/>
                <w:szCs w:val="18"/>
              </w:rPr>
              <w:t>$</w:t>
            </w:r>
            <w:r>
              <w:rPr>
                <w:rFonts w:ascii="Calibri" w:eastAsia="Calibri" w:hAnsi="Calibri" w:cs="Calibri"/>
                <w:sz w:val="18"/>
                <w:szCs w:val="18"/>
              </w:rPr>
              <w:t>19,155</w:t>
            </w:r>
          </w:p>
        </w:tc>
      </w:tr>
      <w:tr w14:paraId="14EF1DF9" w14:textId="77777777">
        <w:tblPrEx>
          <w:tblW w:w="10399" w:type="dxa"/>
          <w:jc w:val="center"/>
          <w:tblLayout w:type="fixed"/>
          <w:tblLook w:val="0400"/>
        </w:tblPrEx>
        <w:trPr>
          <w:trHeight w:val="346"/>
          <w:jc w:val="center"/>
        </w:trPr>
        <w:tc>
          <w:tcPr>
            <w:tcW w:w="2368" w:type="dxa"/>
            <w:tcBorders>
              <w:top w:val="nil"/>
              <w:left w:val="single" w:sz="8" w:space="0" w:color="000000"/>
              <w:bottom w:val="single" w:sz="8" w:space="0" w:color="000000"/>
              <w:right w:val="single" w:sz="8" w:space="0" w:color="000000"/>
            </w:tcBorders>
            <w:shd w:val="clear" w:color="auto" w:fill="auto"/>
            <w:vAlign w:val="center"/>
          </w:tcPr>
          <w:p w:rsidR="00974B03" w14:paraId="00000121"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Other Federal Positions</w:t>
            </w:r>
          </w:p>
        </w:tc>
        <w:tc>
          <w:tcPr>
            <w:tcW w:w="1593" w:type="dxa"/>
            <w:tcBorders>
              <w:top w:val="nil"/>
              <w:left w:val="nil"/>
              <w:bottom w:val="single" w:sz="8" w:space="0" w:color="000000"/>
              <w:right w:val="single" w:sz="8" w:space="0" w:color="000000"/>
            </w:tcBorders>
            <w:shd w:val="clear" w:color="auto" w:fill="auto"/>
            <w:vAlign w:val="center"/>
          </w:tcPr>
          <w:p w:rsidR="00974B03" w14:paraId="00000122" w14:textId="77777777">
            <w:pPr>
              <w:widowControl/>
              <w:jc w:val="center"/>
              <w:rPr>
                <w:rFonts w:ascii="Calibri" w:eastAsia="Calibri" w:hAnsi="Calibri" w:cs="Calibri"/>
                <w:color w:val="000000"/>
                <w:sz w:val="18"/>
                <w:szCs w:val="18"/>
              </w:rPr>
            </w:pPr>
          </w:p>
        </w:tc>
        <w:tc>
          <w:tcPr>
            <w:tcW w:w="1706" w:type="dxa"/>
            <w:tcBorders>
              <w:top w:val="nil"/>
              <w:left w:val="nil"/>
              <w:bottom w:val="single" w:sz="8" w:space="0" w:color="000000"/>
              <w:right w:val="single" w:sz="8" w:space="0" w:color="000000"/>
            </w:tcBorders>
            <w:shd w:val="clear" w:color="auto" w:fill="auto"/>
            <w:vAlign w:val="center"/>
          </w:tcPr>
          <w:p w:rsidR="00974B03" w14:paraId="00000123" w14:textId="77777777">
            <w:pPr>
              <w:widowControl/>
              <w:jc w:val="center"/>
              <w:rPr>
                <w:rFonts w:ascii="Calibri" w:eastAsia="Calibri" w:hAnsi="Calibri" w:cs="Calibri"/>
                <w:color w:val="000000"/>
                <w:sz w:val="18"/>
                <w:szCs w:val="18"/>
              </w:rPr>
            </w:pPr>
          </w:p>
        </w:tc>
        <w:tc>
          <w:tcPr>
            <w:tcW w:w="1432" w:type="dxa"/>
            <w:tcBorders>
              <w:top w:val="nil"/>
              <w:left w:val="nil"/>
              <w:bottom w:val="single" w:sz="8" w:space="0" w:color="000000"/>
              <w:right w:val="single" w:sz="8" w:space="0" w:color="000000"/>
            </w:tcBorders>
            <w:shd w:val="clear" w:color="auto" w:fill="auto"/>
            <w:vAlign w:val="center"/>
          </w:tcPr>
          <w:p w:rsidR="00974B03" w14:paraId="00000124" w14:textId="77777777">
            <w:pPr>
              <w:widowControl/>
              <w:jc w:val="center"/>
              <w:rPr>
                <w:rFonts w:ascii="Calibri" w:eastAsia="Calibri" w:hAnsi="Calibri" w:cs="Calibri"/>
                <w:color w:val="000000"/>
                <w:sz w:val="18"/>
                <w:szCs w:val="18"/>
              </w:rPr>
            </w:pPr>
          </w:p>
        </w:tc>
        <w:tc>
          <w:tcPr>
            <w:tcW w:w="1585" w:type="dxa"/>
            <w:tcBorders>
              <w:top w:val="nil"/>
              <w:left w:val="nil"/>
              <w:bottom w:val="single" w:sz="8" w:space="0" w:color="000000"/>
              <w:right w:val="single" w:sz="8" w:space="0" w:color="000000"/>
            </w:tcBorders>
            <w:shd w:val="clear" w:color="auto" w:fill="808080"/>
            <w:vAlign w:val="center"/>
          </w:tcPr>
          <w:p w:rsidR="00974B03" w14:paraId="00000125" w14:textId="77777777">
            <w:pPr>
              <w:widowControl/>
              <w:jc w:val="center"/>
              <w:rPr>
                <w:rFonts w:ascii="Calibri" w:eastAsia="Calibri" w:hAnsi="Calibri" w:cs="Calibri"/>
                <w:color w:val="000000"/>
                <w:sz w:val="18"/>
                <w:szCs w:val="18"/>
              </w:rPr>
            </w:pPr>
          </w:p>
        </w:tc>
        <w:tc>
          <w:tcPr>
            <w:tcW w:w="1715" w:type="dxa"/>
            <w:tcBorders>
              <w:top w:val="nil"/>
              <w:left w:val="nil"/>
              <w:bottom w:val="single" w:sz="8" w:space="0" w:color="000000"/>
              <w:right w:val="single" w:sz="8" w:space="0" w:color="000000"/>
            </w:tcBorders>
            <w:shd w:val="clear" w:color="auto" w:fill="auto"/>
            <w:vAlign w:val="center"/>
          </w:tcPr>
          <w:p w:rsidR="00974B03" w14:paraId="00000126" w14:textId="77777777">
            <w:pPr>
              <w:widowControl/>
              <w:jc w:val="center"/>
              <w:rPr>
                <w:rFonts w:ascii="Calibri" w:eastAsia="Calibri" w:hAnsi="Calibri" w:cs="Calibri"/>
                <w:color w:val="000000"/>
                <w:sz w:val="18"/>
                <w:szCs w:val="18"/>
              </w:rPr>
            </w:pPr>
          </w:p>
        </w:tc>
      </w:tr>
      <w:tr w14:paraId="345DA729" w14:textId="77777777">
        <w:tblPrEx>
          <w:tblW w:w="10399" w:type="dxa"/>
          <w:jc w:val="center"/>
          <w:tblLayout w:type="fixed"/>
          <w:tblLook w:val="0400"/>
        </w:tblPrEx>
        <w:trPr>
          <w:trHeight w:val="346"/>
          <w:jc w:val="center"/>
        </w:trPr>
        <w:tc>
          <w:tcPr>
            <w:tcW w:w="2368" w:type="dxa"/>
            <w:tcBorders>
              <w:top w:val="nil"/>
              <w:left w:val="single" w:sz="8" w:space="0" w:color="000000"/>
              <w:bottom w:val="single" w:sz="8" w:space="0" w:color="000000"/>
              <w:right w:val="single" w:sz="8" w:space="0" w:color="000000"/>
            </w:tcBorders>
            <w:shd w:val="clear" w:color="auto" w:fill="auto"/>
            <w:vAlign w:val="center"/>
          </w:tcPr>
          <w:p w:rsidR="00974B03" w14:paraId="00000127" w14:textId="77777777">
            <w:pPr>
              <w:widowControl/>
              <w:rPr>
                <w:rFonts w:ascii="Calibri" w:eastAsia="Calibri" w:hAnsi="Calibri" w:cs="Calibri"/>
                <w:b/>
                <w:color w:val="000000"/>
                <w:sz w:val="18"/>
                <w:szCs w:val="18"/>
              </w:rPr>
            </w:pPr>
            <w:r>
              <w:rPr>
                <w:rFonts w:ascii="Calibri" w:eastAsia="Calibri" w:hAnsi="Calibri" w:cs="Calibri"/>
                <w:b/>
                <w:color w:val="000000"/>
                <w:sz w:val="18"/>
                <w:szCs w:val="18"/>
              </w:rPr>
              <w:t>Contractor Cost</w:t>
            </w:r>
          </w:p>
        </w:tc>
        <w:tc>
          <w:tcPr>
            <w:tcW w:w="1593" w:type="dxa"/>
            <w:tcBorders>
              <w:top w:val="nil"/>
              <w:left w:val="nil"/>
              <w:bottom w:val="single" w:sz="8" w:space="0" w:color="000000"/>
              <w:right w:val="single" w:sz="8" w:space="0" w:color="000000"/>
            </w:tcBorders>
            <w:shd w:val="clear" w:color="auto" w:fill="808080"/>
            <w:vAlign w:val="center"/>
          </w:tcPr>
          <w:p w:rsidR="00974B03" w14:paraId="00000128" w14:textId="77777777">
            <w:pPr>
              <w:widowControl/>
              <w:jc w:val="center"/>
              <w:rPr>
                <w:rFonts w:ascii="Calibri" w:eastAsia="Calibri" w:hAnsi="Calibri" w:cs="Calibri"/>
                <w:color w:val="000000"/>
                <w:sz w:val="18"/>
                <w:szCs w:val="18"/>
              </w:rPr>
            </w:pPr>
          </w:p>
        </w:tc>
        <w:tc>
          <w:tcPr>
            <w:tcW w:w="1706" w:type="dxa"/>
            <w:tcBorders>
              <w:top w:val="nil"/>
              <w:left w:val="nil"/>
              <w:bottom w:val="single" w:sz="8" w:space="0" w:color="000000"/>
              <w:right w:val="single" w:sz="8" w:space="0" w:color="000000"/>
            </w:tcBorders>
            <w:shd w:val="clear" w:color="auto" w:fill="auto"/>
            <w:vAlign w:val="center"/>
          </w:tcPr>
          <w:p w:rsidR="00974B03" w14:paraId="00000129" w14:textId="77777777">
            <w:pPr>
              <w:widowControl/>
              <w:jc w:val="center"/>
              <w:rPr>
                <w:rFonts w:ascii="Calibri" w:eastAsia="Calibri" w:hAnsi="Calibri" w:cs="Calibri"/>
                <w:color w:val="000000"/>
                <w:sz w:val="18"/>
                <w:szCs w:val="18"/>
              </w:rPr>
            </w:pPr>
          </w:p>
        </w:tc>
        <w:tc>
          <w:tcPr>
            <w:tcW w:w="1432" w:type="dxa"/>
            <w:tcBorders>
              <w:top w:val="nil"/>
              <w:left w:val="nil"/>
              <w:bottom w:val="single" w:sz="8" w:space="0" w:color="000000"/>
              <w:right w:val="single" w:sz="8" w:space="0" w:color="000000"/>
            </w:tcBorders>
            <w:shd w:val="clear" w:color="auto" w:fill="auto"/>
            <w:vAlign w:val="center"/>
          </w:tcPr>
          <w:p w:rsidR="00974B03" w14:paraId="0000012A" w14:textId="77777777">
            <w:pPr>
              <w:widowControl/>
              <w:jc w:val="center"/>
              <w:rPr>
                <w:rFonts w:ascii="Calibri" w:eastAsia="Calibri" w:hAnsi="Calibri" w:cs="Calibri"/>
                <w:color w:val="000000"/>
                <w:sz w:val="18"/>
                <w:szCs w:val="18"/>
              </w:rPr>
            </w:pPr>
          </w:p>
        </w:tc>
        <w:tc>
          <w:tcPr>
            <w:tcW w:w="1585" w:type="dxa"/>
            <w:tcBorders>
              <w:top w:val="nil"/>
              <w:left w:val="nil"/>
              <w:bottom w:val="single" w:sz="8" w:space="0" w:color="000000"/>
              <w:right w:val="single" w:sz="8" w:space="0" w:color="000000"/>
            </w:tcBorders>
            <w:shd w:val="clear" w:color="auto" w:fill="auto"/>
            <w:vAlign w:val="center"/>
          </w:tcPr>
          <w:p w:rsidR="00974B03" w14:paraId="0000012B" w14:textId="77777777">
            <w:pPr>
              <w:widowControl/>
              <w:jc w:val="center"/>
              <w:rPr>
                <w:rFonts w:ascii="Calibri" w:eastAsia="Calibri" w:hAnsi="Calibri" w:cs="Calibri"/>
                <w:color w:val="000000"/>
                <w:sz w:val="18"/>
                <w:szCs w:val="18"/>
              </w:rPr>
            </w:pPr>
          </w:p>
        </w:tc>
        <w:tc>
          <w:tcPr>
            <w:tcW w:w="1715" w:type="dxa"/>
            <w:tcBorders>
              <w:top w:val="nil"/>
              <w:left w:val="nil"/>
              <w:bottom w:val="single" w:sz="8" w:space="0" w:color="000000"/>
              <w:right w:val="single" w:sz="8" w:space="0" w:color="000000"/>
            </w:tcBorders>
            <w:shd w:val="clear" w:color="auto" w:fill="auto"/>
            <w:vAlign w:val="center"/>
          </w:tcPr>
          <w:p w:rsidR="00974B03" w14:paraId="0000012C" w14:textId="77777777">
            <w:pPr>
              <w:widowControl/>
              <w:jc w:val="center"/>
              <w:rPr>
                <w:rFonts w:ascii="Calibri" w:eastAsia="Calibri" w:hAnsi="Calibri" w:cs="Calibri"/>
                <w:color w:val="000000"/>
                <w:sz w:val="18"/>
                <w:szCs w:val="18"/>
              </w:rPr>
            </w:pPr>
            <w:r>
              <w:rPr>
                <w:rFonts w:ascii="Calibri" w:eastAsia="Calibri" w:hAnsi="Calibri" w:cs="Calibri"/>
                <w:sz w:val="18"/>
                <w:szCs w:val="18"/>
              </w:rPr>
              <w:t>63,378</w:t>
            </w:r>
          </w:p>
        </w:tc>
      </w:tr>
      <w:tr w14:paraId="07E2913C" w14:textId="77777777">
        <w:tblPrEx>
          <w:tblW w:w="10399" w:type="dxa"/>
          <w:jc w:val="center"/>
          <w:tblLayout w:type="fixed"/>
          <w:tblLook w:val="0400"/>
        </w:tblPrEx>
        <w:trPr>
          <w:trHeight w:val="346"/>
          <w:jc w:val="center"/>
        </w:trPr>
        <w:tc>
          <w:tcPr>
            <w:tcW w:w="2368" w:type="dxa"/>
            <w:tcBorders>
              <w:top w:val="nil"/>
              <w:left w:val="single" w:sz="8" w:space="0" w:color="000000"/>
              <w:bottom w:val="single" w:sz="8" w:space="0" w:color="000000"/>
              <w:right w:val="single" w:sz="8" w:space="0" w:color="000000"/>
            </w:tcBorders>
            <w:shd w:val="clear" w:color="auto" w:fill="auto"/>
            <w:vAlign w:val="center"/>
          </w:tcPr>
          <w:p w:rsidR="00974B03" w14:paraId="0000012D" w14:textId="77777777">
            <w:pPr>
              <w:widowControl/>
              <w:rPr>
                <w:rFonts w:ascii="Calibri" w:eastAsia="Calibri" w:hAnsi="Calibri" w:cs="Calibri"/>
                <w:b/>
                <w:color w:val="000000"/>
                <w:sz w:val="18"/>
                <w:szCs w:val="18"/>
              </w:rPr>
            </w:pPr>
            <w:r>
              <w:rPr>
                <w:rFonts w:ascii="Calibri" w:eastAsia="Calibri" w:hAnsi="Calibri" w:cs="Calibri"/>
                <w:b/>
                <w:color w:val="000000"/>
                <w:sz w:val="18"/>
                <w:szCs w:val="18"/>
              </w:rPr>
              <w:t>Travel</w:t>
            </w:r>
          </w:p>
        </w:tc>
        <w:tc>
          <w:tcPr>
            <w:tcW w:w="1593" w:type="dxa"/>
            <w:tcBorders>
              <w:top w:val="nil"/>
              <w:left w:val="nil"/>
              <w:bottom w:val="single" w:sz="8" w:space="0" w:color="000000"/>
              <w:right w:val="single" w:sz="8" w:space="0" w:color="000000"/>
            </w:tcBorders>
            <w:shd w:val="clear" w:color="auto" w:fill="808080"/>
            <w:vAlign w:val="center"/>
          </w:tcPr>
          <w:p w:rsidR="00974B03" w14:paraId="0000012E"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c>
          <w:tcPr>
            <w:tcW w:w="1706" w:type="dxa"/>
            <w:tcBorders>
              <w:top w:val="nil"/>
              <w:left w:val="nil"/>
              <w:bottom w:val="single" w:sz="8" w:space="0" w:color="000000"/>
              <w:right w:val="single" w:sz="8" w:space="0" w:color="000000"/>
            </w:tcBorders>
            <w:shd w:val="clear" w:color="auto" w:fill="808080"/>
            <w:vAlign w:val="center"/>
          </w:tcPr>
          <w:p w:rsidR="00974B03" w14:paraId="0000012F"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c>
          <w:tcPr>
            <w:tcW w:w="1432" w:type="dxa"/>
            <w:tcBorders>
              <w:top w:val="nil"/>
              <w:left w:val="nil"/>
              <w:bottom w:val="single" w:sz="8" w:space="0" w:color="000000"/>
              <w:right w:val="single" w:sz="8" w:space="0" w:color="000000"/>
            </w:tcBorders>
            <w:shd w:val="clear" w:color="auto" w:fill="808080"/>
            <w:vAlign w:val="center"/>
          </w:tcPr>
          <w:p w:rsidR="00974B03" w14:paraId="00000130"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c>
          <w:tcPr>
            <w:tcW w:w="1585" w:type="dxa"/>
            <w:tcBorders>
              <w:top w:val="nil"/>
              <w:left w:val="nil"/>
              <w:bottom w:val="single" w:sz="8" w:space="0" w:color="000000"/>
              <w:right w:val="single" w:sz="8" w:space="0" w:color="000000"/>
            </w:tcBorders>
            <w:shd w:val="clear" w:color="auto" w:fill="808080"/>
            <w:vAlign w:val="center"/>
          </w:tcPr>
          <w:p w:rsidR="00974B03" w14:paraId="00000131"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c>
          <w:tcPr>
            <w:tcW w:w="1715" w:type="dxa"/>
            <w:tcBorders>
              <w:top w:val="nil"/>
              <w:left w:val="nil"/>
              <w:bottom w:val="single" w:sz="8" w:space="0" w:color="000000"/>
              <w:right w:val="single" w:sz="8" w:space="0" w:color="000000"/>
            </w:tcBorders>
            <w:shd w:val="clear" w:color="auto" w:fill="auto"/>
            <w:vAlign w:val="center"/>
          </w:tcPr>
          <w:p w:rsidR="00974B03" w14:paraId="00000132"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r>
      <w:tr w14:paraId="19EA6D43" w14:textId="77777777">
        <w:tblPrEx>
          <w:tblW w:w="10399" w:type="dxa"/>
          <w:jc w:val="center"/>
          <w:tblLayout w:type="fixed"/>
          <w:tblLook w:val="0400"/>
        </w:tblPrEx>
        <w:trPr>
          <w:trHeight w:val="346"/>
          <w:jc w:val="center"/>
        </w:trPr>
        <w:tc>
          <w:tcPr>
            <w:tcW w:w="2368" w:type="dxa"/>
            <w:tcBorders>
              <w:top w:val="nil"/>
              <w:left w:val="single" w:sz="8" w:space="0" w:color="000000"/>
              <w:bottom w:val="nil"/>
              <w:right w:val="single" w:sz="8" w:space="0" w:color="000000"/>
            </w:tcBorders>
            <w:shd w:val="clear" w:color="auto" w:fill="auto"/>
            <w:vAlign w:val="center"/>
          </w:tcPr>
          <w:p w:rsidR="00974B03" w14:paraId="00000133" w14:textId="77777777">
            <w:pPr>
              <w:widowControl/>
              <w:rPr>
                <w:rFonts w:ascii="Calibri" w:eastAsia="Calibri" w:hAnsi="Calibri" w:cs="Calibri"/>
                <w:b/>
                <w:color w:val="000000"/>
                <w:sz w:val="18"/>
                <w:szCs w:val="18"/>
              </w:rPr>
            </w:pPr>
            <w:r>
              <w:rPr>
                <w:rFonts w:ascii="Calibri" w:eastAsia="Calibri" w:hAnsi="Calibri" w:cs="Calibri"/>
                <w:b/>
                <w:color w:val="000000"/>
                <w:sz w:val="18"/>
                <w:szCs w:val="18"/>
              </w:rPr>
              <w:t xml:space="preserve">Other Costs: </w:t>
            </w:r>
          </w:p>
        </w:tc>
        <w:tc>
          <w:tcPr>
            <w:tcW w:w="1593" w:type="dxa"/>
            <w:tcBorders>
              <w:top w:val="nil"/>
              <w:left w:val="nil"/>
              <w:bottom w:val="single" w:sz="8" w:space="0" w:color="000000"/>
              <w:right w:val="single" w:sz="8" w:space="0" w:color="000000"/>
            </w:tcBorders>
            <w:shd w:val="clear" w:color="auto" w:fill="808080"/>
            <w:vAlign w:val="center"/>
          </w:tcPr>
          <w:p w:rsidR="00974B03" w14:paraId="00000134"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c>
          <w:tcPr>
            <w:tcW w:w="1706" w:type="dxa"/>
            <w:tcBorders>
              <w:top w:val="nil"/>
              <w:left w:val="nil"/>
              <w:bottom w:val="single" w:sz="8" w:space="0" w:color="000000"/>
              <w:right w:val="single" w:sz="8" w:space="0" w:color="000000"/>
            </w:tcBorders>
            <w:shd w:val="clear" w:color="auto" w:fill="808080"/>
            <w:vAlign w:val="center"/>
          </w:tcPr>
          <w:p w:rsidR="00974B03" w14:paraId="00000135"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c>
          <w:tcPr>
            <w:tcW w:w="1432" w:type="dxa"/>
            <w:tcBorders>
              <w:top w:val="nil"/>
              <w:left w:val="nil"/>
              <w:bottom w:val="single" w:sz="8" w:space="0" w:color="000000"/>
              <w:right w:val="single" w:sz="8" w:space="0" w:color="000000"/>
            </w:tcBorders>
            <w:shd w:val="clear" w:color="auto" w:fill="808080"/>
            <w:vAlign w:val="center"/>
          </w:tcPr>
          <w:p w:rsidR="00974B03" w14:paraId="00000136"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c>
          <w:tcPr>
            <w:tcW w:w="1585" w:type="dxa"/>
            <w:tcBorders>
              <w:top w:val="nil"/>
              <w:left w:val="nil"/>
              <w:bottom w:val="single" w:sz="8" w:space="0" w:color="000000"/>
              <w:right w:val="single" w:sz="8" w:space="0" w:color="000000"/>
            </w:tcBorders>
            <w:shd w:val="clear" w:color="auto" w:fill="808080"/>
            <w:vAlign w:val="center"/>
          </w:tcPr>
          <w:p w:rsidR="00974B03" w14:paraId="00000137"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c>
          <w:tcPr>
            <w:tcW w:w="1715" w:type="dxa"/>
            <w:tcBorders>
              <w:top w:val="nil"/>
              <w:left w:val="nil"/>
              <w:bottom w:val="single" w:sz="8" w:space="0" w:color="000000"/>
              <w:right w:val="single" w:sz="8" w:space="0" w:color="000000"/>
            </w:tcBorders>
            <w:shd w:val="clear" w:color="auto" w:fill="auto"/>
            <w:vAlign w:val="center"/>
          </w:tcPr>
          <w:p w:rsidR="00974B03" w14:paraId="00000138"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r>
      <w:tr w14:paraId="00B86B86" w14:textId="77777777">
        <w:tblPrEx>
          <w:tblW w:w="10399" w:type="dxa"/>
          <w:jc w:val="center"/>
          <w:tblLayout w:type="fixed"/>
          <w:tblLook w:val="0400"/>
        </w:tblPrEx>
        <w:trPr>
          <w:trHeight w:val="346"/>
          <w:jc w:val="center"/>
        </w:trPr>
        <w:tc>
          <w:tcPr>
            <w:tcW w:w="2368" w:type="dxa"/>
            <w:tcBorders>
              <w:top w:val="single" w:sz="8" w:space="0" w:color="000000"/>
              <w:left w:val="single" w:sz="8" w:space="0" w:color="000000"/>
              <w:bottom w:val="single" w:sz="8" w:space="0" w:color="000000"/>
              <w:right w:val="single" w:sz="8" w:space="0" w:color="000000"/>
            </w:tcBorders>
            <w:shd w:val="clear" w:color="auto" w:fill="DDEBF7"/>
            <w:vAlign w:val="center"/>
          </w:tcPr>
          <w:p w:rsidR="00974B03" w14:paraId="00000139" w14:textId="77777777">
            <w:pPr>
              <w:widowControl/>
              <w:rPr>
                <w:rFonts w:ascii="Calibri" w:eastAsia="Calibri" w:hAnsi="Calibri" w:cs="Calibri"/>
                <w:b/>
                <w:color w:val="000000"/>
                <w:sz w:val="18"/>
                <w:szCs w:val="18"/>
              </w:rPr>
            </w:pPr>
            <w:r>
              <w:rPr>
                <w:rFonts w:ascii="Calibri" w:eastAsia="Calibri" w:hAnsi="Calibri" w:cs="Calibri"/>
                <w:b/>
                <w:color w:val="000000"/>
                <w:sz w:val="18"/>
                <w:szCs w:val="18"/>
              </w:rPr>
              <w:t>TOTAL</w:t>
            </w:r>
          </w:p>
        </w:tc>
        <w:tc>
          <w:tcPr>
            <w:tcW w:w="1593" w:type="dxa"/>
            <w:tcBorders>
              <w:top w:val="nil"/>
              <w:left w:val="nil"/>
              <w:bottom w:val="single" w:sz="8" w:space="0" w:color="000000"/>
              <w:right w:val="single" w:sz="8" w:space="0" w:color="000000"/>
            </w:tcBorders>
            <w:shd w:val="clear" w:color="auto" w:fill="808080"/>
            <w:vAlign w:val="center"/>
          </w:tcPr>
          <w:p w:rsidR="00974B03" w14:paraId="0000013A"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c>
          <w:tcPr>
            <w:tcW w:w="1706" w:type="dxa"/>
            <w:tcBorders>
              <w:top w:val="nil"/>
              <w:left w:val="nil"/>
              <w:bottom w:val="single" w:sz="8" w:space="0" w:color="000000"/>
              <w:right w:val="single" w:sz="8" w:space="0" w:color="000000"/>
            </w:tcBorders>
            <w:shd w:val="clear" w:color="auto" w:fill="808080"/>
            <w:vAlign w:val="center"/>
          </w:tcPr>
          <w:p w:rsidR="00974B03" w14:paraId="0000013B"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c>
          <w:tcPr>
            <w:tcW w:w="1432" w:type="dxa"/>
            <w:tcBorders>
              <w:top w:val="nil"/>
              <w:left w:val="nil"/>
              <w:bottom w:val="single" w:sz="8" w:space="0" w:color="000000"/>
              <w:right w:val="single" w:sz="8" w:space="0" w:color="000000"/>
            </w:tcBorders>
            <w:shd w:val="clear" w:color="auto" w:fill="757171"/>
            <w:vAlign w:val="center"/>
          </w:tcPr>
          <w:p w:rsidR="00974B03" w14:paraId="0000013C"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c>
          <w:tcPr>
            <w:tcW w:w="1585" w:type="dxa"/>
            <w:tcBorders>
              <w:top w:val="nil"/>
              <w:left w:val="nil"/>
              <w:bottom w:val="single" w:sz="8" w:space="0" w:color="000000"/>
              <w:right w:val="single" w:sz="8" w:space="0" w:color="000000"/>
            </w:tcBorders>
            <w:shd w:val="clear" w:color="auto" w:fill="DDEBF7"/>
            <w:vAlign w:val="center"/>
          </w:tcPr>
          <w:p w:rsidR="00974B03" w14:paraId="0000013D" w14:textId="77777777">
            <w:pPr>
              <w:widowControl/>
              <w:rPr>
                <w:rFonts w:ascii="Calibri" w:eastAsia="Calibri" w:hAnsi="Calibri" w:cs="Calibri"/>
                <w:color w:val="000000"/>
                <w:sz w:val="18"/>
                <w:szCs w:val="18"/>
              </w:rPr>
            </w:pPr>
            <w:r>
              <w:rPr>
                <w:rFonts w:ascii="Calibri" w:eastAsia="Calibri" w:hAnsi="Calibri" w:cs="Calibri"/>
                <w:color w:val="000000"/>
                <w:sz w:val="18"/>
                <w:szCs w:val="18"/>
              </w:rPr>
              <w:t> </w:t>
            </w:r>
          </w:p>
        </w:tc>
        <w:tc>
          <w:tcPr>
            <w:tcW w:w="1715" w:type="dxa"/>
            <w:tcBorders>
              <w:top w:val="nil"/>
              <w:left w:val="nil"/>
              <w:bottom w:val="single" w:sz="8" w:space="0" w:color="000000"/>
              <w:right w:val="single" w:sz="8" w:space="0" w:color="000000"/>
            </w:tcBorders>
            <w:shd w:val="clear" w:color="auto" w:fill="DDEBF7"/>
            <w:vAlign w:val="center"/>
          </w:tcPr>
          <w:p w:rsidR="00974B03" w14:paraId="0000013E" w14:textId="77777777">
            <w:pPr>
              <w:widowControl/>
              <w:jc w:val="center"/>
              <w:rPr>
                <w:rFonts w:ascii="Calibri" w:eastAsia="Calibri" w:hAnsi="Calibri" w:cs="Calibri"/>
                <w:b/>
                <w:color w:val="000000"/>
                <w:sz w:val="18"/>
                <w:szCs w:val="18"/>
              </w:rPr>
            </w:pPr>
            <w:r>
              <w:rPr>
                <w:rFonts w:ascii="Calibri" w:eastAsia="Calibri" w:hAnsi="Calibri" w:cs="Calibri"/>
                <w:b/>
                <w:color w:val="000000"/>
                <w:sz w:val="18"/>
                <w:szCs w:val="18"/>
              </w:rPr>
              <w:t>0</w:t>
            </w:r>
            <w:r>
              <w:rPr>
                <w:rFonts w:ascii="Calibri" w:eastAsia="Calibri" w:hAnsi="Calibri" w:cs="Calibri"/>
                <w:b/>
                <w:color w:val="000000"/>
                <w:sz w:val="18"/>
                <w:szCs w:val="18"/>
                <w:vertAlign w:val="superscript"/>
              </w:rPr>
              <w:footnoteReference w:id="2"/>
            </w:r>
          </w:p>
        </w:tc>
      </w:tr>
    </w:tbl>
    <w:p w:rsidR="00974B03" w14:paraId="0000013F" w14:textId="77777777">
      <w:pPr>
        <w:widowControl/>
        <w:pBdr>
          <w:top w:val="nil"/>
          <w:left w:val="nil"/>
          <w:bottom w:val="nil"/>
          <w:right w:val="nil"/>
          <w:between w:val="nil"/>
        </w:pBdr>
        <w:spacing w:before="9" w:after="1"/>
        <w:rPr>
          <w:b/>
          <w:color w:val="000000"/>
          <w:sz w:val="24"/>
          <w:szCs w:val="24"/>
        </w:rPr>
      </w:pPr>
    </w:p>
    <w:p w:rsidR="00974B03" w14:paraId="00000140" w14:textId="77777777">
      <w:pPr>
        <w:widowControl/>
        <w:pBdr>
          <w:top w:val="nil"/>
          <w:left w:val="nil"/>
          <w:bottom w:val="nil"/>
          <w:right w:val="nil"/>
          <w:between w:val="nil"/>
        </w:pBdr>
        <w:spacing w:before="9" w:after="1"/>
        <w:rPr>
          <w:b/>
          <w:color w:val="000000"/>
          <w:sz w:val="24"/>
          <w:szCs w:val="24"/>
        </w:rPr>
      </w:pPr>
    </w:p>
    <w:p w:rsidR="00974B03" w14:paraId="00000141" w14:textId="77777777">
      <w:pPr>
        <w:keepNext/>
        <w:keepLines/>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Explain the reasons for any program changes or adjustments reported in ROCIS.</w:t>
      </w:r>
    </w:p>
    <w:p w:rsidR="00974B03" w14:paraId="00000142" w14:textId="77777777">
      <w:pPr>
        <w:keepNext/>
        <w:keepLines/>
        <w:rPr>
          <w:sz w:val="24"/>
          <w:szCs w:val="24"/>
        </w:rPr>
      </w:pPr>
    </w:p>
    <w:p w:rsidR="0062313E" w14:paraId="05C7DFBC" w14:textId="685CA924">
      <w:pPr>
        <w:widowControl/>
        <w:pBdr>
          <w:top w:val="nil"/>
          <w:left w:val="nil"/>
          <w:bottom w:val="nil"/>
          <w:right w:val="nil"/>
          <w:between w:val="nil"/>
        </w:pBdr>
        <w:spacing w:before="7"/>
        <w:rPr>
          <w:sz w:val="24"/>
          <w:szCs w:val="24"/>
        </w:rPr>
      </w:pPr>
      <w:bookmarkStart w:id="0" w:name="_heading=h.casw1im2nua3" w:colFirst="0" w:colLast="0"/>
      <w:bookmarkEnd w:id="0"/>
      <w:r>
        <w:rPr>
          <w:sz w:val="24"/>
          <w:szCs w:val="24"/>
        </w:rPr>
        <w:t>There are no changes to this collection of information.</w:t>
      </w:r>
    </w:p>
    <w:p w:rsidR="00974B03" w14:paraId="00000144" w14:textId="77777777">
      <w:pPr>
        <w:widowControl/>
        <w:pBdr>
          <w:top w:val="nil"/>
          <w:left w:val="nil"/>
          <w:bottom w:val="nil"/>
          <w:right w:val="nil"/>
          <w:between w:val="nil"/>
        </w:pBdr>
        <w:rPr>
          <w:b/>
          <w:sz w:val="24"/>
          <w:szCs w:val="24"/>
        </w:rPr>
      </w:pPr>
    </w:p>
    <w:p w:rsidR="00974B03" w14:paraId="00000145" w14:textId="77777777">
      <w:pPr>
        <w:keepNext/>
        <w:keepLines/>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 xml:space="preserve">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74B03" w14:paraId="00000146" w14:textId="77777777">
      <w:pPr>
        <w:rPr>
          <w:sz w:val="24"/>
          <w:szCs w:val="24"/>
        </w:rPr>
      </w:pPr>
    </w:p>
    <w:p w:rsidR="00AC7A53" w:rsidP="00AC7A53" w14:paraId="4C89E8B5" w14:textId="655DA374">
      <w:pPr>
        <w:tabs>
          <w:tab w:val="left" w:pos="360"/>
          <w:tab w:val="left" w:pos="720"/>
          <w:tab w:val="left" w:pos="1080"/>
          <w:tab w:val="left" w:pos="1440"/>
        </w:tabs>
        <w:rPr>
          <w:sz w:val="24"/>
          <w:szCs w:val="24"/>
        </w:rPr>
      </w:pPr>
      <w:r>
        <w:rPr>
          <w:sz w:val="24"/>
          <w:szCs w:val="24"/>
        </w:rPr>
        <w:t>The information collected will not be published.</w:t>
      </w:r>
      <w:r>
        <w:rPr>
          <w:color w:val="000000"/>
          <w:sz w:val="24"/>
          <w:szCs w:val="24"/>
        </w:rPr>
        <w:t xml:space="preserve">  </w:t>
      </w:r>
      <w:r>
        <w:rPr>
          <w:sz w:val="24"/>
          <w:szCs w:val="24"/>
        </w:rPr>
        <w:t xml:space="preserve">Information derived from the collected data will be disseminated to the public consistent with applicable requirements for nondisclosure of confidential information or used to support publicly disseminated information. NMFS will retain control over the information and safeguard it from improper access, modification, and destruction, consistent with NOAA standards for confidentiality, privacy, and electronic information. See Question 10 of this Supporting Statement for more information on confidentiality and privacy. The information collection is designed to yield data that meet all applicable information quality guidelines. Prior to dissemination, the information will be subjected to quality control measures and a pre-dissemination review pursuant to </w:t>
      </w:r>
      <w:hyperlink r:id="rId19" w:anchor="III">
        <w:r>
          <w:rPr>
            <w:color w:val="0000FF"/>
            <w:sz w:val="24"/>
            <w:szCs w:val="24"/>
            <w:u w:val="single"/>
          </w:rPr>
          <w:t>Section 515 of Public Law 106-554</w:t>
        </w:r>
      </w:hyperlink>
      <w:r>
        <w:rPr>
          <w:sz w:val="24"/>
          <w:szCs w:val="24"/>
        </w:rPr>
        <w:t>.</w:t>
      </w:r>
    </w:p>
    <w:p w:rsidR="00974B03" w14:paraId="00000147" w14:textId="61B146E9">
      <w:pPr>
        <w:rPr>
          <w:sz w:val="24"/>
          <w:szCs w:val="24"/>
        </w:rPr>
      </w:pPr>
    </w:p>
    <w:p w:rsidR="00974B03" w14:paraId="00000148" w14:textId="77777777">
      <w:pPr>
        <w:keepNext/>
        <w:keepLines/>
        <w:rPr>
          <w:b/>
          <w:sz w:val="24"/>
          <w:szCs w:val="24"/>
        </w:rPr>
      </w:pPr>
    </w:p>
    <w:p w:rsidR="00974B03" w14:paraId="00000149" w14:textId="77777777">
      <w:pPr>
        <w:widowControl/>
        <w:numPr>
          <w:ilvl w:val="0"/>
          <w:numId w:val="1"/>
        </w:numPr>
        <w:pBdr>
          <w:top w:val="nil"/>
          <w:left w:val="nil"/>
          <w:bottom w:val="nil"/>
          <w:right w:val="nil"/>
          <w:between w:val="nil"/>
        </w:pBdr>
        <w:tabs>
          <w:tab w:val="left" w:pos="360"/>
        </w:tabs>
        <w:ind w:left="0" w:firstLine="0"/>
        <w:rPr>
          <w:color w:val="000000"/>
        </w:rPr>
      </w:pPr>
      <w:r>
        <w:rPr>
          <w:b/>
          <w:color w:val="000000"/>
          <w:sz w:val="24"/>
          <w:szCs w:val="24"/>
        </w:rPr>
        <w:t xml:space="preserve"> If seeking approval to not display the expiration date for OMB approval of the information collection, explain the reasons that display would be inappropriate.</w:t>
      </w:r>
    </w:p>
    <w:p w:rsidR="00974B03" w14:paraId="0000014A" w14:textId="77777777">
      <w:pPr>
        <w:keepNext/>
        <w:keepLines/>
        <w:rPr>
          <w:sz w:val="24"/>
          <w:szCs w:val="24"/>
        </w:rPr>
      </w:pPr>
    </w:p>
    <w:p w:rsidR="00974B03" w14:paraId="0000014B" w14:textId="77777777">
      <w:pPr>
        <w:rPr>
          <w:i/>
          <w:color w:val="2F5496"/>
          <w:sz w:val="24"/>
          <w:szCs w:val="24"/>
        </w:rPr>
      </w:pPr>
      <w:r>
        <w:rPr>
          <w:sz w:val="24"/>
          <w:szCs w:val="24"/>
        </w:rPr>
        <w:t xml:space="preserve">The agency plans to display the expiration data for OMB approval of the information collection on all instruments. </w:t>
      </w:r>
    </w:p>
    <w:p w:rsidR="00974B03" w14:paraId="0000014C" w14:textId="77777777">
      <w:pPr>
        <w:rPr>
          <w:sz w:val="24"/>
          <w:szCs w:val="24"/>
        </w:rPr>
      </w:pPr>
    </w:p>
    <w:p w:rsidR="00974B03" w14:paraId="0000014D" w14:textId="77777777">
      <w:pPr>
        <w:rPr>
          <w:sz w:val="24"/>
          <w:szCs w:val="24"/>
        </w:rPr>
      </w:pPr>
      <w:r>
        <w:rPr>
          <w:b/>
          <w:color w:val="000000"/>
          <w:sz w:val="24"/>
          <w:szCs w:val="24"/>
        </w:rPr>
        <w:t>18. Explain each exception to the certification statement identified in “Certification for Paperwork Reduction Act Submissions."</w:t>
      </w:r>
    </w:p>
    <w:p w:rsidR="00974B03" w14:paraId="0000014E" w14:textId="77777777">
      <w:pPr>
        <w:rPr>
          <w:sz w:val="24"/>
          <w:szCs w:val="24"/>
        </w:rPr>
      </w:pPr>
    </w:p>
    <w:p w:rsidR="00974B03" w14:paraId="0000014F" w14:textId="77777777">
      <w:r>
        <w:rPr>
          <w:sz w:val="24"/>
          <w:szCs w:val="24"/>
        </w:rPr>
        <w:t xml:space="preserve">The agency certifies compliance with </w:t>
      </w:r>
      <w:hyperlink r:id="rId20">
        <w:r>
          <w:rPr>
            <w:color w:val="0563C1"/>
            <w:sz w:val="24"/>
            <w:szCs w:val="24"/>
            <w:u w:val="single"/>
          </w:rPr>
          <w:t>5 CFR 1320.9</w:t>
        </w:r>
      </w:hyperlink>
      <w:hyperlink r:id="rId20">
        <w:r>
          <w:rPr>
            <w:color w:val="0563C1"/>
            <w:sz w:val="24"/>
            <w:szCs w:val="24"/>
          </w:rPr>
          <w:t xml:space="preserve"> </w:t>
        </w:r>
      </w:hyperlink>
      <w:r>
        <w:rPr>
          <w:sz w:val="24"/>
          <w:szCs w:val="24"/>
        </w:rPr>
        <w:t xml:space="preserve">and the related provisions of </w:t>
      </w:r>
      <w:hyperlink r:id="rId21">
        <w:r>
          <w:rPr>
            <w:color w:val="0563C1"/>
            <w:sz w:val="24"/>
            <w:szCs w:val="24"/>
            <w:u w:val="single"/>
          </w:rPr>
          <w:t>5 CFR</w:t>
        </w:r>
      </w:hyperlink>
      <w:r>
        <w:rPr>
          <w:color w:val="0563C1"/>
          <w:sz w:val="24"/>
          <w:szCs w:val="24"/>
        </w:rPr>
        <w:t xml:space="preserve"> </w:t>
      </w:r>
      <w:hyperlink r:id="rId21">
        <w:r>
          <w:rPr>
            <w:color w:val="0563C1"/>
            <w:sz w:val="24"/>
            <w:szCs w:val="24"/>
            <w:u w:val="single"/>
          </w:rPr>
          <w:t>1320.8(b)(3)</w:t>
        </w:r>
      </w:hyperlink>
      <w:r>
        <w:rPr>
          <w:sz w:val="24"/>
          <w:szCs w:val="24"/>
        </w:rPr>
        <w:t>.</w:t>
      </w:r>
    </w:p>
    <w:sectPr w:rsidSect="00D16F8A">
      <w:footerReference w:type="default" r:id="rId22"/>
      <w:pgSz w:w="12240" w:h="15840"/>
      <w:pgMar w:top="1080" w:right="1080" w:bottom="144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4B03" w14:paraId="00000151" w14:textId="0BAF7A16">
    <w:pPr>
      <w:pBdr>
        <w:top w:val="nil"/>
        <w:left w:val="nil"/>
        <w:bottom w:val="nil"/>
        <w:right w:val="nil"/>
        <w:between w:val="nil"/>
      </w:pBdr>
      <w:tabs>
        <w:tab w:val="center" w:pos="4680"/>
        <w:tab w:val="right" w:pos="936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7B5C04">
      <w:rPr>
        <w:noProof/>
        <w:color w:val="000000"/>
        <w:sz w:val="24"/>
        <w:szCs w:val="24"/>
      </w:rPr>
      <w:t>11</w:t>
    </w:r>
    <w:r>
      <w:rPr>
        <w:color w:val="000000"/>
        <w:sz w:val="24"/>
        <w:szCs w:val="24"/>
      </w:rPr>
      <w:fldChar w:fldCharType="end"/>
    </w:r>
  </w:p>
  <w:p w:rsidR="00974B03" w14:paraId="00000152" w14:textId="7777777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C346A" w14:paraId="77735CB6" w14:textId="77777777">
      <w:r>
        <w:separator/>
      </w:r>
    </w:p>
  </w:footnote>
  <w:footnote w:type="continuationSeparator" w:id="1">
    <w:p w:rsidR="001C346A" w14:paraId="094220B3" w14:textId="77777777">
      <w:r>
        <w:continuationSeparator/>
      </w:r>
    </w:p>
  </w:footnote>
  <w:footnote w:id="2">
    <w:p w:rsidR="00974B03" w14:paraId="00000150" w14:textId="77777777">
      <w:pPr>
        <w:widowControl/>
        <w:pBdr>
          <w:top w:val="nil"/>
          <w:left w:val="nil"/>
          <w:bottom w:val="nil"/>
          <w:right w:val="nil"/>
          <w:between w:val="nil"/>
        </w:pBdr>
        <w:rPr>
          <w:color w:val="000000"/>
        </w:rPr>
      </w:pPr>
      <w:r>
        <w:rPr>
          <w:rStyle w:val="FootnoteReference"/>
        </w:rPr>
        <w:footnoteRef/>
      </w:r>
      <w:r>
        <w:rPr>
          <w:color w:val="000000"/>
        </w:rPr>
        <w:t xml:space="preserve"> As indicated above, the Chinook Salmon EDR is subject to cost recovery. These costs are the program costs estimated over the next three years. These costs are recovered annually from industry; thus, the actual cost to the Federal government is zero, as indicated in the total.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271315"/>
    <w:multiLevelType w:val="multilevel"/>
    <w:tmpl w:val="68E45D54"/>
    <w:lvl w:ilvl="0">
      <w:start w:val="1"/>
      <w:numFmt w:val="upperLetter"/>
      <w:lvlText w:val="%1."/>
      <w:lvlJc w:val="left"/>
      <w:pPr>
        <w:ind w:left="472" w:hanging="352"/>
      </w:pPr>
      <w:rPr>
        <w:rFonts w:ascii="Times New Roman" w:eastAsia="Times New Roman" w:hAnsi="Times New Roman" w:cs="Times New Roman"/>
        <w:b/>
        <w:sz w:val="24"/>
        <w:szCs w:val="24"/>
      </w:rPr>
    </w:lvl>
    <w:lvl w:ilvl="1">
      <w:start w:val="1"/>
      <w:numFmt w:val="decimal"/>
      <w:lvlText w:val="%2."/>
      <w:lvlJc w:val="left"/>
      <w:pPr>
        <w:ind w:left="120" w:hanging="300"/>
      </w:pPr>
      <w:rPr>
        <w:rFonts w:ascii="Times New Roman" w:eastAsia="Times New Roman" w:hAnsi="Times New Roman" w:cs="Times New Roman"/>
        <w:b/>
        <w:sz w:val="24"/>
        <w:szCs w:val="24"/>
      </w:rPr>
    </w:lvl>
    <w:lvl w:ilvl="2">
      <w:start w:val="1"/>
      <w:numFmt w:val="lowerLetter"/>
      <w:lvlText w:val="%3."/>
      <w:lvlJc w:val="left"/>
      <w:pPr>
        <w:ind w:left="420" w:hanging="300"/>
      </w:pPr>
      <w:rPr>
        <w:rFonts w:ascii="Times New Roman" w:eastAsia="Times New Roman" w:hAnsi="Times New Roman" w:cs="Times New Roman"/>
        <w:b/>
        <w:sz w:val="24"/>
        <w:szCs w:val="24"/>
      </w:rPr>
    </w:lvl>
    <w:lvl w:ilvl="3">
      <w:start w:val="1"/>
      <w:numFmt w:val="bullet"/>
      <w:lvlText w:val="◆"/>
      <w:lvlJc w:val="left"/>
      <w:pPr>
        <w:ind w:left="820" w:hanging="360"/>
      </w:pPr>
      <w:rPr>
        <w:rFonts w:ascii="Times New Roman" w:eastAsia="Times New Roman" w:hAnsi="Times New Roman" w:cs="Times New Roman"/>
        <w:sz w:val="24"/>
        <w:szCs w:val="24"/>
      </w:rPr>
    </w:lvl>
    <w:lvl w:ilvl="4">
      <w:start w:val="1"/>
      <w:numFmt w:val="bullet"/>
      <w:lvlText w:val="◆"/>
      <w:lvlJc w:val="left"/>
      <w:pPr>
        <w:ind w:left="1200" w:hanging="360"/>
      </w:pPr>
      <w:rPr>
        <w:rFonts w:ascii="Times New Roman" w:eastAsia="Times New Roman" w:hAnsi="Times New Roman" w:cs="Times New Roman"/>
        <w:sz w:val="24"/>
        <w:szCs w:val="24"/>
      </w:rPr>
    </w:lvl>
    <w:lvl w:ilvl="5">
      <w:start w:val="1"/>
      <w:numFmt w:val="bullet"/>
      <w:lvlText w:val="•"/>
      <w:lvlJc w:val="left"/>
      <w:pPr>
        <w:ind w:left="1180" w:hanging="360"/>
      </w:pPr>
    </w:lvl>
    <w:lvl w:ilvl="6">
      <w:start w:val="1"/>
      <w:numFmt w:val="bullet"/>
      <w:lvlText w:val="•"/>
      <w:lvlJc w:val="left"/>
      <w:pPr>
        <w:ind w:left="1180" w:hanging="360"/>
      </w:pPr>
    </w:lvl>
    <w:lvl w:ilvl="7">
      <w:start w:val="1"/>
      <w:numFmt w:val="bullet"/>
      <w:lvlText w:val="•"/>
      <w:lvlJc w:val="left"/>
      <w:pPr>
        <w:ind w:left="1200" w:hanging="360"/>
      </w:pPr>
    </w:lvl>
    <w:lvl w:ilvl="8">
      <w:start w:val="1"/>
      <w:numFmt w:val="bullet"/>
      <w:lvlText w:val="•"/>
      <w:lvlJc w:val="left"/>
      <w:pPr>
        <w:ind w:left="2700" w:hanging="360"/>
      </w:pPr>
    </w:lvl>
  </w:abstractNum>
  <w:abstractNum w:abstractNumId="1">
    <w:nsid w:val="59F56807"/>
    <w:multiLevelType w:val="multilevel"/>
    <w:tmpl w:val="3FAE761E"/>
    <w:lvl w:ilvl="0">
      <w:start w:val="1"/>
      <w:numFmt w:val="decimal"/>
      <w:lvlText w:val="%1."/>
      <w:lvlJc w:val="left"/>
      <w:pPr>
        <w:ind w:left="269" w:hanging="269"/>
      </w:pPr>
      <w:rPr>
        <w:rFonts w:ascii="Arial" w:eastAsia="Arial" w:hAnsi="Arial" w:cs="Arial"/>
        <w:b/>
        <w:sz w:val="24"/>
        <w:szCs w:val="24"/>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2">
    <w:nsid w:val="688B70A3"/>
    <w:multiLevelType w:val="multilevel"/>
    <w:tmpl w:val="B838C530"/>
    <w:lvl w:ilvl="0">
      <w:start w:val="1"/>
      <w:numFmt w:val="upperLetter"/>
      <w:lvlText w:val="%1."/>
      <w:lvlJc w:val="left"/>
      <w:pPr>
        <w:ind w:left="472" w:hanging="352"/>
      </w:pPr>
      <w:rPr>
        <w:rFonts w:ascii="Times New Roman" w:eastAsia="Times New Roman" w:hAnsi="Times New Roman" w:cs="Times New Roman"/>
        <w:b/>
        <w:sz w:val="24"/>
        <w:szCs w:val="24"/>
      </w:rPr>
    </w:lvl>
    <w:lvl w:ilvl="1">
      <w:start w:val="1"/>
      <w:numFmt w:val="decimal"/>
      <w:lvlText w:val="%2."/>
      <w:lvlJc w:val="left"/>
      <w:pPr>
        <w:ind w:left="480" w:hanging="300"/>
      </w:pPr>
      <w:rPr>
        <w:rFonts w:ascii="Times New Roman" w:eastAsia="Times New Roman" w:hAnsi="Times New Roman" w:cs="Times New Roman"/>
        <w:b/>
        <w:sz w:val="24"/>
        <w:szCs w:val="24"/>
      </w:rPr>
    </w:lvl>
    <w:lvl w:ilvl="2">
      <w:start w:val="1"/>
      <w:numFmt w:val="lowerLetter"/>
      <w:lvlText w:val="%3."/>
      <w:lvlJc w:val="left"/>
      <w:pPr>
        <w:ind w:left="420" w:hanging="300"/>
      </w:pPr>
      <w:rPr>
        <w:rFonts w:ascii="Times New Roman" w:eastAsia="Times New Roman" w:hAnsi="Times New Roman" w:cs="Times New Roman"/>
        <w:b/>
        <w:sz w:val="24"/>
        <w:szCs w:val="24"/>
      </w:rPr>
    </w:lvl>
    <w:lvl w:ilvl="3">
      <w:start w:val="1"/>
      <w:numFmt w:val="bullet"/>
      <w:lvlText w:val="◆"/>
      <w:lvlJc w:val="left"/>
      <w:pPr>
        <w:ind w:left="820" w:hanging="360"/>
      </w:pPr>
      <w:rPr>
        <w:rFonts w:ascii="Times New Roman" w:eastAsia="Times New Roman" w:hAnsi="Times New Roman" w:cs="Times New Roman"/>
        <w:sz w:val="24"/>
        <w:szCs w:val="24"/>
      </w:rPr>
    </w:lvl>
    <w:lvl w:ilvl="4">
      <w:start w:val="1"/>
      <w:numFmt w:val="bullet"/>
      <w:lvlText w:val="□"/>
      <w:lvlJc w:val="left"/>
      <w:pPr>
        <w:ind w:left="1200" w:hanging="360"/>
      </w:pPr>
      <w:rPr>
        <w:rFonts w:ascii="Times New Roman" w:eastAsia="Times New Roman" w:hAnsi="Times New Roman" w:cs="Times New Roman"/>
        <w:sz w:val="24"/>
        <w:szCs w:val="24"/>
      </w:rPr>
    </w:lvl>
    <w:lvl w:ilvl="5">
      <w:start w:val="1"/>
      <w:numFmt w:val="bullet"/>
      <w:lvlText w:val="•"/>
      <w:lvlJc w:val="left"/>
      <w:pPr>
        <w:ind w:left="1180" w:hanging="360"/>
      </w:pPr>
    </w:lvl>
    <w:lvl w:ilvl="6">
      <w:start w:val="1"/>
      <w:numFmt w:val="bullet"/>
      <w:lvlText w:val="•"/>
      <w:lvlJc w:val="left"/>
      <w:pPr>
        <w:ind w:left="1180" w:hanging="360"/>
      </w:pPr>
    </w:lvl>
    <w:lvl w:ilvl="7">
      <w:start w:val="1"/>
      <w:numFmt w:val="bullet"/>
      <w:lvlText w:val="•"/>
      <w:lvlJc w:val="left"/>
      <w:pPr>
        <w:ind w:left="1200" w:hanging="360"/>
      </w:pPr>
    </w:lvl>
    <w:lvl w:ilvl="8">
      <w:start w:val="1"/>
      <w:numFmt w:val="bullet"/>
      <w:lvlText w:val="•"/>
      <w:lvlJc w:val="left"/>
      <w:pPr>
        <w:ind w:left="2700" w:hanging="360"/>
      </w:pPr>
    </w:lvl>
  </w:abstractNum>
  <w:abstractNum w:abstractNumId="3">
    <w:nsid w:val="7AFF64AC"/>
    <w:multiLevelType w:val="multilevel"/>
    <w:tmpl w:val="B2DC5202"/>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31751124">
    <w:abstractNumId w:val="1"/>
  </w:num>
  <w:num w:numId="2" w16cid:durableId="1265071362">
    <w:abstractNumId w:val="2"/>
  </w:num>
  <w:num w:numId="3" w16cid:durableId="2146779201">
    <w:abstractNumId w:val="0"/>
  </w:num>
  <w:num w:numId="4" w16cid:durableId="1273897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B03"/>
    <w:rsid w:val="001956E9"/>
    <w:rsid w:val="001C346A"/>
    <w:rsid w:val="0025734E"/>
    <w:rsid w:val="00257459"/>
    <w:rsid w:val="00517CAD"/>
    <w:rsid w:val="005C4AFF"/>
    <w:rsid w:val="005D70B7"/>
    <w:rsid w:val="005F0B32"/>
    <w:rsid w:val="0062313E"/>
    <w:rsid w:val="007B5C04"/>
    <w:rsid w:val="0082523D"/>
    <w:rsid w:val="00842C2A"/>
    <w:rsid w:val="00974B03"/>
    <w:rsid w:val="00AC7A53"/>
    <w:rsid w:val="00D16F8A"/>
    <w:rsid w:val="00D6718D"/>
    <w:rsid w:val="00D90223"/>
    <w:rsid w:val="00E44AF6"/>
    <w:rsid w:val="00FA6298"/>
    <w:rsid w:val="00FD64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BF6C84"/>
  <w15:docId w15:val="{815CD2E4-837A-4A14-AD4F-C8DD6F4F7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29E7"/>
    <w:pPr>
      <w:autoSpaceDE w:val="0"/>
      <w:autoSpaceDN w:val="0"/>
      <w:adjustRightInd w:val="0"/>
    </w:pPr>
  </w:style>
  <w:style w:type="paragraph" w:styleId="Heading1">
    <w:name w:val="heading 1"/>
    <w:basedOn w:val="Normal"/>
    <w:next w:val="BodyText"/>
    <w:link w:val="Heading1Char"/>
    <w:uiPriority w:val="9"/>
    <w:qFormat/>
    <w:rsid w:val="009F0A25"/>
    <w:pPr>
      <w:keepNext/>
      <w:numPr>
        <w:numId w:val="4"/>
      </w:numPr>
      <w:spacing w:after="240"/>
      <w:outlineLvl w:val="0"/>
    </w:pPr>
    <w:rPr>
      <w:rFonts w:ascii="Arial" w:hAnsi="Arial"/>
      <w:b/>
      <w:caps/>
      <w:sz w:val="24"/>
      <w:szCs w:val="24"/>
    </w:rPr>
  </w:style>
  <w:style w:type="paragraph" w:styleId="Heading2">
    <w:name w:val="heading 2"/>
    <w:basedOn w:val="Normal"/>
    <w:next w:val="BodyText"/>
    <w:link w:val="Heading2Char"/>
    <w:uiPriority w:val="9"/>
    <w:semiHidden/>
    <w:unhideWhenUsed/>
    <w:qFormat/>
    <w:rsid w:val="009F0A25"/>
    <w:pPr>
      <w:keepNext/>
      <w:numPr>
        <w:ilvl w:val="1"/>
        <w:numId w:val="4"/>
      </w:numPr>
      <w:spacing w:after="240"/>
      <w:outlineLvl w:val="1"/>
    </w:pPr>
    <w:rPr>
      <w:rFonts w:ascii="Arial" w:hAnsi="Arial"/>
      <w:b/>
      <w:sz w:val="24"/>
      <w:szCs w:val="24"/>
    </w:rPr>
  </w:style>
  <w:style w:type="paragraph" w:styleId="Heading3">
    <w:name w:val="heading 3"/>
    <w:basedOn w:val="Heading2"/>
    <w:next w:val="BodyText"/>
    <w:link w:val="Heading3Char"/>
    <w:uiPriority w:val="9"/>
    <w:semiHidden/>
    <w:unhideWhenUsed/>
    <w:qFormat/>
    <w:rsid w:val="009F0A25"/>
    <w:pPr>
      <w:numPr>
        <w:ilvl w:val="2"/>
      </w:numPr>
      <w:outlineLvl w:val="2"/>
    </w:pPr>
    <w:rPr>
      <w:sz w:val="22"/>
    </w:rPr>
  </w:style>
  <w:style w:type="paragraph" w:styleId="Heading4">
    <w:name w:val="heading 4"/>
    <w:basedOn w:val="Heading3"/>
    <w:next w:val="BodyText"/>
    <w:link w:val="Heading4Char"/>
    <w:uiPriority w:val="9"/>
    <w:semiHidden/>
    <w:unhideWhenUsed/>
    <w:qFormat/>
    <w:rsid w:val="009F0A25"/>
    <w:pPr>
      <w:numPr>
        <w:ilvl w:val="3"/>
      </w:numPr>
      <w:outlineLvl w:val="3"/>
    </w:pPr>
    <w:rPr>
      <w:bCs/>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9F0A25"/>
    <w:rPr>
      <w:rFonts w:ascii="Arial" w:eastAsia="Times New Roman" w:hAnsi="Arial" w:cs="Times New Roman"/>
      <w:b/>
      <w:caps/>
      <w:sz w:val="24"/>
      <w:szCs w:val="24"/>
    </w:rPr>
  </w:style>
  <w:style w:type="paragraph" w:styleId="BodyText">
    <w:name w:val="Body Text"/>
    <w:basedOn w:val="Normal"/>
    <w:link w:val="BodyTextChar"/>
    <w:uiPriority w:val="1"/>
    <w:unhideWhenUsed/>
    <w:qFormat/>
    <w:rsid w:val="009F0A25"/>
    <w:pPr>
      <w:spacing w:after="120"/>
    </w:pPr>
  </w:style>
  <w:style w:type="character" w:customStyle="1" w:styleId="BodyTextChar">
    <w:name w:val="Body Text Char"/>
    <w:basedOn w:val="DefaultParagraphFont"/>
    <w:link w:val="BodyText"/>
    <w:uiPriority w:val="99"/>
    <w:semiHidden/>
    <w:rsid w:val="009F0A25"/>
  </w:style>
  <w:style w:type="character" w:customStyle="1" w:styleId="Heading2Char">
    <w:name w:val="Heading 2 Char"/>
    <w:basedOn w:val="DefaultParagraphFont"/>
    <w:link w:val="Heading2"/>
    <w:rsid w:val="009F0A25"/>
    <w:rPr>
      <w:rFonts w:ascii="Arial" w:eastAsia="Times New Roman" w:hAnsi="Arial" w:cs="Times New Roman"/>
      <w:b/>
      <w:sz w:val="24"/>
      <w:szCs w:val="24"/>
    </w:rPr>
  </w:style>
  <w:style w:type="character" w:customStyle="1" w:styleId="Heading3Char">
    <w:name w:val="Heading 3 Char"/>
    <w:basedOn w:val="DefaultParagraphFont"/>
    <w:link w:val="Heading3"/>
    <w:rsid w:val="009F0A25"/>
    <w:rPr>
      <w:rFonts w:ascii="Arial" w:eastAsia="Times New Roman" w:hAnsi="Arial" w:cs="Times New Roman"/>
      <w:b/>
      <w:szCs w:val="24"/>
    </w:rPr>
  </w:style>
  <w:style w:type="character" w:customStyle="1" w:styleId="Heading4Char">
    <w:name w:val="Heading 4 Char"/>
    <w:basedOn w:val="DefaultParagraphFont"/>
    <w:link w:val="Heading4"/>
    <w:rsid w:val="009F0A25"/>
    <w:rPr>
      <w:rFonts w:ascii="Arial" w:eastAsia="Times New Roman" w:hAnsi="Arial" w:cs="Times New Roman"/>
      <w:b/>
      <w:bCs/>
      <w:sz w:val="20"/>
      <w:szCs w:val="20"/>
    </w:rPr>
  </w:style>
  <w:style w:type="paragraph" w:styleId="Caption">
    <w:name w:val="caption"/>
    <w:basedOn w:val="Normal"/>
    <w:next w:val="Normal"/>
    <w:qFormat/>
    <w:rsid w:val="009F0A25"/>
    <w:pPr>
      <w:spacing w:before="20" w:after="240"/>
      <w:jc w:val="center"/>
    </w:pPr>
    <w:rPr>
      <w:b/>
      <w:bCs/>
    </w:rPr>
  </w:style>
  <w:style w:type="character" w:styleId="Hyperlink">
    <w:name w:val="Hyperlink"/>
    <w:basedOn w:val="DefaultParagraphFont"/>
    <w:uiPriority w:val="99"/>
    <w:rsid w:val="00620321"/>
    <w:rPr>
      <w:rFonts w:cs="Times New Roman"/>
      <w:color w:val="0000FF"/>
      <w:u w:val="single"/>
    </w:rPr>
  </w:style>
  <w:style w:type="paragraph" w:styleId="Header">
    <w:name w:val="header"/>
    <w:basedOn w:val="Normal"/>
    <w:link w:val="HeaderChar"/>
    <w:uiPriority w:val="99"/>
    <w:unhideWhenUsed/>
    <w:rsid w:val="00F50128"/>
    <w:pPr>
      <w:tabs>
        <w:tab w:val="center" w:pos="4680"/>
        <w:tab w:val="right" w:pos="9360"/>
      </w:tabs>
    </w:pPr>
  </w:style>
  <w:style w:type="character" w:customStyle="1" w:styleId="HeaderChar">
    <w:name w:val="Header Char"/>
    <w:basedOn w:val="DefaultParagraphFont"/>
    <w:link w:val="Header"/>
    <w:uiPriority w:val="99"/>
    <w:rsid w:val="00F50128"/>
    <w:rPr>
      <w:rFonts w:ascii="Times New Roman" w:eastAsia="Times New Roman" w:hAnsi="Times New Roman"/>
    </w:rPr>
  </w:style>
  <w:style w:type="paragraph" w:styleId="Footer">
    <w:name w:val="footer"/>
    <w:basedOn w:val="Normal"/>
    <w:link w:val="FooterChar"/>
    <w:uiPriority w:val="99"/>
    <w:unhideWhenUsed/>
    <w:rsid w:val="00F50128"/>
    <w:pPr>
      <w:tabs>
        <w:tab w:val="center" w:pos="4680"/>
        <w:tab w:val="right" w:pos="9360"/>
      </w:tabs>
    </w:pPr>
  </w:style>
  <w:style w:type="character" w:customStyle="1" w:styleId="FooterChar">
    <w:name w:val="Footer Char"/>
    <w:basedOn w:val="DefaultParagraphFont"/>
    <w:link w:val="Footer"/>
    <w:uiPriority w:val="99"/>
    <w:rsid w:val="00F50128"/>
    <w:rPr>
      <w:rFonts w:ascii="Times New Roman" w:eastAsia="Times New Roman" w:hAnsi="Times New Roman"/>
    </w:rPr>
  </w:style>
  <w:style w:type="character" w:styleId="CommentReference">
    <w:name w:val="annotation reference"/>
    <w:basedOn w:val="DefaultParagraphFont"/>
    <w:uiPriority w:val="99"/>
    <w:rsid w:val="00F50128"/>
    <w:rPr>
      <w:rFonts w:cs="Times New Roman"/>
      <w:sz w:val="16"/>
      <w:szCs w:val="16"/>
    </w:rPr>
  </w:style>
  <w:style w:type="paragraph" w:styleId="CommentText">
    <w:name w:val="annotation text"/>
    <w:basedOn w:val="Normal"/>
    <w:link w:val="CommentTextChar"/>
    <w:autoRedefine/>
    <w:uiPriority w:val="99"/>
    <w:qFormat/>
    <w:rsid w:val="003329E7"/>
    <w:rPr>
      <w:rFonts w:ascii="Arial" w:hAnsi="Arial"/>
      <w:sz w:val="24"/>
    </w:rPr>
  </w:style>
  <w:style w:type="character" w:customStyle="1" w:styleId="CommentTextChar">
    <w:name w:val="Comment Text Char"/>
    <w:basedOn w:val="DefaultParagraphFont"/>
    <w:link w:val="CommentText"/>
    <w:uiPriority w:val="99"/>
    <w:rsid w:val="003329E7"/>
    <w:rPr>
      <w:rFonts w:ascii="Arial" w:eastAsia="Times New Roman" w:hAnsi="Arial"/>
      <w:sz w:val="24"/>
    </w:rPr>
  </w:style>
  <w:style w:type="paragraph" w:styleId="FootnoteText">
    <w:name w:val="footnote text"/>
    <w:aliases w:val="Char,Char Char Char Char"/>
    <w:basedOn w:val="Normal"/>
    <w:link w:val="FootnoteTextChar"/>
    <w:rsid w:val="00F50128"/>
    <w:pPr>
      <w:widowControl/>
      <w:autoSpaceDE/>
      <w:autoSpaceDN/>
      <w:adjustRightInd/>
    </w:pPr>
  </w:style>
  <w:style w:type="character" w:customStyle="1" w:styleId="FootnoteTextChar">
    <w:name w:val="Footnote Text Char"/>
    <w:aliases w:val="Char Char,Char Char Char Char Char"/>
    <w:basedOn w:val="DefaultParagraphFont"/>
    <w:link w:val="FootnoteText"/>
    <w:uiPriority w:val="99"/>
    <w:rsid w:val="00F50128"/>
    <w:rPr>
      <w:rFonts w:ascii="Times New Roman" w:eastAsia="Times New Roman" w:hAnsi="Times New Roman"/>
    </w:rPr>
  </w:style>
  <w:style w:type="character" w:styleId="FootnoteReference">
    <w:name w:val="footnote reference"/>
    <w:basedOn w:val="DefaultParagraphFont"/>
    <w:rsid w:val="00F50128"/>
    <w:rPr>
      <w:rFonts w:cs="Times New Roman"/>
      <w:vertAlign w:val="superscript"/>
    </w:rPr>
  </w:style>
  <w:style w:type="paragraph" w:styleId="ListParagraph">
    <w:name w:val="List Paragraph"/>
    <w:basedOn w:val="Normal"/>
    <w:uiPriority w:val="1"/>
    <w:qFormat/>
    <w:rsid w:val="00F50128"/>
    <w:pPr>
      <w:widowControl/>
      <w:autoSpaceDE/>
      <w:autoSpaceDN/>
      <w:adjustRightInd/>
      <w:spacing w:after="200" w:line="276" w:lineRule="auto"/>
      <w:ind w:left="720"/>
      <w:contextualSpacing/>
    </w:pPr>
    <w:rPr>
      <w:rFonts w:ascii="Calibri" w:hAnsi="Calibri"/>
      <w:sz w:val="22"/>
      <w:szCs w:val="22"/>
    </w:rPr>
  </w:style>
  <w:style w:type="paragraph" w:styleId="BalloonText">
    <w:name w:val="Balloon Text"/>
    <w:basedOn w:val="Normal"/>
    <w:link w:val="BalloonTextChar"/>
    <w:uiPriority w:val="99"/>
    <w:semiHidden/>
    <w:unhideWhenUsed/>
    <w:rsid w:val="00F50128"/>
    <w:rPr>
      <w:rFonts w:ascii="Tahoma" w:hAnsi="Tahoma" w:cs="Tahoma"/>
      <w:sz w:val="16"/>
      <w:szCs w:val="16"/>
    </w:rPr>
  </w:style>
  <w:style w:type="character" w:customStyle="1" w:styleId="BalloonTextChar">
    <w:name w:val="Balloon Text Char"/>
    <w:basedOn w:val="DefaultParagraphFont"/>
    <w:link w:val="BalloonText"/>
    <w:uiPriority w:val="99"/>
    <w:semiHidden/>
    <w:rsid w:val="00F50128"/>
    <w:rPr>
      <w:rFonts w:ascii="Tahoma" w:eastAsia="Times New Roman" w:hAnsi="Tahoma" w:cs="Tahoma"/>
      <w:sz w:val="16"/>
      <w:szCs w:val="16"/>
    </w:rPr>
  </w:style>
  <w:style w:type="paragraph" w:styleId="HTMLPreformatted">
    <w:name w:val="HTML Preformatted"/>
    <w:basedOn w:val="Normal"/>
    <w:link w:val="HTMLPreformattedChar"/>
    <w:rsid w:val="00E61B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Arial Unicode MS" w:eastAsia="Arial Unicode MS" w:hAnsi="Arial Unicode MS" w:cs="Arial Unicode MS"/>
    </w:rPr>
  </w:style>
  <w:style w:type="character" w:customStyle="1" w:styleId="HTMLPreformattedChar">
    <w:name w:val="HTML Preformatted Char"/>
    <w:basedOn w:val="DefaultParagraphFont"/>
    <w:link w:val="HTMLPreformatted"/>
    <w:rsid w:val="00E61BDD"/>
    <w:rPr>
      <w:rFonts w:ascii="Arial Unicode MS" w:eastAsia="Arial Unicode MS" w:hAnsi="Arial Unicode MS" w:cs="Arial Unicode MS"/>
    </w:rPr>
  </w:style>
  <w:style w:type="paragraph" w:styleId="CommentSubject">
    <w:name w:val="annotation subject"/>
    <w:basedOn w:val="CommentText"/>
    <w:next w:val="CommentText"/>
    <w:semiHidden/>
    <w:rsid w:val="002A6B9F"/>
    <w:rPr>
      <w:b/>
      <w:bCs/>
    </w:rPr>
  </w:style>
  <w:style w:type="table" w:styleId="TableGrid">
    <w:name w:val="Table Grid"/>
    <w:basedOn w:val="TableNormal"/>
    <w:uiPriority w:val="59"/>
    <w:rsid w:val="002B7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33E51"/>
    <w:pPr>
      <w:autoSpaceDE/>
      <w:autoSpaceDN/>
      <w:adjustRightInd/>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761553"/>
    <w:rPr>
      <w:color w:val="800080" w:themeColor="followedHyperlink"/>
      <w:u w:val="single"/>
    </w:rPr>
  </w:style>
  <w:style w:type="paragraph" w:styleId="Revision">
    <w:name w:val="Revision"/>
    <w:hidden/>
    <w:uiPriority w:val="99"/>
    <w:semiHidden/>
    <w:rsid w:val="00D26E7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chinookedr.psmfc.org/" TargetMode="External" /><Relationship Id="rId11" Type="http://schemas.openxmlformats.org/officeDocument/2006/relationships/hyperlink" Target="https://www.ecfr.gov/current/title-50/chapter-VI/part-679/subpart-F/section-679.65" TargetMode="External" /><Relationship Id="rId12" Type="http://schemas.openxmlformats.org/officeDocument/2006/relationships/hyperlink" Target="https://www.noaa.gov/organization/administration/nao-216-100-protection-of-confidential-fisheries-statistics" TargetMode="External" /><Relationship Id="rId13" Type="http://schemas.openxmlformats.org/officeDocument/2006/relationships/hyperlink" Target="https://www.ecfr.gov/cgi-bin/text-idx?SID=2e229bf26f75a70458840cf72a1f83da&amp;mc=true&amp;node=se50.12.600_1415&amp;rgn=div8" TargetMode="External" /><Relationship Id="rId14" Type="http://schemas.openxmlformats.org/officeDocument/2006/relationships/hyperlink" Target="http://www.justice.gov/sites/default/files/oip/legacy/2014/07/23/amended-foia-redlined.pdf" TargetMode="External" /><Relationship Id="rId15" Type="http://schemas.openxmlformats.org/officeDocument/2006/relationships/hyperlink" Target="https://www.law.cornell.edu/uscode/text/18/1905" TargetMode="External" /><Relationship Id="rId16" Type="http://schemas.openxmlformats.org/officeDocument/2006/relationships/hyperlink" Target="https://www.commerce.gov/node/4990" TargetMode="External" /><Relationship Id="rId17" Type="http://schemas.openxmlformats.org/officeDocument/2006/relationships/hyperlink" Target="https://www.commerce.gov/sites/default/files/2025-03/NOAA4700%20PIA%20FY25%20SAOP_Approved.pdf" TargetMode="External" /><Relationship Id="rId18" Type="http://schemas.openxmlformats.org/officeDocument/2006/relationships/hyperlink" Target="https://www.commerce.gov/sites/default/files/2024-01/CAPS_rpStandard_2024.pdf" TargetMode="External" /><Relationship Id="rId19" Type="http://schemas.openxmlformats.org/officeDocument/2006/relationships/hyperlink" Target="https://www.noaa.gov/organization/information-technology/policy-oversight/information-quality/information-quality-guidelines" TargetMode="External" /><Relationship Id="rId2" Type="http://schemas.openxmlformats.org/officeDocument/2006/relationships/settings" Target="settings.xml" /><Relationship Id="rId20" Type="http://schemas.openxmlformats.org/officeDocument/2006/relationships/hyperlink" Target="http://www.gpo.gov/fdsys/pkg/CFR-2014-title5-vol3/pdf/CFR-2014-title5-vol3-sec1320-9.pdf" TargetMode="External" /><Relationship Id="rId21" Type="http://schemas.openxmlformats.org/officeDocument/2006/relationships/hyperlink" Target="http://www.gpo.gov/fdsys/pkg/CFR-2014-title5-vol3/pdf/CFR-2014-title5-vol3-sec1320-8.pdf" TargetMode="External"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fisheries.noaa.gov/resource/document/magnuson-stevens-fishery-conservation-and-management-act" TargetMode="External" /><Relationship Id="rId7" Type="http://schemas.openxmlformats.org/officeDocument/2006/relationships/hyperlink" Target="https://www.ecfr.gov/current/title-50/chapter-VI/part-679" TargetMode="External" /><Relationship Id="rId8" Type="http://schemas.openxmlformats.org/officeDocument/2006/relationships/hyperlink" Target="https://www.fisheries.noaa.gov/alaska/rules-and-regulations/regulations-acts-treaties-and-agreements-federal-fisheries-alaska" TargetMode="External" /><Relationship Id="rId9" Type="http://schemas.openxmlformats.org/officeDocument/2006/relationships/hyperlink" Target="https://www.ecfr.gov/current/title-50/chapter-VI/part-679/subpart-A/section-679.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N+y8zdOx3Y/GL9m1ACQW2n6WQ==">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5271</Words>
  <Characters>30049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A. Miller</dc:creator>
  <cp:lastModifiedBy>Adrienne.Thomas</cp:lastModifiedBy>
  <cp:revision>3</cp:revision>
  <dcterms:created xsi:type="dcterms:W3CDTF">2025-11-21T17:18:00Z</dcterms:created>
  <dcterms:modified xsi:type="dcterms:W3CDTF">2025-11-21T17:27:00Z</dcterms:modified>
</cp:coreProperties>
</file>