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1FDC" w:rsidRPr="00D86B79" w:rsidP="00C25F7F" w14:paraId="2A803D0A" w14:textId="77777777">
      <w:pPr>
        <w:jc w:val="center"/>
        <w:rPr>
          <w:b/>
          <w:bCs/>
        </w:rPr>
      </w:pPr>
      <w:r w:rsidRPr="00D86B79">
        <w:rPr>
          <w:b/>
          <w:bCs/>
        </w:rPr>
        <w:t>SUPPORTING STATEMENT</w:t>
      </w:r>
    </w:p>
    <w:p w:rsidR="00441FDC" w:rsidRPr="00D86B79" w:rsidP="00C25F7F" w14:paraId="14B26806" w14:textId="77777777">
      <w:pPr>
        <w:jc w:val="center"/>
        <w:rPr>
          <w:b/>
          <w:bCs/>
        </w:rPr>
      </w:pPr>
      <w:r w:rsidRPr="00D86B79">
        <w:rPr>
          <w:b/>
          <w:bCs/>
        </w:rPr>
        <w:t>U.S. Department of Commerce</w:t>
      </w:r>
    </w:p>
    <w:p w:rsidR="00441FDC" w:rsidRPr="00D86B79" w:rsidP="00C25F7F" w14:paraId="1B4D7B49" w14:textId="77777777">
      <w:pPr>
        <w:jc w:val="center"/>
        <w:rPr>
          <w:b/>
          <w:bCs/>
        </w:rPr>
      </w:pPr>
      <w:r w:rsidRPr="00D86B79">
        <w:rPr>
          <w:b/>
          <w:bCs/>
        </w:rPr>
        <w:t>National Oceanic &amp; Atmospheric Administration</w:t>
      </w:r>
    </w:p>
    <w:p w:rsidR="00441FDC" w:rsidRPr="00D86B79" w:rsidP="00C25F7F" w14:paraId="067F4F7A" w14:textId="0ECF0A64">
      <w:pPr>
        <w:jc w:val="center"/>
        <w:rPr>
          <w:b/>
          <w:bCs/>
        </w:rPr>
      </w:pPr>
      <w:r w:rsidRPr="00D86B79">
        <w:rPr>
          <w:b/>
          <w:bCs/>
        </w:rPr>
        <w:t>Pacific Cod Trawl Cooperative Program</w:t>
      </w:r>
    </w:p>
    <w:p w:rsidR="00441FDC" w:rsidRPr="00D86B79" w:rsidP="00C25F7F" w14:paraId="5D18B863" w14:textId="37CE66B6">
      <w:pPr>
        <w:jc w:val="center"/>
        <w:rPr>
          <w:b/>
          <w:bCs/>
        </w:rPr>
      </w:pPr>
      <w:r w:rsidRPr="00D86B79">
        <w:rPr>
          <w:b/>
          <w:bCs/>
        </w:rPr>
        <w:t>OMB Control No. 0648-</w:t>
      </w:r>
      <w:r w:rsidRPr="00D86B79" w:rsidR="00736A9B">
        <w:rPr>
          <w:b/>
          <w:bCs/>
        </w:rPr>
        <w:t>0811</w:t>
      </w:r>
    </w:p>
    <w:p w:rsidR="00C25F7F" w:rsidP="00D86B79" w14:paraId="664382B9" w14:textId="77777777">
      <w:pPr>
        <w:spacing w:after="120"/>
        <w:rPr>
          <w:b/>
          <w:bCs/>
        </w:rPr>
      </w:pPr>
    </w:p>
    <w:p w:rsidR="00817D33" w:rsidRPr="00D86B79" w:rsidP="00D86B79" w14:paraId="023BA844" w14:textId="59F34FA6">
      <w:pPr>
        <w:spacing w:after="120"/>
        <w:rPr>
          <w:b/>
          <w:bCs/>
        </w:rPr>
      </w:pPr>
      <w:r w:rsidRPr="00D86B79">
        <w:rPr>
          <w:b/>
          <w:bCs/>
        </w:rPr>
        <w:t>Abstract</w:t>
      </w:r>
    </w:p>
    <w:p w:rsidR="00D01AEA" w:rsidP="00BC6FB4" w14:paraId="2FF7DD5A" w14:textId="613285D7">
      <w:pPr>
        <w:widowControl/>
        <w:spacing w:after="120"/>
      </w:pPr>
      <w:r w:rsidRPr="00997CC3">
        <w:t xml:space="preserve">This is a </w:t>
      </w:r>
      <w:r w:rsidR="005B1520">
        <w:t>request for</w:t>
      </w:r>
      <w:r w:rsidR="00817D33">
        <w:t xml:space="preserve"> revision</w:t>
      </w:r>
      <w:r w:rsidR="005B1520">
        <w:t xml:space="preserve"> and extension</w:t>
      </w:r>
      <w:r w:rsidR="00817D33">
        <w:t xml:space="preserve"> of a previously approved collection for </w:t>
      </w:r>
      <w:r>
        <w:t xml:space="preserve">the Pacific Cod Trawl Cooperative Program (PCTC Program). </w:t>
      </w:r>
      <w:r w:rsidRPr="00C300D5" w:rsidR="00C300D5">
        <w:t xml:space="preserve">This collection contains ongoing information collection requirements submitted by participating harvesters and processors for the following forms: (1) Application for PCTC Program </w:t>
      </w:r>
      <w:r w:rsidR="003D0EF1">
        <w:t>Cooperative Quota (</w:t>
      </w:r>
      <w:r w:rsidRPr="00C300D5" w:rsidR="00C300D5">
        <w:t>CQ</w:t>
      </w:r>
      <w:r w:rsidR="003D0EF1">
        <w:t>)</w:t>
      </w:r>
      <w:r w:rsidRPr="00C300D5" w:rsidR="00C300D5">
        <w:t xml:space="preserve">, (2) Application for Inter-Cooperative Transfer of CQ, (3) Application for Transfer of PCTC Program </w:t>
      </w:r>
      <w:r w:rsidR="003D0EF1">
        <w:t>Quota Share (</w:t>
      </w:r>
      <w:r w:rsidRPr="00C300D5" w:rsidR="00C300D5">
        <w:t>QS</w:t>
      </w:r>
      <w:r w:rsidR="003D0EF1">
        <w:t>)</w:t>
      </w:r>
      <w:r w:rsidRPr="00C300D5" w:rsidR="00C300D5">
        <w:t xml:space="preserve"> for Processors, and (4) Notification of Intent to Process PCTC Program Pacific Cod. As part of this revision, NMFS is removing the following forms which are no longer needed: (1) Application for PCTC Program Quota Share (QS) and (2) Ninety-Day Transfer Window for Non-Exempt American Fisheries Act (AFA) License Limitation Program (LLP) holders.</w:t>
      </w:r>
      <w:r w:rsidR="00C300D5">
        <w:t xml:space="preserve"> This revision also removes the formal appeal process for </w:t>
      </w:r>
      <w:r w:rsidR="00CF55F9">
        <w:t>CQ allocations, as this was only used during implementation of the program.</w:t>
      </w:r>
    </w:p>
    <w:p w:rsidR="00D01AEA" w:rsidP="00BC6FB4" w14:paraId="6325CB84" w14:textId="01BBAD19">
      <w:pPr>
        <w:widowControl/>
        <w:spacing w:after="120"/>
      </w:pPr>
      <w:r>
        <w:t>The PCTC Program is a limited access privilege program</w:t>
      </w:r>
      <w:r w:rsidR="005D25F7">
        <w:t xml:space="preserve"> (LAPP)</w:t>
      </w:r>
      <w:r>
        <w:t xml:space="preserve"> for the harvest of Pacific cod in the Bering Sea and Aleutian Islands</w:t>
      </w:r>
      <w:r w:rsidR="005B1520">
        <w:t xml:space="preserve"> (BSAI)</w:t>
      </w:r>
      <w:r>
        <w:t xml:space="preserve"> trawl catcher vessel sector. This program is necessary to increase the value of </w:t>
      </w:r>
      <w:r w:rsidR="009500F4">
        <w:t>fishery</w:t>
      </w:r>
      <w:r>
        <w:t xml:space="preserve">, minimize bycatch to the extent practicable, provide for the sustained participation of fishery-dependent communities, ensure the sustainability and viability of the resource, and promote safety and stability in the harvesting and processing sectors. </w:t>
      </w:r>
    </w:p>
    <w:p w:rsidR="00D01AEA" w:rsidP="00BC6FB4" w14:paraId="02FB5779" w14:textId="5CC8D69F">
      <w:pPr>
        <w:widowControl/>
        <w:spacing w:after="120"/>
      </w:pPr>
      <w:r w:rsidRPr="005D38F5">
        <w:t>This information collection contain</w:t>
      </w:r>
      <w:r>
        <w:t>s</w:t>
      </w:r>
      <w:r w:rsidRPr="005D38F5">
        <w:t xml:space="preserve"> the collection instruments necessary </w:t>
      </w:r>
      <w:r>
        <w:t xml:space="preserve">for </w:t>
      </w:r>
      <w:r w:rsidR="005B1520">
        <w:t>the National Marine Fisheries Service (</w:t>
      </w:r>
      <w:r>
        <w:t>NMFS</w:t>
      </w:r>
      <w:r w:rsidR="005B1520">
        <w:t>)</w:t>
      </w:r>
      <w:r>
        <w:t xml:space="preserve"> </w:t>
      </w:r>
      <w:r w:rsidRPr="005D38F5">
        <w:t xml:space="preserve">to implement the PCTC Program and manage cooperative quota and quota share in this fishery. </w:t>
      </w:r>
    </w:p>
    <w:p w:rsidR="005B1520" w:rsidP="00D86B79" w14:paraId="321DACC4" w14:textId="77777777">
      <w:pPr>
        <w:spacing w:after="120"/>
        <w:rPr>
          <w:b/>
          <w:bCs/>
        </w:rPr>
      </w:pPr>
    </w:p>
    <w:p w:rsidR="00441FDC" w:rsidRPr="00D86B79" w:rsidP="00D86B79" w14:paraId="34BDEE60" w14:textId="1FDE66E2">
      <w:pPr>
        <w:spacing w:after="120"/>
        <w:rPr>
          <w:b/>
          <w:bCs/>
        </w:rPr>
      </w:pPr>
      <w:r w:rsidRPr="00D86B79">
        <w:rPr>
          <w:b/>
          <w:bCs/>
        </w:rPr>
        <w:t>Justification</w:t>
      </w:r>
    </w:p>
    <w:p w:rsidR="00A01E86" w:rsidRPr="00FB1A4F" w:rsidP="00D86B79" w14:paraId="32E51A35" w14:textId="24AB2697">
      <w:pPr>
        <w:pStyle w:val="Heading2"/>
        <w:numPr>
          <w:ilvl w:val="0"/>
          <w:numId w:val="27"/>
        </w:numPr>
      </w:pPr>
      <w:r w:rsidRPr="002117F4">
        <w:t xml:space="preserve">Explain the circumstances that make the collection of information necessary. Identify any legal or administrative requirements that necessitate the collection. </w:t>
      </w:r>
      <w:r w:rsidRPr="00FB1A4F">
        <w:t>Attach a copy of the appropriate section of each statute and regulation mandating or authorizing the collection of information.</w:t>
      </w:r>
    </w:p>
    <w:p w:rsidR="00D01AEA" w:rsidRPr="00BC6FB4" w:rsidP="00BC6FB4" w14:paraId="558E8DE5" w14:textId="5F4C2D66">
      <w:pPr>
        <w:widowControl/>
        <w:autoSpaceDE w:val="0"/>
        <w:autoSpaceDN w:val="0"/>
        <w:spacing w:after="120"/>
        <w:rPr>
          <w:rFonts w:eastAsiaTheme="minorHAnsi" w:cstheme="minorBidi"/>
        </w:rPr>
      </w:pPr>
      <w:r w:rsidRPr="004D36C8">
        <w:rPr>
          <w:rFonts w:eastAsiaTheme="minorHAnsi" w:cstheme="minorBidi"/>
        </w:rPr>
        <w:t>NMFS manages the groundfish fisheries in the Exclusive Economic Zone</w:t>
      </w:r>
      <w:r w:rsidR="005B1520">
        <w:rPr>
          <w:rFonts w:eastAsiaTheme="minorHAnsi" w:cstheme="minorBidi"/>
        </w:rPr>
        <w:t xml:space="preserve"> (EEZ)</w:t>
      </w:r>
      <w:r w:rsidRPr="004D36C8">
        <w:rPr>
          <w:rFonts w:eastAsiaTheme="minorHAnsi" w:cstheme="minorBidi"/>
        </w:rPr>
        <w:t xml:space="preserve"> off the coast of Alaska under the Fishery Management Plan for Groundfish of the Bering Sea and Aleutian Islands Management Area</w:t>
      </w:r>
      <w:r w:rsidR="00A01E86">
        <w:rPr>
          <w:rFonts w:eastAsiaTheme="minorHAnsi" w:cstheme="minorBidi"/>
        </w:rPr>
        <w:t xml:space="preserve"> (BSAI FMP)</w:t>
      </w:r>
      <w:r>
        <w:rPr>
          <w:rStyle w:val="FootnoteReference"/>
          <w:rFonts w:eastAsiaTheme="minorHAnsi" w:cstheme="minorBidi"/>
        </w:rPr>
        <w:footnoteReference w:id="2"/>
      </w:r>
      <w:r w:rsidRPr="004D36C8">
        <w:rPr>
          <w:rFonts w:eastAsiaTheme="minorHAnsi" w:cstheme="minorBidi"/>
        </w:rPr>
        <w:t>, the Fishery Management Plan for Groundfish of the Gulf of Alaska (GOA FMP)</w:t>
      </w:r>
      <w:r>
        <w:rPr>
          <w:rStyle w:val="FootnoteReference"/>
          <w:rFonts w:eastAsiaTheme="minorHAnsi" w:cstheme="minorBidi"/>
        </w:rPr>
        <w:footnoteReference w:id="3"/>
      </w:r>
      <w:r w:rsidRPr="004D36C8">
        <w:rPr>
          <w:rFonts w:eastAsiaTheme="minorHAnsi" w:cstheme="minorBidi"/>
        </w:rPr>
        <w:t>, and the</w:t>
      </w:r>
      <w:r w:rsidR="00E363DD">
        <w:rPr>
          <w:rFonts w:eastAsiaTheme="minorHAnsi" w:cstheme="minorBidi"/>
        </w:rPr>
        <w:t xml:space="preserve"> Northern Pacific Halibut Act of 1982, 16 U.S.C. 773c</w:t>
      </w:r>
      <w:r w:rsidRPr="004D36C8">
        <w:rPr>
          <w:rFonts w:eastAsiaTheme="minorHAnsi" w:cstheme="minorBidi"/>
        </w:rPr>
        <w:t>.</w:t>
      </w:r>
      <w:r>
        <w:rPr>
          <w:rStyle w:val="FootnoteReference"/>
          <w:rFonts w:eastAsiaTheme="minorHAnsi" w:cstheme="minorBidi"/>
        </w:rPr>
        <w:footnoteReference w:id="4"/>
      </w:r>
      <w:r w:rsidRPr="004D36C8">
        <w:rPr>
          <w:rFonts w:eastAsiaTheme="minorHAnsi" w:cstheme="minorBidi"/>
        </w:rPr>
        <w:t xml:space="preserve"> The fishery management plans were prepared by the North Pacific Fishery Management Council (Council). The</w:t>
      </w:r>
      <w:r w:rsidRPr="00E363DD" w:rsidR="00E363DD">
        <w:t xml:space="preserve"> </w:t>
      </w:r>
      <w:r w:rsidRPr="00E363DD" w:rsidR="00E363DD">
        <w:rPr>
          <w:rFonts w:eastAsiaTheme="minorHAnsi" w:cstheme="minorBidi"/>
        </w:rPr>
        <w:t>Magnuson-Stevens Fishery Conservation and Management Act</w:t>
      </w:r>
      <w:r w:rsidRPr="004D36C8">
        <w:rPr>
          <w:rFonts w:eastAsiaTheme="minorHAnsi" w:cstheme="minorBidi"/>
        </w:rPr>
        <w:t xml:space="preserve">, 16 U.S.C. 1801 </w:t>
      </w:r>
      <w:r w:rsidRPr="004D36C8">
        <w:rPr>
          <w:rFonts w:eastAsiaTheme="minorHAnsi" w:cstheme="minorBidi"/>
          <w:i/>
        </w:rPr>
        <w:t>et seq</w:t>
      </w:r>
      <w:r w:rsidRPr="004D36C8">
        <w:rPr>
          <w:rFonts w:eastAsiaTheme="minorHAnsi" w:cstheme="minorBidi"/>
        </w:rPr>
        <w:t>. (Magnuson-Stevens Act) authorizes the Council to prepare and amend fishery management plans for any fishery in waters under its jurisdiction.</w:t>
      </w:r>
      <w:r>
        <w:rPr>
          <w:rStyle w:val="FootnoteReference"/>
          <w:rFonts w:eastAsiaTheme="minorHAnsi" w:cstheme="minorBidi"/>
        </w:rPr>
        <w:footnoteReference w:id="5"/>
      </w:r>
    </w:p>
    <w:p w:rsidR="00D01AEA" w:rsidP="00BC6FB4" w14:paraId="1A5BCFC9" w14:textId="5F8B9994">
      <w:pPr>
        <w:widowControl/>
        <w:spacing w:after="120"/>
      </w:pPr>
      <w:r>
        <w:t xml:space="preserve">This is </w:t>
      </w:r>
      <w:r w:rsidR="00A01E86">
        <w:t>an existing</w:t>
      </w:r>
      <w:r>
        <w:t xml:space="preserve"> information collection </w:t>
      </w:r>
      <w:r w:rsidR="000E45F0">
        <w:t xml:space="preserve">for this program </w:t>
      </w:r>
      <w:r>
        <w:t xml:space="preserve">that is necessary due to </w:t>
      </w:r>
      <w:r w:rsidR="00A01E86">
        <w:t>the implementation of</w:t>
      </w:r>
      <w:r w:rsidRPr="004D36C8">
        <w:t xml:space="preserve"> Amendment 122 to the </w:t>
      </w:r>
      <w:r w:rsidR="00A01E86">
        <w:t>BSAI FMP</w:t>
      </w:r>
      <w:r>
        <w:t xml:space="preserve"> </w:t>
      </w:r>
      <w:r w:rsidRPr="004D36C8">
        <w:t>(</w:t>
      </w:r>
      <w:r w:rsidR="00E363DD">
        <w:t>88 FR 53704</w:t>
      </w:r>
      <w:r w:rsidRPr="004D36C8">
        <w:t>)</w:t>
      </w:r>
      <w:r>
        <w:t>.</w:t>
      </w:r>
      <w:r>
        <w:rPr>
          <w:rStyle w:val="FootnoteReference"/>
        </w:rPr>
        <w:footnoteReference w:id="6"/>
      </w:r>
      <w:r>
        <w:t xml:space="preserve"> Amendment 122</w:t>
      </w:r>
      <w:r w:rsidRPr="004D36C8">
        <w:t xml:space="preserve"> establish</w:t>
      </w:r>
      <w:r>
        <w:t>e</w:t>
      </w:r>
      <w:r w:rsidR="00A01E86">
        <w:t>d</w:t>
      </w:r>
      <w:r w:rsidRPr="004D36C8">
        <w:t xml:space="preserve"> a </w:t>
      </w:r>
      <w:r w:rsidR="00A01E86">
        <w:t>L</w:t>
      </w:r>
      <w:r w:rsidRPr="004D36C8">
        <w:t xml:space="preserve">imited </w:t>
      </w:r>
      <w:r w:rsidR="00A01E86">
        <w:t>A</w:t>
      </w:r>
      <w:r w:rsidRPr="004D36C8">
        <w:t xml:space="preserve">ccess </w:t>
      </w:r>
      <w:r w:rsidR="00A01E86">
        <w:t>P</w:t>
      </w:r>
      <w:r w:rsidRPr="004D36C8">
        <w:t xml:space="preserve">rivilege </w:t>
      </w:r>
      <w:r w:rsidR="00A01E86">
        <w:t>P</w:t>
      </w:r>
      <w:r w:rsidRPr="004D36C8">
        <w:t>rogram</w:t>
      </w:r>
      <w:r w:rsidR="00A01E86">
        <w:t xml:space="preserve"> (LAPP)</w:t>
      </w:r>
      <w:r w:rsidRPr="004D36C8">
        <w:t>, the PCTC Program</w:t>
      </w:r>
      <w:r>
        <w:t xml:space="preserve">, </w:t>
      </w:r>
      <w:r w:rsidRPr="004D36C8">
        <w:t>for the harvest of Pacific cod in the BSAI trawl catcher vessel sector</w:t>
      </w:r>
      <w:r w:rsidR="00BC6FB4">
        <w:t>.</w:t>
      </w:r>
      <w:r w:rsidR="00F406EE">
        <w:t xml:space="preserve"> Regulations implementing information collections for this program can be found under 50 CFR 679.131 and 50 CFR 679.130. </w:t>
      </w:r>
      <w:r w:rsidR="000E45F0">
        <w:t xml:space="preserve">Specific citations within these sections (§ 679.130 and § 679.131) are as follows: </w:t>
      </w:r>
    </w:p>
    <w:p w:rsidR="000E45F0" w:rsidP="000E45F0" w14:paraId="7EBCBE9A" w14:textId="107FD960">
      <w:pPr>
        <w:pStyle w:val="ListParagraph"/>
        <w:widowControl/>
        <w:numPr>
          <w:ilvl w:val="0"/>
          <w:numId w:val="34"/>
        </w:numPr>
        <w:spacing w:after="120"/>
      </w:pPr>
      <w:r>
        <w:t xml:space="preserve">PCTC Program official record </w:t>
      </w:r>
      <w:hyperlink r:id="rId7" w:anchor="p-679.130(g)" w:history="1">
        <w:r w:rsidRPr="003D0EF1">
          <w:rPr>
            <w:rStyle w:val="Hyperlink"/>
          </w:rPr>
          <w:t>(§</w:t>
        </w:r>
        <w:r w:rsidRPr="003D0EF1" w:rsidR="003D0EF1">
          <w:rPr>
            <w:rStyle w:val="Hyperlink"/>
          </w:rPr>
          <w:t xml:space="preserve"> </w:t>
        </w:r>
        <w:r w:rsidRPr="003D0EF1">
          <w:rPr>
            <w:rStyle w:val="Hyperlink"/>
          </w:rPr>
          <w:t>679.130(g))</w:t>
        </w:r>
      </w:hyperlink>
    </w:p>
    <w:p w:rsidR="000E45F0" w:rsidP="000E45F0" w14:paraId="5A3A0916" w14:textId="20DBF1F3">
      <w:pPr>
        <w:pStyle w:val="ListParagraph"/>
        <w:widowControl/>
        <w:numPr>
          <w:ilvl w:val="0"/>
          <w:numId w:val="34"/>
        </w:numPr>
        <w:spacing w:after="120"/>
      </w:pPr>
      <w:r>
        <w:t xml:space="preserve">Application for PCTC Program CQ </w:t>
      </w:r>
      <w:hyperlink r:id="rId8" w:anchor="p-679.131(a)(4)" w:history="1">
        <w:r w:rsidRPr="003D0EF1">
          <w:rPr>
            <w:rStyle w:val="Hyperlink"/>
          </w:rPr>
          <w:t>(§ 679.131(a)(4))</w:t>
        </w:r>
      </w:hyperlink>
    </w:p>
    <w:p w:rsidR="003D0EF1" w:rsidP="000E45F0" w14:paraId="393F98CD" w14:textId="3D28AFC8">
      <w:pPr>
        <w:pStyle w:val="ListParagraph"/>
        <w:widowControl/>
        <w:numPr>
          <w:ilvl w:val="0"/>
          <w:numId w:val="34"/>
        </w:numPr>
        <w:spacing w:after="120"/>
      </w:pPr>
      <w:r>
        <w:t xml:space="preserve">Application for Inter-Cooperative Transfer of PCTC Program CQ </w:t>
      </w:r>
      <w:hyperlink r:id="rId8" w:anchor="p-679.131(i)" w:history="1">
        <w:r w:rsidRPr="003D0EF1">
          <w:rPr>
            <w:rStyle w:val="Hyperlink"/>
          </w:rPr>
          <w:t>(§ 679.131(i))</w:t>
        </w:r>
      </w:hyperlink>
    </w:p>
    <w:p w:rsidR="003D0EF1" w:rsidP="000E45F0" w14:paraId="17C2D90A" w14:textId="2B71ADE8">
      <w:pPr>
        <w:pStyle w:val="ListParagraph"/>
        <w:widowControl/>
        <w:numPr>
          <w:ilvl w:val="0"/>
          <w:numId w:val="34"/>
        </w:numPr>
        <w:spacing w:after="120"/>
      </w:pPr>
      <w:r>
        <w:t xml:space="preserve">Application for Transfer of PCTC Program QS for Processors </w:t>
      </w:r>
      <w:hyperlink r:id="rId7" w:anchor="p-679.130(j)(3)" w:history="1">
        <w:r w:rsidRPr="003D0EF1">
          <w:rPr>
            <w:rStyle w:val="Hyperlink"/>
          </w:rPr>
          <w:t>(§ 679.130(j)(3))</w:t>
        </w:r>
      </w:hyperlink>
    </w:p>
    <w:p w:rsidR="003D0EF1" w:rsidP="000E45F0" w14:paraId="5A67619B" w14:textId="6E546508">
      <w:pPr>
        <w:pStyle w:val="ListParagraph"/>
        <w:widowControl/>
        <w:numPr>
          <w:ilvl w:val="0"/>
          <w:numId w:val="34"/>
        </w:numPr>
        <w:spacing w:after="120"/>
      </w:pPr>
      <w:r>
        <w:t xml:space="preserve">Notification of Intent </w:t>
      </w:r>
      <w:hyperlink r:id="rId9" w:anchor="p-679.132(b)" w:history="1">
        <w:r w:rsidRPr="003F0385">
          <w:rPr>
            <w:rStyle w:val="Hyperlink"/>
          </w:rPr>
          <w:t>(§ 679.132(b))</w:t>
        </w:r>
      </w:hyperlink>
    </w:p>
    <w:p w:rsidR="00996405" w:rsidP="00BC6FB4" w14:paraId="36B86AC4" w14:textId="62C34DCC">
      <w:pPr>
        <w:widowControl/>
        <w:spacing w:after="120"/>
      </w:pPr>
      <w:r w:rsidRPr="004D36C8">
        <w:t>The PCTC Program allocate</w:t>
      </w:r>
      <w:r>
        <w:t>s</w:t>
      </w:r>
      <w:r w:rsidRPr="004D36C8">
        <w:t xml:space="preserve"> Pacific cod harvest quota to qualifying </w:t>
      </w:r>
      <w:r w:rsidRPr="00DB3E99">
        <w:t xml:space="preserve">groundfish License Limitation Program (LLP) license holders and qualifying processors. This </w:t>
      </w:r>
      <w:r>
        <w:t>program</w:t>
      </w:r>
      <w:r w:rsidRPr="00DB3E99">
        <w:t xml:space="preserve"> is necessary to increase the value of the fishery, minimize bycatch to the extent practicable, provide for the sustained participation of fishery-dependent communities, ensure the sustainability and viability of the resource, and promote safety in the harvesting and processing sectors.</w:t>
      </w:r>
      <w:r w:rsidRPr="002C31DE">
        <w:t xml:space="preserve"> The PCTC Program </w:t>
      </w:r>
      <w:r>
        <w:t>includes</w:t>
      </w:r>
      <w:r w:rsidRPr="002C31DE">
        <w:t xml:space="preserve"> a complex suite of measures to ensure the goals of the Program are met and improve fishery conditions for all participants. The </w:t>
      </w:r>
      <w:r>
        <w:t xml:space="preserve">PCTC </w:t>
      </w:r>
      <w:r w:rsidRPr="002C31DE">
        <w:t>Program require</w:t>
      </w:r>
      <w:r>
        <w:t>s</w:t>
      </w:r>
      <w:r w:rsidRPr="002C31DE">
        <w:t xml:space="preserve"> participants holding </w:t>
      </w:r>
      <w:r>
        <w:t>quota share (</w:t>
      </w:r>
      <w:r w:rsidRPr="002C31DE">
        <w:t>QS</w:t>
      </w:r>
      <w:r>
        <w:t>)</w:t>
      </w:r>
      <w:r w:rsidRPr="002C31DE">
        <w:t xml:space="preserve"> to form harvesting cooperatives in association with an eligible processor to harvest the annual harvest privilege of Pacific cod.</w:t>
      </w:r>
      <w:r w:rsidRPr="00E025DF">
        <w:rPr>
          <w:rFonts w:eastAsiaTheme="minorEastAsia" w:cstheme="minorBidi"/>
          <w:szCs w:val="22"/>
        </w:rPr>
        <w:t xml:space="preserve"> </w:t>
      </w:r>
      <w:r>
        <w:rPr>
          <w:rFonts w:eastAsiaTheme="minorEastAsia" w:cstheme="minorBidi"/>
          <w:szCs w:val="22"/>
        </w:rPr>
        <w:t xml:space="preserve">NMFS </w:t>
      </w:r>
      <w:r w:rsidR="00A01E86">
        <w:rPr>
          <w:rFonts w:eastAsiaTheme="minorEastAsia" w:cstheme="minorBidi"/>
          <w:szCs w:val="22"/>
        </w:rPr>
        <w:t>issues</w:t>
      </w:r>
      <w:r>
        <w:rPr>
          <w:rFonts w:eastAsiaTheme="minorEastAsia" w:cstheme="minorBidi"/>
          <w:szCs w:val="22"/>
        </w:rPr>
        <w:t xml:space="preserve"> cooperative quota (</w:t>
      </w:r>
      <w:r w:rsidRPr="00E025DF">
        <w:rPr>
          <w:rFonts w:eastAsiaTheme="minorEastAsia" w:cstheme="minorBidi"/>
          <w:szCs w:val="22"/>
        </w:rPr>
        <w:t>CQ</w:t>
      </w:r>
      <w:r>
        <w:rPr>
          <w:rFonts w:eastAsiaTheme="minorEastAsia" w:cstheme="minorBidi"/>
          <w:szCs w:val="22"/>
        </w:rPr>
        <w:t>)</w:t>
      </w:r>
      <w:r w:rsidRPr="00E025DF">
        <w:rPr>
          <w:rFonts w:eastAsiaTheme="minorEastAsia" w:cstheme="minorBidi"/>
          <w:szCs w:val="22"/>
        </w:rPr>
        <w:t xml:space="preserve"> </w:t>
      </w:r>
      <w:r>
        <w:rPr>
          <w:rFonts w:eastAsiaTheme="minorEastAsia" w:cstheme="minorBidi"/>
          <w:szCs w:val="22"/>
        </w:rPr>
        <w:t>to each cooperative</w:t>
      </w:r>
      <w:r w:rsidRPr="00E025DF">
        <w:rPr>
          <w:rFonts w:eastAsiaTheme="minorEastAsia" w:cstheme="minorBidi"/>
          <w:szCs w:val="22"/>
        </w:rPr>
        <w:t xml:space="preserve"> based on the aggregate QS of the cooperative members and associated processors. </w:t>
      </w:r>
      <w:r w:rsidRPr="00E025DF">
        <w:t>Th</w:t>
      </w:r>
      <w:r>
        <w:t>e PCTC</w:t>
      </w:r>
      <w:r w:rsidRPr="00E025DF">
        <w:t xml:space="preserve"> Program also require</w:t>
      </w:r>
      <w:r>
        <w:t>s</w:t>
      </w:r>
      <w:r w:rsidRPr="00E025DF">
        <w:t xml:space="preserve"> cooperatives to </w:t>
      </w:r>
      <w:r w:rsidRPr="00E025DF" w:rsidR="009500F4">
        <w:t>set aside</w:t>
      </w:r>
      <w:r w:rsidRPr="00E025DF">
        <w:t xml:space="preserve"> a portion of their </w:t>
      </w:r>
      <w:r>
        <w:t xml:space="preserve">CQ </w:t>
      </w:r>
      <w:r w:rsidRPr="00E025DF">
        <w:t xml:space="preserve">allocation for delivery to an Aleutian Island </w:t>
      </w:r>
      <w:r w:rsidRPr="00E025DF" w:rsidR="00587906">
        <w:t>shore plant</w:t>
      </w:r>
      <w:r w:rsidRPr="00E025DF">
        <w:t>.</w:t>
      </w:r>
    </w:p>
    <w:p w:rsidR="005D25F7" w:rsidRPr="004D36C8" w:rsidP="00BC6FB4" w14:paraId="67C21D99" w14:textId="77777777">
      <w:pPr>
        <w:widowControl/>
        <w:spacing w:after="120"/>
      </w:pPr>
    </w:p>
    <w:p w:rsidR="00D34339" w:rsidRPr="002117F4" w:rsidP="00D86B79" w14:paraId="1EA0DFC6" w14:textId="1B93723F">
      <w:pPr>
        <w:pStyle w:val="Heading2"/>
        <w:numPr>
          <w:ilvl w:val="0"/>
          <w:numId w:val="27"/>
        </w:numPr>
      </w:pPr>
      <w:bookmarkStart w:id="0" w:name="_Ref209431271"/>
      <w:r w:rsidRPr="002117F4">
        <w:t>I</w:t>
      </w:r>
      <w:r w:rsidRPr="002117F4" w:rsidR="00E334A7">
        <w:t>ndicate how, by whom, and for what purpose the information is to be used. Except for a new collection, indicate the actual use the agency has made of the information received from the current collection.</w:t>
      </w:r>
      <w:bookmarkEnd w:id="0"/>
    </w:p>
    <w:p w:rsidR="00D01AEA" w:rsidP="002117F4" w14:paraId="44AB72DC" w14:textId="51D89FFE">
      <w:r>
        <w:t xml:space="preserve">This renewal and revision of the PCTC Program information collections removes three elements that were necessary for the program initiation but are no longer needed. These </w:t>
      </w:r>
      <w:r w:rsidR="00D934A0">
        <w:t>information collections</w:t>
      </w:r>
      <w:r>
        <w:t xml:space="preserve">, which </w:t>
      </w:r>
      <w:r w:rsidR="00986A81">
        <w:t xml:space="preserve">will be </w:t>
      </w:r>
      <w:r>
        <w:t xml:space="preserve">removed from </w:t>
      </w:r>
      <w:r w:rsidRPr="00D934A0">
        <w:t xml:space="preserve">the </w:t>
      </w:r>
      <w:r w:rsidRPr="00D334E5">
        <w:t>NMFS Alaska Region website</w:t>
      </w:r>
      <w:r w:rsidR="00D934A0">
        <w:t xml:space="preserve">, are </w:t>
      </w:r>
      <w:r w:rsidR="00470A06">
        <w:t xml:space="preserve">described </w:t>
      </w:r>
      <w:r w:rsidR="00D934A0">
        <w:t>as follows</w:t>
      </w:r>
      <w:r>
        <w:t>:</w:t>
      </w:r>
    </w:p>
    <w:p w:rsidR="00587906" w:rsidP="002117F4" w14:paraId="2592D2ED" w14:textId="77777777">
      <w:pPr>
        <w:rPr>
          <w:b/>
        </w:rPr>
      </w:pPr>
    </w:p>
    <w:p w:rsidR="00D934A0" w:rsidRPr="00986A81" w:rsidP="00986A81" w14:paraId="74833476" w14:textId="1828488A">
      <w:pPr>
        <w:pStyle w:val="ListParagraph"/>
        <w:numPr>
          <w:ilvl w:val="0"/>
          <w:numId w:val="33"/>
        </w:numPr>
        <w:rPr>
          <w:i/>
          <w:iCs/>
        </w:rPr>
      </w:pPr>
      <w:r w:rsidRPr="00986A81">
        <w:rPr>
          <w:i/>
          <w:iCs/>
        </w:rPr>
        <w:t>Application for PCTC Program QS</w:t>
      </w:r>
      <w:r w:rsidRPr="00986A81">
        <w:rPr>
          <w:i/>
          <w:iCs/>
        </w:rPr>
        <w:t xml:space="preserve">. </w:t>
      </w:r>
    </w:p>
    <w:p w:rsidR="002117F4" w:rsidP="00986A81" w14:paraId="70E9A185" w14:textId="77777777">
      <w:pPr>
        <w:ind w:left="360" w:firstLine="720"/>
      </w:pPr>
      <w:r>
        <w:t xml:space="preserve">Used to apply for initial QS during the first year of the PCTC Program. </w:t>
      </w:r>
    </w:p>
    <w:p w:rsidR="00161B20" w:rsidRPr="00986A81" w:rsidP="00986A81" w14:paraId="4E37BEC6" w14:textId="3844E315">
      <w:pPr>
        <w:pStyle w:val="ListParagraph"/>
        <w:numPr>
          <w:ilvl w:val="0"/>
          <w:numId w:val="33"/>
        </w:numPr>
        <w:rPr>
          <w:b/>
        </w:rPr>
      </w:pPr>
      <w:r w:rsidRPr="00986A81">
        <w:rPr>
          <w:i/>
          <w:iCs/>
        </w:rPr>
        <w:t>Ninety-day Transfer Window for Non-Exempt American Fisheries Act (AFA) LLP Holders</w:t>
      </w:r>
      <w:r w:rsidRPr="00D334E5">
        <w:t xml:space="preserve">. </w:t>
      </w:r>
    </w:p>
    <w:p w:rsidR="00D934A0" w:rsidP="005D25F7" w14:paraId="326BEFB4" w14:textId="3C49B9FB">
      <w:pPr>
        <w:ind w:left="1080"/>
        <w:rPr>
          <w:b/>
        </w:rPr>
      </w:pPr>
      <w:r>
        <w:t xml:space="preserve">This form allowed LLP license holders to transfer QS during the first year of the PCTC Program. </w:t>
      </w:r>
    </w:p>
    <w:p w:rsidR="00D934A0" w:rsidRPr="00986A81" w:rsidP="00986A81" w14:paraId="0ABEFC3F" w14:textId="04074397">
      <w:pPr>
        <w:pStyle w:val="ListParagraph"/>
        <w:numPr>
          <w:ilvl w:val="0"/>
          <w:numId w:val="33"/>
        </w:numPr>
        <w:rPr>
          <w:i/>
          <w:iCs/>
        </w:rPr>
      </w:pPr>
      <w:r w:rsidRPr="00986A81">
        <w:rPr>
          <w:i/>
          <w:iCs/>
        </w:rPr>
        <w:t xml:space="preserve">Appeals. </w:t>
      </w:r>
    </w:p>
    <w:p w:rsidR="00D934A0" w:rsidP="005D25F7" w14:paraId="12B7DF3E" w14:textId="489E587A">
      <w:pPr>
        <w:ind w:left="1080"/>
        <w:rPr>
          <w:b/>
        </w:rPr>
      </w:pPr>
      <w:r>
        <w:t xml:space="preserve">This was a process for QS holders who receive their Initial Administrative Determination to appeal the </w:t>
      </w:r>
      <w:r w:rsidR="009500F4">
        <w:t>agency’s</w:t>
      </w:r>
      <w:r>
        <w:t xml:space="preserve"> decision. </w:t>
      </w:r>
    </w:p>
    <w:p w:rsidR="002117F4" w:rsidP="002117F4" w14:paraId="2733E0EA" w14:textId="77777777"/>
    <w:p w:rsidR="00D334E5" w:rsidP="002117F4" w14:paraId="29263542" w14:textId="65F5F138">
      <w:pPr>
        <w:rPr>
          <w:b/>
        </w:rPr>
      </w:pPr>
      <w:r>
        <w:t>Additionally, two of the renewed information collections are revised to allow email submission, in addition to mail, delivery, and fax:</w:t>
      </w:r>
    </w:p>
    <w:p w:rsidR="00D334E5" w:rsidRPr="000B7C81" w:rsidP="002117F4" w14:paraId="45976EB0" w14:textId="1C98310C">
      <w:pPr>
        <w:pStyle w:val="ListParagraph"/>
        <w:numPr>
          <w:ilvl w:val="0"/>
          <w:numId w:val="26"/>
        </w:numPr>
        <w:rPr>
          <w:b/>
          <w:i/>
          <w:iCs/>
        </w:rPr>
      </w:pPr>
      <w:r w:rsidRPr="000B7C81">
        <w:rPr>
          <w:i/>
          <w:iCs/>
        </w:rPr>
        <w:t xml:space="preserve">Application for </w:t>
      </w:r>
      <w:r w:rsidRPr="000B7C81" w:rsidR="00E363DD">
        <w:rPr>
          <w:i/>
          <w:iCs/>
        </w:rPr>
        <w:t>PCTC Program CQ</w:t>
      </w:r>
    </w:p>
    <w:p w:rsidR="00E363DD" w:rsidRPr="000B7C81" w:rsidP="002117F4" w14:paraId="40C97242" w14:textId="7629DD4B">
      <w:pPr>
        <w:pStyle w:val="ListParagraph"/>
        <w:numPr>
          <w:ilvl w:val="0"/>
          <w:numId w:val="26"/>
        </w:numPr>
        <w:rPr>
          <w:b/>
          <w:i/>
          <w:iCs/>
        </w:rPr>
      </w:pPr>
      <w:r w:rsidRPr="000B7C81">
        <w:rPr>
          <w:i/>
          <w:iCs/>
        </w:rPr>
        <w:t>Application for Transfer of PCTC Program QS for Processors</w:t>
      </w:r>
    </w:p>
    <w:p w:rsidR="002117F4" w:rsidRPr="002117F4" w:rsidP="002117F4" w14:paraId="3F1B8F4A" w14:textId="77777777">
      <w:pPr>
        <w:ind w:left="360"/>
        <w:rPr>
          <w:b/>
        </w:rPr>
      </w:pPr>
    </w:p>
    <w:p w:rsidR="0039748F" w:rsidP="002117F4" w14:paraId="2DD19483" w14:textId="4DDA3E67">
      <w:r w:rsidRPr="00957FB3">
        <w:t xml:space="preserve">The following table lists each </w:t>
      </w:r>
      <w:r w:rsidR="00D934A0">
        <w:t xml:space="preserve">renewed </w:t>
      </w:r>
      <w:r>
        <w:t>collection instrument</w:t>
      </w:r>
      <w:r w:rsidRPr="00957FB3">
        <w:t xml:space="preserve">, the </w:t>
      </w:r>
      <w:r>
        <w:t>associated regulation</w:t>
      </w:r>
      <w:r w:rsidRPr="00957FB3">
        <w:t xml:space="preserve">, </w:t>
      </w:r>
      <w:r>
        <w:t xml:space="preserve">and </w:t>
      </w:r>
      <w:r w:rsidR="00D934A0">
        <w:t xml:space="preserve">summaries of </w:t>
      </w:r>
      <w:r>
        <w:t>who submits the information</w:t>
      </w:r>
      <w:r w:rsidRPr="00957FB3">
        <w:t xml:space="preserve">, how the information is submitted and how </w:t>
      </w:r>
      <w:r w:rsidR="00D934A0">
        <w:t>frequently</w:t>
      </w:r>
      <w:r w:rsidRPr="00957FB3">
        <w:t>, the obligation to respond</w:t>
      </w:r>
      <w:r>
        <w:t>,</w:t>
      </w:r>
      <w:r w:rsidRPr="00957FB3">
        <w:t xml:space="preserve"> and the purpose. Additional information </w:t>
      </w:r>
      <w:r>
        <w:t xml:space="preserve">on each collection instrument </w:t>
      </w:r>
      <w:r w:rsidRPr="00957FB3">
        <w:t>is provided in the subsections below</w:t>
      </w:r>
      <w:r w:rsidR="00F11799">
        <w:t xml:space="preserve"> the table</w:t>
      </w:r>
      <w:r w:rsidRPr="00957FB3">
        <w:t>.</w:t>
      </w:r>
    </w:p>
    <w:p w:rsidR="00976DE0" w:rsidP="002117F4" w14:paraId="5DC52242" w14:textId="77777777">
      <w:pPr>
        <w:rPr>
          <w:b/>
        </w:rPr>
        <w:sectPr w:rsidSect="00C25F7F">
          <w:footerReference w:type="default" r:id="rId10"/>
          <w:pgSz w:w="12240" w:h="15840" w:orient="landscape" w:code="1"/>
          <w:pgMar w:top="1170" w:right="1440" w:bottom="1440" w:left="1440" w:header="0" w:footer="720" w:gutter="0"/>
          <w:cols w:space="720"/>
          <w:docGrid w:linePitch="326"/>
        </w:sectPr>
      </w:pPr>
    </w:p>
    <w:p w:rsidR="00976DE0" w:rsidP="002117F4" w14:paraId="4898D45A" w14:textId="2A175FDB">
      <w:pPr>
        <w:rPr>
          <w:b/>
        </w:rPr>
      </w:pPr>
    </w:p>
    <w:p w:rsidR="00FA06A8" w:rsidRPr="0039748F" w:rsidP="002117F4" w14:paraId="5910638D" w14:textId="77777777">
      <w:pPr>
        <w:rPr>
          <w:b/>
        </w:rPr>
      </w:pPr>
    </w:p>
    <w:p w:rsidR="00D01AEA" w:rsidRPr="006A67F2" w:rsidP="00D86B79" w14:paraId="54E81BFA" w14:textId="089FA623">
      <w:pPr>
        <w:pStyle w:val="Heading2"/>
        <w:numPr>
          <w:ilvl w:val="0"/>
          <w:numId w:val="0"/>
        </w:numPr>
        <w:ind w:left="720"/>
        <w:rPr>
          <w:rFonts w:eastAsiaTheme="minorHAnsi"/>
        </w:rPr>
      </w:pPr>
      <w:r w:rsidRPr="006A67F2">
        <w:rPr>
          <w:rFonts w:eastAsiaTheme="minorHAnsi"/>
        </w:rPr>
        <w:t>Information Requirements and Needs and Uses of Information Collected</w:t>
      </w:r>
      <w:r w:rsidR="005B1971">
        <w:rPr>
          <w:rFonts w:eastAsiaTheme="minorHAnsi"/>
        </w:rPr>
        <w:t xml:space="preserve"> (Ongoing)</w:t>
      </w:r>
    </w:p>
    <w:tbl>
      <w:tblPr>
        <w:tblStyle w:val="TableGrid"/>
        <w:tblW w:w="14146" w:type="dxa"/>
        <w:jc w:val="center"/>
        <w:tblLayout w:type="fixed"/>
        <w:tblLook w:val="04A0"/>
      </w:tblPr>
      <w:tblGrid>
        <w:gridCol w:w="715"/>
        <w:gridCol w:w="2797"/>
        <w:gridCol w:w="1073"/>
        <w:gridCol w:w="1672"/>
        <w:gridCol w:w="686"/>
        <w:gridCol w:w="1201"/>
        <w:gridCol w:w="1031"/>
        <w:gridCol w:w="1170"/>
        <w:gridCol w:w="3801"/>
      </w:tblGrid>
      <w:tr w14:paraId="06A180A7" w14:textId="77777777" w:rsidTr="00A56D06">
        <w:tblPrEx>
          <w:tblW w:w="14146" w:type="dxa"/>
          <w:jc w:val="center"/>
          <w:tblLayout w:type="fixed"/>
          <w:tblLook w:val="04A0"/>
        </w:tblPrEx>
        <w:trPr>
          <w:trHeight w:val="674"/>
          <w:tblHeader/>
          <w:jc w:val="center"/>
        </w:trPr>
        <w:tc>
          <w:tcPr>
            <w:tcW w:w="715" w:type="dxa"/>
            <w:shd w:val="clear" w:color="auto" w:fill="C6D9F0" w:themeFill="text2" w:themeFillTint="33"/>
            <w:vAlign w:val="center"/>
          </w:tcPr>
          <w:p w:rsidR="00CD1D30" w:rsidRPr="004E23C4" w:rsidP="00BC6FB4" w14:paraId="6F1FA824" w14:textId="771B336C">
            <w:pPr>
              <w:spacing w:after="120"/>
              <w:rPr>
                <w:rFonts w:asciiTheme="minorHAnsi" w:hAnsiTheme="minorHAnsi" w:cstheme="minorHAnsi"/>
                <w:b/>
                <w:sz w:val="18"/>
                <w:szCs w:val="18"/>
              </w:rPr>
            </w:pPr>
            <w:r>
              <w:rPr>
                <w:rFonts w:asciiTheme="minorHAnsi" w:hAnsiTheme="minorHAnsi" w:cstheme="minorHAnsi"/>
                <w:b/>
                <w:sz w:val="18"/>
                <w:szCs w:val="18"/>
              </w:rPr>
              <w:t>Item #</w:t>
            </w:r>
          </w:p>
        </w:tc>
        <w:tc>
          <w:tcPr>
            <w:tcW w:w="2797" w:type="dxa"/>
            <w:shd w:val="clear" w:color="auto" w:fill="C6D9F0" w:themeFill="text2" w:themeFillTint="33"/>
            <w:vAlign w:val="center"/>
          </w:tcPr>
          <w:p w:rsidR="00CD1D30" w:rsidRPr="004E23C4" w:rsidP="00BC6FB4" w14:paraId="678626A0" w14:textId="359D5055">
            <w:pPr>
              <w:spacing w:after="120"/>
              <w:rPr>
                <w:rFonts w:asciiTheme="minorHAnsi" w:hAnsiTheme="minorHAnsi" w:cstheme="minorHAnsi"/>
                <w:b/>
                <w:sz w:val="18"/>
                <w:szCs w:val="18"/>
              </w:rPr>
            </w:pPr>
            <w:r w:rsidRPr="004E23C4">
              <w:rPr>
                <w:rFonts w:asciiTheme="minorHAnsi" w:hAnsiTheme="minorHAnsi" w:cstheme="minorHAnsi"/>
                <w:b/>
                <w:sz w:val="18"/>
                <w:szCs w:val="18"/>
              </w:rPr>
              <w:t>Requirement</w:t>
            </w:r>
          </w:p>
        </w:tc>
        <w:tc>
          <w:tcPr>
            <w:tcW w:w="1073" w:type="dxa"/>
            <w:shd w:val="clear" w:color="auto" w:fill="C6D9F0" w:themeFill="text2" w:themeFillTint="33"/>
            <w:vAlign w:val="center"/>
          </w:tcPr>
          <w:p w:rsidR="00CD1D30" w:rsidRPr="004E23C4" w:rsidP="00BC6FB4" w14:paraId="2084BC0B" w14:textId="095A5105">
            <w:pPr>
              <w:spacing w:after="120"/>
              <w:rPr>
                <w:rFonts w:asciiTheme="minorHAnsi" w:hAnsiTheme="minorHAnsi" w:cstheme="minorHAnsi"/>
                <w:b/>
                <w:sz w:val="18"/>
                <w:szCs w:val="18"/>
              </w:rPr>
            </w:pPr>
            <w:r>
              <w:rPr>
                <w:rFonts w:asciiTheme="minorHAnsi" w:hAnsiTheme="minorHAnsi" w:cstheme="minorHAnsi"/>
                <w:b/>
                <w:sz w:val="18"/>
                <w:szCs w:val="18"/>
              </w:rPr>
              <w:t>Statute</w:t>
            </w:r>
          </w:p>
        </w:tc>
        <w:tc>
          <w:tcPr>
            <w:tcW w:w="1672" w:type="dxa"/>
            <w:shd w:val="clear" w:color="auto" w:fill="C6D9F0" w:themeFill="text2" w:themeFillTint="33"/>
            <w:vAlign w:val="center"/>
          </w:tcPr>
          <w:p w:rsidR="00CD1D30" w:rsidRPr="004E23C4" w:rsidP="00BC6FB4" w14:paraId="1F2EA566" w14:textId="77777777">
            <w:pPr>
              <w:spacing w:after="120"/>
              <w:rPr>
                <w:rFonts w:asciiTheme="minorHAnsi" w:hAnsiTheme="minorHAnsi" w:cstheme="minorHAnsi"/>
                <w:b/>
                <w:sz w:val="18"/>
                <w:szCs w:val="18"/>
              </w:rPr>
            </w:pPr>
            <w:r>
              <w:rPr>
                <w:rFonts w:asciiTheme="minorHAnsi" w:hAnsiTheme="minorHAnsi" w:cstheme="minorHAnsi"/>
                <w:b/>
                <w:sz w:val="18"/>
                <w:szCs w:val="18"/>
              </w:rPr>
              <w:t>Who submits the information</w:t>
            </w:r>
            <w:r w:rsidRPr="004E23C4">
              <w:rPr>
                <w:rFonts w:asciiTheme="minorHAnsi" w:hAnsiTheme="minorHAnsi" w:cstheme="minorHAnsi"/>
                <w:b/>
                <w:sz w:val="18"/>
                <w:szCs w:val="18"/>
              </w:rPr>
              <w:t>?</w:t>
            </w:r>
          </w:p>
        </w:tc>
        <w:tc>
          <w:tcPr>
            <w:tcW w:w="686" w:type="dxa"/>
            <w:shd w:val="clear" w:color="auto" w:fill="C6D9F0" w:themeFill="text2" w:themeFillTint="33"/>
            <w:vAlign w:val="center"/>
          </w:tcPr>
          <w:p w:rsidR="00CD1D30" w:rsidRPr="004E23C4" w:rsidP="00BC6FB4" w14:paraId="5B8C04C2" w14:textId="077B024D">
            <w:pPr>
              <w:spacing w:after="120"/>
              <w:rPr>
                <w:rFonts w:asciiTheme="minorHAnsi" w:hAnsiTheme="minorHAnsi" w:cstheme="minorHAnsi"/>
                <w:b/>
                <w:sz w:val="18"/>
                <w:szCs w:val="18"/>
              </w:rPr>
            </w:pPr>
            <w:r w:rsidRPr="004E23C4">
              <w:rPr>
                <w:rFonts w:asciiTheme="minorHAnsi" w:hAnsiTheme="minorHAnsi" w:cstheme="minorHAnsi"/>
                <w:b/>
                <w:sz w:val="18"/>
                <w:szCs w:val="18"/>
              </w:rPr>
              <w:t>Form?</w:t>
            </w:r>
          </w:p>
        </w:tc>
        <w:tc>
          <w:tcPr>
            <w:tcW w:w="1201" w:type="dxa"/>
            <w:shd w:val="clear" w:color="auto" w:fill="C6D9F0" w:themeFill="text2" w:themeFillTint="33"/>
            <w:vAlign w:val="center"/>
          </w:tcPr>
          <w:p w:rsidR="00CD1D30" w:rsidRPr="004E23C4" w:rsidP="00BC6FB4" w14:paraId="259F63FD" w14:textId="77777777">
            <w:pPr>
              <w:spacing w:after="120"/>
              <w:rPr>
                <w:rFonts w:asciiTheme="minorHAnsi" w:hAnsiTheme="minorHAnsi" w:cstheme="minorHAnsi"/>
                <w:b/>
                <w:sz w:val="18"/>
                <w:szCs w:val="18"/>
              </w:rPr>
            </w:pPr>
            <w:r w:rsidRPr="004E23C4">
              <w:rPr>
                <w:rFonts w:asciiTheme="minorHAnsi" w:hAnsiTheme="minorHAnsi" w:cstheme="minorHAnsi"/>
                <w:b/>
                <w:sz w:val="18"/>
                <w:szCs w:val="18"/>
              </w:rPr>
              <w:t>How submitted</w:t>
            </w:r>
          </w:p>
        </w:tc>
        <w:tc>
          <w:tcPr>
            <w:tcW w:w="1031" w:type="dxa"/>
            <w:shd w:val="clear" w:color="auto" w:fill="C6D9F0" w:themeFill="text2" w:themeFillTint="33"/>
            <w:vAlign w:val="center"/>
          </w:tcPr>
          <w:p w:rsidR="00CD1D30" w:rsidRPr="004E23C4" w:rsidP="00BC6FB4" w14:paraId="6ECBAEC2" w14:textId="77777777">
            <w:pPr>
              <w:spacing w:after="120"/>
              <w:rPr>
                <w:rFonts w:asciiTheme="minorHAnsi" w:hAnsiTheme="minorHAnsi" w:cstheme="minorHAnsi"/>
                <w:b/>
                <w:sz w:val="18"/>
                <w:szCs w:val="18"/>
              </w:rPr>
            </w:pPr>
            <w:r w:rsidRPr="004E23C4">
              <w:rPr>
                <w:rFonts w:asciiTheme="minorHAnsi" w:hAnsiTheme="minorHAnsi" w:cstheme="minorHAnsi"/>
                <w:b/>
                <w:sz w:val="18"/>
                <w:szCs w:val="18"/>
              </w:rPr>
              <w:t>Frequency</w:t>
            </w:r>
          </w:p>
        </w:tc>
        <w:tc>
          <w:tcPr>
            <w:tcW w:w="1170" w:type="dxa"/>
            <w:shd w:val="clear" w:color="auto" w:fill="C6D9F0" w:themeFill="text2" w:themeFillTint="33"/>
            <w:vAlign w:val="center"/>
          </w:tcPr>
          <w:p w:rsidR="00CD1D30" w:rsidRPr="004E23C4" w:rsidP="00BC6FB4" w14:paraId="16FC3E1E" w14:textId="77777777">
            <w:pPr>
              <w:spacing w:after="120"/>
              <w:rPr>
                <w:rFonts w:asciiTheme="minorHAnsi" w:hAnsiTheme="minorHAnsi" w:cstheme="minorHAnsi"/>
                <w:b/>
                <w:sz w:val="18"/>
                <w:szCs w:val="18"/>
              </w:rPr>
            </w:pPr>
            <w:r w:rsidRPr="004E23C4">
              <w:rPr>
                <w:rFonts w:asciiTheme="minorHAnsi" w:hAnsiTheme="minorHAnsi" w:cstheme="minorHAnsi"/>
                <w:b/>
                <w:sz w:val="18"/>
                <w:szCs w:val="18"/>
              </w:rPr>
              <w:t>Obligation to Respond</w:t>
            </w:r>
          </w:p>
        </w:tc>
        <w:tc>
          <w:tcPr>
            <w:tcW w:w="3801" w:type="dxa"/>
            <w:shd w:val="clear" w:color="auto" w:fill="C6D9F0" w:themeFill="text2" w:themeFillTint="33"/>
            <w:vAlign w:val="center"/>
          </w:tcPr>
          <w:p w:rsidR="00CD1D30" w:rsidRPr="004E23C4" w:rsidP="00BC6FB4" w14:paraId="65E7BF44" w14:textId="77777777">
            <w:pPr>
              <w:spacing w:after="120"/>
              <w:rPr>
                <w:rFonts w:asciiTheme="minorHAnsi" w:hAnsiTheme="minorHAnsi" w:cstheme="minorHAnsi"/>
                <w:b/>
                <w:sz w:val="18"/>
                <w:szCs w:val="18"/>
              </w:rPr>
            </w:pPr>
            <w:r w:rsidRPr="004E23C4">
              <w:rPr>
                <w:rFonts w:asciiTheme="minorHAnsi" w:hAnsiTheme="minorHAnsi" w:cstheme="minorHAnsi"/>
                <w:b/>
                <w:sz w:val="18"/>
                <w:szCs w:val="18"/>
              </w:rPr>
              <w:t xml:space="preserve">Needs and </w:t>
            </w:r>
            <w:r w:rsidRPr="004E23C4">
              <w:rPr>
                <w:rFonts w:asciiTheme="minorHAnsi" w:hAnsiTheme="minorHAnsi" w:cstheme="minorHAnsi"/>
                <w:b/>
                <w:sz w:val="18"/>
                <w:szCs w:val="18"/>
              </w:rPr>
              <w:t>Uses</w:t>
            </w:r>
          </w:p>
        </w:tc>
      </w:tr>
      <w:tr w14:paraId="4EBFBFD3" w14:textId="77777777" w:rsidTr="00A56D06">
        <w:tblPrEx>
          <w:tblW w:w="14146" w:type="dxa"/>
          <w:jc w:val="center"/>
          <w:tblLayout w:type="fixed"/>
          <w:tblLook w:val="04A0"/>
        </w:tblPrEx>
        <w:trPr>
          <w:trHeight w:val="1601"/>
          <w:tblHeader/>
          <w:jc w:val="center"/>
        </w:trPr>
        <w:tc>
          <w:tcPr>
            <w:tcW w:w="715" w:type="dxa"/>
          </w:tcPr>
          <w:p w:rsidR="00CD1D30" w:rsidRPr="00470A06" w:rsidP="00BC6FB4" w14:paraId="7475D8D1" w14:textId="6990ADBE">
            <w:pPr>
              <w:spacing w:after="120"/>
              <w:rPr>
                <w:rFonts w:asciiTheme="minorHAnsi" w:hAnsiTheme="minorHAnsi" w:cstheme="minorHAnsi"/>
                <w:sz w:val="22"/>
                <w:szCs w:val="22"/>
              </w:rPr>
            </w:pPr>
            <w:r w:rsidRPr="00470A06">
              <w:rPr>
                <w:rFonts w:asciiTheme="minorHAnsi" w:hAnsiTheme="minorHAnsi" w:cstheme="minorHAnsi"/>
                <w:sz w:val="22"/>
                <w:szCs w:val="22"/>
              </w:rPr>
              <w:t>1</w:t>
            </w:r>
          </w:p>
        </w:tc>
        <w:tc>
          <w:tcPr>
            <w:tcW w:w="2797" w:type="dxa"/>
            <w:vAlign w:val="center"/>
          </w:tcPr>
          <w:p w:rsidR="00CD1D30" w:rsidRPr="00D934A0" w:rsidP="00BC6FB4" w14:paraId="005478C4" w14:textId="046010EC">
            <w:pPr>
              <w:spacing w:after="120"/>
              <w:rPr>
                <w:rFonts w:asciiTheme="minorHAnsi" w:eastAsiaTheme="minorHAnsi" w:hAnsiTheme="minorHAnsi" w:cstheme="minorHAnsi"/>
                <w:sz w:val="20"/>
                <w:szCs w:val="20"/>
              </w:rPr>
            </w:pPr>
            <w:r w:rsidRPr="00D934A0">
              <w:rPr>
                <w:rFonts w:asciiTheme="minorHAnsi" w:hAnsiTheme="minorHAnsi" w:cstheme="minorHAnsi"/>
                <w:sz w:val="20"/>
                <w:szCs w:val="20"/>
              </w:rPr>
              <w:t>Application for Pacific Cod Trawl Cooperative Program Cooperative Quota</w:t>
            </w:r>
          </w:p>
        </w:tc>
        <w:tc>
          <w:tcPr>
            <w:tcW w:w="1073" w:type="dxa"/>
            <w:vAlign w:val="center"/>
          </w:tcPr>
          <w:p w:rsidR="00CD1D30" w:rsidRPr="003D57F5" w:rsidP="00BC6FB4" w14:paraId="43A9B039" w14:textId="26F052F1">
            <w:pPr>
              <w:spacing w:after="120"/>
              <w:rPr>
                <w:rFonts w:asciiTheme="minorHAnsi" w:hAnsiTheme="minorHAnsi" w:cstheme="minorHAnsi"/>
                <w:sz w:val="18"/>
                <w:szCs w:val="18"/>
              </w:rPr>
            </w:pPr>
            <w:hyperlink r:id="rId8" w:anchor="p-679.131(a)(4)" w:history="1">
              <w:r w:rsidRPr="00470A06">
                <w:rPr>
                  <w:rStyle w:val="Hyperlink"/>
                  <w:rFonts w:asciiTheme="minorHAnsi" w:hAnsiTheme="minorHAnsi" w:cstheme="minorHAnsi"/>
                  <w:sz w:val="18"/>
                  <w:szCs w:val="18"/>
                </w:rPr>
                <w:t>50 CFR 679.131(a)(4)</w:t>
              </w:r>
            </w:hyperlink>
          </w:p>
        </w:tc>
        <w:tc>
          <w:tcPr>
            <w:tcW w:w="1672" w:type="dxa"/>
            <w:vAlign w:val="center"/>
          </w:tcPr>
          <w:p w:rsidR="00CD1D30" w:rsidRPr="003D57F5" w:rsidP="00BC6FB4" w14:paraId="5FDA5D50"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PCTC Program cooperative representative</w:t>
            </w:r>
          </w:p>
        </w:tc>
        <w:tc>
          <w:tcPr>
            <w:tcW w:w="686" w:type="dxa"/>
            <w:vAlign w:val="center"/>
          </w:tcPr>
          <w:p w:rsidR="00CD1D30" w:rsidRPr="0090747A" w:rsidP="00BC6FB4" w14:paraId="573AAFC9" w14:textId="77777777">
            <w:pPr>
              <w:spacing w:after="120"/>
              <w:rPr>
                <w:rFonts w:asciiTheme="minorHAnsi" w:hAnsiTheme="minorHAnsi" w:cstheme="minorHAnsi"/>
                <w:sz w:val="18"/>
                <w:szCs w:val="18"/>
              </w:rPr>
            </w:pPr>
            <w:r w:rsidRPr="0090747A">
              <w:rPr>
                <w:rFonts w:asciiTheme="minorHAnsi" w:hAnsiTheme="minorHAnsi" w:cstheme="minorHAnsi"/>
                <w:sz w:val="18"/>
                <w:szCs w:val="18"/>
              </w:rPr>
              <w:t>Yes</w:t>
            </w:r>
          </w:p>
        </w:tc>
        <w:tc>
          <w:tcPr>
            <w:tcW w:w="1201" w:type="dxa"/>
            <w:vAlign w:val="center"/>
          </w:tcPr>
          <w:p w:rsidR="00CD1D30" w:rsidRPr="0090747A" w:rsidP="00BC6FB4" w14:paraId="0176972D" w14:textId="69497449">
            <w:pPr>
              <w:spacing w:after="120"/>
              <w:rPr>
                <w:rFonts w:asciiTheme="minorHAnsi" w:hAnsiTheme="minorHAnsi" w:cstheme="minorHAnsi"/>
                <w:sz w:val="18"/>
                <w:szCs w:val="18"/>
              </w:rPr>
            </w:pPr>
            <w:r>
              <w:rPr>
                <w:rFonts w:asciiTheme="minorHAnsi" w:hAnsiTheme="minorHAnsi" w:cstheme="minorHAnsi"/>
                <w:sz w:val="18"/>
                <w:szCs w:val="18"/>
              </w:rPr>
              <w:t>E</w:t>
            </w:r>
            <w:r w:rsidRPr="0090747A" w:rsidR="00E8035F">
              <w:rPr>
                <w:rFonts w:asciiTheme="minorHAnsi" w:hAnsiTheme="minorHAnsi" w:cstheme="minorHAnsi"/>
                <w:sz w:val="18"/>
                <w:szCs w:val="18"/>
              </w:rPr>
              <w:t>mail</w:t>
            </w:r>
            <w:bookmarkStart w:id="1" w:name="_Ref203046920"/>
            <w:r>
              <w:rPr>
                <w:rStyle w:val="FootnoteReference"/>
                <w:rFonts w:asciiTheme="minorHAnsi" w:hAnsiTheme="minorHAnsi" w:cstheme="minorHAnsi"/>
                <w:sz w:val="18"/>
                <w:szCs w:val="18"/>
              </w:rPr>
              <w:footnoteReference w:id="7"/>
            </w:r>
            <w:bookmarkEnd w:id="1"/>
            <w:r w:rsidRPr="0090747A" w:rsidR="00E8035F">
              <w:rPr>
                <w:rFonts w:asciiTheme="minorHAnsi" w:hAnsiTheme="minorHAnsi" w:cstheme="minorHAnsi"/>
                <w:sz w:val="18"/>
                <w:szCs w:val="18"/>
              </w:rPr>
              <w:t>, m</w:t>
            </w:r>
            <w:r w:rsidRPr="0090747A">
              <w:rPr>
                <w:rFonts w:asciiTheme="minorHAnsi" w:hAnsiTheme="minorHAnsi" w:cstheme="minorHAnsi"/>
                <w:sz w:val="18"/>
                <w:szCs w:val="18"/>
              </w:rPr>
              <w:t>ail, delivery, fax</w:t>
            </w:r>
          </w:p>
        </w:tc>
        <w:tc>
          <w:tcPr>
            <w:tcW w:w="1031" w:type="dxa"/>
            <w:vAlign w:val="center"/>
          </w:tcPr>
          <w:p w:rsidR="00CD1D30" w:rsidRPr="003D57F5" w:rsidP="00BC6FB4" w14:paraId="3D925511"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Annually</w:t>
            </w:r>
          </w:p>
        </w:tc>
        <w:tc>
          <w:tcPr>
            <w:tcW w:w="1170" w:type="dxa"/>
            <w:vAlign w:val="center"/>
          </w:tcPr>
          <w:p w:rsidR="00CD1D30" w:rsidRPr="003D57F5" w:rsidP="00BC6FB4" w14:paraId="31D63E1A" w14:textId="77777777">
            <w:pPr>
              <w:spacing w:after="120"/>
              <w:rPr>
                <w:rFonts w:asciiTheme="minorHAnsi" w:hAnsiTheme="minorHAnsi" w:cstheme="minorHAnsi"/>
                <w:sz w:val="18"/>
                <w:szCs w:val="18"/>
              </w:rPr>
            </w:pPr>
            <w:r w:rsidRPr="003B620D">
              <w:rPr>
                <w:rFonts w:asciiTheme="minorHAnsi" w:hAnsiTheme="minorHAnsi" w:cstheme="minorHAnsi"/>
                <w:sz w:val="18"/>
                <w:szCs w:val="18"/>
              </w:rPr>
              <w:t>Required to Obtain or Retain Benefits</w:t>
            </w:r>
          </w:p>
        </w:tc>
        <w:tc>
          <w:tcPr>
            <w:tcW w:w="3801" w:type="dxa"/>
            <w:vAlign w:val="center"/>
          </w:tcPr>
          <w:p w:rsidR="00CD1D30" w:rsidP="00BC6FB4" w14:paraId="031930FC" w14:textId="77777777">
            <w:pPr>
              <w:spacing w:before="80" w:after="120"/>
              <w:rPr>
                <w:rFonts w:asciiTheme="minorHAnsi" w:hAnsiTheme="minorHAnsi" w:cstheme="minorHAnsi"/>
                <w:sz w:val="18"/>
                <w:szCs w:val="18"/>
              </w:rPr>
            </w:pPr>
            <w:r w:rsidRPr="003D57F5">
              <w:rPr>
                <w:rFonts w:asciiTheme="minorHAnsi" w:hAnsiTheme="minorHAnsi" w:cstheme="minorHAnsi"/>
                <w:sz w:val="18"/>
                <w:szCs w:val="18"/>
              </w:rPr>
              <w:t>Used by a cooperative to apply for a CQ permit.</w:t>
            </w:r>
          </w:p>
          <w:p w:rsidR="00CD1D30" w:rsidRPr="003D57F5" w:rsidP="00BC6FB4" w14:paraId="7878D63C" w14:textId="77777777">
            <w:pPr>
              <w:spacing w:before="80" w:after="120"/>
              <w:rPr>
                <w:rFonts w:asciiTheme="minorHAnsi" w:hAnsiTheme="minorHAnsi" w:cstheme="minorHAnsi"/>
                <w:sz w:val="18"/>
                <w:szCs w:val="18"/>
              </w:rPr>
            </w:pPr>
            <w:r w:rsidRPr="00CC468D">
              <w:rPr>
                <w:rFonts w:asciiTheme="minorHAnsi" w:hAnsiTheme="minorHAnsi" w:cstheme="minorHAnsi"/>
                <w:sz w:val="18"/>
                <w:szCs w:val="18"/>
              </w:rPr>
              <w:t xml:space="preserve">Used by NMFS to annually issue cooperative </w:t>
            </w:r>
            <w:r>
              <w:rPr>
                <w:rFonts w:asciiTheme="minorHAnsi" w:hAnsiTheme="minorHAnsi" w:cstheme="minorHAnsi"/>
                <w:sz w:val="18"/>
                <w:szCs w:val="18"/>
              </w:rPr>
              <w:t>quota</w:t>
            </w:r>
            <w:r w:rsidRPr="00CC468D">
              <w:rPr>
                <w:rFonts w:asciiTheme="minorHAnsi" w:hAnsiTheme="minorHAnsi" w:cstheme="minorHAnsi"/>
                <w:sz w:val="18"/>
                <w:szCs w:val="18"/>
              </w:rPr>
              <w:t xml:space="preserve"> permits</w:t>
            </w:r>
            <w:r>
              <w:rPr>
                <w:rFonts w:asciiTheme="minorHAnsi" w:hAnsiTheme="minorHAnsi" w:cstheme="minorHAnsi"/>
                <w:sz w:val="18"/>
                <w:szCs w:val="18"/>
              </w:rPr>
              <w:t>,</w:t>
            </w:r>
            <w:r>
              <w:t xml:space="preserve"> </w:t>
            </w:r>
            <w:r w:rsidRPr="00B67F95">
              <w:rPr>
                <w:rFonts w:asciiTheme="minorHAnsi" w:hAnsiTheme="minorHAnsi" w:cstheme="minorHAnsi"/>
                <w:sz w:val="18"/>
                <w:szCs w:val="18"/>
              </w:rPr>
              <w:t>establish annual cooperative accounts for catch accounting purposes, and identify specific vessels that would be associated with each cooperative</w:t>
            </w:r>
            <w:r w:rsidRPr="00CC468D">
              <w:rPr>
                <w:rFonts w:asciiTheme="minorHAnsi" w:hAnsiTheme="minorHAnsi" w:cstheme="minorHAnsi"/>
                <w:sz w:val="18"/>
                <w:szCs w:val="18"/>
              </w:rPr>
              <w:t>.</w:t>
            </w:r>
          </w:p>
        </w:tc>
      </w:tr>
      <w:tr w14:paraId="48747580" w14:textId="77777777" w:rsidTr="00A56D06">
        <w:tblPrEx>
          <w:tblW w:w="14146" w:type="dxa"/>
          <w:jc w:val="center"/>
          <w:tblLayout w:type="fixed"/>
          <w:tblLook w:val="04A0"/>
        </w:tblPrEx>
        <w:trPr>
          <w:trHeight w:val="1394"/>
          <w:tblHeader/>
          <w:jc w:val="center"/>
        </w:trPr>
        <w:tc>
          <w:tcPr>
            <w:tcW w:w="715" w:type="dxa"/>
          </w:tcPr>
          <w:p w:rsidR="00CD1D30" w:rsidRPr="00470A06" w:rsidP="00BC6FB4" w14:paraId="2422EAAB" w14:textId="6E66476F">
            <w:pPr>
              <w:spacing w:after="120"/>
              <w:rPr>
                <w:rFonts w:asciiTheme="minorHAnsi" w:eastAsiaTheme="minorHAnsi" w:hAnsiTheme="minorHAnsi" w:cstheme="minorHAnsi"/>
                <w:sz w:val="22"/>
                <w:szCs w:val="22"/>
              </w:rPr>
            </w:pPr>
            <w:r w:rsidRPr="00470A06">
              <w:rPr>
                <w:rFonts w:asciiTheme="minorHAnsi" w:eastAsiaTheme="minorHAnsi" w:hAnsiTheme="minorHAnsi" w:cstheme="minorHAnsi"/>
                <w:sz w:val="22"/>
                <w:szCs w:val="22"/>
              </w:rPr>
              <w:t>2</w:t>
            </w:r>
          </w:p>
        </w:tc>
        <w:tc>
          <w:tcPr>
            <w:tcW w:w="2797" w:type="dxa"/>
            <w:vAlign w:val="center"/>
          </w:tcPr>
          <w:p w:rsidR="00CD1D30" w:rsidRPr="00D934A0" w:rsidP="00BC6FB4" w14:paraId="2D2ECE28" w14:textId="680BB4C5">
            <w:pPr>
              <w:spacing w:after="120"/>
              <w:rPr>
                <w:rFonts w:asciiTheme="minorHAnsi" w:hAnsiTheme="minorHAnsi" w:cstheme="minorHAnsi"/>
                <w:sz w:val="20"/>
                <w:szCs w:val="20"/>
              </w:rPr>
            </w:pPr>
            <w:r w:rsidRPr="00D934A0">
              <w:rPr>
                <w:rFonts w:asciiTheme="minorHAnsi" w:eastAsiaTheme="minorHAnsi" w:hAnsiTheme="minorHAnsi" w:cstheme="minorHAnsi"/>
                <w:sz w:val="20"/>
                <w:szCs w:val="20"/>
              </w:rPr>
              <w:t>Application for Inter-Cooperative Transfer of PCTC Program Cooperative Quota (CQ)</w:t>
            </w:r>
          </w:p>
        </w:tc>
        <w:tc>
          <w:tcPr>
            <w:tcW w:w="1073" w:type="dxa"/>
            <w:vAlign w:val="center"/>
          </w:tcPr>
          <w:p w:rsidR="00CD1D30" w:rsidP="00BC6FB4" w14:paraId="77A79976" w14:textId="77777777">
            <w:pPr>
              <w:spacing w:after="120"/>
              <w:rPr>
                <w:rFonts w:asciiTheme="minorHAnsi" w:hAnsiTheme="minorHAnsi" w:cstheme="minorHAnsi"/>
                <w:sz w:val="18"/>
                <w:szCs w:val="18"/>
              </w:rPr>
            </w:pPr>
          </w:p>
          <w:p w:rsidR="00CD1D30" w:rsidRPr="00BB2A6E" w:rsidP="00BC6FB4" w14:paraId="73B74843" w14:textId="73B38FCA">
            <w:pPr>
              <w:spacing w:after="120"/>
              <w:rPr>
                <w:rFonts w:asciiTheme="minorHAnsi" w:hAnsiTheme="minorHAnsi" w:cstheme="minorHAnsi"/>
                <w:sz w:val="18"/>
                <w:szCs w:val="18"/>
              </w:rPr>
            </w:pPr>
            <w:hyperlink r:id="rId8" w:anchor="p-679.131(i)" w:history="1">
              <w:r w:rsidRPr="00470A06">
                <w:rPr>
                  <w:rStyle w:val="Hyperlink"/>
                  <w:rFonts w:asciiTheme="minorHAnsi" w:hAnsiTheme="minorHAnsi" w:cstheme="minorHAnsi"/>
                  <w:sz w:val="18"/>
                  <w:szCs w:val="18"/>
                </w:rPr>
                <w:t>50 CFR 679.131(i)</w:t>
              </w:r>
            </w:hyperlink>
          </w:p>
        </w:tc>
        <w:tc>
          <w:tcPr>
            <w:tcW w:w="1672" w:type="dxa"/>
            <w:vAlign w:val="center"/>
          </w:tcPr>
          <w:p w:rsidR="00CD1D30" w:rsidRPr="003D57F5" w:rsidP="00BC6FB4" w14:paraId="595C310B"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PCTC Program cooperative representative</w:t>
            </w:r>
          </w:p>
        </w:tc>
        <w:tc>
          <w:tcPr>
            <w:tcW w:w="686" w:type="dxa"/>
            <w:vAlign w:val="center"/>
          </w:tcPr>
          <w:p w:rsidR="00CD1D30" w:rsidRPr="003D57F5" w:rsidP="00BC6FB4" w14:paraId="40D252D4" w14:textId="77777777">
            <w:pPr>
              <w:spacing w:after="120"/>
              <w:rPr>
                <w:rFonts w:asciiTheme="minorHAnsi" w:hAnsiTheme="minorHAnsi" w:cstheme="minorHAnsi"/>
                <w:sz w:val="18"/>
                <w:szCs w:val="18"/>
              </w:rPr>
            </w:pPr>
            <w:r>
              <w:rPr>
                <w:rFonts w:asciiTheme="minorHAnsi" w:hAnsiTheme="minorHAnsi" w:cstheme="minorHAnsi"/>
                <w:sz w:val="18"/>
                <w:szCs w:val="18"/>
              </w:rPr>
              <w:t>No</w:t>
            </w:r>
          </w:p>
        </w:tc>
        <w:tc>
          <w:tcPr>
            <w:tcW w:w="1201" w:type="dxa"/>
            <w:vAlign w:val="center"/>
          </w:tcPr>
          <w:p w:rsidR="00CD1D30" w:rsidRPr="003D57F5" w:rsidP="00BC6FB4" w14:paraId="5FC07511"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Online using eFISH</w:t>
            </w:r>
            <w:r w:rsidRPr="003D57F5">
              <w:rPr>
                <w:rFonts w:asciiTheme="minorHAnsi" w:hAnsiTheme="minorHAnsi" w:cstheme="minorHAnsi"/>
                <w:sz w:val="18"/>
                <w:szCs w:val="18"/>
                <w:vertAlign w:val="superscript"/>
              </w:rPr>
              <w:t>2</w:t>
            </w:r>
          </w:p>
        </w:tc>
        <w:tc>
          <w:tcPr>
            <w:tcW w:w="1031" w:type="dxa"/>
            <w:vAlign w:val="center"/>
          </w:tcPr>
          <w:p w:rsidR="00CD1D30" w:rsidRPr="003D57F5" w:rsidP="00BC6FB4" w14:paraId="7557F626"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As needed</w:t>
            </w:r>
          </w:p>
        </w:tc>
        <w:tc>
          <w:tcPr>
            <w:tcW w:w="1170" w:type="dxa"/>
            <w:vAlign w:val="center"/>
          </w:tcPr>
          <w:p w:rsidR="00CD1D30" w:rsidRPr="003D57F5" w:rsidP="00BC6FB4" w14:paraId="4A8AFC00" w14:textId="77777777">
            <w:pPr>
              <w:spacing w:after="120"/>
              <w:rPr>
                <w:rFonts w:asciiTheme="minorHAnsi" w:hAnsiTheme="minorHAnsi" w:cstheme="minorHAnsi"/>
                <w:sz w:val="18"/>
                <w:szCs w:val="18"/>
              </w:rPr>
            </w:pPr>
            <w:r w:rsidRPr="00392AA9">
              <w:rPr>
                <w:rFonts w:asciiTheme="minorHAnsi" w:hAnsiTheme="minorHAnsi" w:cstheme="minorHAnsi"/>
                <w:sz w:val="18"/>
                <w:szCs w:val="18"/>
              </w:rPr>
              <w:t>Required to Obtain or Retain Benefits</w:t>
            </w:r>
          </w:p>
        </w:tc>
        <w:tc>
          <w:tcPr>
            <w:tcW w:w="3801" w:type="dxa"/>
            <w:vAlign w:val="center"/>
          </w:tcPr>
          <w:p w:rsidR="00CD1D30" w:rsidRPr="003D57F5" w:rsidP="00BC6FB4" w14:paraId="50F270ED" w14:textId="77777777">
            <w:pPr>
              <w:spacing w:before="80" w:after="120"/>
              <w:rPr>
                <w:rFonts w:asciiTheme="minorHAnsi" w:hAnsiTheme="minorHAnsi" w:cstheme="minorHAnsi"/>
                <w:sz w:val="18"/>
                <w:szCs w:val="18"/>
              </w:rPr>
            </w:pPr>
            <w:r w:rsidRPr="003D57F5">
              <w:rPr>
                <w:rFonts w:asciiTheme="minorHAnsi" w:hAnsiTheme="minorHAnsi" w:cstheme="minorHAnsi"/>
                <w:sz w:val="18"/>
                <w:szCs w:val="18"/>
              </w:rPr>
              <w:t xml:space="preserve">Used by a </w:t>
            </w:r>
            <w:r>
              <w:rPr>
                <w:rFonts w:asciiTheme="minorHAnsi" w:hAnsiTheme="minorHAnsi" w:cstheme="minorHAnsi"/>
                <w:sz w:val="18"/>
                <w:szCs w:val="18"/>
              </w:rPr>
              <w:t xml:space="preserve">PCTC Program </w:t>
            </w:r>
            <w:r w:rsidRPr="003D57F5">
              <w:rPr>
                <w:rFonts w:asciiTheme="minorHAnsi" w:hAnsiTheme="minorHAnsi" w:cstheme="minorHAnsi"/>
                <w:sz w:val="18"/>
                <w:szCs w:val="18"/>
              </w:rPr>
              <w:t>coope</w:t>
            </w:r>
            <w:r>
              <w:rPr>
                <w:rFonts w:asciiTheme="minorHAnsi" w:hAnsiTheme="minorHAnsi" w:cstheme="minorHAnsi"/>
                <w:sz w:val="18"/>
                <w:szCs w:val="18"/>
              </w:rPr>
              <w:t>rative to transfer CQ to another PCTC Program</w:t>
            </w:r>
            <w:r w:rsidRPr="003D57F5">
              <w:rPr>
                <w:rFonts w:asciiTheme="minorHAnsi" w:hAnsiTheme="minorHAnsi" w:cstheme="minorHAnsi"/>
                <w:sz w:val="18"/>
                <w:szCs w:val="18"/>
              </w:rPr>
              <w:t xml:space="preserve"> cooperative.</w:t>
            </w:r>
          </w:p>
          <w:p w:rsidR="00CD1D30" w:rsidRPr="003D57F5" w:rsidP="00BC6FB4" w14:paraId="7FE327A2" w14:textId="77777777">
            <w:pPr>
              <w:spacing w:before="80" w:after="120"/>
              <w:rPr>
                <w:rFonts w:asciiTheme="minorHAnsi" w:hAnsiTheme="minorHAnsi" w:cstheme="minorHAnsi"/>
                <w:sz w:val="18"/>
                <w:szCs w:val="18"/>
              </w:rPr>
            </w:pPr>
            <w:r w:rsidRPr="003D57F5">
              <w:rPr>
                <w:rFonts w:asciiTheme="minorHAnsi" w:hAnsiTheme="minorHAnsi" w:cstheme="minorHAnsi"/>
                <w:sz w:val="18"/>
                <w:szCs w:val="18"/>
              </w:rPr>
              <w:t>Used by NMFS to monitor inter-cooperative transfers of cooperative quota</w:t>
            </w:r>
            <w:r>
              <w:rPr>
                <w:rFonts w:asciiTheme="minorHAnsi" w:hAnsiTheme="minorHAnsi" w:cstheme="minorHAnsi"/>
                <w:sz w:val="18"/>
                <w:szCs w:val="18"/>
              </w:rPr>
              <w:t xml:space="preserve"> and</w:t>
            </w:r>
            <w:r w:rsidRPr="00952D90">
              <w:rPr>
                <w:rFonts w:asciiTheme="minorHAnsi" w:hAnsiTheme="minorHAnsi" w:cstheme="minorHAnsi"/>
                <w:sz w:val="18"/>
                <w:szCs w:val="18"/>
              </w:rPr>
              <w:t xml:space="preserve"> ensure they do not exceed owner</w:t>
            </w:r>
            <w:r>
              <w:rPr>
                <w:rFonts w:asciiTheme="minorHAnsi" w:hAnsiTheme="minorHAnsi" w:cstheme="minorHAnsi"/>
                <w:sz w:val="18"/>
                <w:szCs w:val="18"/>
              </w:rPr>
              <w:t>ship or use caps.</w:t>
            </w:r>
          </w:p>
        </w:tc>
      </w:tr>
      <w:tr w14:paraId="0CB2DE94" w14:textId="77777777" w:rsidTr="00A56D06">
        <w:tblPrEx>
          <w:tblW w:w="14146" w:type="dxa"/>
          <w:jc w:val="center"/>
          <w:tblLayout w:type="fixed"/>
          <w:tblLook w:val="04A0"/>
        </w:tblPrEx>
        <w:trPr>
          <w:trHeight w:val="1214"/>
          <w:tblHeader/>
          <w:jc w:val="center"/>
        </w:trPr>
        <w:tc>
          <w:tcPr>
            <w:tcW w:w="715" w:type="dxa"/>
          </w:tcPr>
          <w:p w:rsidR="00CD1D30" w:rsidRPr="00470A06" w:rsidP="00BC6FB4" w14:paraId="6A1C803C" w14:textId="64CF5F5D">
            <w:pPr>
              <w:spacing w:after="120"/>
              <w:rPr>
                <w:rFonts w:asciiTheme="minorHAnsi" w:hAnsiTheme="minorHAnsi" w:cstheme="minorHAnsi"/>
                <w:sz w:val="22"/>
                <w:szCs w:val="22"/>
              </w:rPr>
            </w:pPr>
            <w:r w:rsidRPr="00470A06">
              <w:rPr>
                <w:rFonts w:asciiTheme="minorHAnsi" w:hAnsiTheme="minorHAnsi" w:cstheme="minorHAnsi"/>
                <w:sz w:val="22"/>
                <w:szCs w:val="22"/>
              </w:rPr>
              <w:t>3</w:t>
            </w:r>
          </w:p>
        </w:tc>
        <w:tc>
          <w:tcPr>
            <w:tcW w:w="2797" w:type="dxa"/>
            <w:vAlign w:val="center"/>
          </w:tcPr>
          <w:p w:rsidR="00CD1D30" w:rsidRPr="00D934A0" w:rsidP="00BC6FB4" w14:paraId="36CC8EE2" w14:textId="67C632E7">
            <w:pPr>
              <w:spacing w:after="120"/>
              <w:rPr>
                <w:rFonts w:asciiTheme="minorHAnsi" w:hAnsiTheme="minorHAnsi" w:cstheme="minorHAnsi"/>
                <w:sz w:val="20"/>
                <w:szCs w:val="20"/>
              </w:rPr>
            </w:pPr>
            <w:r w:rsidRPr="00D934A0">
              <w:rPr>
                <w:rFonts w:asciiTheme="minorHAnsi" w:hAnsiTheme="minorHAnsi" w:cstheme="minorHAnsi"/>
                <w:sz w:val="20"/>
                <w:szCs w:val="20"/>
              </w:rPr>
              <w:t>Application for Transfer of</w:t>
            </w:r>
            <w:r w:rsidRPr="00D934A0">
              <w:rPr>
                <w:sz w:val="20"/>
                <w:szCs w:val="20"/>
              </w:rPr>
              <w:t xml:space="preserve"> </w:t>
            </w:r>
            <w:r w:rsidRPr="00D934A0">
              <w:rPr>
                <w:rFonts w:asciiTheme="minorHAnsi" w:hAnsiTheme="minorHAnsi" w:cstheme="minorHAnsi"/>
                <w:sz w:val="20"/>
                <w:szCs w:val="20"/>
              </w:rPr>
              <w:t>Pacific Cod Trawl Cooperative Program Quota Share for Processors</w:t>
            </w:r>
          </w:p>
        </w:tc>
        <w:tc>
          <w:tcPr>
            <w:tcW w:w="1073" w:type="dxa"/>
            <w:vAlign w:val="center"/>
          </w:tcPr>
          <w:p w:rsidR="00CD1D30" w:rsidRPr="003D57F5" w:rsidP="00BC6FB4" w14:paraId="609256B5" w14:textId="6B9909D4">
            <w:pPr>
              <w:spacing w:after="120"/>
              <w:rPr>
                <w:rFonts w:asciiTheme="minorHAnsi" w:hAnsiTheme="minorHAnsi" w:cstheme="minorHAnsi"/>
                <w:sz w:val="18"/>
                <w:szCs w:val="18"/>
              </w:rPr>
            </w:pPr>
            <w:hyperlink r:id="rId7" w:anchor="p-679.130(j)(3)" w:history="1">
              <w:r w:rsidRPr="00470A06">
                <w:rPr>
                  <w:rStyle w:val="Hyperlink"/>
                  <w:rFonts w:asciiTheme="minorHAnsi" w:hAnsiTheme="minorHAnsi" w:cstheme="minorHAnsi"/>
                  <w:sz w:val="18"/>
                  <w:szCs w:val="18"/>
                </w:rPr>
                <w:t>50 CFR 679.130(j)(3)</w:t>
              </w:r>
            </w:hyperlink>
          </w:p>
        </w:tc>
        <w:tc>
          <w:tcPr>
            <w:tcW w:w="1672" w:type="dxa"/>
            <w:vAlign w:val="center"/>
          </w:tcPr>
          <w:p w:rsidR="00CD1D30" w:rsidRPr="003D57F5" w:rsidP="00BC6FB4" w14:paraId="69153917" w14:textId="77777777">
            <w:pPr>
              <w:spacing w:after="120"/>
              <w:rPr>
                <w:rFonts w:asciiTheme="minorHAnsi" w:hAnsiTheme="minorHAnsi" w:cstheme="minorHAnsi"/>
                <w:sz w:val="18"/>
                <w:szCs w:val="18"/>
              </w:rPr>
            </w:pPr>
            <w:r>
              <w:rPr>
                <w:rFonts w:asciiTheme="minorHAnsi" w:hAnsiTheme="minorHAnsi" w:cstheme="minorHAnsi"/>
                <w:sz w:val="18"/>
                <w:szCs w:val="18"/>
              </w:rPr>
              <w:t>PCTC Program processor</w:t>
            </w:r>
          </w:p>
        </w:tc>
        <w:tc>
          <w:tcPr>
            <w:tcW w:w="686" w:type="dxa"/>
            <w:vAlign w:val="center"/>
          </w:tcPr>
          <w:p w:rsidR="00CD1D30" w:rsidRPr="0090747A" w:rsidP="00BC6FB4" w14:paraId="6E3C114D" w14:textId="77777777">
            <w:pPr>
              <w:spacing w:after="120"/>
              <w:rPr>
                <w:rFonts w:asciiTheme="minorHAnsi" w:hAnsiTheme="minorHAnsi" w:cstheme="minorHAnsi"/>
                <w:sz w:val="18"/>
                <w:szCs w:val="18"/>
              </w:rPr>
            </w:pPr>
            <w:r w:rsidRPr="0090747A">
              <w:rPr>
                <w:rFonts w:asciiTheme="minorHAnsi" w:hAnsiTheme="minorHAnsi" w:cstheme="minorHAnsi"/>
                <w:sz w:val="18"/>
                <w:szCs w:val="18"/>
              </w:rPr>
              <w:t>Yes</w:t>
            </w:r>
          </w:p>
        </w:tc>
        <w:tc>
          <w:tcPr>
            <w:tcW w:w="1201" w:type="dxa"/>
            <w:vAlign w:val="center"/>
          </w:tcPr>
          <w:p w:rsidR="00CD1D30" w:rsidRPr="0090747A" w:rsidP="00BC6FB4" w14:paraId="1170B109" w14:textId="059CAA30">
            <w:pPr>
              <w:spacing w:after="120"/>
              <w:rPr>
                <w:rFonts w:asciiTheme="minorHAnsi" w:hAnsiTheme="minorHAnsi" w:cstheme="minorHAnsi"/>
                <w:sz w:val="18"/>
                <w:szCs w:val="18"/>
              </w:rPr>
            </w:pPr>
            <w:r w:rsidRPr="0090747A">
              <w:rPr>
                <w:rFonts w:asciiTheme="minorHAnsi" w:hAnsiTheme="minorHAnsi" w:cstheme="minorHAnsi"/>
                <w:sz w:val="18"/>
                <w:szCs w:val="18"/>
              </w:rPr>
              <w:t>Email</w:t>
            </w:r>
            <w:r w:rsidRPr="0090747A" w:rsidR="0090747A">
              <w:rPr>
                <w:rFonts w:asciiTheme="minorHAnsi" w:hAnsiTheme="minorHAnsi" w:cstheme="minorHAnsi"/>
                <w:sz w:val="18"/>
                <w:szCs w:val="18"/>
                <w:vertAlign w:val="superscript"/>
              </w:rPr>
              <w:fldChar w:fldCharType="begin"/>
            </w:r>
            <w:r w:rsidRPr="0090747A" w:rsidR="0090747A">
              <w:rPr>
                <w:rFonts w:asciiTheme="minorHAnsi" w:hAnsiTheme="minorHAnsi" w:cstheme="minorHAnsi"/>
                <w:sz w:val="18"/>
                <w:szCs w:val="18"/>
                <w:vertAlign w:val="superscript"/>
              </w:rPr>
              <w:instrText xml:space="preserve"> NOTEREF _Ref203046920 \h  \* MERGEFORMAT </w:instrText>
            </w:r>
            <w:r w:rsidRPr="0090747A" w:rsidR="0090747A">
              <w:rPr>
                <w:rFonts w:asciiTheme="minorHAnsi" w:hAnsiTheme="minorHAnsi" w:cstheme="minorHAnsi"/>
                <w:sz w:val="18"/>
                <w:szCs w:val="18"/>
                <w:vertAlign w:val="superscript"/>
              </w:rPr>
              <w:fldChar w:fldCharType="separate"/>
            </w:r>
            <w:r w:rsidRPr="0090747A" w:rsidR="0090747A">
              <w:rPr>
                <w:rFonts w:asciiTheme="minorHAnsi" w:hAnsiTheme="minorHAnsi" w:cstheme="minorHAnsi"/>
                <w:sz w:val="18"/>
                <w:szCs w:val="18"/>
                <w:vertAlign w:val="superscript"/>
              </w:rPr>
              <w:t>1</w:t>
            </w:r>
            <w:r w:rsidRPr="0090747A" w:rsidR="0090747A">
              <w:rPr>
                <w:rFonts w:asciiTheme="minorHAnsi" w:hAnsiTheme="minorHAnsi" w:cstheme="minorHAnsi"/>
                <w:sz w:val="18"/>
                <w:szCs w:val="18"/>
                <w:vertAlign w:val="superscript"/>
              </w:rPr>
              <w:fldChar w:fldCharType="end"/>
            </w:r>
            <w:r w:rsidRPr="0090747A">
              <w:rPr>
                <w:rFonts w:asciiTheme="minorHAnsi" w:hAnsiTheme="minorHAnsi" w:cstheme="minorHAnsi"/>
                <w:sz w:val="18"/>
                <w:szCs w:val="18"/>
              </w:rPr>
              <w:t>, m</w:t>
            </w:r>
            <w:r w:rsidRPr="0090747A">
              <w:rPr>
                <w:rFonts w:asciiTheme="minorHAnsi" w:hAnsiTheme="minorHAnsi" w:cstheme="minorHAnsi"/>
                <w:sz w:val="18"/>
                <w:szCs w:val="18"/>
              </w:rPr>
              <w:t>ail, delivery, fax</w:t>
            </w:r>
          </w:p>
        </w:tc>
        <w:tc>
          <w:tcPr>
            <w:tcW w:w="1031" w:type="dxa"/>
            <w:vAlign w:val="center"/>
          </w:tcPr>
          <w:p w:rsidR="00CD1D30" w:rsidRPr="003D57F5" w:rsidP="00BC6FB4" w14:paraId="2B4455B3" w14:textId="77777777">
            <w:pPr>
              <w:spacing w:after="120"/>
              <w:rPr>
                <w:rFonts w:asciiTheme="minorHAnsi" w:hAnsiTheme="minorHAnsi" w:cstheme="minorHAnsi"/>
                <w:sz w:val="18"/>
                <w:szCs w:val="18"/>
              </w:rPr>
            </w:pPr>
            <w:r>
              <w:rPr>
                <w:rFonts w:asciiTheme="minorHAnsi" w:hAnsiTheme="minorHAnsi" w:cstheme="minorHAnsi"/>
                <w:sz w:val="18"/>
                <w:szCs w:val="18"/>
              </w:rPr>
              <w:t>As needed</w:t>
            </w:r>
          </w:p>
        </w:tc>
        <w:tc>
          <w:tcPr>
            <w:tcW w:w="1170" w:type="dxa"/>
            <w:vAlign w:val="center"/>
          </w:tcPr>
          <w:p w:rsidR="00CD1D30" w:rsidRPr="003D57F5" w:rsidP="00BC6FB4" w14:paraId="77988D0A" w14:textId="77777777">
            <w:pPr>
              <w:spacing w:after="120"/>
              <w:rPr>
                <w:rFonts w:asciiTheme="minorHAnsi" w:hAnsiTheme="minorHAnsi" w:cstheme="minorHAnsi"/>
                <w:sz w:val="18"/>
                <w:szCs w:val="18"/>
              </w:rPr>
            </w:pPr>
            <w:r w:rsidRPr="00392AA9">
              <w:rPr>
                <w:rFonts w:asciiTheme="minorHAnsi" w:hAnsiTheme="minorHAnsi" w:cstheme="minorHAnsi"/>
                <w:sz w:val="18"/>
                <w:szCs w:val="18"/>
              </w:rPr>
              <w:t>Required to Obtain or Retain Benefits</w:t>
            </w:r>
          </w:p>
        </w:tc>
        <w:tc>
          <w:tcPr>
            <w:tcW w:w="3801" w:type="dxa"/>
            <w:vAlign w:val="center"/>
          </w:tcPr>
          <w:p w:rsidR="00CD1D30" w:rsidP="00BC6FB4" w14:paraId="3267B0BE" w14:textId="77777777">
            <w:pPr>
              <w:spacing w:before="80" w:after="120"/>
              <w:rPr>
                <w:rFonts w:asciiTheme="minorHAnsi" w:hAnsiTheme="minorHAnsi" w:cstheme="minorHAnsi"/>
                <w:sz w:val="18"/>
                <w:szCs w:val="18"/>
              </w:rPr>
            </w:pPr>
            <w:r>
              <w:rPr>
                <w:rFonts w:asciiTheme="minorHAnsi" w:hAnsiTheme="minorHAnsi" w:cstheme="minorHAnsi"/>
                <w:sz w:val="18"/>
                <w:szCs w:val="18"/>
              </w:rPr>
              <w:t>Used by a PCTC Program processor to transfer QS to an eligible PCTC Program processor.</w:t>
            </w:r>
          </w:p>
          <w:p w:rsidR="00CD1D30" w:rsidRPr="003D57F5" w:rsidP="00BC6FB4" w14:paraId="4EF44975" w14:textId="77777777">
            <w:pPr>
              <w:spacing w:before="80" w:after="120"/>
              <w:rPr>
                <w:rFonts w:asciiTheme="minorHAnsi" w:hAnsiTheme="minorHAnsi" w:cstheme="minorHAnsi"/>
                <w:sz w:val="18"/>
                <w:szCs w:val="18"/>
              </w:rPr>
            </w:pPr>
            <w:r>
              <w:rPr>
                <w:rFonts w:asciiTheme="minorHAnsi" w:hAnsiTheme="minorHAnsi" w:cstheme="minorHAnsi"/>
                <w:sz w:val="18"/>
                <w:szCs w:val="18"/>
              </w:rPr>
              <w:t>Used by NMFS to monitor transfers of processor QS an</w:t>
            </w:r>
            <w:r w:rsidRPr="00921561">
              <w:rPr>
                <w:rFonts w:asciiTheme="minorHAnsi" w:hAnsiTheme="minorHAnsi" w:cstheme="minorHAnsi"/>
                <w:sz w:val="18"/>
                <w:szCs w:val="18"/>
              </w:rPr>
              <w:t>d ensure they do not exceed ownership or use caps.</w:t>
            </w:r>
          </w:p>
        </w:tc>
      </w:tr>
      <w:tr w14:paraId="3D650836" w14:textId="77777777" w:rsidTr="00A56D06">
        <w:tblPrEx>
          <w:tblW w:w="14146" w:type="dxa"/>
          <w:jc w:val="center"/>
          <w:tblLayout w:type="fixed"/>
          <w:tblLook w:val="04A0"/>
        </w:tblPrEx>
        <w:trPr>
          <w:trHeight w:val="1610"/>
          <w:tblHeader/>
          <w:jc w:val="center"/>
        </w:trPr>
        <w:tc>
          <w:tcPr>
            <w:tcW w:w="715" w:type="dxa"/>
          </w:tcPr>
          <w:p w:rsidR="00CD1D30" w:rsidRPr="00470A06" w:rsidP="00BC6FB4" w14:paraId="0F8D83F6" w14:textId="028A5E50">
            <w:pPr>
              <w:spacing w:after="120"/>
              <w:rPr>
                <w:rFonts w:asciiTheme="minorHAnsi" w:hAnsiTheme="minorHAnsi" w:cstheme="minorHAnsi"/>
                <w:sz w:val="22"/>
                <w:szCs w:val="22"/>
              </w:rPr>
            </w:pPr>
            <w:r w:rsidRPr="00470A06">
              <w:rPr>
                <w:rFonts w:asciiTheme="minorHAnsi" w:hAnsiTheme="minorHAnsi" w:cstheme="minorHAnsi"/>
                <w:sz w:val="22"/>
                <w:szCs w:val="22"/>
              </w:rPr>
              <w:t>4</w:t>
            </w:r>
          </w:p>
        </w:tc>
        <w:tc>
          <w:tcPr>
            <w:tcW w:w="2797" w:type="dxa"/>
            <w:vAlign w:val="center"/>
          </w:tcPr>
          <w:p w:rsidR="00CD1D30" w:rsidRPr="00D934A0" w:rsidP="00BC6FB4" w14:paraId="45119BC6" w14:textId="627076E1">
            <w:pPr>
              <w:spacing w:after="120"/>
              <w:rPr>
                <w:rFonts w:asciiTheme="minorHAnsi" w:hAnsiTheme="minorHAnsi" w:cstheme="minorHAnsi"/>
                <w:sz w:val="20"/>
                <w:szCs w:val="20"/>
              </w:rPr>
            </w:pPr>
            <w:r w:rsidRPr="00D934A0">
              <w:rPr>
                <w:rFonts w:asciiTheme="minorHAnsi" w:hAnsiTheme="minorHAnsi" w:cstheme="minorHAnsi"/>
                <w:sz w:val="20"/>
                <w:szCs w:val="20"/>
              </w:rPr>
              <w:t>Notification of Intent to Process Pacific cod</w:t>
            </w:r>
          </w:p>
        </w:tc>
        <w:tc>
          <w:tcPr>
            <w:tcW w:w="1073" w:type="dxa"/>
            <w:vAlign w:val="center"/>
          </w:tcPr>
          <w:p w:rsidR="00CD1D30" w:rsidRPr="003D57F5" w:rsidP="00BC6FB4" w14:paraId="4F91C3C2" w14:textId="63EE934C">
            <w:pPr>
              <w:spacing w:after="120"/>
              <w:rPr>
                <w:rFonts w:asciiTheme="minorHAnsi" w:hAnsiTheme="minorHAnsi" w:cstheme="minorHAnsi"/>
                <w:sz w:val="18"/>
                <w:szCs w:val="18"/>
              </w:rPr>
            </w:pPr>
            <w:hyperlink r:id="rId11" w:anchor="p-679.132(b)" w:history="1">
              <w:r w:rsidRPr="00F11799">
                <w:rPr>
                  <w:rStyle w:val="Hyperlink"/>
                  <w:rFonts w:asciiTheme="minorHAnsi" w:hAnsiTheme="minorHAnsi" w:cstheme="minorHAnsi"/>
                  <w:sz w:val="18"/>
                  <w:szCs w:val="18"/>
                </w:rPr>
                <w:t>50 CFR 679.132(b)</w:t>
              </w:r>
            </w:hyperlink>
          </w:p>
        </w:tc>
        <w:tc>
          <w:tcPr>
            <w:tcW w:w="1672" w:type="dxa"/>
            <w:vAlign w:val="center"/>
          </w:tcPr>
          <w:p w:rsidR="00CD1D30" w:rsidRPr="003D57F5" w:rsidP="00BC6FB4" w14:paraId="260FD899"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representative of the City of Adak; representative of the City of Atka</w:t>
            </w:r>
          </w:p>
        </w:tc>
        <w:tc>
          <w:tcPr>
            <w:tcW w:w="686" w:type="dxa"/>
            <w:vAlign w:val="center"/>
          </w:tcPr>
          <w:p w:rsidR="00CD1D30" w:rsidRPr="003D57F5" w:rsidP="00BC6FB4" w14:paraId="48F5275E"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No</w:t>
            </w:r>
          </w:p>
        </w:tc>
        <w:tc>
          <w:tcPr>
            <w:tcW w:w="1201" w:type="dxa"/>
            <w:vAlign w:val="center"/>
          </w:tcPr>
          <w:p w:rsidR="00CD1D30" w:rsidRPr="003D57F5" w:rsidP="00BC6FB4" w14:paraId="7FF42D6B"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email</w:t>
            </w:r>
          </w:p>
        </w:tc>
        <w:tc>
          <w:tcPr>
            <w:tcW w:w="1031" w:type="dxa"/>
            <w:vAlign w:val="center"/>
          </w:tcPr>
          <w:p w:rsidR="00CD1D30" w:rsidRPr="003D57F5" w:rsidP="00BC6FB4" w14:paraId="557F4DC4" w14:textId="77777777">
            <w:pPr>
              <w:spacing w:after="120"/>
              <w:rPr>
                <w:rFonts w:asciiTheme="minorHAnsi" w:hAnsiTheme="minorHAnsi" w:cstheme="minorHAnsi"/>
                <w:sz w:val="18"/>
                <w:szCs w:val="18"/>
              </w:rPr>
            </w:pPr>
            <w:r w:rsidRPr="003D57F5">
              <w:rPr>
                <w:rFonts w:asciiTheme="minorHAnsi" w:hAnsiTheme="minorHAnsi" w:cstheme="minorHAnsi"/>
                <w:sz w:val="18"/>
                <w:szCs w:val="18"/>
              </w:rPr>
              <w:t>Annually</w:t>
            </w:r>
          </w:p>
        </w:tc>
        <w:tc>
          <w:tcPr>
            <w:tcW w:w="1170" w:type="dxa"/>
            <w:vAlign w:val="center"/>
          </w:tcPr>
          <w:p w:rsidR="00CD1D30" w:rsidRPr="003D57F5" w:rsidP="00BC6FB4" w14:paraId="0FD747A0" w14:textId="77777777">
            <w:pPr>
              <w:spacing w:after="120"/>
              <w:rPr>
                <w:rFonts w:asciiTheme="minorHAnsi" w:hAnsiTheme="minorHAnsi" w:cstheme="minorHAnsi"/>
                <w:sz w:val="18"/>
                <w:szCs w:val="18"/>
              </w:rPr>
            </w:pPr>
            <w:r w:rsidRPr="00090E50">
              <w:rPr>
                <w:rFonts w:asciiTheme="minorHAnsi" w:hAnsiTheme="minorHAnsi" w:cstheme="minorHAnsi"/>
                <w:sz w:val="18"/>
                <w:szCs w:val="18"/>
              </w:rPr>
              <w:t>Required to Obtain or Retain Benefits</w:t>
            </w:r>
          </w:p>
        </w:tc>
        <w:tc>
          <w:tcPr>
            <w:tcW w:w="3801" w:type="dxa"/>
            <w:vAlign w:val="center"/>
          </w:tcPr>
          <w:p w:rsidR="00CD1D30" w:rsidP="00BC6FB4" w14:paraId="50E37C6C" w14:textId="77777777">
            <w:pPr>
              <w:spacing w:before="80" w:after="120"/>
              <w:rPr>
                <w:rFonts w:asciiTheme="minorHAnsi" w:hAnsiTheme="minorHAnsi" w:cstheme="minorHAnsi"/>
                <w:sz w:val="18"/>
                <w:szCs w:val="18"/>
              </w:rPr>
            </w:pPr>
            <w:r>
              <w:rPr>
                <w:rFonts w:asciiTheme="minorHAnsi" w:hAnsiTheme="minorHAnsi" w:cstheme="minorHAnsi"/>
                <w:sz w:val="18"/>
                <w:szCs w:val="18"/>
              </w:rPr>
              <w:t xml:space="preserve">Used the by the city to notify NMFS that it intends </w:t>
            </w:r>
            <w:r w:rsidRPr="00580711">
              <w:rPr>
                <w:rFonts w:asciiTheme="minorHAnsi" w:hAnsiTheme="minorHAnsi" w:cstheme="minorHAnsi"/>
                <w:sz w:val="18"/>
                <w:szCs w:val="18"/>
              </w:rPr>
              <w:t>to process PCTC Program Pacific cod during the upcoming fishing year.</w:t>
            </w:r>
          </w:p>
          <w:p w:rsidR="00CD1D30" w:rsidRPr="003D57F5" w:rsidP="00BC6FB4" w14:paraId="42291706" w14:textId="77777777">
            <w:pPr>
              <w:spacing w:before="80" w:after="120"/>
              <w:rPr>
                <w:rFonts w:asciiTheme="minorHAnsi" w:hAnsiTheme="minorHAnsi" w:cstheme="minorHAnsi"/>
                <w:sz w:val="18"/>
                <w:szCs w:val="18"/>
              </w:rPr>
            </w:pPr>
            <w:r>
              <w:rPr>
                <w:rFonts w:asciiTheme="minorHAnsi" w:hAnsiTheme="minorHAnsi" w:cstheme="minorHAnsi"/>
                <w:sz w:val="18"/>
                <w:szCs w:val="18"/>
              </w:rPr>
              <w:t>Used by NMFS to implement the Aleutian Islands CQ set-aside that would be in effect the upcoming fishing year.</w:t>
            </w:r>
          </w:p>
        </w:tc>
      </w:tr>
    </w:tbl>
    <w:p w:rsidR="00470A06" w:rsidP="00BC6FB4" w14:paraId="25E8A7C4" w14:textId="77777777">
      <w:pPr>
        <w:pBdr>
          <w:top w:val="nil"/>
          <w:left w:val="nil"/>
          <w:bottom w:val="nil"/>
          <w:right w:val="nil"/>
          <w:between w:val="nil"/>
        </w:pBdr>
        <w:spacing w:after="120"/>
        <w:sectPr w:rsidSect="00FA06A8">
          <w:pgSz w:w="15840" w:h="12240" w:code="1"/>
          <w:pgMar w:top="1440" w:right="1440" w:bottom="1440" w:left="1440" w:header="0" w:footer="720" w:gutter="0"/>
          <w:cols w:space="720"/>
          <w:docGrid w:linePitch="326"/>
        </w:sectPr>
      </w:pPr>
    </w:p>
    <w:p w:rsidR="00D01AEA" w:rsidP="00BC6FB4" w14:paraId="7780F8BD" w14:textId="6FDA5480">
      <w:pPr>
        <w:pBdr>
          <w:top w:val="nil"/>
          <w:left w:val="nil"/>
          <w:bottom w:val="nil"/>
          <w:right w:val="nil"/>
          <w:between w:val="nil"/>
        </w:pBdr>
        <w:spacing w:after="120"/>
      </w:pPr>
    </w:p>
    <w:p w:rsidR="00D01AEA" w:rsidRPr="00BC6FB4" w:rsidP="001B644A" w14:paraId="2CDC619F" w14:textId="1B4896A3">
      <w:pPr>
        <w:pStyle w:val="Heading2"/>
        <w:numPr>
          <w:ilvl w:val="0"/>
          <w:numId w:val="0"/>
        </w:numPr>
      </w:pPr>
      <w:r w:rsidRPr="008C09A3">
        <w:t xml:space="preserve">The sections below provide additional information on </w:t>
      </w:r>
      <w:r w:rsidR="00F11799">
        <w:t xml:space="preserve">renewed PCTC Program information collection </w:t>
      </w:r>
      <w:r w:rsidRPr="008C09A3">
        <w:t>requirement</w:t>
      </w:r>
      <w:r w:rsidR="00F11799">
        <w:t>s</w:t>
      </w:r>
      <w:r w:rsidRPr="008C09A3">
        <w:t>.</w:t>
      </w:r>
    </w:p>
    <w:p w:rsidR="00D01AEA" w:rsidRPr="00D86B79" w:rsidP="00D86B79" w14:paraId="31041312" w14:textId="6FA1550C">
      <w:pPr>
        <w:pStyle w:val="Heading3"/>
        <w:numPr>
          <w:ilvl w:val="0"/>
          <w:numId w:val="29"/>
        </w:numPr>
        <w:rPr>
          <w:b/>
          <w:bCs w:val="0"/>
          <w:color w:val="C00000"/>
        </w:rPr>
      </w:pPr>
      <w:r w:rsidRPr="00D86B79">
        <w:rPr>
          <w:b/>
          <w:bCs w:val="0"/>
        </w:rPr>
        <w:t xml:space="preserve">Application for </w:t>
      </w:r>
      <w:r w:rsidRPr="00D86B79" w:rsidR="005B1971">
        <w:rPr>
          <w:b/>
          <w:bCs w:val="0"/>
        </w:rPr>
        <w:t>PCTC</w:t>
      </w:r>
      <w:r w:rsidRPr="00D86B79">
        <w:rPr>
          <w:b/>
          <w:bCs w:val="0"/>
        </w:rPr>
        <w:t xml:space="preserve"> Program C</w:t>
      </w:r>
      <w:r w:rsidRPr="00D86B79" w:rsidR="005B1971">
        <w:rPr>
          <w:b/>
          <w:bCs w:val="0"/>
        </w:rPr>
        <w:t>Q</w:t>
      </w:r>
      <w:r w:rsidRPr="00D86B79">
        <w:rPr>
          <w:b/>
          <w:bCs w:val="0"/>
        </w:rPr>
        <w:t xml:space="preserve"> </w:t>
      </w:r>
    </w:p>
    <w:p w:rsidR="00D01AEA" w:rsidP="00BC6FB4" w14:paraId="6A3BDC7A" w14:textId="1E82B268">
      <w:pPr>
        <w:widowControl/>
        <w:pBdr>
          <w:top w:val="nil"/>
          <w:left w:val="nil"/>
          <w:bottom w:val="nil"/>
          <w:right w:val="nil"/>
          <w:between w:val="nil"/>
        </w:pBdr>
        <w:spacing w:after="120"/>
      </w:pPr>
      <w:r>
        <w:t>Annually, each PCTC Program cooperative</w:t>
      </w:r>
      <w:r w:rsidRPr="00A37687">
        <w:t xml:space="preserve"> </w:t>
      </w:r>
      <w:r w:rsidR="00AF4D3C">
        <w:t>is</w:t>
      </w:r>
      <w:r w:rsidRPr="00A37687">
        <w:t xml:space="preserve"> required to submit an Application for PCTC Program CQ</w:t>
      </w:r>
      <w:r>
        <w:t xml:space="preserve"> identifying catcher vessels</w:t>
      </w:r>
      <w:r w:rsidR="004F1C5F">
        <w:t xml:space="preserve"> (CV)</w:t>
      </w:r>
      <w:r>
        <w:t xml:space="preserve"> that are eligible to harvest a portion of that cooperative’s CQ. </w:t>
      </w:r>
      <w:r w:rsidRPr="002601DC">
        <w:t xml:space="preserve">NMFS </w:t>
      </w:r>
      <w:r w:rsidR="00AF4D3C">
        <w:t>uses</w:t>
      </w:r>
      <w:r w:rsidRPr="002601DC">
        <w:t xml:space="preserve"> these applications to issue CQ permits, establish annual cooperative accounts for catch accounting purposes, and identify specific </w:t>
      </w:r>
      <w:r>
        <w:t xml:space="preserve">harvester </w:t>
      </w:r>
      <w:r w:rsidRPr="002601DC">
        <w:t xml:space="preserve">vessels </w:t>
      </w:r>
      <w:r>
        <w:t>for</w:t>
      </w:r>
      <w:r w:rsidRPr="002601DC">
        <w:t xml:space="preserve"> each</w:t>
      </w:r>
      <w:r>
        <w:t xml:space="preserve"> cooperative. As with other limited access privilege program</w:t>
      </w:r>
      <w:r w:rsidRPr="002601DC">
        <w:t xml:space="preserve">s, the information received in this application </w:t>
      </w:r>
      <w:r w:rsidR="00AF4D3C">
        <w:t>is</w:t>
      </w:r>
      <w:r w:rsidRPr="002601DC">
        <w:t xml:space="preserve"> used</w:t>
      </w:r>
      <w:r w:rsidR="00AF4D3C">
        <w:t xml:space="preserve"> in annual</w:t>
      </w:r>
      <w:r w:rsidRPr="002601DC">
        <w:t xml:space="preserve"> review</w:t>
      </w:r>
      <w:r w:rsidR="00AF4D3C">
        <w:t>s of</w:t>
      </w:r>
      <w:r w:rsidRPr="002601DC">
        <w:t xml:space="preserve"> ownership and control information for various QS holders to ensure that QS and CQ use caps are not exceeded</w:t>
      </w:r>
      <w:r>
        <w:t>.</w:t>
      </w:r>
    </w:p>
    <w:p w:rsidR="00D01AEA" w:rsidP="00BC6FB4" w14:paraId="55976D03" w14:textId="2B990C50">
      <w:pPr>
        <w:widowControl/>
        <w:pBdr>
          <w:top w:val="nil"/>
          <w:left w:val="nil"/>
          <w:bottom w:val="nil"/>
          <w:right w:val="nil"/>
          <w:between w:val="nil"/>
        </w:pBdr>
        <w:spacing w:after="120"/>
      </w:pPr>
      <w:r w:rsidRPr="00636121">
        <w:t xml:space="preserve">If approved, NMFS </w:t>
      </w:r>
      <w:r w:rsidR="00AF4D3C">
        <w:t>issues</w:t>
      </w:r>
      <w:r w:rsidRPr="00636121">
        <w:t xml:space="preserve"> CQ permit</w:t>
      </w:r>
      <w:r>
        <w:t xml:space="preserve">s and apportion amounts of annual crab and halibut </w:t>
      </w:r>
      <w:r w:rsidR="004F1C5F">
        <w:t>prohibited species catch (</w:t>
      </w:r>
      <w:r>
        <w:t>PSC</w:t>
      </w:r>
      <w:r w:rsidR="004F1C5F">
        <w:t>)</w:t>
      </w:r>
      <w:r>
        <w:t xml:space="preserve"> limits</w:t>
      </w:r>
      <w:r w:rsidRPr="00636121">
        <w:t xml:space="preserve"> to</w:t>
      </w:r>
      <w:r>
        <w:t xml:space="preserve"> the cooperative</w:t>
      </w:r>
      <w:r w:rsidRPr="00636121">
        <w:t xml:space="preserve">. Permits </w:t>
      </w:r>
      <w:r w:rsidR="00AF4D3C">
        <w:t>are</w:t>
      </w:r>
      <w:r w:rsidRPr="00636121" w:rsidR="00AF4D3C">
        <w:t xml:space="preserve"> </w:t>
      </w:r>
      <w:r w:rsidRPr="00636121">
        <w:t>not issued until the</w:t>
      </w:r>
      <w:r w:rsidR="00AF4D3C">
        <w:t xml:space="preserve"> Council recommends</w:t>
      </w:r>
      <w:r w:rsidRPr="00636121">
        <w:t xml:space="preserve"> annual harvest specifications for the upcoming year. Permits </w:t>
      </w:r>
      <w:r w:rsidR="00AF4D3C">
        <w:t xml:space="preserve">are </w:t>
      </w:r>
      <w:r w:rsidRPr="00636121">
        <w:t xml:space="preserve">generally issued in early January for the upcoming year. </w:t>
      </w:r>
      <w:r w:rsidRPr="003E4C25">
        <w:t>A CQ permit authorizes a PCTC Program cooperative to participate in the PCTC Program. The CQ permit indicate</w:t>
      </w:r>
      <w:r w:rsidR="00AF4D3C">
        <w:t>s</w:t>
      </w:r>
      <w:r w:rsidRPr="003E4C25">
        <w:t xml:space="preserve"> the amount of Pacific cod that may be harvested by the PCTC Program cooperative, and the amount of halibut PSC and crab PSC that may be used by the PCTC Program cooperative. The CQ permit will list the members of the PCTC Program cooperative, the trawl catcher vessels that are authorized to fish under the CQ permit for that cooperative, and the PCTC Program processor(s) with whom that cooperative is associated. </w:t>
      </w:r>
      <w:r>
        <w:t>A CQ permit is valid only until the end of the BSAI Pacific cod B season for the year in which the CQ permit is issued. A legible copy of a valid CQ permit must be carried on board the vessel(s) used by the PCTC Program cooperative.</w:t>
      </w:r>
    </w:p>
    <w:p w:rsidR="00D01AEA" w:rsidP="00BC6FB4" w14:paraId="3962FBE0" w14:textId="1775735C">
      <w:pPr>
        <w:widowControl/>
        <w:pBdr>
          <w:top w:val="nil"/>
          <w:left w:val="nil"/>
          <w:bottom w:val="nil"/>
          <w:right w:val="nil"/>
          <w:between w:val="nil"/>
        </w:pBdr>
        <w:spacing w:after="120"/>
      </w:pPr>
      <w:r>
        <w:t xml:space="preserve">The </w:t>
      </w:r>
      <w:r w:rsidRPr="003E4C25">
        <w:t>Application for PCTC Program CQ</w:t>
      </w:r>
      <w:r>
        <w:t xml:space="preserve"> must be submitted to NMFS no later than November 1, which is prior to the start of each fishing year. The cooperative's designated representative </w:t>
      </w:r>
      <w:r w:rsidR="00AF4D3C">
        <w:t>is</w:t>
      </w:r>
      <w:r>
        <w:t xml:space="preserve"> responsible for submitting the application on behalf of the cooperative members. If the designated representative for the cooperative fails to submit a timely application for CQ, NMFS will not issue CQ to the cooperative representative for that fishing year. The application </w:t>
      </w:r>
      <w:r w:rsidR="00AF4D3C">
        <w:t>is</w:t>
      </w:r>
      <w:r>
        <w:t xml:space="preserve"> available on the </w:t>
      </w:r>
      <w:bookmarkStart w:id="2" w:name="_Hlk203048051"/>
      <w:r w:rsidRPr="00215BB1">
        <w:t>NMFS Alaska Region website</w:t>
      </w:r>
      <w:bookmarkEnd w:id="2"/>
      <w:r>
        <w:rPr>
          <w:rStyle w:val="FootnoteReference"/>
        </w:rPr>
        <w:footnoteReference w:id="8"/>
      </w:r>
      <w:r>
        <w:t>.</w:t>
      </w:r>
    </w:p>
    <w:p w:rsidR="00D01AEA" w:rsidP="00BC6FB4" w14:paraId="2565A335" w14:textId="77777777">
      <w:pPr>
        <w:widowControl/>
        <w:spacing w:after="120"/>
      </w:pPr>
      <w:r>
        <w:t>This application identifies the LLP licenses and processor QS permits named to the cooperative and the catcher vessels allowed to harvest a portion of that cooperative’s CQ. The information collected on this application includes the following:</w:t>
      </w:r>
    </w:p>
    <w:p w:rsidR="00D01AEA" w:rsidP="00BC6FB4" w14:paraId="4732F222" w14:textId="77777777">
      <w:pPr>
        <w:pStyle w:val="ListParagraph"/>
        <w:widowControl/>
        <w:numPr>
          <w:ilvl w:val="0"/>
          <w:numId w:val="14"/>
        </w:numPr>
        <w:spacing w:before="120" w:after="120"/>
      </w:pPr>
      <w:r>
        <w:t>PCTC Program cooperative identification information</w:t>
      </w:r>
    </w:p>
    <w:p w:rsidR="00D01AEA" w:rsidP="00BC6FB4" w14:paraId="087FDFF1" w14:textId="77777777">
      <w:pPr>
        <w:pStyle w:val="ListParagraph"/>
        <w:widowControl/>
        <w:numPr>
          <w:ilvl w:val="0"/>
          <w:numId w:val="14"/>
        </w:numPr>
        <w:spacing w:before="120" w:after="120"/>
      </w:pPr>
      <w:r>
        <w:t xml:space="preserve">PCTC Program LLP license identification numbers </w:t>
      </w:r>
    </w:p>
    <w:p w:rsidR="00D01AEA" w:rsidP="00BC6FB4" w14:paraId="2CBECF02" w14:textId="77777777">
      <w:pPr>
        <w:pStyle w:val="ListParagraph"/>
        <w:widowControl/>
        <w:numPr>
          <w:ilvl w:val="0"/>
          <w:numId w:val="14"/>
        </w:numPr>
        <w:spacing w:before="120" w:after="120"/>
      </w:pPr>
      <w:r>
        <w:t>Processor-held PCTC Program processor QS permit number(s) and name of the processor that holds that each QS permit</w:t>
      </w:r>
    </w:p>
    <w:p w:rsidR="00D01AEA" w:rsidP="00BC6FB4" w14:paraId="2F184AE2" w14:textId="77777777">
      <w:pPr>
        <w:pStyle w:val="ListParagraph"/>
        <w:widowControl/>
        <w:numPr>
          <w:ilvl w:val="0"/>
          <w:numId w:val="14"/>
        </w:numPr>
        <w:spacing w:before="120" w:after="120"/>
      </w:pPr>
      <w:r>
        <w:t xml:space="preserve">PCTC Program QS ownership documentation </w:t>
      </w:r>
    </w:p>
    <w:p w:rsidR="00D01AEA" w:rsidP="00BC6FB4" w14:paraId="51FD7AB2" w14:textId="77777777">
      <w:pPr>
        <w:pStyle w:val="ListParagraph"/>
        <w:widowControl/>
        <w:numPr>
          <w:ilvl w:val="0"/>
          <w:numId w:val="14"/>
        </w:numPr>
        <w:spacing w:before="120" w:after="120"/>
      </w:pPr>
      <w:r>
        <w:t>Members of the PCTC Program cooperative and the associated processor that holds a QS permit</w:t>
      </w:r>
    </w:p>
    <w:p w:rsidR="00D01AEA" w:rsidP="00BC6FB4" w14:paraId="0458DA28" w14:textId="1627C6A1">
      <w:pPr>
        <w:pStyle w:val="ListParagraph"/>
        <w:widowControl/>
        <w:numPr>
          <w:ilvl w:val="0"/>
          <w:numId w:val="14"/>
        </w:numPr>
        <w:spacing w:before="120" w:after="120"/>
      </w:pPr>
      <w:r>
        <w:t xml:space="preserve">Trawl vessel identification: names, </w:t>
      </w:r>
      <w:r w:rsidR="004F1C5F">
        <w:t>Alaska Department of Fish and Game (</w:t>
      </w:r>
      <w:r>
        <w:t>ADF&amp;G</w:t>
      </w:r>
      <w:r w:rsidR="004F1C5F">
        <w:t>)</w:t>
      </w:r>
      <w:r>
        <w:t xml:space="preserve"> numbers, </w:t>
      </w:r>
      <w:r w:rsidR="004F1C5F">
        <w:t>U.S. Coast Guard (</w:t>
      </w:r>
      <w:r>
        <w:t>USCG</w:t>
      </w:r>
      <w:r w:rsidR="004F1C5F">
        <w:t>)</w:t>
      </w:r>
      <w:r>
        <w:t xml:space="preserve"> numbers, and Federal Fisheries Permit numbers of vessels eligible to harvest the CQ issued to the PCTC Program cooperative</w:t>
      </w:r>
    </w:p>
    <w:p w:rsidR="00D01AEA" w:rsidP="00BC6FB4" w14:paraId="5EB9E0C1" w14:textId="0E1CD721">
      <w:pPr>
        <w:pStyle w:val="ListParagraph"/>
        <w:widowControl/>
        <w:numPr>
          <w:ilvl w:val="0"/>
          <w:numId w:val="14"/>
        </w:numPr>
        <w:spacing w:before="120" w:after="120"/>
      </w:pPr>
      <w:r>
        <w:t>Signature of cooperative representative who completed the application (attach proof of authorization to act on behalf of the cooperative to complete the application.)</w:t>
      </w:r>
    </w:p>
    <w:p w:rsidR="00D01AEA" w:rsidP="00BC6FB4" w14:paraId="1BF02295" w14:textId="77777777">
      <w:pPr>
        <w:widowControl/>
        <w:tabs>
          <w:tab w:val="left" w:pos="144"/>
          <w:tab w:val="left" w:pos="547"/>
        </w:tabs>
        <w:spacing w:after="120"/>
        <w:rPr>
          <w:strike/>
        </w:rPr>
      </w:pPr>
      <w:r>
        <w:t>For the cooperative application to be considered complete, the following documents must be attached:</w:t>
      </w:r>
    </w:p>
    <w:p w:rsidR="00D01AEA" w:rsidP="00BC6FB4" w14:paraId="666B7921" w14:textId="77777777">
      <w:pPr>
        <w:widowControl/>
        <w:numPr>
          <w:ilvl w:val="0"/>
          <w:numId w:val="15"/>
        </w:numPr>
        <w:tabs>
          <w:tab w:val="left" w:pos="144"/>
          <w:tab w:val="left" w:pos="432"/>
        </w:tabs>
        <w:spacing w:before="120" w:after="120"/>
      </w:pPr>
      <w:r>
        <w:t>A copy of the PCTC Program cooperative agreement or contract signed by the members of the PCTC Program cooperative. The membership agreement or contract must specify:</w:t>
      </w:r>
    </w:p>
    <w:p w:rsidR="00D01AEA" w:rsidP="00BC6FB4" w14:paraId="4412E05F" w14:textId="77777777">
      <w:pPr>
        <w:pStyle w:val="ListParagraph"/>
        <w:widowControl/>
        <w:numPr>
          <w:ilvl w:val="1"/>
          <w:numId w:val="16"/>
        </w:numPr>
        <w:tabs>
          <w:tab w:val="left" w:pos="432"/>
          <w:tab w:val="left" w:pos="720"/>
        </w:tabs>
        <w:spacing w:before="120" w:after="120"/>
        <w:ind w:left="1080"/>
      </w:pPr>
      <w:r>
        <w:t>A copy of the business license issued by the state where the cooperative is registered as a business entity.</w:t>
      </w:r>
    </w:p>
    <w:p w:rsidR="00D01AEA" w:rsidP="00BC6FB4" w14:paraId="2336803E" w14:textId="77777777">
      <w:pPr>
        <w:pStyle w:val="ListParagraph"/>
        <w:widowControl/>
        <w:numPr>
          <w:ilvl w:val="1"/>
          <w:numId w:val="16"/>
        </w:numPr>
        <w:tabs>
          <w:tab w:val="left" w:pos="432"/>
          <w:tab w:val="left" w:pos="720"/>
        </w:tabs>
        <w:spacing w:before="120" w:after="120"/>
        <w:ind w:left="1080"/>
      </w:pPr>
      <w:r>
        <w:t>A copy of the articles of incorporation or partnership agreement of the cooperative.</w:t>
      </w:r>
    </w:p>
    <w:p w:rsidR="00D01AEA" w:rsidP="00BC6FB4" w14:paraId="7CE29B4B" w14:textId="77777777">
      <w:pPr>
        <w:pStyle w:val="ListParagraph"/>
        <w:widowControl/>
        <w:numPr>
          <w:ilvl w:val="1"/>
          <w:numId w:val="17"/>
        </w:numPr>
        <w:tabs>
          <w:tab w:val="left" w:pos="432"/>
          <w:tab w:val="left" w:pos="720"/>
        </w:tabs>
        <w:spacing w:before="120" w:after="120"/>
        <w:ind w:left="1080"/>
      </w:pPr>
      <w:r>
        <w:t>A copy of the cooperative agreement signed by the members of the cooperative and associated processor(s). The cooperative agreement must specify that the QS holders, including processors, cannot participate in price setting negotiations, except as permitted by general antitrust law.</w:t>
      </w:r>
    </w:p>
    <w:p w:rsidR="00D01AEA" w:rsidP="00BC6FB4" w14:paraId="1C6C851C" w14:textId="77777777">
      <w:pPr>
        <w:pStyle w:val="ListParagraph"/>
        <w:widowControl/>
        <w:numPr>
          <w:ilvl w:val="1"/>
          <w:numId w:val="17"/>
        </w:numPr>
        <w:tabs>
          <w:tab w:val="left" w:pos="432"/>
          <w:tab w:val="left" w:pos="720"/>
        </w:tabs>
        <w:spacing w:before="120" w:after="120"/>
        <w:ind w:left="1080"/>
      </w:pPr>
      <w:r>
        <w:t>The cooperative has a monitoring program sufficient to ensure compliance with the PCTC Program.</w:t>
      </w:r>
    </w:p>
    <w:p w:rsidR="00D01AEA" w:rsidP="00BC6FB4" w14:paraId="0A3B3634" w14:textId="77777777">
      <w:pPr>
        <w:pStyle w:val="ListParagraph"/>
        <w:widowControl/>
        <w:numPr>
          <w:ilvl w:val="1"/>
          <w:numId w:val="17"/>
        </w:numPr>
        <w:tabs>
          <w:tab w:val="left" w:pos="432"/>
          <w:tab w:val="left" w:pos="720"/>
        </w:tabs>
        <w:spacing w:before="120" w:after="120"/>
        <w:ind w:left="1080"/>
      </w:pPr>
      <w:r>
        <w:t xml:space="preserve">QS holders who are members of this cooperative or associated with this cooperative must ensure full payment of the cost recovery fees. </w:t>
      </w:r>
    </w:p>
    <w:p w:rsidR="00D01AEA" w:rsidP="00BC6FB4" w14:paraId="1C9B10C1" w14:textId="77777777">
      <w:pPr>
        <w:pStyle w:val="ListParagraph"/>
        <w:widowControl/>
        <w:numPr>
          <w:ilvl w:val="1"/>
          <w:numId w:val="17"/>
        </w:numPr>
        <w:tabs>
          <w:tab w:val="left" w:pos="432"/>
          <w:tab w:val="left" w:pos="720"/>
        </w:tabs>
        <w:spacing w:before="120" w:after="120"/>
        <w:ind w:left="1080"/>
      </w:pPr>
      <w:r>
        <w:t>The cooperative’s plan to allocate CQ to member vessels in accordance with the vessel use caps specified at § 679.133.</w:t>
      </w:r>
    </w:p>
    <w:p w:rsidR="00D01AEA" w:rsidP="00BC6FB4" w14:paraId="03DE87DF" w14:textId="77777777">
      <w:pPr>
        <w:pStyle w:val="ListParagraph"/>
        <w:widowControl/>
        <w:numPr>
          <w:ilvl w:val="1"/>
          <w:numId w:val="17"/>
        </w:numPr>
        <w:tabs>
          <w:tab w:val="left" w:pos="432"/>
          <w:tab w:val="left" w:pos="720"/>
        </w:tabs>
        <w:spacing w:before="120" w:after="120"/>
        <w:ind w:left="1080"/>
      </w:pPr>
      <w:r>
        <w:t>The cooperative’s plan to monitor CQ leasing activity, including into GOA fisheries, and use of CQ derived from processor held QS within this cooperative.</w:t>
      </w:r>
    </w:p>
    <w:p w:rsidR="00D01AEA" w:rsidP="00BC6FB4" w14:paraId="0B0F1BA1" w14:textId="3BC9DC37">
      <w:pPr>
        <w:pStyle w:val="ListParagraph"/>
        <w:widowControl/>
        <w:numPr>
          <w:ilvl w:val="1"/>
          <w:numId w:val="17"/>
        </w:numPr>
        <w:tabs>
          <w:tab w:val="left" w:pos="432"/>
          <w:tab w:val="left" w:pos="720"/>
        </w:tabs>
        <w:spacing w:before="120" w:after="120"/>
        <w:ind w:left="1080"/>
      </w:pPr>
      <w:r>
        <w:t xml:space="preserve">A cooperative intending to harvest any amount of the CQ set-aside must provide the cooperative’s plan for coordinating harvest and delivery of the CQ set-aside with an Aleutian Islands </w:t>
      </w:r>
      <w:r w:rsidR="009500F4">
        <w:t>shore plant</w:t>
      </w:r>
      <w:r>
        <w:t xml:space="preserve"> as defined </w:t>
      </w:r>
      <w:r w:rsidR="00AF4D3C">
        <w:t xml:space="preserve">at </w:t>
      </w:r>
      <w:r>
        <w:t>§ 679.2.</w:t>
      </w:r>
    </w:p>
    <w:p w:rsidR="00D01AEA" w:rsidP="00BC6FB4" w14:paraId="49F5C8E1" w14:textId="6AA3EE01">
      <w:pPr>
        <w:pStyle w:val="ListParagraph"/>
        <w:numPr>
          <w:ilvl w:val="0"/>
          <w:numId w:val="15"/>
        </w:numPr>
        <w:spacing w:after="120"/>
      </w:pPr>
      <w:r>
        <w:t>Inter-cooperative Agreement. Each year, the</w:t>
      </w:r>
      <w:sdt>
        <w:sdtPr>
          <w:tag w:val="goog_rdk_7"/>
          <w:id w:val="-1462880174"/>
          <w:richText/>
        </w:sdtPr>
        <w:sdtContent/>
      </w:sdt>
      <w:r>
        <w:t xml:space="preserve"> cooperative</w:t>
      </w:r>
      <w:sdt>
        <w:sdtPr>
          <w:tag w:val="goog_rdk_8"/>
          <w:id w:val="-381946766"/>
          <w:richText/>
        </w:sdtPr>
        <w:sdtContent/>
      </w:sdt>
      <w:sdt>
        <w:sdtPr>
          <w:tag w:val="goog_rdk_9"/>
          <w:id w:val="571087032"/>
          <w:richText/>
        </w:sdtPr>
        <w:sdtContent>
          <w:sdt>
            <w:sdtPr>
              <w:tag w:val="goog_rdk_10"/>
              <w:id w:val="-1617670282"/>
              <w:richText/>
            </w:sdtPr>
            <w:sdtContent/>
          </w:sdt>
        </w:sdtContent>
      </w:sdt>
      <w:sdt>
        <w:sdtPr>
          <w:tag w:val="goog_rdk_11"/>
          <w:id w:val="-1491779492"/>
          <w:richText/>
        </w:sdtPr>
        <w:sdtContent/>
      </w:sdt>
      <w:r>
        <w:t xml:space="preserve"> must provide the plan for coordinating harvest and delivery of the set-aside with an Aleutian Islands </w:t>
      </w:r>
      <w:r w:rsidR="009500F4">
        <w:t>shore plant</w:t>
      </w:r>
      <w:r>
        <w:t xml:space="preserve"> in the cooperative application. The cooperatives must also provide how they would ensure that CVs under 60 feet </w:t>
      </w:r>
      <w:r w:rsidR="004F1C5F">
        <w:t>maximum length overall (</w:t>
      </w:r>
      <w:r>
        <w:t>MLOA</w:t>
      </w:r>
      <w:r w:rsidR="004F1C5F">
        <w:t>)</w:t>
      </w:r>
      <w:r>
        <w:t xml:space="preserve"> assigned to an LLP with a transferable Aleutian Islands trawl endorsement have the opportunity to harvest 10 percent of the Aleutian Islands CQ set-aside.</w:t>
      </w:r>
    </w:p>
    <w:p w:rsidR="00DB6F96" w:rsidRPr="005F2B5F" w:rsidP="00C6795B" w14:paraId="61206BB7" w14:textId="3C23D67C">
      <w:pPr>
        <w:widowControl/>
        <w:spacing w:after="120"/>
      </w:pPr>
      <w:r w:rsidRPr="00DB6F96">
        <w:rPr>
          <w:i/>
          <w:iCs/>
          <w:color w:val="C00000"/>
        </w:rPr>
        <w:t xml:space="preserve">Revisions to the collection: </w:t>
      </w:r>
      <w:r>
        <w:t xml:space="preserve">This form is revised to include instructions for email submission. This revision will reduce the burden on PCTC Program </w:t>
      </w:r>
      <w:r w:rsidR="00F44A5E">
        <w:t>respondents</w:t>
      </w:r>
      <w:r>
        <w:t xml:space="preserve"> as well as the agency.</w:t>
      </w:r>
    </w:p>
    <w:p w:rsidR="00D01AEA" w:rsidRPr="00D86B79" w:rsidP="00D86B79" w14:paraId="21E84371" w14:textId="53F30B1A">
      <w:pPr>
        <w:pStyle w:val="Heading3"/>
        <w:numPr>
          <w:ilvl w:val="0"/>
          <w:numId w:val="29"/>
        </w:numPr>
        <w:rPr>
          <w:b/>
          <w:bCs w:val="0"/>
        </w:rPr>
      </w:pPr>
      <w:r w:rsidRPr="00D86B79">
        <w:rPr>
          <w:b/>
          <w:bCs w:val="0"/>
        </w:rPr>
        <w:t xml:space="preserve">Application for Inter-Cooperative Transfer of PCTC Program </w:t>
      </w:r>
      <w:r w:rsidRPr="00D86B79" w:rsidR="005B1971">
        <w:rPr>
          <w:b/>
          <w:bCs w:val="0"/>
        </w:rPr>
        <w:t>CQ</w:t>
      </w:r>
    </w:p>
    <w:p w:rsidR="00D01AEA" w:rsidRPr="00F2005D" w:rsidP="00BC6FB4" w14:paraId="735F63B5" w14:textId="0F3281D6">
      <w:pPr>
        <w:widowControl/>
        <w:pBdr>
          <w:top w:val="nil"/>
          <w:left w:val="nil"/>
          <w:bottom w:val="nil"/>
          <w:right w:val="nil"/>
          <w:between w:val="nil"/>
        </w:pBdr>
        <w:spacing w:after="120"/>
      </w:pPr>
      <w:r>
        <w:t xml:space="preserve">Under the PCTC Program, a cooperative may transfer all or part of its CQ to another </w:t>
      </w:r>
      <w:r w:rsidRPr="00F2005D">
        <w:t xml:space="preserve">cooperative for harvest subject to the limitations imposed by ownership and use caps. Annual CQ and associated PSC </w:t>
      </w:r>
      <w:r w:rsidR="006E59A0">
        <w:t>are</w:t>
      </w:r>
      <w:r w:rsidRPr="00F2005D">
        <w:t xml:space="preserve"> transferable between cooperatives using the Application for Inter-Cooperative Transfer of PCTC Program</w:t>
      </w:r>
      <w:r w:rsidR="005B1971">
        <w:t xml:space="preserve"> CQ</w:t>
      </w:r>
      <w:r>
        <w:t>.</w:t>
      </w:r>
      <w:r w:rsidRPr="000103F0">
        <w:t xml:space="preserve"> This application is necessary for NMFS to appropriately account for inter-cooperative transfers of CQ after annual CQ has been issued to PCTC Program cooperatives. NMFS uses this information to monitor transfers to ensure they do not exceed ownership or use caps for the fishery.</w:t>
      </w:r>
    </w:p>
    <w:p w:rsidR="00D01AEA" w:rsidP="00BC6FB4" w14:paraId="4CBC425A" w14:textId="397D18F0">
      <w:pPr>
        <w:widowControl/>
        <w:autoSpaceDE w:val="0"/>
        <w:autoSpaceDN w:val="0"/>
        <w:spacing w:after="120"/>
      </w:pPr>
      <w:r w:rsidRPr="00F2005D">
        <w:t xml:space="preserve">To </w:t>
      </w:r>
      <w:r>
        <w:t>initiate</w:t>
      </w:r>
      <w:r w:rsidRPr="00F2005D">
        <w:t xml:space="preserve"> an inter-cooperative transfer, </w:t>
      </w:r>
      <w:r>
        <w:t>the</w:t>
      </w:r>
      <w:r w:rsidRPr="00F2005D">
        <w:t xml:space="preserve"> designated representative of each cooperative </w:t>
      </w:r>
      <w:r>
        <w:t>must</w:t>
      </w:r>
      <w:r w:rsidRPr="00F2005D">
        <w:t xml:space="preserve"> complete </w:t>
      </w:r>
      <w:r>
        <w:t>an</w:t>
      </w:r>
      <w:r w:rsidRPr="00F2005D">
        <w:t xml:space="preserve"> </w:t>
      </w:r>
      <w:r w:rsidRPr="000103F0">
        <w:t xml:space="preserve">Application for Inter-Cooperative Transfer of PCTC Program </w:t>
      </w:r>
      <w:r w:rsidR="005B1971">
        <w:t>CQ</w:t>
      </w:r>
      <w:r w:rsidRPr="000103F0">
        <w:t xml:space="preserve">, which </w:t>
      </w:r>
      <w:r w:rsidR="006E59A0">
        <w:t>is</w:t>
      </w:r>
      <w:r w:rsidRPr="000103F0">
        <w:t xml:space="preserve"> accessed online through eFISH. eFISH is the NMFS-approved electronic reporting system</w:t>
      </w:r>
      <w:r>
        <w:t>. eFISH</w:t>
      </w:r>
      <w:r w:rsidRPr="000103F0">
        <w:t xml:space="preserve"> allows for automated review and approval of transfer requests within use cap constraints. </w:t>
      </w:r>
    </w:p>
    <w:p w:rsidR="00D01AEA" w:rsidRPr="00BC6FB4" w:rsidP="00BC6FB4" w14:paraId="59FA272B" w14:textId="60FF340F">
      <w:pPr>
        <w:widowControl/>
        <w:autoSpaceDE w:val="0"/>
        <w:autoSpaceDN w:val="0"/>
        <w:spacing w:after="120"/>
        <w:rPr>
          <w:rFonts w:eastAsiaTheme="minorHAnsi" w:cstheme="minorBidi"/>
          <w:lang w:val="en-CA"/>
        </w:rPr>
      </w:pPr>
      <w:r w:rsidRPr="00F2005D">
        <w:rPr>
          <w:rFonts w:eastAsiaTheme="minorHAnsi" w:cstheme="minorBidi"/>
          <w:lang w:val="en-CA"/>
        </w:rPr>
        <w:t>To access eFISH</w:t>
      </w:r>
      <w:r>
        <w:rPr>
          <w:rFonts w:eastAsiaTheme="minorHAnsi" w:cstheme="minorBidi"/>
          <w:lang w:val="en-CA"/>
        </w:rPr>
        <w:t>,</w:t>
      </w:r>
      <w:r w:rsidRPr="00F2005D">
        <w:rPr>
          <w:rFonts w:eastAsiaTheme="minorHAnsi" w:cstheme="minorBidi"/>
          <w:lang w:val="en-CA"/>
        </w:rPr>
        <w:t xml:space="preserve"> a PCTC Program cooperative representative uses their NMFS ID and password to login to the application and submit the transfer request. Information submitted </w:t>
      </w:r>
      <w:r>
        <w:rPr>
          <w:rFonts w:eastAsiaTheme="minorHAnsi" w:cstheme="minorBidi"/>
          <w:lang w:val="en-CA"/>
        </w:rPr>
        <w:t xml:space="preserve">for this transfer application </w:t>
      </w:r>
      <w:r w:rsidRPr="00F2005D">
        <w:rPr>
          <w:rFonts w:eastAsiaTheme="minorHAnsi" w:cstheme="minorBidi"/>
          <w:lang w:val="en-CA"/>
        </w:rPr>
        <w:t xml:space="preserve">includes </w:t>
      </w:r>
      <w:r w:rsidRPr="00F2005D">
        <w:rPr>
          <w:rFonts w:eastAsiaTheme="minorHAnsi" w:cstheme="minorBidi"/>
        </w:rPr>
        <w:t>PCTC Program cooperative identification</w:t>
      </w:r>
      <w:r w:rsidRPr="00F2005D">
        <w:rPr>
          <w:rFonts w:eastAsiaTheme="minorHAnsi" w:cstheme="minorBidi"/>
          <w:lang w:val="en-CA"/>
        </w:rPr>
        <w:t xml:space="preserve"> information for the cooperative transferring QS and the cooperative receiving QS, and the amount of QS to be transferred. </w:t>
      </w:r>
    </w:p>
    <w:p w:rsidR="00D01AEA" w:rsidP="00BC6FB4" w14:paraId="3E78BBE1" w14:textId="4854992C">
      <w:pPr>
        <w:widowControl/>
        <w:pBdr>
          <w:top w:val="nil"/>
          <w:left w:val="nil"/>
          <w:bottom w:val="nil"/>
          <w:right w:val="nil"/>
          <w:between w:val="nil"/>
        </w:pBdr>
        <w:spacing w:after="120"/>
      </w:pPr>
      <w:r>
        <w:t xml:space="preserve">A transfer of CQ </w:t>
      </w:r>
      <w:r w:rsidR="009500F4">
        <w:t>is not</w:t>
      </w:r>
      <w:r>
        <w:t xml:space="preserve"> effective until approved by NMFS. If the cooperative </w:t>
      </w:r>
      <w:r w:rsidR="009500F4">
        <w:t>attempt</w:t>
      </w:r>
      <w:r>
        <w:t xml:space="preserve"> to acquire CQ has reached any relevant use caps, NMFS will not approve a transfer application.</w:t>
      </w:r>
    </w:p>
    <w:p w:rsidR="00D01AEA" w:rsidRPr="00D86B79" w:rsidP="00D86B79" w14:paraId="199871FE" w14:textId="445A8DD0">
      <w:pPr>
        <w:pStyle w:val="Heading3"/>
        <w:numPr>
          <w:ilvl w:val="0"/>
          <w:numId w:val="29"/>
        </w:numPr>
        <w:rPr>
          <w:b/>
          <w:bCs w:val="0"/>
          <w:color w:val="C00000"/>
        </w:rPr>
      </w:pPr>
      <w:r w:rsidRPr="00D86B79">
        <w:rPr>
          <w:b/>
          <w:bCs w:val="0"/>
        </w:rPr>
        <w:t>Application for Transfer of</w:t>
      </w:r>
      <w:r w:rsidRPr="00D86B79" w:rsidR="005B1971">
        <w:rPr>
          <w:b/>
          <w:bCs w:val="0"/>
        </w:rPr>
        <w:t xml:space="preserve"> PCTC</w:t>
      </w:r>
      <w:r w:rsidRPr="00D86B79">
        <w:rPr>
          <w:b/>
          <w:bCs w:val="0"/>
        </w:rPr>
        <w:t xml:space="preserve"> Program </w:t>
      </w:r>
      <w:r w:rsidRPr="00D86B79" w:rsidR="005B1971">
        <w:rPr>
          <w:b/>
          <w:bCs w:val="0"/>
        </w:rPr>
        <w:t xml:space="preserve">QS </w:t>
      </w:r>
      <w:r w:rsidRPr="00D86B79">
        <w:rPr>
          <w:b/>
          <w:bCs w:val="0"/>
        </w:rPr>
        <w:t>for Processors</w:t>
      </w:r>
    </w:p>
    <w:p w:rsidR="00D01AEA" w:rsidP="00BC6FB4" w14:paraId="779BF393" w14:textId="54A807E1">
      <w:pPr>
        <w:widowControl/>
        <w:pBdr>
          <w:top w:val="nil"/>
          <w:left w:val="nil"/>
          <w:bottom w:val="nil"/>
          <w:right w:val="nil"/>
          <w:between w:val="nil"/>
        </w:pBdr>
        <w:spacing w:after="120"/>
      </w:pPr>
      <w:r>
        <w:t xml:space="preserve">The Application for Transfer of Pacific Cod Trawl Cooperative Program </w:t>
      </w:r>
      <w:r w:rsidR="005B1971">
        <w:t>QS</w:t>
      </w:r>
      <w:r>
        <w:t xml:space="preserve"> for Processors is used by a PCTC Program processor to request transfer to </w:t>
      </w:r>
      <w:r w:rsidRPr="00B77380">
        <w:t xml:space="preserve">another </w:t>
      </w:r>
      <w:r>
        <w:t>eligible processor of a PCTC Program QS permit and any QS assigned to that permit or to request transfer of excess PCTC Program QS separate from that permit.</w:t>
      </w:r>
      <w:r w:rsidRPr="0041422B">
        <w:t xml:space="preserve"> </w:t>
      </w:r>
      <w:r>
        <w:t>This application is necessary for NMFS to account for processor QS in the PCTC Program. NMFS uses this i</w:t>
      </w:r>
      <w:r w:rsidRPr="00027CD4">
        <w:t>nformation to monitor transfers to ensure they do not exceed ownership or use caps for the fishery.</w:t>
      </w:r>
      <w:r w:rsidRPr="008B49AA">
        <w:t xml:space="preserve"> </w:t>
      </w:r>
      <w:r>
        <w:t xml:space="preserve">NMFS will use </w:t>
      </w:r>
      <w:r w:rsidRPr="00AF48F1">
        <w:t>the QS price in aggregate during program reviews.</w:t>
      </w:r>
    </w:p>
    <w:p w:rsidR="00D01AEA" w:rsidP="00BC6FB4" w14:paraId="033EDC5E" w14:textId="0F442322">
      <w:pPr>
        <w:widowControl/>
        <w:pBdr>
          <w:top w:val="nil"/>
          <w:left w:val="nil"/>
          <w:bottom w:val="nil"/>
          <w:right w:val="nil"/>
          <w:between w:val="nil"/>
        </w:pBdr>
        <w:spacing w:after="120"/>
      </w:pPr>
      <w:r w:rsidRPr="00B77380">
        <w:t>To transfer PCTC Program QS, a t</w:t>
      </w:r>
      <w:r>
        <w:t xml:space="preserve">imely and complete application must be submitted to NMFS. </w:t>
      </w:r>
      <w:r w:rsidRPr="00921561">
        <w:t xml:space="preserve">The application </w:t>
      </w:r>
      <w:r w:rsidR="006301C2">
        <w:t>is</w:t>
      </w:r>
      <w:r w:rsidRPr="00921561">
        <w:t xml:space="preserve"> available on the NMFS Alaska Region website</w:t>
      </w:r>
      <w:r>
        <w:rPr>
          <w:rStyle w:val="FootnoteReference"/>
        </w:rPr>
        <w:footnoteReference w:id="9"/>
      </w:r>
      <w:r>
        <w:t>.</w:t>
      </w:r>
      <w:r w:rsidRPr="00921561">
        <w:t xml:space="preserve"> NMFS will approve a request for transfer of a PCTC Program QS Permit to another processor and any QS assigned to that permit if that QS permit is not in excess of the use cap specified in § 679.133 at the time of transfer provided the persons are qualified to receive QS by transfer. Howe</w:t>
      </w:r>
      <w:r>
        <w:t xml:space="preserve">ver, NMFS </w:t>
      </w:r>
      <w:r w:rsidRPr="00921561">
        <w:t>will not approve a transfer of any type of QS that would cause a person to exceed the maximum amount of QS allowable under the use limits.</w:t>
      </w:r>
    </w:p>
    <w:p w:rsidR="00D01AEA" w:rsidP="00BC6FB4" w14:paraId="1D98C6A3" w14:textId="77777777">
      <w:pPr>
        <w:widowControl/>
        <w:spacing w:after="120"/>
      </w:pPr>
      <w:r>
        <w:t>The application is completed by the transferor and the transferee. The information collected on the application includes the following:</w:t>
      </w:r>
    </w:p>
    <w:p w:rsidR="00D01AEA" w:rsidP="00BC6FB4" w14:paraId="09090F72" w14:textId="11F16EE2">
      <w:pPr>
        <w:pStyle w:val="ListParagraph"/>
        <w:widowControl/>
        <w:numPr>
          <w:ilvl w:val="0"/>
          <w:numId w:val="18"/>
        </w:numPr>
        <w:spacing w:after="120"/>
      </w:pPr>
      <w:r>
        <w:t xml:space="preserve">Transferor and transferee identification, contact information, and Federal Processor Permit number or Federal Fisheries Permit number </w:t>
      </w:r>
    </w:p>
    <w:p w:rsidR="00D01AEA" w:rsidP="00BC6FB4" w14:paraId="3BA243AF" w14:textId="77777777">
      <w:pPr>
        <w:pStyle w:val="ListParagraph"/>
        <w:widowControl/>
        <w:numPr>
          <w:ilvl w:val="0"/>
          <w:numId w:val="18"/>
        </w:numPr>
        <w:spacing w:after="120"/>
      </w:pPr>
      <w:r>
        <w:t>Names of persons holding an ownership interest in the QS being transferred, their NMFS identification number, and the percentage ownership each will hold in the QS permit</w:t>
      </w:r>
    </w:p>
    <w:p w:rsidR="00D01AEA" w:rsidP="00BC6FB4" w14:paraId="5B0B5E0C" w14:textId="77777777">
      <w:pPr>
        <w:pStyle w:val="ListParagraph"/>
        <w:widowControl/>
        <w:numPr>
          <w:ilvl w:val="0"/>
          <w:numId w:val="18"/>
        </w:numPr>
        <w:spacing w:after="120"/>
      </w:pPr>
      <w:r>
        <w:t xml:space="preserve">Information on the QS permit numbers and QS units being transferred </w:t>
      </w:r>
    </w:p>
    <w:p w:rsidR="00D01AEA" w:rsidP="00BC6FB4" w14:paraId="5E23EB84" w14:textId="77777777">
      <w:pPr>
        <w:pStyle w:val="ListParagraph"/>
        <w:widowControl/>
        <w:numPr>
          <w:ilvl w:val="0"/>
          <w:numId w:val="18"/>
        </w:numPr>
        <w:spacing w:after="120"/>
      </w:pPr>
      <w:r>
        <w:t>Information on the sale transaction such as the price paid and reason for transfer</w:t>
      </w:r>
    </w:p>
    <w:p w:rsidR="00D01AEA" w:rsidP="00BC6FB4" w14:paraId="15B76E38" w14:textId="04BA11D3">
      <w:pPr>
        <w:pStyle w:val="ListParagraph"/>
        <w:widowControl/>
        <w:numPr>
          <w:ilvl w:val="0"/>
          <w:numId w:val="18"/>
        </w:numPr>
        <w:spacing w:after="120"/>
      </w:pPr>
      <w:r>
        <w:t>Signature of the transferor and the transferee or their authorized representatives (attach proof of authorization if the application is completed by an authorized representative)</w:t>
      </w:r>
    </w:p>
    <w:p w:rsidR="00DB6F96" w:rsidP="00BC6FB4" w14:paraId="4CD16BA3" w14:textId="06FB1B23">
      <w:pPr>
        <w:widowControl/>
        <w:spacing w:after="120"/>
      </w:pPr>
      <w:r>
        <w:t>In addition to providing the information required in the application, a copy of the terms and conditions of the transfer agreement must be attached. Such documentation may consist of a bill of sale, promissory note, or other document that reveals the contraction terms between the parties.</w:t>
      </w:r>
    </w:p>
    <w:p w:rsidR="00D01AEA" w:rsidP="00C6795B" w14:paraId="259C29CB" w14:textId="31AD6AD5">
      <w:pPr>
        <w:widowControl/>
        <w:spacing w:after="120"/>
      </w:pPr>
      <w:r w:rsidRPr="00DB6F96">
        <w:rPr>
          <w:i/>
          <w:iCs/>
          <w:color w:val="C00000"/>
        </w:rPr>
        <w:t xml:space="preserve">Revisions to the collection: </w:t>
      </w:r>
      <w:r>
        <w:t>This form is revised to include instructions for email submission. This revision will reduce the burden on PCTC Program</w:t>
      </w:r>
      <w:r w:rsidR="00F44A5E">
        <w:t xml:space="preserve"> respondent</w:t>
      </w:r>
      <w:r>
        <w:t>s as well as the agency.</w:t>
      </w:r>
    </w:p>
    <w:p w:rsidR="00D01AEA" w:rsidRPr="0046678D" w:rsidP="0046678D" w14:paraId="49436FFE" w14:textId="58C18C62">
      <w:pPr>
        <w:pStyle w:val="Heading3"/>
        <w:numPr>
          <w:ilvl w:val="0"/>
          <w:numId w:val="29"/>
        </w:numPr>
        <w:rPr>
          <w:b/>
          <w:bCs w:val="0"/>
        </w:rPr>
      </w:pPr>
      <w:r w:rsidRPr="0046678D">
        <w:rPr>
          <w:b/>
          <w:bCs w:val="0"/>
        </w:rPr>
        <w:t>Notification of Intent to Process PCTC Program Pacific cod</w:t>
      </w:r>
    </w:p>
    <w:p w:rsidR="00D01AEA" w:rsidP="00BC6FB4" w14:paraId="2948A932" w14:textId="682F7D56">
      <w:pPr>
        <w:keepNext/>
        <w:keepLines/>
        <w:widowControl/>
        <w:pBdr>
          <w:top w:val="nil"/>
          <w:left w:val="nil"/>
          <w:bottom w:val="nil"/>
          <w:right w:val="nil"/>
          <w:between w:val="nil"/>
        </w:pBdr>
        <w:spacing w:after="120"/>
      </w:pPr>
      <w:r w:rsidRPr="00A32AA5">
        <w:t xml:space="preserve">The PCTC Program requires cooperatives to </w:t>
      </w:r>
      <w:r w:rsidRPr="00A32AA5" w:rsidR="009500F4">
        <w:t>set aside</w:t>
      </w:r>
      <w:r w:rsidRPr="00A32AA5">
        <w:t xml:space="preserve"> an amount of annual CQ for delivery to an Aleutian Island </w:t>
      </w:r>
      <w:r w:rsidRPr="00A32AA5" w:rsidR="009500F4">
        <w:t>shore plant</w:t>
      </w:r>
      <w:r w:rsidRPr="00A32AA5">
        <w:t xml:space="preserve"> if the city of Adak or Atka files a notification of intent to process PCTC Program Pacific cod that year. If no notices of intent to process are submitted by October 15, cooperatives are not required to set aside CQ for delivery to an Aleutian Island </w:t>
      </w:r>
      <w:r w:rsidRPr="00A32AA5" w:rsidR="009500F4">
        <w:t>shore plant</w:t>
      </w:r>
      <w:r w:rsidRPr="00A32AA5">
        <w:t xml:space="preserve"> in the subsequent fishing seasons.</w:t>
      </w:r>
      <w:r>
        <w:t xml:space="preserve"> </w:t>
      </w:r>
      <w:r w:rsidRPr="00A32AA5">
        <w:t xml:space="preserve">The notification of intent to process is necessary for NMFS and the </w:t>
      </w:r>
      <w:r w:rsidRPr="0050567F">
        <w:t>PCTC Program cooperatives to know whether the regulations established for the set-aside will be in effect during the upcoming fishing.</w:t>
      </w:r>
      <w:r w:rsidRPr="00A32AA5">
        <w:t xml:space="preserve"> </w:t>
      </w:r>
    </w:p>
    <w:p w:rsidR="00D01AEA" w:rsidP="00BC6FB4" w14:paraId="1802D2B3" w14:textId="328E35F8">
      <w:pPr>
        <w:widowControl/>
        <w:pBdr>
          <w:top w:val="nil"/>
          <w:left w:val="nil"/>
          <w:bottom w:val="nil"/>
          <w:right w:val="nil"/>
          <w:between w:val="nil"/>
        </w:pBdr>
        <w:spacing w:after="120"/>
      </w:pPr>
      <w:r w:rsidRPr="00580711">
        <w:t>The notification of intent to process</w:t>
      </w:r>
      <w:r>
        <w:t xml:space="preserve"> PCTC Program</w:t>
      </w:r>
      <w:r w:rsidRPr="00580711">
        <w:t xml:space="preserve"> Pacific cod is a </w:t>
      </w:r>
      <w:r>
        <w:t xml:space="preserve">signed </w:t>
      </w:r>
      <w:r w:rsidRPr="00580711">
        <w:t xml:space="preserve">letter or memorandum submitted to NMFS by the </w:t>
      </w:r>
      <w:r>
        <w:t xml:space="preserve">representative of the </w:t>
      </w:r>
      <w:r w:rsidRPr="00580711">
        <w:t xml:space="preserve">City of Adak or the City of Atka indicating that the community </w:t>
      </w:r>
      <w:r>
        <w:t>they</w:t>
      </w:r>
      <w:r w:rsidRPr="00580711">
        <w:t xml:space="preserve"> represent intends to process PCTC Program Pacific cod during the upcoming fishing year</w:t>
      </w:r>
      <w:r>
        <w:t>.</w:t>
      </w:r>
      <w:r w:rsidRPr="00A32AA5">
        <w:t xml:space="preserve"> </w:t>
      </w:r>
    </w:p>
    <w:p w:rsidR="00D01AEA" w:rsidP="00BC6FB4" w14:paraId="74FF66C1" w14:textId="7BDB991F">
      <w:pPr>
        <w:widowControl/>
        <w:pBdr>
          <w:top w:val="nil"/>
          <w:left w:val="nil"/>
          <w:bottom w:val="nil"/>
          <w:right w:val="nil"/>
          <w:between w:val="nil"/>
        </w:pBdr>
        <w:spacing w:after="120"/>
      </w:pPr>
      <w:r>
        <w:t>The notification of intent must be submitted to the NMFS Regional Administrator no later than October 15 of the year prior to the year the city intends to process PCTC Program Pacific cod. The notification is submitted by email. Submission of the official notification of intent by October 15 will provide NMFS inseason management with the timely information it needs to manage the upcoming fisheries and notify the cooperatives that the Aleutian Islands set-aside is in effect for the upcoming year.</w:t>
      </w:r>
    </w:p>
    <w:p w:rsidR="00D01AEA" w:rsidP="00BC6FB4" w14:paraId="36844EEF" w14:textId="6988572C">
      <w:pPr>
        <w:widowControl/>
        <w:pBdr>
          <w:top w:val="nil"/>
          <w:left w:val="nil"/>
          <w:bottom w:val="nil"/>
          <w:right w:val="nil"/>
          <w:between w:val="nil"/>
        </w:pBdr>
        <w:spacing w:after="120"/>
      </w:pPr>
      <w:r>
        <w:t xml:space="preserve">The notification of intent to process PCTC Program Pacific cod must contain the following information: date of submission, name of the city, a statement of intent to process Aleutian Islands Pacific cod, the calendar year during which the city intends to process Aleutian Islands Pacific cod, contact information for the city representative where the </w:t>
      </w:r>
      <w:r w:rsidR="009500F4">
        <w:t>shore plant</w:t>
      </w:r>
      <w:r>
        <w:t xml:space="preserve"> is intending to process Aleutian Islands Pacific cod, </w:t>
      </w:r>
      <w:r w:rsidRPr="0050567F">
        <w:t>and documentation of the authority of the person to represent the City of Adak or the City of Atka</w:t>
      </w:r>
      <w:r>
        <w:t xml:space="preserve">. </w:t>
      </w:r>
    </w:p>
    <w:p w:rsidR="00D01AEA" w:rsidP="00BC6FB4" w14:paraId="605104E8" w14:textId="14B940BD">
      <w:pPr>
        <w:widowControl/>
        <w:pBdr>
          <w:top w:val="nil"/>
          <w:left w:val="nil"/>
          <w:bottom w:val="nil"/>
          <w:right w:val="nil"/>
          <w:between w:val="nil"/>
        </w:pBdr>
        <w:spacing w:after="120"/>
      </w:pPr>
      <w:r>
        <w:t xml:space="preserve">On or before November 30, the Regional Administrator will notify the representative of the City of Adak or the City of Atka confirming receipt of their official notification of intent to process PCTC Program Pacific cod. Shortly after receipt of an official notification of intent to process PCTC Program Pacific cod, NMFS will announce through notice in the </w:t>
      </w:r>
      <w:r w:rsidRPr="00333D8F">
        <w:rPr>
          <w:i/>
        </w:rPr>
        <w:t>Federal Register</w:t>
      </w:r>
      <w:r>
        <w:t xml:space="preserve"> whether the Aleutian Islands set-aside is in effect for the upcoming fishing year. </w:t>
      </w:r>
    </w:p>
    <w:p w:rsidR="00D01AEA" w:rsidP="00BC6FB4" w14:paraId="1F3617E4" w14:textId="04EDFE77">
      <w:pPr>
        <w:widowControl/>
        <w:pBdr>
          <w:top w:val="nil"/>
          <w:left w:val="nil"/>
          <w:bottom w:val="nil"/>
          <w:right w:val="nil"/>
          <w:between w:val="nil"/>
        </w:pBdr>
        <w:spacing w:after="120"/>
      </w:pPr>
      <w:r>
        <w:t xml:space="preserve">Even if a community is uncertain at the time the notice of intent is due as to whether an Aleutian Island </w:t>
      </w:r>
      <w:r w:rsidR="009500F4">
        <w:t>shore plant</w:t>
      </w:r>
      <w:r>
        <w:t xml:space="preserve"> will be operational, there is no penalty to the community or </w:t>
      </w:r>
      <w:r w:rsidR="009500F4">
        <w:t>shore plant</w:t>
      </w:r>
      <w:r>
        <w:t xml:space="preserve"> for stating their intention to process but then later withdrawing that notice of intent. </w:t>
      </w:r>
      <w:r w:rsidRPr="00AC3A37">
        <w:t xml:space="preserve">The City of Adak or the City of Atka </w:t>
      </w:r>
      <w:r>
        <w:t>may withdraw their notice of intent at any time after submitting it to NMFS.</w:t>
      </w:r>
    </w:p>
    <w:p w:rsidR="00441FDC" w:rsidP="00BC6FB4" w14:paraId="4A81B422" w14:textId="77777777">
      <w:pPr>
        <w:pBdr>
          <w:top w:val="nil"/>
          <w:left w:val="nil"/>
          <w:bottom w:val="nil"/>
          <w:right w:val="nil"/>
          <w:between w:val="nil"/>
        </w:pBdr>
        <w:tabs>
          <w:tab w:val="left" w:pos="360"/>
        </w:tabs>
        <w:spacing w:before="199" w:after="120"/>
        <w:rPr>
          <w:b/>
        </w:rPr>
      </w:pPr>
    </w:p>
    <w:p w:rsidR="00E8035F" w:rsidRPr="00BC6FB4" w:rsidP="00D15D54" w14:paraId="442E5C42" w14:textId="297A4C1A">
      <w:pPr>
        <w:pStyle w:val="Heading2"/>
        <w:numPr>
          <w:ilvl w:val="0"/>
          <w:numId w:val="27"/>
        </w:numPr>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8035F" w:rsidRPr="00FF10AE" w:rsidP="00BC6FB4" w14:paraId="0E714A9E" w14:textId="2559479B">
      <w:pPr>
        <w:widowControl/>
        <w:autoSpaceDE w:val="0"/>
        <w:autoSpaceDN w:val="0"/>
        <w:spacing w:after="120"/>
        <w:rPr>
          <w:rFonts w:eastAsiaTheme="minorHAnsi" w:cstheme="minorBidi"/>
        </w:rPr>
      </w:pPr>
      <w:r>
        <w:rPr>
          <w:rFonts w:eastAsiaTheme="minorHAnsi" w:cstheme="minorBidi"/>
        </w:rPr>
        <w:t xml:space="preserve">Since the </w:t>
      </w:r>
      <w:r w:rsidR="00D44BC3">
        <w:rPr>
          <w:rFonts w:eastAsiaTheme="minorHAnsi" w:cstheme="minorBidi"/>
        </w:rPr>
        <w:t>inception of the PCTC Program in 2023</w:t>
      </w:r>
      <w:r>
        <w:rPr>
          <w:rFonts w:eastAsiaTheme="minorHAnsi" w:cstheme="minorBidi"/>
        </w:rPr>
        <w:t xml:space="preserve">, roughly </w:t>
      </w:r>
      <w:r w:rsidRPr="00D44BC3" w:rsidR="00D44BC3">
        <w:rPr>
          <w:rFonts w:eastAsiaTheme="minorHAnsi" w:cstheme="minorBidi"/>
        </w:rPr>
        <w:t>50</w:t>
      </w:r>
      <w:r w:rsidRPr="00D44BC3">
        <w:rPr>
          <w:rFonts w:eastAsiaTheme="minorHAnsi" w:cstheme="minorBidi"/>
        </w:rPr>
        <w:t>%</w:t>
      </w:r>
      <w:r>
        <w:rPr>
          <w:rFonts w:eastAsiaTheme="minorHAnsi" w:cstheme="minorBidi"/>
        </w:rPr>
        <w:t xml:space="preserve"> of information collections have been received electronically</w:t>
      </w:r>
      <w:r w:rsidR="00D44BC3">
        <w:rPr>
          <w:rFonts w:eastAsiaTheme="minorHAnsi" w:cstheme="minorBidi"/>
        </w:rPr>
        <w:t>, with an increase in the proportion of electronic submissions after 2023</w:t>
      </w:r>
      <w:r w:rsidRPr="00F759E7">
        <w:rPr>
          <w:rFonts w:eastAsiaTheme="minorHAnsi" w:cstheme="minorBidi"/>
        </w:rPr>
        <w:t>.</w:t>
      </w:r>
      <w:r w:rsidR="00D44BC3">
        <w:rPr>
          <w:rFonts w:eastAsiaTheme="minorHAnsi" w:cstheme="minorBidi"/>
        </w:rPr>
        <w:t xml:space="preserve"> The increase in electronic submissions may be related to the forms used during the first year of the PCTC Program.</w:t>
      </w:r>
      <w:r w:rsidRPr="00F759E7">
        <w:rPr>
          <w:rFonts w:eastAsiaTheme="minorHAnsi" w:cstheme="minorBidi"/>
        </w:rPr>
        <w:t xml:space="preserve"> </w:t>
      </w:r>
      <w:r w:rsidR="00D44BC3">
        <w:rPr>
          <w:rFonts w:eastAsiaTheme="minorHAnsi" w:cstheme="minorBidi"/>
        </w:rPr>
        <w:t xml:space="preserve">For example, the Ninety-Day Transfer Window for Non-Exempt AFA LLP form was only able to be submitted by mail. </w:t>
      </w:r>
      <w:r>
        <w:rPr>
          <w:rFonts w:eastAsiaTheme="minorHAnsi" w:cstheme="minorBidi"/>
        </w:rPr>
        <w:t>With the revisions under this submission, all</w:t>
      </w:r>
      <w:r w:rsidRPr="00F759E7">
        <w:rPr>
          <w:rFonts w:eastAsiaTheme="minorHAnsi" w:cstheme="minorBidi"/>
        </w:rPr>
        <w:t xml:space="preserve"> </w:t>
      </w:r>
      <w:r w:rsidR="00D44BC3">
        <w:rPr>
          <w:rFonts w:eastAsiaTheme="minorHAnsi" w:cstheme="minorBidi"/>
        </w:rPr>
        <w:t xml:space="preserve">PCTC Program (RIN: 0648-0811) </w:t>
      </w:r>
      <w:r w:rsidRPr="00F759E7">
        <w:rPr>
          <w:rFonts w:eastAsiaTheme="minorHAnsi" w:cstheme="minorBidi"/>
        </w:rPr>
        <w:t xml:space="preserve">collection instruments may </w:t>
      </w:r>
      <w:r>
        <w:rPr>
          <w:rFonts w:eastAsiaTheme="minorHAnsi" w:cstheme="minorBidi"/>
        </w:rPr>
        <w:t xml:space="preserve">now </w:t>
      </w:r>
      <w:r w:rsidRPr="00F759E7">
        <w:rPr>
          <w:rFonts w:eastAsiaTheme="minorHAnsi" w:cstheme="minorBidi"/>
        </w:rPr>
        <w:t xml:space="preserve">be </w:t>
      </w:r>
      <w:r>
        <w:rPr>
          <w:rFonts w:eastAsiaTheme="minorHAnsi" w:cstheme="minorBidi"/>
        </w:rPr>
        <w:t>submitted</w:t>
      </w:r>
      <w:r w:rsidRPr="00F759E7">
        <w:rPr>
          <w:rFonts w:eastAsiaTheme="minorHAnsi" w:cstheme="minorBidi"/>
        </w:rPr>
        <w:t xml:space="preserve"> electronically</w:t>
      </w:r>
      <w:r>
        <w:rPr>
          <w:rFonts w:eastAsiaTheme="minorHAnsi" w:cstheme="minorBidi"/>
        </w:rPr>
        <w:t xml:space="preserve">. </w:t>
      </w:r>
      <w:r w:rsidRPr="00F759E7" w:rsidR="009500F4">
        <w:rPr>
          <w:rFonts w:eastAsiaTheme="minorHAnsi" w:cstheme="minorBidi"/>
        </w:rPr>
        <w:t>All</w:t>
      </w:r>
      <w:r w:rsidRPr="00F759E7">
        <w:rPr>
          <w:rFonts w:eastAsiaTheme="minorHAnsi" w:cstheme="minorBidi"/>
        </w:rPr>
        <w:t xml:space="preserve"> the </w:t>
      </w:r>
      <w:r>
        <w:rPr>
          <w:rFonts w:eastAsiaTheme="minorHAnsi" w:cstheme="minorBidi"/>
        </w:rPr>
        <w:t xml:space="preserve">PCTC Program </w:t>
      </w:r>
      <w:r w:rsidRPr="00F759E7">
        <w:rPr>
          <w:rFonts w:eastAsiaTheme="minorHAnsi" w:cstheme="minorBidi"/>
        </w:rPr>
        <w:t xml:space="preserve">applications </w:t>
      </w:r>
      <w:r>
        <w:rPr>
          <w:rFonts w:eastAsiaTheme="minorHAnsi" w:cstheme="minorBidi"/>
        </w:rPr>
        <w:t>are</w:t>
      </w:r>
      <w:r w:rsidRPr="00F759E7">
        <w:rPr>
          <w:rFonts w:eastAsiaTheme="minorHAnsi" w:cstheme="minorBidi"/>
        </w:rPr>
        <w:t xml:space="preserve"> available on t</w:t>
      </w:r>
      <w:r w:rsidR="006D3549">
        <w:rPr>
          <w:rFonts w:eastAsiaTheme="minorHAnsi" w:cstheme="minorBidi"/>
        </w:rPr>
        <w:t xml:space="preserve">he NMFS Alaska Region website </w:t>
      </w:r>
      <w:r w:rsidRPr="00F759E7">
        <w:rPr>
          <w:rFonts w:eastAsiaTheme="minorHAnsi" w:cstheme="minorBidi"/>
        </w:rPr>
        <w:t>as fillable pdfs.</w:t>
      </w:r>
      <w:r>
        <w:rPr>
          <w:rStyle w:val="FootnoteReference"/>
          <w:rFonts w:eastAsiaTheme="minorHAnsi" w:cstheme="minorBidi"/>
        </w:rPr>
        <w:footnoteReference w:id="10"/>
      </w:r>
      <w:r>
        <w:rPr>
          <w:rFonts w:eastAsiaTheme="minorHAnsi" w:cstheme="minorBidi"/>
        </w:rPr>
        <w:t xml:space="preserve"> </w:t>
      </w:r>
    </w:p>
    <w:p w:rsidR="00E8035F" w:rsidP="00BC6FB4" w14:paraId="0EA4CF45" w14:textId="42DC8F1D">
      <w:pPr>
        <w:widowControl/>
        <w:autoSpaceDE w:val="0"/>
        <w:autoSpaceDN w:val="0"/>
        <w:spacing w:after="120"/>
        <w:rPr>
          <w:color w:val="000000"/>
        </w:rPr>
      </w:pPr>
      <w:r>
        <w:t>Applications for Inter-Cooperative Transfer of PCTC Program CQ are submitted electronically throug</w:t>
      </w:r>
      <w:r w:rsidR="006D3549">
        <w:t>h eFISH</w:t>
      </w:r>
      <w:r>
        <w:t>,</w:t>
      </w:r>
      <w:r>
        <w:rPr>
          <w:rStyle w:val="FootnoteReference"/>
        </w:rPr>
        <w:footnoteReference w:id="11"/>
      </w:r>
      <w:r>
        <w:t xml:space="preserve"> </w:t>
      </w:r>
      <w:r w:rsidRPr="00FF10AE">
        <w:t xml:space="preserve"> the NMFS Alaska Region online Fisheries Information System. </w:t>
      </w:r>
      <w:r w:rsidRPr="00FF10AE">
        <w:rPr>
          <w:color w:val="000000"/>
        </w:rPr>
        <w:t>eFISH provides an online method to submit applications and access to participants’ NMFS permit accounts. eFISH allows participants to renew certain fishery permits; report landings; print certificates or permits; conduct quota transfers; pay fees and submit landing value reports; and check account balances, vessel balances, and landing ledger reports. Permit holders access eFISH through a User ID and password issued by NMFS.</w:t>
      </w:r>
      <w:r w:rsidR="00FA06A8">
        <w:rPr>
          <w:color w:val="000000"/>
        </w:rPr>
        <w:t xml:space="preserve"> Instructions for using eFISH </w:t>
      </w:r>
      <w:r w:rsidRPr="00FF10AE">
        <w:rPr>
          <w:color w:val="000000"/>
        </w:rPr>
        <w:t>are posted on the NMFS Alaska Region website</w:t>
      </w:r>
      <w:r>
        <w:rPr>
          <w:color w:val="000000"/>
        </w:rPr>
        <w:t>.</w:t>
      </w:r>
      <w:r>
        <w:rPr>
          <w:rStyle w:val="FootnoteReference"/>
          <w:color w:val="000000"/>
        </w:rPr>
        <w:footnoteReference w:id="12"/>
      </w:r>
    </w:p>
    <w:p w:rsidR="00E8035F" w:rsidP="00BC6FB4" w14:paraId="79EE1DE8" w14:textId="3796CB5B">
      <w:pPr>
        <w:widowControl/>
        <w:autoSpaceDE w:val="0"/>
        <w:autoSpaceDN w:val="0"/>
        <w:spacing w:after="120"/>
        <w:rPr>
          <w:color w:val="000000"/>
        </w:rPr>
      </w:pPr>
      <w:r>
        <w:rPr>
          <w:color w:val="000000"/>
        </w:rPr>
        <w:t xml:space="preserve">The notification of intent to process PCTC Program Pacific cod will be submitted by email. </w:t>
      </w:r>
    </w:p>
    <w:p w:rsidR="00E8035F" w:rsidRPr="00BF3A19" w:rsidP="00BC6FB4" w14:paraId="3EFE567A" w14:textId="02348555">
      <w:pPr>
        <w:widowControl/>
        <w:autoSpaceDE w:val="0"/>
        <w:autoSpaceDN w:val="0"/>
        <w:spacing w:after="120"/>
      </w:pPr>
      <w:r w:rsidRPr="00BF3A19">
        <w:t xml:space="preserve">NMFS Alaska Region is working toward offering more </w:t>
      </w:r>
      <w:r w:rsidR="00D44BC3">
        <w:t xml:space="preserve">streamlined </w:t>
      </w:r>
      <w:r w:rsidRPr="00BF3A19">
        <w:t xml:space="preserve">online services. The current data entry and retrieval system is nearing the end of its life, and a new database is in development. </w:t>
      </w:r>
      <w:r w:rsidRPr="00266A4D">
        <w:t xml:space="preserve">NMFS is working </w:t>
      </w:r>
      <w:r>
        <w:t>on a new system</w:t>
      </w:r>
      <w:r w:rsidRPr="00266A4D">
        <w:t xml:space="preserve"> whereby </w:t>
      </w:r>
      <w:r w:rsidRPr="00266A4D" w:rsidR="009500F4">
        <w:t>all</w:t>
      </w:r>
      <w:r w:rsidRPr="00266A4D">
        <w:t xml:space="preserve"> the information will be entered online and submitted directly and automatically into a database.</w:t>
      </w:r>
    </w:p>
    <w:p w:rsidR="00E8035F" w:rsidP="00BC6FB4" w14:paraId="3972E13A" w14:textId="77777777">
      <w:pPr>
        <w:spacing w:before="161" w:after="120"/>
        <w:rPr>
          <w:b/>
        </w:rPr>
      </w:pPr>
    </w:p>
    <w:p w:rsidR="00441FDC" w:rsidRPr="00BC6FB4" w:rsidP="00D15D54" w14:paraId="140FB206" w14:textId="6EA4A90E">
      <w:pPr>
        <w:pStyle w:val="Heading2"/>
        <w:numPr>
          <w:ilvl w:val="0"/>
          <w:numId w:val="27"/>
        </w:numPr>
      </w:pPr>
      <w:r>
        <w:t>Describe efforts to identify duplication. Show specifically why any similar information already available cannot be used or modified for use for the purposes described in Question 2</w:t>
      </w:r>
      <w:r w:rsidR="008262EE">
        <w:t>.</w:t>
      </w:r>
    </w:p>
    <w:p w:rsidR="00BC6FB4" w:rsidRPr="00BC6FB4" w:rsidP="00BC6FB4" w14:paraId="6FDF8606" w14:textId="0365181C">
      <w:pPr>
        <w:pBdr>
          <w:top w:val="nil"/>
          <w:left w:val="nil"/>
          <w:bottom w:val="nil"/>
          <w:right w:val="nil"/>
          <w:between w:val="nil"/>
        </w:pBdr>
        <w:spacing w:before="161" w:after="120"/>
      </w:pPr>
      <w:r w:rsidRPr="00BC6FB4">
        <w:t xml:space="preserve">None of the information collected duplicates other collections. Duplication of application contact information is minimized </w:t>
      </w:r>
      <w:r w:rsidRPr="00BC6FB4" w:rsidR="009500F4">
        <w:t>using</w:t>
      </w:r>
      <w:r w:rsidRPr="00BC6FB4">
        <w:t xml:space="preserve"> eFISH because, by logging in with a NMFS Identification Number, eFISH </w:t>
      </w:r>
      <w:r w:rsidRPr="00BC6FB4" w:rsidR="009500F4">
        <w:t>autofills</w:t>
      </w:r>
      <w:r w:rsidRPr="00BC6FB4">
        <w:t xml:space="preserve"> some data entry fields. </w:t>
      </w:r>
    </w:p>
    <w:p w:rsidR="00BC6FB4" w:rsidP="00BC6FB4" w14:paraId="2D408A16" w14:textId="588FA432">
      <w:pPr>
        <w:pBdr>
          <w:top w:val="nil"/>
          <w:left w:val="nil"/>
          <w:bottom w:val="nil"/>
          <w:right w:val="nil"/>
          <w:between w:val="nil"/>
        </w:pBdr>
        <w:spacing w:before="161" w:after="120"/>
      </w:pPr>
      <w:r w:rsidRPr="00BC6FB4">
        <w:t xml:space="preserve">In general, Alaska Region information collections are prepared and reviewed by staff familiar with </w:t>
      </w:r>
      <w:r w:rsidRPr="00BC6FB4" w:rsidR="009500F4">
        <w:t>all</w:t>
      </w:r>
      <w:r w:rsidRPr="00BC6FB4">
        <w:t xml:space="preserve"> the information collection requirements for the region. Staff work together to develop information collection requirements for new programs. In addition, NMFS staff work closely with the staff of the </w:t>
      </w:r>
      <w:r w:rsidR="00610AD0">
        <w:t>ADF&amp;G</w:t>
      </w:r>
      <w:r w:rsidRPr="00BC6FB4">
        <w:t xml:space="preserve"> and the International Pacific Halibut Commission</w:t>
      </w:r>
      <w:r w:rsidR="00610AD0">
        <w:t xml:space="preserve"> (IPHC)</w:t>
      </w:r>
      <w:r w:rsidRPr="00BC6FB4">
        <w:t xml:space="preserve">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w:t>
      </w:r>
      <w:r w:rsidRPr="00BC6FB4" w:rsidR="009500F4">
        <w:t>Fisheries</w:t>
      </w:r>
      <w:r w:rsidRPr="00BC6FB4">
        <w:t xml:space="preserve"> </w:t>
      </w:r>
      <w:r w:rsidRPr="00BC6FB4" w:rsidR="009500F4">
        <w:t>of</w:t>
      </w:r>
      <w:r w:rsidRPr="00BC6FB4">
        <w:t xml:space="preserve"> Alaska.</w:t>
      </w:r>
    </w:p>
    <w:p w:rsidR="00BC6FB4" w:rsidP="00BC6FB4" w14:paraId="4C4B3732" w14:textId="77777777">
      <w:pPr>
        <w:pBdr>
          <w:top w:val="nil"/>
          <w:left w:val="nil"/>
          <w:bottom w:val="nil"/>
          <w:right w:val="nil"/>
          <w:between w:val="nil"/>
        </w:pBdr>
        <w:spacing w:before="161" w:after="120"/>
      </w:pPr>
    </w:p>
    <w:p w:rsidR="002B5E09" w:rsidRPr="00BC6FB4" w:rsidP="00D15D54" w14:paraId="089B165B" w14:textId="7AF03BDC">
      <w:pPr>
        <w:pStyle w:val="Heading2"/>
        <w:numPr>
          <w:ilvl w:val="0"/>
          <w:numId w:val="27"/>
        </w:numPr>
      </w:pPr>
      <w:r>
        <w:t>If the collection of information impacts small businesses or other small entities, describe any methods used to minimize burden.</w:t>
      </w:r>
    </w:p>
    <w:p w:rsidR="002B5E09" w:rsidP="00BC6FB4" w14:paraId="4FF969BF" w14:textId="1CFCAE49">
      <w:pPr>
        <w:widowControl/>
        <w:pBdr>
          <w:top w:val="nil"/>
          <w:left w:val="nil"/>
          <w:bottom w:val="nil"/>
          <w:right w:val="nil"/>
          <w:between w:val="nil"/>
        </w:pBdr>
        <w:spacing w:after="120"/>
      </w:pPr>
      <w:r>
        <w:t>NMFS attempts to minimize the burden of this information collection on all respondents by collecting only information necessary to manage the PCTC Program, by providing and supporting the online data collection program eFISH, and by providing help to participants in writing and by phone. eFish includes online help options and user guides</w:t>
      </w:r>
      <w:r>
        <w:rPr>
          <w:rStyle w:val="FootnoteReference"/>
        </w:rPr>
        <w:footnoteReference w:id="13"/>
      </w:r>
      <w:r>
        <w:t xml:space="preserve">. </w:t>
      </w:r>
      <w:r w:rsidRPr="00391FF9">
        <w:t>In addition, NMFS maintains a help/support call center with contractors available by phone Monday through Friday</w:t>
      </w:r>
      <w:r>
        <w:rPr>
          <w:rStyle w:val="FootnoteReference"/>
        </w:rPr>
        <w:footnoteReference w:id="14"/>
      </w:r>
      <w:r w:rsidRPr="00391FF9">
        <w:t>.</w:t>
      </w:r>
    </w:p>
    <w:p w:rsidR="002B5E09" w:rsidP="00BC6FB4" w14:paraId="2E5A9589" w14:textId="2CC94B37">
      <w:pPr>
        <w:widowControl/>
        <w:pBdr>
          <w:top w:val="nil"/>
          <w:left w:val="nil"/>
          <w:bottom w:val="nil"/>
          <w:right w:val="nil"/>
          <w:between w:val="nil"/>
        </w:pBdr>
        <w:spacing w:after="120"/>
      </w:pPr>
      <w:r>
        <w:t xml:space="preserve">Additionally, the forms will be available online as fillable pdfs. Help will be available by contacting the Restricted Access Management Division by email at </w:t>
      </w:r>
      <w:hyperlink r:id="rId12" w:history="1">
        <w:r w:rsidRPr="00C21AD7">
          <w:rPr>
            <w:rStyle w:val="Hyperlink"/>
          </w:rPr>
          <w:t>ram.alaska@noaa.gov</w:t>
        </w:r>
      </w:hyperlink>
      <w:r>
        <w:t xml:space="preserve"> and by phone Monday through Friday from 8:00 am to 4:00 pm, Alaska local time</w:t>
      </w:r>
      <w:r w:rsidRPr="0039748F">
        <w:t>, at (800) 304-4846, option 2.</w:t>
      </w:r>
    </w:p>
    <w:p w:rsidR="002B5E09" w:rsidP="00BC6FB4" w14:paraId="79F689FD" w14:textId="77777777">
      <w:pPr>
        <w:widowControl/>
        <w:pBdr>
          <w:top w:val="nil"/>
          <w:left w:val="nil"/>
          <w:bottom w:val="nil"/>
          <w:right w:val="nil"/>
          <w:between w:val="nil"/>
        </w:pBdr>
        <w:spacing w:after="120"/>
      </w:pPr>
    </w:p>
    <w:p w:rsidR="002B5E09" w:rsidRPr="00BC6FB4" w:rsidP="00D15D54" w14:paraId="6D52F6CB" w14:textId="6429D885">
      <w:pPr>
        <w:pStyle w:val="Heading2"/>
        <w:numPr>
          <w:ilvl w:val="0"/>
          <w:numId w:val="27"/>
        </w:numPr>
      </w:pPr>
      <w:r>
        <w:t xml:space="preserve">Describe the </w:t>
      </w:r>
      <w:r w:rsidR="009500F4">
        <w:t>consequences</w:t>
      </w:r>
      <w:r>
        <w:t xml:space="preserve"> </w:t>
      </w:r>
      <w:r w:rsidR="009500F4">
        <w:t>of</w:t>
      </w:r>
      <w:r>
        <w:t xml:space="preserve"> Federal program or policy activities if the collection is not conducted or is conducted less frequently, as well as any technical or legal obstacles to reducing burden.</w:t>
      </w:r>
    </w:p>
    <w:p w:rsidR="002B5E09" w:rsidP="00BC6FB4" w14:paraId="2806D033" w14:textId="0770B404">
      <w:pPr>
        <w:widowControl/>
        <w:pBdr>
          <w:top w:val="nil"/>
          <w:left w:val="nil"/>
          <w:bottom w:val="nil"/>
          <w:right w:val="nil"/>
          <w:between w:val="nil"/>
        </w:pBdr>
        <w:spacing w:after="120"/>
      </w:pPr>
      <w:r>
        <w:t xml:space="preserve">This information collection is required to implement and manage the PCTC Program and manage the Pacific cod fishery under the Magnuson-Stevens Act (16 U.S.C. 1801, </w:t>
      </w:r>
      <w:r w:rsidRPr="00316E0D">
        <w:rPr>
          <w:i/>
        </w:rPr>
        <w:t>et seq</w:t>
      </w:r>
      <w:r>
        <w:t xml:space="preserve">.). It </w:t>
      </w:r>
      <w:r w:rsidR="009500F4">
        <w:t>is not</w:t>
      </w:r>
      <w:r>
        <w:t xml:space="preserve"> possible to effectively manage the PCTC Program or carry out the mandates of the Magnuson-Stevens Act if this collection were not conducted or conducted less frequently.</w:t>
      </w:r>
    </w:p>
    <w:p w:rsidR="002B5E09" w:rsidP="00BC6FB4" w14:paraId="1C3AA6A9" w14:textId="1CCC05BF">
      <w:pPr>
        <w:widowControl/>
        <w:pBdr>
          <w:top w:val="nil"/>
          <w:left w:val="nil"/>
          <w:bottom w:val="nil"/>
          <w:right w:val="nil"/>
          <w:between w:val="nil"/>
        </w:pBdr>
        <w:spacing w:after="120"/>
      </w:pPr>
      <w:r w:rsidRPr="00316E0D">
        <w:t xml:space="preserve">If </w:t>
      </w:r>
      <w:r>
        <w:t>this</w:t>
      </w:r>
      <w:r w:rsidRPr="00316E0D">
        <w:t xml:space="preserve"> collection </w:t>
      </w:r>
      <w:r>
        <w:t>was</w:t>
      </w:r>
      <w:r w:rsidRPr="00316E0D">
        <w:t xml:space="preserve"> conducted less frequently, or not at all, </w:t>
      </w:r>
      <w:r>
        <w:t>PCTC Program</w:t>
      </w:r>
      <w:r w:rsidRPr="00316E0D">
        <w:t xml:space="preserve"> harvesters and processors would be delayed or prevented from receiving or transferring their fishery allocations. This </w:t>
      </w:r>
      <w:r>
        <w:t>could</w:t>
      </w:r>
      <w:r w:rsidRPr="00316E0D">
        <w:t xml:space="preserve"> cause severe economic harm to </w:t>
      </w:r>
      <w:r>
        <w:t>PCTC</w:t>
      </w:r>
      <w:r w:rsidRPr="00316E0D">
        <w:t xml:space="preserve"> Program participants and dependent communities. Additionally, NMFS would be substantially less able to ensure compliance with </w:t>
      </w:r>
      <w:r>
        <w:t>PCTC</w:t>
      </w:r>
      <w:r w:rsidRPr="00316E0D">
        <w:t xml:space="preserve"> Program regulations that ensure sustainability and fairness in the fishery.    </w:t>
      </w:r>
    </w:p>
    <w:p w:rsidR="002B5E09" w:rsidP="00BC6FB4" w14:paraId="11186FBC" w14:textId="74206CAF">
      <w:pPr>
        <w:widowControl/>
        <w:pBdr>
          <w:top w:val="nil"/>
          <w:left w:val="nil"/>
          <w:bottom w:val="nil"/>
          <w:right w:val="nil"/>
          <w:between w:val="nil"/>
        </w:pBdr>
        <w:spacing w:after="120"/>
      </w:pPr>
      <w:r>
        <w:t>The lack of adequate information to manage the PCTC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Pacific cod fishing industry</w:t>
      </w:r>
      <w:r w:rsidRPr="00DB246D">
        <w:t xml:space="preserve"> and impact the economic health of the participating communities.</w:t>
      </w:r>
    </w:p>
    <w:p w:rsidR="002B5E09" w:rsidP="00BC6FB4" w14:paraId="1AF65B7B" w14:textId="77777777">
      <w:pPr>
        <w:widowControl/>
        <w:pBdr>
          <w:top w:val="nil"/>
          <w:left w:val="nil"/>
          <w:bottom w:val="nil"/>
          <w:right w:val="nil"/>
          <w:between w:val="nil"/>
        </w:pBdr>
        <w:spacing w:after="120"/>
      </w:pPr>
    </w:p>
    <w:p w:rsidR="00587906" w:rsidP="00BC6FB4" w14:paraId="3B96DA94" w14:textId="77777777">
      <w:pPr>
        <w:widowControl/>
        <w:pBdr>
          <w:top w:val="nil"/>
          <w:left w:val="nil"/>
          <w:bottom w:val="nil"/>
          <w:right w:val="nil"/>
          <w:between w:val="nil"/>
        </w:pBdr>
        <w:spacing w:after="120"/>
      </w:pPr>
    </w:p>
    <w:p w:rsidR="00D34339" w:rsidRPr="00BC6FB4" w:rsidP="00D15D54" w14:paraId="03C85F70" w14:textId="5B6823AB">
      <w:pPr>
        <w:pStyle w:val="Heading2"/>
        <w:numPr>
          <w:ilvl w:val="0"/>
          <w:numId w:val="27"/>
        </w:numPr>
      </w:pPr>
      <w:r>
        <w:t>Explain any special circumstances that would cause an information collection to be conducted in a manner inconsistent with OMB guidelines.</w:t>
      </w:r>
    </w:p>
    <w:p w:rsidR="002B5E09" w:rsidP="00BC6FB4" w14:paraId="60BF8379" w14:textId="5904CAE0">
      <w:pPr>
        <w:pBdr>
          <w:top w:val="nil"/>
          <w:left w:val="nil"/>
          <w:bottom w:val="nil"/>
          <w:right w:val="nil"/>
          <w:between w:val="nil"/>
        </w:pBdr>
        <w:tabs>
          <w:tab w:val="left" w:pos="360"/>
        </w:tabs>
        <w:spacing w:before="80" w:after="120"/>
        <w:rPr>
          <w:bCs/>
          <w:color w:val="000000"/>
        </w:rPr>
      </w:pPr>
      <w:r>
        <w:rPr>
          <w:bCs/>
          <w:color w:val="000000"/>
        </w:rPr>
        <w:t xml:space="preserve">This collection has and will continue to be conducted in a manner consistent with OMB guidelines. </w:t>
      </w:r>
    </w:p>
    <w:p w:rsidR="00BC6FB4" w:rsidRPr="002B5E09" w:rsidP="00BC6FB4" w14:paraId="27E7E7BE" w14:textId="77777777">
      <w:pPr>
        <w:pBdr>
          <w:top w:val="nil"/>
          <w:left w:val="nil"/>
          <w:bottom w:val="nil"/>
          <w:right w:val="nil"/>
          <w:between w:val="nil"/>
        </w:pBdr>
        <w:tabs>
          <w:tab w:val="left" w:pos="360"/>
        </w:tabs>
        <w:spacing w:before="80" w:after="120"/>
        <w:rPr>
          <w:bCs/>
          <w:color w:val="000000"/>
        </w:rPr>
      </w:pPr>
    </w:p>
    <w:p w:rsidR="00441FDC" w:rsidP="00D15D54" w14:paraId="10B645F0" w14:textId="223C33E4">
      <w:pPr>
        <w:pStyle w:val="Heading2"/>
        <w:numPr>
          <w:ilvl w:val="0"/>
          <w:numId w:val="27"/>
        </w:numPr>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F03AA" w:rsidP="00BC6FB4" w14:paraId="71CDAF45" w14:textId="77777777">
      <w:pPr>
        <w:pBdr>
          <w:top w:val="nil"/>
          <w:left w:val="nil"/>
          <w:bottom w:val="nil"/>
          <w:right w:val="nil"/>
          <w:between w:val="nil"/>
        </w:pBdr>
        <w:spacing w:before="159" w:after="120"/>
        <w:rPr>
          <w:color w:val="000000"/>
        </w:rPr>
      </w:pPr>
      <w:r w:rsidRPr="004A174D">
        <w:rPr>
          <w:color w:val="000000"/>
        </w:rPr>
        <w:t xml:space="preserve">A Federal Register Notice for the revision and renewal of PCTC Program information collections was published </w:t>
      </w:r>
      <w:r w:rsidRPr="004A174D" w:rsidR="00EE1C8F">
        <w:rPr>
          <w:color w:val="000000"/>
        </w:rPr>
        <w:t>July 17, 2025</w:t>
      </w:r>
      <w:r w:rsidRPr="004A174D">
        <w:rPr>
          <w:color w:val="000000"/>
        </w:rPr>
        <w:t xml:space="preserve"> (</w:t>
      </w:r>
      <w:r w:rsidRPr="004A174D" w:rsidR="007C7B86">
        <w:rPr>
          <w:color w:val="000000"/>
        </w:rPr>
        <w:t>90 FR 33926</w:t>
      </w:r>
      <w:r w:rsidRPr="004A174D">
        <w:rPr>
          <w:color w:val="000000"/>
        </w:rPr>
        <w:t>)</w:t>
      </w:r>
      <w:r w:rsidR="00C36595">
        <w:rPr>
          <w:color w:val="000000"/>
        </w:rPr>
        <w:t xml:space="preserve"> with comments invited through September 16, 2025</w:t>
      </w:r>
      <w:r w:rsidRPr="004A174D">
        <w:rPr>
          <w:color w:val="000000"/>
        </w:rPr>
        <w:t xml:space="preserve">. </w:t>
      </w:r>
    </w:p>
    <w:p w:rsidR="00441FDC" w:rsidP="00BC6FB4" w14:paraId="1643A2B0" w14:textId="1ACC0835">
      <w:pPr>
        <w:pBdr>
          <w:top w:val="nil"/>
          <w:left w:val="nil"/>
          <w:bottom w:val="nil"/>
          <w:right w:val="nil"/>
          <w:between w:val="nil"/>
        </w:pBdr>
        <w:spacing w:before="159" w:after="120"/>
        <w:rPr>
          <w:color w:val="000000"/>
        </w:rPr>
      </w:pPr>
      <w:r>
        <w:rPr>
          <w:color w:val="000000"/>
        </w:rPr>
        <w:t>NMF</w:t>
      </w:r>
      <w:r w:rsidR="00EF03AA">
        <w:rPr>
          <w:color w:val="000000"/>
        </w:rPr>
        <w:t>S</w:t>
      </w:r>
      <w:r>
        <w:rPr>
          <w:color w:val="000000"/>
        </w:rPr>
        <w:t xml:space="preserve"> contacted the representative for the PCTC Program Intercooperative</w:t>
      </w:r>
      <w:r w:rsidR="00EF03AA">
        <w:rPr>
          <w:color w:val="000000"/>
        </w:rPr>
        <w:t xml:space="preserve"> to solicit feedback from </w:t>
      </w:r>
      <w:r w:rsidR="00E86F1F">
        <w:rPr>
          <w:color w:val="000000"/>
        </w:rPr>
        <w:t xml:space="preserve">program </w:t>
      </w:r>
      <w:r w:rsidR="00EF03AA">
        <w:rPr>
          <w:color w:val="000000"/>
        </w:rPr>
        <w:t xml:space="preserve">participants on the availability of data, frequency of collection, clarity of instructions and recordkeeping, disclosure, </w:t>
      </w:r>
      <w:r w:rsidRPr="004A174D" w:rsidR="00E86F1F">
        <w:rPr>
          <w:color w:val="000000"/>
        </w:rPr>
        <w:t>or reporting format (if any), and on the data elements to be recorded, disclosed, or reported</w:t>
      </w:r>
      <w:r w:rsidR="00E86F1F">
        <w:rPr>
          <w:color w:val="000000"/>
        </w:rPr>
        <w:t>. NMF</w:t>
      </w:r>
      <w:r w:rsidR="00610AD0">
        <w:rPr>
          <w:color w:val="000000"/>
        </w:rPr>
        <w:t>S</w:t>
      </w:r>
      <w:r w:rsidR="00E86F1F">
        <w:rPr>
          <w:color w:val="000000"/>
        </w:rPr>
        <w:t xml:space="preserve"> also requested feedback regarding the</w:t>
      </w:r>
      <w:r w:rsidR="00EF03AA">
        <w:rPr>
          <w:color w:val="000000"/>
        </w:rPr>
        <w:t xml:space="preserve"> accuracy of time and cost burden estimates</w:t>
      </w:r>
      <w:r w:rsidR="00E86F1F">
        <w:rPr>
          <w:color w:val="000000"/>
        </w:rPr>
        <w:t xml:space="preserve"> in this renewal</w:t>
      </w:r>
      <w:r w:rsidR="00EF03AA">
        <w:rPr>
          <w:color w:val="000000"/>
        </w:rPr>
        <w:t xml:space="preserve">. </w:t>
      </w:r>
      <w:r w:rsidR="00E86F1F">
        <w:rPr>
          <w:color w:val="000000"/>
        </w:rPr>
        <w:t>The PCTC Program Intercooperative Representative collated responses from members into a single comment letter which was submitted to the Federal Register Notice (90 FR 33926, July 17, 2025).</w:t>
      </w:r>
    </w:p>
    <w:p w:rsidR="000B7C81" w:rsidRPr="004A174D" w:rsidP="004A174D" w14:paraId="05B35D4E" w14:textId="686D24B8">
      <w:pPr>
        <w:pBdr>
          <w:top w:val="nil"/>
          <w:left w:val="nil"/>
          <w:bottom w:val="nil"/>
          <w:right w:val="nil"/>
          <w:between w:val="nil"/>
        </w:pBdr>
        <w:spacing w:before="159" w:after="120"/>
        <w:rPr>
          <w:color w:val="000000"/>
        </w:rPr>
      </w:pPr>
      <w:r w:rsidRPr="004A174D">
        <w:rPr>
          <w:color w:val="000000"/>
        </w:rPr>
        <w:t xml:space="preserve">NMFS </w:t>
      </w:r>
      <w:r w:rsidRPr="000B7C81">
        <w:rPr>
          <w:color w:val="000000"/>
        </w:rPr>
        <w:t>received</w:t>
      </w:r>
      <w:r>
        <w:rPr>
          <w:color w:val="000000"/>
        </w:rPr>
        <w:t xml:space="preserve"> two</w:t>
      </w:r>
      <w:r w:rsidRPr="000B7C81">
        <w:rPr>
          <w:color w:val="000000"/>
        </w:rPr>
        <w:t xml:space="preserve"> comment letter</w:t>
      </w:r>
      <w:r>
        <w:rPr>
          <w:color w:val="000000"/>
        </w:rPr>
        <w:t>s</w:t>
      </w:r>
      <w:r w:rsidRPr="000B7C81">
        <w:rPr>
          <w:color w:val="000000"/>
        </w:rPr>
        <w:t xml:space="preserve"> on the </w:t>
      </w:r>
      <w:r>
        <w:rPr>
          <w:color w:val="000000"/>
        </w:rPr>
        <w:t>Federal Register Notice</w:t>
      </w:r>
      <w:r w:rsidRPr="000B7C81">
        <w:rPr>
          <w:color w:val="000000"/>
        </w:rPr>
        <w:t xml:space="preserve">. </w:t>
      </w:r>
      <w:r w:rsidRPr="004A174D">
        <w:rPr>
          <w:color w:val="000000"/>
        </w:rPr>
        <w:t>The</w:t>
      </w:r>
      <w:r>
        <w:rPr>
          <w:color w:val="000000"/>
        </w:rPr>
        <w:t xml:space="preserve"> </w:t>
      </w:r>
      <w:r w:rsidRPr="004A174D">
        <w:rPr>
          <w:color w:val="000000"/>
        </w:rPr>
        <w:t>comments were from</w:t>
      </w:r>
      <w:r>
        <w:rPr>
          <w:color w:val="000000"/>
        </w:rPr>
        <w:t xml:space="preserve"> the PCTC Program Intercooperative Representative and an anonymous individual</w:t>
      </w:r>
      <w:r w:rsidRPr="004A174D">
        <w:rPr>
          <w:color w:val="000000"/>
        </w:rPr>
        <w:t>.</w:t>
      </w:r>
      <w:r w:rsidR="00E86F1F">
        <w:rPr>
          <w:color w:val="000000"/>
        </w:rPr>
        <w:t xml:space="preserve"> </w:t>
      </w:r>
      <w:r w:rsidRPr="000B7C81">
        <w:rPr>
          <w:color w:val="000000"/>
        </w:rPr>
        <w:t>NMFS has summarized and responded to both comment</w:t>
      </w:r>
      <w:r>
        <w:rPr>
          <w:color w:val="000000"/>
        </w:rPr>
        <w:t xml:space="preserve"> letters </w:t>
      </w:r>
      <w:r w:rsidRPr="000B7C81">
        <w:rPr>
          <w:color w:val="000000"/>
        </w:rPr>
        <w:t>below</w:t>
      </w:r>
      <w:r w:rsidRPr="004A174D">
        <w:rPr>
          <w:color w:val="000000"/>
        </w:rPr>
        <w:t>.</w:t>
      </w:r>
    </w:p>
    <w:p w:rsidR="00BC6FB4" w:rsidP="00BC6FB4" w14:paraId="79BDB559" w14:textId="7E3252B0">
      <w:pPr>
        <w:pBdr>
          <w:top w:val="nil"/>
          <w:left w:val="nil"/>
          <w:bottom w:val="nil"/>
          <w:right w:val="nil"/>
          <w:between w:val="nil"/>
        </w:pBdr>
        <w:spacing w:before="159" w:after="120"/>
        <w:rPr>
          <w:color w:val="000000"/>
        </w:rPr>
      </w:pPr>
      <w:r w:rsidRPr="000B7C81">
        <w:rPr>
          <w:i/>
          <w:iCs/>
          <w:color w:val="000000"/>
        </w:rPr>
        <w:t>Comment</w:t>
      </w:r>
      <w:r w:rsidRPr="000B7C81" w:rsidR="000B7C81">
        <w:rPr>
          <w:i/>
          <w:iCs/>
          <w:color w:val="000000"/>
        </w:rPr>
        <w:t xml:space="preserve"> 1</w:t>
      </w:r>
      <w:r w:rsidRPr="000B7C81">
        <w:rPr>
          <w:i/>
          <w:iCs/>
          <w:color w:val="000000"/>
        </w:rPr>
        <w:t>:</w:t>
      </w:r>
      <w:r>
        <w:rPr>
          <w:color w:val="000000"/>
        </w:rPr>
        <w:t xml:space="preserve"> </w:t>
      </w:r>
      <w:r w:rsidR="007C7B86">
        <w:rPr>
          <w:color w:val="000000"/>
        </w:rPr>
        <w:t>I</w:t>
      </w:r>
      <w:r w:rsidRPr="00EE1C8F">
        <w:rPr>
          <w:color w:val="000000"/>
        </w:rPr>
        <w:t xml:space="preserve"> oppose this proposal. </w:t>
      </w:r>
      <w:r w:rsidR="007C7B86">
        <w:rPr>
          <w:color w:val="000000"/>
        </w:rPr>
        <w:t>T</w:t>
      </w:r>
      <w:r w:rsidRPr="00EE1C8F">
        <w:rPr>
          <w:color w:val="000000"/>
        </w:rPr>
        <w:t xml:space="preserve">his extension should be stopped.  </w:t>
      </w:r>
      <w:r w:rsidR="007C7B86">
        <w:rPr>
          <w:color w:val="000000"/>
        </w:rPr>
        <w:t>D</w:t>
      </w:r>
      <w:r w:rsidRPr="00EE1C8F">
        <w:rPr>
          <w:color w:val="000000"/>
        </w:rPr>
        <w:t xml:space="preserve">estroying the </w:t>
      </w:r>
      <w:r w:rsidR="007C7B86">
        <w:rPr>
          <w:color w:val="000000"/>
        </w:rPr>
        <w:t>B</w:t>
      </w:r>
      <w:r w:rsidRPr="00EE1C8F">
        <w:rPr>
          <w:color w:val="000000"/>
        </w:rPr>
        <w:t xml:space="preserve">ering </w:t>
      </w:r>
      <w:r w:rsidR="007C7B86">
        <w:rPr>
          <w:color w:val="000000"/>
        </w:rPr>
        <w:t>S</w:t>
      </w:r>
      <w:r w:rsidRPr="00EE1C8F">
        <w:rPr>
          <w:color w:val="000000"/>
        </w:rPr>
        <w:t xml:space="preserve">ea area with this </w:t>
      </w:r>
      <w:r w:rsidRPr="00EE1C8F" w:rsidR="00E86F1F">
        <w:rPr>
          <w:color w:val="000000"/>
        </w:rPr>
        <w:t>destructive</w:t>
      </w:r>
      <w:r w:rsidRPr="00EE1C8F">
        <w:rPr>
          <w:color w:val="000000"/>
        </w:rPr>
        <w:t xml:space="preserve"> proposal is wrong.</w:t>
      </w:r>
      <w:r w:rsidR="007C7B86">
        <w:rPr>
          <w:color w:val="000000"/>
        </w:rPr>
        <w:t xml:space="preserve"> I</w:t>
      </w:r>
      <w:r w:rsidRPr="00EE1C8F">
        <w:rPr>
          <w:color w:val="000000"/>
        </w:rPr>
        <w:t xml:space="preserve">t is overharvesting. </w:t>
      </w:r>
      <w:r w:rsidR="007C7B86">
        <w:rPr>
          <w:color w:val="000000"/>
        </w:rPr>
        <w:t>I</w:t>
      </w:r>
      <w:r w:rsidRPr="00EE1C8F">
        <w:rPr>
          <w:color w:val="000000"/>
        </w:rPr>
        <w:t xml:space="preserve"> am totally opposed to any trawling in this site. </w:t>
      </w:r>
      <w:r w:rsidR="007C7B86">
        <w:rPr>
          <w:color w:val="000000"/>
        </w:rPr>
        <w:t>T</w:t>
      </w:r>
      <w:r w:rsidRPr="00EE1C8F">
        <w:rPr>
          <w:color w:val="000000"/>
        </w:rPr>
        <w:t>raw</w:t>
      </w:r>
      <w:r w:rsidR="00E86F1F">
        <w:rPr>
          <w:color w:val="000000"/>
        </w:rPr>
        <w:t>l</w:t>
      </w:r>
      <w:r w:rsidRPr="00EE1C8F">
        <w:rPr>
          <w:color w:val="000000"/>
        </w:rPr>
        <w:t>ing decimates the bottom of the sea for at least the next 20 years if not longer.</w:t>
      </w:r>
      <w:r>
        <w:rPr>
          <w:color w:val="000000"/>
        </w:rPr>
        <w:t xml:space="preserve"> </w:t>
      </w:r>
      <w:r w:rsidR="00510A73">
        <w:rPr>
          <w:color w:val="000000"/>
        </w:rPr>
        <w:t>C</w:t>
      </w:r>
      <w:r w:rsidRPr="00EE1C8F">
        <w:rPr>
          <w:color w:val="000000"/>
        </w:rPr>
        <w:t xml:space="preserve">ollecting information on this does not help the citizens of the </w:t>
      </w:r>
      <w:r w:rsidR="007C7B86">
        <w:rPr>
          <w:color w:val="000000"/>
        </w:rPr>
        <w:t>USA</w:t>
      </w:r>
      <w:r w:rsidRPr="00EE1C8F">
        <w:rPr>
          <w:color w:val="000000"/>
        </w:rPr>
        <w:t xml:space="preserve"> who want protection for nature. </w:t>
      </w:r>
      <w:r w:rsidR="007C7B86">
        <w:rPr>
          <w:color w:val="000000"/>
        </w:rPr>
        <w:t>M</w:t>
      </w:r>
      <w:r w:rsidRPr="00EE1C8F">
        <w:rPr>
          <w:color w:val="000000"/>
        </w:rPr>
        <w:t xml:space="preserve">ost citizens oppose trawling. </w:t>
      </w:r>
      <w:r w:rsidR="007C7B86">
        <w:rPr>
          <w:color w:val="000000"/>
        </w:rPr>
        <w:t>S</w:t>
      </w:r>
      <w:r w:rsidRPr="00EE1C8F">
        <w:rPr>
          <w:color w:val="000000"/>
        </w:rPr>
        <w:t xml:space="preserve">top working only for the profiteers please. </w:t>
      </w:r>
      <w:r w:rsidR="007C7B86">
        <w:rPr>
          <w:color w:val="000000"/>
        </w:rPr>
        <w:t>T</w:t>
      </w:r>
      <w:r w:rsidRPr="00EE1C8F">
        <w:rPr>
          <w:color w:val="000000"/>
        </w:rPr>
        <w:t>rawling is anti</w:t>
      </w:r>
      <w:r w:rsidR="00EF03AA">
        <w:rPr>
          <w:color w:val="000000"/>
        </w:rPr>
        <w:t>-</w:t>
      </w:r>
      <w:r w:rsidRPr="00EE1C8F">
        <w:rPr>
          <w:color w:val="000000"/>
        </w:rPr>
        <w:t>environmental.</w:t>
      </w:r>
      <w:r>
        <w:rPr>
          <w:color w:val="000000"/>
        </w:rPr>
        <w:t xml:space="preserve"> </w:t>
      </w:r>
      <w:r w:rsidR="007C7B86">
        <w:rPr>
          <w:color w:val="000000"/>
        </w:rPr>
        <w:t>I</w:t>
      </w:r>
      <w:r w:rsidRPr="00EE1C8F">
        <w:rPr>
          <w:color w:val="000000"/>
        </w:rPr>
        <w:t>t ruins fish habitat.</w:t>
      </w:r>
      <w:r>
        <w:rPr>
          <w:color w:val="000000"/>
        </w:rPr>
        <w:t xml:space="preserve"> </w:t>
      </w:r>
      <w:r w:rsidR="007C7B86">
        <w:rPr>
          <w:color w:val="000000"/>
        </w:rPr>
        <w:t>I</w:t>
      </w:r>
      <w:r w:rsidRPr="00EE1C8F">
        <w:rPr>
          <w:color w:val="000000"/>
        </w:rPr>
        <w:t>t causes fish extinction.</w:t>
      </w:r>
      <w:r>
        <w:rPr>
          <w:color w:val="000000"/>
        </w:rPr>
        <w:t xml:space="preserve"> </w:t>
      </w:r>
      <w:r w:rsidR="007C7B86">
        <w:rPr>
          <w:color w:val="000000"/>
        </w:rPr>
        <w:t>S</w:t>
      </w:r>
      <w:r w:rsidRPr="00EE1C8F">
        <w:rPr>
          <w:color w:val="000000"/>
        </w:rPr>
        <w:t>hut down this operation.</w:t>
      </w:r>
    </w:p>
    <w:p w:rsidR="004A174D" w:rsidP="00BC6FB4" w14:paraId="6DFEE2A4" w14:textId="1217D336">
      <w:pPr>
        <w:pBdr>
          <w:top w:val="nil"/>
          <w:left w:val="nil"/>
          <w:bottom w:val="nil"/>
          <w:right w:val="nil"/>
          <w:between w:val="nil"/>
        </w:pBdr>
        <w:spacing w:before="159" w:after="120"/>
        <w:rPr>
          <w:color w:val="000000"/>
        </w:rPr>
      </w:pPr>
      <w:r w:rsidRPr="000B7C81">
        <w:rPr>
          <w:i/>
          <w:iCs/>
          <w:color w:val="000000"/>
        </w:rPr>
        <w:t>Response:</w:t>
      </w:r>
      <w:r>
        <w:rPr>
          <w:color w:val="000000"/>
        </w:rPr>
        <w:t xml:space="preserve"> </w:t>
      </w:r>
      <w:r w:rsidR="007C7B86">
        <w:rPr>
          <w:color w:val="000000"/>
        </w:rPr>
        <w:t xml:space="preserve">This comment does not address the PCTC Program information collections which are the subject of this </w:t>
      </w:r>
      <w:r w:rsidR="00510A73">
        <w:rPr>
          <w:color w:val="000000"/>
        </w:rPr>
        <w:t>Notice and Supporting Statement</w:t>
      </w:r>
      <w:r w:rsidR="007C7B86">
        <w:rPr>
          <w:color w:val="000000"/>
        </w:rPr>
        <w:t xml:space="preserve">. </w:t>
      </w:r>
    </w:p>
    <w:p w:rsidR="000B7C81" w:rsidP="00BC6FB4" w14:paraId="6266FE98" w14:textId="1E38838D">
      <w:pPr>
        <w:pBdr>
          <w:top w:val="nil"/>
          <w:left w:val="nil"/>
          <w:bottom w:val="nil"/>
          <w:right w:val="nil"/>
          <w:between w:val="nil"/>
        </w:pBdr>
        <w:spacing w:before="159" w:after="120"/>
        <w:rPr>
          <w:color w:val="000000"/>
        </w:rPr>
      </w:pPr>
      <w:r>
        <w:rPr>
          <w:i/>
          <w:iCs/>
          <w:color w:val="000000"/>
        </w:rPr>
        <w:t>Comment 2:</w:t>
      </w:r>
      <w:r>
        <w:rPr>
          <w:color w:val="000000"/>
        </w:rPr>
        <w:t xml:space="preserve"> Current information collection requirements for applications regarding PCTC Program CQ, Intercooperative Transfer of CQ, Transfer of PCTC Program QS for Processors, and Notification of Intent to Process Pacific cod should remain in place. Removing the forms to apply for PCTC Program QS and the Ninety-Day Transfer Window for Non-Exempt AFA LLP holders is appropriate, as these are now obsolete following the issuance of PCTC Program QS. </w:t>
      </w:r>
    </w:p>
    <w:p w:rsidR="00272F9A" w:rsidP="00BC6FB4" w14:paraId="788DB9B5" w14:textId="77777777">
      <w:pPr>
        <w:pBdr>
          <w:top w:val="nil"/>
          <w:left w:val="nil"/>
          <w:bottom w:val="nil"/>
          <w:right w:val="nil"/>
          <w:between w:val="nil"/>
        </w:pBdr>
        <w:spacing w:before="159" w:after="120"/>
        <w:rPr>
          <w:color w:val="000000"/>
        </w:rPr>
      </w:pPr>
      <w:r>
        <w:rPr>
          <w:color w:val="000000"/>
        </w:rPr>
        <w:t>The application process for both PCTC Program CQ and Intercooperative Transfer of CQ is essential for the effective operation of the PCTC Program. Submitting an application for CQ is a practical means for gathering necessary data to facilitate the issuance of CQ permits to participating PCTC cooperatives. Each application cycle is structured with a defined submission period to ensure all permits are processed in time for the start of the upcoming A season.</w:t>
      </w:r>
    </w:p>
    <w:p w:rsidR="00272F9A" w:rsidP="00BC6FB4" w14:paraId="580E207D" w14:textId="77777777">
      <w:pPr>
        <w:pBdr>
          <w:top w:val="nil"/>
          <w:left w:val="nil"/>
          <w:bottom w:val="nil"/>
          <w:right w:val="nil"/>
          <w:between w:val="nil"/>
        </w:pBdr>
        <w:spacing w:before="159" w:after="120"/>
        <w:rPr>
          <w:color w:val="000000"/>
        </w:rPr>
      </w:pPr>
      <w:r>
        <w:rPr>
          <w:color w:val="000000"/>
        </w:rPr>
        <w:t xml:space="preserve">Intercooperative transfers play a crucial role in optimizing CQ usage and providing operational flexibility within prohibited species constraints. The application for intercooperative transfers ensures proper accounting and compliance with program-specific limits, thereby supporting the integrity and efficacy of the overall program. </w:t>
      </w:r>
    </w:p>
    <w:p w:rsidR="00272F9A" w:rsidP="00BC6FB4" w14:paraId="5195F6F0" w14:textId="77777777">
      <w:pPr>
        <w:pBdr>
          <w:top w:val="nil"/>
          <w:left w:val="nil"/>
          <w:bottom w:val="nil"/>
          <w:right w:val="nil"/>
          <w:between w:val="nil"/>
        </w:pBdr>
        <w:spacing w:before="159" w:after="120"/>
        <w:rPr>
          <w:color w:val="000000"/>
        </w:rPr>
      </w:pPr>
      <w:r>
        <w:rPr>
          <w:color w:val="000000"/>
        </w:rPr>
        <w:t xml:space="preserve">The electronic submission of these two forms via email or eFish is both practical and efficient. Accordingly, the associated time and cost obligations for participants completing and submitting the forms are minimal and have been reasonably assessed. </w:t>
      </w:r>
    </w:p>
    <w:p w:rsidR="00272F9A" w:rsidP="00BC6FB4" w14:paraId="50853913" w14:textId="77777777">
      <w:pPr>
        <w:pBdr>
          <w:top w:val="nil"/>
          <w:left w:val="nil"/>
          <w:bottom w:val="nil"/>
          <w:right w:val="nil"/>
          <w:between w:val="nil"/>
        </w:pBdr>
        <w:spacing w:before="159" w:after="120"/>
        <w:rPr>
          <w:color w:val="000000"/>
        </w:rPr>
      </w:pPr>
      <w:r>
        <w:rPr>
          <w:color w:val="000000"/>
        </w:rPr>
        <w:t xml:space="preserve">The Notification of Intent to Process in the Aleutian Islands also includes a suitable deadline and clear requirements. </w:t>
      </w:r>
    </w:p>
    <w:p w:rsidR="00EF03AA" w:rsidP="00272F9A" w14:paraId="564BBB10" w14:textId="456F59B1">
      <w:pPr>
        <w:pBdr>
          <w:top w:val="nil"/>
          <w:left w:val="nil"/>
          <w:bottom w:val="nil"/>
          <w:right w:val="nil"/>
          <w:between w:val="nil"/>
        </w:pBdr>
        <w:spacing w:before="159" w:after="120"/>
        <w:rPr>
          <w:color w:val="000000"/>
        </w:rPr>
      </w:pPr>
      <w:r>
        <w:rPr>
          <w:color w:val="000000"/>
        </w:rPr>
        <w:t>In summary, the estimated time and cost associated with these collections are justified and correspond to the anticipated level of effort. It is suitable to eliminate the obsolete application forms that pertained solely to the initial implementation of the PCTC Program. As the remaining forms are now available and processed electronically, no further efficiency improvements are recommended at this time.</w:t>
      </w:r>
    </w:p>
    <w:p w:rsidR="00EE1C8F" w:rsidP="00BC6FB4" w14:paraId="63CB1E5C" w14:textId="678DB3A3">
      <w:pPr>
        <w:pBdr>
          <w:top w:val="nil"/>
          <w:left w:val="nil"/>
          <w:bottom w:val="nil"/>
          <w:right w:val="nil"/>
          <w:between w:val="nil"/>
        </w:pBdr>
        <w:spacing w:before="159" w:after="120"/>
        <w:rPr>
          <w:color w:val="000000"/>
        </w:rPr>
      </w:pPr>
      <w:r>
        <w:rPr>
          <w:i/>
          <w:iCs/>
          <w:color w:val="000000"/>
        </w:rPr>
        <w:t>Response</w:t>
      </w:r>
      <w:r w:rsidR="009500F4">
        <w:rPr>
          <w:i/>
          <w:iCs/>
          <w:color w:val="000000"/>
        </w:rPr>
        <w:t xml:space="preserve">: </w:t>
      </w:r>
      <w:r w:rsidR="009500F4">
        <w:rPr>
          <w:color w:val="000000"/>
        </w:rPr>
        <w:t>NMFS</w:t>
      </w:r>
      <w:r w:rsidR="00272F9A">
        <w:rPr>
          <w:color w:val="000000"/>
        </w:rPr>
        <w:t xml:space="preserve"> acknowledges this comment. </w:t>
      </w:r>
      <w:r>
        <w:rPr>
          <w:color w:val="000000"/>
        </w:rPr>
        <w:br/>
      </w:r>
    </w:p>
    <w:p w:rsidR="00D34339" w:rsidRPr="00BC6FB4" w:rsidP="00D15D54" w14:paraId="53493941" w14:textId="297B3100">
      <w:pPr>
        <w:pStyle w:val="Heading2"/>
        <w:numPr>
          <w:ilvl w:val="0"/>
          <w:numId w:val="27"/>
        </w:numPr>
      </w:pPr>
      <w:r>
        <w:t>Explain any decision to provide any payment or gift to respondents, other than remuneration of contractors or grantees.</w:t>
      </w:r>
    </w:p>
    <w:p w:rsidR="00D34339" w:rsidP="00BC6FB4" w14:paraId="481626E4" w14:textId="328C9150">
      <w:pPr>
        <w:pBdr>
          <w:top w:val="nil"/>
          <w:left w:val="nil"/>
          <w:bottom w:val="nil"/>
          <w:right w:val="nil"/>
          <w:between w:val="nil"/>
        </w:pBdr>
        <w:tabs>
          <w:tab w:val="left" w:pos="360"/>
        </w:tabs>
        <w:spacing w:before="80" w:after="120"/>
        <w:rPr>
          <w:bCs/>
          <w:color w:val="000000"/>
        </w:rPr>
      </w:pPr>
      <w:r>
        <w:rPr>
          <w:bCs/>
          <w:color w:val="000000"/>
        </w:rPr>
        <w:t xml:space="preserve">No payments or gifts are provided to the respondents in this collection. </w:t>
      </w:r>
    </w:p>
    <w:p w:rsidR="00D34339" w:rsidRPr="00D34339" w:rsidP="00BC6FB4" w14:paraId="55AF7B82" w14:textId="77777777">
      <w:pPr>
        <w:pBdr>
          <w:top w:val="nil"/>
          <w:left w:val="nil"/>
          <w:bottom w:val="nil"/>
          <w:right w:val="nil"/>
          <w:between w:val="nil"/>
        </w:pBdr>
        <w:tabs>
          <w:tab w:val="left" w:pos="360"/>
        </w:tabs>
        <w:spacing w:before="80" w:after="120"/>
        <w:rPr>
          <w:bCs/>
          <w:color w:val="000000"/>
        </w:rPr>
      </w:pPr>
    </w:p>
    <w:p w:rsidR="00D34339" w:rsidRPr="00BC6FB4" w:rsidP="00D15D54" w14:paraId="26F7E257" w14:textId="2DD3D10E">
      <w:pPr>
        <w:pStyle w:val="Heading2"/>
        <w:numPr>
          <w:ilvl w:val="0"/>
          <w:numId w:val="27"/>
        </w:numPr>
      </w:pPr>
      <w:r>
        <w:t xml:space="preserve">Describe any assurance of confidentiality provided to respondents and the basis for the assurance in statute, regulation, or agency policy. If the collection requires a </w:t>
      </w:r>
      <w:r w:rsidR="007117CE">
        <w:t>system of records notice (SORN)</w:t>
      </w:r>
      <w:r>
        <w:t xml:space="preserve"> or privacy impact assessment (PIA), those should be cited and described here.</w:t>
      </w:r>
    </w:p>
    <w:p w:rsidR="00D34339" w:rsidRPr="00B94864" w:rsidP="00BC6FB4" w14:paraId="56638CBD" w14:textId="66353CD1">
      <w:pPr>
        <w:keepNext/>
        <w:widowControl/>
        <w:spacing w:after="120"/>
        <w:rPr>
          <w:rFonts w:eastAsia="SimSun"/>
        </w:rPr>
      </w:pPr>
      <w:r w:rsidRPr="00B94864">
        <w:rPr>
          <w:rFonts w:eastAsia="SimSun"/>
        </w:rPr>
        <w:t xml:space="preserve">All information collections by NMFS, Alaska Region, are protected under confidentiality provisions of section 402(b) of the Magnuson-Stevens Act as amended in 2006 (16 U.S.C. 1801, </w:t>
      </w:r>
      <w:r w:rsidRPr="00B94864">
        <w:rPr>
          <w:rFonts w:eastAsia="SimSun"/>
          <w:i/>
        </w:rPr>
        <w:t>et seq</w:t>
      </w:r>
      <w:r w:rsidRPr="00B94864">
        <w:rPr>
          <w:rFonts w:eastAsia="SimSun"/>
        </w:rPr>
        <w:t>.) and under</w:t>
      </w:r>
      <w:r w:rsidR="007117CE">
        <w:rPr>
          <w:rFonts w:eastAsia="SimSun"/>
        </w:rPr>
        <w:t xml:space="preserve"> NOAA Administrative Order 216-100,</w:t>
      </w:r>
      <w:r>
        <w:rPr>
          <w:rStyle w:val="FootnoteReference"/>
          <w:rFonts w:eastAsia="SimSun"/>
        </w:rPr>
        <w:footnoteReference w:id="15"/>
      </w:r>
      <w:r w:rsidRPr="00B94864">
        <w:rPr>
          <w:rFonts w:eastAsia="SimSun"/>
        </w:rPr>
        <w:t xml:space="preserve"> which sets forth procedures to protect confidentiality of fishery statistics.</w:t>
      </w:r>
    </w:p>
    <w:p w:rsidR="00D34339" w:rsidP="007117CE" w14:paraId="7A678E53" w14:textId="1831B433">
      <w:pPr>
        <w:widowControl/>
        <w:autoSpaceDE w:val="0"/>
        <w:autoSpaceDN w:val="0"/>
        <w:adjustRightInd w:val="0"/>
        <w:spacing w:after="120"/>
        <w:rPr>
          <w:rFonts w:eastAsia="Arial"/>
          <w:lang w:bidi="en-US"/>
        </w:rPr>
      </w:pPr>
      <w:r w:rsidRPr="00B94864">
        <w:rPr>
          <w:rFonts w:eastAsia="SimSun"/>
        </w:rPr>
        <w:t xml:space="preserve">The System of Records Notice that covers this information collection is </w:t>
      </w:r>
      <w:bookmarkStart w:id="3" w:name="_Hlk203132949"/>
      <w:r w:rsidR="007117CE">
        <w:rPr>
          <w:rFonts w:eastAsia="SimSun"/>
        </w:rPr>
        <w:t>COMMERCE/NOAA-19, Permits and Registrations for the United States Federally Regulated</w:t>
      </w:r>
      <w:bookmarkEnd w:id="3"/>
      <w:r w:rsidR="007117CE">
        <w:rPr>
          <w:rFonts w:eastAsia="SimSun"/>
        </w:rPr>
        <w:t>.</w:t>
      </w:r>
      <w:r>
        <w:rPr>
          <w:rStyle w:val="FootnoteReference"/>
          <w:rFonts w:eastAsia="SimSun"/>
        </w:rPr>
        <w:footnoteReference w:id="16"/>
      </w:r>
      <w:r w:rsidRPr="00B94864">
        <w:rPr>
          <w:rFonts w:eastAsia="SimSun"/>
        </w:rPr>
        <w:t xml:space="preserve"> </w:t>
      </w:r>
      <w:r w:rsidR="00610AD0">
        <w:rPr>
          <w:rFonts w:eastAsia="SimSun"/>
        </w:rPr>
        <w:t xml:space="preserve"> </w:t>
      </w:r>
      <w:r w:rsidRPr="00B94864">
        <w:rPr>
          <w:rFonts w:eastAsia="Arial"/>
          <w:lang w:bidi="en-US"/>
        </w:rPr>
        <w:t xml:space="preserve">The Privacy Impact Assessment that covers this information collection is </w:t>
      </w:r>
      <w:r w:rsidR="007117CE">
        <w:rPr>
          <w:rFonts w:eastAsia="Arial"/>
          <w:lang w:bidi="en-US"/>
        </w:rPr>
        <w:t>NOAA NMFS Alaska Region Local Area Network (NOAA4700).</w:t>
      </w:r>
      <w:r>
        <w:rPr>
          <w:rStyle w:val="FootnoteReference"/>
          <w:rFonts w:eastAsia="Arial"/>
          <w:lang w:bidi="en-US"/>
        </w:rPr>
        <w:footnoteReference w:id="17"/>
      </w:r>
    </w:p>
    <w:p w:rsidR="007117CE" w:rsidRPr="00B94864" w:rsidP="00BC6FB4" w14:paraId="5DC0479D" w14:textId="77777777">
      <w:pPr>
        <w:widowControl/>
        <w:autoSpaceDE w:val="0"/>
        <w:autoSpaceDN w:val="0"/>
        <w:spacing w:after="120"/>
        <w:rPr>
          <w:rFonts w:eastAsia="Arial"/>
          <w:lang w:bidi="en-US"/>
        </w:rPr>
      </w:pPr>
    </w:p>
    <w:p w:rsidR="00D34339" w:rsidRPr="00BC6FB4" w:rsidP="00D15D54" w14:paraId="0D617107" w14:textId="5F2B17C3">
      <w:pPr>
        <w:pStyle w:val="Heading2"/>
        <w:numPr>
          <w:ilvl w:val="0"/>
          <w:numId w:val="27"/>
        </w:numPr>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4339" w:rsidP="00BC6FB4" w14:paraId="39F9B04F" w14:textId="3A7BF82C">
      <w:pPr>
        <w:pBdr>
          <w:top w:val="nil"/>
          <w:left w:val="nil"/>
          <w:bottom w:val="nil"/>
          <w:right w:val="nil"/>
          <w:between w:val="nil"/>
        </w:pBdr>
        <w:tabs>
          <w:tab w:val="left" w:pos="360"/>
        </w:tabs>
        <w:spacing w:before="80" w:after="120"/>
        <w:rPr>
          <w:bCs/>
          <w:color w:val="000000"/>
        </w:rPr>
      </w:pPr>
      <w:r>
        <w:rPr>
          <w:bCs/>
          <w:color w:val="000000"/>
        </w:rPr>
        <w:t xml:space="preserve">This information collection does not involve information of a sensitive nature. </w:t>
      </w:r>
    </w:p>
    <w:p w:rsidR="00D34339" w:rsidP="00BC6FB4" w14:paraId="40EC82B5" w14:textId="4C5F219C">
      <w:pPr>
        <w:pBdr>
          <w:top w:val="nil"/>
          <w:left w:val="nil"/>
          <w:bottom w:val="nil"/>
          <w:right w:val="nil"/>
          <w:between w:val="nil"/>
        </w:pBdr>
        <w:tabs>
          <w:tab w:val="left" w:pos="360"/>
        </w:tabs>
        <w:spacing w:before="80" w:after="120"/>
        <w:rPr>
          <w:bCs/>
          <w:color w:val="000000"/>
        </w:rPr>
      </w:pPr>
    </w:p>
    <w:p w:rsidR="00CB1671" w:rsidP="00D86B79" w14:paraId="445FA369" w14:textId="77777777">
      <w:pPr>
        <w:pStyle w:val="Heading1"/>
        <w:sectPr w:rsidSect="00FA06A8">
          <w:footerReference w:type="default" r:id="rId13"/>
          <w:pgSz w:w="12240" w:h="15840" w:code="1"/>
          <w:pgMar w:top="1440" w:right="1440" w:bottom="864" w:left="1440" w:header="0" w:footer="720" w:gutter="0"/>
          <w:cols w:space="720"/>
          <w:docGrid w:linePitch="326"/>
        </w:sectPr>
      </w:pPr>
    </w:p>
    <w:p w:rsidR="00441FDC" w:rsidP="00D15D54" w14:paraId="24CBF049" w14:textId="7D4D4F2D">
      <w:pPr>
        <w:pStyle w:val="Heading2"/>
        <w:numPr>
          <w:ilvl w:val="0"/>
          <w:numId w:val="27"/>
        </w:numPr>
      </w:pPr>
      <w:bookmarkStart w:id="4" w:name="_Ref209431212"/>
      <w:r>
        <w:t>Provide estimates of the hour burden of the collection of information.</w:t>
      </w:r>
      <w:bookmarkEnd w:id="4"/>
    </w:p>
    <w:p w:rsidR="00083319" w:rsidP="00BC6FB4" w14:paraId="290FBABE" w14:textId="3E2193F9">
      <w:pPr>
        <w:widowControl/>
        <w:spacing w:after="120"/>
      </w:pPr>
      <w:r>
        <w:t>Th</w:t>
      </w:r>
      <w:r w:rsidR="00A10F83">
        <w:t>e PCTC Program information collection</w:t>
      </w:r>
      <w:r>
        <w:t xml:space="preserve"> uses hourly wage rates used in other NMFS Alaska Region information collections for similar respondent types. </w:t>
      </w:r>
      <w:r w:rsidRPr="0089749F">
        <w:t xml:space="preserve">The rates are based on rates reported by industry </w:t>
      </w:r>
      <w:r>
        <w:t xml:space="preserve">and </w:t>
      </w:r>
      <w:r w:rsidRPr="0089749F">
        <w:t>U. S. Bureau of Labor</w:t>
      </w:r>
      <w:r>
        <w:t xml:space="preserve"> Statistics (BLS) wage rates</w:t>
      </w:r>
      <w:r w:rsidRPr="0089749F">
        <w:t xml:space="preserve">. </w:t>
      </w:r>
      <w:r>
        <w:t xml:space="preserve">The BLS </w:t>
      </w:r>
      <w:r w:rsidRPr="00D03736">
        <w:t>rate</w:t>
      </w:r>
      <w:r>
        <w:t xml:space="preserve">s used are </w:t>
      </w:r>
      <w:r w:rsidRPr="00D03736">
        <w:t>the most current rate</w:t>
      </w:r>
      <w:r>
        <w:t>s</w:t>
      </w:r>
      <w:r w:rsidRPr="00D03736">
        <w:t xml:space="preserve"> available (</w:t>
      </w:r>
      <w:r w:rsidR="00021556">
        <w:t>May</w:t>
      </w:r>
      <w:r w:rsidRPr="00D03736">
        <w:t xml:space="preserve"> 202</w:t>
      </w:r>
      <w:r>
        <w:t>4</w:t>
      </w:r>
      <w:r w:rsidRPr="00D03736">
        <w:t>).</w:t>
      </w:r>
      <w:r>
        <w:t xml:space="preserve"> </w:t>
      </w:r>
    </w:p>
    <w:p w:rsidR="00083319" w:rsidRPr="002C0E65" w:rsidP="00BC6FB4" w14:paraId="03F1902B" w14:textId="236A3E0A">
      <w:pPr>
        <w:widowControl/>
        <w:spacing w:after="120"/>
      </w:pPr>
      <w:r w:rsidRPr="00D03736">
        <w:t xml:space="preserve">The </w:t>
      </w:r>
      <w:r>
        <w:t>rate</w:t>
      </w:r>
      <w:r w:rsidRPr="00D03736">
        <w:t xml:space="preserve"> $</w:t>
      </w:r>
      <w:r w:rsidR="00021556">
        <w:t>24.82</w:t>
      </w:r>
      <w:r>
        <w:t>, used for LLP license owners and processor representatives,</w:t>
      </w:r>
      <w:r w:rsidRPr="00D03736">
        <w:t xml:space="preserve"> is the BLS mean hourly wage </w:t>
      </w:r>
      <w:r>
        <w:t xml:space="preserve">rate </w:t>
      </w:r>
      <w:r w:rsidRPr="00D03736">
        <w:t>for Alaska for Occupation Code 45-0000 (Farming, Fishing, and Forestry Occupations</w:t>
      </w:r>
      <w:r w:rsidR="005823E6">
        <w:t>).</w:t>
      </w:r>
      <w:bookmarkStart w:id="5" w:name="_Ref203046613"/>
      <w:r>
        <w:rPr>
          <w:rStyle w:val="FootnoteReference"/>
        </w:rPr>
        <w:footnoteReference w:id="18"/>
      </w:r>
      <w:bookmarkEnd w:id="5"/>
      <w:r w:rsidR="003734EF">
        <w:t xml:space="preserve"> </w:t>
      </w:r>
      <w:r>
        <w:t>The rate $62.77, used for the Atka and Adak community representatives, is the BLS mean hourly wage rate for Alaska for Occupation Code 1</w:t>
      </w:r>
      <w:r w:rsidRPr="000A6F44">
        <w:t xml:space="preserve">1-9121 </w:t>
      </w:r>
      <w:r>
        <w:t>(Natural Science Managers</w:t>
      </w:r>
      <w:r w:rsidR="00F44A5E">
        <w:t>).</w:t>
      </w:r>
      <w:r w:rsidR="003734EF">
        <w:t xml:space="preserve"> </w:t>
      </w:r>
      <w:r w:rsidRPr="005823E6">
        <w:t>The rate $75</w:t>
      </w:r>
      <w:r>
        <w:t>, used for PCTC Program cooperative managers, is the rate used in OMB Control Number 0648-0401 for AFA cooperative managers.</w:t>
      </w:r>
      <w:r w:rsidRPr="00E80CEE">
        <w:t xml:space="preserve"> NMFS </w:t>
      </w:r>
      <w:r w:rsidR="00A10F83">
        <w:t>uses</w:t>
      </w:r>
      <w:r w:rsidRPr="00E80CEE">
        <w:t xml:space="preserve"> </w:t>
      </w:r>
      <w:r>
        <w:t>this wage rate estimate</w:t>
      </w:r>
      <w:r w:rsidRPr="00E80CEE">
        <w:t xml:space="preserve"> for </w:t>
      </w:r>
      <w:r w:rsidR="005531D6">
        <w:t>0648</w:t>
      </w:r>
      <w:r>
        <w:t>-0401 and</w:t>
      </w:r>
      <w:r w:rsidR="00A10F83">
        <w:t xml:space="preserve"> </w:t>
      </w:r>
      <w:r>
        <w:t>update</w:t>
      </w:r>
      <w:r w:rsidR="00A10F83">
        <w:t>s</w:t>
      </w:r>
      <w:r w:rsidRPr="00E80CEE">
        <w:t xml:space="preserve"> </w:t>
      </w:r>
      <w:r>
        <w:t>it when public comment support</w:t>
      </w:r>
      <w:r w:rsidR="00A10F83">
        <w:t>s</w:t>
      </w:r>
      <w:r w:rsidRPr="00E80CEE">
        <w:t xml:space="preserve"> doing so.</w:t>
      </w:r>
    </w:p>
    <w:p w:rsidR="00CB1671" w:rsidRPr="00083319" w:rsidP="00BC6FB4" w14:paraId="1B85212F" w14:textId="4470772D">
      <w:pPr>
        <w:widowControl/>
        <w:spacing w:after="120"/>
      </w:pPr>
      <w:r>
        <w:t>In the initial PCTC Program</w:t>
      </w:r>
      <w:r w:rsidR="00A10F83">
        <w:t xml:space="preserve"> collection request</w:t>
      </w:r>
      <w:r>
        <w:t xml:space="preserve">, </w:t>
      </w:r>
      <w:r w:rsidR="00083319">
        <w:t xml:space="preserve">NMFS </w:t>
      </w:r>
      <w:r>
        <w:t xml:space="preserve">anticipated </w:t>
      </w:r>
      <w:r w:rsidR="00083319">
        <w:t>approximately 109 respondents to submit the QS application in the first year of the program.</w:t>
      </w:r>
      <w:r>
        <w:t xml:space="preserve"> </w:t>
      </w:r>
      <w:r w:rsidR="003734EF">
        <w:t>The PCTC</w:t>
      </w:r>
      <w:r w:rsidR="005823E6">
        <w:t xml:space="preserve"> </w:t>
      </w:r>
      <w:r w:rsidR="003734EF">
        <w:t>P</w:t>
      </w:r>
      <w:r w:rsidR="005823E6">
        <w:t xml:space="preserve">rogram </w:t>
      </w:r>
      <w:r w:rsidR="003734EF">
        <w:t xml:space="preserve">currently </w:t>
      </w:r>
      <w:r w:rsidR="005823E6">
        <w:t xml:space="preserve">has </w:t>
      </w:r>
      <w:r w:rsidR="003734EF">
        <w:t>roughly 45 respondents</w:t>
      </w:r>
      <w:r w:rsidR="001357EE">
        <w:t xml:space="preserve"> and </w:t>
      </w:r>
      <w:r w:rsidR="003734EF">
        <w:t>five cooperative</w:t>
      </w:r>
      <w:r w:rsidR="001357EE">
        <w:t>s</w:t>
      </w:r>
      <w:r w:rsidR="003734EF">
        <w:t xml:space="preserve"> participating in the PCTC program</w:t>
      </w:r>
      <w:r w:rsidR="001357EE">
        <w:t xml:space="preserve">. </w:t>
      </w:r>
      <w:r w:rsidR="003734EF">
        <w:t>Two of the four collections are required annually</w:t>
      </w:r>
      <w:r w:rsidR="001357EE">
        <w:t>,</w:t>
      </w:r>
      <w:r w:rsidR="003734EF">
        <w:t xml:space="preserve"> while the other</w:t>
      </w:r>
      <w:r w:rsidR="001357EE">
        <w:t xml:space="preserve"> two collections</w:t>
      </w:r>
      <w:r w:rsidR="003734EF">
        <w:t xml:space="preserve"> are</w:t>
      </w:r>
      <w:r w:rsidR="001357EE">
        <w:t xml:space="preserve"> applications to</w:t>
      </w:r>
      <w:r w:rsidR="003734EF">
        <w:t xml:space="preserve"> transfer CQ or QS</w:t>
      </w:r>
      <w:r w:rsidR="001357EE">
        <w:t xml:space="preserve"> as needed</w:t>
      </w:r>
      <w:r w:rsidR="003734EF">
        <w:t xml:space="preserve"> (see Question #2). </w:t>
      </w:r>
    </w:p>
    <w:tbl>
      <w:tblPr>
        <w:tblStyle w:val="6"/>
        <w:tblW w:w="12881" w:type="dxa"/>
        <w:tblLayout w:type="fixed"/>
        <w:tblLook w:val="0400"/>
      </w:tblPr>
      <w:tblGrid>
        <w:gridCol w:w="2780"/>
        <w:gridCol w:w="1530"/>
        <w:gridCol w:w="1174"/>
        <w:gridCol w:w="1295"/>
        <w:gridCol w:w="1188"/>
        <w:gridCol w:w="1080"/>
        <w:gridCol w:w="1342"/>
        <w:gridCol w:w="1263"/>
        <w:gridCol w:w="1229"/>
      </w:tblGrid>
      <w:tr w14:paraId="2535D38F" w14:textId="77777777" w:rsidTr="001357EE">
        <w:tblPrEx>
          <w:tblW w:w="12881" w:type="dxa"/>
          <w:tblLayout w:type="fixed"/>
          <w:tblLook w:val="0400"/>
        </w:tblPrEx>
        <w:trPr>
          <w:trHeight w:val="853"/>
        </w:trPr>
        <w:tc>
          <w:tcPr>
            <w:tcW w:w="278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83319" w:rsidP="00BC6FB4" w14:paraId="15E4D26C" w14:textId="215D8656">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083319" w:rsidP="00BC6FB4" w14:paraId="06692A3E"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74" w:type="dxa"/>
            <w:tcBorders>
              <w:top w:val="single" w:sz="8" w:space="0" w:color="000000"/>
              <w:left w:val="nil"/>
              <w:bottom w:val="single" w:sz="8" w:space="0" w:color="000000"/>
              <w:right w:val="single" w:sz="8" w:space="0" w:color="000000"/>
            </w:tcBorders>
            <w:shd w:val="clear" w:color="auto" w:fill="BDD7EE"/>
            <w:vAlign w:val="center"/>
          </w:tcPr>
          <w:p w:rsidR="00083319" w:rsidRPr="001357EE" w:rsidP="00BC6FB4" w14:paraId="0B86380F" w14:textId="77777777">
            <w:pPr>
              <w:widowControl/>
              <w:spacing w:after="120"/>
              <w:rPr>
                <w:rFonts w:ascii="Calibri" w:eastAsia="Calibri" w:hAnsi="Calibri" w:cs="Calibri"/>
                <w:b/>
                <w:color w:val="000000"/>
                <w:sz w:val="16"/>
                <w:szCs w:val="16"/>
              </w:rPr>
            </w:pPr>
            <w:r w:rsidRPr="001357EE">
              <w:rPr>
                <w:rFonts w:ascii="Calibri" w:eastAsia="Calibri" w:hAnsi="Calibri" w:cs="Calibri"/>
                <w:b/>
                <w:color w:val="000000"/>
                <w:sz w:val="16"/>
                <w:szCs w:val="16"/>
              </w:rPr>
              <w:t># of Respondents/year</w:t>
            </w:r>
            <w:r w:rsidRPr="001357EE">
              <w:rPr>
                <w:rFonts w:ascii="Calibri" w:eastAsia="Calibri" w:hAnsi="Calibri" w:cs="Calibri"/>
                <w:b/>
                <w:color w:val="000000"/>
                <w:sz w:val="16"/>
                <w:szCs w:val="16"/>
              </w:rPr>
              <w:br/>
              <w:t>(a)</w:t>
            </w:r>
          </w:p>
        </w:tc>
        <w:tc>
          <w:tcPr>
            <w:tcW w:w="1295" w:type="dxa"/>
            <w:tcBorders>
              <w:top w:val="single" w:sz="8" w:space="0" w:color="000000"/>
              <w:left w:val="nil"/>
              <w:bottom w:val="single" w:sz="8" w:space="0" w:color="000000"/>
              <w:right w:val="single" w:sz="8" w:space="0" w:color="000000"/>
            </w:tcBorders>
            <w:shd w:val="clear" w:color="auto" w:fill="BDD7EE"/>
            <w:vAlign w:val="center"/>
          </w:tcPr>
          <w:p w:rsidR="00083319" w:rsidRPr="001357EE" w:rsidP="00BC6FB4" w14:paraId="37215F62" w14:textId="77777777">
            <w:pPr>
              <w:widowControl/>
              <w:spacing w:after="120"/>
              <w:rPr>
                <w:rFonts w:ascii="Calibri" w:eastAsia="Calibri" w:hAnsi="Calibri" w:cs="Calibri"/>
                <w:b/>
                <w:color w:val="000000"/>
                <w:sz w:val="16"/>
                <w:szCs w:val="16"/>
              </w:rPr>
            </w:pPr>
            <w:r w:rsidRPr="001357EE">
              <w:rPr>
                <w:rFonts w:ascii="Calibri" w:eastAsia="Calibri" w:hAnsi="Calibri" w:cs="Calibri"/>
                <w:b/>
                <w:color w:val="000000"/>
                <w:sz w:val="16"/>
                <w:szCs w:val="16"/>
              </w:rPr>
              <w:t>Annual # of Responses / Respondent</w:t>
            </w:r>
            <w:r w:rsidRPr="001357EE">
              <w:rPr>
                <w:rFonts w:ascii="Calibri" w:eastAsia="Calibri" w:hAnsi="Calibri" w:cs="Calibri"/>
                <w:b/>
                <w:color w:val="000000"/>
                <w:sz w:val="16"/>
                <w:szCs w:val="16"/>
              </w:rPr>
              <w:br/>
              <w:t>(b)</w:t>
            </w:r>
          </w:p>
        </w:tc>
        <w:tc>
          <w:tcPr>
            <w:tcW w:w="1188" w:type="dxa"/>
            <w:tcBorders>
              <w:top w:val="single" w:sz="8" w:space="0" w:color="000000"/>
              <w:left w:val="nil"/>
              <w:bottom w:val="single" w:sz="8" w:space="0" w:color="000000"/>
              <w:right w:val="single" w:sz="8" w:space="0" w:color="000000"/>
            </w:tcBorders>
            <w:shd w:val="clear" w:color="auto" w:fill="BDD7EE"/>
            <w:vAlign w:val="center"/>
          </w:tcPr>
          <w:p w:rsidR="00083319" w:rsidP="00BC6FB4" w14:paraId="1654F477"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083319" w:rsidP="00BC6FB4" w14:paraId="5433461B"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342" w:type="dxa"/>
            <w:tcBorders>
              <w:top w:val="single" w:sz="8" w:space="0" w:color="000000"/>
              <w:left w:val="nil"/>
              <w:bottom w:val="single" w:sz="8" w:space="0" w:color="000000"/>
              <w:right w:val="single" w:sz="8" w:space="0" w:color="000000"/>
            </w:tcBorders>
            <w:shd w:val="clear" w:color="auto" w:fill="BDD7EE"/>
            <w:vAlign w:val="center"/>
          </w:tcPr>
          <w:p w:rsidR="00083319" w:rsidP="00BC6FB4" w14:paraId="4E156195" w14:textId="7D4F09EC">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w:t>
            </w:r>
            <w:r w:rsidR="009500F4">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263" w:type="dxa"/>
            <w:tcBorders>
              <w:top w:val="single" w:sz="8" w:space="0" w:color="000000"/>
              <w:left w:val="nil"/>
              <w:bottom w:val="single" w:sz="8" w:space="0" w:color="000000"/>
              <w:right w:val="single" w:sz="8" w:space="0" w:color="000000"/>
            </w:tcBorders>
            <w:shd w:val="clear" w:color="auto" w:fill="BDD7EE"/>
            <w:vAlign w:val="center"/>
          </w:tcPr>
          <w:p w:rsidR="00083319" w:rsidP="00BC6FB4" w14:paraId="254D80ED" w14:textId="1A0D87ED">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sidR="009500F4">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229" w:type="dxa"/>
            <w:tcBorders>
              <w:top w:val="single" w:sz="8" w:space="0" w:color="000000"/>
              <w:left w:val="nil"/>
              <w:bottom w:val="single" w:sz="8" w:space="0" w:color="000000"/>
              <w:right w:val="single" w:sz="8" w:space="0" w:color="000000"/>
            </w:tcBorders>
            <w:shd w:val="clear" w:color="auto" w:fill="BDD7EE"/>
            <w:vAlign w:val="center"/>
          </w:tcPr>
          <w:p w:rsidR="00083319" w:rsidP="00BC6FB4" w14:paraId="2957B7E0"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2614030B" w14:textId="77777777" w:rsidTr="001357EE">
        <w:tblPrEx>
          <w:tblW w:w="12881" w:type="dxa"/>
          <w:tblLayout w:type="fixed"/>
          <w:tblLook w:val="0400"/>
        </w:tblPrEx>
        <w:trPr>
          <w:trHeight w:val="283"/>
        </w:trPr>
        <w:tc>
          <w:tcPr>
            <w:tcW w:w="2780" w:type="dxa"/>
            <w:tcBorders>
              <w:top w:val="nil"/>
              <w:left w:val="single" w:sz="8" w:space="0" w:color="000000"/>
              <w:bottom w:val="single" w:sz="4" w:space="0" w:color="000000"/>
              <w:right w:val="single" w:sz="4" w:space="0" w:color="000000"/>
            </w:tcBorders>
            <w:vAlign w:val="center"/>
          </w:tcPr>
          <w:p w:rsidR="00083319" w:rsidRPr="00207642" w:rsidP="00BC6FB4" w14:paraId="64097D1D" w14:textId="77777777">
            <w:pPr>
              <w:widowControl/>
              <w:spacing w:after="120"/>
              <w:rPr>
                <w:rFonts w:eastAsia="Calibri" w:asciiTheme="minorHAnsi" w:hAnsiTheme="minorHAnsi" w:cstheme="minorHAnsi"/>
                <w:color w:val="000000"/>
                <w:sz w:val="18"/>
                <w:szCs w:val="18"/>
              </w:rPr>
            </w:pPr>
            <w:r w:rsidRPr="00D97F0C">
              <w:rPr>
                <w:rFonts w:eastAsia="Calibri" w:asciiTheme="minorHAnsi" w:hAnsiTheme="minorHAnsi" w:cstheme="minorHAnsi"/>
                <w:color w:val="000000"/>
                <w:sz w:val="18"/>
                <w:szCs w:val="18"/>
              </w:rPr>
              <w:t>Application for Pacific</w:t>
            </w:r>
            <w:r>
              <w:rPr>
                <w:rFonts w:eastAsia="Calibri" w:asciiTheme="minorHAnsi" w:hAnsiTheme="minorHAnsi" w:cstheme="minorHAnsi"/>
                <w:color w:val="000000"/>
                <w:sz w:val="18"/>
                <w:szCs w:val="18"/>
              </w:rPr>
              <w:t xml:space="preserve"> Cod Trawl Cooperative </w:t>
            </w:r>
            <w:r w:rsidRPr="00D97F0C">
              <w:rPr>
                <w:rFonts w:eastAsia="Calibri" w:asciiTheme="minorHAnsi" w:hAnsiTheme="minorHAnsi" w:cstheme="minorHAnsi"/>
                <w:color w:val="000000"/>
                <w:sz w:val="18"/>
                <w:szCs w:val="18"/>
              </w:rPr>
              <w:t>Program Cooperative Quota</w:t>
            </w:r>
          </w:p>
        </w:tc>
        <w:tc>
          <w:tcPr>
            <w:tcW w:w="1530" w:type="dxa"/>
            <w:tcBorders>
              <w:top w:val="nil"/>
              <w:left w:val="nil"/>
              <w:bottom w:val="single" w:sz="4" w:space="0" w:color="000000"/>
              <w:right w:val="single" w:sz="4" w:space="0" w:color="000000"/>
            </w:tcBorders>
            <w:vAlign w:val="center"/>
          </w:tcPr>
          <w:p w:rsidR="00083319" w:rsidRPr="00207642" w:rsidP="00BC6FB4" w14:paraId="5B11A0D8"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Cooperative manager</w:t>
            </w:r>
          </w:p>
        </w:tc>
        <w:tc>
          <w:tcPr>
            <w:tcW w:w="1174" w:type="dxa"/>
            <w:tcBorders>
              <w:top w:val="nil"/>
              <w:left w:val="nil"/>
              <w:bottom w:val="single" w:sz="4" w:space="0" w:color="000000"/>
              <w:right w:val="single" w:sz="4" w:space="0" w:color="000000"/>
            </w:tcBorders>
            <w:vAlign w:val="center"/>
          </w:tcPr>
          <w:p w:rsidR="00083319" w:rsidRPr="00207642" w:rsidP="00BC6FB4" w14:paraId="4E545A1B" w14:textId="53B5CA89">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95" w:type="dxa"/>
            <w:tcBorders>
              <w:top w:val="nil"/>
              <w:left w:val="nil"/>
              <w:bottom w:val="single" w:sz="4" w:space="0" w:color="000000"/>
              <w:right w:val="single" w:sz="4" w:space="0" w:color="000000"/>
            </w:tcBorders>
            <w:vAlign w:val="center"/>
          </w:tcPr>
          <w:p w:rsidR="00083319" w:rsidRPr="00207642" w:rsidP="00BC6FB4" w14:paraId="15119D45"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vAlign w:val="center"/>
          </w:tcPr>
          <w:p w:rsidR="00083319" w:rsidRPr="00207642" w:rsidP="00BC6FB4" w14:paraId="5FCB2347" w14:textId="3E0BA52C">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080" w:type="dxa"/>
            <w:tcBorders>
              <w:top w:val="nil"/>
              <w:left w:val="nil"/>
              <w:bottom w:val="single" w:sz="4" w:space="0" w:color="000000"/>
              <w:right w:val="single" w:sz="4" w:space="0" w:color="000000"/>
            </w:tcBorders>
            <w:vAlign w:val="center"/>
          </w:tcPr>
          <w:p w:rsidR="00083319" w:rsidRPr="001357EE" w:rsidP="00BC6FB4" w14:paraId="0F153203" w14:textId="77777777">
            <w:pPr>
              <w:widowControl/>
              <w:spacing w:after="120"/>
              <w:rPr>
                <w:rFonts w:eastAsia="Calibri" w:asciiTheme="minorHAnsi" w:hAnsiTheme="minorHAnsi" w:cstheme="minorHAnsi"/>
                <w:color w:val="000000"/>
                <w:sz w:val="18"/>
                <w:szCs w:val="18"/>
              </w:rPr>
            </w:pPr>
            <w:r w:rsidRPr="001357EE">
              <w:rPr>
                <w:rFonts w:eastAsia="Calibri" w:asciiTheme="minorHAnsi" w:hAnsiTheme="minorHAnsi" w:cstheme="minorHAnsi"/>
                <w:color w:val="000000"/>
                <w:sz w:val="18"/>
                <w:szCs w:val="18"/>
              </w:rPr>
              <w:t>2 hours</w:t>
            </w:r>
          </w:p>
        </w:tc>
        <w:tc>
          <w:tcPr>
            <w:tcW w:w="1342" w:type="dxa"/>
            <w:tcBorders>
              <w:top w:val="nil"/>
              <w:left w:val="nil"/>
              <w:bottom w:val="single" w:sz="4" w:space="0" w:color="000000"/>
              <w:right w:val="single" w:sz="4" w:space="0" w:color="000000"/>
            </w:tcBorders>
            <w:vAlign w:val="center"/>
          </w:tcPr>
          <w:p w:rsidR="00083319" w:rsidRPr="00207642" w:rsidP="00BC6FB4" w14:paraId="3B2C610D" w14:textId="438DE214">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r w:rsidR="00A10F83">
              <w:rPr>
                <w:rFonts w:eastAsia="Calibri" w:asciiTheme="minorHAnsi" w:hAnsiTheme="minorHAnsi" w:cstheme="minorHAnsi"/>
                <w:color w:val="000000"/>
                <w:sz w:val="18"/>
                <w:szCs w:val="18"/>
              </w:rPr>
              <w:t xml:space="preserve"> hours</w:t>
            </w:r>
          </w:p>
        </w:tc>
        <w:tc>
          <w:tcPr>
            <w:tcW w:w="1263" w:type="dxa"/>
            <w:tcBorders>
              <w:top w:val="nil"/>
              <w:left w:val="nil"/>
              <w:bottom w:val="single" w:sz="4" w:space="0" w:color="000000"/>
              <w:right w:val="single" w:sz="4" w:space="0" w:color="000000"/>
            </w:tcBorders>
            <w:vAlign w:val="center"/>
          </w:tcPr>
          <w:p w:rsidR="00083319" w:rsidRPr="005823E6" w:rsidP="00BC6FB4" w14:paraId="3093FFE6" w14:textId="40D2C31B">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5823E6">
              <w:rPr>
                <w:rFonts w:eastAsia="Calibri" w:asciiTheme="minorHAnsi" w:hAnsiTheme="minorHAnsi" w:cstheme="minorHAnsi"/>
                <w:color w:val="000000"/>
                <w:sz w:val="18"/>
                <w:szCs w:val="18"/>
              </w:rPr>
              <w:t>75</w:t>
            </w:r>
          </w:p>
        </w:tc>
        <w:tc>
          <w:tcPr>
            <w:tcW w:w="1229" w:type="dxa"/>
            <w:tcBorders>
              <w:top w:val="nil"/>
              <w:left w:val="nil"/>
              <w:bottom w:val="single" w:sz="4" w:space="0" w:color="000000"/>
              <w:right w:val="single" w:sz="8" w:space="0" w:color="000000"/>
            </w:tcBorders>
            <w:vAlign w:val="center"/>
          </w:tcPr>
          <w:p w:rsidR="00083319" w:rsidRPr="005823E6" w:rsidP="00BC6FB4" w14:paraId="38CCDBAB" w14:textId="18F0261E">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$750</w:t>
            </w:r>
          </w:p>
        </w:tc>
      </w:tr>
      <w:tr w14:paraId="0DA8C268" w14:textId="77777777" w:rsidTr="001357EE">
        <w:tblPrEx>
          <w:tblW w:w="12881" w:type="dxa"/>
          <w:tblLayout w:type="fixed"/>
          <w:tblLook w:val="0400"/>
        </w:tblPrEx>
        <w:trPr>
          <w:trHeight w:val="283"/>
        </w:trPr>
        <w:tc>
          <w:tcPr>
            <w:tcW w:w="2780" w:type="dxa"/>
            <w:tcBorders>
              <w:top w:val="nil"/>
              <w:left w:val="single" w:sz="8" w:space="0" w:color="000000"/>
              <w:bottom w:val="single" w:sz="4" w:space="0" w:color="000000"/>
              <w:right w:val="single" w:sz="4" w:space="0" w:color="000000"/>
            </w:tcBorders>
            <w:vAlign w:val="center"/>
          </w:tcPr>
          <w:p w:rsidR="00083319" w:rsidRPr="003D57F5" w:rsidP="00BC6FB4" w14:paraId="68C58141" w14:textId="77777777">
            <w:pPr>
              <w:widowControl/>
              <w:spacing w:after="120"/>
              <w:rPr>
                <w:rFonts w:eastAsia="Calibri" w:asciiTheme="minorHAnsi" w:hAnsiTheme="minorHAnsi" w:cstheme="minorHAnsi"/>
                <w:color w:val="000000"/>
                <w:sz w:val="18"/>
                <w:szCs w:val="18"/>
              </w:rPr>
            </w:pPr>
            <w:r w:rsidRPr="003D57F5">
              <w:rPr>
                <w:rFonts w:asciiTheme="minorHAnsi" w:hAnsiTheme="minorHAnsi" w:cstheme="minorHAnsi"/>
                <w:sz w:val="18"/>
                <w:szCs w:val="18"/>
              </w:rPr>
              <w:t>Application for Inter-Cooperative Transfer of Cooperative Quota (CQ)</w:t>
            </w:r>
          </w:p>
        </w:tc>
        <w:tc>
          <w:tcPr>
            <w:tcW w:w="1530" w:type="dxa"/>
            <w:tcBorders>
              <w:top w:val="nil"/>
              <w:left w:val="nil"/>
              <w:bottom w:val="single" w:sz="4" w:space="0" w:color="000000"/>
              <w:right w:val="single" w:sz="4" w:space="0" w:color="000000"/>
            </w:tcBorders>
            <w:vAlign w:val="center"/>
          </w:tcPr>
          <w:p w:rsidR="00083319" w:rsidRPr="003D57F5" w:rsidP="00BC6FB4" w14:paraId="7BFC86A8"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Cooperative manager</w:t>
            </w:r>
          </w:p>
        </w:tc>
        <w:tc>
          <w:tcPr>
            <w:tcW w:w="1174" w:type="dxa"/>
            <w:tcBorders>
              <w:top w:val="nil"/>
              <w:left w:val="nil"/>
              <w:bottom w:val="single" w:sz="4" w:space="0" w:color="000000"/>
              <w:right w:val="single" w:sz="4" w:space="0" w:color="000000"/>
            </w:tcBorders>
            <w:vAlign w:val="center"/>
          </w:tcPr>
          <w:p w:rsidR="00083319" w:rsidRPr="003D57F5" w:rsidP="00BC6FB4" w14:paraId="21C6D863" w14:textId="0F0F7A4A">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w:t>
            </w:r>
          </w:p>
        </w:tc>
        <w:tc>
          <w:tcPr>
            <w:tcW w:w="1295" w:type="dxa"/>
            <w:tcBorders>
              <w:top w:val="nil"/>
              <w:left w:val="nil"/>
              <w:bottom w:val="single" w:sz="4" w:space="0" w:color="000000"/>
              <w:right w:val="single" w:sz="4" w:space="0" w:color="000000"/>
            </w:tcBorders>
            <w:vAlign w:val="center"/>
          </w:tcPr>
          <w:p w:rsidR="00083319" w:rsidRPr="003D57F5" w:rsidP="00BC6FB4" w14:paraId="64682375" w14:textId="2B08F32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188" w:type="dxa"/>
            <w:tcBorders>
              <w:top w:val="nil"/>
              <w:left w:val="nil"/>
              <w:bottom w:val="single" w:sz="4" w:space="0" w:color="000000"/>
              <w:right w:val="single" w:sz="4" w:space="0" w:color="000000"/>
            </w:tcBorders>
            <w:vAlign w:val="center"/>
          </w:tcPr>
          <w:p w:rsidR="00083319" w:rsidRPr="003D57F5" w:rsidP="00BC6FB4" w14:paraId="0A252303" w14:textId="06531080">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10</w:t>
            </w:r>
          </w:p>
        </w:tc>
        <w:tc>
          <w:tcPr>
            <w:tcW w:w="1080" w:type="dxa"/>
            <w:tcBorders>
              <w:top w:val="nil"/>
              <w:left w:val="nil"/>
              <w:bottom w:val="single" w:sz="4" w:space="0" w:color="000000"/>
              <w:right w:val="single" w:sz="4" w:space="0" w:color="000000"/>
            </w:tcBorders>
            <w:vAlign w:val="center"/>
          </w:tcPr>
          <w:p w:rsidR="00083319" w:rsidRPr="001357EE" w:rsidP="00BC6FB4" w14:paraId="4DBCE5F5" w14:textId="77777777">
            <w:pPr>
              <w:widowControl/>
              <w:spacing w:after="120"/>
              <w:rPr>
                <w:rFonts w:eastAsia="Calibri" w:asciiTheme="minorHAnsi" w:hAnsiTheme="minorHAnsi" w:cstheme="minorHAnsi"/>
                <w:color w:val="000000"/>
                <w:sz w:val="18"/>
                <w:szCs w:val="18"/>
              </w:rPr>
            </w:pPr>
            <w:r w:rsidRPr="001357EE">
              <w:rPr>
                <w:rFonts w:eastAsia="Calibri" w:asciiTheme="minorHAnsi" w:hAnsiTheme="minorHAnsi" w:cstheme="minorHAnsi"/>
                <w:color w:val="000000"/>
                <w:sz w:val="18"/>
                <w:szCs w:val="18"/>
              </w:rPr>
              <w:t>10 minutes</w:t>
            </w:r>
          </w:p>
        </w:tc>
        <w:tc>
          <w:tcPr>
            <w:tcW w:w="1342" w:type="dxa"/>
            <w:tcBorders>
              <w:top w:val="nil"/>
              <w:left w:val="nil"/>
              <w:bottom w:val="single" w:sz="4" w:space="0" w:color="000000"/>
              <w:right w:val="single" w:sz="4" w:space="0" w:color="000000"/>
            </w:tcBorders>
            <w:vAlign w:val="center"/>
          </w:tcPr>
          <w:p w:rsidR="00083319" w:rsidRPr="003D57F5" w:rsidP="00BC6FB4" w14:paraId="62CEC6DC" w14:textId="6AC47A89">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r w:rsidR="00A10F83">
              <w:rPr>
                <w:rFonts w:eastAsia="Calibri" w:asciiTheme="minorHAnsi" w:hAnsiTheme="minorHAnsi" w:cstheme="minorHAnsi"/>
                <w:color w:val="000000"/>
                <w:sz w:val="18"/>
                <w:szCs w:val="18"/>
              </w:rPr>
              <w:t xml:space="preserve"> hours</w:t>
            </w:r>
          </w:p>
        </w:tc>
        <w:tc>
          <w:tcPr>
            <w:tcW w:w="1263" w:type="dxa"/>
            <w:tcBorders>
              <w:top w:val="nil"/>
              <w:left w:val="nil"/>
              <w:bottom w:val="single" w:sz="4" w:space="0" w:color="000000"/>
              <w:right w:val="single" w:sz="4" w:space="0" w:color="000000"/>
            </w:tcBorders>
            <w:vAlign w:val="center"/>
          </w:tcPr>
          <w:p w:rsidR="00083319" w:rsidRPr="005823E6" w:rsidP="00BC6FB4" w14:paraId="31AFE47A" w14:textId="7093AEBF">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5823E6">
              <w:rPr>
                <w:rFonts w:eastAsia="Calibri" w:asciiTheme="minorHAnsi" w:hAnsiTheme="minorHAnsi" w:cstheme="minorHAnsi"/>
                <w:color w:val="000000"/>
                <w:sz w:val="18"/>
                <w:szCs w:val="18"/>
              </w:rPr>
              <w:t>75</w:t>
            </w:r>
          </w:p>
        </w:tc>
        <w:tc>
          <w:tcPr>
            <w:tcW w:w="1229" w:type="dxa"/>
            <w:tcBorders>
              <w:top w:val="nil"/>
              <w:left w:val="nil"/>
              <w:bottom w:val="single" w:sz="4" w:space="0" w:color="000000"/>
              <w:right w:val="single" w:sz="8" w:space="0" w:color="000000"/>
            </w:tcBorders>
            <w:vAlign w:val="center"/>
          </w:tcPr>
          <w:p w:rsidR="00083319" w:rsidRPr="005823E6" w:rsidP="00BC6FB4" w14:paraId="43DCEE24" w14:textId="59482019">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457F61">
              <w:rPr>
                <w:rFonts w:eastAsia="Calibri" w:asciiTheme="minorHAnsi" w:hAnsiTheme="minorHAnsi" w:cstheme="minorHAnsi"/>
                <w:color w:val="000000"/>
                <w:sz w:val="18"/>
                <w:szCs w:val="18"/>
              </w:rPr>
              <w:t>150</w:t>
            </w:r>
          </w:p>
        </w:tc>
      </w:tr>
      <w:tr w14:paraId="23C12446" w14:textId="77777777" w:rsidTr="001357EE">
        <w:tblPrEx>
          <w:tblW w:w="12881" w:type="dxa"/>
          <w:tblLayout w:type="fixed"/>
          <w:tblLook w:val="0400"/>
        </w:tblPrEx>
        <w:trPr>
          <w:trHeight w:val="283"/>
        </w:trPr>
        <w:tc>
          <w:tcPr>
            <w:tcW w:w="2780" w:type="dxa"/>
            <w:tcBorders>
              <w:top w:val="nil"/>
              <w:left w:val="single" w:sz="8" w:space="0" w:color="000000"/>
              <w:bottom w:val="single" w:sz="4" w:space="0" w:color="000000"/>
              <w:right w:val="single" w:sz="4" w:space="0" w:color="000000"/>
            </w:tcBorders>
            <w:vAlign w:val="center"/>
          </w:tcPr>
          <w:p w:rsidR="00083319" w:rsidRPr="003D57F5" w:rsidP="00BC6FB4" w14:paraId="1E36D5C4" w14:textId="77777777">
            <w:pPr>
              <w:widowControl/>
              <w:spacing w:after="120"/>
              <w:rPr>
                <w:rFonts w:eastAsia="Calibri" w:asciiTheme="minorHAnsi" w:hAnsiTheme="minorHAnsi" w:cstheme="minorHAnsi"/>
                <w:color w:val="000000"/>
                <w:sz w:val="18"/>
                <w:szCs w:val="18"/>
              </w:rPr>
            </w:pPr>
            <w:r w:rsidRPr="003D57F5">
              <w:rPr>
                <w:rFonts w:asciiTheme="minorHAnsi" w:hAnsiTheme="minorHAnsi" w:cstheme="minorHAnsi"/>
                <w:sz w:val="18"/>
                <w:szCs w:val="18"/>
              </w:rPr>
              <w:t xml:space="preserve">Application for Transfer of </w:t>
            </w:r>
            <w:r w:rsidRPr="00147F03">
              <w:rPr>
                <w:rFonts w:asciiTheme="minorHAnsi" w:hAnsiTheme="minorHAnsi" w:cstheme="minorHAnsi"/>
                <w:sz w:val="18"/>
                <w:szCs w:val="18"/>
              </w:rPr>
              <w:t>Pacific Cod Trawl Cooperative</w:t>
            </w:r>
            <w:r>
              <w:rPr>
                <w:rFonts w:asciiTheme="minorHAnsi" w:hAnsiTheme="minorHAnsi" w:cstheme="minorHAnsi"/>
                <w:sz w:val="18"/>
                <w:szCs w:val="18"/>
              </w:rPr>
              <w:t xml:space="preserve"> Program Quota Share</w:t>
            </w:r>
            <w:r w:rsidRPr="003D57F5">
              <w:rPr>
                <w:rFonts w:asciiTheme="minorHAnsi" w:hAnsiTheme="minorHAnsi" w:cstheme="minorHAnsi"/>
                <w:sz w:val="18"/>
                <w:szCs w:val="18"/>
              </w:rPr>
              <w:t xml:space="preserve"> for Processors</w:t>
            </w:r>
          </w:p>
        </w:tc>
        <w:tc>
          <w:tcPr>
            <w:tcW w:w="1530" w:type="dxa"/>
            <w:tcBorders>
              <w:top w:val="nil"/>
              <w:left w:val="nil"/>
              <w:bottom w:val="single" w:sz="4" w:space="0" w:color="000000"/>
              <w:right w:val="single" w:sz="4" w:space="0" w:color="000000"/>
            </w:tcBorders>
            <w:vAlign w:val="center"/>
          </w:tcPr>
          <w:p w:rsidR="00083319" w:rsidRPr="003D57F5" w:rsidP="00BC6FB4" w14:paraId="38B38CB5" w14:textId="77777777">
            <w:pPr>
              <w:widowControl/>
              <w:spacing w:after="120"/>
              <w:rPr>
                <w:rFonts w:eastAsia="Calibri" w:asciiTheme="minorHAnsi" w:hAnsiTheme="minorHAnsi" w:cstheme="minorHAnsi"/>
                <w:color w:val="000000"/>
                <w:sz w:val="18"/>
                <w:szCs w:val="18"/>
              </w:rPr>
            </w:pPr>
            <w:r w:rsidRPr="002227E7">
              <w:rPr>
                <w:rFonts w:eastAsia="Calibri" w:asciiTheme="minorHAnsi" w:hAnsiTheme="minorHAnsi" w:cstheme="minorHAnsi"/>
                <w:color w:val="000000"/>
                <w:sz w:val="18"/>
                <w:szCs w:val="18"/>
              </w:rPr>
              <w:t>Processing QS holder</w:t>
            </w:r>
          </w:p>
        </w:tc>
        <w:tc>
          <w:tcPr>
            <w:tcW w:w="1174" w:type="dxa"/>
            <w:tcBorders>
              <w:top w:val="nil"/>
              <w:left w:val="nil"/>
              <w:bottom w:val="single" w:sz="4" w:space="0" w:color="000000"/>
              <w:right w:val="single" w:sz="4" w:space="0" w:color="000000"/>
            </w:tcBorders>
            <w:vAlign w:val="center"/>
          </w:tcPr>
          <w:p w:rsidR="00083319" w:rsidRPr="003D57F5" w:rsidP="00BC6FB4" w14:paraId="5B29C0B0"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295" w:type="dxa"/>
            <w:tcBorders>
              <w:top w:val="nil"/>
              <w:left w:val="nil"/>
              <w:bottom w:val="single" w:sz="4" w:space="0" w:color="000000"/>
              <w:right w:val="single" w:sz="4" w:space="0" w:color="000000"/>
            </w:tcBorders>
            <w:vAlign w:val="center"/>
          </w:tcPr>
          <w:p w:rsidR="00083319" w:rsidRPr="003D57F5" w:rsidP="00BC6FB4" w14:paraId="6BD1FDF8"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vAlign w:val="center"/>
          </w:tcPr>
          <w:p w:rsidR="00083319" w:rsidRPr="003D57F5" w:rsidP="00BC6FB4" w14:paraId="720911B8"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080" w:type="dxa"/>
            <w:tcBorders>
              <w:top w:val="nil"/>
              <w:left w:val="nil"/>
              <w:bottom w:val="single" w:sz="4" w:space="0" w:color="000000"/>
              <w:right w:val="single" w:sz="4" w:space="0" w:color="000000"/>
            </w:tcBorders>
            <w:vAlign w:val="center"/>
          </w:tcPr>
          <w:p w:rsidR="00083319" w:rsidRPr="001357EE" w:rsidP="00BC6FB4" w14:paraId="60F9BF25" w14:textId="77777777">
            <w:pPr>
              <w:widowControl/>
              <w:spacing w:after="120"/>
              <w:rPr>
                <w:rFonts w:eastAsia="Calibri" w:asciiTheme="minorHAnsi" w:hAnsiTheme="minorHAnsi" w:cstheme="minorHAnsi"/>
                <w:color w:val="000000"/>
                <w:sz w:val="18"/>
                <w:szCs w:val="18"/>
              </w:rPr>
            </w:pPr>
            <w:r w:rsidRPr="001357EE">
              <w:rPr>
                <w:rFonts w:eastAsia="Calibri" w:asciiTheme="minorHAnsi" w:hAnsiTheme="minorHAnsi" w:cstheme="minorHAnsi"/>
                <w:color w:val="000000"/>
                <w:sz w:val="18"/>
                <w:szCs w:val="18"/>
              </w:rPr>
              <w:t>2 hours</w:t>
            </w:r>
          </w:p>
        </w:tc>
        <w:tc>
          <w:tcPr>
            <w:tcW w:w="1342" w:type="dxa"/>
            <w:tcBorders>
              <w:top w:val="nil"/>
              <w:left w:val="nil"/>
              <w:bottom w:val="single" w:sz="4" w:space="0" w:color="000000"/>
              <w:right w:val="single" w:sz="4" w:space="0" w:color="000000"/>
            </w:tcBorders>
            <w:vAlign w:val="center"/>
          </w:tcPr>
          <w:p w:rsidR="00083319" w:rsidRPr="003D57F5" w:rsidP="00BC6FB4" w14:paraId="6826DFA8" w14:textId="46197244">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r w:rsidR="00A10F83">
              <w:rPr>
                <w:rFonts w:eastAsia="Calibri" w:asciiTheme="minorHAnsi" w:hAnsiTheme="minorHAnsi" w:cstheme="minorHAnsi"/>
                <w:color w:val="000000"/>
                <w:sz w:val="18"/>
                <w:szCs w:val="18"/>
              </w:rPr>
              <w:t xml:space="preserve"> hours</w:t>
            </w:r>
          </w:p>
        </w:tc>
        <w:tc>
          <w:tcPr>
            <w:tcW w:w="1263" w:type="dxa"/>
            <w:tcBorders>
              <w:top w:val="nil"/>
              <w:left w:val="nil"/>
              <w:bottom w:val="single" w:sz="4" w:space="0" w:color="000000"/>
              <w:right w:val="single" w:sz="4" w:space="0" w:color="000000"/>
            </w:tcBorders>
            <w:vAlign w:val="center"/>
          </w:tcPr>
          <w:p w:rsidR="00083319" w:rsidRPr="00F44A5E" w:rsidP="00BC6FB4" w14:paraId="365F1B7B" w14:textId="61ED0EB4">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Pr="00F44A5E" w:rsidR="00F44A5E">
              <w:rPr>
                <w:rFonts w:eastAsia="Calibri" w:asciiTheme="minorHAnsi" w:hAnsiTheme="minorHAnsi" w:cstheme="minorHAnsi"/>
                <w:color w:val="000000"/>
                <w:sz w:val="18"/>
                <w:szCs w:val="18"/>
              </w:rPr>
              <w:t>24.82</w:t>
            </w:r>
          </w:p>
        </w:tc>
        <w:tc>
          <w:tcPr>
            <w:tcW w:w="1229" w:type="dxa"/>
            <w:tcBorders>
              <w:top w:val="nil"/>
              <w:left w:val="nil"/>
              <w:bottom w:val="single" w:sz="4" w:space="0" w:color="000000"/>
              <w:right w:val="single" w:sz="8" w:space="0" w:color="000000"/>
            </w:tcBorders>
            <w:vAlign w:val="center"/>
          </w:tcPr>
          <w:p w:rsidR="00083319" w:rsidRPr="00F44A5E" w:rsidP="00BC6FB4" w14:paraId="79AE034A" w14:textId="138537CB">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$49.64</w:t>
            </w:r>
          </w:p>
        </w:tc>
      </w:tr>
      <w:tr w14:paraId="6D67880E" w14:textId="77777777" w:rsidTr="001357EE">
        <w:tblPrEx>
          <w:tblW w:w="12881" w:type="dxa"/>
          <w:tblLayout w:type="fixed"/>
          <w:tblLook w:val="0400"/>
        </w:tblPrEx>
        <w:trPr>
          <w:trHeight w:val="283"/>
        </w:trPr>
        <w:tc>
          <w:tcPr>
            <w:tcW w:w="2780" w:type="dxa"/>
            <w:tcBorders>
              <w:top w:val="nil"/>
              <w:left w:val="single" w:sz="8" w:space="0" w:color="000000"/>
              <w:bottom w:val="single" w:sz="4" w:space="0" w:color="000000"/>
              <w:right w:val="single" w:sz="4" w:space="0" w:color="000000"/>
            </w:tcBorders>
            <w:vAlign w:val="center"/>
          </w:tcPr>
          <w:p w:rsidR="00083319" w:rsidRPr="003D57F5" w:rsidP="00BC6FB4" w14:paraId="4399449B" w14:textId="72431A30">
            <w:pPr>
              <w:widowControl/>
              <w:spacing w:after="120"/>
              <w:rPr>
                <w:rFonts w:eastAsia="Calibri" w:asciiTheme="minorHAnsi" w:hAnsiTheme="minorHAnsi" w:cstheme="minorHAnsi"/>
                <w:color w:val="000000"/>
                <w:sz w:val="18"/>
                <w:szCs w:val="18"/>
              </w:rPr>
            </w:pPr>
            <w:r w:rsidRPr="003D57F5">
              <w:rPr>
                <w:rFonts w:asciiTheme="minorHAnsi" w:hAnsiTheme="minorHAnsi" w:cstheme="minorHAnsi"/>
                <w:sz w:val="18"/>
                <w:szCs w:val="18"/>
              </w:rPr>
              <w:t xml:space="preserve">Notification of </w:t>
            </w:r>
            <w:r w:rsidR="00637005">
              <w:rPr>
                <w:rFonts w:asciiTheme="minorHAnsi" w:hAnsiTheme="minorHAnsi" w:cstheme="minorHAnsi"/>
                <w:sz w:val="18"/>
                <w:szCs w:val="18"/>
              </w:rPr>
              <w:t>I</w:t>
            </w:r>
            <w:r w:rsidRPr="003D57F5">
              <w:rPr>
                <w:rFonts w:asciiTheme="minorHAnsi" w:hAnsiTheme="minorHAnsi" w:cstheme="minorHAnsi"/>
                <w:sz w:val="18"/>
                <w:szCs w:val="18"/>
              </w:rPr>
              <w:t xml:space="preserve">ntent to process </w:t>
            </w:r>
            <w:r>
              <w:rPr>
                <w:rFonts w:asciiTheme="minorHAnsi" w:hAnsiTheme="minorHAnsi" w:cstheme="minorHAnsi"/>
                <w:sz w:val="18"/>
                <w:szCs w:val="18"/>
              </w:rPr>
              <w:t>PCTC Program</w:t>
            </w:r>
            <w:r w:rsidRPr="003D57F5">
              <w:rPr>
                <w:rFonts w:asciiTheme="minorHAnsi" w:hAnsiTheme="minorHAnsi" w:cstheme="minorHAnsi"/>
                <w:sz w:val="18"/>
                <w:szCs w:val="18"/>
              </w:rPr>
              <w:t xml:space="preserve"> Pacific cod</w:t>
            </w:r>
          </w:p>
        </w:tc>
        <w:tc>
          <w:tcPr>
            <w:tcW w:w="1530" w:type="dxa"/>
            <w:tcBorders>
              <w:top w:val="nil"/>
              <w:left w:val="nil"/>
              <w:bottom w:val="single" w:sz="4" w:space="0" w:color="000000"/>
              <w:right w:val="single" w:sz="4" w:space="0" w:color="000000"/>
            </w:tcBorders>
            <w:vAlign w:val="center"/>
          </w:tcPr>
          <w:p w:rsidR="00083319" w:rsidRPr="003D57F5" w:rsidP="00BC6FB4" w14:paraId="69E9CA78" w14:textId="77777777">
            <w:pPr>
              <w:widowControl/>
              <w:spacing w:after="120"/>
              <w:rPr>
                <w:rFonts w:eastAsia="Calibri" w:asciiTheme="minorHAnsi" w:hAnsiTheme="minorHAnsi" w:cstheme="minorHAnsi"/>
                <w:color w:val="000000"/>
                <w:sz w:val="18"/>
                <w:szCs w:val="18"/>
              </w:rPr>
            </w:pPr>
            <w:r w:rsidRPr="002227E7">
              <w:rPr>
                <w:rFonts w:eastAsia="Calibri" w:asciiTheme="minorHAnsi" w:hAnsiTheme="minorHAnsi" w:cstheme="minorHAnsi"/>
                <w:color w:val="000000"/>
                <w:sz w:val="18"/>
                <w:szCs w:val="18"/>
              </w:rPr>
              <w:t>Community representative</w:t>
            </w:r>
          </w:p>
        </w:tc>
        <w:tc>
          <w:tcPr>
            <w:tcW w:w="1174" w:type="dxa"/>
            <w:tcBorders>
              <w:top w:val="nil"/>
              <w:left w:val="nil"/>
              <w:bottom w:val="single" w:sz="4" w:space="0" w:color="000000"/>
              <w:right w:val="single" w:sz="4" w:space="0" w:color="000000"/>
            </w:tcBorders>
            <w:vAlign w:val="center"/>
          </w:tcPr>
          <w:p w:rsidR="00083319" w:rsidRPr="003D57F5" w:rsidP="00BC6FB4" w14:paraId="49094778"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295" w:type="dxa"/>
            <w:tcBorders>
              <w:top w:val="nil"/>
              <w:left w:val="nil"/>
              <w:bottom w:val="single" w:sz="4" w:space="0" w:color="000000"/>
              <w:right w:val="single" w:sz="4" w:space="0" w:color="000000"/>
            </w:tcBorders>
            <w:vAlign w:val="center"/>
          </w:tcPr>
          <w:p w:rsidR="00083319" w:rsidRPr="003D57F5" w:rsidP="00BC6FB4" w14:paraId="04079353"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p>
        </w:tc>
        <w:tc>
          <w:tcPr>
            <w:tcW w:w="1188" w:type="dxa"/>
            <w:tcBorders>
              <w:top w:val="nil"/>
              <w:left w:val="nil"/>
              <w:bottom w:val="single" w:sz="4" w:space="0" w:color="000000"/>
              <w:right w:val="single" w:sz="4" w:space="0" w:color="000000"/>
            </w:tcBorders>
            <w:vAlign w:val="center"/>
          </w:tcPr>
          <w:p w:rsidR="00083319" w:rsidRPr="003D57F5" w:rsidP="00BC6FB4" w14:paraId="31AB8AA1"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w:t>
            </w:r>
          </w:p>
        </w:tc>
        <w:tc>
          <w:tcPr>
            <w:tcW w:w="1080" w:type="dxa"/>
            <w:tcBorders>
              <w:top w:val="nil"/>
              <w:left w:val="nil"/>
              <w:bottom w:val="single" w:sz="4" w:space="0" w:color="000000"/>
              <w:right w:val="single" w:sz="4" w:space="0" w:color="000000"/>
            </w:tcBorders>
            <w:vAlign w:val="center"/>
          </w:tcPr>
          <w:p w:rsidR="00083319" w:rsidRPr="003D57F5" w:rsidP="00BC6FB4" w14:paraId="1CF2142A" w14:textId="77777777">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30 minutes</w:t>
            </w:r>
          </w:p>
        </w:tc>
        <w:tc>
          <w:tcPr>
            <w:tcW w:w="1342" w:type="dxa"/>
            <w:tcBorders>
              <w:top w:val="nil"/>
              <w:left w:val="nil"/>
              <w:bottom w:val="single" w:sz="4" w:space="0" w:color="000000"/>
              <w:right w:val="single" w:sz="4" w:space="0" w:color="000000"/>
            </w:tcBorders>
            <w:vAlign w:val="center"/>
          </w:tcPr>
          <w:p w:rsidR="00083319" w:rsidRPr="003D57F5" w:rsidP="00BC6FB4" w14:paraId="0DFC424A" w14:textId="36EAC760">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1</w:t>
            </w:r>
            <w:r w:rsidR="00A10F83">
              <w:rPr>
                <w:rFonts w:eastAsia="Calibri" w:asciiTheme="minorHAnsi" w:hAnsiTheme="minorHAnsi" w:cstheme="minorHAnsi"/>
                <w:color w:val="000000"/>
                <w:sz w:val="18"/>
                <w:szCs w:val="18"/>
              </w:rPr>
              <w:t xml:space="preserve"> hour</w:t>
            </w:r>
          </w:p>
        </w:tc>
        <w:tc>
          <w:tcPr>
            <w:tcW w:w="1263" w:type="dxa"/>
            <w:tcBorders>
              <w:top w:val="nil"/>
              <w:left w:val="nil"/>
              <w:bottom w:val="single" w:sz="4" w:space="0" w:color="000000"/>
              <w:right w:val="single" w:sz="4" w:space="0" w:color="000000"/>
            </w:tcBorders>
            <w:vAlign w:val="center"/>
          </w:tcPr>
          <w:p w:rsidR="00083319" w:rsidRPr="00F44A5E" w:rsidP="00BC6FB4" w14:paraId="2187B8BF" w14:textId="6CA3C5ED">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sidR="00F44A5E">
              <w:rPr>
                <w:rFonts w:eastAsia="Calibri" w:asciiTheme="minorHAnsi" w:hAnsiTheme="minorHAnsi" w:cstheme="minorHAnsi"/>
                <w:color w:val="000000"/>
                <w:sz w:val="18"/>
                <w:szCs w:val="18"/>
              </w:rPr>
              <w:t>62.77</w:t>
            </w:r>
          </w:p>
        </w:tc>
        <w:tc>
          <w:tcPr>
            <w:tcW w:w="1229" w:type="dxa"/>
            <w:tcBorders>
              <w:top w:val="nil"/>
              <w:left w:val="nil"/>
              <w:bottom w:val="single" w:sz="4" w:space="0" w:color="000000"/>
              <w:right w:val="single" w:sz="8" w:space="0" w:color="000000"/>
            </w:tcBorders>
            <w:vAlign w:val="center"/>
          </w:tcPr>
          <w:p w:rsidR="00083319" w:rsidRPr="00F44A5E" w:rsidP="00BC6FB4" w14:paraId="6EC74323" w14:textId="06E225B3">
            <w:pPr>
              <w:widowControl/>
              <w:spacing w:after="120"/>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$62.77</w:t>
            </w:r>
          </w:p>
        </w:tc>
      </w:tr>
      <w:tr w14:paraId="18CD386C" w14:textId="77777777" w:rsidTr="001357EE">
        <w:tblPrEx>
          <w:tblW w:w="12881" w:type="dxa"/>
          <w:tblLayout w:type="fixed"/>
          <w:tblLook w:val="0400"/>
        </w:tblPrEx>
        <w:trPr>
          <w:trHeight w:val="341"/>
        </w:trPr>
        <w:tc>
          <w:tcPr>
            <w:tcW w:w="2780" w:type="dxa"/>
            <w:tcBorders>
              <w:top w:val="nil"/>
              <w:left w:val="single" w:sz="8" w:space="0" w:color="000000"/>
              <w:bottom w:val="single" w:sz="8" w:space="0" w:color="000000"/>
              <w:right w:val="single" w:sz="8" w:space="0" w:color="000000"/>
            </w:tcBorders>
            <w:shd w:val="clear" w:color="auto" w:fill="DDEBF7"/>
            <w:vAlign w:val="center"/>
          </w:tcPr>
          <w:p w:rsidR="00083319" w:rsidRPr="00A10F83" w:rsidP="00BC6FB4" w14:paraId="4A8A21DC" w14:textId="77777777">
            <w:pPr>
              <w:widowControl/>
              <w:spacing w:after="120"/>
              <w:rPr>
                <w:rFonts w:ascii="Calibri" w:eastAsia="Calibri" w:hAnsi="Calibri" w:cs="Calibri"/>
                <w:b/>
                <w:color w:val="000000"/>
                <w:sz w:val="20"/>
                <w:szCs w:val="20"/>
              </w:rPr>
            </w:pPr>
            <w:r w:rsidRPr="00A10F83">
              <w:rPr>
                <w:rFonts w:ascii="Calibri" w:eastAsia="Calibri" w:hAnsi="Calibri" w:cs="Calibri"/>
                <w:b/>
                <w:color w:val="000000"/>
                <w:sz w:val="20"/>
                <w:szCs w:val="20"/>
              </w:rPr>
              <w:t>Totals</w:t>
            </w:r>
          </w:p>
        </w:tc>
        <w:tc>
          <w:tcPr>
            <w:tcW w:w="1530" w:type="dxa"/>
            <w:tcBorders>
              <w:top w:val="nil"/>
              <w:left w:val="nil"/>
              <w:bottom w:val="single" w:sz="8" w:space="0" w:color="000000"/>
              <w:right w:val="single" w:sz="8" w:space="0" w:color="000000"/>
            </w:tcBorders>
            <w:shd w:val="clear" w:color="auto" w:fill="000000"/>
            <w:vAlign w:val="center"/>
          </w:tcPr>
          <w:p w:rsidR="00083319" w:rsidRPr="00A10F83" w:rsidP="00BC6FB4" w14:paraId="3041C266" w14:textId="77777777">
            <w:pPr>
              <w:widowControl/>
              <w:spacing w:after="120"/>
              <w:rPr>
                <w:rFonts w:ascii="Calibri" w:eastAsia="Calibri" w:hAnsi="Calibri" w:cs="Calibri"/>
                <w:b/>
                <w:color w:val="000000"/>
                <w:sz w:val="20"/>
                <w:szCs w:val="20"/>
              </w:rPr>
            </w:pPr>
            <w:r w:rsidRPr="00A10F83">
              <w:rPr>
                <w:rFonts w:ascii="Calibri" w:eastAsia="Calibri" w:hAnsi="Calibri" w:cs="Calibri"/>
                <w:b/>
                <w:color w:val="000000"/>
                <w:sz w:val="20"/>
                <w:szCs w:val="20"/>
              </w:rPr>
              <w:t> </w:t>
            </w:r>
          </w:p>
        </w:tc>
        <w:tc>
          <w:tcPr>
            <w:tcW w:w="1174" w:type="dxa"/>
            <w:tcBorders>
              <w:top w:val="nil"/>
              <w:left w:val="nil"/>
              <w:bottom w:val="single" w:sz="8" w:space="0" w:color="000000"/>
              <w:right w:val="single" w:sz="8" w:space="0" w:color="000000"/>
            </w:tcBorders>
            <w:shd w:val="clear" w:color="auto" w:fill="000000"/>
            <w:vAlign w:val="center"/>
          </w:tcPr>
          <w:p w:rsidR="00083319" w:rsidRPr="00A10F83" w:rsidP="00BC6FB4" w14:paraId="65CB95D9" w14:textId="77777777">
            <w:pPr>
              <w:widowControl/>
              <w:spacing w:after="120"/>
              <w:rPr>
                <w:rFonts w:ascii="Calibri" w:eastAsia="Calibri" w:hAnsi="Calibri" w:cs="Calibri"/>
                <w:b/>
                <w:color w:val="000000"/>
                <w:sz w:val="20"/>
                <w:szCs w:val="20"/>
              </w:rPr>
            </w:pPr>
          </w:p>
        </w:tc>
        <w:tc>
          <w:tcPr>
            <w:tcW w:w="1295" w:type="dxa"/>
            <w:tcBorders>
              <w:top w:val="nil"/>
              <w:left w:val="nil"/>
              <w:bottom w:val="single" w:sz="8" w:space="0" w:color="000000"/>
              <w:right w:val="single" w:sz="8" w:space="0" w:color="000000"/>
            </w:tcBorders>
            <w:shd w:val="clear" w:color="auto" w:fill="000000"/>
            <w:vAlign w:val="center"/>
          </w:tcPr>
          <w:p w:rsidR="00083319" w:rsidRPr="00A10F83" w:rsidP="00BC6FB4" w14:paraId="4E409B05" w14:textId="77777777">
            <w:pPr>
              <w:widowControl/>
              <w:spacing w:after="120"/>
              <w:rPr>
                <w:rFonts w:ascii="Calibri" w:eastAsia="Calibri" w:hAnsi="Calibri" w:cs="Calibri"/>
                <w:b/>
                <w:color w:val="000000"/>
                <w:sz w:val="20"/>
                <w:szCs w:val="20"/>
              </w:rPr>
            </w:pPr>
          </w:p>
        </w:tc>
        <w:tc>
          <w:tcPr>
            <w:tcW w:w="1188" w:type="dxa"/>
            <w:tcBorders>
              <w:top w:val="nil"/>
              <w:left w:val="nil"/>
              <w:bottom w:val="single" w:sz="8" w:space="0" w:color="000000"/>
              <w:right w:val="single" w:sz="8" w:space="0" w:color="000000"/>
            </w:tcBorders>
            <w:shd w:val="clear" w:color="auto" w:fill="DDEBF7"/>
            <w:vAlign w:val="center"/>
          </w:tcPr>
          <w:p w:rsidR="00083319" w:rsidRPr="00A10F83" w:rsidP="00BC6FB4" w14:paraId="1F87EBF4" w14:textId="457FEF39">
            <w:pPr>
              <w:widowControl/>
              <w:spacing w:after="120"/>
              <w:rPr>
                <w:rFonts w:ascii="Calibri" w:eastAsia="Calibri" w:hAnsi="Calibri" w:cs="Calibri"/>
                <w:b/>
                <w:color w:val="000000"/>
                <w:sz w:val="20"/>
                <w:szCs w:val="20"/>
              </w:rPr>
            </w:pPr>
            <w:r>
              <w:rPr>
                <w:rFonts w:ascii="Calibri" w:eastAsia="Calibri" w:hAnsi="Calibri" w:cs="Calibri"/>
                <w:b/>
                <w:color w:val="000000"/>
                <w:sz w:val="20"/>
                <w:szCs w:val="20"/>
              </w:rPr>
              <w:t>18</w:t>
            </w:r>
          </w:p>
        </w:tc>
        <w:tc>
          <w:tcPr>
            <w:tcW w:w="1080" w:type="dxa"/>
            <w:tcBorders>
              <w:top w:val="nil"/>
              <w:left w:val="nil"/>
              <w:bottom w:val="single" w:sz="8" w:space="0" w:color="000000"/>
              <w:right w:val="single" w:sz="8" w:space="0" w:color="000000"/>
            </w:tcBorders>
            <w:shd w:val="clear" w:color="auto" w:fill="000000"/>
            <w:vAlign w:val="center"/>
          </w:tcPr>
          <w:p w:rsidR="00083319" w:rsidRPr="00A10F83" w:rsidP="00BC6FB4" w14:paraId="3C73C103" w14:textId="77777777">
            <w:pPr>
              <w:widowControl/>
              <w:spacing w:after="120"/>
              <w:rPr>
                <w:rFonts w:ascii="Calibri" w:eastAsia="Calibri" w:hAnsi="Calibri" w:cs="Calibri"/>
                <w:b/>
                <w:color w:val="000000"/>
                <w:sz w:val="20"/>
                <w:szCs w:val="20"/>
              </w:rPr>
            </w:pPr>
          </w:p>
        </w:tc>
        <w:tc>
          <w:tcPr>
            <w:tcW w:w="1342" w:type="dxa"/>
            <w:tcBorders>
              <w:top w:val="nil"/>
              <w:left w:val="nil"/>
              <w:bottom w:val="single" w:sz="8" w:space="0" w:color="000000"/>
              <w:right w:val="single" w:sz="8" w:space="0" w:color="000000"/>
            </w:tcBorders>
            <w:shd w:val="clear" w:color="auto" w:fill="DDEBF7"/>
            <w:vAlign w:val="center"/>
          </w:tcPr>
          <w:p w:rsidR="00083319" w:rsidRPr="00A10F83" w:rsidP="00BC6FB4" w14:paraId="3FC073F8" w14:textId="20B43FD1">
            <w:pPr>
              <w:widowControl/>
              <w:spacing w:after="120"/>
              <w:rPr>
                <w:rFonts w:ascii="Calibri" w:eastAsia="Calibri" w:hAnsi="Calibri" w:cs="Calibri"/>
                <w:b/>
                <w:color w:val="000000"/>
                <w:sz w:val="20"/>
                <w:szCs w:val="20"/>
              </w:rPr>
            </w:pPr>
            <w:r>
              <w:rPr>
                <w:rFonts w:ascii="Calibri" w:eastAsia="Calibri" w:hAnsi="Calibri" w:cs="Calibri"/>
                <w:b/>
                <w:color w:val="000000"/>
                <w:sz w:val="20"/>
                <w:szCs w:val="20"/>
              </w:rPr>
              <w:t>1</w:t>
            </w:r>
            <w:r w:rsidR="0030741E">
              <w:rPr>
                <w:rFonts w:ascii="Calibri" w:eastAsia="Calibri" w:hAnsi="Calibri" w:cs="Calibri"/>
                <w:b/>
                <w:color w:val="000000"/>
                <w:sz w:val="20"/>
                <w:szCs w:val="20"/>
              </w:rPr>
              <w:t>5</w:t>
            </w:r>
            <w:r w:rsidRPr="00A10F83" w:rsidR="00A10F83">
              <w:rPr>
                <w:rFonts w:ascii="Calibri" w:eastAsia="Calibri" w:hAnsi="Calibri" w:cs="Calibri"/>
                <w:b/>
                <w:color w:val="000000"/>
                <w:sz w:val="20"/>
                <w:szCs w:val="20"/>
              </w:rPr>
              <w:t xml:space="preserve"> hours</w:t>
            </w:r>
          </w:p>
        </w:tc>
        <w:tc>
          <w:tcPr>
            <w:tcW w:w="1263" w:type="dxa"/>
            <w:tcBorders>
              <w:top w:val="nil"/>
              <w:left w:val="nil"/>
              <w:bottom w:val="single" w:sz="8" w:space="0" w:color="000000"/>
              <w:right w:val="single" w:sz="8" w:space="0" w:color="000000"/>
            </w:tcBorders>
            <w:shd w:val="clear" w:color="auto" w:fill="000000"/>
            <w:vAlign w:val="center"/>
          </w:tcPr>
          <w:p w:rsidR="00083319" w:rsidRPr="00A10F83" w:rsidP="00BC6FB4" w14:paraId="552DCFCD" w14:textId="77777777">
            <w:pPr>
              <w:widowControl/>
              <w:spacing w:after="120"/>
              <w:rPr>
                <w:rFonts w:ascii="Calibri" w:eastAsia="Calibri" w:hAnsi="Calibri" w:cs="Calibri"/>
                <w:b/>
                <w:color w:val="000000"/>
                <w:sz w:val="20"/>
                <w:szCs w:val="20"/>
              </w:rPr>
            </w:pPr>
          </w:p>
        </w:tc>
        <w:tc>
          <w:tcPr>
            <w:tcW w:w="1229" w:type="dxa"/>
            <w:tcBorders>
              <w:top w:val="nil"/>
              <w:left w:val="nil"/>
              <w:bottom w:val="single" w:sz="8" w:space="0" w:color="000000"/>
              <w:right w:val="single" w:sz="8" w:space="0" w:color="000000"/>
            </w:tcBorders>
            <w:shd w:val="clear" w:color="auto" w:fill="DDEBF7"/>
            <w:vAlign w:val="center"/>
          </w:tcPr>
          <w:p w:rsidR="00083319" w:rsidRPr="00A10F83" w:rsidP="00BC6FB4" w14:paraId="5989DC17" w14:textId="332BD569">
            <w:pPr>
              <w:widowControl/>
              <w:spacing w:after="120"/>
              <w:rPr>
                <w:rFonts w:ascii="Calibri" w:eastAsia="Calibri" w:hAnsi="Calibri" w:cs="Calibri"/>
                <w:b/>
                <w:color w:val="000000"/>
                <w:sz w:val="20"/>
                <w:szCs w:val="20"/>
              </w:rPr>
            </w:pPr>
            <w:r>
              <w:rPr>
                <w:rFonts w:ascii="Calibri" w:eastAsia="Calibri" w:hAnsi="Calibri" w:cs="Calibri"/>
                <w:b/>
                <w:color w:val="000000"/>
                <w:sz w:val="20"/>
                <w:szCs w:val="20"/>
              </w:rPr>
              <w:t>$1,0</w:t>
            </w:r>
            <w:r w:rsidR="00457F61">
              <w:rPr>
                <w:rFonts w:ascii="Calibri" w:eastAsia="Calibri" w:hAnsi="Calibri" w:cs="Calibri"/>
                <w:b/>
                <w:color w:val="000000"/>
                <w:sz w:val="20"/>
                <w:szCs w:val="20"/>
              </w:rPr>
              <w:t>12</w:t>
            </w:r>
            <w:r w:rsidR="00F03296">
              <w:rPr>
                <w:rFonts w:ascii="Calibri" w:eastAsia="Calibri" w:hAnsi="Calibri" w:cs="Calibri"/>
                <w:b/>
                <w:color w:val="000000"/>
                <w:sz w:val="20"/>
                <w:szCs w:val="20"/>
              </w:rPr>
              <w:t>.41</w:t>
            </w:r>
          </w:p>
        </w:tc>
      </w:tr>
    </w:tbl>
    <w:p w:rsidR="00083319" w:rsidP="00BC6FB4" w14:paraId="7249377F" w14:textId="77777777">
      <w:pPr>
        <w:spacing w:before="199" w:after="120"/>
        <w:rPr>
          <w:color w:val="2F5496"/>
        </w:rPr>
        <w:sectPr w:rsidSect="00FA06A8">
          <w:pgSz w:w="15840" w:h="12240" w:code="1"/>
          <w:pgMar w:top="1440" w:right="1440" w:bottom="1440" w:left="1440" w:header="0" w:footer="720" w:gutter="0"/>
          <w:cols w:space="720"/>
          <w:docGrid w:linePitch="326"/>
        </w:sectPr>
      </w:pPr>
    </w:p>
    <w:p w:rsidR="00CB1671" w:rsidRPr="00B2552B" w:rsidP="00D15D54" w14:paraId="73CF1EB5" w14:textId="72CC0D07">
      <w:pPr>
        <w:pStyle w:val="Heading2"/>
        <w:numPr>
          <w:ilvl w:val="0"/>
          <w:numId w:val="27"/>
        </w:numPr>
      </w:pPr>
      <w:bookmarkStart w:id="6" w:name="_Ref209431224"/>
      <w:r w:rsidRPr="00B2552B">
        <w:t>Provide an estimate for the total annual cost burden to respondents or record keepers resulting from the collection of information. (Do not include the cost of any hour burden already reflected on the burden worksheet).</w:t>
      </w:r>
      <w:bookmarkEnd w:id="6"/>
    </w:p>
    <w:p w:rsidR="00CB1671" w:rsidP="00BC6FB4" w14:paraId="024ED763" w14:textId="7CAB3A99">
      <w:pPr>
        <w:pBdr>
          <w:top w:val="nil"/>
          <w:left w:val="nil"/>
          <w:bottom w:val="nil"/>
          <w:right w:val="nil"/>
          <w:between w:val="nil"/>
        </w:pBdr>
        <w:spacing w:after="120"/>
        <w:rPr>
          <w:color w:val="000000"/>
        </w:rPr>
      </w:pPr>
      <w:r w:rsidRPr="008A480A">
        <w:rPr>
          <w:color w:val="000000"/>
        </w:rPr>
        <w:t>Operating costs account for the typical inclusive general office services packages that include expenses for email, fax, copying, mailing, printing, and internet.</w:t>
      </w:r>
    </w:p>
    <w:p w:rsidR="00527386" w:rsidRPr="008A480A" w:rsidP="00BC6FB4" w14:paraId="2F335910" w14:textId="77777777">
      <w:pPr>
        <w:pBdr>
          <w:top w:val="nil"/>
          <w:left w:val="nil"/>
          <w:bottom w:val="nil"/>
          <w:right w:val="nil"/>
          <w:between w:val="nil"/>
        </w:pBdr>
        <w:spacing w:after="120"/>
        <w:rPr>
          <w:color w:val="000000"/>
        </w:rPr>
      </w:pPr>
    </w:p>
    <w:tbl>
      <w:tblPr>
        <w:tblStyle w:val="5"/>
        <w:tblW w:w="10440" w:type="dxa"/>
        <w:tblInd w:w="-640" w:type="dxa"/>
        <w:tblLayout w:type="fixed"/>
        <w:tblLook w:val="0400"/>
      </w:tblPr>
      <w:tblGrid>
        <w:gridCol w:w="3240"/>
        <w:gridCol w:w="1350"/>
        <w:gridCol w:w="1440"/>
        <w:gridCol w:w="1440"/>
        <w:gridCol w:w="1530"/>
        <w:gridCol w:w="1440"/>
      </w:tblGrid>
      <w:tr w14:paraId="37D4717E" w14:textId="77777777" w:rsidTr="00444967">
        <w:tblPrEx>
          <w:tblW w:w="10440" w:type="dxa"/>
          <w:tblInd w:w="-640" w:type="dxa"/>
          <w:tblLayout w:type="fixed"/>
          <w:tblLook w:val="0400"/>
        </w:tblPrEx>
        <w:trPr>
          <w:trHeight w:val="880"/>
        </w:trPr>
        <w:tc>
          <w:tcPr>
            <w:tcW w:w="324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CB1671" w:rsidRPr="00D83EBA" w:rsidP="00BC6FB4" w14:paraId="25A9B5AD" w14:textId="77777777">
            <w:pPr>
              <w:widowControl/>
              <w:spacing w:after="120"/>
              <w:rPr>
                <w:rFonts w:ascii="Calibri" w:eastAsia="Calibri" w:hAnsi="Calibri" w:cs="Calibri"/>
                <w:b/>
                <w:color w:val="000000"/>
                <w:sz w:val="18"/>
                <w:szCs w:val="18"/>
              </w:rPr>
            </w:pPr>
            <w:r w:rsidRPr="00D83EBA">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CB1671" w:rsidRPr="00A10F83" w:rsidP="00444967" w14:paraId="7AAB76FA" w14:textId="6821A689">
            <w:pPr>
              <w:widowControl/>
              <w:spacing w:after="120"/>
              <w:jc w:val="center"/>
              <w:rPr>
                <w:rFonts w:ascii="Calibri" w:eastAsia="Calibri" w:hAnsi="Calibri" w:cs="Calibri"/>
                <w:b/>
                <w:color w:val="000000"/>
                <w:sz w:val="18"/>
                <w:szCs w:val="18"/>
              </w:rPr>
            </w:pPr>
            <w:r w:rsidRPr="00A10F83">
              <w:rPr>
                <w:rFonts w:ascii="Calibri" w:eastAsia="Calibri" w:hAnsi="Calibri" w:cs="Calibri"/>
                <w:b/>
                <w:color w:val="000000"/>
                <w:sz w:val="18"/>
                <w:szCs w:val="18"/>
              </w:rPr>
              <w:t xml:space="preserve"># of </w:t>
            </w:r>
            <w:r w:rsidRPr="00A10F83" w:rsidR="00A10F83">
              <w:rPr>
                <w:rFonts w:ascii="Calibri" w:eastAsia="Calibri" w:hAnsi="Calibri" w:cs="Calibri"/>
                <w:b/>
                <w:color w:val="000000"/>
                <w:sz w:val="18"/>
                <w:szCs w:val="18"/>
              </w:rPr>
              <w:t>R</w:t>
            </w:r>
            <w:r w:rsidRPr="00A10F83">
              <w:rPr>
                <w:rFonts w:ascii="Calibri" w:eastAsia="Calibri" w:hAnsi="Calibri" w:cs="Calibri"/>
                <w:b/>
                <w:color w:val="000000"/>
                <w:sz w:val="18"/>
                <w:szCs w:val="18"/>
              </w:rPr>
              <w:t>espondents/year</w:t>
            </w:r>
            <w:r w:rsidRPr="00A10F83">
              <w:rPr>
                <w:rFonts w:ascii="Calibri" w:eastAsia="Calibri" w:hAnsi="Calibri" w:cs="Calibri"/>
                <w:b/>
                <w:color w:val="000000"/>
                <w:sz w:val="18"/>
                <w:szCs w:val="18"/>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CB1671" w:rsidRPr="00D83EBA" w:rsidP="00444967" w14:paraId="1F005074" w14:textId="77777777">
            <w:pPr>
              <w:widowControl/>
              <w:spacing w:after="120"/>
              <w:jc w:val="center"/>
              <w:rPr>
                <w:rFonts w:ascii="Calibri" w:eastAsia="Calibri" w:hAnsi="Calibri" w:cs="Calibri"/>
                <w:b/>
                <w:color w:val="000000"/>
                <w:sz w:val="18"/>
                <w:szCs w:val="18"/>
              </w:rPr>
            </w:pPr>
            <w:r w:rsidRPr="00A10F83">
              <w:rPr>
                <w:rFonts w:ascii="Calibri" w:eastAsia="Calibri" w:hAnsi="Calibri" w:cs="Calibri"/>
                <w:b/>
                <w:color w:val="000000"/>
                <w:sz w:val="18"/>
                <w:szCs w:val="18"/>
              </w:rPr>
              <w:t>Annual # of Responses / Respondent</w:t>
            </w:r>
            <w:r w:rsidRPr="00A10F83">
              <w:rPr>
                <w:rFonts w:ascii="Calibri" w:eastAsia="Calibri" w:hAnsi="Calibri" w:cs="Calibri"/>
                <w:b/>
                <w:color w:val="000000"/>
                <w:sz w:val="18"/>
                <w:szCs w:val="18"/>
              </w:rPr>
              <w:br/>
              <w:t>(b)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CB1671" w:rsidRPr="00D83EBA" w:rsidP="00444967" w14:paraId="6A1B40E3" w14:textId="13EA04CF">
            <w:pPr>
              <w:widowControl/>
              <w:spacing w:after="120"/>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Total # of Annual Responses</w:t>
            </w:r>
            <w:r w:rsidRPr="00D83EBA">
              <w:rPr>
                <w:rFonts w:ascii="Calibri" w:eastAsia="Calibri" w:hAnsi="Calibri" w:cs="Calibri"/>
                <w:b/>
                <w:color w:val="000000"/>
                <w:sz w:val="18"/>
                <w:szCs w:val="18"/>
              </w:rPr>
              <w:br/>
              <w:t>(c) = (a) x (b)</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CB1671" w:rsidRPr="00D83EBA" w:rsidP="00444967" w14:paraId="329540FF" w14:textId="77777777">
            <w:pPr>
              <w:widowControl/>
              <w:spacing w:after="120"/>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Cost Burden / Respondent</w:t>
            </w:r>
            <w:r w:rsidRPr="00D83EBA">
              <w:rPr>
                <w:rFonts w:ascii="Calibri" w:eastAsia="Calibri" w:hAnsi="Calibri" w:cs="Calibri"/>
                <w:b/>
                <w:color w:val="000000"/>
                <w:sz w:val="18"/>
                <w:szCs w:val="18"/>
              </w:rPr>
              <w:br/>
              <w:t>(h)</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CB1671" w:rsidRPr="00D83EBA" w:rsidP="00444967" w14:paraId="22EB4C22" w14:textId="77777777">
            <w:pPr>
              <w:widowControl/>
              <w:spacing w:after="120"/>
              <w:jc w:val="center"/>
              <w:rPr>
                <w:rFonts w:ascii="Calibri" w:eastAsia="Calibri" w:hAnsi="Calibri" w:cs="Calibri"/>
                <w:b/>
                <w:color w:val="000000"/>
                <w:sz w:val="18"/>
                <w:szCs w:val="18"/>
              </w:rPr>
            </w:pPr>
            <w:r w:rsidRPr="00D83EBA">
              <w:rPr>
                <w:rFonts w:ascii="Calibri" w:eastAsia="Calibri" w:hAnsi="Calibri" w:cs="Calibri"/>
                <w:b/>
                <w:color w:val="000000"/>
                <w:sz w:val="18"/>
                <w:szCs w:val="18"/>
              </w:rPr>
              <w:t>Total Annual Cost Burden</w:t>
            </w:r>
            <w:r w:rsidRPr="00D83EBA">
              <w:rPr>
                <w:rFonts w:ascii="Calibri" w:eastAsia="Calibri" w:hAnsi="Calibri" w:cs="Calibri"/>
                <w:b/>
                <w:color w:val="000000"/>
                <w:sz w:val="18"/>
                <w:szCs w:val="18"/>
              </w:rPr>
              <w:br/>
              <w:t>(</w:t>
            </w:r>
            <w:r w:rsidRPr="00D83EBA">
              <w:rPr>
                <w:rFonts w:ascii="Calibri" w:eastAsia="Calibri" w:hAnsi="Calibri" w:cs="Calibri"/>
                <w:b/>
                <w:color w:val="000000"/>
                <w:sz w:val="18"/>
                <w:szCs w:val="18"/>
              </w:rPr>
              <w:t>i</w:t>
            </w:r>
            <w:r w:rsidRPr="00D83EBA">
              <w:rPr>
                <w:rFonts w:ascii="Calibri" w:eastAsia="Calibri" w:hAnsi="Calibri" w:cs="Calibri"/>
                <w:b/>
                <w:color w:val="000000"/>
                <w:sz w:val="18"/>
                <w:szCs w:val="18"/>
              </w:rPr>
              <w:t>) = (c) x (h)</w:t>
            </w:r>
          </w:p>
        </w:tc>
      </w:tr>
      <w:tr w14:paraId="35BF773E" w14:textId="77777777" w:rsidTr="00444967">
        <w:tblPrEx>
          <w:tblW w:w="10440" w:type="dxa"/>
          <w:tblInd w:w="-640" w:type="dxa"/>
          <w:tblLayout w:type="fixed"/>
          <w:tblLook w:val="0400"/>
        </w:tblPrEx>
        <w:trPr>
          <w:trHeight w:val="298"/>
        </w:trPr>
        <w:tc>
          <w:tcPr>
            <w:tcW w:w="3240" w:type="dxa"/>
            <w:tcBorders>
              <w:top w:val="nil"/>
              <w:left w:val="single" w:sz="4" w:space="0" w:color="000000"/>
              <w:bottom w:val="single" w:sz="4" w:space="0" w:color="000000"/>
              <w:right w:val="single" w:sz="4" w:space="0" w:color="000000"/>
            </w:tcBorders>
            <w:vAlign w:val="center"/>
          </w:tcPr>
          <w:p w:rsidR="00CB1671" w:rsidRPr="00D83EBA" w:rsidP="00BC6FB4" w14:paraId="5E8B427C" w14:textId="77777777">
            <w:pPr>
              <w:widowControl/>
              <w:spacing w:before="20" w:after="120"/>
              <w:rPr>
                <w:rFonts w:eastAsia="Calibri" w:asciiTheme="minorHAnsi" w:hAnsiTheme="minorHAnsi" w:cstheme="minorHAnsi"/>
                <w:color w:val="000000"/>
                <w:sz w:val="18"/>
                <w:szCs w:val="18"/>
              </w:rPr>
            </w:pPr>
            <w:r w:rsidRPr="00D83EBA">
              <w:rPr>
                <w:rFonts w:asciiTheme="minorHAnsi" w:hAnsiTheme="minorHAnsi" w:cstheme="minorHAnsi"/>
                <w:sz w:val="18"/>
                <w:szCs w:val="18"/>
              </w:rPr>
              <w:t>Application for Pacific Cod Trawl Cooperative Program Cooperative Quota</w:t>
            </w:r>
          </w:p>
        </w:tc>
        <w:tc>
          <w:tcPr>
            <w:tcW w:w="1350" w:type="dxa"/>
            <w:tcBorders>
              <w:top w:val="nil"/>
              <w:left w:val="nil"/>
              <w:bottom w:val="single" w:sz="4" w:space="0" w:color="000000"/>
              <w:right w:val="single" w:sz="4" w:space="0" w:color="000000"/>
            </w:tcBorders>
            <w:shd w:val="clear" w:color="auto" w:fill="FFFFFF"/>
            <w:vAlign w:val="center"/>
          </w:tcPr>
          <w:p w:rsidR="00CB1671" w:rsidRPr="00D83EBA" w:rsidP="00444967" w14:paraId="1F8270D5" w14:textId="6127A85F">
            <w:pPr>
              <w:widowControl/>
              <w:spacing w:after="120"/>
              <w:jc w:val="center"/>
              <w:rPr>
                <w:rFonts w:eastAsia="Calibri" w:asciiTheme="minorHAnsi" w:hAnsiTheme="minorHAnsi" w:cstheme="minorHAnsi"/>
                <w:color w:val="000000"/>
                <w:sz w:val="18"/>
                <w:szCs w:val="18"/>
              </w:rPr>
            </w:pPr>
            <w:r>
              <w:rPr>
                <w:rFonts w:asciiTheme="minorHAnsi" w:hAnsiTheme="minorHAnsi" w:cstheme="minorHAnsi"/>
                <w:sz w:val="18"/>
                <w:szCs w:val="18"/>
              </w:rPr>
              <w:t>5</w:t>
            </w:r>
          </w:p>
        </w:tc>
        <w:tc>
          <w:tcPr>
            <w:tcW w:w="1440" w:type="dxa"/>
            <w:tcBorders>
              <w:top w:val="nil"/>
              <w:left w:val="nil"/>
              <w:bottom w:val="single" w:sz="4" w:space="0" w:color="000000"/>
              <w:right w:val="single" w:sz="4" w:space="0" w:color="000000"/>
            </w:tcBorders>
            <w:shd w:val="clear" w:color="auto" w:fill="FFFFFF"/>
            <w:vAlign w:val="center"/>
          </w:tcPr>
          <w:p w:rsidR="00CB1671" w:rsidRPr="00D83EBA" w:rsidP="00444967" w14:paraId="6A2F506D"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440" w:type="dxa"/>
            <w:tcBorders>
              <w:top w:val="nil"/>
              <w:left w:val="nil"/>
              <w:bottom w:val="single" w:sz="4" w:space="0" w:color="000000"/>
              <w:right w:val="single" w:sz="4" w:space="0" w:color="000000"/>
            </w:tcBorders>
            <w:shd w:val="clear" w:color="auto" w:fill="FFFFFF"/>
            <w:vAlign w:val="center"/>
          </w:tcPr>
          <w:p w:rsidR="00CB1671" w:rsidRPr="00D83EBA" w:rsidP="00444967" w14:paraId="342D5684" w14:textId="0EE4F831">
            <w:pPr>
              <w:widowControl/>
              <w:spacing w:after="120"/>
              <w:jc w:val="center"/>
              <w:rPr>
                <w:rFonts w:eastAsia="Calibri" w:asciiTheme="minorHAnsi" w:hAnsiTheme="minorHAnsi" w:cstheme="minorHAnsi"/>
                <w:color w:val="000000"/>
                <w:sz w:val="18"/>
                <w:szCs w:val="18"/>
              </w:rPr>
            </w:pPr>
            <w:r>
              <w:rPr>
                <w:rFonts w:asciiTheme="minorHAnsi" w:hAnsiTheme="minorHAnsi" w:cstheme="minorHAnsi"/>
                <w:sz w:val="18"/>
                <w:szCs w:val="18"/>
              </w:rPr>
              <w:t>5</w:t>
            </w:r>
          </w:p>
        </w:tc>
        <w:tc>
          <w:tcPr>
            <w:tcW w:w="1530" w:type="dxa"/>
            <w:tcBorders>
              <w:top w:val="nil"/>
              <w:left w:val="nil"/>
              <w:bottom w:val="single" w:sz="4" w:space="0" w:color="000000"/>
              <w:right w:val="single" w:sz="4" w:space="0" w:color="000000"/>
            </w:tcBorders>
            <w:shd w:val="clear" w:color="auto" w:fill="FFFFFF"/>
            <w:vAlign w:val="center"/>
          </w:tcPr>
          <w:p w:rsidR="00CB1671" w:rsidRPr="00536319" w:rsidP="00444967" w14:paraId="4A5CD587" w14:textId="77777777">
            <w:pPr>
              <w:widowControl/>
              <w:spacing w:after="120"/>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440" w:type="dxa"/>
            <w:tcBorders>
              <w:top w:val="nil"/>
              <w:left w:val="nil"/>
              <w:bottom w:val="single" w:sz="4" w:space="0" w:color="000000"/>
              <w:right w:val="single" w:sz="8" w:space="0" w:color="000000"/>
            </w:tcBorders>
            <w:shd w:val="clear" w:color="auto" w:fill="FFFFFF"/>
            <w:vAlign w:val="center"/>
          </w:tcPr>
          <w:p w:rsidR="00CB1671" w:rsidRPr="00D83EBA" w:rsidP="00444967" w14:paraId="66787222" w14:textId="74B86C51">
            <w:pPr>
              <w:widowControl/>
              <w:spacing w:after="120"/>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$25</w:t>
            </w:r>
          </w:p>
        </w:tc>
      </w:tr>
      <w:tr w14:paraId="1AB0B5AB" w14:textId="77777777" w:rsidTr="00444967">
        <w:tblPrEx>
          <w:tblW w:w="10440" w:type="dxa"/>
          <w:tblInd w:w="-640" w:type="dxa"/>
          <w:tblLayout w:type="fixed"/>
          <w:tblLook w:val="0400"/>
        </w:tblPrEx>
        <w:trPr>
          <w:trHeight w:val="298"/>
        </w:trPr>
        <w:tc>
          <w:tcPr>
            <w:tcW w:w="3240" w:type="dxa"/>
            <w:tcBorders>
              <w:top w:val="nil"/>
              <w:left w:val="single" w:sz="4" w:space="0" w:color="000000"/>
              <w:bottom w:val="single" w:sz="4" w:space="0" w:color="000000"/>
              <w:right w:val="single" w:sz="4" w:space="0" w:color="000000"/>
            </w:tcBorders>
            <w:vAlign w:val="center"/>
          </w:tcPr>
          <w:p w:rsidR="00CB1671" w:rsidRPr="00D83EBA" w:rsidP="00BC6FB4" w14:paraId="0D4E46CA" w14:textId="77777777">
            <w:pPr>
              <w:widowControl/>
              <w:spacing w:before="20" w:after="120"/>
              <w:rPr>
                <w:rFonts w:eastAsia="Calibri" w:asciiTheme="minorHAnsi" w:hAnsiTheme="minorHAnsi" w:cstheme="minorHAnsi"/>
                <w:color w:val="000000"/>
                <w:sz w:val="18"/>
                <w:szCs w:val="18"/>
              </w:rPr>
            </w:pPr>
            <w:r w:rsidRPr="00D83EBA">
              <w:rPr>
                <w:rFonts w:asciiTheme="minorHAnsi" w:hAnsiTheme="minorHAnsi" w:cstheme="minorHAnsi"/>
                <w:sz w:val="18"/>
                <w:szCs w:val="18"/>
              </w:rPr>
              <w:t>Application for Inter-Cooperative Transfer of Cooperative Quota (CQ)</w:t>
            </w:r>
          </w:p>
        </w:tc>
        <w:tc>
          <w:tcPr>
            <w:tcW w:w="1350" w:type="dxa"/>
            <w:tcBorders>
              <w:top w:val="nil"/>
              <w:left w:val="nil"/>
              <w:bottom w:val="single" w:sz="4" w:space="0" w:color="000000"/>
              <w:right w:val="single" w:sz="4" w:space="0" w:color="000000"/>
            </w:tcBorders>
            <w:shd w:val="clear" w:color="auto" w:fill="FFFFFF"/>
            <w:vAlign w:val="center"/>
          </w:tcPr>
          <w:p w:rsidR="00CB1671" w:rsidRPr="00D83EBA" w:rsidP="00444967" w14:paraId="0EFE6EE1" w14:textId="70B2B77E">
            <w:pPr>
              <w:widowControl/>
              <w:spacing w:after="120"/>
              <w:jc w:val="center"/>
              <w:rPr>
                <w:rFonts w:eastAsia="Calibri" w:asciiTheme="minorHAnsi" w:hAnsiTheme="minorHAnsi" w:cstheme="minorHAnsi"/>
                <w:color w:val="000000"/>
                <w:sz w:val="18"/>
                <w:szCs w:val="18"/>
              </w:rPr>
            </w:pPr>
            <w:r>
              <w:rPr>
                <w:rFonts w:asciiTheme="minorHAnsi" w:hAnsiTheme="minorHAnsi" w:cstheme="minorHAnsi"/>
                <w:sz w:val="18"/>
                <w:szCs w:val="18"/>
              </w:rPr>
              <w:t>5</w:t>
            </w:r>
          </w:p>
        </w:tc>
        <w:tc>
          <w:tcPr>
            <w:tcW w:w="1440" w:type="dxa"/>
            <w:tcBorders>
              <w:top w:val="nil"/>
              <w:left w:val="nil"/>
              <w:bottom w:val="single" w:sz="4" w:space="0" w:color="000000"/>
              <w:right w:val="single" w:sz="4" w:space="0" w:color="000000"/>
            </w:tcBorders>
            <w:shd w:val="clear" w:color="auto" w:fill="FFFFFF"/>
            <w:vAlign w:val="center"/>
          </w:tcPr>
          <w:p w:rsidR="00CB1671" w:rsidRPr="00D83EBA" w:rsidP="00444967" w14:paraId="51F069C1" w14:textId="23D6BFD2">
            <w:pPr>
              <w:widowControl/>
              <w:spacing w:after="120"/>
              <w:jc w:val="center"/>
              <w:rPr>
                <w:rFonts w:eastAsia="Calibri" w:asciiTheme="minorHAnsi" w:hAnsiTheme="minorHAnsi" w:cstheme="minorHAnsi"/>
                <w:color w:val="000000"/>
                <w:sz w:val="18"/>
                <w:szCs w:val="18"/>
              </w:rPr>
            </w:pPr>
            <w:r>
              <w:rPr>
                <w:rFonts w:asciiTheme="minorHAnsi" w:hAnsiTheme="minorHAnsi" w:cstheme="minorHAnsi"/>
                <w:sz w:val="18"/>
                <w:szCs w:val="18"/>
              </w:rPr>
              <w:t>2</w:t>
            </w:r>
          </w:p>
        </w:tc>
        <w:tc>
          <w:tcPr>
            <w:tcW w:w="1440" w:type="dxa"/>
            <w:tcBorders>
              <w:top w:val="nil"/>
              <w:left w:val="nil"/>
              <w:bottom w:val="single" w:sz="4" w:space="0" w:color="000000"/>
              <w:right w:val="single" w:sz="4" w:space="0" w:color="000000"/>
            </w:tcBorders>
            <w:shd w:val="clear" w:color="auto" w:fill="FFFFFF"/>
            <w:vAlign w:val="center"/>
          </w:tcPr>
          <w:p w:rsidR="00CB1671" w:rsidRPr="00D83EBA" w:rsidP="00444967" w14:paraId="0F15FDEA" w14:textId="11A371E8">
            <w:pPr>
              <w:widowControl/>
              <w:spacing w:after="120"/>
              <w:jc w:val="center"/>
              <w:rPr>
                <w:rFonts w:eastAsia="Calibri" w:asciiTheme="minorHAnsi" w:hAnsiTheme="minorHAnsi" w:cstheme="minorHAnsi"/>
                <w:color w:val="000000"/>
                <w:sz w:val="18"/>
                <w:szCs w:val="18"/>
              </w:rPr>
            </w:pPr>
            <w:r>
              <w:rPr>
                <w:rFonts w:asciiTheme="minorHAnsi" w:hAnsiTheme="minorHAnsi" w:cstheme="minorHAnsi"/>
                <w:sz w:val="18"/>
                <w:szCs w:val="18"/>
              </w:rPr>
              <w:t>10</w:t>
            </w:r>
          </w:p>
        </w:tc>
        <w:tc>
          <w:tcPr>
            <w:tcW w:w="1530" w:type="dxa"/>
            <w:tcBorders>
              <w:top w:val="nil"/>
              <w:left w:val="nil"/>
              <w:bottom w:val="single" w:sz="4" w:space="0" w:color="000000"/>
              <w:right w:val="single" w:sz="4" w:space="0" w:color="000000"/>
            </w:tcBorders>
            <w:shd w:val="clear" w:color="auto" w:fill="FFFFFF"/>
            <w:vAlign w:val="center"/>
          </w:tcPr>
          <w:p w:rsidR="00CB1671" w:rsidRPr="00536319" w:rsidP="00444967" w14:paraId="59BAA397" w14:textId="77777777">
            <w:pPr>
              <w:widowControl/>
              <w:spacing w:after="120"/>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440" w:type="dxa"/>
            <w:tcBorders>
              <w:top w:val="nil"/>
              <w:left w:val="nil"/>
              <w:bottom w:val="single" w:sz="4" w:space="0" w:color="000000"/>
              <w:right w:val="single" w:sz="8" w:space="0" w:color="000000"/>
            </w:tcBorders>
            <w:shd w:val="clear" w:color="auto" w:fill="FFFFFF"/>
            <w:vAlign w:val="center"/>
          </w:tcPr>
          <w:p w:rsidR="00CB1671" w:rsidRPr="00D83EBA" w:rsidP="00444967" w14:paraId="6822D0CA" w14:textId="0E213F53">
            <w:pPr>
              <w:widowControl/>
              <w:spacing w:after="120"/>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Pr>
                <w:rFonts w:eastAsia="Calibri" w:asciiTheme="minorHAnsi" w:hAnsiTheme="minorHAnsi" w:cstheme="minorHAnsi"/>
                <w:color w:val="000000"/>
                <w:sz w:val="18"/>
                <w:szCs w:val="18"/>
              </w:rPr>
              <w:t>50</w:t>
            </w:r>
          </w:p>
        </w:tc>
      </w:tr>
      <w:tr w14:paraId="05453B79" w14:textId="77777777" w:rsidTr="00444967">
        <w:tblPrEx>
          <w:tblW w:w="10440" w:type="dxa"/>
          <w:tblInd w:w="-640" w:type="dxa"/>
          <w:tblLayout w:type="fixed"/>
          <w:tblLook w:val="0400"/>
        </w:tblPrEx>
        <w:trPr>
          <w:trHeight w:val="298"/>
        </w:trPr>
        <w:tc>
          <w:tcPr>
            <w:tcW w:w="3240" w:type="dxa"/>
            <w:tcBorders>
              <w:top w:val="nil"/>
              <w:left w:val="single" w:sz="4" w:space="0" w:color="000000"/>
              <w:bottom w:val="nil"/>
              <w:right w:val="single" w:sz="4" w:space="0" w:color="000000"/>
            </w:tcBorders>
            <w:vAlign w:val="center"/>
          </w:tcPr>
          <w:p w:rsidR="00CB1671" w:rsidRPr="00D83EBA" w:rsidP="00BC6FB4" w14:paraId="08362443" w14:textId="77777777">
            <w:pPr>
              <w:widowControl/>
              <w:spacing w:before="20" w:after="120"/>
              <w:rPr>
                <w:rFonts w:eastAsia="Calibri" w:asciiTheme="minorHAnsi" w:hAnsiTheme="minorHAnsi" w:cstheme="minorHAnsi"/>
                <w:color w:val="000000"/>
                <w:sz w:val="18"/>
                <w:szCs w:val="18"/>
              </w:rPr>
            </w:pPr>
            <w:r w:rsidRPr="00D83EBA">
              <w:rPr>
                <w:rFonts w:asciiTheme="minorHAnsi" w:hAnsiTheme="minorHAnsi" w:cstheme="minorHAnsi"/>
                <w:sz w:val="18"/>
                <w:szCs w:val="18"/>
              </w:rPr>
              <w:t>Application for Transfer of Pacific Cod Trawl Cooperative Program Quota Share for Processors</w:t>
            </w:r>
          </w:p>
        </w:tc>
        <w:tc>
          <w:tcPr>
            <w:tcW w:w="1350" w:type="dxa"/>
            <w:tcBorders>
              <w:top w:val="nil"/>
              <w:left w:val="nil"/>
              <w:bottom w:val="nil"/>
              <w:right w:val="single" w:sz="4" w:space="0" w:color="000000"/>
            </w:tcBorders>
            <w:shd w:val="clear" w:color="auto" w:fill="FFFFFF"/>
            <w:vAlign w:val="center"/>
          </w:tcPr>
          <w:p w:rsidR="00CB1671" w:rsidRPr="00D83EBA" w:rsidP="00444967" w14:paraId="2019C83A"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440" w:type="dxa"/>
            <w:tcBorders>
              <w:top w:val="nil"/>
              <w:left w:val="nil"/>
              <w:bottom w:val="nil"/>
              <w:right w:val="single" w:sz="4" w:space="0" w:color="000000"/>
            </w:tcBorders>
            <w:shd w:val="clear" w:color="auto" w:fill="FFFFFF"/>
            <w:vAlign w:val="center"/>
          </w:tcPr>
          <w:p w:rsidR="00CB1671" w:rsidRPr="00D83EBA" w:rsidP="00444967" w14:paraId="18232127"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440" w:type="dxa"/>
            <w:tcBorders>
              <w:top w:val="nil"/>
              <w:left w:val="nil"/>
              <w:bottom w:val="nil"/>
              <w:right w:val="single" w:sz="4" w:space="0" w:color="000000"/>
            </w:tcBorders>
            <w:shd w:val="clear" w:color="auto" w:fill="FFFFFF"/>
            <w:vAlign w:val="center"/>
          </w:tcPr>
          <w:p w:rsidR="00CB1671" w:rsidRPr="00D83EBA" w:rsidP="00444967" w14:paraId="16BBA4F8"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530" w:type="dxa"/>
            <w:tcBorders>
              <w:top w:val="nil"/>
              <w:left w:val="nil"/>
              <w:bottom w:val="nil"/>
              <w:right w:val="single" w:sz="4" w:space="0" w:color="000000"/>
            </w:tcBorders>
            <w:shd w:val="clear" w:color="auto" w:fill="FFFFFF"/>
            <w:vAlign w:val="center"/>
          </w:tcPr>
          <w:p w:rsidR="00CB1671" w:rsidRPr="00536319" w:rsidP="00444967" w14:paraId="37B482BB" w14:textId="77777777">
            <w:pPr>
              <w:widowControl/>
              <w:spacing w:after="120"/>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440" w:type="dxa"/>
            <w:tcBorders>
              <w:top w:val="nil"/>
              <w:left w:val="nil"/>
              <w:bottom w:val="nil"/>
              <w:right w:val="single" w:sz="8" w:space="0" w:color="000000"/>
            </w:tcBorders>
            <w:shd w:val="clear" w:color="auto" w:fill="FFFFFF"/>
            <w:vAlign w:val="center"/>
          </w:tcPr>
          <w:p w:rsidR="00CB1671" w:rsidRPr="00D83EBA" w:rsidP="00444967" w14:paraId="23080219" w14:textId="2C871BAF">
            <w:pPr>
              <w:widowControl/>
              <w:spacing w:after="120"/>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Pr>
                <w:rFonts w:eastAsia="Calibri" w:asciiTheme="minorHAnsi" w:hAnsiTheme="minorHAnsi" w:cstheme="minorHAnsi"/>
                <w:color w:val="000000"/>
                <w:sz w:val="18"/>
                <w:szCs w:val="18"/>
              </w:rPr>
              <w:t>5</w:t>
            </w:r>
          </w:p>
        </w:tc>
      </w:tr>
      <w:tr w14:paraId="059935C5" w14:textId="77777777" w:rsidTr="00444967">
        <w:tblPrEx>
          <w:tblW w:w="10440" w:type="dxa"/>
          <w:tblInd w:w="-640" w:type="dxa"/>
          <w:tblLayout w:type="fixed"/>
          <w:tblLook w:val="0400"/>
        </w:tblPrEx>
        <w:trPr>
          <w:trHeight w:val="312"/>
        </w:trPr>
        <w:tc>
          <w:tcPr>
            <w:tcW w:w="3240" w:type="dxa"/>
            <w:tcBorders>
              <w:top w:val="single" w:sz="4" w:space="0" w:color="000000"/>
              <w:left w:val="single" w:sz="4" w:space="0" w:color="000000"/>
              <w:bottom w:val="single" w:sz="4" w:space="0" w:color="000000"/>
              <w:right w:val="single" w:sz="4" w:space="0" w:color="000000"/>
            </w:tcBorders>
            <w:vAlign w:val="center"/>
          </w:tcPr>
          <w:p w:rsidR="00CB1671" w:rsidRPr="00D83EBA" w:rsidP="00BC6FB4" w14:paraId="4C0741E3" w14:textId="77777777">
            <w:pPr>
              <w:widowControl/>
              <w:spacing w:before="20" w:after="120"/>
              <w:rPr>
                <w:rFonts w:eastAsia="Calibri" w:asciiTheme="minorHAnsi" w:hAnsiTheme="minorHAnsi" w:cstheme="minorHAnsi"/>
                <w:color w:val="000000"/>
                <w:sz w:val="18"/>
                <w:szCs w:val="18"/>
              </w:rPr>
            </w:pPr>
            <w:r w:rsidRPr="00D83EBA">
              <w:rPr>
                <w:rFonts w:asciiTheme="minorHAnsi" w:hAnsiTheme="minorHAnsi" w:cstheme="minorHAnsi"/>
                <w:sz w:val="18"/>
                <w:szCs w:val="18"/>
              </w:rPr>
              <w:t>Notificatio</w:t>
            </w:r>
            <w:r>
              <w:rPr>
                <w:rFonts w:asciiTheme="minorHAnsi" w:hAnsiTheme="minorHAnsi" w:cstheme="minorHAnsi"/>
                <w:sz w:val="18"/>
                <w:szCs w:val="18"/>
              </w:rPr>
              <w:t xml:space="preserve">n of intent to process PCTC Program </w:t>
            </w:r>
            <w:r w:rsidRPr="00D83EBA">
              <w:rPr>
                <w:rFonts w:asciiTheme="minorHAnsi" w:hAnsiTheme="minorHAnsi" w:cstheme="minorHAnsi"/>
                <w:sz w:val="18"/>
                <w:szCs w:val="18"/>
              </w:rPr>
              <w:t>Pacific cod</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CB1671" w:rsidRPr="00D83EBA" w:rsidP="00444967" w14:paraId="4D776C65"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2</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CB1671" w:rsidRPr="00D83EBA" w:rsidP="00444967" w14:paraId="79862ABE"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1</w:t>
            </w:r>
          </w:p>
        </w:tc>
        <w:tc>
          <w:tcPr>
            <w:tcW w:w="1440" w:type="dxa"/>
            <w:tcBorders>
              <w:top w:val="single" w:sz="4" w:space="0" w:color="000000"/>
              <w:left w:val="nil"/>
              <w:bottom w:val="single" w:sz="4" w:space="0" w:color="000000"/>
              <w:right w:val="single" w:sz="4" w:space="0" w:color="000000"/>
            </w:tcBorders>
            <w:shd w:val="clear" w:color="auto" w:fill="FFFFFF"/>
            <w:vAlign w:val="center"/>
          </w:tcPr>
          <w:p w:rsidR="00CB1671" w:rsidRPr="00D83EBA" w:rsidP="00444967" w14:paraId="2B22A2E0" w14:textId="77777777">
            <w:pPr>
              <w:widowControl/>
              <w:spacing w:after="120"/>
              <w:jc w:val="center"/>
              <w:rPr>
                <w:rFonts w:eastAsia="Calibri" w:asciiTheme="minorHAnsi" w:hAnsiTheme="minorHAnsi" w:cstheme="minorHAnsi"/>
                <w:color w:val="000000"/>
                <w:sz w:val="18"/>
                <w:szCs w:val="18"/>
              </w:rPr>
            </w:pPr>
            <w:r w:rsidRPr="00D83EBA">
              <w:rPr>
                <w:rFonts w:asciiTheme="minorHAnsi" w:hAnsiTheme="minorHAnsi" w:cstheme="minorHAnsi"/>
                <w:sz w:val="18"/>
                <w:szCs w:val="18"/>
              </w:rPr>
              <w:t>2</w:t>
            </w:r>
          </w:p>
        </w:tc>
        <w:tc>
          <w:tcPr>
            <w:tcW w:w="1530" w:type="dxa"/>
            <w:tcBorders>
              <w:top w:val="single" w:sz="4" w:space="0" w:color="000000"/>
              <w:left w:val="nil"/>
              <w:bottom w:val="single" w:sz="4" w:space="0" w:color="000000"/>
              <w:right w:val="single" w:sz="4" w:space="0" w:color="000000"/>
            </w:tcBorders>
            <w:shd w:val="clear" w:color="auto" w:fill="FFFFFF"/>
            <w:vAlign w:val="center"/>
          </w:tcPr>
          <w:p w:rsidR="00CB1671" w:rsidRPr="00536319" w:rsidP="00444967" w14:paraId="6ACF3BEC" w14:textId="77777777">
            <w:pPr>
              <w:widowControl/>
              <w:spacing w:after="120"/>
              <w:jc w:val="center"/>
              <w:rPr>
                <w:rFonts w:eastAsia="Calibri" w:asciiTheme="minorHAnsi" w:hAnsiTheme="minorHAnsi" w:cstheme="minorHAnsi"/>
                <w:color w:val="000000"/>
                <w:sz w:val="18"/>
                <w:szCs w:val="18"/>
              </w:rPr>
            </w:pPr>
            <w:r w:rsidRPr="00536319">
              <w:rPr>
                <w:rFonts w:asciiTheme="minorHAnsi" w:hAnsiTheme="minorHAnsi" w:cstheme="minorHAnsi"/>
                <w:sz w:val="18"/>
                <w:szCs w:val="18"/>
              </w:rPr>
              <w:t>Operating costs: $5</w:t>
            </w:r>
          </w:p>
        </w:tc>
        <w:tc>
          <w:tcPr>
            <w:tcW w:w="1440" w:type="dxa"/>
            <w:tcBorders>
              <w:top w:val="single" w:sz="4" w:space="0" w:color="000000"/>
              <w:left w:val="nil"/>
              <w:bottom w:val="single" w:sz="4" w:space="0" w:color="000000"/>
              <w:right w:val="single" w:sz="8" w:space="0" w:color="000000"/>
            </w:tcBorders>
            <w:shd w:val="clear" w:color="auto" w:fill="FFFFFF"/>
            <w:vAlign w:val="center"/>
          </w:tcPr>
          <w:p w:rsidR="00CB1671" w:rsidRPr="00D83EBA" w:rsidP="00444967" w14:paraId="2B3AB0B1" w14:textId="563DDBD2">
            <w:pPr>
              <w:widowControl/>
              <w:spacing w:after="120"/>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w:t>
            </w:r>
            <w:r>
              <w:rPr>
                <w:rFonts w:eastAsia="Calibri" w:asciiTheme="minorHAnsi" w:hAnsiTheme="minorHAnsi" w:cstheme="minorHAnsi"/>
                <w:color w:val="000000"/>
                <w:sz w:val="18"/>
                <w:szCs w:val="18"/>
              </w:rPr>
              <w:t>10</w:t>
            </w:r>
          </w:p>
        </w:tc>
      </w:tr>
      <w:tr w14:paraId="4A06882C" w14:textId="77777777" w:rsidTr="00444967">
        <w:tblPrEx>
          <w:tblW w:w="10440" w:type="dxa"/>
          <w:tblInd w:w="-640" w:type="dxa"/>
          <w:tblLayout w:type="fixed"/>
          <w:tblLook w:val="0400"/>
        </w:tblPrEx>
        <w:trPr>
          <w:trHeight w:val="241"/>
        </w:trPr>
        <w:tc>
          <w:tcPr>
            <w:tcW w:w="324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CB1671" w:rsidRPr="008A480A" w:rsidP="00BC6FB4" w14:paraId="5F2E3791" w14:textId="77777777">
            <w:pPr>
              <w:widowControl/>
              <w:spacing w:after="120"/>
              <w:rPr>
                <w:rFonts w:ascii="Calibri" w:eastAsia="Calibri" w:hAnsi="Calibri" w:cs="Calibri"/>
                <w:b/>
                <w:color w:val="000000"/>
                <w:sz w:val="20"/>
                <w:szCs w:val="20"/>
              </w:rPr>
            </w:pPr>
            <w:r w:rsidRPr="008A480A">
              <w:rPr>
                <w:rFonts w:ascii="Calibri" w:eastAsia="Calibri" w:hAnsi="Calibri" w:cs="Calibri"/>
                <w:b/>
                <w:color w:val="000000"/>
                <w:sz w:val="20"/>
                <w:szCs w:val="20"/>
              </w:rPr>
              <w:t>TOTALS</w:t>
            </w:r>
          </w:p>
        </w:tc>
        <w:tc>
          <w:tcPr>
            <w:tcW w:w="1350" w:type="dxa"/>
            <w:tcBorders>
              <w:top w:val="single" w:sz="8" w:space="0" w:color="000000"/>
              <w:left w:val="nil"/>
              <w:bottom w:val="single" w:sz="8" w:space="0" w:color="000000"/>
              <w:right w:val="single" w:sz="4" w:space="0" w:color="000000"/>
            </w:tcBorders>
            <w:shd w:val="clear" w:color="auto" w:fill="DDEBF7"/>
            <w:vAlign w:val="center"/>
          </w:tcPr>
          <w:p w:rsidR="00CB1671" w:rsidRPr="008A480A" w:rsidP="00444967" w14:paraId="0B16AC4A" w14:textId="38FD7EF0">
            <w:pPr>
              <w:widowControl/>
              <w:spacing w:after="120"/>
              <w:jc w:val="center"/>
              <w:rPr>
                <w:rFonts w:eastAsia="Calibri" w:asciiTheme="minorHAnsi" w:hAnsiTheme="minorHAnsi" w:cstheme="minorHAnsi"/>
                <w:b/>
                <w:color w:val="000000"/>
                <w:sz w:val="20"/>
                <w:szCs w:val="20"/>
              </w:rPr>
            </w:pPr>
            <w:r>
              <w:rPr>
                <w:rFonts w:eastAsia="Calibri" w:asciiTheme="minorHAnsi" w:hAnsiTheme="minorHAnsi" w:cstheme="minorHAnsi"/>
                <w:b/>
                <w:color w:val="000000"/>
                <w:sz w:val="20"/>
                <w:szCs w:val="20"/>
              </w:rPr>
              <w:t>13</w:t>
            </w:r>
          </w:p>
        </w:tc>
        <w:tc>
          <w:tcPr>
            <w:tcW w:w="1440" w:type="dxa"/>
            <w:tcBorders>
              <w:top w:val="single" w:sz="8" w:space="0" w:color="000000"/>
              <w:left w:val="nil"/>
              <w:bottom w:val="single" w:sz="8" w:space="0" w:color="000000"/>
              <w:right w:val="single" w:sz="4" w:space="0" w:color="000000"/>
            </w:tcBorders>
            <w:shd w:val="clear" w:color="auto" w:fill="000000" w:themeFill="text1"/>
            <w:vAlign w:val="center"/>
          </w:tcPr>
          <w:p w:rsidR="00CB1671" w:rsidRPr="008A480A" w:rsidP="00444967" w14:paraId="7FDC5AF6" w14:textId="77777777">
            <w:pPr>
              <w:widowControl/>
              <w:spacing w:after="120"/>
              <w:jc w:val="center"/>
              <w:rPr>
                <w:rFonts w:eastAsia="Calibri" w:asciiTheme="minorHAnsi" w:hAnsiTheme="minorHAnsi" w:cstheme="minorHAnsi"/>
                <w:b/>
                <w:color w:val="000000"/>
                <w:sz w:val="20"/>
                <w:szCs w:val="20"/>
                <w:highlight w:val="black"/>
              </w:rPr>
            </w:pP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CB1671" w:rsidRPr="008A480A" w:rsidP="00444967" w14:paraId="439A8587" w14:textId="713BEF28">
            <w:pPr>
              <w:widowControl/>
              <w:spacing w:after="120"/>
              <w:jc w:val="center"/>
              <w:rPr>
                <w:rFonts w:eastAsia="Calibri" w:asciiTheme="minorHAnsi" w:hAnsiTheme="minorHAnsi" w:cstheme="minorHAnsi"/>
                <w:b/>
                <w:color w:val="000000"/>
                <w:sz w:val="20"/>
                <w:szCs w:val="20"/>
              </w:rPr>
            </w:pPr>
            <w:r>
              <w:rPr>
                <w:rFonts w:eastAsia="Calibri" w:asciiTheme="minorHAnsi" w:hAnsiTheme="minorHAnsi" w:cstheme="minorHAnsi"/>
                <w:b/>
                <w:color w:val="000000"/>
                <w:sz w:val="20"/>
                <w:szCs w:val="20"/>
              </w:rPr>
              <w:t>23</w:t>
            </w:r>
          </w:p>
        </w:tc>
        <w:tc>
          <w:tcPr>
            <w:tcW w:w="1530" w:type="dxa"/>
            <w:tcBorders>
              <w:top w:val="single" w:sz="8" w:space="0" w:color="000000"/>
              <w:left w:val="nil"/>
              <w:bottom w:val="single" w:sz="8" w:space="0" w:color="000000"/>
              <w:right w:val="single" w:sz="4" w:space="0" w:color="000000"/>
            </w:tcBorders>
            <w:shd w:val="clear" w:color="auto" w:fill="000000" w:themeFill="text1"/>
            <w:vAlign w:val="center"/>
          </w:tcPr>
          <w:p w:rsidR="00CB1671" w:rsidRPr="008A480A" w:rsidP="00BC6FB4" w14:paraId="1A01771E" w14:textId="77777777">
            <w:pPr>
              <w:widowControl/>
              <w:spacing w:after="120"/>
              <w:rPr>
                <w:rFonts w:ascii="Calibri" w:eastAsia="Calibri" w:hAnsi="Calibri" w:cs="Calibri"/>
                <w:b/>
                <w:color w:val="000000"/>
                <w:sz w:val="20"/>
                <w:szCs w:val="20"/>
              </w:rPr>
            </w:pPr>
          </w:p>
        </w:tc>
        <w:tc>
          <w:tcPr>
            <w:tcW w:w="1440" w:type="dxa"/>
            <w:tcBorders>
              <w:top w:val="single" w:sz="8" w:space="0" w:color="000000"/>
              <w:left w:val="nil"/>
              <w:bottom w:val="single" w:sz="8" w:space="0" w:color="000000"/>
              <w:right w:val="single" w:sz="8" w:space="0" w:color="000000"/>
            </w:tcBorders>
            <w:shd w:val="clear" w:color="auto" w:fill="DDEBF7"/>
            <w:vAlign w:val="center"/>
          </w:tcPr>
          <w:p w:rsidR="00CB1671" w:rsidRPr="008A480A" w:rsidP="00444967" w14:paraId="45438307" w14:textId="3BAF51B9">
            <w:pPr>
              <w:widowControl/>
              <w:spacing w:after="120"/>
              <w:jc w:val="center"/>
              <w:rPr>
                <w:rFonts w:ascii="Calibri" w:eastAsia="Calibri" w:hAnsi="Calibri" w:cs="Calibri"/>
                <w:b/>
                <w:color w:val="000000"/>
                <w:sz w:val="20"/>
                <w:szCs w:val="20"/>
              </w:rPr>
            </w:pPr>
            <w:r>
              <w:rPr>
                <w:rFonts w:ascii="Calibri" w:eastAsia="Calibri" w:hAnsi="Calibri" w:cs="Calibri"/>
                <w:b/>
                <w:color w:val="000000"/>
                <w:sz w:val="20"/>
                <w:szCs w:val="20"/>
              </w:rPr>
              <w:t>$</w:t>
            </w:r>
            <w:r w:rsidR="00A10F83">
              <w:rPr>
                <w:rFonts w:ascii="Calibri" w:eastAsia="Calibri" w:hAnsi="Calibri" w:cs="Calibri"/>
                <w:b/>
                <w:color w:val="000000"/>
                <w:sz w:val="20"/>
                <w:szCs w:val="20"/>
              </w:rPr>
              <w:t>90</w:t>
            </w:r>
          </w:p>
        </w:tc>
      </w:tr>
    </w:tbl>
    <w:p w:rsidR="00441FDC" w:rsidP="00BC6FB4" w14:paraId="3126E706" w14:textId="0F9EB0B1">
      <w:pPr>
        <w:pBdr>
          <w:top w:val="nil"/>
          <w:left w:val="nil"/>
          <w:bottom w:val="nil"/>
          <w:right w:val="nil"/>
          <w:between w:val="nil"/>
        </w:pBdr>
        <w:spacing w:before="7" w:after="120"/>
        <w:rPr>
          <w:b/>
          <w:color w:val="000000"/>
        </w:rPr>
      </w:pPr>
    </w:p>
    <w:p w:rsidR="00CB1671" w:rsidRPr="00BC6FB4" w:rsidP="00D15D54" w14:paraId="312DDFCF" w14:textId="155AB350">
      <w:pPr>
        <w:pStyle w:val="Heading2"/>
        <w:numPr>
          <w:ilvl w:val="0"/>
          <w:numId w:val="27"/>
        </w:numPr>
      </w:pPr>
      <w: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262EE" w:rsidRPr="008262EE" w:rsidP="008262EE" w14:paraId="40DD0C80" w14:textId="4EEA8788">
      <w:pPr>
        <w:widowControl/>
        <w:pBdr>
          <w:top w:val="nil"/>
          <w:left w:val="nil"/>
          <w:bottom w:val="nil"/>
          <w:right w:val="nil"/>
          <w:between w:val="nil"/>
        </w:pBdr>
        <w:spacing w:after="120"/>
        <w:rPr>
          <w:color w:val="000000"/>
        </w:rPr>
      </w:pPr>
      <w:r w:rsidRPr="008262EE">
        <w:rPr>
          <w:color w:val="000000"/>
        </w:rPr>
        <w:t xml:space="preserve">A cost recovery program is in effect for the </w:t>
      </w:r>
      <w:r w:rsidR="007A1372">
        <w:rPr>
          <w:color w:val="000000"/>
        </w:rPr>
        <w:t>PCTC</w:t>
      </w:r>
      <w:r w:rsidRPr="008262EE">
        <w:rPr>
          <w:color w:val="000000"/>
        </w:rPr>
        <w:t xml:space="preserve"> Program. Under this cost recovery program, NMFS is authorized to collect direct program costs from the permit holders. Therefore, the information collection requirements of the </w:t>
      </w:r>
      <w:r w:rsidR="007A1372">
        <w:rPr>
          <w:color w:val="000000"/>
        </w:rPr>
        <w:t>PCTC</w:t>
      </w:r>
      <w:r w:rsidRPr="008262EE">
        <w:rPr>
          <w:color w:val="000000"/>
        </w:rPr>
        <w:t xml:space="preserve"> Program do not impose a cost on the Federal Government. Direct program costs are the costs NMFS incurs to manage, collect data from, and enforce the</w:t>
      </w:r>
      <w:r w:rsidR="007A1372">
        <w:rPr>
          <w:color w:val="000000"/>
        </w:rPr>
        <w:t xml:space="preserve"> PCTC</w:t>
      </w:r>
      <w:r w:rsidRPr="008262EE">
        <w:rPr>
          <w:color w:val="000000"/>
        </w:rPr>
        <w:t xml:space="preserve"> Program. </w:t>
      </w:r>
    </w:p>
    <w:p w:rsidR="008262EE" w:rsidRPr="008262EE" w:rsidP="008262EE" w14:paraId="47A26E72" w14:textId="165E431A">
      <w:pPr>
        <w:widowControl/>
        <w:pBdr>
          <w:top w:val="nil"/>
          <w:left w:val="nil"/>
          <w:bottom w:val="nil"/>
          <w:right w:val="nil"/>
          <w:between w:val="nil"/>
        </w:pBdr>
        <w:spacing w:after="120"/>
        <w:rPr>
          <w:color w:val="000000"/>
        </w:rPr>
      </w:pPr>
      <w:r w:rsidRPr="008262EE">
        <w:rPr>
          <w:color w:val="000000"/>
        </w:rPr>
        <w:t>The direct program costs for the</w:t>
      </w:r>
      <w:r>
        <w:rPr>
          <w:color w:val="000000"/>
        </w:rPr>
        <w:t xml:space="preserve"> PCTC Program </w:t>
      </w:r>
      <w:r w:rsidR="007A1372">
        <w:rPr>
          <w:color w:val="000000"/>
        </w:rPr>
        <w:t>in 2024</w:t>
      </w:r>
      <w:r w:rsidRPr="008262EE">
        <w:rPr>
          <w:color w:val="000000"/>
        </w:rPr>
        <w:t xml:space="preserve"> were $</w:t>
      </w:r>
      <w:r>
        <w:rPr>
          <w:color w:val="000000"/>
        </w:rPr>
        <w:t xml:space="preserve">363, </w:t>
      </w:r>
      <w:r w:rsidR="007A1372">
        <w:rPr>
          <w:color w:val="000000"/>
        </w:rPr>
        <w:t>659</w:t>
      </w:r>
      <w:r w:rsidRPr="008262EE">
        <w:rPr>
          <w:color w:val="000000"/>
        </w:rPr>
        <w:t>.</w:t>
      </w:r>
      <w:r>
        <w:rPr>
          <w:rStyle w:val="FootnoteReference"/>
          <w:color w:val="000000"/>
        </w:rPr>
        <w:footnoteReference w:id="19"/>
      </w:r>
      <w:r w:rsidRPr="008262EE">
        <w:rPr>
          <w:color w:val="000000"/>
        </w:rPr>
        <w:t xml:space="preserve"> </w:t>
      </w:r>
    </w:p>
    <w:p w:rsidR="008262EE" w:rsidRPr="008262EE" w:rsidP="008262EE" w14:paraId="3D73E09C" w14:textId="67AB6F4C">
      <w:pPr>
        <w:widowControl/>
        <w:pBdr>
          <w:top w:val="nil"/>
          <w:left w:val="nil"/>
          <w:bottom w:val="nil"/>
          <w:right w:val="nil"/>
          <w:between w:val="nil"/>
        </w:pBdr>
        <w:spacing w:after="120"/>
        <w:rPr>
          <w:color w:val="000000"/>
        </w:rPr>
      </w:pPr>
      <w:r w:rsidRPr="008262EE">
        <w:rPr>
          <w:color w:val="000000"/>
        </w:rPr>
        <w:t>The following are examples of the types of tasks that were included under the 202</w:t>
      </w:r>
      <w:r w:rsidR="007A1372">
        <w:rPr>
          <w:color w:val="000000"/>
        </w:rPr>
        <w:t xml:space="preserve">4 PCTC </w:t>
      </w:r>
      <w:r w:rsidRPr="008262EE">
        <w:rPr>
          <w:color w:val="000000"/>
        </w:rPr>
        <w:t>direct program costs:</w:t>
      </w:r>
    </w:p>
    <w:p w:rsidR="00FA06A8" w:rsidP="00FA06A8" w14:paraId="5482150B" w14:textId="59EAA355">
      <w:pPr>
        <w:widowControl/>
        <w:numPr>
          <w:ilvl w:val="0"/>
          <w:numId w:val="22"/>
        </w:numPr>
        <w:pBdr>
          <w:top w:val="nil"/>
          <w:left w:val="nil"/>
          <w:bottom w:val="nil"/>
          <w:right w:val="nil"/>
          <w:between w:val="nil"/>
        </w:pBdr>
        <w:spacing w:after="120"/>
        <w:rPr>
          <w:color w:val="000000"/>
        </w:rPr>
      </w:pPr>
      <w:r>
        <w:rPr>
          <w:color w:val="000000"/>
        </w:rPr>
        <w:t>Developing systems for initial QS/permit issuance.</w:t>
      </w:r>
    </w:p>
    <w:p w:rsidR="00FA06A8" w:rsidP="00FA06A8" w14:paraId="1988DA89" w14:textId="6FFD67E2">
      <w:pPr>
        <w:widowControl/>
        <w:numPr>
          <w:ilvl w:val="0"/>
          <w:numId w:val="22"/>
        </w:numPr>
        <w:pBdr>
          <w:top w:val="nil"/>
          <w:left w:val="nil"/>
          <w:bottom w:val="nil"/>
          <w:right w:val="nil"/>
          <w:between w:val="nil"/>
        </w:pBdr>
        <w:spacing w:after="120"/>
        <w:rPr>
          <w:color w:val="000000"/>
        </w:rPr>
      </w:pPr>
      <w:r>
        <w:rPr>
          <w:color w:val="000000"/>
        </w:rPr>
        <w:t>Recording and tracking cooperative membership</w:t>
      </w:r>
    </w:p>
    <w:p w:rsidR="00FA06A8" w:rsidP="00FA06A8" w14:paraId="67872BDB" w14:textId="3DD74DD9">
      <w:pPr>
        <w:widowControl/>
        <w:numPr>
          <w:ilvl w:val="0"/>
          <w:numId w:val="22"/>
        </w:numPr>
        <w:pBdr>
          <w:top w:val="nil"/>
          <w:left w:val="nil"/>
          <w:bottom w:val="nil"/>
          <w:right w:val="nil"/>
          <w:between w:val="nil"/>
        </w:pBdr>
        <w:spacing w:after="120"/>
        <w:rPr>
          <w:color w:val="000000"/>
        </w:rPr>
      </w:pPr>
      <w:r>
        <w:rPr>
          <w:color w:val="000000"/>
        </w:rPr>
        <w:t>Processes required for correctly assessing fees</w:t>
      </w:r>
    </w:p>
    <w:p w:rsidR="00FA06A8" w:rsidP="00FA06A8" w14:paraId="07D24A56" w14:textId="001ACCDA">
      <w:pPr>
        <w:widowControl/>
        <w:numPr>
          <w:ilvl w:val="0"/>
          <w:numId w:val="22"/>
        </w:numPr>
        <w:pBdr>
          <w:top w:val="nil"/>
          <w:left w:val="nil"/>
          <w:bottom w:val="nil"/>
          <w:right w:val="nil"/>
          <w:between w:val="nil"/>
        </w:pBdr>
        <w:spacing w:after="120"/>
        <w:rPr>
          <w:color w:val="000000"/>
        </w:rPr>
      </w:pPr>
      <w:r>
        <w:rPr>
          <w:color w:val="000000"/>
        </w:rPr>
        <w:t>Staff time to ensure initial QS issuance was correct and</w:t>
      </w:r>
    </w:p>
    <w:p w:rsidR="00FA06A8" w:rsidP="00FA06A8" w14:paraId="1F317D12" w14:textId="5A15A30F">
      <w:pPr>
        <w:widowControl/>
        <w:numPr>
          <w:ilvl w:val="0"/>
          <w:numId w:val="22"/>
        </w:numPr>
        <w:pBdr>
          <w:top w:val="nil"/>
          <w:left w:val="nil"/>
          <w:bottom w:val="nil"/>
          <w:right w:val="nil"/>
          <w:between w:val="nil"/>
        </w:pBdr>
        <w:spacing w:after="120"/>
        <w:rPr>
          <w:color w:val="000000"/>
        </w:rPr>
      </w:pPr>
      <w:r>
        <w:rPr>
          <w:color w:val="000000"/>
        </w:rPr>
        <w:t>Development of outreach material</w:t>
      </w:r>
    </w:p>
    <w:p w:rsidR="001D31DE" w:rsidP="00FA06A8" w14:paraId="0B1D6473" w14:textId="7A37AC49">
      <w:pPr>
        <w:widowControl/>
        <w:numPr>
          <w:ilvl w:val="0"/>
          <w:numId w:val="22"/>
        </w:numPr>
        <w:pBdr>
          <w:top w:val="nil"/>
          <w:left w:val="nil"/>
          <w:bottom w:val="nil"/>
          <w:right w:val="nil"/>
          <w:between w:val="nil"/>
        </w:pBdr>
        <w:spacing w:after="120"/>
        <w:rPr>
          <w:color w:val="000000"/>
        </w:rPr>
      </w:pPr>
      <w:r>
        <w:rPr>
          <w:color w:val="000000"/>
        </w:rPr>
        <w:t>Maintenance of the developed systems and processes</w:t>
      </w:r>
    </w:p>
    <w:p w:rsidR="001D31DE" w:rsidP="00FA06A8" w14:paraId="44D970D8" w14:textId="44DF9D9A">
      <w:pPr>
        <w:widowControl/>
        <w:numPr>
          <w:ilvl w:val="0"/>
          <w:numId w:val="22"/>
        </w:numPr>
        <w:pBdr>
          <w:top w:val="nil"/>
          <w:left w:val="nil"/>
          <w:bottom w:val="nil"/>
          <w:right w:val="nil"/>
          <w:between w:val="nil"/>
        </w:pBdr>
        <w:spacing w:after="120"/>
        <w:rPr>
          <w:color w:val="000000"/>
        </w:rPr>
      </w:pPr>
      <w:r>
        <w:rPr>
          <w:color w:val="000000"/>
        </w:rPr>
        <w:t>Staff time for QS/permit issuance</w:t>
      </w:r>
    </w:p>
    <w:p w:rsidR="001D31DE" w:rsidP="00FA06A8" w14:paraId="51ADF908" w14:textId="4D7CBA30">
      <w:pPr>
        <w:widowControl/>
        <w:numPr>
          <w:ilvl w:val="0"/>
          <w:numId w:val="22"/>
        </w:numPr>
        <w:pBdr>
          <w:top w:val="nil"/>
          <w:left w:val="nil"/>
          <w:bottom w:val="nil"/>
          <w:right w:val="nil"/>
          <w:between w:val="nil"/>
        </w:pBdr>
        <w:spacing w:after="120"/>
        <w:rPr>
          <w:color w:val="000000"/>
        </w:rPr>
      </w:pPr>
      <w:r>
        <w:rPr>
          <w:color w:val="000000"/>
        </w:rPr>
        <w:t xml:space="preserve">Costs associated with managing </w:t>
      </w:r>
      <w:r w:rsidR="009500F4">
        <w:rPr>
          <w:color w:val="000000"/>
        </w:rPr>
        <w:t>a</w:t>
      </w:r>
      <w:r>
        <w:rPr>
          <w:color w:val="000000"/>
        </w:rPr>
        <w:t xml:space="preserve"> LAPP</w:t>
      </w:r>
    </w:p>
    <w:p w:rsidR="001D31DE" w:rsidP="00FA06A8" w14:paraId="7014F296" w14:textId="2009886B">
      <w:pPr>
        <w:widowControl/>
        <w:numPr>
          <w:ilvl w:val="0"/>
          <w:numId w:val="22"/>
        </w:numPr>
        <w:pBdr>
          <w:top w:val="nil"/>
          <w:left w:val="nil"/>
          <w:bottom w:val="nil"/>
          <w:right w:val="nil"/>
          <w:between w:val="nil"/>
        </w:pBdr>
        <w:spacing w:after="120"/>
        <w:rPr>
          <w:color w:val="000000"/>
        </w:rPr>
      </w:pPr>
      <w:r>
        <w:rPr>
          <w:color w:val="000000"/>
        </w:rPr>
        <w:t xml:space="preserve">Costs </w:t>
      </w:r>
      <w:r w:rsidR="009500F4">
        <w:rPr>
          <w:color w:val="000000"/>
        </w:rPr>
        <w:t>associated with</w:t>
      </w:r>
      <w:r>
        <w:rPr>
          <w:color w:val="000000"/>
        </w:rPr>
        <w:t xml:space="preserve"> NMFS Office of Law Enforcement personnel enforcing fines, investigations, and outreach efforts</w:t>
      </w:r>
    </w:p>
    <w:p w:rsidR="00A723A3" w:rsidP="00A723A3" w14:paraId="6AD8A1DE" w14:textId="1648DBAB">
      <w:pPr>
        <w:widowControl/>
        <w:pBdr>
          <w:top w:val="nil"/>
          <w:left w:val="nil"/>
          <w:bottom w:val="nil"/>
          <w:right w:val="nil"/>
          <w:between w:val="nil"/>
        </w:pBdr>
        <w:spacing w:after="120"/>
        <w:rPr>
          <w:color w:val="000000"/>
        </w:rPr>
      </w:pPr>
      <w:r>
        <w:rPr>
          <w:color w:val="000000"/>
        </w:rPr>
        <w:t xml:space="preserve">Several of the costs listed are considered “startup” costs; NMFS expects that direct program costs for the PCTC Program will be lower in future years. </w:t>
      </w:r>
    </w:p>
    <w:p w:rsidR="00444967" w:rsidP="00A723A3" w14:paraId="59E3D187" w14:textId="77777777">
      <w:pPr>
        <w:widowControl/>
        <w:pBdr>
          <w:top w:val="nil"/>
          <w:left w:val="nil"/>
          <w:bottom w:val="nil"/>
          <w:right w:val="nil"/>
          <w:between w:val="nil"/>
        </w:pBdr>
        <w:spacing w:after="120"/>
        <w:rPr>
          <w:color w:val="000000"/>
        </w:rPr>
        <w:sectPr w:rsidSect="00444967">
          <w:pgSz w:w="12240" w:h="15840" w:code="1"/>
          <w:pgMar w:top="1440" w:right="1440" w:bottom="1440" w:left="1440" w:header="0" w:footer="720" w:gutter="0"/>
          <w:cols w:space="720"/>
          <w:docGrid w:linePitch="326"/>
        </w:sectPr>
      </w:pPr>
    </w:p>
    <w:p w:rsidR="00441FDC" w:rsidP="00A723A3" w14:paraId="0E74D5C0" w14:textId="1B7C9ABC">
      <w:pPr>
        <w:pStyle w:val="Heading2"/>
        <w:numPr>
          <w:ilvl w:val="0"/>
          <w:numId w:val="27"/>
        </w:numPr>
      </w:pPr>
      <w:r w:rsidRPr="00FA6F35">
        <w:t>Explain the reasons for any program changes or adjustments reported in ROCIS.</w:t>
      </w:r>
    </w:p>
    <w:p w:rsidR="00444967" w:rsidP="00444967" w14:paraId="1BE203FA" w14:textId="77777777"/>
    <w:p w:rsidR="00444967" w:rsidP="00444967" w14:paraId="6C9A8DE2" w14:textId="63E29375">
      <w:r>
        <w:t>Program changes and adjustments</w:t>
      </w:r>
      <w:r w:rsidRPr="00663C79">
        <w:t xml:space="preserve"> to previously approved PCTC program information collections are</w:t>
      </w:r>
      <w:r>
        <w:t xml:space="preserve"> </w:t>
      </w:r>
      <w:r w:rsidRPr="00663C79">
        <w:t xml:space="preserve">summarized in the table below. In short, three collections were removed and two of the four remaining collections were revised to allow email submission. </w:t>
      </w:r>
      <w:r>
        <w:t>The changes are due to three factors: 1) reduced number of respondents since program inception, 2) removal of forms that are no longer needed or used in the program, and 3) reduced burden by adding electronic (email) submission to forms</w:t>
      </w:r>
      <w:r w:rsidRPr="00663C79">
        <w:t xml:space="preserve">. </w:t>
      </w:r>
      <w:r>
        <w:t xml:space="preserve">These changes are also explained in Question </w:t>
      </w:r>
      <w:r>
        <w:fldChar w:fldCharType="begin"/>
      </w:r>
      <w:r>
        <w:instrText xml:space="preserve"> REF _Ref209431271 \n \h </w:instrText>
      </w:r>
      <w:r>
        <w:fldChar w:fldCharType="separate"/>
      </w:r>
      <w:r>
        <w:t>2</w:t>
      </w:r>
      <w:r>
        <w:fldChar w:fldCharType="end"/>
      </w:r>
      <w:r>
        <w:t xml:space="preserve">. </w:t>
      </w:r>
    </w:p>
    <w:p w:rsidR="00444967" w:rsidRPr="00444967" w:rsidP="00444967" w14:paraId="7EB3890D" w14:textId="77777777"/>
    <w:tbl>
      <w:tblPr>
        <w:tblStyle w:val="a3"/>
        <w:tblW w:w="13638" w:type="dxa"/>
        <w:jc w:val="center"/>
        <w:tblLayout w:type="fixed"/>
        <w:tblLook w:val="0400"/>
      </w:tblPr>
      <w:tblGrid>
        <w:gridCol w:w="3133"/>
        <w:gridCol w:w="898"/>
        <w:gridCol w:w="898"/>
        <w:gridCol w:w="987"/>
        <w:gridCol w:w="988"/>
        <w:gridCol w:w="1347"/>
        <w:gridCol w:w="1526"/>
        <w:gridCol w:w="3861"/>
      </w:tblGrid>
      <w:tr w14:paraId="3F42270C" w14:textId="77777777" w:rsidTr="00444967">
        <w:tblPrEx>
          <w:tblW w:w="13638" w:type="dxa"/>
          <w:jc w:val="center"/>
          <w:tblLayout w:type="fixed"/>
          <w:tblLook w:val="0400"/>
        </w:tblPrEx>
        <w:trPr>
          <w:trHeight w:val="217"/>
          <w:jc w:val="center"/>
        </w:trPr>
        <w:tc>
          <w:tcPr>
            <w:tcW w:w="3133"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A56D06" w:rsidP="00444967" w14:paraId="4AA7F551"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796" w:type="dxa"/>
            <w:gridSpan w:val="2"/>
            <w:tcBorders>
              <w:top w:val="single" w:sz="8" w:space="0" w:color="000000"/>
              <w:left w:val="nil"/>
              <w:bottom w:val="single" w:sz="8" w:space="0" w:color="000000"/>
              <w:right w:val="single" w:sz="8" w:space="0" w:color="000000"/>
            </w:tcBorders>
            <w:shd w:val="clear" w:color="auto" w:fill="5B9BD5"/>
            <w:vAlign w:val="center"/>
          </w:tcPr>
          <w:p w:rsidR="00A56D06" w:rsidP="00444967" w14:paraId="287AEF35" w14:textId="77777777">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975" w:type="dxa"/>
            <w:gridSpan w:val="2"/>
            <w:tcBorders>
              <w:top w:val="single" w:sz="8" w:space="0" w:color="000000"/>
              <w:left w:val="nil"/>
              <w:bottom w:val="single" w:sz="8" w:space="0" w:color="000000"/>
              <w:right w:val="single" w:sz="8" w:space="0" w:color="000000"/>
            </w:tcBorders>
            <w:shd w:val="clear" w:color="auto" w:fill="5B9BD5"/>
            <w:vAlign w:val="center"/>
          </w:tcPr>
          <w:p w:rsidR="00A56D06" w:rsidP="00444967" w14:paraId="0F37825F" w14:textId="77777777">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873" w:type="dxa"/>
            <w:gridSpan w:val="2"/>
            <w:tcBorders>
              <w:top w:val="single" w:sz="8" w:space="0" w:color="000000"/>
              <w:left w:val="nil"/>
              <w:bottom w:val="single" w:sz="8" w:space="0" w:color="000000"/>
              <w:right w:val="single" w:sz="8" w:space="0" w:color="000000"/>
            </w:tcBorders>
            <w:shd w:val="clear" w:color="auto" w:fill="5B9BD5"/>
            <w:vAlign w:val="center"/>
          </w:tcPr>
          <w:p w:rsidR="00A56D06" w:rsidP="00444967" w14:paraId="5F91403D" w14:textId="77777777">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386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A56D06" w:rsidP="00444967" w14:paraId="625A5A2C"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3FEB7325" w14:textId="77777777" w:rsidTr="00444967">
        <w:tblPrEx>
          <w:tblW w:w="13638" w:type="dxa"/>
          <w:jc w:val="center"/>
          <w:tblLayout w:type="fixed"/>
          <w:tblLook w:val="0400"/>
        </w:tblPrEx>
        <w:trPr>
          <w:trHeight w:val="476"/>
          <w:jc w:val="center"/>
        </w:trPr>
        <w:tc>
          <w:tcPr>
            <w:tcW w:w="3133"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A56D06" w:rsidP="00444967" w14:paraId="67E0C1C3" w14:textId="77777777">
            <w:pPr>
              <w:pBdr>
                <w:top w:val="nil"/>
                <w:left w:val="nil"/>
                <w:bottom w:val="nil"/>
                <w:right w:val="nil"/>
                <w:between w:val="nil"/>
              </w:pBdr>
              <w:spacing w:after="120"/>
              <w:rPr>
                <w:rFonts w:ascii="Calibri" w:eastAsia="Calibri" w:hAnsi="Calibri" w:cs="Calibri"/>
                <w:b/>
                <w:color w:val="000000"/>
                <w:sz w:val="16"/>
                <w:szCs w:val="16"/>
              </w:rPr>
            </w:pPr>
          </w:p>
        </w:tc>
        <w:tc>
          <w:tcPr>
            <w:tcW w:w="898" w:type="dxa"/>
            <w:tcBorders>
              <w:top w:val="nil"/>
              <w:left w:val="nil"/>
              <w:bottom w:val="single" w:sz="8" w:space="0" w:color="000000"/>
              <w:right w:val="dashed" w:sz="8" w:space="0" w:color="000000"/>
            </w:tcBorders>
            <w:shd w:val="clear" w:color="auto" w:fill="FBE4D5"/>
            <w:vAlign w:val="center"/>
          </w:tcPr>
          <w:p w:rsidR="00A56D06" w:rsidP="00444967" w14:paraId="34763DD7"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898" w:type="dxa"/>
            <w:tcBorders>
              <w:top w:val="nil"/>
              <w:left w:val="nil"/>
              <w:bottom w:val="single" w:sz="8" w:space="0" w:color="000000"/>
              <w:right w:val="single" w:sz="8" w:space="0" w:color="000000"/>
            </w:tcBorders>
            <w:shd w:val="clear" w:color="auto" w:fill="FBE4D5"/>
            <w:vAlign w:val="center"/>
          </w:tcPr>
          <w:p w:rsidR="00A56D06" w:rsidP="00444967" w14:paraId="372F3F71"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87" w:type="dxa"/>
            <w:tcBorders>
              <w:top w:val="nil"/>
              <w:left w:val="nil"/>
              <w:bottom w:val="single" w:sz="8" w:space="0" w:color="000000"/>
              <w:right w:val="dashed" w:sz="8" w:space="0" w:color="000000"/>
            </w:tcBorders>
            <w:shd w:val="clear" w:color="auto" w:fill="FBE4D5"/>
            <w:vAlign w:val="center"/>
          </w:tcPr>
          <w:p w:rsidR="00A56D06" w:rsidP="00444967" w14:paraId="2AA19FD4"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88" w:type="dxa"/>
            <w:tcBorders>
              <w:top w:val="nil"/>
              <w:left w:val="nil"/>
              <w:bottom w:val="single" w:sz="8" w:space="0" w:color="000000"/>
              <w:right w:val="single" w:sz="8" w:space="0" w:color="000000"/>
            </w:tcBorders>
            <w:shd w:val="clear" w:color="auto" w:fill="FBE4D5"/>
            <w:vAlign w:val="center"/>
          </w:tcPr>
          <w:p w:rsidR="00A56D06" w:rsidP="00444967" w14:paraId="157D5053"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347" w:type="dxa"/>
            <w:tcBorders>
              <w:top w:val="nil"/>
              <w:left w:val="nil"/>
              <w:bottom w:val="single" w:sz="8" w:space="0" w:color="000000"/>
              <w:right w:val="dashed" w:sz="8" w:space="0" w:color="000000"/>
            </w:tcBorders>
            <w:shd w:val="clear" w:color="auto" w:fill="FBE4D5"/>
            <w:vAlign w:val="center"/>
          </w:tcPr>
          <w:p w:rsidR="00A56D06" w:rsidP="00444967" w14:paraId="037F3E7F"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526" w:type="dxa"/>
            <w:tcBorders>
              <w:top w:val="nil"/>
              <w:left w:val="nil"/>
              <w:bottom w:val="single" w:sz="8" w:space="0" w:color="000000"/>
              <w:right w:val="single" w:sz="8" w:space="0" w:color="000000"/>
            </w:tcBorders>
            <w:shd w:val="clear" w:color="auto" w:fill="FBE4D5"/>
            <w:vAlign w:val="center"/>
          </w:tcPr>
          <w:p w:rsidR="00A56D06" w:rsidP="00444967" w14:paraId="438D4668"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386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A56D06" w:rsidP="00444967" w14:paraId="1DD2ED6F" w14:textId="77777777">
            <w:pPr>
              <w:pBdr>
                <w:top w:val="nil"/>
                <w:left w:val="nil"/>
                <w:bottom w:val="nil"/>
                <w:right w:val="nil"/>
                <w:between w:val="nil"/>
              </w:pBdr>
              <w:spacing w:after="120"/>
              <w:rPr>
                <w:rFonts w:ascii="Calibri" w:eastAsia="Calibri" w:hAnsi="Calibri" w:cs="Calibri"/>
                <w:color w:val="000000"/>
                <w:sz w:val="16"/>
                <w:szCs w:val="16"/>
              </w:rPr>
            </w:pPr>
          </w:p>
        </w:tc>
      </w:tr>
      <w:tr w14:paraId="1E75FC99" w14:textId="77777777" w:rsidTr="00444967">
        <w:tblPrEx>
          <w:tblW w:w="13638" w:type="dxa"/>
          <w:jc w:val="center"/>
          <w:tblLayout w:type="fixed"/>
          <w:tblLook w:val="0400"/>
        </w:tblPrEx>
        <w:trPr>
          <w:trHeight w:val="217"/>
          <w:jc w:val="center"/>
        </w:trPr>
        <w:tc>
          <w:tcPr>
            <w:tcW w:w="3133"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B148E9" w:rsidRPr="00DC4100" w:rsidP="00444967" w14:paraId="46AD38A5" w14:textId="77777777">
            <w:pPr>
              <w:widowControl/>
              <w:spacing w:after="120"/>
              <w:rPr>
                <w:rFonts w:ascii="Calibri" w:eastAsia="Calibri" w:hAnsi="Calibri" w:cs="Calibri"/>
                <w:color w:val="000000"/>
                <w:sz w:val="16"/>
                <w:szCs w:val="16"/>
              </w:rPr>
            </w:pPr>
            <w:r w:rsidRPr="00DC4100">
              <w:rPr>
                <w:rFonts w:ascii="Calibri" w:eastAsia="Calibri" w:hAnsi="Calibri" w:cs="Calibri"/>
                <w:color w:val="000000"/>
                <w:sz w:val="16"/>
                <w:szCs w:val="16"/>
              </w:rPr>
              <w:t xml:space="preserve"> Application for </w:t>
            </w:r>
            <w:r>
              <w:rPr>
                <w:rFonts w:ascii="Calibri" w:eastAsia="Calibri" w:hAnsi="Calibri" w:cs="Calibri"/>
                <w:color w:val="000000"/>
                <w:sz w:val="16"/>
                <w:szCs w:val="16"/>
              </w:rPr>
              <w:t>PCTC Program QS</w:t>
            </w:r>
          </w:p>
        </w:tc>
        <w:tc>
          <w:tcPr>
            <w:tcW w:w="898"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7E62E27C"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98"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3297B95E"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36</w:t>
            </w:r>
          </w:p>
        </w:tc>
        <w:tc>
          <w:tcPr>
            <w:tcW w:w="987"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01AF0A9E"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88"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3336FD1B" w14:textId="3663FDC9">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36</w:t>
            </w:r>
          </w:p>
        </w:tc>
        <w:tc>
          <w:tcPr>
            <w:tcW w:w="1347"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5F98C701"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1526"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03176C2D" w14:textId="7893FBFB">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72</w:t>
            </w:r>
          </w:p>
        </w:tc>
        <w:tc>
          <w:tcPr>
            <w:tcW w:w="3861"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349DA2A9" w14:textId="52FEE6C2">
            <w:pPr>
              <w:widowControl/>
              <w:spacing w:after="120"/>
              <w:rPr>
                <w:rFonts w:ascii="Calibri" w:eastAsia="Calibri" w:hAnsi="Calibri" w:cs="Calibri"/>
                <w:color w:val="000000"/>
                <w:sz w:val="16"/>
                <w:szCs w:val="16"/>
              </w:rPr>
            </w:pPr>
            <w:r>
              <w:rPr>
                <w:rFonts w:ascii="Calibri" w:eastAsia="Calibri" w:hAnsi="Calibri" w:cs="Calibri"/>
                <w:sz w:val="16"/>
                <w:szCs w:val="16"/>
              </w:rPr>
              <w:t xml:space="preserve">Program Change – form no longer used and is removed from this collection. </w:t>
            </w:r>
          </w:p>
        </w:tc>
      </w:tr>
      <w:tr w14:paraId="0E1BA567" w14:textId="77777777" w:rsidTr="00444967">
        <w:tblPrEx>
          <w:tblW w:w="13638" w:type="dxa"/>
          <w:jc w:val="center"/>
          <w:tblLayout w:type="fixed"/>
          <w:tblLook w:val="0400"/>
        </w:tblPrEx>
        <w:trPr>
          <w:trHeight w:val="217"/>
          <w:jc w:val="center"/>
        </w:trPr>
        <w:tc>
          <w:tcPr>
            <w:tcW w:w="3133" w:type="dxa"/>
            <w:tcBorders>
              <w:top w:val="nil"/>
              <w:left w:val="single" w:sz="8" w:space="0" w:color="000000"/>
              <w:bottom w:val="single" w:sz="8" w:space="0" w:color="000000"/>
              <w:right w:val="single" w:sz="8" w:space="0" w:color="000000"/>
            </w:tcBorders>
            <w:vAlign w:val="center"/>
          </w:tcPr>
          <w:p w:rsidR="00A56D06" w:rsidRPr="00DC4100" w:rsidP="00444967" w14:paraId="2F6843D6"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Application for PCTC Program CQ</w:t>
            </w:r>
          </w:p>
        </w:tc>
        <w:tc>
          <w:tcPr>
            <w:tcW w:w="898" w:type="dxa"/>
            <w:tcBorders>
              <w:top w:val="nil"/>
              <w:left w:val="nil"/>
              <w:bottom w:val="dotted" w:sz="4" w:space="0" w:color="000000"/>
              <w:right w:val="dashed" w:sz="8" w:space="0" w:color="000000"/>
            </w:tcBorders>
            <w:vAlign w:val="center"/>
          </w:tcPr>
          <w:p w:rsidR="00A56D06" w:rsidP="00444967" w14:paraId="4DFF42CE"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898" w:type="dxa"/>
            <w:tcBorders>
              <w:top w:val="nil"/>
              <w:left w:val="nil"/>
              <w:bottom w:val="dotted" w:sz="4" w:space="0" w:color="000000"/>
              <w:right w:val="single" w:sz="8" w:space="0" w:color="000000"/>
            </w:tcBorders>
            <w:vAlign w:val="center"/>
          </w:tcPr>
          <w:p w:rsidR="00A56D06" w:rsidP="00444967" w14:paraId="54B2BF69"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87" w:type="dxa"/>
            <w:tcBorders>
              <w:top w:val="nil"/>
              <w:left w:val="nil"/>
              <w:bottom w:val="dotted" w:sz="4" w:space="0" w:color="000000"/>
              <w:right w:val="dashed" w:sz="8" w:space="0" w:color="000000"/>
            </w:tcBorders>
            <w:vAlign w:val="center"/>
          </w:tcPr>
          <w:p w:rsidR="00A56D06" w:rsidP="00444967" w14:paraId="68661288" w14:textId="5CF7ABAA">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88" w:type="dxa"/>
            <w:tcBorders>
              <w:top w:val="nil"/>
              <w:left w:val="nil"/>
              <w:bottom w:val="dotted" w:sz="4" w:space="0" w:color="000000"/>
              <w:right w:val="single" w:sz="8" w:space="0" w:color="000000"/>
            </w:tcBorders>
            <w:vAlign w:val="center"/>
          </w:tcPr>
          <w:p w:rsidR="00A56D06" w:rsidP="00444967" w14:paraId="2EE1E11F" w14:textId="43A9C9A0">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1347" w:type="dxa"/>
            <w:tcBorders>
              <w:top w:val="nil"/>
              <w:left w:val="nil"/>
              <w:bottom w:val="dotted" w:sz="4" w:space="0" w:color="000000"/>
              <w:right w:val="dashed" w:sz="8" w:space="0" w:color="000000"/>
            </w:tcBorders>
            <w:vAlign w:val="center"/>
          </w:tcPr>
          <w:p w:rsidR="00A56D06" w:rsidP="00444967" w14:paraId="2A862373" w14:textId="4FC5AE16">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1526" w:type="dxa"/>
            <w:tcBorders>
              <w:top w:val="nil"/>
              <w:left w:val="nil"/>
              <w:bottom w:val="dotted" w:sz="4" w:space="0" w:color="000000"/>
              <w:right w:val="single" w:sz="8" w:space="0" w:color="000000"/>
            </w:tcBorders>
            <w:vAlign w:val="center"/>
          </w:tcPr>
          <w:p w:rsidR="00A56D06" w:rsidP="00444967" w14:paraId="770ACDAA" w14:textId="4AB10116">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3861" w:type="dxa"/>
            <w:tcBorders>
              <w:top w:val="nil"/>
              <w:left w:val="nil"/>
              <w:bottom w:val="dotted" w:sz="4" w:space="0" w:color="000000"/>
              <w:right w:val="single" w:sz="8" w:space="0" w:color="000000"/>
            </w:tcBorders>
            <w:vAlign w:val="center"/>
          </w:tcPr>
          <w:p w:rsidR="00A56D06" w:rsidP="00444967" w14:paraId="7480D942"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Adjustment -- This collection now allows email submission; reduced respondents.</w:t>
            </w:r>
          </w:p>
        </w:tc>
      </w:tr>
      <w:tr w14:paraId="3AC7186D" w14:textId="77777777" w:rsidTr="00444967">
        <w:tblPrEx>
          <w:tblW w:w="13638" w:type="dxa"/>
          <w:jc w:val="center"/>
          <w:tblLayout w:type="fixed"/>
          <w:tblLook w:val="0400"/>
        </w:tblPrEx>
        <w:trPr>
          <w:trHeight w:val="217"/>
          <w:jc w:val="center"/>
        </w:trPr>
        <w:tc>
          <w:tcPr>
            <w:tcW w:w="3133" w:type="dxa"/>
            <w:tcBorders>
              <w:top w:val="nil"/>
              <w:left w:val="single" w:sz="8" w:space="0" w:color="000000"/>
              <w:bottom w:val="single" w:sz="8" w:space="0" w:color="000000"/>
              <w:right w:val="single" w:sz="8" w:space="0" w:color="000000"/>
            </w:tcBorders>
            <w:vAlign w:val="center"/>
          </w:tcPr>
          <w:p w:rsidR="00A56D06" w:rsidRPr="00DC4100" w:rsidP="00444967" w14:paraId="55A50D99"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Application for Inter-Cooperative Transfer of PCTC Program CQ</w:t>
            </w:r>
          </w:p>
        </w:tc>
        <w:tc>
          <w:tcPr>
            <w:tcW w:w="898" w:type="dxa"/>
            <w:tcBorders>
              <w:top w:val="nil"/>
              <w:left w:val="nil"/>
              <w:bottom w:val="dotted" w:sz="4" w:space="0" w:color="000000"/>
              <w:right w:val="dashed" w:sz="8" w:space="0" w:color="000000"/>
            </w:tcBorders>
            <w:vAlign w:val="center"/>
          </w:tcPr>
          <w:p w:rsidR="00A56D06" w:rsidP="00444967" w14:paraId="380794BA" w14:textId="1896F8FD">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898" w:type="dxa"/>
            <w:tcBorders>
              <w:top w:val="nil"/>
              <w:left w:val="nil"/>
              <w:bottom w:val="dotted" w:sz="4" w:space="0" w:color="000000"/>
              <w:right w:val="single" w:sz="8" w:space="0" w:color="000000"/>
            </w:tcBorders>
            <w:vAlign w:val="center"/>
          </w:tcPr>
          <w:p w:rsidR="00A56D06" w:rsidP="00444967" w14:paraId="15E17DDD" w14:textId="4D477F7E">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87" w:type="dxa"/>
            <w:tcBorders>
              <w:top w:val="nil"/>
              <w:left w:val="nil"/>
              <w:bottom w:val="dotted" w:sz="4" w:space="0" w:color="000000"/>
              <w:right w:val="dashed" w:sz="8" w:space="0" w:color="000000"/>
            </w:tcBorders>
            <w:vAlign w:val="center"/>
          </w:tcPr>
          <w:p w:rsidR="00A56D06" w:rsidP="00444967" w14:paraId="06A6360B" w14:textId="0501E449">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10</w:t>
            </w:r>
          </w:p>
        </w:tc>
        <w:tc>
          <w:tcPr>
            <w:tcW w:w="988" w:type="dxa"/>
            <w:tcBorders>
              <w:top w:val="nil"/>
              <w:left w:val="nil"/>
              <w:bottom w:val="dotted" w:sz="4" w:space="0" w:color="000000"/>
              <w:right w:val="single" w:sz="8" w:space="0" w:color="000000"/>
            </w:tcBorders>
            <w:vAlign w:val="center"/>
          </w:tcPr>
          <w:p w:rsidR="00A56D06" w:rsidP="00444967" w14:paraId="317404A9" w14:textId="4FE18BEF">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30</w:t>
            </w:r>
          </w:p>
        </w:tc>
        <w:tc>
          <w:tcPr>
            <w:tcW w:w="1347" w:type="dxa"/>
            <w:tcBorders>
              <w:top w:val="nil"/>
              <w:left w:val="nil"/>
              <w:bottom w:val="dotted" w:sz="4" w:space="0" w:color="000000"/>
              <w:right w:val="dashed" w:sz="8" w:space="0" w:color="000000"/>
            </w:tcBorders>
            <w:vAlign w:val="center"/>
          </w:tcPr>
          <w:p w:rsidR="00A56D06" w:rsidP="00444967" w14:paraId="4AE397DE" w14:textId="390EE651">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526" w:type="dxa"/>
            <w:tcBorders>
              <w:top w:val="nil"/>
              <w:left w:val="nil"/>
              <w:bottom w:val="dotted" w:sz="4" w:space="0" w:color="000000"/>
              <w:right w:val="single" w:sz="8" w:space="0" w:color="000000"/>
            </w:tcBorders>
            <w:vAlign w:val="center"/>
          </w:tcPr>
          <w:p w:rsidR="00A56D06" w:rsidP="00444967" w14:paraId="1845FCA3" w14:textId="253ABA18">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3861" w:type="dxa"/>
            <w:tcBorders>
              <w:top w:val="nil"/>
              <w:left w:val="nil"/>
              <w:bottom w:val="dotted" w:sz="4" w:space="0" w:color="000000"/>
              <w:right w:val="single" w:sz="8" w:space="0" w:color="000000"/>
            </w:tcBorders>
            <w:vAlign w:val="center"/>
          </w:tcPr>
          <w:p w:rsidR="00A56D06" w:rsidP="00444967" w14:paraId="4FF9BCA6"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Adjustment – reduced respondents.</w:t>
            </w:r>
          </w:p>
        </w:tc>
      </w:tr>
      <w:tr w14:paraId="296A6D05" w14:textId="77777777" w:rsidTr="00444967">
        <w:tblPrEx>
          <w:tblW w:w="13638" w:type="dxa"/>
          <w:jc w:val="center"/>
          <w:tblLayout w:type="fixed"/>
          <w:tblLook w:val="0400"/>
        </w:tblPrEx>
        <w:trPr>
          <w:trHeight w:val="403"/>
          <w:jc w:val="center"/>
        </w:trPr>
        <w:tc>
          <w:tcPr>
            <w:tcW w:w="3133" w:type="dxa"/>
            <w:tcBorders>
              <w:top w:val="nil"/>
              <w:left w:val="single" w:sz="8" w:space="0" w:color="000000"/>
              <w:bottom w:val="single" w:sz="8" w:space="0" w:color="000000"/>
              <w:right w:val="single" w:sz="8" w:space="0" w:color="000000"/>
            </w:tcBorders>
            <w:vAlign w:val="center"/>
          </w:tcPr>
          <w:p w:rsidR="00A56D06" w:rsidRPr="00DC4100" w:rsidP="00444967" w14:paraId="0300EB90"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Application for Transfer of PCTC Program QS for Processors</w:t>
            </w:r>
          </w:p>
        </w:tc>
        <w:tc>
          <w:tcPr>
            <w:tcW w:w="898" w:type="dxa"/>
            <w:tcBorders>
              <w:top w:val="nil"/>
              <w:left w:val="nil"/>
              <w:bottom w:val="dotted" w:sz="4" w:space="0" w:color="000000"/>
              <w:right w:val="dashed" w:sz="8" w:space="0" w:color="000000"/>
            </w:tcBorders>
            <w:vAlign w:val="center"/>
          </w:tcPr>
          <w:p w:rsidR="00A56D06" w:rsidP="00444967" w14:paraId="55599E3F"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898" w:type="dxa"/>
            <w:tcBorders>
              <w:top w:val="nil"/>
              <w:left w:val="nil"/>
              <w:bottom w:val="dotted" w:sz="4" w:space="0" w:color="000000"/>
              <w:right w:val="single" w:sz="8" w:space="0" w:color="000000"/>
            </w:tcBorders>
            <w:vAlign w:val="center"/>
          </w:tcPr>
          <w:p w:rsidR="00A56D06" w:rsidP="00444967" w14:paraId="6A18B3CC"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87" w:type="dxa"/>
            <w:tcBorders>
              <w:top w:val="nil"/>
              <w:left w:val="nil"/>
              <w:bottom w:val="dotted" w:sz="4" w:space="0" w:color="000000"/>
              <w:right w:val="dashed" w:sz="8" w:space="0" w:color="000000"/>
            </w:tcBorders>
            <w:vAlign w:val="center"/>
          </w:tcPr>
          <w:p w:rsidR="00A56D06" w:rsidP="00444967" w14:paraId="50B692F1"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88" w:type="dxa"/>
            <w:tcBorders>
              <w:top w:val="nil"/>
              <w:left w:val="nil"/>
              <w:bottom w:val="dotted" w:sz="4" w:space="0" w:color="000000"/>
              <w:right w:val="single" w:sz="8" w:space="0" w:color="000000"/>
            </w:tcBorders>
            <w:vAlign w:val="center"/>
          </w:tcPr>
          <w:p w:rsidR="00A56D06" w:rsidP="00444967" w14:paraId="07300EBB"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47" w:type="dxa"/>
            <w:tcBorders>
              <w:top w:val="nil"/>
              <w:left w:val="nil"/>
              <w:bottom w:val="dotted" w:sz="4" w:space="0" w:color="000000"/>
              <w:right w:val="dashed" w:sz="8" w:space="0" w:color="000000"/>
            </w:tcBorders>
            <w:vAlign w:val="center"/>
          </w:tcPr>
          <w:p w:rsidR="00A56D06" w:rsidP="00444967" w14:paraId="59B1D3FB" w14:textId="51996E48">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526" w:type="dxa"/>
            <w:tcBorders>
              <w:top w:val="nil"/>
              <w:left w:val="nil"/>
              <w:bottom w:val="dotted" w:sz="4" w:space="0" w:color="000000"/>
              <w:right w:val="single" w:sz="8" w:space="0" w:color="000000"/>
            </w:tcBorders>
            <w:vAlign w:val="center"/>
          </w:tcPr>
          <w:p w:rsidR="00A56D06" w:rsidP="00444967" w14:paraId="161E18EE" w14:textId="05DF24D5">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3861" w:type="dxa"/>
            <w:tcBorders>
              <w:top w:val="nil"/>
              <w:left w:val="nil"/>
              <w:bottom w:val="dotted" w:sz="4" w:space="0" w:color="000000"/>
              <w:right w:val="single" w:sz="8" w:space="0" w:color="000000"/>
            </w:tcBorders>
            <w:vAlign w:val="center"/>
          </w:tcPr>
          <w:p w:rsidR="00A56D06" w:rsidP="00444967" w14:paraId="1BAF26A6" w14:textId="749B987B">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No change.</w:t>
            </w:r>
            <w:r w:rsidR="0030741E">
              <w:rPr>
                <w:rFonts w:ascii="Calibri" w:eastAsia="Calibri" w:hAnsi="Calibri" w:cs="Calibri"/>
                <w:color w:val="000000"/>
                <w:sz w:val="16"/>
                <w:szCs w:val="16"/>
              </w:rPr>
              <w:t xml:space="preserve"> </w:t>
            </w:r>
          </w:p>
        </w:tc>
      </w:tr>
      <w:tr w14:paraId="122AFCC4" w14:textId="77777777" w:rsidTr="00444967">
        <w:tblPrEx>
          <w:tblW w:w="13638" w:type="dxa"/>
          <w:jc w:val="center"/>
          <w:tblLayout w:type="fixed"/>
          <w:tblLook w:val="0400"/>
        </w:tblPrEx>
        <w:trPr>
          <w:trHeight w:val="399"/>
          <w:jc w:val="center"/>
        </w:trPr>
        <w:tc>
          <w:tcPr>
            <w:tcW w:w="3133" w:type="dxa"/>
            <w:tcBorders>
              <w:top w:val="nil"/>
              <w:left w:val="single" w:sz="8" w:space="0" w:color="000000"/>
              <w:bottom w:val="single" w:sz="8" w:space="0" w:color="000000"/>
              <w:right w:val="single" w:sz="8" w:space="0" w:color="000000"/>
            </w:tcBorders>
            <w:vAlign w:val="center"/>
          </w:tcPr>
          <w:p w:rsidR="00A56D06" w:rsidRPr="00DC4100" w:rsidP="00444967" w14:paraId="72E533ED" w14:textId="77777777">
            <w:pPr>
              <w:widowControl/>
              <w:spacing w:after="120"/>
              <w:rPr>
                <w:rFonts w:ascii="Calibri" w:eastAsia="Calibri" w:hAnsi="Calibri" w:cs="Calibri"/>
                <w:color w:val="000000"/>
                <w:sz w:val="16"/>
                <w:szCs w:val="16"/>
              </w:rPr>
            </w:pPr>
            <w:r w:rsidRPr="00DC4100">
              <w:rPr>
                <w:rFonts w:ascii="Calibri" w:eastAsia="Calibri" w:hAnsi="Calibri" w:cs="Calibri"/>
                <w:color w:val="000000"/>
                <w:sz w:val="16"/>
                <w:szCs w:val="16"/>
              </w:rPr>
              <w:t> </w:t>
            </w:r>
            <w:r>
              <w:rPr>
                <w:rFonts w:ascii="Calibri" w:eastAsia="Calibri" w:hAnsi="Calibri" w:cs="Calibri"/>
                <w:color w:val="000000"/>
                <w:sz w:val="16"/>
                <w:szCs w:val="16"/>
              </w:rPr>
              <w:t>Notification of Intent to Process Pacific cod</w:t>
            </w:r>
          </w:p>
        </w:tc>
        <w:tc>
          <w:tcPr>
            <w:tcW w:w="898" w:type="dxa"/>
            <w:tcBorders>
              <w:top w:val="nil"/>
              <w:left w:val="nil"/>
              <w:bottom w:val="dotted" w:sz="4" w:space="0" w:color="000000"/>
              <w:right w:val="dashed" w:sz="8" w:space="0" w:color="000000"/>
            </w:tcBorders>
            <w:vAlign w:val="center"/>
          </w:tcPr>
          <w:p w:rsidR="00A56D06" w:rsidP="00444967" w14:paraId="5E060681"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898" w:type="dxa"/>
            <w:tcBorders>
              <w:top w:val="nil"/>
              <w:left w:val="nil"/>
              <w:bottom w:val="dotted" w:sz="4" w:space="0" w:color="000000"/>
              <w:right w:val="single" w:sz="8" w:space="0" w:color="000000"/>
            </w:tcBorders>
            <w:vAlign w:val="center"/>
          </w:tcPr>
          <w:p w:rsidR="00A56D06" w:rsidP="00444967" w14:paraId="28346300"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987" w:type="dxa"/>
            <w:tcBorders>
              <w:top w:val="nil"/>
              <w:left w:val="nil"/>
              <w:bottom w:val="dotted" w:sz="4" w:space="0" w:color="000000"/>
              <w:right w:val="dashed" w:sz="8" w:space="0" w:color="000000"/>
            </w:tcBorders>
            <w:vAlign w:val="center"/>
          </w:tcPr>
          <w:p w:rsidR="00A56D06" w:rsidP="00444967" w14:paraId="7CC6AC32"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988" w:type="dxa"/>
            <w:tcBorders>
              <w:top w:val="nil"/>
              <w:left w:val="nil"/>
              <w:bottom w:val="dotted" w:sz="4" w:space="0" w:color="000000"/>
              <w:right w:val="single" w:sz="8" w:space="0" w:color="000000"/>
            </w:tcBorders>
            <w:vAlign w:val="center"/>
          </w:tcPr>
          <w:p w:rsidR="00A56D06" w:rsidP="00444967" w14:paraId="6CC8F904"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47" w:type="dxa"/>
            <w:tcBorders>
              <w:top w:val="nil"/>
              <w:left w:val="nil"/>
              <w:bottom w:val="dotted" w:sz="4" w:space="0" w:color="000000"/>
              <w:right w:val="dashed" w:sz="8" w:space="0" w:color="000000"/>
            </w:tcBorders>
            <w:vAlign w:val="center"/>
          </w:tcPr>
          <w:p w:rsidR="00A56D06" w:rsidP="00444967" w14:paraId="7505FC38" w14:textId="4B4973DC">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526" w:type="dxa"/>
            <w:tcBorders>
              <w:top w:val="nil"/>
              <w:left w:val="nil"/>
              <w:bottom w:val="dotted" w:sz="4" w:space="0" w:color="000000"/>
              <w:right w:val="single" w:sz="8" w:space="0" w:color="000000"/>
            </w:tcBorders>
            <w:vAlign w:val="center"/>
          </w:tcPr>
          <w:p w:rsidR="00A56D06" w:rsidP="00444967" w14:paraId="01A9F499" w14:textId="351ECDE1">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3861" w:type="dxa"/>
            <w:tcBorders>
              <w:top w:val="nil"/>
              <w:left w:val="nil"/>
              <w:bottom w:val="dotted" w:sz="4" w:space="0" w:color="000000"/>
              <w:right w:val="single" w:sz="8" w:space="0" w:color="000000"/>
            </w:tcBorders>
            <w:vAlign w:val="center"/>
          </w:tcPr>
          <w:p w:rsidR="00A56D06" w:rsidP="00444967" w14:paraId="7019359F" w14:textId="7B9996E8">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No change.</w:t>
            </w:r>
          </w:p>
        </w:tc>
      </w:tr>
      <w:tr w14:paraId="2A095877" w14:textId="77777777" w:rsidTr="00444967">
        <w:tblPrEx>
          <w:tblW w:w="13638" w:type="dxa"/>
          <w:jc w:val="center"/>
          <w:tblLayout w:type="fixed"/>
          <w:tblLook w:val="0400"/>
        </w:tblPrEx>
        <w:trPr>
          <w:trHeight w:val="358"/>
          <w:jc w:val="center"/>
        </w:trPr>
        <w:tc>
          <w:tcPr>
            <w:tcW w:w="3133"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B148E9" w:rsidRPr="00DC4100" w:rsidP="00444967" w14:paraId="162FAEB7"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Ninety-Day Transfer Window for Non-Exempt AFA LLP holders</w:t>
            </w:r>
          </w:p>
        </w:tc>
        <w:tc>
          <w:tcPr>
            <w:tcW w:w="898"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3E4E6F35"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98"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620D1E17"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31</w:t>
            </w:r>
          </w:p>
        </w:tc>
        <w:tc>
          <w:tcPr>
            <w:tcW w:w="987"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2C485064"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88"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6D40E5B7" w14:textId="65DC7158">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31</w:t>
            </w:r>
          </w:p>
        </w:tc>
        <w:tc>
          <w:tcPr>
            <w:tcW w:w="1347"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6DB99211"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1526"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0325884C" w14:textId="2399FF1B">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62</w:t>
            </w:r>
          </w:p>
        </w:tc>
        <w:tc>
          <w:tcPr>
            <w:tcW w:w="3861"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51EA714C" w14:textId="1A81FB1E">
            <w:pPr>
              <w:widowControl/>
              <w:spacing w:after="120"/>
              <w:rPr>
                <w:rFonts w:ascii="Calibri" w:eastAsia="Calibri" w:hAnsi="Calibri" w:cs="Calibri"/>
                <w:color w:val="000000"/>
                <w:sz w:val="16"/>
                <w:szCs w:val="16"/>
              </w:rPr>
            </w:pPr>
            <w:r>
              <w:rPr>
                <w:rFonts w:ascii="Calibri" w:eastAsia="Calibri" w:hAnsi="Calibri" w:cs="Calibri"/>
                <w:sz w:val="16"/>
                <w:szCs w:val="16"/>
              </w:rPr>
              <w:t xml:space="preserve">Program Change – form no longer used and is removed from this collection. </w:t>
            </w:r>
          </w:p>
        </w:tc>
      </w:tr>
      <w:tr w14:paraId="4602E7AA" w14:textId="77777777" w:rsidTr="00444967">
        <w:tblPrEx>
          <w:tblW w:w="13638" w:type="dxa"/>
          <w:jc w:val="center"/>
          <w:tblLayout w:type="fixed"/>
          <w:tblLook w:val="0400"/>
        </w:tblPrEx>
        <w:trPr>
          <w:trHeight w:val="268"/>
          <w:jc w:val="center"/>
        </w:trPr>
        <w:tc>
          <w:tcPr>
            <w:tcW w:w="3133" w:type="dxa"/>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B148E9" w:rsidRPr="00DC4100" w:rsidP="00444967" w14:paraId="43938E45" w14:textId="77777777">
            <w:pPr>
              <w:widowControl/>
              <w:spacing w:after="120"/>
              <w:rPr>
                <w:rFonts w:ascii="Calibri" w:eastAsia="Calibri" w:hAnsi="Calibri" w:cs="Calibri"/>
                <w:color w:val="000000"/>
                <w:sz w:val="16"/>
                <w:szCs w:val="16"/>
              </w:rPr>
            </w:pPr>
            <w:r>
              <w:rPr>
                <w:rFonts w:ascii="Calibri" w:eastAsia="Calibri" w:hAnsi="Calibri" w:cs="Calibri"/>
                <w:color w:val="000000"/>
                <w:sz w:val="16"/>
                <w:szCs w:val="16"/>
              </w:rPr>
              <w:t>Appeals</w:t>
            </w:r>
          </w:p>
        </w:tc>
        <w:tc>
          <w:tcPr>
            <w:tcW w:w="898"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0EC5BA05"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898"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527E1A32"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87"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4ABFDBD6"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988"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3D617B42" w14:textId="61F9DB00">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347" w:type="dxa"/>
            <w:tcBorders>
              <w:top w:val="nil"/>
              <w:left w:val="nil"/>
              <w:bottom w:val="dotted" w:sz="4" w:space="0" w:color="000000"/>
              <w:right w:val="dashed" w:sz="8" w:space="0" w:color="000000"/>
            </w:tcBorders>
            <w:shd w:val="clear" w:color="auto" w:fill="D9D9D9" w:themeFill="background1" w:themeFillShade="D9"/>
            <w:vAlign w:val="center"/>
          </w:tcPr>
          <w:p w:rsidR="00B148E9" w:rsidP="00444967" w14:paraId="5FC256A3" w14:textId="77777777">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0</w:t>
            </w:r>
          </w:p>
        </w:tc>
        <w:tc>
          <w:tcPr>
            <w:tcW w:w="1526"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3D8285E1" w14:textId="702DC71E">
            <w:pPr>
              <w:widowControl/>
              <w:spacing w:after="120"/>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3861" w:type="dxa"/>
            <w:tcBorders>
              <w:top w:val="nil"/>
              <w:left w:val="nil"/>
              <w:bottom w:val="dotted" w:sz="4" w:space="0" w:color="000000"/>
              <w:right w:val="single" w:sz="8" w:space="0" w:color="000000"/>
            </w:tcBorders>
            <w:shd w:val="clear" w:color="auto" w:fill="D9D9D9" w:themeFill="background1" w:themeFillShade="D9"/>
            <w:vAlign w:val="center"/>
          </w:tcPr>
          <w:p w:rsidR="00B148E9" w:rsidP="00444967" w14:paraId="5356DA56" w14:textId="6B20D94B">
            <w:pPr>
              <w:widowControl/>
              <w:spacing w:after="120"/>
              <w:rPr>
                <w:rFonts w:ascii="Calibri" w:eastAsia="Calibri" w:hAnsi="Calibri" w:cs="Calibri"/>
                <w:color w:val="000000"/>
                <w:sz w:val="16"/>
                <w:szCs w:val="16"/>
              </w:rPr>
            </w:pPr>
            <w:r>
              <w:rPr>
                <w:rFonts w:ascii="Calibri" w:eastAsia="Calibri" w:hAnsi="Calibri" w:cs="Calibri"/>
                <w:sz w:val="16"/>
                <w:szCs w:val="16"/>
              </w:rPr>
              <w:t xml:space="preserve">Program Change – form no longer used and is removed from this collection. </w:t>
            </w:r>
          </w:p>
        </w:tc>
      </w:tr>
      <w:tr w14:paraId="7651F752" w14:textId="77777777" w:rsidTr="00444967">
        <w:tblPrEx>
          <w:tblW w:w="13638" w:type="dxa"/>
          <w:jc w:val="center"/>
          <w:tblLayout w:type="fixed"/>
          <w:tblLook w:val="0400"/>
        </w:tblPrEx>
        <w:trPr>
          <w:trHeight w:val="187"/>
          <w:jc w:val="center"/>
        </w:trPr>
        <w:tc>
          <w:tcPr>
            <w:tcW w:w="3133" w:type="dxa"/>
            <w:tcBorders>
              <w:top w:val="nil"/>
              <w:left w:val="single" w:sz="8" w:space="0" w:color="000000"/>
              <w:bottom w:val="nil"/>
              <w:right w:val="single" w:sz="8" w:space="0" w:color="000000"/>
            </w:tcBorders>
            <w:shd w:val="clear" w:color="auto" w:fill="BDD6EE"/>
            <w:vAlign w:val="center"/>
          </w:tcPr>
          <w:p w:rsidR="00A56D06" w:rsidP="00444967" w14:paraId="787E371A"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898" w:type="dxa"/>
            <w:tcBorders>
              <w:top w:val="nil"/>
              <w:left w:val="nil"/>
              <w:bottom w:val="nil"/>
              <w:right w:val="dashed" w:sz="8" w:space="0" w:color="000000"/>
            </w:tcBorders>
            <w:shd w:val="clear" w:color="auto" w:fill="BDD6EE"/>
            <w:vAlign w:val="center"/>
          </w:tcPr>
          <w:p w:rsidR="00A56D06" w:rsidP="00444967" w14:paraId="1D14D230" w14:textId="29513702">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898" w:type="dxa"/>
            <w:tcBorders>
              <w:top w:val="nil"/>
              <w:left w:val="nil"/>
              <w:bottom w:val="nil"/>
              <w:right w:val="single" w:sz="8" w:space="0" w:color="000000"/>
            </w:tcBorders>
            <w:shd w:val="clear" w:color="auto" w:fill="BDD6EE"/>
            <w:vAlign w:val="center"/>
          </w:tcPr>
          <w:p w:rsidR="00A56D06" w:rsidP="00444967" w14:paraId="42D04B16" w14:textId="571DBF0F">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95</w:t>
            </w:r>
          </w:p>
        </w:tc>
        <w:tc>
          <w:tcPr>
            <w:tcW w:w="987" w:type="dxa"/>
            <w:tcBorders>
              <w:top w:val="nil"/>
              <w:left w:val="nil"/>
              <w:bottom w:val="nil"/>
              <w:right w:val="dashed" w:sz="8" w:space="0" w:color="000000"/>
            </w:tcBorders>
            <w:shd w:val="clear" w:color="auto" w:fill="BDD6EE"/>
            <w:vAlign w:val="center"/>
          </w:tcPr>
          <w:p w:rsidR="00A56D06" w:rsidP="00444967" w14:paraId="4BDD680D" w14:textId="3CD2D21F">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B148E9">
              <w:rPr>
                <w:rFonts w:ascii="Calibri" w:eastAsia="Calibri" w:hAnsi="Calibri" w:cs="Calibri"/>
                <w:b/>
                <w:color w:val="000000"/>
                <w:sz w:val="16"/>
                <w:szCs w:val="16"/>
              </w:rPr>
              <w:t>7</w:t>
            </w:r>
          </w:p>
        </w:tc>
        <w:tc>
          <w:tcPr>
            <w:tcW w:w="988" w:type="dxa"/>
            <w:tcBorders>
              <w:top w:val="nil"/>
              <w:left w:val="nil"/>
              <w:bottom w:val="nil"/>
              <w:right w:val="single" w:sz="8" w:space="0" w:color="000000"/>
            </w:tcBorders>
            <w:shd w:val="clear" w:color="auto" w:fill="BDD6EE"/>
            <w:vAlign w:val="center"/>
          </w:tcPr>
          <w:p w:rsidR="00A56D06" w:rsidP="00444967" w14:paraId="07EDAB7E" w14:textId="642CEFA5">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114</w:t>
            </w:r>
          </w:p>
        </w:tc>
        <w:tc>
          <w:tcPr>
            <w:tcW w:w="1347" w:type="dxa"/>
            <w:tcBorders>
              <w:top w:val="nil"/>
              <w:left w:val="nil"/>
              <w:bottom w:val="nil"/>
              <w:right w:val="dashed" w:sz="8" w:space="0" w:color="000000"/>
            </w:tcBorders>
            <w:shd w:val="clear" w:color="auto" w:fill="BDD6EE"/>
            <w:vAlign w:val="center"/>
          </w:tcPr>
          <w:p w:rsidR="00A56D06" w:rsidP="00444967" w14:paraId="43D8C269" w14:textId="31961F39">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15</w:t>
            </w:r>
          </w:p>
        </w:tc>
        <w:tc>
          <w:tcPr>
            <w:tcW w:w="1526" w:type="dxa"/>
            <w:tcBorders>
              <w:top w:val="nil"/>
              <w:left w:val="nil"/>
              <w:bottom w:val="nil"/>
              <w:right w:val="single" w:sz="8" w:space="0" w:color="000000"/>
            </w:tcBorders>
            <w:shd w:val="clear" w:color="auto" w:fill="BDD6EE"/>
            <w:vAlign w:val="center"/>
          </w:tcPr>
          <w:p w:rsidR="00A56D06" w:rsidP="00444967" w14:paraId="6DA7147A" w14:textId="2F28D911">
            <w:pPr>
              <w:widowControl/>
              <w:spacing w:after="120"/>
              <w:jc w:val="center"/>
              <w:rPr>
                <w:rFonts w:ascii="Calibri" w:eastAsia="Calibri" w:hAnsi="Calibri" w:cs="Calibri"/>
                <w:b/>
                <w:color w:val="000000"/>
                <w:sz w:val="16"/>
                <w:szCs w:val="16"/>
              </w:rPr>
            </w:pPr>
            <w:r>
              <w:rPr>
                <w:rFonts w:ascii="Calibri" w:eastAsia="Calibri" w:hAnsi="Calibri" w:cs="Calibri"/>
                <w:b/>
                <w:color w:val="000000"/>
                <w:sz w:val="16"/>
                <w:szCs w:val="16"/>
              </w:rPr>
              <w:t>182</w:t>
            </w:r>
          </w:p>
        </w:tc>
        <w:tc>
          <w:tcPr>
            <w:tcW w:w="3861" w:type="dxa"/>
            <w:tcBorders>
              <w:top w:val="nil"/>
              <w:left w:val="nil"/>
              <w:bottom w:val="nil"/>
              <w:right w:val="single" w:sz="8" w:space="0" w:color="000000"/>
            </w:tcBorders>
            <w:shd w:val="clear" w:color="auto" w:fill="000000"/>
            <w:vAlign w:val="center"/>
          </w:tcPr>
          <w:p w:rsidR="00A56D06" w:rsidP="00444967" w14:paraId="3DC98076" w14:textId="77777777">
            <w:pPr>
              <w:widowControl/>
              <w:spacing w:after="120"/>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25657CD4" w14:textId="77777777" w:rsidTr="00444967">
        <w:tblPrEx>
          <w:tblW w:w="13638" w:type="dxa"/>
          <w:jc w:val="center"/>
          <w:tblLayout w:type="fixed"/>
          <w:tblLook w:val="0400"/>
        </w:tblPrEx>
        <w:trPr>
          <w:trHeight w:val="223"/>
          <w:jc w:val="center"/>
        </w:trPr>
        <w:tc>
          <w:tcPr>
            <w:tcW w:w="3133" w:type="dxa"/>
            <w:tcBorders>
              <w:top w:val="single" w:sz="8" w:space="0" w:color="000000"/>
              <w:left w:val="single" w:sz="8" w:space="0" w:color="000000"/>
              <w:bottom w:val="single" w:sz="8" w:space="0" w:color="000000"/>
              <w:right w:val="nil"/>
            </w:tcBorders>
            <w:shd w:val="clear" w:color="auto" w:fill="FCE4D6"/>
            <w:vAlign w:val="center"/>
          </w:tcPr>
          <w:p w:rsidR="00A56D06" w:rsidRPr="00377A8A" w:rsidP="00444967" w14:paraId="4189F76E" w14:textId="77777777">
            <w:pPr>
              <w:widowControl/>
              <w:spacing w:after="120"/>
              <w:rPr>
                <w:rFonts w:ascii="Calibri" w:eastAsia="Calibri" w:hAnsi="Calibri" w:cs="Calibri"/>
                <w:b/>
                <w:color w:val="000000"/>
                <w:sz w:val="16"/>
                <w:szCs w:val="16"/>
              </w:rPr>
            </w:pPr>
            <w:r w:rsidRPr="00377A8A">
              <w:rPr>
                <w:rFonts w:ascii="Calibri" w:eastAsia="Calibri" w:hAnsi="Calibri" w:cs="Calibri"/>
                <w:b/>
                <w:color w:val="000000"/>
                <w:sz w:val="16"/>
                <w:szCs w:val="16"/>
              </w:rPr>
              <w:t>Difference</w:t>
            </w:r>
          </w:p>
        </w:tc>
        <w:tc>
          <w:tcPr>
            <w:tcW w:w="1796"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A56D06" w:rsidRPr="00377A8A" w:rsidP="00444967" w14:paraId="64E60D80" w14:textId="0CAAA20A">
            <w:pPr>
              <w:widowControl/>
              <w:spacing w:after="120"/>
              <w:jc w:val="center"/>
              <w:rPr>
                <w:rFonts w:ascii="Calibri" w:eastAsia="Calibri" w:hAnsi="Calibri" w:cs="Calibri"/>
                <w:b/>
                <w:bCs/>
                <w:color w:val="000000"/>
                <w:sz w:val="16"/>
                <w:szCs w:val="16"/>
              </w:rPr>
            </w:pPr>
            <w:r>
              <w:rPr>
                <w:rFonts w:ascii="Calibri" w:eastAsia="Calibri" w:hAnsi="Calibri" w:cs="Calibri"/>
                <w:b/>
                <w:bCs/>
                <w:color w:val="000000"/>
                <w:sz w:val="16"/>
                <w:szCs w:val="16"/>
              </w:rPr>
              <w:t>-82</w:t>
            </w:r>
          </w:p>
        </w:tc>
        <w:tc>
          <w:tcPr>
            <w:tcW w:w="1975" w:type="dxa"/>
            <w:gridSpan w:val="2"/>
            <w:tcBorders>
              <w:top w:val="single" w:sz="8" w:space="0" w:color="000000"/>
              <w:left w:val="nil"/>
              <w:bottom w:val="single" w:sz="8" w:space="0" w:color="000000"/>
              <w:right w:val="single" w:sz="8" w:space="0" w:color="000000"/>
            </w:tcBorders>
            <w:shd w:val="clear" w:color="auto" w:fill="FCE4D6"/>
            <w:vAlign w:val="bottom"/>
          </w:tcPr>
          <w:p w:rsidR="00A56D06" w:rsidP="00444967" w14:paraId="4BB548AB" w14:textId="74833A24">
            <w:pPr>
              <w:widowControl/>
              <w:jc w:val="center"/>
              <w:rPr>
                <w:rFonts w:ascii="Calibri" w:eastAsia="Calibri" w:hAnsi="Calibri" w:cs="Calibri"/>
                <w:b/>
                <w:bCs/>
                <w:color w:val="000000"/>
                <w:sz w:val="16"/>
                <w:szCs w:val="16"/>
              </w:rPr>
            </w:pPr>
            <w:r>
              <w:rPr>
                <w:rFonts w:ascii="Calibri" w:eastAsia="Calibri" w:hAnsi="Calibri" w:cs="Calibri"/>
                <w:b/>
                <w:bCs/>
                <w:color w:val="000000"/>
                <w:sz w:val="16"/>
                <w:szCs w:val="16"/>
              </w:rPr>
              <w:t>-</w:t>
            </w:r>
            <w:r w:rsidR="00A374C3">
              <w:rPr>
                <w:rFonts w:ascii="Calibri" w:eastAsia="Calibri" w:hAnsi="Calibri" w:cs="Calibri"/>
                <w:b/>
                <w:bCs/>
                <w:color w:val="000000"/>
                <w:sz w:val="16"/>
                <w:szCs w:val="16"/>
              </w:rPr>
              <w:t>97</w:t>
            </w:r>
            <w:r w:rsidR="00A10E12">
              <w:rPr>
                <w:rFonts w:ascii="Calibri" w:eastAsia="Calibri" w:hAnsi="Calibri" w:cs="Calibri"/>
                <w:b/>
                <w:bCs/>
                <w:color w:val="000000"/>
                <w:sz w:val="16"/>
                <w:szCs w:val="16"/>
              </w:rPr>
              <w:t>*</w:t>
            </w:r>
          </w:p>
          <w:p w:rsidR="00B148E9" w:rsidP="00444967" w14:paraId="54AAF443" w14:textId="344B32FA">
            <w:pPr>
              <w:widowControl/>
              <w:jc w:val="center"/>
              <w:rPr>
                <w:rFonts w:ascii="Calibri" w:eastAsia="Calibri" w:hAnsi="Calibri" w:cs="Calibri"/>
                <w:b/>
                <w:bCs/>
                <w:color w:val="000000"/>
                <w:sz w:val="16"/>
                <w:szCs w:val="16"/>
              </w:rPr>
            </w:pPr>
            <w:r>
              <w:rPr>
                <w:rFonts w:ascii="Calibri" w:eastAsia="Calibri" w:hAnsi="Calibri" w:cs="Calibri"/>
                <w:b/>
                <w:bCs/>
                <w:color w:val="000000"/>
                <w:sz w:val="16"/>
                <w:szCs w:val="16"/>
              </w:rPr>
              <w:t>-</w:t>
            </w:r>
            <w:r w:rsidR="00A374C3">
              <w:rPr>
                <w:rFonts w:ascii="Calibri" w:eastAsia="Calibri" w:hAnsi="Calibri" w:cs="Calibri"/>
                <w:b/>
                <w:bCs/>
                <w:color w:val="000000"/>
                <w:sz w:val="16"/>
                <w:szCs w:val="16"/>
              </w:rPr>
              <w:t>73</w:t>
            </w:r>
            <w:r>
              <w:rPr>
                <w:rFonts w:ascii="Calibri" w:eastAsia="Calibri" w:hAnsi="Calibri" w:cs="Calibri"/>
                <w:b/>
                <w:bCs/>
                <w:color w:val="000000"/>
                <w:sz w:val="16"/>
                <w:szCs w:val="16"/>
              </w:rPr>
              <w:t xml:space="preserve"> program change</w:t>
            </w:r>
          </w:p>
          <w:p w:rsidR="00B148E9" w:rsidRPr="00377A8A" w:rsidP="00444967" w14:paraId="68A0DFD5" w14:textId="080CD654">
            <w:pPr>
              <w:widowControl/>
              <w:jc w:val="center"/>
              <w:rPr>
                <w:rFonts w:ascii="Calibri" w:eastAsia="Calibri" w:hAnsi="Calibri" w:cs="Calibri"/>
                <w:b/>
                <w:bCs/>
                <w:color w:val="000000"/>
                <w:sz w:val="16"/>
                <w:szCs w:val="16"/>
              </w:rPr>
            </w:pPr>
            <w:r>
              <w:rPr>
                <w:rFonts w:ascii="Calibri" w:eastAsia="Calibri" w:hAnsi="Calibri" w:cs="Calibri"/>
                <w:b/>
                <w:bCs/>
                <w:color w:val="000000"/>
                <w:sz w:val="16"/>
                <w:szCs w:val="16"/>
              </w:rPr>
              <w:t>-25 adjustment</w:t>
            </w:r>
          </w:p>
        </w:tc>
        <w:tc>
          <w:tcPr>
            <w:tcW w:w="2873" w:type="dxa"/>
            <w:gridSpan w:val="2"/>
            <w:tcBorders>
              <w:top w:val="single" w:sz="8" w:space="0" w:color="000000"/>
              <w:left w:val="nil"/>
              <w:bottom w:val="single" w:sz="8" w:space="0" w:color="000000"/>
              <w:right w:val="single" w:sz="4" w:space="0" w:color="000000"/>
            </w:tcBorders>
            <w:shd w:val="clear" w:color="auto" w:fill="FCE4D6"/>
            <w:vAlign w:val="bottom"/>
          </w:tcPr>
          <w:p w:rsidR="00A56D06" w:rsidP="00444967" w14:paraId="4D3096FE" w14:textId="77777777">
            <w:pPr>
              <w:widowControl/>
              <w:jc w:val="center"/>
              <w:rPr>
                <w:rFonts w:ascii="Calibri" w:eastAsia="Calibri" w:hAnsi="Calibri" w:cs="Calibri"/>
                <w:b/>
                <w:bCs/>
                <w:color w:val="000000"/>
                <w:sz w:val="16"/>
                <w:szCs w:val="16"/>
              </w:rPr>
            </w:pPr>
            <w:r>
              <w:rPr>
                <w:rFonts w:ascii="Calibri" w:eastAsia="Calibri" w:hAnsi="Calibri" w:cs="Calibri"/>
                <w:b/>
                <w:bCs/>
                <w:color w:val="000000"/>
                <w:sz w:val="16"/>
                <w:szCs w:val="16"/>
              </w:rPr>
              <w:t>-167</w:t>
            </w:r>
          </w:p>
          <w:p w:rsidR="00B148E9" w:rsidP="00444967" w14:paraId="181782AF" w14:textId="77777777">
            <w:pPr>
              <w:widowControl/>
              <w:jc w:val="center"/>
              <w:rPr>
                <w:rFonts w:ascii="Calibri" w:eastAsia="Calibri" w:hAnsi="Calibri" w:cs="Calibri"/>
                <w:b/>
                <w:bCs/>
                <w:color w:val="000000"/>
                <w:sz w:val="16"/>
                <w:szCs w:val="16"/>
              </w:rPr>
            </w:pPr>
            <w:r>
              <w:rPr>
                <w:rFonts w:ascii="Calibri" w:eastAsia="Calibri" w:hAnsi="Calibri" w:cs="Calibri"/>
                <w:b/>
                <w:bCs/>
                <w:color w:val="000000"/>
                <w:sz w:val="16"/>
                <w:szCs w:val="16"/>
              </w:rPr>
              <w:t>-154 program change</w:t>
            </w:r>
          </w:p>
          <w:p w:rsidR="006525C3" w:rsidRPr="00377A8A" w:rsidP="00444967" w14:paraId="7EB7E3A3" w14:textId="628B5BF8">
            <w:pPr>
              <w:widowControl/>
              <w:jc w:val="center"/>
              <w:rPr>
                <w:rFonts w:ascii="Calibri" w:eastAsia="Calibri" w:hAnsi="Calibri" w:cs="Calibri"/>
                <w:b/>
                <w:bCs/>
                <w:color w:val="000000"/>
                <w:sz w:val="16"/>
                <w:szCs w:val="16"/>
              </w:rPr>
            </w:pPr>
            <w:r>
              <w:rPr>
                <w:rFonts w:ascii="Calibri" w:eastAsia="Calibri" w:hAnsi="Calibri" w:cs="Calibri"/>
                <w:b/>
                <w:bCs/>
                <w:color w:val="000000"/>
                <w:sz w:val="16"/>
                <w:szCs w:val="16"/>
              </w:rPr>
              <w:t>-13 adjustment</w:t>
            </w:r>
          </w:p>
        </w:tc>
        <w:tc>
          <w:tcPr>
            <w:tcW w:w="3861" w:type="dxa"/>
            <w:tcBorders>
              <w:top w:val="single" w:sz="8" w:space="0" w:color="000000"/>
              <w:left w:val="nil"/>
              <w:bottom w:val="single" w:sz="8" w:space="0" w:color="000000"/>
              <w:right w:val="single" w:sz="8" w:space="0" w:color="000000"/>
            </w:tcBorders>
            <w:shd w:val="clear" w:color="auto" w:fill="000000"/>
            <w:vAlign w:val="bottom"/>
          </w:tcPr>
          <w:p w:rsidR="00A56D06" w:rsidRPr="00377A8A" w:rsidP="00444967" w14:paraId="6FA4EEAE" w14:textId="77777777">
            <w:pPr>
              <w:widowControl/>
              <w:spacing w:after="120"/>
              <w:rPr>
                <w:rFonts w:ascii="Calibri" w:eastAsia="Calibri" w:hAnsi="Calibri" w:cs="Calibri"/>
                <w:color w:val="000000"/>
                <w:sz w:val="16"/>
                <w:szCs w:val="16"/>
              </w:rPr>
            </w:pPr>
            <w:r w:rsidRPr="00377A8A">
              <w:rPr>
                <w:rFonts w:ascii="Calibri" w:eastAsia="Calibri" w:hAnsi="Calibri" w:cs="Calibri"/>
                <w:color w:val="000000"/>
                <w:sz w:val="16"/>
                <w:szCs w:val="16"/>
              </w:rPr>
              <w:t> </w:t>
            </w:r>
          </w:p>
        </w:tc>
      </w:tr>
    </w:tbl>
    <w:p w:rsidR="00FA6F35" w:rsidP="00A723A3" w14:paraId="72AD6316" w14:textId="73AA2BA9">
      <w:pPr>
        <w:pBdr>
          <w:top w:val="nil"/>
          <w:left w:val="nil"/>
          <w:bottom w:val="nil"/>
          <w:right w:val="nil"/>
          <w:between w:val="nil"/>
        </w:pBdr>
        <w:spacing w:before="7" w:after="120"/>
      </w:pPr>
      <w:r>
        <w:t>* Difference in ROCIS due to rounding.</w:t>
      </w:r>
    </w:p>
    <w:p w:rsidR="00444967" w:rsidP="00A723A3" w14:paraId="5C4C3667" w14:textId="77777777">
      <w:pPr>
        <w:pBdr>
          <w:top w:val="nil"/>
          <w:left w:val="nil"/>
          <w:bottom w:val="nil"/>
          <w:right w:val="nil"/>
          <w:between w:val="nil"/>
        </w:pBdr>
        <w:spacing w:before="7" w:after="120"/>
      </w:pPr>
    </w:p>
    <w:p w:rsidR="00444967" w:rsidP="00A723A3" w14:paraId="2C71C5F4" w14:textId="77777777">
      <w:pPr>
        <w:pBdr>
          <w:top w:val="nil"/>
          <w:left w:val="nil"/>
          <w:bottom w:val="nil"/>
          <w:right w:val="nil"/>
          <w:between w:val="nil"/>
        </w:pBdr>
        <w:spacing w:before="7" w:after="120"/>
      </w:pPr>
    </w:p>
    <w:p w:rsidR="00444967" w:rsidP="00A723A3" w14:paraId="0F31C71C" w14:textId="77777777">
      <w:pPr>
        <w:pBdr>
          <w:top w:val="nil"/>
          <w:left w:val="nil"/>
          <w:bottom w:val="nil"/>
          <w:right w:val="nil"/>
          <w:between w:val="nil"/>
        </w:pBdr>
        <w:spacing w:before="7" w:after="120"/>
      </w:pPr>
    </w:p>
    <w:tbl>
      <w:tblPr>
        <w:tblStyle w:val="a5"/>
        <w:tblW w:w="10425" w:type="dxa"/>
        <w:jc w:val="center"/>
        <w:tblBorders>
          <w:top w:val="nil"/>
          <w:left w:val="nil"/>
          <w:bottom w:val="nil"/>
          <w:right w:val="nil"/>
          <w:insideH w:val="nil"/>
          <w:insideV w:val="nil"/>
        </w:tblBorders>
        <w:tblLayout w:type="fixed"/>
        <w:tblLook w:val="0600"/>
      </w:tblPr>
      <w:tblGrid>
        <w:gridCol w:w="4755"/>
        <w:gridCol w:w="810"/>
        <w:gridCol w:w="990"/>
        <w:gridCol w:w="3870"/>
      </w:tblGrid>
      <w:tr w14:paraId="3BBAA2D7" w14:textId="77777777" w:rsidTr="00A56D06">
        <w:tblPrEx>
          <w:tblW w:w="10425" w:type="dxa"/>
          <w:jc w:val="center"/>
          <w:tblBorders>
            <w:top w:val="nil"/>
            <w:left w:val="nil"/>
            <w:bottom w:val="nil"/>
            <w:right w:val="nil"/>
            <w:insideH w:val="nil"/>
            <w:insideV w:val="nil"/>
          </w:tblBorders>
          <w:tblLayout w:type="fixed"/>
          <w:tblLook w:val="0600"/>
        </w:tblPrEx>
        <w:trPr>
          <w:trHeight w:val="300"/>
          <w:jc w:val="center"/>
        </w:trPr>
        <w:tc>
          <w:tcPr>
            <w:tcW w:w="4755" w:type="dxa"/>
            <w:vMerge w:val="restart"/>
            <w:tcBorders>
              <w:top w:val="single" w:sz="12" w:space="0" w:color="000000"/>
              <w:left w:val="single" w:sz="12" w:space="0" w:color="000000"/>
              <w:bottom w:val="single" w:sz="12" w:space="0" w:color="000000"/>
              <w:right w:val="single" w:sz="12" w:space="0" w:color="000000"/>
            </w:tcBorders>
            <w:shd w:val="clear" w:color="auto" w:fill="5B9BD5"/>
            <w:tcMar>
              <w:top w:w="0" w:type="dxa"/>
              <w:left w:w="40" w:type="dxa"/>
              <w:bottom w:w="0" w:type="dxa"/>
              <w:right w:w="40" w:type="dxa"/>
            </w:tcMar>
            <w:vAlign w:val="center"/>
          </w:tcPr>
          <w:p w:rsidR="00354A77" w:rsidP="0043119E" w14:paraId="25CA9A25"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800" w:type="dxa"/>
            <w:gridSpan w:val="2"/>
            <w:tcBorders>
              <w:top w:val="single" w:sz="12" w:space="0" w:color="000000"/>
              <w:left w:val="single" w:sz="6" w:space="0" w:color="CCCCCC"/>
              <w:bottom w:val="single" w:sz="12" w:space="0" w:color="000000"/>
              <w:right w:val="single" w:sz="12" w:space="0" w:color="000000"/>
            </w:tcBorders>
            <w:shd w:val="clear" w:color="auto" w:fill="5B9BD5"/>
            <w:tcMar>
              <w:top w:w="0" w:type="dxa"/>
              <w:left w:w="40" w:type="dxa"/>
              <w:bottom w:w="0" w:type="dxa"/>
              <w:right w:w="40" w:type="dxa"/>
            </w:tcMar>
            <w:vAlign w:val="center"/>
          </w:tcPr>
          <w:p w:rsidR="00354A77" w:rsidP="0043119E" w14:paraId="68884D63" w14:textId="120A5650">
            <w:pPr>
              <w:spacing w:line="276" w:lineRule="auto"/>
              <w:jc w:val="center"/>
              <w:rPr>
                <w:rFonts w:ascii="Calibri" w:eastAsia="Calibri" w:hAnsi="Calibri" w:cs="Calibri"/>
                <w:sz w:val="22"/>
                <w:szCs w:val="22"/>
              </w:rPr>
            </w:pPr>
            <w:r>
              <w:rPr>
                <w:rFonts w:ascii="Calibri" w:eastAsia="Calibri" w:hAnsi="Calibri" w:cs="Calibri"/>
                <w:b/>
                <w:sz w:val="16"/>
                <w:szCs w:val="16"/>
              </w:rPr>
              <w:t>Miscellaneous Costs ($)</w:t>
            </w:r>
          </w:p>
        </w:tc>
        <w:tc>
          <w:tcPr>
            <w:tcW w:w="3870" w:type="dxa"/>
            <w:vMerge w:val="restart"/>
            <w:tcBorders>
              <w:top w:val="single" w:sz="12" w:space="0" w:color="000000"/>
              <w:left w:val="single" w:sz="6" w:space="0" w:color="CCCCCC"/>
              <w:bottom w:val="single" w:sz="12" w:space="0" w:color="000000"/>
              <w:right w:val="single" w:sz="12" w:space="0" w:color="000000"/>
            </w:tcBorders>
            <w:shd w:val="clear" w:color="auto" w:fill="5B9BD5"/>
            <w:tcMar>
              <w:top w:w="0" w:type="dxa"/>
              <w:left w:w="40" w:type="dxa"/>
              <w:bottom w:w="0" w:type="dxa"/>
              <w:right w:w="40" w:type="dxa"/>
            </w:tcMar>
            <w:vAlign w:val="center"/>
          </w:tcPr>
          <w:p w:rsidR="00354A77" w:rsidP="0043119E" w14:paraId="500DC7E6"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7B6BDCC2" w14:textId="77777777" w:rsidTr="00A56D06">
        <w:tblPrEx>
          <w:tblW w:w="10425" w:type="dxa"/>
          <w:jc w:val="center"/>
          <w:tblLayout w:type="fixed"/>
          <w:tblLook w:val="0600"/>
        </w:tblPrEx>
        <w:trPr>
          <w:trHeight w:val="300"/>
          <w:jc w:val="center"/>
        </w:trPr>
        <w:tc>
          <w:tcPr>
            <w:tcW w:w="4755" w:type="dxa"/>
            <w:vMerge/>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54A77" w:rsidP="0043119E" w14:paraId="0205D53F" w14:textId="77777777">
            <w:pPr>
              <w:spacing w:line="276" w:lineRule="auto"/>
              <w:rPr>
                <w:rFonts w:ascii="Calibri" w:eastAsia="Calibri" w:hAnsi="Calibri" w:cs="Calibri"/>
                <w:sz w:val="22"/>
                <w:szCs w:val="22"/>
              </w:rPr>
            </w:pPr>
          </w:p>
        </w:tc>
        <w:tc>
          <w:tcPr>
            <w:tcW w:w="810" w:type="dxa"/>
            <w:tcBorders>
              <w:top w:val="single" w:sz="6" w:space="0" w:color="CCCCCC"/>
              <w:left w:val="single" w:sz="6" w:space="0" w:color="CCCCCC"/>
              <w:bottom w:val="single" w:sz="12" w:space="0" w:color="000000"/>
              <w:right w:val="dashed" w:sz="12" w:space="0" w:color="000000"/>
            </w:tcBorders>
            <w:shd w:val="clear" w:color="auto" w:fill="FBE4D5"/>
            <w:tcMar>
              <w:top w:w="0" w:type="dxa"/>
              <w:left w:w="40" w:type="dxa"/>
              <w:bottom w:w="0" w:type="dxa"/>
              <w:right w:w="40" w:type="dxa"/>
            </w:tcMar>
            <w:vAlign w:val="center"/>
          </w:tcPr>
          <w:p w:rsidR="00354A77" w:rsidP="00810CA5" w14:paraId="34D27BC6" w14:textId="13E8E964">
            <w:pPr>
              <w:spacing w:line="276" w:lineRule="auto"/>
              <w:jc w:val="center"/>
              <w:rPr>
                <w:rFonts w:ascii="Calibri" w:eastAsia="Calibri" w:hAnsi="Calibri" w:cs="Calibri"/>
                <w:sz w:val="22"/>
                <w:szCs w:val="22"/>
              </w:rPr>
            </w:pPr>
            <w:r>
              <w:rPr>
                <w:rFonts w:ascii="Calibri" w:eastAsia="Calibri" w:hAnsi="Calibri" w:cs="Calibri"/>
                <w:sz w:val="16"/>
                <w:szCs w:val="16"/>
              </w:rPr>
              <w:t>Current</w:t>
            </w:r>
          </w:p>
        </w:tc>
        <w:tc>
          <w:tcPr>
            <w:tcW w:w="990" w:type="dxa"/>
            <w:tcBorders>
              <w:top w:val="single" w:sz="6" w:space="0" w:color="CCCCCC"/>
              <w:left w:val="single" w:sz="6" w:space="0" w:color="CCCCCC"/>
              <w:bottom w:val="single" w:sz="12" w:space="0" w:color="000000"/>
              <w:right w:val="single" w:sz="12" w:space="0" w:color="000000"/>
            </w:tcBorders>
            <w:shd w:val="clear" w:color="auto" w:fill="FBE4D5"/>
            <w:tcMar>
              <w:top w:w="0" w:type="dxa"/>
              <w:left w:w="40" w:type="dxa"/>
              <w:bottom w:w="0" w:type="dxa"/>
              <w:right w:w="40" w:type="dxa"/>
            </w:tcMar>
            <w:vAlign w:val="center"/>
          </w:tcPr>
          <w:p w:rsidR="00354A77" w:rsidP="00810CA5" w14:paraId="09E32304" w14:textId="77777777">
            <w:pPr>
              <w:spacing w:line="276" w:lineRule="auto"/>
              <w:jc w:val="center"/>
              <w:rPr>
                <w:rFonts w:ascii="Calibri" w:eastAsia="Calibri" w:hAnsi="Calibri" w:cs="Calibri"/>
                <w:sz w:val="22"/>
                <w:szCs w:val="22"/>
              </w:rPr>
            </w:pPr>
            <w:r>
              <w:rPr>
                <w:rFonts w:ascii="Calibri" w:eastAsia="Calibri" w:hAnsi="Calibri" w:cs="Calibri"/>
                <w:sz w:val="16"/>
                <w:szCs w:val="16"/>
              </w:rPr>
              <w:t>Previous</w:t>
            </w:r>
          </w:p>
        </w:tc>
        <w:tc>
          <w:tcPr>
            <w:tcW w:w="3870" w:type="dxa"/>
            <w:vMerge/>
            <w:tcBorders>
              <w:top w:val="single" w:sz="12" w:space="0" w:color="000000"/>
              <w:left w:val="single" w:sz="6" w:space="0" w:color="CCCCCC"/>
              <w:bottom w:val="single" w:sz="12" w:space="0" w:color="000000"/>
              <w:right w:val="single" w:sz="12" w:space="0" w:color="000000"/>
            </w:tcBorders>
            <w:tcMar>
              <w:top w:w="100" w:type="dxa"/>
              <w:left w:w="100" w:type="dxa"/>
              <w:bottom w:w="100" w:type="dxa"/>
              <w:right w:w="100" w:type="dxa"/>
            </w:tcMar>
          </w:tcPr>
          <w:p w:rsidR="00354A77" w:rsidP="0043119E" w14:paraId="69C310E4" w14:textId="77777777">
            <w:pPr>
              <w:spacing w:line="276" w:lineRule="auto"/>
              <w:rPr>
                <w:rFonts w:ascii="Calibri" w:eastAsia="Calibri" w:hAnsi="Calibri" w:cs="Calibri"/>
                <w:sz w:val="22"/>
                <w:szCs w:val="22"/>
              </w:rPr>
            </w:pPr>
          </w:p>
        </w:tc>
      </w:tr>
      <w:tr w14:paraId="3FB47B1D"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354A77" w:rsidRPr="0043119E" w:rsidP="0043119E" w14:paraId="7FB5F289" w14:textId="286ABBDE">
            <w:pPr>
              <w:spacing w:line="276" w:lineRule="auto"/>
              <w:rPr>
                <w:rFonts w:ascii="Calibri" w:eastAsia="Calibri" w:hAnsi="Calibri" w:cs="Calibri"/>
                <w:sz w:val="16"/>
                <w:szCs w:val="16"/>
              </w:rPr>
            </w:pPr>
            <w:r w:rsidRPr="0043119E">
              <w:rPr>
                <w:rFonts w:ascii="Calibri" w:eastAsia="Calibri" w:hAnsi="Calibri" w:cs="Calibri"/>
                <w:sz w:val="16"/>
                <w:szCs w:val="16"/>
              </w:rPr>
              <w:t>Application for PCTC Program QS</w:t>
            </w:r>
          </w:p>
        </w:tc>
        <w:tc>
          <w:tcPr>
            <w:tcW w:w="810" w:type="dxa"/>
            <w:tcBorders>
              <w:top w:val="single" w:sz="6" w:space="0" w:color="CCCCCC"/>
              <w:left w:val="single" w:sz="6" w:space="0" w:color="CCCCCC"/>
              <w:bottom w:val="dashed" w:sz="6" w:space="0" w:color="000000"/>
              <w:right w:val="dashed" w:sz="12" w:space="0" w:color="000000"/>
            </w:tcBorders>
            <w:shd w:val="clear" w:color="auto" w:fill="D9D9D9" w:themeFill="background1" w:themeFillShade="D9"/>
            <w:tcMar>
              <w:top w:w="0" w:type="dxa"/>
              <w:left w:w="40" w:type="dxa"/>
              <w:bottom w:w="0" w:type="dxa"/>
              <w:right w:w="40" w:type="dxa"/>
            </w:tcMar>
            <w:vAlign w:val="center"/>
          </w:tcPr>
          <w:p w:rsidR="00354A77" w:rsidRPr="0043119E" w:rsidP="00A56D06" w14:paraId="022670C7" w14:textId="00FAC7C4">
            <w:pPr>
              <w:spacing w:line="276" w:lineRule="auto"/>
              <w:ind w:left="80"/>
              <w:jc w:val="center"/>
              <w:rPr>
                <w:rFonts w:ascii="Calibri" w:eastAsia="Calibri" w:hAnsi="Calibri" w:cs="Calibri"/>
                <w:sz w:val="16"/>
                <w:szCs w:val="16"/>
              </w:rPr>
            </w:pPr>
            <w:r>
              <w:rPr>
                <w:rFonts w:ascii="Calibri" w:eastAsia="Calibri" w:hAnsi="Calibri" w:cs="Calibri"/>
                <w:sz w:val="16"/>
                <w:szCs w:val="16"/>
              </w:rPr>
              <w:t>0</w:t>
            </w:r>
          </w:p>
        </w:tc>
        <w:tc>
          <w:tcPr>
            <w:tcW w:w="990" w:type="dxa"/>
            <w:tcBorders>
              <w:top w:val="single" w:sz="6" w:space="0" w:color="CCCCCC"/>
              <w:left w:val="single" w:sz="6" w:space="0" w:color="CCCCCC"/>
              <w:bottom w:val="dashed" w:sz="6"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354A77" w:rsidRPr="0043119E" w:rsidP="00A56D06" w14:paraId="17C13147" w14:textId="7DC317E6">
            <w:pPr>
              <w:spacing w:line="276" w:lineRule="auto"/>
              <w:ind w:left="80"/>
              <w:jc w:val="center"/>
              <w:rPr>
                <w:rFonts w:ascii="Calibri" w:eastAsia="Calibri" w:hAnsi="Calibri" w:cs="Calibri"/>
                <w:sz w:val="16"/>
                <w:szCs w:val="16"/>
              </w:rPr>
            </w:pPr>
            <w:r>
              <w:rPr>
                <w:rFonts w:ascii="Calibri" w:eastAsia="Calibri" w:hAnsi="Calibri" w:cs="Calibri"/>
                <w:sz w:val="16"/>
                <w:szCs w:val="16"/>
              </w:rPr>
              <w:t>180</w:t>
            </w:r>
          </w:p>
        </w:tc>
        <w:tc>
          <w:tcPr>
            <w:tcW w:w="3870" w:type="dxa"/>
            <w:tcBorders>
              <w:top w:val="single" w:sz="6" w:space="0" w:color="CCCCCC"/>
              <w:left w:val="single" w:sz="6" w:space="0" w:color="CCCCCC"/>
              <w:bottom w:val="dashed" w:sz="6"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354A77" w:rsidRPr="0043119E" w:rsidP="0043119E" w14:paraId="698C1FFF" w14:textId="5E103116">
            <w:pPr>
              <w:spacing w:line="276" w:lineRule="auto"/>
              <w:rPr>
                <w:rFonts w:ascii="Calibri" w:eastAsia="Calibri" w:hAnsi="Calibri" w:cs="Calibri"/>
                <w:sz w:val="16"/>
                <w:szCs w:val="16"/>
              </w:rPr>
            </w:pPr>
            <w:r>
              <w:rPr>
                <w:rFonts w:ascii="Calibri" w:eastAsia="Calibri" w:hAnsi="Calibri" w:cs="Calibri"/>
                <w:sz w:val="16"/>
                <w:szCs w:val="16"/>
              </w:rPr>
              <w:t>Program Change</w:t>
            </w:r>
            <w:r>
              <w:rPr>
                <w:rFonts w:ascii="Calibri" w:eastAsia="Calibri" w:hAnsi="Calibri" w:cs="Calibri"/>
                <w:sz w:val="16"/>
                <w:szCs w:val="16"/>
              </w:rPr>
              <w:t xml:space="preserve"> – form no longer used</w:t>
            </w:r>
            <w:r>
              <w:rPr>
                <w:rFonts w:ascii="Calibri" w:eastAsia="Calibri" w:hAnsi="Calibri" w:cs="Calibri"/>
                <w:sz w:val="16"/>
                <w:szCs w:val="16"/>
              </w:rPr>
              <w:t xml:space="preserve"> and is removed from this collection.</w:t>
            </w:r>
            <w:r>
              <w:rPr>
                <w:rFonts w:ascii="Calibri" w:eastAsia="Calibri" w:hAnsi="Calibri" w:cs="Calibri"/>
                <w:sz w:val="16"/>
                <w:szCs w:val="16"/>
              </w:rPr>
              <w:t xml:space="preserve"> </w:t>
            </w:r>
          </w:p>
        </w:tc>
      </w:tr>
      <w:tr w14:paraId="479AAF81"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tcMar>
              <w:top w:w="0" w:type="dxa"/>
              <w:left w:w="40" w:type="dxa"/>
              <w:bottom w:w="0" w:type="dxa"/>
              <w:right w:w="40" w:type="dxa"/>
            </w:tcMar>
            <w:vAlign w:val="center"/>
          </w:tcPr>
          <w:p w:rsidR="00354A77" w:rsidRPr="0043119E" w:rsidP="0043119E" w14:paraId="7400E7D3" w14:textId="60BEE3D8">
            <w:pPr>
              <w:spacing w:line="276" w:lineRule="auto"/>
              <w:rPr>
                <w:rFonts w:ascii="Calibri" w:eastAsia="Calibri" w:hAnsi="Calibri" w:cs="Calibri"/>
                <w:sz w:val="16"/>
                <w:szCs w:val="16"/>
              </w:rPr>
            </w:pPr>
            <w:r w:rsidRPr="0043119E">
              <w:rPr>
                <w:rFonts w:ascii="Calibri" w:eastAsia="Calibri" w:hAnsi="Calibri" w:cs="Calibri"/>
                <w:sz w:val="16"/>
                <w:szCs w:val="16"/>
              </w:rPr>
              <w:t>Application for PCTC Program CQ</w:t>
            </w:r>
          </w:p>
        </w:tc>
        <w:tc>
          <w:tcPr>
            <w:tcW w:w="810" w:type="dxa"/>
            <w:tcBorders>
              <w:top w:val="single" w:sz="6" w:space="0" w:color="CCCCCC"/>
              <w:left w:val="single" w:sz="6" w:space="0" w:color="CCCCCC"/>
              <w:bottom w:val="dashed" w:sz="6" w:space="0" w:color="000000"/>
              <w:right w:val="dashed" w:sz="12" w:space="0" w:color="000000"/>
            </w:tcBorders>
            <w:tcMar>
              <w:top w:w="0" w:type="dxa"/>
              <w:left w:w="40" w:type="dxa"/>
              <w:bottom w:w="0" w:type="dxa"/>
              <w:right w:w="40" w:type="dxa"/>
            </w:tcMar>
            <w:vAlign w:val="center"/>
          </w:tcPr>
          <w:p w:rsidR="00354A77" w:rsidRPr="0043119E" w:rsidP="00A56D06" w14:paraId="61CA727A" w14:textId="19E439C9">
            <w:pPr>
              <w:spacing w:line="276" w:lineRule="auto"/>
              <w:ind w:left="80"/>
              <w:jc w:val="center"/>
              <w:rPr>
                <w:rFonts w:ascii="Calibri" w:eastAsia="Calibri" w:hAnsi="Calibri" w:cs="Calibri"/>
                <w:sz w:val="16"/>
                <w:szCs w:val="16"/>
              </w:rPr>
            </w:pPr>
            <w:r>
              <w:rPr>
                <w:rFonts w:ascii="Calibri" w:eastAsia="Calibri" w:hAnsi="Calibri" w:cs="Calibri"/>
                <w:sz w:val="16"/>
                <w:szCs w:val="16"/>
              </w:rPr>
              <w:t>25</w:t>
            </w:r>
          </w:p>
        </w:tc>
        <w:tc>
          <w:tcPr>
            <w:tcW w:w="990" w:type="dxa"/>
            <w:tcBorders>
              <w:top w:val="single" w:sz="6" w:space="0" w:color="CCCCCC"/>
              <w:left w:val="single" w:sz="6" w:space="0" w:color="CCCCCC"/>
              <w:bottom w:val="dashed" w:sz="6" w:space="0" w:color="000000"/>
              <w:right w:val="single" w:sz="12" w:space="0" w:color="000000"/>
            </w:tcBorders>
            <w:tcMar>
              <w:top w:w="0" w:type="dxa"/>
              <w:left w:w="40" w:type="dxa"/>
              <w:bottom w:w="0" w:type="dxa"/>
              <w:right w:w="40" w:type="dxa"/>
            </w:tcMar>
            <w:vAlign w:val="center"/>
          </w:tcPr>
          <w:p w:rsidR="00354A77" w:rsidRPr="0043119E" w:rsidP="00A56D06" w14:paraId="2E9690A8" w14:textId="744EA443">
            <w:pPr>
              <w:spacing w:line="276" w:lineRule="auto"/>
              <w:ind w:left="80"/>
              <w:jc w:val="center"/>
              <w:rPr>
                <w:rFonts w:ascii="Calibri" w:eastAsia="Calibri" w:hAnsi="Calibri" w:cs="Calibri"/>
                <w:sz w:val="16"/>
                <w:szCs w:val="16"/>
              </w:rPr>
            </w:pPr>
            <w:r>
              <w:rPr>
                <w:rFonts w:ascii="Calibri" w:eastAsia="Calibri" w:hAnsi="Calibri" w:cs="Calibri"/>
                <w:sz w:val="16"/>
                <w:szCs w:val="16"/>
              </w:rPr>
              <w:t>50</w:t>
            </w:r>
          </w:p>
        </w:tc>
        <w:tc>
          <w:tcPr>
            <w:tcW w:w="3870" w:type="dxa"/>
            <w:tcBorders>
              <w:top w:val="single" w:sz="6" w:space="0" w:color="CCCCCC"/>
              <w:left w:val="single" w:sz="6" w:space="0" w:color="CCCCCC"/>
              <w:bottom w:val="dashed" w:sz="6" w:space="0" w:color="000000"/>
              <w:right w:val="single" w:sz="12" w:space="0" w:color="000000"/>
            </w:tcBorders>
            <w:tcMar>
              <w:top w:w="0" w:type="dxa"/>
              <w:left w:w="40" w:type="dxa"/>
              <w:bottom w:w="0" w:type="dxa"/>
              <w:right w:w="40" w:type="dxa"/>
            </w:tcMar>
            <w:vAlign w:val="center"/>
          </w:tcPr>
          <w:p w:rsidR="00354A77" w:rsidRPr="0043119E" w:rsidP="0043119E" w14:paraId="61384ACE" w14:textId="24B22B1A">
            <w:pPr>
              <w:spacing w:line="276" w:lineRule="auto"/>
              <w:rPr>
                <w:rFonts w:ascii="Calibri" w:eastAsia="Calibri" w:hAnsi="Calibri" w:cs="Calibri"/>
                <w:sz w:val="16"/>
                <w:szCs w:val="16"/>
              </w:rPr>
            </w:pPr>
            <w:r>
              <w:rPr>
                <w:rFonts w:ascii="Calibri" w:eastAsia="Calibri" w:hAnsi="Calibri" w:cs="Calibri"/>
                <w:sz w:val="16"/>
                <w:szCs w:val="16"/>
              </w:rPr>
              <w:t>Adjustment – reduced respondents; email submission</w:t>
            </w:r>
          </w:p>
        </w:tc>
      </w:tr>
      <w:tr w14:paraId="5EB6DB27"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tcMar>
              <w:top w:w="0" w:type="dxa"/>
              <w:left w:w="40" w:type="dxa"/>
              <w:bottom w:w="0" w:type="dxa"/>
              <w:right w:w="40" w:type="dxa"/>
            </w:tcMar>
            <w:vAlign w:val="center"/>
          </w:tcPr>
          <w:p w:rsidR="00354A77" w:rsidRPr="0043119E" w:rsidP="0043119E" w14:paraId="144BCC92" w14:textId="300A5085">
            <w:pPr>
              <w:spacing w:line="276" w:lineRule="auto"/>
              <w:rPr>
                <w:rFonts w:ascii="Calibri" w:eastAsia="Calibri" w:hAnsi="Calibri" w:cs="Calibri"/>
                <w:sz w:val="16"/>
                <w:szCs w:val="16"/>
              </w:rPr>
            </w:pPr>
            <w:r w:rsidRPr="0043119E">
              <w:rPr>
                <w:rFonts w:ascii="Calibri" w:eastAsia="Calibri" w:hAnsi="Calibri" w:cs="Calibri"/>
                <w:sz w:val="16"/>
                <w:szCs w:val="16"/>
              </w:rPr>
              <w:t>Application for Inter-cooperative Transfer of PCTC Program CQ</w:t>
            </w:r>
          </w:p>
        </w:tc>
        <w:tc>
          <w:tcPr>
            <w:tcW w:w="810" w:type="dxa"/>
            <w:tcBorders>
              <w:top w:val="single" w:sz="6" w:space="0" w:color="CCCCCC"/>
              <w:left w:val="single" w:sz="6" w:space="0" w:color="CCCCCC"/>
              <w:bottom w:val="dashed" w:sz="6" w:space="0" w:color="000000"/>
              <w:right w:val="dashed" w:sz="12" w:space="0" w:color="000000"/>
            </w:tcBorders>
            <w:tcMar>
              <w:top w:w="0" w:type="dxa"/>
              <w:left w:w="40" w:type="dxa"/>
              <w:bottom w:w="0" w:type="dxa"/>
              <w:right w:w="40" w:type="dxa"/>
            </w:tcMar>
            <w:vAlign w:val="center"/>
          </w:tcPr>
          <w:p w:rsidR="00354A77" w:rsidRPr="0043119E" w:rsidP="00A56D06" w14:paraId="3AF3B550" w14:textId="2F1B697E">
            <w:pPr>
              <w:spacing w:line="276" w:lineRule="auto"/>
              <w:ind w:left="80"/>
              <w:jc w:val="center"/>
              <w:rPr>
                <w:rFonts w:ascii="Calibri" w:eastAsia="Calibri" w:hAnsi="Calibri" w:cs="Calibri"/>
                <w:sz w:val="16"/>
                <w:szCs w:val="16"/>
              </w:rPr>
            </w:pPr>
            <w:r>
              <w:rPr>
                <w:rFonts w:ascii="Calibri" w:eastAsia="Calibri" w:hAnsi="Calibri" w:cs="Calibri"/>
                <w:sz w:val="16"/>
                <w:szCs w:val="16"/>
              </w:rPr>
              <w:t>50</w:t>
            </w:r>
          </w:p>
        </w:tc>
        <w:tc>
          <w:tcPr>
            <w:tcW w:w="990" w:type="dxa"/>
            <w:tcBorders>
              <w:top w:val="single" w:sz="6" w:space="0" w:color="CCCCCC"/>
              <w:left w:val="single" w:sz="6" w:space="0" w:color="CCCCCC"/>
              <w:bottom w:val="dashed" w:sz="6" w:space="0" w:color="000000"/>
              <w:right w:val="single" w:sz="12" w:space="0" w:color="000000"/>
            </w:tcBorders>
            <w:tcMar>
              <w:top w:w="0" w:type="dxa"/>
              <w:left w:w="40" w:type="dxa"/>
              <w:bottom w:w="0" w:type="dxa"/>
              <w:right w:w="40" w:type="dxa"/>
            </w:tcMar>
            <w:vAlign w:val="center"/>
          </w:tcPr>
          <w:p w:rsidR="00354A77" w:rsidRPr="0043119E" w:rsidP="00A56D06" w14:paraId="327F8159" w14:textId="5B9A50B9">
            <w:pPr>
              <w:spacing w:line="276" w:lineRule="auto"/>
              <w:ind w:left="80"/>
              <w:jc w:val="center"/>
              <w:rPr>
                <w:rFonts w:ascii="Calibri" w:eastAsia="Calibri" w:hAnsi="Calibri" w:cs="Calibri"/>
                <w:sz w:val="16"/>
                <w:szCs w:val="16"/>
              </w:rPr>
            </w:pPr>
            <w:r>
              <w:rPr>
                <w:rFonts w:ascii="Calibri" w:eastAsia="Calibri" w:hAnsi="Calibri" w:cs="Calibri"/>
                <w:sz w:val="16"/>
                <w:szCs w:val="16"/>
              </w:rPr>
              <w:t>150</w:t>
            </w:r>
          </w:p>
        </w:tc>
        <w:tc>
          <w:tcPr>
            <w:tcW w:w="3870" w:type="dxa"/>
            <w:tcBorders>
              <w:top w:val="single" w:sz="6" w:space="0" w:color="CCCCCC"/>
              <w:left w:val="single" w:sz="6" w:space="0" w:color="CCCCCC"/>
              <w:bottom w:val="dashed" w:sz="6" w:space="0" w:color="000000"/>
              <w:right w:val="single" w:sz="12" w:space="0" w:color="000000"/>
            </w:tcBorders>
            <w:tcMar>
              <w:top w:w="0" w:type="dxa"/>
              <w:left w:w="40" w:type="dxa"/>
              <w:bottom w:w="0" w:type="dxa"/>
              <w:right w:w="40" w:type="dxa"/>
            </w:tcMar>
            <w:vAlign w:val="center"/>
          </w:tcPr>
          <w:p w:rsidR="00354A77" w:rsidRPr="0043119E" w:rsidP="0043119E" w14:paraId="60921184" w14:textId="5D85C522">
            <w:pPr>
              <w:spacing w:line="276" w:lineRule="auto"/>
              <w:rPr>
                <w:rFonts w:ascii="Calibri" w:eastAsia="Calibri" w:hAnsi="Calibri" w:cs="Calibri"/>
                <w:sz w:val="16"/>
                <w:szCs w:val="16"/>
              </w:rPr>
            </w:pPr>
            <w:r>
              <w:rPr>
                <w:rFonts w:ascii="Calibri" w:eastAsia="Calibri" w:hAnsi="Calibri" w:cs="Calibri"/>
                <w:sz w:val="16"/>
                <w:szCs w:val="16"/>
              </w:rPr>
              <w:t>Adjustment – reduced respondents</w:t>
            </w:r>
          </w:p>
        </w:tc>
      </w:tr>
      <w:tr w14:paraId="0F5C7A60"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tcMar>
              <w:top w:w="0" w:type="dxa"/>
              <w:left w:w="40" w:type="dxa"/>
              <w:bottom w:w="0" w:type="dxa"/>
              <w:right w:w="40" w:type="dxa"/>
            </w:tcMar>
            <w:vAlign w:val="center"/>
          </w:tcPr>
          <w:p w:rsidR="00354A77" w:rsidRPr="0043119E" w:rsidP="0043119E" w14:paraId="28025E15" w14:textId="21DF4CD2">
            <w:pPr>
              <w:spacing w:line="276" w:lineRule="auto"/>
              <w:rPr>
                <w:rFonts w:ascii="Calibri" w:eastAsia="Calibri" w:hAnsi="Calibri" w:cs="Calibri"/>
                <w:sz w:val="16"/>
                <w:szCs w:val="16"/>
              </w:rPr>
            </w:pPr>
            <w:r w:rsidRPr="0043119E">
              <w:rPr>
                <w:rFonts w:ascii="Calibri" w:eastAsia="Calibri" w:hAnsi="Calibri" w:cs="Calibri"/>
                <w:sz w:val="16"/>
                <w:szCs w:val="16"/>
              </w:rPr>
              <w:t>Application for Transfer of PCTC Program QS for Processors</w:t>
            </w:r>
          </w:p>
        </w:tc>
        <w:tc>
          <w:tcPr>
            <w:tcW w:w="810" w:type="dxa"/>
            <w:tcBorders>
              <w:top w:val="single" w:sz="6" w:space="0" w:color="CCCCCC"/>
              <w:left w:val="single" w:sz="6" w:space="0" w:color="CCCCCC"/>
              <w:bottom w:val="dashed" w:sz="6" w:space="0" w:color="000000"/>
              <w:right w:val="dashed" w:sz="12" w:space="0" w:color="000000"/>
            </w:tcBorders>
            <w:tcMar>
              <w:top w:w="0" w:type="dxa"/>
              <w:left w:w="40" w:type="dxa"/>
              <w:bottom w:w="0" w:type="dxa"/>
              <w:right w:w="40" w:type="dxa"/>
            </w:tcMar>
            <w:vAlign w:val="center"/>
          </w:tcPr>
          <w:p w:rsidR="00354A77" w:rsidRPr="0043119E" w:rsidP="00A56D06" w14:paraId="7DE00937" w14:textId="3BF912E3">
            <w:pPr>
              <w:spacing w:line="276" w:lineRule="auto"/>
              <w:ind w:left="80"/>
              <w:jc w:val="center"/>
              <w:rPr>
                <w:rFonts w:ascii="Calibri" w:eastAsia="Calibri" w:hAnsi="Calibri" w:cs="Calibri"/>
                <w:sz w:val="16"/>
                <w:szCs w:val="16"/>
              </w:rPr>
            </w:pPr>
            <w:r>
              <w:rPr>
                <w:rFonts w:ascii="Calibri" w:eastAsia="Calibri" w:hAnsi="Calibri" w:cs="Calibri"/>
                <w:sz w:val="16"/>
                <w:szCs w:val="16"/>
              </w:rPr>
              <w:t>5</w:t>
            </w:r>
          </w:p>
        </w:tc>
        <w:tc>
          <w:tcPr>
            <w:tcW w:w="990" w:type="dxa"/>
            <w:tcBorders>
              <w:top w:val="single" w:sz="6" w:space="0" w:color="CCCCCC"/>
              <w:left w:val="single" w:sz="6" w:space="0" w:color="CCCCCC"/>
              <w:bottom w:val="dashed" w:sz="6" w:space="0" w:color="000000"/>
              <w:right w:val="single" w:sz="12" w:space="0" w:color="000000"/>
            </w:tcBorders>
            <w:tcMar>
              <w:top w:w="0" w:type="dxa"/>
              <w:left w:w="40" w:type="dxa"/>
              <w:bottom w:w="0" w:type="dxa"/>
              <w:right w:w="40" w:type="dxa"/>
            </w:tcMar>
            <w:vAlign w:val="center"/>
          </w:tcPr>
          <w:p w:rsidR="00354A77" w:rsidRPr="0043119E" w:rsidP="00A56D06" w14:paraId="16CE8F06" w14:textId="4A17AD63">
            <w:pPr>
              <w:spacing w:line="276" w:lineRule="auto"/>
              <w:ind w:left="80"/>
              <w:jc w:val="center"/>
              <w:rPr>
                <w:rFonts w:ascii="Calibri" w:eastAsia="Calibri" w:hAnsi="Calibri" w:cs="Calibri"/>
                <w:sz w:val="16"/>
                <w:szCs w:val="16"/>
              </w:rPr>
            </w:pPr>
            <w:r>
              <w:rPr>
                <w:rFonts w:ascii="Calibri" w:eastAsia="Calibri" w:hAnsi="Calibri" w:cs="Calibri"/>
                <w:sz w:val="16"/>
                <w:szCs w:val="16"/>
              </w:rPr>
              <w:t>5</w:t>
            </w:r>
          </w:p>
        </w:tc>
        <w:tc>
          <w:tcPr>
            <w:tcW w:w="3870" w:type="dxa"/>
            <w:tcBorders>
              <w:top w:val="single" w:sz="6" w:space="0" w:color="CCCCCC"/>
              <w:left w:val="single" w:sz="6" w:space="0" w:color="CCCCCC"/>
              <w:bottom w:val="dashed" w:sz="6" w:space="0" w:color="000000"/>
              <w:right w:val="single" w:sz="12" w:space="0" w:color="000000"/>
            </w:tcBorders>
            <w:tcMar>
              <w:top w:w="0" w:type="dxa"/>
              <w:left w:w="40" w:type="dxa"/>
              <w:bottom w:w="0" w:type="dxa"/>
              <w:right w:w="40" w:type="dxa"/>
            </w:tcMar>
            <w:vAlign w:val="center"/>
          </w:tcPr>
          <w:p w:rsidR="00354A77" w:rsidRPr="0043119E" w:rsidP="0043119E" w14:paraId="0D519F64" w14:textId="7CE693E5">
            <w:pPr>
              <w:spacing w:line="276" w:lineRule="auto"/>
              <w:rPr>
                <w:rFonts w:ascii="Calibri" w:eastAsia="Calibri" w:hAnsi="Calibri" w:cs="Calibri"/>
                <w:sz w:val="16"/>
                <w:szCs w:val="16"/>
              </w:rPr>
            </w:pPr>
            <w:r>
              <w:rPr>
                <w:rFonts w:ascii="Calibri" w:eastAsia="Calibri" w:hAnsi="Calibri" w:cs="Calibri"/>
                <w:sz w:val="16"/>
                <w:szCs w:val="16"/>
              </w:rPr>
              <w:t>No Change.</w:t>
            </w:r>
          </w:p>
        </w:tc>
      </w:tr>
      <w:tr w14:paraId="609DEB44"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tcMar>
              <w:top w:w="0" w:type="dxa"/>
              <w:left w:w="40" w:type="dxa"/>
              <w:bottom w:w="0" w:type="dxa"/>
              <w:right w:w="40" w:type="dxa"/>
            </w:tcMar>
            <w:vAlign w:val="center"/>
          </w:tcPr>
          <w:p w:rsidR="00354A77" w:rsidRPr="0043119E" w:rsidP="0043119E" w14:paraId="69CF6D72" w14:textId="69ACD5CB">
            <w:pPr>
              <w:spacing w:line="276" w:lineRule="auto"/>
              <w:rPr>
                <w:rFonts w:ascii="Calibri" w:eastAsia="Calibri" w:hAnsi="Calibri" w:cs="Calibri"/>
                <w:sz w:val="16"/>
                <w:szCs w:val="16"/>
              </w:rPr>
            </w:pPr>
            <w:r w:rsidRPr="0043119E">
              <w:rPr>
                <w:rFonts w:ascii="Calibri" w:eastAsia="Calibri" w:hAnsi="Calibri" w:cs="Calibri"/>
                <w:sz w:val="16"/>
                <w:szCs w:val="16"/>
              </w:rPr>
              <w:t>Notification of Intent to Process Pacific cod</w:t>
            </w:r>
          </w:p>
        </w:tc>
        <w:tc>
          <w:tcPr>
            <w:tcW w:w="810" w:type="dxa"/>
            <w:tcBorders>
              <w:top w:val="single" w:sz="6" w:space="0" w:color="CCCCCC"/>
              <w:left w:val="single" w:sz="6" w:space="0" w:color="CCCCCC"/>
              <w:bottom w:val="single" w:sz="6" w:space="0" w:color="000000"/>
              <w:right w:val="dashed" w:sz="12" w:space="0" w:color="000000"/>
            </w:tcBorders>
            <w:tcMar>
              <w:top w:w="0" w:type="dxa"/>
              <w:left w:w="40" w:type="dxa"/>
              <w:bottom w:w="0" w:type="dxa"/>
              <w:right w:w="40" w:type="dxa"/>
            </w:tcMar>
            <w:vAlign w:val="center"/>
          </w:tcPr>
          <w:p w:rsidR="00354A77" w:rsidRPr="0043119E" w:rsidP="00A56D06" w14:paraId="55A68D92" w14:textId="57CF5FCA">
            <w:pPr>
              <w:spacing w:line="276" w:lineRule="auto"/>
              <w:ind w:left="80"/>
              <w:jc w:val="center"/>
              <w:rPr>
                <w:rFonts w:ascii="Calibri" w:eastAsia="Calibri" w:hAnsi="Calibri" w:cs="Calibri"/>
                <w:sz w:val="16"/>
                <w:szCs w:val="16"/>
              </w:rPr>
            </w:pPr>
            <w:r>
              <w:rPr>
                <w:rFonts w:ascii="Calibri" w:eastAsia="Calibri" w:hAnsi="Calibri" w:cs="Calibri"/>
                <w:sz w:val="16"/>
                <w:szCs w:val="16"/>
              </w:rPr>
              <w:t>10</w:t>
            </w:r>
          </w:p>
        </w:tc>
        <w:tc>
          <w:tcPr>
            <w:tcW w:w="990" w:type="dxa"/>
            <w:tcBorders>
              <w:top w:val="single" w:sz="6" w:space="0" w:color="CCCCCC"/>
              <w:left w:val="single" w:sz="6" w:space="0" w:color="CCCCCC"/>
              <w:bottom w:val="single" w:sz="6" w:space="0" w:color="000000"/>
              <w:right w:val="single" w:sz="12" w:space="0" w:color="000000"/>
            </w:tcBorders>
            <w:tcMar>
              <w:top w:w="0" w:type="dxa"/>
              <w:left w:w="40" w:type="dxa"/>
              <w:bottom w:w="0" w:type="dxa"/>
              <w:right w:w="40" w:type="dxa"/>
            </w:tcMar>
            <w:vAlign w:val="center"/>
          </w:tcPr>
          <w:p w:rsidR="00354A77" w:rsidRPr="0043119E" w:rsidP="00A56D06" w14:paraId="71920E1A" w14:textId="49AC8235">
            <w:pPr>
              <w:spacing w:line="276" w:lineRule="auto"/>
              <w:ind w:left="80"/>
              <w:jc w:val="center"/>
              <w:rPr>
                <w:rFonts w:ascii="Calibri" w:eastAsia="Calibri" w:hAnsi="Calibri" w:cs="Calibri"/>
                <w:sz w:val="16"/>
                <w:szCs w:val="16"/>
              </w:rPr>
            </w:pPr>
            <w:r>
              <w:rPr>
                <w:rFonts w:ascii="Calibri" w:eastAsia="Calibri" w:hAnsi="Calibri" w:cs="Calibri"/>
                <w:sz w:val="16"/>
                <w:szCs w:val="16"/>
              </w:rPr>
              <w:t>10</w:t>
            </w:r>
          </w:p>
        </w:tc>
        <w:tc>
          <w:tcPr>
            <w:tcW w:w="3870" w:type="dxa"/>
            <w:tcBorders>
              <w:top w:val="single" w:sz="6" w:space="0" w:color="CCCCCC"/>
              <w:left w:val="single" w:sz="6" w:space="0" w:color="CCCCCC"/>
              <w:bottom w:val="single" w:sz="6" w:space="0" w:color="000000"/>
              <w:right w:val="single" w:sz="12" w:space="0" w:color="000000"/>
            </w:tcBorders>
            <w:tcMar>
              <w:top w:w="0" w:type="dxa"/>
              <w:left w:w="40" w:type="dxa"/>
              <w:bottom w:w="0" w:type="dxa"/>
              <w:right w:w="40" w:type="dxa"/>
            </w:tcMar>
            <w:vAlign w:val="center"/>
          </w:tcPr>
          <w:p w:rsidR="00354A77" w:rsidRPr="0043119E" w:rsidP="0043119E" w14:paraId="0B33E326" w14:textId="6C30C6FB">
            <w:pPr>
              <w:spacing w:line="276" w:lineRule="auto"/>
              <w:rPr>
                <w:rFonts w:ascii="Calibri" w:eastAsia="Calibri" w:hAnsi="Calibri" w:cs="Calibri"/>
                <w:sz w:val="16"/>
                <w:szCs w:val="16"/>
              </w:rPr>
            </w:pPr>
            <w:r>
              <w:rPr>
                <w:rFonts w:ascii="Calibri" w:eastAsia="Calibri" w:hAnsi="Calibri" w:cs="Calibri"/>
                <w:sz w:val="16"/>
                <w:szCs w:val="16"/>
              </w:rPr>
              <w:t>No Change.</w:t>
            </w:r>
            <w:r>
              <w:rPr>
                <w:rFonts w:ascii="Calibri" w:eastAsia="Calibri" w:hAnsi="Calibri" w:cs="Calibri"/>
                <w:sz w:val="16"/>
                <w:szCs w:val="16"/>
              </w:rPr>
              <w:t xml:space="preserve"> </w:t>
            </w:r>
          </w:p>
        </w:tc>
      </w:tr>
      <w:tr w14:paraId="52F75EF1"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16D71676" w14:textId="422A76AD">
            <w:pPr>
              <w:spacing w:line="276" w:lineRule="auto"/>
              <w:rPr>
                <w:rFonts w:ascii="Calibri" w:eastAsia="Calibri" w:hAnsi="Calibri" w:cs="Calibri"/>
                <w:sz w:val="16"/>
                <w:szCs w:val="16"/>
              </w:rPr>
            </w:pPr>
            <w:r w:rsidRPr="0043119E">
              <w:rPr>
                <w:rFonts w:ascii="Calibri" w:eastAsia="Calibri" w:hAnsi="Calibri" w:cs="Calibri"/>
                <w:sz w:val="16"/>
                <w:szCs w:val="16"/>
              </w:rPr>
              <w:t>Ninety-Day Transfer Window for Non-Exempt AFA LLP holders</w:t>
            </w:r>
          </w:p>
        </w:tc>
        <w:tc>
          <w:tcPr>
            <w:tcW w:w="810" w:type="dxa"/>
            <w:tcBorders>
              <w:top w:val="single" w:sz="6" w:space="0" w:color="CCCCCC"/>
              <w:left w:val="single" w:sz="6" w:space="0" w:color="CCCCCC"/>
              <w:bottom w:val="single" w:sz="6" w:space="0" w:color="000000"/>
              <w:right w:val="dashed"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548560F1" w14:textId="4F30F524">
            <w:pPr>
              <w:spacing w:line="276" w:lineRule="auto"/>
              <w:ind w:left="80"/>
              <w:jc w:val="center"/>
              <w:rPr>
                <w:rFonts w:ascii="Calibri" w:eastAsia="Calibri" w:hAnsi="Calibri" w:cs="Calibri"/>
                <w:sz w:val="16"/>
                <w:szCs w:val="16"/>
              </w:rPr>
            </w:pPr>
            <w:r>
              <w:rPr>
                <w:rFonts w:ascii="Calibri" w:eastAsia="Calibri" w:hAnsi="Calibri" w:cs="Calibri"/>
                <w:sz w:val="16"/>
                <w:szCs w:val="16"/>
              </w:rPr>
              <w:t>0</w:t>
            </w:r>
          </w:p>
        </w:tc>
        <w:tc>
          <w:tcPr>
            <w:tcW w:w="990" w:type="dxa"/>
            <w:tcBorders>
              <w:top w:val="single" w:sz="6" w:space="0" w:color="CCCCCC"/>
              <w:left w:val="single" w:sz="6" w:space="0" w:color="CCCCCC"/>
              <w:bottom w:val="single" w:sz="6"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1BE4E09C" w14:textId="3642C847">
            <w:pPr>
              <w:spacing w:line="276" w:lineRule="auto"/>
              <w:ind w:left="80"/>
              <w:jc w:val="center"/>
              <w:rPr>
                <w:rFonts w:ascii="Calibri" w:eastAsia="Calibri" w:hAnsi="Calibri" w:cs="Calibri"/>
                <w:sz w:val="16"/>
                <w:szCs w:val="16"/>
              </w:rPr>
            </w:pPr>
            <w:r>
              <w:rPr>
                <w:rFonts w:ascii="Calibri" w:eastAsia="Calibri" w:hAnsi="Calibri" w:cs="Calibri"/>
                <w:sz w:val="16"/>
                <w:szCs w:val="16"/>
              </w:rPr>
              <w:t>155</w:t>
            </w:r>
          </w:p>
        </w:tc>
        <w:tc>
          <w:tcPr>
            <w:tcW w:w="3870" w:type="dxa"/>
            <w:tcBorders>
              <w:top w:val="single" w:sz="6" w:space="0" w:color="CCCCCC"/>
              <w:left w:val="single" w:sz="6" w:space="0" w:color="CCCCCC"/>
              <w:bottom w:val="single" w:sz="6"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36897918" w14:textId="60FB9DB7">
            <w:pPr>
              <w:spacing w:line="276" w:lineRule="auto"/>
              <w:rPr>
                <w:rFonts w:ascii="Calibri" w:eastAsia="Calibri" w:hAnsi="Calibri" w:cs="Calibri"/>
                <w:sz w:val="16"/>
                <w:szCs w:val="16"/>
              </w:rPr>
            </w:pPr>
            <w:r>
              <w:rPr>
                <w:rFonts w:ascii="Calibri" w:eastAsia="Calibri" w:hAnsi="Calibri" w:cs="Calibri"/>
                <w:sz w:val="16"/>
                <w:szCs w:val="16"/>
              </w:rPr>
              <w:t xml:space="preserve">Program Change – form no longer used and is removed from this collection. </w:t>
            </w:r>
          </w:p>
        </w:tc>
      </w:tr>
      <w:tr w14:paraId="663A7322"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65429DEE" w14:textId="440ECDAB">
            <w:pPr>
              <w:spacing w:line="276" w:lineRule="auto"/>
              <w:rPr>
                <w:rFonts w:ascii="Calibri" w:eastAsia="Calibri" w:hAnsi="Calibri" w:cs="Calibri"/>
                <w:sz w:val="16"/>
                <w:szCs w:val="16"/>
              </w:rPr>
            </w:pPr>
            <w:r w:rsidRPr="0043119E">
              <w:rPr>
                <w:rFonts w:ascii="Calibri" w:eastAsia="Calibri" w:hAnsi="Calibri" w:cs="Calibri"/>
                <w:sz w:val="16"/>
                <w:szCs w:val="16"/>
              </w:rPr>
              <w:t>Appeals</w:t>
            </w:r>
          </w:p>
        </w:tc>
        <w:tc>
          <w:tcPr>
            <w:tcW w:w="810" w:type="dxa"/>
            <w:tcBorders>
              <w:top w:val="single" w:sz="6" w:space="0" w:color="CCCCCC"/>
              <w:left w:val="single" w:sz="6" w:space="0" w:color="CCCCCC"/>
              <w:bottom w:val="single" w:sz="6" w:space="0" w:color="000000"/>
              <w:right w:val="dashed"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47B1A3DA" w14:textId="458672D3">
            <w:pPr>
              <w:spacing w:line="276" w:lineRule="auto"/>
              <w:ind w:left="80"/>
              <w:jc w:val="center"/>
              <w:rPr>
                <w:rFonts w:ascii="Calibri" w:eastAsia="Calibri" w:hAnsi="Calibri" w:cs="Calibri"/>
                <w:sz w:val="16"/>
                <w:szCs w:val="16"/>
              </w:rPr>
            </w:pPr>
            <w:r>
              <w:rPr>
                <w:rFonts w:ascii="Calibri" w:eastAsia="Calibri" w:hAnsi="Calibri" w:cs="Calibri"/>
                <w:sz w:val="16"/>
                <w:szCs w:val="16"/>
              </w:rPr>
              <w:t>0</w:t>
            </w:r>
          </w:p>
        </w:tc>
        <w:tc>
          <w:tcPr>
            <w:tcW w:w="990" w:type="dxa"/>
            <w:tcBorders>
              <w:top w:val="single" w:sz="6" w:space="0" w:color="CCCCCC"/>
              <w:left w:val="single" w:sz="6" w:space="0" w:color="CCCCCC"/>
              <w:bottom w:val="single" w:sz="6"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04E7CDB9" w14:textId="7D4DCC82">
            <w:pPr>
              <w:spacing w:line="276" w:lineRule="auto"/>
              <w:ind w:left="80"/>
              <w:jc w:val="center"/>
              <w:rPr>
                <w:rFonts w:ascii="Calibri" w:eastAsia="Calibri" w:hAnsi="Calibri" w:cs="Calibri"/>
                <w:sz w:val="16"/>
                <w:szCs w:val="16"/>
              </w:rPr>
            </w:pPr>
            <w:r>
              <w:rPr>
                <w:rFonts w:ascii="Calibri" w:eastAsia="Calibri" w:hAnsi="Calibri" w:cs="Calibri"/>
                <w:sz w:val="16"/>
                <w:szCs w:val="16"/>
              </w:rPr>
              <w:t>2,525</w:t>
            </w:r>
          </w:p>
        </w:tc>
        <w:tc>
          <w:tcPr>
            <w:tcW w:w="3870" w:type="dxa"/>
            <w:tcBorders>
              <w:top w:val="single" w:sz="6" w:space="0" w:color="CCCCCC"/>
              <w:left w:val="single" w:sz="6" w:space="0" w:color="CCCCCC"/>
              <w:bottom w:val="single" w:sz="6" w:space="0" w:color="000000"/>
              <w:right w:val="single" w:sz="12" w:space="0" w:color="000000"/>
            </w:tcBorders>
            <w:shd w:val="clear" w:color="auto" w:fill="D9D9D9" w:themeFill="background1" w:themeFillShade="D9"/>
            <w:tcMar>
              <w:top w:w="0" w:type="dxa"/>
              <w:left w:w="40" w:type="dxa"/>
              <w:bottom w:w="0" w:type="dxa"/>
              <w:right w:w="40" w:type="dxa"/>
            </w:tcMar>
            <w:vAlign w:val="center"/>
          </w:tcPr>
          <w:p w:rsidR="00B148E9" w:rsidRPr="0043119E" w:rsidP="00B148E9" w14:paraId="4BCBD86C" w14:textId="03475868">
            <w:pPr>
              <w:spacing w:line="276" w:lineRule="auto"/>
              <w:rPr>
                <w:rFonts w:ascii="Calibri" w:eastAsia="Calibri" w:hAnsi="Calibri" w:cs="Calibri"/>
                <w:sz w:val="16"/>
                <w:szCs w:val="16"/>
              </w:rPr>
            </w:pPr>
            <w:r>
              <w:rPr>
                <w:rFonts w:ascii="Calibri" w:eastAsia="Calibri" w:hAnsi="Calibri" w:cs="Calibri"/>
                <w:sz w:val="16"/>
                <w:szCs w:val="16"/>
              </w:rPr>
              <w:t xml:space="preserve">Program Change – form no longer used and is removed from this collection. </w:t>
            </w:r>
          </w:p>
        </w:tc>
      </w:tr>
      <w:tr w14:paraId="4E1A08F3" w14:textId="77777777" w:rsidTr="00A56D06">
        <w:tblPrEx>
          <w:tblW w:w="10425" w:type="dxa"/>
          <w:jc w:val="center"/>
          <w:tblLayout w:type="fixed"/>
          <w:tblLook w:val="0600"/>
        </w:tblPrEx>
        <w:trPr>
          <w:trHeight w:val="240"/>
          <w:jc w:val="center"/>
        </w:trPr>
        <w:tc>
          <w:tcPr>
            <w:tcW w:w="4755" w:type="dxa"/>
            <w:tcBorders>
              <w:top w:val="single" w:sz="6" w:space="0" w:color="CCCCCC"/>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tcPr>
          <w:p w:rsidR="00354A77" w:rsidP="0043119E" w14:paraId="25576DF7"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Total for Collection</w:t>
            </w:r>
          </w:p>
        </w:tc>
        <w:tc>
          <w:tcPr>
            <w:tcW w:w="810" w:type="dxa"/>
            <w:tcBorders>
              <w:top w:val="single" w:sz="6" w:space="0" w:color="CCCCCC"/>
              <w:left w:val="single" w:sz="6" w:space="0" w:color="CCCCCC"/>
              <w:bottom w:val="single" w:sz="12" w:space="0" w:color="000000"/>
              <w:right w:val="dashed" w:sz="12" w:space="0" w:color="000000"/>
            </w:tcBorders>
            <w:shd w:val="clear" w:color="auto" w:fill="BDD6EE"/>
            <w:tcMar>
              <w:top w:w="0" w:type="dxa"/>
              <w:left w:w="40" w:type="dxa"/>
              <w:bottom w:w="0" w:type="dxa"/>
              <w:right w:w="40" w:type="dxa"/>
            </w:tcMar>
            <w:vAlign w:val="center"/>
          </w:tcPr>
          <w:p w:rsidR="00354A77" w:rsidRPr="00182F1C" w:rsidP="00A56D06" w14:paraId="2622638A" w14:textId="239FAEC8">
            <w:pPr>
              <w:spacing w:line="276" w:lineRule="auto"/>
              <w:ind w:firstLine="80"/>
              <w:jc w:val="center"/>
              <w:rPr>
                <w:rFonts w:ascii="Calibri" w:eastAsia="Calibri" w:hAnsi="Calibri" w:cs="Calibri"/>
                <w:sz w:val="16"/>
                <w:szCs w:val="16"/>
              </w:rPr>
            </w:pPr>
            <w:r>
              <w:rPr>
                <w:rFonts w:ascii="Calibri" w:eastAsia="Calibri" w:hAnsi="Calibri" w:cs="Calibri"/>
                <w:sz w:val="16"/>
                <w:szCs w:val="16"/>
              </w:rPr>
              <w:t>90</w:t>
            </w:r>
          </w:p>
        </w:tc>
        <w:tc>
          <w:tcPr>
            <w:tcW w:w="990" w:type="dxa"/>
            <w:tcBorders>
              <w:top w:val="single" w:sz="6" w:space="0" w:color="CCCCCC"/>
              <w:left w:val="single" w:sz="6"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354A77" w:rsidRPr="00182F1C" w:rsidP="00A56D06" w14:paraId="10517190" w14:textId="61AE8A2D">
            <w:pPr>
              <w:spacing w:line="276" w:lineRule="auto"/>
              <w:ind w:firstLine="80"/>
              <w:jc w:val="center"/>
              <w:rPr>
                <w:rFonts w:ascii="Calibri" w:eastAsia="Calibri" w:hAnsi="Calibri" w:cs="Calibri"/>
                <w:sz w:val="16"/>
                <w:szCs w:val="16"/>
              </w:rPr>
            </w:pPr>
            <w:r w:rsidRPr="00182F1C">
              <w:rPr>
                <w:rFonts w:ascii="Calibri" w:eastAsia="Calibri" w:hAnsi="Calibri" w:cs="Calibri"/>
                <w:sz w:val="16"/>
                <w:szCs w:val="16"/>
              </w:rPr>
              <w:t>3,075</w:t>
            </w:r>
          </w:p>
        </w:tc>
        <w:tc>
          <w:tcPr>
            <w:tcW w:w="3870" w:type="dxa"/>
            <w:tcBorders>
              <w:top w:val="single" w:sz="6" w:space="0" w:color="CCCCCC"/>
              <w:left w:val="single" w:sz="6" w:space="0" w:color="CCCCCC"/>
              <w:bottom w:val="single" w:sz="12" w:space="0" w:color="000000"/>
              <w:right w:val="single" w:sz="12" w:space="0" w:color="000000"/>
            </w:tcBorders>
            <w:shd w:val="clear" w:color="auto" w:fill="000000"/>
            <w:tcMar>
              <w:top w:w="0" w:type="dxa"/>
              <w:left w:w="40" w:type="dxa"/>
              <w:bottom w:w="0" w:type="dxa"/>
              <w:right w:w="40" w:type="dxa"/>
            </w:tcMar>
            <w:vAlign w:val="center"/>
          </w:tcPr>
          <w:p w:rsidR="00354A77" w:rsidP="0043119E" w14:paraId="1F7E5F48" w14:textId="77777777">
            <w:pPr>
              <w:spacing w:line="276" w:lineRule="auto"/>
              <w:rPr>
                <w:rFonts w:ascii="Calibri" w:eastAsia="Calibri" w:hAnsi="Calibri" w:cs="Calibri"/>
                <w:sz w:val="22"/>
                <w:szCs w:val="22"/>
              </w:rPr>
            </w:pPr>
          </w:p>
        </w:tc>
      </w:tr>
      <w:tr w14:paraId="4ECD62EA" w14:textId="77777777" w:rsidTr="00A56D06">
        <w:tblPrEx>
          <w:tblW w:w="10425" w:type="dxa"/>
          <w:jc w:val="center"/>
          <w:tblLayout w:type="fixed"/>
          <w:tblLook w:val="0600"/>
        </w:tblPrEx>
        <w:trPr>
          <w:trHeight w:val="300"/>
          <w:jc w:val="center"/>
        </w:trPr>
        <w:tc>
          <w:tcPr>
            <w:tcW w:w="4755" w:type="dxa"/>
            <w:tcBorders>
              <w:top w:val="single" w:sz="6" w:space="0" w:color="CCCCCC"/>
              <w:left w:val="single" w:sz="12" w:space="0" w:color="000000"/>
              <w:bottom w:val="single" w:sz="12" w:space="0" w:color="000000"/>
              <w:right w:val="single" w:sz="6" w:space="0" w:color="000000"/>
            </w:tcBorders>
            <w:shd w:val="clear" w:color="auto" w:fill="FBE4D5"/>
            <w:tcMar>
              <w:top w:w="0" w:type="dxa"/>
              <w:left w:w="40" w:type="dxa"/>
              <w:bottom w:w="0" w:type="dxa"/>
              <w:right w:w="40" w:type="dxa"/>
            </w:tcMar>
            <w:vAlign w:val="bottom"/>
          </w:tcPr>
          <w:p w:rsidR="00354A77" w:rsidP="0043119E" w14:paraId="57D62A2B" w14:textId="77777777">
            <w:pPr>
              <w:spacing w:line="276" w:lineRule="auto"/>
              <w:jc w:val="center"/>
              <w:rPr>
                <w:rFonts w:ascii="Calibri" w:eastAsia="Calibri" w:hAnsi="Calibri" w:cs="Calibri"/>
                <w:sz w:val="22"/>
                <w:szCs w:val="22"/>
              </w:rPr>
            </w:pPr>
            <w:r>
              <w:rPr>
                <w:rFonts w:ascii="Calibri" w:eastAsia="Calibri" w:hAnsi="Calibri" w:cs="Calibri"/>
                <w:b/>
                <w:sz w:val="16"/>
                <w:szCs w:val="16"/>
              </w:rPr>
              <w:t>Difference</w:t>
            </w:r>
          </w:p>
        </w:tc>
        <w:tc>
          <w:tcPr>
            <w:tcW w:w="1800" w:type="dxa"/>
            <w:gridSpan w:val="2"/>
            <w:tcBorders>
              <w:top w:val="single" w:sz="6" w:space="0" w:color="CCCCCC"/>
              <w:left w:val="single" w:sz="6" w:space="0" w:color="CCCCCC"/>
              <w:bottom w:val="single" w:sz="12" w:space="0" w:color="000000"/>
              <w:right w:val="single" w:sz="6" w:space="0" w:color="000000"/>
            </w:tcBorders>
            <w:shd w:val="clear" w:color="auto" w:fill="FBE4D5"/>
            <w:vAlign w:val="center"/>
          </w:tcPr>
          <w:p w:rsidR="00354A77" w:rsidP="00182F1C" w14:paraId="0EADCCF7" w14:textId="77777777">
            <w:pPr>
              <w:spacing w:line="276" w:lineRule="auto"/>
              <w:jc w:val="center"/>
              <w:rPr>
                <w:rFonts w:ascii="Calibri" w:eastAsia="Calibri" w:hAnsi="Calibri" w:cs="Calibri"/>
                <w:b/>
                <w:bCs/>
                <w:sz w:val="16"/>
                <w:szCs w:val="16"/>
              </w:rPr>
            </w:pPr>
            <w:r>
              <w:rPr>
                <w:rFonts w:ascii="Calibri" w:eastAsia="Calibri" w:hAnsi="Calibri" w:cs="Calibri"/>
                <w:b/>
                <w:bCs/>
                <w:sz w:val="16"/>
                <w:szCs w:val="16"/>
              </w:rPr>
              <w:t>- $2,985</w:t>
            </w:r>
          </w:p>
          <w:p w:rsidR="00B148E9" w:rsidP="00182F1C" w14:paraId="6693531B" w14:textId="3BD801AB">
            <w:pPr>
              <w:spacing w:line="276" w:lineRule="auto"/>
              <w:jc w:val="center"/>
              <w:rPr>
                <w:rFonts w:ascii="Calibri" w:eastAsia="Calibri" w:hAnsi="Calibri" w:cs="Calibri"/>
                <w:b/>
                <w:bCs/>
                <w:sz w:val="16"/>
                <w:szCs w:val="16"/>
              </w:rPr>
            </w:pPr>
            <w:r>
              <w:rPr>
                <w:rFonts w:ascii="Calibri" w:eastAsia="Calibri" w:hAnsi="Calibri" w:cs="Calibri"/>
                <w:b/>
                <w:bCs/>
                <w:sz w:val="16"/>
                <w:szCs w:val="16"/>
              </w:rPr>
              <w:t>-2,860 program change</w:t>
            </w:r>
          </w:p>
          <w:p w:rsidR="00B148E9" w:rsidRPr="00182F1C" w:rsidP="00182F1C" w14:paraId="1E09BA09" w14:textId="1BB8B47C">
            <w:pPr>
              <w:spacing w:line="276" w:lineRule="auto"/>
              <w:jc w:val="center"/>
              <w:rPr>
                <w:rFonts w:ascii="Calibri" w:eastAsia="Calibri" w:hAnsi="Calibri" w:cs="Calibri"/>
                <w:b/>
                <w:bCs/>
                <w:sz w:val="16"/>
                <w:szCs w:val="16"/>
              </w:rPr>
            </w:pPr>
            <w:r>
              <w:rPr>
                <w:rFonts w:ascii="Calibri" w:eastAsia="Calibri" w:hAnsi="Calibri" w:cs="Calibri"/>
                <w:b/>
                <w:bCs/>
                <w:sz w:val="16"/>
                <w:szCs w:val="16"/>
              </w:rPr>
              <w:t>-</w:t>
            </w:r>
            <w:r w:rsidR="0096562C">
              <w:rPr>
                <w:rFonts w:ascii="Calibri" w:eastAsia="Calibri" w:hAnsi="Calibri" w:cs="Calibri"/>
                <w:b/>
                <w:bCs/>
                <w:sz w:val="16"/>
                <w:szCs w:val="16"/>
              </w:rPr>
              <w:t>1</w:t>
            </w:r>
            <w:r>
              <w:rPr>
                <w:rFonts w:ascii="Calibri" w:eastAsia="Calibri" w:hAnsi="Calibri" w:cs="Calibri"/>
                <w:b/>
                <w:bCs/>
                <w:sz w:val="16"/>
                <w:szCs w:val="16"/>
              </w:rPr>
              <w:t>25 adjustment</w:t>
            </w:r>
          </w:p>
        </w:tc>
        <w:tc>
          <w:tcPr>
            <w:tcW w:w="3870" w:type="dxa"/>
            <w:tcBorders>
              <w:top w:val="single" w:sz="6" w:space="0" w:color="CCCCCC"/>
              <w:left w:val="single" w:sz="6" w:space="0" w:color="CCCCCC"/>
              <w:bottom w:val="single" w:sz="12" w:space="0" w:color="000000"/>
              <w:right w:val="single" w:sz="12" w:space="0" w:color="000000"/>
            </w:tcBorders>
            <w:shd w:val="clear" w:color="auto" w:fill="0D0D0D" w:themeFill="text1" w:themeFillTint="F2"/>
          </w:tcPr>
          <w:p w:rsidR="00354A77" w:rsidP="0043119E" w14:paraId="38CA9546" w14:textId="77777777">
            <w:pPr>
              <w:spacing w:line="276" w:lineRule="auto"/>
              <w:rPr>
                <w:rFonts w:ascii="Calibri" w:eastAsia="Calibri" w:hAnsi="Calibri" w:cs="Calibri"/>
                <w:sz w:val="22"/>
                <w:szCs w:val="22"/>
              </w:rPr>
            </w:pPr>
          </w:p>
        </w:tc>
      </w:tr>
    </w:tbl>
    <w:p w:rsidR="00B148E9" w:rsidP="00A56D06" w14:paraId="7E220C14" w14:textId="77777777">
      <w:pPr>
        <w:pStyle w:val="Heading2"/>
        <w:numPr>
          <w:ilvl w:val="0"/>
          <w:numId w:val="0"/>
        </w:numPr>
        <w:spacing w:before="240"/>
        <w:sectPr w:rsidSect="00377A8A">
          <w:pgSz w:w="15840" w:h="12240" w:orient="landscape" w:code="1"/>
          <w:pgMar w:top="1440" w:right="1440" w:bottom="1440" w:left="1440" w:header="0" w:footer="720" w:gutter="0"/>
          <w:cols w:space="720"/>
          <w:docGrid w:linePitch="326"/>
        </w:sectPr>
      </w:pPr>
    </w:p>
    <w:p w:rsidR="00A56D06" w:rsidP="00A56D06" w14:paraId="57B5DB83" w14:textId="5A0F1CDE">
      <w:pPr>
        <w:pStyle w:val="Heading2"/>
        <w:numPr>
          <w:ilvl w:val="0"/>
          <w:numId w:val="27"/>
        </w:numPr>
        <w:spacing w:before="240"/>
      </w:pPr>
      <w:r>
        <w:t xml:space="preserve">For </w:t>
      </w:r>
      <w:r w:rsidRPr="007041BE">
        <w:t>collections of information whose results will be published, outline plans for tabulation and publication. Address any complex analytical techniques that will be used. Provide the</w:t>
      </w:r>
      <w:r>
        <w:t xml:space="preserve"> time schedule for the entire project, including beginning and ending dates of the collection of information, completion of report, publication dates, and other actions.</w:t>
      </w:r>
    </w:p>
    <w:p w:rsidR="00A56D06" w:rsidRPr="00BC6FB4" w:rsidP="00A56D06" w14:paraId="76B321A7" w14:textId="730081D9">
      <w:pPr>
        <w:widowControl/>
        <w:autoSpaceDE w:val="0"/>
        <w:autoSpaceDN w:val="0"/>
        <w:spacing w:after="120"/>
        <w:rPr>
          <w:rFonts w:eastAsiaTheme="minorHAnsi" w:cstheme="minorBidi"/>
        </w:rPr>
      </w:pPr>
      <w:r w:rsidRPr="003861A2">
        <w:rPr>
          <w:rFonts w:eastAsiaTheme="minorHAnsi" w:cstheme="minorBidi"/>
        </w:rPr>
        <w:t xml:space="preserve">It is anticipated that </w:t>
      </w:r>
      <w:r>
        <w:rPr>
          <w:rFonts w:eastAsiaTheme="minorHAnsi" w:cstheme="minorBidi"/>
        </w:rPr>
        <w:t xml:space="preserve">some of </w:t>
      </w:r>
      <w:r w:rsidRPr="003861A2">
        <w:rPr>
          <w:rFonts w:eastAsiaTheme="minorHAnsi" w:cstheme="minorBidi"/>
        </w:rPr>
        <w:t xml:space="preserve">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privacy, and electronic information. </w:t>
      </w:r>
      <w:r w:rsidRPr="00421B30">
        <w:rPr>
          <w:rFonts w:eastAsiaTheme="minorHAnsi" w:cstheme="minorBidi"/>
        </w:rPr>
        <w:t xml:space="preserve">See response </w:t>
      </w:r>
      <w:r w:rsidRPr="008158CE">
        <w:rPr>
          <w:rFonts w:eastAsiaTheme="minorHAnsi" w:cstheme="minorBidi"/>
        </w:rPr>
        <w:t>to Question 10 of</w:t>
      </w:r>
      <w:r w:rsidRPr="00421B30">
        <w:rPr>
          <w:rFonts w:eastAsiaTheme="minorHAnsi" w:cstheme="minorBidi"/>
        </w:rPr>
        <w:t xml:space="preserve"> this Supporting Statement for more information on confidentiality and privacy. </w:t>
      </w:r>
      <w:r w:rsidRPr="003861A2">
        <w:rPr>
          <w:rFonts w:eastAsiaTheme="minorHAnsi" w:cstheme="minorBidi"/>
        </w:rPr>
        <w:t>This information collection is designed to yield data that meet all applicable information quality guidelines. Prior to dissemination, the information will be subjected to quality control measures and a pre-dissemination review pursuant to</w:t>
      </w:r>
      <w:r w:rsidRPr="00776B34">
        <w:rPr>
          <w:rFonts w:eastAsiaTheme="minorHAnsi" w:cstheme="minorBidi"/>
        </w:rPr>
        <w:t xml:space="preserve"> </w:t>
      </w:r>
      <w:hyperlink r:id="rId14" w:history="1">
        <w:r w:rsidRPr="00776B34">
          <w:t>Section 515 of Public Law 106-554</w:t>
        </w:r>
      </w:hyperlink>
      <w:r w:rsidRPr="003861A2">
        <w:rPr>
          <w:rFonts w:eastAsiaTheme="minorHAnsi" w:cstheme="minorBidi"/>
        </w:rPr>
        <w:t xml:space="preserve"> </w:t>
      </w:r>
      <w:r w:rsidRPr="003861A2">
        <w:rPr>
          <w:rFonts w:eastAsia="Calibri"/>
          <w:color w:val="000000"/>
        </w:rPr>
        <w:t>(the Information Quality Act)</w:t>
      </w:r>
      <w:r w:rsidRPr="003861A2">
        <w:rPr>
          <w:rFonts w:eastAsiaTheme="minorHAnsi" w:cstheme="minorBidi"/>
        </w:rPr>
        <w:t xml:space="preserve">, which requires </w:t>
      </w:r>
      <w:r w:rsidRPr="003861A2">
        <w:rPr>
          <w:rFonts w:eastAsia="Calibri"/>
          <w:color w:val="000000"/>
        </w:rPr>
        <w:t>NMFS to ensure the quality, objectivity, utility, and integrity of information it publicly disseminates. Public dissemination of data collected by this information collection is governed by</w:t>
      </w:r>
      <w:r>
        <w:rPr>
          <w:rFonts w:eastAsia="Calibri"/>
          <w:color w:val="000000"/>
        </w:rPr>
        <w:t xml:space="preserve"> NOAA’s Information Quality Guidelines</w:t>
      </w:r>
      <w:r>
        <w:rPr>
          <w:rStyle w:val="FootnoteReference"/>
          <w:rFonts w:eastAsia="Calibri"/>
          <w:color w:val="000000"/>
        </w:rPr>
        <w:footnoteReference w:id="20"/>
      </w:r>
      <w:r w:rsidRPr="003861A2">
        <w:rPr>
          <w:rFonts w:eastAsia="Calibri"/>
          <w:color w:val="000000"/>
        </w:rPr>
        <w:t>, which were issued on October 30, 2014.</w:t>
      </w:r>
      <w:r w:rsidRPr="003861A2">
        <w:rPr>
          <w:rFonts w:eastAsiaTheme="minorHAnsi" w:cstheme="minorBidi"/>
        </w:rPr>
        <w:t xml:space="preserve"> </w:t>
      </w:r>
    </w:p>
    <w:p w:rsidR="00A56D06" w:rsidP="00A56D06" w14:paraId="4BE736D0" w14:textId="7536F084">
      <w:pPr>
        <w:tabs>
          <w:tab w:val="left" w:pos="2790"/>
        </w:tabs>
        <w:rPr>
          <w:b/>
        </w:rPr>
      </w:pPr>
    </w:p>
    <w:p w:rsidR="00421B30" w:rsidRPr="00421B30" w:rsidP="00421B30" w14:paraId="6DA45490" w14:textId="1220B707">
      <w:pPr>
        <w:widowControl/>
        <w:autoSpaceDE w:val="0"/>
        <w:autoSpaceDN w:val="0"/>
        <w:spacing w:after="120"/>
        <w:rPr>
          <w:rFonts w:eastAsiaTheme="minorHAnsi" w:cstheme="minorBidi"/>
        </w:rPr>
      </w:pPr>
      <w:r w:rsidRPr="00421B30">
        <w:rPr>
          <w:rFonts w:eastAsiaTheme="minorHAnsi" w:cstheme="minorBidi"/>
        </w:rPr>
        <w:t xml:space="preserve">NMFS </w:t>
      </w:r>
      <w:r w:rsidR="003679BD">
        <w:rPr>
          <w:rFonts w:eastAsiaTheme="minorHAnsi" w:cstheme="minorBidi"/>
        </w:rPr>
        <w:t>publishes</w:t>
      </w:r>
      <w:r w:rsidRPr="00421B30">
        <w:rPr>
          <w:rFonts w:eastAsiaTheme="minorHAnsi" w:cstheme="minorBidi"/>
        </w:rPr>
        <w:t xml:space="preserve"> some information from this collection on the NMFS Alaska Region website for </w:t>
      </w:r>
      <w:r w:rsidR="008C48D5">
        <w:rPr>
          <w:rFonts w:eastAsiaTheme="minorHAnsi" w:cstheme="minorBidi"/>
        </w:rPr>
        <w:t xml:space="preserve">PCTC Program </w:t>
      </w:r>
      <w:r w:rsidRPr="00421B30">
        <w:rPr>
          <w:rFonts w:eastAsiaTheme="minorHAnsi" w:cstheme="minorBidi"/>
        </w:rPr>
        <w:t>permits and licenses issued</w:t>
      </w:r>
      <w:r w:rsidR="008C48D5">
        <w:rPr>
          <w:rFonts w:eastAsiaTheme="minorHAnsi" w:cstheme="minorBidi"/>
        </w:rPr>
        <w:t>.</w:t>
      </w:r>
      <w:r>
        <w:rPr>
          <w:rStyle w:val="FootnoteReference"/>
          <w:rFonts w:eastAsiaTheme="minorHAnsi" w:cstheme="minorBidi"/>
        </w:rPr>
        <w:footnoteReference w:id="21"/>
      </w:r>
      <w:r w:rsidR="008C48D5">
        <w:rPr>
          <w:rFonts w:eastAsiaTheme="minorHAnsi" w:cstheme="minorBidi"/>
        </w:rPr>
        <w:t xml:space="preserve"> </w:t>
      </w:r>
      <w:r w:rsidRPr="00421B30">
        <w:rPr>
          <w:rFonts w:eastAsiaTheme="minorHAnsi" w:cstheme="minorBidi"/>
        </w:rPr>
        <w:t xml:space="preserve">This </w:t>
      </w:r>
      <w:r w:rsidR="003679BD">
        <w:rPr>
          <w:rFonts w:eastAsiaTheme="minorHAnsi" w:cstheme="minorBidi"/>
        </w:rPr>
        <w:t>publication</w:t>
      </w:r>
      <w:r w:rsidRPr="00421B30">
        <w:rPr>
          <w:rFonts w:eastAsiaTheme="minorHAnsi" w:cstheme="minorBidi"/>
        </w:rPr>
        <w:t xml:space="preserve"> include</w:t>
      </w:r>
      <w:r>
        <w:rPr>
          <w:rFonts w:eastAsiaTheme="minorHAnsi" w:cstheme="minorBidi"/>
        </w:rPr>
        <w:t>s</w:t>
      </w:r>
      <w:r w:rsidRPr="00421B30">
        <w:rPr>
          <w:rFonts w:eastAsiaTheme="minorHAnsi" w:cstheme="minorBidi"/>
        </w:rPr>
        <w:t xml:space="preserve"> ownership information and the amount of QS owned</w:t>
      </w:r>
      <w:r w:rsidR="003679BD">
        <w:rPr>
          <w:rFonts w:eastAsiaTheme="minorHAnsi" w:cstheme="minorBidi"/>
        </w:rPr>
        <w:t xml:space="preserve"> and is updated annually</w:t>
      </w:r>
      <w:r w:rsidRPr="00421B30">
        <w:rPr>
          <w:rFonts w:eastAsiaTheme="minorHAnsi" w:cstheme="minorBidi"/>
        </w:rPr>
        <w:t xml:space="preserve">. </w:t>
      </w:r>
    </w:p>
    <w:p w:rsidR="00421B30" w:rsidRPr="00421B30" w:rsidP="00421B30" w14:paraId="29231AC6" w14:textId="2DE07DDA">
      <w:pPr>
        <w:widowControl/>
        <w:autoSpaceDE w:val="0"/>
        <w:autoSpaceDN w:val="0"/>
        <w:spacing w:after="120"/>
        <w:rPr>
          <w:rFonts w:eastAsiaTheme="minorHAnsi" w:cstheme="minorBidi"/>
        </w:rPr>
      </w:pPr>
      <w:r w:rsidRPr="00421B30">
        <w:rPr>
          <w:rFonts w:eastAsiaTheme="minorHAnsi" w:cstheme="minorBidi"/>
        </w:rPr>
        <w:t>If a</w:t>
      </w:r>
      <w:r w:rsidR="003679BD">
        <w:rPr>
          <w:rFonts w:eastAsiaTheme="minorHAnsi" w:cstheme="minorBidi"/>
        </w:rPr>
        <w:t>n annual</w:t>
      </w:r>
      <w:r w:rsidRPr="00421B30">
        <w:rPr>
          <w:rFonts w:eastAsiaTheme="minorHAnsi" w:cstheme="minorBidi"/>
        </w:rPr>
        <w:t xml:space="preserve"> notification of intent to process PCTC Program Pacific cod is received from the City of Adak or the City of Atka, NMFS publish</w:t>
      </w:r>
      <w:r w:rsidR="003679BD">
        <w:rPr>
          <w:rFonts w:eastAsiaTheme="minorHAnsi" w:cstheme="minorBidi"/>
        </w:rPr>
        <w:t>es</w:t>
      </w:r>
      <w:r w:rsidRPr="00421B30">
        <w:rPr>
          <w:rFonts w:eastAsiaTheme="minorHAnsi" w:cstheme="minorBidi"/>
        </w:rPr>
        <w:t xml:space="preserve"> a notice in the </w:t>
      </w:r>
      <w:r w:rsidRPr="00421B30">
        <w:rPr>
          <w:rFonts w:eastAsiaTheme="minorHAnsi" w:cstheme="minorBidi"/>
          <w:i/>
        </w:rPr>
        <w:t>Federal Register</w:t>
      </w:r>
      <w:r w:rsidRPr="00421B30">
        <w:rPr>
          <w:rFonts w:eastAsiaTheme="minorHAnsi" w:cstheme="minorBidi"/>
        </w:rPr>
        <w:t xml:space="preserve"> that the Aleutian Islands CQ set-aside will be in effect for the upcoming fishing year.</w:t>
      </w:r>
    </w:p>
    <w:p w:rsidR="00441FDC" w:rsidP="00BC6FB4" w14:paraId="46000908" w14:textId="77777777">
      <w:pPr>
        <w:pBdr>
          <w:top w:val="nil"/>
          <w:left w:val="nil"/>
          <w:bottom w:val="nil"/>
          <w:right w:val="nil"/>
          <w:between w:val="nil"/>
        </w:pBdr>
        <w:spacing w:before="160" w:after="120"/>
        <w:rPr>
          <w:color w:val="2F5496"/>
        </w:rPr>
      </w:pPr>
    </w:p>
    <w:p w:rsidR="00441FDC" w:rsidP="00D15D54" w14:paraId="0A675A97" w14:textId="7D279B49">
      <w:pPr>
        <w:pStyle w:val="Heading2"/>
        <w:numPr>
          <w:ilvl w:val="0"/>
          <w:numId w:val="27"/>
        </w:numPr>
      </w:pPr>
      <w:r>
        <w:t>If seeking approval to not display the expiration date for OMB approval of the information collection, explain the reasons that display would be inappropriate.</w:t>
      </w:r>
    </w:p>
    <w:p w:rsidR="003679BD" w:rsidRPr="001054D2" w:rsidP="003679BD" w14:paraId="2C2B666D" w14:textId="77AB65A0">
      <w:pPr>
        <w:keepNext/>
        <w:widowControl/>
      </w:pPr>
      <w:r w:rsidRPr="00D44A4E">
        <w:t xml:space="preserve">The Notification of Intent to Process </w:t>
      </w:r>
      <w:r>
        <w:t>PCTC Program</w:t>
      </w:r>
      <w:r w:rsidRPr="00D44A4E">
        <w:t xml:space="preserve"> Pacific Cod </w:t>
      </w:r>
      <w:r>
        <w:t xml:space="preserve">is not a form; it is a letter or memoranda submitted by the respondents to NMFS. </w:t>
      </w:r>
      <w:r w:rsidRPr="00FE5522">
        <w:t xml:space="preserve">The agency </w:t>
      </w:r>
      <w:r>
        <w:t>displays</w:t>
      </w:r>
      <w:r w:rsidRPr="00FE5522">
        <w:t xml:space="preserve"> the expiration date for OMB approval of the information collection on all </w:t>
      </w:r>
      <w:r>
        <w:t xml:space="preserve">other </w:t>
      </w:r>
      <w:r w:rsidRPr="00FE5522">
        <w:t>instruments.</w:t>
      </w:r>
    </w:p>
    <w:p w:rsidR="00441FDC" w:rsidP="00BC6FB4" w14:paraId="0A20C621" w14:textId="77777777">
      <w:pPr>
        <w:spacing w:before="161" w:after="120"/>
        <w:rPr>
          <w:i/>
        </w:rPr>
      </w:pPr>
    </w:p>
    <w:p w:rsidR="00441FDC" w:rsidP="00D15D54" w14:paraId="265D8800" w14:textId="6F1ABA66">
      <w:pPr>
        <w:pStyle w:val="Heading2"/>
        <w:numPr>
          <w:ilvl w:val="0"/>
          <w:numId w:val="27"/>
        </w:numPr>
      </w:pPr>
      <w:r>
        <w:t>Explain each exception to the certification statement identified in “Certification for Paperwork Reduction Act Submissions."</w:t>
      </w:r>
    </w:p>
    <w:p w:rsidR="00441FDC" w:rsidP="00BC6FB4" w14:paraId="547BA4B5" w14:textId="6ACC7BEC">
      <w:pPr>
        <w:spacing w:before="221" w:after="120"/>
      </w:pPr>
      <w:r>
        <w:t xml:space="preserve">The agency certifies compliance with </w:t>
      </w:r>
      <w:hyperlink r:id="rId15">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6">
        <w:r>
          <w:rPr>
            <w:color w:val="0563C1"/>
            <w:u w:val="single"/>
          </w:rPr>
          <w:t>1320.8(b)(3)</w:t>
        </w:r>
      </w:hyperlink>
      <w:r>
        <w:t>.</w:t>
      </w:r>
    </w:p>
    <w:p w:rsidR="00441FDC" w:rsidP="00BC6FB4" w14:paraId="266A9384" w14:textId="55245ED3">
      <w:pPr>
        <w:spacing w:before="221" w:after="120"/>
        <w:rPr>
          <w:color w:val="1F497D"/>
        </w:rPr>
      </w:pPr>
      <w:bookmarkStart w:id="7" w:name="_heading=h.gjdgxs" w:colFirst="0" w:colLast="0"/>
      <w:bookmarkEnd w:id="7"/>
    </w:p>
    <w:sectPr w:rsidSect="00377A8A">
      <w:pgSz w:w="12240" w:h="15840" w:code="1"/>
      <w:pgMar w:top="1440" w:right="1440" w:bottom="1440" w:left="144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1139905"/>
      <w:docPartObj>
        <w:docPartGallery w:val="Page Numbers (Bottom of Page)"/>
        <w:docPartUnique/>
      </w:docPartObj>
    </w:sdtPr>
    <w:sdtEndPr>
      <w:rPr>
        <w:noProof/>
        <w:sz w:val="20"/>
        <w:szCs w:val="20"/>
      </w:rPr>
    </w:sdtEndPr>
    <w:sdtContent>
      <w:p w:rsidR="00D01AEA" w:rsidRPr="00B363C0" w14:paraId="4B40291F" w14:textId="77777777">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Pr>
            <w:rFonts w:asciiTheme="minorHAnsi" w:hAnsiTheme="minorHAnsi" w:cstheme="minorHAnsi"/>
            <w:noProof/>
            <w:sz w:val="20"/>
            <w:szCs w:val="20"/>
          </w:rPr>
          <w:t>7</w:t>
        </w:r>
        <w:r w:rsidRPr="00207642">
          <w:rPr>
            <w:rFonts w:asciiTheme="minorHAnsi" w:hAnsiTheme="minorHAnsi" w:cstheme="minorHAnsi"/>
            <w:noProof/>
            <w:sz w:val="20"/>
            <w:szCs w:val="20"/>
          </w:rPr>
          <w:fldChar w:fldCharType="end"/>
        </w:r>
      </w:p>
    </w:sdtContent>
  </w:sdt>
  <w:p w:rsidR="00D01AEA" w14:paraId="77765FAD" w14:textId="77777777">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8477568"/>
      <w:docPartObj>
        <w:docPartGallery w:val="Page Numbers (Bottom of Page)"/>
        <w:docPartUnique/>
      </w:docPartObj>
    </w:sdtPr>
    <w:sdtEndPr>
      <w:rPr>
        <w:noProof/>
      </w:rPr>
    </w:sdtEndPr>
    <w:sdtContent>
      <w:p w:rsidR="00003FAE" w14:paraId="20AAE0FF" w14:textId="78A81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1FDC" w14:paraId="7899EA61"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33F9" w14:paraId="1137851B" w14:textId="77777777">
      <w:r>
        <w:separator/>
      </w:r>
    </w:p>
  </w:footnote>
  <w:footnote w:type="continuationSeparator" w:id="1">
    <w:p w:rsidR="003933F9" w14:paraId="28751C06" w14:textId="77777777">
      <w:r>
        <w:continuationSeparator/>
      </w:r>
    </w:p>
  </w:footnote>
  <w:footnote w:id="2">
    <w:p w:rsidR="005B1520" w14:paraId="17A2FCEC" w14:textId="754E4D05">
      <w:pPr>
        <w:pStyle w:val="FootnoteText"/>
      </w:pPr>
      <w:r>
        <w:rPr>
          <w:rStyle w:val="FootnoteReference"/>
        </w:rPr>
        <w:footnoteRef/>
      </w:r>
      <w:r>
        <w:t xml:space="preserve"> </w:t>
      </w:r>
      <w:r w:rsidRPr="005B1520">
        <w:t>https://files.npfmc.org/fmp/BSAI/BSAIfmp.pdf</w:t>
      </w:r>
    </w:p>
  </w:footnote>
  <w:footnote w:id="3">
    <w:p w:rsidR="005D25F7" w14:paraId="2C2374C1" w14:textId="2DA94CCD">
      <w:pPr>
        <w:pStyle w:val="FootnoteText"/>
      </w:pPr>
      <w:r>
        <w:rPr>
          <w:rStyle w:val="FootnoteReference"/>
        </w:rPr>
        <w:footnoteRef/>
      </w:r>
      <w:r>
        <w:t xml:space="preserve"> </w:t>
      </w:r>
      <w:r w:rsidRPr="005D25F7">
        <w:t>https://files.npfmc.org/fmp/GOA/GOAfmp.pdf</w:t>
      </w:r>
    </w:p>
  </w:footnote>
  <w:footnote w:id="4">
    <w:p w:rsidR="00192F84" w14:paraId="7130F9D0" w14:textId="4DBF6CB2">
      <w:pPr>
        <w:pStyle w:val="FootnoteText"/>
      </w:pPr>
      <w:r>
        <w:rPr>
          <w:rStyle w:val="FootnoteReference"/>
        </w:rPr>
        <w:footnoteRef/>
      </w:r>
      <w:r>
        <w:t xml:space="preserve"> The Northern Pacific Halibut Act of 1982, 16 U.S.C. 773c is available from</w:t>
      </w:r>
      <w:r w:rsidR="00E363DD">
        <w:t xml:space="preserve"> </w:t>
      </w:r>
      <w:hyperlink r:id="rId1" w:history="1">
        <w:r w:rsidRPr="003F00F1" w:rsidR="00E363DD">
          <w:rPr>
            <w:rStyle w:val="Hyperlink"/>
          </w:rPr>
          <w:t>https://uscode.house.gov/view.xhtml?req=granuleid:USC-prelim-title16-section773c&amp;num=0&amp;edition=prelim</w:t>
        </w:r>
      </w:hyperlink>
      <w:r w:rsidR="00E363DD">
        <w:t xml:space="preserve"> </w:t>
      </w:r>
    </w:p>
  </w:footnote>
  <w:footnote w:id="5">
    <w:p w:rsidR="00E363DD" w14:paraId="470050B3" w14:textId="52ACD6C4">
      <w:pPr>
        <w:pStyle w:val="FootnoteText"/>
      </w:pPr>
      <w:r>
        <w:rPr>
          <w:rStyle w:val="FootnoteReference"/>
        </w:rPr>
        <w:footnoteRef/>
      </w:r>
      <w:r>
        <w:t xml:space="preserve"> The Magnuson-Stevens Fishery Conservation and Management Act, 16 U.S.C. 1801 </w:t>
      </w:r>
      <w:r>
        <w:rPr>
          <w:i/>
          <w:iCs/>
        </w:rPr>
        <w:t>et seq.</w:t>
      </w:r>
      <w:r>
        <w:t xml:space="preserve"> is available from </w:t>
      </w:r>
      <w:hyperlink r:id="rId2" w:history="1">
        <w:r w:rsidRPr="003F00F1">
          <w:rPr>
            <w:rStyle w:val="Hyperlink"/>
          </w:rPr>
          <w:t>https://www.fisheries.noaa.gov/resource/document/magnuson-stevens-fishery-conservation-and-management-act</w:t>
        </w:r>
      </w:hyperlink>
      <w:r>
        <w:t xml:space="preserve"> </w:t>
      </w:r>
    </w:p>
  </w:footnote>
  <w:footnote w:id="6">
    <w:p w:rsidR="00E363DD" w14:paraId="3CFC5FF3" w14:textId="350E01FE">
      <w:pPr>
        <w:pStyle w:val="FootnoteText"/>
      </w:pPr>
      <w:r>
        <w:rPr>
          <w:rStyle w:val="FootnoteReference"/>
        </w:rPr>
        <w:footnoteRef/>
      </w:r>
      <w:r>
        <w:t xml:space="preserve"> The Final Rule to implement Amendment 122 to the BSAI FMP (88 FR 53704) is available in the Federal Register at </w:t>
      </w:r>
      <w:hyperlink r:id="rId3" w:history="1">
        <w:r w:rsidRPr="003F00F1">
          <w:rPr>
            <w:rStyle w:val="Hyperlink"/>
          </w:rPr>
          <w:t>https://www.federalregister.gov/documents/2023/08/08/2023-16526/fisheries-of-the-exclusive-economic-zone-off-alaska-amendment-122-to-the-fishery-management-plan-for</w:t>
        </w:r>
      </w:hyperlink>
      <w:r>
        <w:t xml:space="preserve"> </w:t>
      </w:r>
    </w:p>
  </w:footnote>
  <w:footnote w:id="7">
    <w:p w:rsidR="0090747A" w14:paraId="70C958A6" w14:textId="30CB8D42">
      <w:pPr>
        <w:pStyle w:val="FootnoteText"/>
      </w:pPr>
      <w:r>
        <w:rPr>
          <w:rStyle w:val="FootnoteReference"/>
        </w:rPr>
        <w:footnoteRef/>
      </w:r>
      <w:r>
        <w:t xml:space="preserve"> Collections for the Application for PCTC Program CQ and the Application for Transfer of PCTC Program QS for Processors are revised to allow for email submissions. This was not previously available. Updated forms will be posted on the Alaska region website at </w:t>
      </w:r>
      <w:hyperlink r:id="rId4" w:history="1">
        <w:r w:rsidRPr="003F00F1">
          <w:rPr>
            <w:rStyle w:val="Hyperlink"/>
          </w:rPr>
          <w:t>https://www.fisheries</w:t>
        </w:r>
        <w:r w:rsidRPr="003F00F1">
          <w:rPr>
            <w:rStyle w:val="Hyperlink"/>
          </w:rPr>
          <w:t>.</w:t>
        </w:r>
        <w:r w:rsidRPr="003F00F1">
          <w:rPr>
            <w:rStyle w:val="Hyperlink"/>
          </w:rPr>
          <w:t>noaa.gov/permit/pacific-cod-trawl-cooperative-program-applic</w:t>
        </w:r>
        <w:r w:rsidRPr="003F00F1">
          <w:rPr>
            <w:rStyle w:val="Hyperlink"/>
          </w:rPr>
          <w:t>a</w:t>
        </w:r>
        <w:r w:rsidRPr="003F00F1">
          <w:rPr>
            <w:rStyle w:val="Hyperlink"/>
          </w:rPr>
          <w:t>tions-and-report-forms</w:t>
        </w:r>
      </w:hyperlink>
      <w:r>
        <w:t xml:space="preserve">. </w:t>
      </w:r>
    </w:p>
  </w:footnote>
  <w:footnote w:id="8">
    <w:p w:rsidR="00215BB1" w14:paraId="28CC63CB" w14:textId="0ABCD291">
      <w:pPr>
        <w:pStyle w:val="FootnoteText"/>
      </w:pPr>
      <w:r>
        <w:rPr>
          <w:rStyle w:val="FootnoteReference"/>
        </w:rPr>
        <w:footnoteRef/>
      </w:r>
      <w:r>
        <w:t xml:space="preserve"> The Application for PCTC Program CQ is available from </w:t>
      </w:r>
      <w:hyperlink r:id="rId4" w:anchor=":~:text=Additional%20Applications" w:history="1">
        <w:r w:rsidRPr="003F00F1">
          <w:rPr>
            <w:rStyle w:val="Hyperlink"/>
          </w:rPr>
          <w:t>https://www.fisheries.noaa.gov/permit/pacific-cod-trawl-cooperative-program-applications-and-report-forms#:~:text=Additional%20Applications</w:t>
        </w:r>
      </w:hyperlink>
      <w:r>
        <w:t xml:space="preserve"> </w:t>
      </w:r>
    </w:p>
  </w:footnote>
  <w:footnote w:id="9">
    <w:p w:rsidR="006301C2" w14:paraId="44047F4E" w14:textId="65A49F2C">
      <w:pPr>
        <w:pStyle w:val="FootnoteText"/>
      </w:pPr>
      <w:r>
        <w:rPr>
          <w:rStyle w:val="FootnoteReference"/>
        </w:rPr>
        <w:footnoteRef/>
      </w:r>
      <w:r>
        <w:t xml:space="preserve"> </w:t>
      </w:r>
      <w:r w:rsidRPr="006301C2">
        <w:t>https://www.fisheries.noaa.gov/permit/pacific-cod-trawl-cooperative-program-applications-and-report-forms</w:t>
      </w:r>
    </w:p>
  </w:footnote>
  <w:footnote w:id="10">
    <w:p w:rsidR="006D3549" w14:paraId="60F9C4CF" w14:textId="0B7CECFB">
      <w:pPr>
        <w:pStyle w:val="FootnoteText"/>
      </w:pPr>
      <w:r>
        <w:rPr>
          <w:rStyle w:val="FootnoteReference"/>
        </w:rPr>
        <w:footnoteRef/>
      </w:r>
      <w:r>
        <w:t xml:space="preserve"> PCTC Program applications are available on the NMFs Alaska Region website at </w:t>
      </w:r>
      <w:hyperlink r:id="rId4" w:history="1">
        <w:r w:rsidRPr="003F00F1">
          <w:rPr>
            <w:rStyle w:val="Hyperlink"/>
          </w:rPr>
          <w:t>https://www.fisheries.noaa.gov/permit/pacific-cod-trawl-cooperative-program-applications-and-report-forms</w:t>
        </w:r>
      </w:hyperlink>
      <w:r>
        <w:t xml:space="preserve"> </w:t>
      </w:r>
    </w:p>
  </w:footnote>
  <w:footnote w:id="11">
    <w:p w:rsidR="006D3549" w14:paraId="28D58778" w14:textId="1F078EEE">
      <w:pPr>
        <w:pStyle w:val="FootnoteText"/>
      </w:pPr>
      <w:r>
        <w:rPr>
          <w:rStyle w:val="FootnoteReference"/>
        </w:rPr>
        <w:footnoteRef/>
      </w:r>
      <w:r>
        <w:t xml:space="preserve"> The eFISH log-in page is located at the following address: </w:t>
      </w:r>
      <w:hyperlink r:id="rId5" w:history="1">
        <w:r w:rsidRPr="003F00F1">
          <w:rPr>
            <w:rStyle w:val="Hyperlink"/>
          </w:rPr>
          <w:t>https://alaskafisheries.noaa.gov/webapps/efish/login</w:t>
        </w:r>
      </w:hyperlink>
      <w:r>
        <w:t xml:space="preserve"> </w:t>
      </w:r>
    </w:p>
  </w:footnote>
  <w:footnote w:id="12">
    <w:p w:rsidR="006D3549" w14:paraId="105A2190" w14:textId="0888CEF6">
      <w:pPr>
        <w:pStyle w:val="FootnoteText"/>
      </w:pPr>
      <w:r>
        <w:rPr>
          <w:rStyle w:val="FootnoteReference"/>
        </w:rPr>
        <w:footnoteRef/>
      </w:r>
      <w:r>
        <w:t xml:space="preserve"> Instructions for using eFISH are available here  </w:t>
      </w:r>
      <w:hyperlink r:id="rId6" w:history="1">
        <w:r w:rsidRPr="003F00F1">
          <w:rPr>
            <w:rStyle w:val="Hyperlink"/>
          </w:rPr>
          <w:t>https://alaskafisheri</w:t>
        </w:r>
        <w:r w:rsidRPr="003F00F1">
          <w:rPr>
            <w:rStyle w:val="Hyperlink"/>
          </w:rPr>
          <w:t>e</w:t>
        </w:r>
        <w:r w:rsidRPr="003F00F1">
          <w:rPr>
            <w:rStyle w:val="Hyperlink"/>
          </w:rPr>
          <w:t>s.noaa.gov/node/30749</w:t>
        </w:r>
      </w:hyperlink>
      <w:r>
        <w:t xml:space="preserve"> </w:t>
      </w:r>
    </w:p>
  </w:footnote>
  <w:footnote w:id="13">
    <w:p w:rsidR="0039748F" w14:paraId="29B3C87E" w14:textId="6E9A1F86">
      <w:pPr>
        <w:pStyle w:val="FootnoteText"/>
      </w:pPr>
      <w:r>
        <w:rPr>
          <w:rStyle w:val="FootnoteReference"/>
        </w:rPr>
        <w:footnoteRef/>
      </w:r>
      <w:r>
        <w:t xml:space="preserve"> eFish help and user guides are available at </w:t>
      </w:r>
      <w:hyperlink r:id="rId7" w:history="1">
        <w:r w:rsidRPr="003F00F1">
          <w:rPr>
            <w:rStyle w:val="Hyperlink"/>
          </w:rPr>
          <w:t>https://www.fisheries.noaa.gov/resource/document/user-guides-efish-online-services</w:t>
        </w:r>
      </w:hyperlink>
      <w:r>
        <w:t xml:space="preserve"> </w:t>
      </w:r>
    </w:p>
  </w:footnote>
  <w:footnote w:id="14">
    <w:p w:rsidR="008262EE" w14:paraId="1ACEBC42" w14:textId="03C48B60">
      <w:pPr>
        <w:pStyle w:val="FootnoteText"/>
      </w:pPr>
      <w:r>
        <w:rPr>
          <w:rStyle w:val="FootnoteReference"/>
        </w:rPr>
        <w:footnoteRef/>
      </w:r>
      <w:r>
        <w:t xml:space="preserve"> </w:t>
      </w:r>
      <w:r>
        <w:t xml:space="preserve">The </w:t>
      </w:r>
      <w:r>
        <w:t>NMFS Alaska Region Restricted Access Management (RAM)</w:t>
      </w:r>
      <w:r>
        <w:t xml:space="preserve"> Division is available to assist with eFISH. Email </w:t>
      </w:r>
      <w:hyperlink r:id="rId8" w:history="1">
        <w:r w:rsidRPr="003F00F1">
          <w:rPr>
            <w:rStyle w:val="Hyperlink"/>
          </w:rPr>
          <w:t>ram.alaska@noaa.gov</w:t>
        </w:r>
      </w:hyperlink>
      <w:r>
        <w:t xml:space="preserve"> or call +1 (800) 304 - 4846, option 2, Monday to Friday, 8am to 4pm.</w:t>
      </w:r>
    </w:p>
  </w:footnote>
  <w:footnote w:id="15">
    <w:p w:rsidR="007117CE" w14:paraId="5E7AD25F" w14:textId="00E2D3B8">
      <w:pPr>
        <w:pStyle w:val="FootnoteText"/>
      </w:pPr>
      <w:r>
        <w:rPr>
          <w:rStyle w:val="FootnoteReference"/>
        </w:rPr>
        <w:footnoteRef/>
      </w:r>
      <w:r>
        <w:t xml:space="preserve"> NOAA Administrative Order 216-100 is available from </w:t>
      </w:r>
      <w:hyperlink r:id="rId9" w:history="1">
        <w:r w:rsidRPr="003F00F1">
          <w:rPr>
            <w:rStyle w:val="Hyperlink"/>
          </w:rPr>
          <w:t>https://www.no</w:t>
        </w:r>
        <w:r w:rsidRPr="003F00F1">
          <w:rPr>
            <w:rStyle w:val="Hyperlink"/>
          </w:rPr>
          <w:t>a</w:t>
        </w:r>
        <w:r w:rsidRPr="003F00F1">
          <w:rPr>
            <w:rStyle w:val="Hyperlink"/>
          </w:rPr>
          <w:t>a.gov/organization/administration/nao-216-100-protection-of-confidential-fisheries-statistics</w:t>
        </w:r>
      </w:hyperlink>
      <w:r>
        <w:t xml:space="preserve"> </w:t>
      </w:r>
    </w:p>
  </w:footnote>
  <w:footnote w:id="16">
    <w:p w:rsidR="00FD07CE" w14:paraId="3B6C3B2D" w14:textId="5F352B82">
      <w:pPr>
        <w:pStyle w:val="FootnoteText"/>
      </w:pPr>
      <w:r>
        <w:rPr>
          <w:rStyle w:val="FootnoteReference"/>
        </w:rPr>
        <w:footnoteRef/>
      </w:r>
      <w:r>
        <w:t xml:space="preserve"> The</w:t>
      </w:r>
      <w:r w:rsidR="007117CE">
        <w:t xml:space="preserve"> </w:t>
      </w:r>
      <w:r>
        <w:t xml:space="preserve">System of Records Notice </w:t>
      </w:r>
      <w:r w:rsidR="007117CE">
        <w:t xml:space="preserve">covering PCTC Program information collections is available from </w:t>
      </w:r>
      <w:hyperlink r:id="rId10" w:history="1">
        <w:r w:rsidR="00610AD0">
          <w:rPr>
            <w:rStyle w:val="Hyperlink"/>
          </w:rPr>
          <w:t>https://www.commerce.gov/node/4991</w:t>
        </w:r>
      </w:hyperlink>
      <w:r w:rsidR="007117CE">
        <w:t xml:space="preserve"> </w:t>
      </w:r>
    </w:p>
  </w:footnote>
  <w:footnote w:id="17">
    <w:p w:rsidR="007117CE" w14:paraId="49E3A7CB" w14:textId="174CF364">
      <w:pPr>
        <w:pStyle w:val="FootnoteText"/>
      </w:pPr>
      <w:r>
        <w:rPr>
          <w:rStyle w:val="FootnoteReference"/>
        </w:rPr>
        <w:footnoteRef/>
      </w:r>
      <w:r>
        <w:t xml:space="preserve"> The NOAA NMFS Alaska Region </w:t>
      </w:r>
      <w:r w:rsidR="006D3549">
        <w:t>Local Area Network Privacy Impact Statement (NOAA4700) that covers this collection i</w:t>
      </w:r>
      <w:r>
        <w:t xml:space="preserve">s available from </w:t>
      </w:r>
      <w:hyperlink r:id="rId11" w:history="1">
        <w:r w:rsidR="00B148E9">
          <w:rPr>
            <w:rStyle w:val="Hyperlink"/>
          </w:rPr>
          <w:t>https://www.commerce.gov/sites/default/files/2025-03/NOAA4700%20PIA%20FY25%20SAOP_Approved.pdf</w:t>
        </w:r>
      </w:hyperlink>
      <w:r w:rsidR="006D3549">
        <w:t xml:space="preserve"> </w:t>
      </w:r>
    </w:p>
  </w:footnote>
  <w:footnote w:id="18">
    <w:p w:rsidR="005823E6" w14:paraId="489D5E32" w14:textId="4D637ABE">
      <w:pPr>
        <w:pStyle w:val="FootnoteText"/>
      </w:pPr>
      <w:r>
        <w:rPr>
          <w:rStyle w:val="FootnoteReference"/>
        </w:rPr>
        <w:footnoteRef/>
      </w:r>
      <w:r>
        <w:t xml:space="preserve"> Values obtained from May 2024 Bureau of Labor Statistics wages across Alaska. </w:t>
      </w:r>
      <w:r w:rsidR="00F44A5E">
        <w:t xml:space="preserve">Available from </w:t>
      </w:r>
      <w:hyperlink r:id="rId12" w:history="1">
        <w:r w:rsidRPr="003F00F1" w:rsidR="00F44A5E">
          <w:rPr>
            <w:rStyle w:val="Hyperlink"/>
          </w:rPr>
          <w:t>https://www.bls.gov/oes/2024/may/oessrcma.htm</w:t>
        </w:r>
      </w:hyperlink>
      <w:r w:rsidR="00F44A5E">
        <w:t xml:space="preserve"> </w:t>
      </w:r>
    </w:p>
  </w:footnote>
  <w:footnote w:id="19">
    <w:p w:rsidR="007A1372" w14:paraId="6FA0C202" w14:textId="4FE27084">
      <w:pPr>
        <w:pStyle w:val="FootnoteText"/>
      </w:pPr>
      <w:r>
        <w:rPr>
          <w:rStyle w:val="FootnoteReference"/>
        </w:rPr>
        <w:footnoteRef/>
      </w:r>
      <w:r>
        <w:t xml:space="preserve"> The 2024 Cost recovery Report for Alaska was published in April 2025. PCTC Program costs for the initial year of the program are greater than future costs because several information collections were only needed for respondents to join the program or were otherwise not necessary for subsequent years. Annual cost recovery program reports are available on the NMFS Alaska Region website at </w:t>
      </w:r>
      <w:hyperlink r:id="rId13" w:history="1">
        <w:r w:rsidRPr="003F00F1">
          <w:rPr>
            <w:rStyle w:val="Hyperlink"/>
          </w:rPr>
          <w:t>https://www.fisheries.noaa.gov/alaska/commercial-fishing/cost-recovery-programs-fee-collection-and-fee-payment-alaska</w:t>
        </w:r>
      </w:hyperlink>
      <w:r>
        <w:t xml:space="preserve"> </w:t>
      </w:r>
    </w:p>
  </w:footnote>
  <w:footnote w:id="20">
    <w:p w:rsidR="00A56D06" w:rsidP="00A56D06" w14:paraId="511F078B" w14:textId="77777777">
      <w:pPr>
        <w:pStyle w:val="FootnoteText"/>
      </w:pPr>
      <w:r>
        <w:rPr>
          <w:rStyle w:val="FootnoteReference"/>
        </w:rPr>
        <w:footnoteRef/>
      </w:r>
      <w:r>
        <w:t xml:space="preserve"> NOAA Information Quality Guidelines are available from </w:t>
      </w:r>
      <w:hyperlink r:id="rId14" w:history="1">
        <w:r w:rsidRPr="003F00F1">
          <w:rPr>
            <w:rStyle w:val="Hyperlink"/>
          </w:rPr>
          <w:t>https://www.noaa.gov/organization/information-technology/policy-oversight/information-quality/information-quality-guidelines</w:t>
        </w:r>
      </w:hyperlink>
    </w:p>
  </w:footnote>
  <w:footnote w:id="21">
    <w:p w:rsidR="008C48D5" w14:paraId="30DF751D" w14:textId="74062492">
      <w:pPr>
        <w:pStyle w:val="FootnoteText"/>
      </w:pPr>
      <w:r>
        <w:rPr>
          <w:rStyle w:val="FootnoteReference"/>
        </w:rPr>
        <w:footnoteRef/>
      </w:r>
      <w:r>
        <w:t xml:space="preserve">PCTC Program permits and license issued are available at </w:t>
      </w:r>
      <w:hyperlink r:id="rId15" w:anchor="pacific-cod-trawl-cooperative-program" w:history="1">
        <w:r w:rsidRPr="003F00F1">
          <w:rPr>
            <w:rStyle w:val="Hyperlink"/>
          </w:rPr>
          <w:t>https://www.fisheries.noaa.gov/alaska/commercial-fishing/permits-and-licenses-issued-alaska#pacific-cod-trawl-cooperative-program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45000"/>
    <w:multiLevelType w:val="multilevel"/>
    <w:tmpl w:val="97260DF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0BAA2046"/>
    <w:multiLevelType w:val="hybridMultilevel"/>
    <w:tmpl w:val="C8F60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5B4D58"/>
    <w:multiLevelType w:val="hybridMultilevel"/>
    <w:tmpl w:val="EF46D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E79E6"/>
    <w:multiLevelType w:val="hybridMultilevel"/>
    <w:tmpl w:val="E35E1DA6"/>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E06066"/>
    <w:multiLevelType w:val="hybridMultilevel"/>
    <w:tmpl w:val="7EDA19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42253D"/>
    <w:multiLevelType w:val="multilevel"/>
    <w:tmpl w:val="DF02F79A"/>
    <w:lvl w:ilvl="0">
      <w:start w:val="1"/>
      <w:numFmt w:val="decimal"/>
      <w:pStyle w:val="Heading1"/>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6">
    <w:nsid w:val="1FF078EE"/>
    <w:multiLevelType w:val="hybridMultilevel"/>
    <w:tmpl w:val="440E55BA"/>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3AB00CA"/>
    <w:multiLevelType w:val="multilevel"/>
    <w:tmpl w:val="F5C41C6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275D4FB5"/>
    <w:multiLevelType w:val="multilevel"/>
    <w:tmpl w:val="142AF15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29D16699"/>
    <w:multiLevelType w:val="multilevel"/>
    <w:tmpl w:val="A4EA4F7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2DCF1AEB"/>
    <w:multiLevelType w:val="hybridMultilevel"/>
    <w:tmpl w:val="D68A1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943B61"/>
    <w:multiLevelType w:val="multilevel"/>
    <w:tmpl w:val="57167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37597F2C"/>
    <w:multiLevelType w:val="hybridMultilevel"/>
    <w:tmpl w:val="16263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8E115C"/>
    <w:multiLevelType w:val="multilevel"/>
    <w:tmpl w:val="5B8A449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4">
    <w:nsid w:val="3A7A2B76"/>
    <w:multiLevelType w:val="hybridMultilevel"/>
    <w:tmpl w:val="5574A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1B7973"/>
    <w:multiLevelType w:val="hybridMultilevel"/>
    <w:tmpl w:val="66FAE40A"/>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222270"/>
    <w:multiLevelType w:val="multilevel"/>
    <w:tmpl w:val="A3CC3B2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7">
    <w:nsid w:val="492A21AB"/>
    <w:multiLevelType w:val="hybridMultilevel"/>
    <w:tmpl w:val="088AF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105E21"/>
    <w:multiLevelType w:val="hybridMultilevel"/>
    <w:tmpl w:val="BEC0696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576AF8"/>
    <w:multiLevelType w:val="hybridMultilevel"/>
    <w:tmpl w:val="0F685F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F16F62"/>
    <w:multiLevelType w:val="hybridMultilevel"/>
    <w:tmpl w:val="6226C530"/>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F334E9"/>
    <w:multiLevelType w:val="hybridMultilevel"/>
    <w:tmpl w:val="B6CADD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71C0DD2"/>
    <w:multiLevelType w:val="multilevel"/>
    <w:tmpl w:val="DB9441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3">
    <w:nsid w:val="5C7256E8"/>
    <w:multiLevelType w:val="hybridMultilevel"/>
    <w:tmpl w:val="4BEAC56A"/>
    <w:lvl w:ilvl="0">
      <w:start w:val="1"/>
      <w:numFmt w:val="decimal"/>
      <w:lvlText w:val="%1)"/>
      <w:lvlJc w:val="left"/>
      <w:pPr>
        <w:ind w:left="1080" w:hanging="360"/>
      </w:pPr>
      <w:rPr>
        <w:rFonts w:hint="default"/>
        <w:b w:val="0"/>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C5572A"/>
    <w:multiLevelType w:val="hybridMultilevel"/>
    <w:tmpl w:val="62A48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1D15F4"/>
    <w:multiLevelType w:val="multilevel"/>
    <w:tmpl w:val="BB0AF868"/>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26">
    <w:nsid w:val="6FF84BF4"/>
    <w:multiLevelType w:val="hybridMultilevel"/>
    <w:tmpl w:val="14044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8F40E1"/>
    <w:multiLevelType w:val="hybridMultilevel"/>
    <w:tmpl w:val="5B344FA2"/>
    <w:lvl w:ilvl="0">
      <w:start w:val="1"/>
      <w:numFmt w:val="decimal"/>
      <w:lvlText w:val="%1."/>
      <w:lvlJc w:val="left"/>
      <w:pPr>
        <w:ind w:left="720" w:hanging="360"/>
      </w:pPr>
      <w:rPr>
        <w:rFonts w:hint="default"/>
        <w: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7F4340"/>
    <w:multiLevelType w:val="hybridMultilevel"/>
    <w:tmpl w:val="62B89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1D7235"/>
    <w:multiLevelType w:val="hybridMultilevel"/>
    <w:tmpl w:val="6C14DA2C"/>
    <w:lvl w:ilvl="0">
      <w:start w:val="1"/>
      <w:numFmt w:val="decimal"/>
      <w:pStyle w:val="Heading2"/>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46B94"/>
    <w:multiLevelType w:val="multilevel"/>
    <w:tmpl w:val="B6E896A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1">
    <w:nsid w:val="78441524"/>
    <w:multiLevelType w:val="hybridMultilevel"/>
    <w:tmpl w:val="34ECB6D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82755D"/>
    <w:multiLevelType w:val="multilevel"/>
    <w:tmpl w:val="5FF6EB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16cid:durableId="2028865446">
    <w:abstractNumId w:val="16"/>
  </w:num>
  <w:num w:numId="2" w16cid:durableId="1678732061">
    <w:abstractNumId w:val="13"/>
  </w:num>
  <w:num w:numId="3" w16cid:durableId="1798376582">
    <w:abstractNumId w:val="11"/>
  </w:num>
  <w:num w:numId="4" w16cid:durableId="2363784">
    <w:abstractNumId w:val="5"/>
  </w:num>
  <w:num w:numId="5" w16cid:durableId="483813738">
    <w:abstractNumId w:val="9"/>
  </w:num>
  <w:num w:numId="6" w16cid:durableId="225265690">
    <w:abstractNumId w:val="22"/>
  </w:num>
  <w:num w:numId="7" w16cid:durableId="1612009169">
    <w:abstractNumId w:val="32"/>
  </w:num>
  <w:num w:numId="8" w16cid:durableId="313030755">
    <w:abstractNumId w:val="7"/>
  </w:num>
  <w:num w:numId="9" w16cid:durableId="884760120">
    <w:abstractNumId w:val="0"/>
  </w:num>
  <w:num w:numId="10" w16cid:durableId="264650900">
    <w:abstractNumId w:val="25"/>
  </w:num>
  <w:num w:numId="11" w16cid:durableId="1486235956">
    <w:abstractNumId w:val="8"/>
  </w:num>
  <w:num w:numId="12" w16cid:durableId="645821144">
    <w:abstractNumId w:val="30"/>
  </w:num>
  <w:num w:numId="13" w16cid:durableId="710688571">
    <w:abstractNumId w:val="24"/>
  </w:num>
  <w:num w:numId="14" w16cid:durableId="493761725">
    <w:abstractNumId w:val="2"/>
  </w:num>
  <w:num w:numId="15" w16cid:durableId="1448499793">
    <w:abstractNumId w:val="26"/>
  </w:num>
  <w:num w:numId="16" w16cid:durableId="618799030">
    <w:abstractNumId w:val="14"/>
  </w:num>
  <w:num w:numId="17" w16cid:durableId="1032917725">
    <w:abstractNumId w:val="10"/>
  </w:num>
  <w:num w:numId="18" w16cid:durableId="1792361328">
    <w:abstractNumId w:val="1"/>
  </w:num>
  <w:num w:numId="19" w16cid:durableId="322049944">
    <w:abstractNumId w:val="17"/>
  </w:num>
  <w:num w:numId="20" w16cid:durableId="1743062066">
    <w:abstractNumId w:val="27"/>
  </w:num>
  <w:num w:numId="21" w16cid:durableId="1684478929">
    <w:abstractNumId w:val="4"/>
  </w:num>
  <w:num w:numId="22" w16cid:durableId="861818397">
    <w:abstractNumId w:val="12"/>
  </w:num>
  <w:num w:numId="23" w16cid:durableId="191578056">
    <w:abstractNumId w:val="19"/>
  </w:num>
  <w:num w:numId="24" w16cid:durableId="1389643404">
    <w:abstractNumId w:val="29"/>
  </w:num>
  <w:num w:numId="25" w16cid:durableId="1454014170">
    <w:abstractNumId w:val="29"/>
    <w:lvlOverride w:ilvl="0">
      <w:startOverride w:val="1"/>
    </w:lvlOverride>
  </w:num>
  <w:num w:numId="26" w16cid:durableId="1470325422">
    <w:abstractNumId w:val="3"/>
  </w:num>
  <w:num w:numId="27" w16cid:durableId="869613726">
    <w:abstractNumId w:val="21"/>
  </w:num>
  <w:num w:numId="28" w16cid:durableId="160629599">
    <w:abstractNumId w:val="18"/>
  </w:num>
  <w:num w:numId="29" w16cid:durableId="1646160327">
    <w:abstractNumId w:val="20"/>
  </w:num>
  <w:num w:numId="30" w16cid:durableId="1925411638">
    <w:abstractNumId w:val="31"/>
  </w:num>
  <w:num w:numId="31" w16cid:durableId="1028726164">
    <w:abstractNumId w:val="15"/>
  </w:num>
  <w:num w:numId="32" w16cid:durableId="1730105982">
    <w:abstractNumId w:val="6"/>
  </w:num>
  <w:num w:numId="33" w16cid:durableId="946498889">
    <w:abstractNumId w:val="23"/>
  </w:num>
  <w:num w:numId="34" w16cid:durableId="4000607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FDC"/>
    <w:rsid w:val="00003FAE"/>
    <w:rsid w:val="000103F0"/>
    <w:rsid w:val="00021556"/>
    <w:rsid w:val="00027CD4"/>
    <w:rsid w:val="000567F3"/>
    <w:rsid w:val="00083319"/>
    <w:rsid w:val="00090E50"/>
    <w:rsid w:val="000A6F44"/>
    <w:rsid w:val="000B7C81"/>
    <w:rsid w:val="000E45F0"/>
    <w:rsid w:val="001054D2"/>
    <w:rsid w:val="001357EE"/>
    <w:rsid w:val="00147F03"/>
    <w:rsid w:val="00161B20"/>
    <w:rsid w:val="00182F1C"/>
    <w:rsid w:val="00192F84"/>
    <w:rsid w:val="001B644A"/>
    <w:rsid w:val="001D31DE"/>
    <w:rsid w:val="00207642"/>
    <w:rsid w:val="002117F4"/>
    <w:rsid w:val="00215BB1"/>
    <w:rsid w:val="002227E7"/>
    <w:rsid w:val="002601DC"/>
    <w:rsid w:val="00266A4D"/>
    <w:rsid w:val="0027188C"/>
    <w:rsid w:val="00272F9A"/>
    <w:rsid w:val="002B5E09"/>
    <w:rsid w:val="002C0E65"/>
    <w:rsid w:val="002C31DE"/>
    <w:rsid w:val="0030741E"/>
    <w:rsid w:val="00316E0D"/>
    <w:rsid w:val="00321140"/>
    <w:rsid w:val="00333D8F"/>
    <w:rsid w:val="00354A77"/>
    <w:rsid w:val="003673D1"/>
    <w:rsid w:val="003679BD"/>
    <w:rsid w:val="003734EF"/>
    <w:rsid w:val="00377A8A"/>
    <w:rsid w:val="0038405A"/>
    <w:rsid w:val="003861A2"/>
    <w:rsid w:val="00387C08"/>
    <w:rsid w:val="00391FF9"/>
    <w:rsid w:val="00392AA9"/>
    <w:rsid w:val="003933F9"/>
    <w:rsid w:val="0039748F"/>
    <w:rsid w:val="003B620D"/>
    <w:rsid w:val="003D0EF1"/>
    <w:rsid w:val="003D57F5"/>
    <w:rsid w:val="003E4C25"/>
    <w:rsid w:val="003F00F1"/>
    <w:rsid w:val="003F0385"/>
    <w:rsid w:val="003F36CD"/>
    <w:rsid w:val="0041422B"/>
    <w:rsid w:val="00421B30"/>
    <w:rsid w:val="0043119E"/>
    <w:rsid w:val="00441FDC"/>
    <w:rsid w:val="00444967"/>
    <w:rsid w:val="00457F61"/>
    <w:rsid w:val="0046678D"/>
    <w:rsid w:val="00470A06"/>
    <w:rsid w:val="004A174D"/>
    <w:rsid w:val="004D36C8"/>
    <w:rsid w:val="004E23C4"/>
    <w:rsid w:val="004F1C5F"/>
    <w:rsid w:val="004F6484"/>
    <w:rsid w:val="0050567F"/>
    <w:rsid w:val="00510A73"/>
    <w:rsid w:val="00524F39"/>
    <w:rsid w:val="00527386"/>
    <w:rsid w:val="00536319"/>
    <w:rsid w:val="005531D6"/>
    <w:rsid w:val="005751C0"/>
    <w:rsid w:val="00580711"/>
    <w:rsid w:val="005823E6"/>
    <w:rsid w:val="00587906"/>
    <w:rsid w:val="005B1520"/>
    <w:rsid w:val="005B1971"/>
    <w:rsid w:val="005C5EA3"/>
    <w:rsid w:val="005D25F7"/>
    <w:rsid w:val="005D38F5"/>
    <w:rsid w:val="005F2B5F"/>
    <w:rsid w:val="00610AD0"/>
    <w:rsid w:val="00611222"/>
    <w:rsid w:val="006118BE"/>
    <w:rsid w:val="006301C2"/>
    <w:rsid w:val="00636121"/>
    <w:rsid w:val="0063647F"/>
    <w:rsid w:val="00637005"/>
    <w:rsid w:val="00643188"/>
    <w:rsid w:val="006525C3"/>
    <w:rsid w:val="00663C79"/>
    <w:rsid w:val="006A67F2"/>
    <w:rsid w:val="006B78B0"/>
    <w:rsid w:val="006D3549"/>
    <w:rsid w:val="006E2036"/>
    <w:rsid w:val="006E38E8"/>
    <w:rsid w:val="006E59A0"/>
    <w:rsid w:val="007041BE"/>
    <w:rsid w:val="007117CE"/>
    <w:rsid w:val="00736A9B"/>
    <w:rsid w:val="00737F94"/>
    <w:rsid w:val="00776B34"/>
    <w:rsid w:val="007A1372"/>
    <w:rsid w:val="007A1885"/>
    <w:rsid w:val="007C7B86"/>
    <w:rsid w:val="007D0EBA"/>
    <w:rsid w:val="00801DA3"/>
    <w:rsid w:val="00810CA5"/>
    <w:rsid w:val="008158CE"/>
    <w:rsid w:val="00817D33"/>
    <w:rsid w:val="008262EE"/>
    <w:rsid w:val="00853BB4"/>
    <w:rsid w:val="0089749F"/>
    <w:rsid w:val="008A480A"/>
    <w:rsid w:val="008B49AA"/>
    <w:rsid w:val="008C09A3"/>
    <w:rsid w:val="008C48D5"/>
    <w:rsid w:val="008D10A3"/>
    <w:rsid w:val="008E442A"/>
    <w:rsid w:val="0090747A"/>
    <w:rsid w:val="00921561"/>
    <w:rsid w:val="009500F4"/>
    <w:rsid w:val="00952D90"/>
    <w:rsid w:val="00957FB3"/>
    <w:rsid w:val="0096562C"/>
    <w:rsid w:val="00976DE0"/>
    <w:rsid w:val="00986A81"/>
    <w:rsid w:val="00996405"/>
    <w:rsid w:val="00997CC3"/>
    <w:rsid w:val="009D1D00"/>
    <w:rsid w:val="00A01E86"/>
    <w:rsid w:val="00A10E12"/>
    <w:rsid w:val="00A10F83"/>
    <w:rsid w:val="00A12B7B"/>
    <w:rsid w:val="00A32AA5"/>
    <w:rsid w:val="00A374C3"/>
    <w:rsid w:val="00A37687"/>
    <w:rsid w:val="00A40929"/>
    <w:rsid w:val="00A41A89"/>
    <w:rsid w:val="00A56D06"/>
    <w:rsid w:val="00A723A3"/>
    <w:rsid w:val="00A83F59"/>
    <w:rsid w:val="00AC3A37"/>
    <w:rsid w:val="00AD37BB"/>
    <w:rsid w:val="00AE78D8"/>
    <w:rsid w:val="00AF48F1"/>
    <w:rsid w:val="00AF4D3C"/>
    <w:rsid w:val="00B148E9"/>
    <w:rsid w:val="00B2552B"/>
    <w:rsid w:val="00B363C0"/>
    <w:rsid w:val="00B67F95"/>
    <w:rsid w:val="00B77380"/>
    <w:rsid w:val="00B94864"/>
    <w:rsid w:val="00BB2A6E"/>
    <w:rsid w:val="00BC3BE8"/>
    <w:rsid w:val="00BC6FB4"/>
    <w:rsid w:val="00BF3A19"/>
    <w:rsid w:val="00C1068D"/>
    <w:rsid w:val="00C16CC7"/>
    <w:rsid w:val="00C21AD7"/>
    <w:rsid w:val="00C21C05"/>
    <w:rsid w:val="00C25F7F"/>
    <w:rsid w:val="00C300D5"/>
    <w:rsid w:val="00C36595"/>
    <w:rsid w:val="00C6795B"/>
    <w:rsid w:val="00CB1671"/>
    <w:rsid w:val="00CC468D"/>
    <w:rsid w:val="00CD1D30"/>
    <w:rsid w:val="00CF55F9"/>
    <w:rsid w:val="00D01AEA"/>
    <w:rsid w:val="00D03736"/>
    <w:rsid w:val="00D10FA6"/>
    <w:rsid w:val="00D15D54"/>
    <w:rsid w:val="00D334E5"/>
    <w:rsid w:val="00D34339"/>
    <w:rsid w:val="00D40DE0"/>
    <w:rsid w:val="00D44A4E"/>
    <w:rsid w:val="00D44BC3"/>
    <w:rsid w:val="00D83EBA"/>
    <w:rsid w:val="00D86B79"/>
    <w:rsid w:val="00D934A0"/>
    <w:rsid w:val="00D97F0C"/>
    <w:rsid w:val="00DB246D"/>
    <w:rsid w:val="00DB3E99"/>
    <w:rsid w:val="00DB6F96"/>
    <w:rsid w:val="00DC4100"/>
    <w:rsid w:val="00DD48D7"/>
    <w:rsid w:val="00E025DF"/>
    <w:rsid w:val="00E334A7"/>
    <w:rsid w:val="00E363DD"/>
    <w:rsid w:val="00E5687A"/>
    <w:rsid w:val="00E73330"/>
    <w:rsid w:val="00E8035F"/>
    <w:rsid w:val="00E80CEE"/>
    <w:rsid w:val="00E86F1F"/>
    <w:rsid w:val="00ED3E38"/>
    <w:rsid w:val="00EE1C8F"/>
    <w:rsid w:val="00EF03AA"/>
    <w:rsid w:val="00F03296"/>
    <w:rsid w:val="00F11799"/>
    <w:rsid w:val="00F2005D"/>
    <w:rsid w:val="00F406EE"/>
    <w:rsid w:val="00F44A5E"/>
    <w:rsid w:val="00F759E7"/>
    <w:rsid w:val="00F87ABB"/>
    <w:rsid w:val="00FA06A8"/>
    <w:rsid w:val="00FA6F35"/>
    <w:rsid w:val="00FB1A4F"/>
    <w:rsid w:val="00FD07CE"/>
    <w:rsid w:val="00FE5522"/>
    <w:rsid w:val="00FF10AE"/>
    <w:rsid w:val="00FF4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BED07"/>
  <w15:docId w15:val="{C0A0CEBD-7E9C-43B7-84E1-773945F1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2117F4"/>
    <w:pPr>
      <w:numPr>
        <w:numId w:val="4"/>
      </w:numPr>
      <w:tabs>
        <w:tab w:val="left" w:pos="360"/>
      </w:tabs>
      <w:spacing w:before="124" w:after="120"/>
      <w:outlineLvl w:val="0"/>
    </w:pPr>
    <w:rPr>
      <w:b/>
      <w:bCs/>
    </w:rPr>
  </w:style>
  <w:style w:type="paragraph" w:styleId="Heading2">
    <w:name w:val="heading 2"/>
    <w:basedOn w:val="Normal"/>
    <w:next w:val="Normal"/>
    <w:uiPriority w:val="9"/>
    <w:unhideWhenUsed/>
    <w:qFormat/>
    <w:rsid w:val="002117F4"/>
    <w:pPr>
      <w:keepNext/>
      <w:keepLines/>
      <w:numPr>
        <w:numId w:val="24"/>
      </w:numPr>
      <w:spacing w:before="80" w:after="80"/>
      <w:outlineLvl w:val="1"/>
    </w:pPr>
    <w:rPr>
      <w:b/>
    </w:rPr>
  </w:style>
  <w:style w:type="paragraph" w:styleId="Heading3">
    <w:name w:val="heading 3"/>
    <w:basedOn w:val="Normal"/>
    <w:next w:val="Normal"/>
    <w:uiPriority w:val="9"/>
    <w:unhideWhenUsed/>
    <w:qFormat/>
    <w:rsid w:val="002117F4"/>
    <w:pPr>
      <w:keepNext/>
      <w:keepLines/>
      <w:spacing w:before="280" w:after="80"/>
      <w:outlineLvl w:val="2"/>
    </w:pPr>
    <w:rPr>
      <w:bCs/>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table" w:styleId="TableGrid">
    <w:name w:val="Table Grid"/>
    <w:basedOn w:val="TableNormal"/>
    <w:uiPriority w:val="39"/>
    <w:rsid w:val="00D0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4D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59A0"/>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6E59A0"/>
    <w:rPr>
      <w:rFonts w:ascii="Arial" w:eastAsia="Arial" w:hAnsi="Arial" w:cs="Arial"/>
      <w:b/>
      <w:bCs/>
      <w:color w:val="2E5395"/>
      <w:sz w:val="20"/>
      <w:szCs w:val="20"/>
    </w:rPr>
  </w:style>
  <w:style w:type="table" w:customStyle="1" w:styleId="6">
    <w:name w:val="6"/>
    <w:basedOn w:val="TableNormal"/>
    <w:rsid w:val="00083319"/>
    <w:tblPr>
      <w:tblStyleRowBandSize w:val="1"/>
      <w:tblStyleColBandSize w:val="1"/>
      <w:tblCellMar>
        <w:left w:w="115" w:type="dxa"/>
        <w:right w:w="115" w:type="dxa"/>
      </w:tblCellMar>
    </w:tblPr>
  </w:style>
  <w:style w:type="table" w:customStyle="1" w:styleId="5">
    <w:name w:val="5"/>
    <w:basedOn w:val="TableNormal"/>
    <w:rsid w:val="00CB1671"/>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8C48D5"/>
    <w:rPr>
      <w:sz w:val="20"/>
      <w:szCs w:val="20"/>
    </w:rPr>
  </w:style>
  <w:style w:type="character" w:customStyle="1" w:styleId="FootnoteTextChar">
    <w:name w:val="Footnote Text Char"/>
    <w:basedOn w:val="DefaultParagraphFont"/>
    <w:link w:val="FootnoteText"/>
    <w:uiPriority w:val="99"/>
    <w:semiHidden/>
    <w:rsid w:val="008C48D5"/>
    <w:rPr>
      <w:sz w:val="20"/>
      <w:szCs w:val="20"/>
    </w:rPr>
  </w:style>
  <w:style w:type="character" w:styleId="FootnoteReference">
    <w:name w:val="footnote reference"/>
    <w:basedOn w:val="DefaultParagraphFont"/>
    <w:uiPriority w:val="99"/>
    <w:semiHidden/>
    <w:unhideWhenUsed/>
    <w:rsid w:val="008C48D5"/>
    <w:rPr>
      <w:vertAlign w:val="superscript"/>
    </w:rPr>
  </w:style>
  <w:style w:type="paragraph" w:styleId="Revision">
    <w:name w:val="Revision"/>
    <w:hidden/>
    <w:uiPriority w:val="99"/>
    <w:semiHidden/>
    <w:rsid w:val="00387C0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ecfr.gov/current/title-50/part-679/subpart-L" TargetMode="External" /><Relationship Id="rId12" Type="http://schemas.openxmlformats.org/officeDocument/2006/relationships/hyperlink" Target="mailto:ram.alaska@noaa.gov" TargetMode="External" /><Relationship Id="rId13" Type="http://schemas.openxmlformats.org/officeDocument/2006/relationships/footer" Target="footer2.xml" /><Relationship Id="rId14" Type="http://schemas.openxmlformats.org/officeDocument/2006/relationships/hyperlink" Target="http://www.fws.gov/informationquality/section515.html"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ecfr.gov/current/title-50/part-679/section-679.130" TargetMode="External" /><Relationship Id="rId8" Type="http://schemas.openxmlformats.org/officeDocument/2006/relationships/hyperlink" Target="https://www.ecfr.gov/current/title-50/part-679/section-679.131" TargetMode="External" /><Relationship Id="rId9" Type="http://schemas.openxmlformats.org/officeDocument/2006/relationships/hyperlink" Target="https://www.ecfr.gov/current/title-50/part-679/section-679.13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req=granuleid:USC-prelim-title16-section773c&amp;num=0&amp;edition=prelim" TargetMode="External" /><Relationship Id="rId10" Type="http://schemas.openxmlformats.org/officeDocument/2006/relationships/hyperlink" Target="https://www.commerce.gov/node/4991" TargetMode="External" /><Relationship Id="rId11" Type="http://schemas.openxmlformats.org/officeDocument/2006/relationships/hyperlink" Target="https://www.commerce.gov/sites/default/files/2025-03/NOAA4700%20PIA%20FY25%20SAOP_Approved.pdf" TargetMode="External" /><Relationship Id="rId12" Type="http://schemas.openxmlformats.org/officeDocument/2006/relationships/hyperlink" Target="https://www.bls.gov/oes/2024/may/oessrcma.htm" TargetMode="External" /><Relationship Id="rId13" Type="http://schemas.openxmlformats.org/officeDocument/2006/relationships/hyperlink" Target="https://www.fisheries.noaa.gov/alaska/commercial-fishing/cost-recovery-programs-fee-collection-and-fee-payment-alaska" TargetMode="External" /><Relationship Id="rId14" Type="http://schemas.openxmlformats.org/officeDocument/2006/relationships/hyperlink" Target="https://www.noaa.gov/organization/information-technology/policy-oversight/information-quality/information-quality-guidelines" TargetMode="External" /><Relationship Id="rId15" Type="http://schemas.openxmlformats.org/officeDocument/2006/relationships/hyperlink" Target="https://www.fisheries.noaa.gov/alaska/commercial-fishing/permits-and-licenses-issued-alaska" TargetMode="External" /><Relationship Id="rId2" Type="http://schemas.openxmlformats.org/officeDocument/2006/relationships/hyperlink" Target="https://www.fisheries.noaa.gov/resource/document/magnuson-stevens-fishery-conservation-and-management-act" TargetMode="External" /><Relationship Id="rId3" Type="http://schemas.openxmlformats.org/officeDocument/2006/relationships/hyperlink" Target="https://www.federalregister.gov/documents/2023/08/08/2023-16526/fisheries-of-the-exclusive-economic-zone-off-alaska-amendment-122-to-the-fishery-management-plan-for" TargetMode="External" /><Relationship Id="rId4" Type="http://schemas.openxmlformats.org/officeDocument/2006/relationships/hyperlink" Target="https://www.fisheries.noaa.gov/permit/pacific-cod-trawl-cooperative-program-applications-and-report-forms" TargetMode="External" /><Relationship Id="rId5" Type="http://schemas.openxmlformats.org/officeDocument/2006/relationships/hyperlink" Target="https://alaskafisheries.noaa.gov/webapps/efish/login" TargetMode="External" /><Relationship Id="rId6" Type="http://schemas.openxmlformats.org/officeDocument/2006/relationships/hyperlink" Target="https://alaskafisheries.noaa.gov/node/30749" TargetMode="External" /><Relationship Id="rId7" Type="http://schemas.openxmlformats.org/officeDocument/2006/relationships/hyperlink" Target="https://www.fisheries.noaa.gov/resource/document/user-guides-efish-online-services" TargetMode="External" /><Relationship Id="rId8" Type="http://schemas.openxmlformats.org/officeDocument/2006/relationships/hyperlink" Target="mailto:ram.alaska@noaa.gov" TargetMode="External" /><Relationship Id="rId9" Type="http://schemas.openxmlformats.org/officeDocument/2006/relationships/hyperlink" Target="https://www.noaa.gov/organization/administration/nao-216-100-protection-of-confidential-fisheries-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2DB8AD-E1D8-4549-A9FE-3C23890E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6567</Words>
  <Characters>37435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cp:lastPrinted>2025-07-09T21:15:00Z</cp:lastPrinted>
  <dcterms:created xsi:type="dcterms:W3CDTF">2026-02-12T22:32:00Z</dcterms:created>
  <dcterms:modified xsi:type="dcterms:W3CDTF">2026-02-12T22:32:00Z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