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522F7C" w14:paraId="4C554728" w14:textId="77777777">
      <w:pPr>
        <w:widowControl/>
        <w:tabs>
          <w:tab w:val="left" w:pos="720"/>
        </w:tabs>
        <w:ind w:left="720" w:hanging="1440"/>
        <w:rPr>
          <w:rFonts w:ascii="Times New Roman" w:hAnsi="Times New Roman"/>
          <w:b/>
          <w:bCs/>
        </w:rPr>
      </w:pPr>
    </w:p>
    <w:p w:rsidR="00690F56" w:rsidRPr="00A47DA7" w:rsidP="00522F7C" w14:paraId="7E97B93F" w14:textId="77777777">
      <w:pPr>
        <w:widowControl/>
        <w:tabs>
          <w:tab w:val="left" w:pos="720"/>
        </w:tabs>
        <w:jc w:val="center"/>
        <w:rPr>
          <w:rFonts w:ascii="Times New Roman" w:hAnsi="Times New Roman"/>
          <w:b/>
          <w:bCs/>
        </w:rPr>
      </w:pPr>
      <w:r w:rsidRPr="00A47DA7">
        <w:rPr>
          <w:rFonts w:ascii="Times New Roman" w:hAnsi="Times New Roman"/>
          <w:b/>
          <w:bCs/>
        </w:rPr>
        <w:t>SUPPORTING STATEMENT FOR</w:t>
      </w:r>
    </w:p>
    <w:p w:rsidR="000B6FB6" w:rsidP="00522F7C" w14:paraId="1CF8A88F" w14:textId="065F864E">
      <w:pPr>
        <w:widowControl/>
        <w:jc w:val="center"/>
        <w:rPr>
          <w:rFonts w:ascii="Times New Roman" w:hAnsi="Times New Roman"/>
          <w:b/>
          <w:bCs/>
        </w:rPr>
      </w:pPr>
      <w:r w:rsidRPr="00FB1287">
        <w:rPr>
          <w:rFonts w:ascii="Times New Roman" w:hAnsi="Times New Roman"/>
          <w:b/>
          <w:bCs/>
        </w:rPr>
        <w:t>Federal Explosives License/Permit (FEL</w:t>
      </w:r>
      <w:r w:rsidR="00522F7C">
        <w:rPr>
          <w:rFonts w:ascii="Times New Roman" w:hAnsi="Times New Roman"/>
          <w:b/>
          <w:bCs/>
        </w:rPr>
        <w:t>/P</w:t>
      </w:r>
      <w:r w:rsidRPr="00FB1287">
        <w:rPr>
          <w:rFonts w:ascii="Times New Roman" w:hAnsi="Times New Roman"/>
          <w:b/>
          <w:bCs/>
        </w:rPr>
        <w:t>) Renewal Application</w:t>
      </w:r>
    </w:p>
    <w:p w:rsidR="00522F7C" w:rsidP="00522F7C" w14:paraId="157A9685" w14:textId="24C3DA01">
      <w:pPr>
        <w:widowControl/>
        <w:jc w:val="center"/>
        <w:rPr>
          <w:rFonts w:ascii="Times New Roman" w:hAnsi="Times New Roman"/>
          <w:b/>
          <w:bCs/>
        </w:rPr>
      </w:pPr>
      <w:r>
        <w:rPr>
          <w:rFonts w:ascii="Times New Roman" w:hAnsi="Times New Roman"/>
          <w:b/>
          <w:bCs/>
        </w:rPr>
        <w:t>ATF Form 5400.14/5400.15</w:t>
      </w:r>
    </w:p>
    <w:p w:rsidR="00FB1287" w:rsidRPr="00A47DA7" w:rsidP="00690F56" w14:paraId="09EE8305"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RPr="00D802D6" w:rsidP="00D802D6" w14:paraId="386CE7D5" w14:textId="4979BE0B">
      <w:pPr>
        <w:pStyle w:val="paragraph"/>
        <w:textAlignment w:val="baseline"/>
        <w:rPr>
          <w:color w:val="000000"/>
        </w:rPr>
      </w:pPr>
      <w:r w:rsidRPr="00FB1287">
        <w:rPr>
          <w:color w:val="000000"/>
        </w:rPr>
        <w:t>Chapter 40 of Title 18 of the United States Code (U.S.C.) provides that no person may engage in the business of importing, manufacturing, or dealing in explosive materials, without first obtaining a license to do so. Further, no person may transport or buy explosives materials in interstate commerce without first obtaining a permit to do so. Licenses</w:t>
      </w:r>
      <w:r w:rsidR="003F190C">
        <w:rPr>
          <w:color w:val="000000"/>
        </w:rPr>
        <w:t>/</w:t>
      </w:r>
      <w:r w:rsidRPr="00FB1287">
        <w:rPr>
          <w:color w:val="000000"/>
        </w:rPr>
        <w:t xml:space="preserve">permits are issued for a specific period of time and are renewable upon the same conditions as the original </w:t>
      </w:r>
      <w:r w:rsidR="001A74F7">
        <w:rPr>
          <w:color w:val="000000"/>
        </w:rPr>
        <w:t>license/</w:t>
      </w:r>
      <w:r w:rsidRPr="00FB1287">
        <w:rPr>
          <w:color w:val="000000"/>
        </w:rPr>
        <w:t>permit.  In order to continue uninterrupted in these activities, license</w:t>
      </w:r>
      <w:r w:rsidR="006E29C4">
        <w:rPr>
          <w:color w:val="000000"/>
        </w:rPr>
        <w:t>e</w:t>
      </w:r>
      <w:r w:rsidRPr="00FB1287">
        <w:rPr>
          <w:color w:val="000000"/>
        </w:rPr>
        <w:t>s</w:t>
      </w:r>
      <w:r w:rsidR="003F190C">
        <w:rPr>
          <w:color w:val="000000"/>
        </w:rPr>
        <w:t>/</w:t>
      </w:r>
      <w:r w:rsidRPr="00FB1287">
        <w:rPr>
          <w:color w:val="000000"/>
        </w:rPr>
        <w:t>permit</w:t>
      </w:r>
      <w:r w:rsidR="006E29C4">
        <w:rPr>
          <w:color w:val="000000"/>
        </w:rPr>
        <w:t>tee</w:t>
      </w:r>
      <w:r w:rsidRPr="00FB1287">
        <w:rPr>
          <w:color w:val="000000"/>
        </w:rPr>
        <w:t xml:space="preserve">s </w:t>
      </w:r>
      <w:r w:rsidR="006E29C4">
        <w:rPr>
          <w:color w:val="000000"/>
        </w:rPr>
        <w:t>must</w:t>
      </w:r>
      <w:r w:rsidRPr="00FB1287">
        <w:rPr>
          <w:color w:val="000000"/>
        </w:rPr>
        <w:t xml:space="preserve"> renew </w:t>
      </w:r>
      <w:r w:rsidR="006E29C4">
        <w:rPr>
          <w:color w:val="000000"/>
        </w:rPr>
        <w:t xml:space="preserve">their license(s)/permit(s) </w:t>
      </w:r>
      <w:r w:rsidRPr="00FB1287">
        <w:rPr>
          <w:color w:val="000000"/>
        </w:rPr>
        <w:t xml:space="preserve">by filing a renewal application. </w:t>
      </w:r>
      <w:r w:rsidR="00A837A2">
        <w:rPr>
          <w:color w:val="000000"/>
        </w:rPr>
        <w:t>The application form, ATF Form 5400.14/5400.15, was originally used only for renewing licenses</w:t>
      </w:r>
      <w:r w:rsidR="00184461">
        <w:rPr>
          <w:color w:val="000000"/>
        </w:rPr>
        <w:t xml:space="preserve"> (as ATF Form 5400.14)</w:t>
      </w:r>
      <w:r w:rsidR="00A837A2">
        <w:rPr>
          <w:color w:val="000000"/>
        </w:rPr>
        <w:t xml:space="preserve">, but in the past its use was </w:t>
      </w:r>
      <w:r w:rsidR="00184461">
        <w:rPr>
          <w:color w:val="000000"/>
        </w:rPr>
        <w:t xml:space="preserve">combined </w:t>
      </w:r>
      <w:r w:rsidR="00A837A2">
        <w:rPr>
          <w:color w:val="000000"/>
        </w:rPr>
        <w:t>to include permit renewals (and the separate previous permit renewal form</w:t>
      </w:r>
      <w:r w:rsidR="00184461">
        <w:rPr>
          <w:color w:val="000000"/>
        </w:rPr>
        <w:t xml:space="preserve"> ATF Form 5400.15)</w:t>
      </w:r>
      <w:r w:rsidR="00A837A2">
        <w:rPr>
          <w:color w:val="000000"/>
        </w:rPr>
        <w:t xml:space="preserve"> was discontinued), to simplify and streamline the renewal process. Therefore, this information collection continues to cover both license/permit renewals</w:t>
      </w:r>
      <w:r w:rsidR="00184461">
        <w:rPr>
          <w:color w:val="000000"/>
        </w:rPr>
        <w:t xml:space="preserve"> and </w:t>
      </w:r>
      <w:r w:rsidR="001A74F7">
        <w:rPr>
          <w:color w:val="000000"/>
        </w:rPr>
        <w:t xml:space="preserve">continues to include </w:t>
      </w:r>
      <w:r w:rsidR="00184461">
        <w:rPr>
          <w:color w:val="000000"/>
        </w:rPr>
        <w:t>use of ATF Form 5400.14/5400.15.</w:t>
      </w:r>
      <w:r w:rsidR="00A837A2">
        <w:rPr>
          <w:color w:val="000000"/>
        </w:rPr>
        <w:t xml:space="preserve"> </w:t>
      </w:r>
      <w:r w:rsidR="00184461">
        <w:rPr>
          <w:color w:val="000000"/>
        </w:rPr>
        <w:t>H</w:t>
      </w:r>
      <w:r w:rsidR="00A837A2">
        <w:rPr>
          <w:color w:val="000000"/>
        </w:rPr>
        <w:t xml:space="preserve">owever, </w:t>
      </w:r>
      <w:r w:rsidR="00184461">
        <w:rPr>
          <w:color w:val="000000"/>
        </w:rPr>
        <w:t>the title printed on the form</w:t>
      </w:r>
      <w:r w:rsidR="00A837A2">
        <w:rPr>
          <w:color w:val="000000"/>
        </w:rPr>
        <w:t xml:space="preserve"> </w:t>
      </w:r>
      <w:r w:rsidR="00184461">
        <w:rPr>
          <w:color w:val="000000"/>
        </w:rPr>
        <w:t>remains</w:t>
      </w:r>
      <w:r w:rsidRPr="00FB1287" w:rsidR="00A837A2">
        <w:rPr>
          <w:color w:val="000000"/>
        </w:rPr>
        <w:t xml:space="preserve"> </w:t>
      </w:r>
      <w:r w:rsidR="00522F7C">
        <w:rPr>
          <w:color w:val="000000"/>
        </w:rPr>
        <w:t>“</w:t>
      </w:r>
      <w:r w:rsidRPr="00FB1287">
        <w:rPr>
          <w:color w:val="000000"/>
        </w:rPr>
        <w:t>Federal Explosives License (FE</w:t>
      </w:r>
      <w:r w:rsidR="00522F7C">
        <w:rPr>
          <w:color w:val="000000"/>
        </w:rPr>
        <w:t>L</w:t>
      </w:r>
      <w:r w:rsidRPr="00FB1287">
        <w:rPr>
          <w:color w:val="000000"/>
        </w:rPr>
        <w:t>) Renewal Application</w:t>
      </w:r>
      <w:r w:rsidR="00522F7C">
        <w:rPr>
          <w:color w:val="000000"/>
        </w:rPr>
        <w:t>”;</w:t>
      </w:r>
      <w:r w:rsidR="00184461">
        <w:rPr>
          <w:color w:val="000000"/>
        </w:rPr>
        <w:t xml:space="preserve"> it</w:t>
      </w:r>
      <w:r w:rsidR="00522F7C">
        <w:rPr>
          <w:color w:val="000000"/>
        </w:rPr>
        <w:t xml:space="preserve"> is generated using a system that currently does not allow ATF to make changes to the title</w:t>
      </w:r>
      <w:r w:rsidR="00A837A2">
        <w:rPr>
          <w:color w:val="000000"/>
        </w:rPr>
        <w:t>, so it retains the previous title for now</w:t>
      </w:r>
      <w:r w:rsidR="00522F7C">
        <w:rPr>
          <w:color w:val="000000"/>
        </w:rPr>
        <w:t>.</w:t>
      </w:r>
      <w:r w:rsidRPr="00FB1287">
        <w:rPr>
          <w:color w:val="000000"/>
        </w:rPr>
        <w:t xml:space="preserve"> </w:t>
      </w:r>
      <w:r w:rsidR="00184461">
        <w:rPr>
          <w:color w:val="000000"/>
        </w:rPr>
        <w:t>ATF will continue to require license/permit renewal applications</w:t>
      </w:r>
      <w:r w:rsidRPr="00FB1287">
        <w:rPr>
          <w:color w:val="000000"/>
        </w:rPr>
        <w:t xml:space="preserve"> as long as 18 U.S.C. § 843(a) requires a person (the applicant) to maintain a valid license</w:t>
      </w:r>
      <w:r w:rsidR="003F190C">
        <w:rPr>
          <w:color w:val="000000"/>
        </w:rPr>
        <w:t>/</w:t>
      </w:r>
      <w:r w:rsidRPr="00FB1287">
        <w:rPr>
          <w:color w:val="000000"/>
        </w:rPr>
        <w:t>permit to continue engaging in the explosives material business or transporting or buying explosive material</w:t>
      </w:r>
      <w:r w:rsidR="003F190C">
        <w:rPr>
          <w:color w:val="000000"/>
        </w:rPr>
        <w:t>s</w:t>
      </w:r>
      <w:r w:rsidRPr="00FB1287">
        <w:rPr>
          <w:color w:val="000000"/>
        </w:rPr>
        <w:t xml:space="preserve"> in interstate commerce</w:t>
      </w:r>
      <w:r w:rsidR="00184461">
        <w:rPr>
          <w:color w:val="000000"/>
        </w:rPr>
        <w:t xml:space="preserve"> after the period of their original license/permit elapses</w:t>
      </w:r>
      <w:r w:rsidRPr="00FB1287">
        <w:rPr>
          <w:color w:val="000000"/>
        </w:rPr>
        <w:t>.</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05220127">
      <w:pPr>
        <w:widowControl/>
        <w:rPr>
          <w:rFonts w:ascii="Times New Roman" w:hAnsi="Times New Roman"/>
        </w:rPr>
      </w:pPr>
      <w:r w:rsidRPr="00FB1287">
        <w:rPr>
          <w:rFonts w:ascii="Times New Roman" w:hAnsi="Times New Roman"/>
        </w:rPr>
        <w:t xml:space="preserve">ATF examiners will use the information collected on ATF </w:t>
      </w:r>
      <w:bookmarkStart w:id="0" w:name="_Hlk74120120"/>
      <w:r w:rsidRPr="00FB1287">
        <w:rPr>
          <w:rFonts w:ascii="Times New Roman" w:hAnsi="Times New Roman"/>
        </w:rPr>
        <w:t>Form 5400.14/5400.15</w:t>
      </w:r>
      <w:bookmarkEnd w:id="0"/>
      <w:r w:rsidRPr="00FB1287">
        <w:rPr>
          <w:rFonts w:ascii="Times New Roman" w:hAnsi="Times New Roman"/>
        </w:rPr>
        <w:t>, to identify applicants for a renewed license</w:t>
      </w:r>
      <w:r w:rsidR="003F190C">
        <w:rPr>
          <w:rFonts w:ascii="Times New Roman" w:hAnsi="Times New Roman"/>
        </w:rPr>
        <w:t>/</w:t>
      </w:r>
      <w:r w:rsidRPr="00FB1287">
        <w:rPr>
          <w:rFonts w:ascii="Times New Roman" w:hAnsi="Times New Roman"/>
        </w:rPr>
        <w:t>permit, the location where the activity will be conducted, the specific activity to be conducted, and the applicant’s continued eligibility to receive a renewed license</w:t>
      </w:r>
      <w:r w:rsidR="003F190C">
        <w:rPr>
          <w:rFonts w:ascii="Times New Roman" w:hAnsi="Times New Roman"/>
        </w:rPr>
        <w:t>/</w:t>
      </w:r>
      <w:r w:rsidRPr="00FB1287">
        <w:rPr>
          <w:rFonts w:ascii="Times New Roman" w:hAnsi="Times New Roman"/>
        </w:rPr>
        <w:t>permit. Renewal applications are now computer generated and mailed to the applicant with enough lead time to allow for timely processing and return of a valid license</w:t>
      </w:r>
      <w:r w:rsidR="003F190C">
        <w:rPr>
          <w:rFonts w:ascii="Times New Roman" w:hAnsi="Times New Roman"/>
        </w:rPr>
        <w:t>/</w:t>
      </w:r>
      <w:r w:rsidRPr="00FB1287">
        <w:rPr>
          <w:rFonts w:ascii="Times New Roman" w:hAnsi="Times New Roman"/>
        </w:rPr>
        <w:t>permit to the applicant. The renewal application is used by ATF to determine the applicant’s eligibility to retain the explosives license</w:t>
      </w:r>
      <w:r w:rsidR="003F190C">
        <w:rPr>
          <w:rFonts w:ascii="Times New Roman" w:hAnsi="Times New Roman"/>
        </w:rPr>
        <w:t>/</w:t>
      </w:r>
      <w:r w:rsidRPr="00FB1287">
        <w:rPr>
          <w:rFonts w:ascii="Times New Roman" w:hAnsi="Times New Roman"/>
        </w:rPr>
        <w:t>permit.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D53DEB">
        <w:rPr>
          <w:rFonts w:ascii="Times New Roman" w:hAnsi="Times New Roman"/>
          <w:b/>
          <w:bCs/>
        </w:rPr>
        <w:t>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4E7248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B1287">
        <w:rPr>
          <w:rFonts w:ascii="Times New Roman" w:hAnsi="Times New Roman"/>
        </w:rPr>
        <w:t>ATF Form 5400.14/5400.15 is generated by the ATF Federal Explosives Licensing Center (FELC) in Martinsburg, West Virginia. The form is unavailable on the ATF website because it is automatically generated by an ATF database approximately 90 days prior to the expiration of an explosives license. This database electronically pre-populates form data fields related to the existing license(s)</w:t>
      </w:r>
      <w:r w:rsidR="003F190C">
        <w:rPr>
          <w:rFonts w:ascii="Times New Roman" w:hAnsi="Times New Roman"/>
        </w:rPr>
        <w:t>/permit(s)</w:t>
      </w:r>
      <w:r w:rsidRPr="00FB1287">
        <w:rPr>
          <w:rFonts w:ascii="Times New Roman" w:hAnsi="Times New Roman"/>
        </w:rPr>
        <w:t xml:space="preserve"> that </w:t>
      </w:r>
      <w:r w:rsidR="003F190C">
        <w:rPr>
          <w:rFonts w:ascii="Times New Roman" w:hAnsi="Times New Roman"/>
        </w:rPr>
        <w:t>may</w:t>
      </w:r>
      <w:r w:rsidRPr="00FB1287">
        <w:rPr>
          <w:rFonts w:ascii="Times New Roman" w:hAnsi="Times New Roman"/>
        </w:rPr>
        <w:t xml:space="preserve"> be renewed. The database also ascribes renewal fees by license</w:t>
      </w:r>
      <w:r w:rsidR="003F190C">
        <w:rPr>
          <w:rFonts w:ascii="Times New Roman" w:hAnsi="Times New Roman"/>
        </w:rPr>
        <w:t>/permit</w:t>
      </w:r>
      <w:r w:rsidRPr="00FB1287">
        <w:rPr>
          <w:rFonts w:ascii="Times New Roman" w:hAnsi="Times New Roman"/>
        </w:rPr>
        <w:t xml:space="preserve"> type, which reduces the respondent burden, increases accuracy of form completion, and decreases processing delays due to incorrect fee calculations. The partially completed form is mailed to the respondent for </w:t>
      </w:r>
      <w:r w:rsidR="003F190C">
        <w:rPr>
          <w:rFonts w:ascii="Times New Roman" w:hAnsi="Times New Roman"/>
        </w:rPr>
        <w:t xml:space="preserve">review and updating, </w:t>
      </w:r>
      <w:r w:rsidRPr="00FB1287">
        <w:rPr>
          <w:rFonts w:ascii="Times New Roman" w:hAnsi="Times New Roman"/>
        </w:rPr>
        <w:t>completion of any remaining applicable fields, signature, and submission with payment for processing. The form must be submitted or mailed with the payment information via check, money order, or credit/debit card, to ensure processing by the designated financial institution. ATF does not currently have an electronic or online payment system to renew explosives licenses</w:t>
      </w:r>
      <w:r w:rsidR="003F190C">
        <w:rPr>
          <w:rFonts w:ascii="Times New Roman" w:hAnsi="Times New Roman"/>
        </w:rPr>
        <w:t>/</w:t>
      </w:r>
      <w:r w:rsidRPr="00FB1287">
        <w:rPr>
          <w:rFonts w:ascii="Times New Roman" w:hAnsi="Times New Roman"/>
        </w:rPr>
        <w:t>permits. However, FELC’s goal is to migrate all applicable forms to ATF’s eForms environment when funding is approved for additional eForms initiatives. </w:t>
      </w:r>
      <w:r w:rsidR="005A01F1">
        <w:rPr>
          <w:rFonts w:ascii="Times New Roman" w:hAnsi="Times New Roman"/>
        </w:rPr>
        <w:t>FELC is working with programmers to establish eForm versions that can be used and submitted online. When finished, this</w:t>
      </w:r>
      <w:r w:rsidRPr="00FB1287">
        <w:rPr>
          <w:rFonts w:ascii="Times New Roman" w:hAnsi="Times New Roman"/>
        </w:rPr>
        <w:t xml:space="preserve"> </w:t>
      </w:r>
      <w:r w:rsidR="00565A55">
        <w:rPr>
          <w:rFonts w:ascii="Times New Roman" w:hAnsi="Times New Roman"/>
        </w:rPr>
        <w:t xml:space="preserve">change </w:t>
      </w:r>
      <w:r w:rsidRPr="00FB1287">
        <w:rPr>
          <w:rFonts w:ascii="Times New Roman" w:hAnsi="Times New Roman"/>
        </w:rPr>
        <w:t>will allow applicants to complete applications to renew explosives licenses</w:t>
      </w:r>
      <w:r w:rsidR="005A01F1">
        <w:rPr>
          <w:rFonts w:ascii="Times New Roman" w:hAnsi="Times New Roman"/>
        </w:rPr>
        <w:t>/</w:t>
      </w:r>
      <w:r w:rsidRPr="00FB1287">
        <w:rPr>
          <w:rFonts w:ascii="Times New Roman" w:hAnsi="Times New Roman"/>
        </w:rPr>
        <w:t xml:space="preserve">permits online and submit remittance electronically through ATF’s agreement with </w:t>
      </w:r>
      <w:r w:rsidR="005A01F1">
        <w:rPr>
          <w:rFonts w:ascii="Times New Roman" w:hAnsi="Times New Roman"/>
        </w:rPr>
        <w:t>p</w:t>
      </w:r>
      <w:r w:rsidRPr="00FB1287">
        <w:rPr>
          <w:rFonts w:ascii="Times New Roman" w:hAnsi="Times New Roman"/>
        </w:rPr>
        <w:t>ay.</w:t>
      </w:r>
      <w:r w:rsidR="005A01F1">
        <w:rPr>
          <w:rFonts w:ascii="Times New Roman" w:hAnsi="Times New Roman"/>
        </w:rPr>
        <w:t>g</w:t>
      </w:r>
      <w:r w:rsidRPr="00FB1287">
        <w:rPr>
          <w:rFonts w:ascii="Times New Roman" w:hAnsi="Times New Roman"/>
        </w:rPr>
        <w:t>ov.</w:t>
      </w:r>
    </w:p>
    <w:p w:rsidR="007D4C98" w:rsidRPr="006A4637" w:rsidP="00690F56" w14:paraId="2511B73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9B" w:rsidRPr="00A47DA7" w:rsidP="00690F56" w14:paraId="4EF2AFFD" w14:textId="4F565AA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139B">
        <w:rPr>
          <w:rFonts w:ascii="Times New Roman" w:hAnsi="Times New Roman"/>
        </w:rPr>
        <w:t>ATF uses a uniform subject classification system to identify duplication, and to ensure that any similar information already available, cannot be used or modified for use for the purpose of this information collection.</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9B" w:rsidRPr="00B96E43" w:rsidP="00690F56" w14:paraId="5C53E668" w14:textId="1841B7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E139B">
        <w:rPr>
          <w:rFonts w:ascii="Times New Roman" w:hAnsi="Times New Roman"/>
        </w:rPr>
        <w:t>Without this information collection</w:t>
      </w:r>
      <w:r w:rsidR="00565A55">
        <w:rPr>
          <w:rFonts w:ascii="Times New Roman" w:hAnsi="Times New Roman"/>
        </w:rPr>
        <w:t>,</w:t>
      </w:r>
      <w:r w:rsidRPr="00EE139B">
        <w:rPr>
          <w:rFonts w:ascii="Times New Roman" w:hAnsi="Times New Roman"/>
        </w:rPr>
        <w:t xml:space="preserve"> ATF could renew a license</w:t>
      </w:r>
      <w:r w:rsidR="003F190C">
        <w:rPr>
          <w:rFonts w:ascii="Times New Roman" w:hAnsi="Times New Roman"/>
        </w:rPr>
        <w:t>/</w:t>
      </w:r>
      <w:r w:rsidRPr="00EE139B">
        <w:rPr>
          <w:rFonts w:ascii="Times New Roman" w:hAnsi="Times New Roman"/>
        </w:rPr>
        <w:t>permit to a person prohibited by law from receiving an explosives license</w:t>
      </w:r>
      <w:r w:rsidR="003F190C">
        <w:rPr>
          <w:rFonts w:ascii="Times New Roman" w:hAnsi="Times New Roman"/>
        </w:rPr>
        <w:t>/</w:t>
      </w:r>
      <w:r w:rsidRPr="00EE139B">
        <w:rPr>
          <w:rFonts w:ascii="Times New Roman" w:hAnsi="Times New Roman"/>
        </w:rPr>
        <w:t>permit.</w:t>
      </w:r>
      <w:r w:rsidR="00565A55">
        <w:rPr>
          <w:rFonts w:ascii="Times New Roman" w:hAnsi="Times New Roman"/>
        </w:rPr>
        <w:t xml:space="preserve"> In addition, persons who wish to continue to engage in the business of explosives manufacturing, importing, or dealing, or who wish to continue to acquire explosives for use, would not be able to because they would no longer be licensed – or they would need to go through the entire process of doing a new application from scratch, which would require more time and work than verifying and updating information generated by ATF’s system and submitting.</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65A55" w:rsidP="00565A55" w14:paraId="583D2BFF" w14:textId="27AD09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65A55">
        <w:rPr>
          <w:rFonts w:ascii="Times New Roman" w:hAnsi="Times New Roman"/>
          <w:b/>
          <w:bCs/>
        </w:rPr>
        <w:t>7.  Explain any special circumstance</w:t>
      </w:r>
      <w:r w:rsidRPr="00565A55" w:rsidR="00565A55">
        <w:rPr>
          <w:rFonts w:ascii="Times New Roman" w:hAnsi="Times New Roman"/>
          <w:b/>
          <w:bCs/>
        </w:rPr>
        <w:t>s applicable to this information collection.</w:t>
      </w:r>
    </w:p>
    <w:p w:rsidR="00642220" w:rsidRPr="00565A5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344E56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r w:rsidR="00837953">
        <w:rPr>
          <w:rFonts w:ascii="Times New Roman" w:hAnsi="Times New Roman"/>
        </w:rPr>
        <w:t xml:space="preserve"> </w:t>
      </w:r>
      <w:r w:rsidRPr="00837953" w:rsidR="00837953">
        <w:rPr>
          <w:rFonts w:ascii="Times New Roman" w:hAnsi="Times New Roman"/>
        </w:rPr>
        <w:t>Respondents complete this information only as often as necessary to comply with the statu</w:t>
      </w:r>
      <w:r w:rsidR="00565A55">
        <w:rPr>
          <w:rFonts w:ascii="Times New Roman" w:hAnsi="Times New Roman"/>
        </w:rPr>
        <w:t>t</w:t>
      </w:r>
      <w:r w:rsidRPr="00837953" w:rsidR="00837953">
        <w:rPr>
          <w:rFonts w:ascii="Times New Roman" w:hAnsi="Times New Roman"/>
        </w:rPr>
        <w:t>e. This information collection is conducted in a manner consistent with 5 CFR 1320.6.</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3F2736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60114B" w14:paraId="425C0DB9" w14:textId="7292DA72">
      <w:pPr>
        <w:widowControl/>
        <w:autoSpaceDE/>
        <w:autoSpaceDN/>
        <w:adjustRightInd/>
        <w:rPr>
          <w:rFonts w:ascii="Times New Roman" w:hAnsi="Times New Roman"/>
        </w:rPr>
      </w:pPr>
      <w:r w:rsidRPr="00A2391E">
        <w:rPr>
          <w:rFonts w:ascii="Times New Roman" w:hAnsi="Times New Roman"/>
        </w:rPr>
        <w:t xml:space="preserve">The 60-Day Notice was published in the </w:t>
      </w:r>
      <w:r w:rsidRPr="0032342C">
        <w:rPr>
          <w:rFonts w:ascii="Times New Roman" w:hAnsi="Times New Roman"/>
          <w:i/>
          <w:iCs/>
        </w:rPr>
        <w:t>Federal Register</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4B4547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 xml:space="preserve">No </w:t>
      </w:r>
      <w:r w:rsidR="00603D01">
        <w:rPr>
          <w:rFonts w:ascii="Times New Roman" w:hAnsi="Times New Roman"/>
        </w:rPr>
        <w:t xml:space="preserve">payments or gifts are provided to respondents and not </w:t>
      </w:r>
      <w:r w:rsidRPr="004328D9">
        <w:rPr>
          <w:rFonts w:ascii="Times New Roman" w:hAnsi="Times New Roman"/>
        </w:rPr>
        <w:t xml:space="preserve">government funds </w:t>
      </w:r>
      <w:r w:rsidR="00603D01">
        <w:rPr>
          <w:rFonts w:ascii="Times New Roman" w:hAnsi="Times New Roman"/>
        </w:rPr>
        <w:t>are</w:t>
      </w:r>
      <w:r w:rsidRPr="004328D9">
        <w:rPr>
          <w:rFonts w:ascii="Times New Roman" w:hAnsi="Times New Roman"/>
        </w:rPr>
        <w:t xml:space="preserv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RPr="00A142C3" w:rsidP="00A142C3" w14:paraId="6CBD73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142C3">
        <w:rPr>
          <w:rFonts w:ascii="Times New Roman" w:hAnsi="Times New Roman"/>
        </w:rPr>
        <w:t>In accordance with System of Records Notice Justice/ATF-008 Regulatory Enforcement Record System FR Vol. 68 No. 16 Page 3558 dated January 24, 2003, records are stored in file folders in file cabinets and in electronic media. Direct access is restricted to personnel in the Department of Justice in the performance of their duties. Records are transmitted to routine users on a need-to-know basis, and to others upon verification of the substance and propriety of the request. Records are stored in file cabinets in rooms that are locked during non-duty hours. The records stored in electronic media are password protected.</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682CD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 private.</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RPr="00A142C3" w:rsidP="00A142C3" w14:paraId="69339916" w14:textId="39E3B98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information collection asks questions related to past criminal history</w:t>
      </w:r>
      <w:r w:rsidR="00A55DFB">
        <w:rPr>
          <w:rFonts w:ascii="Times New Roman" w:hAnsi="Times New Roman"/>
        </w:rPr>
        <w:t>, unlawful drug use, mental health adjudications,</w:t>
      </w:r>
      <w:r>
        <w:rPr>
          <w:rFonts w:ascii="Times New Roman" w:hAnsi="Times New Roman"/>
        </w:rPr>
        <w:t xml:space="preserve"> </w:t>
      </w:r>
      <w:r w:rsidR="00A55DFB">
        <w:rPr>
          <w:rFonts w:ascii="Times New Roman" w:hAnsi="Times New Roman"/>
        </w:rPr>
        <w:t>military discharge, and citizenship, which are</w:t>
      </w:r>
      <w:r>
        <w:rPr>
          <w:rFonts w:ascii="Times New Roman" w:hAnsi="Times New Roman"/>
        </w:rPr>
        <w:t xml:space="preserve"> of a sensitive nature. These q</w:t>
      </w:r>
      <w:r w:rsidRPr="00A142C3">
        <w:rPr>
          <w:rFonts w:ascii="Times New Roman" w:hAnsi="Times New Roman"/>
        </w:rPr>
        <w:t xml:space="preserve">uestions are </w:t>
      </w:r>
      <w:r w:rsidR="00BB1DEF">
        <w:rPr>
          <w:rFonts w:ascii="Times New Roman" w:hAnsi="Times New Roman"/>
        </w:rPr>
        <w:t>from</w:t>
      </w:r>
      <w:r w:rsidR="00A55DFB">
        <w:rPr>
          <w:rFonts w:ascii="Times New Roman" w:hAnsi="Times New Roman"/>
        </w:rPr>
        <w:t xml:space="preserve"> statutory restrictions that prohibit certain persons from selling or receiving explosives</w:t>
      </w:r>
      <w:r w:rsidR="00BB1DEF">
        <w:rPr>
          <w:rFonts w:ascii="Times New Roman" w:hAnsi="Times New Roman"/>
        </w:rPr>
        <w:t xml:space="preserve">, and thus </w:t>
      </w:r>
      <w:r w:rsidR="007D4C98">
        <w:rPr>
          <w:rFonts w:ascii="Times New Roman" w:hAnsi="Times New Roman"/>
        </w:rPr>
        <w:t>also make them in</w:t>
      </w:r>
      <w:r w:rsidR="00BB1DEF">
        <w:rPr>
          <w:rFonts w:ascii="Times New Roman" w:hAnsi="Times New Roman"/>
        </w:rPr>
        <w:t>eligible to have a license/permit</w:t>
      </w:r>
      <w:r w:rsidRPr="00A142C3">
        <w:rPr>
          <w:rFonts w:ascii="Times New Roman" w:hAnsi="Times New Roman"/>
        </w:rPr>
        <w:t>.</w:t>
      </w:r>
    </w:p>
    <w:p w:rsidR="00A142C3" w:rsidRPr="00D53DEB" w:rsidP="00690F56" w14:paraId="594505A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D215D" w:rsidRPr="00D53DEB" w:rsidP="002D3963" w14:paraId="163C0E79" w14:textId="683D82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r w:rsidR="00C1618E">
        <w:rPr>
          <w:rFonts w:ascii="Times New Roman" w:hAnsi="Times New Roman"/>
          <w:b/>
          <w:bCs/>
        </w:rPr>
        <w:t>Estimated</w:t>
      </w:r>
      <w:r w:rsidRPr="00D53DEB">
        <w:rPr>
          <w:rFonts w:ascii="Times New Roman" w:hAnsi="Times New Roman"/>
          <w:b/>
          <w:bCs/>
        </w:rPr>
        <w:t xml:space="preserve"> hour burden </w:t>
      </w:r>
      <w:r w:rsidR="00C1618E">
        <w:rPr>
          <w:rFonts w:ascii="Times New Roman" w:hAnsi="Times New Roman"/>
          <w:b/>
          <w:bCs/>
        </w:rPr>
        <w:t xml:space="preserve">to respondents </w:t>
      </w:r>
      <w:r w:rsidRPr="00D53DEB">
        <w:rPr>
          <w:rFonts w:ascii="Times New Roman" w:hAnsi="Times New Roman"/>
          <w:b/>
          <w:bCs/>
        </w:rPr>
        <w:t>of the information</w:t>
      </w:r>
      <w:r w:rsidR="00BB1DEF">
        <w:rPr>
          <w:rFonts w:ascii="Times New Roman" w:hAnsi="Times New Roman"/>
          <w:b/>
          <w:bCs/>
        </w:rPr>
        <w:t xml:space="preserve"> collection</w:t>
      </w:r>
      <w:r w:rsidRPr="00D53DEB">
        <w:rPr>
          <w:rFonts w:ascii="Times New Roman" w:hAnsi="Times New Roman"/>
          <w:b/>
          <w:bCs/>
        </w:rPr>
        <w:t xml:space="preserve">.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142C3" w:rsidP="00A142C3" w14:paraId="5ADE5F24" w14:textId="1406F149">
      <w:pPr>
        <w:rPr>
          <w:rFonts w:ascii="Times New Roman" w:hAnsi="Times New Roman"/>
          <w:iCs/>
        </w:rPr>
      </w:pPr>
      <w:r>
        <w:rPr>
          <w:rFonts w:ascii="Times New Roman" w:hAnsi="Times New Roman"/>
          <w:iCs/>
        </w:rPr>
        <w:t>There are about 9,000 explosives licensees/permittees</w:t>
      </w:r>
      <w:r w:rsidR="00C1618E">
        <w:rPr>
          <w:rFonts w:ascii="Times New Roman" w:hAnsi="Times New Roman"/>
          <w:iCs/>
        </w:rPr>
        <w:t>, who must renew their license(s)/permit(s) every three years. About one</w:t>
      </w:r>
      <w:r>
        <w:rPr>
          <w:rFonts w:ascii="Times New Roman" w:hAnsi="Times New Roman"/>
          <w:iCs/>
        </w:rPr>
        <w:t xml:space="preserve"> third submit a renewal application per year. As a result, t</w:t>
      </w:r>
      <w:r w:rsidRPr="00A142C3">
        <w:rPr>
          <w:rFonts w:ascii="Times New Roman" w:hAnsi="Times New Roman"/>
          <w:iCs/>
        </w:rPr>
        <w:t xml:space="preserve">here are an estimated </w:t>
      </w:r>
      <w:r w:rsidR="003D5A3C">
        <w:rPr>
          <w:rFonts w:ascii="Times New Roman" w:hAnsi="Times New Roman"/>
          <w:iCs/>
        </w:rPr>
        <w:t>3,000</w:t>
      </w:r>
      <w:r w:rsidRPr="00A142C3">
        <w:rPr>
          <w:rFonts w:ascii="Times New Roman" w:hAnsi="Times New Roman"/>
          <w:iCs/>
        </w:rPr>
        <w:t xml:space="preserve"> respondents to this information collection. Each respondent completes this form once per renewal. Therefore, the total number of responses is also </w:t>
      </w:r>
      <w:r w:rsidR="003D5A3C">
        <w:rPr>
          <w:rFonts w:ascii="Times New Roman" w:hAnsi="Times New Roman"/>
          <w:iCs/>
        </w:rPr>
        <w:t>3,000</w:t>
      </w:r>
      <w:r w:rsidRPr="00A142C3">
        <w:rPr>
          <w:rFonts w:ascii="Times New Roman" w:hAnsi="Times New Roman"/>
          <w:iCs/>
        </w:rPr>
        <w:t xml:space="preserve">. </w:t>
      </w:r>
      <w:r>
        <w:rPr>
          <w:rFonts w:ascii="Times New Roman" w:hAnsi="Times New Roman"/>
          <w:iCs/>
        </w:rPr>
        <w:t>ATF estimates that it takes</w:t>
      </w:r>
      <w:r w:rsidRPr="00A142C3">
        <w:rPr>
          <w:rFonts w:ascii="Times New Roman" w:hAnsi="Times New Roman"/>
          <w:iCs/>
        </w:rPr>
        <w:t xml:space="preserve"> 20 minutes</w:t>
      </w:r>
      <w:r>
        <w:rPr>
          <w:rFonts w:ascii="Times New Roman" w:hAnsi="Times New Roman"/>
          <w:iCs/>
        </w:rPr>
        <w:t xml:space="preserve"> (or 0.3 hours) to review and </w:t>
      </w:r>
      <w:r w:rsidR="00C1618E">
        <w:rPr>
          <w:rFonts w:ascii="Times New Roman" w:hAnsi="Times New Roman"/>
          <w:iCs/>
        </w:rPr>
        <w:t>update</w:t>
      </w:r>
      <w:r>
        <w:rPr>
          <w:rFonts w:ascii="Times New Roman" w:hAnsi="Times New Roman"/>
          <w:iCs/>
        </w:rPr>
        <w:t xml:space="preserve"> this form</w:t>
      </w:r>
      <w:r w:rsidRPr="00A142C3">
        <w:rPr>
          <w:rFonts w:ascii="Times New Roman" w:hAnsi="Times New Roman"/>
          <w:iCs/>
        </w:rPr>
        <w:t xml:space="preserve">. </w:t>
      </w:r>
      <w:r>
        <w:rPr>
          <w:rFonts w:ascii="Times New Roman" w:hAnsi="Times New Roman"/>
          <w:iCs/>
        </w:rPr>
        <w:t>For 3,000 respondents at 0.3 hours of time, t</w:t>
      </w:r>
      <w:r w:rsidRPr="00A142C3">
        <w:rPr>
          <w:rFonts w:ascii="Times New Roman" w:hAnsi="Times New Roman"/>
          <w:iCs/>
        </w:rPr>
        <w:t xml:space="preserve">he total annual </w:t>
      </w:r>
      <w:r>
        <w:rPr>
          <w:rFonts w:ascii="Times New Roman" w:hAnsi="Times New Roman"/>
          <w:iCs/>
        </w:rPr>
        <w:t xml:space="preserve">time </w:t>
      </w:r>
      <w:r w:rsidRPr="00A142C3">
        <w:rPr>
          <w:rFonts w:ascii="Times New Roman" w:hAnsi="Times New Roman"/>
          <w:iCs/>
        </w:rPr>
        <w:t xml:space="preserve">burden associated with this collection is </w:t>
      </w:r>
      <w:r w:rsidR="003D5A3C">
        <w:rPr>
          <w:rFonts w:ascii="Times New Roman" w:hAnsi="Times New Roman"/>
          <w:iCs/>
        </w:rPr>
        <w:t>900</w:t>
      </w:r>
      <w:r w:rsidRPr="00A142C3" w:rsidR="003D5A3C">
        <w:rPr>
          <w:rFonts w:ascii="Times New Roman" w:hAnsi="Times New Roman"/>
          <w:iCs/>
        </w:rPr>
        <w:t xml:space="preserve"> </w:t>
      </w:r>
      <w:r w:rsidRPr="00A142C3">
        <w:rPr>
          <w:rFonts w:ascii="Times New Roman" w:hAnsi="Times New Roman"/>
          <w:iCs/>
        </w:rPr>
        <w:t>hours.</w:t>
      </w:r>
      <w:r w:rsidR="003D5A3C">
        <w:rPr>
          <w:rFonts w:ascii="Times New Roman" w:hAnsi="Times New Roman"/>
          <w:iCs/>
        </w:rPr>
        <w:t xml:space="preserve"> </w:t>
      </w:r>
      <w:r w:rsidR="00C1618E">
        <w:rPr>
          <w:rFonts w:ascii="Times New Roman" w:hAnsi="Times New Roman"/>
          <w:iCs/>
        </w:rPr>
        <w:t xml:space="preserve">ATF is </w:t>
      </w:r>
      <w:r w:rsidR="00C1618E">
        <w:rPr>
          <w:rFonts w:ascii="Times New Roman" w:hAnsi="Times New Roman"/>
          <w:iCs/>
        </w:rPr>
        <w:t xml:space="preserve">updating these numbers </w:t>
      </w:r>
      <w:r w:rsidR="003D5A3C">
        <w:rPr>
          <w:rFonts w:ascii="Times New Roman" w:hAnsi="Times New Roman"/>
          <w:iCs/>
        </w:rPr>
        <w:t xml:space="preserve">to reflect an increase in the number of respondents from 2,500 to 3,000 and </w:t>
      </w:r>
      <w:r w:rsidR="00436DD1">
        <w:rPr>
          <w:rFonts w:ascii="Times New Roman" w:hAnsi="Times New Roman"/>
          <w:iCs/>
        </w:rPr>
        <w:t>an increase in</w:t>
      </w:r>
      <w:r>
        <w:rPr>
          <w:rFonts w:ascii="Times New Roman" w:hAnsi="Times New Roman"/>
          <w:iCs/>
        </w:rPr>
        <w:t xml:space="preserve"> estimated</w:t>
      </w:r>
      <w:r w:rsidR="00436DD1">
        <w:rPr>
          <w:rFonts w:ascii="Times New Roman" w:hAnsi="Times New Roman"/>
          <w:iCs/>
        </w:rPr>
        <w:t xml:space="preserve"> hourly wages</w:t>
      </w:r>
      <w:r>
        <w:rPr>
          <w:rStyle w:val="FootnoteReference"/>
          <w:rFonts w:ascii="Times New Roman" w:hAnsi="Times New Roman"/>
          <w:iCs/>
        </w:rPr>
        <w:footnoteReference w:id="2"/>
      </w:r>
      <w:r w:rsidR="003D5A3C">
        <w:rPr>
          <w:rFonts w:ascii="Times New Roman" w:hAnsi="Times New Roman"/>
          <w:iCs/>
        </w:rPr>
        <w:t xml:space="preserve"> </w:t>
      </w:r>
      <w:r>
        <w:rPr>
          <w:rFonts w:ascii="Times New Roman" w:hAnsi="Times New Roman"/>
        </w:rPr>
        <w:t xml:space="preserve">to $44.72, </w:t>
      </w:r>
      <w:r w:rsidR="003D5A3C">
        <w:rPr>
          <w:rFonts w:ascii="Times New Roman" w:hAnsi="Times New Roman"/>
          <w:iCs/>
        </w:rPr>
        <w:t>due to changes over time.</w:t>
      </w:r>
    </w:p>
    <w:p w:rsidR="00A142C3" w:rsidRPr="00A142C3" w:rsidP="00A142C3" w14:paraId="3DFBD79D" w14:textId="77777777">
      <w:pPr>
        <w:rPr>
          <w:rFonts w:ascii="Times New Roman" w:hAnsi="Times New Roman"/>
          <w:iCs/>
        </w:rPr>
      </w:pPr>
    </w:p>
    <w:p w:rsidR="006626FF" w:rsidRPr="00E60FB0" w:rsidP="00DF214F" w14:paraId="3CD4954E" w14:textId="4DE36F22">
      <w:pPr>
        <w:jc w:val="center"/>
        <w:rPr>
          <w:rFonts w:ascii="Times New Roman" w:hAnsi="Times New Roman"/>
          <w:i/>
        </w:rPr>
      </w:pPr>
      <w:r w:rsidRPr="00E60FB0">
        <w:rPr>
          <w:rFonts w:ascii="Times New Roman" w:hAnsi="Times New Roman"/>
          <w:b/>
        </w:rPr>
        <w:t>Estimated Annualized Respondent Hour Burden</w:t>
      </w:r>
      <w:r w:rsidR="00C1618E">
        <w:rPr>
          <w:rFonts w:ascii="Times New Roman" w:hAnsi="Times New Roman"/>
          <w:b/>
        </w:rPr>
        <w:t xml:space="preserve"> Costs</w:t>
      </w:r>
    </w:p>
    <w:tbl>
      <w:tblPr>
        <w:tblStyle w:val="TableGrid"/>
        <w:tblW w:w="9985" w:type="dxa"/>
        <w:jc w:val="center"/>
        <w:tblLayout w:type="fixed"/>
        <w:tblLook w:val="04A0"/>
      </w:tblPr>
      <w:tblGrid>
        <w:gridCol w:w="1255"/>
        <w:gridCol w:w="1395"/>
        <w:gridCol w:w="1305"/>
        <w:gridCol w:w="1170"/>
        <w:gridCol w:w="1170"/>
        <w:gridCol w:w="973"/>
        <w:gridCol w:w="1277"/>
        <w:gridCol w:w="1440"/>
      </w:tblGrid>
      <w:tr w14:paraId="4AA59B92" w14:textId="77777777" w:rsidTr="00DF214F">
        <w:tblPrEx>
          <w:tblW w:w="9985" w:type="dxa"/>
          <w:jc w:val="center"/>
          <w:tblLayout w:type="fixed"/>
          <w:tblLook w:val="04A0"/>
        </w:tblPrEx>
        <w:trPr>
          <w:jc w:val="center"/>
        </w:trPr>
        <w:tc>
          <w:tcPr>
            <w:tcW w:w="1255" w:type="dxa"/>
            <w:shd w:val="clear" w:color="auto" w:fill="ADB9CA" w:themeFill="text2" w:themeFillTint="66"/>
            <w:vAlign w:val="center"/>
          </w:tcPr>
          <w:p w:rsidR="006A2A55" w:rsidRPr="008F47CB" w:rsidP="003829B1" w14:paraId="7BEB472C"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395" w:type="dxa"/>
            <w:shd w:val="clear" w:color="auto" w:fill="ADB9CA" w:themeFill="text2" w:themeFillTint="66"/>
            <w:vAlign w:val="center"/>
          </w:tcPr>
          <w:p w:rsidR="006A2A55" w:rsidRPr="008F47CB" w:rsidP="003829B1" w14:paraId="0C165867" w14:textId="3C3A2145">
            <w:pPr>
              <w:jc w:val="center"/>
              <w:rPr>
                <w:rFonts w:ascii="Times New Roman" w:hAnsi="Times New Roman"/>
                <w:b/>
                <w:sz w:val="22"/>
                <w:szCs w:val="22"/>
              </w:rPr>
            </w:pPr>
            <w:r w:rsidRPr="008F47CB">
              <w:rPr>
                <w:rFonts w:ascii="Times New Roman" w:hAnsi="Times New Roman"/>
                <w:b/>
                <w:sz w:val="22"/>
                <w:szCs w:val="22"/>
              </w:rPr>
              <w:t xml:space="preserve">Number of </w:t>
            </w:r>
            <w:r w:rsidR="004D3162">
              <w:rPr>
                <w:rFonts w:ascii="Times New Roman" w:hAnsi="Times New Roman"/>
                <w:b/>
                <w:sz w:val="22"/>
                <w:szCs w:val="22"/>
              </w:rPr>
              <w:t>r</w:t>
            </w:r>
            <w:r w:rsidRPr="008F47CB" w:rsidR="004D3162">
              <w:rPr>
                <w:rFonts w:ascii="Times New Roman" w:hAnsi="Times New Roman"/>
                <w:b/>
                <w:sz w:val="22"/>
                <w:szCs w:val="22"/>
              </w:rPr>
              <w:t>espondents</w:t>
            </w:r>
          </w:p>
        </w:tc>
        <w:tc>
          <w:tcPr>
            <w:tcW w:w="1305" w:type="dxa"/>
            <w:shd w:val="clear" w:color="auto" w:fill="ADB9CA" w:themeFill="text2" w:themeFillTint="66"/>
            <w:vAlign w:val="center"/>
          </w:tcPr>
          <w:p w:rsidR="006A2A55" w:rsidRPr="008F47CB" w:rsidP="003829B1" w14:paraId="504A0CCE" w14:textId="308475B4">
            <w:pPr>
              <w:jc w:val="center"/>
              <w:rPr>
                <w:rFonts w:ascii="Times New Roman" w:hAnsi="Times New Roman"/>
                <w:b/>
                <w:sz w:val="22"/>
                <w:szCs w:val="22"/>
              </w:rPr>
            </w:pPr>
            <w:r w:rsidRPr="008F47CB">
              <w:rPr>
                <w:rFonts w:ascii="Times New Roman" w:hAnsi="Times New Roman"/>
                <w:b/>
                <w:sz w:val="22"/>
                <w:szCs w:val="22"/>
              </w:rPr>
              <w:t>Frequency</w:t>
            </w:r>
            <w:r>
              <w:rPr>
                <w:rFonts w:ascii="Times New Roman" w:hAnsi="Times New Roman"/>
                <w:b/>
                <w:sz w:val="22"/>
                <w:szCs w:val="22"/>
              </w:rPr>
              <w:t xml:space="preserve"> of response</w:t>
            </w:r>
          </w:p>
        </w:tc>
        <w:tc>
          <w:tcPr>
            <w:tcW w:w="1170" w:type="dxa"/>
            <w:shd w:val="clear" w:color="auto" w:fill="ADB9CA" w:themeFill="text2" w:themeFillTint="66"/>
            <w:vAlign w:val="center"/>
          </w:tcPr>
          <w:p w:rsidR="006A2A55" w:rsidRPr="008F47CB" w:rsidP="003829B1" w14:paraId="43DA2D2D" w14:textId="6B1ECBA2">
            <w:pPr>
              <w:jc w:val="center"/>
              <w:rPr>
                <w:rFonts w:ascii="Times New Roman" w:hAnsi="Times New Roman"/>
                <w:b/>
                <w:sz w:val="22"/>
                <w:szCs w:val="22"/>
              </w:rPr>
            </w:pPr>
            <w:r w:rsidRPr="008F47CB">
              <w:rPr>
                <w:rFonts w:ascii="Times New Roman" w:hAnsi="Times New Roman"/>
                <w:b/>
                <w:sz w:val="22"/>
                <w:szCs w:val="22"/>
              </w:rPr>
              <w:t xml:space="preserve">Total </w:t>
            </w:r>
            <w:r w:rsidR="004D3162">
              <w:rPr>
                <w:rFonts w:ascii="Times New Roman" w:hAnsi="Times New Roman"/>
                <w:b/>
                <w:sz w:val="22"/>
                <w:szCs w:val="22"/>
              </w:rPr>
              <w:t>a</w:t>
            </w:r>
            <w:r w:rsidRPr="008F47CB" w:rsidR="004D3162">
              <w:rPr>
                <w:rFonts w:ascii="Times New Roman" w:hAnsi="Times New Roman"/>
                <w:b/>
                <w:sz w:val="22"/>
                <w:szCs w:val="22"/>
              </w:rPr>
              <w:t xml:space="preserve">nnual </w:t>
            </w:r>
            <w:r w:rsidR="004D3162">
              <w:rPr>
                <w:rFonts w:ascii="Times New Roman" w:hAnsi="Times New Roman"/>
                <w:b/>
                <w:sz w:val="22"/>
                <w:szCs w:val="22"/>
              </w:rPr>
              <w:t>r</w:t>
            </w:r>
            <w:r w:rsidRPr="008F47CB" w:rsidR="004D3162">
              <w:rPr>
                <w:rFonts w:ascii="Times New Roman" w:hAnsi="Times New Roman"/>
                <w:b/>
                <w:sz w:val="22"/>
                <w:szCs w:val="22"/>
              </w:rPr>
              <w:t>esponses</w:t>
            </w:r>
          </w:p>
        </w:tc>
        <w:tc>
          <w:tcPr>
            <w:tcW w:w="1170" w:type="dxa"/>
            <w:shd w:val="clear" w:color="auto" w:fill="ADB9CA" w:themeFill="text2" w:themeFillTint="66"/>
            <w:vAlign w:val="center"/>
          </w:tcPr>
          <w:p w:rsidR="006A2A55" w:rsidRPr="008F47CB" w:rsidP="003829B1" w14:paraId="2403F83B" w14:textId="1F0A9505">
            <w:pPr>
              <w:jc w:val="center"/>
              <w:rPr>
                <w:rFonts w:ascii="Times New Roman" w:hAnsi="Times New Roman"/>
                <w:b/>
                <w:sz w:val="22"/>
                <w:szCs w:val="22"/>
              </w:rPr>
            </w:pPr>
            <w:r w:rsidRPr="008F47CB">
              <w:rPr>
                <w:rFonts w:ascii="Times New Roman" w:hAnsi="Times New Roman"/>
                <w:b/>
                <w:sz w:val="22"/>
                <w:szCs w:val="22"/>
              </w:rPr>
              <w:t xml:space="preserve">Time </w:t>
            </w:r>
            <w:r w:rsidR="004D3162">
              <w:rPr>
                <w:rFonts w:ascii="Times New Roman" w:hAnsi="Times New Roman"/>
                <w:b/>
                <w:sz w:val="22"/>
                <w:szCs w:val="22"/>
              </w:rPr>
              <w:t>p</w:t>
            </w:r>
            <w:r w:rsidRPr="008F47CB" w:rsidR="004D3162">
              <w:rPr>
                <w:rFonts w:ascii="Times New Roman" w:hAnsi="Times New Roman"/>
                <w:b/>
                <w:sz w:val="22"/>
                <w:szCs w:val="22"/>
              </w:rPr>
              <w:t xml:space="preserve">er </w:t>
            </w:r>
            <w:r w:rsidR="004D3162">
              <w:rPr>
                <w:rFonts w:ascii="Times New Roman" w:hAnsi="Times New Roman"/>
                <w:b/>
                <w:sz w:val="22"/>
                <w:szCs w:val="22"/>
              </w:rPr>
              <w:t>r</w:t>
            </w:r>
            <w:r w:rsidRPr="008F47CB" w:rsidR="004D3162">
              <w:rPr>
                <w:rFonts w:ascii="Times New Roman" w:hAnsi="Times New Roman"/>
                <w:b/>
                <w:sz w:val="22"/>
                <w:szCs w:val="22"/>
              </w:rPr>
              <w:t>esponse</w:t>
            </w:r>
          </w:p>
        </w:tc>
        <w:tc>
          <w:tcPr>
            <w:tcW w:w="973" w:type="dxa"/>
            <w:shd w:val="clear" w:color="auto" w:fill="ADB9CA" w:themeFill="text2" w:themeFillTint="66"/>
            <w:vAlign w:val="center"/>
          </w:tcPr>
          <w:p w:rsidR="006A2A55" w:rsidRPr="008F47CB" w:rsidP="003829B1" w14:paraId="66A83D48" w14:textId="03B9CC37">
            <w:pPr>
              <w:jc w:val="center"/>
              <w:rPr>
                <w:rFonts w:ascii="Times New Roman" w:hAnsi="Times New Roman"/>
                <w:b/>
                <w:sz w:val="22"/>
                <w:szCs w:val="22"/>
              </w:rPr>
            </w:pPr>
            <w:r w:rsidRPr="008F47CB">
              <w:rPr>
                <w:rFonts w:ascii="Times New Roman" w:hAnsi="Times New Roman"/>
                <w:b/>
                <w:sz w:val="22"/>
                <w:szCs w:val="22"/>
              </w:rPr>
              <w:t xml:space="preserve">Hourly </w:t>
            </w:r>
            <w:r w:rsidR="004D3162">
              <w:rPr>
                <w:rFonts w:ascii="Times New Roman" w:hAnsi="Times New Roman"/>
                <w:b/>
                <w:sz w:val="22"/>
                <w:szCs w:val="22"/>
              </w:rPr>
              <w:t>r</w:t>
            </w:r>
            <w:r w:rsidRPr="008F47CB" w:rsidR="004D3162">
              <w:rPr>
                <w:rFonts w:ascii="Times New Roman" w:hAnsi="Times New Roman"/>
                <w:b/>
                <w:sz w:val="22"/>
                <w:szCs w:val="22"/>
              </w:rPr>
              <w:t>ate</w:t>
            </w:r>
          </w:p>
        </w:tc>
        <w:tc>
          <w:tcPr>
            <w:tcW w:w="1277" w:type="dxa"/>
            <w:shd w:val="clear" w:color="auto" w:fill="ADB9CA" w:themeFill="text2" w:themeFillTint="66"/>
            <w:vAlign w:val="center"/>
          </w:tcPr>
          <w:p w:rsidR="006A2A55" w:rsidRPr="008F47CB" w:rsidP="003829B1" w14:paraId="6B334C67" w14:textId="23BAED65">
            <w:pPr>
              <w:jc w:val="center"/>
              <w:rPr>
                <w:rFonts w:ascii="Times New Roman" w:hAnsi="Times New Roman"/>
                <w:b/>
                <w:sz w:val="22"/>
                <w:szCs w:val="22"/>
              </w:rPr>
            </w:pPr>
            <w:r>
              <w:rPr>
                <w:rFonts w:ascii="Times New Roman" w:hAnsi="Times New Roman"/>
                <w:b/>
                <w:sz w:val="22"/>
                <w:szCs w:val="22"/>
              </w:rPr>
              <w:t>Monetized time value per respondent</w:t>
            </w:r>
          </w:p>
        </w:tc>
        <w:tc>
          <w:tcPr>
            <w:tcW w:w="1440" w:type="dxa"/>
            <w:shd w:val="clear" w:color="auto" w:fill="ADB9CA" w:themeFill="text2" w:themeFillTint="66"/>
            <w:vAlign w:val="center"/>
          </w:tcPr>
          <w:p w:rsidR="006A2A55" w:rsidRPr="008F47CB" w:rsidP="003829B1" w14:paraId="5F43E499" w14:textId="6C783B6F">
            <w:pPr>
              <w:jc w:val="center"/>
              <w:rPr>
                <w:rFonts w:ascii="Times New Roman" w:hAnsi="Times New Roman"/>
                <w:b/>
                <w:sz w:val="22"/>
                <w:szCs w:val="22"/>
              </w:rPr>
            </w:pPr>
            <w:r>
              <w:rPr>
                <w:rFonts w:ascii="Times New Roman" w:hAnsi="Times New Roman"/>
                <w:b/>
                <w:sz w:val="22"/>
                <w:szCs w:val="22"/>
              </w:rPr>
              <w:t>Annualized</w:t>
            </w:r>
            <w:r w:rsidRPr="008F47CB">
              <w:rPr>
                <w:rFonts w:ascii="Times New Roman" w:hAnsi="Times New Roman"/>
                <w:b/>
                <w:sz w:val="22"/>
                <w:szCs w:val="22"/>
              </w:rPr>
              <w:t xml:space="preserve"> </w:t>
            </w:r>
            <w:r>
              <w:rPr>
                <w:rFonts w:ascii="Times New Roman" w:hAnsi="Times New Roman"/>
                <w:b/>
                <w:sz w:val="22"/>
                <w:szCs w:val="22"/>
              </w:rPr>
              <w:t>time v</w:t>
            </w:r>
            <w:r w:rsidRPr="008F47CB">
              <w:rPr>
                <w:rFonts w:ascii="Times New Roman" w:hAnsi="Times New Roman"/>
                <w:b/>
                <w:sz w:val="22"/>
                <w:szCs w:val="22"/>
              </w:rPr>
              <w:t xml:space="preserve">alue </w:t>
            </w:r>
            <w:r>
              <w:rPr>
                <w:rFonts w:ascii="Times New Roman" w:hAnsi="Times New Roman"/>
                <w:b/>
                <w:sz w:val="22"/>
                <w:szCs w:val="22"/>
              </w:rPr>
              <w:t xml:space="preserve">for all </w:t>
            </w:r>
            <w:r w:rsidR="004D3162">
              <w:rPr>
                <w:rFonts w:ascii="Times New Roman" w:hAnsi="Times New Roman"/>
                <w:b/>
                <w:sz w:val="22"/>
                <w:szCs w:val="22"/>
              </w:rPr>
              <w:t>r</w:t>
            </w:r>
            <w:r w:rsidRPr="008F47CB">
              <w:rPr>
                <w:rFonts w:ascii="Times New Roman" w:hAnsi="Times New Roman"/>
                <w:b/>
                <w:sz w:val="22"/>
                <w:szCs w:val="22"/>
              </w:rPr>
              <w:t>espondent</w:t>
            </w:r>
            <w:r>
              <w:rPr>
                <w:rFonts w:ascii="Times New Roman" w:hAnsi="Times New Roman"/>
                <w:b/>
                <w:sz w:val="22"/>
                <w:szCs w:val="22"/>
              </w:rPr>
              <w:t>s</w:t>
            </w:r>
          </w:p>
        </w:tc>
      </w:tr>
      <w:tr w14:paraId="079EF15D" w14:textId="77777777" w:rsidTr="00DF214F">
        <w:tblPrEx>
          <w:tblW w:w="9985" w:type="dxa"/>
          <w:jc w:val="center"/>
          <w:tblLayout w:type="fixed"/>
          <w:tblLook w:val="04A0"/>
        </w:tblPrEx>
        <w:trPr>
          <w:jc w:val="center"/>
        </w:trPr>
        <w:tc>
          <w:tcPr>
            <w:tcW w:w="1255" w:type="dxa"/>
            <w:vAlign w:val="center"/>
          </w:tcPr>
          <w:p w:rsidR="006A2A55" w:rsidRPr="008F47CB" w:rsidP="003829B1" w14:paraId="4E4E0FA6" w14:textId="69A5D3B7">
            <w:pPr>
              <w:rPr>
                <w:rFonts w:ascii="Times New Roman" w:hAnsi="Times New Roman"/>
                <w:sz w:val="22"/>
                <w:szCs w:val="22"/>
              </w:rPr>
            </w:pPr>
            <w:r>
              <w:rPr>
                <w:rFonts w:ascii="Times New Roman" w:hAnsi="Times New Roman"/>
                <w:sz w:val="22"/>
                <w:szCs w:val="22"/>
              </w:rPr>
              <w:t>Explosives Renewal Application</w:t>
            </w:r>
          </w:p>
        </w:tc>
        <w:tc>
          <w:tcPr>
            <w:tcW w:w="1395" w:type="dxa"/>
            <w:vAlign w:val="center"/>
          </w:tcPr>
          <w:p w:rsidR="006A2A55" w:rsidRPr="008F47CB" w:rsidP="003829B1" w14:paraId="23BB2474" w14:textId="292B5274">
            <w:pPr>
              <w:jc w:val="center"/>
              <w:rPr>
                <w:rFonts w:ascii="Times New Roman" w:hAnsi="Times New Roman"/>
                <w:sz w:val="22"/>
                <w:szCs w:val="22"/>
              </w:rPr>
            </w:pPr>
            <w:r>
              <w:rPr>
                <w:rFonts w:ascii="Times New Roman" w:hAnsi="Times New Roman"/>
                <w:sz w:val="22"/>
                <w:szCs w:val="22"/>
              </w:rPr>
              <w:t>3,000</w:t>
            </w:r>
          </w:p>
        </w:tc>
        <w:tc>
          <w:tcPr>
            <w:tcW w:w="1305" w:type="dxa"/>
            <w:vAlign w:val="center"/>
          </w:tcPr>
          <w:p w:rsidR="006A2A55" w:rsidRPr="008F47CB" w:rsidP="003829B1" w14:paraId="5D72451D" w14:textId="2626FAFD">
            <w:pPr>
              <w:jc w:val="center"/>
              <w:rPr>
                <w:rFonts w:ascii="Times New Roman" w:hAnsi="Times New Roman"/>
                <w:sz w:val="22"/>
                <w:szCs w:val="22"/>
              </w:rPr>
            </w:pPr>
            <w:r>
              <w:rPr>
                <w:rFonts w:ascii="Times New Roman" w:hAnsi="Times New Roman"/>
                <w:sz w:val="22"/>
                <w:szCs w:val="22"/>
              </w:rPr>
              <w:t>1</w:t>
            </w:r>
          </w:p>
        </w:tc>
        <w:tc>
          <w:tcPr>
            <w:tcW w:w="1170" w:type="dxa"/>
            <w:vAlign w:val="center"/>
          </w:tcPr>
          <w:p w:rsidR="006A2A55" w:rsidRPr="008F47CB" w:rsidP="003829B1" w14:paraId="03D2549D" w14:textId="7E070394">
            <w:pPr>
              <w:jc w:val="center"/>
              <w:rPr>
                <w:rFonts w:ascii="Times New Roman" w:hAnsi="Times New Roman"/>
                <w:sz w:val="22"/>
                <w:szCs w:val="22"/>
              </w:rPr>
            </w:pPr>
            <w:r>
              <w:rPr>
                <w:rFonts w:ascii="Times New Roman" w:hAnsi="Times New Roman"/>
                <w:sz w:val="22"/>
                <w:szCs w:val="22"/>
              </w:rPr>
              <w:t>3,000</w:t>
            </w:r>
          </w:p>
        </w:tc>
        <w:tc>
          <w:tcPr>
            <w:tcW w:w="1170" w:type="dxa"/>
            <w:vAlign w:val="center"/>
          </w:tcPr>
          <w:p w:rsidR="006A2A55" w:rsidRPr="008F47CB" w:rsidP="003829B1" w14:paraId="3704ADCE" w14:textId="5B8CFF78">
            <w:pPr>
              <w:jc w:val="center"/>
              <w:rPr>
                <w:rFonts w:ascii="Times New Roman" w:hAnsi="Times New Roman"/>
                <w:sz w:val="22"/>
                <w:szCs w:val="22"/>
              </w:rPr>
            </w:pPr>
            <w:r>
              <w:rPr>
                <w:rFonts w:ascii="Times New Roman" w:hAnsi="Times New Roman"/>
                <w:sz w:val="22"/>
                <w:szCs w:val="22"/>
              </w:rPr>
              <w:t>20</w:t>
            </w:r>
            <w:r w:rsidR="00DC7216">
              <w:rPr>
                <w:rFonts w:ascii="Times New Roman" w:hAnsi="Times New Roman"/>
                <w:sz w:val="22"/>
                <w:szCs w:val="22"/>
              </w:rPr>
              <w:t xml:space="preserve"> </w:t>
            </w:r>
            <w:r>
              <w:rPr>
                <w:rFonts w:ascii="Times New Roman" w:hAnsi="Times New Roman"/>
                <w:sz w:val="22"/>
                <w:szCs w:val="22"/>
              </w:rPr>
              <w:t>min (0.3/hour)</w:t>
            </w:r>
          </w:p>
        </w:tc>
        <w:tc>
          <w:tcPr>
            <w:tcW w:w="973" w:type="dxa"/>
            <w:vAlign w:val="center"/>
          </w:tcPr>
          <w:p w:rsidR="006A2A55" w:rsidRPr="008F47CB" w:rsidP="003829B1" w14:paraId="2C9B9B1D" w14:textId="3EE6AF21">
            <w:pPr>
              <w:jc w:val="center"/>
              <w:rPr>
                <w:rFonts w:ascii="Times New Roman" w:hAnsi="Times New Roman"/>
                <w:sz w:val="22"/>
                <w:szCs w:val="22"/>
              </w:rPr>
            </w:pPr>
            <w:r>
              <w:rPr>
                <w:rFonts w:ascii="Times New Roman" w:hAnsi="Times New Roman"/>
                <w:sz w:val="22"/>
                <w:szCs w:val="22"/>
              </w:rPr>
              <w:t>$44.72</w:t>
            </w:r>
          </w:p>
        </w:tc>
        <w:tc>
          <w:tcPr>
            <w:tcW w:w="1277" w:type="dxa"/>
            <w:vAlign w:val="center"/>
          </w:tcPr>
          <w:p w:rsidR="006A2A55" w:rsidP="003829B1" w14:paraId="6B2D6651" w14:textId="2E309FFC">
            <w:pPr>
              <w:jc w:val="center"/>
              <w:rPr>
                <w:rFonts w:ascii="Times New Roman" w:hAnsi="Times New Roman"/>
                <w:sz w:val="22"/>
                <w:szCs w:val="22"/>
              </w:rPr>
            </w:pPr>
            <w:r>
              <w:rPr>
                <w:rFonts w:ascii="Times New Roman" w:hAnsi="Times New Roman"/>
                <w:sz w:val="22"/>
                <w:szCs w:val="22"/>
              </w:rPr>
              <w:t>$13.00</w:t>
            </w:r>
          </w:p>
        </w:tc>
        <w:tc>
          <w:tcPr>
            <w:tcW w:w="1440" w:type="dxa"/>
            <w:vAlign w:val="center"/>
          </w:tcPr>
          <w:p w:rsidR="006A2A55" w:rsidRPr="008F47CB" w:rsidP="003829B1" w14:paraId="689A6EF1" w14:textId="00B4F02F">
            <w:pPr>
              <w:jc w:val="center"/>
              <w:rPr>
                <w:rFonts w:ascii="Times New Roman" w:hAnsi="Times New Roman"/>
                <w:sz w:val="22"/>
                <w:szCs w:val="22"/>
              </w:rPr>
            </w:pPr>
            <w:r>
              <w:rPr>
                <w:rFonts w:ascii="Times New Roman" w:hAnsi="Times New Roman"/>
                <w:sz w:val="22"/>
                <w:szCs w:val="22"/>
              </w:rPr>
              <w:t>$39,000</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65F17F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2C5D88">
        <w:rPr>
          <w:rFonts w:ascii="Times New Roman" w:hAnsi="Times New Roman"/>
          <w:b/>
        </w:rPr>
        <w:t>Estimated</w:t>
      </w:r>
      <w:r w:rsidRPr="00D53DEB" w:rsidR="00C667F3">
        <w:rPr>
          <w:rFonts w:ascii="Times New Roman" w:hAnsi="Times New Roman"/>
          <w:b/>
        </w:rPr>
        <w:t xml:space="preserve"> tot</w:t>
      </w:r>
      <w:r w:rsidRPr="00D53DEB">
        <w:rPr>
          <w:rFonts w:ascii="Times New Roman" w:hAnsi="Times New Roman"/>
          <w:b/>
        </w:rPr>
        <w:t>al annual cost burden to respondents or recordkeepers resulting from the collection of information.  (Do</w:t>
      </w:r>
      <w:r w:rsidR="002C5D88">
        <w:rPr>
          <w:rFonts w:ascii="Times New Roman" w:hAnsi="Times New Roman"/>
          <w:b/>
        </w:rPr>
        <w:t>es</w:t>
      </w:r>
      <w:r w:rsidRPr="00D53DEB">
        <w:rPr>
          <w:rFonts w:ascii="Times New Roman" w:hAnsi="Times New Roman"/>
          <w:b/>
        </w:rPr>
        <w:t xml:space="preserve">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482071" w14:paraId="07B96E82" w14:textId="2DECDB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 xml:space="preserve">The only cost </w:t>
      </w:r>
      <w:r w:rsidR="002C5D88">
        <w:rPr>
          <w:rFonts w:ascii="Times New Roman" w:hAnsi="Times New Roman"/>
        </w:rPr>
        <w:t xml:space="preserve">of this information collection </w:t>
      </w:r>
      <w:r w:rsidRPr="00482071">
        <w:rPr>
          <w:rFonts w:ascii="Times New Roman" w:hAnsi="Times New Roman"/>
        </w:rPr>
        <w:t>to the respondent is postage</w:t>
      </w:r>
      <w:r w:rsidR="002C5D88">
        <w:rPr>
          <w:rFonts w:ascii="Times New Roman" w:hAnsi="Times New Roman"/>
        </w:rPr>
        <w:t xml:space="preserve"> to mail the renewal application form back to ATF. Most respondents use standard envelopes at current postage rates, although some may need to include fingerprint cards, which require a larger envelope at slightly higher postage cost.</w:t>
      </w:r>
      <w:r w:rsidRPr="00482071">
        <w:rPr>
          <w:rFonts w:ascii="Times New Roman" w:hAnsi="Times New Roman"/>
        </w:rPr>
        <w:t xml:space="preserve"> </w:t>
      </w:r>
      <w:r w:rsidR="002C5D88">
        <w:rPr>
          <w:rFonts w:ascii="Times New Roman" w:hAnsi="Times New Roman"/>
        </w:rPr>
        <w:t xml:space="preserve">ATF therefore estimates a postage cost of </w:t>
      </w:r>
      <w:r w:rsidR="003D5A3C">
        <w:rPr>
          <w:rFonts w:ascii="Times New Roman" w:hAnsi="Times New Roman"/>
        </w:rPr>
        <w:t>$1</w:t>
      </w:r>
      <w:r w:rsidRPr="00482071">
        <w:rPr>
          <w:rFonts w:ascii="Times New Roman" w:hAnsi="Times New Roman"/>
        </w:rPr>
        <w:t xml:space="preserve"> </w:t>
      </w:r>
      <w:r w:rsidR="002C5D88">
        <w:rPr>
          <w:rFonts w:ascii="Times New Roman" w:hAnsi="Times New Roman"/>
        </w:rPr>
        <w:t xml:space="preserve">per application (which is an average to account for costs ranging from the current .68 cents for standard envelopes to a higher </w:t>
      </w:r>
      <w:r w:rsidR="007D4C98">
        <w:rPr>
          <w:rFonts w:ascii="Times New Roman" w:hAnsi="Times New Roman"/>
        </w:rPr>
        <w:t xml:space="preserve">postage </w:t>
      </w:r>
      <w:r w:rsidR="002C5D88">
        <w:rPr>
          <w:rFonts w:ascii="Times New Roman" w:hAnsi="Times New Roman"/>
        </w:rPr>
        <w:t>cost for larger envelopes when a respondent must include fingerprint cards).</w:t>
      </w:r>
      <w:r w:rsidRPr="00482071">
        <w:rPr>
          <w:rFonts w:ascii="Times New Roman" w:hAnsi="Times New Roman"/>
        </w:rPr>
        <w:t xml:space="preserve"> </w:t>
      </w:r>
      <w:r w:rsidR="002C5D88">
        <w:rPr>
          <w:rFonts w:ascii="Times New Roman" w:hAnsi="Times New Roman"/>
        </w:rPr>
        <w:t>The number of estimated respondents is 3,000 per year, as explained in Item 13 above, and each respondent submits an application once per year, resulting in 3,000 responses mailed.</w:t>
      </w:r>
      <w:r w:rsidR="00D14741">
        <w:rPr>
          <w:rFonts w:ascii="Times New Roman" w:hAnsi="Times New Roman"/>
        </w:rPr>
        <w:t xml:space="preserve"> </w:t>
      </w:r>
      <w:r w:rsidR="003D5A3C">
        <w:rPr>
          <w:rFonts w:ascii="Times New Roman" w:hAnsi="Times New Roman"/>
        </w:rPr>
        <w:t>These numbers are being updated to reflect an increase in the number of respondents from 2,500 to 3,000</w:t>
      </w:r>
      <w:r w:rsidR="006A2A55">
        <w:rPr>
          <w:rFonts w:ascii="Times New Roman" w:hAnsi="Times New Roman"/>
        </w:rPr>
        <w:t xml:space="preserve"> </w:t>
      </w:r>
      <w:r w:rsidR="00FC4B57">
        <w:rPr>
          <w:rFonts w:ascii="Times New Roman" w:hAnsi="Times New Roman"/>
        </w:rPr>
        <w:t xml:space="preserve">and an increase </w:t>
      </w:r>
      <w:r w:rsidR="003D5A3C">
        <w:rPr>
          <w:rFonts w:ascii="Times New Roman" w:hAnsi="Times New Roman"/>
        </w:rPr>
        <w:t>in postage costs from .49 cents per application to $1</w:t>
      </w:r>
      <w:r w:rsidR="002C5D88">
        <w:rPr>
          <w:rFonts w:ascii="Times New Roman" w:hAnsi="Times New Roman"/>
        </w:rPr>
        <w:t>, due to changes over time.</w:t>
      </w:r>
    </w:p>
    <w:p w:rsidR="004D3162" w:rsidP="00482071" w14:paraId="2FFE79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D3162" w:rsidRPr="00E60FB0" w:rsidP="00DF214F" w14:paraId="1970BD74" w14:textId="722D10DC">
      <w:pPr>
        <w:jc w:val="center"/>
        <w:rPr>
          <w:rFonts w:ascii="Times New Roman" w:hAnsi="Times New Roman"/>
          <w:i/>
        </w:rPr>
      </w:pPr>
      <w:r w:rsidRPr="00E60FB0">
        <w:rPr>
          <w:rFonts w:ascii="Times New Roman" w:hAnsi="Times New Roman"/>
          <w:b/>
        </w:rPr>
        <w:t>Estimated Annualized Respondent Cost</w:t>
      </w:r>
      <w:r>
        <w:rPr>
          <w:rFonts w:ascii="Times New Roman" w:hAnsi="Times New Roman"/>
          <w:b/>
        </w:rPr>
        <w:t>s</w:t>
      </w:r>
    </w:p>
    <w:tbl>
      <w:tblPr>
        <w:tblStyle w:val="TableGrid"/>
        <w:tblW w:w="7645" w:type="dxa"/>
        <w:jc w:val="center"/>
        <w:tblLayout w:type="fixed"/>
        <w:tblLook w:val="04A0"/>
      </w:tblPr>
      <w:tblGrid>
        <w:gridCol w:w="1255"/>
        <w:gridCol w:w="1440"/>
        <w:gridCol w:w="1260"/>
        <w:gridCol w:w="1170"/>
        <w:gridCol w:w="1080"/>
        <w:gridCol w:w="1440"/>
      </w:tblGrid>
      <w:tr w14:paraId="6FDBBA5F" w14:textId="77777777" w:rsidTr="00D14741">
        <w:tblPrEx>
          <w:tblW w:w="7645" w:type="dxa"/>
          <w:jc w:val="center"/>
          <w:tblLayout w:type="fixed"/>
          <w:tblLook w:val="04A0"/>
        </w:tblPrEx>
        <w:trPr>
          <w:jc w:val="center"/>
        </w:trPr>
        <w:tc>
          <w:tcPr>
            <w:tcW w:w="1255" w:type="dxa"/>
            <w:shd w:val="clear" w:color="auto" w:fill="ADB9CA" w:themeFill="text2" w:themeFillTint="66"/>
            <w:vAlign w:val="center"/>
          </w:tcPr>
          <w:p w:rsidR="004D3162" w:rsidRPr="008F47CB" w:rsidP="00D14741" w14:paraId="1520D925"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ADB9CA" w:themeFill="text2" w:themeFillTint="66"/>
            <w:vAlign w:val="center"/>
          </w:tcPr>
          <w:p w:rsidR="004D3162" w:rsidRPr="008F47CB" w:rsidP="00D14741" w14:paraId="2837174A" w14:textId="77777777">
            <w:pPr>
              <w:jc w:val="center"/>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tc>
        <w:tc>
          <w:tcPr>
            <w:tcW w:w="1260" w:type="dxa"/>
            <w:shd w:val="clear" w:color="auto" w:fill="ADB9CA" w:themeFill="text2" w:themeFillTint="66"/>
            <w:vAlign w:val="center"/>
          </w:tcPr>
          <w:p w:rsidR="004D3162" w:rsidRPr="008F47CB" w:rsidP="00D14741" w14:paraId="64854A39" w14:textId="77777777">
            <w:pPr>
              <w:jc w:val="center"/>
              <w:rPr>
                <w:rFonts w:ascii="Times New Roman" w:hAnsi="Times New Roman"/>
                <w:b/>
                <w:sz w:val="22"/>
                <w:szCs w:val="22"/>
              </w:rPr>
            </w:pPr>
            <w:r w:rsidRPr="008F47CB">
              <w:rPr>
                <w:rFonts w:ascii="Times New Roman" w:hAnsi="Times New Roman"/>
                <w:b/>
                <w:sz w:val="22"/>
                <w:szCs w:val="22"/>
              </w:rPr>
              <w:t>Frequency</w:t>
            </w:r>
            <w:r>
              <w:rPr>
                <w:rFonts w:ascii="Times New Roman" w:hAnsi="Times New Roman"/>
                <w:b/>
                <w:sz w:val="22"/>
                <w:szCs w:val="22"/>
              </w:rPr>
              <w:t xml:space="preserve"> of response</w:t>
            </w:r>
          </w:p>
        </w:tc>
        <w:tc>
          <w:tcPr>
            <w:tcW w:w="1170" w:type="dxa"/>
            <w:shd w:val="clear" w:color="auto" w:fill="ADB9CA" w:themeFill="text2" w:themeFillTint="66"/>
            <w:vAlign w:val="center"/>
          </w:tcPr>
          <w:p w:rsidR="004D3162" w:rsidRPr="008F47CB" w:rsidP="00D14741" w14:paraId="687D4C77" w14:textId="77777777">
            <w:pPr>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080" w:type="dxa"/>
            <w:shd w:val="clear" w:color="auto" w:fill="ADB9CA" w:themeFill="text2" w:themeFillTint="66"/>
            <w:vAlign w:val="center"/>
          </w:tcPr>
          <w:p w:rsidR="004D3162" w:rsidRPr="008F47CB" w:rsidP="00D14741" w14:paraId="4374FA29" w14:textId="52765140">
            <w:pPr>
              <w:jc w:val="center"/>
              <w:rPr>
                <w:rFonts w:ascii="Times New Roman" w:hAnsi="Times New Roman"/>
                <w:b/>
                <w:sz w:val="22"/>
                <w:szCs w:val="22"/>
              </w:rPr>
            </w:pPr>
            <w:r>
              <w:rPr>
                <w:rFonts w:ascii="Times New Roman" w:hAnsi="Times New Roman"/>
                <w:b/>
                <w:sz w:val="22"/>
                <w:szCs w:val="22"/>
              </w:rPr>
              <w:t>Cost per response</w:t>
            </w:r>
          </w:p>
        </w:tc>
        <w:tc>
          <w:tcPr>
            <w:tcW w:w="1440" w:type="dxa"/>
            <w:shd w:val="clear" w:color="auto" w:fill="ADB9CA" w:themeFill="text2" w:themeFillTint="66"/>
            <w:vAlign w:val="center"/>
          </w:tcPr>
          <w:p w:rsidR="004D3162" w:rsidRPr="008F47CB" w:rsidP="00D14741" w14:paraId="191FB126" w14:textId="120D2C07">
            <w:pPr>
              <w:jc w:val="center"/>
              <w:rPr>
                <w:rFonts w:ascii="Times New Roman" w:hAnsi="Times New Roman"/>
                <w:b/>
                <w:sz w:val="22"/>
                <w:szCs w:val="22"/>
              </w:rPr>
            </w:pPr>
            <w:r>
              <w:rPr>
                <w:rFonts w:ascii="Times New Roman" w:hAnsi="Times New Roman"/>
                <w:b/>
                <w:sz w:val="22"/>
                <w:szCs w:val="22"/>
              </w:rPr>
              <w:t>Annualized cost for all r</w:t>
            </w:r>
            <w:r w:rsidRPr="008F47CB">
              <w:rPr>
                <w:rFonts w:ascii="Times New Roman" w:hAnsi="Times New Roman"/>
                <w:b/>
                <w:sz w:val="22"/>
                <w:szCs w:val="22"/>
              </w:rPr>
              <w:t>espondent</w:t>
            </w:r>
            <w:r>
              <w:rPr>
                <w:rFonts w:ascii="Times New Roman" w:hAnsi="Times New Roman"/>
                <w:b/>
                <w:sz w:val="22"/>
                <w:szCs w:val="22"/>
              </w:rPr>
              <w:t>s</w:t>
            </w:r>
          </w:p>
        </w:tc>
      </w:tr>
      <w:tr w14:paraId="5C30BF05" w14:textId="77777777" w:rsidTr="00D14741">
        <w:tblPrEx>
          <w:tblW w:w="7645" w:type="dxa"/>
          <w:jc w:val="center"/>
          <w:tblLayout w:type="fixed"/>
          <w:tblLook w:val="04A0"/>
        </w:tblPrEx>
        <w:trPr>
          <w:jc w:val="center"/>
        </w:trPr>
        <w:tc>
          <w:tcPr>
            <w:tcW w:w="1255" w:type="dxa"/>
            <w:vAlign w:val="bottom"/>
          </w:tcPr>
          <w:p w:rsidR="004D3162" w:rsidRPr="008F47CB" w:rsidP="00D14741" w14:paraId="5B89B7DC" w14:textId="277B3995">
            <w:pPr>
              <w:rPr>
                <w:rFonts w:ascii="Times New Roman" w:hAnsi="Times New Roman"/>
                <w:sz w:val="22"/>
                <w:szCs w:val="22"/>
              </w:rPr>
            </w:pPr>
            <w:r>
              <w:rPr>
                <w:rFonts w:ascii="Times New Roman" w:hAnsi="Times New Roman"/>
                <w:sz w:val="22"/>
                <w:szCs w:val="22"/>
              </w:rPr>
              <w:t>Explosives renewal application postage costs</w:t>
            </w:r>
          </w:p>
        </w:tc>
        <w:tc>
          <w:tcPr>
            <w:tcW w:w="1440" w:type="dxa"/>
            <w:vAlign w:val="center"/>
          </w:tcPr>
          <w:p w:rsidR="004D3162" w:rsidRPr="008F47CB" w:rsidP="00D14741" w14:paraId="4D5F5BBF" w14:textId="77777777">
            <w:pPr>
              <w:jc w:val="center"/>
              <w:rPr>
                <w:rFonts w:ascii="Times New Roman" w:hAnsi="Times New Roman"/>
                <w:sz w:val="22"/>
                <w:szCs w:val="22"/>
              </w:rPr>
            </w:pPr>
            <w:r>
              <w:rPr>
                <w:rFonts w:ascii="Times New Roman" w:hAnsi="Times New Roman"/>
                <w:sz w:val="22"/>
                <w:szCs w:val="22"/>
              </w:rPr>
              <w:t>3,000</w:t>
            </w:r>
          </w:p>
        </w:tc>
        <w:tc>
          <w:tcPr>
            <w:tcW w:w="1260" w:type="dxa"/>
            <w:vAlign w:val="center"/>
          </w:tcPr>
          <w:p w:rsidR="004D3162" w:rsidRPr="008F47CB" w:rsidP="00D14741" w14:paraId="5E4F8CA5" w14:textId="77777777">
            <w:pPr>
              <w:jc w:val="center"/>
              <w:rPr>
                <w:rFonts w:ascii="Times New Roman" w:hAnsi="Times New Roman"/>
                <w:sz w:val="22"/>
                <w:szCs w:val="22"/>
              </w:rPr>
            </w:pPr>
            <w:r>
              <w:rPr>
                <w:rFonts w:ascii="Times New Roman" w:hAnsi="Times New Roman"/>
                <w:sz w:val="22"/>
                <w:szCs w:val="22"/>
              </w:rPr>
              <w:t>1</w:t>
            </w:r>
          </w:p>
        </w:tc>
        <w:tc>
          <w:tcPr>
            <w:tcW w:w="1170" w:type="dxa"/>
            <w:vAlign w:val="center"/>
          </w:tcPr>
          <w:p w:rsidR="004D3162" w:rsidRPr="008F47CB" w:rsidP="00D14741" w14:paraId="2CD3831D" w14:textId="77777777">
            <w:pPr>
              <w:jc w:val="center"/>
              <w:rPr>
                <w:rFonts w:ascii="Times New Roman" w:hAnsi="Times New Roman"/>
                <w:sz w:val="22"/>
                <w:szCs w:val="22"/>
              </w:rPr>
            </w:pPr>
            <w:r>
              <w:rPr>
                <w:rFonts w:ascii="Times New Roman" w:hAnsi="Times New Roman"/>
                <w:sz w:val="22"/>
                <w:szCs w:val="22"/>
              </w:rPr>
              <w:t>3,000</w:t>
            </w:r>
          </w:p>
        </w:tc>
        <w:tc>
          <w:tcPr>
            <w:tcW w:w="1080" w:type="dxa"/>
            <w:vAlign w:val="center"/>
          </w:tcPr>
          <w:p w:rsidR="004D3162" w:rsidRPr="008F47CB" w:rsidP="00D14741" w14:paraId="128CB0B3" w14:textId="0430A99E">
            <w:pPr>
              <w:jc w:val="center"/>
              <w:rPr>
                <w:rFonts w:ascii="Times New Roman" w:hAnsi="Times New Roman"/>
                <w:sz w:val="22"/>
                <w:szCs w:val="22"/>
              </w:rPr>
            </w:pPr>
            <w:r>
              <w:rPr>
                <w:rFonts w:ascii="Times New Roman" w:hAnsi="Times New Roman"/>
                <w:sz w:val="22"/>
                <w:szCs w:val="22"/>
              </w:rPr>
              <w:t>$1</w:t>
            </w:r>
          </w:p>
        </w:tc>
        <w:tc>
          <w:tcPr>
            <w:tcW w:w="1440" w:type="dxa"/>
            <w:vAlign w:val="center"/>
          </w:tcPr>
          <w:p w:rsidR="004D3162" w:rsidRPr="008F47CB" w:rsidP="00D14741" w14:paraId="1605162F" w14:textId="53E6D910">
            <w:pPr>
              <w:jc w:val="center"/>
              <w:rPr>
                <w:rFonts w:ascii="Times New Roman" w:hAnsi="Times New Roman"/>
                <w:sz w:val="22"/>
                <w:szCs w:val="22"/>
              </w:rPr>
            </w:pPr>
            <w:r>
              <w:rPr>
                <w:rFonts w:ascii="Times New Roman" w:hAnsi="Times New Roman"/>
                <w:sz w:val="22"/>
                <w:szCs w:val="22"/>
              </w:rPr>
              <w:t>$3,000</w:t>
            </w:r>
          </w:p>
        </w:tc>
      </w:tr>
    </w:tbl>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4FB218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14.  </w:t>
      </w:r>
      <w:r w:rsidR="00D14741">
        <w:rPr>
          <w:rFonts w:ascii="Times New Roman" w:hAnsi="Times New Roman"/>
          <w:b/>
          <w:bCs/>
        </w:rPr>
        <w:t>E</w:t>
      </w:r>
      <w:r w:rsidRPr="00D53DEB">
        <w:rPr>
          <w:rFonts w:ascii="Times New Roman" w:hAnsi="Times New Roman"/>
          <w:b/>
          <w:bCs/>
        </w:rPr>
        <w:t>stimate</w:t>
      </w:r>
      <w:r w:rsidR="00D14741">
        <w:rPr>
          <w:rFonts w:ascii="Times New Roman" w:hAnsi="Times New Roman"/>
          <w:b/>
          <w:bCs/>
        </w:rPr>
        <w:t>d</w:t>
      </w:r>
      <w:r w:rsidRPr="00D53DEB">
        <w:rPr>
          <w:rFonts w:ascii="Times New Roman" w:hAnsi="Times New Roman"/>
          <w:b/>
          <w:bCs/>
        </w:rPr>
        <w:t xml:space="preserve"> annualized cost to the Federal Government.</w:t>
      </w:r>
    </w:p>
    <w:p w:rsidR="00BB1DEF" w:rsidP="00690F56" w14:paraId="67955B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1DEF" w:rsidRPr="00BB1DEF" w:rsidP="00690F56" w14:paraId="4064F784" w14:textId="1288ED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B1DEF">
        <w:rPr>
          <w:rFonts w:ascii="Times New Roman" w:hAnsi="Times New Roman"/>
        </w:rPr>
        <w:t>Government costs</w:t>
      </w:r>
      <w:r>
        <w:rPr>
          <w:rFonts w:ascii="Times New Roman" w:hAnsi="Times New Roman"/>
        </w:rPr>
        <w:t xml:space="preserve"> are time costs for data entry, which is performed by contractors at a set rate, and for reviewing and processing the applications. Federal employees at a GS-10 rate do the reviewing and processing tasks. Each application takes about an hour of data entry work and another hour for review/processing work. In addition, the government incurs the cost of printing and mailing the license, which ATF estimates at about $2 per license.</w:t>
      </w:r>
    </w:p>
    <w:p w:rsidR="00482071" w:rsidRPr="00DF214F" w:rsidP="00DF214F" w14:paraId="5D821077" w14:textId="0D754A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DF214F">
        <w:rPr>
          <w:rFonts w:ascii="Times New Roman" w:hAnsi="Times New Roman"/>
          <w:b/>
          <w:bCs/>
        </w:rPr>
        <w:t xml:space="preserve">Estimated Annualized Government </w:t>
      </w:r>
      <w:r>
        <w:rPr>
          <w:rFonts w:ascii="Times New Roman" w:hAnsi="Times New Roman"/>
          <w:b/>
          <w:bCs/>
        </w:rPr>
        <w:t xml:space="preserve">Hour Burden and </w:t>
      </w:r>
      <w:r w:rsidRPr="00DF214F">
        <w:rPr>
          <w:rFonts w:ascii="Times New Roman" w:hAnsi="Times New Roman"/>
          <w:b/>
          <w:bCs/>
        </w:rPr>
        <w:t>Costs</w:t>
      </w:r>
    </w:p>
    <w:tbl>
      <w:tblPr>
        <w:tblStyle w:val="TableGrid"/>
        <w:tblW w:w="8970" w:type="dxa"/>
        <w:jc w:val="center"/>
        <w:tblLayout w:type="fixed"/>
        <w:tblLook w:val="04A0"/>
      </w:tblPr>
      <w:tblGrid>
        <w:gridCol w:w="1500"/>
        <w:gridCol w:w="1440"/>
        <w:gridCol w:w="1080"/>
        <w:gridCol w:w="1080"/>
        <w:gridCol w:w="1080"/>
        <w:gridCol w:w="1350"/>
        <w:gridCol w:w="1440"/>
      </w:tblGrid>
      <w:tr w14:paraId="40ACFB85" w14:textId="77777777" w:rsidTr="00DF214F">
        <w:tblPrEx>
          <w:tblW w:w="8970" w:type="dxa"/>
          <w:jc w:val="center"/>
          <w:tblLayout w:type="fixed"/>
          <w:tblLook w:val="04A0"/>
        </w:tblPrEx>
        <w:trPr>
          <w:jc w:val="center"/>
        </w:trPr>
        <w:tc>
          <w:tcPr>
            <w:tcW w:w="1500" w:type="dxa"/>
            <w:shd w:val="clear" w:color="auto" w:fill="ADB9CA" w:themeFill="text2" w:themeFillTint="66"/>
            <w:vAlign w:val="center"/>
          </w:tcPr>
          <w:p w:rsidR="00FA5479" w:rsidRPr="008F47CB" w:rsidP="002D3963" w14:paraId="01052789" w14:textId="77777777">
            <w:pPr>
              <w:jc w:val="center"/>
              <w:rPr>
                <w:rFonts w:ascii="Times New Roman" w:hAnsi="Times New Roman"/>
                <w:b/>
                <w:sz w:val="22"/>
                <w:szCs w:val="22"/>
              </w:rPr>
            </w:pPr>
            <w:r w:rsidRPr="008F47CB">
              <w:rPr>
                <w:rFonts w:ascii="Times New Roman" w:hAnsi="Times New Roman"/>
                <w:b/>
                <w:sz w:val="22"/>
                <w:szCs w:val="22"/>
              </w:rPr>
              <w:t>Activity</w:t>
            </w:r>
          </w:p>
        </w:tc>
        <w:tc>
          <w:tcPr>
            <w:tcW w:w="1440" w:type="dxa"/>
            <w:shd w:val="clear" w:color="auto" w:fill="ADB9CA" w:themeFill="text2" w:themeFillTint="66"/>
            <w:vAlign w:val="center"/>
          </w:tcPr>
          <w:p w:rsidR="00FA5479" w:rsidRPr="008F47CB" w:rsidP="002D3963" w14:paraId="3DCA6F3D" w14:textId="5B760A64">
            <w:pPr>
              <w:jc w:val="center"/>
              <w:rPr>
                <w:rFonts w:ascii="Times New Roman" w:hAnsi="Times New Roman"/>
                <w:b/>
                <w:sz w:val="22"/>
                <w:szCs w:val="22"/>
              </w:rPr>
            </w:pPr>
            <w:r w:rsidRPr="008F47CB">
              <w:rPr>
                <w:rFonts w:ascii="Times New Roman" w:hAnsi="Times New Roman"/>
                <w:b/>
                <w:sz w:val="22"/>
                <w:szCs w:val="22"/>
              </w:rPr>
              <w:t xml:space="preserve">Number of </w:t>
            </w:r>
            <w:r w:rsidR="00F87583">
              <w:rPr>
                <w:rFonts w:ascii="Times New Roman" w:hAnsi="Times New Roman"/>
                <w:b/>
                <w:sz w:val="22"/>
                <w:szCs w:val="22"/>
              </w:rPr>
              <w:t>r</w:t>
            </w:r>
            <w:r w:rsidRPr="008F47CB">
              <w:rPr>
                <w:rFonts w:ascii="Times New Roman" w:hAnsi="Times New Roman"/>
                <w:b/>
                <w:sz w:val="22"/>
                <w:szCs w:val="22"/>
              </w:rPr>
              <w:t>espondents</w:t>
            </w:r>
          </w:p>
        </w:tc>
        <w:tc>
          <w:tcPr>
            <w:tcW w:w="1080" w:type="dxa"/>
            <w:shd w:val="clear" w:color="auto" w:fill="ADB9CA" w:themeFill="text2" w:themeFillTint="66"/>
            <w:vAlign w:val="center"/>
          </w:tcPr>
          <w:p w:rsidR="00FA5479" w:rsidRPr="008F47CB" w:rsidP="002D3963" w14:paraId="726CD75F" w14:textId="2573710E">
            <w:pPr>
              <w:jc w:val="center"/>
              <w:rPr>
                <w:rFonts w:ascii="Times New Roman" w:hAnsi="Times New Roman"/>
                <w:b/>
                <w:sz w:val="22"/>
                <w:szCs w:val="22"/>
              </w:rPr>
            </w:pPr>
            <w:r w:rsidRPr="008F47CB">
              <w:rPr>
                <w:rFonts w:ascii="Times New Roman" w:hAnsi="Times New Roman"/>
                <w:b/>
                <w:sz w:val="22"/>
                <w:szCs w:val="22"/>
              </w:rPr>
              <w:t xml:space="preserve">Time </w:t>
            </w:r>
            <w:r w:rsidR="00F87583">
              <w:rPr>
                <w:rFonts w:ascii="Times New Roman" w:hAnsi="Times New Roman"/>
                <w:b/>
                <w:sz w:val="22"/>
                <w:szCs w:val="22"/>
              </w:rPr>
              <w:t>p</w:t>
            </w:r>
            <w:r w:rsidRPr="008F47CB">
              <w:rPr>
                <w:rFonts w:ascii="Times New Roman" w:hAnsi="Times New Roman"/>
                <w:b/>
                <w:sz w:val="22"/>
                <w:szCs w:val="22"/>
              </w:rPr>
              <w:t xml:space="preserve">er </w:t>
            </w:r>
            <w:r w:rsidR="00F87583">
              <w:rPr>
                <w:rFonts w:ascii="Times New Roman" w:hAnsi="Times New Roman"/>
                <w:b/>
                <w:sz w:val="22"/>
                <w:szCs w:val="22"/>
              </w:rPr>
              <w:t>r</w:t>
            </w:r>
            <w:r w:rsidRPr="008F47CB">
              <w:rPr>
                <w:rFonts w:ascii="Times New Roman" w:hAnsi="Times New Roman"/>
                <w:b/>
                <w:sz w:val="22"/>
                <w:szCs w:val="22"/>
              </w:rPr>
              <w:t>esponse</w:t>
            </w:r>
          </w:p>
        </w:tc>
        <w:tc>
          <w:tcPr>
            <w:tcW w:w="1080" w:type="dxa"/>
            <w:shd w:val="clear" w:color="auto" w:fill="ADB9CA" w:themeFill="text2" w:themeFillTint="66"/>
            <w:vAlign w:val="center"/>
          </w:tcPr>
          <w:p w:rsidR="00FA5479" w:rsidRPr="008F47CB" w:rsidP="002D3963" w14:paraId="548F5EC2" w14:textId="5C67A70D">
            <w:pPr>
              <w:jc w:val="center"/>
              <w:rPr>
                <w:rFonts w:ascii="Times New Roman" w:hAnsi="Times New Roman"/>
                <w:b/>
                <w:sz w:val="22"/>
                <w:szCs w:val="22"/>
              </w:rPr>
            </w:pPr>
            <w:r w:rsidRPr="008F47CB">
              <w:rPr>
                <w:rFonts w:ascii="Times New Roman" w:hAnsi="Times New Roman"/>
                <w:b/>
                <w:sz w:val="22"/>
                <w:szCs w:val="22"/>
              </w:rPr>
              <w:t xml:space="preserve">Total </w:t>
            </w:r>
            <w:r w:rsidR="00F87583">
              <w:rPr>
                <w:rFonts w:ascii="Times New Roman" w:hAnsi="Times New Roman"/>
                <w:b/>
                <w:sz w:val="22"/>
                <w:szCs w:val="22"/>
              </w:rPr>
              <w:t>a</w:t>
            </w:r>
            <w:r w:rsidRPr="008F47CB">
              <w:rPr>
                <w:rFonts w:ascii="Times New Roman" w:hAnsi="Times New Roman"/>
                <w:b/>
                <w:sz w:val="22"/>
                <w:szCs w:val="22"/>
              </w:rPr>
              <w:t xml:space="preserve">nnual </w:t>
            </w:r>
            <w:r w:rsidR="00F87583">
              <w:rPr>
                <w:rFonts w:ascii="Times New Roman" w:hAnsi="Times New Roman"/>
                <w:b/>
                <w:sz w:val="22"/>
                <w:szCs w:val="22"/>
              </w:rPr>
              <w:t>b</w:t>
            </w:r>
            <w:r w:rsidRPr="008F47CB">
              <w:rPr>
                <w:rFonts w:ascii="Times New Roman" w:hAnsi="Times New Roman"/>
                <w:b/>
                <w:sz w:val="22"/>
                <w:szCs w:val="22"/>
              </w:rPr>
              <w:t>urden (</w:t>
            </w:r>
            <w:r w:rsidR="00F87583">
              <w:rPr>
                <w:rFonts w:ascii="Times New Roman" w:hAnsi="Times New Roman"/>
                <w:b/>
                <w:sz w:val="22"/>
                <w:szCs w:val="22"/>
              </w:rPr>
              <w:t>h</w:t>
            </w:r>
            <w:r w:rsidRPr="008F47CB">
              <w:rPr>
                <w:rFonts w:ascii="Times New Roman" w:hAnsi="Times New Roman"/>
                <w:b/>
                <w:sz w:val="22"/>
                <w:szCs w:val="22"/>
              </w:rPr>
              <w:t>ours)</w:t>
            </w:r>
          </w:p>
        </w:tc>
        <w:tc>
          <w:tcPr>
            <w:tcW w:w="1080" w:type="dxa"/>
            <w:shd w:val="clear" w:color="auto" w:fill="ADB9CA" w:themeFill="text2" w:themeFillTint="66"/>
            <w:vAlign w:val="center"/>
          </w:tcPr>
          <w:p w:rsidR="00FA5479" w:rsidRPr="008F47CB" w:rsidP="002D3963" w14:paraId="1B330D13" w14:textId="04B73792">
            <w:pPr>
              <w:jc w:val="center"/>
              <w:rPr>
                <w:rFonts w:ascii="Times New Roman" w:hAnsi="Times New Roman"/>
                <w:b/>
                <w:sz w:val="22"/>
                <w:szCs w:val="22"/>
              </w:rPr>
            </w:pPr>
            <w:r w:rsidRPr="008F47CB">
              <w:rPr>
                <w:rFonts w:ascii="Times New Roman" w:hAnsi="Times New Roman"/>
                <w:b/>
                <w:sz w:val="22"/>
                <w:szCs w:val="22"/>
              </w:rPr>
              <w:t xml:space="preserve">Hourly </w:t>
            </w:r>
            <w:r w:rsidR="00F87583">
              <w:rPr>
                <w:rFonts w:ascii="Times New Roman" w:hAnsi="Times New Roman"/>
                <w:b/>
                <w:sz w:val="22"/>
                <w:szCs w:val="22"/>
              </w:rPr>
              <w:t>r</w:t>
            </w:r>
            <w:r w:rsidRPr="008F47CB">
              <w:rPr>
                <w:rFonts w:ascii="Times New Roman" w:hAnsi="Times New Roman"/>
                <w:b/>
                <w:sz w:val="22"/>
                <w:szCs w:val="22"/>
              </w:rPr>
              <w:t>ate</w:t>
            </w:r>
            <w:r w:rsidR="00DF214F">
              <w:rPr>
                <w:rFonts w:ascii="Times New Roman" w:hAnsi="Times New Roman"/>
                <w:b/>
                <w:sz w:val="22"/>
                <w:szCs w:val="22"/>
              </w:rPr>
              <w:t xml:space="preserve"> or item </w:t>
            </w:r>
            <w:r w:rsidR="00F87583">
              <w:rPr>
                <w:rFonts w:ascii="Times New Roman" w:hAnsi="Times New Roman"/>
                <w:b/>
                <w:sz w:val="22"/>
                <w:szCs w:val="22"/>
              </w:rPr>
              <w:t>cost</w:t>
            </w:r>
          </w:p>
        </w:tc>
        <w:tc>
          <w:tcPr>
            <w:tcW w:w="1350" w:type="dxa"/>
            <w:shd w:val="clear" w:color="auto" w:fill="ADB9CA" w:themeFill="text2" w:themeFillTint="66"/>
            <w:vAlign w:val="center"/>
          </w:tcPr>
          <w:p w:rsidR="00FA5479" w:rsidRPr="008F47CB" w:rsidP="002D3963" w14:paraId="10894827" w14:textId="7F8EA99E">
            <w:pPr>
              <w:jc w:val="center"/>
              <w:rPr>
                <w:rFonts w:ascii="Times New Roman" w:hAnsi="Times New Roman"/>
                <w:b/>
                <w:sz w:val="22"/>
                <w:szCs w:val="22"/>
              </w:rPr>
            </w:pPr>
            <w:r>
              <w:rPr>
                <w:rFonts w:ascii="Times New Roman" w:hAnsi="Times New Roman"/>
                <w:b/>
                <w:sz w:val="22"/>
                <w:szCs w:val="22"/>
              </w:rPr>
              <w:t xml:space="preserve">Monetized time </w:t>
            </w:r>
            <w:r w:rsidR="00DF214F">
              <w:rPr>
                <w:rFonts w:ascii="Times New Roman" w:hAnsi="Times New Roman"/>
                <w:b/>
                <w:sz w:val="22"/>
                <w:szCs w:val="22"/>
              </w:rPr>
              <w:t>or item</w:t>
            </w:r>
            <w:r w:rsidR="00DC7216">
              <w:rPr>
                <w:rFonts w:ascii="Times New Roman" w:hAnsi="Times New Roman"/>
                <w:b/>
                <w:sz w:val="22"/>
                <w:szCs w:val="22"/>
              </w:rPr>
              <w:t xml:space="preserve"> cost/ </w:t>
            </w:r>
            <w:r>
              <w:rPr>
                <w:rFonts w:ascii="Times New Roman" w:hAnsi="Times New Roman"/>
                <w:b/>
                <w:sz w:val="22"/>
                <w:szCs w:val="22"/>
              </w:rPr>
              <w:t>respondent</w:t>
            </w:r>
            <w:r>
              <w:rPr>
                <w:rStyle w:val="FootnoteReference"/>
                <w:rFonts w:ascii="Times New Roman" w:hAnsi="Times New Roman"/>
                <w:b/>
                <w:sz w:val="22"/>
                <w:szCs w:val="22"/>
              </w:rPr>
              <w:footnoteReference w:id="3"/>
            </w:r>
          </w:p>
        </w:tc>
        <w:tc>
          <w:tcPr>
            <w:tcW w:w="1440" w:type="dxa"/>
            <w:shd w:val="clear" w:color="auto" w:fill="ADB9CA" w:themeFill="text2" w:themeFillTint="66"/>
            <w:vAlign w:val="center"/>
          </w:tcPr>
          <w:p w:rsidR="00FA5479" w:rsidRPr="008F47CB" w:rsidP="002D3963" w14:paraId="7DA1C71F" w14:textId="4C692E52">
            <w:pPr>
              <w:jc w:val="center"/>
              <w:rPr>
                <w:rFonts w:ascii="Times New Roman" w:hAnsi="Times New Roman"/>
                <w:b/>
                <w:sz w:val="22"/>
                <w:szCs w:val="22"/>
              </w:rPr>
            </w:pPr>
            <w:r>
              <w:rPr>
                <w:rFonts w:ascii="Times New Roman" w:hAnsi="Times New Roman"/>
                <w:b/>
                <w:sz w:val="22"/>
                <w:szCs w:val="22"/>
              </w:rPr>
              <w:t>Annualized</w:t>
            </w:r>
            <w:r w:rsidRPr="008F47CB">
              <w:rPr>
                <w:rFonts w:ascii="Times New Roman" w:hAnsi="Times New Roman"/>
                <w:b/>
                <w:sz w:val="22"/>
                <w:szCs w:val="22"/>
              </w:rPr>
              <w:t xml:space="preserve"> </w:t>
            </w:r>
            <w:r w:rsidR="00DF214F">
              <w:rPr>
                <w:rFonts w:ascii="Times New Roman" w:hAnsi="Times New Roman"/>
                <w:b/>
                <w:sz w:val="22"/>
                <w:szCs w:val="22"/>
              </w:rPr>
              <w:t>costs</w:t>
            </w:r>
            <w:r w:rsidRPr="008F47CB">
              <w:rPr>
                <w:rFonts w:ascii="Times New Roman" w:hAnsi="Times New Roman"/>
                <w:b/>
                <w:sz w:val="22"/>
                <w:szCs w:val="22"/>
              </w:rPr>
              <w:t xml:space="preserve"> </w:t>
            </w:r>
            <w:r>
              <w:rPr>
                <w:rFonts w:ascii="Times New Roman" w:hAnsi="Times New Roman"/>
                <w:b/>
                <w:sz w:val="22"/>
                <w:szCs w:val="22"/>
              </w:rPr>
              <w:t xml:space="preserve">for all </w:t>
            </w:r>
            <w:r w:rsidR="00F87583">
              <w:rPr>
                <w:rFonts w:ascii="Times New Roman" w:hAnsi="Times New Roman"/>
                <w:b/>
                <w:sz w:val="22"/>
                <w:szCs w:val="22"/>
              </w:rPr>
              <w:t>r</w:t>
            </w:r>
            <w:r w:rsidRPr="008F47CB">
              <w:rPr>
                <w:rFonts w:ascii="Times New Roman" w:hAnsi="Times New Roman"/>
                <w:b/>
                <w:sz w:val="22"/>
                <w:szCs w:val="22"/>
              </w:rPr>
              <w:t>espondent</w:t>
            </w:r>
            <w:r>
              <w:rPr>
                <w:rFonts w:ascii="Times New Roman" w:hAnsi="Times New Roman"/>
                <w:b/>
                <w:sz w:val="22"/>
                <w:szCs w:val="22"/>
              </w:rPr>
              <w:t>s</w:t>
            </w:r>
          </w:p>
        </w:tc>
      </w:tr>
      <w:tr w14:paraId="0AC21588" w14:textId="77777777" w:rsidTr="00DF214F">
        <w:tblPrEx>
          <w:tblW w:w="8970" w:type="dxa"/>
          <w:jc w:val="center"/>
          <w:tblLayout w:type="fixed"/>
          <w:tblLook w:val="04A0"/>
        </w:tblPrEx>
        <w:trPr>
          <w:trHeight w:val="980"/>
          <w:jc w:val="center"/>
        </w:trPr>
        <w:tc>
          <w:tcPr>
            <w:tcW w:w="1500" w:type="dxa"/>
            <w:vAlign w:val="center"/>
          </w:tcPr>
          <w:p w:rsidR="00664B14" w:rsidRPr="008F47CB" w:rsidP="002D3963" w14:paraId="1C09F626" w14:textId="0F71A41F">
            <w:pPr>
              <w:rPr>
                <w:rFonts w:ascii="Times New Roman" w:hAnsi="Times New Roman"/>
                <w:sz w:val="22"/>
                <w:szCs w:val="22"/>
              </w:rPr>
            </w:pPr>
            <w:r>
              <w:rPr>
                <w:rFonts w:ascii="Times New Roman" w:hAnsi="Times New Roman"/>
                <w:sz w:val="22"/>
                <w:szCs w:val="22"/>
              </w:rPr>
              <w:t>Contractor data entry time</w:t>
            </w:r>
          </w:p>
        </w:tc>
        <w:tc>
          <w:tcPr>
            <w:tcW w:w="1440" w:type="dxa"/>
            <w:vMerge w:val="restart"/>
            <w:vAlign w:val="center"/>
          </w:tcPr>
          <w:p w:rsidR="00664B14" w:rsidRPr="008F47CB" w:rsidP="00664B14" w14:paraId="4534DA49" w14:textId="47110594">
            <w:pPr>
              <w:jc w:val="center"/>
              <w:rPr>
                <w:rFonts w:ascii="Times New Roman" w:hAnsi="Times New Roman"/>
                <w:sz w:val="22"/>
                <w:szCs w:val="22"/>
              </w:rPr>
            </w:pPr>
            <w:r>
              <w:rPr>
                <w:rFonts w:ascii="Times New Roman" w:hAnsi="Times New Roman"/>
                <w:sz w:val="22"/>
                <w:szCs w:val="22"/>
              </w:rPr>
              <w:t>3,000</w:t>
            </w:r>
          </w:p>
        </w:tc>
        <w:tc>
          <w:tcPr>
            <w:tcW w:w="1080" w:type="dxa"/>
            <w:vMerge w:val="restart"/>
            <w:vAlign w:val="center"/>
          </w:tcPr>
          <w:p w:rsidR="00664B14" w:rsidRPr="008F47CB" w:rsidP="00664B14" w14:paraId="31A17A42" w14:textId="45B2C150">
            <w:pPr>
              <w:jc w:val="center"/>
              <w:rPr>
                <w:rFonts w:ascii="Times New Roman" w:hAnsi="Times New Roman"/>
                <w:sz w:val="22"/>
                <w:szCs w:val="22"/>
              </w:rPr>
            </w:pPr>
            <w:r>
              <w:rPr>
                <w:rFonts w:ascii="Times New Roman" w:hAnsi="Times New Roman"/>
                <w:sz w:val="22"/>
                <w:szCs w:val="22"/>
              </w:rPr>
              <w:t>1 hour</w:t>
            </w:r>
          </w:p>
        </w:tc>
        <w:tc>
          <w:tcPr>
            <w:tcW w:w="1080" w:type="dxa"/>
            <w:vMerge w:val="restart"/>
            <w:vAlign w:val="center"/>
          </w:tcPr>
          <w:p w:rsidR="00664B14" w:rsidRPr="008F47CB" w:rsidP="00664B14" w14:paraId="1ADBFAD7" w14:textId="20383D09">
            <w:pPr>
              <w:jc w:val="center"/>
              <w:rPr>
                <w:rFonts w:ascii="Times New Roman" w:hAnsi="Times New Roman"/>
                <w:sz w:val="22"/>
                <w:szCs w:val="22"/>
              </w:rPr>
            </w:pPr>
            <w:r>
              <w:rPr>
                <w:rFonts w:ascii="Times New Roman" w:hAnsi="Times New Roman"/>
                <w:sz w:val="22"/>
                <w:szCs w:val="22"/>
              </w:rPr>
              <w:t>3,000</w:t>
            </w:r>
          </w:p>
        </w:tc>
        <w:tc>
          <w:tcPr>
            <w:tcW w:w="1080" w:type="dxa"/>
            <w:vAlign w:val="center"/>
          </w:tcPr>
          <w:p w:rsidR="00664B14" w:rsidRPr="008F47CB" w:rsidP="002D3963" w14:paraId="0432BAD0" w14:textId="6C7C041D">
            <w:pPr>
              <w:jc w:val="center"/>
              <w:rPr>
                <w:rFonts w:ascii="Times New Roman" w:hAnsi="Times New Roman"/>
                <w:sz w:val="22"/>
                <w:szCs w:val="22"/>
              </w:rPr>
            </w:pPr>
            <w:r>
              <w:rPr>
                <w:rFonts w:ascii="Times New Roman" w:hAnsi="Times New Roman"/>
                <w:sz w:val="22"/>
                <w:szCs w:val="22"/>
              </w:rPr>
              <w:t>$13.29</w:t>
            </w:r>
          </w:p>
        </w:tc>
        <w:tc>
          <w:tcPr>
            <w:tcW w:w="1350" w:type="dxa"/>
            <w:vAlign w:val="center"/>
          </w:tcPr>
          <w:p w:rsidR="00664B14" w:rsidP="002D3963" w14:paraId="29357396" w14:textId="73D552EC">
            <w:pPr>
              <w:jc w:val="center"/>
              <w:rPr>
                <w:rFonts w:ascii="Times New Roman" w:hAnsi="Times New Roman"/>
                <w:sz w:val="22"/>
                <w:szCs w:val="22"/>
              </w:rPr>
            </w:pPr>
            <w:r>
              <w:rPr>
                <w:rFonts w:ascii="Times New Roman" w:hAnsi="Times New Roman"/>
                <w:sz w:val="22"/>
                <w:szCs w:val="22"/>
              </w:rPr>
              <w:t>$13</w:t>
            </w:r>
          </w:p>
        </w:tc>
        <w:tc>
          <w:tcPr>
            <w:tcW w:w="1440" w:type="dxa"/>
            <w:vAlign w:val="center"/>
          </w:tcPr>
          <w:p w:rsidR="00664B14" w:rsidRPr="008F47CB" w:rsidP="002D3963" w14:paraId="02A019E9" w14:textId="7CCE4B64">
            <w:pPr>
              <w:jc w:val="center"/>
              <w:rPr>
                <w:rFonts w:ascii="Times New Roman" w:hAnsi="Times New Roman"/>
                <w:sz w:val="22"/>
                <w:szCs w:val="22"/>
              </w:rPr>
            </w:pPr>
            <w:r>
              <w:rPr>
                <w:rFonts w:ascii="Times New Roman" w:hAnsi="Times New Roman"/>
                <w:sz w:val="22"/>
                <w:szCs w:val="22"/>
              </w:rPr>
              <w:t>$39,000</w:t>
            </w:r>
          </w:p>
        </w:tc>
      </w:tr>
      <w:tr w14:paraId="5CEA397B" w14:textId="77777777" w:rsidTr="00DF214F">
        <w:tblPrEx>
          <w:tblW w:w="8970" w:type="dxa"/>
          <w:jc w:val="center"/>
          <w:tblLayout w:type="fixed"/>
          <w:tblLook w:val="04A0"/>
        </w:tblPrEx>
        <w:trPr>
          <w:jc w:val="center"/>
        </w:trPr>
        <w:tc>
          <w:tcPr>
            <w:tcW w:w="1500" w:type="dxa"/>
            <w:vAlign w:val="center"/>
          </w:tcPr>
          <w:p w:rsidR="00664B14" w:rsidRPr="008F47CB" w:rsidP="002D3963" w14:paraId="77E8E7B0" w14:textId="0EAE088A">
            <w:pPr>
              <w:rPr>
                <w:rFonts w:ascii="Times New Roman" w:hAnsi="Times New Roman"/>
                <w:sz w:val="22"/>
                <w:szCs w:val="22"/>
              </w:rPr>
            </w:pPr>
            <w:r>
              <w:rPr>
                <w:rFonts w:ascii="Times New Roman" w:hAnsi="Times New Roman"/>
                <w:sz w:val="22"/>
                <w:szCs w:val="22"/>
              </w:rPr>
              <w:t>Review and processing time</w:t>
            </w:r>
          </w:p>
        </w:tc>
        <w:tc>
          <w:tcPr>
            <w:tcW w:w="1440" w:type="dxa"/>
            <w:vMerge/>
            <w:vAlign w:val="center"/>
          </w:tcPr>
          <w:p w:rsidR="00664B14" w:rsidRPr="008F47CB" w:rsidP="002D3963" w14:paraId="3D0D4F69" w14:textId="3511BB11">
            <w:pPr>
              <w:jc w:val="center"/>
              <w:rPr>
                <w:rFonts w:ascii="Times New Roman" w:hAnsi="Times New Roman"/>
                <w:sz w:val="22"/>
                <w:szCs w:val="22"/>
              </w:rPr>
            </w:pPr>
          </w:p>
        </w:tc>
        <w:tc>
          <w:tcPr>
            <w:tcW w:w="1080" w:type="dxa"/>
            <w:vMerge/>
            <w:vAlign w:val="center"/>
          </w:tcPr>
          <w:p w:rsidR="00664B14" w:rsidRPr="008F47CB" w:rsidP="002D3963" w14:paraId="44CDAEDC" w14:textId="1A196112">
            <w:pPr>
              <w:jc w:val="center"/>
              <w:rPr>
                <w:rFonts w:ascii="Times New Roman" w:hAnsi="Times New Roman"/>
                <w:sz w:val="22"/>
                <w:szCs w:val="22"/>
              </w:rPr>
            </w:pPr>
          </w:p>
        </w:tc>
        <w:tc>
          <w:tcPr>
            <w:tcW w:w="1080" w:type="dxa"/>
            <w:vMerge/>
            <w:vAlign w:val="center"/>
          </w:tcPr>
          <w:p w:rsidR="00664B14" w:rsidRPr="008F47CB" w:rsidP="002D3963" w14:paraId="21BA1720" w14:textId="63C10C40">
            <w:pPr>
              <w:jc w:val="center"/>
              <w:rPr>
                <w:rFonts w:ascii="Times New Roman" w:hAnsi="Times New Roman"/>
                <w:sz w:val="22"/>
                <w:szCs w:val="22"/>
              </w:rPr>
            </w:pPr>
          </w:p>
        </w:tc>
        <w:tc>
          <w:tcPr>
            <w:tcW w:w="1080" w:type="dxa"/>
            <w:vAlign w:val="center"/>
          </w:tcPr>
          <w:p w:rsidR="00664B14" w:rsidRPr="008F47CB" w:rsidP="002D3963" w14:paraId="7B15DAFF" w14:textId="6CEF921E">
            <w:pPr>
              <w:jc w:val="center"/>
              <w:rPr>
                <w:rFonts w:ascii="Times New Roman" w:hAnsi="Times New Roman"/>
                <w:sz w:val="22"/>
                <w:szCs w:val="22"/>
              </w:rPr>
            </w:pPr>
            <w:r>
              <w:rPr>
                <w:rFonts w:ascii="Times New Roman" w:hAnsi="Times New Roman"/>
                <w:sz w:val="22"/>
                <w:szCs w:val="22"/>
              </w:rPr>
              <w:t>$64.49</w:t>
            </w:r>
          </w:p>
        </w:tc>
        <w:tc>
          <w:tcPr>
            <w:tcW w:w="1350" w:type="dxa"/>
            <w:vAlign w:val="center"/>
          </w:tcPr>
          <w:p w:rsidR="00664B14" w:rsidRPr="008F47CB" w:rsidP="002D3963" w14:paraId="107F6792" w14:textId="0E93BC4E">
            <w:pPr>
              <w:jc w:val="center"/>
              <w:rPr>
                <w:rFonts w:ascii="Times New Roman" w:hAnsi="Times New Roman"/>
                <w:sz w:val="22"/>
                <w:szCs w:val="22"/>
              </w:rPr>
            </w:pPr>
            <w:r>
              <w:rPr>
                <w:rFonts w:ascii="Times New Roman" w:hAnsi="Times New Roman"/>
                <w:sz w:val="22"/>
                <w:szCs w:val="22"/>
              </w:rPr>
              <w:t>$64</w:t>
            </w:r>
          </w:p>
        </w:tc>
        <w:tc>
          <w:tcPr>
            <w:tcW w:w="1440" w:type="dxa"/>
            <w:vAlign w:val="center"/>
          </w:tcPr>
          <w:p w:rsidR="00664B14" w:rsidRPr="008F47CB" w:rsidP="002D3963" w14:paraId="02B4F421" w14:textId="2C79D306">
            <w:pPr>
              <w:jc w:val="center"/>
              <w:rPr>
                <w:rFonts w:ascii="Times New Roman" w:hAnsi="Times New Roman"/>
                <w:sz w:val="22"/>
                <w:szCs w:val="22"/>
              </w:rPr>
            </w:pPr>
            <w:r>
              <w:rPr>
                <w:rFonts w:ascii="Times New Roman" w:hAnsi="Times New Roman"/>
                <w:sz w:val="22"/>
                <w:szCs w:val="22"/>
              </w:rPr>
              <w:t>$192,000</w:t>
            </w:r>
          </w:p>
        </w:tc>
      </w:tr>
      <w:tr w14:paraId="4432A309" w14:textId="77777777" w:rsidTr="00DF214F">
        <w:tblPrEx>
          <w:tblW w:w="8970" w:type="dxa"/>
          <w:jc w:val="center"/>
          <w:tblLayout w:type="fixed"/>
          <w:tblLook w:val="04A0"/>
        </w:tblPrEx>
        <w:trPr>
          <w:jc w:val="center"/>
        </w:trPr>
        <w:tc>
          <w:tcPr>
            <w:tcW w:w="1500" w:type="dxa"/>
            <w:vAlign w:val="center"/>
          </w:tcPr>
          <w:p w:rsidR="00664B14" w:rsidRPr="008F47CB" w:rsidP="002D3963" w14:paraId="5442C023" w14:textId="17D33C15">
            <w:pPr>
              <w:rPr>
                <w:rFonts w:ascii="Times New Roman" w:hAnsi="Times New Roman"/>
                <w:sz w:val="22"/>
                <w:szCs w:val="22"/>
              </w:rPr>
            </w:pPr>
            <w:r>
              <w:rPr>
                <w:rFonts w:ascii="Times New Roman" w:hAnsi="Times New Roman"/>
                <w:sz w:val="22"/>
                <w:szCs w:val="22"/>
              </w:rPr>
              <w:t>Printing and shipping costs</w:t>
            </w:r>
          </w:p>
        </w:tc>
        <w:tc>
          <w:tcPr>
            <w:tcW w:w="1440" w:type="dxa"/>
            <w:vMerge/>
            <w:vAlign w:val="center"/>
          </w:tcPr>
          <w:p w:rsidR="00664B14" w:rsidRPr="008F47CB" w:rsidP="002D3963" w14:paraId="1FD1D15D" w14:textId="572D584F">
            <w:pPr>
              <w:jc w:val="center"/>
              <w:rPr>
                <w:rFonts w:ascii="Times New Roman" w:hAnsi="Times New Roman"/>
                <w:sz w:val="22"/>
                <w:szCs w:val="22"/>
              </w:rPr>
            </w:pPr>
          </w:p>
        </w:tc>
        <w:tc>
          <w:tcPr>
            <w:tcW w:w="1080" w:type="dxa"/>
            <w:vAlign w:val="center"/>
          </w:tcPr>
          <w:p w:rsidR="00664B14" w:rsidRPr="008F47CB" w:rsidP="002D3963" w14:paraId="4EE152E8" w14:textId="29B5BA4B">
            <w:pPr>
              <w:jc w:val="center"/>
              <w:rPr>
                <w:rFonts w:ascii="Times New Roman" w:hAnsi="Times New Roman"/>
                <w:sz w:val="22"/>
                <w:szCs w:val="22"/>
              </w:rPr>
            </w:pPr>
            <w:r>
              <w:rPr>
                <w:rFonts w:ascii="Times New Roman" w:hAnsi="Times New Roman"/>
                <w:sz w:val="22"/>
                <w:szCs w:val="22"/>
              </w:rPr>
              <w:t>n/a</w:t>
            </w:r>
          </w:p>
        </w:tc>
        <w:tc>
          <w:tcPr>
            <w:tcW w:w="1080" w:type="dxa"/>
            <w:vAlign w:val="center"/>
          </w:tcPr>
          <w:p w:rsidR="00664B14" w:rsidRPr="008F47CB" w:rsidP="002D3963" w14:paraId="35367934" w14:textId="5EFEB764">
            <w:pPr>
              <w:jc w:val="center"/>
              <w:rPr>
                <w:rFonts w:ascii="Times New Roman" w:hAnsi="Times New Roman"/>
                <w:sz w:val="22"/>
                <w:szCs w:val="22"/>
              </w:rPr>
            </w:pPr>
            <w:r>
              <w:rPr>
                <w:rFonts w:ascii="Times New Roman" w:hAnsi="Times New Roman"/>
                <w:sz w:val="22"/>
                <w:szCs w:val="22"/>
              </w:rPr>
              <w:t>n/a</w:t>
            </w:r>
          </w:p>
        </w:tc>
        <w:tc>
          <w:tcPr>
            <w:tcW w:w="1080" w:type="dxa"/>
            <w:vAlign w:val="center"/>
          </w:tcPr>
          <w:p w:rsidR="00664B14" w:rsidRPr="008F47CB" w:rsidP="002D3963" w14:paraId="05D4A173" w14:textId="415F1762">
            <w:pPr>
              <w:jc w:val="center"/>
              <w:rPr>
                <w:rFonts w:ascii="Times New Roman" w:hAnsi="Times New Roman"/>
                <w:sz w:val="22"/>
                <w:szCs w:val="22"/>
              </w:rPr>
            </w:pPr>
            <w:r>
              <w:rPr>
                <w:rFonts w:ascii="Times New Roman" w:hAnsi="Times New Roman"/>
                <w:sz w:val="22"/>
                <w:szCs w:val="22"/>
              </w:rPr>
              <w:t>$2.00</w:t>
            </w:r>
          </w:p>
        </w:tc>
        <w:tc>
          <w:tcPr>
            <w:tcW w:w="1350" w:type="dxa"/>
            <w:vAlign w:val="center"/>
          </w:tcPr>
          <w:p w:rsidR="00664B14" w:rsidRPr="008F47CB" w:rsidP="002D3963" w14:paraId="49427F49" w14:textId="5ADC8815">
            <w:pPr>
              <w:jc w:val="center"/>
              <w:rPr>
                <w:rFonts w:ascii="Times New Roman" w:hAnsi="Times New Roman"/>
                <w:sz w:val="22"/>
                <w:szCs w:val="22"/>
              </w:rPr>
            </w:pPr>
            <w:r>
              <w:rPr>
                <w:rFonts w:ascii="Times New Roman" w:hAnsi="Times New Roman"/>
                <w:sz w:val="22"/>
                <w:szCs w:val="22"/>
              </w:rPr>
              <w:t>$2</w:t>
            </w:r>
          </w:p>
        </w:tc>
        <w:tc>
          <w:tcPr>
            <w:tcW w:w="1440" w:type="dxa"/>
            <w:vAlign w:val="center"/>
          </w:tcPr>
          <w:p w:rsidR="00664B14" w:rsidRPr="008F47CB" w:rsidP="002D3963" w14:paraId="1719EA70" w14:textId="1565CA97">
            <w:pPr>
              <w:jc w:val="center"/>
              <w:rPr>
                <w:rFonts w:ascii="Times New Roman" w:hAnsi="Times New Roman"/>
                <w:sz w:val="22"/>
                <w:szCs w:val="22"/>
              </w:rPr>
            </w:pPr>
            <w:r>
              <w:rPr>
                <w:rFonts w:ascii="Times New Roman" w:hAnsi="Times New Roman"/>
                <w:sz w:val="22"/>
                <w:szCs w:val="22"/>
              </w:rPr>
              <w:t>$6,000</w:t>
            </w:r>
          </w:p>
        </w:tc>
      </w:tr>
      <w:tr w14:paraId="249369B2" w14:textId="77777777" w:rsidTr="00DF214F">
        <w:tblPrEx>
          <w:tblW w:w="8970" w:type="dxa"/>
          <w:jc w:val="center"/>
          <w:tblLayout w:type="fixed"/>
          <w:tblLook w:val="04A0"/>
        </w:tblPrEx>
        <w:trPr>
          <w:jc w:val="center"/>
        </w:trPr>
        <w:tc>
          <w:tcPr>
            <w:tcW w:w="1500" w:type="dxa"/>
            <w:vAlign w:val="center"/>
          </w:tcPr>
          <w:p w:rsidR="00FA5479" w:rsidRPr="008F47CB" w:rsidP="007D4C98" w14:paraId="227CD61D" w14:textId="49F10FF3">
            <w:pPr>
              <w:rPr>
                <w:rFonts w:ascii="Times New Roman" w:hAnsi="Times New Roman"/>
                <w:b/>
                <w:i/>
                <w:sz w:val="22"/>
                <w:szCs w:val="22"/>
              </w:rPr>
            </w:pPr>
            <w:r>
              <w:rPr>
                <w:rFonts w:ascii="Times New Roman" w:hAnsi="Times New Roman"/>
                <w:b/>
                <w:i/>
                <w:sz w:val="22"/>
                <w:szCs w:val="22"/>
              </w:rPr>
              <w:t>T</w:t>
            </w:r>
            <w:r w:rsidRPr="008F47CB">
              <w:rPr>
                <w:rFonts w:ascii="Times New Roman" w:hAnsi="Times New Roman"/>
                <w:b/>
                <w:i/>
                <w:sz w:val="22"/>
                <w:szCs w:val="22"/>
              </w:rPr>
              <w:t>otals</w:t>
            </w:r>
          </w:p>
        </w:tc>
        <w:tc>
          <w:tcPr>
            <w:tcW w:w="1440" w:type="dxa"/>
            <w:vAlign w:val="bottom"/>
          </w:tcPr>
          <w:p w:rsidR="00FA5479" w:rsidRPr="008F47CB" w14:paraId="2A2EDD92" w14:textId="77777777">
            <w:pPr>
              <w:jc w:val="right"/>
              <w:rPr>
                <w:rFonts w:ascii="Times New Roman" w:hAnsi="Times New Roman"/>
                <w:b/>
                <w:i/>
                <w:sz w:val="22"/>
                <w:szCs w:val="22"/>
              </w:rPr>
            </w:pPr>
          </w:p>
        </w:tc>
        <w:tc>
          <w:tcPr>
            <w:tcW w:w="1080" w:type="dxa"/>
            <w:vAlign w:val="bottom"/>
          </w:tcPr>
          <w:p w:rsidR="00FA5479" w:rsidRPr="008F47CB" w14:paraId="38304A95" w14:textId="77777777">
            <w:pPr>
              <w:jc w:val="right"/>
              <w:rPr>
                <w:rFonts w:ascii="Times New Roman" w:hAnsi="Times New Roman"/>
                <w:b/>
                <w:i/>
                <w:sz w:val="22"/>
                <w:szCs w:val="22"/>
              </w:rPr>
            </w:pPr>
          </w:p>
        </w:tc>
        <w:tc>
          <w:tcPr>
            <w:tcW w:w="1080" w:type="dxa"/>
            <w:vAlign w:val="bottom"/>
          </w:tcPr>
          <w:p w:rsidR="00FA5479" w:rsidRPr="008F47CB" w14:paraId="2FAA0375" w14:textId="77777777">
            <w:pPr>
              <w:jc w:val="right"/>
              <w:rPr>
                <w:rFonts w:ascii="Times New Roman" w:hAnsi="Times New Roman"/>
                <w:b/>
                <w:i/>
                <w:sz w:val="22"/>
                <w:szCs w:val="22"/>
              </w:rPr>
            </w:pPr>
          </w:p>
        </w:tc>
        <w:tc>
          <w:tcPr>
            <w:tcW w:w="1080" w:type="dxa"/>
            <w:vAlign w:val="bottom"/>
          </w:tcPr>
          <w:p w:rsidR="00FA5479" w:rsidRPr="008F47CB" w14:paraId="2853645D" w14:textId="77777777">
            <w:pPr>
              <w:jc w:val="right"/>
              <w:rPr>
                <w:rFonts w:ascii="Times New Roman" w:hAnsi="Times New Roman"/>
                <w:b/>
                <w:i/>
                <w:sz w:val="22"/>
                <w:szCs w:val="22"/>
              </w:rPr>
            </w:pPr>
          </w:p>
        </w:tc>
        <w:tc>
          <w:tcPr>
            <w:tcW w:w="1350" w:type="dxa"/>
          </w:tcPr>
          <w:p w:rsidR="00FA5479" w:rsidRPr="00664B14" w:rsidP="00664B14" w14:paraId="223E1ADB" w14:textId="1E7330BE">
            <w:pPr>
              <w:jc w:val="center"/>
              <w:rPr>
                <w:rFonts w:ascii="Times New Roman" w:hAnsi="Times New Roman"/>
                <w:b/>
                <w:iCs/>
                <w:sz w:val="22"/>
                <w:szCs w:val="22"/>
              </w:rPr>
            </w:pPr>
            <w:r w:rsidRPr="00664B14">
              <w:rPr>
                <w:rFonts w:ascii="Times New Roman" w:hAnsi="Times New Roman"/>
                <w:b/>
                <w:iCs/>
                <w:sz w:val="22"/>
                <w:szCs w:val="22"/>
              </w:rPr>
              <w:t>$79</w:t>
            </w:r>
          </w:p>
        </w:tc>
        <w:tc>
          <w:tcPr>
            <w:tcW w:w="1440" w:type="dxa"/>
            <w:vAlign w:val="center"/>
          </w:tcPr>
          <w:p w:rsidR="00FA5479" w:rsidRPr="008F47CB" w:rsidP="007D4C98" w14:paraId="4398F995" w14:textId="73925F4D">
            <w:pPr>
              <w:jc w:val="center"/>
              <w:rPr>
                <w:rFonts w:ascii="Times New Roman" w:hAnsi="Times New Roman"/>
                <w:b/>
                <w:i/>
                <w:sz w:val="22"/>
                <w:szCs w:val="22"/>
              </w:rPr>
            </w:pPr>
            <w:r>
              <w:rPr>
                <w:rFonts w:ascii="Times New Roman" w:hAnsi="Times New Roman"/>
                <w:b/>
                <w:i/>
                <w:sz w:val="22"/>
                <w:szCs w:val="22"/>
              </w:rPr>
              <w:t>$237,000</w:t>
            </w:r>
          </w:p>
        </w:tc>
      </w:tr>
    </w:tbl>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690F56" w14:paraId="6AC53362" w14:textId="0F6633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There are no program changes or adjustments associated with this information collection.</w:t>
      </w:r>
      <w:r w:rsidR="00DE54C7">
        <w:rPr>
          <w:rFonts w:ascii="Times New Roman" w:hAnsi="Times New Roman"/>
        </w:rPr>
        <w:t xml:space="preserve"> However, the number of respondents has increased over time from 2,500 to 3,000. In addition, wages and postage rates have also increased over time. As a result, these numbers in the paragraphs above have increased, as noted in those paragraphs, and the total costs attributable to this information collection have thus risen with this renewal.</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353592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publication.  </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2071" w:rsidP="00690F56" w14:paraId="3BB9DFB9" w14:textId="51C363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2071">
        <w:rPr>
          <w:rFonts w:ascii="Times New Roman" w:hAnsi="Times New Roman"/>
        </w:rPr>
        <w:t>The results of this collection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61AC" w:rsidRPr="004261AC" w:rsidP="004261AC" w14:paraId="5AE1FF67" w14:textId="6C714B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1AC">
        <w:rPr>
          <w:rFonts w:ascii="Times New Roman" w:hAnsi="Times New Roman"/>
        </w:rPr>
        <w:t xml:space="preserve">ATF </w:t>
      </w:r>
      <w:r w:rsidR="007D4C98">
        <w:rPr>
          <w:rFonts w:ascii="Times New Roman" w:hAnsi="Times New Roman"/>
        </w:rPr>
        <w:t>will</w:t>
      </w:r>
      <w:r w:rsidRPr="004261AC">
        <w:rPr>
          <w:rFonts w:ascii="Times New Roman" w:hAnsi="Times New Roman"/>
        </w:rPr>
        <w:t xml:space="preserve"> display the expiration date for Office of Management and Budget approval of </w:t>
      </w:r>
      <w:r w:rsidRPr="004261AC" w:rsidR="007D4C98">
        <w:rPr>
          <w:rFonts w:ascii="Times New Roman" w:hAnsi="Times New Roman"/>
        </w:rPr>
        <w:t>th</w:t>
      </w:r>
      <w:r w:rsidR="007D4C98">
        <w:rPr>
          <w:rFonts w:ascii="Times New Roman" w:hAnsi="Times New Roman"/>
        </w:rPr>
        <w:t>is</w:t>
      </w:r>
      <w:r w:rsidRPr="004261AC" w:rsidR="007D4C98">
        <w:rPr>
          <w:rFonts w:ascii="Times New Roman" w:hAnsi="Times New Roman"/>
        </w:rPr>
        <w:t xml:space="preserve"> </w:t>
      </w:r>
      <w:r w:rsidRPr="004261AC">
        <w:rPr>
          <w:rFonts w:ascii="Times New Roman" w:hAnsi="Times New Roman"/>
        </w:rPr>
        <w:t>information collection.</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261AC" w:rsidP="000C3A92" w14:paraId="61E2D817" w14:textId="7C2382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261AC">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7FD6986">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0A1D" w14:paraId="2BF28FAA" w14:textId="77777777">
      <w:r>
        <w:separator/>
      </w:r>
    </w:p>
  </w:footnote>
  <w:footnote w:type="continuationSeparator" w:id="1">
    <w:p w:rsidR="00E20A1D" w14:paraId="6A6D9B08" w14:textId="77777777">
      <w:r>
        <w:continuationSeparator/>
      </w:r>
    </w:p>
  </w:footnote>
  <w:footnote w:id="2">
    <w:p w:rsidR="00436DD1" w:rsidRPr="00436DD1" w14:paraId="16525480" w14:textId="05E3515C">
      <w:pPr>
        <w:pStyle w:val="FootnoteText"/>
        <w:rPr>
          <w:rFonts w:ascii="Times New Roman" w:hAnsi="Times New Roman"/>
        </w:rPr>
      </w:pPr>
      <w:r w:rsidRPr="00436DD1">
        <w:rPr>
          <w:rStyle w:val="FootnoteReference"/>
          <w:rFonts w:ascii="Times New Roman" w:hAnsi="Times New Roman"/>
        </w:rPr>
        <w:footnoteRef/>
      </w:r>
      <w:r w:rsidRPr="00436DD1">
        <w:rPr>
          <w:rFonts w:ascii="Times New Roman" w:hAnsi="Times New Roman"/>
        </w:rPr>
        <w:t xml:space="preserve"> </w:t>
      </w:r>
      <w:r w:rsidR="006A2A55">
        <w:rPr>
          <w:rFonts w:ascii="Times New Roman" w:hAnsi="Times New Roman"/>
        </w:rPr>
        <w:t xml:space="preserve">Because respondents who are renewing licenses/permits are already in the explosives industry, ATF used an explosives wage rate to calculate the hourly burden cost. </w:t>
      </w:r>
      <w:r w:rsidRPr="00436DD1">
        <w:rPr>
          <w:rFonts w:ascii="Times New Roman" w:eastAsia="Calibri" w:hAnsi="Times New Roman"/>
        </w:rPr>
        <w:t xml:space="preserve">According to BLS, the wage for </w:t>
      </w:r>
      <w:r w:rsidRPr="00436DD1">
        <w:rPr>
          <w:rFonts w:ascii="Times New Roman" w:hAnsi="Times New Roman"/>
        </w:rPr>
        <w:t xml:space="preserve">Explosives Workers, Ordinance Handling Experts, and Blasters (47-5032) is a nominal average of $31.54. </w:t>
      </w:r>
      <w:r w:rsidRPr="00436DD1">
        <w:rPr>
          <w:rFonts w:ascii="Times New Roman" w:eastAsia="Calibri" w:hAnsi="Times New Roman"/>
        </w:rPr>
        <w:t xml:space="preserve">To account for fringe benefits such as insurance, </w:t>
      </w:r>
      <w:r w:rsidR="00CC47D6">
        <w:rPr>
          <w:rFonts w:ascii="Times New Roman" w:eastAsia="Calibri" w:hAnsi="Times New Roman"/>
        </w:rPr>
        <w:t>ATF</w:t>
      </w:r>
      <w:r w:rsidRPr="00436DD1">
        <w:rPr>
          <w:rFonts w:ascii="Times New Roman" w:eastAsia="Calibri" w:hAnsi="Times New Roman"/>
        </w:rPr>
        <w:t xml:space="preserve"> estimated a private sector load rate by calculating private sector benefits from the BLS (in 2023) and determined that the overall private sector benefits are 41.8 percent in addition to an hourly wage, or a load rate of 1.418. This brings the $31.54 wage to a loaded wage rate of $44.72.</w:t>
      </w:r>
      <w:r w:rsidRPr="00436DD1">
        <w:rPr>
          <w:rFonts w:ascii="Times New Roman" w:hAnsi="Times New Roman"/>
        </w:rPr>
        <w:t xml:space="preserve"> </w:t>
      </w:r>
      <w:r w:rsidR="00CC47D6">
        <w:rPr>
          <w:rFonts w:ascii="Times New Roman" w:eastAsia="Calibri" w:hAnsi="Times New Roman"/>
        </w:rPr>
        <w:t>ATF</w:t>
      </w:r>
      <w:r w:rsidRPr="00436DD1">
        <w:rPr>
          <w:rFonts w:ascii="Times New Roman" w:eastAsia="Calibri" w:hAnsi="Times New Roman"/>
        </w:rPr>
        <w:t xml:space="preserve"> attributes this value per hour to time spent </w:t>
      </w:r>
      <w:r>
        <w:rPr>
          <w:rFonts w:ascii="Times New Roman" w:eastAsia="Calibri" w:hAnsi="Times New Roman"/>
        </w:rPr>
        <w:t>renewing</w:t>
      </w:r>
      <w:r w:rsidRPr="00436DD1">
        <w:rPr>
          <w:rFonts w:ascii="Times New Roman" w:eastAsia="Calibri" w:hAnsi="Times New Roman"/>
        </w:rPr>
        <w:t xml:space="preserve"> a license</w:t>
      </w:r>
      <w:r>
        <w:rPr>
          <w:rFonts w:ascii="Times New Roman" w:eastAsia="Calibri" w:hAnsi="Times New Roman"/>
        </w:rPr>
        <w:t>.</w:t>
      </w:r>
    </w:p>
  </w:footnote>
  <w:footnote w:id="3">
    <w:p w:rsidR="00CC47D6" w:rsidRPr="00FC4B57" w:rsidP="00CC47D6" w14:paraId="16147FB1" w14:textId="316B5C53">
      <w:pPr>
        <w:pStyle w:val="FootnoteText"/>
        <w:rPr>
          <w:rFonts w:ascii="Times New Roman" w:hAnsi="Times New Roman"/>
        </w:rPr>
      </w:pPr>
      <w:r>
        <w:rPr>
          <w:rStyle w:val="FootnoteReference"/>
        </w:rPr>
        <w:footnoteRef/>
      </w:r>
      <w:r>
        <w:t xml:space="preserve"> </w:t>
      </w:r>
      <w:r w:rsidRPr="00FC4B57">
        <w:rPr>
          <w:rFonts w:ascii="Times New Roman" w:hAnsi="Times New Roman"/>
        </w:rPr>
        <w:t xml:space="preserve">According to the Federal Explosives Licensing Center, the average hourly rate for contracting staff, including benefits, is $13.29. </w:t>
      </w:r>
      <w:r w:rsidR="00FC4B57">
        <w:rPr>
          <w:rFonts w:ascii="Times New Roman" w:hAnsi="Times New Roman"/>
        </w:rPr>
        <w:t xml:space="preserve">ATF attributes this wage rate to data entry for applications. </w:t>
      </w:r>
      <w:r w:rsidRPr="00FC4B57">
        <w:rPr>
          <w:rFonts w:ascii="Times New Roman" w:hAnsi="Times New Roman"/>
        </w:rPr>
        <w:t xml:space="preserve">To determine the wage rates for Federal employees, </w:t>
      </w:r>
      <w:r w:rsidR="00FC4B57">
        <w:rPr>
          <w:rFonts w:ascii="Times New Roman" w:hAnsi="Times New Roman"/>
        </w:rPr>
        <w:t>ATF</w:t>
      </w:r>
      <w:r w:rsidRPr="00FC4B57">
        <w:rPr>
          <w:rFonts w:ascii="Times New Roman" w:hAnsi="Times New Roman"/>
        </w:rPr>
        <w:t xml:space="preserve"> used the wage rates set forth in the General Schedule (“GS</w:t>
      </w:r>
      <w:r w:rsidR="00FC4B57">
        <w:rPr>
          <w:rFonts w:ascii="Times New Roman" w:hAnsi="Times New Roman"/>
        </w:rPr>
        <w:t>”), using a mid-range default of step 5</w:t>
      </w:r>
      <w:r w:rsidRPr="00FC4B57">
        <w:rPr>
          <w:rFonts w:ascii="Times New Roman" w:hAnsi="Times New Roman"/>
        </w:rPr>
        <w:t>. Government processing activities such as reviewing and processing applications are typically conducted by a Federal employee at a GS-10 paygrade</w:t>
      </w:r>
      <w:r w:rsidR="00FC4B57">
        <w:rPr>
          <w:rFonts w:ascii="Times New Roman" w:hAnsi="Times New Roman"/>
        </w:rPr>
        <w:t>, with step 5 base pay of $38.85 per hour</w:t>
      </w:r>
      <w:r w:rsidRPr="00FC4B57">
        <w:rPr>
          <w:rFonts w:ascii="Times New Roman" w:hAnsi="Times New Roman"/>
        </w:rPr>
        <w:t>.</w:t>
      </w:r>
      <w:r w:rsidRPr="00FC4B57">
        <w:rPr>
          <w:rFonts w:ascii="Times New Roman" w:eastAsia="Calibri" w:hAnsi="Times New Roman"/>
        </w:rPr>
        <w:t xml:space="preserve"> ATF estimated a government load rate by calculating benefits from the BLS (in 2023). This brings the $38.85 wage to a loaded wage rate of $64.49.</w:t>
      </w:r>
      <w:r w:rsidRPr="00FC4B57">
        <w:rPr>
          <w:rFonts w:ascii="Times New Roman" w:hAnsi="Times New Roman"/>
        </w:rPr>
        <w:t xml:space="preserve"> </w:t>
      </w:r>
      <w:r w:rsidRPr="00FC4B57">
        <w:rPr>
          <w:rFonts w:ascii="Times New Roman" w:eastAsia="Calibri" w:hAnsi="Times New Roman"/>
        </w:rPr>
        <w:t>ATF attributes this value per hour to time spent reviewing and processing an application.</w:t>
      </w:r>
    </w:p>
    <w:p w:rsidR="00CC47D6" w:rsidRPr="00FC4B57" w14:paraId="6B5CC66F" w14:textId="2B73702F">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287" w14:paraId="16F405A1" w14:textId="2A018061">
    <w:pPr>
      <w:pStyle w:val="Header"/>
      <w:rPr>
        <w:rFonts w:ascii="Times New Roman" w:hAnsi="Times New Roman"/>
        <w:sz w:val="20"/>
        <w:szCs w:val="20"/>
      </w:rPr>
    </w:pPr>
    <w:r w:rsidRPr="00FB1287">
      <w:rPr>
        <w:rFonts w:ascii="Times New Roman" w:hAnsi="Times New Roman"/>
        <w:bCs/>
        <w:sz w:val="20"/>
        <w:szCs w:val="20"/>
      </w:rPr>
      <w:t xml:space="preserve">Federal Explosives License/Permit </w:t>
    </w:r>
    <w:r w:rsidR="00522F7C">
      <w:rPr>
        <w:rFonts w:ascii="Times New Roman" w:hAnsi="Times New Roman"/>
        <w:bCs/>
        <w:sz w:val="20"/>
        <w:szCs w:val="20"/>
      </w:rPr>
      <w:t xml:space="preserve">(FEL/P) </w:t>
    </w:r>
    <w:r w:rsidRPr="00FB1287">
      <w:rPr>
        <w:rFonts w:ascii="Times New Roman" w:hAnsi="Times New Roman"/>
        <w:bCs/>
        <w:sz w:val="20"/>
        <w:szCs w:val="20"/>
      </w:rPr>
      <w:t xml:space="preserve">Renewal Application </w:t>
    </w:r>
    <w:r w:rsidR="0071749C">
      <w:rPr>
        <w:rFonts w:ascii="Times New Roman" w:hAnsi="Times New Roman"/>
        <w:sz w:val="20"/>
        <w:szCs w:val="20"/>
      </w:rPr>
      <w:t xml:space="preserve">OMB </w:t>
    </w:r>
  </w:p>
  <w:p w:rsidR="00EC0B43" w14:paraId="52F50703" w14:textId="3A759A51">
    <w:pPr>
      <w:pStyle w:val="Header"/>
      <w:rPr>
        <w:rFonts w:ascii="Times New Roman" w:hAnsi="Times New Roman"/>
        <w:sz w:val="20"/>
        <w:szCs w:val="20"/>
      </w:rPr>
    </w:pPr>
    <w:r>
      <w:rPr>
        <w:rFonts w:ascii="Times New Roman" w:hAnsi="Times New Roman"/>
        <w:sz w:val="20"/>
        <w:szCs w:val="20"/>
      </w:rPr>
      <w:t xml:space="preserve">Control </w:t>
    </w:r>
    <w:r w:rsidR="006E1A08">
      <w:rPr>
        <w:rFonts w:ascii="Times New Roman" w:hAnsi="Times New Roman"/>
        <w:sz w:val="20"/>
        <w:szCs w:val="20"/>
      </w:rPr>
      <w:t>Number</w:t>
    </w:r>
    <w:r w:rsidR="006626FF">
      <w:rPr>
        <w:rFonts w:ascii="Times New Roman" w:hAnsi="Times New Roman"/>
        <w:sz w:val="20"/>
        <w:szCs w:val="20"/>
      </w:rPr>
      <w:t xml:space="preserve"> </w:t>
    </w:r>
    <w:r w:rsidR="00FB1287">
      <w:rPr>
        <w:rFonts w:ascii="Times New Roman" w:hAnsi="Times New Roman"/>
        <w:sz w:val="20"/>
        <w:szCs w:val="20"/>
      </w:rPr>
      <w:t>1140-0022</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9C53A9"/>
    <w:multiLevelType w:val="hybridMultilevel"/>
    <w:tmpl w:val="8FB6D14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200E5C"/>
    <w:multiLevelType w:val="hybridMultilevel"/>
    <w:tmpl w:val="0F6E6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1"/>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2"/>
  </w:num>
  <w:num w:numId="11" w16cid:durableId="1904831391">
    <w:abstractNumId w:val="7"/>
  </w:num>
  <w:num w:numId="12" w16cid:durableId="1478107046">
    <w:abstractNumId w:val="10"/>
  </w:num>
  <w:num w:numId="13" w16cid:durableId="1542084800">
    <w:abstractNumId w:val="6"/>
  </w:num>
  <w:num w:numId="14" w16cid:durableId="136800702">
    <w:abstractNumId w:val="14"/>
  </w:num>
  <w:num w:numId="15" w16cid:durableId="1217090383">
    <w:abstractNumId w:val="8"/>
  </w:num>
  <w:num w:numId="16" w16cid:durableId="921449389">
    <w:abstractNumId w:val="9"/>
  </w:num>
  <w:num w:numId="17" w16cid:durableId="128014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778EA"/>
    <w:rsid w:val="00180E5A"/>
    <w:rsid w:val="00184461"/>
    <w:rsid w:val="00192711"/>
    <w:rsid w:val="001A47D9"/>
    <w:rsid w:val="001A74F7"/>
    <w:rsid w:val="001B0167"/>
    <w:rsid w:val="001B4BB9"/>
    <w:rsid w:val="001C39F6"/>
    <w:rsid w:val="001D10ED"/>
    <w:rsid w:val="001D2D09"/>
    <w:rsid w:val="001D67BB"/>
    <w:rsid w:val="001D7CF1"/>
    <w:rsid w:val="001E0E7F"/>
    <w:rsid w:val="001E2932"/>
    <w:rsid w:val="001E3596"/>
    <w:rsid w:val="001E5213"/>
    <w:rsid w:val="001F056F"/>
    <w:rsid w:val="001F2E8E"/>
    <w:rsid w:val="001F552E"/>
    <w:rsid w:val="002036A1"/>
    <w:rsid w:val="0020555C"/>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C5D88"/>
    <w:rsid w:val="002D3963"/>
    <w:rsid w:val="002E238B"/>
    <w:rsid w:val="002E4200"/>
    <w:rsid w:val="002E6DF9"/>
    <w:rsid w:val="002E6F9C"/>
    <w:rsid w:val="002F3BB8"/>
    <w:rsid w:val="00304132"/>
    <w:rsid w:val="00304EAD"/>
    <w:rsid w:val="00312124"/>
    <w:rsid w:val="00313820"/>
    <w:rsid w:val="00313AC0"/>
    <w:rsid w:val="00322C1B"/>
    <w:rsid w:val="0032342C"/>
    <w:rsid w:val="0032649A"/>
    <w:rsid w:val="00327FA3"/>
    <w:rsid w:val="00332F98"/>
    <w:rsid w:val="0033578D"/>
    <w:rsid w:val="00341F64"/>
    <w:rsid w:val="003430A6"/>
    <w:rsid w:val="003448FC"/>
    <w:rsid w:val="003548D8"/>
    <w:rsid w:val="00363CC2"/>
    <w:rsid w:val="00370C9A"/>
    <w:rsid w:val="00371EEC"/>
    <w:rsid w:val="00381A49"/>
    <w:rsid w:val="003829B1"/>
    <w:rsid w:val="003876F3"/>
    <w:rsid w:val="00390426"/>
    <w:rsid w:val="003908B9"/>
    <w:rsid w:val="0039276D"/>
    <w:rsid w:val="00394AEB"/>
    <w:rsid w:val="00396975"/>
    <w:rsid w:val="003A4476"/>
    <w:rsid w:val="003A6353"/>
    <w:rsid w:val="003B2F28"/>
    <w:rsid w:val="003C13C6"/>
    <w:rsid w:val="003D5958"/>
    <w:rsid w:val="003D5A3C"/>
    <w:rsid w:val="003D6AC7"/>
    <w:rsid w:val="003E15A0"/>
    <w:rsid w:val="003E49A6"/>
    <w:rsid w:val="003E5E34"/>
    <w:rsid w:val="003E6021"/>
    <w:rsid w:val="003F190C"/>
    <w:rsid w:val="003F53FB"/>
    <w:rsid w:val="00400B4D"/>
    <w:rsid w:val="00401F18"/>
    <w:rsid w:val="00403B06"/>
    <w:rsid w:val="004056B7"/>
    <w:rsid w:val="00410AC8"/>
    <w:rsid w:val="00414664"/>
    <w:rsid w:val="004172C1"/>
    <w:rsid w:val="00423E3A"/>
    <w:rsid w:val="004261AC"/>
    <w:rsid w:val="004328D9"/>
    <w:rsid w:val="00435E05"/>
    <w:rsid w:val="00436DD1"/>
    <w:rsid w:val="0043771F"/>
    <w:rsid w:val="00442410"/>
    <w:rsid w:val="00443460"/>
    <w:rsid w:val="0044773C"/>
    <w:rsid w:val="00461B8A"/>
    <w:rsid w:val="004672B5"/>
    <w:rsid w:val="00482071"/>
    <w:rsid w:val="004844D1"/>
    <w:rsid w:val="0048559D"/>
    <w:rsid w:val="0049001D"/>
    <w:rsid w:val="00494A93"/>
    <w:rsid w:val="00494D75"/>
    <w:rsid w:val="004A1763"/>
    <w:rsid w:val="004B1E83"/>
    <w:rsid w:val="004D1C78"/>
    <w:rsid w:val="004D3162"/>
    <w:rsid w:val="004D441E"/>
    <w:rsid w:val="004D46D1"/>
    <w:rsid w:val="004D6DB9"/>
    <w:rsid w:val="004E1D9E"/>
    <w:rsid w:val="004E5B39"/>
    <w:rsid w:val="00501A15"/>
    <w:rsid w:val="005164DC"/>
    <w:rsid w:val="00522B8D"/>
    <w:rsid w:val="00522F7C"/>
    <w:rsid w:val="0052585C"/>
    <w:rsid w:val="00530EBD"/>
    <w:rsid w:val="00552E72"/>
    <w:rsid w:val="005622FE"/>
    <w:rsid w:val="00565A55"/>
    <w:rsid w:val="00567912"/>
    <w:rsid w:val="00570098"/>
    <w:rsid w:val="005805E7"/>
    <w:rsid w:val="005825A4"/>
    <w:rsid w:val="00583F5D"/>
    <w:rsid w:val="0058424C"/>
    <w:rsid w:val="00584F8D"/>
    <w:rsid w:val="005A01F1"/>
    <w:rsid w:val="005A0350"/>
    <w:rsid w:val="005A3AA3"/>
    <w:rsid w:val="005A7D9E"/>
    <w:rsid w:val="005B2697"/>
    <w:rsid w:val="005B5990"/>
    <w:rsid w:val="005C6147"/>
    <w:rsid w:val="005D5F8C"/>
    <w:rsid w:val="005E5148"/>
    <w:rsid w:val="0060114B"/>
    <w:rsid w:val="00603D01"/>
    <w:rsid w:val="00603D4A"/>
    <w:rsid w:val="00611DE2"/>
    <w:rsid w:val="00614A1C"/>
    <w:rsid w:val="006227B3"/>
    <w:rsid w:val="00627B1F"/>
    <w:rsid w:val="00642220"/>
    <w:rsid w:val="0065148D"/>
    <w:rsid w:val="00652ED1"/>
    <w:rsid w:val="006626FF"/>
    <w:rsid w:val="00664B14"/>
    <w:rsid w:val="006650A8"/>
    <w:rsid w:val="0067772C"/>
    <w:rsid w:val="00683A96"/>
    <w:rsid w:val="00685435"/>
    <w:rsid w:val="00687746"/>
    <w:rsid w:val="00690F56"/>
    <w:rsid w:val="006A2A55"/>
    <w:rsid w:val="006A4637"/>
    <w:rsid w:val="006C39F8"/>
    <w:rsid w:val="006E1A08"/>
    <w:rsid w:val="006E29C4"/>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42A82"/>
    <w:rsid w:val="00753389"/>
    <w:rsid w:val="00755761"/>
    <w:rsid w:val="007636EC"/>
    <w:rsid w:val="00767D37"/>
    <w:rsid w:val="00774503"/>
    <w:rsid w:val="007754A0"/>
    <w:rsid w:val="00777CD2"/>
    <w:rsid w:val="00780272"/>
    <w:rsid w:val="0078038F"/>
    <w:rsid w:val="0078153B"/>
    <w:rsid w:val="00785FE9"/>
    <w:rsid w:val="00786E04"/>
    <w:rsid w:val="007A7F79"/>
    <w:rsid w:val="007B119B"/>
    <w:rsid w:val="007C124D"/>
    <w:rsid w:val="007D46C2"/>
    <w:rsid w:val="007D4C98"/>
    <w:rsid w:val="007E3065"/>
    <w:rsid w:val="007F3B38"/>
    <w:rsid w:val="007F3C02"/>
    <w:rsid w:val="0080136B"/>
    <w:rsid w:val="00802605"/>
    <w:rsid w:val="00802A30"/>
    <w:rsid w:val="008043E5"/>
    <w:rsid w:val="00804A1A"/>
    <w:rsid w:val="0081073D"/>
    <w:rsid w:val="00813CC0"/>
    <w:rsid w:val="008323ED"/>
    <w:rsid w:val="00835955"/>
    <w:rsid w:val="00837953"/>
    <w:rsid w:val="00846701"/>
    <w:rsid w:val="008624D5"/>
    <w:rsid w:val="00871CA6"/>
    <w:rsid w:val="00882AB5"/>
    <w:rsid w:val="00882B1D"/>
    <w:rsid w:val="0088672C"/>
    <w:rsid w:val="008A1F0C"/>
    <w:rsid w:val="008A40D1"/>
    <w:rsid w:val="008B3128"/>
    <w:rsid w:val="008B541B"/>
    <w:rsid w:val="008B6945"/>
    <w:rsid w:val="008C656B"/>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42C3"/>
    <w:rsid w:val="00A15094"/>
    <w:rsid w:val="00A2076F"/>
    <w:rsid w:val="00A217C3"/>
    <w:rsid w:val="00A21F98"/>
    <w:rsid w:val="00A2391E"/>
    <w:rsid w:val="00A33AAC"/>
    <w:rsid w:val="00A41C21"/>
    <w:rsid w:val="00A47DA7"/>
    <w:rsid w:val="00A52DE7"/>
    <w:rsid w:val="00A55023"/>
    <w:rsid w:val="00A55DFB"/>
    <w:rsid w:val="00A56B86"/>
    <w:rsid w:val="00A632EF"/>
    <w:rsid w:val="00A677E9"/>
    <w:rsid w:val="00A740AB"/>
    <w:rsid w:val="00A834BF"/>
    <w:rsid w:val="00A837A2"/>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853FF"/>
    <w:rsid w:val="00B9439C"/>
    <w:rsid w:val="00B96E43"/>
    <w:rsid w:val="00BA6A42"/>
    <w:rsid w:val="00BA6C9C"/>
    <w:rsid w:val="00BB1DEF"/>
    <w:rsid w:val="00BB2AA1"/>
    <w:rsid w:val="00BB3BEF"/>
    <w:rsid w:val="00BC5F22"/>
    <w:rsid w:val="00BD21CA"/>
    <w:rsid w:val="00BD34F2"/>
    <w:rsid w:val="00BF0E96"/>
    <w:rsid w:val="00C02E4A"/>
    <w:rsid w:val="00C05B4B"/>
    <w:rsid w:val="00C05B88"/>
    <w:rsid w:val="00C07F7F"/>
    <w:rsid w:val="00C12530"/>
    <w:rsid w:val="00C14429"/>
    <w:rsid w:val="00C1618E"/>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47D6"/>
    <w:rsid w:val="00CC770C"/>
    <w:rsid w:val="00CD215D"/>
    <w:rsid w:val="00CD4F92"/>
    <w:rsid w:val="00CD6628"/>
    <w:rsid w:val="00CE2630"/>
    <w:rsid w:val="00D00B48"/>
    <w:rsid w:val="00D14741"/>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C7216"/>
    <w:rsid w:val="00DD6DF0"/>
    <w:rsid w:val="00DE54C7"/>
    <w:rsid w:val="00DF214F"/>
    <w:rsid w:val="00DF5181"/>
    <w:rsid w:val="00E0031C"/>
    <w:rsid w:val="00E0138A"/>
    <w:rsid w:val="00E06430"/>
    <w:rsid w:val="00E13DE5"/>
    <w:rsid w:val="00E163CF"/>
    <w:rsid w:val="00E20A1D"/>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061D"/>
    <w:rsid w:val="00EE139B"/>
    <w:rsid w:val="00EE2223"/>
    <w:rsid w:val="00EF70DB"/>
    <w:rsid w:val="00F11AA8"/>
    <w:rsid w:val="00F11D50"/>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87583"/>
    <w:rsid w:val="00F935EE"/>
    <w:rsid w:val="00F96885"/>
    <w:rsid w:val="00FA3D8C"/>
    <w:rsid w:val="00FA5479"/>
    <w:rsid w:val="00FB026D"/>
    <w:rsid w:val="00FB1287"/>
    <w:rsid w:val="00FB587F"/>
    <w:rsid w:val="00FC4B57"/>
    <w:rsid w:val="00FD35DD"/>
    <w:rsid w:val="00FD5326"/>
    <w:rsid w:val="00FF3E0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F2744CC8-EFD6-4D9C-8031-0B95E5CF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uiPriority w:val="99"/>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c3267d-a575-4c25-801d-7b3c95256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B9251C876EDF40880DC5C0F87BA47B" ma:contentTypeVersion="16" ma:contentTypeDescription="Create a new document." ma:contentTypeScope="" ma:versionID="03631c81c2e33f8ce9673cc23b3e9146">
  <xsd:schema xmlns:xsd="http://www.w3.org/2001/XMLSchema" xmlns:xs="http://www.w3.org/2001/XMLSchema" xmlns:p="http://schemas.microsoft.com/office/2006/metadata/properties" xmlns:ns3="bec3267d-a575-4c25-801d-7b3c95256844" xmlns:ns4="06a94fb4-66cf-400c-91f8-04d5786ed266" targetNamespace="http://schemas.microsoft.com/office/2006/metadata/properties" ma:root="true" ma:fieldsID="5d49627c4bc40bc26a0d4dda540d23ee" ns3:_="" ns4:_="">
    <xsd:import namespace="bec3267d-a575-4c25-801d-7b3c95256844"/>
    <xsd:import namespace="06a94fb4-66cf-400c-91f8-04d5786ed2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3267d-a575-4c25-801d-7b3c9525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94fb4-66cf-400c-91f8-04d5786ed2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09EE3-A64E-48BD-A0D5-C55F35B6C9C1}">
  <ds:schemaRefs>
    <ds:schemaRef ds:uri="http://schemas.microsoft.com/office/2006/metadata/properties"/>
    <ds:schemaRef ds:uri="http://schemas.microsoft.com/office/infopath/2007/PartnerControls"/>
    <ds:schemaRef ds:uri="bec3267d-a575-4c25-801d-7b3c95256844"/>
  </ds:schemaRefs>
</ds:datastoreItem>
</file>

<file path=customXml/itemProps2.xml><?xml version="1.0" encoding="utf-8"?>
<ds:datastoreItem xmlns:ds="http://schemas.openxmlformats.org/officeDocument/2006/customXml" ds:itemID="{2D53E15C-C8F1-4EB6-9B24-D20A64B7A0C6}">
  <ds:schemaRefs>
    <ds:schemaRef ds:uri="http://schemas.microsoft.com/sharepoint/v3/contenttype/forms"/>
  </ds:schemaRefs>
</ds:datastoreItem>
</file>

<file path=customXml/itemProps3.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4.xml><?xml version="1.0" encoding="utf-8"?>
<ds:datastoreItem xmlns:ds="http://schemas.openxmlformats.org/officeDocument/2006/customXml" ds:itemID="{336133F7-4777-429A-AD63-39FB90D7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3267d-a575-4c25-801d-7b3c95256844"/>
    <ds:schemaRef ds:uri="06a94fb4-66cf-400c-91f8-04d5786ed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1964</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2</cp:revision>
  <cp:lastPrinted>2020-02-19T15:46:00Z</cp:lastPrinted>
  <dcterms:created xsi:type="dcterms:W3CDTF">2025-10-28T17:09:00Z</dcterms:created>
  <dcterms:modified xsi:type="dcterms:W3CDTF">2025-10-28T17:09:00Z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0x010100B3B9251C876EDF40880DC5C0F87BA47B</vt:lpwstr>
  </property>
</Properties>
</file>