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6145" w14:paraId="40A97BE3" w14:textId="0687C525">
      <w:pPr>
        <w:jc w:val="center"/>
        <w:outlineLvl w:val="0"/>
      </w:pPr>
      <w:smartTag w:uri="urn:schemas-microsoft-com:office:smarttags" w:element="place">
        <w:smartTag w:uri="urn:schemas-microsoft-com:office:smarttags" w:element="country-region">
          <w:r>
            <w:t>U.S.</w:t>
          </w:r>
        </w:smartTag>
      </w:smartTag>
      <w:r>
        <w:t xml:space="preserve"> </w:t>
      </w:r>
      <w:r w:rsidR="0061746C">
        <w:t>Department</w:t>
      </w:r>
      <w:r>
        <w:t xml:space="preserve"> </w:t>
      </w:r>
      <w:r w:rsidR="0061746C">
        <w:t>of</w:t>
      </w:r>
      <w:r>
        <w:t xml:space="preserve"> </w:t>
      </w:r>
      <w:r w:rsidR="0061746C">
        <w:t>Justice</w:t>
      </w:r>
    </w:p>
    <w:p w:rsidR="00186145" w14:paraId="41028390" w14:textId="23704007">
      <w:pPr>
        <w:jc w:val="center"/>
        <w:outlineLvl w:val="0"/>
      </w:pPr>
      <w:r>
        <w:t>Bureau of</w:t>
      </w:r>
      <w:r>
        <w:t xml:space="preserve"> </w:t>
      </w:r>
      <w:r>
        <w:t>Alcohol, Tobacco, Firearms</w:t>
      </w:r>
      <w:r w:rsidR="2E0C3C9F">
        <w:t>,</w:t>
      </w:r>
      <w:r>
        <w:t xml:space="preserve"> and</w:t>
      </w:r>
      <w:r>
        <w:t xml:space="preserve"> </w:t>
      </w:r>
      <w:r>
        <w:t>Explosives</w:t>
      </w:r>
      <w:r w:rsidR="69E25374">
        <w:t xml:space="preserve"> (ATF)</w:t>
      </w:r>
    </w:p>
    <w:p w:rsidR="00186145" w14:paraId="187E0BD3" w14:textId="0A708221">
      <w:pPr>
        <w:jc w:val="center"/>
        <w:outlineLvl w:val="0"/>
      </w:pPr>
      <w:r>
        <w:t>I</w:t>
      </w:r>
      <w:r w:rsidR="0061746C">
        <w:t>nformation Collection Request</w:t>
      </w:r>
      <w:r w:rsidR="05421DCB">
        <w:t xml:space="preserve"> (ICR)</w:t>
      </w:r>
    </w:p>
    <w:p w:rsidR="0036513D" w14:paraId="0C2833C4" w14:textId="77777777">
      <w:pPr>
        <w:jc w:val="center"/>
        <w:outlineLvl w:val="0"/>
      </w:pPr>
      <w:r>
        <w:t>OMB 1140-0094</w:t>
      </w:r>
    </w:p>
    <w:p w:rsidR="00403818" w:rsidRPr="009B47DA" w14:paraId="7FE1C737" w14:textId="66592CAF">
      <w:pPr>
        <w:jc w:val="center"/>
        <w:rPr>
          <w:b/>
          <w:bCs/>
        </w:rPr>
      </w:pPr>
      <w:r w:rsidRPr="009B47DA">
        <w:rPr>
          <w:b/>
          <w:bCs/>
        </w:rPr>
        <w:t>Certifying</w:t>
      </w:r>
      <w:r w:rsidRPr="009B47DA" w:rsidR="00531DA4">
        <w:rPr>
          <w:b/>
          <w:bCs/>
        </w:rPr>
        <w:t xml:space="preserve"> </w:t>
      </w:r>
      <w:r w:rsidRPr="009B47DA" w:rsidR="0061746C">
        <w:rPr>
          <w:b/>
          <w:bCs/>
        </w:rPr>
        <w:t>Qualifying State Relief from</w:t>
      </w:r>
      <w:r w:rsidRPr="009B47DA" w:rsidR="00A451BB">
        <w:rPr>
          <w:b/>
          <w:bCs/>
        </w:rPr>
        <w:t xml:space="preserve"> </w:t>
      </w:r>
      <w:r w:rsidRPr="009B47DA" w:rsidR="0061746C">
        <w:rPr>
          <w:b/>
          <w:bCs/>
          <w:sz w:val="22"/>
          <w:szCs w:val="22"/>
        </w:rPr>
        <w:t>Disabilities Program</w:t>
      </w:r>
    </w:p>
    <w:p w:rsidR="00186145" w14:paraId="7D56AF68" w14:textId="3257DE9D">
      <w:pPr>
        <w:jc w:val="center"/>
      </w:pPr>
      <w:r>
        <w:t>(</w:t>
      </w:r>
      <w:r w:rsidR="00A451BB">
        <w:t xml:space="preserve">ATF </w:t>
      </w:r>
      <w:r w:rsidR="00CE2A45">
        <w:t>Form</w:t>
      </w:r>
      <w:r w:rsidR="00A451BB">
        <w:t xml:space="preserve"> 3210.12</w:t>
      </w:r>
      <w:r>
        <w:t>)</w:t>
      </w:r>
    </w:p>
    <w:p w:rsidR="00E2243B" w14:paraId="43EEA20A" w14:textId="77777777">
      <w:pPr>
        <w:jc w:val="center"/>
      </w:pPr>
    </w:p>
    <w:p w:rsidR="009F2D35" w:rsidRPr="005A2AFB" w14:paraId="2EEB08A2" w14:textId="376AA31F">
      <w:pPr>
        <w:jc w:val="center"/>
        <w:rPr>
          <w:b/>
        </w:rPr>
      </w:pPr>
      <w:r w:rsidRPr="005A2AFB">
        <w:rPr>
          <w:b/>
        </w:rPr>
        <w:t>SUPPORTING STATEMENT</w:t>
      </w:r>
    </w:p>
    <w:p w:rsidR="00186145" w14:paraId="01941462" w14:textId="77777777"/>
    <w:p w:rsidR="00186145" w:rsidRPr="00156E16" w:rsidP="005A2AFB" w14:paraId="28DEA0C9" w14:textId="77777777">
      <w:pPr>
        <w:numPr>
          <w:ilvl w:val="0"/>
          <w:numId w:val="2"/>
        </w:numPr>
        <w:ind w:left="0" w:firstLine="0"/>
        <w:rPr>
          <w:b/>
          <w:bCs/>
        </w:rPr>
      </w:pPr>
      <w:r w:rsidRPr="00156E16">
        <w:rPr>
          <w:b/>
          <w:bCs/>
        </w:rPr>
        <w:t>JUSTIFICATION</w:t>
      </w:r>
    </w:p>
    <w:p w:rsidR="00186145" w:rsidP="005A2AFB" w14:paraId="7FCB06CC" w14:textId="77777777"/>
    <w:p w:rsidR="009C38A6" w:rsidRPr="009C38A6" w:rsidP="005A2AFB" w14:paraId="13D7AAA7" w14:textId="00340101">
      <w:pPr>
        <w:rPr>
          <w:u w:val="single"/>
        </w:rPr>
      </w:pPr>
      <w:r>
        <w:rPr>
          <w:b/>
          <w:bCs/>
        </w:rPr>
        <w:t xml:space="preserve">1. </w:t>
      </w:r>
      <w:r w:rsidRPr="005A2AFB" w:rsidR="00B12824">
        <w:rPr>
          <w:b/>
          <w:bCs/>
        </w:rPr>
        <w:t>Explain</w:t>
      </w:r>
      <w:r w:rsidRPr="005A2AFB" w:rsidR="00B12824">
        <w:rPr>
          <w:b/>
        </w:rPr>
        <w:t xml:space="preserve"> the circumstances that make the information collection necessary</w:t>
      </w:r>
      <w:r w:rsidRPr="005A2AFB" w:rsidR="008642EA">
        <w:rPr>
          <w:b/>
        </w:rPr>
        <w:t>.</w:t>
      </w:r>
    </w:p>
    <w:p w:rsidR="00437EB1" w:rsidRPr="005A2AFB" w:rsidP="005A2AFB" w14:paraId="685D6E8F" w14:textId="77777777"/>
    <w:p w:rsidR="003A344D" w:rsidP="005A2AFB" w14:paraId="5249E50D" w14:textId="7EEF5ABA">
      <w:r>
        <w:t xml:space="preserve">Information about the mental health history of </w:t>
      </w:r>
      <w:r w:rsidR="00FA75D7">
        <w:t xml:space="preserve">the </w:t>
      </w:r>
      <w:r>
        <w:t xml:space="preserve">perpetrator </w:t>
      </w:r>
      <w:r w:rsidR="009D5363">
        <w:t xml:space="preserve">of the April 2007 shooting tragedy at </w:t>
      </w:r>
      <w:r>
        <w:t xml:space="preserve">Virginia Tech was </w:t>
      </w:r>
      <w:r w:rsidR="00FB5171">
        <w:t>unavailable</w:t>
      </w:r>
      <w:r>
        <w:t xml:space="preserve"> to the National Instant Background Che</w:t>
      </w:r>
      <w:r w:rsidR="0076721B">
        <w:t>ck</w:t>
      </w:r>
      <w:r>
        <w:t xml:space="preserve"> System (NICS)</w:t>
      </w:r>
      <w:r w:rsidR="00FB5171">
        <w:t xml:space="preserve"> </w:t>
      </w:r>
      <w:r w:rsidR="00093997">
        <w:t xml:space="preserve">to facilitate </w:t>
      </w:r>
      <w:r w:rsidR="008144EE">
        <w:t xml:space="preserve">denying </w:t>
      </w:r>
      <w:r w:rsidR="00890DFD">
        <w:t>purchase</w:t>
      </w:r>
      <w:r w:rsidR="00093997">
        <w:t xml:space="preserve"> of the</w:t>
      </w:r>
      <w:r>
        <w:t xml:space="preserve"> firearms used in the shooting. The </w:t>
      </w:r>
      <w:r w:rsidR="0042799A">
        <w:t>National Instant Check System Improvement Act of 2007 (NIAA), Public Law (Pub. L.) 110-180</w:t>
      </w:r>
      <w:r>
        <w:t xml:space="preserve"> </w:t>
      </w:r>
      <w:r w:rsidR="00890DFD">
        <w:t xml:space="preserve">sought </w:t>
      </w:r>
      <w:r>
        <w:t>to address the gap in information about mental heal</w:t>
      </w:r>
      <w:r w:rsidR="0076721B">
        <w:t>th</w:t>
      </w:r>
      <w:r>
        <w:t xml:space="preserve"> adjudications and commitments</w:t>
      </w:r>
      <w:r w:rsidR="00890DFD">
        <w:t xml:space="preserve"> that would prohibit purchase of a firearm</w:t>
      </w:r>
      <w:r>
        <w:t>, as well as other records of prohibited persons.</w:t>
      </w:r>
    </w:p>
    <w:p w:rsidR="004F5BAA" w:rsidP="005A2AFB" w14:paraId="77E51456" w14:textId="77777777"/>
    <w:p w:rsidR="004F5BAA" w:rsidP="005A2AFB" w14:paraId="79E0B1D8" w14:textId="2827F848">
      <w:r>
        <w:t xml:space="preserve">The NIAA </w:t>
      </w:r>
      <w:r w:rsidR="0005247A">
        <w:t>provides grants</w:t>
      </w:r>
      <w:r>
        <w:t xml:space="preserve"> </w:t>
      </w:r>
      <w:r w:rsidR="0005247A">
        <w:t>supporting</w:t>
      </w:r>
      <w:r>
        <w:t xml:space="preserve"> </w:t>
      </w:r>
      <w:r w:rsidR="00890DFD">
        <w:t>s</w:t>
      </w:r>
      <w:r w:rsidR="00CE2A45">
        <w:t xml:space="preserve">tate initiatives </w:t>
      </w:r>
      <w:r>
        <w:t xml:space="preserve">to improve the quality and completeness of criminal record information available to NICS. </w:t>
      </w:r>
      <w:r w:rsidR="005D3856">
        <w:t>An</w:t>
      </w:r>
      <w:r>
        <w:t xml:space="preserve"> applicant</w:t>
      </w:r>
      <w:r w:rsidR="00CA6672">
        <w:t xml:space="preserve"> </w:t>
      </w:r>
      <w:r w:rsidR="00890DFD">
        <w:t>s</w:t>
      </w:r>
      <w:r>
        <w:t>tate must satisfy certain conditions before being eligible to receive a grant.</w:t>
      </w:r>
      <w:r w:rsidR="00CE2A45">
        <w:t xml:space="preserve"> </w:t>
      </w:r>
      <w:r w:rsidR="005D3856">
        <w:t>An authorized</w:t>
      </w:r>
      <w:r>
        <w:t xml:space="preserve"> </w:t>
      </w:r>
      <w:r w:rsidR="00890DFD">
        <w:t>s</w:t>
      </w:r>
      <w:r w:rsidR="00CA6672">
        <w:t xml:space="preserve">tate </w:t>
      </w:r>
      <w:r w:rsidR="00CE2A45">
        <w:t xml:space="preserve">official </w:t>
      </w:r>
      <w:r>
        <w:t xml:space="preserve">must provide the Department of Justice with reasonable estimates </w:t>
      </w:r>
      <w:r w:rsidR="00FB5171">
        <w:t xml:space="preserve">about </w:t>
      </w:r>
      <w:r>
        <w:t xml:space="preserve">certain categories of available records in the </w:t>
      </w:r>
      <w:r w:rsidR="00890DFD">
        <w:t>s</w:t>
      </w:r>
      <w:r w:rsidR="00CE2A45">
        <w:t xml:space="preserve">tate </w:t>
      </w:r>
      <w:r>
        <w:t xml:space="preserve">over a </w:t>
      </w:r>
      <w:r w:rsidR="00093997">
        <w:t>20-year</w:t>
      </w:r>
      <w:r>
        <w:t xml:space="preserve"> period. Second, the </w:t>
      </w:r>
      <w:r w:rsidR="00890DFD">
        <w:t>s</w:t>
      </w:r>
      <w:r w:rsidR="00CA6672">
        <w:t>tate</w:t>
      </w:r>
      <w:r w:rsidR="00972F73">
        <w:t xml:space="preserve"> official</w:t>
      </w:r>
      <w:r w:rsidR="00CA6672">
        <w:t xml:space="preserve"> </w:t>
      </w:r>
      <w:r>
        <w:t xml:space="preserve">must certify to </w:t>
      </w:r>
      <w:r w:rsidR="00902DBD">
        <w:t xml:space="preserve">ATF’s </w:t>
      </w:r>
      <w:r>
        <w:t xml:space="preserve">satisfaction that </w:t>
      </w:r>
      <w:r w:rsidR="00902DBD">
        <w:t>the state</w:t>
      </w:r>
      <w:r>
        <w:t xml:space="preserve"> has implemented a qualifying program permitting person</w:t>
      </w:r>
      <w:r w:rsidR="00227F3F">
        <w:t>s</w:t>
      </w:r>
      <w:r>
        <w:t xml:space="preserve"> who were adjudicated as a mental defective</w:t>
      </w:r>
      <w:r w:rsidR="00B1239F">
        <w:t>,</w:t>
      </w:r>
      <w:r>
        <w:t xml:space="preserve"> or committed to a mental institution</w:t>
      </w:r>
      <w:r w:rsidR="00093997">
        <w:t>,</w:t>
      </w:r>
      <w:r>
        <w:t xml:space="preserve"> to apply for relief from the </w:t>
      </w:r>
      <w:r w:rsidR="00890DFD">
        <w:t>f</w:t>
      </w:r>
      <w:r>
        <w:t xml:space="preserve">ederal firearms disabilities imposed </w:t>
      </w:r>
      <w:r w:rsidR="00CA6672">
        <w:t>because</w:t>
      </w:r>
      <w:r>
        <w:t xml:space="preserve"> of the</w:t>
      </w:r>
      <w:r w:rsidR="00972F73">
        <w:t>ir</w:t>
      </w:r>
      <w:r>
        <w:t xml:space="preserve"> adjudication or commitment.  </w:t>
      </w:r>
    </w:p>
    <w:p w:rsidR="00DB0D8B" w:rsidP="00416F61" w14:paraId="3C13ACCC" w14:textId="77777777"/>
    <w:p w:rsidR="00186145" w:rsidRPr="005A2AFB" w:rsidP="005A2AFB" w14:paraId="59D8D55D" w14:textId="52A3D105">
      <w:pPr>
        <w:rPr>
          <w:b/>
          <w:u w:val="single"/>
        </w:rPr>
      </w:pPr>
      <w:r w:rsidRPr="005A2AFB">
        <w:rPr>
          <w:b/>
          <w:bCs/>
        </w:rPr>
        <w:t xml:space="preserve">2. </w:t>
      </w:r>
      <w:r w:rsidRPr="005A2AFB" w:rsidR="00010E09">
        <w:rPr>
          <w:b/>
          <w:bCs/>
        </w:rPr>
        <w:t>Indicate</w:t>
      </w:r>
      <w:r w:rsidRPr="005A2AFB" w:rsidR="00010E09">
        <w:rPr>
          <w:b/>
        </w:rPr>
        <w:t xml:space="preserve"> how, by whom, and for what purpose</w:t>
      </w:r>
      <w:r w:rsidRPr="005A2AFB" w:rsidR="008B1CAA">
        <w:rPr>
          <w:b/>
        </w:rPr>
        <w:t xml:space="preserve"> the information </w:t>
      </w:r>
      <w:r w:rsidR="00836F8B">
        <w:rPr>
          <w:b/>
          <w:bCs/>
        </w:rPr>
        <w:t>will</w:t>
      </w:r>
      <w:r w:rsidRPr="005A2AFB" w:rsidR="008B1CAA">
        <w:rPr>
          <w:b/>
        </w:rPr>
        <w:t xml:space="preserve"> be used.</w:t>
      </w:r>
    </w:p>
    <w:p w:rsidR="00186145" w:rsidP="005A2AFB" w14:paraId="6E7E4705" w14:textId="41379642">
      <w:pPr>
        <w:rPr>
          <w:u w:val="single"/>
        </w:rPr>
      </w:pPr>
    </w:p>
    <w:p w:rsidR="00A46395" w:rsidP="005A2AFB" w14:paraId="7D777CC7" w14:textId="340A3D75">
      <w:r>
        <w:t>State officials must use</w:t>
      </w:r>
      <w:r w:rsidR="00093997">
        <w:t xml:space="preserve"> </w:t>
      </w:r>
      <w:r w:rsidR="0069049C">
        <w:t xml:space="preserve">ATF Form 3210.12, </w:t>
      </w:r>
      <w:r w:rsidR="00F44C26">
        <w:t>Certifying</w:t>
      </w:r>
      <w:r w:rsidR="00093997">
        <w:t xml:space="preserve"> Qualifying State Relief from Disabilities Program</w:t>
      </w:r>
      <w:r>
        <w:t>,</w:t>
      </w:r>
      <w:r w:rsidR="00972F73">
        <w:t xml:space="preserve"> </w:t>
      </w:r>
      <w:r w:rsidR="00C767A0">
        <w:t>to certify to ATF that it has established a qualifying mental health relief from firearms disabilities program that satisfies certain minimum criteria under</w:t>
      </w:r>
      <w:r w:rsidR="00972F73">
        <w:t xml:space="preserve"> </w:t>
      </w:r>
      <w:r w:rsidR="0033643B">
        <w:t xml:space="preserve">§ </w:t>
      </w:r>
      <w:r w:rsidR="00972F73">
        <w:t>105 of</w:t>
      </w:r>
      <w:r w:rsidR="00C767A0">
        <w:t xml:space="preserve"> the </w:t>
      </w:r>
      <w:r w:rsidR="004B08A1">
        <w:t>NIAA</w:t>
      </w:r>
      <w:r w:rsidR="00972F73">
        <w:t>.</w:t>
      </w:r>
      <w:r w:rsidR="004B08A1">
        <w:t xml:space="preserve"> </w:t>
      </w:r>
    </w:p>
    <w:p w:rsidR="003C1BB5" w14:paraId="4F2313AC" w14:textId="6C341229">
      <w:r>
        <w:br w:type="page"/>
      </w:r>
    </w:p>
    <w:p w:rsidR="003C1BB5" w:rsidP="005A2AFB" w14:paraId="24A9B22C" w14:textId="7E36454D">
      <w:r>
        <w:t xml:space="preserve">ATF </w:t>
      </w:r>
      <w:r w:rsidR="00532566">
        <w:t>keeps</w:t>
      </w:r>
      <w:r>
        <w:t xml:space="preserve"> copies of the certified or denied ATF Form </w:t>
      </w:r>
      <w:r>
        <w:t>3210.12</w:t>
      </w:r>
      <w:r w:rsidR="00532566">
        <w:t>, and</w:t>
      </w:r>
      <w:r w:rsidR="00532566">
        <w:t xml:space="preserve"> returns</w:t>
      </w:r>
      <w:r w:rsidR="00CC7270">
        <w:t xml:space="preserve"> </w:t>
      </w:r>
      <w:r w:rsidR="00CF2CF7">
        <w:t>the original forms</w:t>
      </w:r>
      <w:r>
        <w:t xml:space="preserve"> </w:t>
      </w:r>
      <w:r w:rsidR="00CF2CF7">
        <w:t>to the state officials to include them</w:t>
      </w:r>
      <w:r>
        <w:t xml:space="preserve"> in </w:t>
      </w:r>
      <w:r w:rsidR="00CF2CF7">
        <w:t>their grant application</w:t>
      </w:r>
      <w:r>
        <w:t xml:space="preserve"> package to </w:t>
      </w:r>
      <w:r w:rsidR="00CF2CF7">
        <w:t xml:space="preserve">the </w:t>
      </w:r>
      <w:r>
        <w:t>Bureau of Justice Statistics (BJS).</w:t>
      </w:r>
    </w:p>
    <w:p w:rsidR="00A46395" w14:paraId="6BFAE922" w14:textId="77777777"/>
    <w:p w:rsidR="00186145" w:rsidP="00BA38CE" w14:paraId="7AE39E01" w14:textId="00ACC08F">
      <w:pPr>
        <w:rPr>
          <w:u w:val="single"/>
        </w:rPr>
      </w:pPr>
      <w:r>
        <w:rPr>
          <w:b/>
          <w:bCs/>
        </w:rPr>
        <w:t xml:space="preserve">3. </w:t>
      </w:r>
      <w:r w:rsidRPr="005A2AFB" w:rsidR="00716ABD">
        <w:rPr>
          <w:b/>
          <w:bCs/>
        </w:rPr>
        <w:t>Describe</w:t>
      </w:r>
      <w:r w:rsidRPr="005A2AFB" w:rsidR="00716ABD">
        <w:rPr>
          <w:b/>
        </w:rPr>
        <w:t xml:space="preserve"> whether, and to what extent, the </w:t>
      </w:r>
      <w:r w:rsidRPr="005A2AFB" w:rsidR="00C06465">
        <w:rPr>
          <w:b/>
        </w:rPr>
        <w:t>information collection involves using automated</w:t>
      </w:r>
      <w:r w:rsidRPr="005A2AFB" w:rsidR="007B7F7D">
        <w:rPr>
          <w:b/>
        </w:rPr>
        <w:t>, electronic, mechanical, or other technological</w:t>
      </w:r>
      <w:r w:rsidRPr="005A2AFB" w:rsidR="00D82CCC">
        <w:rPr>
          <w:b/>
        </w:rPr>
        <w:t xml:space="preserve"> collection techniques or other forms of information</w:t>
      </w:r>
      <w:r w:rsidRPr="005A2AFB" w:rsidR="001F4920">
        <w:rPr>
          <w:b/>
        </w:rPr>
        <w:t xml:space="preserve"> </w:t>
      </w:r>
      <w:r w:rsidRPr="005A2AFB" w:rsidR="00CD7BC1">
        <w:rPr>
          <w:b/>
        </w:rPr>
        <w:t xml:space="preserve">technology, </w:t>
      </w:r>
      <w:r w:rsidRPr="005A2AFB" w:rsidR="00CD7BC1">
        <w:rPr>
          <w:b/>
          <w:i/>
        </w:rPr>
        <w:t>e.g.,</w:t>
      </w:r>
      <w:r w:rsidRPr="005A2AFB" w:rsidR="00CD7BC1">
        <w:rPr>
          <w:b/>
        </w:rPr>
        <w:t xml:space="preserve"> permitting </w:t>
      </w:r>
      <w:r w:rsidRPr="005A2AFB" w:rsidR="00E715A0">
        <w:rPr>
          <w:b/>
        </w:rPr>
        <w:t>electronic submission of responses, and the basis for the decisions for adopting this means of collection</w:t>
      </w:r>
      <w:r w:rsidR="00BA38CE">
        <w:rPr>
          <w:b/>
          <w:bCs/>
        </w:rPr>
        <w:t>.</w:t>
      </w:r>
    </w:p>
    <w:p w:rsidR="00505CF5" w:rsidP="005A2AFB" w14:paraId="095ABEFE" w14:textId="77777777"/>
    <w:p w:rsidR="008A5CFD" w:rsidP="005A2AFB" w14:paraId="093192A3" w14:textId="19ED523D">
      <w:r>
        <w:t>ATF F</w:t>
      </w:r>
      <w:r w:rsidR="00175E63">
        <w:t>orm</w:t>
      </w:r>
      <w:r>
        <w:t xml:space="preserve"> 3210.12 is </w:t>
      </w:r>
      <w:r w:rsidR="000375EF">
        <w:t>fillable</w:t>
      </w:r>
      <w:r>
        <w:t xml:space="preserve"> and</w:t>
      </w:r>
      <w:r w:rsidR="00AA28A5">
        <w:t xml:space="preserve"> available f</w:t>
      </w:r>
      <w:r>
        <w:t xml:space="preserve">or public download from </w:t>
      </w:r>
      <w:r w:rsidR="00AA28A5">
        <w:t>ATF</w:t>
      </w:r>
      <w:r>
        <w:t xml:space="preserve">’s public </w:t>
      </w:r>
      <w:r w:rsidR="00AA28A5">
        <w:t>website</w:t>
      </w:r>
      <w:r w:rsidR="004B08A1">
        <w:t xml:space="preserve">. </w:t>
      </w:r>
      <w:r w:rsidR="000375EF">
        <w:t>ATF does</w:t>
      </w:r>
      <w:r w:rsidR="00A451BB">
        <w:t xml:space="preserve"> not </w:t>
      </w:r>
      <w:r w:rsidR="000375EF">
        <w:t>accept f</w:t>
      </w:r>
      <w:r w:rsidR="00A451BB">
        <w:t>ax</w:t>
      </w:r>
      <w:r>
        <w:t xml:space="preserve">ed copies because the completed </w:t>
      </w:r>
      <w:r w:rsidR="001C4853">
        <w:t xml:space="preserve">form must contain the certifying </w:t>
      </w:r>
      <w:r w:rsidR="009D59EE">
        <w:t>s</w:t>
      </w:r>
      <w:r w:rsidR="001C4853">
        <w:t>tate</w:t>
      </w:r>
      <w:r w:rsidR="004B08A1">
        <w:t xml:space="preserve"> </w:t>
      </w:r>
      <w:r w:rsidR="00D50204">
        <w:t>o</w:t>
      </w:r>
      <w:r w:rsidR="004B08A1">
        <w:t>fficial</w:t>
      </w:r>
      <w:r w:rsidR="00FB5171">
        <w:t>’s original</w:t>
      </w:r>
      <w:r w:rsidR="004B08A1">
        <w:t xml:space="preserve"> signature. </w:t>
      </w:r>
      <w:r w:rsidR="005173C1">
        <w:t xml:space="preserve">However, the </w:t>
      </w:r>
      <w:r w:rsidR="009D59EE">
        <w:t>s</w:t>
      </w:r>
      <w:r w:rsidR="005173C1">
        <w:t>tate official can submit a digitally or electronically signed form to ATF</w:t>
      </w:r>
      <w:r w:rsidR="00A278B3">
        <w:t xml:space="preserve"> by email</w:t>
      </w:r>
      <w:r w:rsidR="005173C1">
        <w:t xml:space="preserve"> for processing.</w:t>
      </w:r>
    </w:p>
    <w:p w:rsidR="00175E63" w:rsidP="005A2AFB" w14:paraId="61044D87" w14:textId="77777777"/>
    <w:p w:rsidR="00186145" w:rsidRPr="005560EB" w:rsidP="00797531" w14:paraId="4DD33DDF" w14:textId="350B134F">
      <w:pPr>
        <w:rPr>
          <w:b/>
        </w:rPr>
      </w:pPr>
      <w:r w:rsidRPr="005560EB">
        <w:rPr>
          <w:b/>
          <w:bCs/>
        </w:rPr>
        <w:t xml:space="preserve">4. </w:t>
      </w:r>
      <w:r w:rsidRPr="005560EB" w:rsidR="008D6353">
        <w:rPr>
          <w:b/>
          <w:bCs/>
        </w:rPr>
        <w:t>Describe</w:t>
      </w:r>
      <w:r w:rsidRPr="005560EB" w:rsidR="008D6353">
        <w:rPr>
          <w:b/>
        </w:rPr>
        <w:t xml:space="preserve"> </w:t>
      </w:r>
      <w:r w:rsidRPr="005560EB" w:rsidR="00583EEB">
        <w:rPr>
          <w:b/>
        </w:rPr>
        <w:t xml:space="preserve">efforts </w:t>
      </w:r>
      <w:r w:rsidRPr="005560EB" w:rsidR="009E23E2">
        <w:rPr>
          <w:b/>
        </w:rPr>
        <w:t>to identify duplication.</w:t>
      </w:r>
      <w:r w:rsidRPr="005560EB" w:rsidR="00EB462C">
        <w:rPr>
          <w:b/>
        </w:rPr>
        <w:t xml:space="preserve"> </w:t>
      </w:r>
    </w:p>
    <w:p w:rsidR="00505CF5" w:rsidP="005A2AFB" w14:paraId="68B4B1C3" w14:textId="77777777"/>
    <w:p w:rsidR="00186145" w:rsidP="005A2AFB" w14:paraId="6C9EA2DB" w14:textId="7EFE243C">
      <w:r>
        <w:t>T</w:t>
      </w:r>
      <w:r w:rsidRPr="009463C7" w:rsidR="009463C7">
        <w:t xml:space="preserve">his information is not duplicative and requires </w:t>
      </w:r>
      <w:r>
        <w:t xml:space="preserve">the state to provide information on its mental health </w:t>
      </w:r>
      <w:r w:rsidR="005521FD">
        <w:t xml:space="preserve">firearms </w:t>
      </w:r>
      <w:r w:rsidR="005521FD">
        <w:t>diabilities</w:t>
      </w:r>
      <w:r w:rsidR="005521FD">
        <w:t xml:space="preserve"> relief program, which isn’t collected by another agency. Because ATF returns the approved forms to the applicant states so they can use </w:t>
      </w:r>
      <w:r w:rsidR="003663F9">
        <w:t>them when applying for these grants, ATF eliminates the need</w:t>
      </w:r>
      <w:r w:rsidR="00C90112">
        <w:t xml:space="preserve"> for the information to be collected again by DOJ, thereby</w:t>
      </w:r>
      <w:r w:rsidR="00C03B68">
        <w:t xml:space="preserve"> ensuring no duplication occurs</w:t>
      </w:r>
      <w:r w:rsidRPr="009463C7" w:rsidR="009463C7">
        <w:t xml:space="preserve">. </w:t>
      </w:r>
      <w:r w:rsidR="00A451BB">
        <w:t xml:space="preserve">ATF uses a uniform subject classification system </w:t>
      </w:r>
      <w:r w:rsidR="00593B07">
        <w:t xml:space="preserve">for forms </w:t>
      </w:r>
      <w:r w:rsidR="00A451BB">
        <w:t xml:space="preserve">to identify duplication and to </w:t>
      </w:r>
      <w:r w:rsidR="00093997">
        <w:t xml:space="preserve">ensure </w:t>
      </w:r>
      <w:r w:rsidR="00A451BB">
        <w:t>that any similar information already available</w:t>
      </w:r>
      <w:r w:rsidR="00093997">
        <w:t xml:space="preserve"> </w:t>
      </w:r>
      <w:r w:rsidR="00A451BB">
        <w:t xml:space="preserve">cannot be used or modified </w:t>
      </w:r>
      <w:r w:rsidRPr="009463C7" w:rsidR="009463C7">
        <w:t>to</w:t>
      </w:r>
      <w:r w:rsidR="00A451BB">
        <w:t xml:space="preserve"> use for the purpose of this information collection.</w:t>
      </w:r>
    </w:p>
    <w:p w:rsidR="00170992" w:rsidP="005A2AFB" w14:paraId="1CDA8CF8" w14:textId="77777777"/>
    <w:p w:rsidR="00186145" w:rsidRPr="005560EB" w:rsidP="005560EB" w14:paraId="075EBEAB" w14:textId="04D4E700">
      <w:pPr>
        <w:rPr>
          <w:b/>
        </w:rPr>
      </w:pPr>
      <w:r w:rsidRPr="005560EB">
        <w:rPr>
          <w:b/>
          <w:bCs/>
        </w:rPr>
        <w:t>5.</w:t>
      </w:r>
      <w:r w:rsidRPr="00296092">
        <w:rPr>
          <w:b/>
          <w:bCs/>
        </w:rPr>
        <w:t xml:space="preserve"> </w:t>
      </w:r>
      <w:r w:rsidRPr="005560EB" w:rsidR="004A4CB7">
        <w:rPr>
          <w:b/>
          <w:bCs/>
        </w:rPr>
        <w:t>If</w:t>
      </w:r>
      <w:r w:rsidRPr="005560EB" w:rsidR="004A4CB7">
        <w:rPr>
          <w:b/>
        </w:rPr>
        <w:t xml:space="preserve"> the information</w:t>
      </w:r>
      <w:r w:rsidRPr="005560EB" w:rsidR="00BD65CD">
        <w:rPr>
          <w:b/>
        </w:rPr>
        <w:t xml:space="preserve"> collection impacts small businesses or </w:t>
      </w:r>
      <w:r w:rsidRPr="005560EB" w:rsidR="00431208">
        <w:rPr>
          <w:b/>
        </w:rPr>
        <w:t xml:space="preserve">other small entities, </w:t>
      </w:r>
      <w:r w:rsidRPr="005560EB" w:rsidR="00431208">
        <w:rPr>
          <w:b/>
        </w:rPr>
        <w:t>described</w:t>
      </w:r>
      <w:r w:rsidRPr="005560EB" w:rsidR="00431208">
        <w:rPr>
          <w:b/>
        </w:rPr>
        <w:t xml:space="preserve"> any method</w:t>
      </w:r>
      <w:r w:rsidR="00060F81">
        <w:rPr>
          <w:b/>
          <w:bCs/>
        </w:rPr>
        <w:t>s</w:t>
      </w:r>
      <w:r w:rsidRPr="005560EB" w:rsidR="00431208">
        <w:rPr>
          <w:b/>
        </w:rPr>
        <w:t xml:space="preserve"> used to minimize burden.</w:t>
      </w:r>
    </w:p>
    <w:p w:rsidR="00186145" w14:paraId="58C55EEA" w14:textId="77777777"/>
    <w:p w:rsidR="00186145" w:rsidP="005A2AFB" w14:paraId="26D72B13" w14:textId="4BFFC730">
      <w:r>
        <w:t xml:space="preserve">This </w:t>
      </w:r>
      <w:r w:rsidRPr="009C796B" w:rsidR="009C796B">
        <w:t xml:space="preserve">information </w:t>
      </w:r>
      <w:r>
        <w:t xml:space="preserve">collection does not </w:t>
      </w:r>
      <w:r w:rsidRPr="009C796B" w:rsidR="009C796B">
        <w:t xml:space="preserve">have a significant </w:t>
      </w:r>
      <w:r>
        <w:t xml:space="preserve">impact </w:t>
      </w:r>
      <w:r w:rsidRPr="009C796B" w:rsidR="009C796B">
        <w:t xml:space="preserve">on </w:t>
      </w:r>
      <w:r>
        <w:t xml:space="preserve">small </w:t>
      </w:r>
      <w:r w:rsidRPr="009C796B" w:rsidR="009C796B">
        <w:t>entities</w:t>
      </w:r>
      <w:r w:rsidR="00490A8E">
        <w:t>.</w:t>
      </w:r>
    </w:p>
    <w:p w:rsidR="00186145" w:rsidP="005A2AFB" w14:paraId="279C393E" w14:textId="77777777"/>
    <w:p w:rsidR="00186145" w:rsidRPr="00296092" w:rsidP="005560EB" w14:paraId="2F4CC1FC" w14:textId="3E7BFCB3">
      <w:pPr>
        <w:rPr>
          <w:b/>
          <w:u w:val="single"/>
        </w:rPr>
      </w:pPr>
      <w:r w:rsidRPr="00296092">
        <w:rPr>
          <w:b/>
          <w:bCs/>
        </w:rPr>
        <w:t xml:space="preserve">6. </w:t>
      </w:r>
      <w:r w:rsidRPr="00296092" w:rsidR="004E1259">
        <w:rPr>
          <w:b/>
          <w:bCs/>
        </w:rPr>
        <w:t>Describe</w:t>
      </w:r>
      <w:r w:rsidR="004E1259">
        <w:rPr>
          <w:b/>
          <w:bCs/>
        </w:rPr>
        <w:t xml:space="preserve"> the </w:t>
      </w:r>
      <w:r w:rsidR="004E1259">
        <w:rPr>
          <w:b/>
          <w:bCs/>
        </w:rPr>
        <w:t>consequence</w:t>
      </w:r>
      <w:r w:rsidR="001C288E">
        <w:rPr>
          <w:b/>
          <w:bCs/>
        </w:rPr>
        <w:t xml:space="preserve"> </w:t>
      </w:r>
      <w:r w:rsidR="001C288E">
        <w:rPr>
          <w:b/>
          <w:bCs/>
        </w:rPr>
        <w:t>to</w:t>
      </w:r>
      <w:r w:rsidR="001C288E">
        <w:rPr>
          <w:b/>
          <w:bCs/>
        </w:rPr>
        <w:t xml:space="preserve"> federal programs or policy activities if the collection is not conducted or is conducted less frequently</w:t>
      </w:r>
      <w:r w:rsidR="00493942">
        <w:rPr>
          <w:b/>
          <w:bCs/>
        </w:rPr>
        <w:t>, as well as any technical or legal obstacle</w:t>
      </w:r>
      <w:r w:rsidR="006267BB">
        <w:rPr>
          <w:b/>
          <w:bCs/>
        </w:rPr>
        <w:t>s to reducing burden.</w:t>
      </w:r>
    </w:p>
    <w:p w:rsidR="00352E2B" w14:paraId="2EBABECF" w14:textId="77777777">
      <w:pPr>
        <w:rPr>
          <w:u w:val="single"/>
        </w:rPr>
      </w:pPr>
    </w:p>
    <w:p w:rsidR="001D57A2" w:rsidP="005A2AFB" w14:paraId="4D36D202" w14:textId="07956C55">
      <w:r>
        <w:t>ATF must provide</w:t>
      </w:r>
      <w:r w:rsidR="004B08A1">
        <w:t xml:space="preserve"> a</w:t>
      </w:r>
      <w:r>
        <w:t xml:space="preserve"> </w:t>
      </w:r>
      <w:r w:rsidR="00FB5171">
        <w:t xml:space="preserve">method </w:t>
      </w:r>
      <w:r>
        <w:t xml:space="preserve">for </w:t>
      </w:r>
      <w:r w:rsidR="00CB4C9E">
        <w:t>s</w:t>
      </w:r>
      <w:r>
        <w:t xml:space="preserve">tate </w:t>
      </w:r>
      <w:r w:rsidR="00175E63">
        <w:t xml:space="preserve">officials </w:t>
      </w:r>
      <w:r>
        <w:t xml:space="preserve">to certify that they have a valid relief program in place as it relates to persons prohibited under </w:t>
      </w:r>
      <w:r w:rsidR="00CB4C9E">
        <w:t xml:space="preserve">18 </w:t>
      </w:r>
      <w:r>
        <w:t xml:space="preserve">U.S.C. </w:t>
      </w:r>
      <w:r w:rsidR="00AD66FC">
        <w:t>§§</w:t>
      </w:r>
      <w:r>
        <w:t xml:space="preserve"> 922</w:t>
      </w:r>
      <w:r w:rsidR="00D25608">
        <w:t>(d)(4) and (g)(4)</w:t>
      </w:r>
      <w:r w:rsidR="00AD66FC">
        <w:t xml:space="preserve"> </w:t>
      </w:r>
      <w:r w:rsidR="00731F0B">
        <w:t>due to</w:t>
      </w:r>
      <w:r>
        <w:t xml:space="preserve"> mental health adjudications and commitments.</w:t>
      </w:r>
      <w:r w:rsidR="000126A8">
        <w:t xml:space="preserve"> </w:t>
      </w:r>
      <w:r>
        <w:t xml:space="preserve">Without this certification, the </w:t>
      </w:r>
      <w:r w:rsidR="00CB4C9E">
        <w:t>s</w:t>
      </w:r>
      <w:r>
        <w:t>tate</w:t>
      </w:r>
      <w:r w:rsidR="00AD66FC">
        <w:t xml:space="preserve"> official </w:t>
      </w:r>
      <w:r w:rsidR="00DD6640">
        <w:t>would</w:t>
      </w:r>
      <w:r>
        <w:t xml:space="preserve"> be </w:t>
      </w:r>
      <w:r w:rsidR="00AD66FC">
        <w:t>un</w:t>
      </w:r>
      <w:r>
        <w:t>able to apply for grant funding</w:t>
      </w:r>
      <w:r w:rsidR="00791AF6">
        <w:t>.</w:t>
      </w:r>
      <w:r>
        <w:t xml:space="preserve"> </w:t>
      </w:r>
      <w:r w:rsidR="005C3B4D">
        <w:t>The</w:t>
      </w:r>
      <w:r w:rsidR="00791AF6">
        <w:t xml:space="preserve"> state </w:t>
      </w:r>
      <w:r w:rsidR="005C3B4D">
        <w:t>would thus</w:t>
      </w:r>
      <w:r>
        <w:t xml:space="preserve"> be </w:t>
      </w:r>
      <w:r w:rsidR="00791AF6">
        <w:t>unable</w:t>
      </w:r>
      <w:r>
        <w:t xml:space="preserve"> to </w:t>
      </w:r>
      <w:r w:rsidR="00791AF6">
        <w:t>receive grant funds</w:t>
      </w:r>
      <w:r>
        <w:t xml:space="preserve"> </w:t>
      </w:r>
      <w:r w:rsidR="005C3B4D">
        <w:t>for updating</w:t>
      </w:r>
      <w:r w:rsidR="00AD66FC">
        <w:t xml:space="preserve"> </w:t>
      </w:r>
      <w:r>
        <w:t>record</w:t>
      </w:r>
      <w:r w:rsidR="00242222">
        <w:t>-</w:t>
      </w:r>
      <w:r w:rsidR="004B08A1">
        <w:t>keeping systems</w:t>
      </w:r>
      <w:r>
        <w:t xml:space="preserve"> </w:t>
      </w:r>
      <w:r w:rsidR="00791AF6">
        <w:t>that provide information to NICS for background checks</w:t>
      </w:r>
      <w:r w:rsidR="004B08A1">
        <w:t>.</w:t>
      </w:r>
      <w:r w:rsidR="00C94A7C">
        <w:t xml:space="preserve"> </w:t>
      </w:r>
      <w:r w:rsidR="00CA6672">
        <w:t>Th</w:t>
      </w:r>
      <w:r w:rsidR="00C94A7C">
        <w:t>at</w:t>
      </w:r>
      <w:r w:rsidR="00CA6672">
        <w:t xml:space="preserve"> information </w:t>
      </w:r>
      <w:r w:rsidR="00334C85">
        <w:t xml:space="preserve">helps to </w:t>
      </w:r>
      <w:r>
        <w:t xml:space="preserve">keep guns </w:t>
      </w:r>
      <w:r w:rsidR="00334C85">
        <w:t>from being sold to</w:t>
      </w:r>
      <w:r>
        <w:t xml:space="preserve"> individuals prohibited by </w:t>
      </w:r>
      <w:r w:rsidR="00363EC1">
        <w:t>f</w:t>
      </w:r>
      <w:r>
        <w:t xml:space="preserve">ederal or </w:t>
      </w:r>
      <w:r w:rsidR="00363EC1">
        <w:t>s</w:t>
      </w:r>
      <w:r>
        <w:t>tate laws from</w:t>
      </w:r>
      <w:r w:rsidR="007D1A58">
        <w:t xml:space="preserve"> </w:t>
      </w:r>
      <w:r>
        <w:t>receiving or possessing firearms and ammunition.</w:t>
      </w:r>
      <w:r w:rsidR="000126A8">
        <w:t xml:space="preserve"> </w:t>
      </w:r>
      <w:r w:rsidR="003A7C12">
        <w:t>Without</w:t>
      </w:r>
      <w:r w:rsidR="00352E2B">
        <w:t xml:space="preserve"> this collection</w:t>
      </w:r>
      <w:r w:rsidR="00FB5171">
        <w:t>,</w:t>
      </w:r>
      <w:r w:rsidR="00352E2B">
        <w:t xml:space="preserve"> </w:t>
      </w:r>
      <w:r>
        <w:t>firearm</w:t>
      </w:r>
      <w:r w:rsidR="00416C0F">
        <w:t>s</w:t>
      </w:r>
      <w:r w:rsidR="00FB5171">
        <w:t xml:space="preserve"> and ammunition </w:t>
      </w:r>
      <w:r w:rsidR="00334C85">
        <w:t>transfers</w:t>
      </w:r>
      <w:r>
        <w:t xml:space="preserve"> to </w:t>
      </w:r>
      <w:r w:rsidR="004B08A1">
        <w:t>persons</w:t>
      </w:r>
      <w:r>
        <w:t xml:space="preserve"> prohibited by </w:t>
      </w:r>
      <w:r w:rsidR="00416C0F">
        <w:t>f</w:t>
      </w:r>
      <w:r>
        <w:t xml:space="preserve">ederal or </w:t>
      </w:r>
      <w:r w:rsidR="00416C0F">
        <w:t>s</w:t>
      </w:r>
      <w:r>
        <w:t xml:space="preserve">tate laws from receiving or possessing </w:t>
      </w:r>
      <w:r w:rsidR="00FB5171">
        <w:t>them</w:t>
      </w:r>
      <w:r w:rsidR="00330271">
        <w:t xml:space="preserve"> would increase</w:t>
      </w:r>
      <w:r>
        <w:t>.</w:t>
      </w:r>
    </w:p>
    <w:p w:rsidR="001D57A2" w14:paraId="4B236327" w14:textId="77777777"/>
    <w:p w:rsidR="00186145" w14:paraId="34B5F14B" w14:textId="02419444">
      <w:r w:rsidRPr="00544824">
        <w:rPr>
          <w:b/>
          <w:bCs/>
        </w:rPr>
        <w:t>7. Explain</w:t>
      </w:r>
      <w:r w:rsidRPr="00544824" w:rsidR="004B3B56">
        <w:rPr>
          <w:b/>
        </w:rPr>
        <w:t xml:space="preserve"> any special circumstances that would cause the information collection to be conducted </w:t>
      </w:r>
      <w:r w:rsidRPr="00544824" w:rsidR="00D85BE1">
        <w:rPr>
          <w:b/>
        </w:rPr>
        <w:t xml:space="preserve">in a manner inconsistent with </w:t>
      </w:r>
      <w:r w:rsidRPr="00544824">
        <w:rPr>
          <w:b/>
          <w:bCs/>
        </w:rPr>
        <w:t>5 CFR</w:t>
      </w:r>
      <w:r w:rsidRPr="00544824" w:rsidR="002F6F65">
        <w:rPr>
          <w:b/>
        </w:rPr>
        <w:t xml:space="preserve"> 1320.6.</w:t>
      </w:r>
      <w:r w:rsidRPr="00544824">
        <w:t> </w:t>
      </w:r>
    </w:p>
    <w:p w:rsidR="00CA0827" w:rsidP="00544824" w14:paraId="2286351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highlight w:val="lightGray"/>
        </w:rPr>
      </w:pPr>
    </w:p>
    <w:p w:rsidR="00CA0827" w:rsidP="00CA0827" w14:paraId="0CD5730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DA6356A">
        <w:t>There are no special circumstances associated with this information collection, which is conducted in a manner consistent with 5 CFR 1320.6.</w:t>
      </w:r>
    </w:p>
    <w:p w:rsidR="00CA0827" w:rsidP="005A2AFB" w14:paraId="3D21CBFE" w14:textId="5D0FA016">
      <w:r>
        <w:t xml:space="preserve"> </w:t>
      </w:r>
    </w:p>
    <w:p w:rsidR="00186145" w:rsidP="0055083C" w14:paraId="27E2DEFE" w14:textId="27A4713E">
      <w:pPr>
        <w:rPr>
          <w:u w:val="single"/>
        </w:rPr>
      </w:pPr>
      <w:r w:rsidRPr="003D2082">
        <w:rPr>
          <w:b/>
          <w:bCs/>
        </w:rPr>
        <w:t>8.</w:t>
      </w:r>
      <w:r w:rsidRPr="003D2082">
        <w:t xml:space="preserve"> </w:t>
      </w:r>
      <w:r w:rsidR="00E26FEA">
        <w:rPr>
          <w:b/>
          <w:bCs/>
        </w:rPr>
        <w:t xml:space="preserve">If applicable, provide a copy, and </w:t>
      </w:r>
      <w:r w:rsidR="003719AB">
        <w:rPr>
          <w:b/>
          <w:bCs/>
        </w:rPr>
        <w:t xml:space="preserve">identify the date and page number, of the agency’s notice published in the </w:t>
      </w:r>
      <w:r w:rsidRPr="00F10EBF" w:rsidR="003719AB">
        <w:rPr>
          <w:b/>
          <w:i/>
        </w:rPr>
        <w:t xml:space="preserve">Federal </w:t>
      </w:r>
      <w:r w:rsidRPr="00F10EBF" w:rsidR="00C3703D">
        <w:rPr>
          <w:b/>
          <w:i/>
        </w:rPr>
        <w:t>R</w:t>
      </w:r>
      <w:r w:rsidRPr="00F10EBF" w:rsidR="00FB16A7">
        <w:rPr>
          <w:b/>
          <w:i/>
        </w:rPr>
        <w:t>e</w:t>
      </w:r>
      <w:r w:rsidRPr="00F10EBF" w:rsidR="00C3703D">
        <w:rPr>
          <w:b/>
          <w:i/>
        </w:rPr>
        <w:t>gister</w:t>
      </w:r>
      <w:r w:rsidR="00FB16A7">
        <w:rPr>
          <w:b/>
          <w:bCs/>
        </w:rPr>
        <w:t>, as required by 5 CFR 1320.8(d)</w:t>
      </w:r>
      <w:r w:rsidR="00920496">
        <w:rPr>
          <w:b/>
          <w:bCs/>
        </w:rPr>
        <w:t>, soliciting comments on the information collection prior to submission to OMB.</w:t>
      </w:r>
    </w:p>
    <w:p w:rsidR="002A3DD1" w14:paraId="45917AC2" w14:textId="77777777">
      <w:pPr>
        <w:rPr>
          <w:u w:val="single"/>
        </w:rPr>
      </w:pPr>
    </w:p>
    <w:p w:rsidR="002A3DD1" w:rsidP="005A2AFB" w14:paraId="3EC339CE" w14:textId="73017857">
      <w:r w:rsidRPr="002E6622">
        <w:t xml:space="preserve">The 60-Day Notice was published in the </w:t>
      </w:r>
      <w:r w:rsidRPr="002E6622">
        <w:rPr>
          <w:i/>
          <w:iCs/>
        </w:rPr>
        <w:t xml:space="preserve">Federal </w:t>
      </w:r>
      <w:r w:rsidRPr="00867277">
        <w:rPr>
          <w:i/>
          <w:iCs/>
        </w:rPr>
        <w:t>Register</w:t>
      </w:r>
      <w:r w:rsidRPr="00867277">
        <w:t xml:space="preserve"> on </w:t>
      </w:r>
      <w:r w:rsidRPr="00867277" w:rsidR="00867277">
        <w:t xml:space="preserve">August 5, 2025 </w:t>
      </w:r>
      <w:r w:rsidRPr="00867277">
        <w:t>(</w:t>
      </w:r>
      <w:r w:rsidRPr="00867277" w:rsidR="00867277">
        <w:t>90</w:t>
      </w:r>
      <w:r w:rsidRPr="00867277">
        <w:t xml:space="preserve"> FR </w:t>
      </w:r>
      <w:r w:rsidRPr="00867277" w:rsidR="00867277">
        <w:t>37567</w:t>
      </w:r>
      <w:r w:rsidRPr="00867277">
        <w:t>).</w:t>
      </w:r>
      <w:r w:rsidRPr="002E6622">
        <w:t xml:space="preserve"> The comment period ended on</w:t>
      </w:r>
      <w:r w:rsidR="00867277">
        <w:t xml:space="preserve"> October 6, 2025</w:t>
      </w:r>
      <w:r w:rsidRPr="002E6622">
        <w:t>. ATF received no comments. </w:t>
      </w:r>
    </w:p>
    <w:p w:rsidR="00211BFC" w:rsidP="00211BFC" w14:paraId="07648A05" w14:textId="77777777">
      <w:pPr>
        <w:rPr>
          <w:u w:val="single"/>
        </w:rPr>
      </w:pPr>
    </w:p>
    <w:p w:rsidR="00186145" w:rsidP="00211BFC" w14:paraId="628D6A60" w14:textId="237173D1">
      <w:r>
        <w:rPr>
          <w:b/>
          <w:bCs/>
        </w:rPr>
        <w:t xml:space="preserve">9. </w:t>
      </w:r>
      <w:r w:rsidR="00CB1498">
        <w:rPr>
          <w:b/>
          <w:bCs/>
        </w:rPr>
        <w:t>Explain any decision to provide</w:t>
      </w:r>
      <w:r w:rsidR="00964D44">
        <w:rPr>
          <w:b/>
          <w:bCs/>
        </w:rPr>
        <w:t xml:space="preserve"> any payments or gifts to respondents, other than re</w:t>
      </w:r>
      <w:r w:rsidR="003D1D11">
        <w:rPr>
          <w:b/>
          <w:bCs/>
        </w:rPr>
        <w:t>muneration of contractors or grantees.</w:t>
      </w:r>
    </w:p>
    <w:p w:rsidR="00186145" w14:paraId="6636DD35" w14:textId="77777777"/>
    <w:p w:rsidR="00186145" w:rsidP="005A2AFB" w14:paraId="61D12F84" w14:textId="12817D48">
      <w:r w:rsidRPr="00BF2933">
        <w:t>No payment</w:t>
      </w:r>
      <w:r w:rsidR="00314D22">
        <w:t xml:space="preserve"> or </w:t>
      </w:r>
      <w:r w:rsidRPr="00BF2933">
        <w:t>gift is</w:t>
      </w:r>
      <w:r w:rsidR="00314D22">
        <w:t xml:space="preserve"> associated with this </w:t>
      </w:r>
      <w:r w:rsidRPr="00BF2933">
        <w:t xml:space="preserve">information </w:t>
      </w:r>
      <w:r w:rsidR="00314D22">
        <w:t>collection.</w:t>
      </w:r>
    </w:p>
    <w:p w:rsidR="001D57A2" w14:paraId="3118BF0F" w14:textId="77777777"/>
    <w:p w:rsidR="00186145" w:rsidP="00211BFC" w14:paraId="1D666FB4" w14:textId="669C5C3C">
      <w:pPr>
        <w:rPr>
          <w:u w:val="single"/>
        </w:rPr>
      </w:pPr>
      <w:r>
        <w:rPr>
          <w:b/>
          <w:bCs/>
        </w:rPr>
        <w:t xml:space="preserve">10. </w:t>
      </w:r>
      <w:r w:rsidRPr="00BF2933" w:rsidR="00AF1C3D">
        <w:rPr>
          <w:b/>
          <w:bCs/>
        </w:rPr>
        <w:t>Describe</w:t>
      </w:r>
      <w:r w:rsidRPr="00BF2933" w:rsidR="002426A5">
        <w:rPr>
          <w:b/>
        </w:rPr>
        <w:t xml:space="preserve"> any assurance of confidentiality provided to respondents and the basis for the assurance in statute</w:t>
      </w:r>
      <w:r w:rsidRPr="00BF2933" w:rsidR="00A77347">
        <w:rPr>
          <w:b/>
        </w:rPr>
        <w:t>, regulation, or agency policy.</w:t>
      </w:r>
    </w:p>
    <w:p w:rsidR="00186145" w14:paraId="7DD80A47" w14:textId="77777777"/>
    <w:p w:rsidR="00186145" w:rsidP="005A2AFB" w14:paraId="640F4758" w14:textId="1010CDE8">
      <w:r w:rsidRPr="003C1BB5">
        <w:t xml:space="preserve">This information collection does not collect protected </w:t>
      </w:r>
      <w:r w:rsidRPr="003C1BB5">
        <w:t>information</w:t>
      </w:r>
      <w:r w:rsidRPr="003C1BB5">
        <w:t xml:space="preserve"> and ATF has not assured respondents of confidentiality.</w:t>
      </w:r>
    </w:p>
    <w:p w:rsidR="00170992" w14:paraId="3930D70E" w14:textId="77777777"/>
    <w:p w:rsidR="00186145" w:rsidRPr="00723EF7" w:rsidP="00211BFC" w14:paraId="21B716FE" w14:textId="1598864B">
      <w:r>
        <w:rPr>
          <w:b/>
          <w:bCs/>
        </w:rPr>
        <w:t xml:space="preserve">11. </w:t>
      </w:r>
      <w:r w:rsidRPr="00BF2933" w:rsidR="00CB16DB">
        <w:rPr>
          <w:b/>
          <w:bCs/>
        </w:rPr>
        <w:t>Provide</w:t>
      </w:r>
      <w:r w:rsidRPr="00BF2933" w:rsidR="00CB16DB">
        <w:rPr>
          <w:b/>
        </w:rPr>
        <w:t xml:space="preserve"> additional justification for any questions of a sensitive nature</w:t>
      </w:r>
      <w:r w:rsidRPr="00BF2933" w:rsidR="001A6E1F">
        <w:rPr>
          <w:b/>
        </w:rPr>
        <w:t>, such as sexual behavior and attitudes, religious beliefs, and other matters that are commonly considered private.</w:t>
      </w:r>
    </w:p>
    <w:p w:rsidR="00186145" w14:paraId="07F9DF20" w14:textId="77777777"/>
    <w:p w:rsidR="00186145" w:rsidP="005A2AFB" w14:paraId="17F181BB" w14:textId="471E230A">
      <w:r w:rsidRPr="005C244B">
        <w:t>This information collection does not ask questions or require information of</w:t>
      </w:r>
      <w:r w:rsidR="002A3DD1">
        <w:t xml:space="preserve"> a </w:t>
      </w:r>
      <w:r w:rsidRPr="005C244B">
        <w:t>sensitive nature.</w:t>
      </w:r>
      <w:r w:rsidR="001C4853">
        <w:t xml:space="preserve"> The form pertains to the legal processes and programs made available by the </w:t>
      </w:r>
      <w:r w:rsidR="00BF23AF">
        <w:t>s</w:t>
      </w:r>
      <w:r w:rsidR="001C4853">
        <w:t xml:space="preserve">tate </w:t>
      </w:r>
      <w:r w:rsidR="00CA337D">
        <w:t>concerning</w:t>
      </w:r>
      <w:r w:rsidR="001C4853">
        <w:t xml:space="preserve"> person</w:t>
      </w:r>
      <w:r w:rsidR="00CA337D">
        <w:t>s</w:t>
      </w:r>
      <w:r w:rsidR="001C4853">
        <w:t xml:space="preserve"> subject to mental health firearms disabilities</w:t>
      </w:r>
      <w:r w:rsidR="00BF23AF">
        <w:t xml:space="preserve"> (prohibitions)</w:t>
      </w:r>
      <w:r w:rsidR="001C4853">
        <w:t>.</w:t>
      </w:r>
    </w:p>
    <w:p w:rsidR="00186145" w14:paraId="270A91C4" w14:textId="77777777"/>
    <w:p w:rsidR="00186145" w:rsidP="00BF2933" w14:paraId="5B86D3D5" w14:textId="53E43183">
      <w:pPr>
        <w:rPr>
          <w:u w:val="single"/>
        </w:rPr>
      </w:pPr>
      <w:r>
        <w:rPr>
          <w:b/>
          <w:bCs/>
        </w:rPr>
        <w:t xml:space="preserve">12. </w:t>
      </w:r>
      <w:r w:rsidR="00E850EA">
        <w:rPr>
          <w:b/>
          <w:bCs/>
        </w:rPr>
        <w:t>Provide estimates of the information collection’s hour burden</w:t>
      </w:r>
      <w:r w:rsidR="008D0E9A">
        <w:rPr>
          <w:b/>
          <w:bCs/>
        </w:rPr>
        <w:t>.</w:t>
      </w:r>
    </w:p>
    <w:p w:rsidR="00186145" w14:paraId="5E798518" w14:textId="77777777"/>
    <w:p w:rsidR="002A3DD1" w:rsidRPr="008573C7" w:rsidP="005A2AFB" w14:paraId="76F3C714" w14:textId="6F15BA38">
      <w:r>
        <w:t xml:space="preserve">There </w:t>
      </w:r>
      <w:r w:rsidRPr="008573C7">
        <w:t xml:space="preserve">are </w:t>
      </w:r>
      <w:r w:rsidR="005B6277">
        <w:t>10</w:t>
      </w:r>
      <w:r w:rsidRPr="008573C7">
        <w:t xml:space="preserve"> respondents to this </w:t>
      </w:r>
      <w:r w:rsidR="001E150E">
        <w:t>collection</w:t>
      </w:r>
      <w:r w:rsidRPr="008573C7">
        <w:t xml:space="preserve">. It </w:t>
      </w:r>
      <w:r w:rsidR="00417A74">
        <w:t>takes</w:t>
      </w:r>
      <w:r w:rsidRPr="008573C7">
        <w:t xml:space="preserve"> each respondent </w:t>
      </w:r>
      <w:r w:rsidRPr="008573C7">
        <w:t>15 minutes</w:t>
      </w:r>
      <w:r w:rsidRPr="008573C7">
        <w:t xml:space="preserve"> </w:t>
      </w:r>
      <w:r w:rsidR="001D5D3F">
        <w:t xml:space="preserve">(0.25 hours) </w:t>
      </w:r>
      <w:r w:rsidRPr="008573C7">
        <w:t xml:space="preserve">to respond one time to this form. </w:t>
      </w:r>
      <w:r w:rsidR="0086027B">
        <w:t>E</w:t>
      </w:r>
      <w:r w:rsidR="004B48B8">
        <w:t xml:space="preserve">ach state </w:t>
      </w:r>
      <w:r w:rsidR="009D3DF6">
        <w:t xml:space="preserve">that wishes to receive the grant </w:t>
      </w:r>
      <w:r w:rsidR="004B48B8">
        <w:t>submits this form on</w:t>
      </w:r>
      <w:r w:rsidR="00D22F63">
        <w:t xml:space="preserve">e time to initiate the grant process, and thereafter only once if the </w:t>
      </w:r>
      <w:r w:rsidR="0086027B">
        <w:t xml:space="preserve">information changes, which </w:t>
      </w:r>
      <w:r w:rsidR="009D3DF6">
        <w:t>has thus far not occurred</w:t>
      </w:r>
      <w:r w:rsidR="0086027B">
        <w:t xml:space="preserve">. </w:t>
      </w:r>
      <w:r w:rsidR="00B20D65">
        <w:t xml:space="preserve">The Department therefore often receives no responses to this information collection </w:t>
      </w:r>
      <w:r w:rsidR="00B20D65">
        <w:t>in a given year</w:t>
      </w:r>
      <w:r w:rsidR="00B20D65">
        <w:t xml:space="preserve">. </w:t>
      </w:r>
      <w:r w:rsidR="004C3179">
        <w:t xml:space="preserve">However, because each state could potentially submit </w:t>
      </w:r>
      <w:r w:rsidR="005C09AF">
        <w:t>the form at some point, the Department uses a default</w:t>
      </w:r>
      <w:r w:rsidRPr="008573C7" w:rsidR="00314D22">
        <w:t xml:space="preserve"> number of </w:t>
      </w:r>
      <w:r w:rsidR="005B6277">
        <w:t>10</w:t>
      </w:r>
      <w:r w:rsidR="004236D8">
        <w:t xml:space="preserve"> </w:t>
      </w:r>
      <w:r w:rsidR="00F315BC">
        <w:t xml:space="preserve">annual </w:t>
      </w:r>
      <w:r w:rsidR="004236D8">
        <w:t>responses</w:t>
      </w:r>
      <w:r w:rsidRPr="008573C7" w:rsidR="00314D22">
        <w:t xml:space="preserve">. </w:t>
      </w:r>
      <w:r w:rsidR="005C09AF">
        <w:t>Using this number,</w:t>
      </w:r>
      <w:r w:rsidRPr="008573C7" w:rsidR="007F386B">
        <w:t xml:space="preserve"> </w:t>
      </w:r>
      <w:r w:rsidRPr="008573C7" w:rsidR="00314D22">
        <w:t>total</w:t>
      </w:r>
      <w:r w:rsidR="001E150E">
        <w:t xml:space="preserve"> public</w:t>
      </w:r>
      <w:r w:rsidRPr="008573C7" w:rsidR="00314D22">
        <w:t xml:space="preserve"> </w:t>
      </w:r>
      <w:r w:rsidRPr="008573C7" w:rsidR="007F386B">
        <w:t>burde</w:t>
      </w:r>
      <w:r w:rsidRPr="008573C7" w:rsidR="00314D22">
        <w:t xml:space="preserve">n for this collection </w:t>
      </w:r>
      <w:r w:rsidR="001E150E">
        <w:t xml:space="preserve">is </w:t>
      </w:r>
      <w:r w:rsidR="0051388D">
        <w:t>2.5</w:t>
      </w:r>
      <w:r w:rsidRPr="008573C7" w:rsidR="007F386B">
        <w:t xml:space="preserve"> hours</w:t>
      </w:r>
      <w:r w:rsidR="00F47EBD">
        <w:t xml:space="preserve"> (</w:t>
      </w:r>
      <w:r w:rsidR="0051388D">
        <w:t>10</w:t>
      </w:r>
      <w:r w:rsidR="00F47EBD">
        <w:t xml:space="preserve"> potential respondents * </w:t>
      </w:r>
      <w:r w:rsidR="0051388D">
        <w:t>0</w:t>
      </w:r>
      <w:r w:rsidR="00F47EBD">
        <w:t>.25 hours per response)</w:t>
      </w:r>
      <w:r w:rsidRPr="008573C7" w:rsidR="007F386B">
        <w:t>.</w:t>
      </w:r>
      <w:r w:rsidR="00ED5721">
        <w:t xml:space="preserve"> </w:t>
      </w:r>
    </w:p>
    <w:p w:rsidR="78759E99" w:rsidP="005A2AFB" w14:paraId="3C74F408" w14:textId="191059B6"/>
    <w:p w:rsidR="40358C11" w:rsidP="005A2AFB" w14:paraId="1FBA0BFD" w14:textId="73AFAFFB">
      <w:pPr>
        <w:jc w:val="center"/>
        <w:rPr>
          <w:b/>
        </w:rPr>
      </w:pPr>
      <w:r w:rsidRPr="78759E99">
        <w:rPr>
          <w:b/>
          <w:bCs/>
        </w:rPr>
        <w:t xml:space="preserve">Table </w:t>
      </w:r>
      <w:r w:rsidRPr="78759E99" w:rsidR="227AC80F">
        <w:rPr>
          <w:b/>
          <w:bCs/>
        </w:rPr>
        <w:t>1</w:t>
      </w:r>
      <w:r w:rsidRPr="78759E99">
        <w:rPr>
          <w:b/>
          <w:bCs/>
        </w:rPr>
        <w:t>. Estimated annualized respondent cost and hour burden</w:t>
      </w:r>
    </w:p>
    <w:p w:rsidR="00F47EBD" w:rsidP="005A2AFB" w14:paraId="3C475498" w14:textId="77777777">
      <w:pPr>
        <w:jc w:val="center"/>
      </w:pPr>
    </w:p>
    <w:tbl>
      <w:tblPr>
        <w:tblW w:w="10250" w:type="dxa"/>
        <w:jc w:val="center"/>
        <w:tblBorders>
          <w:top w:val="single" w:sz="6" w:space="0" w:color="auto"/>
          <w:left w:val="single" w:sz="6" w:space="0" w:color="auto"/>
          <w:bottom w:val="single" w:sz="6" w:space="0" w:color="auto"/>
          <w:right w:val="single" w:sz="6" w:space="0" w:color="auto"/>
        </w:tblBorders>
        <w:tblLayout w:type="fixed"/>
        <w:tblLook w:val="04A0"/>
      </w:tblPr>
      <w:tblGrid>
        <w:gridCol w:w="1250"/>
        <w:gridCol w:w="1530"/>
        <w:gridCol w:w="1350"/>
        <w:gridCol w:w="1350"/>
        <w:gridCol w:w="1170"/>
        <w:gridCol w:w="990"/>
        <w:gridCol w:w="990"/>
        <w:gridCol w:w="1620"/>
      </w:tblGrid>
      <w:tr w14:paraId="334D3CCA" w14:textId="23C8FBEA" w:rsidTr="0078248F">
        <w:tblPrEx>
          <w:tblW w:w="10250" w:type="dxa"/>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125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0AF48457" w14:textId="61B6BDA7">
            <w:pPr>
              <w:jc w:val="center"/>
            </w:pPr>
            <w:r w:rsidRPr="0078248F">
              <w:rPr>
                <w:b/>
                <w:bCs/>
                <w:color w:val="000000" w:themeColor="text1"/>
              </w:rPr>
              <w:t>Activity</w:t>
            </w:r>
            <w:r w:rsidRPr="0078248F">
              <w:rPr>
                <w:color w:val="000000" w:themeColor="text1"/>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2FE328A3" w14:textId="6BA1CEA4">
            <w:pPr>
              <w:jc w:val="center"/>
            </w:pPr>
            <w:r w:rsidRPr="0078248F">
              <w:rPr>
                <w:b/>
                <w:bCs/>
                <w:color w:val="000000" w:themeColor="text1"/>
              </w:rPr>
              <w:t>Number of respondents</w:t>
            </w:r>
            <w:r w:rsidRPr="0078248F">
              <w:rPr>
                <w:color w:val="000000" w:themeColor="text1"/>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671B52DB" w14:textId="35398839">
            <w:pPr>
              <w:jc w:val="center"/>
            </w:pPr>
            <w:r w:rsidRPr="0078248F">
              <w:rPr>
                <w:b/>
                <w:bCs/>
                <w:color w:val="000000" w:themeColor="text1"/>
              </w:rPr>
              <w:t>Frequency</w:t>
            </w:r>
            <w:r w:rsidRPr="0078248F">
              <w:rPr>
                <w:color w:val="000000" w:themeColor="text1"/>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61CC4DC2" w14:textId="59B67992">
            <w:pPr>
              <w:jc w:val="center"/>
            </w:pPr>
            <w:r w:rsidRPr="0078248F">
              <w:rPr>
                <w:b/>
                <w:bCs/>
                <w:color w:val="000000" w:themeColor="text1"/>
              </w:rPr>
              <w:t>Total annual responses</w:t>
            </w:r>
            <w:r w:rsidRPr="0078248F">
              <w:rPr>
                <w:color w:val="000000" w:themeColor="text1"/>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719DC493" w14:textId="5765D57A">
            <w:pPr>
              <w:jc w:val="center"/>
            </w:pPr>
            <w:r w:rsidRPr="0078248F">
              <w:rPr>
                <w:b/>
                <w:bCs/>
                <w:color w:val="000000" w:themeColor="text1"/>
              </w:rPr>
              <w:t>Time per response</w:t>
            </w:r>
            <w:r w:rsidRPr="0078248F">
              <w:rPr>
                <w:color w:val="000000" w:themeColor="text1"/>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05E9119B" w14:textId="539A3533">
            <w:pPr>
              <w:jc w:val="center"/>
            </w:pPr>
            <w:r w:rsidRPr="0078248F">
              <w:rPr>
                <w:b/>
                <w:bCs/>
                <w:color w:val="000000" w:themeColor="text1"/>
              </w:rPr>
              <w:t>Total annual burden (hours)</w:t>
            </w:r>
            <w:r w:rsidRPr="0078248F">
              <w:rPr>
                <w:color w:val="000000" w:themeColor="text1"/>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4F854BF8" w14:textId="01CF7770">
            <w:pPr>
              <w:jc w:val="center"/>
              <w:rPr>
                <w:b/>
                <w:bCs/>
                <w:color w:val="000000" w:themeColor="text1"/>
              </w:rPr>
            </w:pPr>
            <w:r w:rsidRPr="0078248F">
              <w:rPr>
                <w:rStyle w:val="normaltextrun"/>
                <w:b/>
                <w:bCs/>
                <w:color w:val="000000"/>
              </w:rPr>
              <w:t>Hourly rate</w:t>
            </w:r>
            <w:r w:rsidRPr="0078248F">
              <w:rPr>
                <w:rStyle w:val="eop"/>
                <w:color w:val="000000"/>
              </w:rPr>
              <w:t> </w:t>
            </w:r>
          </w:p>
        </w:tc>
        <w:tc>
          <w:tcPr>
            <w:tcW w:w="1620"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rsidR="00B969DF" w:rsidRPr="0078248F" w:rsidP="00B969DF" w14:paraId="707511AD" w14:textId="0F25C70D">
            <w:pPr>
              <w:jc w:val="center"/>
              <w:rPr>
                <w:b/>
                <w:bCs/>
                <w:color w:val="000000" w:themeColor="text1"/>
              </w:rPr>
            </w:pPr>
            <w:r w:rsidRPr="0078248F">
              <w:rPr>
                <w:rStyle w:val="normaltextrun"/>
                <w:b/>
                <w:bCs/>
                <w:color w:val="000000"/>
              </w:rPr>
              <w:t>Monetized value of respondent time</w:t>
            </w:r>
            <w:r w:rsidRPr="0078248F">
              <w:rPr>
                <w:rStyle w:val="eop"/>
                <w:color w:val="000000"/>
              </w:rPr>
              <w:t> </w:t>
            </w:r>
          </w:p>
        </w:tc>
      </w:tr>
      <w:tr w14:paraId="6653BA72" w14:textId="1707FE9C" w:rsidTr="0078248F">
        <w:tblPrEx>
          <w:tblW w:w="10250" w:type="dxa"/>
          <w:jc w:val="center"/>
          <w:tblLayout w:type="fixed"/>
          <w:tblLook w:val="04A0"/>
        </w:tblPrEx>
        <w:trPr>
          <w:trHeight w:val="300"/>
          <w:jc w:val="center"/>
        </w:trPr>
        <w:tc>
          <w:tcPr>
            <w:tcW w:w="1250" w:type="dxa"/>
            <w:tcBorders>
              <w:top w:val="single" w:sz="8" w:space="0" w:color="auto"/>
              <w:left w:val="single" w:sz="8" w:space="0" w:color="auto"/>
              <w:bottom w:val="single" w:sz="8" w:space="0" w:color="auto"/>
              <w:right w:val="single" w:sz="8" w:space="0" w:color="auto"/>
            </w:tcBorders>
            <w:vAlign w:val="center"/>
          </w:tcPr>
          <w:p w:rsidR="000B7348" w:rsidRPr="0078248F" w:rsidP="00F47EBD" w14:paraId="6D6E2373" w14:textId="22F36A56">
            <w:r w:rsidRPr="0078248F">
              <w:t>Complete Form 3210.12</w:t>
            </w:r>
          </w:p>
        </w:tc>
        <w:tc>
          <w:tcPr>
            <w:tcW w:w="153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28B4CE05" w14:textId="34066B64">
            <w:pPr>
              <w:jc w:val="center"/>
            </w:pPr>
            <w:r w:rsidRPr="0078248F">
              <w:t>10</w:t>
            </w:r>
          </w:p>
        </w:tc>
        <w:tc>
          <w:tcPr>
            <w:tcW w:w="135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3C6F28C1" w14:textId="01761EB4">
            <w:pPr>
              <w:jc w:val="center"/>
            </w:pPr>
            <w:r w:rsidRPr="0078248F">
              <w:t>1</w:t>
            </w:r>
          </w:p>
        </w:tc>
        <w:tc>
          <w:tcPr>
            <w:tcW w:w="135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46995EC9" w14:textId="7552ADAC">
            <w:pPr>
              <w:jc w:val="center"/>
            </w:pPr>
            <w:r w:rsidRPr="0078248F">
              <w:t>10</w:t>
            </w:r>
          </w:p>
        </w:tc>
        <w:tc>
          <w:tcPr>
            <w:tcW w:w="117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47630ECF" w14:textId="15F2381F">
            <w:pPr>
              <w:jc w:val="center"/>
            </w:pPr>
            <w:r w:rsidRPr="0078248F">
              <w:t>0.25</w:t>
            </w:r>
          </w:p>
        </w:tc>
        <w:tc>
          <w:tcPr>
            <w:tcW w:w="99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1D950F98" w14:textId="7FDD9139">
            <w:pPr>
              <w:jc w:val="center"/>
            </w:pPr>
            <w:r w:rsidRPr="0078248F">
              <w:t>2.5</w:t>
            </w:r>
          </w:p>
        </w:tc>
        <w:tc>
          <w:tcPr>
            <w:tcW w:w="99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00DAB302" w14:textId="658A9BBE">
            <w:pPr>
              <w:jc w:val="center"/>
            </w:pPr>
            <w:r w:rsidRPr="0078248F">
              <w:t>$47.92</w:t>
            </w:r>
          </w:p>
        </w:tc>
        <w:tc>
          <w:tcPr>
            <w:tcW w:w="1620" w:type="dxa"/>
            <w:tcBorders>
              <w:top w:val="single" w:sz="8" w:space="0" w:color="auto"/>
              <w:left w:val="single" w:sz="8" w:space="0" w:color="auto"/>
              <w:bottom w:val="single" w:sz="8" w:space="0" w:color="auto"/>
              <w:right w:val="single" w:sz="8" w:space="0" w:color="auto"/>
            </w:tcBorders>
            <w:vAlign w:val="center"/>
          </w:tcPr>
          <w:p w:rsidR="000B7348" w:rsidRPr="0078248F" w:rsidP="78759E99" w14:paraId="28BF6E88" w14:textId="72192DB7">
            <w:pPr>
              <w:jc w:val="center"/>
            </w:pPr>
            <w:r w:rsidRPr="0078248F">
              <w:t>$</w:t>
            </w:r>
            <w:r w:rsidRPr="0078248F" w:rsidR="00326240">
              <w:t>120</w:t>
            </w:r>
          </w:p>
        </w:tc>
      </w:tr>
    </w:tbl>
    <w:p w:rsidR="78759E99" w:rsidP="005A2AFB" w14:paraId="4AD70DA9" w14:textId="184E1816"/>
    <w:p w:rsidR="001C4853" w14:paraId="0129308C" w14:textId="263660C6">
      <w:r>
        <w:t>The monetized cost for time burden is $47.92 per hour.</w:t>
      </w:r>
      <w:r>
        <w:rPr>
          <w:rStyle w:val="FootnoteReference"/>
        </w:rPr>
        <w:footnoteReference w:id="3"/>
      </w:r>
      <w:r>
        <w:t xml:space="preserve"> At a total annual </w:t>
      </w:r>
      <w:r>
        <w:t>burden hour</w:t>
      </w:r>
      <w:r>
        <w:t xml:space="preserve"> of 13 hours, the overall monetized hourly burden for this ICR is $623 (13 hours * $47.92 per hour).</w:t>
      </w:r>
    </w:p>
    <w:p w:rsidR="000B3965" w:rsidRPr="008573C7" w14:paraId="3140A6BB" w14:textId="77777777"/>
    <w:p w:rsidR="00186145" w:rsidRPr="008573C7" w:rsidP="008C1B2B" w14:paraId="24381C17" w14:textId="2CDBBC7F">
      <w:r>
        <w:rPr>
          <w:b/>
          <w:bCs/>
        </w:rPr>
        <w:t xml:space="preserve">13. </w:t>
      </w:r>
      <w:r w:rsidRPr="008C1B2B" w:rsidR="0090031C">
        <w:rPr>
          <w:b/>
          <w:bCs/>
        </w:rPr>
        <w:t>Provide</w:t>
      </w:r>
      <w:r w:rsidRPr="008C1B2B" w:rsidR="0090031C">
        <w:rPr>
          <w:b/>
        </w:rPr>
        <w:t xml:space="preserve"> an estimate of the total annual cost burden to responders</w:t>
      </w:r>
      <w:r w:rsidRPr="008C1B2B" w:rsidR="00AA7D86">
        <w:rPr>
          <w:b/>
        </w:rPr>
        <w:t xml:space="preserve"> or </w:t>
      </w:r>
      <w:r w:rsidRPr="008C1B2B" w:rsidR="00AA7D86">
        <w:rPr>
          <w:b/>
          <w:bCs/>
        </w:rPr>
        <w:t>record</w:t>
      </w:r>
      <w:r w:rsidR="00C7592F">
        <w:rPr>
          <w:b/>
          <w:bCs/>
        </w:rPr>
        <w:t>-</w:t>
      </w:r>
      <w:r w:rsidRPr="008C1B2B" w:rsidR="00AA7D86">
        <w:rPr>
          <w:b/>
          <w:bCs/>
        </w:rPr>
        <w:t>keepers</w:t>
      </w:r>
      <w:r w:rsidRPr="008C1B2B" w:rsidR="00AA7D86">
        <w:rPr>
          <w:b/>
        </w:rPr>
        <w:t xml:space="preserve"> resulting from the information collection.  (Do not include cost of any hour burden</w:t>
      </w:r>
      <w:r w:rsidRPr="008C1B2B" w:rsidR="006C7970">
        <w:rPr>
          <w:b/>
        </w:rPr>
        <w:t xml:space="preserve"> shown in Items 12 and 14).</w:t>
      </w:r>
    </w:p>
    <w:p w:rsidR="00186145" w:rsidRPr="008573C7" w14:paraId="179A5ECC" w14:textId="77777777"/>
    <w:p w:rsidR="00594A23" w:rsidP="005A2AFB" w14:paraId="59B00FD4" w14:textId="0DE8DE5F">
      <w:r>
        <w:t xml:space="preserve">There is no </w:t>
      </w:r>
      <w:r w:rsidR="000A5186">
        <w:t xml:space="preserve">additional </w:t>
      </w:r>
      <w:r>
        <w:t>cost to this ICR.</w:t>
      </w:r>
    </w:p>
    <w:p w:rsidR="007D1A58" w14:paraId="0AA2D959" w14:textId="77777777"/>
    <w:p w:rsidR="00186145" w:rsidP="008C1B2B" w14:paraId="2478EE0F" w14:textId="3F5AB448">
      <w:r>
        <w:rPr>
          <w:b/>
          <w:bCs/>
        </w:rPr>
        <w:t xml:space="preserve">14. </w:t>
      </w:r>
      <w:r w:rsidRPr="008C1B2B" w:rsidR="006C7970">
        <w:rPr>
          <w:b/>
          <w:bCs/>
        </w:rPr>
        <w:t>Provide</w:t>
      </w:r>
      <w:r w:rsidRPr="008C1B2B" w:rsidR="00FF44D7">
        <w:rPr>
          <w:b/>
        </w:rPr>
        <w:t xml:space="preserve"> estimates of the annualized cost to the federal government.</w:t>
      </w:r>
    </w:p>
    <w:p w:rsidR="00186145" w14:paraId="4E51728D" w14:textId="77777777"/>
    <w:p w:rsidR="002A3DD1" w:rsidP="005A2AFB" w14:paraId="25A47D27" w14:textId="15076553">
      <w:r w:rsidRPr="00AB70D0">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186145" w14:paraId="32620EF2" w14:textId="77777777"/>
    <w:p w:rsidR="00186145" w:rsidP="008C1B2B" w14:paraId="76E42238" w14:textId="458C7C43">
      <w:pPr>
        <w:rPr>
          <w:u w:val="single"/>
        </w:rPr>
      </w:pPr>
      <w:r>
        <w:rPr>
          <w:b/>
          <w:bCs/>
        </w:rPr>
        <w:t xml:space="preserve">15. </w:t>
      </w:r>
      <w:r w:rsidRPr="00510442" w:rsidR="009207D2">
        <w:rPr>
          <w:b/>
          <w:bCs/>
        </w:rPr>
        <w:t>Explain the reasons for any program changes or adjustments</w:t>
      </w:r>
      <w:r w:rsidRPr="00510442" w:rsidR="00EF4157">
        <w:rPr>
          <w:b/>
          <w:bCs/>
        </w:rPr>
        <w:t>.</w:t>
      </w:r>
    </w:p>
    <w:p w:rsidR="002A3DD1" w14:paraId="2901A30D" w14:textId="77777777">
      <w:pPr>
        <w:rPr>
          <w:u w:val="single"/>
        </w:rPr>
      </w:pPr>
    </w:p>
    <w:p w:rsidR="002A3DD1" w:rsidRPr="002A3DD1" w:rsidP="005A2AFB" w14:paraId="3ED8E1FF" w14:textId="2F74F7C1">
      <w:r>
        <w:t>There are no program changes or adjustments</w:t>
      </w:r>
      <w:r w:rsidR="00A01465">
        <w:t>.</w:t>
      </w:r>
      <w:r w:rsidR="00070372">
        <w:t xml:space="preserve"> </w:t>
      </w:r>
      <w:r w:rsidR="00A01465">
        <w:t xml:space="preserve">The number of respondents and hourly burden </w:t>
      </w:r>
      <w:r w:rsidR="00A01465">
        <w:t>remain</w:t>
      </w:r>
      <w:r w:rsidR="00A01465">
        <w:t xml:space="preserve"> the same.</w:t>
      </w:r>
    </w:p>
    <w:p w:rsidR="00186145" w14:paraId="2162B6ED" w14:textId="77777777"/>
    <w:p w:rsidR="00186145" w:rsidP="008C1B2B" w14:paraId="631059EB" w14:textId="20525F7E">
      <w:pPr>
        <w:rPr>
          <w:u w:val="single"/>
        </w:rPr>
      </w:pPr>
      <w:r>
        <w:rPr>
          <w:b/>
          <w:bCs/>
        </w:rPr>
        <w:t xml:space="preserve">16. </w:t>
      </w:r>
      <w:r w:rsidRPr="008C1B2B" w:rsidR="00431614">
        <w:rPr>
          <w:b/>
          <w:bCs/>
        </w:rPr>
        <w:t>For</w:t>
      </w:r>
      <w:r w:rsidRPr="008C1B2B" w:rsidR="00431614">
        <w:rPr>
          <w:b/>
        </w:rPr>
        <w:t xml:space="preserve"> information collections whose results will be published</w:t>
      </w:r>
      <w:r w:rsidRPr="008C1B2B" w:rsidR="008D296C">
        <w:rPr>
          <w:b/>
        </w:rPr>
        <w:t>, outline plans for tabulations and publications</w:t>
      </w:r>
      <w:r w:rsidRPr="008C1B2B" w:rsidR="00714A36">
        <w:rPr>
          <w:b/>
        </w:rPr>
        <w:t>.</w:t>
      </w:r>
    </w:p>
    <w:p w:rsidR="000A3893" w14:paraId="05567294" w14:textId="77777777">
      <w:pPr>
        <w:rPr>
          <w:u w:val="single"/>
        </w:rPr>
      </w:pPr>
    </w:p>
    <w:p w:rsidR="00186145" w:rsidP="005A2AFB" w14:paraId="607641F3" w14:textId="26D1978A">
      <w:r w:rsidRPr="00F218B8">
        <w:t>ATF will not publish the</w:t>
      </w:r>
      <w:r>
        <w:t xml:space="preserve"> results of this collection</w:t>
      </w:r>
      <w:r w:rsidRPr="00F218B8">
        <w:t>. </w:t>
      </w:r>
    </w:p>
    <w:p w:rsidR="001C4853" w14:paraId="33CCEB3C" w14:textId="77777777"/>
    <w:p w:rsidR="00186145" w:rsidP="009B1299" w14:paraId="57691C1C" w14:textId="187BE87D">
      <w:r w:rsidRPr="009E38D2">
        <w:rPr>
          <w:b/>
          <w:bCs/>
        </w:rPr>
        <w:t>17. If</w:t>
      </w:r>
      <w:r w:rsidRPr="009E38D2" w:rsidR="00714A36">
        <w:rPr>
          <w:b/>
        </w:rPr>
        <w:t xml:space="preserve"> seeking approval to not display the expiration date for </w:t>
      </w:r>
      <w:r w:rsidRPr="009E38D2" w:rsidR="00F07043">
        <w:rPr>
          <w:b/>
        </w:rPr>
        <w:t>the information collection, explain the reasons that display would be inappropriate.</w:t>
      </w:r>
    </w:p>
    <w:p w:rsidR="00186145" w14:paraId="76684AAA" w14:textId="77777777"/>
    <w:p w:rsidR="002A3DD1" w:rsidP="005A2AFB" w14:paraId="1A055C90" w14:textId="19C6C636">
      <w:r>
        <w:t>ATF does not request approval to</w:t>
      </w:r>
      <w:r w:rsidR="001962C5">
        <w:t xml:space="preserve"> omit</w:t>
      </w:r>
      <w:r>
        <w:t xml:space="preserve"> the </w:t>
      </w:r>
      <w:r w:rsidR="001962C5">
        <w:t xml:space="preserve">Office of Management and Budget </w:t>
      </w:r>
      <w:r>
        <w:t>expiration date for this collection.</w:t>
      </w:r>
    </w:p>
    <w:p w:rsidR="002A3DD1" w:rsidP="002A3DD1" w14:paraId="5ABCBD14" w14:textId="77777777">
      <w:pPr>
        <w:jc w:val="center"/>
      </w:pPr>
    </w:p>
    <w:p w:rsidR="00186145" w:rsidP="009B1299" w14:paraId="15AE8E05" w14:textId="21A561CA">
      <w:r>
        <w:rPr>
          <w:b/>
          <w:bCs/>
        </w:rPr>
        <w:t xml:space="preserve">18. </w:t>
      </w:r>
      <w:r w:rsidRPr="009B1299" w:rsidR="0093032D">
        <w:rPr>
          <w:b/>
          <w:bCs/>
        </w:rPr>
        <w:t>Explain</w:t>
      </w:r>
      <w:r w:rsidRPr="009B1299" w:rsidR="0093032D">
        <w:rPr>
          <w:b/>
        </w:rPr>
        <w:t xml:space="preserve"> each exception to the cer</w:t>
      </w:r>
      <w:r w:rsidRPr="009B1299" w:rsidR="00567802">
        <w:rPr>
          <w:b/>
        </w:rPr>
        <w:t>tification statement.</w:t>
      </w:r>
    </w:p>
    <w:p w:rsidR="00186145" w14:paraId="648B22EA" w14:textId="77777777"/>
    <w:p w:rsidR="00186145" w:rsidP="005A2AFB" w14:paraId="48C767B0" w14:textId="77777777">
      <w:r>
        <w:t>There are no exceptions to the certification statement.</w:t>
      </w:r>
    </w:p>
    <w:p w:rsidR="004B08A1" w14:paraId="24E1AE5F" w14:textId="77777777"/>
    <w:p w:rsidR="00186145" w:rsidRPr="00CA6F05" w:rsidP="000E2039" w14:paraId="00EB276A" w14:textId="12F3E0B5">
      <w:pPr>
        <w:rPr>
          <w:b/>
          <w:bCs/>
        </w:rPr>
      </w:pPr>
      <w:r>
        <w:rPr>
          <w:b/>
          <w:bCs/>
        </w:rPr>
        <w:t>B.</w:t>
      </w:r>
      <w:r w:rsidRPr="0094182C" w:rsidR="001962C5">
        <w:rPr>
          <w:b/>
          <w:bCs/>
        </w:rPr>
        <w:t xml:space="preserve"> INFORMATION </w:t>
      </w:r>
      <w:r w:rsidR="001A741F">
        <w:rPr>
          <w:b/>
          <w:bCs/>
        </w:rPr>
        <w:t>COLLECTIONS EMPLOYING STATISTICAL METHODS</w:t>
      </w:r>
      <w:r w:rsidR="00FE05A4">
        <w:rPr>
          <w:b/>
          <w:bCs/>
        </w:rPr>
        <w:t>.</w:t>
      </w:r>
    </w:p>
    <w:p w:rsidR="00186145" w:rsidP="005A2AFB" w14:paraId="5853CA20" w14:textId="77777777"/>
    <w:p w:rsidR="00491941" w:rsidP="005A2AFB" w14:paraId="217E0572" w14:textId="14685475">
      <w:r>
        <w:t>This collection does not employ statistical methods.</w:t>
      </w:r>
    </w:p>
    <w:sectPr w:rsidSect="00B92732">
      <w:headerReference w:type="default" r:id="rId9"/>
      <w:footerReference w:type="default" r:id="rId10"/>
      <w:headerReference w:type="first" r:id="rId11"/>
      <w:footerReference w:type="first" r:id="rId12"/>
      <w:pgSz w:w="12240" w:h="15840" w:code="1"/>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C04" w14:paraId="6444EBF6" w14:textId="777777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36513D" w14:paraId="3B1E2B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D7B" w14:paraId="3B8F9834" w14:textId="766A77A8">
    <w:pPr>
      <w:pStyle w:val="Footer"/>
      <w:jc w:val="center"/>
    </w:pPr>
  </w:p>
  <w:p w:rsidR="00A41D7B" w14:paraId="51A82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5720" w:rsidP="00CF4598" w14:paraId="2E746CDE" w14:textId="77777777">
      <w:r>
        <w:separator/>
      </w:r>
    </w:p>
  </w:footnote>
  <w:footnote w:type="continuationSeparator" w:id="1">
    <w:p w:rsidR="00F75720" w:rsidP="00CF4598" w14:paraId="52377913" w14:textId="77777777">
      <w:r>
        <w:continuationSeparator/>
      </w:r>
    </w:p>
  </w:footnote>
  <w:footnote w:type="continuationNotice" w:id="2">
    <w:p w:rsidR="00F75720" w14:paraId="1081AF4A" w14:textId="77777777"/>
  </w:footnote>
  <w:footnote w:id="3">
    <w:p w:rsidR="000B3965" w:rsidP="000B3965" w14:paraId="0F2B4075" w14:textId="77777777">
      <w:pPr>
        <w:pStyle w:val="FootnoteText"/>
      </w:pPr>
      <w:r>
        <w:rPr>
          <w:rStyle w:val="FootnoteReference"/>
        </w:rPr>
        <w:footnoteRef/>
      </w:r>
      <w:r>
        <w:t xml:space="preserve"> </w:t>
      </w:r>
      <w:r w:rsidRPr="00C9768B">
        <w:t>https://www.bls.gov/news.release/archives/ecec_06132025.pdf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17" w:rsidRPr="00296092" w14:paraId="6C51AECB" w14:textId="23A8E4D4">
    <w:pPr>
      <w:pStyle w:val="Header"/>
      <w:rPr>
        <w:sz w:val="20"/>
        <w:szCs w:val="20"/>
      </w:rPr>
    </w:pPr>
    <w:r w:rsidRPr="00296092">
      <w:rPr>
        <w:sz w:val="20"/>
        <w:szCs w:val="20"/>
      </w:rPr>
      <w:t>Certification of Qualifying State Rel</w:t>
    </w:r>
    <w:r w:rsidRPr="00296092" w:rsidR="00BD2F52">
      <w:rPr>
        <w:sz w:val="20"/>
        <w:szCs w:val="20"/>
      </w:rPr>
      <w:t>ief</w:t>
    </w:r>
  </w:p>
  <w:p w:rsidR="00BD2F52" w:rsidRPr="00296092" w14:paraId="2ED9CA49" w14:textId="7FC133D5">
    <w:pPr>
      <w:pStyle w:val="Header"/>
      <w:rPr>
        <w:sz w:val="20"/>
        <w:szCs w:val="20"/>
      </w:rPr>
    </w:pPr>
    <w:r w:rsidRPr="00296092">
      <w:rPr>
        <w:sz w:val="20"/>
        <w:szCs w:val="20"/>
      </w:rPr>
      <w:t>OMB Control Number 1140-0094</w:t>
    </w:r>
  </w:p>
  <w:p w:rsidR="00BD2F52" w14:paraId="165628BD" w14:textId="520AA0C2">
    <w:pPr>
      <w:pStyle w:val="Header"/>
    </w:pPr>
    <w:r w:rsidRPr="00296092">
      <w:rPr>
        <w:sz w:val="20"/>
        <w:szCs w:val="20"/>
      </w:rPr>
      <w:t>OMB Expiration Date</w:t>
    </w:r>
    <w:r w:rsidRPr="00296092" w:rsidR="009F4207">
      <w:rPr>
        <w:sz w:val="20"/>
        <w:szCs w:val="20"/>
      </w:rPr>
      <w:t>:  11-30-2025</w:t>
    </w:r>
  </w:p>
  <w:p w:rsidR="00CF4598" w:rsidP="00CF4598" w14:paraId="4F75DE92" w14:textId="77777777">
    <w:pPr>
      <w:pStyle w:val="Header"/>
      <w:tabs>
        <w:tab w:val="center" w:pos="4320"/>
        <w:tab w:val="clear" w:pos="4680"/>
        <w:tab w:val="right" w:pos="864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A74" w:rsidRPr="00333077" w14:paraId="636A0AF7" w14:textId="1892C2D8">
    <w:pPr>
      <w:pStyle w:val="Header"/>
      <w:rPr>
        <w:color w:val="000000" w:themeColor="text1"/>
        <w:sz w:val="20"/>
        <w:szCs w:val="20"/>
      </w:rPr>
    </w:pPr>
    <w:r>
      <w:rPr>
        <w:color w:val="000000" w:themeColor="text1"/>
        <w:sz w:val="20"/>
        <w:szCs w:val="20"/>
      </w:rPr>
      <w:t>Certifying</w:t>
    </w:r>
    <w:r w:rsidRPr="00333077" w:rsidR="002F1D73">
      <w:rPr>
        <w:color w:val="000000" w:themeColor="text1"/>
        <w:sz w:val="20"/>
        <w:szCs w:val="20"/>
      </w:rPr>
      <w:t xml:space="preserve"> Qualifyin</w:t>
    </w:r>
    <w:r w:rsidRPr="00333077" w:rsidR="0074013A">
      <w:rPr>
        <w:color w:val="000000" w:themeColor="text1"/>
        <w:sz w:val="20"/>
        <w:szCs w:val="20"/>
      </w:rPr>
      <w:t>g State Relief</w:t>
    </w:r>
    <w:r w:rsidR="005A2AFB">
      <w:rPr>
        <w:color w:val="000000" w:themeColor="text1"/>
        <w:sz w:val="20"/>
        <w:szCs w:val="20"/>
      </w:rPr>
      <w:t xml:space="preserve"> from Disabilities Program</w:t>
    </w:r>
  </w:p>
  <w:p w:rsidR="0074013A" w:rsidRPr="00333077" w14:paraId="76160C02" w14:textId="10DEB0A8">
    <w:pPr>
      <w:pStyle w:val="Header"/>
      <w:rPr>
        <w:color w:val="000000" w:themeColor="text1"/>
        <w:sz w:val="20"/>
        <w:szCs w:val="20"/>
      </w:rPr>
    </w:pPr>
    <w:r w:rsidRPr="00333077">
      <w:rPr>
        <w:color w:val="000000" w:themeColor="text1"/>
        <w:sz w:val="20"/>
        <w:szCs w:val="20"/>
      </w:rPr>
      <w:t>OMB</w:t>
    </w:r>
    <w:r w:rsidRPr="00333077" w:rsidR="00726646">
      <w:rPr>
        <w:color w:val="000000" w:themeColor="text1"/>
        <w:sz w:val="20"/>
        <w:szCs w:val="20"/>
      </w:rPr>
      <w:t xml:space="preserve"> Control Number 1140-0094</w:t>
    </w:r>
  </w:p>
  <w:p w:rsidR="004F3CDF" w:rsidRPr="00333077" w14:paraId="51567E7D" w14:textId="585D9787">
    <w:pPr>
      <w:pStyle w:val="Header"/>
      <w:rPr>
        <w:color w:val="000000" w:themeColor="text1"/>
        <w:sz w:val="20"/>
        <w:szCs w:val="20"/>
      </w:rPr>
    </w:pPr>
    <w:r w:rsidRPr="00333077">
      <w:rPr>
        <w:color w:val="000000" w:themeColor="text1"/>
        <w:sz w:val="20"/>
        <w:szCs w:val="20"/>
      </w:rPr>
      <w:t>OMB Expiration Date:</w:t>
    </w:r>
    <w:r>
      <w:rPr>
        <w:color w:val="000000" w:themeColor="text1"/>
        <w:sz w:val="20"/>
        <w:szCs w:val="20"/>
      </w:rPr>
      <w:t xml:space="preserve"> </w:t>
    </w:r>
    <w:r w:rsidRPr="00333077" w:rsidR="004F18BF">
      <w:rPr>
        <w:color w:val="000000" w:themeColor="text1"/>
        <w:sz w:val="20"/>
        <w:szCs w:val="20"/>
      </w:rPr>
      <w:t>11-30-2025</w:t>
    </w:r>
  </w:p>
  <w:p w:rsidR="00A41D7B" w:rsidRPr="004F18BF" w14:paraId="4919E093" w14:textId="77777777">
    <w:pPr>
      <w:pStyle w:val="Header"/>
      <w:rPr>
        <w:sz w:val="20"/>
        <w:szCs w:val="20"/>
      </w:rPr>
    </w:pPr>
  </w:p>
  <w:p w:rsidR="00671A74" w14:paraId="4BBAE2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47F375AA"/>
    <w:multiLevelType w:val="hybridMultilevel"/>
    <w:tmpl w:val="865887C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18F295E"/>
    <w:multiLevelType w:val="hybridMultilevel"/>
    <w:tmpl w:val="16482242"/>
    <w:lvl w:ilvl="0">
      <w:start w:val="1"/>
      <w:numFmt w:val="upperLetter"/>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5E5912"/>
    <w:multiLevelType w:val="hybridMultilevel"/>
    <w:tmpl w:val="F88CAD30"/>
    <w:lvl w:ilvl="0">
      <w:start w:val="1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6B74073"/>
    <w:multiLevelType w:val="hybridMultilevel"/>
    <w:tmpl w:val="9DDC76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9872EC8"/>
    <w:multiLevelType w:val="hybridMultilevel"/>
    <w:tmpl w:val="FC888052"/>
    <w:lvl w:ilvl="0">
      <w:start w:val="1"/>
      <w:numFmt w:val="upperLetter"/>
      <w:lvlText w:val="%1."/>
      <w:lvlJc w:val="left"/>
      <w:pPr>
        <w:ind w:left="720" w:hanging="360"/>
      </w:pPr>
    </w:lvl>
    <w:lvl w:ilvl="1">
      <w:start w:val="1"/>
      <w:numFmt w:val="decimal"/>
      <w:lvlText w:val="%2."/>
      <w:lvlJc w:val="left"/>
      <w:pPr>
        <w:ind w:left="1440" w:hanging="360"/>
      </w:pPr>
      <w:rPr>
        <w:rFonts w:hint="default"/>
        <w:u w:val="non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315665"/>
    <w:multiLevelType w:val="hybridMultilevel"/>
    <w:tmpl w:val="516E47F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0634EDC"/>
    <w:multiLevelType w:val="hybridMultilevel"/>
    <w:tmpl w:val="04E62F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370370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521291">
    <w:abstractNumId w:val="5"/>
  </w:num>
  <w:num w:numId="3" w16cid:durableId="1359311707">
    <w:abstractNumId w:val="2"/>
  </w:num>
  <w:num w:numId="4" w16cid:durableId="183328012">
    <w:abstractNumId w:val="6"/>
  </w:num>
  <w:num w:numId="5" w16cid:durableId="396167879">
    <w:abstractNumId w:val="4"/>
  </w:num>
  <w:num w:numId="6" w16cid:durableId="2126843592">
    <w:abstractNumId w:val="1"/>
  </w:num>
  <w:num w:numId="7" w16cid:durableId="1956670597">
    <w:abstractNumId w:val="7"/>
  </w:num>
  <w:num w:numId="8"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45"/>
    <w:rsid w:val="000009D4"/>
    <w:rsid w:val="0000247C"/>
    <w:rsid w:val="00010E09"/>
    <w:rsid w:val="000126A8"/>
    <w:rsid w:val="00022C59"/>
    <w:rsid w:val="00022D05"/>
    <w:rsid w:val="00023CB9"/>
    <w:rsid w:val="00025516"/>
    <w:rsid w:val="00026FD9"/>
    <w:rsid w:val="00032584"/>
    <w:rsid w:val="000375EF"/>
    <w:rsid w:val="00041DB3"/>
    <w:rsid w:val="0005247A"/>
    <w:rsid w:val="00052654"/>
    <w:rsid w:val="000532C7"/>
    <w:rsid w:val="00055EE7"/>
    <w:rsid w:val="00060F81"/>
    <w:rsid w:val="00063DF4"/>
    <w:rsid w:val="00070372"/>
    <w:rsid w:val="00072C2C"/>
    <w:rsid w:val="0007461F"/>
    <w:rsid w:val="000773D8"/>
    <w:rsid w:val="00090878"/>
    <w:rsid w:val="00093997"/>
    <w:rsid w:val="000A180E"/>
    <w:rsid w:val="000A3893"/>
    <w:rsid w:val="000A4B16"/>
    <w:rsid w:val="000A5186"/>
    <w:rsid w:val="000B3965"/>
    <w:rsid w:val="000B5DBE"/>
    <w:rsid w:val="000B706E"/>
    <w:rsid w:val="000B7348"/>
    <w:rsid w:val="000C48F8"/>
    <w:rsid w:val="000D49AC"/>
    <w:rsid w:val="000E2039"/>
    <w:rsid w:val="000F12C2"/>
    <w:rsid w:val="000F47A8"/>
    <w:rsid w:val="00126F3D"/>
    <w:rsid w:val="00131AA2"/>
    <w:rsid w:val="001345E9"/>
    <w:rsid w:val="00145B21"/>
    <w:rsid w:val="0015494D"/>
    <w:rsid w:val="00156E16"/>
    <w:rsid w:val="00156E1E"/>
    <w:rsid w:val="00161DFF"/>
    <w:rsid w:val="00162B36"/>
    <w:rsid w:val="00170070"/>
    <w:rsid w:val="00170992"/>
    <w:rsid w:val="00172A62"/>
    <w:rsid w:val="00173024"/>
    <w:rsid w:val="00173C58"/>
    <w:rsid w:val="00175E63"/>
    <w:rsid w:val="001842C9"/>
    <w:rsid w:val="00185C8F"/>
    <w:rsid w:val="00186145"/>
    <w:rsid w:val="001959C3"/>
    <w:rsid w:val="001962C5"/>
    <w:rsid w:val="001A12D8"/>
    <w:rsid w:val="001A3AC2"/>
    <w:rsid w:val="001A6B9F"/>
    <w:rsid w:val="001A6C14"/>
    <w:rsid w:val="001A6E1F"/>
    <w:rsid w:val="001A741F"/>
    <w:rsid w:val="001B3528"/>
    <w:rsid w:val="001B4D0A"/>
    <w:rsid w:val="001C288E"/>
    <w:rsid w:val="001C2C10"/>
    <w:rsid w:val="001C4853"/>
    <w:rsid w:val="001C4E9F"/>
    <w:rsid w:val="001D3906"/>
    <w:rsid w:val="001D57A2"/>
    <w:rsid w:val="001D5D3F"/>
    <w:rsid w:val="001D6A99"/>
    <w:rsid w:val="001E150E"/>
    <w:rsid w:val="001E36EF"/>
    <w:rsid w:val="001E6280"/>
    <w:rsid w:val="001F180D"/>
    <w:rsid w:val="001F4920"/>
    <w:rsid w:val="001F51B0"/>
    <w:rsid w:val="001F54CF"/>
    <w:rsid w:val="001F65EB"/>
    <w:rsid w:val="00200B79"/>
    <w:rsid w:val="00210C2A"/>
    <w:rsid w:val="00211BFC"/>
    <w:rsid w:val="00217F4A"/>
    <w:rsid w:val="0022737E"/>
    <w:rsid w:val="00227F3F"/>
    <w:rsid w:val="002346A8"/>
    <w:rsid w:val="00235BA1"/>
    <w:rsid w:val="00241E55"/>
    <w:rsid w:val="00242222"/>
    <w:rsid w:val="002426A5"/>
    <w:rsid w:val="0026062F"/>
    <w:rsid w:val="00262231"/>
    <w:rsid w:val="002710DB"/>
    <w:rsid w:val="0027693C"/>
    <w:rsid w:val="00284D34"/>
    <w:rsid w:val="00294559"/>
    <w:rsid w:val="00296092"/>
    <w:rsid w:val="002A18A3"/>
    <w:rsid w:val="002A3DD1"/>
    <w:rsid w:val="002A6D81"/>
    <w:rsid w:val="002B1927"/>
    <w:rsid w:val="002B3880"/>
    <w:rsid w:val="002B45D4"/>
    <w:rsid w:val="002C5F44"/>
    <w:rsid w:val="002D38DA"/>
    <w:rsid w:val="002E6622"/>
    <w:rsid w:val="002F1D73"/>
    <w:rsid w:val="002F6F65"/>
    <w:rsid w:val="002F76BF"/>
    <w:rsid w:val="003067D9"/>
    <w:rsid w:val="003079BE"/>
    <w:rsid w:val="00310A22"/>
    <w:rsid w:val="00314D22"/>
    <w:rsid w:val="00325334"/>
    <w:rsid w:val="00326240"/>
    <w:rsid w:val="00330271"/>
    <w:rsid w:val="00333077"/>
    <w:rsid w:val="00334C85"/>
    <w:rsid w:val="0033643B"/>
    <w:rsid w:val="00352D9A"/>
    <w:rsid w:val="00352E2B"/>
    <w:rsid w:val="003557A4"/>
    <w:rsid w:val="00363EC1"/>
    <w:rsid w:val="0036513D"/>
    <w:rsid w:val="003663F9"/>
    <w:rsid w:val="00366915"/>
    <w:rsid w:val="003719AB"/>
    <w:rsid w:val="00374E0D"/>
    <w:rsid w:val="00380EC3"/>
    <w:rsid w:val="00383B70"/>
    <w:rsid w:val="003A344D"/>
    <w:rsid w:val="003A52D7"/>
    <w:rsid w:val="003A7C12"/>
    <w:rsid w:val="003B1582"/>
    <w:rsid w:val="003B1EFE"/>
    <w:rsid w:val="003B223D"/>
    <w:rsid w:val="003B2BEE"/>
    <w:rsid w:val="003B66CF"/>
    <w:rsid w:val="003C1BB5"/>
    <w:rsid w:val="003D1D11"/>
    <w:rsid w:val="003D2082"/>
    <w:rsid w:val="003D4BB2"/>
    <w:rsid w:val="003D57F8"/>
    <w:rsid w:val="003E705B"/>
    <w:rsid w:val="003F3F59"/>
    <w:rsid w:val="00400910"/>
    <w:rsid w:val="00403818"/>
    <w:rsid w:val="00412A0E"/>
    <w:rsid w:val="00416C0F"/>
    <w:rsid w:val="00416F61"/>
    <w:rsid w:val="00417A74"/>
    <w:rsid w:val="004236D8"/>
    <w:rsid w:val="0042799A"/>
    <w:rsid w:val="00431208"/>
    <w:rsid w:val="00431614"/>
    <w:rsid w:val="00432C80"/>
    <w:rsid w:val="00437EB1"/>
    <w:rsid w:val="00443CF4"/>
    <w:rsid w:val="004503CC"/>
    <w:rsid w:val="00451606"/>
    <w:rsid w:val="00452480"/>
    <w:rsid w:val="00452777"/>
    <w:rsid w:val="0046193A"/>
    <w:rsid w:val="004638D4"/>
    <w:rsid w:val="00464CBA"/>
    <w:rsid w:val="00475426"/>
    <w:rsid w:val="00480FD8"/>
    <w:rsid w:val="00490A8E"/>
    <w:rsid w:val="00491941"/>
    <w:rsid w:val="00492119"/>
    <w:rsid w:val="00493942"/>
    <w:rsid w:val="004A06BC"/>
    <w:rsid w:val="004A1910"/>
    <w:rsid w:val="004A4CB7"/>
    <w:rsid w:val="004B08A1"/>
    <w:rsid w:val="004B0A38"/>
    <w:rsid w:val="004B3B56"/>
    <w:rsid w:val="004B48B8"/>
    <w:rsid w:val="004B4C38"/>
    <w:rsid w:val="004C3179"/>
    <w:rsid w:val="004C3FD2"/>
    <w:rsid w:val="004C5E59"/>
    <w:rsid w:val="004D2C3A"/>
    <w:rsid w:val="004E0B05"/>
    <w:rsid w:val="004E1259"/>
    <w:rsid w:val="004E5274"/>
    <w:rsid w:val="004F18BF"/>
    <w:rsid w:val="004F3CDF"/>
    <w:rsid w:val="004F5BAA"/>
    <w:rsid w:val="00505CF5"/>
    <w:rsid w:val="00510442"/>
    <w:rsid w:val="0051388D"/>
    <w:rsid w:val="005173C1"/>
    <w:rsid w:val="005222AF"/>
    <w:rsid w:val="00527C85"/>
    <w:rsid w:val="00527FCD"/>
    <w:rsid w:val="00531DA4"/>
    <w:rsid w:val="00532566"/>
    <w:rsid w:val="00533CB0"/>
    <w:rsid w:val="00535C7D"/>
    <w:rsid w:val="00540602"/>
    <w:rsid w:val="00544824"/>
    <w:rsid w:val="0055083C"/>
    <w:rsid w:val="005521FD"/>
    <w:rsid w:val="00552C5E"/>
    <w:rsid w:val="005560EB"/>
    <w:rsid w:val="00557B50"/>
    <w:rsid w:val="00567802"/>
    <w:rsid w:val="005703BB"/>
    <w:rsid w:val="00571461"/>
    <w:rsid w:val="005753B6"/>
    <w:rsid w:val="00583EEB"/>
    <w:rsid w:val="00585B9F"/>
    <w:rsid w:val="00593696"/>
    <w:rsid w:val="00593B07"/>
    <w:rsid w:val="00594A23"/>
    <w:rsid w:val="005A2AFB"/>
    <w:rsid w:val="005A2C09"/>
    <w:rsid w:val="005B147A"/>
    <w:rsid w:val="005B6277"/>
    <w:rsid w:val="005C09AF"/>
    <w:rsid w:val="005C2212"/>
    <w:rsid w:val="005C244B"/>
    <w:rsid w:val="005C27C4"/>
    <w:rsid w:val="005C3B4D"/>
    <w:rsid w:val="005D3856"/>
    <w:rsid w:val="005D71AB"/>
    <w:rsid w:val="005E2F77"/>
    <w:rsid w:val="005E4599"/>
    <w:rsid w:val="005F61ED"/>
    <w:rsid w:val="0061746C"/>
    <w:rsid w:val="006267BB"/>
    <w:rsid w:val="00631897"/>
    <w:rsid w:val="00655F30"/>
    <w:rsid w:val="0066661A"/>
    <w:rsid w:val="00671A74"/>
    <w:rsid w:val="0069049C"/>
    <w:rsid w:val="006B0855"/>
    <w:rsid w:val="006C0DAD"/>
    <w:rsid w:val="006C20BA"/>
    <w:rsid w:val="006C25AA"/>
    <w:rsid w:val="006C7970"/>
    <w:rsid w:val="006D3263"/>
    <w:rsid w:val="006D3E30"/>
    <w:rsid w:val="006E5000"/>
    <w:rsid w:val="006E68AE"/>
    <w:rsid w:val="006F54F2"/>
    <w:rsid w:val="006F6B03"/>
    <w:rsid w:val="006F7408"/>
    <w:rsid w:val="0070386C"/>
    <w:rsid w:val="007107F7"/>
    <w:rsid w:val="00714A36"/>
    <w:rsid w:val="00716ABD"/>
    <w:rsid w:val="00723EF7"/>
    <w:rsid w:val="00726576"/>
    <w:rsid w:val="00726646"/>
    <w:rsid w:val="0073041A"/>
    <w:rsid w:val="00731F0B"/>
    <w:rsid w:val="00735982"/>
    <w:rsid w:val="0074013A"/>
    <w:rsid w:val="0074568C"/>
    <w:rsid w:val="00752B79"/>
    <w:rsid w:val="00763972"/>
    <w:rsid w:val="0076721B"/>
    <w:rsid w:val="00771AEB"/>
    <w:rsid w:val="00777038"/>
    <w:rsid w:val="0078248F"/>
    <w:rsid w:val="007824D4"/>
    <w:rsid w:val="00786C33"/>
    <w:rsid w:val="00791AF6"/>
    <w:rsid w:val="007945B8"/>
    <w:rsid w:val="00797531"/>
    <w:rsid w:val="007A0230"/>
    <w:rsid w:val="007A5A8E"/>
    <w:rsid w:val="007B7568"/>
    <w:rsid w:val="007B7F7D"/>
    <w:rsid w:val="007C2C38"/>
    <w:rsid w:val="007D1A58"/>
    <w:rsid w:val="007D48BB"/>
    <w:rsid w:val="007F386B"/>
    <w:rsid w:val="007F58A1"/>
    <w:rsid w:val="00803B89"/>
    <w:rsid w:val="008144EE"/>
    <w:rsid w:val="008170BC"/>
    <w:rsid w:val="00823543"/>
    <w:rsid w:val="00836F8B"/>
    <w:rsid w:val="00847B26"/>
    <w:rsid w:val="00850DDF"/>
    <w:rsid w:val="008573C7"/>
    <w:rsid w:val="0086027B"/>
    <w:rsid w:val="00862CEE"/>
    <w:rsid w:val="008642EA"/>
    <w:rsid w:val="00864423"/>
    <w:rsid w:val="00867277"/>
    <w:rsid w:val="0087648F"/>
    <w:rsid w:val="00890DFD"/>
    <w:rsid w:val="008A5CFD"/>
    <w:rsid w:val="008B1652"/>
    <w:rsid w:val="008B1CAA"/>
    <w:rsid w:val="008B45C8"/>
    <w:rsid w:val="008B7760"/>
    <w:rsid w:val="008C1B2B"/>
    <w:rsid w:val="008C1B2E"/>
    <w:rsid w:val="008C38DB"/>
    <w:rsid w:val="008C6F25"/>
    <w:rsid w:val="008D0E9A"/>
    <w:rsid w:val="008D296C"/>
    <w:rsid w:val="008D6353"/>
    <w:rsid w:val="008D760B"/>
    <w:rsid w:val="008E2759"/>
    <w:rsid w:val="008E301C"/>
    <w:rsid w:val="008E510A"/>
    <w:rsid w:val="008F2E1C"/>
    <w:rsid w:val="008F471C"/>
    <w:rsid w:val="0090031C"/>
    <w:rsid w:val="00902DBD"/>
    <w:rsid w:val="00920496"/>
    <w:rsid w:val="009207D2"/>
    <w:rsid w:val="00925CC9"/>
    <w:rsid w:val="0093032D"/>
    <w:rsid w:val="00932123"/>
    <w:rsid w:val="00937328"/>
    <w:rsid w:val="0094182C"/>
    <w:rsid w:val="009463C7"/>
    <w:rsid w:val="009541D2"/>
    <w:rsid w:val="00960EC4"/>
    <w:rsid w:val="00962BC3"/>
    <w:rsid w:val="00964D44"/>
    <w:rsid w:val="00964E17"/>
    <w:rsid w:val="00966562"/>
    <w:rsid w:val="00966F97"/>
    <w:rsid w:val="00972F73"/>
    <w:rsid w:val="00975A14"/>
    <w:rsid w:val="00986A90"/>
    <w:rsid w:val="00993A38"/>
    <w:rsid w:val="009A4CF4"/>
    <w:rsid w:val="009A4F59"/>
    <w:rsid w:val="009A52BA"/>
    <w:rsid w:val="009B1299"/>
    <w:rsid w:val="009B2899"/>
    <w:rsid w:val="009B33F2"/>
    <w:rsid w:val="009B362B"/>
    <w:rsid w:val="009B47DA"/>
    <w:rsid w:val="009C38A6"/>
    <w:rsid w:val="009C5A5C"/>
    <w:rsid w:val="009C796B"/>
    <w:rsid w:val="009D3DF6"/>
    <w:rsid w:val="009D5363"/>
    <w:rsid w:val="009D59EE"/>
    <w:rsid w:val="009E23E2"/>
    <w:rsid w:val="009E2A69"/>
    <w:rsid w:val="009E38D2"/>
    <w:rsid w:val="009E57D1"/>
    <w:rsid w:val="009E5DAC"/>
    <w:rsid w:val="009F2D35"/>
    <w:rsid w:val="009F3FCF"/>
    <w:rsid w:val="009F4207"/>
    <w:rsid w:val="00A01465"/>
    <w:rsid w:val="00A026BA"/>
    <w:rsid w:val="00A07274"/>
    <w:rsid w:val="00A07D0D"/>
    <w:rsid w:val="00A14A33"/>
    <w:rsid w:val="00A264C4"/>
    <w:rsid w:val="00A27279"/>
    <w:rsid w:val="00A274C1"/>
    <w:rsid w:val="00A278B3"/>
    <w:rsid w:val="00A3481A"/>
    <w:rsid w:val="00A41D7B"/>
    <w:rsid w:val="00A451BB"/>
    <w:rsid w:val="00A46395"/>
    <w:rsid w:val="00A47E51"/>
    <w:rsid w:val="00A5790E"/>
    <w:rsid w:val="00A61EBA"/>
    <w:rsid w:val="00A70CEB"/>
    <w:rsid w:val="00A77347"/>
    <w:rsid w:val="00A80CDF"/>
    <w:rsid w:val="00A84FA1"/>
    <w:rsid w:val="00A91309"/>
    <w:rsid w:val="00A96BE2"/>
    <w:rsid w:val="00AA28A5"/>
    <w:rsid w:val="00AA7D86"/>
    <w:rsid w:val="00AB21D0"/>
    <w:rsid w:val="00AB4E8B"/>
    <w:rsid w:val="00AB6218"/>
    <w:rsid w:val="00AB70D0"/>
    <w:rsid w:val="00AB7FA3"/>
    <w:rsid w:val="00AC269F"/>
    <w:rsid w:val="00AC4BFD"/>
    <w:rsid w:val="00AD518E"/>
    <w:rsid w:val="00AD66FC"/>
    <w:rsid w:val="00AF1C3D"/>
    <w:rsid w:val="00B05DC7"/>
    <w:rsid w:val="00B1239F"/>
    <w:rsid w:val="00B12824"/>
    <w:rsid w:val="00B20D65"/>
    <w:rsid w:val="00B35100"/>
    <w:rsid w:val="00B42276"/>
    <w:rsid w:val="00B53279"/>
    <w:rsid w:val="00B63C2F"/>
    <w:rsid w:val="00B73388"/>
    <w:rsid w:val="00B749D6"/>
    <w:rsid w:val="00B8443A"/>
    <w:rsid w:val="00B92732"/>
    <w:rsid w:val="00B969DF"/>
    <w:rsid w:val="00B97418"/>
    <w:rsid w:val="00BA38CE"/>
    <w:rsid w:val="00BC1AFE"/>
    <w:rsid w:val="00BC3756"/>
    <w:rsid w:val="00BD0A66"/>
    <w:rsid w:val="00BD2F52"/>
    <w:rsid w:val="00BD3B04"/>
    <w:rsid w:val="00BD65CD"/>
    <w:rsid w:val="00BE1B15"/>
    <w:rsid w:val="00BF23AF"/>
    <w:rsid w:val="00BF2933"/>
    <w:rsid w:val="00BF2EDC"/>
    <w:rsid w:val="00BF5E2E"/>
    <w:rsid w:val="00C03B68"/>
    <w:rsid w:val="00C06465"/>
    <w:rsid w:val="00C313CE"/>
    <w:rsid w:val="00C347B6"/>
    <w:rsid w:val="00C3703D"/>
    <w:rsid w:val="00C46FEA"/>
    <w:rsid w:val="00C47188"/>
    <w:rsid w:val="00C7592F"/>
    <w:rsid w:val="00C767A0"/>
    <w:rsid w:val="00C76CA8"/>
    <w:rsid w:val="00C82890"/>
    <w:rsid w:val="00C90112"/>
    <w:rsid w:val="00C91C94"/>
    <w:rsid w:val="00C93CC5"/>
    <w:rsid w:val="00C94A7C"/>
    <w:rsid w:val="00C94F3A"/>
    <w:rsid w:val="00C9768B"/>
    <w:rsid w:val="00CA0827"/>
    <w:rsid w:val="00CA337D"/>
    <w:rsid w:val="00CA6672"/>
    <w:rsid w:val="00CA6B80"/>
    <w:rsid w:val="00CA6F05"/>
    <w:rsid w:val="00CB1498"/>
    <w:rsid w:val="00CB16DB"/>
    <w:rsid w:val="00CB4C9E"/>
    <w:rsid w:val="00CC2E05"/>
    <w:rsid w:val="00CC332A"/>
    <w:rsid w:val="00CC7270"/>
    <w:rsid w:val="00CD7BC1"/>
    <w:rsid w:val="00CE19F1"/>
    <w:rsid w:val="00CE2141"/>
    <w:rsid w:val="00CE2A45"/>
    <w:rsid w:val="00CE6FCE"/>
    <w:rsid w:val="00CF2CF7"/>
    <w:rsid w:val="00CF457C"/>
    <w:rsid w:val="00CF4598"/>
    <w:rsid w:val="00CF6B81"/>
    <w:rsid w:val="00D0075D"/>
    <w:rsid w:val="00D22F63"/>
    <w:rsid w:val="00D23984"/>
    <w:rsid w:val="00D25608"/>
    <w:rsid w:val="00D37038"/>
    <w:rsid w:val="00D43B29"/>
    <w:rsid w:val="00D44BB1"/>
    <w:rsid w:val="00D4753B"/>
    <w:rsid w:val="00D50204"/>
    <w:rsid w:val="00D51282"/>
    <w:rsid w:val="00D559FF"/>
    <w:rsid w:val="00D67C04"/>
    <w:rsid w:val="00D76EBC"/>
    <w:rsid w:val="00D8053C"/>
    <w:rsid w:val="00D82CCC"/>
    <w:rsid w:val="00D85BE1"/>
    <w:rsid w:val="00D87F2C"/>
    <w:rsid w:val="00D90B04"/>
    <w:rsid w:val="00D955F5"/>
    <w:rsid w:val="00DA1449"/>
    <w:rsid w:val="00DA1BC9"/>
    <w:rsid w:val="00DA5BA5"/>
    <w:rsid w:val="00DB0D8B"/>
    <w:rsid w:val="00DB3AD7"/>
    <w:rsid w:val="00DB7F52"/>
    <w:rsid w:val="00DC4206"/>
    <w:rsid w:val="00DD24A3"/>
    <w:rsid w:val="00DD36AF"/>
    <w:rsid w:val="00DD63A9"/>
    <w:rsid w:val="00DD6640"/>
    <w:rsid w:val="00DE15D1"/>
    <w:rsid w:val="00DE73A8"/>
    <w:rsid w:val="00E132E3"/>
    <w:rsid w:val="00E216E5"/>
    <w:rsid w:val="00E2243B"/>
    <w:rsid w:val="00E26FEA"/>
    <w:rsid w:val="00E37805"/>
    <w:rsid w:val="00E63A8E"/>
    <w:rsid w:val="00E715A0"/>
    <w:rsid w:val="00E74801"/>
    <w:rsid w:val="00E850EA"/>
    <w:rsid w:val="00E86BC9"/>
    <w:rsid w:val="00E90406"/>
    <w:rsid w:val="00E93067"/>
    <w:rsid w:val="00EB0934"/>
    <w:rsid w:val="00EB462C"/>
    <w:rsid w:val="00EB6582"/>
    <w:rsid w:val="00EC0117"/>
    <w:rsid w:val="00ED2101"/>
    <w:rsid w:val="00ED5721"/>
    <w:rsid w:val="00ED6B36"/>
    <w:rsid w:val="00EE684B"/>
    <w:rsid w:val="00EF4157"/>
    <w:rsid w:val="00F07043"/>
    <w:rsid w:val="00F07A31"/>
    <w:rsid w:val="00F10EBF"/>
    <w:rsid w:val="00F218B8"/>
    <w:rsid w:val="00F23502"/>
    <w:rsid w:val="00F315BC"/>
    <w:rsid w:val="00F33C56"/>
    <w:rsid w:val="00F44C26"/>
    <w:rsid w:val="00F47EBD"/>
    <w:rsid w:val="00F53E97"/>
    <w:rsid w:val="00F64615"/>
    <w:rsid w:val="00F75720"/>
    <w:rsid w:val="00F7602B"/>
    <w:rsid w:val="00F81A9A"/>
    <w:rsid w:val="00F92EAB"/>
    <w:rsid w:val="00FA6734"/>
    <w:rsid w:val="00FA75D7"/>
    <w:rsid w:val="00FB16A7"/>
    <w:rsid w:val="00FB459E"/>
    <w:rsid w:val="00FB5171"/>
    <w:rsid w:val="00FB58B9"/>
    <w:rsid w:val="00FB60FD"/>
    <w:rsid w:val="00FD77E7"/>
    <w:rsid w:val="00FE05A4"/>
    <w:rsid w:val="00FE31F3"/>
    <w:rsid w:val="00FE4E5B"/>
    <w:rsid w:val="00FF1DCE"/>
    <w:rsid w:val="00FF44D7"/>
    <w:rsid w:val="00FF59AE"/>
    <w:rsid w:val="05421DCB"/>
    <w:rsid w:val="0DA6356A"/>
    <w:rsid w:val="21DF68EF"/>
    <w:rsid w:val="227AC80F"/>
    <w:rsid w:val="236D8873"/>
    <w:rsid w:val="2E0C3C9F"/>
    <w:rsid w:val="3CC43384"/>
    <w:rsid w:val="40358C11"/>
    <w:rsid w:val="4E5343C0"/>
    <w:rsid w:val="6087B53E"/>
    <w:rsid w:val="69E25374"/>
    <w:rsid w:val="78759E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658ED4"/>
  <w15:docId w15:val="{6B49A7BC-43C1-455C-AB7E-A6544279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7F3F"/>
    <w:rPr>
      <w:rFonts w:ascii="Segoe UI" w:hAnsi="Segoe UI" w:cs="Segoe UI"/>
      <w:sz w:val="18"/>
      <w:szCs w:val="18"/>
    </w:rPr>
  </w:style>
  <w:style w:type="character" w:customStyle="1" w:styleId="BalloonTextChar">
    <w:name w:val="Balloon Text Char"/>
    <w:link w:val="BalloonText"/>
    <w:rsid w:val="00227F3F"/>
    <w:rPr>
      <w:rFonts w:ascii="Segoe UI" w:hAnsi="Segoe UI" w:cs="Segoe UI"/>
      <w:sz w:val="18"/>
      <w:szCs w:val="18"/>
    </w:rPr>
  </w:style>
  <w:style w:type="character" w:styleId="Hyperlink">
    <w:name w:val="Hyperlink"/>
    <w:uiPriority w:val="99"/>
    <w:unhideWhenUsed/>
    <w:rsid w:val="00AC269F"/>
    <w:rPr>
      <w:color w:val="0563C1"/>
      <w:u w:val="single"/>
    </w:rPr>
  </w:style>
  <w:style w:type="paragraph" w:styleId="Header">
    <w:name w:val="header"/>
    <w:basedOn w:val="Normal"/>
    <w:link w:val="HeaderChar"/>
    <w:uiPriority w:val="99"/>
    <w:rsid w:val="00CF4598"/>
    <w:pPr>
      <w:tabs>
        <w:tab w:val="center" w:pos="4680"/>
        <w:tab w:val="right" w:pos="9360"/>
      </w:tabs>
    </w:pPr>
  </w:style>
  <w:style w:type="character" w:customStyle="1" w:styleId="HeaderChar">
    <w:name w:val="Header Char"/>
    <w:link w:val="Header"/>
    <w:uiPriority w:val="99"/>
    <w:rsid w:val="00CF4598"/>
    <w:rPr>
      <w:sz w:val="24"/>
      <w:szCs w:val="24"/>
    </w:rPr>
  </w:style>
  <w:style w:type="paragraph" w:styleId="Footer">
    <w:name w:val="footer"/>
    <w:basedOn w:val="Normal"/>
    <w:link w:val="FooterChar"/>
    <w:uiPriority w:val="99"/>
    <w:rsid w:val="00CF4598"/>
    <w:pPr>
      <w:tabs>
        <w:tab w:val="center" w:pos="4680"/>
        <w:tab w:val="right" w:pos="9360"/>
      </w:tabs>
    </w:pPr>
  </w:style>
  <w:style w:type="character" w:customStyle="1" w:styleId="FooterChar">
    <w:name w:val="Footer Char"/>
    <w:link w:val="Footer"/>
    <w:uiPriority w:val="99"/>
    <w:rsid w:val="00CF4598"/>
    <w:rPr>
      <w:sz w:val="24"/>
      <w:szCs w:val="24"/>
    </w:rPr>
  </w:style>
  <w:style w:type="character" w:styleId="CommentReference">
    <w:name w:val="annotation reference"/>
    <w:basedOn w:val="DefaultParagraphFont"/>
    <w:semiHidden/>
    <w:unhideWhenUsed/>
    <w:rsid w:val="008F471C"/>
    <w:rPr>
      <w:sz w:val="16"/>
      <w:szCs w:val="16"/>
    </w:rPr>
  </w:style>
  <w:style w:type="paragraph" w:styleId="CommentText">
    <w:name w:val="annotation text"/>
    <w:basedOn w:val="Normal"/>
    <w:link w:val="CommentTextChar"/>
    <w:unhideWhenUsed/>
    <w:rsid w:val="008F471C"/>
    <w:rPr>
      <w:sz w:val="20"/>
      <w:szCs w:val="20"/>
    </w:rPr>
  </w:style>
  <w:style w:type="character" w:customStyle="1" w:styleId="CommentTextChar">
    <w:name w:val="Comment Text Char"/>
    <w:basedOn w:val="DefaultParagraphFont"/>
    <w:link w:val="CommentText"/>
    <w:rsid w:val="008F471C"/>
  </w:style>
  <w:style w:type="paragraph" w:styleId="CommentSubject">
    <w:name w:val="annotation subject"/>
    <w:basedOn w:val="CommentText"/>
    <w:next w:val="CommentText"/>
    <w:link w:val="CommentSubjectChar"/>
    <w:semiHidden/>
    <w:unhideWhenUsed/>
    <w:rsid w:val="008F471C"/>
    <w:rPr>
      <w:b/>
      <w:bCs/>
    </w:rPr>
  </w:style>
  <w:style w:type="character" w:customStyle="1" w:styleId="CommentSubjectChar">
    <w:name w:val="Comment Subject Char"/>
    <w:basedOn w:val="CommentTextChar"/>
    <w:link w:val="CommentSubject"/>
    <w:semiHidden/>
    <w:rsid w:val="008F471C"/>
    <w:rPr>
      <w:b/>
      <w:bCs/>
    </w:rPr>
  </w:style>
  <w:style w:type="paragraph" w:styleId="Revision">
    <w:name w:val="Revision"/>
    <w:hidden/>
    <w:uiPriority w:val="99"/>
    <w:semiHidden/>
    <w:rsid w:val="008F471C"/>
    <w:rPr>
      <w:sz w:val="24"/>
      <w:szCs w:val="24"/>
    </w:rPr>
  </w:style>
  <w:style w:type="paragraph" w:styleId="FootnoteText">
    <w:name w:val="footnote text"/>
    <w:basedOn w:val="Normal"/>
    <w:link w:val="FootnoteTextChar"/>
    <w:semiHidden/>
    <w:unhideWhenUsed/>
    <w:rsid w:val="008F471C"/>
    <w:rPr>
      <w:sz w:val="20"/>
      <w:szCs w:val="20"/>
    </w:rPr>
  </w:style>
  <w:style w:type="character" w:customStyle="1" w:styleId="FootnoteTextChar">
    <w:name w:val="Footnote Text Char"/>
    <w:basedOn w:val="DefaultParagraphFont"/>
    <w:link w:val="FootnoteText"/>
    <w:semiHidden/>
    <w:rsid w:val="008F471C"/>
  </w:style>
  <w:style w:type="character" w:styleId="FootnoteReference">
    <w:name w:val="footnote reference"/>
    <w:basedOn w:val="DefaultParagraphFont"/>
    <w:semiHidden/>
    <w:unhideWhenUsed/>
    <w:rsid w:val="008F471C"/>
    <w:rPr>
      <w:vertAlign w:val="superscript"/>
    </w:rPr>
  </w:style>
  <w:style w:type="character" w:styleId="UnresolvedMention">
    <w:name w:val="Unresolved Mention"/>
    <w:basedOn w:val="DefaultParagraphFont"/>
    <w:uiPriority w:val="99"/>
    <w:semiHidden/>
    <w:unhideWhenUsed/>
    <w:rsid w:val="008573C7"/>
    <w:rPr>
      <w:color w:val="605E5C"/>
      <w:shd w:val="clear" w:color="auto" w:fill="E1DFDD"/>
    </w:rPr>
  </w:style>
  <w:style w:type="table" w:styleId="TableGrid">
    <w:name w:val="Table Grid"/>
    <w:basedOn w:val="TableNormal"/>
    <w:uiPriority w:val="59"/>
    <w:rsid w:val="00D80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B4E8B"/>
    <w:pPr>
      <w:ind w:left="720"/>
      <w:contextualSpacing/>
    </w:pPr>
  </w:style>
  <w:style w:type="paragraph" w:customStyle="1" w:styleId="Level1">
    <w:name w:val="Level 1"/>
    <w:basedOn w:val="Normal"/>
    <w:rsid w:val="00CA0827"/>
    <w:pPr>
      <w:widowControl w:val="0"/>
      <w:autoSpaceDE w:val="0"/>
      <w:autoSpaceDN w:val="0"/>
      <w:adjustRightInd w:val="0"/>
      <w:ind w:left="360" w:hanging="360"/>
    </w:pPr>
  </w:style>
  <w:style w:type="character" w:styleId="Mention">
    <w:name w:val="Mention"/>
    <w:basedOn w:val="DefaultParagraphFont"/>
    <w:uiPriority w:val="99"/>
    <w:unhideWhenUsed/>
    <w:rsid w:val="002B45D4"/>
    <w:rPr>
      <w:color w:val="2B579A"/>
      <w:shd w:val="clear" w:color="auto" w:fill="E1DFDD"/>
    </w:rPr>
  </w:style>
  <w:style w:type="character" w:customStyle="1" w:styleId="normaltextrun">
    <w:name w:val="normaltextrun"/>
    <w:basedOn w:val="DefaultParagraphFont"/>
    <w:rsid w:val="00B969DF"/>
  </w:style>
  <w:style w:type="character" w:customStyle="1" w:styleId="eop">
    <w:name w:val="eop"/>
    <w:basedOn w:val="DefaultParagraphFont"/>
    <w:rsid w:val="00B9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45F9-130C-4CE5-BDD6-F0BF5E7F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C286C-2093-4D3D-A1C4-BFBA45FC4CB0}">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4EED378A-4C64-4458-A74C-98083C26D5AD}">
  <ds:schemaRefs>
    <ds:schemaRef ds:uri="http://schemas.microsoft.com/sharepoint/v3/contenttype/forms"/>
  </ds:schemaRefs>
</ds:datastoreItem>
</file>

<file path=customXml/itemProps4.xml><?xml version="1.0" encoding="utf-8"?>
<ds:datastoreItem xmlns:ds="http://schemas.openxmlformats.org/officeDocument/2006/customXml" ds:itemID="{59A269F1-4294-4971-828A-AC752229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Holmes-Brooks, Colette N. (ATF) (CTR)</cp:lastModifiedBy>
  <cp:revision>2</cp:revision>
  <cp:lastPrinted>2019-03-06T22:28:00Z</cp:lastPrinted>
  <dcterms:created xsi:type="dcterms:W3CDTF">2025-11-03T18:45:00Z</dcterms:created>
  <dcterms:modified xsi:type="dcterms:W3CDTF">2025-11-03T18:45:00Z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