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A7D" w14:paraId="1173B3F3" w14:textId="0805D5C8">
      <w:pPr>
        <w:jc w:val="center"/>
      </w:pPr>
      <w:r>
        <w:t>Department of Justice</w:t>
      </w:r>
    </w:p>
    <w:p w:rsidR="00C25A7D" w:rsidP="001646C1" w14:paraId="73FCFE62" w14:textId="10C6D4E1">
      <w:pPr>
        <w:jc w:val="center"/>
      </w:pPr>
      <w:r>
        <w:t>Bureau of Alcohol, Tobacco, Firearms</w:t>
      </w:r>
      <w:r w:rsidR="002C159F">
        <w:t>,</w:t>
      </w:r>
      <w:r>
        <w:t xml:space="preserve"> and Explosives</w:t>
      </w:r>
      <w:r w:rsidR="35E38449">
        <w:t xml:space="preserve"> (ATF)</w:t>
      </w:r>
    </w:p>
    <w:p w:rsidR="00C25A7D" w14:paraId="4BB7F102" w14:textId="7322CBE1">
      <w:pPr>
        <w:jc w:val="center"/>
      </w:pPr>
      <w:r>
        <w:t>Information Collection Request</w:t>
      </w:r>
      <w:r w:rsidR="00A063A9">
        <w:t xml:space="preserve"> (ICR)</w:t>
      </w:r>
    </w:p>
    <w:p w:rsidR="00C25A7D" w:rsidP="001646C1" w14:paraId="72D8087B" w14:textId="2B68CA08">
      <w:pPr>
        <w:jc w:val="center"/>
      </w:pPr>
      <w:r>
        <w:t>OMB 1140-0043</w:t>
      </w:r>
    </w:p>
    <w:p w:rsidR="002C159F" w:rsidRPr="0062013C" w:rsidP="00C11828" w14:paraId="7E7848F3" w14:textId="77777777">
      <w:pPr>
        <w:jc w:val="center"/>
        <w:rPr>
          <w:b/>
          <w:bCs/>
        </w:rPr>
      </w:pPr>
      <w:r w:rsidRPr="0062013C">
        <w:rPr>
          <w:b/>
          <w:bCs/>
        </w:rPr>
        <w:t xml:space="preserve">National Tracing Center </w:t>
      </w:r>
      <w:r w:rsidRPr="0062013C" w:rsidR="4922A945">
        <w:rPr>
          <w:b/>
          <w:bCs/>
        </w:rPr>
        <w:t xml:space="preserve">(NTC) </w:t>
      </w:r>
      <w:r w:rsidRPr="0062013C">
        <w:rPr>
          <w:b/>
          <w:bCs/>
        </w:rPr>
        <w:t>Trace Request/</w:t>
      </w:r>
    </w:p>
    <w:p w:rsidR="002C159F" w:rsidRPr="0062013C" w:rsidP="00C11828" w14:paraId="07521FDE" w14:textId="77777777">
      <w:pPr>
        <w:jc w:val="center"/>
        <w:rPr>
          <w:b/>
          <w:bCs/>
        </w:rPr>
      </w:pPr>
      <w:r w:rsidRPr="0062013C">
        <w:rPr>
          <w:b/>
          <w:bCs/>
        </w:rPr>
        <w:t>Solicitud</w:t>
      </w:r>
      <w:r w:rsidRPr="0062013C">
        <w:rPr>
          <w:b/>
          <w:bCs/>
        </w:rPr>
        <w:t xml:space="preserve"> de </w:t>
      </w:r>
      <w:r w:rsidRPr="0062013C">
        <w:rPr>
          <w:b/>
          <w:bCs/>
        </w:rPr>
        <w:t>Rastreo</w:t>
      </w:r>
      <w:r w:rsidRPr="0062013C">
        <w:rPr>
          <w:b/>
          <w:bCs/>
        </w:rPr>
        <w:t xml:space="preserve"> del Centro Nacional de </w:t>
      </w:r>
      <w:r w:rsidRPr="0062013C">
        <w:rPr>
          <w:b/>
          <w:bCs/>
        </w:rPr>
        <w:t>Rastreo</w:t>
      </w:r>
      <w:r w:rsidRPr="0062013C" w:rsidR="433415A9">
        <w:rPr>
          <w:b/>
          <w:bCs/>
        </w:rPr>
        <w:t xml:space="preserve"> (NTC) </w:t>
      </w:r>
    </w:p>
    <w:p w:rsidR="00C25A7D" w:rsidP="00C11828" w14:paraId="64CA5589" w14:textId="68D2D6FA">
      <w:pPr>
        <w:jc w:val="center"/>
      </w:pPr>
      <w:r w:rsidRPr="002C159F">
        <w:t>(</w:t>
      </w:r>
      <w:r w:rsidRPr="002C159F" w:rsidR="043B97A1">
        <w:t>ATF Form 3312.1/3312.1(S)</w:t>
      </w:r>
      <w:r w:rsidRPr="002C159F" w:rsidR="4E2BFB78">
        <w:t>)</w:t>
      </w:r>
    </w:p>
    <w:p w:rsidR="00C25A7D" w14:paraId="4140568A" w14:textId="77777777"/>
    <w:p w:rsidR="30A78E15" w:rsidP="002C159F" w14:paraId="053A2FC6" w14:textId="3976690D">
      <w:pPr>
        <w:jc w:val="center"/>
        <w:rPr>
          <w:b/>
          <w:bCs/>
        </w:rPr>
      </w:pPr>
      <w:r w:rsidRPr="76AA35F8">
        <w:rPr>
          <w:b/>
          <w:bCs/>
        </w:rPr>
        <w:t>SUPPORTING STATEMENT</w:t>
      </w:r>
    </w:p>
    <w:p w:rsidR="00D100B0" w:rsidP="002C159F" w14:paraId="24DFDF29" w14:textId="77777777">
      <w:pPr>
        <w:jc w:val="center"/>
      </w:pPr>
    </w:p>
    <w:p w:rsidR="00C25A7D" w:rsidRPr="001646C1" w:rsidP="007A0B15" w14:paraId="56040C46" w14:textId="6C9FD2ED">
      <w:pPr>
        <w:rPr>
          <w:b/>
          <w:bCs/>
        </w:rPr>
      </w:pPr>
      <w:r>
        <w:rPr>
          <w:b/>
          <w:bCs/>
        </w:rPr>
        <w:t>A.</w:t>
      </w:r>
      <w:r>
        <w:rPr>
          <w:b/>
          <w:bCs/>
        </w:rPr>
        <w:tab/>
      </w:r>
      <w:r w:rsidRPr="76AA35F8" w:rsidR="0FFAE09A">
        <w:rPr>
          <w:b/>
          <w:bCs/>
        </w:rPr>
        <w:t>J</w:t>
      </w:r>
      <w:r w:rsidRPr="76AA35F8" w:rsidR="13060AB3">
        <w:rPr>
          <w:b/>
          <w:bCs/>
        </w:rPr>
        <w:t>USTIFICATION</w:t>
      </w:r>
    </w:p>
    <w:p w:rsidR="0014322E" w:rsidP="001715AF" w14:paraId="190EA88A" w14:textId="77777777">
      <w:pPr>
        <w:rPr>
          <w:b/>
          <w:bCs/>
          <w:color w:val="000000" w:themeColor="text1"/>
        </w:rPr>
      </w:pPr>
    </w:p>
    <w:p w:rsidR="3608FF7A" w:rsidP="001715AF" w14:paraId="39FFDD38" w14:textId="3FBEE2C6">
      <w:pPr>
        <w:rPr>
          <w:b/>
          <w:bCs/>
          <w:color w:val="000000" w:themeColor="text1"/>
        </w:rPr>
      </w:pPr>
      <w:r>
        <w:rPr>
          <w:b/>
          <w:bCs/>
          <w:color w:val="000000" w:themeColor="text1"/>
        </w:rPr>
        <w:t>1.</w:t>
      </w:r>
      <w:r w:rsidR="00B952F1">
        <w:rPr>
          <w:b/>
          <w:bCs/>
          <w:color w:val="000000" w:themeColor="text1"/>
        </w:rPr>
        <w:t xml:space="preserve"> </w:t>
      </w:r>
      <w:r w:rsidRPr="76AA35F8">
        <w:rPr>
          <w:b/>
          <w:bCs/>
          <w:color w:val="000000" w:themeColor="text1"/>
        </w:rPr>
        <w:t>Explain the circumstances that make the information collection necessary.</w:t>
      </w:r>
    </w:p>
    <w:p w:rsidR="00BB5C28" w:rsidP="007A0B15" w14:paraId="02A7CC1B" w14:textId="77777777">
      <w:pPr>
        <w:tabs>
          <w:tab w:val="num" w:pos="1080"/>
        </w:tabs>
        <w:rPr>
          <w:rStyle w:val="normaltextrun"/>
          <w:color w:val="000000"/>
          <w:shd w:val="clear" w:color="auto" w:fill="C0C0C0"/>
        </w:rPr>
      </w:pPr>
    </w:p>
    <w:p w:rsidR="00D96EA1" w:rsidP="007A0B15" w14:paraId="0D485B6F" w14:textId="636FA03B">
      <w:r>
        <w:t>ATF is responsible for providing firearms tracing services to law enforcement agencies</w:t>
      </w:r>
      <w:r w:rsidR="00B476CC">
        <w:t xml:space="preserve"> </w:t>
      </w:r>
      <w:r>
        <w:t xml:space="preserve">that request such services as part of a criminal investigation. </w:t>
      </w:r>
      <w:r w:rsidR="009073F0">
        <w:t>The Gun Control Act of 1968</w:t>
      </w:r>
      <w:r w:rsidR="00F655F4">
        <w:t xml:space="preserve"> (GCA)</w:t>
      </w:r>
      <w:r w:rsidR="009073F0">
        <w:t xml:space="preserve"> requires federal firearms </w:t>
      </w:r>
      <w:r w:rsidR="009073F0">
        <w:t>licensees</w:t>
      </w:r>
      <w:r w:rsidR="00512F40">
        <w:t xml:space="preserve"> (FFLs)</w:t>
      </w:r>
      <w:r w:rsidR="009073F0">
        <w:t xml:space="preserve"> to </w:t>
      </w:r>
      <w:r w:rsidR="00055625">
        <w:t>create and maintain firearms acquisition and disposition</w:t>
      </w:r>
      <w:r w:rsidR="00D62D5F">
        <w:t xml:space="preserve"> (A&amp;D)</w:t>
      </w:r>
      <w:r w:rsidR="00055625">
        <w:t xml:space="preserve"> records, which ATF may inspect under specific circumstances. </w:t>
      </w:r>
      <w:r w:rsidR="00567438">
        <w:t>In relevant part,</w:t>
      </w:r>
      <w:r w:rsidR="00512F40">
        <w:t xml:space="preserve"> </w:t>
      </w:r>
      <w:r w:rsidR="006136A6">
        <w:t>t</w:t>
      </w:r>
      <w:r w:rsidR="0079201E">
        <w:t xml:space="preserve">he GCA </w:t>
      </w:r>
      <w:r>
        <w:t xml:space="preserve">authorizes ATF to inspect </w:t>
      </w:r>
      <w:r w:rsidR="00833054">
        <w:t xml:space="preserve">these </w:t>
      </w:r>
      <w:r>
        <w:t xml:space="preserve">records </w:t>
      </w:r>
      <w:r w:rsidR="00E47D97">
        <w:t xml:space="preserve">when </w:t>
      </w:r>
      <w:r w:rsidR="00017EFE">
        <w:t xml:space="preserve">necessary to determine the disposition of one or more </w:t>
      </w:r>
      <w:r w:rsidR="00017EFE">
        <w:t>particular firearms</w:t>
      </w:r>
      <w:r w:rsidR="00017EFE">
        <w:t xml:space="preserve"> </w:t>
      </w:r>
      <w:r w:rsidR="00E20408">
        <w:t xml:space="preserve">in </w:t>
      </w:r>
      <w:r w:rsidR="00017EFE">
        <w:t>the course</w:t>
      </w:r>
      <w:r w:rsidR="00E20408">
        <w:t xml:space="preserve"> of</w:t>
      </w:r>
      <w:r w:rsidR="00E20408">
        <w:t xml:space="preserve"> a</w:t>
      </w:r>
      <w:r>
        <w:t xml:space="preserve"> bona fide criminal </w:t>
      </w:r>
      <w:r>
        <w:t>investigation</w:t>
      </w:r>
      <w:r w:rsidR="00805A16">
        <w:t>,</w:t>
      </w:r>
      <w:r>
        <w:t xml:space="preserve"> </w:t>
      </w:r>
      <w:r w:rsidR="003C5211">
        <w:t>and</w:t>
      </w:r>
      <w:r w:rsidR="003C5211">
        <w:t xml:space="preserve"> </w:t>
      </w:r>
      <w:r w:rsidR="00F77DF7">
        <w:t xml:space="preserve">further </w:t>
      </w:r>
      <w:r w:rsidR="00143A7C">
        <w:t>authorize</w:t>
      </w:r>
      <w:r w:rsidR="00CC6F76">
        <w:t>s</w:t>
      </w:r>
      <w:r w:rsidR="00143A7C">
        <w:t xml:space="preserve"> ATF to </w:t>
      </w:r>
      <w:r w:rsidR="00A00E48">
        <w:t xml:space="preserve">provide information contained in </w:t>
      </w:r>
      <w:r w:rsidR="00CC6F76">
        <w:t xml:space="preserve">such </w:t>
      </w:r>
      <w:r w:rsidR="00A00E48">
        <w:t>FFL records</w:t>
      </w:r>
      <w:r w:rsidR="00D232E8">
        <w:t xml:space="preserve"> to law enforcement </w:t>
      </w:r>
      <w:r w:rsidR="00A30274">
        <w:t>agencie</w:t>
      </w:r>
      <w:r w:rsidR="00A62DAD">
        <w:t>s</w:t>
      </w:r>
      <w:r w:rsidR="4A7EA981">
        <w:t xml:space="preserve"> </w:t>
      </w:r>
      <w:r w:rsidR="00930E3C">
        <w:t>for the same purpose</w:t>
      </w:r>
      <w:r w:rsidR="00E33610">
        <w:t>.</w:t>
      </w:r>
      <w:r w:rsidR="0079201E">
        <w:t xml:space="preserve"> </w:t>
      </w:r>
      <w:r w:rsidRPr="00D65831" w:rsidR="0079201E">
        <w:rPr>
          <w:i/>
          <w:iCs/>
        </w:rPr>
        <w:t>See</w:t>
      </w:r>
      <w:r w:rsidR="0079201E">
        <w:t xml:space="preserve"> 18 U.S.C. § 923(g)(1)(B)(iii), </w:t>
      </w:r>
      <w:r w:rsidR="00073FD0">
        <w:t>§ </w:t>
      </w:r>
      <w:r w:rsidR="00C2477C">
        <w:t>923(g)(1)(D), and its implementing regulation</w:t>
      </w:r>
      <w:r w:rsidR="000F47A1">
        <w:t>s</w:t>
      </w:r>
      <w:r w:rsidR="00C2477C">
        <w:t xml:space="preserve"> at 27 CFR 478.25</w:t>
      </w:r>
      <w:r w:rsidR="00D232E8">
        <w:t>.</w:t>
      </w:r>
      <w:r w:rsidR="00F42DAB">
        <w:t xml:space="preserve"> </w:t>
      </w:r>
      <w:r w:rsidR="008D0591">
        <w:t xml:space="preserve">To carry out </w:t>
      </w:r>
      <w:r w:rsidR="004745E0">
        <w:t xml:space="preserve">its firearms tracing responsibilities, ATF maintains a firearms tracing operation at </w:t>
      </w:r>
      <w:r w:rsidR="00716267">
        <w:t>the National Tracing Center (NTC)</w:t>
      </w:r>
      <w:r w:rsidR="002D0112">
        <w:t>.</w:t>
      </w:r>
    </w:p>
    <w:p w:rsidR="00C25A7D" w:rsidP="007A0B15" w14:paraId="130DB49E" w14:textId="6692154F">
      <w:r>
        <w:t xml:space="preserve"> </w:t>
      </w:r>
    </w:p>
    <w:p w:rsidR="7854D190" w:rsidRPr="00A12295" w:rsidP="36AB7609" w14:paraId="48E57930" w14:textId="09BFB80B">
      <w:pPr>
        <w:spacing w:line="257" w:lineRule="auto"/>
        <w:ind w:left="39" w:right="228"/>
      </w:pPr>
      <w:r w:rsidRPr="00A12295">
        <w:rPr>
          <w:color w:val="000000" w:themeColor="text1"/>
        </w:rPr>
        <w:t xml:space="preserve">Firearms tracing begins when ATF or another law enforcement agency recovers a firearm during an investigation and </w:t>
      </w:r>
      <w:r w:rsidRPr="36AB7609" w:rsidR="44CC51AC">
        <w:rPr>
          <w:color w:val="000000" w:themeColor="text1"/>
        </w:rPr>
        <w:t>seeks</w:t>
      </w:r>
      <w:r w:rsidRPr="00A12295">
        <w:rPr>
          <w:color w:val="000000" w:themeColor="text1"/>
        </w:rPr>
        <w:t xml:space="preserve"> to learn where it came from</w:t>
      </w:r>
      <w:r w:rsidR="00EF7C1D">
        <w:rPr>
          <w:color w:val="000000" w:themeColor="text1"/>
        </w:rPr>
        <w:t xml:space="preserve">, submitting </w:t>
      </w:r>
      <w:r w:rsidR="003D259C">
        <w:rPr>
          <w:color w:val="000000" w:themeColor="text1"/>
        </w:rPr>
        <w:t xml:space="preserve">a tracing request to </w:t>
      </w:r>
      <w:r w:rsidR="007B3D5E">
        <w:rPr>
          <w:color w:val="000000" w:themeColor="text1"/>
        </w:rPr>
        <w:t>the NTC</w:t>
      </w:r>
      <w:r w:rsidR="00EF7C1D">
        <w:rPr>
          <w:color w:val="000000" w:themeColor="text1"/>
        </w:rPr>
        <w:t>.</w:t>
      </w:r>
      <w:r w:rsidRPr="00A12295">
        <w:rPr>
          <w:color w:val="000000" w:themeColor="text1"/>
        </w:rPr>
        <w:t xml:space="preserve"> </w:t>
      </w:r>
      <w:r w:rsidR="007B3D5E">
        <w:rPr>
          <w:color w:val="000000" w:themeColor="text1"/>
        </w:rPr>
        <w:t xml:space="preserve">Because of the statutory provisions described above, </w:t>
      </w:r>
      <w:r w:rsidR="00A75C79">
        <w:rPr>
          <w:color w:val="000000" w:themeColor="text1"/>
        </w:rPr>
        <w:t xml:space="preserve">NTC can request information from FFL records. </w:t>
      </w:r>
      <w:r w:rsidRPr="00A12295" w:rsidR="15FDBF8D">
        <w:t xml:space="preserve">Crime gun tracing is the systematic process of tracking the movement of a firearm from its point of </w:t>
      </w:r>
      <w:r w:rsidRPr="36AB7609" w:rsidR="48D29B06">
        <w:t xml:space="preserve">origin in </w:t>
      </w:r>
      <w:r w:rsidRPr="00A12295" w:rsidR="15FDBF8D">
        <w:t xml:space="preserve">U.S. </w:t>
      </w:r>
      <w:r w:rsidRPr="36AB7609" w:rsidR="311C29A4">
        <w:t xml:space="preserve">commerce by either a </w:t>
      </w:r>
      <w:r w:rsidRPr="00A12295" w:rsidR="15FDBF8D">
        <w:t>manufacture</w:t>
      </w:r>
      <w:r w:rsidR="003A24FD">
        <w:t>r</w:t>
      </w:r>
      <w:r w:rsidRPr="00A12295" w:rsidR="15FDBF8D">
        <w:t xml:space="preserve"> or import</w:t>
      </w:r>
      <w:r w:rsidRPr="36AB7609" w:rsidR="49761E65">
        <w:t>er</w:t>
      </w:r>
      <w:r w:rsidRPr="00A12295" w:rsidR="15FDBF8D">
        <w:t>, through the distribution chain (wholesalers and retailers), to identify the last known purchaser.</w:t>
      </w:r>
      <w:r w:rsidRPr="36AB7609" w:rsidR="15FDBF8D">
        <w:t xml:space="preserve"> </w:t>
      </w:r>
      <w:r w:rsidRPr="00A12295" w:rsidR="645AE856">
        <w:t>Firearm tracing provides critical information to assist domestic and international law enforcement agencies with investigating and solving firearm</w:t>
      </w:r>
      <w:r w:rsidR="003A24FD">
        <w:t>-</w:t>
      </w:r>
      <w:r w:rsidRPr="00A12295" w:rsidR="645AE856">
        <w:t>related crimes</w:t>
      </w:r>
      <w:r w:rsidR="003A24FD">
        <w:t>,</w:t>
      </w:r>
      <w:r w:rsidRPr="00A12295" w:rsidR="645AE856">
        <w:t xml:space="preserve"> detecting firearms trafficking</w:t>
      </w:r>
      <w:r w:rsidR="003A24FD">
        <w:t>,</w:t>
      </w:r>
      <w:r w:rsidRPr="00A12295" w:rsidR="645AE856">
        <w:t xml:space="preserve"> and tracking intrastate, interstate</w:t>
      </w:r>
      <w:r w:rsidR="003A24FD">
        <w:t>,</w:t>
      </w:r>
      <w:r w:rsidRPr="00A12295" w:rsidR="645AE856">
        <w:t xml:space="preserve"> and international </w:t>
      </w:r>
      <w:r w:rsidR="002B2FD7">
        <w:t>crime gun movement.</w:t>
      </w:r>
      <w:r w:rsidRPr="00A12295" w:rsidR="645AE856">
        <w:t xml:space="preserve"> </w:t>
      </w:r>
    </w:p>
    <w:p w:rsidR="42AE86E2" w:rsidP="007A0B15" w14:paraId="27B38AFA" w14:textId="1A41A9C8"/>
    <w:p w:rsidR="006B7895" w:rsidP="00BB5C28" w14:paraId="33A48BF6" w14:textId="71DCBAC4">
      <w:pPr>
        <w:rPr>
          <w:b/>
          <w:bCs/>
        </w:rPr>
      </w:pPr>
      <w:r>
        <w:rPr>
          <w:b/>
          <w:bCs/>
        </w:rPr>
        <w:t>2.</w:t>
      </w:r>
      <w:r w:rsidR="00B952F1">
        <w:rPr>
          <w:b/>
          <w:bCs/>
        </w:rPr>
        <w:t xml:space="preserve"> </w:t>
      </w:r>
      <w:r>
        <w:rPr>
          <w:b/>
          <w:bCs/>
        </w:rPr>
        <w:t xml:space="preserve">Indicate how, by whom, and for what purpose the information </w:t>
      </w:r>
      <w:r w:rsidR="00DF7B6D">
        <w:rPr>
          <w:b/>
          <w:bCs/>
        </w:rPr>
        <w:t>will</w:t>
      </w:r>
      <w:r>
        <w:rPr>
          <w:b/>
          <w:bCs/>
        </w:rPr>
        <w:t xml:space="preserve"> be used.</w:t>
      </w:r>
    </w:p>
    <w:p w:rsidR="0014322E" w:rsidRPr="00B952F1" w:rsidP="00BB5C28" w14:paraId="6FBC57FB" w14:textId="77777777"/>
    <w:p w:rsidR="003F5389" w:rsidP="007A0B15" w14:paraId="0D5719D2" w14:textId="2200AAFF">
      <w:r>
        <w:t xml:space="preserve">A law enforcement </w:t>
      </w:r>
      <w:r w:rsidR="00A30274">
        <w:t>agency</w:t>
      </w:r>
      <w:r>
        <w:t xml:space="preserve"> in the course of a criminal investigation submits a trace request </w:t>
      </w:r>
      <w:r w:rsidR="00F006A6">
        <w:t xml:space="preserve">on a firearm used or suspected to have been used in a crime </w:t>
      </w:r>
      <w:r>
        <w:t xml:space="preserve">to ATF in </w:t>
      </w:r>
      <w:r w:rsidR="00186311">
        <w:t xml:space="preserve">one of </w:t>
      </w:r>
      <w:r w:rsidR="00817CAA">
        <w:t>two</w:t>
      </w:r>
      <w:r>
        <w:t xml:space="preserve"> ways: 1) electronically</w:t>
      </w:r>
      <w:r w:rsidR="00EB3542">
        <w:t>,</w:t>
      </w:r>
      <w:r>
        <w:t xml:space="preserve"> through ATF’s </w:t>
      </w:r>
      <w:r w:rsidR="5D7C52BA">
        <w:t>web-based</w:t>
      </w:r>
      <w:r>
        <w:t xml:space="preserve"> firearms trace submission system, </w:t>
      </w:r>
      <w:r>
        <w:t>eTrace</w:t>
      </w:r>
      <w:r>
        <w:t xml:space="preserve">; </w:t>
      </w:r>
      <w:r w:rsidR="00E36EC3">
        <w:t xml:space="preserve">or </w:t>
      </w:r>
      <w:r>
        <w:t>2) manually</w:t>
      </w:r>
      <w:r w:rsidR="00EB3542">
        <w:t>,</w:t>
      </w:r>
      <w:r>
        <w:t xml:space="preserve"> completing a </w:t>
      </w:r>
      <w:r w:rsidR="04FC4A8F">
        <w:t>Trace Request</w:t>
      </w:r>
      <w:r w:rsidR="6FBACF14">
        <w:t>/</w:t>
      </w:r>
      <w:r w:rsidR="6FBACF14">
        <w:t>Solicitud</w:t>
      </w:r>
      <w:r w:rsidR="6FBACF14">
        <w:t xml:space="preserve"> de </w:t>
      </w:r>
      <w:r w:rsidR="6FBACF14">
        <w:t>Rastreo</w:t>
      </w:r>
      <w:r w:rsidR="6FBACF14">
        <w:t xml:space="preserve"> del Centro Nacional de </w:t>
      </w:r>
      <w:r w:rsidR="6FBACF14">
        <w:t>Rastreo</w:t>
      </w:r>
      <w:r w:rsidR="6FBACF14">
        <w:t xml:space="preserve"> form (ATF Form 3312.1/3312.1</w:t>
      </w:r>
      <w:r w:rsidR="592D4DFD">
        <w:t>(S))</w:t>
      </w:r>
      <w:r w:rsidR="00005B88">
        <w:t xml:space="preserve"> </w:t>
      </w:r>
      <w:r w:rsidR="00BA2FA6">
        <w:t>in paper or electronically fillable format</w:t>
      </w:r>
      <w:r w:rsidR="576CA1D6">
        <w:t>, and mailing</w:t>
      </w:r>
      <w:r w:rsidR="55BE6EB2">
        <w:t xml:space="preserve">, emailing, </w:t>
      </w:r>
      <w:r w:rsidR="576CA1D6">
        <w:t>or faxing the completed form</w:t>
      </w:r>
      <w:r w:rsidR="4798F8D3">
        <w:t xml:space="preserve"> to the NTC</w:t>
      </w:r>
      <w:r w:rsidR="0086119E">
        <w:t>.</w:t>
      </w:r>
      <w:r w:rsidR="00756F6B">
        <w:t xml:space="preserve"> </w:t>
      </w:r>
      <w:r w:rsidR="0097765A">
        <w:t>NTC</w:t>
      </w:r>
      <w:r w:rsidR="00756F6B">
        <w:t xml:space="preserve"> processes trace requests from federal, state, local, and foreign law enforcement offic</w:t>
      </w:r>
      <w:r w:rsidR="2800D7CC">
        <w:t>i</w:t>
      </w:r>
      <w:r w:rsidR="00756F6B">
        <w:t>als</w:t>
      </w:r>
      <w:r w:rsidR="0097765A">
        <w:t>, and manages all aspects of the tracing process</w:t>
      </w:r>
      <w:r w:rsidR="00756F6B">
        <w:t>.</w:t>
      </w:r>
    </w:p>
    <w:p w:rsidR="003F5389" w:rsidP="007A0B15" w14:paraId="06F9142A" w14:textId="1278E4D2"/>
    <w:p w:rsidR="003F5389" w:rsidP="007A0B15" w14:paraId="4EAE6800" w14:textId="7D75D7D3">
      <w:r>
        <w:t xml:space="preserve">Whether submitted via </w:t>
      </w:r>
      <w:r>
        <w:t>eTrace</w:t>
      </w:r>
      <w:r>
        <w:t xml:space="preserve"> or by </w:t>
      </w:r>
      <w:r w:rsidR="00E561FD">
        <w:t>the Form</w:t>
      </w:r>
      <w:r w:rsidR="00E561FD">
        <w:t xml:space="preserve"> 3312.1,</w:t>
      </w:r>
      <w:r w:rsidR="17AABD88">
        <w:t xml:space="preserve"> </w:t>
      </w:r>
      <w:r w:rsidR="0074127D">
        <w:t>the collection mechanism</w:t>
      </w:r>
      <w:r w:rsidR="000F639F">
        <w:t xml:space="preserve"> asks law enforcement to</w:t>
      </w:r>
      <w:r w:rsidR="17AABD88">
        <w:t xml:space="preserve"> </w:t>
      </w:r>
      <w:r w:rsidR="000F639F">
        <w:t>provide</w:t>
      </w:r>
      <w:r w:rsidR="17AABD88">
        <w:t xml:space="preserve"> critical identification information about the recovered firearm</w:t>
      </w:r>
      <w:r w:rsidR="70E4A86F">
        <w:t xml:space="preserve"> </w:t>
      </w:r>
      <w:r w:rsidR="000F639F">
        <w:t>as part of</w:t>
      </w:r>
      <w:r w:rsidR="70E4A86F">
        <w:t xml:space="preserve"> initiat</w:t>
      </w:r>
      <w:r w:rsidR="000F639F">
        <w:t>ing</w:t>
      </w:r>
      <w:r w:rsidR="70E4A86F">
        <w:t xml:space="preserve"> </w:t>
      </w:r>
      <w:r w:rsidR="4CF78483">
        <w:t>the</w:t>
      </w:r>
      <w:r w:rsidR="70E4A86F">
        <w:t xml:space="preserve"> trace request</w:t>
      </w:r>
      <w:r w:rsidR="32D4B066">
        <w:t>.</w:t>
      </w:r>
      <w:r w:rsidR="000F639F">
        <w:t xml:space="preserve"> </w:t>
      </w:r>
      <w:r w:rsidR="16252C96">
        <w:t>The</w:t>
      </w:r>
      <w:r w:rsidR="7732D110">
        <w:t xml:space="preserve"> required entries include </w:t>
      </w:r>
      <w:r w:rsidR="16252C96">
        <w:t>a complete and accurate description of the firearm</w:t>
      </w:r>
      <w:r w:rsidR="17AABD88">
        <w:t>, such as make, model, caliber</w:t>
      </w:r>
      <w:r w:rsidR="00B33FAE">
        <w:t>,</w:t>
      </w:r>
      <w:r w:rsidR="17AABD88">
        <w:t xml:space="preserve"> and serial numbe</w:t>
      </w:r>
      <w:r w:rsidR="4B0674C5">
        <w:t>r</w:t>
      </w:r>
      <w:r w:rsidR="69B6F2C8">
        <w:t>; trace requestor name, agency name, address</w:t>
      </w:r>
      <w:r w:rsidR="30B7CA50">
        <w:t>, phone number, badge number,</w:t>
      </w:r>
      <w:r w:rsidR="69B6F2C8">
        <w:t xml:space="preserve"> and ORI </w:t>
      </w:r>
      <w:r w:rsidR="00B33FAE">
        <w:t>n</w:t>
      </w:r>
      <w:r w:rsidR="69B6F2C8">
        <w:t>umber</w:t>
      </w:r>
      <w:r w:rsidR="577287E8">
        <w:t xml:space="preserve">; </w:t>
      </w:r>
      <w:r w:rsidR="00E877A5">
        <w:t>information about</w:t>
      </w:r>
      <w:r w:rsidR="53D7865F">
        <w:t xml:space="preserve"> the possessor and associates (if applicable)</w:t>
      </w:r>
      <w:r w:rsidR="00E877A5">
        <w:t>,</w:t>
      </w:r>
      <w:r w:rsidR="767C02E7">
        <w:t xml:space="preserve"> </w:t>
      </w:r>
      <w:r w:rsidR="53D7865F">
        <w:t>such as name, height, weight, sex</w:t>
      </w:r>
      <w:r w:rsidR="36040FFE">
        <w:t xml:space="preserve">, date of birth, ethnicity, and address; </w:t>
      </w:r>
      <w:r w:rsidR="00701C3E">
        <w:t xml:space="preserve">and </w:t>
      </w:r>
      <w:r w:rsidR="041A9D4E">
        <w:t>firearm recovery information</w:t>
      </w:r>
      <w:r w:rsidR="003F1C43">
        <w:t>,</w:t>
      </w:r>
      <w:r w:rsidR="041A9D4E">
        <w:t xml:space="preserve"> such as date</w:t>
      </w:r>
      <w:r w:rsidR="00D67178">
        <w:t xml:space="preserve">, address, </w:t>
      </w:r>
      <w:r w:rsidR="003F1C43">
        <w:t xml:space="preserve">and </w:t>
      </w:r>
      <w:r w:rsidR="00D67178">
        <w:t>location</w:t>
      </w:r>
      <w:r w:rsidR="4F820CAC">
        <w:t>.</w:t>
      </w:r>
      <w:r w:rsidR="00EF4401">
        <w:t xml:space="preserve"> Law enforcement agencies may also submit requests </w:t>
      </w:r>
      <w:r w:rsidRPr="00733A87" w:rsidR="00EF4401">
        <w:t>regarding firearms with obliterated serial numbers or suspect guns</w:t>
      </w:r>
      <w:r w:rsidR="00EF4401">
        <w:t>.</w:t>
      </w:r>
    </w:p>
    <w:p w:rsidR="006B7895" w:rsidP="007A0B15" w14:paraId="617981BA" w14:textId="0A901AC3"/>
    <w:p w:rsidR="00823360" w:rsidP="007A0B15" w14:paraId="322DBA40" w14:textId="470947C1">
      <w:r>
        <w:t>Law enforcement agencies</w:t>
      </w:r>
      <w:r w:rsidR="7CF377AA">
        <w:t xml:space="preserve"> decide whether to request a trace based on their investigative needs, available resources, </w:t>
      </w:r>
      <w:r w:rsidR="00B43686">
        <w:t xml:space="preserve">state mandates, </w:t>
      </w:r>
      <w:r w:rsidR="7CF377AA">
        <w:t>and the context in which the firearm was recovered.</w:t>
      </w:r>
      <w:r w:rsidR="00146282">
        <w:t xml:space="preserve"> Such requests are voluntary</w:t>
      </w:r>
      <w:r w:rsidR="00422A1E">
        <w:t>,</w:t>
      </w:r>
      <w:r w:rsidR="00146282">
        <w:t xml:space="preserve"> </w:t>
      </w:r>
      <w:r>
        <w:t>at the discretion of the law enforcement agency</w:t>
      </w:r>
      <w:r w:rsidR="00EC0406">
        <w:t xml:space="preserve">, or </w:t>
      </w:r>
      <w:r w:rsidR="00707F9B">
        <w:t>submitted pursuant</w:t>
      </w:r>
      <w:r w:rsidR="00EC0406">
        <w:t xml:space="preserve"> to state requirements</w:t>
      </w:r>
      <w:r w:rsidR="00146282">
        <w:t>.</w:t>
      </w:r>
      <w:r w:rsidR="75039888">
        <w:t xml:space="preserve"> </w:t>
      </w:r>
    </w:p>
    <w:p w:rsidR="00823360" w:rsidP="007A0B15" w14:paraId="217B7E85" w14:textId="77777777"/>
    <w:p w:rsidR="00C15009" w:rsidP="36AB7609" w14:paraId="5B1FB0FD" w14:textId="6C427911">
      <w:r>
        <w:t xml:space="preserve">Upon receiving a trace request, </w:t>
      </w:r>
      <w:r w:rsidR="00823360">
        <w:t>NTC</w:t>
      </w:r>
      <w:r>
        <w:t xml:space="preserve"> </w:t>
      </w:r>
      <w:r w:rsidR="00025470">
        <w:t xml:space="preserve">uploads </w:t>
      </w:r>
      <w:r w:rsidR="7733BDC5">
        <w:t>or manually enters</w:t>
      </w:r>
      <w:r w:rsidR="00025470">
        <w:t xml:space="preserve"> the information in</w:t>
      </w:r>
      <w:r w:rsidR="37A8851D">
        <w:t>to</w:t>
      </w:r>
      <w:r w:rsidR="00025470">
        <w:t xml:space="preserve"> the Firearm Tracing System (FTS)</w:t>
      </w:r>
      <w:r w:rsidR="00333FAE">
        <w:t xml:space="preserve"> and conducts a validation check to ensure they are processing trace requests accurately and consistently</w:t>
      </w:r>
      <w:r w:rsidR="00D83102">
        <w:t xml:space="preserve">, resolve firearms misidentification before </w:t>
      </w:r>
      <w:r w:rsidR="006B7B05">
        <w:t>taking further action</w:t>
      </w:r>
      <w:r w:rsidR="006C0650">
        <w:t xml:space="preserve">, and determine if the firearm’s identification information is a match for another firearm </w:t>
      </w:r>
      <w:r w:rsidR="00380F8E">
        <w:t xml:space="preserve">in the FTS, such as a reported theft </w:t>
      </w:r>
      <w:r w:rsidR="00DA362B">
        <w:t xml:space="preserve">or other crime gun </w:t>
      </w:r>
      <w:r w:rsidR="00380F8E">
        <w:t>match</w:t>
      </w:r>
      <w:r w:rsidR="006B7B05">
        <w:t>.</w:t>
      </w:r>
      <w:r w:rsidR="00380F8E">
        <w:t xml:space="preserve"> These steps can speed up the trace process.</w:t>
      </w:r>
      <w:r w:rsidR="006B7B05">
        <w:t xml:space="preserve"> </w:t>
      </w:r>
      <w:r w:rsidR="00685B00">
        <w:t xml:space="preserve">If there are no matches, NTC then relies on information </w:t>
      </w:r>
      <w:r w:rsidR="00D62D5F">
        <w:t xml:space="preserve">that FFLs provide from a search of their own A&amp;D records. </w:t>
      </w:r>
      <w:r w:rsidR="00263923">
        <w:t xml:space="preserve">NTC </w:t>
      </w:r>
      <w:r w:rsidR="00ED04E2">
        <w:t xml:space="preserve">contacts each FFL to </w:t>
      </w:r>
      <w:r>
        <w:t>follow the firearm</w:t>
      </w:r>
      <w:r w:rsidR="00263923">
        <w:t xml:space="preserve"> through its original chain of custody from the manufacture</w:t>
      </w:r>
      <w:r w:rsidR="00ED04E2">
        <w:t>r/</w:t>
      </w:r>
      <w:r w:rsidR="00263923">
        <w:t xml:space="preserve">importer to a wholesale dealer, to </w:t>
      </w:r>
      <w:r w:rsidR="40AD478A">
        <w:t xml:space="preserve">one or more </w:t>
      </w:r>
      <w:r w:rsidR="00263923">
        <w:t>retail dealer</w:t>
      </w:r>
      <w:r w:rsidR="0FC667AC">
        <w:t>s</w:t>
      </w:r>
      <w:r w:rsidR="00263923">
        <w:t>, and finally to a purchaser</w:t>
      </w:r>
      <w:r>
        <w:t xml:space="preserve">. </w:t>
      </w:r>
    </w:p>
    <w:p w:rsidR="00C15009" w:rsidP="36AB7609" w14:paraId="1A256292" w14:textId="77777777"/>
    <w:p w:rsidR="00D8116D" w:rsidP="007A0B15" w14:paraId="7E573268" w14:textId="66198BFF">
      <w:r>
        <w:t xml:space="preserve">Once the NTC completes a firearm trace, the trace results are </w:t>
      </w:r>
      <w:r w:rsidR="00672BB0">
        <w:t>provided</w:t>
      </w:r>
      <w:r>
        <w:t xml:space="preserve"> directly to the law enforcement agency that submitted the request.</w:t>
      </w:r>
      <w:r w:rsidR="00672BB0">
        <w:t xml:space="preserve"> </w:t>
      </w:r>
      <w:r>
        <w:t xml:space="preserve">The delivery process is secure, </w:t>
      </w:r>
      <w:r w:rsidR="00672BB0">
        <w:t>quick,</w:t>
      </w:r>
      <w:r>
        <w:t xml:space="preserve"> and tailored to support active criminal investigation</w:t>
      </w:r>
      <w:r w:rsidR="00672BB0">
        <w:t>s</w:t>
      </w:r>
      <w:r>
        <w:t xml:space="preserve">. For agencies with access, trace results are delivered through </w:t>
      </w:r>
      <w:r>
        <w:t>eTrace</w:t>
      </w:r>
      <w:r>
        <w:t>.</w:t>
      </w:r>
      <w:r w:rsidR="4010A3A9">
        <w:t xml:space="preserve">  </w:t>
      </w:r>
    </w:p>
    <w:p w:rsidR="00D8116D" w:rsidP="007A0B15" w14:paraId="621C8CE4" w14:textId="77777777"/>
    <w:p w:rsidR="00D8116D" w:rsidRPr="00D8116D" w:rsidP="007A0B15" w14:paraId="4C49A662" w14:textId="13A1DC73">
      <w:r w:rsidRPr="00D8116D">
        <w:t xml:space="preserve">These </w:t>
      </w:r>
      <w:r w:rsidR="0097765A">
        <w:t>tracing request</w:t>
      </w:r>
      <w:r w:rsidRPr="00D8116D">
        <w:t>s allow ATF and law enforcement personnel to generate investigative leads to link suspects to firearms used in criminal activities.</w:t>
      </w:r>
      <w:r w:rsidR="0097765A">
        <w:t xml:space="preserve"> </w:t>
      </w:r>
      <w:r w:rsidRPr="00D8116D">
        <w:t xml:space="preserve">Tracing information also helps to identify illegal firearms traffickers and trafficking activity. Trace information is frequently used by law enforcement agencies to identify suspects, </w:t>
      </w:r>
      <w:r w:rsidR="003C46AA">
        <w:t xml:space="preserve">gather intelligence on criminal activities, </w:t>
      </w:r>
      <w:r w:rsidRPr="00D8116D">
        <w:t>determine trafficking patterns, and connect firearms to criminal networks</w:t>
      </w:r>
      <w:r w:rsidR="009D21AE">
        <w:t>.</w:t>
      </w:r>
    </w:p>
    <w:p w:rsidR="00604952" w:rsidP="007A0B15" w14:paraId="561D6425" w14:textId="77777777"/>
    <w:p w:rsidR="00604952" w:rsidP="007A0B15" w14:paraId="07011663" w14:textId="378F9A07">
      <w:r>
        <w:t xml:space="preserve">This </w:t>
      </w:r>
      <w:r w:rsidR="00670876">
        <w:t>i</w:t>
      </w:r>
      <w:r w:rsidR="00CA212C">
        <w:t xml:space="preserve">nformation </w:t>
      </w:r>
      <w:r w:rsidR="00670876">
        <w:t>c</w:t>
      </w:r>
      <w:r w:rsidR="00CA212C">
        <w:t>ollection</w:t>
      </w:r>
      <w:r>
        <w:t xml:space="preserve"> is a foundational component of the firearms tracing process, enabling ATF to fulfill its mission to support law enforcement, prevent firearms trafficking</w:t>
      </w:r>
      <w:r w:rsidR="00670876">
        <w:t>,</w:t>
      </w:r>
      <w:r>
        <w:t xml:space="preserve"> and enhance public safety.</w:t>
      </w:r>
    </w:p>
    <w:p w:rsidR="00C25A7D" w:rsidP="007A0B15" w14:paraId="08C2C8AE" w14:textId="50F75D4F"/>
    <w:p w:rsidR="006B7895" w:rsidRPr="008C7F00" w:rsidP="0014322E" w14:paraId="0C00135B" w14:textId="0B52BE6E">
      <w:r>
        <w:rPr>
          <w:b/>
          <w:bCs/>
        </w:rPr>
        <w:t xml:space="preserve">3. </w:t>
      </w:r>
      <w:r w:rsidRPr="006B7895">
        <w:rPr>
          <w:b/>
          <w:bCs/>
        </w:rPr>
        <w:t xml:space="preserve">Describe whether, and to what extent, the information collection involves using automated, electronic, mechanical, or other technological collection techniques or other forms of information technology, </w:t>
      </w:r>
      <w:r w:rsidRPr="006B7895">
        <w:rPr>
          <w:b/>
          <w:bCs/>
          <w:i/>
          <w:iCs/>
        </w:rPr>
        <w:t>e.g.</w:t>
      </w:r>
      <w:r w:rsidRPr="006B7895">
        <w:rPr>
          <w:b/>
          <w:bCs/>
        </w:rPr>
        <w:t xml:space="preserve">, permitting electronic submission of responses, and the basis for the decision </w:t>
      </w:r>
      <w:r w:rsidRPr="006B7895">
        <w:rPr>
          <w:b/>
          <w:bCs/>
        </w:rPr>
        <w:t>for adopting</w:t>
      </w:r>
      <w:r w:rsidRPr="006B7895">
        <w:rPr>
          <w:b/>
          <w:bCs/>
        </w:rPr>
        <w:t xml:space="preserve"> this means of collection.</w:t>
      </w:r>
    </w:p>
    <w:p w:rsidR="008C7F00" w:rsidP="007A0B15" w14:paraId="2A4C0EDA" w14:textId="77777777"/>
    <w:p w:rsidR="00C25A7D" w:rsidP="007A0B15" w14:paraId="33996F5D" w14:textId="7DBCB491">
      <w:r>
        <w:t>A</w:t>
      </w:r>
      <w:r>
        <w:t xml:space="preserve">pproximately </w:t>
      </w:r>
      <w:r w:rsidR="00497FE1">
        <w:t>9</w:t>
      </w:r>
      <w:r w:rsidR="00A0199F">
        <w:t>6</w:t>
      </w:r>
      <w:r>
        <w:t xml:space="preserve">% </w:t>
      </w:r>
      <w:r>
        <w:t>of the tracing request</w:t>
      </w:r>
      <w:r w:rsidR="00497FE1">
        <w:t>s</w:t>
      </w:r>
      <w:r>
        <w:t xml:space="preserve"> </w:t>
      </w:r>
      <w:r>
        <w:t>are submitted electronically</w:t>
      </w:r>
      <w:r w:rsidR="008F05C1">
        <w:t xml:space="preserve">. Some </w:t>
      </w:r>
      <w:r w:rsidR="004B2FE4">
        <w:t xml:space="preserve">of these </w:t>
      </w:r>
      <w:r w:rsidR="008F05C1">
        <w:t xml:space="preserve">requests are </w:t>
      </w:r>
      <w:r w:rsidR="00F069A7">
        <w:t xml:space="preserve">emailed </w:t>
      </w:r>
      <w:r>
        <w:t xml:space="preserve">to ATF on the fillable electronic version of </w:t>
      </w:r>
      <w:bookmarkStart w:id="0" w:name="_Hlk104287990"/>
      <w:r w:rsidRPr="00B05508">
        <w:t>ATF Form 3312.1/3312.1(S)</w:t>
      </w:r>
      <w:bookmarkEnd w:id="0"/>
      <w:r w:rsidR="008F05C1">
        <w:t xml:space="preserve">. However, </w:t>
      </w:r>
      <w:r w:rsidR="008F05C1">
        <w:t>the majority of</w:t>
      </w:r>
      <w:r w:rsidR="008F05C1">
        <w:t xml:space="preserve"> tracing requests</w:t>
      </w:r>
      <w:r w:rsidR="00497FE1">
        <w:t xml:space="preserve"> </w:t>
      </w:r>
      <w:r w:rsidR="008F05C1">
        <w:t>are submitted</w:t>
      </w:r>
      <w:r w:rsidR="00497FE1">
        <w:t xml:space="preserve"> via </w:t>
      </w:r>
      <w:r w:rsidR="009A3BED">
        <w:t xml:space="preserve">the </w:t>
      </w:r>
      <w:r w:rsidR="00497FE1">
        <w:t>eTrace</w:t>
      </w:r>
      <w:r w:rsidR="008F05C1">
        <w:t xml:space="preserve"> </w:t>
      </w:r>
      <w:r w:rsidR="00497FE1">
        <w:t>web-based system</w:t>
      </w:r>
      <w:r w:rsidR="008F05C1">
        <w:t>,</w:t>
      </w:r>
      <w:r w:rsidR="00497FE1">
        <w:t xml:space="preserve"> </w:t>
      </w:r>
      <w:r w:rsidR="008F05C1">
        <w:t>which enables</w:t>
      </w:r>
      <w:r w:rsidR="00497FE1">
        <w:t xml:space="preserve"> </w:t>
      </w:r>
      <w:r w:rsidR="00F069A7">
        <w:t xml:space="preserve">requesters to complete and submit </w:t>
      </w:r>
      <w:r w:rsidR="008F05C1">
        <w:t>a</w:t>
      </w:r>
      <w:r w:rsidR="00F069A7">
        <w:t>n</w:t>
      </w:r>
      <w:r w:rsidR="008F05C1">
        <w:t xml:space="preserve"> </w:t>
      </w:r>
      <w:r w:rsidR="00F069A7">
        <w:t xml:space="preserve">electronic version of the </w:t>
      </w:r>
      <w:r w:rsidRPr="008F05C1" w:rsidR="008F05C1">
        <w:t>Form 3312.1/3312.1(S)</w:t>
      </w:r>
      <w:r w:rsidR="00497FE1">
        <w:t xml:space="preserve"> </w:t>
      </w:r>
      <w:r w:rsidR="00F069A7">
        <w:t>online</w:t>
      </w:r>
      <w:r w:rsidR="00497FE1">
        <w:t>. Currently</w:t>
      </w:r>
      <w:r w:rsidR="009A3BED">
        <w:t>,</w:t>
      </w:r>
      <w:r w:rsidR="00497FE1">
        <w:t xml:space="preserve"> </w:t>
      </w:r>
      <w:r w:rsidR="6041C61C">
        <w:t>more than 10,300</w:t>
      </w:r>
      <w:r w:rsidR="009A3BED">
        <w:t xml:space="preserve"> </w:t>
      </w:r>
      <w:r w:rsidR="008F05C1">
        <w:t xml:space="preserve">law enforcement </w:t>
      </w:r>
      <w:r w:rsidR="00A30274">
        <w:t>agencie</w:t>
      </w:r>
      <w:r w:rsidR="000C27FB">
        <w:t>s</w:t>
      </w:r>
      <w:r w:rsidR="00497FE1">
        <w:t xml:space="preserve"> </w:t>
      </w:r>
      <w:r w:rsidR="006E31E0">
        <w:t xml:space="preserve">are connected to ATF’s </w:t>
      </w:r>
      <w:r w:rsidR="008F05C1">
        <w:t>eTrace</w:t>
      </w:r>
      <w:r w:rsidR="008F05C1">
        <w:t xml:space="preserve"> </w:t>
      </w:r>
      <w:r w:rsidR="00497FE1">
        <w:t>system</w:t>
      </w:r>
      <w:r w:rsidR="006E31E0">
        <w:t>,</w:t>
      </w:r>
      <w:r w:rsidR="009326B5">
        <w:t xml:space="preserve"> which</w:t>
      </w:r>
      <w:r w:rsidR="006E31E0">
        <w:t xml:space="preserve"> allows law enforcement personnel to </w:t>
      </w:r>
      <w:r w:rsidR="008F05C1">
        <w:t xml:space="preserve">both </w:t>
      </w:r>
      <w:r w:rsidR="00497FE1">
        <w:t>s</w:t>
      </w:r>
      <w:r w:rsidR="008F05C1">
        <w:t>ubmit</w:t>
      </w:r>
      <w:r w:rsidR="00497FE1">
        <w:t xml:space="preserve"> trace requests and </w:t>
      </w:r>
      <w:r w:rsidR="638F8988">
        <w:t xml:space="preserve">retrieve </w:t>
      </w:r>
      <w:r w:rsidR="00497FE1">
        <w:t xml:space="preserve">trace results. </w:t>
      </w:r>
      <w:r w:rsidR="00B83B74">
        <w:t>In addition</w:t>
      </w:r>
      <w:r w:rsidR="00497FE1">
        <w:t xml:space="preserve">, </w:t>
      </w:r>
      <w:r>
        <w:t xml:space="preserve">ATF </w:t>
      </w:r>
      <w:r w:rsidR="00497FE1">
        <w:t xml:space="preserve">has </w:t>
      </w:r>
      <w:r w:rsidR="7D81AB61">
        <w:t>an application program</w:t>
      </w:r>
      <w:r w:rsidR="00EA6BC9">
        <w:t>m</w:t>
      </w:r>
      <w:r w:rsidR="7D81AB61">
        <w:t>ing interface</w:t>
      </w:r>
      <w:r w:rsidR="006E5651">
        <w:t xml:space="preserve"> (API) that law enforcement agencies may use to connect their own </w:t>
      </w:r>
      <w:r w:rsidR="00A77A44">
        <w:t xml:space="preserve">records/case management </w:t>
      </w:r>
      <w:r w:rsidR="006E5651">
        <w:t>systems to ATF</w:t>
      </w:r>
      <w:r w:rsidR="000B1144">
        <w:t xml:space="preserve">’s </w:t>
      </w:r>
      <w:r w:rsidR="000B1144">
        <w:t>eTrace</w:t>
      </w:r>
      <w:r w:rsidR="000B1144">
        <w:t xml:space="preserve"> system. This </w:t>
      </w:r>
      <w:r w:rsidR="0008603A">
        <w:t>allow</w:t>
      </w:r>
      <w:r w:rsidR="00B12C6E">
        <w:t>s</w:t>
      </w:r>
      <w:r w:rsidR="0008603A">
        <w:t xml:space="preserve"> them to submit trace re</w:t>
      </w:r>
      <w:r w:rsidR="00D816FE">
        <w:t xml:space="preserve">quests and receive results directly within their own </w:t>
      </w:r>
      <w:r w:rsidR="00FA08B1">
        <w:t xml:space="preserve">system, without having to go to the </w:t>
      </w:r>
      <w:r w:rsidR="00FA08B1">
        <w:t>eTrace</w:t>
      </w:r>
      <w:r w:rsidR="00FA08B1">
        <w:t xml:space="preserve"> </w:t>
      </w:r>
      <w:r w:rsidR="003F6173">
        <w:t>site</w:t>
      </w:r>
      <w:r w:rsidR="00966395">
        <w:t xml:space="preserve"> to submit or </w:t>
      </w:r>
      <w:r w:rsidR="00966395">
        <w:t>check on</w:t>
      </w:r>
      <w:r w:rsidR="00966395">
        <w:t xml:space="preserve"> whether a response has been provided.</w:t>
      </w:r>
      <w:r w:rsidR="7D81AB61">
        <w:t xml:space="preserve"> </w:t>
      </w:r>
    </w:p>
    <w:p w:rsidR="0B371BDC" w:rsidP="007A0B15" w14:paraId="49127D82" w14:textId="73BFB212"/>
    <w:p w:rsidR="006B7895" w:rsidP="00CD658E" w14:paraId="4F3F5E56" w14:textId="32D96E12">
      <w:pPr>
        <w:rPr>
          <w:b/>
          <w:bCs/>
        </w:rPr>
      </w:pPr>
      <w:r>
        <w:rPr>
          <w:b/>
          <w:bCs/>
        </w:rPr>
        <w:t xml:space="preserve">4. </w:t>
      </w:r>
      <w:r w:rsidRPr="006B7895">
        <w:rPr>
          <w:b/>
          <w:bCs/>
        </w:rPr>
        <w:t>Describe efforts to identify duplication.</w:t>
      </w:r>
    </w:p>
    <w:p w:rsidR="00CD658E" w:rsidP="00CD658E" w14:paraId="392BE1D4" w14:textId="77777777"/>
    <w:p w:rsidR="006B7895" w:rsidP="007A0B15" w14:paraId="6A878E28" w14:textId="15B21B17">
      <w:pPr>
        <w:rPr>
          <w:rStyle w:val="eop"/>
          <w:color w:val="000000"/>
          <w:shd w:val="clear" w:color="auto" w:fill="FFFFFF"/>
        </w:rPr>
      </w:pPr>
      <w:r w:rsidRPr="0515CFA8">
        <w:rPr>
          <w:rStyle w:val="normaltextrun"/>
          <w:color w:val="000000" w:themeColor="text1"/>
        </w:rPr>
        <w:t xml:space="preserve">This information is not duplicative and requires </w:t>
      </w:r>
      <w:r w:rsidR="00D44AEE">
        <w:rPr>
          <w:rStyle w:val="normaltextrun"/>
          <w:color w:val="000000" w:themeColor="text1"/>
        </w:rPr>
        <w:t xml:space="preserve">respondents to </w:t>
      </w:r>
      <w:r w:rsidR="00E10B31">
        <w:rPr>
          <w:rStyle w:val="normaltextrun"/>
          <w:color w:val="000000" w:themeColor="text1"/>
        </w:rPr>
        <w:t xml:space="preserve">provide information from their acquisition and disposition records on a case-by-case basis. As a result, it is not available </w:t>
      </w:r>
      <w:r w:rsidR="00D05393">
        <w:rPr>
          <w:rStyle w:val="normaltextrun"/>
          <w:color w:val="000000" w:themeColor="text1"/>
        </w:rPr>
        <w:t>from any other source.</w:t>
      </w:r>
    </w:p>
    <w:p w:rsidR="0515CFA8" w:rsidP="007A0B15" w14:paraId="1C746292" w14:textId="21AB4097">
      <w:pPr>
        <w:rPr>
          <w:rStyle w:val="eop"/>
          <w:color w:val="000000" w:themeColor="text1"/>
        </w:rPr>
      </w:pPr>
    </w:p>
    <w:p w:rsidR="006119DB" w:rsidRPr="00C76209" w:rsidP="00C76209" w14:paraId="22FB0699" w14:textId="42BF85C3">
      <w:pPr>
        <w:tabs>
          <w:tab w:val="left" w:pos="1080"/>
        </w:tabs>
      </w:pPr>
      <w:r>
        <w:rPr>
          <w:b/>
          <w:bCs/>
        </w:rPr>
        <w:t xml:space="preserve">5. </w:t>
      </w:r>
      <w:r w:rsidRPr="006119DB">
        <w:rPr>
          <w:b/>
          <w:bCs/>
        </w:rPr>
        <w:t>If the information collection impacts small businesses or other small entities, describe any methods used to minimize burden.</w:t>
      </w:r>
    </w:p>
    <w:p w:rsidR="006119DB" w:rsidP="007A0B15" w14:paraId="2874B5B4" w14:textId="77777777">
      <w:pPr>
        <w:tabs>
          <w:tab w:val="left" w:pos="1080"/>
        </w:tabs>
        <w:rPr>
          <w:b/>
          <w:bCs/>
        </w:rPr>
      </w:pPr>
    </w:p>
    <w:p w:rsidR="006119DB" w:rsidP="007A0B15" w14:paraId="45353B00" w14:textId="75004F60">
      <w:pPr>
        <w:tabs>
          <w:tab w:val="num" w:pos="1080"/>
        </w:tabs>
        <w:rPr>
          <w:rStyle w:val="eop"/>
        </w:rPr>
      </w:pPr>
      <w:r>
        <w:rPr>
          <w:rStyle w:val="normaltextrun"/>
        </w:rPr>
        <w:t>This information collection does not have a significant impact on small entities.</w:t>
      </w:r>
      <w:r w:rsidR="00B23F78">
        <w:rPr>
          <w:rStyle w:val="eop"/>
        </w:rPr>
        <w:t xml:space="preserve"> </w:t>
      </w:r>
      <w:r w:rsidRPr="643533C8" w:rsidR="04E296A3">
        <w:rPr>
          <w:rStyle w:val="eop"/>
        </w:rPr>
        <w:t>Small entities affected by this collection may submit information electronically via email or through a portal.</w:t>
      </w:r>
    </w:p>
    <w:p w:rsidR="00F93A6C" w:rsidP="007A0B15" w14:paraId="75872218" w14:textId="77777777">
      <w:pPr>
        <w:tabs>
          <w:tab w:val="num" w:pos="1080"/>
        </w:tabs>
        <w:rPr>
          <w:rStyle w:val="eop"/>
        </w:rPr>
      </w:pPr>
    </w:p>
    <w:p w:rsidR="00AB44A6" w:rsidP="007A0B15" w14:paraId="2C92DB7B" w14:textId="77777777">
      <w:r>
        <w:rPr>
          <w:b/>
          <w:bCs/>
        </w:rPr>
        <w:t xml:space="preserve">6. </w:t>
      </w:r>
      <w:r w:rsidRPr="006119DB" w:rsidR="006119DB">
        <w:rPr>
          <w:b/>
          <w:bCs/>
        </w:rPr>
        <w:t xml:space="preserve">Describe the </w:t>
      </w:r>
      <w:r w:rsidRPr="006119DB" w:rsidR="006119DB">
        <w:rPr>
          <w:b/>
          <w:bCs/>
        </w:rPr>
        <w:t>consequence</w:t>
      </w:r>
      <w:r w:rsidRPr="006119DB" w:rsidR="006119DB">
        <w:rPr>
          <w:b/>
          <w:bCs/>
        </w:rPr>
        <w:t xml:space="preserve"> </w:t>
      </w:r>
      <w:r w:rsidRPr="006119DB" w:rsidR="006119DB">
        <w:rPr>
          <w:b/>
          <w:bCs/>
        </w:rPr>
        <w:t>to</w:t>
      </w:r>
      <w:r w:rsidRPr="006119DB" w:rsidR="006119DB">
        <w:rPr>
          <w:b/>
          <w:bCs/>
        </w:rPr>
        <w:t xml:space="preserve"> federal programs or policy activities if the collection is not conducted or is conducted less frequently, as well as any technical or legal obstacles to reducing burden.</w:t>
      </w:r>
    </w:p>
    <w:p w:rsidR="00AB44A6" w:rsidP="00AB44A6" w14:paraId="0CDA7F63" w14:textId="77777777"/>
    <w:p w:rsidR="00C25A7D" w:rsidP="00AB44A6" w14:paraId="74E898D2" w14:textId="30D747B5">
      <w:r>
        <w:t xml:space="preserve">This </w:t>
      </w:r>
      <w:r w:rsidR="00C72B69">
        <w:t xml:space="preserve">collection </w:t>
      </w:r>
      <w:r>
        <w:t xml:space="preserve">is a tool for </w:t>
      </w:r>
      <w:r w:rsidR="00B25325">
        <w:t>f</w:t>
      </w:r>
      <w:r>
        <w:t xml:space="preserve">ederal, </w:t>
      </w:r>
      <w:r w:rsidR="00B25325">
        <w:t>s</w:t>
      </w:r>
      <w:r>
        <w:t>tate, local</w:t>
      </w:r>
      <w:r w:rsidR="00B25325">
        <w:t>,</w:t>
      </w:r>
      <w:r>
        <w:t xml:space="preserve"> </w:t>
      </w:r>
      <w:r w:rsidR="09DA5485">
        <w:t xml:space="preserve">tribal, </w:t>
      </w:r>
      <w:r>
        <w:t>and international law enforcement officials to</w:t>
      </w:r>
      <w:r>
        <w:t xml:space="preserve"> </w:t>
      </w:r>
      <w:r w:rsidR="00436124">
        <w:t xml:space="preserve">(1) </w:t>
      </w:r>
      <w:r>
        <w:t xml:space="preserve">request </w:t>
      </w:r>
      <w:r w:rsidR="00143264">
        <w:t xml:space="preserve">that ATF </w:t>
      </w:r>
      <w:r>
        <w:t xml:space="preserve">trace </w:t>
      </w:r>
      <w:r w:rsidR="00143264">
        <w:t>a gun used in a crime</w:t>
      </w:r>
      <w:r w:rsidR="00436124">
        <w:t xml:space="preserve">, or (2) </w:t>
      </w:r>
      <w:r w:rsidRPr="00EF4401">
        <w:t>provide information to ATF regarding firearms with obliterated</w:t>
      </w:r>
      <w:r w:rsidRPr="00EF4401">
        <w:t xml:space="preserve"> serial numbers or suspect guns</w:t>
      </w:r>
      <w:r>
        <w:t>.</w:t>
      </w:r>
      <w:r w:rsidR="006931EC">
        <w:t xml:space="preserve"> </w:t>
      </w:r>
      <w:r w:rsidR="00A079D5">
        <w:t xml:space="preserve">Without this IC, law enforcement officials would be unable to </w:t>
      </w:r>
      <w:r w:rsidR="0C528CA1">
        <w:t>leverage</w:t>
      </w:r>
      <w:r w:rsidR="00B83B74">
        <w:t xml:space="preserve"> </w:t>
      </w:r>
      <w:r w:rsidR="00912D26">
        <w:t>investigative leads regarding illegal firearms trafficking activities</w:t>
      </w:r>
      <w:r w:rsidR="63CB22BD">
        <w:t xml:space="preserve"> or pinpoint purchasers of firearms used in crime</w:t>
      </w:r>
      <w:r w:rsidR="006931EC">
        <w:t>s</w:t>
      </w:r>
      <w:r w:rsidR="63CB22BD">
        <w:t>.</w:t>
      </w:r>
    </w:p>
    <w:p w:rsidR="00C25A7D" w:rsidP="007A0B15" w14:paraId="1A3BA627" w14:textId="77777777">
      <w:pPr>
        <w:tabs>
          <w:tab w:val="num" w:pos="1080"/>
        </w:tabs>
      </w:pPr>
    </w:p>
    <w:p w:rsidR="00C3572A" w:rsidRPr="002A01EE" w:rsidP="00AB44A6" w14:paraId="6BDC55D4" w14:textId="4ED69D82">
      <w:pPr>
        <w:pStyle w:val="paragraph"/>
        <w:spacing w:before="0" w:beforeAutospacing="0" w:after="0" w:afterAutospacing="0"/>
        <w:textAlignment w:val="baseline"/>
        <w:rPr>
          <w:rFonts w:ascii="Segoe UI" w:hAnsi="Segoe UI" w:cs="Segoe UI"/>
        </w:rPr>
      </w:pPr>
      <w:r w:rsidRPr="002A01EE">
        <w:rPr>
          <w:rStyle w:val="normaltextrun"/>
          <w:b/>
          <w:bCs/>
        </w:rPr>
        <w:t xml:space="preserve">7. </w:t>
      </w:r>
      <w:r w:rsidRPr="002A01EE">
        <w:rPr>
          <w:rStyle w:val="normaltextrun"/>
          <w:b/>
          <w:bCs/>
        </w:rPr>
        <w:t>Explain any special circumstances that would cause the information collection to be conducted in a manner inconsistent with 5 CFR 1320.6.</w:t>
      </w:r>
    </w:p>
    <w:p w:rsidR="00C3572A" w:rsidP="007A0B15" w14:paraId="56488A24" w14:textId="07348438">
      <w:pPr>
        <w:pStyle w:val="paragraph"/>
        <w:spacing w:before="0" w:beforeAutospacing="0" w:after="0" w:afterAutospacing="0"/>
        <w:textAlignment w:val="baseline"/>
        <w:rPr>
          <w:rStyle w:val="eop"/>
        </w:rPr>
      </w:pPr>
    </w:p>
    <w:p w:rsidR="00C25A7D" w:rsidP="007A0B15" w14:paraId="320EF0C4" w14:textId="4277D466">
      <w:pPr>
        <w:tabs>
          <w:tab w:val="num" w:pos="1080"/>
        </w:tabs>
      </w:pPr>
      <w:r w:rsidRPr="006E5651">
        <w:t xml:space="preserve">While respondents are not required to respond </w:t>
      </w:r>
      <w:r w:rsidRPr="006E5651" w:rsidR="006A2AFD">
        <w:t xml:space="preserve">(submit a trace request) </w:t>
      </w:r>
      <w:r w:rsidRPr="006E5651">
        <w:t xml:space="preserve">more than quarterly </w:t>
      </w:r>
      <w:r w:rsidRPr="006E5651" w:rsidR="00A20EA7">
        <w:t xml:space="preserve">as a set frequency, they </w:t>
      </w:r>
      <w:r w:rsidRPr="006E5651" w:rsidR="002653E9">
        <w:t xml:space="preserve">may need to </w:t>
      </w:r>
      <w:r w:rsidRPr="006E5651" w:rsidR="006F0E43">
        <w:t>submit more than one</w:t>
      </w:r>
      <w:r w:rsidRPr="006E5651" w:rsidR="00A20EA7">
        <w:t xml:space="preserve"> trace request</w:t>
      </w:r>
      <w:r w:rsidRPr="006E5651" w:rsidR="006F0E43">
        <w:t xml:space="preserve"> </w:t>
      </w:r>
      <w:r w:rsidRPr="006E5651" w:rsidR="006F0E43">
        <w:t>in a given</w:t>
      </w:r>
      <w:r w:rsidRPr="006E5651" w:rsidR="006F0E43">
        <w:t xml:space="preserve"> quarter, depending upon how often such a need arises </w:t>
      </w:r>
      <w:r w:rsidRPr="006E5651" w:rsidR="006F0E43">
        <w:t>in the course of</w:t>
      </w:r>
      <w:r w:rsidRPr="006E5651" w:rsidR="006F0E43">
        <w:t xml:space="preserve"> their law enforcement activities</w:t>
      </w:r>
      <w:r w:rsidRPr="006E5651" w:rsidR="00A20EA7">
        <w:t xml:space="preserve">. </w:t>
      </w:r>
      <w:r w:rsidRPr="006E5651" w:rsidR="00833791">
        <w:t>T</w:t>
      </w:r>
      <w:r w:rsidRPr="006E5651" w:rsidR="00A20EA7">
        <w:t>his means respondents may respond</w:t>
      </w:r>
      <w:r w:rsidRPr="006E5651" w:rsidR="00E60C21">
        <w:t xml:space="preserve"> anywhere from once a </w:t>
      </w:r>
      <w:r w:rsidRPr="006E5651" w:rsidR="00833791">
        <w:t>day, week, or month</w:t>
      </w:r>
      <w:r w:rsidRPr="006E5651" w:rsidR="00E60C21">
        <w:t xml:space="preserve"> all the way to once a year</w:t>
      </w:r>
      <w:r w:rsidRPr="006E5651" w:rsidR="00833791">
        <w:t>,</w:t>
      </w:r>
      <w:r w:rsidRPr="006E5651" w:rsidR="00E60C21">
        <w:t xml:space="preserve"> every few years, </w:t>
      </w:r>
      <w:r w:rsidRPr="006E5651" w:rsidR="009A3540">
        <w:t xml:space="preserve">or never, depending on whether a firearm </w:t>
      </w:r>
      <w:r w:rsidRPr="006E5651" w:rsidR="00CA41AC">
        <w:t xml:space="preserve">involved in a crime </w:t>
      </w:r>
      <w:r w:rsidRPr="006E5651" w:rsidR="00FD21EA">
        <w:t>under their jurisdiction</w:t>
      </w:r>
      <w:r w:rsidRPr="006E5651" w:rsidR="00A915DA">
        <w:t xml:space="preserve"> generates a trace request.</w:t>
      </w:r>
    </w:p>
    <w:p w:rsidR="006E5651" w:rsidP="007A0B15" w14:paraId="4C62201C" w14:textId="77777777">
      <w:pPr>
        <w:tabs>
          <w:tab w:val="num" w:pos="1080"/>
        </w:tabs>
      </w:pPr>
    </w:p>
    <w:p w:rsidR="006E5651" w:rsidP="006E5651" w14:paraId="2F5A12FF" w14:textId="31312C77">
      <w:pPr>
        <w:tabs>
          <w:tab w:val="num" w:pos="1080"/>
        </w:tabs>
      </w:pPr>
      <w:r w:rsidRPr="002115F1">
        <w:t xml:space="preserve">There are no </w:t>
      </w:r>
      <w:r>
        <w:t xml:space="preserve">other </w:t>
      </w:r>
      <w:r w:rsidRPr="002115F1">
        <w:t>special circumstances associated with this information collection, which is conducted in a manner consistent with 5 CFR 1320.6. </w:t>
      </w:r>
    </w:p>
    <w:p w:rsidR="006E5651" w:rsidP="007A0B15" w14:paraId="6D1FFC40" w14:textId="77777777">
      <w:pPr>
        <w:tabs>
          <w:tab w:val="num" w:pos="1080"/>
        </w:tabs>
      </w:pPr>
    </w:p>
    <w:p w:rsidR="00C706E4" w:rsidRPr="0092665A" w:rsidP="00AB44A6" w14:paraId="7E593311" w14:textId="6936E8D5">
      <w:r>
        <w:rPr>
          <w:b/>
          <w:bCs/>
        </w:rPr>
        <w:t xml:space="preserve">8. </w:t>
      </w:r>
      <w:r w:rsidRPr="00C706E4">
        <w:rPr>
          <w:b/>
          <w:bCs/>
        </w:rPr>
        <w:t xml:space="preserve">If applicable, provide a copy, and identify the date and page number, of the agency’s notice published in the </w:t>
      </w:r>
      <w:r w:rsidRPr="00C706E4">
        <w:rPr>
          <w:b/>
          <w:bCs/>
          <w:i/>
          <w:iCs/>
        </w:rPr>
        <w:t>Federal Register</w:t>
      </w:r>
      <w:r w:rsidRPr="00C706E4">
        <w:rPr>
          <w:b/>
          <w:bCs/>
        </w:rPr>
        <w:t>, as required by 5 CFR 1320.8(d), soliciting comments on the information collection prior to submission to OMB.</w:t>
      </w:r>
    </w:p>
    <w:p w:rsidR="00C706E4" w:rsidP="007A0B15" w14:paraId="522C954E" w14:textId="77777777"/>
    <w:p w:rsidR="00C706E4" w:rsidP="007A0B15" w14:paraId="593F21F1" w14:textId="6DB29021">
      <w:r>
        <w:rPr>
          <w:rStyle w:val="normaltextrun"/>
          <w:color w:val="000000"/>
          <w:shd w:val="clear" w:color="auto" w:fill="FFFFFF"/>
        </w:rPr>
        <w:t xml:space="preserve">The 60-Day Notice </w:t>
      </w:r>
      <w:r w:rsidRPr="00134B0A">
        <w:rPr>
          <w:rStyle w:val="normaltextrun"/>
          <w:color w:val="000000"/>
          <w:shd w:val="clear" w:color="auto" w:fill="FFFFFF"/>
        </w:rPr>
        <w:t xml:space="preserve">was published in the </w:t>
      </w:r>
      <w:r w:rsidRPr="00134B0A">
        <w:rPr>
          <w:rStyle w:val="normaltextrun"/>
          <w:i/>
          <w:iCs/>
          <w:color w:val="000000"/>
          <w:shd w:val="clear" w:color="auto" w:fill="FFFFFF"/>
        </w:rPr>
        <w:t>Federal Register</w:t>
      </w:r>
      <w:r w:rsidRPr="00134B0A">
        <w:rPr>
          <w:rStyle w:val="normaltextrun"/>
          <w:color w:val="000000"/>
          <w:shd w:val="clear" w:color="auto" w:fill="FFFFFF"/>
        </w:rPr>
        <w:t xml:space="preserve"> on</w:t>
      </w:r>
      <w:r w:rsidR="00134B0A">
        <w:rPr>
          <w:rStyle w:val="normaltextrun"/>
          <w:color w:val="000000"/>
          <w:shd w:val="clear" w:color="auto" w:fill="FFFFFF"/>
        </w:rPr>
        <w:t xml:space="preserve"> </w:t>
      </w:r>
      <w:r w:rsidR="005258B7">
        <w:rPr>
          <w:rStyle w:val="normaltextrun"/>
          <w:color w:val="000000"/>
          <w:shd w:val="clear" w:color="auto" w:fill="FFFFFF"/>
        </w:rPr>
        <w:t xml:space="preserve">08/05/2025 </w:t>
      </w:r>
      <w:r w:rsidR="00134B0A">
        <w:rPr>
          <w:rStyle w:val="normaltextrun"/>
          <w:color w:val="000000"/>
          <w:shd w:val="clear" w:color="auto" w:fill="FFFFFF"/>
        </w:rPr>
        <w:t>(</w:t>
      </w:r>
      <w:r w:rsidR="00F14B60">
        <w:rPr>
          <w:rStyle w:val="normaltextrun"/>
          <w:color w:val="000000"/>
          <w:shd w:val="clear" w:color="auto" w:fill="FFFFFF"/>
        </w:rPr>
        <w:t>90</w:t>
      </w:r>
      <w:r w:rsidR="00134B0A">
        <w:rPr>
          <w:rStyle w:val="normaltextrun"/>
          <w:color w:val="000000"/>
          <w:shd w:val="clear" w:color="auto" w:fill="FFFFFF"/>
        </w:rPr>
        <w:t xml:space="preserve"> FR </w:t>
      </w:r>
      <w:r w:rsidR="00F14B60">
        <w:rPr>
          <w:rStyle w:val="normaltextrun"/>
          <w:color w:val="000000"/>
          <w:shd w:val="clear" w:color="auto" w:fill="FFFFFF"/>
        </w:rPr>
        <w:t>37565</w:t>
      </w:r>
      <w:r w:rsidR="00134B0A">
        <w:rPr>
          <w:rStyle w:val="normaltextrun"/>
          <w:color w:val="000000"/>
          <w:shd w:val="clear" w:color="auto" w:fill="FFFFFF"/>
        </w:rPr>
        <w:t>)</w:t>
      </w:r>
      <w:r w:rsidRPr="00134B0A">
        <w:rPr>
          <w:rStyle w:val="normaltextrun"/>
          <w:color w:val="000000"/>
          <w:shd w:val="clear" w:color="auto" w:fill="FFFFFF"/>
        </w:rPr>
        <w:t>. The comment period ended on</w:t>
      </w:r>
      <w:r w:rsidR="00F14B60">
        <w:rPr>
          <w:rStyle w:val="normaltextrun"/>
          <w:color w:val="000000"/>
          <w:shd w:val="clear" w:color="auto" w:fill="FFFFFF"/>
        </w:rPr>
        <w:t xml:space="preserve"> 10</w:t>
      </w:r>
      <w:r w:rsidR="00134B0A">
        <w:rPr>
          <w:rStyle w:val="normaltextrun"/>
          <w:color w:val="000000"/>
          <w:shd w:val="clear" w:color="auto" w:fill="FFFFFF"/>
        </w:rPr>
        <w:t>/</w:t>
      </w:r>
      <w:r w:rsidR="00F14B60">
        <w:rPr>
          <w:rStyle w:val="normaltextrun"/>
          <w:color w:val="000000"/>
          <w:shd w:val="clear" w:color="auto" w:fill="FFFFFF"/>
        </w:rPr>
        <w:t>06</w:t>
      </w:r>
      <w:r w:rsidR="00134B0A">
        <w:rPr>
          <w:rStyle w:val="normaltextrun"/>
          <w:color w:val="000000"/>
          <w:shd w:val="clear" w:color="auto" w:fill="FFFFFF"/>
        </w:rPr>
        <w:t>/</w:t>
      </w:r>
      <w:r w:rsidR="00F14B60">
        <w:rPr>
          <w:rStyle w:val="normaltextrun"/>
          <w:color w:val="000000"/>
          <w:shd w:val="clear" w:color="auto" w:fill="FFFFFF"/>
        </w:rPr>
        <w:t>2025</w:t>
      </w:r>
      <w:r w:rsidRPr="00134B0A">
        <w:rPr>
          <w:rStyle w:val="normaltextrun"/>
          <w:color w:val="000000"/>
          <w:shd w:val="clear" w:color="auto" w:fill="FFFFFF"/>
        </w:rPr>
        <w:t xml:space="preserve">. ATF received </w:t>
      </w:r>
      <w:r w:rsidRPr="00134B0A" w:rsidR="000E5436">
        <w:rPr>
          <w:rStyle w:val="normaltextrun"/>
          <w:color w:val="000000"/>
          <w:shd w:val="clear" w:color="auto" w:fill="FFFFFF"/>
        </w:rPr>
        <w:t>two sets of</w:t>
      </w:r>
      <w:r w:rsidRPr="00134B0A">
        <w:rPr>
          <w:rStyle w:val="normaltextrun"/>
          <w:color w:val="000000"/>
          <w:shd w:val="clear" w:color="auto" w:fill="FFFFFF"/>
        </w:rPr>
        <w:t xml:space="preserve"> comments.</w:t>
      </w:r>
      <w:r w:rsidRPr="00134B0A" w:rsidR="000E5436">
        <w:rPr>
          <w:rStyle w:val="normaltextrun"/>
          <w:color w:val="000000"/>
          <w:shd w:val="clear" w:color="auto" w:fill="FFFFFF"/>
        </w:rPr>
        <w:t xml:space="preserve"> Please see the appendix at the end of this document</w:t>
      </w:r>
      <w:r w:rsidR="000E5436">
        <w:rPr>
          <w:rStyle w:val="normaltextrun"/>
          <w:color w:val="000000"/>
          <w:shd w:val="clear" w:color="auto" w:fill="FFFFFF"/>
        </w:rPr>
        <w:t xml:space="preserve"> for a summary of the comments and ATF’s responses.</w:t>
      </w:r>
    </w:p>
    <w:p w:rsidR="00C25A7D" w:rsidP="007A0B15" w14:paraId="1E6A4ED9" w14:textId="77777777">
      <w:pPr>
        <w:tabs>
          <w:tab w:val="num" w:pos="1080"/>
        </w:tabs>
      </w:pPr>
    </w:p>
    <w:p w:rsidR="00C706E4" w:rsidP="00AB44A6" w14:paraId="0090B1BD" w14:textId="50CC2C7C">
      <w:pPr>
        <w:rPr>
          <w:b/>
          <w:bCs/>
        </w:rPr>
      </w:pPr>
      <w:r>
        <w:rPr>
          <w:b/>
          <w:bCs/>
        </w:rPr>
        <w:t xml:space="preserve">9. </w:t>
      </w:r>
      <w:r w:rsidRPr="00C706E4">
        <w:rPr>
          <w:b/>
          <w:bCs/>
        </w:rPr>
        <w:t>Explain any decision to provide any payments or gifts to respondents, other than remuneration of contractors or grantees.</w:t>
      </w:r>
    </w:p>
    <w:p w:rsidR="001B2036" w:rsidP="00AB44A6" w14:paraId="4F9A51BF" w14:textId="77777777"/>
    <w:p w:rsidR="00C25A7D" w:rsidP="007A0B15" w14:paraId="6F5FA7EF" w14:textId="347B7DAA">
      <w:r>
        <w:t xml:space="preserve">No </w:t>
      </w:r>
      <w:r>
        <w:t>payment or gift is associated with this collection.</w:t>
      </w:r>
    </w:p>
    <w:p w:rsidR="00C25A7D" w:rsidP="007A0B15" w14:paraId="43BA6925" w14:textId="77777777">
      <w:pPr>
        <w:tabs>
          <w:tab w:val="num" w:pos="1080"/>
        </w:tabs>
      </w:pPr>
    </w:p>
    <w:p w:rsidR="00954D74" w:rsidRPr="00E73E89" w:rsidP="00AB44A6" w14:paraId="06E5D05D" w14:textId="1CB41FFE">
      <w:pPr>
        <w:rPr>
          <w:b/>
        </w:rPr>
      </w:pPr>
      <w:r>
        <w:rPr>
          <w:b/>
          <w:bCs/>
        </w:rPr>
        <w:t xml:space="preserve">10. </w:t>
      </w:r>
      <w:r w:rsidRPr="00BD1967">
        <w:rPr>
          <w:b/>
          <w:bCs/>
        </w:rPr>
        <w:t>Describe any assurance of confidentiality provided to respondents and the basis for the assurance in statute, regulation, or agency policy.</w:t>
      </w:r>
    </w:p>
    <w:p w:rsidR="00954D74" w:rsidP="007A0B15" w14:paraId="35A94887" w14:textId="77777777">
      <w:pPr>
        <w:tabs>
          <w:tab w:val="num" w:pos="1080"/>
        </w:tabs>
      </w:pPr>
    </w:p>
    <w:p w:rsidR="00BD1967" w:rsidP="007A0B15" w14:paraId="2FD2FACE" w14:textId="15622B08">
      <w:pPr>
        <w:pStyle w:val="paragraph"/>
        <w:spacing w:before="0" w:beforeAutospacing="0" w:after="0" w:afterAutospacing="0"/>
        <w:textAlignment w:val="baseline"/>
        <w:rPr>
          <w:rFonts w:ascii="Segoe UI" w:hAnsi="Segoe UI" w:cs="Segoe UI"/>
          <w:sz w:val="18"/>
          <w:szCs w:val="18"/>
        </w:rPr>
      </w:pPr>
      <w:r w:rsidRPr="009465FB">
        <w:rPr>
          <w:rStyle w:val="normaltextrun"/>
        </w:rPr>
        <w:t xml:space="preserve">ATF has not assured respondents of confidentiality. However, the information </w:t>
      </w:r>
      <w:r w:rsidRPr="009465FB">
        <w:rPr>
          <w:rStyle w:val="normaltextrun"/>
        </w:rPr>
        <w:t>being collected</w:t>
      </w:r>
      <w:r w:rsidRPr="009465FB" w:rsidR="008E01C4">
        <w:rPr>
          <w:rStyle w:val="normaltextrun"/>
        </w:rPr>
        <w:t xml:space="preserve"> from law enforcement </w:t>
      </w:r>
      <w:r w:rsidRPr="009465FB">
        <w:rPr>
          <w:rStyle w:val="normaltextrun"/>
        </w:rPr>
        <w:t>includes PII and is thus protected by the Privacy Act. The information is maintained by ATF in a system of records, Justice/ATF</w:t>
      </w:r>
      <w:r w:rsidRPr="00A41CCA" w:rsidR="009D5D41">
        <w:t>-003, Criminal Investigation Report System</w:t>
      </w:r>
      <w:r w:rsidR="009465FB">
        <w:t>. The form that accompanies this ICR includes a Privacy Act statement the covers this information and informs respondents of the system of records, routine uses, etc.</w:t>
      </w:r>
      <w:r w:rsidRPr="009465FB" w:rsidR="0010702C">
        <w:t xml:space="preserve"> In addition, the Gun Control Act, at 1</w:t>
      </w:r>
      <w:r w:rsidRPr="009465FB" w:rsidR="002F4803">
        <w:t>8 U.S.C. 923(g)(1)(D), and its implementing regulation at 27 CFR 478.25</w:t>
      </w:r>
      <w:r w:rsidRPr="009465FB" w:rsidR="0010702C">
        <w:t>,</w:t>
      </w:r>
      <w:r w:rsidRPr="009465FB" w:rsidR="00B5069D">
        <w:t xml:space="preserve"> limit ATF’s disclosure of information collected under this ICR to requesting LEAs</w:t>
      </w:r>
      <w:r w:rsidRPr="009465FB" w:rsidR="00BE4818">
        <w:t xml:space="preserve"> as part of a criminal investigation trace request.</w:t>
      </w:r>
      <w:r w:rsidR="008E01C4">
        <w:rPr>
          <w:rStyle w:val="normaltextrun"/>
          <w:shd w:val="clear" w:color="auto" w:fill="00FFFF"/>
        </w:rPr>
        <w:t xml:space="preserve"> </w:t>
      </w:r>
    </w:p>
    <w:p w:rsidR="00DA2A82" w:rsidP="00AB44A6" w14:paraId="2F050D4D" w14:textId="3567186F">
      <w:pPr>
        <w:rPr>
          <w:b/>
          <w:bCs/>
        </w:rPr>
      </w:pPr>
    </w:p>
    <w:p w:rsidR="00BD1967" w:rsidRPr="0092665A" w:rsidP="00AB44A6" w14:paraId="1305501A" w14:textId="2F64C514">
      <w:r>
        <w:rPr>
          <w:b/>
          <w:bCs/>
        </w:rPr>
        <w:t xml:space="preserve">11. </w:t>
      </w:r>
      <w:r w:rsidRPr="00BD1967">
        <w:rPr>
          <w:b/>
          <w:bCs/>
        </w:rPr>
        <w:t>Provide additional justification for any questions of a sensitive nature, such as sexual behavior and attitudes, religious beliefs, and other matters that are commonly considered private.</w:t>
      </w:r>
    </w:p>
    <w:p w:rsidR="00BD1967" w:rsidP="007A0B15" w14:paraId="04B25C8F" w14:textId="77777777">
      <w:pPr>
        <w:rPr>
          <w:rStyle w:val="eop"/>
          <w:color w:val="000000"/>
          <w:shd w:val="clear" w:color="auto" w:fill="FFFFFF"/>
        </w:rPr>
      </w:pPr>
    </w:p>
    <w:p w:rsidR="00BD1967" w:rsidRPr="0092665A" w:rsidP="007A0B15" w14:paraId="2A9B89D0" w14:textId="5763D100">
      <w:r>
        <w:rPr>
          <w:rStyle w:val="normaltextrun"/>
          <w:color w:val="000000"/>
          <w:shd w:val="clear" w:color="auto" w:fill="FFFFFF"/>
        </w:rPr>
        <w:t>This information collection does not ask questions or require information of a sensitive nature.</w:t>
      </w:r>
    </w:p>
    <w:p w:rsidR="00C25A7D" w:rsidP="007A0B15" w14:paraId="1CD2B0A2" w14:textId="77777777">
      <w:pPr>
        <w:tabs>
          <w:tab w:val="num" w:pos="1080"/>
        </w:tabs>
      </w:pPr>
    </w:p>
    <w:p w:rsidR="00BD1967" w:rsidRPr="00177664" w:rsidP="00177664" w14:paraId="0939E42B" w14:textId="20091AF5">
      <w:pPr>
        <w:rPr>
          <w:b/>
          <w:bCs/>
        </w:rPr>
      </w:pPr>
      <w:r w:rsidRPr="00177664">
        <w:rPr>
          <w:b/>
          <w:bCs/>
        </w:rPr>
        <w:t xml:space="preserve">12. </w:t>
      </w:r>
      <w:r w:rsidRPr="00177664">
        <w:rPr>
          <w:b/>
          <w:bCs/>
        </w:rPr>
        <w:t>Provide estimates of the information collection’s hour burden.</w:t>
      </w:r>
    </w:p>
    <w:p w:rsidR="00097878" w:rsidP="007A0B15" w14:paraId="66BE1EDF" w14:textId="77777777">
      <w:pPr>
        <w:pStyle w:val="ListParagraph"/>
        <w:ind w:left="0"/>
      </w:pPr>
    </w:p>
    <w:p w:rsidR="00B84B5B" w:rsidP="007A0B15" w14:paraId="205630A8" w14:textId="5C252388">
      <w:pPr>
        <w:pStyle w:val="ListParagraph"/>
        <w:ind w:left="0"/>
      </w:pPr>
      <w:r>
        <w:t>Respondents to this ICR are</w:t>
      </w:r>
      <w:r w:rsidR="00CE5AA7">
        <w:t xml:space="preserve"> law enforcement </w:t>
      </w:r>
      <w:r w:rsidR="00A30274">
        <w:t>agencie</w:t>
      </w:r>
      <w:r>
        <w:t>s (</w:t>
      </w:r>
      <w:r w:rsidR="00A30274">
        <w:t>LEA</w:t>
      </w:r>
      <w:r>
        <w:t>s)</w:t>
      </w:r>
      <w:r w:rsidR="00CE5AA7">
        <w:t xml:space="preserve"> that </w:t>
      </w:r>
      <w:r w:rsidR="00BF0318">
        <w:t xml:space="preserve">may choose to </w:t>
      </w:r>
      <w:r w:rsidR="00CE5AA7">
        <w:t xml:space="preserve">submit trace requests, </w:t>
      </w:r>
      <w:r w:rsidR="00015B6A">
        <w:t xml:space="preserve">and that would then </w:t>
      </w:r>
      <w:r w:rsidR="00690A69">
        <w:t>expend time completing the form and submitting it.</w:t>
      </w:r>
    </w:p>
    <w:p w:rsidR="00B84B5B" w:rsidP="007A0B15" w14:paraId="3C1EF1E1" w14:textId="77777777">
      <w:pPr>
        <w:pStyle w:val="ListParagraph"/>
        <w:ind w:left="0"/>
      </w:pPr>
    </w:p>
    <w:p w:rsidR="008075DE" w:rsidP="3C28F4B3" w14:paraId="1E6EEF26" w14:textId="2CE0A23C">
      <w:pPr>
        <w:pStyle w:val="ListParagraph"/>
        <w:spacing w:line="259" w:lineRule="auto"/>
        <w:ind w:left="0"/>
      </w:pPr>
      <w:r>
        <w:t>Currently, t</w:t>
      </w:r>
      <w:r w:rsidR="00C25A7D">
        <w:t>he</w:t>
      </w:r>
      <w:r w:rsidR="00A939D0">
        <w:t>re are approximately 1</w:t>
      </w:r>
      <w:r w:rsidR="00037C18">
        <w:t>7</w:t>
      </w:r>
      <w:r w:rsidR="513A3610">
        <w:t>,000</w:t>
      </w:r>
      <w:r w:rsidR="00F35C23">
        <w:t xml:space="preserve"> </w:t>
      </w:r>
      <w:r w:rsidR="00A30274">
        <w:t>LEA</w:t>
      </w:r>
      <w:r w:rsidR="00B84B5B">
        <w:t>s</w:t>
      </w:r>
      <w:r w:rsidR="00242B1F">
        <w:t xml:space="preserve"> that may submit a trace request</w:t>
      </w:r>
      <w:r w:rsidR="0EA11B38">
        <w:t xml:space="preserve"> via </w:t>
      </w:r>
      <w:r w:rsidR="0EA11B38">
        <w:t>eTrace</w:t>
      </w:r>
      <w:r w:rsidR="0EA11B38">
        <w:t>.</w:t>
      </w:r>
      <w:r w:rsidR="004D7CB2">
        <w:t xml:space="preserve"> </w:t>
      </w:r>
      <w:r w:rsidR="0020781D">
        <w:t xml:space="preserve">The actual total number of trace requests </w:t>
      </w:r>
      <w:r w:rsidR="00242B1F">
        <w:t xml:space="preserve">per year </w:t>
      </w:r>
      <w:r w:rsidR="0020781D">
        <w:t xml:space="preserve">is </w:t>
      </w:r>
      <w:r w:rsidR="001F77E6">
        <w:t>51</w:t>
      </w:r>
      <w:r w:rsidR="7A9C53A0">
        <w:t>0</w:t>
      </w:r>
      <w:r w:rsidR="005B6FD6">
        <w:t>,</w:t>
      </w:r>
      <w:r w:rsidR="00CB0C18">
        <w:t xml:space="preserve">000 </w:t>
      </w:r>
      <w:r w:rsidR="00C716DE">
        <w:t xml:space="preserve">(based on the total number of trace requests submitted to </w:t>
      </w:r>
      <w:r w:rsidR="00A31D2A">
        <w:t>ATF’s</w:t>
      </w:r>
      <w:r w:rsidR="00242B1F">
        <w:t xml:space="preserve"> </w:t>
      </w:r>
      <w:r w:rsidR="16F023D9">
        <w:t>National Tracing Center (NTC) Division</w:t>
      </w:r>
      <w:r w:rsidR="005B6FD6">
        <w:t xml:space="preserve">, </w:t>
      </w:r>
      <w:r w:rsidR="00A31D2A">
        <w:t>resulting in</w:t>
      </w:r>
      <w:r w:rsidR="005B6FD6">
        <w:t xml:space="preserve"> an average of </w:t>
      </w:r>
      <w:r w:rsidR="491FD990">
        <w:t>3</w:t>
      </w:r>
      <w:r w:rsidR="001F77E6">
        <w:t>0</w:t>
      </w:r>
      <w:r w:rsidR="005B6FD6">
        <w:t xml:space="preserve"> requests per </w:t>
      </w:r>
      <w:r w:rsidR="00A30274">
        <w:t>LEA</w:t>
      </w:r>
      <w:r>
        <w:t>.</w:t>
      </w:r>
      <w:r>
        <w:rPr>
          <w:rStyle w:val="FootnoteReference"/>
        </w:rPr>
        <w:footnoteReference w:id="3"/>
      </w:r>
      <w:r>
        <w:t xml:space="preserve"> </w:t>
      </w:r>
      <w:r w:rsidR="00427FC4">
        <w:t xml:space="preserve">ATF estimates that it takes </w:t>
      </w:r>
      <w:r w:rsidR="000866A0">
        <w:t>six</w:t>
      </w:r>
      <w:r w:rsidR="00427FC4">
        <w:t xml:space="preserve"> minutes (0.10 hours) to </w:t>
      </w:r>
      <w:r w:rsidR="00007687">
        <w:t>complete and</w:t>
      </w:r>
      <w:r w:rsidR="7778F1F6">
        <w:t xml:space="preserve"> </w:t>
      </w:r>
      <w:r w:rsidR="00427FC4">
        <w:t>submit a trace request</w:t>
      </w:r>
      <w:r w:rsidR="00007687">
        <w:t xml:space="preserve"> form</w:t>
      </w:r>
      <w:r w:rsidR="00427FC4">
        <w:t xml:space="preserve">, making the </w:t>
      </w:r>
      <w:r w:rsidR="009D1500">
        <w:t xml:space="preserve">LEA annual </w:t>
      </w:r>
      <w:r w:rsidR="00427FC4">
        <w:t xml:space="preserve">hourly burden </w:t>
      </w:r>
      <w:r w:rsidR="001F77E6">
        <w:t>51</w:t>
      </w:r>
      <w:r w:rsidR="56FACD1A">
        <w:t>,000</w:t>
      </w:r>
      <w:r w:rsidR="00205476">
        <w:t xml:space="preserve"> hours.</w:t>
      </w:r>
      <w:r>
        <w:rPr>
          <w:rStyle w:val="FootnoteReference"/>
        </w:rPr>
        <w:footnoteReference w:id="4"/>
      </w:r>
      <w:r w:rsidR="0062013C">
        <w:t xml:space="preserve"> </w:t>
      </w:r>
      <w:r w:rsidRPr="3C28F4B3" w:rsidR="334EAEDF">
        <w:t xml:space="preserve">According to the U.S. Bureau of Labor Statistics (“BLS”), the wage for </w:t>
      </w:r>
      <w:r w:rsidRPr="3C28F4B3" w:rsidR="21F4699E">
        <w:t>employee compensation for civilian workers averaged $47.92 per hour worked in March 2025.</w:t>
      </w:r>
      <w:r>
        <w:rPr>
          <w:rStyle w:val="FootnoteReference"/>
        </w:rPr>
        <w:footnoteReference w:id="5"/>
      </w:r>
      <w:r w:rsidRPr="3C28F4B3" w:rsidR="21F4699E">
        <w:t xml:space="preserve"> Wages and salaries averaged $32.92, while benefit costs averaged $15.00 t</w:t>
      </w:r>
      <w:r w:rsidRPr="3C28F4B3" w:rsidR="334EAEDF">
        <w:t>o account for fringe benefits such as insurance</w:t>
      </w:r>
      <w:r w:rsidRPr="3C28F4B3" w:rsidR="16A19710">
        <w:t>.</w:t>
      </w:r>
    </w:p>
    <w:p w:rsidR="0062013C" w:rsidP="3C28F4B3" w14:paraId="1F99072D" w14:textId="77777777">
      <w:pPr>
        <w:pStyle w:val="ListParagraph"/>
        <w:spacing w:line="259" w:lineRule="auto"/>
        <w:ind w:left="0"/>
      </w:pPr>
    </w:p>
    <w:p w:rsidR="00A939D0" w:rsidRPr="001F77E6" w:rsidP="001F77E6" w14:paraId="7C23BEB6" w14:textId="748C9622">
      <w:pPr>
        <w:pStyle w:val="paragraph"/>
        <w:spacing w:before="0" w:beforeAutospacing="0" w:after="0" w:afterAutospacing="0"/>
        <w:jc w:val="center"/>
        <w:textAlignment w:val="baseline"/>
      </w:pPr>
      <w:r>
        <w:rPr>
          <w:rStyle w:val="normaltextrun"/>
          <w:b/>
          <w:bCs/>
        </w:rPr>
        <w:t>Table 1. Estimated annualized respondent cost and hour burden</w:t>
      </w:r>
      <w:r w:rsidR="00B23F78">
        <w:rPr>
          <w:rStyle w:val="eop"/>
        </w:rPr>
        <w:t xml:space="preserve"> </w:t>
      </w:r>
    </w:p>
    <w:tbl>
      <w:tblPr>
        <w:tblW w:w="946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4"/>
        <w:gridCol w:w="1373"/>
        <w:gridCol w:w="1184"/>
        <w:gridCol w:w="1137"/>
        <w:gridCol w:w="1061"/>
        <w:gridCol w:w="917"/>
        <w:gridCol w:w="765"/>
        <w:gridCol w:w="1172"/>
      </w:tblGrid>
      <w:tr w14:paraId="254DB81F" w14:textId="77777777" w:rsidTr="3C28F4B3">
        <w:tblPrEx>
          <w:tblW w:w="946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854"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7D28508F" w14:textId="4CB79B38">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Activity</w:t>
            </w:r>
            <w:r w:rsidRPr="3C28F4B3">
              <w:rPr>
                <w:rStyle w:val="eop"/>
                <w:sz w:val="22"/>
                <w:szCs w:val="22"/>
              </w:rPr>
              <w:t xml:space="preserve"> </w:t>
            </w:r>
          </w:p>
        </w:tc>
        <w:tc>
          <w:tcPr>
            <w:tcW w:w="1373"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0EA77B4F" w14:textId="095A6172">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Number of respondents</w:t>
            </w:r>
            <w:r w:rsidRPr="3C28F4B3">
              <w:rPr>
                <w:rStyle w:val="eop"/>
                <w:sz w:val="22"/>
                <w:szCs w:val="22"/>
              </w:rPr>
              <w:t xml:space="preserve"> </w:t>
            </w:r>
          </w:p>
        </w:tc>
        <w:tc>
          <w:tcPr>
            <w:tcW w:w="1184"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4A3234D4" w14:textId="51F8E55A">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Frequency</w:t>
            </w:r>
            <w:r w:rsidRPr="3C28F4B3">
              <w:rPr>
                <w:rStyle w:val="eop"/>
                <w:sz w:val="22"/>
                <w:szCs w:val="22"/>
              </w:rPr>
              <w:t xml:space="preserve"> </w:t>
            </w:r>
          </w:p>
        </w:tc>
        <w:tc>
          <w:tcPr>
            <w:tcW w:w="1137"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03218C86" w14:textId="563B15B2">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Total annual responses</w:t>
            </w:r>
            <w:r w:rsidRPr="3C28F4B3">
              <w:rPr>
                <w:rStyle w:val="eop"/>
                <w:sz w:val="22"/>
                <w:szCs w:val="22"/>
              </w:rPr>
              <w:t xml:space="preserve"> </w:t>
            </w:r>
          </w:p>
        </w:tc>
        <w:tc>
          <w:tcPr>
            <w:tcW w:w="1061"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3918AC8C" w14:textId="5888A064">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Time per response</w:t>
            </w:r>
            <w:r w:rsidRPr="3C28F4B3">
              <w:rPr>
                <w:rStyle w:val="eop"/>
                <w:sz w:val="22"/>
                <w:szCs w:val="22"/>
              </w:rPr>
              <w:t xml:space="preserve"> </w:t>
            </w:r>
          </w:p>
        </w:tc>
        <w:tc>
          <w:tcPr>
            <w:tcW w:w="917"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A939D0" w:rsidRPr="00CE5AA7" w:rsidP="3C28F4B3" w14:paraId="02A055BA" w14:textId="5850D62B">
            <w:pPr>
              <w:pStyle w:val="paragraph"/>
              <w:spacing w:before="0" w:beforeAutospacing="0" w:after="0" w:afterAutospacing="0"/>
              <w:jc w:val="center"/>
              <w:textAlignment w:val="baseline"/>
              <w:rPr>
                <w:rStyle w:val="eop"/>
                <w:sz w:val="22"/>
                <w:szCs w:val="22"/>
              </w:rPr>
            </w:pPr>
            <w:r w:rsidRPr="3C28F4B3">
              <w:rPr>
                <w:rStyle w:val="normaltextrun"/>
                <w:b/>
                <w:bCs/>
                <w:sz w:val="22"/>
                <w:szCs w:val="22"/>
              </w:rPr>
              <w:t>Total annual burden (hours)</w:t>
            </w:r>
            <w:r w:rsidRPr="3C28F4B3">
              <w:rPr>
                <w:rStyle w:val="eop"/>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rsidR="3C28F4B3" w:rsidP="3C28F4B3" w14:paraId="2DC773A6" w14:textId="2AD33F0B">
            <w:pPr>
              <w:jc w:val="center"/>
              <w:rPr>
                <w:color w:val="000000" w:themeColor="text1"/>
                <w:sz w:val="22"/>
                <w:szCs w:val="22"/>
              </w:rPr>
            </w:pPr>
            <w:r w:rsidRPr="3C28F4B3">
              <w:rPr>
                <w:rStyle w:val="normaltextrun"/>
                <w:b/>
                <w:bCs/>
                <w:color w:val="000000" w:themeColor="text1"/>
                <w:sz w:val="22"/>
                <w:szCs w:val="22"/>
              </w:rPr>
              <w:t>Hourly rate</w:t>
            </w:r>
          </w:p>
        </w:tc>
        <w:tc>
          <w:tcPr>
            <w:tcW w:w="1172"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rsidR="3C28F4B3" w:rsidP="3C28F4B3" w14:paraId="1148D242" w14:textId="74C602F7">
            <w:pPr>
              <w:jc w:val="center"/>
              <w:rPr>
                <w:color w:val="000000" w:themeColor="text1"/>
                <w:sz w:val="22"/>
                <w:szCs w:val="22"/>
              </w:rPr>
            </w:pPr>
            <w:r w:rsidRPr="3C28F4B3">
              <w:rPr>
                <w:rStyle w:val="normaltextrun"/>
                <w:b/>
                <w:bCs/>
                <w:color w:val="000000" w:themeColor="text1"/>
                <w:sz w:val="22"/>
                <w:szCs w:val="22"/>
              </w:rPr>
              <w:t>Monetized value of respondent time</w:t>
            </w:r>
          </w:p>
        </w:tc>
      </w:tr>
      <w:tr w14:paraId="0DE39DD5" w14:textId="77777777" w:rsidTr="3C28F4B3">
        <w:tblPrEx>
          <w:tblW w:w="9463" w:type="dxa"/>
          <w:jc w:val="center"/>
          <w:tblCellMar>
            <w:left w:w="0" w:type="dxa"/>
            <w:right w:w="0" w:type="dxa"/>
          </w:tblCellMar>
          <w:tblLook w:val="04A0"/>
        </w:tblPrEx>
        <w:trPr>
          <w:trHeight w:val="300"/>
          <w:jc w:val="center"/>
        </w:trPr>
        <w:tc>
          <w:tcPr>
            <w:tcW w:w="1854"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319D3A1B" w14:textId="1C81FC66">
            <w:pPr>
              <w:pStyle w:val="paragraph"/>
              <w:spacing w:before="0" w:beforeAutospacing="0" w:after="0" w:afterAutospacing="0"/>
              <w:textAlignment w:val="baseline"/>
              <w:rPr>
                <w:rStyle w:val="eop"/>
                <w:sz w:val="22"/>
                <w:szCs w:val="22"/>
              </w:rPr>
            </w:pPr>
            <w:r w:rsidRPr="3C28F4B3">
              <w:rPr>
                <w:rStyle w:val="eop"/>
                <w:sz w:val="22"/>
                <w:szCs w:val="22"/>
              </w:rPr>
              <w:t>LE</w:t>
            </w:r>
            <w:r w:rsidRPr="3C28F4B3" w:rsidR="00A30274">
              <w:rPr>
                <w:rStyle w:val="eop"/>
                <w:sz w:val="22"/>
                <w:szCs w:val="22"/>
              </w:rPr>
              <w:t>A</w:t>
            </w:r>
            <w:r w:rsidRPr="3C28F4B3">
              <w:rPr>
                <w:rStyle w:val="eop"/>
                <w:sz w:val="22"/>
                <w:szCs w:val="22"/>
              </w:rPr>
              <w:t xml:space="preserve"> </w:t>
            </w:r>
            <w:r w:rsidRPr="3C28F4B3" w:rsidR="00CE5AA7">
              <w:rPr>
                <w:rStyle w:val="eop"/>
                <w:sz w:val="22"/>
                <w:szCs w:val="22"/>
              </w:rPr>
              <w:t>t</w:t>
            </w:r>
            <w:r w:rsidRPr="3C28F4B3">
              <w:rPr>
                <w:rStyle w:val="eop"/>
                <w:sz w:val="22"/>
                <w:szCs w:val="22"/>
              </w:rPr>
              <w:t xml:space="preserve">race </w:t>
            </w:r>
            <w:r w:rsidRPr="3C28F4B3" w:rsidR="00CE5AA7">
              <w:rPr>
                <w:rStyle w:val="eop"/>
                <w:sz w:val="22"/>
                <w:szCs w:val="22"/>
              </w:rPr>
              <w:t>r</w:t>
            </w:r>
            <w:r w:rsidRPr="3C28F4B3">
              <w:rPr>
                <w:rStyle w:val="eop"/>
                <w:sz w:val="22"/>
                <w:szCs w:val="22"/>
              </w:rPr>
              <w:t>equest</w:t>
            </w:r>
            <w:r w:rsidRPr="3C28F4B3" w:rsidR="00CE5AA7">
              <w:rPr>
                <w:rStyle w:val="eop"/>
                <w:sz w:val="22"/>
                <w:szCs w:val="22"/>
              </w:rPr>
              <w:t>s</w:t>
            </w:r>
          </w:p>
        </w:tc>
        <w:tc>
          <w:tcPr>
            <w:tcW w:w="1373"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77CAE42A" w14:textId="17D8982D">
            <w:pPr>
              <w:pStyle w:val="paragraph"/>
              <w:spacing w:before="0" w:beforeAutospacing="0" w:after="0" w:afterAutospacing="0"/>
              <w:jc w:val="center"/>
              <w:textAlignment w:val="baseline"/>
              <w:rPr>
                <w:rStyle w:val="eop"/>
                <w:sz w:val="22"/>
                <w:szCs w:val="22"/>
              </w:rPr>
            </w:pPr>
            <w:r w:rsidRPr="3C28F4B3">
              <w:rPr>
                <w:rStyle w:val="eop"/>
                <w:sz w:val="22"/>
                <w:szCs w:val="22"/>
              </w:rPr>
              <w:t>1</w:t>
            </w:r>
            <w:r w:rsidRPr="3C28F4B3" w:rsidR="470EF912">
              <w:rPr>
                <w:rStyle w:val="eop"/>
                <w:sz w:val="22"/>
                <w:szCs w:val="22"/>
              </w:rPr>
              <w:t>7,000</w:t>
            </w:r>
          </w:p>
        </w:tc>
        <w:tc>
          <w:tcPr>
            <w:tcW w:w="1184"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3DA00E9A" w14:textId="53E69F7A">
            <w:pPr>
              <w:pStyle w:val="paragraph"/>
              <w:spacing w:before="0" w:beforeAutospacing="0" w:after="0" w:afterAutospacing="0" w:line="259" w:lineRule="auto"/>
              <w:jc w:val="center"/>
              <w:rPr>
                <w:sz w:val="22"/>
                <w:szCs w:val="22"/>
              </w:rPr>
            </w:pPr>
            <w:r w:rsidRPr="3C28F4B3">
              <w:rPr>
                <w:sz w:val="22"/>
                <w:szCs w:val="22"/>
              </w:rPr>
              <w:t>3</w:t>
            </w:r>
            <w:r w:rsidR="001F77E6">
              <w:rPr>
                <w:sz w:val="22"/>
                <w:szCs w:val="22"/>
              </w:rPr>
              <w:t>0</w:t>
            </w:r>
          </w:p>
        </w:tc>
        <w:tc>
          <w:tcPr>
            <w:tcW w:w="1137"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405D00CA" w14:textId="35A4B6DF">
            <w:pPr>
              <w:pStyle w:val="paragraph"/>
              <w:spacing w:before="0" w:beforeAutospacing="0" w:after="0" w:afterAutospacing="0"/>
              <w:jc w:val="center"/>
              <w:textAlignment w:val="baseline"/>
              <w:rPr>
                <w:sz w:val="22"/>
                <w:szCs w:val="22"/>
              </w:rPr>
            </w:pPr>
            <w:r>
              <w:rPr>
                <w:sz w:val="22"/>
                <w:szCs w:val="22"/>
              </w:rPr>
              <w:t>51</w:t>
            </w:r>
            <w:r w:rsidRPr="3C28F4B3" w:rsidR="5A1E1C65">
              <w:rPr>
                <w:sz w:val="22"/>
                <w:szCs w:val="22"/>
              </w:rPr>
              <w:t>0,000</w:t>
            </w:r>
          </w:p>
        </w:tc>
        <w:tc>
          <w:tcPr>
            <w:tcW w:w="1061"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4AF40CDD" w14:textId="066D889A">
            <w:pPr>
              <w:pStyle w:val="paragraph"/>
              <w:spacing w:before="0" w:beforeAutospacing="0" w:after="0" w:afterAutospacing="0"/>
              <w:jc w:val="center"/>
              <w:textAlignment w:val="baseline"/>
              <w:rPr>
                <w:sz w:val="22"/>
                <w:szCs w:val="22"/>
              </w:rPr>
            </w:pPr>
            <w:r w:rsidRPr="3C28F4B3">
              <w:rPr>
                <w:sz w:val="22"/>
                <w:szCs w:val="22"/>
              </w:rPr>
              <w:t>0.10</w:t>
            </w:r>
          </w:p>
        </w:tc>
        <w:tc>
          <w:tcPr>
            <w:tcW w:w="917" w:type="dxa"/>
            <w:tcBorders>
              <w:top w:val="single" w:sz="6" w:space="0" w:color="auto"/>
              <w:left w:val="single" w:sz="6" w:space="0" w:color="auto"/>
              <w:bottom w:val="single" w:sz="6" w:space="0" w:color="auto"/>
              <w:right w:val="single" w:sz="6" w:space="0" w:color="auto"/>
            </w:tcBorders>
            <w:vAlign w:val="center"/>
            <w:hideMark/>
          </w:tcPr>
          <w:p w:rsidR="00A939D0" w:rsidRPr="00CE5AA7" w:rsidP="3C28F4B3" w14:paraId="0F9E5F11" w14:textId="0DEF45F9">
            <w:pPr>
              <w:pStyle w:val="paragraph"/>
              <w:spacing w:before="0" w:beforeAutospacing="0" w:after="0" w:afterAutospacing="0"/>
              <w:jc w:val="center"/>
              <w:textAlignment w:val="baseline"/>
              <w:rPr>
                <w:sz w:val="22"/>
                <w:szCs w:val="22"/>
              </w:rPr>
            </w:pPr>
            <w:r>
              <w:rPr>
                <w:sz w:val="22"/>
                <w:szCs w:val="22"/>
              </w:rPr>
              <w:t>51</w:t>
            </w:r>
            <w:r w:rsidRPr="3C28F4B3" w:rsidR="74E9B9DD">
              <w:rPr>
                <w:sz w:val="22"/>
                <w:szCs w:val="22"/>
              </w:rPr>
              <w:t>,000</w:t>
            </w:r>
          </w:p>
        </w:tc>
        <w:tc>
          <w:tcPr>
            <w:tcW w:w="765" w:type="dxa"/>
            <w:tcBorders>
              <w:top w:val="single" w:sz="6" w:space="0" w:color="auto"/>
              <w:left w:val="single" w:sz="6" w:space="0" w:color="auto"/>
              <w:bottom w:val="single" w:sz="6" w:space="0" w:color="auto"/>
              <w:right w:val="single" w:sz="6" w:space="0" w:color="auto"/>
            </w:tcBorders>
            <w:vAlign w:val="center"/>
          </w:tcPr>
          <w:p w:rsidR="3C28F4B3" w:rsidP="3C28F4B3" w14:paraId="36C935C6" w14:textId="6BBEDF83">
            <w:pPr>
              <w:jc w:val="center"/>
              <w:rPr>
                <w:rStyle w:val="eop"/>
                <w:color w:val="000000" w:themeColor="text1"/>
                <w:sz w:val="22"/>
                <w:szCs w:val="22"/>
              </w:rPr>
            </w:pPr>
            <w:r w:rsidRPr="3C28F4B3">
              <w:rPr>
                <w:rStyle w:val="eop"/>
                <w:color w:val="000000" w:themeColor="text1"/>
                <w:sz w:val="22"/>
                <w:szCs w:val="22"/>
              </w:rPr>
              <w:t>$</w:t>
            </w:r>
            <w:r w:rsidRPr="3C28F4B3" w:rsidR="72E4FBFB">
              <w:rPr>
                <w:rStyle w:val="eop"/>
                <w:color w:val="000000" w:themeColor="text1"/>
                <w:sz w:val="22"/>
                <w:szCs w:val="22"/>
              </w:rPr>
              <w:t>47.92</w:t>
            </w:r>
          </w:p>
        </w:tc>
        <w:tc>
          <w:tcPr>
            <w:tcW w:w="1172" w:type="dxa"/>
            <w:tcBorders>
              <w:top w:val="single" w:sz="6" w:space="0" w:color="auto"/>
              <w:left w:val="single" w:sz="6" w:space="0" w:color="auto"/>
              <w:bottom w:val="single" w:sz="6" w:space="0" w:color="auto"/>
              <w:right w:val="single" w:sz="6" w:space="0" w:color="auto"/>
            </w:tcBorders>
            <w:vAlign w:val="center"/>
          </w:tcPr>
          <w:p w:rsidR="3C28F4B3" w:rsidP="3C28F4B3" w14:paraId="4F9CD053" w14:textId="5B4918A3">
            <w:pPr>
              <w:jc w:val="center"/>
              <w:rPr>
                <w:rStyle w:val="eop"/>
                <w:color w:val="000000" w:themeColor="text1"/>
                <w:sz w:val="22"/>
                <w:szCs w:val="22"/>
              </w:rPr>
            </w:pPr>
            <w:r w:rsidRPr="3C28F4B3">
              <w:rPr>
                <w:rStyle w:val="eop"/>
                <w:color w:val="000000" w:themeColor="text1"/>
                <w:sz w:val="22"/>
                <w:szCs w:val="22"/>
              </w:rPr>
              <w:t>$</w:t>
            </w:r>
            <w:r w:rsidR="001F77E6">
              <w:rPr>
                <w:rStyle w:val="eop"/>
                <w:color w:val="000000" w:themeColor="text1"/>
                <w:sz w:val="22"/>
                <w:szCs w:val="22"/>
              </w:rPr>
              <w:t>2</w:t>
            </w:r>
            <w:r w:rsidRPr="3C28F4B3" w:rsidR="71111EC0">
              <w:rPr>
                <w:rStyle w:val="eop"/>
                <w:color w:val="000000" w:themeColor="text1"/>
                <w:sz w:val="22"/>
                <w:szCs w:val="22"/>
              </w:rPr>
              <w:t>,</w:t>
            </w:r>
            <w:r w:rsidR="001F77E6">
              <w:rPr>
                <w:rStyle w:val="eop"/>
                <w:color w:val="000000" w:themeColor="text1"/>
                <w:sz w:val="22"/>
                <w:szCs w:val="22"/>
              </w:rPr>
              <w:t>443</w:t>
            </w:r>
            <w:r w:rsidRPr="3C28F4B3" w:rsidR="71111EC0">
              <w:rPr>
                <w:rStyle w:val="eop"/>
                <w:color w:val="000000" w:themeColor="text1"/>
                <w:sz w:val="22"/>
                <w:szCs w:val="22"/>
              </w:rPr>
              <w:t>,</w:t>
            </w:r>
            <w:r w:rsidR="001F77E6">
              <w:rPr>
                <w:rStyle w:val="eop"/>
                <w:color w:val="000000" w:themeColor="text1"/>
                <w:sz w:val="22"/>
                <w:szCs w:val="22"/>
              </w:rPr>
              <w:t>92</w:t>
            </w:r>
            <w:r w:rsidRPr="3C28F4B3" w:rsidR="71111EC0">
              <w:rPr>
                <w:rStyle w:val="eop"/>
                <w:color w:val="000000" w:themeColor="text1"/>
                <w:sz w:val="22"/>
                <w:szCs w:val="22"/>
              </w:rPr>
              <w:t>0</w:t>
            </w:r>
          </w:p>
        </w:tc>
      </w:tr>
    </w:tbl>
    <w:p w:rsidR="3C28F4B3" w14:paraId="51E7E697" w14:textId="115F2B76"/>
    <w:p w:rsidR="71111EC0" w14:paraId="2C0F9D5D" w14:textId="564B8AE3">
      <w:r w:rsidRPr="3C28F4B3">
        <w:rPr>
          <w:color w:val="000000" w:themeColor="text1"/>
        </w:rPr>
        <w:t>The total monetized value of the time burden associated with this collection is $</w:t>
      </w:r>
      <w:r w:rsidR="001F77E6">
        <w:rPr>
          <w:color w:val="000000" w:themeColor="text1"/>
        </w:rPr>
        <w:t>2</w:t>
      </w:r>
      <w:r w:rsidRPr="3C28F4B3">
        <w:rPr>
          <w:color w:val="000000" w:themeColor="text1"/>
        </w:rPr>
        <w:t>,</w:t>
      </w:r>
      <w:r w:rsidR="001F77E6">
        <w:rPr>
          <w:color w:val="000000" w:themeColor="text1"/>
        </w:rPr>
        <w:t>443</w:t>
      </w:r>
      <w:r w:rsidRPr="3C28F4B3" w:rsidR="5C89954F">
        <w:rPr>
          <w:color w:val="000000" w:themeColor="text1"/>
        </w:rPr>
        <w:t>,</w:t>
      </w:r>
      <w:r w:rsidR="001F77E6">
        <w:rPr>
          <w:color w:val="000000" w:themeColor="text1"/>
        </w:rPr>
        <w:t>920</w:t>
      </w:r>
      <w:r w:rsidRPr="3C28F4B3">
        <w:rPr>
          <w:color w:val="000000" w:themeColor="text1"/>
        </w:rPr>
        <w:t xml:space="preserve"> (</w:t>
      </w:r>
      <w:r w:rsidR="001F77E6">
        <w:rPr>
          <w:color w:val="000000" w:themeColor="text1"/>
        </w:rPr>
        <w:t>51</w:t>
      </w:r>
      <w:r w:rsidRPr="3C28F4B3">
        <w:rPr>
          <w:color w:val="000000" w:themeColor="text1"/>
        </w:rPr>
        <w:t>,000 total hours * $</w:t>
      </w:r>
      <w:r w:rsidRPr="3C28F4B3" w:rsidR="241CBE05">
        <w:rPr>
          <w:color w:val="000000" w:themeColor="text1"/>
        </w:rPr>
        <w:t>47.92</w:t>
      </w:r>
      <w:r w:rsidRPr="3C28F4B3">
        <w:rPr>
          <w:color w:val="000000" w:themeColor="text1"/>
        </w:rPr>
        <w:t xml:space="preserve"> per hour).</w:t>
      </w:r>
    </w:p>
    <w:p w:rsidR="00A666DD" w:rsidP="007A0B15" w14:paraId="2B6A3D3D" w14:textId="77777777">
      <w:pPr>
        <w:tabs>
          <w:tab w:val="num" w:pos="1080"/>
        </w:tabs>
      </w:pPr>
    </w:p>
    <w:p w:rsidR="00BD1967" w:rsidRPr="00753BFC" w:rsidP="00753BFC" w14:paraId="75C15090" w14:textId="0C929207">
      <w:pPr>
        <w:rPr>
          <w:b/>
          <w:bCs/>
        </w:rPr>
      </w:pPr>
      <w:r w:rsidRPr="00753BFC">
        <w:rPr>
          <w:b/>
          <w:bCs/>
        </w:rPr>
        <w:t xml:space="preserve">13. </w:t>
      </w:r>
      <w:r w:rsidRPr="00753BFC" w:rsidR="00DC3BB6">
        <w:rPr>
          <w:b/>
          <w:bCs/>
        </w:rPr>
        <w:t>Provide an estimate of the total annual cost burden to respondents or record</w:t>
      </w:r>
      <w:r w:rsidR="00B51C5A">
        <w:rPr>
          <w:b/>
          <w:bCs/>
        </w:rPr>
        <w:t>-</w:t>
      </w:r>
      <w:r w:rsidRPr="00753BFC" w:rsidR="00DC3BB6">
        <w:rPr>
          <w:b/>
          <w:bCs/>
        </w:rPr>
        <w:t>keepers resulting from the information collection. (Do not include the cost of any hour burden shown in Items 12 and 14).</w:t>
      </w:r>
    </w:p>
    <w:p w:rsidR="00DC3BB6" w:rsidP="007A0B15" w14:paraId="4DB8AFC6" w14:textId="069207E1">
      <w:pPr>
        <w:pStyle w:val="paragraph"/>
        <w:spacing w:before="0" w:beforeAutospacing="0" w:after="0" w:afterAutospacing="0"/>
        <w:textAlignment w:val="baseline"/>
        <w:rPr>
          <w:rFonts w:ascii="Segoe UI" w:hAnsi="Segoe UI" w:cs="Segoe UI"/>
          <w:sz w:val="18"/>
          <w:szCs w:val="18"/>
        </w:rPr>
      </w:pPr>
      <w:r>
        <w:rPr>
          <w:rStyle w:val="normaltextrun"/>
          <w:shd w:val="clear" w:color="auto" w:fill="C0C0C0"/>
        </w:rPr>
        <w:t xml:space="preserve"> </w:t>
      </w:r>
      <w:r w:rsidR="00B23F78">
        <w:rPr>
          <w:rStyle w:val="eop"/>
        </w:rPr>
        <w:t xml:space="preserve"> </w:t>
      </w:r>
    </w:p>
    <w:p w:rsidR="00DC3BB6" w:rsidRPr="00FB1619" w:rsidP="00FB1619" w14:paraId="6AAA0434" w14:textId="2F7B834C">
      <w:pPr>
        <w:pStyle w:val="paragraph"/>
        <w:spacing w:before="0" w:beforeAutospacing="0" w:after="0" w:afterAutospacing="0"/>
        <w:textAlignment w:val="baseline"/>
        <w:rPr>
          <w:rFonts w:ascii="Segoe UI" w:hAnsi="Segoe UI" w:cs="Segoe UI"/>
          <w:sz w:val="18"/>
          <w:szCs w:val="18"/>
        </w:rPr>
      </w:pPr>
      <w:r>
        <w:rPr>
          <w:rStyle w:val="normaltextrun"/>
        </w:rPr>
        <w:t>There are no additional costs associated with this information collection</w:t>
      </w:r>
      <w:r w:rsidR="009F574F">
        <w:rPr>
          <w:rStyle w:val="eop"/>
        </w:rPr>
        <w:t>.</w:t>
      </w:r>
    </w:p>
    <w:p w:rsidR="00C25A7D" w:rsidP="007A0B15" w14:paraId="260524C6" w14:textId="77777777">
      <w:pPr>
        <w:tabs>
          <w:tab w:val="num" w:pos="1080"/>
        </w:tabs>
      </w:pPr>
    </w:p>
    <w:p w:rsidR="00DC3BB6" w:rsidRPr="000F7D1B" w:rsidP="00753BFC" w14:paraId="7CB285F5" w14:textId="11B3BC37">
      <w:pPr>
        <w:rPr>
          <w:b/>
          <w:bCs/>
        </w:rPr>
      </w:pPr>
      <w:r w:rsidRPr="000F7D1B">
        <w:rPr>
          <w:b/>
          <w:bCs/>
        </w:rPr>
        <w:t xml:space="preserve">14. </w:t>
      </w:r>
      <w:r w:rsidRPr="000F7D1B">
        <w:rPr>
          <w:b/>
          <w:bCs/>
        </w:rPr>
        <w:t>Provide estimates of the annualized cost to the federal government.</w:t>
      </w:r>
    </w:p>
    <w:p w:rsidR="00DC3BB6" w:rsidRPr="00E216BA" w:rsidP="007A0B15" w14:paraId="229C9B3C" w14:textId="419260DF">
      <w:pPr>
        <w:pStyle w:val="paragraph"/>
        <w:spacing w:before="0" w:beforeAutospacing="0" w:after="0" w:afterAutospacing="0"/>
        <w:textAlignment w:val="baseline"/>
      </w:pPr>
    </w:p>
    <w:p w:rsidR="00A1474C" w:rsidP="007A0B15" w14:paraId="49A30DCD" w14:textId="3744C715">
      <w:r w:rsidRPr="00AB70D0">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r w:rsidRPr="00F17B19" w:rsidR="00F17B19">
        <w:t> </w:t>
      </w:r>
    </w:p>
    <w:p w:rsidR="003F3509" w:rsidP="007A0B15" w14:paraId="349A80B4" w14:textId="77777777"/>
    <w:p w:rsidR="00A1474C" w:rsidRPr="00543040" w:rsidP="00543040" w14:paraId="1330808D" w14:textId="17D3C1BC">
      <w:pPr>
        <w:rPr>
          <w:b/>
          <w:bCs/>
        </w:rPr>
      </w:pPr>
      <w:r w:rsidRPr="00543040">
        <w:rPr>
          <w:b/>
          <w:bCs/>
        </w:rPr>
        <w:t xml:space="preserve">15. </w:t>
      </w:r>
      <w:r w:rsidRPr="00543040">
        <w:rPr>
          <w:b/>
          <w:bCs/>
        </w:rPr>
        <w:t>Explain the reasons for any program changes or adjustments.</w:t>
      </w:r>
    </w:p>
    <w:p w:rsidR="00A1474C" w:rsidP="007A0B15" w14:paraId="430318BE" w14:textId="77777777"/>
    <w:p w:rsidR="006E3AA9" w:rsidP="007A0B15" w14:paraId="4025729F" w14:textId="32FBE222">
      <w:r>
        <w:t>The</w:t>
      </w:r>
      <w:r w:rsidR="00BE19CD">
        <w:t xml:space="preserve"> </w:t>
      </w:r>
      <w:r w:rsidR="001E4A1C">
        <w:t xml:space="preserve">adjustments </w:t>
      </w:r>
      <w:r>
        <w:t>asso</w:t>
      </w:r>
      <w:r w:rsidR="00350F90">
        <w:t>ciated with this collection</w:t>
      </w:r>
      <w:r w:rsidR="00BE19CD">
        <w:t xml:space="preserve"> include a</w:t>
      </w:r>
      <w:r w:rsidR="001118FB">
        <w:t>n</w:t>
      </w:r>
      <w:r w:rsidR="00BE19CD">
        <w:t xml:space="preserve"> </w:t>
      </w:r>
      <w:r w:rsidR="00E9543C">
        <w:t xml:space="preserve">increase in respondents </w:t>
      </w:r>
      <w:r w:rsidR="00135323">
        <w:t xml:space="preserve">from 1,153 annually </w:t>
      </w:r>
      <w:r w:rsidR="00E9543C">
        <w:t>to 1</w:t>
      </w:r>
      <w:r w:rsidR="250AF379">
        <w:t>7,000</w:t>
      </w:r>
      <w:r w:rsidR="008E5CE7">
        <w:t xml:space="preserve"> since</w:t>
      </w:r>
      <w:r w:rsidR="003F3509">
        <w:t xml:space="preserve"> the last renewal period</w:t>
      </w:r>
      <w:r w:rsidR="006A21B3">
        <w:t xml:space="preserve">, </w:t>
      </w:r>
      <w:r w:rsidR="00126E0B">
        <w:t xml:space="preserve">a difference of </w:t>
      </w:r>
      <w:r w:rsidR="00F7379F">
        <w:t>15,847</w:t>
      </w:r>
      <w:r w:rsidR="008E5CE7">
        <w:t xml:space="preserve"> per year</w:t>
      </w:r>
      <w:r w:rsidR="003F3509">
        <w:t>.</w:t>
      </w:r>
      <w:r w:rsidR="00AB639A">
        <w:t xml:space="preserve"> </w:t>
      </w:r>
      <w:r w:rsidR="00126E0B">
        <w:t xml:space="preserve">This is due to more law enforcement agencies submitting </w:t>
      </w:r>
      <w:r w:rsidR="008E5CE7">
        <w:t xml:space="preserve">more </w:t>
      </w:r>
      <w:r w:rsidR="00126E0B">
        <w:t xml:space="preserve">trace requests each year. </w:t>
      </w:r>
      <w:r w:rsidR="00371040">
        <w:t>T</w:t>
      </w:r>
      <w:r w:rsidR="006A21B3">
        <w:t>he adjustments</w:t>
      </w:r>
      <w:r w:rsidR="0084072B">
        <w:t xml:space="preserve"> </w:t>
      </w:r>
      <w:r w:rsidR="00371040">
        <w:t xml:space="preserve">therefore also </w:t>
      </w:r>
      <w:r w:rsidR="0084072B">
        <w:t>include</w:t>
      </w:r>
      <w:r w:rsidR="00834C7B">
        <w:t xml:space="preserve"> an increase in the total number of trace requests</w:t>
      </w:r>
      <w:r w:rsidR="0084072B">
        <w:t xml:space="preserve"> from </w:t>
      </w:r>
      <w:r w:rsidR="00F7379F">
        <w:t>24,490</w:t>
      </w:r>
      <w:r w:rsidR="0084072B">
        <w:t xml:space="preserve"> during the last renewal to </w:t>
      </w:r>
      <w:r w:rsidR="0062013C">
        <w:t>51</w:t>
      </w:r>
      <w:r w:rsidR="008F0356">
        <w:t>0,000</w:t>
      </w:r>
      <w:r w:rsidR="0084072B">
        <w:t xml:space="preserve"> now</w:t>
      </w:r>
      <w:r w:rsidR="00BE19CD">
        <w:t xml:space="preserve">. Consequently, the total burden hours have also </w:t>
      </w:r>
      <w:r w:rsidR="006F6897">
        <w:t>increased</w:t>
      </w:r>
      <w:r w:rsidR="00BE19CD">
        <w:t xml:space="preserve"> </w:t>
      </w:r>
      <w:r w:rsidR="00256882">
        <w:t xml:space="preserve">from </w:t>
      </w:r>
      <w:r w:rsidR="00371040">
        <w:t>2,449</w:t>
      </w:r>
      <w:r w:rsidR="00256882">
        <w:t xml:space="preserve"> to </w:t>
      </w:r>
      <w:r w:rsidR="0062013C">
        <w:t>51</w:t>
      </w:r>
      <w:r w:rsidR="00371040">
        <w:t>,000</w:t>
      </w:r>
      <w:r w:rsidR="00256882">
        <w:t xml:space="preserve">, resulting in a difference </w:t>
      </w:r>
      <w:r w:rsidR="00371040">
        <w:t xml:space="preserve">since the last renewal </w:t>
      </w:r>
      <w:r w:rsidR="00256882">
        <w:t>of</w:t>
      </w:r>
      <w:r w:rsidR="00BE19CD">
        <w:t xml:space="preserve"> </w:t>
      </w:r>
      <w:r w:rsidR="0062013C">
        <w:t>48</w:t>
      </w:r>
      <w:r w:rsidR="00B7639C">
        <w:t>,551</w:t>
      </w:r>
      <w:r w:rsidR="0084072B">
        <w:t xml:space="preserve"> </w:t>
      </w:r>
      <w:r w:rsidR="00371040">
        <w:t xml:space="preserve">total annual </w:t>
      </w:r>
      <w:r w:rsidR="00BE19CD">
        <w:t>hours.</w:t>
      </w:r>
    </w:p>
    <w:p w:rsidR="00C25A7D" w:rsidP="007A0B15" w14:paraId="779E98AB" w14:textId="6F298A83"/>
    <w:p w:rsidR="00A1474C" w:rsidP="00543040" w14:paraId="456438C4" w14:textId="7199F9B4">
      <w:pPr>
        <w:rPr>
          <w:b/>
          <w:bCs/>
        </w:rPr>
      </w:pPr>
      <w:r>
        <w:rPr>
          <w:b/>
          <w:bCs/>
        </w:rPr>
        <w:t xml:space="preserve">16. </w:t>
      </w:r>
      <w:r w:rsidRPr="00A1474C">
        <w:rPr>
          <w:b/>
          <w:bCs/>
        </w:rPr>
        <w:t>For information collections whose results will be published, outline plans for tabulations and publication.</w:t>
      </w:r>
    </w:p>
    <w:p w:rsidR="00A1474C" w:rsidP="007A0B15" w14:paraId="7F27009A" w14:textId="77777777">
      <w:pPr>
        <w:rPr>
          <w:rStyle w:val="eop"/>
          <w:color w:val="000000"/>
          <w:shd w:val="clear" w:color="auto" w:fill="FFFFFF"/>
        </w:rPr>
      </w:pPr>
    </w:p>
    <w:p w:rsidR="00A1474C" w:rsidP="007A0B15" w14:paraId="20CA31A6" w14:textId="581F8AAE">
      <w:pPr>
        <w:rPr>
          <w:rStyle w:val="eop"/>
          <w:color w:val="000000"/>
          <w:shd w:val="clear" w:color="auto" w:fill="FFFFFF"/>
        </w:rPr>
      </w:pPr>
      <w:r>
        <w:rPr>
          <w:rStyle w:val="normaltextrun"/>
          <w:color w:val="000000"/>
          <w:shd w:val="clear" w:color="auto" w:fill="FFFFFF"/>
        </w:rPr>
        <w:t>ATF will not publish the results of this collection.</w:t>
      </w:r>
    </w:p>
    <w:p w:rsidR="00C25A7D" w:rsidP="007A0B15" w14:paraId="1D70BBF9" w14:textId="77777777">
      <w:pPr>
        <w:tabs>
          <w:tab w:val="num" w:pos="1080"/>
        </w:tabs>
      </w:pPr>
    </w:p>
    <w:p w:rsidR="00A1474C" w:rsidRPr="00B23F78" w:rsidP="00B23F78" w14:paraId="32A1119C" w14:textId="0EBD8FB0">
      <w:pPr>
        <w:rPr>
          <w:b/>
          <w:bCs/>
        </w:rPr>
      </w:pPr>
      <w:r w:rsidRPr="00C64F0F">
        <w:rPr>
          <w:b/>
          <w:bCs/>
        </w:rPr>
        <w:t xml:space="preserve">17. </w:t>
      </w:r>
      <w:r w:rsidRPr="00B23F78">
        <w:rPr>
          <w:b/>
          <w:bCs/>
        </w:rPr>
        <w:t>If seeking approval to not display the expiration date for the information collection, explain the reasons that display would be inappropriate.</w:t>
      </w:r>
    </w:p>
    <w:p w:rsidR="00A1474C" w:rsidP="007A0B15" w14:paraId="48E168AA" w14:textId="77777777"/>
    <w:p w:rsidR="00A1474C" w:rsidP="007A0B15" w14:paraId="778B17EF" w14:textId="052C4055">
      <w:pPr>
        <w:pStyle w:val="paragraph"/>
        <w:spacing w:before="0" w:beforeAutospacing="0" w:after="0" w:afterAutospacing="0"/>
        <w:textAlignment w:val="baseline"/>
        <w:rPr>
          <w:rFonts w:ascii="Segoe UI" w:hAnsi="Segoe UI" w:cs="Segoe UI"/>
          <w:sz w:val="18"/>
          <w:szCs w:val="18"/>
        </w:rPr>
      </w:pPr>
      <w:r>
        <w:t>C</w:t>
      </w:r>
      <w:r w:rsidRPr="00092FBE" w:rsidR="003D5BD9">
        <w:t>urrent version</w:t>
      </w:r>
      <w:r>
        <w:t>s</w:t>
      </w:r>
      <w:r w:rsidRPr="00092FBE" w:rsidR="003D5BD9">
        <w:t xml:space="preserve"> of the</w:t>
      </w:r>
      <w:r>
        <w:t>se</w:t>
      </w:r>
      <w:r w:rsidRPr="00092FBE" w:rsidR="003D5BD9">
        <w:t xml:space="preserve"> form</w:t>
      </w:r>
      <w:r w:rsidR="003D5BD9">
        <w:t>s</w:t>
      </w:r>
      <w:r w:rsidRPr="00092FBE" w:rsidR="003D5BD9">
        <w:t xml:space="preserve"> </w:t>
      </w:r>
      <w:r w:rsidR="003D5BD9">
        <w:t>routinely</w:t>
      </w:r>
      <w:r w:rsidRPr="00092FBE" w:rsidR="003D5BD9">
        <w:t xml:space="preserve"> continue unchanged through several </w:t>
      </w:r>
      <w:r w:rsidR="00CA04B1">
        <w:t>OMB</w:t>
      </w:r>
      <w:r w:rsidRPr="00092FBE" w:rsidR="003D5BD9">
        <w:t xml:space="preserve"> renewal cycles. </w:t>
      </w:r>
      <w:r>
        <w:rPr>
          <w:rStyle w:val="normaltextrun"/>
        </w:rPr>
        <w:t xml:space="preserve"> Therefore, ATF requests approval to not display the expiration date on the form. We will still display the OMB control number.</w:t>
      </w:r>
    </w:p>
    <w:p w:rsidR="00C25A7D" w:rsidP="007A0B15" w14:paraId="44BBB3DE" w14:textId="77777777">
      <w:pPr>
        <w:tabs>
          <w:tab w:val="num" w:pos="1080"/>
        </w:tabs>
      </w:pPr>
    </w:p>
    <w:p w:rsidR="00A1474C" w:rsidRPr="001870B0" w:rsidP="001870B0" w14:paraId="007E1BEA" w14:textId="3DAA79DF">
      <w:pPr>
        <w:rPr>
          <w:b/>
          <w:bCs/>
        </w:rPr>
      </w:pPr>
      <w:r w:rsidRPr="001870B0">
        <w:rPr>
          <w:b/>
          <w:bCs/>
        </w:rPr>
        <w:t xml:space="preserve">18. </w:t>
      </w:r>
      <w:r w:rsidRPr="00C93FC1">
        <w:rPr>
          <w:b/>
          <w:bCs/>
        </w:rPr>
        <w:t>Explain each exception to the certification statement.</w:t>
      </w:r>
    </w:p>
    <w:p w:rsidR="00A1474C" w:rsidP="007A0B15" w14:paraId="380CF846" w14:textId="77777777">
      <w:pPr>
        <w:rPr>
          <w:b/>
          <w:bCs/>
        </w:rPr>
      </w:pPr>
    </w:p>
    <w:p w:rsidR="00A1474C" w:rsidRPr="00C93FC1" w:rsidP="00C93FC1" w14:paraId="45E365F6" w14:textId="21B30146">
      <w:r>
        <w:rPr>
          <w:rStyle w:val="normaltextrun"/>
          <w:color w:val="000000"/>
          <w:shd w:val="clear" w:color="auto" w:fill="FFFFFF"/>
        </w:rPr>
        <w:t>This information collection does not include any exceptions to the certification statement.</w:t>
      </w:r>
    </w:p>
    <w:p w:rsidR="00B564A1" w:rsidRPr="00C93FC1" w:rsidP="007A0B15" w14:paraId="46A3CBB0" w14:textId="0570D5FF">
      <w:pPr>
        <w:rPr>
          <w:b/>
          <w:bCs/>
        </w:rPr>
      </w:pPr>
    </w:p>
    <w:p w:rsidR="00A1474C" w:rsidRPr="00C93FC1" w:rsidP="00C93FC1" w14:paraId="2447A301" w14:textId="72D1F69E">
      <w:pPr>
        <w:pStyle w:val="ListParagraph"/>
        <w:ind w:left="0"/>
        <w:rPr>
          <w:b/>
          <w:bCs/>
        </w:rPr>
      </w:pPr>
      <w:r w:rsidRPr="00576125">
        <w:rPr>
          <w:b/>
          <w:bCs/>
        </w:rPr>
        <w:t>B.</w:t>
      </w:r>
      <w:r w:rsidRPr="00576125" w:rsidR="007E4398">
        <w:rPr>
          <w:b/>
          <w:bCs/>
        </w:rPr>
        <w:tab/>
      </w:r>
      <w:r w:rsidRPr="00C93FC1" w:rsidR="00B564A1">
        <w:rPr>
          <w:b/>
          <w:bCs/>
        </w:rPr>
        <w:t>INFORMATION COLLECTIONS EMPLOYING STATISTICAL METHODS.</w:t>
      </w:r>
    </w:p>
    <w:p w:rsidR="00B564A1" w:rsidRPr="00C93FC1" w:rsidP="00C93FC1" w14:paraId="04968267" w14:textId="77777777">
      <w:pPr>
        <w:rPr>
          <w:rStyle w:val="normaltextrun"/>
          <w:b/>
          <w:bCs/>
        </w:rPr>
      </w:pPr>
    </w:p>
    <w:p w:rsidR="00581D58" w:rsidP="001646C1" w14:paraId="535A4A82" w14:textId="1949FD03">
      <w:pPr>
        <w:rPr>
          <w:rStyle w:val="normaltextrun"/>
          <w:color w:val="000000"/>
          <w:shd w:val="clear" w:color="auto" w:fill="FFFFFF"/>
        </w:rPr>
      </w:pPr>
      <w:r>
        <w:rPr>
          <w:rStyle w:val="normaltextrun"/>
          <w:color w:val="000000"/>
          <w:shd w:val="clear" w:color="auto" w:fill="FFFFFF"/>
        </w:rPr>
        <w:t>This collection does not employ statistical methods.</w:t>
      </w:r>
    </w:p>
    <w:p w:rsidR="000E5436" w:rsidP="001646C1" w14:paraId="2DC9EC78" w14:textId="77777777">
      <w:pPr>
        <w:rPr>
          <w:rStyle w:val="normaltextrun"/>
          <w:color w:val="000000"/>
          <w:shd w:val="clear" w:color="auto" w:fill="FFFFFF"/>
        </w:rPr>
      </w:pPr>
    </w:p>
    <w:p w:rsidR="000E5436" w14:paraId="2181BA59" w14:textId="08D69D76">
      <w:pPr>
        <w:rPr>
          <w:rStyle w:val="normaltextrun"/>
          <w:color w:val="000000"/>
          <w:shd w:val="clear" w:color="auto" w:fill="FFFFFF"/>
        </w:rPr>
      </w:pPr>
      <w:r>
        <w:rPr>
          <w:rStyle w:val="normaltextrun"/>
          <w:color w:val="000000"/>
          <w:shd w:val="clear" w:color="auto" w:fill="FFFFFF"/>
        </w:rPr>
        <w:br w:type="page"/>
      </w:r>
    </w:p>
    <w:p w:rsidR="000E5436" w:rsidP="000E5436" w14:paraId="7BDACEFE" w14:textId="77777777">
      <w:pPr>
        <w:widowControl w:val="0"/>
        <w:jc w:val="center"/>
        <w:rPr>
          <w:b/>
          <w:bCs/>
        </w:rPr>
      </w:pPr>
      <w:r>
        <w:rPr>
          <w:b/>
          <w:bCs/>
        </w:rPr>
        <w:t>Appendix</w:t>
      </w:r>
    </w:p>
    <w:p w:rsidR="000E5436" w:rsidRPr="00E55DC1" w:rsidP="000E5436" w14:paraId="1443E31B" w14:textId="77777777">
      <w:pPr>
        <w:widowControl w:val="0"/>
        <w:jc w:val="center"/>
        <w:rPr>
          <w:b/>
          <w:bCs/>
        </w:rPr>
      </w:pPr>
      <w:r>
        <w:rPr>
          <w:b/>
          <w:bCs/>
        </w:rPr>
        <w:t>1140-0043 Public comment summaries and ATF responses (2025)</w:t>
      </w:r>
    </w:p>
    <w:p w:rsidR="000E5436" w:rsidP="000E5436" w14:paraId="0B6C4DF7" w14:textId="77777777">
      <w:pPr>
        <w:widowControl w:val="0"/>
      </w:pPr>
    </w:p>
    <w:p w:rsidR="000E5436" w:rsidP="000E5436" w14:paraId="54F7B753" w14:textId="77777777">
      <w:pPr>
        <w:widowControl w:val="0"/>
      </w:pPr>
      <w:r w:rsidRPr="00037816">
        <w:t>ATF received two sets of comments during the 60-day public comment period for this ICR. Both sets of comments were from industry trade organizations, one of which represents retailers in the farm store industry, which includes federally licensed firearms dealers, and the other of which represents the firearms industry and recreational shooting and hunting. ATF acknowledges and appreciates the comments and collaborative suggestions submitted by both organizations.</w:t>
      </w:r>
    </w:p>
    <w:p w:rsidR="000E5436" w:rsidRPr="00037816" w:rsidP="000E5436" w14:paraId="3E40C6A4" w14:textId="77777777">
      <w:pPr>
        <w:widowControl w:val="0"/>
      </w:pPr>
    </w:p>
    <w:p w:rsidR="000E5436" w:rsidRPr="00671926" w:rsidP="000E5436" w14:paraId="56115319" w14:textId="77777777">
      <w:pPr>
        <w:widowControl w:val="0"/>
        <w:rPr>
          <w:b/>
          <w:bCs/>
        </w:rPr>
      </w:pPr>
      <w:r w:rsidRPr="00671926">
        <w:rPr>
          <w:b/>
          <w:bCs/>
        </w:rPr>
        <w:t>First commenter</w:t>
      </w:r>
    </w:p>
    <w:p w:rsidR="000E5436" w:rsidP="000E5436" w14:paraId="71ADD7E5" w14:textId="77777777">
      <w:pPr>
        <w:widowControl w:val="0"/>
      </w:pPr>
      <w:r w:rsidRPr="00037816">
        <w:t>One set of comments expressed support for ATF’s mission to enhance public safety through efficient firearm</w:t>
      </w:r>
      <w:r>
        <w:t>s</w:t>
      </w:r>
      <w:r w:rsidRPr="00037816">
        <w:t xml:space="preserve"> tracing. While they applauded ATF’s efforts to keep pace with the increased numbers of firearms trace requests over the past ten years (as reflected in the 60-day notice), they also noted that the continuing increase in trace requests over time and in the future presents an increasing burden for dealers, and strains staffing resources and elevates costs. To this end, the organization outlined two suggestions oriented toward streamlining and making more efficient the process for dealer responses to trace requests.</w:t>
      </w:r>
    </w:p>
    <w:p w:rsidR="000E5436" w:rsidRPr="00037816" w:rsidP="000E5436" w14:paraId="35406906" w14:textId="77777777">
      <w:pPr>
        <w:widowControl w:val="0"/>
      </w:pPr>
    </w:p>
    <w:p w:rsidR="000E5436" w:rsidRPr="00671926" w:rsidP="000E5436" w14:paraId="0309D656" w14:textId="77777777">
      <w:pPr>
        <w:widowControl w:val="0"/>
        <w:rPr>
          <w:u w:val="single"/>
        </w:rPr>
      </w:pPr>
      <w:r w:rsidRPr="00671926">
        <w:rPr>
          <w:u w:val="single"/>
        </w:rPr>
        <w:t>First recommendation</w:t>
      </w:r>
    </w:p>
    <w:p w:rsidR="000E5436" w:rsidP="000E5436" w14:paraId="2B705BD6" w14:textId="77777777">
      <w:pPr>
        <w:widowControl w:val="0"/>
      </w:pPr>
      <w:r>
        <w:t xml:space="preserve">The commenter suggested that </w:t>
      </w:r>
      <w:r w:rsidRPr="00037816">
        <w:t xml:space="preserve">ATF </w:t>
      </w:r>
      <w:r>
        <w:t>should request</w:t>
      </w:r>
      <w:r w:rsidRPr="00037816">
        <w:t xml:space="preserve"> each </w:t>
      </w:r>
      <w:r>
        <w:t>licensee</w:t>
      </w:r>
      <w:r w:rsidRPr="00037816">
        <w:t xml:space="preserve"> to identify a primary point of contact responsible for receiving and coordinating responses to all trace requests. Entities holding multiple licenses could designate a centralized compliance office as the POC, provided they can coordinate timely access to required acquisition and disposition records for each licensee. ATF would then direct trace requests to this designated POC, and licensees could notify NTC in writing if they need to change the POC. The commenting organization’s experience has been that trace requests often go to different locations, and a primary POC would strengthen compliance, improve response times, and reduce the chance of dealers missing requests.</w:t>
      </w:r>
    </w:p>
    <w:p w:rsidR="000E5436" w:rsidRPr="00037816" w:rsidP="000E5436" w14:paraId="107FFC3C" w14:textId="77777777">
      <w:pPr>
        <w:widowControl w:val="0"/>
      </w:pPr>
    </w:p>
    <w:p w:rsidR="000E5436" w:rsidRPr="00671926" w:rsidP="000E5436" w14:paraId="18FC4BF6" w14:textId="77777777">
      <w:pPr>
        <w:widowControl w:val="0"/>
        <w:rPr>
          <w:u w:val="single"/>
        </w:rPr>
      </w:pPr>
      <w:r w:rsidRPr="00671926">
        <w:rPr>
          <w:u w:val="single"/>
        </w:rPr>
        <w:t>ATF response</w:t>
      </w:r>
    </w:p>
    <w:p w:rsidR="000E5436" w:rsidP="000E5436" w14:paraId="21FADEC1" w14:textId="77777777">
      <w:pPr>
        <w:widowControl w:val="0"/>
      </w:pPr>
      <w:r>
        <w:t>ATF agrees with the commenter that the number of trace requests has steadily increased over time and is expected to continue rising. As the data in the 60-day notice cited by the commenter illustrated, over the past ten fiscal years, the number of incoming trace requests has grown by nearly 70%.</w:t>
      </w:r>
    </w:p>
    <w:p w:rsidR="000E5436" w:rsidP="000E5436" w14:paraId="30406968" w14:textId="77777777">
      <w:pPr>
        <w:widowControl w:val="0"/>
      </w:pPr>
    </w:p>
    <w:p w:rsidR="000E5436" w:rsidP="000E5436" w14:paraId="321885B6" w14:textId="77777777">
      <w:pPr>
        <w:widowControl w:val="0"/>
      </w:pPr>
      <w:r w:rsidRPr="3AFDF0E7">
        <w:t xml:space="preserve">The NTC Division </w:t>
      </w:r>
      <w:r>
        <w:t>provides an internal dealer profile module that permits multiple licensee</w:t>
      </w:r>
      <w:r w:rsidRPr="3AFDF0E7">
        <w:t xml:space="preserve">s associated with the same business entity </w:t>
      </w:r>
      <w:r>
        <w:t xml:space="preserve">to link with each other </w:t>
      </w:r>
      <w:r w:rsidRPr="3AFDF0E7">
        <w:t xml:space="preserve">and </w:t>
      </w:r>
      <w:r>
        <w:t>to designate</w:t>
      </w:r>
      <w:r w:rsidRPr="3AFDF0E7">
        <w:t xml:space="preserve"> a centralized tracing POC, where applicable. </w:t>
      </w:r>
      <w:r>
        <w:t>Licensees can also use the</w:t>
      </w:r>
      <w:r w:rsidRPr="3AFDF0E7">
        <w:t xml:space="preserve"> </w:t>
      </w:r>
      <w:r>
        <w:t>d</w:t>
      </w:r>
      <w:r w:rsidRPr="3AFDF0E7">
        <w:t xml:space="preserve">ealer </w:t>
      </w:r>
      <w:r>
        <w:t>p</w:t>
      </w:r>
      <w:r w:rsidRPr="3AFDF0E7">
        <w:t>rofile to document primary and alternate POCs and their contact information (name, preferred contact method, e</w:t>
      </w:r>
      <w:r>
        <w:t>m</w:t>
      </w:r>
      <w:r w:rsidRPr="3AFDF0E7">
        <w:t>ail, fax, phone, contact hours, after-hours contact, etc.).</w:t>
      </w:r>
    </w:p>
    <w:p w:rsidR="000E5436" w:rsidP="000E5436" w14:paraId="71CE632B" w14:textId="77777777">
      <w:pPr>
        <w:widowControl w:val="0"/>
      </w:pPr>
    </w:p>
    <w:p w:rsidR="000E5436" w:rsidRPr="00671926" w:rsidP="000E5436" w14:paraId="15BF507A" w14:textId="77777777">
      <w:pPr>
        <w:widowControl w:val="0"/>
        <w:rPr>
          <w:u w:val="single"/>
        </w:rPr>
      </w:pPr>
      <w:r w:rsidRPr="00671926">
        <w:rPr>
          <w:u w:val="single"/>
        </w:rPr>
        <w:t>Second recommendation</w:t>
      </w:r>
    </w:p>
    <w:p w:rsidR="000E5436" w:rsidP="000E5436" w14:paraId="677F0281" w14:textId="77777777">
      <w:pPr>
        <w:widowControl w:val="0"/>
      </w:pPr>
      <w:r>
        <w:t>The commenter also recommended that ATF should r</w:t>
      </w:r>
      <w:r w:rsidRPr="00037816">
        <w:t>equire law enforcement agencies (LEAs) to explicitly classify their trace requests as “urgent” (e.g., assaults, kidnappings, homicides, etc</w:t>
      </w:r>
      <w:r w:rsidRPr="3CFCF216">
        <w:t>.)</w:t>
      </w:r>
      <w:r w:rsidRPr="00037816">
        <w:t xml:space="preserve"> or “routine,” based on ATF’s existing categories, convey the category to the dealer with the request, and base the dealer’s required response time on the request’s urgency. So, for example, instead of </w:t>
      </w:r>
      <w:r>
        <w:t>being required</w:t>
      </w:r>
      <w:r w:rsidRPr="00037816">
        <w:t xml:space="preserve"> to respond within 24 hours to all trace requests, dealers would respond within </w:t>
      </w:r>
      <w:r w:rsidRPr="00037816">
        <w:t xml:space="preserve">24 hours to urgent requests. </w:t>
      </w:r>
      <w:r w:rsidRPr="00037816">
        <w:t>But,</w:t>
      </w:r>
      <w:r w:rsidRPr="00037816">
        <w:t xml:space="preserve"> </w:t>
      </w:r>
      <w:r>
        <w:t xml:space="preserve">the commenter said that, </w:t>
      </w:r>
      <w:r w:rsidRPr="00037816">
        <w:t xml:space="preserve">because ATF has a five-day window for responding to LEAs on routine requests, </w:t>
      </w:r>
      <w:r>
        <w:t>ATF should</w:t>
      </w:r>
      <w:r w:rsidRPr="00037816">
        <w:t xml:space="preserve"> allow dealers up to five business days in which to respond to ATF on such requests. This would retain rapid investigative support for urgent traces while allowing dealers to plan their resources and responses more effectively for the bulk of routine requests</w:t>
      </w:r>
      <w:r>
        <w:t>, the commenter added</w:t>
      </w:r>
      <w:r w:rsidRPr="00037816">
        <w:t xml:space="preserve">. The commenter also suggested that ATF consider simplified communication for routine trace requests, such as standardized electronic notices or batching, so dealers could respond in a single consolidated effort, </w:t>
      </w:r>
      <w:r>
        <w:t xml:space="preserve">which </w:t>
      </w:r>
      <w:r w:rsidRPr="00037816">
        <w:t xml:space="preserve">would </w:t>
      </w:r>
      <w:r>
        <w:t xml:space="preserve">also </w:t>
      </w:r>
      <w:r w:rsidRPr="00037816">
        <w:t>help</w:t>
      </w:r>
      <w:r>
        <w:t xml:space="preserve"> reduce burden</w:t>
      </w:r>
      <w:r w:rsidRPr="00037816">
        <w:t xml:space="preserve">, as would encouraging dealers to use NTC Connect or </w:t>
      </w:r>
      <w:r>
        <w:t xml:space="preserve">an </w:t>
      </w:r>
      <w:r w:rsidRPr="00037816">
        <w:t>eTrace</w:t>
      </w:r>
      <w:r w:rsidRPr="00037816">
        <w:t xml:space="preserve"> Direct API for faster responses.</w:t>
      </w:r>
    </w:p>
    <w:p w:rsidR="000E5436" w:rsidRPr="00037816" w:rsidP="000E5436" w14:paraId="0E8FF2D2" w14:textId="77777777">
      <w:pPr>
        <w:widowControl w:val="0"/>
      </w:pPr>
    </w:p>
    <w:p w:rsidR="000E5436" w:rsidRPr="00671926" w:rsidP="000E5436" w14:paraId="4363219B" w14:textId="77777777">
      <w:pPr>
        <w:widowControl w:val="0"/>
        <w:rPr>
          <w:u w:val="single"/>
        </w:rPr>
      </w:pPr>
      <w:r w:rsidRPr="00671926">
        <w:rPr>
          <w:u w:val="single"/>
        </w:rPr>
        <w:t>ATF responses</w:t>
      </w:r>
    </w:p>
    <w:p w:rsidR="000E5436" w:rsidP="000E5436" w14:paraId="4D0CFD71" w14:textId="77777777">
      <w:pPr>
        <w:widowControl w:val="0"/>
      </w:pPr>
      <w:r>
        <w:t xml:space="preserve">ATF agrees that classifying requests as routine or urgent is </w:t>
      </w:r>
      <w:r>
        <w:t>helpful, and</w:t>
      </w:r>
      <w:r>
        <w:t xml:space="preserve"> requires submitting LEAs to classify i</w:t>
      </w:r>
      <w:r w:rsidRPr="000F3016">
        <w:t xml:space="preserve">ncoming trace requests as either routine or urgent. </w:t>
      </w:r>
      <w:r>
        <w:t xml:space="preserve">We also provide </w:t>
      </w:r>
      <w:r>
        <w:t>guidance</w:t>
      </w:r>
      <w:r>
        <w:t xml:space="preserve"> so submitters know which requests fall into each group. </w:t>
      </w:r>
    </w:p>
    <w:p w:rsidR="000E5436" w:rsidP="000E5436" w14:paraId="0663B27E" w14:textId="77777777">
      <w:pPr>
        <w:widowControl w:val="0"/>
      </w:pPr>
    </w:p>
    <w:p w:rsidR="000E5436" w:rsidP="000E5436" w14:paraId="39C34877" w14:textId="77777777">
      <w:pPr>
        <w:widowControl w:val="0"/>
      </w:pPr>
      <w:r w:rsidRPr="000F3016">
        <w:t xml:space="preserve">NTC strives to complete urgent trace requests </w:t>
      </w:r>
      <w:r>
        <w:t>with</w:t>
      </w:r>
      <w:r w:rsidRPr="000F3016">
        <w:t xml:space="preserve">in 24 hours and routine trace requests </w:t>
      </w:r>
      <w:r>
        <w:t>with</w:t>
      </w:r>
      <w:r w:rsidRPr="000F3016">
        <w:t xml:space="preserve">in </w:t>
      </w:r>
      <w:r>
        <w:t>seven</w:t>
      </w:r>
      <w:r w:rsidRPr="000F3016">
        <w:t xml:space="preserve"> days</w:t>
      </w:r>
      <w:r w:rsidRPr="3AFDF0E7">
        <w:t xml:space="preserve">. </w:t>
      </w:r>
      <w:r>
        <w:t xml:space="preserve">In response to the commenter’s suggestion that ATF allow a longer response time for routine trace requests, we can’t consider changing response times in the context of this information collection because the response time is set by statute. 18 U.S.C. § 923(g)(7) states that “Each licensee shall respond immediately to, and in no event later than 24 hours after the receipt of, a request by the Attorney General for information contained in the records ….” ATF does not have authority to </w:t>
      </w:r>
      <w:r>
        <w:t>supercede</w:t>
      </w:r>
      <w:r>
        <w:t xml:space="preserve"> statutory requirements. Aside from the statutory considerations, we note that, on average, each successful trace to an individual purchaser involves 3.5 </w:t>
      </w:r>
      <w:r>
        <w:t>licensees</w:t>
      </w:r>
      <w:r>
        <w:t xml:space="preserve"> in the chain of distribution. Allowing each of them up to five days to respond instead of the current 24 hours would have a significant impact on overall completion time, potentially taking </w:t>
      </w:r>
      <w:r w:rsidRPr="2B843AB6">
        <w:t xml:space="preserve">up to </w:t>
      </w:r>
      <w:r>
        <w:t>five times longer than NTC’s current</w:t>
      </w:r>
      <w:r w:rsidRPr="2B843AB6">
        <w:t xml:space="preserve"> average trace processing</w:t>
      </w:r>
      <w:r>
        <w:t xml:space="preserve"> time of </w:t>
      </w:r>
      <w:r w:rsidRPr="2B843AB6">
        <w:t>9.3</w:t>
      </w:r>
      <w:r>
        <w:t xml:space="preserve"> days. Given the importance of these traces to law enforcement in apprehending criminals who use firearms in crimes, and the impact that has on public safety, ATF would have reservations about lengthening the licensee response time even in routine cases because of this cumulative effect.</w:t>
      </w:r>
    </w:p>
    <w:p w:rsidR="000E5436" w:rsidP="000E5436" w14:paraId="13BFDC05" w14:textId="77777777">
      <w:pPr>
        <w:widowControl w:val="0"/>
        <w:rPr>
          <w:sz w:val="22"/>
          <w:szCs w:val="22"/>
        </w:rPr>
      </w:pPr>
    </w:p>
    <w:p w:rsidR="000E5436" w:rsidRPr="00037816" w:rsidP="000E5436" w14:paraId="426856AD" w14:textId="77777777">
      <w:pPr>
        <w:widowControl w:val="0"/>
      </w:pPr>
      <w:r w:rsidRPr="3AFDF0E7">
        <w:t xml:space="preserve">In response to the recommendation </w:t>
      </w:r>
      <w:r>
        <w:t>to simplify communication methods</w:t>
      </w:r>
      <w:r w:rsidRPr="3AFDF0E7">
        <w:t xml:space="preserve"> for routine trace requests, </w:t>
      </w:r>
      <w:r>
        <w:t xml:space="preserve">ATF agrees these kinds of changes help reduce burden on </w:t>
      </w:r>
      <w:r>
        <w:t>responding</w:t>
      </w:r>
      <w:r>
        <w:t xml:space="preserve"> </w:t>
      </w:r>
      <w:r>
        <w:t>licensees</w:t>
      </w:r>
      <w:r>
        <w:t xml:space="preserve">. </w:t>
      </w:r>
      <w:r w:rsidRPr="581ED3C2">
        <w:t xml:space="preserve">NTC </w:t>
      </w:r>
      <w:r w:rsidRPr="3B36584E">
        <w:t>NTC</w:t>
      </w:r>
      <w:r w:rsidRPr="3B36584E">
        <w:t xml:space="preserve"> </w:t>
      </w:r>
      <w:r w:rsidRPr="2C0F0823">
        <w:t xml:space="preserve">continuously </w:t>
      </w:r>
      <w:r w:rsidRPr="37952340">
        <w:t xml:space="preserve">strives to make it </w:t>
      </w:r>
      <w:r w:rsidRPr="5CFFC01A">
        <w:t xml:space="preserve">as easy as possible </w:t>
      </w:r>
      <w:r w:rsidRPr="72A6D189">
        <w:t xml:space="preserve">for </w:t>
      </w:r>
      <w:r>
        <w:t>licensee</w:t>
      </w:r>
      <w:r w:rsidRPr="510854CF">
        <w:t xml:space="preserve">s to respond to </w:t>
      </w:r>
      <w:r w:rsidRPr="538566DC">
        <w:t xml:space="preserve">trace requests by </w:t>
      </w:r>
      <w:r w:rsidRPr="549D9ABB">
        <w:t xml:space="preserve">improving </w:t>
      </w:r>
      <w:r w:rsidRPr="54A71BB9">
        <w:t>efficiency</w:t>
      </w:r>
      <w:r w:rsidRPr="549D9ABB">
        <w:t xml:space="preserve"> and work </w:t>
      </w:r>
      <w:r w:rsidRPr="306FE027">
        <w:t>processes</w:t>
      </w:r>
      <w:r>
        <w:t>, and has incorporated</w:t>
      </w:r>
      <w:r w:rsidRPr="4FBD0354">
        <w:t xml:space="preserve"> </w:t>
      </w:r>
      <w:r w:rsidRPr="2C0F0823">
        <w:t xml:space="preserve">practices </w:t>
      </w:r>
      <w:r>
        <w:t xml:space="preserve">such as standardized electronic notices, batching, and permitting dealers to respond to multiple requests in one response. </w:t>
      </w:r>
      <w:r w:rsidRPr="4AB1AA33">
        <w:t>NTC</w:t>
      </w:r>
      <w:r w:rsidRPr="7C7995D7">
        <w:t xml:space="preserve"> consolidates </w:t>
      </w:r>
      <w:r w:rsidRPr="30F7E9F3">
        <w:t xml:space="preserve">trace requests to </w:t>
      </w:r>
      <w:r w:rsidRPr="458BB1E3">
        <w:t xml:space="preserve">the same </w:t>
      </w:r>
      <w:r>
        <w:t>licensee</w:t>
      </w:r>
      <w:r w:rsidRPr="745326DC">
        <w:t xml:space="preserve"> </w:t>
      </w:r>
      <w:r w:rsidRPr="79103A6B">
        <w:t xml:space="preserve">whenever </w:t>
      </w:r>
      <w:r w:rsidRPr="06D1C960">
        <w:t xml:space="preserve">possible </w:t>
      </w:r>
      <w:r w:rsidRPr="1D7B2A2E">
        <w:t xml:space="preserve">to </w:t>
      </w:r>
      <w:r w:rsidRPr="42C59105">
        <w:t xml:space="preserve">reduce </w:t>
      </w:r>
      <w:r w:rsidRPr="3AFDF0E7">
        <w:t>unnecessary contacts</w:t>
      </w:r>
      <w:r>
        <w:t xml:space="preserve">. </w:t>
      </w:r>
      <w:r w:rsidRPr="7C7995D7">
        <w:t xml:space="preserve"> </w:t>
      </w:r>
      <w:r w:rsidRPr="0FD0709A">
        <w:t>Additionally</w:t>
      </w:r>
      <w:r>
        <w:t>, NTC is</w:t>
      </w:r>
      <w:r w:rsidRPr="152FEDD6">
        <w:t xml:space="preserve"> </w:t>
      </w:r>
      <w:r>
        <w:t>implementing</w:t>
      </w:r>
      <w:r w:rsidRPr="02F9D3EF">
        <w:t xml:space="preserve"> a new dealer contact service </w:t>
      </w:r>
      <w:r w:rsidRPr="621B280C">
        <w:t>component within</w:t>
      </w:r>
      <w:r>
        <w:t xml:space="preserve"> the </w:t>
      </w:r>
      <w:r w:rsidRPr="621B280C">
        <w:t xml:space="preserve">Firearms Tracing </w:t>
      </w:r>
      <w:r w:rsidRPr="20E74C16">
        <w:t xml:space="preserve">System, </w:t>
      </w:r>
      <w:r w:rsidRPr="0F0FBA47">
        <w:t xml:space="preserve">which will </w:t>
      </w:r>
      <w:r w:rsidRPr="152FEDD6">
        <w:t xml:space="preserve">provide standardized electronic notifications to </w:t>
      </w:r>
      <w:r>
        <w:t>licensee</w:t>
      </w:r>
      <w:r w:rsidRPr="152FEDD6">
        <w:t>s</w:t>
      </w:r>
      <w:r>
        <w:t>,</w:t>
      </w:r>
      <w:r w:rsidRPr="152FEDD6">
        <w:t xml:space="preserve"> along with fillable templates</w:t>
      </w:r>
      <w:r w:rsidRPr="69970255">
        <w:t xml:space="preserve"> </w:t>
      </w:r>
      <w:r>
        <w:t>they can use to respond</w:t>
      </w:r>
      <w:r w:rsidRPr="726F590C">
        <w:t xml:space="preserve"> to a </w:t>
      </w:r>
      <w:r w:rsidRPr="5533BBA4">
        <w:t>trace request.</w:t>
      </w:r>
      <w:r w:rsidRPr="152FEDD6">
        <w:t xml:space="preserve"> </w:t>
      </w:r>
    </w:p>
    <w:p w:rsidR="000E5436" w:rsidRPr="00037816" w:rsidP="000E5436" w14:paraId="37D200CB" w14:textId="77777777">
      <w:pPr>
        <w:widowControl w:val="0"/>
      </w:pPr>
    </w:p>
    <w:p w:rsidR="000E5436" w:rsidRPr="00037816" w:rsidP="000E5436" w14:paraId="0E752C56" w14:textId="77777777">
      <w:pPr>
        <w:widowControl w:val="0"/>
      </w:pPr>
      <w:r w:rsidRPr="55030E3B">
        <w:t xml:space="preserve">ATF encourages </w:t>
      </w:r>
      <w:r>
        <w:t xml:space="preserve">manufacturers, importers, and wholesalers to voluntarily </w:t>
      </w:r>
      <w:r w:rsidRPr="168E4461">
        <w:t>participat</w:t>
      </w:r>
      <w:r>
        <w:t>e</w:t>
      </w:r>
      <w:r w:rsidRPr="168E4461">
        <w:t xml:space="preserve"> in</w:t>
      </w:r>
      <w:r w:rsidRPr="621B280C">
        <w:t xml:space="preserve"> the </w:t>
      </w:r>
      <w:r w:rsidRPr="64FC7059">
        <w:t>NTC</w:t>
      </w:r>
      <w:r w:rsidRPr="168E4461">
        <w:t xml:space="preserve"> </w:t>
      </w:r>
      <w:r w:rsidRPr="16018D28">
        <w:t xml:space="preserve">Connect </w:t>
      </w:r>
      <w:r w:rsidRPr="16018D28">
        <w:t>program</w:t>
      </w:r>
      <w:r>
        <w:t xml:space="preserve">, </w:t>
      </w:r>
      <w:r w:rsidRPr="1A8E990C">
        <w:t>and</w:t>
      </w:r>
      <w:r w:rsidRPr="1A8E990C">
        <w:t xml:space="preserve"> </w:t>
      </w:r>
      <w:r w:rsidRPr="6C195591">
        <w:t xml:space="preserve">is </w:t>
      </w:r>
      <w:r w:rsidRPr="1BD61990">
        <w:t xml:space="preserve">actively </w:t>
      </w:r>
      <w:r w:rsidRPr="718DA7C2">
        <w:t xml:space="preserve">working </w:t>
      </w:r>
      <w:r w:rsidRPr="172DC7F1">
        <w:t>to</w:t>
      </w:r>
      <w:r w:rsidRPr="16018D28">
        <w:t xml:space="preserve"> </w:t>
      </w:r>
      <w:r>
        <w:t xml:space="preserve">implement a </w:t>
      </w:r>
      <w:r w:rsidRPr="6AD70C57">
        <w:t xml:space="preserve">more </w:t>
      </w:r>
      <w:r w:rsidRPr="1FE753C9">
        <w:t>robust</w:t>
      </w:r>
      <w:r w:rsidRPr="6AD70C57">
        <w:t xml:space="preserve"> </w:t>
      </w:r>
      <w:r w:rsidRPr="69F12508">
        <w:t>solution</w:t>
      </w:r>
      <w:r w:rsidRPr="2C26A741">
        <w:t>, known as FFL DIRECT.</w:t>
      </w:r>
      <w:r>
        <w:t xml:space="preserve"> </w:t>
      </w:r>
      <w:r w:rsidRPr="47FA7DA3">
        <w:t xml:space="preserve"> </w:t>
      </w:r>
      <w:r w:rsidRPr="2C26A741">
        <w:t>FFL DIRECT</w:t>
      </w:r>
      <w:r w:rsidRPr="5121AB6A">
        <w:t xml:space="preserve"> </w:t>
      </w:r>
      <w:r w:rsidRPr="5E75D187">
        <w:t>is a secure</w:t>
      </w:r>
      <w:r>
        <w:t>,</w:t>
      </w:r>
      <w:r w:rsidRPr="5E75D187">
        <w:t xml:space="preserve"> </w:t>
      </w:r>
      <w:r w:rsidRPr="5AA88916">
        <w:t>asynchronous</w:t>
      </w:r>
      <w:r w:rsidRPr="0B9537C4">
        <w:t xml:space="preserve"> API service </w:t>
      </w:r>
      <w:r w:rsidRPr="06FE276F">
        <w:t xml:space="preserve">that </w:t>
      </w:r>
      <w:r>
        <w:t xml:space="preserve">will </w:t>
      </w:r>
      <w:r w:rsidRPr="06FE276F">
        <w:t xml:space="preserve">enable </w:t>
      </w:r>
      <w:r w:rsidRPr="62753DA5">
        <w:t xml:space="preserve">participating </w:t>
      </w:r>
      <w:r>
        <w:t>licensee</w:t>
      </w:r>
      <w:r w:rsidRPr="62753DA5">
        <w:t>s</w:t>
      </w:r>
      <w:r w:rsidRPr="7C348A9B">
        <w:t xml:space="preserve"> to </w:t>
      </w:r>
      <w:r>
        <w:t>receive and respond</w:t>
      </w:r>
      <w:r w:rsidRPr="65BA4330">
        <w:t xml:space="preserve"> </w:t>
      </w:r>
      <w:r w:rsidRPr="6DBC830C">
        <w:t xml:space="preserve">to </w:t>
      </w:r>
      <w:r>
        <w:t xml:space="preserve">fully automated </w:t>
      </w:r>
      <w:r w:rsidRPr="2A73F854">
        <w:t xml:space="preserve">firearm trace </w:t>
      </w:r>
      <w:r w:rsidRPr="6DBC830C">
        <w:t>requests</w:t>
      </w:r>
      <w:r w:rsidRPr="2A73F854">
        <w:t xml:space="preserve">. </w:t>
      </w:r>
      <w:r w:rsidRPr="2C26A741">
        <w:t xml:space="preserve">This service provides </w:t>
      </w:r>
      <w:r>
        <w:t>licensee</w:t>
      </w:r>
      <w:r w:rsidRPr="266C943A">
        <w:t>s</w:t>
      </w:r>
      <w:r w:rsidRPr="266C943A">
        <w:t xml:space="preserve"> </w:t>
      </w:r>
      <w:r>
        <w:t xml:space="preserve">the autonomy </w:t>
      </w:r>
      <w:r w:rsidRPr="266C943A">
        <w:t xml:space="preserve">to </w:t>
      </w:r>
      <w:r w:rsidRPr="5C71E422">
        <w:t xml:space="preserve">conduct automated </w:t>
      </w:r>
      <w:r w:rsidRPr="536C1275">
        <w:t xml:space="preserve">serial number </w:t>
      </w:r>
      <w:r w:rsidRPr="7F93400E">
        <w:t>searches</w:t>
      </w:r>
      <w:r w:rsidRPr="69AD0926">
        <w:t xml:space="preserve"> </w:t>
      </w:r>
      <w:r w:rsidRPr="5AB337F7">
        <w:t xml:space="preserve">against their </w:t>
      </w:r>
      <w:r w:rsidRPr="78C6CE21">
        <w:t>electronic</w:t>
      </w:r>
      <w:r w:rsidRPr="5AB337F7">
        <w:t xml:space="preserve"> records </w:t>
      </w:r>
      <w:r w:rsidRPr="2C26A741">
        <w:t>in response to a trace request and electronically</w:t>
      </w:r>
      <w:r w:rsidRPr="04A73378">
        <w:t xml:space="preserve"> transmit </w:t>
      </w:r>
      <w:r w:rsidRPr="371B641D">
        <w:t xml:space="preserve">disposition </w:t>
      </w:r>
      <w:r w:rsidRPr="3136C1A1">
        <w:t xml:space="preserve">information </w:t>
      </w:r>
      <w:r w:rsidRPr="0C40F3E3">
        <w:t xml:space="preserve">to </w:t>
      </w:r>
      <w:r w:rsidRPr="642E26E5">
        <w:t>NTC</w:t>
      </w:r>
      <w:r w:rsidRPr="583A44EE">
        <w:t xml:space="preserve"> </w:t>
      </w:r>
      <w:r w:rsidRPr="3136C1A1">
        <w:t xml:space="preserve">without </w:t>
      </w:r>
      <w:r w:rsidRPr="0C613942">
        <w:t xml:space="preserve">relying on inefficient </w:t>
      </w:r>
      <w:r w:rsidRPr="72EE1120">
        <w:t xml:space="preserve">manual methods </w:t>
      </w:r>
      <w:r w:rsidRPr="34B71D31">
        <w:t xml:space="preserve">such </w:t>
      </w:r>
      <w:r w:rsidRPr="28C483B8">
        <w:t xml:space="preserve">as email, </w:t>
      </w:r>
      <w:r w:rsidRPr="7BCEE7EB">
        <w:t>phone</w:t>
      </w:r>
      <w:r>
        <w:t>,</w:t>
      </w:r>
      <w:r w:rsidRPr="7BCEE7EB">
        <w:t xml:space="preserve"> or</w:t>
      </w:r>
      <w:r w:rsidRPr="1B9282B7">
        <w:t xml:space="preserve"> fax. </w:t>
      </w:r>
      <w:r w:rsidRPr="3F201E1F">
        <w:t xml:space="preserve">NTC </w:t>
      </w:r>
      <w:r w:rsidRPr="6A8A5E4C">
        <w:t xml:space="preserve">encourages </w:t>
      </w:r>
      <w:r>
        <w:t>licensee</w:t>
      </w:r>
      <w:r w:rsidRPr="6A8A5E4C">
        <w:t>s</w:t>
      </w:r>
      <w:r w:rsidRPr="5B661BB1">
        <w:t xml:space="preserve"> to utilize NTC</w:t>
      </w:r>
      <w:r w:rsidRPr="4F76BC4C">
        <w:t xml:space="preserve"> Connect </w:t>
      </w:r>
      <w:r>
        <w:t xml:space="preserve">and </w:t>
      </w:r>
      <w:r w:rsidRPr="2AA0BDBD">
        <w:t xml:space="preserve">has already started </w:t>
      </w:r>
      <w:r w:rsidRPr="40839BF6">
        <w:t>promoting</w:t>
      </w:r>
      <w:r>
        <w:t xml:space="preserve"> the </w:t>
      </w:r>
      <w:r w:rsidRPr="35975AD7">
        <w:t xml:space="preserve">new </w:t>
      </w:r>
      <w:r w:rsidRPr="688D310A">
        <w:t xml:space="preserve">FFL </w:t>
      </w:r>
      <w:r w:rsidRPr="2C26A741">
        <w:t>DIRECT</w:t>
      </w:r>
      <w:r w:rsidRPr="688D310A">
        <w:t xml:space="preserve"> </w:t>
      </w:r>
      <w:r w:rsidRPr="7939965A">
        <w:t>service</w:t>
      </w:r>
      <w:r w:rsidRPr="2C26A741">
        <w:t>.</w:t>
      </w:r>
      <w:r w:rsidRPr="6FCFE840">
        <w:t xml:space="preserve"> </w:t>
      </w:r>
      <w:r>
        <w:t>Services such as NTC Connect and FFL DIRECT</w:t>
      </w:r>
      <w:r w:rsidRPr="090A2596">
        <w:t xml:space="preserve"> are</w:t>
      </w:r>
      <w:r w:rsidRPr="0CD6B296">
        <w:t xml:space="preserve"> </w:t>
      </w:r>
      <w:r w:rsidRPr="661FDD8B">
        <w:t xml:space="preserve">designed to </w:t>
      </w:r>
      <w:r w:rsidRPr="2C26A741">
        <w:t xml:space="preserve">reduce the burden on </w:t>
      </w:r>
      <w:r>
        <w:t>licensee</w:t>
      </w:r>
      <w:r w:rsidRPr="2C26A741">
        <w:t>s</w:t>
      </w:r>
      <w:r w:rsidRPr="2C26A741">
        <w:t xml:space="preserve"> and </w:t>
      </w:r>
      <w:r w:rsidRPr="661FDD8B">
        <w:t xml:space="preserve">make the </w:t>
      </w:r>
      <w:r w:rsidRPr="2C26A741">
        <w:t xml:space="preserve">trace response </w:t>
      </w:r>
      <w:r w:rsidRPr="5C2224E8">
        <w:t xml:space="preserve">process more </w:t>
      </w:r>
      <w:r w:rsidRPr="78DF9F55">
        <w:t>efficient and secure</w:t>
      </w:r>
      <w:r w:rsidRPr="2C26A741">
        <w:t>.</w:t>
      </w:r>
      <w:r w:rsidRPr="54FF18EC">
        <w:t xml:space="preserve"> </w:t>
      </w:r>
      <w:r w:rsidRPr="154F1037">
        <w:t xml:space="preserve">By using these tools, </w:t>
      </w:r>
      <w:r>
        <w:t>licensee</w:t>
      </w:r>
      <w:r w:rsidRPr="4ECABAD6">
        <w:t xml:space="preserve">s can respond to trace </w:t>
      </w:r>
      <w:r w:rsidRPr="3CE85D57">
        <w:t xml:space="preserve">requests </w:t>
      </w:r>
      <w:r w:rsidRPr="77807B11">
        <w:t xml:space="preserve">more quickly and </w:t>
      </w:r>
      <w:r w:rsidRPr="5626B5F2">
        <w:t xml:space="preserve">accurately, </w:t>
      </w:r>
      <w:r w:rsidRPr="3B7F4D1C">
        <w:t xml:space="preserve">reducing the </w:t>
      </w:r>
      <w:r w:rsidRPr="04507DA1">
        <w:t>burden on</w:t>
      </w:r>
      <w:r w:rsidRPr="5626B5F2">
        <w:t xml:space="preserve"> </w:t>
      </w:r>
      <w:r w:rsidRPr="7D8E8420">
        <w:t xml:space="preserve">the </w:t>
      </w:r>
      <w:r>
        <w:t xml:space="preserve">licensee, while also increasing public safety through more </w:t>
      </w:r>
      <w:r w:rsidRPr="27756D2F">
        <w:t>timely</w:t>
      </w:r>
      <w:r>
        <w:t xml:space="preserve"> crime-gun tracing</w:t>
      </w:r>
      <w:r w:rsidRPr="69351BDF">
        <w:t>.</w:t>
      </w:r>
    </w:p>
    <w:p w:rsidR="000E5436" w:rsidRPr="00037816" w:rsidP="000E5436" w14:paraId="4032A8BF" w14:textId="77777777">
      <w:pPr>
        <w:widowControl w:val="0"/>
      </w:pPr>
      <w:r w:rsidRPr="00037816">
        <w:t xml:space="preserve"> </w:t>
      </w:r>
    </w:p>
    <w:p w:rsidR="000E5436" w:rsidRPr="00671926" w:rsidP="000E5436" w14:paraId="7280887E" w14:textId="77777777">
      <w:pPr>
        <w:widowControl w:val="0"/>
        <w:rPr>
          <w:b/>
          <w:bCs/>
        </w:rPr>
      </w:pPr>
      <w:r w:rsidRPr="00671926">
        <w:rPr>
          <w:b/>
          <w:bCs/>
        </w:rPr>
        <w:t>Second commenter and recommendation</w:t>
      </w:r>
    </w:p>
    <w:p w:rsidR="000E5436" w:rsidRPr="00037816" w:rsidP="000E5436" w14:paraId="48013333" w14:textId="77777777">
      <w:pPr>
        <w:widowControl w:val="0"/>
      </w:pPr>
      <w:r w:rsidRPr="00037816">
        <w:t xml:space="preserve">The second organization’s comments were oriented </w:t>
      </w:r>
      <w:r w:rsidRPr="00037816">
        <w:t>toward</w:t>
      </w:r>
      <w:r w:rsidRPr="00037816">
        <w:t xml:space="preserve"> protecting information obtained during trace requests. The commenter suggested that ATF include a clear reminder and explicit statement on ATF Form 3312.1 and its electronic equivalents that ATF may only provide a response for a bona fide criminal investigation by federal, state, local, or tribal law enforcement agencies or prosecutors, and that trace data obtained from such requests may not be knowingly and publicly disclosed pursuant to the restrictions in 18 USC sections 923 and 926 and the Tiahrt Amendment. The organization further requested assurance that NTC properly safeguards firearms trace and Firearms Tracing System (FTS) data once provided.</w:t>
      </w:r>
    </w:p>
    <w:p w:rsidR="000E5436" w:rsidP="000E5436" w14:paraId="7115F4E1" w14:textId="77777777">
      <w:pPr>
        <w:widowControl w:val="0"/>
      </w:pPr>
    </w:p>
    <w:p w:rsidR="000E5436" w:rsidRPr="00671926" w:rsidP="000E5436" w14:paraId="72605545" w14:textId="77777777">
      <w:pPr>
        <w:widowControl w:val="0"/>
        <w:rPr>
          <w:u w:val="single"/>
        </w:rPr>
      </w:pPr>
      <w:r w:rsidRPr="00671926">
        <w:rPr>
          <w:u w:val="single"/>
        </w:rPr>
        <w:t>ATF response</w:t>
      </w:r>
    </w:p>
    <w:p w:rsidR="000E5436" w:rsidRPr="00037816" w:rsidP="000E5436" w14:paraId="74B429E1" w14:textId="77777777">
      <w:pPr>
        <w:widowControl w:val="0"/>
      </w:pPr>
      <w:r w:rsidRPr="00037816">
        <w:t xml:space="preserve">ATF agrees with the commenter that it is important to notify respondents of the disclosure restrictions and to protect the information provided. Supporting law enforcement agencies in carrying out their public safety missions while ensuring the integrity, security, and responsible use of trace data remains a top priority, as protecting public safety and supporting our law enforcement partners are central to ATF’s mission. To this end, ATF has planned enhancements already in progress that align with the commenting organization’s input. Specifically, the </w:t>
      </w:r>
      <w:r w:rsidRPr="00CA7E15">
        <w:t xml:space="preserve">modernized version of </w:t>
      </w:r>
      <w:r w:rsidRPr="00CA7E15">
        <w:t>eTrace</w:t>
      </w:r>
      <w:r w:rsidRPr="00CA7E15">
        <w:t xml:space="preserve">  launched</w:t>
      </w:r>
      <w:r w:rsidRPr="00CA7E15">
        <w:t xml:space="preserve"> in September 2025, and is now available to LEAs. The</w:t>
      </w:r>
      <w:r w:rsidRPr="00037816">
        <w:t xml:space="preserve"> updated system incorporates a mandatory acknowledgement banner that reinforces these statutory restrictions and requirements, ensuring that users are reminded of the appropriate use and protection of trace data before accessing the system. Additionally, under this new rollout, users </w:t>
      </w:r>
      <w:r>
        <w:t>are</w:t>
      </w:r>
      <w:r w:rsidRPr="00037816">
        <w:t xml:space="preserve"> now required to again acknowledge these restrictions each time they retrieve trace results, confirming that such information is restricted to law enforcement use only.</w:t>
      </w:r>
    </w:p>
    <w:p w:rsidR="000E5436" w:rsidP="000E5436" w14:paraId="3EB799A5" w14:textId="77777777">
      <w:pPr>
        <w:widowControl w:val="0"/>
      </w:pPr>
    </w:p>
    <w:p w:rsidR="000E5436" w:rsidRPr="000E5436" w:rsidP="000E5436" w14:paraId="2C636307" w14:textId="0011DF68">
      <w:pPr>
        <w:widowControl w:val="0"/>
      </w:pPr>
      <w:r w:rsidRPr="00037816">
        <w:t>In addition, ATF is adding a statement directly to Form 3312.1, as suggested by the commenter (and a Spanish version of the same statement on the Spanish form</w:t>
      </w:r>
      <w:r>
        <w:t>, Form 3312.1S</w:t>
      </w:r>
      <w:r w:rsidRPr="00037816">
        <w:t>)</w:t>
      </w:r>
      <w:r>
        <w:t>. The banner is being added to the forms as part of this ICR renewal and is on the forms being reviewed by OMB.</w:t>
      </w:r>
    </w:p>
    <w:sectPr w:rsidSect="003F5389">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A1C" w14:paraId="044209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4A1C" w14:paraId="7485D2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A1C" w14:paraId="64D075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922">
      <w:rPr>
        <w:rStyle w:val="PageNumber"/>
        <w:noProof/>
      </w:rPr>
      <w:t>2</w:t>
    </w:r>
    <w:r>
      <w:rPr>
        <w:rStyle w:val="PageNumber"/>
      </w:rPr>
      <w:fldChar w:fldCharType="end"/>
    </w:r>
  </w:p>
  <w:p w:rsidR="001E4A1C" w14:paraId="2C2C83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53AA" w14:paraId="74459128" w14:textId="77777777">
      <w:r>
        <w:separator/>
      </w:r>
    </w:p>
  </w:footnote>
  <w:footnote w:type="continuationSeparator" w:id="1">
    <w:p w:rsidR="003953AA" w14:paraId="15A35D53" w14:textId="77777777">
      <w:r>
        <w:continuationSeparator/>
      </w:r>
    </w:p>
  </w:footnote>
  <w:footnote w:type="continuationNotice" w:id="2">
    <w:p w:rsidR="003953AA" w14:paraId="2AF84791" w14:textId="77777777"/>
  </w:footnote>
  <w:footnote w:id="3">
    <w:p w:rsidR="00E52C71" w14:paraId="0F545385" w14:textId="08C1F7F8">
      <w:pPr>
        <w:pStyle w:val="FootnoteText"/>
      </w:pPr>
      <w:r>
        <w:rPr>
          <w:rStyle w:val="FootnoteReference"/>
        </w:rPr>
        <w:footnoteRef/>
      </w:r>
      <w:r>
        <w:t xml:space="preserve"> </w:t>
      </w:r>
      <w:r w:rsidR="002E02E6">
        <w:t>3</w:t>
      </w:r>
      <w:r w:rsidR="001F77E6">
        <w:t>0</w:t>
      </w:r>
      <w:r w:rsidR="00B67F2B">
        <w:t xml:space="preserve"> responses per law enforcement agency = </w:t>
      </w:r>
      <w:r w:rsidR="001F77E6">
        <w:t>51</w:t>
      </w:r>
      <w:r w:rsidR="00740355">
        <w:t>0,000</w:t>
      </w:r>
      <w:r>
        <w:t xml:space="preserve"> </w:t>
      </w:r>
      <w:r w:rsidR="00037C18">
        <w:t>t</w:t>
      </w:r>
      <w:r>
        <w:t xml:space="preserve">race </w:t>
      </w:r>
      <w:r w:rsidR="00037C18">
        <w:t>r</w:t>
      </w:r>
      <w:r>
        <w:t xml:space="preserve">equests </w:t>
      </w:r>
      <w:r w:rsidR="00B67F2B">
        <w:t xml:space="preserve">/ </w:t>
      </w:r>
      <w:r w:rsidR="00740355">
        <w:t>17,000</w:t>
      </w:r>
      <w:r w:rsidR="00B67F2B">
        <w:t xml:space="preserve"> local law enforcement agencies.</w:t>
      </w:r>
    </w:p>
  </w:footnote>
  <w:footnote w:id="4">
    <w:p w:rsidR="005F32D2" w14:paraId="426CFEBC" w14:textId="6194C9A4">
      <w:pPr>
        <w:pStyle w:val="FootnoteText"/>
      </w:pPr>
      <w:r>
        <w:rPr>
          <w:rStyle w:val="FootnoteReference"/>
        </w:rPr>
        <w:footnoteRef/>
      </w:r>
      <w:r>
        <w:t xml:space="preserve"> </w:t>
      </w:r>
      <w:r w:rsidR="001F77E6">
        <w:t>51</w:t>
      </w:r>
      <w:r w:rsidR="00740355">
        <w:t>,000</w:t>
      </w:r>
      <w:r w:rsidR="00E9543C">
        <w:t xml:space="preserve"> total hours = </w:t>
      </w:r>
      <w:r w:rsidR="001F77E6">
        <w:t>51</w:t>
      </w:r>
      <w:r w:rsidR="00740355">
        <w:t>0,000</w:t>
      </w:r>
      <w:r w:rsidR="00E9543C">
        <w:t xml:space="preserve"> trace requests * 0.10 hours per request.</w:t>
      </w:r>
    </w:p>
  </w:footnote>
  <w:footnote w:id="5">
    <w:p w:rsidR="3C28F4B3" w:rsidRPr="001F77E6" w:rsidP="3C28F4B3" w14:paraId="4426F586" w14:textId="4602B399">
      <w:pPr>
        <w:pStyle w:val="FootnoteText"/>
      </w:pPr>
      <w:r w:rsidRPr="001F77E6">
        <w:rPr>
          <w:rStyle w:val="FootnoteReference"/>
        </w:rPr>
        <w:footnoteRef/>
      </w:r>
      <w:r w:rsidRPr="001F77E6">
        <w:t xml:space="preserve"> </w:t>
      </w:r>
      <w:r w:rsidRPr="001F77E6">
        <w:rPr>
          <w:szCs w:val="19"/>
        </w:rPr>
        <w:t>https://www.bls.gov/news.release/archives/ecec_06132025.pdf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304" w14:paraId="7B08F65B" w14:textId="7C90EA87">
    <w:pPr>
      <w:pStyle w:val="Header"/>
    </w:pPr>
    <w:r>
      <w:t>National Tracing Center (NTC) Trace Request</w:t>
    </w:r>
    <w:r w:rsidR="00E924B0">
      <w:t>/</w:t>
    </w:r>
  </w:p>
  <w:p w:rsidR="00E924B0" w:rsidRPr="0035640E" w14:paraId="0AA40074" w14:textId="7478B0ED">
    <w:pPr>
      <w:pStyle w:val="Header"/>
    </w:pPr>
    <w:r w:rsidRPr="0035640E">
      <w:t>Solicitud</w:t>
    </w:r>
    <w:r w:rsidRPr="0035640E">
      <w:t xml:space="preserve"> de </w:t>
    </w:r>
    <w:r w:rsidRPr="0035640E">
      <w:t>Rastreo</w:t>
    </w:r>
    <w:r w:rsidRPr="0035640E">
      <w:t xml:space="preserve"> del Centro Nacional de </w:t>
    </w:r>
    <w:r w:rsidRPr="0035640E">
      <w:t>Rastreo</w:t>
    </w:r>
    <w:r w:rsidRPr="0035640E">
      <w:t xml:space="preserve"> (NTC)</w:t>
    </w:r>
  </w:p>
  <w:p w:rsidR="00A935D2" w14:paraId="56737EBB" w14:textId="2B119EB3">
    <w:pPr>
      <w:pStyle w:val="Header"/>
    </w:pPr>
    <w:r>
      <w:t xml:space="preserve">OMB </w:t>
    </w:r>
    <w:r w:rsidR="00E924B0">
      <w:t>c</w:t>
    </w:r>
    <w:r>
      <w:t xml:space="preserve">ontrol </w:t>
    </w:r>
    <w:r w:rsidR="00E924B0">
      <w:t>n</w:t>
    </w:r>
    <w:r>
      <w:t>umber: 1140-0043</w:t>
    </w:r>
  </w:p>
  <w:p w:rsidR="00A935D2" w14:paraId="2DEDCF38" w14:textId="25EAB8D1">
    <w:pPr>
      <w:pStyle w:val="Header"/>
    </w:pPr>
    <w:r>
      <w:t xml:space="preserve">OMB expiration date: </w:t>
    </w:r>
    <w:r w:rsidR="00E924B0">
      <w:t>11/3</w:t>
    </w:r>
    <w:r w:rsidR="007660DE">
      <w:t>0</w:t>
    </w:r>
    <w:r w:rsidR="00E924B0">
      <w:t>/2025</w:t>
    </w:r>
  </w:p>
  <w:p w:rsidR="00F6319C" w14:paraId="2CA7D8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33AD4"/>
    <w:multiLevelType w:val="multilevel"/>
    <w:tmpl w:val="1FBE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5719AC"/>
    <w:multiLevelType w:val="multilevel"/>
    <w:tmpl w:val="17F0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684F01"/>
    <w:multiLevelType w:val="multilevel"/>
    <w:tmpl w:val="58D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E02A77"/>
    <w:multiLevelType w:val="multilevel"/>
    <w:tmpl w:val="804E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DE3639"/>
    <w:multiLevelType w:val="multilevel"/>
    <w:tmpl w:val="B5A6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CC584A"/>
    <w:multiLevelType w:val="multilevel"/>
    <w:tmpl w:val="B50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BE156D"/>
    <w:multiLevelType w:val="multilevel"/>
    <w:tmpl w:val="43A6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7A0528"/>
    <w:multiLevelType w:val="multilevel"/>
    <w:tmpl w:val="1AD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215E05"/>
    <w:multiLevelType w:val="multilevel"/>
    <w:tmpl w:val="844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723DF0"/>
    <w:multiLevelType w:val="multilevel"/>
    <w:tmpl w:val="D4D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E32E66"/>
    <w:multiLevelType w:val="multilevel"/>
    <w:tmpl w:val="917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F07F5D"/>
    <w:multiLevelType w:val="multilevel"/>
    <w:tmpl w:val="D166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6D13A3"/>
    <w:multiLevelType w:val="multilevel"/>
    <w:tmpl w:val="193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655EB"/>
    <w:multiLevelType w:val="multilevel"/>
    <w:tmpl w:val="CF8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8A3E78"/>
    <w:multiLevelType w:val="multilevel"/>
    <w:tmpl w:val="659E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0FE11B6"/>
    <w:multiLevelType w:val="hybridMultilevel"/>
    <w:tmpl w:val="A43E51B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Times New Roman" w:hAnsi="Times New Roman" w:cs="Times New Roman" w:hint="default"/>
        <w:b w:val="0"/>
        <w:bCs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3555269"/>
    <w:multiLevelType w:val="multilevel"/>
    <w:tmpl w:val="A05C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3BC49DB"/>
    <w:multiLevelType w:val="hybridMultilevel"/>
    <w:tmpl w:val="27B4B1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99C2552"/>
    <w:multiLevelType w:val="multilevel"/>
    <w:tmpl w:val="F75E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995406">
    <w:abstractNumId w:val="15"/>
  </w:num>
  <w:num w:numId="2" w16cid:durableId="1722751131">
    <w:abstractNumId w:val="6"/>
  </w:num>
  <w:num w:numId="3" w16cid:durableId="866867925">
    <w:abstractNumId w:val="11"/>
  </w:num>
  <w:num w:numId="4" w16cid:durableId="848367741">
    <w:abstractNumId w:val="7"/>
  </w:num>
  <w:num w:numId="5" w16cid:durableId="1206019664">
    <w:abstractNumId w:val="14"/>
  </w:num>
  <w:num w:numId="6" w16cid:durableId="145317523">
    <w:abstractNumId w:val="0"/>
  </w:num>
  <w:num w:numId="7" w16cid:durableId="1130974855">
    <w:abstractNumId w:val="13"/>
  </w:num>
  <w:num w:numId="8" w16cid:durableId="243345867">
    <w:abstractNumId w:val="3"/>
  </w:num>
  <w:num w:numId="9" w16cid:durableId="1750540576">
    <w:abstractNumId w:val="18"/>
  </w:num>
  <w:num w:numId="10" w16cid:durableId="832717610">
    <w:abstractNumId w:val="17"/>
  </w:num>
  <w:num w:numId="11" w16cid:durableId="1768042527">
    <w:abstractNumId w:val="16"/>
  </w:num>
  <w:num w:numId="12" w16cid:durableId="1732456551">
    <w:abstractNumId w:val="12"/>
  </w:num>
  <w:num w:numId="13" w16cid:durableId="2016614398">
    <w:abstractNumId w:val="1"/>
  </w:num>
  <w:num w:numId="14" w16cid:durableId="1002005491">
    <w:abstractNumId w:val="10"/>
  </w:num>
  <w:num w:numId="15" w16cid:durableId="1470052436">
    <w:abstractNumId w:val="8"/>
  </w:num>
  <w:num w:numId="16" w16cid:durableId="535431923">
    <w:abstractNumId w:val="9"/>
  </w:num>
  <w:num w:numId="17" w16cid:durableId="1487086536">
    <w:abstractNumId w:val="5"/>
  </w:num>
  <w:num w:numId="18" w16cid:durableId="1568540464">
    <w:abstractNumId w:val="2"/>
  </w:num>
  <w:num w:numId="19" w16cid:durableId="1123814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28"/>
    <w:rsid w:val="0000036A"/>
    <w:rsid w:val="00002256"/>
    <w:rsid w:val="000046F8"/>
    <w:rsid w:val="000051D1"/>
    <w:rsid w:val="00005B88"/>
    <w:rsid w:val="00007687"/>
    <w:rsid w:val="0001286D"/>
    <w:rsid w:val="000151E1"/>
    <w:rsid w:val="00015B6A"/>
    <w:rsid w:val="0001643E"/>
    <w:rsid w:val="00017EFE"/>
    <w:rsid w:val="0002101E"/>
    <w:rsid w:val="000212BF"/>
    <w:rsid w:val="000226B9"/>
    <w:rsid w:val="0002363F"/>
    <w:rsid w:val="00025451"/>
    <w:rsid w:val="00025470"/>
    <w:rsid w:val="00030BD7"/>
    <w:rsid w:val="000358D4"/>
    <w:rsid w:val="00037816"/>
    <w:rsid w:val="00037C18"/>
    <w:rsid w:val="00041892"/>
    <w:rsid w:val="00043C1D"/>
    <w:rsid w:val="00046243"/>
    <w:rsid w:val="00052D2B"/>
    <w:rsid w:val="0005322A"/>
    <w:rsid w:val="00054946"/>
    <w:rsid w:val="00055625"/>
    <w:rsid w:val="000559C5"/>
    <w:rsid w:val="00067CFA"/>
    <w:rsid w:val="00071148"/>
    <w:rsid w:val="00073FD0"/>
    <w:rsid w:val="00075014"/>
    <w:rsid w:val="000754BF"/>
    <w:rsid w:val="00075AD5"/>
    <w:rsid w:val="00082742"/>
    <w:rsid w:val="00085749"/>
    <w:rsid w:val="00085FB4"/>
    <w:rsid w:val="0008603A"/>
    <w:rsid w:val="0008608E"/>
    <w:rsid w:val="000864F8"/>
    <w:rsid w:val="000866A0"/>
    <w:rsid w:val="00087D34"/>
    <w:rsid w:val="00092FBE"/>
    <w:rsid w:val="00095F41"/>
    <w:rsid w:val="0009764D"/>
    <w:rsid w:val="00097878"/>
    <w:rsid w:val="000A10B9"/>
    <w:rsid w:val="000A17F8"/>
    <w:rsid w:val="000A4B16"/>
    <w:rsid w:val="000A4E85"/>
    <w:rsid w:val="000A5865"/>
    <w:rsid w:val="000A6253"/>
    <w:rsid w:val="000B1144"/>
    <w:rsid w:val="000B2BC2"/>
    <w:rsid w:val="000B42AF"/>
    <w:rsid w:val="000B5F8F"/>
    <w:rsid w:val="000B696B"/>
    <w:rsid w:val="000B6C57"/>
    <w:rsid w:val="000B7114"/>
    <w:rsid w:val="000C142D"/>
    <w:rsid w:val="000C27FB"/>
    <w:rsid w:val="000C53F7"/>
    <w:rsid w:val="000C587E"/>
    <w:rsid w:val="000C6771"/>
    <w:rsid w:val="000C7D9C"/>
    <w:rsid w:val="000D0062"/>
    <w:rsid w:val="000D07F4"/>
    <w:rsid w:val="000D26DC"/>
    <w:rsid w:val="000D4A8A"/>
    <w:rsid w:val="000D7352"/>
    <w:rsid w:val="000E132B"/>
    <w:rsid w:val="000E13FD"/>
    <w:rsid w:val="000E3B28"/>
    <w:rsid w:val="000E5436"/>
    <w:rsid w:val="000E5620"/>
    <w:rsid w:val="000E64E0"/>
    <w:rsid w:val="000F2A31"/>
    <w:rsid w:val="000F2D96"/>
    <w:rsid w:val="000F3016"/>
    <w:rsid w:val="000F3109"/>
    <w:rsid w:val="000F34C1"/>
    <w:rsid w:val="000F36EA"/>
    <w:rsid w:val="000F47A1"/>
    <w:rsid w:val="000F639F"/>
    <w:rsid w:val="000F6861"/>
    <w:rsid w:val="000F7D1B"/>
    <w:rsid w:val="0010179C"/>
    <w:rsid w:val="001029C8"/>
    <w:rsid w:val="001032E7"/>
    <w:rsid w:val="0010702C"/>
    <w:rsid w:val="001118FB"/>
    <w:rsid w:val="00112CDE"/>
    <w:rsid w:val="001254EB"/>
    <w:rsid w:val="001257E3"/>
    <w:rsid w:val="00125A0D"/>
    <w:rsid w:val="00126CB2"/>
    <w:rsid w:val="00126E0B"/>
    <w:rsid w:val="00126F7B"/>
    <w:rsid w:val="0012730E"/>
    <w:rsid w:val="0013143F"/>
    <w:rsid w:val="00131AA4"/>
    <w:rsid w:val="0013236D"/>
    <w:rsid w:val="00133274"/>
    <w:rsid w:val="00134B0A"/>
    <w:rsid w:val="001351F6"/>
    <w:rsid w:val="00135323"/>
    <w:rsid w:val="00137940"/>
    <w:rsid w:val="0014322E"/>
    <w:rsid w:val="00143264"/>
    <w:rsid w:val="00143547"/>
    <w:rsid w:val="00143A7C"/>
    <w:rsid w:val="00145B35"/>
    <w:rsid w:val="00146282"/>
    <w:rsid w:val="00151922"/>
    <w:rsid w:val="00151FB8"/>
    <w:rsid w:val="0015319D"/>
    <w:rsid w:val="00155BC5"/>
    <w:rsid w:val="00157D5D"/>
    <w:rsid w:val="00160441"/>
    <w:rsid w:val="00163145"/>
    <w:rsid w:val="001646C1"/>
    <w:rsid w:val="001659D9"/>
    <w:rsid w:val="00165E2C"/>
    <w:rsid w:val="0016727D"/>
    <w:rsid w:val="001715AF"/>
    <w:rsid w:val="00172120"/>
    <w:rsid w:val="00172C31"/>
    <w:rsid w:val="00173FF2"/>
    <w:rsid w:val="001760A6"/>
    <w:rsid w:val="00176F0E"/>
    <w:rsid w:val="00177664"/>
    <w:rsid w:val="0017780F"/>
    <w:rsid w:val="001804CA"/>
    <w:rsid w:val="00180565"/>
    <w:rsid w:val="00181EC5"/>
    <w:rsid w:val="00184011"/>
    <w:rsid w:val="00186311"/>
    <w:rsid w:val="001870B0"/>
    <w:rsid w:val="00187CEA"/>
    <w:rsid w:val="00190865"/>
    <w:rsid w:val="00190C5E"/>
    <w:rsid w:val="001928C0"/>
    <w:rsid w:val="00195720"/>
    <w:rsid w:val="001A19CC"/>
    <w:rsid w:val="001A2FE2"/>
    <w:rsid w:val="001A4065"/>
    <w:rsid w:val="001A490C"/>
    <w:rsid w:val="001A7E54"/>
    <w:rsid w:val="001B0C9A"/>
    <w:rsid w:val="001B1105"/>
    <w:rsid w:val="001B2036"/>
    <w:rsid w:val="001B547D"/>
    <w:rsid w:val="001B5512"/>
    <w:rsid w:val="001B56C1"/>
    <w:rsid w:val="001B6467"/>
    <w:rsid w:val="001C0A7B"/>
    <w:rsid w:val="001C1E53"/>
    <w:rsid w:val="001C1F0B"/>
    <w:rsid w:val="001C35E0"/>
    <w:rsid w:val="001C3CF5"/>
    <w:rsid w:val="001C4A9A"/>
    <w:rsid w:val="001C4A9C"/>
    <w:rsid w:val="001C542B"/>
    <w:rsid w:val="001C559E"/>
    <w:rsid w:val="001C7186"/>
    <w:rsid w:val="001D0961"/>
    <w:rsid w:val="001D0A0A"/>
    <w:rsid w:val="001D1679"/>
    <w:rsid w:val="001D2755"/>
    <w:rsid w:val="001D52CF"/>
    <w:rsid w:val="001E4A1C"/>
    <w:rsid w:val="001E4C78"/>
    <w:rsid w:val="001E5328"/>
    <w:rsid w:val="001E5B09"/>
    <w:rsid w:val="001F07A3"/>
    <w:rsid w:val="001F1329"/>
    <w:rsid w:val="001F1D10"/>
    <w:rsid w:val="001F4485"/>
    <w:rsid w:val="001F77E6"/>
    <w:rsid w:val="00200064"/>
    <w:rsid w:val="00200FB7"/>
    <w:rsid w:val="00202D2D"/>
    <w:rsid w:val="00204095"/>
    <w:rsid w:val="00205476"/>
    <w:rsid w:val="002075CC"/>
    <w:rsid w:val="0020772E"/>
    <w:rsid w:val="0020781D"/>
    <w:rsid w:val="00207FFC"/>
    <w:rsid w:val="002115F1"/>
    <w:rsid w:val="00212E77"/>
    <w:rsid w:val="00216740"/>
    <w:rsid w:val="0022116B"/>
    <w:rsid w:val="002228C3"/>
    <w:rsid w:val="00223982"/>
    <w:rsid w:val="0022530F"/>
    <w:rsid w:val="00232330"/>
    <w:rsid w:val="00232DA1"/>
    <w:rsid w:val="002375AE"/>
    <w:rsid w:val="00241502"/>
    <w:rsid w:val="00242B1F"/>
    <w:rsid w:val="00245671"/>
    <w:rsid w:val="00246F5D"/>
    <w:rsid w:val="00247AE8"/>
    <w:rsid w:val="002500E8"/>
    <w:rsid w:val="002514A4"/>
    <w:rsid w:val="00251A80"/>
    <w:rsid w:val="00256882"/>
    <w:rsid w:val="00257639"/>
    <w:rsid w:val="002577C8"/>
    <w:rsid w:val="00257B8B"/>
    <w:rsid w:val="002602E8"/>
    <w:rsid w:val="0026124E"/>
    <w:rsid w:val="00263923"/>
    <w:rsid w:val="002653E9"/>
    <w:rsid w:val="00272AD8"/>
    <w:rsid w:val="00275C94"/>
    <w:rsid w:val="002761BD"/>
    <w:rsid w:val="00277B7B"/>
    <w:rsid w:val="00281D4E"/>
    <w:rsid w:val="00287361"/>
    <w:rsid w:val="00292A50"/>
    <w:rsid w:val="00294067"/>
    <w:rsid w:val="00296568"/>
    <w:rsid w:val="002A01EE"/>
    <w:rsid w:val="002A24C6"/>
    <w:rsid w:val="002A3494"/>
    <w:rsid w:val="002A591B"/>
    <w:rsid w:val="002A7F9C"/>
    <w:rsid w:val="002B0F99"/>
    <w:rsid w:val="002B2FD7"/>
    <w:rsid w:val="002B365A"/>
    <w:rsid w:val="002C07C8"/>
    <w:rsid w:val="002C159F"/>
    <w:rsid w:val="002C2586"/>
    <w:rsid w:val="002C48E5"/>
    <w:rsid w:val="002C4CFD"/>
    <w:rsid w:val="002D0112"/>
    <w:rsid w:val="002D4015"/>
    <w:rsid w:val="002E02E6"/>
    <w:rsid w:val="002E68FF"/>
    <w:rsid w:val="002E6D3D"/>
    <w:rsid w:val="002F414D"/>
    <w:rsid w:val="002F424A"/>
    <w:rsid w:val="002F4803"/>
    <w:rsid w:val="002F63ED"/>
    <w:rsid w:val="002F704F"/>
    <w:rsid w:val="00300AC8"/>
    <w:rsid w:val="003021D5"/>
    <w:rsid w:val="00304636"/>
    <w:rsid w:val="00306184"/>
    <w:rsid w:val="0030742F"/>
    <w:rsid w:val="003110CD"/>
    <w:rsid w:val="00314B43"/>
    <w:rsid w:val="00315339"/>
    <w:rsid w:val="003155A3"/>
    <w:rsid w:val="00324361"/>
    <w:rsid w:val="00325295"/>
    <w:rsid w:val="00326F30"/>
    <w:rsid w:val="00327B53"/>
    <w:rsid w:val="00330106"/>
    <w:rsid w:val="00332771"/>
    <w:rsid w:val="003334CE"/>
    <w:rsid w:val="00333EB2"/>
    <w:rsid w:val="00333FAE"/>
    <w:rsid w:val="00335C8A"/>
    <w:rsid w:val="00337E20"/>
    <w:rsid w:val="003407CA"/>
    <w:rsid w:val="00342755"/>
    <w:rsid w:val="003443E2"/>
    <w:rsid w:val="00345C7D"/>
    <w:rsid w:val="00346580"/>
    <w:rsid w:val="00350F90"/>
    <w:rsid w:val="003520C3"/>
    <w:rsid w:val="00352D88"/>
    <w:rsid w:val="00354F1B"/>
    <w:rsid w:val="003559E5"/>
    <w:rsid w:val="0035612A"/>
    <w:rsid w:val="0035640E"/>
    <w:rsid w:val="003667BD"/>
    <w:rsid w:val="00367642"/>
    <w:rsid w:val="0037005B"/>
    <w:rsid w:val="00371040"/>
    <w:rsid w:val="003755AA"/>
    <w:rsid w:val="003756BD"/>
    <w:rsid w:val="00380CD3"/>
    <w:rsid w:val="00380F8E"/>
    <w:rsid w:val="00381AFD"/>
    <w:rsid w:val="00385B70"/>
    <w:rsid w:val="00393F2E"/>
    <w:rsid w:val="003953AA"/>
    <w:rsid w:val="00395BB8"/>
    <w:rsid w:val="003A24FD"/>
    <w:rsid w:val="003A2DE4"/>
    <w:rsid w:val="003A2E30"/>
    <w:rsid w:val="003B4993"/>
    <w:rsid w:val="003B4C3B"/>
    <w:rsid w:val="003C1465"/>
    <w:rsid w:val="003C46AA"/>
    <w:rsid w:val="003C5211"/>
    <w:rsid w:val="003C7E03"/>
    <w:rsid w:val="003D259C"/>
    <w:rsid w:val="003D2C64"/>
    <w:rsid w:val="003D304B"/>
    <w:rsid w:val="003D5BD9"/>
    <w:rsid w:val="003D7721"/>
    <w:rsid w:val="003E4076"/>
    <w:rsid w:val="003E5642"/>
    <w:rsid w:val="003E6781"/>
    <w:rsid w:val="003F00D9"/>
    <w:rsid w:val="003F0DAB"/>
    <w:rsid w:val="003F0FB3"/>
    <w:rsid w:val="003F13BF"/>
    <w:rsid w:val="003F1C43"/>
    <w:rsid w:val="003F1C57"/>
    <w:rsid w:val="003F20BD"/>
    <w:rsid w:val="003F3509"/>
    <w:rsid w:val="003F5389"/>
    <w:rsid w:val="003F6173"/>
    <w:rsid w:val="003F7643"/>
    <w:rsid w:val="0040109F"/>
    <w:rsid w:val="00403831"/>
    <w:rsid w:val="0040400E"/>
    <w:rsid w:val="00404A56"/>
    <w:rsid w:val="00405D70"/>
    <w:rsid w:val="00412D94"/>
    <w:rsid w:val="00413280"/>
    <w:rsid w:val="004153CB"/>
    <w:rsid w:val="00421623"/>
    <w:rsid w:val="00422A1E"/>
    <w:rsid w:val="0042357B"/>
    <w:rsid w:val="00424413"/>
    <w:rsid w:val="00427A3C"/>
    <w:rsid w:val="00427FC4"/>
    <w:rsid w:val="004331D1"/>
    <w:rsid w:val="00434B4B"/>
    <w:rsid w:val="00436124"/>
    <w:rsid w:val="00436FC8"/>
    <w:rsid w:val="004421F8"/>
    <w:rsid w:val="00444771"/>
    <w:rsid w:val="0044491F"/>
    <w:rsid w:val="00444DA0"/>
    <w:rsid w:val="00444F3D"/>
    <w:rsid w:val="0045298C"/>
    <w:rsid w:val="00456E42"/>
    <w:rsid w:val="00471EA3"/>
    <w:rsid w:val="004728C7"/>
    <w:rsid w:val="004745E0"/>
    <w:rsid w:val="00476984"/>
    <w:rsid w:val="00481D02"/>
    <w:rsid w:val="004839C9"/>
    <w:rsid w:val="00483F6E"/>
    <w:rsid w:val="0048412F"/>
    <w:rsid w:val="00484426"/>
    <w:rsid w:val="0048458E"/>
    <w:rsid w:val="0048532F"/>
    <w:rsid w:val="0049116A"/>
    <w:rsid w:val="00497DB6"/>
    <w:rsid w:val="00497FE1"/>
    <w:rsid w:val="004A12C9"/>
    <w:rsid w:val="004A3D01"/>
    <w:rsid w:val="004A6172"/>
    <w:rsid w:val="004A704C"/>
    <w:rsid w:val="004B022D"/>
    <w:rsid w:val="004B2FE4"/>
    <w:rsid w:val="004B5058"/>
    <w:rsid w:val="004B5ADC"/>
    <w:rsid w:val="004C6815"/>
    <w:rsid w:val="004D7CB2"/>
    <w:rsid w:val="004E4277"/>
    <w:rsid w:val="004E6707"/>
    <w:rsid w:val="004E68D2"/>
    <w:rsid w:val="004E68F6"/>
    <w:rsid w:val="004E71D9"/>
    <w:rsid w:val="004E7F78"/>
    <w:rsid w:val="004F1C33"/>
    <w:rsid w:val="004F33FC"/>
    <w:rsid w:val="004F4692"/>
    <w:rsid w:val="004F54EF"/>
    <w:rsid w:val="004F6A51"/>
    <w:rsid w:val="004F740A"/>
    <w:rsid w:val="00501250"/>
    <w:rsid w:val="00504791"/>
    <w:rsid w:val="00507A64"/>
    <w:rsid w:val="00510248"/>
    <w:rsid w:val="0051283A"/>
    <w:rsid w:val="00512A5A"/>
    <w:rsid w:val="00512F40"/>
    <w:rsid w:val="00514FFE"/>
    <w:rsid w:val="00517931"/>
    <w:rsid w:val="005238A0"/>
    <w:rsid w:val="00524596"/>
    <w:rsid w:val="00525438"/>
    <w:rsid w:val="005258B7"/>
    <w:rsid w:val="00525C82"/>
    <w:rsid w:val="00527D68"/>
    <w:rsid w:val="0053087A"/>
    <w:rsid w:val="00531E42"/>
    <w:rsid w:val="00533D91"/>
    <w:rsid w:val="00535E98"/>
    <w:rsid w:val="005363A7"/>
    <w:rsid w:val="0053645E"/>
    <w:rsid w:val="005413A9"/>
    <w:rsid w:val="00542610"/>
    <w:rsid w:val="00543040"/>
    <w:rsid w:val="00543515"/>
    <w:rsid w:val="005467EC"/>
    <w:rsid w:val="00550164"/>
    <w:rsid w:val="0056131F"/>
    <w:rsid w:val="00562A4C"/>
    <w:rsid w:val="005632A6"/>
    <w:rsid w:val="00563A5C"/>
    <w:rsid w:val="00563BFD"/>
    <w:rsid w:val="00565FA0"/>
    <w:rsid w:val="00567438"/>
    <w:rsid w:val="0057169C"/>
    <w:rsid w:val="00573789"/>
    <w:rsid w:val="00573C40"/>
    <w:rsid w:val="00576125"/>
    <w:rsid w:val="005763C8"/>
    <w:rsid w:val="00577C1B"/>
    <w:rsid w:val="00580E93"/>
    <w:rsid w:val="00581D58"/>
    <w:rsid w:val="00582E5A"/>
    <w:rsid w:val="0058332E"/>
    <w:rsid w:val="00591E92"/>
    <w:rsid w:val="00592002"/>
    <w:rsid w:val="00592416"/>
    <w:rsid w:val="00593BAE"/>
    <w:rsid w:val="00593E4C"/>
    <w:rsid w:val="0059538C"/>
    <w:rsid w:val="005A28AC"/>
    <w:rsid w:val="005A604F"/>
    <w:rsid w:val="005A6642"/>
    <w:rsid w:val="005B138E"/>
    <w:rsid w:val="005B3E77"/>
    <w:rsid w:val="005B4CB2"/>
    <w:rsid w:val="005B6FD6"/>
    <w:rsid w:val="005B7699"/>
    <w:rsid w:val="005C0E33"/>
    <w:rsid w:val="005D2A53"/>
    <w:rsid w:val="005D677D"/>
    <w:rsid w:val="005D7453"/>
    <w:rsid w:val="005E1C28"/>
    <w:rsid w:val="005E417D"/>
    <w:rsid w:val="005E566E"/>
    <w:rsid w:val="005E5A32"/>
    <w:rsid w:val="005E780A"/>
    <w:rsid w:val="005E7C0E"/>
    <w:rsid w:val="005F118E"/>
    <w:rsid w:val="005F1F76"/>
    <w:rsid w:val="005F2C24"/>
    <w:rsid w:val="005F32D2"/>
    <w:rsid w:val="005F4E31"/>
    <w:rsid w:val="00602C60"/>
    <w:rsid w:val="00604952"/>
    <w:rsid w:val="00606C38"/>
    <w:rsid w:val="00606E08"/>
    <w:rsid w:val="006071F4"/>
    <w:rsid w:val="00607976"/>
    <w:rsid w:val="00611976"/>
    <w:rsid w:val="006119DB"/>
    <w:rsid w:val="006127AC"/>
    <w:rsid w:val="006135B2"/>
    <w:rsid w:val="006136A6"/>
    <w:rsid w:val="00615857"/>
    <w:rsid w:val="00615DC9"/>
    <w:rsid w:val="0062013C"/>
    <w:rsid w:val="0062075D"/>
    <w:rsid w:val="006253F6"/>
    <w:rsid w:val="006254A9"/>
    <w:rsid w:val="0063088F"/>
    <w:rsid w:val="006347A1"/>
    <w:rsid w:val="00634863"/>
    <w:rsid w:val="00645A85"/>
    <w:rsid w:val="00647B63"/>
    <w:rsid w:val="00650414"/>
    <w:rsid w:val="00653AE1"/>
    <w:rsid w:val="00653CE8"/>
    <w:rsid w:val="0065746D"/>
    <w:rsid w:val="006574EB"/>
    <w:rsid w:val="00657EB8"/>
    <w:rsid w:val="006648F7"/>
    <w:rsid w:val="00670876"/>
    <w:rsid w:val="00671926"/>
    <w:rsid w:val="00672BB0"/>
    <w:rsid w:val="0068099B"/>
    <w:rsid w:val="0068475A"/>
    <w:rsid w:val="00685B00"/>
    <w:rsid w:val="00686453"/>
    <w:rsid w:val="00690186"/>
    <w:rsid w:val="00690968"/>
    <w:rsid w:val="00690A69"/>
    <w:rsid w:val="006931EC"/>
    <w:rsid w:val="0069509D"/>
    <w:rsid w:val="00695FB7"/>
    <w:rsid w:val="006976A3"/>
    <w:rsid w:val="006A21B3"/>
    <w:rsid w:val="006A2AFD"/>
    <w:rsid w:val="006A3E29"/>
    <w:rsid w:val="006A3FB0"/>
    <w:rsid w:val="006A4024"/>
    <w:rsid w:val="006A43A2"/>
    <w:rsid w:val="006A5166"/>
    <w:rsid w:val="006B0304"/>
    <w:rsid w:val="006B0EF8"/>
    <w:rsid w:val="006B225E"/>
    <w:rsid w:val="006B5377"/>
    <w:rsid w:val="006B7895"/>
    <w:rsid w:val="006B7B05"/>
    <w:rsid w:val="006C0650"/>
    <w:rsid w:val="006C1ADD"/>
    <w:rsid w:val="006C1FD4"/>
    <w:rsid w:val="006C32FA"/>
    <w:rsid w:val="006D2586"/>
    <w:rsid w:val="006D3C7D"/>
    <w:rsid w:val="006D507B"/>
    <w:rsid w:val="006D5277"/>
    <w:rsid w:val="006E078B"/>
    <w:rsid w:val="006E31E0"/>
    <w:rsid w:val="006E3AA9"/>
    <w:rsid w:val="006E50E8"/>
    <w:rsid w:val="006E5651"/>
    <w:rsid w:val="006F0E43"/>
    <w:rsid w:val="006F3484"/>
    <w:rsid w:val="006F3883"/>
    <w:rsid w:val="006F45F7"/>
    <w:rsid w:val="006F6060"/>
    <w:rsid w:val="006F6897"/>
    <w:rsid w:val="00701C3E"/>
    <w:rsid w:val="007059C8"/>
    <w:rsid w:val="007069CD"/>
    <w:rsid w:val="00706E86"/>
    <w:rsid w:val="00707F9B"/>
    <w:rsid w:val="007103A9"/>
    <w:rsid w:val="00715B93"/>
    <w:rsid w:val="00716267"/>
    <w:rsid w:val="00716746"/>
    <w:rsid w:val="00717B51"/>
    <w:rsid w:val="00717D03"/>
    <w:rsid w:val="00724392"/>
    <w:rsid w:val="00725DB9"/>
    <w:rsid w:val="007310A4"/>
    <w:rsid w:val="00733A87"/>
    <w:rsid w:val="00736449"/>
    <w:rsid w:val="00740355"/>
    <w:rsid w:val="0074127D"/>
    <w:rsid w:val="00741DB4"/>
    <w:rsid w:val="00743601"/>
    <w:rsid w:val="00744905"/>
    <w:rsid w:val="007516D2"/>
    <w:rsid w:val="007516DE"/>
    <w:rsid w:val="00751AA0"/>
    <w:rsid w:val="00751FD2"/>
    <w:rsid w:val="00753BFC"/>
    <w:rsid w:val="007559F3"/>
    <w:rsid w:val="00755D1E"/>
    <w:rsid w:val="00756F6B"/>
    <w:rsid w:val="00757144"/>
    <w:rsid w:val="00762F0F"/>
    <w:rsid w:val="00764CB8"/>
    <w:rsid w:val="00765AB5"/>
    <w:rsid w:val="00765CE4"/>
    <w:rsid w:val="007660DE"/>
    <w:rsid w:val="0076626B"/>
    <w:rsid w:val="007669E3"/>
    <w:rsid w:val="00770498"/>
    <w:rsid w:val="00770DF9"/>
    <w:rsid w:val="00770ECE"/>
    <w:rsid w:val="00770FAE"/>
    <w:rsid w:val="00774244"/>
    <w:rsid w:val="007763E1"/>
    <w:rsid w:val="007817CF"/>
    <w:rsid w:val="00784795"/>
    <w:rsid w:val="007859B5"/>
    <w:rsid w:val="007878FB"/>
    <w:rsid w:val="0079201E"/>
    <w:rsid w:val="00792360"/>
    <w:rsid w:val="00794368"/>
    <w:rsid w:val="00796560"/>
    <w:rsid w:val="0079670B"/>
    <w:rsid w:val="00796920"/>
    <w:rsid w:val="007A0230"/>
    <w:rsid w:val="007A0B15"/>
    <w:rsid w:val="007A12E5"/>
    <w:rsid w:val="007A3E15"/>
    <w:rsid w:val="007A67A9"/>
    <w:rsid w:val="007B058B"/>
    <w:rsid w:val="007B3D5E"/>
    <w:rsid w:val="007B67D4"/>
    <w:rsid w:val="007B6EB9"/>
    <w:rsid w:val="007B7039"/>
    <w:rsid w:val="007C2507"/>
    <w:rsid w:val="007C3E52"/>
    <w:rsid w:val="007C42DA"/>
    <w:rsid w:val="007C5C49"/>
    <w:rsid w:val="007C69BC"/>
    <w:rsid w:val="007D7D3F"/>
    <w:rsid w:val="007E05F4"/>
    <w:rsid w:val="007E4398"/>
    <w:rsid w:val="007E52A6"/>
    <w:rsid w:val="007E5DC0"/>
    <w:rsid w:val="007E7400"/>
    <w:rsid w:val="007F0579"/>
    <w:rsid w:val="007F09E6"/>
    <w:rsid w:val="007F681B"/>
    <w:rsid w:val="0080180D"/>
    <w:rsid w:val="00803262"/>
    <w:rsid w:val="00803B40"/>
    <w:rsid w:val="00805A16"/>
    <w:rsid w:val="008075DE"/>
    <w:rsid w:val="00813802"/>
    <w:rsid w:val="0081480B"/>
    <w:rsid w:val="00817C6A"/>
    <w:rsid w:val="00817CAA"/>
    <w:rsid w:val="00817EEA"/>
    <w:rsid w:val="00823360"/>
    <w:rsid w:val="00827F80"/>
    <w:rsid w:val="008303C4"/>
    <w:rsid w:val="0083079E"/>
    <w:rsid w:val="00832C21"/>
    <w:rsid w:val="00833054"/>
    <w:rsid w:val="00833791"/>
    <w:rsid w:val="00834C7B"/>
    <w:rsid w:val="00836EB5"/>
    <w:rsid w:val="008372B6"/>
    <w:rsid w:val="00837E1D"/>
    <w:rsid w:val="0084072B"/>
    <w:rsid w:val="008415B5"/>
    <w:rsid w:val="0084612D"/>
    <w:rsid w:val="00851C9A"/>
    <w:rsid w:val="0085467C"/>
    <w:rsid w:val="00854E4F"/>
    <w:rsid w:val="00856C24"/>
    <w:rsid w:val="0086119E"/>
    <w:rsid w:val="0086210D"/>
    <w:rsid w:val="00876788"/>
    <w:rsid w:val="008779B1"/>
    <w:rsid w:val="00877F17"/>
    <w:rsid w:val="00880E28"/>
    <w:rsid w:val="0088326F"/>
    <w:rsid w:val="0088344D"/>
    <w:rsid w:val="008867AA"/>
    <w:rsid w:val="00890AD4"/>
    <w:rsid w:val="008951FA"/>
    <w:rsid w:val="0089570F"/>
    <w:rsid w:val="00895F18"/>
    <w:rsid w:val="00896593"/>
    <w:rsid w:val="008A0356"/>
    <w:rsid w:val="008A100B"/>
    <w:rsid w:val="008A187C"/>
    <w:rsid w:val="008A3881"/>
    <w:rsid w:val="008A444C"/>
    <w:rsid w:val="008A6FD2"/>
    <w:rsid w:val="008B4112"/>
    <w:rsid w:val="008B6F33"/>
    <w:rsid w:val="008C00AF"/>
    <w:rsid w:val="008C658C"/>
    <w:rsid w:val="008C7F00"/>
    <w:rsid w:val="008D0591"/>
    <w:rsid w:val="008D3ABA"/>
    <w:rsid w:val="008D4434"/>
    <w:rsid w:val="008D4EB1"/>
    <w:rsid w:val="008D6783"/>
    <w:rsid w:val="008E01C4"/>
    <w:rsid w:val="008E0698"/>
    <w:rsid w:val="008E2B1B"/>
    <w:rsid w:val="008E354F"/>
    <w:rsid w:val="008E5CE7"/>
    <w:rsid w:val="008E6B31"/>
    <w:rsid w:val="008E7553"/>
    <w:rsid w:val="008F0356"/>
    <w:rsid w:val="008F05C1"/>
    <w:rsid w:val="008F4EB2"/>
    <w:rsid w:val="008F5B1E"/>
    <w:rsid w:val="008F5D05"/>
    <w:rsid w:val="008F7E5A"/>
    <w:rsid w:val="00905847"/>
    <w:rsid w:val="009073F0"/>
    <w:rsid w:val="00912B73"/>
    <w:rsid w:val="00912D26"/>
    <w:rsid w:val="00914900"/>
    <w:rsid w:val="009152A3"/>
    <w:rsid w:val="00915B16"/>
    <w:rsid w:val="0091613A"/>
    <w:rsid w:val="00916E70"/>
    <w:rsid w:val="0092450C"/>
    <w:rsid w:val="00924872"/>
    <w:rsid w:val="0092665A"/>
    <w:rsid w:val="009277A8"/>
    <w:rsid w:val="00930E3C"/>
    <w:rsid w:val="00931BB8"/>
    <w:rsid w:val="009326B5"/>
    <w:rsid w:val="00934DD6"/>
    <w:rsid w:val="00935D8C"/>
    <w:rsid w:val="0094072A"/>
    <w:rsid w:val="00940CC2"/>
    <w:rsid w:val="009445D7"/>
    <w:rsid w:val="009462DC"/>
    <w:rsid w:val="009465FB"/>
    <w:rsid w:val="0094680D"/>
    <w:rsid w:val="00946B54"/>
    <w:rsid w:val="00951791"/>
    <w:rsid w:val="00952286"/>
    <w:rsid w:val="009548A4"/>
    <w:rsid w:val="00954D74"/>
    <w:rsid w:val="00955B74"/>
    <w:rsid w:val="00957DF6"/>
    <w:rsid w:val="009619B6"/>
    <w:rsid w:val="00961AC7"/>
    <w:rsid w:val="0096228B"/>
    <w:rsid w:val="00962D45"/>
    <w:rsid w:val="009630DE"/>
    <w:rsid w:val="00966395"/>
    <w:rsid w:val="00972F93"/>
    <w:rsid w:val="009739A9"/>
    <w:rsid w:val="00974ECB"/>
    <w:rsid w:val="00975EFA"/>
    <w:rsid w:val="0097765A"/>
    <w:rsid w:val="009802E1"/>
    <w:rsid w:val="00981AA9"/>
    <w:rsid w:val="009860A0"/>
    <w:rsid w:val="0098744E"/>
    <w:rsid w:val="00990FC4"/>
    <w:rsid w:val="009918A4"/>
    <w:rsid w:val="00991FED"/>
    <w:rsid w:val="009957CB"/>
    <w:rsid w:val="009957EF"/>
    <w:rsid w:val="009A0015"/>
    <w:rsid w:val="009A26AF"/>
    <w:rsid w:val="009A33E1"/>
    <w:rsid w:val="009A3540"/>
    <w:rsid w:val="009A3BED"/>
    <w:rsid w:val="009A45D4"/>
    <w:rsid w:val="009A5C06"/>
    <w:rsid w:val="009B5B16"/>
    <w:rsid w:val="009B5F2C"/>
    <w:rsid w:val="009C0990"/>
    <w:rsid w:val="009C0FAB"/>
    <w:rsid w:val="009C2657"/>
    <w:rsid w:val="009C5C9C"/>
    <w:rsid w:val="009C62EA"/>
    <w:rsid w:val="009C6B2D"/>
    <w:rsid w:val="009D0B18"/>
    <w:rsid w:val="009D1500"/>
    <w:rsid w:val="009D21AE"/>
    <w:rsid w:val="009D2B16"/>
    <w:rsid w:val="009D46C3"/>
    <w:rsid w:val="009D5D41"/>
    <w:rsid w:val="009D720A"/>
    <w:rsid w:val="009E3A87"/>
    <w:rsid w:val="009E3DAB"/>
    <w:rsid w:val="009E45D2"/>
    <w:rsid w:val="009F00BF"/>
    <w:rsid w:val="009F309E"/>
    <w:rsid w:val="009F3510"/>
    <w:rsid w:val="009F376A"/>
    <w:rsid w:val="009F574F"/>
    <w:rsid w:val="009F5C59"/>
    <w:rsid w:val="009F5E40"/>
    <w:rsid w:val="00A00E48"/>
    <w:rsid w:val="00A0199F"/>
    <w:rsid w:val="00A02056"/>
    <w:rsid w:val="00A063A9"/>
    <w:rsid w:val="00A079D5"/>
    <w:rsid w:val="00A107A9"/>
    <w:rsid w:val="00A12295"/>
    <w:rsid w:val="00A1474C"/>
    <w:rsid w:val="00A14F25"/>
    <w:rsid w:val="00A16831"/>
    <w:rsid w:val="00A17008"/>
    <w:rsid w:val="00A20CC0"/>
    <w:rsid w:val="00A20EA7"/>
    <w:rsid w:val="00A23DFA"/>
    <w:rsid w:val="00A249DA"/>
    <w:rsid w:val="00A252F4"/>
    <w:rsid w:val="00A26CAC"/>
    <w:rsid w:val="00A26E79"/>
    <w:rsid w:val="00A30274"/>
    <w:rsid w:val="00A31D2A"/>
    <w:rsid w:val="00A33458"/>
    <w:rsid w:val="00A34125"/>
    <w:rsid w:val="00A35571"/>
    <w:rsid w:val="00A356B0"/>
    <w:rsid w:val="00A41CCA"/>
    <w:rsid w:val="00A44D0F"/>
    <w:rsid w:val="00A4534F"/>
    <w:rsid w:val="00A46D95"/>
    <w:rsid w:val="00A46ED2"/>
    <w:rsid w:val="00A5207B"/>
    <w:rsid w:val="00A62DAD"/>
    <w:rsid w:val="00A6366C"/>
    <w:rsid w:val="00A64B6E"/>
    <w:rsid w:val="00A65349"/>
    <w:rsid w:val="00A666DD"/>
    <w:rsid w:val="00A6736F"/>
    <w:rsid w:val="00A71E56"/>
    <w:rsid w:val="00A729DA"/>
    <w:rsid w:val="00A75C79"/>
    <w:rsid w:val="00A76ACA"/>
    <w:rsid w:val="00A77A44"/>
    <w:rsid w:val="00A8070F"/>
    <w:rsid w:val="00A81201"/>
    <w:rsid w:val="00A81B9E"/>
    <w:rsid w:val="00A83825"/>
    <w:rsid w:val="00A84EB5"/>
    <w:rsid w:val="00A85A1D"/>
    <w:rsid w:val="00A86061"/>
    <w:rsid w:val="00A90F6E"/>
    <w:rsid w:val="00A915DA"/>
    <w:rsid w:val="00A91DA9"/>
    <w:rsid w:val="00A93373"/>
    <w:rsid w:val="00A935D2"/>
    <w:rsid w:val="00A939D0"/>
    <w:rsid w:val="00A95785"/>
    <w:rsid w:val="00A96152"/>
    <w:rsid w:val="00AA2419"/>
    <w:rsid w:val="00AA24F3"/>
    <w:rsid w:val="00AA3EAF"/>
    <w:rsid w:val="00AA50E8"/>
    <w:rsid w:val="00AB14DF"/>
    <w:rsid w:val="00AB44A6"/>
    <w:rsid w:val="00AB639A"/>
    <w:rsid w:val="00AB70D0"/>
    <w:rsid w:val="00AC0AD5"/>
    <w:rsid w:val="00AC1A4F"/>
    <w:rsid w:val="00AC3C31"/>
    <w:rsid w:val="00AD176D"/>
    <w:rsid w:val="00AD1B9C"/>
    <w:rsid w:val="00AD2F01"/>
    <w:rsid w:val="00AD5291"/>
    <w:rsid w:val="00AD5DCD"/>
    <w:rsid w:val="00AD685D"/>
    <w:rsid w:val="00AD6E7E"/>
    <w:rsid w:val="00AD742C"/>
    <w:rsid w:val="00AE2472"/>
    <w:rsid w:val="00AE626C"/>
    <w:rsid w:val="00AE627F"/>
    <w:rsid w:val="00AE70C2"/>
    <w:rsid w:val="00AF111B"/>
    <w:rsid w:val="00AF1AA3"/>
    <w:rsid w:val="00AF320F"/>
    <w:rsid w:val="00AF3641"/>
    <w:rsid w:val="00AF73CF"/>
    <w:rsid w:val="00B00595"/>
    <w:rsid w:val="00B00C23"/>
    <w:rsid w:val="00B02946"/>
    <w:rsid w:val="00B03F2A"/>
    <w:rsid w:val="00B04B42"/>
    <w:rsid w:val="00B0546E"/>
    <w:rsid w:val="00B05508"/>
    <w:rsid w:val="00B10707"/>
    <w:rsid w:val="00B11234"/>
    <w:rsid w:val="00B11805"/>
    <w:rsid w:val="00B1229D"/>
    <w:rsid w:val="00B122AE"/>
    <w:rsid w:val="00B12C6E"/>
    <w:rsid w:val="00B14762"/>
    <w:rsid w:val="00B15A30"/>
    <w:rsid w:val="00B22FD4"/>
    <w:rsid w:val="00B23F78"/>
    <w:rsid w:val="00B25325"/>
    <w:rsid w:val="00B26527"/>
    <w:rsid w:val="00B26727"/>
    <w:rsid w:val="00B33FAE"/>
    <w:rsid w:val="00B34E64"/>
    <w:rsid w:val="00B372F6"/>
    <w:rsid w:val="00B379C4"/>
    <w:rsid w:val="00B40655"/>
    <w:rsid w:val="00B40B52"/>
    <w:rsid w:val="00B41080"/>
    <w:rsid w:val="00B427B0"/>
    <w:rsid w:val="00B43686"/>
    <w:rsid w:val="00B436F3"/>
    <w:rsid w:val="00B43C41"/>
    <w:rsid w:val="00B46CD8"/>
    <w:rsid w:val="00B476CC"/>
    <w:rsid w:val="00B5069D"/>
    <w:rsid w:val="00B51C5A"/>
    <w:rsid w:val="00B5313D"/>
    <w:rsid w:val="00B533EB"/>
    <w:rsid w:val="00B53ED5"/>
    <w:rsid w:val="00B5425B"/>
    <w:rsid w:val="00B543E4"/>
    <w:rsid w:val="00B54A87"/>
    <w:rsid w:val="00B564A1"/>
    <w:rsid w:val="00B5694D"/>
    <w:rsid w:val="00B569F0"/>
    <w:rsid w:val="00B57757"/>
    <w:rsid w:val="00B60F43"/>
    <w:rsid w:val="00B665A3"/>
    <w:rsid w:val="00B67F2B"/>
    <w:rsid w:val="00B7010D"/>
    <w:rsid w:val="00B7297B"/>
    <w:rsid w:val="00B732C2"/>
    <w:rsid w:val="00B7639C"/>
    <w:rsid w:val="00B77BBF"/>
    <w:rsid w:val="00B804B2"/>
    <w:rsid w:val="00B82E2E"/>
    <w:rsid w:val="00B830C8"/>
    <w:rsid w:val="00B83398"/>
    <w:rsid w:val="00B83B74"/>
    <w:rsid w:val="00B84B5B"/>
    <w:rsid w:val="00B87FBF"/>
    <w:rsid w:val="00B952F1"/>
    <w:rsid w:val="00B965FE"/>
    <w:rsid w:val="00B97B1A"/>
    <w:rsid w:val="00BA169C"/>
    <w:rsid w:val="00BA27C9"/>
    <w:rsid w:val="00BA2FA6"/>
    <w:rsid w:val="00BA5B9E"/>
    <w:rsid w:val="00BA6755"/>
    <w:rsid w:val="00BA6B22"/>
    <w:rsid w:val="00BB2607"/>
    <w:rsid w:val="00BB5C28"/>
    <w:rsid w:val="00BB6539"/>
    <w:rsid w:val="00BC2862"/>
    <w:rsid w:val="00BC4BC2"/>
    <w:rsid w:val="00BC540E"/>
    <w:rsid w:val="00BC5724"/>
    <w:rsid w:val="00BC5CCA"/>
    <w:rsid w:val="00BD1967"/>
    <w:rsid w:val="00BD4B15"/>
    <w:rsid w:val="00BD55D9"/>
    <w:rsid w:val="00BD6571"/>
    <w:rsid w:val="00BD68A1"/>
    <w:rsid w:val="00BD70DC"/>
    <w:rsid w:val="00BD7FB4"/>
    <w:rsid w:val="00BE0DDD"/>
    <w:rsid w:val="00BE0FB5"/>
    <w:rsid w:val="00BE1421"/>
    <w:rsid w:val="00BE19CD"/>
    <w:rsid w:val="00BE3327"/>
    <w:rsid w:val="00BE391B"/>
    <w:rsid w:val="00BE4442"/>
    <w:rsid w:val="00BE4818"/>
    <w:rsid w:val="00BE4FC4"/>
    <w:rsid w:val="00BE59D4"/>
    <w:rsid w:val="00BE6FB7"/>
    <w:rsid w:val="00BE726D"/>
    <w:rsid w:val="00BF0318"/>
    <w:rsid w:val="00BF0475"/>
    <w:rsid w:val="00BF1414"/>
    <w:rsid w:val="00BF1C01"/>
    <w:rsid w:val="00BF4B9E"/>
    <w:rsid w:val="00BF57FE"/>
    <w:rsid w:val="00BF5C10"/>
    <w:rsid w:val="00BF7E76"/>
    <w:rsid w:val="00BF7F74"/>
    <w:rsid w:val="00C01253"/>
    <w:rsid w:val="00C01305"/>
    <w:rsid w:val="00C02A0D"/>
    <w:rsid w:val="00C051B2"/>
    <w:rsid w:val="00C06AB2"/>
    <w:rsid w:val="00C11637"/>
    <w:rsid w:val="00C11828"/>
    <w:rsid w:val="00C11A7E"/>
    <w:rsid w:val="00C11AF5"/>
    <w:rsid w:val="00C12968"/>
    <w:rsid w:val="00C1347E"/>
    <w:rsid w:val="00C15009"/>
    <w:rsid w:val="00C16797"/>
    <w:rsid w:val="00C1723E"/>
    <w:rsid w:val="00C1759C"/>
    <w:rsid w:val="00C212C7"/>
    <w:rsid w:val="00C2477C"/>
    <w:rsid w:val="00C25A7D"/>
    <w:rsid w:val="00C27126"/>
    <w:rsid w:val="00C32122"/>
    <w:rsid w:val="00C33742"/>
    <w:rsid w:val="00C339A1"/>
    <w:rsid w:val="00C3498E"/>
    <w:rsid w:val="00C35208"/>
    <w:rsid w:val="00C3572A"/>
    <w:rsid w:val="00C416AC"/>
    <w:rsid w:val="00C44044"/>
    <w:rsid w:val="00C4426B"/>
    <w:rsid w:val="00C46BC5"/>
    <w:rsid w:val="00C50B63"/>
    <w:rsid w:val="00C5368B"/>
    <w:rsid w:val="00C6258D"/>
    <w:rsid w:val="00C62A0B"/>
    <w:rsid w:val="00C633C4"/>
    <w:rsid w:val="00C647C6"/>
    <w:rsid w:val="00C64F0F"/>
    <w:rsid w:val="00C66961"/>
    <w:rsid w:val="00C66DF8"/>
    <w:rsid w:val="00C706E4"/>
    <w:rsid w:val="00C716DE"/>
    <w:rsid w:val="00C7207A"/>
    <w:rsid w:val="00C72B69"/>
    <w:rsid w:val="00C72D1A"/>
    <w:rsid w:val="00C76209"/>
    <w:rsid w:val="00C763C5"/>
    <w:rsid w:val="00C7704B"/>
    <w:rsid w:val="00C77C72"/>
    <w:rsid w:val="00C826F8"/>
    <w:rsid w:val="00C8324A"/>
    <w:rsid w:val="00C84BAB"/>
    <w:rsid w:val="00C856C0"/>
    <w:rsid w:val="00C9199C"/>
    <w:rsid w:val="00C93AA6"/>
    <w:rsid w:val="00C93FC1"/>
    <w:rsid w:val="00CA02A6"/>
    <w:rsid w:val="00CA04B1"/>
    <w:rsid w:val="00CA212C"/>
    <w:rsid w:val="00CA2822"/>
    <w:rsid w:val="00CA2A8E"/>
    <w:rsid w:val="00CA2BA3"/>
    <w:rsid w:val="00CA2E84"/>
    <w:rsid w:val="00CA41AC"/>
    <w:rsid w:val="00CA47DF"/>
    <w:rsid w:val="00CA6690"/>
    <w:rsid w:val="00CA7E15"/>
    <w:rsid w:val="00CB0C18"/>
    <w:rsid w:val="00CB2F99"/>
    <w:rsid w:val="00CB4041"/>
    <w:rsid w:val="00CC531F"/>
    <w:rsid w:val="00CC6758"/>
    <w:rsid w:val="00CC6F76"/>
    <w:rsid w:val="00CC7516"/>
    <w:rsid w:val="00CC7ADC"/>
    <w:rsid w:val="00CD125D"/>
    <w:rsid w:val="00CD2E32"/>
    <w:rsid w:val="00CD658E"/>
    <w:rsid w:val="00CE14E4"/>
    <w:rsid w:val="00CE5AA7"/>
    <w:rsid w:val="00CE5DFC"/>
    <w:rsid w:val="00CE6818"/>
    <w:rsid w:val="00CF1253"/>
    <w:rsid w:val="00CF2984"/>
    <w:rsid w:val="00CF29D5"/>
    <w:rsid w:val="00CF2F16"/>
    <w:rsid w:val="00CF3D2A"/>
    <w:rsid w:val="00CF5237"/>
    <w:rsid w:val="00CF645E"/>
    <w:rsid w:val="00CF7E08"/>
    <w:rsid w:val="00D00F1F"/>
    <w:rsid w:val="00D014B4"/>
    <w:rsid w:val="00D05393"/>
    <w:rsid w:val="00D0688B"/>
    <w:rsid w:val="00D100B0"/>
    <w:rsid w:val="00D12DC6"/>
    <w:rsid w:val="00D140ED"/>
    <w:rsid w:val="00D206FB"/>
    <w:rsid w:val="00D232E8"/>
    <w:rsid w:val="00D31F53"/>
    <w:rsid w:val="00D322EF"/>
    <w:rsid w:val="00D41672"/>
    <w:rsid w:val="00D428DB"/>
    <w:rsid w:val="00D445CA"/>
    <w:rsid w:val="00D44AEE"/>
    <w:rsid w:val="00D45495"/>
    <w:rsid w:val="00D46510"/>
    <w:rsid w:val="00D465B1"/>
    <w:rsid w:val="00D52AAA"/>
    <w:rsid w:val="00D5518A"/>
    <w:rsid w:val="00D56DBD"/>
    <w:rsid w:val="00D6274E"/>
    <w:rsid w:val="00D628B5"/>
    <w:rsid w:val="00D62D5F"/>
    <w:rsid w:val="00D65831"/>
    <w:rsid w:val="00D67178"/>
    <w:rsid w:val="00D67448"/>
    <w:rsid w:val="00D80CDB"/>
    <w:rsid w:val="00D8116D"/>
    <w:rsid w:val="00D816FE"/>
    <w:rsid w:val="00D83102"/>
    <w:rsid w:val="00D879C8"/>
    <w:rsid w:val="00D9232C"/>
    <w:rsid w:val="00D95137"/>
    <w:rsid w:val="00D952D4"/>
    <w:rsid w:val="00D96EA1"/>
    <w:rsid w:val="00D97336"/>
    <w:rsid w:val="00DA0D6E"/>
    <w:rsid w:val="00DA1F31"/>
    <w:rsid w:val="00DA2895"/>
    <w:rsid w:val="00DA2A82"/>
    <w:rsid w:val="00DA362B"/>
    <w:rsid w:val="00DA3DE5"/>
    <w:rsid w:val="00DA4129"/>
    <w:rsid w:val="00DA49E1"/>
    <w:rsid w:val="00DA5172"/>
    <w:rsid w:val="00DA5EC1"/>
    <w:rsid w:val="00DA6E3B"/>
    <w:rsid w:val="00DB7CA2"/>
    <w:rsid w:val="00DC3074"/>
    <w:rsid w:val="00DC316F"/>
    <w:rsid w:val="00DC3B45"/>
    <w:rsid w:val="00DC3BB6"/>
    <w:rsid w:val="00DC6A05"/>
    <w:rsid w:val="00DD17FE"/>
    <w:rsid w:val="00DD24A3"/>
    <w:rsid w:val="00DD53B7"/>
    <w:rsid w:val="00DD5D68"/>
    <w:rsid w:val="00DE0388"/>
    <w:rsid w:val="00DE0892"/>
    <w:rsid w:val="00DE22D3"/>
    <w:rsid w:val="00DE29B1"/>
    <w:rsid w:val="00DE3103"/>
    <w:rsid w:val="00DE33E0"/>
    <w:rsid w:val="00DE61F6"/>
    <w:rsid w:val="00DF2974"/>
    <w:rsid w:val="00DF2A84"/>
    <w:rsid w:val="00DF4485"/>
    <w:rsid w:val="00DF6796"/>
    <w:rsid w:val="00DF7B6D"/>
    <w:rsid w:val="00E0281F"/>
    <w:rsid w:val="00E10B31"/>
    <w:rsid w:val="00E144BE"/>
    <w:rsid w:val="00E14C1F"/>
    <w:rsid w:val="00E1634A"/>
    <w:rsid w:val="00E178E5"/>
    <w:rsid w:val="00E17CDC"/>
    <w:rsid w:val="00E2009A"/>
    <w:rsid w:val="00E20408"/>
    <w:rsid w:val="00E216BA"/>
    <w:rsid w:val="00E24252"/>
    <w:rsid w:val="00E24AE6"/>
    <w:rsid w:val="00E255BE"/>
    <w:rsid w:val="00E26AAB"/>
    <w:rsid w:val="00E2702F"/>
    <w:rsid w:val="00E3092B"/>
    <w:rsid w:val="00E30980"/>
    <w:rsid w:val="00E31A16"/>
    <w:rsid w:val="00E33610"/>
    <w:rsid w:val="00E346AA"/>
    <w:rsid w:val="00E36EC3"/>
    <w:rsid w:val="00E416CE"/>
    <w:rsid w:val="00E449CF"/>
    <w:rsid w:val="00E44C31"/>
    <w:rsid w:val="00E4605A"/>
    <w:rsid w:val="00E46DEC"/>
    <w:rsid w:val="00E46E91"/>
    <w:rsid w:val="00E47009"/>
    <w:rsid w:val="00E47D97"/>
    <w:rsid w:val="00E50F00"/>
    <w:rsid w:val="00E527DA"/>
    <w:rsid w:val="00E52C71"/>
    <w:rsid w:val="00E53D5D"/>
    <w:rsid w:val="00E55DC1"/>
    <w:rsid w:val="00E561FD"/>
    <w:rsid w:val="00E572EB"/>
    <w:rsid w:val="00E57C5D"/>
    <w:rsid w:val="00E60C21"/>
    <w:rsid w:val="00E616EC"/>
    <w:rsid w:val="00E62154"/>
    <w:rsid w:val="00E6423C"/>
    <w:rsid w:val="00E64FFA"/>
    <w:rsid w:val="00E67A72"/>
    <w:rsid w:val="00E700B5"/>
    <w:rsid w:val="00E71A8B"/>
    <w:rsid w:val="00E72F47"/>
    <w:rsid w:val="00E73E89"/>
    <w:rsid w:val="00E7591F"/>
    <w:rsid w:val="00E76172"/>
    <w:rsid w:val="00E82CE2"/>
    <w:rsid w:val="00E86291"/>
    <w:rsid w:val="00E877A5"/>
    <w:rsid w:val="00E9066C"/>
    <w:rsid w:val="00E91ACF"/>
    <w:rsid w:val="00E924B0"/>
    <w:rsid w:val="00E9478D"/>
    <w:rsid w:val="00E95333"/>
    <w:rsid w:val="00E9543C"/>
    <w:rsid w:val="00E96956"/>
    <w:rsid w:val="00E970E9"/>
    <w:rsid w:val="00EA0BC1"/>
    <w:rsid w:val="00EA3273"/>
    <w:rsid w:val="00EA4011"/>
    <w:rsid w:val="00EA49AA"/>
    <w:rsid w:val="00EA6780"/>
    <w:rsid w:val="00EA6BC9"/>
    <w:rsid w:val="00EB0651"/>
    <w:rsid w:val="00EB1674"/>
    <w:rsid w:val="00EB1763"/>
    <w:rsid w:val="00EB195D"/>
    <w:rsid w:val="00EB2358"/>
    <w:rsid w:val="00EB31A1"/>
    <w:rsid w:val="00EB3542"/>
    <w:rsid w:val="00EB3EE4"/>
    <w:rsid w:val="00EB3F2D"/>
    <w:rsid w:val="00EB4325"/>
    <w:rsid w:val="00EB63E4"/>
    <w:rsid w:val="00EC0406"/>
    <w:rsid w:val="00EC05F2"/>
    <w:rsid w:val="00EC06A5"/>
    <w:rsid w:val="00EC20E3"/>
    <w:rsid w:val="00ED04E2"/>
    <w:rsid w:val="00ED0A83"/>
    <w:rsid w:val="00ED21A3"/>
    <w:rsid w:val="00ED261E"/>
    <w:rsid w:val="00EE0A08"/>
    <w:rsid w:val="00EE3786"/>
    <w:rsid w:val="00EE3CB9"/>
    <w:rsid w:val="00EE417D"/>
    <w:rsid w:val="00EE5D9F"/>
    <w:rsid w:val="00EF0326"/>
    <w:rsid w:val="00EF12B2"/>
    <w:rsid w:val="00EF2527"/>
    <w:rsid w:val="00EF4401"/>
    <w:rsid w:val="00EF4A6A"/>
    <w:rsid w:val="00EF790C"/>
    <w:rsid w:val="00EF7C1D"/>
    <w:rsid w:val="00F00076"/>
    <w:rsid w:val="00F00375"/>
    <w:rsid w:val="00F006A6"/>
    <w:rsid w:val="00F01380"/>
    <w:rsid w:val="00F037F1"/>
    <w:rsid w:val="00F05168"/>
    <w:rsid w:val="00F069A7"/>
    <w:rsid w:val="00F10021"/>
    <w:rsid w:val="00F13475"/>
    <w:rsid w:val="00F14B60"/>
    <w:rsid w:val="00F1674A"/>
    <w:rsid w:val="00F16913"/>
    <w:rsid w:val="00F17A6A"/>
    <w:rsid w:val="00F17B19"/>
    <w:rsid w:val="00F2018B"/>
    <w:rsid w:val="00F211B7"/>
    <w:rsid w:val="00F2168C"/>
    <w:rsid w:val="00F220D1"/>
    <w:rsid w:val="00F25D5C"/>
    <w:rsid w:val="00F260C4"/>
    <w:rsid w:val="00F32D72"/>
    <w:rsid w:val="00F33C1B"/>
    <w:rsid w:val="00F35766"/>
    <w:rsid w:val="00F35C23"/>
    <w:rsid w:val="00F37BAC"/>
    <w:rsid w:val="00F41726"/>
    <w:rsid w:val="00F42DAB"/>
    <w:rsid w:val="00F445A3"/>
    <w:rsid w:val="00F454AA"/>
    <w:rsid w:val="00F50934"/>
    <w:rsid w:val="00F513B6"/>
    <w:rsid w:val="00F572E7"/>
    <w:rsid w:val="00F61337"/>
    <w:rsid w:val="00F6153C"/>
    <w:rsid w:val="00F61689"/>
    <w:rsid w:val="00F6172E"/>
    <w:rsid w:val="00F6180E"/>
    <w:rsid w:val="00F6319C"/>
    <w:rsid w:val="00F632BD"/>
    <w:rsid w:val="00F64AAB"/>
    <w:rsid w:val="00F655F4"/>
    <w:rsid w:val="00F65831"/>
    <w:rsid w:val="00F660E3"/>
    <w:rsid w:val="00F669BC"/>
    <w:rsid w:val="00F6EE6B"/>
    <w:rsid w:val="00F7379F"/>
    <w:rsid w:val="00F77DF7"/>
    <w:rsid w:val="00F77EE8"/>
    <w:rsid w:val="00F85088"/>
    <w:rsid w:val="00F87876"/>
    <w:rsid w:val="00F87A6D"/>
    <w:rsid w:val="00F93654"/>
    <w:rsid w:val="00F93A6C"/>
    <w:rsid w:val="00F93E8E"/>
    <w:rsid w:val="00F95EE4"/>
    <w:rsid w:val="00F9640B"/>
    <w:rsid w:val="00F964C7"/>
    <w:rsid w:val="00F96927"/>
    <w:rsid w:val="00F970CD"/>
    <w:rsid w:val="00FA08B1"/>
    <w:rsid w:val="00FA0A93"/>
    <w:rsid w:val="00FA50CF"/>
    <w:rsid w:val="00FA5F4F"/>
    <w:rsid w:val="00FA72D4"/>
    <w:rsid w:val="00FA72E1"/>
    <w:rsid w:val="00FA780C"/>
    <w:rsid w:val="00FB1619"/>
    <w:rsid w:val="00FB1A89"/>
    <w:rsid w:val="00FB74AE"/>
    <w:rsid w:val="00FC1C50"/>
    <w:rsid w:val="00FC1F28"/>
    <w:rsid w:val="00FC2567"/>
    <w:rsid w:val="00FC4AD4"/>
    <w:rsid w:val="00FC6079"/>
    <w:rsid w:val="00FC6687"/>
    <w:rsid w:val="00FD21EA"/>
    <w:rsid w:val="00FE2BC6"/>
    <w:rsid w:val="00FE3BF1"/>
    <w:rsid w:val="00FE4EEF"/>
    <w:rsid w:val="00FE6831"/>
    <w:rsid w:val="00FE69CD"/>
    <w:rsid w:val="00FF04DB"/>
    <w:rsid w:val="00FF0E97"/>
    <w:rsid w:val="00FF27BD"/>
    <w:rsid w:val="00FF466E"/>
    <w:rsid w:val="00FF50DF"/>
    <w:rsid w:val="015CEDEF"/>
    <w:rsid w:val="016AE02D"/>
    <w:rsid w:val="019F45EF"/>
    <w:rsid w:val="01C2B18E"/>
    <w:rsid w:val="01E3B18E"/>
    <w:rsid w:val="01F27B7D"/>
    <w:rsid w:val="0252CEF2"/>
    <w:rsid w:val="0261FC51"/>
    <w:rsid w:val="02749E5F"/>
    <w:rsid w:val="02B6B6A6"/>
    <w:rsid w:val="02F9D3EF"/>
    <w:rsid w:val="0349F8F4"/>
    <w:rsid w:val="03631441"/>
    <w:rsid w:val="03D22E74"/>
    <w:rsid w:val="03E5BE7D"/>
    <w:rsid w:val="03ED4608"/>
    <w:rsid w:val="041A9D4E"/>
    <w:rsid w:val="043B97A1"/>
    <w:rsid w:val="0445D0C8"/>
    <w:rsid w:val="04507DA1"/>
    <w:rsid w:val="0463D5DF"/>
    <w:rsid w:val="0489F4C6"/>
    <w:rsid w:val="049A80FA"/>
    <w:rsid w:val="04A216E0"/>
    <w:rsid w:val="04A73378"/>
    <w:rsid w:val="04E296A3"/>
    <w:rsid w:val="04F064B3"/>
    <w:rsid w:val="04FC4A8F"/>
    <w:rsid w:val="0508F84A"/>
    <w:rsid w:val="0515CFA8"/>
    <w:rsid w:val="052FD74D"/>
    <w:rsid w:val="05A6A289"/>
    <w:rsid w:val="05FC54B7"/>
    <w:rsid w:val="06425C0F"/>
    <w:rsid w:val="06781076"/>
    <w:rsid w:val="06D1C960"/>
    <w:rsid w:val="06E0B533"/>
    <w:rsid w:val="06FE276F"/>
    <w:rsid w:val="070B9D0E"/>
    <w:rsid w:val="07107D9D"/>
    <w:rsid w:val="0768CB4C"/>
    <w:rsid w:val="076D7F53"/>
    <w:rsid w:val="07BB5B77"/>
    <w:rsid w:val="07CC7A19"/>
    <w:rsid w:val="07EE657D"/>
    <w:rsid w:val="07FBFF93"/>
    <w:rsid w:val="0873ACC6"/>
    <w:rsid w:val="08EFA0AB"/>
    <w:rsid w:val="090A2596"/>
    <w:rsid w:val="091F73FD"/>
    <w:rsid w:val="097AE95B"/>
    <w:rsid w:val="09AF3526"/>
    <w:rsid w:val="09C9E3D5"/>
    <w:rsid w:val="09DA5485"/>
    <w:rsid w:val="0A08C7CC"/>
    <w:rsid w:val="0A1661F1"/>
    <w:rsid w:val="0A38D4CC"/>
    <w:rsid w:val="0A3B17E9"/>
    <w:rsid w:val="0B2BB1E2"/>
    <w:rsid w:val="0B2F78C6"/>
    <w:rsid w:val="0B371BDC"/>
    <w:rsid w:val="0B8DC4C8"/>
    <w:rsid w:val="0B9537C4"/>
    <w:rsid w:val="0BAD35C0"/>
    <w:rsid w:val="0BDD1490"/>
    <w:rsid w:val="0BF5DED1"/>
    <w:rsid w:val="0C40F3E3"/>
    <w:rsid w:val="0C5188E6"/>
    <w:rsid w:val="0C528CA1"/>
    <w:rsid w:val="0C56B1BE"/>
    <w:rsid w:val="0C578DA7"/>
    <w:rsid w:val="0C613942"/>
    <w:rsid w:val="0CD6B296"/>
    <w:rsid w:val="0D13ABEB"/>
    <w:rsid w:val="0D43E294"/>
    <w:rsid w:val="0D573F22"/>
    <w:rsid w:val="0D74FBAB"/>
    <w:rsid w:val="0D997179"/>
    <w:rsid w:val="0DFDC676"/>
    <w:rsid w:val="0E03418C"/>
    <w:rsid w:val="0E1C8AC1"/>
    <w:rsid w:val="0E7D305D"/>
    <w:rsid w:val="0EA11B38"/>
    <w:rsid w:val="0ED5ABFE"/>
    <w:rsid w:val="0EEACE24"/>
    <w:rsid w:val="0F0FBA47"/>
    <w:rsid w:val="0F3EE185"/>
    <w:rsid w:val="0F61C845"/>
    <w:rsid w:val="0F64EDEC"/>
    <w:rsid w:val="0F846E37"/>
    <w:rsid w:val="0FA1E81D"/>
    <w:rsid w:val="0FAC0347"/>
    <w:rsid w:val="0FC5037E"/>
    <w:rsid w:val="0FC667AC"/>
    <w:rsid w:val="0FD0709A"/>
    <w:rsid w:val="0FE7334B"/>
    <w:rsid w:val="0FEA45CF"/>
    <w:rsid w:val="0FF1878F"/>
    <w:rsid w:val="0FFAE09A"/>
    <w:rsid w:val="10066B62"/>
    <w:rsid w:val="100EA670"/>
    <w:rsid w:val="108F3431"/>
    <w:rsid w:val="10985578"/>
    <w:rsid w:val="10B08DE8"/>
    <w:rsid w:val="10E3102A"/>
    <w:rsid w:val="1176DBC4"/>
    <w:rsid w:val="118CA2C2"/>
    <w:rsid w:val="11A19AB7"/>
    <w:rsid w:val="11A89906"/>
    <w:rsid w:val="11AA8216"/>
    <w:rsid w:val="11BE3634"/>
    <w:rsid w:val="11EC9ABB"/>
    <w:rsid w:val="122D0125"/>
    <w:rsid w:val="123E66C7"/>
    <w:rsid w:val="12773E9E"/>
    <w:rsid w:val="12C3911E"/>
    <w:rsid w:val="12F4DBF2"/>
    <w:rsid w:val="12F5D0C7"/>
    <w:rsid w:val="13060AB3"/>
    <w:rsid w:val="13198A77"/>
    <w:rsid w:val="13392872"/>
    <w:rsid w:val="1391F705"/>
    <w:rsid w:val="1392E4C3"/>
    <w:rsid w:val="13D66506"/>
    <w:rsid w:val="148D271B"/>
    <w:rsid w:val="14C59217"/>
    <w:rsid w:val="152FEDD6"/>
    <w:rsid w:val="154F1037"/>
    <w:rsid w:val="159168C3"/>
    <w:rsid w:val="15CC63DE"/>
    <w:rsid w:val="15D5310D"/>
    <w:rsid w:val="15FDBF8D"/>
    <w:rsid w:val="16018D28"/>
    <w:rsid w:val="16252C96"/>
    <w:rsid w:val="16652E69"/>
    <w:rsid w:val="168E4461"/>
    <w:rsid w:val="16A19710"/>
    <w:rsid w:val="16BF9C89"/>
    <w:rsid w:val="16F023D9"/>
    <w:rsid w:val="172DC7F1"/>
    <w:rsid w:val="176945DE"/>
    <w:rsid w:val="17AABD88"/>
    <w:rsid w:val="181DB881"/>
    <w:rsid w:val="18B26E44"/>
    <w:rsid w:val="18DFDB0D"/>
    <w:rsid w:val="1948DDFB"/>
    <w:rsid w:val="1973D901"/>
    <w:rsid w:val="19BF18F0"/>
    <w:rsid w:val="19F209FE"/>
    <w:rsid w:val="1A565F62"/>
    <w:rsid w:val="1A7F936F"/>
    <w:rsid w:val="1A8E990C"/>
    <w:rsid w:val="1A999A24"/>
    <w:rsid w:val="1ACC5B62"/>
    <w:rsid w:val="1AE8E5D6"/>
    <w:rsid w:val="1B0CC9A8"/>
    <w:rsid w:val="1B57339A"/>
    <w:rsid w:val="1B689A33"/>
    <w:rsid w:val="1B9282B7"/>
    <w:rsid w:val="1BD61990"/>
    <w:rsid w:val="1BEFD9C5"/>
    <w:rsid w:val="1C3729C7"/>
    <w:rsid w:val="1C507CE2"/>
    <w:rsid w:val="1C65ED51"/>
    <w:rsid w:val="1C7E2A90"/>
    <w:rsid w:val="1CED7045"/>
    <w:rsid w:val="1D04D2D1"/>
    <w:rsid w:val="1D3EB5FF"/>
    <w:rsid w:val="1D7B2A2E"/>
    <w:rsid w:val="1DD64908"/>
    <w:rsid w:val="1E4BF09C"/>
    <w:rsid w:val="1E5367E9"/>
    <w:rsid w:val="1EC4B01C"/>
    <w:rsid w:val="1EF25FAB"/>
    <w:rsid w:val="1EF2716E"/>
    <w:rsid w:val="1F09269A"/>
    <w:rsid w:val="1F0D5B80"/>
    <w:rsid w:val="1F5ABF2C"/>
    <w:rsid w:val="1F5B8E04"/>
    <w:rsid w:val="1F70B002"/>
    <w:rsid w:val="1F9A18BD"/>
    <w:rsid w:val="1FDFF846"/>
    <w:rsid w:val="1FE753C9"/>
    <w:rsid w:val="1FFDA64C"/>
    <w:rsid w:val="206C85FC"/>
    <w:rsid w:val="20B1567D"/>
    <w:rsid w:val="20E74C16"/>
    <w:rsid w:val="2119F7DA"/>
    <w:rsid w:val="211D4D38"/>
    <w:rsid w:val="2144647A"/>
    <w:rsid w:val="2167BA84"/>
    <w:rsid w:val="21751BD0"/>
    <w:rsid w:val="21F4699E"/>
    <w:rsid w:val="22E5DFEB"/>
    <w:rsid w:val="230176DE"/>
    <w:rsid w:val="234AECEB"/>
    <w:rsid w:val="2365E2FD"/>
    <w:rsid w:val="23ACBD0A"/>
    <w:rsid w:val="23ADA6C2"/>
    <w:rsid w:val="23DC9707"/>
    <w:rsid w:val="23F4DD0E"/>
    <w:rsid w:val="241CBE05"/>
    <w:rsid w:val="243FDC2B"/>
    <w:rsid w:val="24A41350"/>
    <w:rsid w:val="24C0C8B6"/>
    <w:rsid w:val="24F7F911"/>
    <w:rsid w:val="2500BD84"/>
    <w:rsid w:val="25099EED"/>
    <w:rsid w:val="250AF379"/>
    <w:rsid w:val="251242C6"/>
    <w:rsid w:val="2529F5F8"/>
    <w:rsid w:val="2561C6F2"/>
    <w:rsid w:val="25800AA4"/>
    <w:rsid w:val="25E384D5"/>
    <w:rsid w:val="25F3977A"/>
    <w:rsid w:val="25F86DB2"/>
    <w:rsid w:val="260B731E"/>
    <w:rsid w:val="266C943A"/>
    <w:rsid w:val="2695BFCF"/>
    <w:rsid w:val="26993073"/>
    <w:rsid w:val="26C68284"/>
    <w:rsid w:val="26D5A93C"/>
    <w:rsid w:val="26E5BDE4"/>
    <w:rsid w:val="27568CEB"/>
    <w:rsid w:val="2774ED1D"/>
    <w:rsid w:val="27756D2F"/>
    <w:rsid w:val="2800D7CC"/>
    <w:rsid w:val="28039680"/>
    <w:rsid w:val="2810F0EC"/>
    <w:rsid w:val="28464711"/>
    <w:rsid w:val="289F042A"/>
    <w:rsid w:val="28C146E3"/>
    <w:rsid w:val="28C483B8"/>
    <w:rsid w:val="28D50AEB"/>
    <w:rsid w:val="296A2D51"/>
    <w:rsid w:val="2A10537D"/>
    <w:rsid w:val="2A41A7ED"/>
    <w:rsid w:val="2A44476F"/>
    <w:rsid w:val="2A47DCDF"/>
    <w:rsid w:val="2A73F854"/>
    <w:rsid w:val="2AA0BDBD"/>
    <w:rsid w:val="2AC9FE21"/>
    <w:rsid w:val="2AEFA5F0"/>
    <w:rsid w:val="2B0EB29C"/>
    <w:rsid w:val="2B3DE6A1"/>
    <w:rsid w:val="2B843AB6"/>
    <w:rsid w:val="2BD562BA"/>
    <w:rsid w:val="2BF15EF2"/>
    <w:rsid w:val="2BF7C1F3"/>
    <w:rsid w:val="2C0C3F44"/>
    <w:rsid w:val="2C0F0823"/>
    <w:rsid w:val="2C26A741"/>
    <w:rsid w:val="2C585D17"/>
    <w:rsid w:val="2C76570E"/>
    <w:rsid w:val="2CA0E740"/>
    <w:rsid w:val="2CC5E984"/>
    <w:rsid w:val="2CF3EE6D"/>
    <w:rsid w:val="2D39ECD9"/>
    <w:rsid w:val="2D5B6EA7"/>
    <w:rsid w:val="2D9F5AA9"/>
    <w:rsid w:val="2E346AA5"/>
    <w:rsid w:val="2ED2ED20"/>
    <w:rsid w:val="2F5E99F2"/>
    <w:rsid w:val="2FAFB64E"/>
    <w:rsid w:val="2FBACFF7"/>
    <w:rsid w:val="2FED3E93"/>
    <w:rsid w:val="305A9363"/>
    <w:rsid w:val="305DF235"/>
    <w:rsid w:val="306FE027"/>
    <w:rsid w:val="30A130EB"/>
    <w:rsid w:val="30A78E15"/>
    <w:rsid w:val="30B7CA50"/>
    <w:rsid w:val="30F7E9F3"/>
    <w:rsid w:val="311C29A4"/>
    <w:rsid w:val="3136C1A1"/>
    <w:rsid w:val="31EA7E7F"/>
    <w:rsid w:val="32506635"/>
    <w:rsid w:val="326208AF"/>
    <w:rsid w:val="328018D9"/>
    <w:rsid w:val="32CC3830"/>
    <w:rsid w:val="32D4B066"/>
    <w:rsid w:val="330BF047"/>
    <w:rsid w:val="3320FA82"/>
    <w:rsid w:val="334EAEDF"/>
    <w:rsid w:val="335F0F5D"/>
    <w:rsid w:val="33A60FB9"/>
    <w:rsid w:val="33C38A3F"/>
    <w:rsid w:val="33F53C42"/>
    <w:rsid w:val="342C6E1D"/>
    <w:rsid w:val="34B71D31"/>
    <w:rsid w:val="34D8F845"/>
    <w:rsid w:val="34DE691F"/>
    <w:rsid w:val="34EE3388"/>
    <w:rsid w:val="355F4CCE"/>
    <w:rsid w:val="356183EF"/>
    <w:rsid w:val="35650ED7"/>
    <w:rsid w:val="35975AD7"/>
    <w:rsid w:val="35B40A52"/>
    <w:rsid w:val="35E38449"/>
    <w:rsid w:val="36040FFE"/>
    <w:rsid w:val="3608FF7A"/>
    <w:rsid w:val="3619CBB2"/>
    <w:rsid w:val="362580F0"/>
    <w:rsid w:val="3630E8DF"/>
    <w:rsid w:val="36AB7609"/>
    <w:rsid w:val="36C196EB"/>
    <w:rsid w:val="371B641D"/>
    <w:rsid w:val="372D9BCF"/>
    <w:rsid w:val="37952340"/>
    <w:rsid w:val="37A8851D"/>
    <w:rsid w:val="37DE3D3B"/>
    <w:rsid w:val="380450DB"/>
    <w:rsid w:val="381E5F0D"/>
    <w:rsid w:val="38768913"/>
    <w:rsid w:val="38DE8893"/>
    <w:rsid w:val="391DD6DC"/>
    <w:rsid w:val="394F10FB"/>
    <w:rsid w:val="39508DA8"/>
    <w:rsid w:val="39772C48"/>
    <w:rsid w:val="39DDAD73"/>
    <w:rsid w:val="39F6BF4A"/>
    <w:rsid w:val="3A0A1CA0"/>
    <w:rsid w:val="3A34D716"/>
    <w:rsid w:val="3A547B73"/>
    <w:rsid w:val="3A6DF8B2"/>
    <w:rsid w:val="3A711D07"/>
    <w:rsid w:val="3A9E651B"/>
    <w:rsid w:val="3AB041B4"/>
    <w:rsid w:val="3AF40479"/>
    <w:rsid w:val="3AFDF0E7"/>
    <w:rsid w:val="3B36584E"/>
    <w:rsid w:val="3B6EB596"/>
    <w:rsid w:val="3B7F4D1C"/>
    <w:rsid w:val="3B80667A"/>
    <w:rsid w:val="3B9F1357"/>
    <w:rsid w:val="3BDCF604"/>
    <w:rsid w:val="3C28F4B3"/>
    <w:rsid w:val="3C4CF65A"/>
    <w:rsid w:val="3C70AF83"/>
    <w:rsid w:val="3C74F152"/>
    <w:rsid w:val="3C93CB82"/>
    <w:rsid w:val="3CB1EE2E"/>
    <w:rsid w:val="3CBE61C3"/>
    <w:rsid w:val="3CE85D57"/>
    <w:rsid w:val="3CFCF216"/>
    <w:rsid w:val="3D28C115"/>
    <w:rsid w:val="3D375642"/>
    <w:rsid w:val="3D6BECDE"/>
    <w:rsid w:val="3E7CB8EE"/>
    <w:rsid w:val="3E8ED29E"/>
    <w:rsid w:val="3EBBEA98"/>
    <w:rsid w:val="3EC2153C"/>
    <w:rsid w:val="3EC791D0"/>
    <w:rsid w:val="3F201E1F"/>
    <w:rsid w:val="3F4EAD4C"/>
    <w:rsid w:val="3F99DD72"/>
    <w:rsid w:val="3FB4CB13"/>
    <w:rsid w:val="3FCF0DB8"/>
    <w:rsid w:val="4010A3A9"/>
    <w:rsid w:val="401CD899"/>
    <w:rsid w:val="40258AFB"/>
    <w:rsid w:val="40839BF6"/>
    <w:rsid w:val="40A853EE"/>
    <w:rsid w:val="40AD478A"/>
    <w:rsid w:val="40C671F3"/>
    <w:rsid w:val="41B27F0D"/>
    <w:rsid w:val="41BA434B"/>
    <w:rsid w:val="41BCBB55"/>
    <w:rsid w:val="42194B0E"/>
    <w:rsid w:val="422A3B12"/>
    <w:rsid w:val="4285EB0B"/>
    <w:rsid w:val="42A2BFB0"/>
    <w:rsid w:val="42AE86E2"/>
    <w:rsid w:val="42C59105"/>
    <w:rsid w:val="4316234A"/>
    <w:rsid w:val="431C69B2"/>
    <w:rsid w:val="433415A9"/>
    <w:rsid w:val="43467814"/>
    <w:rsid w:val="43562E33"/>
    <w:rsid w:val="43C9AD60"/>
    <w:rsid w:val="4454EF93"/>
    <w:rsid w:val="44A5A239"/>
    <w:rsid w:val="44CC51AC"/>
    <w:rsid w:val="452D7AD2"/>
    <w:rsid w:val="4550F515"/>
    <w:rsid w:val="455CE218"/>
    <w:rsid w:val="457D6CBE"/>
    <w:rsid w:val="458BB1E3"/>
    <w:rsid w:val="45E3BC80"/>
    <w:rsid w:val="464C15AF"/>
    <w:rsid w:val="46581D2C"/>
    <w:rsid w:val="467D4BF3"/>
    <w:rsid w:val="469BA5A8"/>
    <w:rsid w:val="469C60C0"/>
    <w:rsid w:val="46E1B316"/>
    <w:rsid w:val="47090192"/>
    <w:rsid w:val="470EF912"/>
    <w:rsid w:val="47240E4B"/>
    <w:rsid w:val="4736CFE7"/>
    <w:rsid w:val="473963BF"/>
    <w:rsid w:val="4763936C"/>
    <w:rsid w:val="4763CCED"/>
    <w:rsid w:val="47668DCC"/>
    <w:rsid w:val="4798F8D3"/>
    <w:rsid w:val="47CC0FAF"/>
    <w:rsid w:val="47FA7DA3"/>
    <w:rsid w:val="4885CE3B"/>
    <w:rsid w:val="489A0E04"/>
    <w:rsid w:val="48D22266"/>
    <w:rsid w:val="48D29B06"/>
    <w:rsid w:val="48DB78DF"/>
    <w:rsid w:val="490747E6"/>
    <w:rsid w:val="491FD990"/>
    <w:rsid w:val="4922A945"/>
    <w:rsid w:val="4923AE2B"/>
    <w:rsid w:val="4924B41C"/>
    <w:rsid w:val="495770AA"/>
    <w:rsid w:val="49761E65"/>
    <w:rsid w:val="49D07C9C"/>
    <w:rsid w:val="49DC508B"/>
    <w:rsid w:val="4A7EA981"/>
    <w:rsid w:val="4AB1AA33"/>
    <w:rsid w:val="4AFE88A6"/>
    <w:rsid w:val="4B0674C5"/>
    <w:rsid w:val="4B3C1E13"/>
    <w:rsid w:val="4B90423E"/>
    <w:rsid w:val="4BAD0F97"/>
    <w:rsid w:val="4BEA95CF"/>
    <w:rsid w:val="4C10D2E2"/>
    <w:rsid w:val="4C66304C"/>
    <w:rsid w:val="4C8D6F54"/>
    <w:rsid w:val="4CF78483"/>
    <w:rsid w:val="4D7D9CEE"/>
    <w:rsid w:val="4DC46CBD"/>
    <w:rsid w:val="4DF60DAF"/>
    <w:rsid w:val="4E0C54CA"/>
    <w:rsid w:val="4E2BFB78"/>
    <w:rsid w:val="4E8A0AB5"/>
    <w:rsid w:val="4E8B7BF0"/>
    <w:rsid w:val="4ECABAD6"/>
    <w:rsid w:val="4EDDC96A"/>
    <w:rsid w:val="4F3507E9"/>
    <w:rsid w:val="4F455550"/>
    <w:rsid w:val="4F5170A8"/>
    <w:rsid w:val="4F76BC4C"/>
    <w:rsid w:val="4F820CAC"/>
    <w:rsid w:val="4FBD0354"/>
    <w:rsid w:val="4FD8C99A"/>
    <w:rsid w:val="4FF4C643"/>
    <w:rsid w:val="4FFAD445"/>
    <w:rsid w:val="5001030C"/>
    <w:rsid w:val="50117F07"/>
    <w:rsid w:val="506A8028"/>
    <w:rsid w:val="50EEBE61"/>
    <w:rsid w:val="510854CF"/>
    <w:rsid w:val="51122451"/>
    <w:rsid w:val="5118C26F"/>
    <w:rsid w:val="5121AB6A"/>
    <w:rsid w:val="512291B8"/>
    <w:rsid w:val="5137D776"/>
    <w:rsid w:val="513A3610"/>
    <w:rsid w:val="5211C5D3"/>
    <w:rsid w:val="521823DF"/>
    <w:rsid w:val="5236C81E"/>
    <w:rsid w:val="5289D4A0"/>
    <w:rsid w:val="52FE258F"/>
    <w:rsid w:val="530EE148"/>
    <w:rsid w:val="5353BE6B"/>
    <w:rsid w:val="535F0B1E"/>
    <w:rsid w:val="536C1275"/>
    <w:rsid w:val="538566DC"/>
    <w:rsid w:val="539230A4"/>
    <w:rsid w:val="53A44F99"/>
    <w:rsid w:val="53A4C78E"/>
    <w:rsid w:val="53CF4992"/>
    <w:rsid w:val="53D7865F"/>
    <w:rsid w:val="53E38060"/>
    <w:rsid w:val="53EC6939"/>
    <w:rsid w:val="540CAAAF"/>
    <w:rsid w:val="541FC6F2"/>
    <w:rsid w:val="542150BE"/>
    <w:rsid w:val="545B6769"/>
    <w:rsid w:val="548B351C"/>
    <w:rsid w:val="549D9ABB"/>
    <w:rsid w:val="54A71BB9"/>
    <w:rsid w:val="54CD8C71"/>
    <w:rsid w:val="54E0E283"/>
    <w:rsid w:val="54FF18EC"/>
    <w:rsid w:val="55030E3B"/>
    <w:rsid w:val="5533BBA4"/>
    <w:rsid w:val="55580662"/>
    <w:rsid w:val="55581C6E"/>
    <w:rsid w:val="5559532B"/>
    <w:rsid w:val="558C0B3E"/>
    <w:rsid w:val="55BE6EB2"/>
    <w:rsid w:val="55EBDAF2"/>
    <w:rsid w:val="5626B5F2"/>
    <w:rsid w:val="56382F03"/>
    <w:rsid w:val="56878241"/>
    <w:rsid w:val="56B611A6"/>
    <w:rsid w:val="56FACD1A"/>
    <w:rsid w:val="5755BB12"/>
    <w:rsid w:val="576CA1D6"/>
    <w:rsid w:val="577287E8"/>
    <w:rsid w:val="5797D9F5"/>
    <w:rsid w:val="5813248E"/>
    <w:rsid w:val="581E2A83"/>
    <w:rsid w:val="581ED3C2"/>
    <w:rsid w:val="583A44EE"/>
    <w:rsid w:val="584525BC"/>
    <w:rsid w:val="585FB25D"/>
    <w:rsid w:val="587A3A48"/>
    <w:rsid w:val="58B9FE24"/>
    <w:rsid w:val="58C25449"/>
    <w:rsid w:val="592D4DFD"/>
    <w:rsid w:val="59354348"/>
    <w:rsid w:val="597E80E0"/>
    <w:rsid w:val="59F6C14B"/>
    <w:rsid w:val="5A11434D"/>
    <w:rsid w:val="5A1E1C65"/>
    <w:rsid w:val="5AA88916"/>
    <w:rsid w:val="5AB337F7"/>
    <w:rsid w:val="5ABC2D9F"/>
    <w:rsid w:val="5ABEAFAF"/>
    <w:rsid w:val="5AEE09E6"/>
    <w:rsid w:val="5AF3DA22"/>
    <w:rsid w:val="5B1E674E"/>
    <w:rsid w:val="5B6561FB"/>
    <w:rsid w:val="5B661BB1"/>
    <w:rsid w:val="5B694A86"/>
    <w:rsid w:val="5B74504B"/>
    <w:rsid w:val="5B794325"/>
    <w:rsid w:val="5B894C64"/>
    <w:rsid w:val="5BA973B5"/>
    <w:rsid w:val="5BD07A24"/>
    <w:rsid w:val="5C0AC404"/>
    <w:rsid w:val="5C1DA9DD"/>
    <w:rsid w:val="5C2224E8"/>
    <w:rsid w:val="5C2B2C3A"/>
    <w:rsid w:val="5C3F2475"/>
    <w:rsid w:val="5C58C39B"/>
    <w:rsid w:val="5C71E422"/>
    <w:rsid w:val="5C733345"/>
    <w:rsid w:val="5C89954F"/>
    <w:rsid w:val="5CC7EBF7"/>
    <w:rsid w:val="5CEAB163"/>
    <w:rsid w:val="5CFFC01A"/>
    <w:rsid w:val="5D2DBFCA"/>
    <w:rsid w:val="5D7C52BA"/>
    <w:rsid w:val="5D9724B1"/>
    <w:rsid w:val="5DD5C883"/>
    <w:rsid w:val="5E213F9F"/>
    <w:rsid w:val="5E417237"/>
    <w:rsid w:val="5E75643D"/>
    <w:rsid w:val="5E75D187"/>
    <w:rsid w:val="5EC181A8"/>
    <w:rsid w:val="5F0B68E7"/>
    <w:rsid w:val="5F23D94F"/>
    <w:rsid w:val="5F28EA80"/>
    <w:rsid w:val="5F42DCCA"/>
    <w:rsid w:val="5F722AEC"/>
    <w:rsid w:val="5FCA440E"/>
    <w:rsid w:val="5FF9CE4A"/>
    <w:rsid w:val="6005BBE6"/>
    <w:rsid w:val="600AE4A7"/>
    <w:rsid w:val="6012DF02"/>
    <w:rsid w:val="6041C61C"/>
    <w:rsid w:val="6081950E"/>
    <w:rsid w:val="60F61D6C"/>
    <w:rsid w:val="61A44558"/>
    <w:rsid w:val="61A69828"/>
    <w:rsid w:val="61BF1E4B"/>
    <w:rsid w:val="61D0F517"/>
    <w:rsid w:val="621B280C"/>
    <w:rsid w:val="62753DA5"/>
    <w:rsid w:val="62CDA959"/>
    <w:rsid w:val="62D9FD13"/>
    <w:rsid w:val="62E7DF48"/>
    <w:rsid w:val="637E3AFC"/>
    <w:rsid w:val="638F8988"/>
    <w:rsid w:val="63B25B60"/>
    <w:rsid w:val="63BB15F3"/>
    <w:rsid w:val="63C52E6E"/>
    <w:rsid w:val="63CB22BD"/>
    <w:rsid w:val="6408B02F"/>
    <w:rsid w:val="642E26E5"/>
    <w:rsid w:val="643533C8"/>
    <w:rsid w:val="645AE856"/>
    <w:rsid w:val="64B40F42"/>
    <w:rsid w:val="64D40348"/>
    <w:rsid w:val="64FC7059"/>
    <w:rsid w:val="650C40F5"/>
    <w:rsid w:val="6526A04F"/>
    <w:rsid w:val="65BA4330"/>
    <w:rsid w:val="661FDD8B"/>
    <w:rsid w:val="66B1137A"/>
    <w:rsid w:val="6738343F"/>
    <w:rsid w:val="6747B467"/>
    <w:rsid w:val="6761A90A"/>
    <w:rsid w:val="67938B2B"/>
    <w:rsid w:val="67D940AA"/>
    <w:rsid w:val="682DBE87"/>
    <w:rsid w:val="688D310A"/>
    <w:rsid w:val="68A9FD5C"/>
    <w:rsid w:val="68DF316E"/>
    <w:rsid w:val="68EBC79B"/>
    <w:rsid w:val="68FDE52F"/>
    <w:rsid w:val="69034D00"/>
    <w:rsid w:val="69351BDF"/>
    <w:rsid w:val="693D423C"/>
    <w:rsid w:val="6947D2B6"/>
    <w:rsid w:val="69970255"/>
    <w:rsid w:val="69AD0926"/>
    <w:rsid w:val="69B6F2C8"/>
    <w:rsid w:val="69BEE312"/>
    <w:rsid w:val="69E6A4AE"/>
    <w:rsid w:val="69F12508"/>
    <w:rsid w:val="6A2F1772"/>
    <w:rsid w:val="6A65370D"/>
    <w:rsid w:val="6A7D3E6D"/>
    <w:rsid w:val="6A8A5E4C"/>
    <w:rsid w:val="6AAAE941"/>
    <w:rsid w:val="6ABD4581"/>
    <w:rsid w:val="6AD344B7"/>
    <w:rsid w:val="6AD70C57"/>
    <w:rsid w:val="6AFF5A0C"/>
    <w:rsid w:val="6B54995F"/>
    <w:rsid w:val="6B979366"/>
    <w:rsid w:val="6BA77005"/>
    <w:rsid w:val="6C195591"/>
    <w:rsid w:val="6C2CA2D5"/>
    <w:rsid w:val="6C2CF96C"/>
    <w:rsid w:val="6C2F6DB8"/>
    <w:rsid w:val="6C42D5C9"/>
    <w:rsid w:val="6C9384EB"/>
    <w:rsid w:val="6CDD639B"/>
    <w:rsid w:val="6CF8F381"/>
    <w:rsid w:val="6D221B11"/>
    <w:rsid w:val="6D34A336"/>
    <w:rsid w:val="6D6CA7A7"/>
    <w:rsid w:val="6D747918"/>
    <w:rsid w:val="6D9FB4C5"/>
    <w:rsid w:val="6DBC830C"/>
    <w:rsid w:val="6DD75793"/>
    <w:rsid w:val="6E2C4BD1"/>
    <w:rsid w:val="6EDBD353"/>
    <w:rsid w:val="6F047688"/>
    <w:rsid w:val="6F064BF8"/>
    <w:rsid w:val="6F3FCAA0"/>
    <w:rsid w:val="6F5A1E88"/>
    <w:rsid w:val="6F928CCC"/>
    <w:rsid w:val="6FA67F89"/>
    <w:rsid w:val="6FA9C454"/>
    <w:rsid w:val="6FAEACE7"/>
    <w:rsid w:val="6FBACF14"/>
    <w:rsid w:val="6FCFE840"/>
    <w:rsid w:val="6FDC6DEB"/>
    <w:rsid w:val="6FDCBA40"/>
    <w:rsid w:val="6FEC49ED"/>
    <w:rsid w:val="6FEDF8DE"/>
    <w:rsid w:val="6FFCA936"/>
    <w:rsid w:val="70E4A86F"/>
    <w:rsid w:val="70F27C05"/>
    <w:rsid w:val="7109F710"/>
    <w:rsid w:val="71111EC0"/>
    <w:rsid w:val="7158DEF7"/>
    <w:rsid w:val="715A466F"/>
    <w:rsid w:val="718DA7C2"/>
    <w:rsid w:val="72141DB4"/>
    <w:rsid w:val="723D2EBA"/>
    <w:rsid w:val="726F590C"/>
    <w:rsid w:val="729D9F2B"/>
    <w:rsid w:val="72A6D189"/>
    <w:rsid w:val="72AC2B7B"/>
    <w:rsid w:val="72AD48A7"/>
    <w:rsid w:val="72E30AC7"/>
    <w:rsid w:val="72E4FBFB"/>
    <w:rsid w:val="72EE1120"/>
    <w:rsid w:val="73441630"/>
    <w:rsid w:val="7392976B"/>
    <w:rsid w:val="73DDBA8E"/>
    <w:rsid w:val="73FF81D0"/>
    <w:rsid w:val="74529CC9"/>
    <w:rsid w:val="7452F309"/>
    <w:rsid w:val="745326DC"/>
    <w:rsid w:val="74E9B9DD"/>
    <w:rsid w:val="75039888"/>
    <w:rsid w:val="75692FC1"/>
    <w:rsid w:val="7578F296"/>
    <w:rsid w:val="75AE298A"/>
    <w:rsid w:val="75E84B3B"/>
    <w:rsid w:val="75EA8DD7"/>
    <w:rsid w:val="75FF2E21"/>
    <w:rsid w:val="7643966C"/>
    <w:rsid w:val="767C02E7"/>
    <w:rsid w:val="76A2464E"/>
    <w:rsid w:val="76AA35F8"/>
    <w:rsid w:val="76CCA81B"/>
    <w:rsid w:val="7732D110"/>
    <w:rsid w:val="7733BDC5"/>
    <w:rsid w:val="7778F1F6"/>
    <w:rsid w:val="77807B11"/>
    <w:rsid w:val="7792130F"/>
    <w:rsid w:val="77ADE084"/>
    <w:rsid w:val="77B4CF44"/>
    <w:rsid w:val="77CE22D4"/>
    <w:rsid w:val="7854D190"/>
    <w:rsid w:val="78595FFE"/>
    <w:rsid w:val="78BE0B9F"/>
    <w:rsid w:val="78C6CE21"/>
    <w:rsid w:val="78DF9F55"/>
    <w:rsid w:val="79103A6B"/>
    <w:rsid w:val="7939965A"/>
    <w:rsid w:val="7941C03E"/>
    <w:rsid w:val="796C1730"/>
    <w:rsid w:val="79BA4AA3"/>
    <w:rsid w:val="79C70A28"/>
    <w:rsid w:val="7A468A39"/>
    <w:rsid w:val="7A51E965"/>
    <w:rsid w:val="7A73E891"/>
    <w:rsid w:val="7A9C53A0"/>
    <w:rsid w:val="7AB8EDEC"/>
    <w:rsid w:val="7ABFA08C"/>
    <w:rsid w:val="7AF171D4"/>
    <w:rsid w:val="7B17DB9F"/>
    <w:rsid w:val="7B226B9D"/>
    <w:rsid w:val="7B58B619"/>
    <w:rsid w:val="7B9A5615"/>
    <w:rsid w:val="7BCB40A7"/>
    <w:rsid w:val="7BCEE7EB"/>
    <w:rsid w:val="7C2B1330"/>
    <w:rsid w:val="7C348A9B"/>
    <w:rsid w:val="7C66A889"/>
    <w:rsid w:val="7C7995D7"/>
    <w:rsid w:val="7CB68687"/>
    <w:rsid w:val="7CF377AA"/>
    <w:rsid w:val="7D81AB61"/>
    <w:rsid w:val="7D8E8420"/>
    <w:rsid w:val="7D9E35F3"/>
    <w:rsid w:val="7DAB338B"/>
    <w:rsid w:val="7DB3C60B"/>
    <w:rsid w:val="7E1F2764"/>
    <w:rsid w:val="7EA1281E"/>
    <w:rsid w:val="7F1482E4"/>
    <w:rsid w:val="7F43AED3"/>
    <w:rsid w:val="7F46E1E4"/>
    <w:rsid w:val="7F6EFF54"/>
    <w:rsid w:val="7F93400E"/>
    <w:rsid w:val="7FB1AC19"/>
    <w:rsid w:val="7FC469EA"/>
    <w:rsid w:val="7FC84FA6"/>
    <w:rsid w:val="7FFBC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8454F8"/>
  <w15:docId w15:val="{49DAC5CE-7A42-4F95-A77C-9425D6AD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6E3AA9"/>
    <w:pPr>
      <w:ind w:left="720"/>
      <w:contextualSpacing/>
    </w:pPr>
  </w:style>
  <w:style w:type="paragraph" w:styleId="BalloonText">
    <w:name w:val="Balloon Text"/>
    <w:basedOn w:val="Normal"/>
    <w:link w:val="BalloonTextChar"/>
    <w:rsid w:val="00287361"/>
    <w:rPr>
      <w:rFonts w:ascii="Segoe UI" w:hAnsi="Segoe UI" w:cs="Segoe UI"/>
      <w:sz w:val="18"/>
      <w:szCs w:val="18"/>
    </w:rPr>
  </w:style>
  <w:style w:type="character" w:customStyle="1" w:styleId="BalloonTextChar">
    <w:name w:val="Balloon Text Char"/>
    <w:basedOn w:val="DefaultParagraphFont"/>
    <w:link w:val="BalloonText"/>
    <w:rsid w:val="00287361"/>
    <w:rPr>
      <w:rFonts w:ascii="Segoe UI" w:hAnsi="Segoe UI" w:cs="Segoe UI"/>
      <w:sz w:val="18"/>
      <w:szCs w:val="18"/>
    </w:rPr>
  </w:style>
  <w:style w:type="paragraph" w:styleId="Revision">
    <w:name w:val="Revision"/>
    <w:hidden/>
    <w:uiPriority w:val="99"/>
    <w:semiHidden/>
    <w:rsid w:val="00A86061"/>
    <w:rPr>
      <w:sz w:val="24"/>
      <w:szCs w:val="24"/>
    </w:rPr>
  </w:style>
  <w:style w:type="character" w:customStyle="1" w:styleId="normaltextrun">
    <w:name w:val="normaltextrun"/>
    <w:basedOn w:val="DefaultParagraphFont"/>
    <w:rsid w:val="006B7895"/>
  </w:style>
  <w:style w:type="character" w:customStyle="1" w:styleId="eop">
    <w:name w:val="eop"/>
    <w:basedOn w:val="DefaultParagraphFont"/>
    <w:rsid w:val="006B7895"/>
  </w:style>
  <w:style w:type="paragraph" w:customStyle="1" w:styleId="paragraph">
    <w:name w:val="paragraph"/>
    <w:basedOn w:val="Normal"/>
    <w:rsid w:val="006119DB"/>
    <w:pPr>
      <w:spacing w:before="100" w:beforeAutospacing="1" w:after="100" w:afterAutospacing="1"/>
    </w:pPr>
  </w:style>
  <w:style w:type="character" w:styleId="CommentReference">
    <w:name w:val="annotation reference"/>
    <w:basedOn w:val="DefaultParagraphFont"/>
    <w:semiHidden/>
    <w:unhideWhenUsed/>
    <w:rsid w:val="00C11A7E"/>
    <w:rPr>
      <w:sz w:val="16"/>
      <w:szCs w:val="16"/>
    </w:rPr>
  </w:style>
  <w:style w:type="paragraph" w:styleId="CommentText">
    <w:name w:val="annotation text"/>
    <w:basedOn w:val="Normal"/>
    <w:link w:val="CommentTextChar"/>
    <w:unhideWhenUsed/>
    <w:rsid w:val="00C11A7E"/>
    <w:rPr>
      <w:sz w:val="20"/>
      <w:szCs w:val="20"/>
    </w:rPr>
  </w:style>
  <w:style w:type="character" w:customStyle="1" w:styleId="CommentTextChar">
    <w:name w:val="Comment Text Char"/>
    <w:basedOn w:val="DefaultParagraphFont"/>
    <w:link w:val="CommentText"/>
    <w:rsid w:val="00C11A7E"/>
  </w:style>
  <w:style w:type="paragraph" w:styleId="CommentSubject">
    <w:name w:val="annotation subject"/>
    <w:basedOn w:val="CommentText"/>
    <w:next w:val="CommentText"/>
    <w:link w:val="CommentSubjectChar"/>
    <w:semiHidden/>
    <w:unhideWhenUsed/>
    <w:rsid w:val="00C11A7E"/>
    <w:rPr>
      <w:b/>
      <w:bCs/>
    </w:rPr>
  </w:style>
  <w:style w:type="character" w:customStyle="1" w:styleId="CommentSubjectChar">
    <w:name w:val="Comment Subject Char"/>
    <w:basedOn w:val="CommentTextChar"/>
    <w:link w:val="CommentSubject"/>
    <w:semiHidden/>
    <w:rsid w:val="00C11A7E"/>
    <w:rPr>
      <w:b/>
      <w:bCs/>
    </w:rPr>
  </w:style>
  <w:style w:type="paragraph" w:styleId="Header">
    <w:name w:val="header"/>
    <w:basedOn w:val="Normal"/>
    <w:link w:val="HeaderChar"/>
    <w:unhideWhenUsed/>
    <w:rsid w:val="0016727D"/>
    <w:pPr>
      <w:tabs>
        <w:tab w:val="center" w:pos="4680"/>
        <w:tab w:val="right" w:pos="9360"/>
      </w:tabs>
    </w:pPr>
  </w:style>
  <w:style w:type="character" w:customStyle="1" w:styleId="HeaderChar">
    <w:name w:val="Header Char"/>
    <w:basedOn w:val="DefaultParagraphFont"/>
    <w:link w:val="Header"/>
    <w:rsid w:val="0016727D"/>
    <w:rPr>
      <w:sz w:val="24"/>
      <w:szCs w:val="24"/>
    </w:rPr>
  </w:style>
  <w:style w:type="character" w:styleId="Mention">
    <w:name w:val="Mention"/>
    <w:basedOn w:val="DefaultParagraphFont"/>
    <w:uiPriority w:val="99"/>
    <w:unhideWhenUsed/>
    <w:rsid w:val="004E4277"/>
    <w:rPr>
      <w:color w:val="2B579A"/>
      <w:shd w:val="clear" w:color="auto" w:fill="E1DFDD"/>
    </w:rPr>
  </w:style>
  <w:style w:type="table" w:styleId="TableGrid">
    <w:name w:val="Table Grid"/>
    <w:basedOn w:val="TableNormal"/>
    <w:uiPriority w:val="59"/>
    <w:rsid w:val="00565F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565FA0"/>
    <w:rPr>
      <w:sz w:val="20"/>
      <w:szCs w:val="20"/>
    </w:rPr>
  </w:style>
  <w:style w:type="character" w:customStyle="1" w:styleId="FootnoteTextChar">
    <w:name w:val="Footnote Text Char"/>
    <w:basedOn w:val="DefaultParagraphFont"/>
    <w:link w:val="FootnoteText"/>
    <w:semiHidden/>
    <w:rsid w:val="00565FA0"/>
  </w:style>
  <w:style w:type="character" w:styleId="FootnoteReference">
    <w:name w:val="footnote reference"/>
    <w:basedOn w:val="DefaultParagraphFont"/>
    <w:semiHidden/>
    <w:unhideWhenUsed/>
    <w:rsid w:val="00565FA0"/>
    <w:rPr>
      <w:vertAlign w:val="superscript"/>
    </w:rPr>
  </w:style>
  <w:style w:type="character" w:styleId="Hyperlink">
    <w:name w:val="Hyperlink"/>
    <w:basedOn w:val="DefaultParagraphFont"/>
    <w:unhideWhenUsed/>
    <w:rsid w:val="00F10021"/>
    <w:rPr>
      <w:color w:val="0563C1" w:themeColor="hyperlink"/>
      <w:u w:val="single"/>
    </w:rPr>
  </w:style>
  <w:style w:type="character" w:styleId="UnresolvedMention">
    <w:name w:val="Unresolved Mention"/>
    <w:basedOn w:val="DefaultParagraphFont"/>
    <w:uiPriority w:val="99"/>
    <w:semiHidden/>
    <w:unhideWhenUsed/>
    <w:rsid w:val="00F1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E85A1-95C9-45E9-B899-65B8F9625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A9BE6-5969-4155-9722-12CA896EF974}">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A95F883D-7C51-4B5C-BA8F-F593A13B9B18}">
  <ds:schemaRefs>
    <ds:schemaRef ds:uri="http://schemas.openxmlformats.org/officeDocument/2006/bibliography"/>
  </ds:schemaRefs>
</ds:datastoreItem>
</file>

<file path=customXml/itemProps4.xml><?xml version="1.0" encoding="utf-8"?>
<ds:datastoreItem xmlns:ds="http://schemas.openxmlformats.org/officeDocument/2006/customXml" ds:itemID="{1D91F461-8D25-4DE5-B2E9-2C149E02FC96}">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3603</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Holmes-Brooks, Colette N. (ATF) (CTR)</cp:lastModifiedBy>
  <cp:revision>2</cp:revision>
  <cp:lastPrinted>2013-02-15T23:39:00Z</cp:lastPrinted>
  <dcterms:created xsi:type="dcterms:W3CDTF">2025-10-28T17:12:00Z</dcterms:created>
  <dcterms:modified xsi:type="dcterms:W3CDTF">2025-10-28T17:12:00Z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