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63B366FE" w:rsidRPr="00CB038B" w:rsidP="11AB4B38" w14:paraId="46692DEB" w14:textId="18E8CE09">
      <w:pPr>
        <w:spacing w:after="0"/>
        <w:jc w:val="center"/>
        <w:rPr>
          <w:sz w:val="32"/>
          <w:szCs w:val="32"/>
        </w:rPr>
      </w:pPr>
      <w:bookmarkStart w:id="0" w:name="_Toc49148152"/>
      <w:r w:rsidRPr="11AB4B38">
        <w:rPr>
          <w:sz w:val="32"/>
          <w:szCs w:val="32"/>
        </w:rPr>
        <w:t>U.S. Environmental Protection Agency</w:t>
      </w:r>
    </w:p>
    <w:p w:rsidR="00DE4E0C" w:rsidRPr="00CB038B" w:rsidP="11AB4B38" w14:paraId="1A3CA841" w14:textId="4B14E2EE">
      <w:pPr>
        <w:jc w:val="center"/>
        <w:rPr>
          <w:sz w:val="32"/>
          <w:szCs w:val="32"/>
        </w:rPr>
      </w:pPr>
      <w:r w:rsidRPr="11AB4B38">
        <w:rPr>
          <w:sz w:val="32"/>
          <w:szCs w:val="32"/>
        </w:rPr>
        <w:t>Information Collection Request</w:t>
      </w:r>
    </w:p>
    <w:p w:rsidR="00EA0D20" w:rsidP="00BB432F" w14:paraId="77D1C27C" w14:textId="77777777">
      <w:pPr>
        <w:rPr>
          <w:rFonts w:cstheme="minorHAnsi"/>
          <w:b/>
          <w:bCs/>
        </w:rPr>
      </w:pPr>
    </w:p>
    <w:p w:rsidR="00000F5D" w:rsidP="00000F5D" w14:paraId="3E175ABB" w14:textId="011A649F">
      <w:pPr>
        <w:rPr>
          <w:rFonts w:cstheme="minorHAnsi"/>
          <w:b/>
          <w:bCs/>
        </w:rPr>
      </w:pPr>
      <w:r w:rsidRPr="004E1D45">
        <w:rPr>
          <w:rStyle w:val="EPAHeadingChar"/>
        </w:rPr>
        <w:t>Title:</w:t>
      </w:r>
      <w:r w:rsidR="001F34A5">
        <w:rPr>
          <w:rFonts w:cstheme="minorHAnsi"/>
        </w:rPr>
        <w:t xml:space="preserve"> </w:t>
      </w:r>
      <w:r w:rsidRPr="00000F5D">
        <w:rPr>
          <w:rFonts w:cstheme="minorHAnsi"/>
        </w:rPr>
        <w:t xml:space="preserve">Distribution of Off-Site Consequence Analysis Information under Section 112(r)(7)(H) of the Clean Air Act (CAA), </w:t>
      </w:r>
      <w:r w:rsidR="00405B61">
        <w:rPr>
          <w:rFonts w:cstheme="minorHAnsi"/>
        </w:rPr>
        <w:t>A</w:t>
      </w:r>
      <w:r w:rsidRPr="00000F5D">
        <w:rPr>
          <w:rFonts w:cstheme="minorHAnsi"/>
        </w:rPr>
        <w:t xml:space="preserve">s </w:t>
      </w:r>
      <w:r w:rsidR="00405B61">
        <w:rPr>
          <w:rFonts w:cstheme="minorHAnsi"/>
        </w:rPr>
        <w:t>A</w:t>
      </w:r>
      <w:r w:rsidRPr="00000F5D">
        <w:rPr>
          <w:rFonts w:cstheme="minorHAnsi"/>
        </w:rPr>
        <w:t>mended</w:t>
      </w:r>
      <w:r w:rsidRPr="00000F5D">
        <w:rPr>
          <w:rFonts w:cstheme="minorHAnsi"/>
          <w:b/>
          <w:bCs/>
        </w:rPr>
        <w:t xml:space="preserve"> </w:t>
      </w:r>
    </w:p>
    <w:p w:rsidR="00EE2403" w:rsidRPr="00BB3410" w:rsidP="00000F5D" w14:paraId="71D5121E" w14:textId="10823E2E">
      <w:pPr>
        <w:rPr>
          <w:rFonts w:cstheme="minorHAnsi"/>
        </w:rPr>
      </w:pPr>
      <w:r w:rsidRPr="004E1D45">
        <w:rPr>
          <w:rStyle w:val="EPAHeadingChar"/>
        </w:rPr>
        <w:t>OMB Control Number:</w:t>
      </w:r>
      <w:r w:rsidRPr="00BB3410" w:rsidR="00BB432F">
        <w:rPr>
          <w:rFonts w:cstheme="minorHAnsi"/>
        </w:rPr>
        <w:t xml:space="preserve"> </w:t>
      </w:r>
      <w:r w:rsidRPr="00EB3F8B" w:rsidR="00EB3F8B">
        <w:rPr>
          <w:rFonts w:cstheme="minorHAnsi"/>
        </w:rPr>
        <w:t>2050-0172</w:t>
      </w:r>
    </w:p>
    <w:p w:rsidR="00EE2403" w:rsidRPr="00BB3410" w:rsidP="00ED57A4" w14:paraId="4FB77BCA" w14:textId="3321E542">
      <w:pPr>
        <w:spacing w:before="240" w:line="240" w:lineRule="auto"/>
        <w:rPr>
          <w:rFonts w:cstheme="minorHAnsi"/>
        </w:rPr>
      </w:pPr>
      <w:r w:rsidRPr="004E1D45">
        <w:rPr>
          <w:rStyle w:val="EPAHeadingChar"/>
        </w:rPr>
        <w:t>EPA ICR Number:</w:t>
      </w:r>
      <w:r w:rsidRPr="00BB3410" w:rsidR="00BB432F">
        <w:rPr>
          <w:rFonts w:cstheme="minorHAnsi"/>
        </w:rPr>
        <w:t xml:space="preserve"> </w:t>
      </w:r>
      <w:r w:rsidRPr="007F486C" w:rsidR="007F486C">
        <w:rPr>
          <w:rFonts w:cstheme="minorHAnsi"/>
        </w:rPr>
        <w:t>1981.09</w:t>
      </w:r>
    </w:p>
    <w:p w:rsidR="00096646" w:rsidRPr="00096646" w:rsidP="00096646" w14:paraId="35C8AB14" w14:textId="77777777">
      <w:pPr>
        <w:spacing w:before="240"/>
      </w:pPr>
      <w:r w:rsidRPr="004E1D45">
        <w:rPr>
          <w:rStyle w:val="EPAHeadingChar"/>
        </w:rPr>
        <w:t>Abstract:</w:t>
      </w:r>
      <w:r w:rsidRPr="4BDBF0A0" w:rsidR="00BB432F">
        <w:t xml:space="preserve"> </w:t>
      </w:r>
      <w:r w:rsidRPr="00096646">
        <w:t>This ICR renewal is for the Accidental Release Prevention Requirements; Risk Management Programs Under the Clean Air Act Section 112(r)(7); Distribution of Off-Site Consequence Analysis Information final rule. CAA section 112(r)(7) requires EPA to promulgate reasonable regulations and appropriate guidance to provide for the prevention and detection of accidental releases and for responses to such releases. The regulations include requirements for submitting a risk management plan (RMP) to EPA. The RMP includes information on off-site consequence analysis (OCA) as well as other elements of the Risk Management Program. This ICR renews the collection activity previously approved under ICR OMB Control No. 2050-0172, which will expire on November 30, 2025.</w:t>
      </w:r>
    </w:p>
    <w:p w:rsidR="00096646" w:rsidRPr="00096646" w:rsidP="00096646" w14:paraId="6E57F554" w14:textId="77777777">
      <w:pPr>
        <w:spacing w:before="240"/>
      </w:pPr>
      <w:r w:rsidRPr="00096646">
        <w:t xml:space="preserve">On August 5, 1999, the President signed the Chemical Safety Information, Site Security, and Fuels Regulatory Relief Act (CSISSFRRA), which required the President to promulgate regulations on the distribution of OCA information (CAA section 112(r)(7)(H)(ii)) to the public. The President delegated to EPA and the Department of Justice (DOJ) the responsibility to promulgate regulations to govern public dissemination of OCA information.  </w:t>
      </w:r>
    </w:p>
    <w:p w:rsidR="00096646" w:rsidRPr="00096646" w:rsidP="00096646" w14:paraId="3F6B9A44" w14:textId="77777777">
      <w:pPr>
        <w:spacing w:before="240"/>
        <w:rPr>
          <w:b/>
          <w:bCs/>
        </w:rPr>
      </w:pPr>
      <w:r w:rsidRPr="00096646">
        <w:t>The final rule was published on August 8, 2000 (65 FR 48108) and imposed minimal information collection and record keeping requirements. The Federal government established 55 reading rooms at Federal facilities geographically distributed across the United States and its territories. At a reading room the public can read, but not mechanically copy or remove, paper copies of OCA information for up to 10 stationary sources per calendar month. The public also has access to OCA information that the Local Emergency Planning Committee (LEPC) in the requestor’s local area (where the individual lives or works), is authorized to provide. State agencies are permitted to provide the same public access to paper copies of OCA information that a person would receive at their local agency.</w:t>
      </w:r>
    </w:p>
    <w:p w:rsidR="00BB432F" w:rsidRPr="00096646" w:rsidP="4BDBF0A0" w14:paraId="6A3E928D" w14:textId="3A970191">
      <w:pPr>
        <w:spacing w:before="240"/>
      </w:pPr>
      <w:r w:rsidRPr="00096646">
        <w:t>EPA also established a Vulnerable Zone Indicator System (VZIS) which indicates whether an address in any state is within the vulnerable zone of one or more stationary sources, according to the data reported in RMPs. The VZIS is available on the internet, which is the method used by all requestors of the data.</w:t>
      </w:r>
    </w:p>
    <w:p w:rsidR="00DE4E0C" w:rsidRPr="00BB3410" w:rsidP="4BDBF0A0" w14:paraId="12DA0580" w14:textId="3A9EBC77">
      <w:pPr>
        <w:rPr>
          <w:b/>
          <w:bCs/>
          <w:u w:val="single"/>
        </w:rPr>
      </w:pPr>
      <w:r w:rsidRPr="4BDBF0A0">
        <w:rPr>
          <w:b/>
          <w:bCs/>
          <w:u w:val="single"/>
        </w:rPr>
        <w:t>Supporting Statement A</w:t>
      </w:r>
      <w:bookmarkEnd w:id="0"/>
    </w:p>
    <w:p w:rsidR="00D47CB3" w:rsidRPr="00E3122D" w:rsidP="004E1D45" w14:paraId="73FF37C3" w14:textId="77C3FA07">
      <w:pPr>
        <w:pStyle w:val="EPAHeading2"/>
      </w:pPr>
      <w:bookmarkStart w:id="1" w:name="_Toc156593368"/>
      <w:r w:rsidRPr="00E3122D">
        <w:t>NEED AND AUTHORITY FOR THE COLLECTION</w:t>
      </w:r>
      <w:bookmarkEnd w:id="1"/>
    </w:p>
    <w:p w:rsidR="00A27E5C" w:rsidRPr="00D47CB3" w:rsidP="00854AAE" w14:paraId="0D31D853" w14:textId="354D5D40">
      <w:pPr>
        <w:pBdr>
          <w:bottom w:val="single" w:sz="4" w:space="1" w:color="auto"/>
        </w:pBdr>
        <w:spacing w:before="60"/>
        <w:rPr>
          <w:rFonts w:cstheme="minorHAnsi"/>
          <w:i/>
          <w:iCs/>
        </w:rPr>
      </w:pPr>
      <w:r w:rsidRPr="00D47CB3">
        <w:rPr>
          <w:rFonts w:ascii="Calibri" w:hAnsi="Calibri" w:cs="Calibri"/>
          <w:i/>
          <w:iCs/>
          <w:color w:val="000000"/>
          <w:shd w:val="clear" w:color="auto" w:fill="FFFFFF"/>
        </w:rPr>
        <w:t>Explain the circumstances that make the collection of information necessary. Identify any legal or administrative requirements that necessitate the collection.</w:t>
      </w:r>
    </w:p>
    <w:p w:rsidR="008E5A45" w:rsidP="004A247B" w14:paraId="18E93A14"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spacing w:after="240"/>
      </w:pPr>
      <w:bookmarkStart w:id="2" w:name="_Toc156593369"/>
      <w:r w:rsidRPr="00383746">
        <w:t xml:space="preserve">This information collection is authorized under the Chemical Safety Information, Site Security, and Fuels Regulatory Relief Act (CSISSFRRA). Individuals wishing to view OCA information at Federal reading rooms provide a signature and certification stating that they have not received access to OCA information for more than 10 stationary sources during that calendar month. The Federal reading room staff checks photo identification of the requestor and views documentation demonstrating where the requestor lives (for those who are requesting OCA information on local stationary sources at Federal reading rooms). Individuals who contact the central office will be asked </w:t>
      </w:r>
      <w:r>
        <w:t>for</w:t>
      </w:r>
      <w:r w:rsidRPr="00383746">
        <w:t xml:space="preserve"> their name, telephone number, residential address, and names of the stationary sources for which they wish to view the OCA information. This ICR also covers the collection of written requests from </w:t>
      </w:r>
      <w:r>
        <w:t>S</w:t>
      </w:r>
      <w:r w:rsidRPr="00383746">
        <w:t>tate and local officials for OCA information.</w:t>
      </w:r>
      <w:r>
        <w:t xml:space="preserve"> In addition,</w:t>
      </w:r>
      <w:r w:rsidRPr="00383746">
        <w:t xml:space="preserve"> </w:t>
      </w:r>
      <w:r>
        <w:t xml:space="preserve">the ICR </w:t>
      </w:r>
      <w:r w:rsidRPr="00383746">
        <w:t xml:space="preserve">governs the maintenance and disclosure of the OCA information by </w:t>
      </w:r>
      <w:r>
        <w:t>S</w:t>
      </w:r>
      <w:r w:rsidRPr="00383746">
        <w:t>tate and local entities for public use, as authorized and encouraged by CSISSFRRA and codified in 40 CFR Part 1400.</w:t>
      </w:r>
    </w:p>
    <w:p w:rsidR="00D47CB3" w:rsidRPr="00E3122D" w:rsidP="004E1D45" w14:paraId="24F38A28" w14:textId="345BCCC4">
      <w:pPr>
        <w:pStyle w:val="EPAHeading2"/>
      </w:pPr>
      <w:r w:rsidRPr="00E3122D">
        <w:t>PRACTICAL UTILITY/USERS OF THE DATA</w:t>
      </w:r>
      <w:bookmarkEnd w:id="2"/>
    </w:p>
    <w:p w:rsidR="004252C1" w:rsidRPr="00D47CB3" w:rsidP="00854AAE" w14:paraId="3E2FC7F8" w14:textId="1DCB8D2C">
      <w:pPr>
        <w:pBdr>
          <w:bottom w:val="single" w:sz="4" w:space="1" w:color="auto"/>
        </w:pBdr>
        <w:spacing w:before="60"/>
        <w:rPr>
          <w:rFonts w:ascii="Calibri" w:hAnsi="Calibri" w:cs="Calibri"/>
          <w:i/>
          <w:iCs/>
          <w:color w:val="000000"/>
          <w:shd w:val="clear" w:color="auto" w:fill="FFFFFF"/>
        </w:rPr>
      </w:pPr>
      <w:r w:rsidRPr="00D47CB3">
        <w:rPr>
          <w:rFonts w:ascii="Calibri" w:hAnsi="Calibri" w:cs="Calibri"/>
          <w:i/>
          <w:iCs/>
          <w:color w:val="000000"/>
          <w:shd w:val="clear" w:color="auto" w:fill="FFFFFF"/>
        </w:rPr>
        <w:t>Indicate how, by whom, and for what purpose the information is to be used. Except for a new collection, indicate the actual use the agency has made of the information received from the current collection.</w:t>
      </w:r>
    </w:p>
    <w:p w:rsidR="00134DB1" w:rsidRPr="00383746" w:rsidP="00134DB1" w14:paraId="3FA18F5E"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spacing w:after="240"/>
      </w:pPr>
      <w:bookmarkStart w:id="3" w:name="_Toc156593370"/>
      <w:r w:rsidRPr="00383746">
        <w:t>The information collected from the public under this ICR assures compliance with the requirement to provide public access to paper copies of off-site consequence analysis information (40 CFR 1400.3) for no more than 10 stationary sources in a calendar month.</w:t>
      </w:r>
    </w:p>
    <w:p w:rsidR="00134DB1" w:rsidRPr="00383746" w:rsidP="00134DB1" w14:paraId="3405EFA7"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spacing w:after="240"/>
      </w:pPr>
      <w:r w:rsidRPr="00383746">
        <w:t xml:space="preserve">The requirement that individuals show photo identification and residence documentation to the </w:t>
      </w:r>
      <w:r>
        <w:t xml:space="preserve">Federal </w:t>
      </w:r>
      <w:r w:rsidRPr="00383746">
        <w:t xml:space="preserve">reading room staff prior to obtaining OCA information significantly reduces the risk that </w:t>
      </w:r>
      <w:r>
        <w:t xml:space="preserve">individuals </w:t>
      </w:r>
      <w:r w:rsidRPr="00383746">
        <w:t>will attempt to use fraudulent identification and assure</w:t>
      </w:r>
      <w:r>
        <w:t>s</w:t>
      </w:r>
      <w:r w:rsidRPr="00383746">
        <w:t xml:space="preserve"> that the</w:t>
      </w:r>
      <w:r>
        <w:t xml:space="preserve">y </w:t>
      </w:r>
      <w:r w:rsidRPr="00383746">
        <w:t>will be provide</w:t>
      </w:r>
      <w:r>
        <w:t>d with</w:t>
      </w:r>
      <w:r w:rsidRPr="00383746">
        <w:t xml:space="preserve"> only the OCA information to which they are entitled.</w:t>
      </w:r>
    </w:p>
    <w:p w:rsidR="00134DB1" w:rsidRPr="00383746" w:rsidP="00134DB1" w14:paraId="62C79FB9"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spacing w:after="240"/>
      </w:pPr>
      <w:r w:rsidRPr="00383746">
        <w:t xml:space="preserve">The requirement that requestors provide their name, telephone number, and the names of the stationary sources for which OCA information </w:t>
      </w:r>
      <w:r>
        <w:t>is</w:t>
      </w:r>
      <w:r w:rsidRPr="00383746">
        <w:t xml:space="preserve"> being requested when calling the central office to schedule an appointment at a reading room enables the staff to relay the requested copies of OCA information to that reading room, and, if necessary, contact the requestor. </w:t>
      </w:r>
    </w:p>
    <w:p w:rsidR="00134DB1" w:rsidP="00134DB1" w14:paraId="1F47760B" w14:textId="77777777">
      <w:pPr>
        <w:spacing w:after="240"/>
      </w:pPr>
      <w:r w:rsidRPr="00383746">
        <w:t xml:space="preserve">This </w:t>
      </w:r>
      <w:r>
        <w:t xml:space="preserve">information </w:t>
      </w:r>
      <w:r w:rsidRPr="00383746">
        <w:t>collection also covers the letters of request sent by State and local agencies for OCA information either for their own use</w:t>
      </w:r>
      <w:r>
        <w:t xml:space="preserve">, e.g., </w:t>
      </w:r>
      <w:r w:rsidRPr="00383746">
        <w:t>emergency planning</w:t>
      </w:r>
      <w:r>
        <w:t>,</w:t>
      </w:r>
      <w:r w:rsidRPr="00383746">
        <w:t xml:space="preserve"> and/or provide read-only access to the public. State and local officials who request OCA information for their official use must send a request on their official letterhead to EPA certifying that they are covered persons under P.L. 106-40 and that they will use the information for official purposes only</w:t>
      </w:r>
      <w:r>
        <w:t>.</w:t>
      </w:r>
    </w:p>
    <w:p w:rsidR="00074917" w:rsidRPr="00E3122D" w:rsidP="004E1D45" w14:paraId="1522D565" w14:textId="553E3A2D">
      <w:pPr>
        <w:pStyle w:val="EPAHeading2"/>
      </w:pPr>
      <w:r w:rsidRPr="00E3122D">
        <w:t>USE OF TECHNOLOGY</w:t>
      </w:r>
      <w:bookmarkEnd w:id="3"/>
    </w:p>
    <w:p w:rsidR="00D47CB3" w:rsidRPr="001F0834" w:rsidP="00854AAE" w14:paraId="50A4BA09" w14:textId="2FD9C2D1">
      <w:pPr>
        <w:pBdr>
          <w:bottom w:val="single" w:sz="4" w:space="1" w:color="auto"/>
        </w:pBdr>
        <w:spacing w:before="60"/>
        <w:rPr>
          <w:rFonts w:cstheme="minorHAnsi"/>
          <w:i/>
          <w:iCs/>
        </w:rPr>
      </w:pPr>
      <w:r w:rsidRPr="001F0834">
        <w:rPr>
          <w:rFonts w:ascii="Calibri" w:hAnsi="Calibri" w:cs="Calibri"/>
          <w:i/>
          <w:iCs/>
          <w:color w:val="000000"/>
          <w:shd w:val="clear" w:color="auto" w:fill="FFFFFF"/>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29581D" w:rsidRPr="000E1DC8" w:rsidP="0029581D" w14:paraId="5A88D59E" w14:textId="77777777">
      <w:pPr>
        <w:spacing w:after="240"/>
      </w:pPr>
      <w:bookmarkStart w:id="4" w:name="_Toc156593371"/>
      <w:r>
        <w:t xml:space="preserve">There is no opportunity for electronic submission of information from the public. Members of the public who wish to view an RMP OCA report must go in person to a reading room and sign in with the required information. </w:t>
      </w:r>
    </w:p>
    <w:p w:rsidR="005263EC" w:rsidRPr="00E3122D" w:rsidP="004E1D45" w14:paraId="2CB3B868" w14:textId="58CBB947">
      <w:pPr>
        <w:pStyle w:val="EPAHeading2"/>
      </w:pPr>
      <w:r w:rsidRPr="00E3122D">
        <w:t>EFFORTS TO IDENTIFY DUPLICATION</w:t>
      </w:r>
      <w:bookmarkEnd w:id="4"/>
    </w:p>
    <w:p w:rsidR="00D47CB3" w:rsidRPr="001F0834" w:rsidP="00854AAE" w14:paraId="15DFF081" w14:textId="57054C58">
      <w:pPr>
        <w:pBdr>
          <w:bottom w:val="single" w:sz="4" w:space="1" w:color="auto"/>
        </w:pBdr>
        <w:spacing w:before="60"/>
        <w:rPr>
          <w:rFonts w:cstheme="minorHAnsi"/>
          <w:i/>
          <w:iCs/>
        </w:rPr>
      </w:pPr>
      <w:r w:rsidRPr="001F0834">
        <w:rPr>
          <w:rFonts w:ascii="Calibri" w:hAnsi="Calibri" w:cs="Calibri"/>
          <w:i/>
          <w:iCs/>
          <w:color w:val="000000"/>
          <w:shd w:val="clear" w:color="auto" w:fill="FFFFFF"/>
        </w:rPr>
        <w:t>Describe efforts to identify duplication. Show specifically why any similar information already available cannot be used or modified for use for the purposes described in Item 2 above.</w:t>
      </w:r>
    </w:p>
    <w:p w:rsidR="004415F7" w:rsidP="004415F7" w14:paraId="3012E763"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spacing w:after="240"/>
      </w:pPr>
      <w:bookmarkStart w:id="5" w:name="_Toc156593372"/>
      <w:r w:rsidRPr="00383746">
        <w:t>The information collected under this ICR includes signatures, certifications, personal identification data</w:t>
      </w:r>
      <w:r>
        <w:t>,</w:t>
      </w:r>
      <w:r w:rsidRPr="00383746">
        <w:t xml:space="preserve"> and names of the stationary sources</w:t>
      </w:r>
      <w:r>
        <w:t xml:space="preserve"> included in the OCA data request</w:t>
      </w:r>
      <w:r w:rsidRPr="00383746">
        <w:t>. EPA also</w:t>
      </w:r>
      <w:r>
        <w:t xml:space="preserve"> c</w:t>
      </w:r>
      <w:r w:rsidRPr="00383746">
        <w:t xml:space="preserve">ollects letters from </w:t>
      </w:r>
      <w:r>
        <w:t>S</w:t>
      </w:r>
      <w:r w:rsidRPr="00383746">
        <w:t>tate or local officials requesting OCA information.</w:t>
      </w:r>
      <w:r>
        <w:t xml:space="preserve"> This information collection</w:t>
      </w:r>
      <w:r w:rsidRPr="00383746">
        <w:t xml:space="preserve"> does not duplicate any other Federal collection </w:t>
      </w:r>
      <w:r>
        <w:t>because</w:t>
      </w:r>
      <w:r w:rsidRPr="00383746">
        <w:t xml:space="preserve"> it is specific to this rule and necessary to ensure that the rule can be implemented</w:t>
      </w:r>
      <w:r>
        <w:t>.</w:t>
      </w:r>
    </w:p>
    <w:p w:rsidR="00251151" w:rsidRPr="00E3122D" w:rsidP="004E1D45" w14:paraId="79D36B3F" w14:textId="440DD77F">
      <w:pPr>
        <w:pStyle w:val="EPAHeading2"/>
      </w:pPr>
      <w:r w:rsidRPr="4BDBF0A0">
        <w:t xml:space="preserve">MINIMIZING BURDEN ON SMALL </w:t>
      </w:r>
      <w:r w:rsidRPr="4BDBF0A0" w:rsidR="0F43C128">
        <w:t xml:space="preserve">BUSINESSES AND SMALL </w:t>
      </w:r>
      <w:r w:rsidRPr="4BDBF0A0">
        <w:t>ENTITIES</w:t>
      </w:r>
      <w:bookmarkEnd w:id="5"/>
    </w:p>
    <w:p w:rsidR="00D47CB3" w:rsidRPr="001F0834" w:rsidP="00854AAE" w14:paraId="3D612A53" w14:textId="12EBD254">
      <w:pPr>
        <w:pBdr>
          <w:bottom w:val="single" w:sz="4" w:space="1" w:color="auto"/>
        </w:pBdr>
        <w:spacing w:before="60"/>
        <w:rPr>
          <w:rFonts w:cstheme="minorHAnsi"/>
          <w:i/>
          <w:iCs/>
        </w:rPr>
      </w:pPr>
      <w:r w:rsidRPr="001F0834">
        <w:rPr>
          <w:rFonts w:ascii="Calibri" w:hAnsi="Calibri" w:cs="Calibri"/>
          <w:i/>
          <w:iCs/>
          <w:color w:val="000000"/>
          <w:shd w:val="clear" w:color="auto" w:fill="FFFFFF"/>
        </w:rPr>
        <w:t>If the collection of information impacts small businesses or other small entities, describe any methods used to minimize burden.</w:t>
      </w:r>
    </w:p>
    <w:p w:rsidR="0092219B" w:rsidRPr="00383746" w:rsidP="0092219B" w14:paraId="3AE1BCB0"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spacing w:after="240"/>
      </w:pPr>
      <w:bookmarkStart w:id="6" w:name="_Toc156593373"/>
      <w:r w:rsidRPr="00383746">
        <w:t>The rule does not require small entities, such as local emergency planning committees or related local government agencies, to provide public access to OCA information</w:t>
      </w:r>
      <w:r>
        <w:t>;</w:t>
      </w:r>
      <w:r w:rsidRPr="00383746">
        <w:t xml:space="preserve"> hence</w:t>
      </w:r>
      <w:r>
        <w:t>,</w:t>
      </w:r>
      <w:r w:rsidRPr="00383746">
        <w:t xml:space="preserve"> no special requirements are needed for small entities. </w:t>
      </w:r>
    </w:p>
    <w:p w:rsidR="004252C1" w:rsidRPr="00E3122D" w:rsidP="004E1D45" w14:paraId="1FF5A778" w14:textId="02F91DFF">
      <w:pPr>
        <w:pStyle w:val="EPAHeading2"/>
      </w:pPr>
      <w:r w:rsidRPr="4BDBF0A0">
        <w:t>CONSEQUENCES</w:t>
      </w:r>
      <w:r w:rsidRPr="4BDBF0A0" w:rsidR="00061A77">
        <w:t xml:space="preserve"> OF LESS FREQUENT COLLECTION</w:t>
      </w:r>
      <w:bookmarkEnd w:id="6"/>
    </w:p>
    <w:p w:rsidR="00D47CB3" w:rsidRPr="001F0834" w:rsidP="00854AAE" w14:paraId="00E27992" w14:textId="51FE3814">
      <w:pPr>
        <w:pBdr>
          <w:bottom w:val="single" w:sz="4" w:space="1" w:color="auto"/>
        </w:pBdr>
        <w:tabs>
          <w:tab w:val="left" w:pos="921"/>
        </w:tabs>
        <w:spacing w:before="60"/>
        <w:rPr>
          <w:rFonts w:cstheme="minorHAnsi"/>
          <w:i/>
          <w:iCs/>
        </w:rPr>
      </w:pPr>
      <w:r w:rsidRPr="001F0834">
        <w:rPr>
          <w:rFonts w:ascii="Calibri" w:hAnsi="Calibri" w:cs="Calibri"/>
          <w:i/>
          <w:iCs/>
          <w:color w:val="000000"/>
          <w:shd w:val="clear" w:color="auto" w:fill="FFFFFF"/>
        </w:rPr>
        <w:t>Describe the consequence to Federal program or policy activities if the collection is not conducted or is conducted less frequently, as well as any technical or legal obstacles to reducing burden.</w:t>
      </w:r>
    </w:p>
    <w:p w:rsidR="009A12AA" w:rsidRPr="00383746" w:rsidP="009A12AA" w14:paraId="0FB05319"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spacing w:after="240"/>
      </w:pPr>
      <w:bookmarkStart w:id="7" w:name="_Toc156593374"/>
      <w:r w:rsidRPr="00383746">
        <w:t xml:space="preserve">This section is not applicable. The only data being collected are the signatures and self-certification at the time of </w:t>
      </w:r>
      <w:r>
        <w:t xml:space="preserve">the reading room </w:t>
      </w:r>
      <w:r w:rsidRPr="00383746">
        <w:t xml:space="preserve">visit.   </w:t>
      </w:r>
    </w:p>
    <w:p w:rsidR="00A233E0" w:rsidRPr="00E3122D" w:rsidP="004E1D45" w14:paraId="27596CC0" w14:textId="77777777">
      <w:pPr>
        <w:pStyle w:val="EPAHeading2"/>
      </w:pPr>
      <w:r w:rsidRPr="00E3122D">
        <w:t>GENERAL GUIDELINES</w:t>
      </w:r>
      <w:bookmarkEnd w:id="7"/>
    </w:p>
    <w:p w:rsidR="00A233E0" w:rsidRPr="00A233E0" w:rsidP="00854AAE" w14:paraId="7754F228" w14:textId="2EAFBFAF">
      <w:pPr>
        <w:pBdr>
          <w:bottom w:val="single" w:sz="4" w:space="1" w:color="auto"/>
        </w:pBdr>
        <w:spacing w:before="60"/>
        <w:rPr>
          <w:rFonts w:cstheme="minorHAnsi"/>
        </w:rPr>
      </w:pPr>
      <w:r w:rsidRPr="00A233E0">
        <w:rPr>
          <w:rFonts w:cstheme="minorHAnsi"/>
          <w:i/>
          <w:iCs/>
        </w:rPr>
        <w:t>Explain any special circumstances that require the collection to be conducted in a manner inconsistent with OMB guidelines.</w:t>
      </w:r>
    </w:p>
    <w:p w:rsidR="002E7A6A" w:rsidP="002E7A6A" w14:paraId="601BA7E3" w14:textId="77777777">
      <w:pPr>
        <w:spacing w:after="240"/>
      </w:pPr>
      <w:bookmarkStart w:id="8" w:name="_Toc156593375"/>
      <w:r w:rsidRPr="00AB458E">
        <w:t xml:space="preserve">The regulations implementing </w:t>
      </w:r>
      <w:r>
        <w:t xml:space="preserve">the </w:t>
      </w:r>
      <w:r w:rsidRPr="00B10BA0">
        <w:t>RMP [Section 112(r) of the 1990 CAA Act amendments; </w:t>
      </w:r>
      <w:r w:rsidRPr="00B10BA0">
        <w:rPr>
          <w:color w:val="000000"/>
        </w:rPr>
        <w:t>40 CFR part 68</w:t>
      </w:r>
      <w:r w:rsidRPr="00B10BA0">
        <w:t>] adhere fully to</w:t>
      </w:r>
      <w:r w:rsidRPr="00AB458E">
        <w:t xml:space="preserve"> OMB</w:t>
      </w:r>
      <w:r>
        <w:t>’</w:t>
      </w:r>
      <w:r w:rsidRPr="00AB458E">
        <w:t>s general guidelines concerning the collection of information and the control of paperwork burdens on the public</w:t>
      </w:r>
      <w:r>
        <w:t xml:space="preserve">. There are no </w:t>
      </w:r>
      <w:r w:rsidRPr="009D53B7">
        <w:t>special circumstances that require the collection to be conducted in a manner inconsistent with PRA Guidelines at 5 CFR 1320.5(d)(2).</w:t>
      </w:r>
    </w:p>
    <w:p w:rsidR="006036CD" w:rsidRPr="00E3122D" w:rsidP="004E1D45" w14:paraId="02EE9B8D" w14:textId="77777777">
      <w:pPr>
        <w:pStyle w:val="EPAHeading2"/>
      </w:pPr>
      <w:r w:rsidRPr="00E3122D">
        <w:t>PUBLIC COMMENT AND CONSULTATIONS</w:t>
      </w:r>
      <w:bookmarkStart w:id="9" w:name="_Toc156593376"/>
      <w:bookmarkEnd w:id="8"/>
    </w:p>
    <w:p w:rsidR="00DD2682" w:rsidRPr="00E3122D" w:rsidP="00854AAE" w14:paraId="4922639E" w14:textId="016E742A">
      <w:pPr>
        <w:spacing w:before="120" w:after="0"/>
        <w:rPr>
          <w:rFonts w:cstheme="minorHAnsi"/>
          <w:b/>
          <w:bCs/>
        </w:rPr>
      </w:pPr>
      <w:r w:rsidRPr="00E3122D">
        <w:rPr>
          <w:rFonts w:cstheme="minorHAnsi"/>
          <w:b/>
          <w:bCs/>
        </w:rPr>
        <w:t xml:space="preserve">8a. </w:t>
      </w:r>
      <w:r w:rsidRPr="00E3122D" w:rsidR="00A82647">
        <w:rPr>
          <w:rFonts w:cstheme="minorHAnsi"/>
          <w:b/>
          <w:bCs/>
        </w:rPr>
        <w:t>Public Comment</w:t>
      </w:r>
      <w:bookmarkStart w:id="10" w:name="_Toc156593377"/>
      <w:bookmarkEnd w:id="9"/>
    </w:p>
    <w:p w:rsidR="00A233E0" w:rsidRPr="00A233E0" w:rsidP="00854AAE" w14:paraId="4D2D25D5" w14:textId="77777777">
      <w:pPr>
        <w:spacing w:line="240" w:lineRule="auto"/>
        <w:rPr>
          <w:rFonts w:cstheme="minorHAnsi"/>
          <w:i/>
          <w:iCs/>
        </w:rPr>
      </w:pPr>
      <w:r w:rsidRPr="00A233E0">
        <w:rPr>
          <w:rFonts w:cstheme="minorHAnsi"/>
          <w:i/>
          <w:iCs/>
        </w:rPr>
        <w:t xml:space="preserve">If applicable, provide a copy and identify the date and page number of </w:t>
      </w:r>
      <w:r w:rsidRPr="00A233E0">
        <w:rPr>
          <w:rFonts w:cstheme="minorHAnsi"/>
          <w:i/>
          <w:iCs/>
        </w:rPr>
        <w:t>publication</w:t>
      </w:r>
      <w:r w:rsidRPr="00A233E0">
        <w:rPr>
          <w:rFonts w:cstheme="minorHAnsi"/>
          <w:i/>
          <w:iCs/>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6247DB" w:rsidRPr="005905BE" w:rsidP="006247DB" w14:paraId="12DD8828" w14:textId="4B3E081D">
      <w:pPr>
        <w:spacing w:after="240"/>
      </w:pPr>
      <w:bookmarkStart w:id="11" w:name="_Toc510078246"/>
      <w:r w:rsidRPr="00EA4F52">
        <w:rPr>
          <w:color w:val="000000"/>
        </w:rPr>
        <w:t>In compliance with t</w:t>
      </w:r>
      <w:r>
        <w:rPr>
          <w:color w:val="000000"/>
        </w:rPr>
        <w:t>h</w:t>
      </w:r>
      <w:r w:rsidRPr="00EA4F52">
        <w:rPr>
          <w:color w:val="000000"/>
        </w:rPr>
        <w:t xml:space="preserve">e Paperwork Reduction Act (44 U.S.C. 3501 </w:t>
      </w:r>
      <w:r w:rsidRPr="00EA4F52">
        <w:rPr>
          <w:i/>
          <w:iCs/>
          <w:color w:val="000000"/>
        </w:rPr>
        <w:t>et seq</w:t>
      </w:r>
      <w:r w:rsidRPr="00EA4F52">
        <w:rPr>
          <w:color w:val="000000"/>
        </w:rPr>
        <w:t xml:space="preserve">.), the Agency has notified the public </w:t>
      </w:r>
      <w:r>
        <w:rPr>
          <w:color w:val="000000"/>
        </w:rPr>
        <w:t xml:space="preserve">about this ICR renewal </w:t>
      </w:r>
      <w:r w:rsidRPr="00EA4F52">
        <w:rPr>
          <w:color w:val="000000"/>
        </w:rPr>
        <w:t xml:space="preserve">through the Federal Register notice </w:t>
      </w:r>
      <w:r w:rsidRPr="004A2FB2">
        <w:rPr>
          <w:color w:val="000000"/>
        </w:rPr>
        <w:t xml:space="preserve">on </w:t>
      </w:r>
      <w:r w:rsidRPr="004A2FB2" w:rsidR="00E5559F">
        <w:rPr>
          <w:color w:val="000000"/>
        </w:rPr>
        <w:t>April 17</w:t>
      </w:r>
      <w:r w:rsidRPr="004A2FB2">
        <w:rPr>
          <w:color w:val="000000"/>
        </w:rPr>
        <w:t xml:space="preserve">, 2025 </w:t>
      </w:r>
      <w:r w:rsidRPr="004A2FB2">
        <w:t>(</w:t>
      </w:r>
      <w:r w:rsidRPr="004A2FB2" w:rsidR="00E5559F">
        <w:t>90</w:t>
      </w:r>
      <w:r w:rsidRPr="004A2FB2">
        <w:t xml:space="preserve"> FR </w:t>
      </w:r>
      <w:r w:rsidRPr="004A2FB2" w:rsidR="00E5559F">
        <w:t>16125</w:t>
      </w:r>
      <w:r w:rsidRPr="000D17E1">
        <w:rPr>
          <w:color w:val="000000"/>
        </w:rPr>
        <w:t>).</w:t>
      </w:r>
      <w:r>
        <w:rPr>
          <w:color w:val="000000"/>
        </w:rPr>
        <w:t xml:space="preserve"> </w:t>
      </w:r>
      <w:r w:rsidR="004A2FB2">
        <w:rPr>
          <w:color w:val="000000"/>
        </w:rPr>
        <w:t xml:space="preserve">No comments were received during the 60-day comment period. </w:t>
      </w:r>
    </w:p>
    <w:bookmarkEnd w:id="11"/>
    <w:p w:rsidR="00DB7775" w:rsidRPr="00E3122D" w:rsidP="00854AAE" w14:paraId="71A9B3CC" w14:textId="77087A05">
      <w:pPr>
        <w:spacing w:before="120" w:after="0"/>
        <w:rPr>
          <w:rFonts w:cstheme="minorHAnsi"/>
          <w:b/>
          <w:bCs/>
        </w:rPr>
      </w:pPr>
      <w:r w:rsidRPr="00E3122D">
        <w:rPr>
          <w:rFonts w:cstheme="minorHAnsi"/>
          <w:b/>
          <w:bCs/>
        </w:rPr>
        <w:t xml:space="preserve">8b. </w:t>
      </w:r>
      <w:r w:rsidRPr="00E3122D" w:rsidR="0061689C">
        <w:rPr>
          <w:rFonts w:cstheme="minorHAnsi"/>
          <w:b/>
          <w:bCs/>
        </w:rPr>
        <w:t>C</w:t>
      </w:r>
      <w:bookmarkEnd w:id="10"/>
      <w:r w:rsidRPr="00E3122D" w:rsidR="005D140B">
        <w:rPr>
          <w:rFonts w:cstheme="minorHAnsi"/>
          <w:b/>
          <w:bCs/>
        </w:rPr>
        <w:t>onsultations</w:t>
      </w:r>
    </w:p>
    <w:p w:rsidR="00A233E0" w:rsidRPr="00A233E0" w:rsidP="00854AAE" w14:paraId="04F99483" w14:textId="77777777">
      <w:pPr>
        <w:rPr>
          <w:rFonts w:cstheme="minorHAnsi"/>
          <w:i/>
          <w:iCs/>
        </w:rPr>
      </w:pPr>
      <w:r w:rsidRPr="00A233E0">
        <w:rPr>
          <w:rFonts w:cstheme="minorHAnsi"/>
          <w:i/>
          <w:i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9C6C8F" w:rsidP="009C6C8F" w14:paraId="4CD10A8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240"/>
      </w:pPr>
      <w:bookmarkStart w:id="12" w:name="_Toc156593378"/>
      <w:r>
        <w:t xml:space="preserve">During the previous ICR renewal, </w:t>
      </w:r>
      <w:r w:rsidRPr="00383746">
        <w:t xml:space="preserve">EPA </w:t>
      </w:r>
      <w:r>
        <w:t xml:space="preserve">obtained information and burden estimates from </w:t>
      </w:r>
      <w:r w:rsidRPr="00383746">
        <w:t xml:space="preserve">seven </w:t>
      </w:r>
      <w:r>
        <w:t xml:space="preserve">EPA </w:t>
      </w:r>
      <w:r w:rsidRPr="00383746">
        <w:t xml:space="preserve">Regions </w:t>
      </w:r>
      <w:r>
        <w:t xml:space="preserve">(Regions 1,3, 4, 6, 7, 8 and 9) </w:t>
      </w:r>
      <w:r w:rsidRPr="00383746">
        <w:t xml:space="preserve">and the EPA HQ Docket Center. As a result of the consultation effort, EPA made changes to selected burden estimates. </w:t>
      </w:r>
      <w:r>
        <w:t xml:space="preserve">However, most of the changes were in the direction of reductions in burden from the previous ICR. EPA has no reason to expect that burden estimates will reverse direction and increase during this three-year renewal period. If there is any future change, it most likely will be in the direction of further decreases, both due to the increased use of the </w:t>
      </w:r>
      <w:r w:rsidRPr="00A2635B">
        <w:t>Right to Know</w:t>
      </w:r>
      <w:r>
        <w:t xml:space="preserve"> website (</w:t>
      </w:r>
      <w:hyperlink r:id="rId9" w:history="1">
        <w:r w:rsidRPr="002E1C94">
          <w:rPr>
            <w:rStyle w:val="Hyperlink"/>
          </w:rPr>
          <w:t>https://j4502-fs18.github.io/Righ</w:t>
        </w:r>
        <w:r w:rsidRPr="002E1C94">
          <w:rPr>
            <w:rStyle w:val="Hyperlink"/>
          </w:rPr>
          <w:t>t</w:t>
        </w:r>
        <w:r w:rsidRPr="002E1C94">
          <w:rPr>
            <w:rStyle w:val="Hyperlink"/>
          </w:rPr>
          <w:t>-to-Know/rmp.html</w:t>
        </w:r>
      </w:hyperlink>
      <w:r>
        <w:t xml:space="preserve">), and the continuing trend of decreasing numbers of visits even prior to COVID-19 restrictions, which have since been lifted. </w:t>
      </w:r>
    </w:p>
    <w:p w:rsidR="007C2E2B" w:rsidRPr="00A2635B" w:rsidP="007C2E2B" w14:paraId="15D03685" w14:textId="0F1195B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spacing w:after="240"/>
      </w:pPr>
      <w:r>
        <w:t>For the previous ICR renewal, E</w:t>
      </w:r>
      <w:r w:rsidRPr="00A2635B">
        <w:t xml:space="preserve">PA </w:t>
      </w:r>
      <w:r>
        <w:t>also contacted selected S</w:t>
      </w:r>
      <w:r w:rsidRPr="00A2635B">
        <w:t>tate and local agencies that receive OCA data to determine how many members of the public visited a reading room over the ICR period</w:t>
      </w:r>
      <w:r>
        <w:t xml:space="preserve"> prior to that previous renewal. G</w:t>
      </w:r>
      <w:r w:rsidRPr="00A2635B">
        <w:t xml:space="preserve">iven the total number of </w:t>
      </w:r>
      <w:r>
        <w:t>S</w:t>
      </w:r>
      <w:r w:rsidRPr="00A2635B">
        <w:t xml:space="preserve">tate and local agencies (52 </w:t>
      </w:r>
      <w:r>
        <w:t>S</w:t>
      </w:r>
      <w:r w:rsidRPr="00A2635B">
        <w:t xml:space="preserve">tate offices and 3,000 LEPCs), the number of visits for read-only access to OCA data was very low in the </w:t>
      </w:r>
      <w:r>
        <w:t xml:space="preserve">that </w:t>
      </w:r>
      <w:r w:rsidRPr="00A2635B">
        <w:t xml:space="preserve">ICR period, and with the establishment of the </w:t>
      </w:r>
      <w:r>
        <w:t xml:space="preserve">Right to Know </w:t>
      </w:r>
      <w:r w:rsidRPr="00A2635B">
        <w:t>website,</w:t>
      </w:r>
      <w:r w:rsidRPr="00546EA5">
        <w:rPr>
          <w:rFonts w:ascii="Arial" w:hAnsi="Arial" w:cs="Arial"/>
          <w:sz w:val="20"/>
          <w:szCs w:val="20"/>
        </w:rPr>
        <w:t xml:space="preserve"> </w:t>
      </w:r>
      <w:hyperlink r:id="rId9" w:history="1">
        <w:r w:rsidRPr="002E1C94">
          <w:rPr>
            <w:rStyle w:val="Hyperlink"/>
          </w:rPr>
          <w:t>https://j4502-fs18.github.io/Right-to-Know/rmp.html</w:t>
        </w:r>
      </w:hyperlink>
      <w:r>
        <w:t>,</w:t>
      </w:r>
      <w:r w:rsidRPr="00A2635B">
        <w:t xml:space="preserve"> </w:t>
      </w:r>
      <w:hyperlink r:id="rId10" w:history="1"/>
      <w:r w:rsidRPr="00A2635B">
        <w:t xml:space="preserve">reading room visits </w:t>
      </w:r>
      <w:r>
        <w:t>were</w:t>
      </w:r>
      <w:r w:rsidRPr="00A2635B">
        <w:t xml:space="preserve"> expected to continue to become largely unnecessary. </w:t>
      </w:r>
      <w:r>
        <w:t xml:space="preserve">Of the </w:t>
      </w:r>
      <w:r w:rsidRPr="00A2635B">
        <w:t xml:space="preserve">several </w:t>
      </w:r>
      <w:r>
        <w:t>S</w:t>
      </w:r>
      <w:r w:rsidRPr="00A2635B">
        <w:t>tate</w:t>
      </w:r>
      <w:r>
        <w:t xml:space="preserve"> and local</w:t>
      </w:r>
      <w:r w:rsidRPr="00A2635B">
        <w:t xml:space="preserve"> agencies </w:t>
      </w:r>
      <w:r>
        <w:t xml:space="preserve">EPA contacted, </w:t>
      </w:r>
      <w:r w:rsidRPr="00A2635B">
        <w:t>none had recorded even a single reading room visit. To err on the conservative side, EPA</w:t>
      </w:r>
      <w:r>
        <w:t xml:space="preserve"> </w:t>
      </w:r>
      <w:r w:rsidRPr="00A2635B">
        <w:t>assum</w:t>
      </w:r>
      <w:r>
        <w:t xml:space="preserve">ed </w:t>
      </w:r>
      <w:r w:rsidRPr="00A2635B">
        <w:t xml:space="preserve">five reading room visits annually to all </w:t>
      </w:r>
      <w:r>
        <w:t>S</w:t>
      </w:r>
      <w:r w:rsidRPr="00A2635B">
        <w:t>tate and local agency reading rooms (15 for three years)</w:t>
      </w:r>
      <w:r>
        <w:t xml:space="preserve"> for the previous renewal and is maintaining that estimate for this renewal.</w:t>
      </w:r>
    </w:p>
    <w:p w:rsidR="007C2E2B" w:rsidP="007C2E2B" w14:paraId="50A645CA" w14:textId="163EB346">
      <w:pPr>
        <w:spacing w:after="240"/>
      </w:pPr>
      <w:r w:rsidRPr="00362EC3">
        <w:t>Most OCA reading room visits occur at the reading room operated by EPA Headquarters in Washington, DC. During the previous ICR period of 2022-2024, the number of reading room visits was 36, or 12 per year.</w:t>
      </w:r>
      <w:r>
        <w:t xml:space="preserve"> </w:t>
      </w:r>
      <w:r w:rsidRPr="00D919DB">
        <w:t xml:space="preserve">Based on </w:t>
      </w:r>
      <w:r>
        <w:t xml:space="preserve">information received from the State and local reading rooms in the previous ICR and EPA Headquarters for the past three years, EPA assumes 12 reading room visits to the EPA Headquarters Reading Room each year, or 36 visits for the three-year ICR period, and five visits to State and local reading rooms </w:t>
      </w:r>
      <w:r w:rsidRPr="006C5E68">
        <w:t>annually. The combined</w:t>
      </w:r>
      <w:r>
        <w:t xml:space="preserve"> estimated</w:t>
      </w:r>
      <w:r w:rsidRPr="006C5E68">
        <w:t xml:space="preserve"> total is 17 visits annually over the next three years, or a total of 51 visits for the three-year ICR renewal period.</w:t>
      </w:r>
      <w:r>
        <w:t xml:space="preserve"> </w:t>
      </w:r>
    </w:p>
    <w:p w:rsidR="00A233E0" w:rsidRPr="00E3122D" w:rsidP="004E1D45" w14:paraId="191560B2" w14:textId="77777777">
      <w:pPr>
        <w:pStyle w:val="EPAHeading2"/>
      </w:pPr>
      <w:r w:rsidRPr="00E3122D">
        <w:t>PAYMENTS OR GIFTS TO RESPONDENTS</w:t>
      </w:r>
      <w:bookmarkEnd w:id="12"/>
    </w:p>
    <w:p w:rsidR="00D47CB3" w:rsidRPr="00D47CB3" w:rsidP="00854AAE" w14:paraId="5B1B6C7F" w14:textId="1A951D95">
      <w:pPr>
        <w:pBdr>
          <w:bottom w:val="single" w:sz="4" w:space="1" w:color="auto"/>
        </w:pBdr>
        <w:spacing w:before="60"/>
        <w:rPr>
          <w:rFonts w:cstheme="minorHAnsi"/>
        </w:rPr>
      </w:pPr>
      <w:r w:rsidRPr="00A233E0">
        <w:rPr>
          <w:rFonts w:cstheme="minorHAnsi"/>
          <w:i/>
          <w:iCs/>
        </w:rPr>
        <w:t>Explain any decisions to provide payments or gifts to respondents, other than remuneration of contractors or grantees.</w:t>
      </w:r>
    </w:p>
    <w:p w:rsidR="00511FB8" w:rsidP="00511FB8" w14:paraId="4EF8EECF" w14:textId="77777777">
      <w:pPr>
        <w:spacing w:after="240"/>
      </w:pPr>
      <w:r>
        <w:t xml:space="preserve">No </w:t>
      </w:r>
      <w:r w:rsidRPr="004369B5">
        <w:t>payment</w:t>
      </w:r>
      <w:r>
        <w:t>s</w:t>
      </w:r>
      <w:r w:rsidRPr="004369B5">
        <w:t xml:space="preserve"> or gift</w:t>
      </w:r>
      <w:r>
        <w:t>s were made</w:t>
      </w:r>
      <w:r w:rsidRPr="004369B5">
        <w:t xml:space="preserve"> to respondents</w:t>
      </w:r>
      <w:r>
        <w:t>.</w:t>
      </w:r>
    </w:p>
    <w:p w:rsidR="4C04BBF2" w:rsidP="004E1D45" w14:paraId="333FE36D" w14:textId="45DEA41F">
      <w:pPr>
        <w:pStyle w:val="EPAHeading2"/>
      </w:pPr>
      <w:r w:rsidRPr="4BDBF0A0">
        <w:t>ASSURANCE OF CONFIDENTIALITY</w:t>
      </w:r>
    </w:p>
    <w:p w:rsidR="00A233E0" w:rsidRPr="00A233E0" w:rsidP="00854AAE" w14:paraId="429AF986" w14:textId="40745D8B">
      <w:pPr>
        <w:pBdr>
          <w:bottom w:val="single" w:sz="4" w:space="1" w:color="auto"/>
        </w:pBdr>
        <w:spacing w:before="60"/>
        <w:rPr>
          <w:rFonts w:cstheme="minorHAnsi"/>
        </w:rPr>
      </w:pPr>
      <w:r w:rsidRPr="00A233E0">
        <w:rPr>
          <w:rFonts w:cstheme="minorHAnsi"/>
          <w:i/>
          <w:iCs/>
        </w:rPr>
        <w:t xml:space="preserve">Describe any assurance of confidentiality provided to respondents and the basis for the assurance in statute, regulation, or Agency policy. If the collection requires a </w:t>
      </w:r>
      <w:r w:rsidRPr="00A233E0">
        <w:rPr>
          <w:rFonts w:cstheme="minorHAnsi"/>
          <w:i/>
          <w:iCs/>
        </w:rPr>
        <w:t>systems of records notice (SORN)</w:t>
      </w:r>
      <w:r w:rsidRPr="00A233E0">
        <w:rPr>
          <w:rFonts w:cstheme="minorHAnsi"/>
          <w:i/>
          <w:iCs/>
        </w:rPr>
        <w:t xml:space="preserve"> or privacy impact assessment (PIA), those should be cited and described here.</w:t>
      </w:r>
    </w:p>
    <w:p w:rsidR="009E5853" w:rsidRPr="00383746" w:rsidP="009E5853" w14:paraId="430875E2" w14:textId="60D206B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spacing w:after="240"/>
      </w:pPr>
      <w:bookmarkStart w:id="13" w:name="_Toc156593380"/>
      <w:r>
        <w:t>T</w:t>
      </w:r>
      <w:r w:rsidRPr="00AB458E">
        <w:t>he information collection requested under these regulation</w:t>
      </w:r>
      <w:r w:rsidR="00C4750D">
        <w:t>s</w:t>
      </w:r>
      <w:r w:rsidRPr="00AB458E">
        <w:t xml:space="preserve"> compli</w:t>
      </w:r>
      <w:r>
        <w:t xml:space="preserve">es </w:t>
      </w:r>
      <w:r w:rsidRPr="00AB458E">
        <w:t>with the Privacy Act of 1974 and OMB Circular A-108.</w:t>
      </w:r>
      <w:r>
        <w:t xml:space="preserve"> </w:t>
      </w:r>
      <w:r w:rsidRPr="00383746">
        <w:t>The signatures and self-certifications collected are not confidential information.</w:t>
      </w:r>
    </w:p>
    <w:p w:rsidR="00A233E0" w:rsidRPr="00E3122D" w:rsidP="004E1D45" w14:paraId="36FBAEFB" w14:textId="77777777">
      <w:pPr>
        <w:pStyle w:val="EPAHeading2"/>
      </w:pPr>
      <w:r w:rsidRPr="4BDBF0A0">
        <w:t>JUSTIFICATION FOR SENSITIVE QUESTIONS</w:t>
      </w:r>
      <w:bookmarkEnd w:id="13"/>
    </w:p>
    <w:p w:rsidR="00A233E0" w:rsidRPr="00A233E0" w:rsidP="00854AAE" w14:paraId="6E3B78D8" w14:textId="5C334C1C">
      <w:pPr>
        <w:pBdr>
          <w:bottom w:val="single" w:sz="4" w:space="1" w:color="auto"/>
        </w:pBdr>
        <w:spacing w:before="60"/>
        <w:rPr>
          <w:rFonts w:cstheme="minorHAnsi"/>
        </w:rPr>
      </w:pPr>
      <w:r w:rsidRPr="00A233E0">
        <w:rPr>
          <w:rFonts w:cstheme="minorHAnsi"/>
          <w:i/>
          <w:iCs/>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3D0044" w:rsidRPr="00383746" w:rsidP="003D0044" w14:paraId="75695C98"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spacing w:after="240"/>
      </w:pPr>
      <w:bookmarkStart w:id="14" w:name="_Toc156593381"/>
      <w:r w:rsidRPr="00383746">
        <w:t xml:space="preserve">There </w:t>
      </w:r>
      <w:r>
        <w:t xml:space="preserve">are </w:t>
      </w:r>
      <w:r w:rsidRPr="00383746">
        <w:t>no sensitive questions in this information collection.</w:t>
      </w:r>
    </w:p>
    <w:p w:rsidR="001172FE" w:rsidRPr="00E3122D" w:rsidP="008804E5" w14:paraId="637A8E82" w14:textId="77777777">
      <w:pPr>
        <w:pStyle w:val="EPAHeading2"/>
        <w:pBdr>
          <w:bottom w:val="none" w:sz="0" w:space="0" w:color="auto"/>
        </w:pBdr>
      </w:pPr>
      <w:r w:rsidRPr="4BDBF0A0">
        <w:t>RESPONDENT BURDEN HOURS</w:t>
      </w:r>
      <w:r w:rsidRPr="4BDBF0A0" w:rsidR="00DB799B">
        <w:t xml:space="preserve"> &amp; LABOR COSTS</w:t>
      </w:r>
      <w:bookmarkStart w:id="15" w:name="_Toc156593382"/>
      <w:bookmarkEnd w:id="14"/>
    </w:p>
    <w:p w:rsidR="00A233E0" w:rsidRPr="00F532D6" w:rsidP="00163C69" w14:paraId="71F2FC12" w14:textId="77777777">
      <w:pPr>
        <w:pStyle w:val="ListParagraph"/>
        <w:ind w:left="0"/>
        <w:rPr>
          <w:rFonts w:cstheme="minorHAnsi"/>
          <w:i/>
          <w:iCs/>
        </w:rPr>
      </w:pPr>
      <w:r w:rsidRPr="00F532D6">
        <w:rPr>
          <w:rFonts w:cstheme="minorHAnsi"/>
          <w:i/>
          <w:iCs/>
        </w:rPr>
        <w:t>Provide estimates of the hour burden of the collection of information. The statement should:</w:t>
      </w:r>
    </w:p>
    <w:p w:rsidR="00A233E0" w:rsidRPr="00F532D6" w:rsidP="006E197A" w14:paraId="11BD2D70" w14:textId="77777777">
      <w:pPr>
        <w:pStyle w:val="ListParagraph"/>
        <w:numPr>
          <w:ilvl w:val="0"/>
          <w:numId w:val="14"/>
        </w:numPr>
        <w:ind w:left="446"/>
        <w:rPr>
          <w:rFonts w:cstheme="minorHAnsi"/>
          <w:i/>
          <w:iCs/>
        </w:rPr>
      </w:pPr>
      <w:r w:rsidRPr="00F532D6">
        <w:rPr>
          <w:rFonts w:cstheme="minorHAnsi"/>
          <w:i/>
          <w:iCs/>
        </w:rPr>
        <w:t>Indicate the number of respondents, frequency of response, annual hour burden, and an explanation of how the burden was estimated. Generally, estimates should not include burden hours for customary and usual business practices.</w:t>
      </w:r>
    </w:p>
    <w:p w:rsidR="00A233E0" w:rsidRPr="00F532D6" w:rsidP="001F0834" w14:paraId="2184CE92" w14:textId="77777777">
      <w:pPr>
        <w:pStyle w:val="ListParagraph"/>
        <w:numPr>
          <w:ilvl w:val="0"/>
          <w:numId w:val="14"/>
        </w:numPr>
        <w:ind w:left="450"/>
        <w:rPr>
          <w:rFonts w:cstheme="minorHAnsi"/>
          <w:i/>
          <w:iCs/>
        </w:rPr>
      </w:pPr>
      <w:r w:rsidRPr="00F532D6">
        <w:rPr>
          <w:rFonts w:cstheme="minorHAnsi"/>
          <w:i/>
          <w:iCs/>
        </w:rPr>
        <w:t>If this request for approval covers more than one form, provide separate hour burden estimates for each form and the aggregate the hour burdens.</w:t>
      </w:r>
    </w:p>
    <w:p w:rsidR="00A233E0" w:rsidRPr="00F532D6" w:rsidP="00854AAE" w14:paraId="7EF5894F" w14:textId="5EEBA470">
      <w:pPr>
        <w:pStyle w:val="ListParagraph"/>
        <w:numPr>
          <w:ilvl w:val="0"/>
          <w:numId w:val="14"/>
        </w:numPr>
        <w:pBdr>
          <w:bottom w:val="single" w:sz="4" w:space="1" w:color="auto"/>
        </w:pBdr>
        <w:ind w:left="446"/>
        <w:rPr>
          <w:rFonts w:cstheme="minorHAnsi"/>
          <w:i/>
          <w:iCs/>
        </w:rPr>
      </w:pPr>
      <w:r w:rsidRPr="00F532D6">
        <w:rPr>
          <w:rFonts w:cstheme="minorHAnsi"/>
          <w:i/>
          <w:iCs/>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as O&amp;M costs under non-labor costs covered under question 13</w:t>
      </w:r>
      <w:r w:rsidR="001F0834">
        <w:rPr>
          <w:rFonts w:cstheme="minorHAnsi"/>
          <w:i/>
          <w:iCs/>
        </w:rPr>
        <w:t>.</w:t>
      </w:r>
    </w:p>
    <w:p w:rsidR="001172FE" w:rsidRPr="00E3122D" w:rsidP="00DF6672" w14:paraId="571186E5" w14:textId="2917827F">
      <w:pPr>
        <w:pStyle w:val="Style1"/>
      </w:pPr>
      <w:r w:rsidRPr="00E3122D">
        <w:t xml:space="preserve">12a. </w:t>
      </w:r>
      <w:r w:rsidRPr="00E3122D" w:rsidR="00557E8F">
        <w:t>Respondents/NAICS Codes</w:t>
      </w:r>
      <w:bookmarkStart w:id="16" w:name="_Toc156593383"/>
      <w:bookmarkEnd w:id="15"/>
    </w:p>
    <w:p w:rsidR="00567874" w:rsidP="00567874" w14:paraId="718D50AC" w14:textId="26CF907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spacing w:after="240"/>
        <w:rPr>
          <w:bCs/>
        </w:rPr>
      </w:pPr>
      <w:r w:rsidRPr="00383746">
        <w:t>The respondent universe for this rule</w:t>
      </w:r>
      <w:r>
        <w:t xml:space="preserve"> includes</w:t>
      </w:r>
      <w:r w:rsidRPr="00383746">
        <w:t xml:space="preserve"> </w:t>
      </w:r>
      <w:r>
        <w:t>3</w:t>
      </w:r>
      <w:r w:rsidR="00D72231">
        <w:t>85</w:t>
      </w:r>
      <w:r>
        <w:t xml:space="preserve"> total </w:t>
      </w:r>
      <w:r w:rsidRPr="00383746">
        <w:t xml:space="preserve">State and local </w:t>
      </w:r>
      <w:r>
        <w:t>agencies</w:t>
      </w:r>
      <w:r w:rsidRPr="00383746">
        <w:t xml:space="preserve"> </w:t>
      </w:r>
      <w:r>
        <w:t>(</w:t>
      </w:r>
      <w:r w:rsidRPr="00383746">
        <w:t>NAICS code 92111)</w:t>
      </w:r>
      <w:r>
        <w:t xml:space="preserve"> </w:t>
      </w:r>
      <w:r w:rsidRPr="00383746">
        <w:t>and members of the public</w:t>
      </w:r>
      <w:r>
        <w:t xml:space="preserve">. </w:t>
      </w:r>
      <w:r w:rsidRPr="0035687D">
        <w:rPr>
          <w:bCs/>
        </w:rPr>
        <w:t xml:space="preserve">The total includes </w:t>
      </w:r>
      <w:r w:rsidRPr="0035687D" w:rsidR="00335582">
        <w:rPr>
          <w:bCs/>
        </w:rPr>
        <w:t>38</w:t>
      </w:r>
      <w:r w:rsidRPr="0035687D">
        <w:rPr>
          <w:bCs/>
        </w:rPr>
        <w:t xml:space="preserve"> State</w:t>
      </w:r>
      <w:r w:rsidRPr="0035687D" w:rsidR="00642EAC">
        <w:rPr>
          <w:bCs/>
        </w:rPr>
        <w:t xml:space="preserve"> and local</w:t>
      </w:r>
      <w:r w:rsidRPr="0035687D">
        <w:rPr>
          <w:bCs/>
        </w:rPr>
        <w:t xml:space="preserve"> agencies</w:t>
      </w:r>
      <w:r w:rsidR="0035687D">
        <w:rPr>
          <w:bCs/>
        </w:rPr>
        <w:t xml:space="preserve"> </w:t>
      </w:r>
      <w:r w:rsidRPr="0035687D">
        <w:rPr>
          <w:bCs/>
        </w:rPr>
        <w:t>which send letters of request for OCA data, five States that experience reading room visits, and three LEPCs which hold five public meetings; the public</w:t>
      </w:r>
      <w:r w:rsidRPr="00A64A05">
        <w:rPr>
          <w:bCs/>
        </w:rPr>
        <w:t xml:space="preserve"> component of the </w:t>
      </w:r>
      <w:r w:rsidRPr="00E91D31">
        <w:rPr>
          <w:bCs/>
        </w:rPr>
        <w:t xml:space="preserve">total </w:t>
      </w:r>
      <w:r w:rsidRPr="00D6303D">
        <w:rPr>
          <w:bCs/>
        </w:rPr>
        <w:t>includes 17 individuals who visit Federal and State reading rooms and 322 individuals who</w:t>
      </w:r>
      <w:r w:rsidRPr="00A64A05">
        <w:rPr>
          <w:bCs/>
        </w:rPr>
        <w:t xml:space="preserve"> request </w:t>
      </w:r>
      <w:r w:rsidRPr="00C63E7C">
        <w:t>vulnerable zone indicator system</w:t>
      </w:r>
      <w:r>
        <w:t xml:space="preserve"> (</w:t>
      </w:r>
      <w:r w:rsidRPr="00A64A05">
        <w:rPr>
          <w:bCs/>
        </w:rPr>
        <w:t>VZIS</w:t>
      </w:r>
      <w:r>
        <w:rPr>
          <w:bCs/>
        </w:rPr>
        <w:t>)</w:t>
      </w:r>
      <w:r w:rsidRPr="00A64A05">
        <w:rPr>
          <w:bCs/>
        </w:rPr>
        <w:t xml:space="preserve"> data. The three LEPCs </w:t>
      </w:r>
      <w:r>
        <w:rPr>
          <w:bCs/>
        </w:rPr>
        <w:t>which</w:t>
      </w:r>
      <w:r w:rsidRPr="00A64A05">
        <w:rPr>
          <w:bCs/>
        </w:rPr>
        <w:t xml:space="preserve"> hold public meetings are assumed to be the same three LEPCs </w:t>
      </w:r>
      <w:r>
        <w:rPr>
          <w:bCs/>
        </w:rPr>
        <w:t>which</w:t>
      </w:r>
      <w:r w:rsidRPr="00A64A05">
        <w:rPr>
          <w:bCs/>
        </w:rPr>
        <w:t xml:space="preserve"> send letters of request for OCA data. All other respondents are assumed to be unique.</w:t>
      </w:r>
      <w:r w:rsidRPr="00264655">
        <w:rPr>
          <w:bCs/>
        </w:rPr>
        <w:t xml:space="preserve"> </w:t>
      </w:r>
      <w:r>
        <w:rPr>
          <w:bCs/>
        </w:rPr>
        <w:t>Other than the updated number of individuals estimated to visit Federal and State reading rooms annually (increased from 15 in the previous ICR renewal), the numbers of requests for VZIS data and the three LEPCs are assumed unchanged from the previous ICR.</w:t>
      </w:r>
    </w:p>
    <w:p w:rsidR="00ED57A4" w:rsidRPr="00DF6672" w:rsidP="00DF6672" w14:paraId="24D360E5" w14:textId="6DF33794">
      <w:pPr>
        <w:pStyle w:val="Style1"/>
      </w:pPr>
      <w:r w:rsidRPr="00163C69">
        <w:t xml:space="preserve">12b. </w:t>
      </w:r>
      <w:r w:rsidRPr="00163C69" w:rsidR="00BB7DA0">
        <w:t>Information Requested</w:t>
      </w:r>
      <w:bookmarkStart w:id="17" w:name="_Toc156593384"/>
      <w:bookmarkEnd w:id="16"/>
    </w:p>
    <w:p w:rsidR="000A6FCE" w:rsidRPr="00383746" w:rsidP="000A6FCE" w14:paraId="27E166CE"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spacing w:after="240"/>
      </w:pPr>
      <w:r w:rsidRPr="00383746">
        <w:t>Most reading rooms can be visited by appointment</w:t>
      </w:r>
      <w:r>
        <w:t xml:space="preserve"> only; only </w:t>
      </w:r>
      <w:r w:rsidRPr="00383746">
        <w:t xml:space="preserve">a few are walk-in. Members of the public are required to </w:t>
      </w:r>
      <w:r>
        <w:t>provide</w:t>
      </w:r>
      <w:r w:rsidRPr="00383746">
        <w:t xml:space="preserve"> their name, telephone number, and the names of the stationary sources for which OCA information is being requested when they contact the central office to schedule an appointment to view OCA information. </w:t>
      </w:r>
      <w:r>
        <w:t xml:space="preserve">They are </w:t>
      </w:r>
      <w:r w:rsidRPr="00383746">
        <w:t xml:space="preserve">required to sign-in </w:t>
      </w:r>
      <w:r>
        <w:t xml:space="preserve">at the reading room </w:t>
      </w:r>
      <w:r w:rsidRPr="00383746">
        <w:t xml:space="preserve">and self-certify </w:t>
      </w:r>
      <w:r w:rsidRPr="00383746">
        <w:t>that they have not viewed OCA information for more than 10 stationary sources during that calendar month. Individuals wishing to view OCA information that their LEPC is authorized to provide will also be asked to sign-in and display documentation demonstrating that they live or work in that LEPC</w:t>
      </w:r>
      <w:r>
        <w:t>’s</w:t>
      </w:r>
      <w:r w:rsidRPr="00383746">
        <w:t xml:space="preserve"> jurisdiction.</w:t>
      </w:r>
    </w:p>
    <w:p w:rsidR="000A6FCE" w:rsidRPr="00383746" w:rsidP="000A6FCE" w14:paraId="0D31B824"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spacing w:after="240"/>
      </w:pPr>
      <w:r w:rsidRPr="00383746">
        <w:t>State and local agencies</w:t>
      </w:r>
      <w:r>
        <w:t xml:space="preserve"> requesting OCA information</w:t>
      </w:r>
      <w:r w:rsidRPr="00383746">
        <w:t xml:space="preserve"> are required to send a written request to EPA on their official letterhead certifying that they are covered persons under P. L. 106-40 and that they will use the </w:t>
      </w:r>
      <w:r>
        <w:t>information</w:t>
      </w:r>
      <w:r w:rsidRPr="00383746">
        <w:t xml:space="preserve"> for official purposes only.</w:t>
      </w:r>
    </w:p>
    <w:p w:rsidR="001172FE" w:rsidRPr="00DF6672" w:rsidP="00DF6672" w14:paraId="7B8A0ACD" w14:textId="27119692">
      <w:pPr>
        <w:pStyle w:val="Style1"/>
      </w:pPr>
      <w:r w:rsidRPr="00163C69">
        <w:t xml:space="preserve">12c. </w:t>
      </w:r>
      <w:r w:rsidRPr="00163C69" w:rsidR="00DD718B">
        <w:t>Respondent Activities</w:t>
      </w:r>
      <w:bookmarkStart w:id="18" w:name="_Toc156593385"/>
      <w:bookmarkEnd w:id="17"/>
    </w:p>
    <w:p w:rsidR="00453E26" w:rsidRPr="00383746" w:rsidP="00453E26" w14:paraId="39EDB0B2"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pPr>
      <w:r>
        <w:t xml:space="preserve">For the public: </w:t>
      </w:r>
    </w:p>
    <w:p w:rsidR="00453E26" w:rsidRPr="00453E26" w:rsidP="00453E26" w14:paraId="6EA07FA4" w14:textId="77777777">
      <w:pPr>
        <w:pStyle w:val="ListParagraph"/>
        <w:numPr>
          <w:ilvl w:val="0"/>
          <w:numId w:val="14"/>
        </w:numPr>
        <w:ind w:left="446"/>
        <w:rPr>
          <w:rFonts w:cstheme="minorHAnsi"/>
        </w:rPr>
      </w:pPr>
      <w:r w:rsidRPr="00453E26">
        <w:rPr>
          <w:rFonts w:cstheme="minorHAnsi"/>
        </w:rPr>
        <w:t>Call the central office to make an appointment at a reading room and provide their name, phone number, and the names of the stationary sources for which OCA information is requested.</w:t>
      </w:r>
    </w:p>
    <w:p w:rsidR="00453E26" w:rsidRPr="00453E26" w:rsidP="00453E26" w14:paraId="1E4DB4C2" w14:textId="77777777">
      <w:pPr>
        <w:pStyle w:val="ListParagraph"/>
        <w:numPr>
          <w:ilvl w:val="0"/>
          <w:numId w:val="14"/>
        </w:numPr>
        <w:ind w:left="446"/>
        <w:rPr>
          <w:rFonts w:cstheme="minorHAnsi"/>
        </w:rPr>
      </w:pPr>
      <w:r w:rsidRPr="00453E26">
        <w:rPr>
          <w:rFonts w:cstheme="minorHAnsi"/>
        </w:rPr>
        <w:t>Display a photo identification at reading rooms and proof of place of residence or employment.</w:t>
      </w:r>
    </w:p>
    <w:p w:rsidR="00453E26" w:rsidRPr="00453E26" w:rsidP="00453E26" w14:paraId="261C4BD2" w14:textId="77777777">
      <w:pPr>
        <w:pStyle w:val="ListParagraph"/>
        <w:numPr>
          <w:ilvl w:val="0"/>
          <w:numId w:val="14"/>
        </w:numPr>
        <w:ind w:left="446"/>
        <w:rPr>
          <w:rFonts w:cstheme="minorHAnsi"/>
        </w:rPr>
      </w:pPr>
      <w:r w:rsidRPr="00453E26">
        <w:rPr>
          <w:rFonts w:cstheme="minorHAnsi"/>
        </w:rPr>
        <w:t>Sign-in and certify that they have not viewed OCA information for more than 10 stationary sources during that calendar month.</w:t>
      </w:r>
    </w:p>
    <w:p w:rsidR="00453E26" w:rsidRPr="00453E26" w:rsidP="00453E26" w14:paraId="26958CDC" w14:textId="77777777">
      <w:pPr>
        <w:pStyle w:val="ListParagraph"/>
        <w:numPr>
          <w:ilvl w:val="0"/>
          <w:numId w:val="14"/>
        </w:numPr>
        <w:ind w:left="446"/>
        <w:rPr>
          <w:rFonts w:cstheme="minorHAnsi"/>
        </w:rPr>
      </w:pPr>
      <w:r w:rsidRPr="00453E26">
        <w:rPr>
          <w:rFonts w:cstheme="minorHAnsi"/>
        </w:rPr>
        <w:t>Submit a request for information from the VZIS by internet.</w:t>
      </w:r>
    </w:p>
    <w:p w:rsidR="00453E26" w:rsidRPr="00453E26" w:rsidP="00453E26" w14:paraId="52499808" w14:textId="77777777">
      <w:pPr>
        <w:pStyle w:val="ListParagraph"/>
        <w:numPr>
          <w:ilvl w:val="0"/>
          <w:numId w:val="14"/>
        </w:numPr>
        <w:ind w:left="446"/>
        <w:rPr>
          <w:rFonts w:cstheme="minorHAnsi"/>
        </w:rPr>
      </w:pPr>
      <w:r w:rsidRPr="00453E26">
        <w:rPr>
          <w:rFonts w:cstheme="minorHAnsi"/>
        </w:rPr>
        <w:t>Make follow-up calls or contacts to obtain additional information on stationary sources that may affect them.</w:t>
      </w:r>
    </w:p>
    <w:p w:rsidR="00453E26" w:rsidRPr="00383746" w:rsidP="00453E26" w14:paraId="6C5A4904"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spacing w:after="240"/>
      </w:pPr>
      <w:r>
        <w:t>F</w:t>
      </w:r>
      <w:r w:rsidRPr="00383746">
        <w:t>or State and local agencies:</w:t>
      </w:r>
    </w:p>
    <w:p w:rsidR="00453E26" w:rsidRPr="00453E26" w:rsidP="00453E26" w14:paraId="5EAFFDAF" w14:textId="77777777">
      <w:pPr>
        <w:pStyle w:val="ListParagraph"/>
        <w:numPr>
          <w:ilvl w:val="0"/>
          <w:numId w:val="14"/>
        </w:numPr>
        <w:ind w:left="446"/>
        <w:rPr>
          <w:rFonts w:cstheme="minorHAnsi"/>
        </w:rPr>
      </w:pPr>
      <w:r w:rsidRPr="00453E26">
        <w:rPr>
          <w:rFonts w:cstheme="minorHAnsi"/>
        </w:rPr>
        <w:t>Read and understand the Security Notice to Federal, State, and local officials and researchers.</w:t>
      </w:r>
    </w:p>
    <w:p w:rsidR="00453E26" w:rsidRPr="00453E26" w:rsidP="00453E26" w14:paraId="20A41DAF" w14:textId="693F6787">
      <w:pPr>
        <w:pStyle w:val="ListParagraph"/>
        <w:numPr>
          <w:ilvl w:val="0"/>
          <w:numId w:val="14"/>
        </w:numPr>
        <w:ind w:left="446"/>
        <w:rPr>
          <w:rFonts w:cstheme="minorHAnsi"/>
        </w:rPr>
      </w:pPr>
      <w:r w:rsidRPr="00453E26">
        <w:rPr>
          <w:rFonts w:cstheme="minorHAnsi"/>
        </w:rPr>
        <w:t xml:space="preserve">Submit a written request to EPA for </w:t>
      </w:r>
      <w:r w:rsidR="00282EFF">
        <w:rPr>
          <w:rFonts w:cstheme="minorHAnsi"/>
        </w:rPr>
        <w:t xml:space="preserve">access to </w:t>
      </w:r>
      <w:r w:rsidRPr="00453E26">
        <w:rPr>
          <w:rFonts w:cstheme="minorHAnsi"/>
        </w:rPr>
        <w:t>OCA information.</w:t>
      </w:r>
    </w:p>
    <w:p w:rsidR="00453E26" w:rsidRPr="00453E26" w:rsidP="00453E26" w14:paraId="531386C2" w14:textId="77777777">
      <w:pPr>
        <w:pStyle w:val="ListParagraph"/>
        <w:numPr>
          <w:ilvl w:val="0"/>
          <w:numId w:val="14"/>
        </w:numPr>
        <w:ind w:left="446"/>
        <w:rPr>
          <w:rFonts w:cstheme="minorHAnsi"/>
        </w:rPr>
      </w:pPr>
      <w:r w:rsidRPr="00453E26">
        <w:rPr>
          <w:rFonts w:cstheme="minorHAnsi"/>
        </w:rPr>
        <w:t>Provide a location for the public to review OCA information for local stationary sources.</w:t>
      </w:r>
    </w:p>
    <w:p w:rsidR="00453E26" w:rsidRPr="00453E26" w:rsidP="00453E26" w14:paraId="2F25A58E" w14:textId="77777777">
      <w:pPr>
        <w:pStyle w:val="ListParagraph"/>
        <w:numPr>
          <w:ilvl w:val="0"/>
          <w:numId w:val="14"/>
        </w:numPr>
        <w:ind w:left="446"/>
        <w:rPr>
          <w:rFonts w:cstheme="minorHAnsi"/>
        </w:rPr>
      </w:pPr>
      <w:r w:rsidRPr="00453E26">
        <w:rPr>
          <w:rFonts w:cstheme="minorHAnsi"/>
        </w:rPr>
        <w:t>Ensure that members of the public do not remove or copy OCA information they review.</w:t>
      </w:r>
    </w:p>
    <w:p w:rsidR="00453E26" w:rsidRPr="00453E26" w:rsidP="00453E26" w14:paraId="524D13B3" w14:textId="77777777">
      <w:pPr>
        <w:pStyle w:val="ListParagraph"/>
        <w:numPr>
          <w:ilvl w:val="0"/>
          <w:numId w:val="14"/>
        </w:numPr>
        <w:ind w:left="446"/>
        <w:rPr>
          <w:rFonts w:cstheme="minorHAnsi"/>
        </w:rPr>
      </w:pPr>
      <w:r w:rsidRPr="00453E26">
        <w:rPr>
          <w:rFonts w:cstheme="minorHAnsi"/>
        </w:rPr>
        <w:t>Make OCA information available other than Sections 2 through 5 of the RMP.</w:t>
      </w:r>
    </w:p>
    <w:p w:rsidR="00453E26" w:rsidRPr="00383746" w:rsidP="00453E26" w14:paraId="71F98F11"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spacing w:after="240"/>
      </w:pPr>
      <w:r w:rsidRPr="00383746">
        <w:t xml:space="preserve">Local agencies are not required to ask the </w:t>
      </w:r>
      <w:r>
        <w:t xml:space="preserve">members of the </w:t>
      </w:r>
      <w:r w:rsidRPr="00383746">
        <w:t xml:space="preserve">public to show any </w:t>
      </w:r>
      <w:r>
        <w:t>documentation</w:t>
      </w:r>
      <w:r w:rsidRPr="00383746">
        <w:t xml:space="preserve"> to gain access to the information. State agencies must verify that a person seeking information for an area lives or works in the area.</w:t>
      </w:r>
    </w:p>
    <w:p w:rsidR="00453E26" w:rsidP="00453E26" w14:paraId="0DF2859A"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spacing w:after="240"/>
      </w:pPr>
      <w:r w:rsidRPr="00AB458E">
        <w:t>Information is not collected at any specified frequency</w:t>
      </w:r>
      <w:r>
        <w:t xml:space="preserve">. </w:t>
      </w:r>
      <w:r w:rsidRPr="00383746">
        <w:t xml:space="preserve">The information collection at the Federal reading rooms occurs only when an individual requests OCA information. </w:t>
      </w:r>
    </w:p>
    <w:p w:rsidR="00D92ED6" w:rsidRPr="00DF6672" w:rsidP="00DF6672" w14:paraId="0B6BE1C2" w14:textId="3F49A8F0">
      <w:pPr>
        <w:pStyle w:val="Style1"/>
      </w:pPr>
      <w:r w:rsidRPr="00163C69">
        <w:t xml:space="preserve">12d. </w:t>
      </w:r>
      <w:r w:rsidRPr="00163C69">
        <w:t xml:space="preserve">Respondent </w:t>
      </w:r>
      <w:r w:rsidRPr="00163C69" w:rsidR="00BB2B15">
        <w:t xml:space="preserve">Burden </w:t>
      </w:r>
      <w:r w:rsidRPr="00163C69" w:rsidR="00B666CD">
        <w:t>Hour</w:t>
      </w:r>
      <w:r w:rsidRPr="00163C69" w:rsidR="00BB2B15">
        <w:t>s</w:t>
      </w:r>
      <w:r w:rsidRPr="00163C69" w:rsidR="00B666CD">
        <w:t xml:space="preserve"> and Labor </w:t>
      </w:r>
      <w:bookmarkEnd w:id="18"/>
      <w:r w:rsidRPr="00163C69" w:rsidR="00BB2B15">
        <w:t>Costs</w:t>
      </w:r>
    </w:p>
    <w:p w:rsidR="00DB6A57" w:rsidP="00DB6A57" w14:paraId="0422EE97" w14:textId="286B8B6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rPr>
          <w:b/>
          <w:bCs/>
          <w:u w:val="single"/>
        </w:rPr>
      </w:pPr>
      <w:bookmarkStart w:id="19" w:name="_Toc156593386"/>
      <w:r w:rsidRPr="00496DCB">
        <w:rPr>
          <w:b/>
          <w:bCs/>
          <w:u w:val="single"/>
        </w:rPr>
        <w:t>Public (Individuals)</w:t>
      </w:r>
    </w:p>
    <w:p w:rsidR="00DB6A57" w:rsidRPr="00AA4255" w:rsidP="00DB6A57" w14:paraId="4B27CB15" w14:textId="40CFBD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rPr>
          <w:i/>
          <w:iCs/>
        </w:rPr>
      </w:pPr>
      <w:r w:rsidRPr="00AA4255">
        <w:rPr>
          <w:i/>
          <w:iCs/>
        </w:rPr>
        <w:t>Labor Burden</w:t>
      </w:r>
    </w:p>
    <w:p w:rsidR="00DB6A57" w:rsidRPr="00383746" w:rsidP="00DB6A57" w14:paraId="50A6AF42" w14:textId="77777777">
      <w:pPr>
        <w:widowControl w:val="0"/>
        <w:tabs>
          <w:tab w:val="left" w:pos="720"/>
          <w:tab w:val="left" w:pos="1440"/>
          <w:tab w:val="left" w:pos="2160"/>
          <w:tab w:val="left" w:pos="2880"/>
          <w:tab w:val="left" w:pos="3600"/>
          <w:tab w:val="left" w:pos="4320"/>
          <w:tab w:val="left" w:pos="5040"/>
          <w:tab w:val="left" w:pos="5760"/>
          <w:tab w:val="left" w:pos="6480"/>
        </w:tabs>
        <w:autoSpaceDE w:val="0"/>
        <w:autoSpaceDN w:val="0"/>
        <w:adjustRightInd w:val="0"/>
        <w:spacing w:after="240"/>
      </w:pPr>
      <w:r w:rsidRPr="00383746">
        <w:t xml:space="preserve">EPA estimates that each member of the public spends </w:t>
      </w:r>
      <w:r w:rsidRPr="006E60A2">
        <w:t>approximately one hour to sign-in and certify; call the central office to give his/her name, address, telephone number</w:t>
      </w:r>
      <w:r>
        <w:t>; provide the</w:t>
      </w:r>
      <w:r w:rsidRPr="006E60A2">
        <w:t xml:space="preserve"> names of the stationary sources for which OCA information is requested</w:t>
      </w:r>
      <w:r>
        <w:t>;</w:t>
      </w:r>
      <w:r w:rsidRPr="006E60A2">
        <w:t xml:space="preserve"> display documentation demonstrating proof of residence and employment</w:t>
      </w:r>
      <w:r>
        <w:t>;</w:t>
      </w:r>
      <w:r w:rsidRPr="006E60A2">
        <w:t xml:space="preserve"> and view OCA information for local facilities at a </w:t>
      </w:r>
      <w:r>
        <w:t>F</w:t>
      </w:r>
      <w:r w:rsidRPr="006E60A2">
        <w:t xml:space="preserve">ederal reading room. Based on the information </w:t>
      </w:r>
      <w:r>
        <w:t>EPA collected</w:t>
      </w:r>
      <w:r w:rsidRPr="006E60A2">
        <w:t xml:space="preserve"> for the last three years</w:t>
      </w:r>
      <w:r w:rsidRPr="00632CD6">
        <w:t xml:space="preserve">, EPA </w:t>
      </w:r>
      <w:r w:rsidRPr="0017337D">
        <w:t xml:space="preserve">assumes that 12 individuals will visit the Federal reading rooms annually in the three years covered by this ICR. State and local agency </w:t>
      </w:r>
      <w:r w:rsidRPr="0017337D">
        <w:t>reading rooms contacted by EPA for the two previous ICR renewals reported not a single visit to a reading room from a member of the public.</w:t>
      </w:r>
      <w:r>
        <w:t xml:space="preserve"> </w:t>
      </w:r>
      <w:r w:rsidRPr="0017337D">
        <w:t>EPA</w:t>
      </w:r>
      <w:r>
        <w:t xml:space="preserve"> </w:t>
      </w:r>
      <w:r w:rsidRPr="0017337D">
        <w:t>err</w:t>
      </w:r>
      <w:r>
        <w:t>ed</w:t>
      </w:r>
      <w:r w:rsidRPr="0017337D">
        <w:t xml:space="preserve"> on the conservative side and assum</w:t>
      </w:r>
      <w:r>
        <w:t>ed</w:t>
      </w:r>
      <w:r w:rsidRPr="0017337D">
        <w:t xml:space="preserve"> five public visitors to </w:t>
      </w:r>
      <w:r>
        <w:t>S</w:t>
      </w:r>
      <w:r w:rsidRPr="0017337D">
        <w:t>tate and local reading rooms annually in the previous ICR renewal. EPA is maintaining that assumption for this ICR renewal. Therefore, 17 individuals</w:t>
      </w:r>
      <w:r w:rsidRPr="005044BE">
        <w:t xml:space="preserve"> are assumed to visit Federal, State, and local reading rooms annually.</w:t>
      </w:r>
      <w:r>
        <w:t xml:space="preserve"> </w:t>
      </w:r>
      <w:r w:rsidRPr="0017337D">
        <w:t xml:space="preserve">See Appendix </w:t>
      </w:r>
      <w:r>
        <w:t xml:space="preserve">A in </w:t>
      </w:r>
      <w:r w:rsidRPr="00383746">
        <w:t xml:space="preserve">EPA </w:t>
      </w:r>
      <w:r>
        <w:t xml:space="preserve">ICR </w:t>
      </w:r>
      <w:r w:rsidRPr="00383746">
        <w:t>No. 1981.0</w:t>
      </w:r>
      <w:r>
        <w:t>8</w:t>
      </w:r>
      <w:r w:rsidRPr="00383746">
        <w:t>, OMB Control Number 2050-0172</w:t>
      </w:r>
      <w:r>
        <w:t xml:space="preserve">, </w:t>
      </w:r>
      <w:r w:rsidRPr="0017337D">
        <w:t>for details</w:t>
      </w:r>
      <w:r>
        <w:t xml:space="preserve"> on information EPA obtained from </w:t>
      </w:r>
      <w:r w:rsidRPr="00383746">
        <w:t xml:space="preserve">seven </w:t>
      </w:r>
      <w:r>
        <w:t xml:space="preserve">EPA </w:t>
      </w:r>
      <w:r w:rsidRPr="00383746">
        <w:t xml:space="preserve">Regions </w:t>
      </w:r>
      <w:r>
        <w:t xml:space="preserve">(Regions 1,3, 4, 6, 7, 8 and 9) </w:t>
      </w:r>
      <w:r w:rsidRPr="00383746">
        <w:t>and the EPA HQ Docket Center</w:t>
      </w:r>
      <w:r>
        <w:t xml:space="preserve"> for the previous renewal.</w:t>
      </w:r>
    </w:p>
    <w:p w:rsidR="00DB6A57" w:rsidP="00DB6A57" w14:paraId="259E4D85"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spacing w:after="240"/>
      </w:pPr>
      <w:r w:rsidRPr="00C63E7C">
        <w:t xml:space="preserve">Additionally, EPA assumes that the public will use the VZIS. EPA estimates </w:t>
      </w:r>
      <w:r w:rsidRPr="00F47FF9">
        <w:t xml:space="preserve">that the Agency will receive </w:t>
      </w:r>
      <w:r w:rsidRPr="0017337D">
        <w:t>approximately 322 VZIS</w:t>
      </w:r>
      <w:r w:rsidRPr="00F47FF9">
        <w:t xml:space="preserve"> inquiries from the public for each year covered</w:t>
      </w:r>
      <w:r w:rsidRPr="00C63E7C">
        <w:t xml:space="preserve"> by this ICR</w:t>
      </w:r>
      <w:r>
        <w:t>.</w:t>
      </w:r>
      <w:r w:rsidRPr="00C63E7C">
        <w:t xml:space="preserve"> EPA </w:t>
      </w:r>
      <w:r w:rsidRPr="0017337D">
        <w:t>estimates that an individual will spend approximately one hour to submit a request for the VZIS. Exhibit 1 shows the total burden to the public for signing in at the reading room (17 hours) and</w:t>
      </w:r>
      <w:r w:rsidRPr="00D82F91">
        <w:t xml:space="preserve"> making</w:t>
      </w:r>
      <w:r w:rsidRPr="00C63E7C">
        <w:t xml:space="preserve"> VZIS inquiries</w:t>
      </w:r>
      <w:r>
        <w:t xml:space="preserve"> (322 hours)</w:t>
      </w:r>
      <w:r w:rsidRPr="00C63E7C">
        <w:t xml:space="preserve"> is estimated to be </w:t>
      </w:r>
      <w:r>
        <w:t>339</w:t>
      </w:r>
      <w:r w:rsidRPr="00C63E7C">
        <w:t xml:space="preserve"> hours annually (</w:t>
      </w:r>
      <w:r>
        <w:t>1,011</w:t>
      </w:r>
      <w:r w:rsidRPr="00C63E7C">
        <w:t xml:space="preserve"> hours over three years)</w:t>
      </w:r>
      <w:r>
        <w:t>.</w:t>
      </w:r>
    </w:p>
    <w:p w:rsidR="008A7754" w:rsidRPr="0017337D" w:rsidP="008A7754" w14:paraId="1978A095"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jc w:val="center"/>
        <w:rPr>
          <w:color w:val="000000"/>
        </w:rPr>
      </w:pPr>
      <w:r w:rsidRPr="0017337D">
        <w:rPr>
          <w:b/>
          <w:bCs/>
          <w:color w:val="000000"/>
        </w:rPr>
        <w:t>Exhibit 1. Public Burden Hours for Reading Room Visitations and VZIS Inquiries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40"/>
        <w:gridCol w:w="1612"/>
        <w:gridCol w:w="1698"/>
        <w:gridCol w:w="1025"/>
        <w:gridCol w:w="1601"/>
      </w:tblGrid>
      <w:tr w14:paraId="0926F9A0" w14:textId="77777777" w:rsidTr="00023727">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0"/>
        </w:trPr>
        <w:tc>
          <w:tcPr>
            <w:tcW w:w="1902" w:type="pct"/>
            <w:vAlign w:val="center"/>
            <w:hideMark/>
          </w:tcPr>
          <w:p w:rsidR="008A7754" w:rsidRPr="0017337D" w14:paraId="43B52129" w14:textId="77777777">
            <w:pPr>
              <w:spacing w:after="0"/>
              <w:jc w:val="center"/>
              <w:rPr>
                <w:b/>
                <w:bCs/>
                <w:color w:val="000000"/>
              </w:rPr>
            </w:pPr>
            <w:r w:rsidRPr="0017337D">
              <w:rPr>
                <w:b/>
                <w:bCs/>
                <w:color w:val="000000"/>
              </w:rPr>
              <w:t>Burden Activity</w:t>
            </w:r>
          </w:p>
        </w:tc>
        <w:tc>
          <w:tcPr>
            <w:tcW w:w="843" w:type="pct"/>
            <w:vAlign w:val="center"/>
            <w:hideMark/>
          </w:tcPr>
          <w:p w:rsidR="008A7754" w:rsidRPr="0017337D" w14:paraId="16C6021B" w14:textId="77777777">
            <w:pPr>
              <w:spacing w:after="0"/>
              <w:jc w:val="center"/>
              <w:rPr>
                <w:b/>
                <w:bCs/>
                <w:color w:val="000000"/>
              </w:rPr>
            </w:pPr>
            <w:r w:rsidRPr="0017337D">
              <w:rPr>
                <w:b/>
                <w:bCs/>
                <w:color w:val="000000"/>
              </w:rPr>
              <w:t>Hours per Person</w:t>
            </w:r>
          </w:p>
        </w:tc>
        <w:tc>
          <w:tcPr>
            <w:tcW w:w="888" w:type="pct"/>
            <w:vAlign w:val="center"/>
            <w:hideMark/>
          </w:tcPr>
          <w:p w:rsidR="008A7754" w:rsidRPr="0017337D" w14:paraId="454B81FA" w14:textId="77777777">
            <w:pPr>
              <w:spacing w:after="0"/>
              <w:jc w:val="center"/>
              <w:rPr>
                <w:b/>
                <w:bCs/>
                <w:color w:val="000000"/>
              </w:rPr>
            </w:pPr>
            <w:r w:rsidRPr="0017337D">
              <w:rPr>
                <w:b/>
                <w:bCs/>
                <w:color w:val="000000"/>
              </w:rPr>
              <w:t>Annual Activity Count</w:t>
            </w:r>
          </w:p>
        </w:tc>
        <w:tc>
          <w:tcPr>
            <w:tcW w:w="530" w:type="pct"/>
            <w:vAlign w:val="center"/>
          </w:tcPr>
          <w:p w:rsidR="008A7754" w:rsidRPr="0017337D" w14:paraId="7CC62830" w14:textId="77777777">
            <w:pPr>
              <w:spacing w:after="0"/>
              <w:jc w:val="center"/>
              <w:rPr>
                <w:b/>
                <w:bCs/>
                <w:color w:val="000000"/>
              </w:rPr>
            </w:pPr>
            <w:r w:rsidRPr="0017337D">
              <w:rPr>
                <w:b/>
                <w:bCs/>
                <w:color w:val="000000"/>
              </w:rPr>
              <w:t xml:space="preserve"> Hours Annually</w:t>
            </w:r>
          </w:p>
        </w:tc>
        <w:tc>
          <w:tcPr>
            <w:tcW w:w="838" w:type="pct"/>
            <w:vAlign w:val="center"/>
            <w:hideMark/>
          </w:tcPr>
          <w:p w:rsidR="008A7754" w:rsidRPr="0017337D" w14:paraId="5900A782" w14:textId="77777777">
            <w:pPr>
              <w:spacing w:after="0"/>
              <w:jc w:val="center"/>
              <w:rPr>
                <w:b/>
                <w:bCs/>
                <w:color w:val="000000"/>
              </w:rPr>
            </w:pPr>
            <w:r w:rsidRPr="0017337D">
              <w:rPr>
                <w:b/>
                <w:bCs/>
                <w:color w:val="000000"/>
              </w:rPr>
              <w:t>Three-Year Total Hours</w:t>
            </w:r>
          </w:p>
        </w:tc>
      </w:tr>
      <w:tr w14:paraId="7C8C4C9E" w14:textId="77777777" w:rsidTr="00023727">
        <w:tblPrEx>
          <w:tblW w:w="5000" w:type="pct"/>
          <w:tblLook w:val="04A0"/>
        </w:tblPrEx>
        <w:trPr>
          <w:trHeight w:val="20"/>
        </w:trPr>
        <w:tc>
          <w:tcPr>
            <w:tcW w:w="1902" w:type="pct"/>
            <w:vAlign w:val="center"/>
            <w:hideMark/>
          </w:tcPr>
          <w:p w:rsidR="008A7754" w:rsidRPr="0017337D" w14:paraId="374328F8" w14:textId="77777777">
            <w:pPr>
              <w:spacing w:after="0"/>
              <w:rPr>
                <w:color w:val="000000"/>
              </w:rPr>
            </w:pPr>
            <w:r w:rsidRPr="0017337D">
              <w:rPr>
                <w:color w:val="000000"/>
              </w:rPr>
              <w:t>Reading Rooms - Federal</w:t>
            </w:r>
          </w:p>
        </w:tc>
        <w:tc>
          <w:tcPr>
            <w:tcW w:w="843" w:type="pct"/>
            <w:vAlign w:val="center"/>
            <w:hideMark/>
          </w:tcPr>
          <w:p w:rsidR="008A7754" w:rsidRPr="0017337D" w14:paraId="268794A0" w14:textId="77777777">
            <w:pPr>
              <w:spacing w:after="0"/>
              <w:jc w:val="center"/>
              <w:rPr>
                <w:color w:val="000000"/>
              </w:rPr>
            </w:pPr>
            <w:r w:rsidRPr="0017337D">
              <w:rPr>
                <w:color w:val="000000"/>
              </w:rPr>
              <w:t>1</w:t>
            </w:r>
          </w:p>
        </w:tc>
        <w:tc>
          <w:tcPr>
            <w:tcW w:w="888" w:type="pct"/>
            <w:vAlign w:val="center"/>
            <w:hideMark/>
          </w:tcPr>
          <w:p w:rsidR="008A7754" w:rsidRPr="0017337D" w14:paraId="3A5D927F" w14:textId="77777777">
            <w:pPr>
              <w:spacing w:after="0"/>
              <w:jc w:val="center"/>
              <w:rPr>
                <w:color w:val="000000"/>
              </w:rPr>
            </w:pPr>
            <w:r w:rsidRPr="0017337D">
              <w:rPr>
                <w:color w:val="000000"/>
              </w:rPr>
              <w:t>12</w:t>
            </w:r>
          </w:p>
        </w:tc>
        <w:tc>
          <w:tcPr>
            <w:tcW w:w="530" w:type="pct"/>
            <w:vAlign w:val="center"/>
          </w:tcPr>
          <w:p w:rsidR="008A7754" w:rsidRPr="0017337D" w14:paraId="32C9D9D8" w14:textId="77777777">
            <w:pPr>
              <w:spacing w:after="0"/>
              <w:jc w:val="center"/>
              <w:rPr>
                <w:color w:val="000000"/>
              </w:rPr>
            </w:pPr>
            <w:r w:rsidRPr="0017337D">
              <w:rPr>
                <w:color w:val="000000"/>
              </w:rPr>
              <w:t>12</w:t>
            </w:r>
          </w:p>
        </w:tc>
        <w:tc>
          <w:tcPr>
            <w:tcW w:w="838" w:type="pct"/>
            <w:vAlign w:val="center"/>
            <w:hideMark/>
          </w:tcPr>
          <w:p w:rsidR="008A7754" w:rsidRPr="0017337D" w14:paraId="04B706CB" w14:textId="77777777">
            <w:pPr>
              <w:spacing w:after="0"/>
              <w:jc w:val="center"/>
              <w:rPr>
                <w:color w:val="000000"/>
              </w:rPr>
            </w:pPr>
            <w:r w:rsidRPr="0017337D">
              <w:rPr>
                <w:color w:val="000000"/>
              </w:rPr>
              <w:t>36</w:t>
            </w:r>
          </w:p>
        </w:tc>
      </w:tr>
      <w:tr w14:paraId="700A6418" w14:textId="77777777" w:rsidTr="00023727">
        <w:tblPrEx>
          <w:tblW w:w="5000" w:type="pct"/>
          <w:tblLook w:val="04A0"/>
        </w:tblPrEx>
        <w:trPr>
          <w:trHeight w:val="20"/>
        </w:trPr>
        <w:tc>
          <w:tcPr>
            <w:tcW w:w="1902" w:type="pct"/>
            <w:vAlign w:val="center"/>
            <w:hideMark/>
          </w:tcPr>
          <w:p w:rsidR="008A7754" w:rsidRPr="0017337D" w14:paraId="2D64566A" w14:textId="77777777">
            <w:pPr>
              <w:spacing w:after="0"/>
              <w:rPr>
                <w:color w:val="000000"/>
              </w:rPr>
            </w:pPr>
            <w:r w:rsidRPr="0017337D">
              <w:rPr>
                <w:color w:val="000000"/>
              </w:rPr>
              <w:t>Reading Rooms - State and Local</w:t>
            </w:r>
          </w:p>
        </w:tc>
        <w:tc>
          <w:tcPr>
            <w:tcW w:w="843" w:type="pct"/>
            <w:vAlign w:val="center"/>
            <w:hideMark/>
          </w:tcPr>
          <w:p w:rsidR="008A7754" w:rsidRPr="0017337D" w14:paraId="7D53F4A6" w14:textId="77777777">
            <w:pPr>
              <w:spacing w:after="0"/>
              <w:jc w:val="center"/>
              <w:rPr>
                <w:color w:val="000000"/>
              </w:rPr>
            </w:pPr>
            <w:r w:rsidRPr="0017337D">
              <w:rPr>
                <w:color w:val="000000"/>
              </w:rPr>
              <w:t>1</w:t>
            </w:r>
          </w:p>
        </w:tc>
        <w:tc>
          <w:tcPr>
            <w:tcW w:w="888" w:type="pct"/>
            <w:vAlign w:val="center"/>
            <w:hideMark/>
          </w:tcPr>
          <w:p w:rsidR="008A7754" w:rsidRPr="0017337D" w14:paraId="18DD83D6" w14:textId="77777777">
            <w:pPr>
              <w:spacing w:after="0"/>
              <w:jc w:val="center"/>
              <w:rPr>
                <w:color w:val="000000"/>
              </w:rPr>
            </w:pPr>
            <w:r w:rsidRPr="0017337D">
              <w:rPr>
                <w:color w:val="000000"/>
              </w:rPr>
              <w:t>5</w:t>
            </w:r>
          </w:p>
        </w:tc>
        <w:tc>
          <w:tcPr>
            <w:tcW w:w="530" w:type="pct"/>
            <w:vAlign w:val="center"/>
          </w:tcPr>
          <w:p w:rsidR="008A7754" w:rsidRPr="0017337D" w14:paraId="05176237" w14:textId="77777777">
            <w:pPr>
              <w:spacing w:after="0"/>
              <w:jc w:val="center"/>
              <w:rPr>
                <w:color w:val="000000"/>
              </w:rPr>
            </w:pPr>
            <w:r w:rsidRPr="0017337D">
              <w:rPr>
                <w:color w:val="000000"/>
              </w:rPr>
              <w:t>5</w:t>
            </w:r>
          </w:p>
        </w:tc>
        <w:tc>
          <w:tcPr>
            <w:tcW w:w="838" w:type="pct"/>
            <w:vAlign w:val="center"/>
            <w:hideMark/>
          </w:tcPr>
          <w:p w:rsidR="008A7754" w:rsidRPr="0017337D" w14:paraId="6D1F97AB" w14:textId="77777777">
            <w:pPr>
              <w:spacing w:after="0"/>
              <w:jc w:val="center"/>
              <w:rPr>
                <w:color w:val="000000"/>
              </w:rPr>
            </w:pPr>
            <w:r w:rsidRPr="0017337D">
              <w:rPr>
                <w:color w:val="000000"/>
              </w:rPr>
              <w:t>15</w:t>
            </w:r>
          </w:p>
        </w:tc>
      </w:tr>
      <w:tr w14:paraId="1B11EDBF" w14:textId="77777777" w:rsidTr="00023727">
        <w:tblPrEx>
          <w:tblW w:w="5000" w:type="pct"/>
          <w:tblLook w:val="04A0"/>
        </w:tblPrEx>
        <w:trPr>
          <w:trHeight w:val="20"/>
        </w:trPr>
        <w:tc>
          <w:tcPr>
            <w:tcW w:w="1902" w:type="pct"/>
            <w:vAlign w:val="center"/>
            <w:hideMark/>
          </w:tcPr>
          <w:p w:rsidR="008A7754" w:rsidRPr="0017337D" w14:paraId="59AED8FD" w14:textId="77777777">
            <w:pPr>
              <w:spacing w:after="0"/>
              <w:rPr>
                <w:color w:val="000000"/>
              </w:rPr>
            </w:pPr>
            <w:r w:rsidRPr="0017337D">
              <w:rPr>
                <w:color w:val="000000"/>
              </w:rPr>
              <w:t>Vulnerable Zone Indicator System (VZIS) Inquiries</w:t>
            </w:r>
          </w:p>
        </w:tc>
        <w:tc>
          <w:tcPr>
            <w:tcW w:w="843" w:type="pct"/>
            <w:vAlign w:val="center"/>
            <w:hideMark/>
          </w:tcPr>
          <w:p w:rsidR="008A7754" w:rsidRPr="0017337D" w14:paraId="23C74DE2" w14:textId="77777777">
            <w:pPr>
              <w:spacing w:after="0"/>
              <w:jc w:val="center"/>
              <w:rPr>
                <w:color w:val="000000"/>
              </w:rPr>
            </w:pPr>
            <w:r w:rsidRPr="0017337D">
              <w:rPr>
                <w:color w:val="000000"/>
              </w:rPr>
              <w:t>1</w:t>
            </w:r>
          </w:p>
        </w:tc>
        <w:tc>
          <w:tcPr>
            <w:tcW w:w="888" w:type="pct"/>
            <w:vAlign w:val="center"/>
            <w:hideMark/>
          </w:tcPr>
          <w:p w:rsidR="008A7754" w:rsidRPr="0017337D" w14:paraId="3003A720" w14:textId="77777777">
            <w:pPr>
              <w:spacing w:after="0"/>
              <w:jc w:val="center"/>
              <w:rPr>
                <w:color w:val="000000"/>
              </w:rPr>
            </w:pPr>
            <w:r w:rsidRPr="0017337D">
              <w:rPr>
                <w:color w:val="000000"/>
              </w:rPr>
              <w:t>322</w:t>
            </w:r>
          </w:p>
        </w:tc>
        <w:tc>
          <w:tcPr>
            <w:tcW w:w="530" w:type="pct"/>
            <w:vAlign w:val="center"/>
          </w:tcPr>
          <w:p w:rsidR="008A7754" w:rsidRPr="0017337D" w14:paraId="172F502B" w14:textId="77777777">
            <w:pPr>
              <w:spacing w:after="0"/>
              <w:jc w:val="center"/>
              <w:rPr>
                <w:color w:val="000000"/>
              </w:rPr>
            </w:pPr>
            <w:r w:rsidRPr="0017337D">
              <w:rPr>
                <w:bCs/>
                <w:color w:val="000000"/>
              </w:rPr>
              <w:t>322</w:t>
            </w:r>
          </w:p>
        </w:tc>
        <w:tc>
          <w:tcPr>
            <w:tcW w:w="838" w:type="pct"/>
            <w:vAlign w:val="center"/>
            <w:hideMark/>
          </w:tcPr>
          <w:p w:rsidR="008A7754" w:rsidRPr="0017337D" w14:paraId="0D23376C" w14:textId="77777777">
            <w:pPr>
              <w:spacing w:after="0"/>
              <w:jc w:val="center"/>
              <w:rPr>
                <w:color w:val="000000"/>
              </w:rPr>
            </w:pPr>
            <w:r w:rsidRPr="0017337D">
              <w:rPr>
                <w:bCs/>
                <w:color w:val="000000"/>
              </w:rPr>
              <w:t>966</w:t>
            </w:r>
          </w:p>
        </w:tc>
      </w:tr>
      <w:tr w14:paraId="4C2903DB" w14:textId="77777777" w:rsidTr="00023727">
        <w:tblPrEx>
          <w:tblW w:w="5000" w:type="pct"/>
          <w:tblLook w:val="04A0"/>
        </w:tblPrEx>
        <w:trPr>
          <w:trHeight w:val="20"/>
        </w:trPr>
        <w:tc>
          <w:tcPr>
            <w:tcW w:w="1902" w:type="pct"/>
            <w:vAlign w:val="center"/>
            <w:hideMark/>
          </w:tcPr>
          <w:p w:rsidR="008A7754" w:rsidRPr="0017337D" w14:paraId="19DA851E" w14:textId="77777777">
            <w:pPr>
              <w:spacing w:after="0"/>
              <w:rPr>
                <w:b/>
                <w:bCs/>
                <w:color w:val="000000"/>
              </w:rPr>
            </w:pPr>
            <w:r w:rsidRPr="0017337D">
              <w:rPr>
                <w:b/>
                <w:bCs/>
                <w:color w:val="000000"/>
              </w:rPr>
              <w:t>Total</w:t>
            </w:r>
          </w:p>
        </w:tc>
        <w:tc>
          <w:tcPr>
            <w:tcW w:w="843" w:type="pct"/>
            <w:vAlign w:val="center"/>
            <w:hideMark/>
          </w:tcPr>
          <w:p w:rsidR="008A7754" w:rsidRPr="0017337D" w14:paraId="6F31835F" w14:textId="77777777">
            <w:pPr>
              <w:spacing w:after="0"/>
              <w:jc w:val="center"/>
              <w:rPr>
                <w:b/>
                <w:bCs/>
                <w:color w:val="000000"/>
              </w:rPr>
            </w:pPr>
            <w:r w:rsidRPr="0017337D">
              <w:rPr>
                <w:b/>
                <w:bCs/>
                <w:color w:val="000000"/>
              </w:rPr>
              <w:t>3</w:t>
            </w:r>
          </w:p>
        </w:tc>
        <w:tc>
          <w:tcPr>
            <w:tcW w:w="888" w:type="pct"/>
            <w:vAlign w:val="center"/>
            <w:hideMark/>
          </w:tcPr>
          <w:p w:rsidR="008A7754" w:rsidRPr="0017337D" w14:paraId="5989CB8C" w14:textId="77777777">
            <w:pPr>
              <w:spacing w:after="0"/>
              <w:jc w:val="center"/>
              <w:rPr>
                <w:b/>
                <w:bCs/>
                <w:color w:val="000000"/>
              </w:rPr>
            </w:pPr>
            <w:r w:rsidRPr="0017337D">
              <w:rPr>
                <w:b/>
                <w:bCs/>
                <w:color w:val="000000"/>
              </w:rPr>
              <w:t>339</w:t>
            </w:r>
          </w:p>
        </w:tc>
        <w:tc>
          <w:tcPr>
            <w:tcW w:w="530" w:type="pct"/>
            <w:vAlign w:val="center"/>
          </w:tcPr>
          <w:p w:rsidR="008A7754" w:rsidRPr="0017337D" w14:paraId="16529367" w14:textId="77777777">
            <w:pPr>
              <w:spacing w:after="0"/>
              <w:jc w:val="center"/>
              <w:rPr>
                <w:b/>
                <w:bCs/>
                <w:color w:val="000000"/>
              </w:rPr>
            </w:pPr>
            <w:r w:rsidRPr="0017337D">
              <w:rPr>
                <w:b/>
                <w:bCs/>
                <w:color w:val="000000"/>
              </w:rPr>
              <w:t>339</w:t>
            </w:r>
          </w:p>
        </w:tc>
        <w:tc>
          <w:tcPr>
            <w:tcW w:w="838" w:type="pct"/>
            <w:vAlign w:val="center"/>
            <w:hideMark/>
          </w:tcPr>
          <w:p w:rsidR="008A7754" w:rsidRPr="0017337D" w14:paraId="78ED8C37" w14:textId="77777777">
            <w:pPr>
              <w:spacing w:after="0"/>
              <w:jc w:val="center"/>
              <w:rPr>
                <w:b/>
                <w:bCs/>
                <w:color w:val="000000"/>
              </w:rPr>
            </w:pPr>
            <w:r w:rsidRPr="0017337D">
              <w:rPr>
                <w:b/>
                <w:bCs/>
                <w:color w:val="000000"/>
              </w:rPr>
              <w:t>1,017</w:t>
            </w:r>
          </w:p>
        </w:tc>
      </w:tr>
    </w:tbl>
    <w:p w:rsidR="008A7754" w:rsidRPr="00383746" w:rsidP="008A7754" w14:paraId="5C85B55C"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rPr>
          <w:b/>
          <w:bCs/>
        </w:rPr>
      </w:pPr>
    </w:p>
    <w:p w:rsidR="008A7754" w:rsidRPr="00AA4255" w:rsidP="008A7754" w14:paraId="108B6B3C" w14:textId="5AFF3992">
      <w:pPr>
        <w:keepNext/>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rPr>
          <w:i/>
          <w:iCs/>
        </w:rPr>
      </w:pPr>
      <w:r w:rsidRPr="00AA4255">
        <w:rPr>
          <w:i/>
          <w:iCs/>
        </w:rPr>
        <w:t xml:space="preserve">Labor Costs </w:t>
      </w:r>
    </w:p>
    <w:p w:rsidR="008A7754" w:rsidRPr="00880E8D" w:rsidP="008A7754" w14:paraId="4F9D83FC"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spacing w:after="240"/>
      </w:pPr>
      <w:r w:rsidRPr="00880E8D">
        <w:t>The value of the public’s time is estimated to be $44.40 per hour,</w:t>
      </w:r>
      <w:r>
        <w:t xml:space="preserve"> based on</w:t>
      </w:r>
      <w:r w:rsidRPr="00880E8D">
        <w:t xml:space="preserve"> the average hourly total compensation of private industry workers (BLS 2024a).</w:t>
      </w:r>
      <w:r>
        <w:rPr>
          <w:rStyle w:val="FootnoteReference"/>
          <w:sz w:val="20"/>
          <w:szCs w:val="20"/>
        </w:rPr>
        <w:footnoteReference w:id="3"/>
      </w:r>
      <w:r w:rsidRPr="00880E8D">
        <w:rPr>
          <w:b/>
          <w:bCs/>
          <w:sz w:val="20"/>
          <w:szCs w:val="20"/>
          <w:vertAlign w:val="superscript"/>
        </w:rPr>
        <w:t xml:space="preserve"> </w:t>
      </w:r>
      <w:r w:rsidRPr="00880E8D">
        <w:t>The State and local government employee average hourly, fully loaded wage rate is $53.59 (BLS 2024b).</w:t>
      </w:r>
      <w:r>
        <w:rPr>
          <w:rStyle w:val="FootnoteReference"/>
        </w:rPr>
        <w:footnoteReference w:id="4"/>
      </w:r>
      <w:r w:rsidRPr="00880E8D">
        <w:t xml:space="preserve"> See Exhibit 2.</w:t>
      </w:r>
    </w:p>
    <w:p w:rsidR="008A7754" w:rsidRPr="00880E8D" w:rsidP="00B02F88" w14:paraId="68DD344F" w14:textId="77777777">
      <w:pPr>
        <w:keepNext/>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spacing w:after="240"/>
        <w:jc w:val="center"/>
        <w:rPr>
          <w:b/>
          <w:bCs/>
        </w:rPr>
      </w:pPr>
      <w:r w:rsidRPr="00880E8D">
        <w:rPr>
          <w:b/>
          <w:bCs/>
        </w:rPr>
        <w:t>Exhibit 2. Average Hourly Labor Rates ($2024)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62"/>
        <w:gridCol w:w="4514"/>
      </w:tblGrid>
      <w:tr w14:paraId="01B94956" w14:textId="77777777" w:rsidTr="00023727">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00"/>
        </w:trPr>
        <w:tc>
          <w:tcPr>
            <w:tcW w:w="2643" w:type="pct"/>
            <w:vAlign w:val="center"/>
            <w:hideMark/>
          </w:tcPr>
          <w:p w:rsidR="008A7754" w:rsidRPr="00B02F88" w14:paraId="092CABC5" w14:textId="77777777">
            <w:pPr>
              <w:spacing w:after="0"/>
              <w:jc w:val="center"/>
              <w:rPr>
                <w:rFonts w:cstheme="minorHAnsi"/>
                <w:b/>
                <w:bCs/>
                <w:color w:val="000000"/>
              </w:rPr>
            </w:pPr>
            <w:r w:rsidRPr="00B02F88">
              <w:rPr>
                <w:rFonts w:cstheme="minorHAnsi"/>
                <w:b/>
                <w:bCs/>
                <w:color w:val="000000"/>
              </w:rPr>
              <w:t>Labor Category</w:t>
            </w:r>
          </w:p>
        </w:tc>
        <w:tc>
          <w:tcPr>
            <w:tcW w:w="2357" w:type="pct"/>
            <w:noWrap/>
            <w:vAlign w:val="center"/>
            <w:hideMark/>
          </w:tcPr>
          <w:p w:rsidR="008A7754" w:rsidRPr="00B02F88" w14:paraId="11C65BB7" w14:textId="77777777">
            <w:pPr>
              <w:spacing w:after="0"/>
              <w:jc w:val="center"/>
              <w:rPr>
                <w:rFonts w:cstheme="minorHAnsi"/>
                <w:b/>
                <w:bCs/>
                <w:color w:val="000000"/>
              </w:rPr>
            </w:pPr>
            <w:r w:rsidRPr="00B02F88">
              <w:rPr>
                <w:rFonts w:cstheme="minorHAnsi"/>
                <w:b/>
                <w:bCs/>
                <w:color w:val="000000"/>
              </w:rPr>
              <w:t>Fully Loaded Labor Rate ($/</w:t>
            </w:r>
            <w:r w:rsidRPr="00B02F88">
              <w:rPr>
                <w:rFonts w:cstheme="minorHAnsi"/>
                <w:b/>
                <w:bCs/>
                <w:color w:val="000000"/>
              </w:rPr>
              <w:t>hr</w:t>
            </w:r>
            <w:r w:rsidRPr="00B02F88">
              <w:rPr>
                <w:rFonts w:cstheme="minorHAnsi"/>
                <w:b/>
                <w:bCs/>
                <w:color w:val="000000"/>
              </w:rPr>
              <w:t>)*</w:t>
            </w:r>
          </w:p>
        </w:tc>
      </w:tr>
      <w:tr w14:paraId="4457ECC3" w14:textId="77777777" w:rsidTr="00023727">
        <w:tblPrEx>
          <w:tblW w:w="5000" w:type="pct"/>
          <w:tblLook w:val="04A0"/>
        </w:tblPrEx>
        <w:trPr>
          <w:trHeight w:val="320"/>
        </w:trPr>
        <w:tc>
          <w:tcPr>
            <w:tcW w:w="2643" w:type="pct"/>
            <w:noWrap/>
            <w:vAlign w:val="bottom"/>
            <w:hideMark/>
          </w:tcPr>
          <w:p w:rsidR="008A7754" w:rsidRPr="00B02F88" w14:paraId="3C3F1127" w14:textId="77777777">
            <w:pPr>
              <w:spacing w:after="0"/>
              <w:rPr>
                <w:rFonts w:cstheme="minorHAnsi"/>
                <w:color w:val="183061"/>
              </w:rPr>
            </w:pPr>
            <w:r w:rsidRPr="00B02F88">
              <w:rPr>
                <w:rFonts w:cstheme="minorHAnsi"/>
              </w:rPr>
              <w:t>Private Industry Workers</w:t>
            </w:r>
          </w:p>
        </w:tc>
        <w:tc>
          <w:tcPr>
            <w:tcW w:w="2357" w:type="pct"/>
            <w:noWrap/>
            <w:vAlign w:val="center"/>
            <w:hideMark/>
          </w:tcPr>
          <w:p w:rsidR="008A7754" w:rsidRPr="00B02F88" w:rsidP="00A34B84" w14:paraId="5A81E5C0" w14:textId="574789C6">
            <w:pPr>
              <w:spacing w:after="0"/>
              <w:jc w:val="center"/>
              <w:rPr>
                <w:rFonts w:cstheme="minorHAnsi"/>
                <w:color w:val="000000"/>
              </w:rPr>
            </w:pPr>
            <w:r w:rsidRPr="00B02F88">
              <w:rPr>
                <w:rFonts w:cstheme="minorHAnsi"/>
                <w:color w:val="000000"/>
              </w:rPr>
              <w:t>$44.40</w:t>
            </w:r>
          </w:p>
        </w:tc>
      </w:tr>
      <w:tr w14:paraId="1F6512DE" w14:textId="77777777" w:rsidTr="00023727">
        <w:tblPrEx>
          <w:tblW w:w="5000" w:type="pct"/>
          <w:tblLook w:val="04A0"/>
        </w:tblPrEx>
        <w:trPr>
          <w:trHeight w:val="300"/>
        </w:trPr>
        <w:tc>
          <w:tcPr>
            <w:tcW w:w="2643" w:type="pct"/>
            <w:tcBorders>
              <w:bottom w:val="single" w:sz="4" w:space="0" w:color="auto"/>
            </w:tcBorders>
            <w:noWrap/>
            <w:vAlign w:val="center"/>
            <w:hideMark/>
          </w:tcPr>
          <w:p w:rsidR="008A7754" w:rsidRPr="00B02F88" w14:paraId="7C22D1E6" w14:textId="77777777">
            <w:pPr>
              <w:spacing w:after="0"/>
              <w:rPr>
                <w:rFonts w:cstheme="minorHAnsi"/>
                <w:color w:val="000000"/>
              </w:rPr>
            </w:pPr>
            <w:r w:rsidRPr="00B02F88">
              <w:rPr>
                <w:rFonts w:cstheme="minorHAnsi"/>
                <w:color w:val="000000"/>
              </w:rPr>
              <w:t xml:space="preserve">State and Local Government Employees </w:t>
            </w:r>
          </w:p>
        </w:tc>
        <w:tc>
          <w:tcPr>
            <w:tcW w:w="2357" w:type="pct"/>
            <w:tcBorders>
              <w:bottom w:val="single" w:sz="4" w:space="0" w:color="auto"/>
            </w:tcBorders>
            <w:noWrap/>
            <w:vAlign w:val="center"/>
            <w:hideMark/>
          </w:tcPr>
          <w:p w:rsidR="008A7754" w:rsidRPr="00B02F88" w:rsidP="00A34B84" w14:paraId="5EDB5552" w14:textId="6E7D5628">
            <w:pPr>
              <w:spacing w:after="0"/>
              <w:jc w:val="center"/>
              <w:rPr>
                <w:rFonts w:cstheme="minorHAnsi"/>
                <w:color w:val="000000"/>
              </w:rPr>
            </w:pPr>
            <w:r w:rsidRPr="00B02F88">
              <w:rPr>
                <w:rFonts w:cstheme="minorHAnsi"/>
                <w:color w:val="000000"/>
              </w:rPr>
              <w:t>$62.92</w:t>
            </w:r>
          </w:p>
        </w:tc>
      </w:tr>
      <w:tr w14:paraId="01F1A384" w14:textId="77777777" w:rsidTr="00023727">
        <w:tblPrEx>
          <w:tblW w:w="5000" w:type="pct"/>
          <w:tblLook w:val="04A0"/>
        </w:tblPrEx>
        <w:trPr>
          <w:trHeight w:val="290"/>
        </w:trPr>
        <w:tc>
          <w:tcPr>
            <w:tcW w:w="5000" w:type="pct"/>
            <w:gridSpan w:val="2"/>
            <w:tcBorders>
              <w:top w:val="single" w:sz="4" w:space="0" w:color="auto"/>
              <w:left w:val="nil"/>
              <w:bottom w:val="nil"/>
              <w:right w:val="nil"/>
            </w:tcBorders>
            <w:noWrap/>
            <w:vAlign w:val="center"/>
            <w:hideMark/>
          </w:tcPr>
          <w:p w:rsidR="008A7754" w:rsidRPr="00B02F88" w14:paraId="03918D98" w14:textId="77777777">
            <w:pPr>
              <w:spacing w:after="0"/>
              <w:rPr>
                <w:rFonts w:cstheme="minorHAnsi"/>
                <w:color w:val="000000"/>
              </w:rPr>
            </w:pPr>
            <w:r w:rsidRPr="00B02F88">
              <w:rPr>
                <w:rFonts w:cstheme="minorHAnsi"/>
                <w:color w:val="000000"/>
              </w:rPr>
              <w:t>*Fully Loaded Labor Rate includes wages and salaries as well as benefits.</w:t>
            </w:r>
          </w:p>
        </w:tc>
      </w:tr>
      <w:tr w14:paraId="4EA9B540" w14:textId="77777777" w:rsidTr="00023727">
        <w:tblPrEx>
          <w:tblW w:w="5000" w:type="pct"/>
          <w:tblLook w:val="04A0"/>
        </w:tblPrEx>
        <w:trPr>
          <w:trHeight w:val="300"/>
        </w:trPr>
        <w:tc>
          <w:tcPr>
            <w:tcW w:w="5000" w:type="pct"/>
            <w:gridSpan w:val="2"/>
            <w:tcBorders>
              <w:top w:val="nil"/>
              <w:left w:val="nil"/>
              <w:bottom w:val="nil"/>
              <w:right w:val="nil"/>
            </w:tcBorders>
            <w:noWrap/>
            <w:vAlign w:val="center"/>
            <w:hideMark/>
          </w:tcPr>
          <w:p w:rsidR="008A7754" w:rsidRPr="00B02F88" w14:paraId="2E1AA146" w14:textId="77777777">
            <w:pPr>
              <w:spacing w:after="240"/>
              <w:rPr>
                <w:rFonts w:cstheme="minorHAnsi"/>
                <w:color w:val="000000"/>
              </w:rPr>
            </w:pPr>
            <w:r w:rsidRPr="00B02F88">
              <w:rPr>
                <w:rFonts w:cstheme="minorHAnsi"/>
                <w:color w:val="000000"/>
              </w:rPr>
              <w:t>Source: BLS (2024a, 2024b)</w:t>
            </w:r>
          </w:p>
        </w:tc>
      </w:tr>
    </w:tbl>
    <w:p w:rsidR="008A7754" w:rsidRPr="00524411" w:rsidP="008A7754" w14:paraId="5F9B3948" w14:textId="77777777">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spacing w:after="240"/>
      </w:pPr>
      <w:r>
        <w:t xml:space="preserve">EPA estimated the public respondent cost by applying the fully loaded labor rates to the public </w:t>
      </w:r>
      <w:r w:rsidRPr="00524411">
        <w:t>burden estimates from Exhibit 1. Total estimated burden and costs to the public are 339 hours and $15,052 annually (1,017 hours and $45,155 for three years). See Exhibit 3.</w:t>
      </w:r>
    </w:p>
    <w:p w:rsidR="008A7754" w:rsidRPr="00524411" w:rsidP="008A7754" w14:paraId="60F1619C" w14:textId="77777777">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jc w:val="center"/>
      </w:pPr>
      <w:r w:rsidRPr="00524411">
        <w:rPr>
          <w:b/>
          <w:bCs/>
          <w:color w:val="000000"/>
        </w:rPr>
        <w:t>Exhibit 3. Public Estimated Burden and Costs</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4916"/>
        <w:gridCol w:w="891"/>
        <w:gridCol w:w="1825"/>
        <w:gridCol w:w="910"/>
        <w:gridCol w:w="1034"/>
      </w:tblGrid>
      <w:tr w14:paraId="61CD4F50" w14:textId="77777777" w:rsidTr="00023727">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Ex>
        <w:trPr>
          <w:trHeight w:val="20"/>
        </w:trPr>
        <w:tc>
          <w:tcPr>
            <w:tcW w:w="2567" w:type="pct"/>
            <w:vMerge w:val="restart"/>
            <w:vAlign w:val="center"/>
            <w:hideMark/>
          </w:tcPr>
          <w:p w:rsidR="008A7754" w:rsidRPr="00524411" w14:paraId="273A9170" w14:textId="77777777">
            <w:pPr>
              <w:spacing w:after="0"/>
              <w:rPr>
                <w:b/>
                <w:bCs/>
                <w:color w:val="000000"/>
              </w:rPr>
            </w:pPr>
            <w:r w:rsidRPr="00524411">
              <w:rPr>
                <w:b/>
                <w:bCs/>
                <w:color w:val="000000"/>
              </w:rPr>
              <w:t>Burden Activity</w:t>
            </w:r>
            <w:r w:rsidRPr="00524411">
              <w:rPr>
                <w:color w:val="000000"/>
                <w:sz w:val="16"/>
                <w:szCs w:val="16"/>
              </w:rPr>
              <w:t> </w:t>
            </w:r>
          </w:p>
        </w:tc>
        <w:tc>
          <w:tcPr>
            <w:tcW w:w="1418" w:type="pct"/>
            <w:gridSpan w:val="2"/>
            <w:vAlign w:val="center"/>
            <w:hideMark/>
          </w:tcPr>
          <w:p w:rsidR="008A7754" w:rsidRPr="00524411" w14:paraId="0CEA4185" w14:textId="77777777">
            <w:pPr>
              <w:spacing w:after="0"/>
              <w:jc w:val="center"/>
              <w:rPr>
                <w:b/>
                <w:bCs/>
                <w:color w:val="000000"/>
              </w:rPr>
            </w:pPr>
            <w:r w:rsidRPr="00524411">
              <w:rPr>
                <w:b/>
                <w:bCs/>
                <w:color w:val="000000"/>
              </w:rPr>
              <w:t>Annual</w:t>
            </w:r>
          </w:p>
        </w:tc>
        <w:tc>
          <w:tcPr>
            <w:tcW w:w="1015" w:type="pct"/>
            <w:gridSpan w:val="2"/>
            <w:vAlign w:val="center"/>
            <w:hideMark/>
          </w:tcPr>
          <w:p w:rsidR="008A7754" w:rsidRPr="00524411" w14:paraId="11E037E7" w14:textId="77777777">
            <w:pPr>
              <w:spacing w:after="0"/>
              <w:jc w:val="center"/>
              <w:rPr>
                <w:b/>
                <w:bCs/>
                <w:color w:val="000000"/>
              </w:rPr>
            </w:pPr>
            <w:r w:rsidRPr="00524411">
              <w:rPr>
                <w:b/>
                <w:bCs/>
                <w:color w:val="000000"/>
              </w:rPr>
              <w:t>Three-Year Total</w:t>
            </w:r>
          </w:p>
        </w:tc>
      </w:tr>
      <w:tr w14:paraId="61DA3E06" w14:textId="77777777" w:rsidTr="00023727">
        <w:tblPrEx>
          <w:tblW w:w="5000" w:type="pct"/>
          <w:tblLook w:val="04A0"/>
        </w:tblPrEx>
        <w:trPr>
          <w:trHeight w:val="20"/>
        </w:trPr>
        <w:tc>
          <w:tcPr>
            <w:tcW w:w="2567" w:type="pct"/>
            <w:vMerge/>
            <w:vAlign w:val="center"/>
            <w:hideMark/>
          </w:tcPr>
          <w:p w:rsidR="008A7754" w:rsidRPr="00524411" w14:paraId="1C68AB52" w14:textId="77777777">
            <w:pPr>
              <w:spacing w:after="0"/>
              <w:rPr>
                <w:b/>
                <w:bCs/>
                <w:color w:val="000000"/>
              </w:rPr>
            </w:pPr>
          </w:p>
        </w:tc>
        <w:tc>
          <w:tcPr>
            <w:tcW w:w="465" w:type="pct"/>
            <w:vAlign w:val="center"/>
            <w:hideMark/>
          </w:tcPr>
          <w:p w:rsidR="008A7754" w:rsidRPr="00524411" w14:paraId="76813AE8" w14:textId="77777777">
            <w:pPr>
              <w:spacing w:after="0"/>
              <w:jc w:val="center"/>
              <w:rPr>
                <w:b/>
                <w:bCs/>
                <w:color w:val="000000"/>
              </w:rPr>
            </w:pPr>
            <w:r w:rsidRPr="00524411">
              <w:rPr>
                <w:b/>
                <w:bCs/>
                <w:color w:val="000000"/>
              </w:rPr>
              <w:t>Hours</w:t>
            </w:r>
          </w:p>
        </w:tc>
        <w:tc>
          <w:tcPr>
            <w:tcW w:w="953" w:type="pct"/>
            <w:vAlign w:val="center"/>
            <w:hideMark/>
          </w:tcPr>
          <w:p w:rsidR="008A7754" w:rsidRPr="00524411" w14:paraId="56BDD97B" w14:textId="77777777">
            <w:pPr>
              <w:spacing w:after="0"/>
              <w:jc w:val="center"/>
              <w:rPr>
                <w:b/>
                <w:bCs/>
                <w:color w:val="000000"/>
              </w:rPr>
            </w:pPr>
            <w:r w:rsidRPr="00524411">
              <w:rPr>
                <w:b/>
                <w:bCs/>
                <w:color w:val="000000"/>
              </w:rPr>
              <w:t>Cost</w:t>
            </w:r>
          </w:p>
        </w:tc>
        <w:tc>
          <w:tcPr>
            <w:tcW w:w="475" w:type="pct"/>
            <w:vAlign w:val="center"/>
            <w:hideMark/>
          </w:tcPr>
          <w:p w:rsidR="008A7754" w:rsidRPr="00524411" w14:paraId="4C4D1F9F" w14:textId="77777777">
            <w:pPr>
              <w:spacing w:after="0"/>
              <w:jc w:val="center"/>
              <w:rPr>
                <w:b/>
                <w:bCs/>
                <w:color w:val="000000"/>
              </w:rPr>
            </w:pPr>
            <w:r w:rsidRPr="00524411">
              <w:rPr>
                <w:b/>
                <w:bCs/>
                <w:color w:val="000000"/>
              </w:rPr>
              <w:t>Hours</w:t>
            </w:r>
          </w:p>
        </w:tc>
        <w:tc>
          <w:tcPr>
            <w:tcW w:w="539" w:type="pct"/>
            <w:vAlign w:val="center"/>
            <w:hideMark/>
          </w:tcPr>
          <w:p w:rsidR="008A7754" w:rsidRPr="00524411" w14:paraId="45C2EBBB" w14:textId="77777777">
            <w:pPr>
              <w:spacing w:after="0"/>
              <w:jc w:val="center"/>
              <w:rPr>
                <w:b/>
                <w:bCs/>
                <w:color w:val="000000"/>
              </w:rPr>
            </w:pPr>
            <w:r w:rsidRPr="00524411">
              <w:rPr>
                <w:b/>
                <w:bCs/>
                <w:color w:val="000000"/>
              </w:rPr>
              <w:t>Cost</w:t>
            </w:r>
          </w:p>
        </w:tc>
      </w:tr>
      <w:tr w14:paraId="2332880A" w14:textId="77777777" w:rsidTr="00023727">
        <w:tblPrEx>
          <w:tblW w:w="5000" w:type="pct"/>
          <w:tblLook w:val="04A0"/>
        </w:tblPrEx>
        <w:trPr>
          <w:trHeight w:val="20"/>
        </w:trPr>
        <w:tc>
          <w:tcPr>
            <w:tcW w:w="2567" w:type="pct"/>
            <w:vAlign w:val="center"/>
            <w:hideMark/>
          </w:tcPr>
          <w:p w:rsidR="008A7754" w:rsidRPr="00524411" w14:paraId="0C8A44E6" w14:textId="77777777">
            <w:pPr>
              <w:spacing w:after="0"/>
              <w:rPr>
                <w:color w:val="000000"/>
              </w:rPr>
            </w:pPr>
            <w:r w:rsidRPr="00524411">
              <w:rPr>
                <w:color w:val="000000"/>
              </w:rPr>
              <w:t>Reading Rooms - Federal</w:t>
            </w:r>
          </w:p>
        </w:tc>
        <w:tc>
          <w:tcPr>
            <w:tcW w:w="465" w:type="pct"/>
            <w:vAlign w:val="center"/>
            <w:hideMark/>
          </w:tcPr>
          <w:p w:rsidR="008A7754" w:rsidRPr="00524411" w14:paraId="2F81E16E" w14:textId="77777777">
            <w:pPr>
              <w:spacing w:after="0"/>
              <w:jc w:val="center"/>
              <w:rPr>
                <w:color w:val="000000"/>
              </w:rPr>
            </w:pPr>
            <w:r w:rsidRPr="00524411">
              <w:rPr>
                <w:color w:val="000000"/>
              </w:rPr>
              <w:t>12</w:t>
            </w:r>
          </w:p>
        </w:tc>
        <w:tc>
          <w:tcPr>
            <w:tcW w:w="953" w:type="pct"/>
            <w:vAlign w:val="center"/>
            <w:hideMark/>
          </w:tcPr>
          <w:p w:rsidR="008A7754" w:rsidRPr="00524411" w14:paraId="24B20371" w14:textId="77777777">
            <w:pPr>
              <w:spacing w:after="0"/>
              <w:jc w:val="center"/>
              <w:rPr>
                <w:color w:val="000000"/>
              </w:rPr>
            </w:pPr>
            <w:r w:rsidRPr="00524411">
              <w:rPr>
                <w:color w:val="000000"/>
              </w:rPr>
              <w:t xml:space="preserve">$533 </w:t>
            </w:r>
          </w:p>
        </w:tc>
        <w:tc>
          <w:tcPr>
            <w:tcW w:w="475" w:type="pct"/>
            <w:vAlign w:val="center"/>
            <w:hideMark/>
          </w:tcPr>
          <w:p w:rsidR="008A7754" w:rsidRPr="00524411" w14:paraId="5C3ACEA8" w14:textId="77777777">
            <w:pPr>
              <w:spacing w:after="0"/>
              <w:jc w:val="center"/>
              <w:rPr>
                <w:color w:val="000000"/>
              </w:rPr>
            </w:pPr>
            <w:r w:rsidRPr="00524411">
              <w:rPr>
                <w:color w:val="000000"/>
              </w:rPr>
              <w:t>36</w:t>
            </w:r>
          </w:p>
        </w:tc>
        <w:tc>
          <w:tcPr>
            <w:tcW w:w="539" w:type="pct"/>
            <w:vAlign w:val="center"/>
            <w:hideMark/>
          </w:tcPr>
          <w:p w:rsidR="008A7754" w:rsidRPr="00524411" w14:paraId="5716DD3E" w14:textId="77777777">
            <w:pPr>
              <w:spacing w:after="0"/>
              <w:jc w:val="center"/>
              <w:rPr>
                <w:color w:val="000000"/>
              </w:rPr>
            </w:pPr>
            <w:r w:rsidRPr="00524411">
              <w:rPr>
                <w:color w:val="000000"/>
              </w:rPr>
              <w:t xml:space="preserve">$1,598 </w:t>
            </w:r>
          </w:p>
        </w:tc>
      </w:tr>
      <w:tr w14:paraId="2AC788DB" w14:textId="77777777" w:rsidTr="00023727">
        <w:tblPrEx>
          <w:tblW w:w="5000" w:type="pct"/>
          <w:tblLook w:val="04A0"/>
        </w:tblPrEx>
        <w:trPr>
          <w:trHeight w:val="20"/>
        </w:trPr>
        <w:tc>
          <w:tcPr>
            <w:tcW w:w="2567" w:type="pct"/>
            <w:vAlign w:val="center"/>
            <w:hideMark/>
          </w:tcPr>
          <w:p w:rsidR="008A7754" w:rsidRPr="00524411" w14:paraId="6499AC6A" w14:textId="77777777">
            <w:pPr>
              <w:spacing w:after="0"/>
              <w:rPr>
                <w:color w:val="000000"/>
              </w:rPr>
            </w:pPr>
            <w:r w:rsidRPr="00524411">
              <w:rPr>
                <w:color w:val="000000"/>
              </w:rPr>
              <w:t>Reading Rooms - State and Local</w:t>
            </w:r>
          </w:p>
        </w:tc>
        <w:tc>
          <w:tcPr>
            <w:tcW w:w="465" w:type="pct"/>
            <w:vAlign w:val="center"/>
            <w:hideMark/>
          </w:tcPr>
          <w:p w:rsidR="008A7754" w:rsidRPr="00524411" w14:paraId="767854F7" w14:textId="77777777">
            <w:pPr>
              <w:spacing w:after="0"/>
              <w:jc w:val="center"/>
              <w:rPr>
                <w:color w:val="000000"/>
              </w:rPr>
            </w:pPr>
            <w:r w:rsidRPr="00524411">
              <w:rPr>
                <w:color w:val="000000"/>
              </w:rPr>
              <w:t>5</w:t>
            </w:r>
          </w:p>
        </w:tc>
        <w:tc>
          <w:tcPr>
            <w:tcW w:w="953" w:type="pct"/>
            <w:vAlign w:val="center"/>
            <w:hideMark/>
          </w:tcPr>
          <w:p w:rsidR="008A7754" w:rsidRPr="00524411" w14:paraId="01608E9B" w14:textId="77777777">
            <w:pPr>
              <w:spacing w:after="0"/>
              <w:jc w:val="center"/>
              <w:rPr>
                <w:color w:val="000000"/>
              </w:rPr>
            </w:pPr>
            <w:r w:rsidRPr="00524411">
              <w:rPr>
                <w:color w:val="000000"/>
              </w:rPr>
              <w:t xml:space="preserve">$222 </w:t>
            </w:r>
          </w:p>
        </w:tc>
        <w:tc>
          <w:tcPr>
            <w:tcW w:w="475" w:type="pct"/>
            <w:vAlign w:val="center"/>
            <w:hideMark/>
          </w:tcPr>
          <w:p w:rsidR="008A7754" w:rsidRPr="00524411" w14:paraId="704B81FC" w14:textId="77777777">
            <w:pPr>
              <w:spacing w:after="0"/>
              <w:jc w:val="center"/>
              <w:rPr>
                <w:color w:val="000000"/>
              </w:rPr>
            </w:pPr>
            <w:r w:rsidRPr="00524411">
              <w:rPr>
                <w:color w:val="000000"/>
              </w:rPr>
              <w:t>15</w:t>
            </w:r>
          </w:p>
        </w:tc>
        <w:tc>
          <w:tcPr>
            <w:tcW w:w="539" w:type="pct"/>
            <w:vAlign w:val="center"/>
            <w:hideMark/>
          </w:tcPr>
          <w:p w:rsidR="008A7754" w:rsidRPr="00524411" w14:paraId="1BC68ACD" w14:textId="77777777">
            <w:pPr>
              <w:spacing w:after="0"/>
              <w:jc w:val="center"/>
              <w:rPr>
                <w:color w:val="000000"/>
              </w:rPr>
            </w:pPr>
            <w:r w:rsidRPr="00524411">
              <w:rPr>
                <w:color w:val="000000"/>
              </w:rPr>
              <w:t xml:space="preserve">$666 </w:t>
            </w:r>
          </w:p>
        </w:tc>
      </w:tr>
      <w:tr w14:paraId="2E614A79" w14:textId="77777777" w:rsidTr="00023727">
        <w:tblPrEx>
          <w:tblW w:w="5000" w:type="pct"/>
          <w:tblLook w:val="04A0"/>
        </w:tblPrEx>
        <w:trPr>
          <w:trHeight w:val="20"/>
        </w:trPr>
        <w:tc>
          <w:tcPr>
            <w:tcW w:w="2567" w:type="pct"/>
            <w:vAlign w:val="center"/>
            <w:hideMark/>
          </w:tcPr>
          <w:p w:rsidR="008A7754" w:rsidRPr="00524411" w14:paraId="43D9FDBE" w14:textId="77777777">
            <w:pPr>
              <w:spacing w:after="0"/>
              <w:rPr>
                <w:color w:val="000000"/>
              </w:rPr>
            </w:pPr>
            <w:r w:rsidRPr="00524411">
              <w:rPr>
                <w:color w:val="000000"/>
              </w:rPr>
              <w:t>Vulnerable Zone Indicator System (VZIS) Inquiries</w:t>
            </w:r>
          </w:p>
        </w:tc>
        <w:tc>
          <w:tcPr>
            <w:tcW w:w="465" w:type="pct"/>
            <w:vAlign w:val="center"/>
            <w:hideMark/>
          </w:tcPr>
          <w:p w:rsidR="008A7754" w:rsidRPr="00524411" w14:paraId="1CE8471B" w14:textId="77777777">
            <w:pPr>
              <w:spacing w:after="0"/>
              <w:jc w:val="center"/>
              <w:rPr>
                <w:color w:val="000000"/>
              </w:rPr>
            </w:pPr>
            <w:r w:rsidRPr="00524411">
              <w:rPr>
                <w:bCs/>
                <w:color w:val="000000"/>
              </w:rPr>
              <w:t>322</w:t>
            </w:r>
          </w:p>
        </w:tc>
        <w:tc>
          <w:tcPr>
            <w:tcW w:w="953" w:type="pct"/>
            <w:vAlign w:val="center"/>
            <w:hideMark/>
          </w:tcPr>
          <w:p w:rsidR="008A7754" w:rsidRPr="00524411" w14:paraId="15FC8B90" w14:textId="77777777">
            <w:pPr>
              <w:spacing w:after="0"/>
              <w:jc w:val="center"/>
              <w:rPr>
                <w:color w:val="000000"/>
              </w:rPr>
            </w:pPr>
            <w:r w:rsidRPr="00524411">
              <w:rPr>
                <w:color w:val="000000"/>
              </w:rPr>
              <w:t xml:space="preserve">$14,297 </w:t>
            </w:r>
          </w:p>
        </w:tc>
        <w:tc>
          <w:tcPr>
            <w:tcW w:w="475" w:type="pct"/>
            <w:vAlign w:val="center"/>
            <w:hideMark/>
          </w:tcPr>
          <w:p w:rsidR="008A7754" w:rsidRPr="00524411" w14:paraId="1482C1FF" w14:textId="77777777">
            <w:pPr>
              <w:spacing w:after="0"/>
              <w:jc w:val="center"/>
              <w:rPr>
                <w:color w:val="000000"/>
              </w:rPr>
            </w:pPr>
            <w:r w:rsidRPr="00524411">
              <w:rPr>
                <w:bCs/>
                <w:color w:val="000000"/>
              </w:rPr>
              <w:t>966</w:t>
            </w:r>
          </w:p>
        </w:tc>
        <w:tc>
          <w:tcPr>
            <w:tcW w:w="539" w:type="pct"/>
            <w:vAlign w:val="center"/>
            <w:hideMark/>
          </w:tcPr>
          <w:p w:rsidR="008A7754" w:rsidRPr="00524411" w14:paraId="77590D54" w14:textId="77777777">
            <w:pPr>
              <w:spacing w:after="0"/>
              <w:jc w:val="center"/>
              <w:rPr>
                <w:color w:val="000000"/>
              </w:rPr>
            </w:pPr>
            <w:r w:rsidRPr="00524411">
              <w:rPr>
                <w:color w:val="000000"/>
              </w:rPr>
              <w:t xml:space="preserve">$42,890 </w:t>
            </w:r>
          </w:p>
        </w:tc>
      </w:tr>
      <w:tr w14:paraId="72DD819A" w14:textId="77777777" w:rsidTr="00023727">
        <w:tblPrEx>
          <w:tblW w:w="5000" w:type="pct"/>
          <w:tblLook w:val="04A0"/>
        </w:tblPrEx>
        <w:trPr>
          <w:trHeight w:val="20"/>
        </w:trPr>
        <w:tc>
          <w:tcPr>
            <w:tcW w:w="2567" w:type="pct"/>
            <w:vAlign w:val="center"/>
            <w:hideMark/>
          </w:tcPr>
          <w:p w:rsidR="008A7754" w:rsidRPr="00524411" w14:paraId="6572E0A4" w14:textId="77777777">
            <w:pPr>
              <w:spacing w:after="0"/>
              <w:rPr>
                <w:b/>
                <w:bCs/>
                <w:color w:val="000000"/>
              </w:rPr>
            </w:pPr>
            <w:r w:rsidRPr="00524411">
              <w:rPr>
                <w:b/>
                <w:bCs/>
                <w:color w:val="000000"/>
              </w:rPr>
              <w:t>Total</w:t>
            </w:r>
          </w:p>
        </w:tc>
        <w:tc>
          <w:tcPr>
            <w:tcW w:w="465" w:type="pct"/>
            <w:vAlign w:val="center"/>
            <w:hideMark/>
          </w:tcPr>
          <w:p w:rsidR="008A7754" w:rsidRPr="00524411" w14:paraId="0320E7DF" w14:textId="77777777">
            <w:pPr>
              <w:spacing w:after="0"/>
              <w:jc w:val="center"/>
              <w:rPr>
                <w:b/>
                <w:bCs/>
                <w:color w:val="000000"/>
              </w:rPr>
            </w:pPr>
            <w:r w:rsidRPr="00524411">
              <w:rPr>
                <w:b/>
                <w:bCs/>
                <w:color w:val="000000"/>
              </w:rPr>
              <w:t>339</w:t>
            </w:r>
          </w:p>
        </w:tc>
        <w:tc>
          <w:tcPr>
            <w:tcW w:w="953" w:type="pct"/>
            <w:vAlign w:val="center"/>
            <w:hideMark/>
          </w:tcPr>
          <w:p w:rsidR="008A7754" w:rsidRPr="00524411" w14:paraId="206C05E5" w14:textId="77777777">
            <w:pPr>
              <w:spacing w:after="0"/>
              <w:jc w:val="center"/>
              <w:rPr>
                <w:b/>
                <w:bCs/>
                <w:color w:val="000000"/>
              </w:rPr>
            </w:pPr>
            <w:r w:rsidRPr="00524411">
              <w:rPr>
                <w:b/>
                <w:bCs/>
                <w:color w:val="000000"/>
              </w:rPr>
              <w:t>$15,052</w:t>
            </w:r>
          </w:p>
        </w:tc>
        <w:tc>
          <w:tcPr>
            <w:tcW w:w="475" w:type="pct"/>
            <w:vAlign w:val="center"/>
            <w:hideMark/>
          </w:tcPr>
          <w:p w:rsidR="008A7754" w:rsidRPr="00524411" w14:paraId="6B2AD84A" w14:textId="77777777">
            <w:pPr>
              <w:spacing w:after="0"/>
              <w:jc w:val="center"/>
              <w:rPr>
                <w:b/>
                <w:bCs/>
                <w:color w:val="000000"/>
              </w:rPr>
            </w:pPr>
            <w:r w:rsidRPr="00524411">
              <w:rPr>
                <w:b/>
                <w:bCs/>
                <w:color w:val="000000"/>
              </w:rPr>
              <w:t>1,017</w:t>
            </w:r>
          </w:p>
        </w:tc>
        <w:tc>
          <w:tcPr>
            <w:tcW w:w="539" w:type="pct"/>
            <w:vAlign w:val="center"/>
            <w:hideMark/>
          </w:tcPr>
          <w:p w:rsidR="008A7754" w14:paraId="65B88544" w14:textId="77777777">
            <w:pPr>
              <w:spacing w:after="0"/>
              <w:jc w:val="center"/>
              <w:rPr>
                <w:b/>
                <w:bCs/>
                <w:color w:val="000000"/>
              </w:rPr>
            </w:pPr>
            <w:r w:rsidRPr="00524411">
              <w:rPr>
                <w:b/>
                <w:bCs/>
                <w:color w:val="000000"/>
              </w:rPr>
              <w:t>$45,155</w:t>
            </w:r>
          </w:p>
        </w:tc>
      </w:tr>
    </w:tbl>
    <w:p w:rsidR="008A7754" w:rsidP="008A7754" w14:paraId="36C1F379" w14:textId="77777777">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pPr>
    </w:p>
    <w:p w:rsidR="008A7754" w:rsidRPr="00496DCB" w:rsidP="008A7754" w14:paraId="49A62C9E" w14:textId="0D23A47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rPr>
          <w:b/>
          <w:bCs/>
          <w:u w:val="single"/>
        </w:rPr>
      </w:pPr>
      <w:r w:rsidRPr="00496DCB">
        <w:rPr>
          <w:b/>
          <w:bCs/>
          <w:u w:val="single"/>
        </w:rPr>
        <w:t>State and Local Agencies and LEPCs</w:t>
      </w:r>
    </w:p>
    <w:p w:rsidR="008A7754" w:rsidRPr="00AA4255" w:rsidP="008A7754" w14:paraId="070A8411" w14:textId="2B6876F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spacing w:after="240"/>
        <w:rPr>
          <w:i/>
          <w:iCs/>
        </w:rPr>
      </w:pPr>
      <w:r w:rsidRPr="00AA4255">
        <w:rPr>
          <w:i/>
          <w:iCs/>
        </w:rPr>
        <w:t>Labor Burden</w:t>
      </w:r>
    </w:p>
    <w:p w:rsidR="008A7754" w:rsidRPr="00383746" w:rsidP="008A7754" w14:paraId="39792B69"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spacing w:after="240"/>
      </w:pPr>
      <w:r w:rsidRPr="00383746">
        <w:t>State government agencies such as emergency management, environmental protection, health, and natural resources departments can request OCA data from EPA for all facilities in the</w:t>
      </w:r>
      <w:r>
        <w:t>ir</w:t>
      </w:r>
      <w:r w:rsidRPr="00383746">
        <w:t xml:space="preserve"> </w:t>
      </w:r>
      <w:r>
        <w:t>S</w:t>
      </w:r>
      <w:r w:rsidRPr="00383746">
        <w:t xml:space="preserve">tate. States are authorized </w:t>
      </w:r>
      <w:r>
        <w:t xml:space="preserve">and encouraged by the rule </w:t>
      </w:r>
      <w:r w:rsidRPr="00383746">
        <w:t xml:space="preserve">to make the OCA information available for reading, but not copying mechanically, </w:t>
      </w:r>
      <w:r>
        <w:t xml:space="preserve">in public reading rooms </w:t>
      </w:r>
      <w:r w:rsidRPr="00383746">
        <w:t>for the same stationary sources as the LEPC in whose jurisdiction the person lives or works and must verify the person’s address or place of employment.</w:t>
      </w:r>
    </w:p>
    <w:p w:rsidR="008A7754" w:rsidRPr="00383746" w:rsidP="008A7754" w14:paraId="78832D90"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spacing w:after="240"/>
      </w:pPr>
      <w:r w:rsidRPr="00383746">
        <w:t>LEPCs and related local government agencies</w:t>
      </w:r>
      <w:r>
        <w:t xml:space="preserve"> </w:t>
      </w:r>
      <w:r w:rsidRPr="00383746">
        <w:t>such as police, fire, emergency management and planning departments</w:t>
      </w:r>
      <w:r>
        <w:t>,</w:t>
      </w:r>
      <w:r w:rsidRPr="00383746">
        <w:t xml:space="preserve"> </w:t>
      </w:r>
      <w:r>
        <w:t xml:space="preserve">also </w:t>
      </w:r>
      <w:r w:rsidRPr="00383746">
        <w:t>are authorized</w:t>
      </w:r>
      <w:r>
        <w:t xml:space="preserve"> and encouraged</w:t>
      </w:r>
      <w:r w:rsidRPr="00383746">
        <w:t xml:space="preserve"> </w:t>
      </w:r>
      <w:r>
        <w:t>by the rule</w:t>
      </w:r>
      <w:r w:rsidRPr="00383746">
        <w:t xml:space="preserve"> </w:t>
      </w:r>
      <w:r>
        <w:t xml:space="preserve">to </w:t>
      </w:r>
      <w:r w:rsidRPr="00383746">
        <w:t>provide read-only access to OCA sections of RMPs for sources located within the jurisdiction of the LEPC and for any other stationary sources with vulnerability zones extending into the LEPC’s jurisdiction</w:t>
      </w:r>
      <w:r>
        <w:t xml:space="preserve"> in public reading rooms</w:t>
      </w:r>
      <w:r w:rsidRPr="00383746">
        <w:t xml:space="preserve">. They are not required to limit the number of stationary sources for which a person can gain access, ascertain a person’s identity or place of residence or work, or keep records of public access provided. While local agencies are authorized and encouraged to provide public access to OCA sections of RMPs, they are not required to do so.  </w:t>
      </w:r>
    </w:p>
    <w:p w:rsidR="008A7754" w:rsidP="008A7754" w14:paraId="04EDF1B7" w14:textId="10624C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pPr>
      <w:r w:rsidRPr="00383746">
        <w:t>State</w:t>
      </w:r>
      <w:r>
        <w:t xml:space="preserve"> and local government agencies,</w:t>
      </w:r>
      <w:r w:rsidRPr="00383746">
        <w:t xml:space="preserve"> and LEPCs can obtain OCA data </w:t>
      </w:r>
      <w:r>
        <w:t>via</w:t>
      </w:r>
      <w:r w:rsidRPr="00383746">
        <w:t xml:space="preserve"> RMP*Info and via RMP Dataset Download. They must send a written request to EPA </w:t>
      </w:r>
      <w:r>
        <w:t xml:space="preserve">so that EPA can </w:t>
      </w:r>
      <w:r w:rsidRPr="00383746">
        <w:t>ensure that they a</w:t>
      </w:r>
      <w:r>
        <w:t>re a</w:t>
      </w:r>
      <w:r w:rsidRPr="00383746">
        <w:t xml:space="preserve"> covered person and entitled to receive the data. </w:t>
      </w:r>
    </w:p>
    <w:p w:rsidR="008A7754" w:rsidP="008A7754" w14:paraId="375EBB45" w14:textId="1E03AE4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spacing w:after="240"/>
      </w:pPr>
      <w:r>
        <w:t xml:space="preserve">Exhibit </w:t>
      </w:r>
      <w:r w:rsidR="00E36345">
        <w:t>4</w:t>
      </w:r>
      <w:r>
        <w:t xml:space="preserve"> shows the numbers of CDX registrations </w:t>
      </w:r>
      <w:r w:rsidR="00267002">
        <w:t>by all requestors of OCA data</w:t>
      </w:r>
      <w:r w:rsidR="00CC044E">
        <w:t xml:space="preserve"> </w:t>
      </w:r>
      <w:r>
        <w:t>during the previous three-year ICR period.</w:t>
      </w:r>
      <w:r w:rsidRPr="00383746">
        <w:t xml:space="preserve"> </w:t>
      </w:r>
      <w:r w:rsidR="00CC044E">
        <w:t xml:space="preserve">Only a subset of these requestors will be State and local government agencies, </w:t>
      </w:r>
      <w:r w:rsidR="00CC044E">
        <w:t xml:space="preserve">but all requestors are used to be conservative in the burden estimate. </w:t>
      </w:r>
      <w:r w:rsidRPr="00B6398D">
        <w:t>I</w:t>
      </w:r>
      <w:r>
        <w:t xml:space="preserve">n addition, </w:t>
      </w:r>
      <w:r w:rsidRPr="00B6398D">
        <w:t>LEPCs can</w:t>
      </w:r>
      <w:r w:rsidRPr="00383746">
        <w:t xml:space="preserve"> request OCA information from </w:t>
      </w:r>
      <w:r w:rsidRPr="00B6398D">
        <w:t>EPA for their own use</w:t>
      </w:r>
      <w:r>
        <w:t>,</w:t>
      </w:r>
      <w:r w:rsidRPr="00B6398D">
        <w:t xml:space="preserve"> such as emergency planning</w:t>
      </w:r>
      <w:r>
        <w:t>,</w:t>
      </w:r>
      <w:r w:rsidRPr="00B6398D">
        <w:t xml:space="preserve"> and some of these LEPCs may also provide public read-only</w:t>
      </w:r>
      <w:r w:rsidRPr="00383746">
        <w:t xml:space="preserve"> access.</w:t>
      </w:r>
      <w:r>
        <w:t xml:space="preserve"> </w:t>
      </w:r>
      <w:r w:rsidRPr="00695AAA">
        <w:t xml:space="preserve">This ICR assumes the same number </w:t>
      </w:r>
      <w:r>
        <w:t xml:space="preserve">of State and local agencies </w:t>
      </w:r>
      <w:r w:rsidRPr="00695AAA">
        <w:t>will register for OCA data access via CDX during this ICR renewal period, or</w:t>
      </w:r>
      <w:r>
        <w:t xml:space="preserve"> a total of</w:t>
      </w:r>
      <w:r w:rsidRPr="00695AAA">
        <w:t xml:space="preserve"> </w:t>
      </w:r>
      <w:r>
        <w:t>21</w:t>
      </w:r>
      <w:r w:rsidRPr="00695AAA">
        <w:t xml:space="preserve"> per year. </w:t>
      </w:r>
      <w:r w:rsidRPr="00383746">
        <w:t xml:space="preserve">State and local </w:t>
      </w:r>
      <w:r>
        <w:t xml:space="preserve">government </w:t>
      </w:r>
      <w:r w:rsidRPr="00383746">
        <w:t>agencies requesting OCA data include members of SERCs, environmental protection agencies, emergency management agencies, etc.</w:t>
      </w:r>
    </w:p>
    <w:p w:rsidR="008A7754" w:rsidRPr="00F1359F" w:rsidP="008A7754" w14:paraId="48430BF9" w14:textId="7DA4FD16">
      <w:pPr>
        <w:widowControl w:val="0"/>
        <w:tabs>
          <w:tab w:val="left" w:pos="0"/>
          <w:tab w:val="left" w:pos="2160"/>
          <w:tab w:val="left" w:pos="2880"/>
          <w:tab w:val="left" w:pos="3600"/>
          <w:tab w:val="left" w:pos="4320"/>
          <w:tab w:val="left" w:pos="5040"/>
          <w:tab w:val="left" w:pos="5760"/>
          <w:tab w:val="left" w:pos="6480"/>
          <w:tab w:val="left" w:pos="7200"/>
          <w:tab w:val="left" w:pos="7922"/>
        </w:tabs>
        <w:autoSpaceDE w:val="0"/>
        <w:autoSpaceDN w:val="0"/>
        <w:adjustRightInd w:val="0"/>
        <w:spacing w:after="240"/>
        <w:jc w:val="center"/>
        <w:rPr>
          <w:b/>
          <w:bCs/>
        </w:rPr>
      </w:pPr>
      <w:r w:rsidRPr="00695510">
        <w:rPr>
          <w:b/>
          <w:bCs/>
        </w:rPr>
        <w:t>Exhibit</w:t>
      </w:r>
      <w:r>
        <w:rPr>
          <w:b/>
          <w:bCs/>
        </w:rPr>
        <w:t xml:space="preserve"> </w:t>
      </w:r>
      <w:r w:rsidR="00E36345">
        <w:rPr>
          <w:b/>
          <w:bCs/>
        </w:rPr>
        <w:t>4</w:t>
      </w:r>
      <w:r>
        <w:rPr>
          <w:b/>
          <w:bCs/>
        </w:rPr>
        <w:t>. C</w:t>
      </w:r>
      <w:r w:rsidRPr="00695510">
        <w:rPr>
          <w:b/>
          <w:bCs/>
        </w:rPr>
        <w:t>DX</w:t>
      </w:r>
      <w:r>
        <w:rPr>
          <w:b/>
          <w:bCs/>
        </w:rPr>
        <w:t xml:space="preserve"> Registrations</w:t>
      </w:r>
      <w:r w:rsidR="005D2DB3">
        <w:rPr>
          <w:b/>
          <w:bCs/>
        </w:rPr>
        <w:t xml:space="preserve"> for Requestors of OCA Data</w:t>
      </w:r>
    </w:p>
    <w:tbl>
      <w:tblPr>
        <w:tblStyle w:val="TableGrid"/>
        <w:tblW w:w="5000" w:type="pct"/>
        <w:tblLook w:val="04A0"/>
      </w:tblPr>
      <w:tblGrid>
        <w:gridCol w:w="2814"/>
        <w:gridCol w:w="967"/>
        <w:gridCol w:w="965"/>
        <w:gridCol w:w="965"/>
        <w:gridCol w:w="1934"/>
        <w:gridCol w:w="1931"/>
      </w:tblGrid>
      <w:tr w14:paraId="0A49FFBB" w14:textId="77777777" w:rsidTr="00B74A04">
        <w:tblPrEx>
          <w:tblW w:w="5000" w:type="pct"/>
          <w:tblLook w:val="04A0"/>
        </w:tblPrEx>
        <w:tc>
          <w:tcPr>
            <w:tcW w:w="1469" w:type="pct"/>
          </w:tcPr>
          <w:p w:rsidR="008A7754" w14:paraId="4F2F3B5A"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jc w:val="center"/>
            </w:pPr>
          </w:p>
        </w:tc>
        <w:tc>
          <w:tcPr>
            <w:tcW w:w="505" w:type="pct"/>
            <w:vAlign w:val="center"/>
          </w:tcPr>
          <w:p w:rsidR="008A7754" w:rsidRPr="00616F6F" w14:paraId="6204DB1D"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jc w:val="center"/>
              <w:rPr>
                <w:b/>
                <w:bCs/>
              </w:rPr>
            </w:pPr>
            <w:r w:rsidRPr="00616F6F">
              <w:rPr>
                <w:b/>
                <w:bCs/>
              </w:rPr>
              <w:t>20</w:t>
            </w:r>
            <w:r>
              <w:rPr>
                <w:b/>
                <w:bCs/>
              </w:rPr>
              <w:t>22</w:t>
            </w:r>
          </w:p>
        </w:tc>
        <w:tc>
          <w:tcPr>
            <w:tcW w:w="504" w:type="pct"/>
            <w:vAlign w:val="center"/>
          </w:tcPr>
          <w:p w:rsidR="008A7754" w:rsidRPr="00616F6F" w14:paraId="6F56C531"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jc w:val="center"/>
              <w:rPr>
                <w:b/>
                <w:bCs/>
              </w:rPr>
            </w:pPr>
            <w:r w:rsidRPr="00616F6F">
              <w:rPr>
                <w:b/>
                <w:bCs/>
              </w:rPr>
              <w:t>202</w:t>
            </w:r>
            <w:r>
              <w:rPr>
                <w:b/>
                <w:bCs/>
              </w:rPr>
              <w:t>4</w:t>
            </w:r>
          </w:p>
        </w:tc>
        <w:tc>
          <w:tcPr>
            <w:tcW w:w="504" w:type="pct"/>
            <w:vAlign w:val="center"/>
          </w:tcPr>
          <w:p w:rsidR="008A7754" w:rsidRPr="00616F6F" w14:paraId="6ED7EAF3"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jc w:val="center"/>
              <w:rPr>
                <w:b/>
                <w:bCs/>
              </w:rPr>
            </w:pPr>
            <w:r w:rsidRPr="00616F6F">
              <w:rPr>
                <w:b/>
                <w:bCs/>
              </w:rPr>
              <w:t>202</w:t>
            </w:r>
            <w:r>
              <w:rPr>
                <w:b/>
                <w:bCs/>
              </w:rPr>
              <w:t>4</w:t>
            </w:r>
          </w:p>
        </w:tc>
        <w:tc>
          <w:tcPr>
            <w:tcW w:w="1010" w:type="pct"/>
          </w:tcPr>
          <w:p w:rsidR="008A7754" w14:paraId="6C5D59BF"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jc w:val="center"/>
              <w:rPr>
                <w:b/>
                <w:bCs/>
              </w:rPr>
            </w:pPr>
            <w:r>
              <w:rPr>
                <w:b/>
                <w:bCs/>
              </w:rPr>
              <w:t>Annual Average</w:t>
            </w:r>
          </w:p>
        </w:tc>
        <w:tc>
          <w:tcPr>
            <w:tcW w:w="1009" w:type="pct"/>
          </w:tcPr>
          <w:p w:rsidR="008A7754" w:rsidRPr="001D1A2F" w14:paraId="5448DCC3"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jc w:val="center"/>
              <w:rPr>
                <w:b/>
                <w:bCs/>
              </w:rPr>
            </w:pPr>
            <w:r>
              <w:rPr>
                <w:b/>
                <w:bCs/>
              </w:rPr>
              <w:t xml:space="preserve">Three-Year </w:t>
            </w:r>
            <w:r w:rsidRPr="001D1A2F">
              <w:rPr>
                <w:b/>
                <w:bCs/>
              </w:rPr>
              <w:t>Total</w:t>
            </w:r>
          </w:p>
        </w:tc>
      </w:tr>
      <w:tr w14:paraId="58F75420" w14:textId="77777777" w:rsidTr="00B74A04">
        <w:tblPrEx>
          <w:tblW w:w="5000" w:type="pct"/>
          <w:tblLook w:val="04A0"/>
        </w:tblPrEx>
        <w:tc>
          <w:tcPr>
            <w:tcW w:w="1469" w:type="pct"/>
          </w:tcPr>
          <w:p w:rsidR="008A7754" w:rsidRPr="00B6398D" w14:paraId="6D0348CA" w14:textId="238AC4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rPr>
                <w:b/>
                <w:bCs/>
              </w:rPr>
            </w:pPr>
            <w:r>
              <w:rPr>
                <w:b/>
                <w:bCs/>
              </w:rPr>
              <w:t>Total</w:t>
            </w:r>
            <w:r w:rsidR="0099784C">
              <w:rPr>
                <w:b/>
                <w:bCs/>
              </w:rPr>
              <w:t xml:space="preserve"> Requestors</w:t>
            </w:r>
          </w:p>
        </w:tc>
        <w:tc>
          <w:tcPr>
            <w:tcW w:w="505" w:type="pct"/>
          </w:tcPr>
          <w:p w:rsidR="008A7754" w:rsidRPr="00EA456C" w14:paraId="320C63C5" w14:textId="251D214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jc w:val="center"/>
              <w:rPr>
                <w:b/>
                <w:bCs/>
              </w:rPr>
            </w:pPr>
            <w:r>
              <w:rPr>
                <w:b/>
                <w:bCs/>
              </w:rPr>
              <w:t>34</w:t>
            </w:r>
          </w:p>
        </w:tc>
        <w:tc>
          <w:tcPr>
            <w:tcW w:w="504" w:type="pct"/>
          </w:tcPr>
          <w:p w:rsidR="008A7754" w:rsidRPr="00EA456C" w14:paraId="205C561C" w14:textId="0ADD3E2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jc w:val="center"/>
              <w:rPr>
                <w:b/>
                <w:bCs/>
              </w:rPr>
            </w:pPr>
            <w:r>
              <w:rPr>
                <w:b/>
                <w:bCs/>
              </w:rPr>
              <w:t>34</w:t>
            </w:r>
          </w:p>
        </w:tc>
        <w:tc>
          <w:tcPr>
            <w:tcW w:w="504" w:type="pct"/>
          </w:tcPr>
          <w:p w:rsidR="008A7754" w:rsidRPr="00EA456C" w14:paraId="116025F9" w14:textId="64A6BB6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jc w:val="center"/>
              <w:rPr>
                <w:b/>
                <w:bCs/>
              </w:rPr>
            </w:pPr>
            <w:r>
              <w:rPr>
                <w:b/>
                <w:bCs/>
              </w:rPr>
              <w:t>46</w:t>
            </w:r>
          </w:p>
        </w:tc>
        <w:tc>
          <w:tcPr>
            <w:tcW w:w="1010" w:type="pct"/>
          </w:tcPr>
          <w:p w:rsidR="008A7754" w:rsidRPr="00EA456C" w14:paraId="309D84F8" w14:textId="6B71538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jc w:val="center"/>
              <w:rPr>
                <w:b/>
                <w:bCs/>
              </w:rPr>
            </w:pPr>
            <w:r>
              <w:rPr>
                <w:b/>
                <w:bCs/>
              </w:rPr>
              <w:t>38</w:t>
            </w:r>
          </w:p>
        </w:tc>
        <w:tc>
          <w:tcPr>
            <w:tcW w:w="1009" w:type="pct"/>
          </w:tcPr>
          <w:p w:rsidR="008A7754" w:rsidRPr="00EA456C" w14:paraId="2602EAD2" w14:textId="759F84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jc w:val="center"/>
              <w:rPr>
                <w:b/>
                <w:bCs/>
              </w:rPr>
            </w:pPr>
            <w:r>
              <w:rPr>
                <w:b/>
                <w:bCs/>
              </w:rPr>
              <w:t>114</w:t>
            </w:r>
          </w:p>
        </w:tc>
      </w:tr>
    </w:tbl>
    <w:p w:rsidR="008A7754" w:rsidP="008A7754" w14:paraId="236347AA" w14:textId="03B1675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416"/>
          <w:tab w:val="left" w:pos="7922"/>
        </w:tabs>
        <w:autoSpaceDE w:val="0"/>
        <w:autoSpaceDN w:val="0"/>
        <w:adjustRightInd w:val="0"/>
        <w:spacing w:after="240"/>
      </w:pPr>
      <w:r w:rsidRPr="00383746">
        <w:tab/>
      </w:r>
    </w:p>
    <w:p w:rsidR="008A7754" w:rsidRPr="00383746" w:rsidP="008A7754" w14:paraId="32C0F7C9"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416"/>
          <w:tab w:val="left" w:pos="7922"/>
        </w:tabs>
        <w:autoSpaceDE w:val="0"/>
        <w:autoSpaceDN w:val="0"/>
        <w:adjustRightInd w:val="0"/>
        <w:spacing w:after="240"/>
      </w:pPr>
      <w:r>
        <w:t xml:space="preserve">For the previous ICR renewal, </w:t>
      </w:r>
      <w:r w:rsidRPr="005248BE">
        <w:t xml:space="preserve">EPA contacted a subset of State and local agencies that receive OCA data to obtain numbers of public visits to State and local reading rooms over the </w:t>
      </w:r>
      <w:r>
        <w:t xml:space="preserve">then </w:t>
      </w:r>
      <w:r w:rsidRPr="005248BE">
        <w:t>previous ICR peri</w:t>
      </w:r>
      <w:r>
        <w:t>o</w:t>
      </w:r>
      <w:r w:rsidRPr="005248BE">
        <w:t xml:space="preserve">d. Based on those contacts, EPA found that </w:t>
      </w:r>
      <w:r w:rsidRPr="005248BE">
        <w:t>the majority of</w:t>
      </w:r>
      <w:r w:rsidRPr="005248BE">
        <w:t xml:space="preserve"> OCA public visits occur at the reading room operated by EPA Headquarters in Washington</w:t>
      </w:r>
      <w:r>
        <w:t>, DC</w:t>
      </w:r>
      <w:r w:rsidRPr="005248BE">
        <w:t xml:space="preserve">. The State and local agencies are assumed to spend </w:t>
      </w:r>
      <w:r>
        <w:t>three</w:t>
      </w:r>
      <w:r w:rsidRPr="005248BE">
        <w:t xml:space="preserve"> hours preparing and providing information to the public during each visit. State and local reading room staff will also spend one hour learning how to handle O</w:t>
      </w:r>
      <w:r w:rsidRPr="00D919DB">
        <w:t>CA information securely</w:t>
      </w:r>
      <w:r w:rsidRPr="00C63E7C">
        <w:t xml:space="preserve">. </w:t>
      </w:r>
      <w:r>
        <w:t xml:space="preserve">Based on an estimated five visits to State and local reading rooms per year, State and local agency staff are estimated to spend 15 hours annually, or 45 hours over three years, to prepare and provide information to the public for reading room visits. </w:t>
      </w:r>
    </w:p>
    <w:p w:rsidR="008A7754" w:rsidP="008A7754" w14:paraId="2FEEA83F"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spacing w:after="240"/>
      </w:pPr>
      <w:r w:rsidRPr="00695AAA">
        <w:t>The</w:t>
      </w:r>
      <w:r w:rsidRPr="00383746">
        <w:t xml:space="preserve"> ICR accounts for the burden associated with submitting letters of request to EPA and registering within CDX.</w:t>
      </w:r>
      <w:r>
        <w:t xml:space="preserve"> </w:t>
      </w:r>
      <w:r w:rsidRPr="00383746">
        <w:t xml:space="preserve">For purposes of estimating the burden associated with these activities, EPA assumes that a </w:t>
      </w:r>
      <w:r>
        <w:t>S</w:t>
      </w:r>
      <w:r w:rsidRPr="00383746">
        <w:t xml:space="preserve">tate </w:t>
      </w:r>
      <w:r>
        <w:t>or</w:t>
      </w:r>
      <w:r w:rsidRPr="00383746">
        <w:t xml:space="preserve"> local agency</w:t>
      </w:r>
      <w:r>
        <w:t>,</w:t>
      </w:r>
      <w:r w:rsidRPr="00383746">
        <w:t xml:space="preserve"> or LEPC will spend one hour preparing and submitting a request letter, and one hour registering within CDX for on-line access to OCA data.</w:t>
      </w:r>
    </w:p>
    <w:p w:rsidR="008A7754" w:rsidP="008A7754" w14:paraId="71B944A3" w14:textId="30929CC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spacing w:after="240"/>
      </w:pPr>
      <w:r>
        <w:t xml:space="preserve">Three </w:t>
      </w:r>
      <w:r w:rsidRPr="00FE2F4A">
        <w:t>LEPCs are also assumed to hold</w:t>
      </w:r>
      <w:r>
        <w:t xml:space="preserve"> five</w:t>
      </w:r>
      <w:r w:rsidRPr="00FE2F4A">
        <w:t xml:space="preserve"> public meetings </w:t>
      </w:r>
      <w:r>
        <w:t xml:space="preserve">each year </w:t>
      </w:r>
      <w:r w:rsidRPr="00FE2F4A">
        <w:t>in the three years covered by this IC</w:t>
      </w:r>
      <w:r>
        <w:t>R (15 LEPCs over three years)</w:t>
      </w:r>
      <w:r w:rsidRPr="00FE2F4A">
        <w:t xml:space="preserve">, which would require eight hours for preparation and to hold </w:t>
      </w:r>
      <w:r>
        <w:t xml:space="preserve">each </w:t>
      </w:r>
      <w:r w:rsidRPr="00FE2F4A">
        <w:t xml:space="preserve">meeting. The total burden hours for State and local agencies are estimated to be </w:t>
      </w:r>
      <w:r>
        <w:t>326</w:t>
      </w:r>
      <w:r w:rsidRPr="00FE2F4A">
        <w:t xml:space="preserve"> hours annually (</w:t>
      </w:r>
      <w:r>
        <w:t>977</w:t>
      </w:r>
      <w:r w:rsidRPr="00FE2F4A">
        <w:t xml:space="preserve"> hours for three years)</w:t>
      </w:r>
      <w:r w:rsidRPr="00FE2F4A">
        <w:rPr>
          <w:color w:val="000000"/>
        </w:rPr>
        <w:t>.</w:t>
      </w:r>
      <w:r w:rsidRPr="00383746">
        <w:t xml:space="preserve"> </w:t>
      </w:r>
      <w:r>
        <w:t xml:space="preserve">See Exhibit </w:t>
      </w:r>
      <w:r w:rsidR="000112BC">
        <w:t>5</w:t>
      </w:r>
      <w:r>
        <w:t>.</w:t>
      </w:r>
    </w:p>
    <w:p w:rsidR="008A7754" w:rsidP="00792DB5" w14:paraId="6B8B138E" w14:textId="0395B6FF">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jc w:val="center"/>
      </w:pPr>
      <w:r>
        <w:rPr>
          <w:b/>
          <w:bCs/>
          <w:color w:val="000000"/>
        </w:rPr>
        <w:t xml:space="preserve">Exhibit </w:t>
      </w:r>
      <w:r w:rsidR="000112BC">
        <w:rPr>
          <w:b/>
          <w:bCs/>
          <w:color w:val="000000"/>
        </w:rPr>
        <w:t>5</w:t>
      </w:r>
      <w:r>
        <w:rPr>
          <w:b/>
          <w:bCs/>
          <w:color w:val="000000"/>
        </w:rPr>
        <w:t>. State and Local Agencies and LEPCs Estimated Burden Hours*</w:t>
      </w:r>
    </w:p>
    <w:tbl>
      <w:tblPr>
        <w:tblW w:w="8640" w:type="dxa"/>
        <w:tblInd w:w="-5" w:type="dxa"/>
        <w:tblLook w:val="04A0"/>
      </w:tblPr>
      <w:tblGrid>
        <w:gridCol w:w="3780"/>
        <w:gridCol w:w="803"/>
        <w:gridCol w:w="1807"/>
        <w:gridCol w:w="932"/>
        <w:gridCol w:w="1318"/>
      </w:tblGrid>
      <w:tr w14:paraId="7D95BC4C" w14:textId="77777777" w:rsidTr="00792DB5">
        <w:tblPrEx>
          <w:tblW w:w="8640" w:type="dxa"/>
          <w:tblInd w:w="-5" w:type="dxa"/>
          <w:tblLook w:val="04A0"/>
        </w:tblPrEx>
        <w:trPr>
          <w:trHeight w:val="20"/>
          <w:tblHeader/>
        </w:trPr>
        <w:tc>
          <w:tcPr>
            <w:tcW w:w="3780" w:type="dxa"/>
            <w:tcBorders>
              <w:top w:val="single" w:sz="4" w:space="0" w:color="auto"/>
              <w:left w:val="single" w:sz="4" w:space="0" w:color="auto"/>
              <w:bottom w:val="single" w:sz="4" w:space="0" w:color="auto"/>
              <w:right w:val="single" w:sz="4" w:space="0" w:color="auto"/>
            </w:tcBorders>
            <w:vAlign w:val="center"/>
            <w:hideMark/>
          </w:tcPr>
          <w:p w:rsidR="008A7754" w14:paraId="517A0F9E" w14:textId="77777777">
            <w:pPr>
              <w:spacing w:after="0"/>
              <w:jc w:val="center"/>
              <w:rPr>
                <w:b/>
                <w:bCs/>
                <w:color w:val="000000"/>
              </w:rPr>
            </w:pPr>
            <w:r>
              <w:rPr>
                <w:b/>
                <w:bCs/>
                <w:color w:val="000000"/>
              </w:rPr>
              <w:t>Burden Activity</w:t>
            </w:r>
          </w:p>
        </w:tc>
        <w:tc>
          <w:tcPr>
            <w:tcW w:w="803" w:type="dxa"/>
            <w:tcBorders>
              <w:top w:val="single" w:sz="4" w:space="0" w:color="auto"/>
              <w:left w:val="nil"/>
              <w:bottom w:val="single" w:sz="4" w:space="0" w:color="auto"/>
              <w:right w:val="single" w:sz="4" w:space="0" w:color="auto"/>
            </w:tcBorders>
            <w:vAlign w:val="center"/>
            <w:hideMark/>
          </w:tcPr>
          <w:p w:rsidR="008A7754" w14:paraId="52B602EE" w14:textId="77777777">
            <w:pPr>
              <w:spacing w:after="0"/>
              <w:jc w:val="center"/>
              <w:rPr>
                <w:b/>
                <w:bCs/>
                <w:color w:val="000000"/>
              </w:rPr>
            </w:pPr>
            <w:r>
              <w:rPr>
                <w:b/>
                <w:bCs/>
                <w:color w:val="000000"/>
              </w:rPr>
              <w:t>Hours</w:t>
            </w:r>
          </w:p>
        </w:tc>
        <w:tc>
          <w:tcPr>
            <w:tcW w:w="1807" w:type="dxa"/>
            <w:tcBorders>
              <w:top w:val="single" w:sz="4" w:space="0" w:color="auto"/>
              <w:left w:val="nil"/>
              <w:bottom w:val="single" w:sz="4" w:space="0" w:color="auto"/>
              <w:right w:val="single" w:sz="4" w:space="0" w:color="auto"/>
            </w:tcBorders>
            <w:vAlign w:val="center"/>
            <w:hideMark/>
          </w:tcPr>
          <w:p w:rsidR="008A7754" w14:paraId="2B9B38D5" w14:textId="77777777">
            <w:pPr>
              <w:spacing w:after="0"/>
              <w:jc w:val="center"/>
              <w:rPr>
                <w:b/>
                <w:bCs/>
                <w:color w:val="000000"/>
              </w:rPr>
            </w:pPr>
            <w:r>
              <w:rPr>
                <w:b/>
                <w:bCs/>
                <w:color w:val="000000"/>
              </w:rPr>
              <w:t>Annual Average Number</w:t>
            </w:r>
          </w:p>
        </w:tc>
        <w:tc>
          <w:tcPr>
            <w:tcW w:w="932" w:type="dxa"/>
            <w:tcBorders>
              <w:top w:val="single" w:sz="4" w:space="0" w:color="auto"/>
              <w:left w:val="nil"/>
              <w:bottom w:val="single" w:sz="4" w:space="0" w:color="auto"/>
              <w:right w:val="single" w:sz="4" w:space="0" w:color="auto"/>
            </w:tcBorders>
            <w:vAlign w:val="center"/>
            <w:hideMark/>
          </w:tcPr>
          <w:p w:rsidR="008A7754" w14:paraId="7CE00B15" w14:textId="77777777">
            <w:pPr>
              <w:spacing w:after="0"/>
              <w:jc w:val="center"/>
              <w:rPr>
                <w:b/>
                <w:bCs/>
                <w:color w:val="000000"/>
              </w:rPr>
            </w:pPr>
            <w:r>
              <w:rPr>
                <w:b/>
                <w:bCs/>
                <w:color w:val="000000"/>
              </w:rPr>
              <w:t>Annual Hours</w:t>
            </w:r>
          </w:p>
        </w:tc>
        <w:tc>
          <w:tcPr>
            <w:tcW w:w="1318" w:type="dxa"/>
            <w:tcBorders>
              <w:top w:val="single" w:sz="4" w:space="0" w:color="auto"/>
              <w:left w:val="nil"/>
              <w:bottom w:val="single" w:sz="4" w:space="0" w:color="auto"/>
              <w:right w:val="single" w:sz="4" w:space="0" w:color="auto"/>
            </w:tcBorders>
            <w:vAlign w:val="center"/>
            <w:hideMark/>
          </w:tcPr>
          <w:p w:rsidR="008A7754" w14:paraId="3A161E50" w14:textId="77777777">
            <w:pPr>
              <w:spacing w:after="0"/>
              <w:jc w:val="center"/>
              <w:rPr>
                <w:b/>
                <w:bCs/>
                <w:color w:val="000000"/>
              </w:rPr>
            </w:pPr>
            <w:r>
              <w:rPr>
                <w:b/>
                <w:bCs/>
                <w:color w:val="000000"/>
              </w:rPr>
              <w:t>Three-Year Total</w:t>
            </w:r>
          </w:p>
        </w:tc>
      </w:tr>
      <w:tr w14:paraId="771F9266" w14:textId="77777777" w:rsidTr="00023727">
        <w:tblPrEx>
          <w:tblW w:w="8640" w:type="dxa"/>
          <w:tblInd w:w="-5" w:type="dxa"/>
          <w:tblLook w:val="04A0"/>
        </w:tblPrEx>
        <w:trPr>
          <w:trHeight w:val="20"/>
        </w:trPr>
        <w:tc>
          <w:tcPr>
            <w:tcW w:w="3780" w:type="dxa"/>
            <w:tcBorders>
              <w:top w:val="nil"/>
              <w:left w:val="single" w:sz="4" w:space="0" w:color="auto"/>
              <w:bottom w:val="single" w:sz="4" w:space="0" w:color="auto"/>
              <w:right w:val="single" w:sz="4" w:space="0" w:color="auto"/>
            </w:tcBorders>
            <w:vAlign w:val="center"/>
            <w:hideMark/>
          </w:tcPr>
          <w:p w:rsidR="008A7754" w:rsidRPr="000112BC" w14:paraId="7465BC9F" w14:textId="2199FE4D">
            <w:pPr>
              <w:spacing w:after="0"/>
              <w:rPr>
                <w:color w:val="000000"/>
              </w:rPr>
            </w:pPr>
            <w:r w:rsidRPr="000112BC">
              <w:rPr>
                <w:color w:val="000000"/>
              </w:rPr>
              <w:t xml:space="preserve">Covered Person Request and Submitting a Request Letter for </w:t>
            </w:r>
            <w:r w:rsidRPr="00792DB5" w:rsidR="007D74BC">
              <w:rPr>
                <w:color w:val="000000"/>
              </w:rPr>
              <w:t>Access to OCA Data via RMP System</w:t>
            </w:r>
          </w:p>
        </w:tc>
        <w:tc>
          <w:tcPr>
            <w:tcW w:w="803" w:type="dxa"/>
            <w:tcBorders>
              <w:top w:val="nil"/>
              <w:left w:val="nil"/>
              <w:bottom w:val="single" w:sz="4" w:space="0" w:color="auto"/>
              <w:right w:val="single" w:sz="4" w:space="0" w:color="auto"/>
            </w:tcBorders>
            <w:vAlign w:val="center"/>
            <w:hideMark/>
          </w:tcPr>
          <w:p w:rsidR="008A7754" w:rsidRPr="000112BC" w14:paraId="7E021A44" w14:textId="77777777">
            <w:pPr>
              <w:spacing w:after="0"/>
              <w:jc w:val="center"/>
              <w:rPr>
                <w:color w:val="000000"/>
              </w:rPr>
            </w:pPr>
            <w:r w:rsidRPr="000112BC">
              <w:rPr>
                <w:color w:val="000000"/>
              </w:rPr>
              <w:t>1</w:t>
            </w:r>
          </w:p>
        </w:tc>
        <w:tc>
          <w:tcPr>
            <w:tcW w:w="1807" w:type="dxa"/>
            <w:tcBorders>
              <w:top w:val="nil"/>
              <w:left w:val="nil"/>
              <w:bottom w:val="single" w:sz="4" w:space="0" w:color="auto"/>
              <w:right w:val="single" w:sz="4" w:space="0" w:color="auto"/>
            </w:tcBorders>
            <w:vAlign w:val="center"/>
            <w:hideMark/>
          </w:tcPr>
          <w:p w:rsidR="008A7754" w:rsidRPr="000112BC" w14:paraId="31B6A24F" w14:textId="2BBD8326">
            <w:pPr>
              <w:spacing w:after="0"/>
              <w:jc w:val="center"/>
              <w:rPr>
                <w:color w:val="000000"/>
              </w:rPr>
            </w:pPr>
            <w:r w:rsidRPr="00792DB5">
              <w:rPr>
                <w:color w:val="000000"/>
              </w:rPr>
              <w:t>38</w:t>
            </w:r>
          </w:p>
        </w:tc>
        <w:tc>
          <w:tcPr>
            <w:tcW w:w="932" w:type="dxa"/>
            <w:tcBorders>
              <w:top w:val="nil"/>
              <w:left w:val="nil"/>
              <w:bottom w:val="single" w:sz="4" w:space="0" w:color="auto"/>
              <w:right w:val="single" w:sz="4" w:space="0" w:color="auto"/>
            </w:tcBorders>
            <w:vAlign w:val="center"/>
            <w:hideMark/>
          </w:tcPr>
          <w:p w:rsidR="008A7754" w:rsidRPr="000112BC" w14:paraId="467D7110" w14:textId="205D24F8">
            <w:pPr>
              <w:spacing w:after="0"/>
              <w:jc w:val="center"/>
              <w:rPr>
                <w:color w:val="000000"/>
              </w:rPr>
            </w:pPr>
            <w:r w:rsidRPr="00792DB5">
              <w:rPr>
                <w:color w:val="000000"/>
              </w:rPr>
              <w:t>38</w:t>
            </w:r>
          </w:p>
        </w:tc>
        <w:tc>
          <w:tcPr>
            <w:tcW w:w="1318" w:type="dxa"/>
            <w:tcBorders>
              <w:top w:val="nil"/>
              <w:left w:val="nil"/>
              <w:bottom w:val="single" w:sz="4" w:space="0" w:color="auto"/>
              <w:right w:val="single" w:sz="4" w:space="0" w:color="auto"/>
            </w:tcBorders>
            <w:vAlign w:val="center"/>
            <w:hideMark/>
          </w:tcPr>
          <w:p w:rsidR="008A7754" w:rsidRPr="000112BC" w14:paraId="55674DC6" w14:textId="3060019B">
            <w:pPr>
              <w:spacing w:after="0"/>
              <w:jc w:val="center"/>
              <w:rPr>
                <w:color w:val="000000"/>
              </w:rPr>
            </w:pPr>
            <w:r w:rsidRPr="00792DB5">
              <w:rPr>
                <w:color w:val="000000"/>
              </w:rPr>
              <w:t>114</w:t>
            </w:r>
          </w:p>
        </w:tc>
      </w:tr>
      <w:tr w14:paraId="347C21F4" w14:textId="77777777" w:rsidTr="00023727">
        <w:tblPrEx>
          <w:tblW w:w="8640" w:type="dxa"/>
          <w:tblInd w:w="-5" w:type="dxa"/>
          <w:tblLook w:val="04A0"/>
        </w:tblPrEx>
        <w:trPr>
          <w:trHeight w:val="20"/>
        </w:trPr>
        <w:tc>
          <w:tcPr>
            <w:tcW w:w="3780" w:type="dxa"/>
            <w:tcBorders>
              <w:top w:val="nil"/>
              <w:left w:val="single" w:sz="4" w:space="0" w:color="auto"/>
              <w:bottom w:val="single" w:sz="4" w:space="0" w:color="auto"/>
              <w:right w:val="single" w:sz="4" w:space="0" w:color="auto"/>
            </w:tcBorders>
            <w:vAlign w:val="center"/>
            <w:hideMark/>
          </w:tcPr>
          <w:p w:rsidR="008A7754" w14:paraId="11403B5C" w14:textId="77777777">
            <w:pPr>
              <w:spacing w:after="0"/>
              <w:rPr>
                <w:color w:val="000000"/>
              </w:rPr>
            </w:pPr>
            <w:r>
              <w:rPr>
                <w:color w:val="000000"/>
              </w:rPr>
              <w:t>Registering within CDX</w:t>
            </w:r>
          </w:p>
        </w:tc>
        <w:tc>
          <w:tcPr>
            <w:tcW w:w="803" w:type="dxa"/>
            <w:tcBorders>
              <w:top w:val="nil"/>
              <w:left w:val="nil"/>
              <w:bottom w:val="single" w:sz="4" w:space="0" w:color="auto"/>
              <w:right w:val="single" w:sz="4" w:space="0" w:color="auto"/>
            </w:tcBorders>
            <w:vAlign w:val="center"/>
            <w:hideMark/>
          </w:tcPr>
          <w:p w:rsidR="008A7754" w14:paraId="6831E5E7" w14:textId="77777777">
            <w:pPr>
              <w:spacing w:after="0"/>
              <w:jc w:val="center"/>
              <w:rPr>
                <w:color w:val="000000"/>
              </w:rPr>
            </w:pPr>
            <w:r>
              <w:rPr>
                <w:color w:val="000000"/>
              </w:rPr>
              <w:t>1</w:t>
            </w:r>
          </w:p>
        </w:tc>
        <w:tc>
          <w:tcPr>
            <w:tcW w:w="1807" w:type="dxa"/>
            <w:tcBorders>
              <w:top w:val="nil"/>
              <w:left w:val="nil"/>
              <w:bottom w:val="single" w:sz="4" w:space="0" w:color="auto"/>
              <w:right w:val="single" w:sz="4" w:space="0" w:color="auto"/>
            </w:tcBorders>
            <w:vAlign w:val="center"/>
            <w:hideMark/>
          </w:tcPr>
          <w:p w:rsidR="008A7754" w14:paraId="5D4DB292" w14:textId="6E2A6408">
            <w:pPr>
              <w:spacing w:after="0"/>
              <w:jc w:val="center"/>
              <w:rPr>
                <w:color w:val="000000"/>
              </w:rPr>
            </w:pPr>
            <w:r>
              <w:rPr>
                <w:color w:val="000000"/>
              </w:rPr>
              <w:t>38</w:t>
            </w:r>
          </w:p>
        </w:tc>
        <w:tc>
          <w:tcPr>
            <w:tcW w:w="932" w:type="dxa"/>
            <w:tcBorders>
              <w:top w:val="nil"/>
              <w:left w:val="nil"/>
              <w:bottom w:val="single" w:sz="4" w:space="0" w:color="auto"/>
              <w:right w:val="single" w:sz="4" w:space="0" w:color="auto"/>
            </w:tcBorders>
            <w:vAlign w:val="center"/>
            <w:hideMark/>
          </w:tcPr>
          <w:p w:rsidR="008A7754" w14:paraId="08C87B36" w14:textId="6B4C871B">
            <w:pPr>
              <w:spacing w:after="0"/>
              <w:jc w:val="center"/>
              <w:rPr>
                <w:color w:val="000000"/>
              </w:rPr>
            </w:pPr>
            <w:r>
              <w:rPr>
                <w:color w:val="000000"/>
              </w:rPr>
              <w:t>38</w:t>
            </w:r>
          </w:p>
        </w:tc>
        <w:tc>
          <w:tcPr>
            <w:tcW w:w="1318" w:type="dxa"/>
            <w:tcBorders>
              <w:top w:val="nil"/>
              <w:left w:val="nil"/>
              <w:bottom w:val="single" w:sz="4" w:space="0" w:color="auto"/>
              <w:right w:val="single" w:sz="4" w:space="0" w:color="auto"/>
            </w:tcBorders>
            <w:vAlign w:val="center"/>
            <w:hideMark/>
          </w:tcPr>
          <w:p w:rsidR="008A7754" w14:paraId="0E2B76E0" w14:textId="71E80EEA">
            <w:pPr>
              <w:spacing w:after="0"/>
              <w:jc w:val="center"/>
              <w:rPr>
                <w:color w:val="000000"/>
              </w:rPr>
            </w:pPr>
            <w:r>
              <w:rPr>
                <w:color w:val="000000"/>
              </w:rPr>
              <w:t>114</w:t>
            </w:r>
          </w:p>
        </w:tc>
      </w:tr>
      <w:tr w14:paraId="368C8DAF" w14:textId="77777777" w:rsidTr="00023727">
        <w:tblPrEx>
          <w:tblW w:w="8640" w:type="dxa"/>
          <w:tblInd w:w="-5" w:type="dxa"/>
          <w:tblLook w:val="04A0"/>
        </w:tblPrEx>
        <w:trPr>
          <w:trHeight w:val="20"/>
        </w:trPr>
        <w:tc>
          <w:tcPr>
            <w:tcW w:w="3780" w:type="dxa"/>
            <w:tcBorders>
              <w:top w:val="nil"/>
              <w:left w:val="single" w:sz="4" w:space="0" w:color="auto"/>
              <w:bottom w:val="single" w:sz="4" w:space="0" w:color="auto"/>
              <w:right w:val="single" w:sz="4" w:space="0" w:color="auto"/>
            </w:tcBorders>
            <w:vAlign w:val="center"/>
            <w:hideMark/>
          </w:tcPr>
          <w:p w:rsidR="008A7754" w14:paraId="192F586C" w14:textId="77777777">
            <w:pPr>
              <w:spacing w:after="0"/>
              <w:rPr>
                <w:color w:val="000000"/>
              </w:rPr>
            </w:pPr>
            <w:r>
              <w:rPr>
                <w:color w:val="000000"/>
              </w:rPr>
              <w:t xml:space="preserve">Reading Room </w:t>
            </w:r>
          </w:p>
        </w:tc>
        <w:tc>
          <w:tcPr>
            <w:tcW w:w="803" w:type="dxa"/>
            <w:tcBorders>
              <w:top w:val="nil"/>
              <w:left w:val="nil"/>
              <w:bottom w:val="single" w:sz="4" w:space="0" w:color="auto"/>
              <w:right w:val="single" w:sz="4" w:space="0" w:color="auto"/>
            </w:tcBorders>
            <w:vAlign w:val="center"/>
            <w:hideMark/>
          </w:tcPr>
          <w:p w:rsidR="008A7754" w14:paraId="485FE55A" w14:textId="77777777">
            <w:pPr>
              <w:spacing w:after="0"/>
              <w:jc w:val="center"/>
              <w:rPr>
                <w:color w:val="000000"/>
              </w:rPr>
            </w:pPr>
            <w:r>
              <w:rPr>
                <w:color w:val="000000"/>
              </w:rPr>
              <w:t>3</w:t>
            </w:r>
          </w:p>
        </w:tc>
        <w:tc>
          <w:tcPr>
            <w:tcW w:w="1807" w:type="dxa"/>
            <w:tcBorders>
              <w:top w:val="nil"/>
              <w:left w:val="nil"/>
              <w:bottom w:val="single" w:sz="4" w:space="0" w:color="auto"/>
              <w:right w:val="single" w:sz="4" w:space="0" w:color="auto"/>
            </w:tcBorders>
            <w:vAlign w:val="center"/>
            <w:hideMark/>
          </w:tcPr>
          <w:p w:rsidR="008A7754" w14:paraId="21EE776D" w14:textId="77777777">
            <w:pPr>
              <w:spacing w:after="0"/>
              <w:jc w:val="center"/>
              <w:rPr>
                <w:color w:val="000000"/>
              </w:rPr>
            </w:pPr>
            <w:r>
              <w:rPr>
                <w:color w:val="000000"/>
              </w:rPr>
              <w:t>5</w:t>
            </w:r>
          </w:p>
        </w:tc>
        <w:tc>
          <w:tcPr>
            <w:tcW w:w="932" w:type="dxa"/>
            <w:tcBorders>
              <w:top w:val="nil"/>
              <w:left w:val="nil"/>
              <w:bottom w:val="single" w:sz="4" w:space="0" w:color="auto"/>
              <w:right w:val="single" w:sz="4" w:space="0" w:color="auto"/>
            </w:tcBorders>
            <w:vAlign w:val="center"/>
            <w:hideMark/>
          </w:tcPr>
          <w:p w:rsidR="008A7754" w14:paraId="5468603F" w14:textId="77777777">
            <w:pPr>
              <w:spacing w:after="0"/>
              <w:jc w:val="center"/>
              <w:rPr>
                <w:color w:val="000000"/>
              </w:rPr>
            </w:pPr>
            <w:r>
              <w:rPr>
                <w:color w:val="000000"/>
              </w:rPr>
              <w:t>15</w:t>
            </w:r>
          </w:p>
        </w:tc>
        <w:tc>
          <w:tcPr>
            <w:tcW w:w="1318" w:type="dxa"/>
            <w:tcBorders>
              <w:top w:val="nil"/>
              <w:left w:val="nil"/>
              <w:bottom w:val="single" w:sz="4" w:space="0" w:color="auto"/>
              <w:right w:val="single" w:sz="4" w:space="0" w:color="auto"/>
            </w:tcBorders>
            <w:vAlign w:val="center"/>
            <w:hideMark/>
          </w:tcPr>
          <w:p w:rsidR="008A7754" w14:paraId="43412DF3" w14:textId="77777777">
            <w:pPr>
              <w:spacing w:after="0"/>
              <w:jc w:val="center"/>
              <w:rPr>
                <w:color w:val="000000"/>
              </w:rPr>
            </w:pPr>
            <w:r>
              <w:rPr>
                <w:color w:val="000000"/>
              </w:rPr>
              <w:t>45</w:t>
            </w:r>
          </w:p>
        </w:tc>
      </w:tr>
      <w:tr w14:paraId="3D1A375C" w14:textId="77777777" w:rsidTr="00023727">
        <w:tblPrEx>
          <w:tblW w:w="8640" w:type="dxa"/>
          <w:tblInd w:w="-5" w:type="dxa"/>
          <w:tblLook w:val="04A0"/>
        </w:tblPrEx>
        <w:trPr>
          <w:trHeight w:val="20"/>
        </w:trPr>
        <w:tc>
          <w:tcPr>
            <w:tcW w:w="3780" w:type="dxa"/>
            <w:tcBorders>
              <w:top w:val="nil"/>
              <w:left w:val="single" w:sz="4" w:space="0" w:color="auto"/>
              <w:bottom w:val="single" w:sz="4" w:space="0" w:color="auto"/>
              <w:right w:val="single" w:sz="4" w:space="0" w:color="auto"/>
            </w:tcBorders>
            <w:vAlign w:val="center"/>
            <w:hideMark/>
          </w:tcPr>
          <w:p w:rsidR="008A7754" w:rsidRPr="00A2635B" w14:paraId="49243436" w14:textId="77777777">
            <w:pPr>
              <w:spacing w:after="0"/>
              <w:rPr>
                <w:color w:val="000000"/>
              </w:rPr>
            </w:pPr>
            <w:r w:rsidRPr="00A2635B">
              <w:rPr>
                <w:color w:val="000000"/>
              </w:rPr>
              <w:t>Train State and Local Reading Room Staff on OCA</w:t>
            </w:r>
          </w:p>
        </w:tc>
        <w:tc>
          <w:tcPr>
            <w:tcW w:w="803" w:type="dxa"/>
            <w:tcBorders>
              <w:top w:val="nil"/>
              <w:left w:val="nil"/>
              <w:bottom w:val="single" w:sz="4" w:space="0" w:color="auto"/>
              <w:right w:val="single" w:sz="4" w:space="0" w:color="auto"/>
            </w:tcBorders>
            <w:vAlign w:val="center"/>
            <w:hideMark/>
          </w:tcPr>
          <w:p w:rsidR="008A7754" w:rsidRPr="00A2635B" w14:paraId="0CF3D9F5" w14:textId="77777777">
            <w:pPr>
              <w:spacing w:after="0"/>
              <w:jc w:val="center"/>
              <w:rPr>
                <w:color w:val="000000"/>
              </w:rPr>
            </w:pPr>
            <w:r w:rsidRPr="00A2635B">
              <w:rPr>
                <w:color w:val="000000"/>
              </w:rPr>
              <w:t>1</w:t>
            </w:r>
          </w:p>
        </w:tc>
        <w:tc>
          <w:tcPr>
            <w:tcW w:w="1807" w:type="dxa"/>
            <w:tcBorders>
              <w:top w:val="nil"/>
              <w:left w:val="nil"/>
              <w:bottom w:val="single" w:sz="4" w:space="0" w:color="auto"/>
              <w:right w:val="single" w:sz="4" w:space="0" w:color="auto"/>
            </w:tcBorders>
            <w:vAlign w:val="center"/>
            <w:hideMark/>
          </w:tcPr>
          <w:p w:rsidR="008A7754" w:rsidRPr="00A2635B" w14:paraId="01FD336C" w14:textId="77777777">
            <w:pPr>
              <w:spacing w:after="0"/>
              <w:jc w:val="center"/>
              <w:rPr>
                <w:color w:val="000000"/>
              </w:rPr>
            </w:pPr>
            <w:r w:rsidRPr="00A2635B">
              <w:rPr>
                <w:color w:val="000000"/>
              </w:rPr>
              <w:t>60</w:t>
            </w:r>
          </w:p>
        </w:tc>
        <w:tc>
          <w:tcPr>
            <w:tcW w:w="932" w:type="dxa"/>
            <w:tcBorders>
              <w:top w:val="nil"/>
              <w:left w:val="nil"/>
              <w:bottom w:val="single" w:sz="4" w:space="0" w:color="auto"/>
              <w:right w:val="single" w:sz="4" w:space="0" w:color="auto"/>
            </w:tcBorders>
            <w:vAlign w:val="center"/>
            <w:hideMark/>
          </w:tcPr>
          <w:p w:rsidR="008A7754" w:rsidRPr="00A2635B" w14:paraId="69AA582D" w14:textId="77777777">
            <w:pPr>
              <w:spacing w:after="0"/>
              <w:jc w:val="center"/>
              <w:rPr>
                <w:color w:val="000000"/>
              </w:rPr>
            </w:pPr>
            <w:r w:rsidRPr="00A2635B">
              <w:rPr>
                <w:color w:val="000000"/>
              </w:rPr>
              <w:t>60</w:t>
            </w:r>
          </w:p>
        </w:tc>
        <w:tc>
          <w:tcPr>
            <w:tcW w:w="1318" w:type="dxa"/>
            <w:tcBorders>
              <w:top w:val="nil"/>
              <w:left w:val="nil"/>
              <w:bottom w:val="single" w:sz="4" w:space="0" w:color="auto"/>
              <w:right w:val="single" w:sz="4" w:space="0" w:color="auto"/>
            </w:tcBorders>
            <w:vAlign w:val="center"/>
            <w:hideMark/>
          </w:tcPr>
          <w:p w:rsidR="008A7754" w:rsidRPr="00A2635B" w14:paraId="47059B0E" w14:textId="77777777">
            <w:pPr>
              <w:spacing w:after="0"/>
              <w:jc w:val="center"/>
              <w:rPr>
                <w:color w:val="000000"/>
              </w:rPr>
            </w:pPr>
            <w:r w:rsidRPr="00A2635B">
              <w:rPr>
                <w:color w:val="000000"/>
              </w:rPr>
              <w:t>180</w:t>
            </w:r>
          </w:p>
        </w:tc>
      </w:tr>
      <w:tr w14:paraId="4AA7329C" w14:textId="77777777" w:rsidTr="00023727">
        <w:tblPrEx>
          <w:tblW w:w="8640" w:type="dxa"/>
          <w:tblInd w:w="-5" w:type="dxa"/>
          <w:tblLook w:val="04A0"/>
        </w:tblPrEx>
        <w:trPr>
          <w:trHeight w:val="20"/>
        </w:trPr>
        <w:tc>
          <w:tcPr>
            <w:tcW w:w="3780" w:type="dxa"/>
            <w:tcBorders>
              <w:top w:val="nil"/>
              <w:left w:val="single" w:sz="4" w:space="0" w:color="auto"/>
              <w:bottom w:val="single" w:sz="4" w:space="0" w:color="auto"/>
              <w:right w:val="single" w:sz="4" w:space="0" w:color="auto"/>
            </w:tcBorders>
            <w:vAlign w:val="center"/>
            <w:hideMark/>
          </w:tcPr>
          <w:p w:rsidR="008A7754" w:rsidRPr="00A93ACF" w14:paraId="31CAA501" w14:textId="77777777">
            <w:pPr>
              <w:spacing w:after="0"/>
              <w:rPr>
                <w:color w:val="000000"/>
              </w:rPr>
            </w:pPr>
            <w:r w:rsidRPr="00A93ACF">
              <w:rPr>
                <w:color w:val="000000"/>
              </w:rPr>
              <w:t>Public Meetings</w:t>
            </w:r>
          </w:p>
        </w:tc>
        <w:tc>
          <w:tcPr>
            <w:tcW w:w="803" w:type="dxa"/>
            <w:tcBorders>
              <w:top w:val="nil"/>
              <w:left w:val="nil"/>
              <w:bottom w:val="single" w:sz="4" w:space="0" w:color="auto"/>
              <w:right w:val="single" w:sz="4" w:space="0" w:color="auto"/>
            </w:tcBorders>
            <w:vAlign w:val="center"/>
            <w:hideMark/>
          </w:tcPr>
          <w:p w:rsidR="008A7754" w:rsidRPr="000112BC" w14:paraId="4628F65F" w14:textId="77777777">
            <w:pPr>
              <w:spacing w:after="0"/>
              <w:jc w:val="center"/>
              <w:rPr>
                <w:color w:val="000000"/>
              </w:rPr>
            </w:pPr>
            <w:r w:rsidRPr="000112BC">
              <w:rPr>
                <w:color w:val="000000"/>
              </w:rPr>
              <w:t>8</w:t>
            </w:r>
          </w:p>
        </w:tc>
        <w:tc>
          <w:tcPr>
            <w:tcW w:w="1807" w:type="dxa"/>
            <w:tcBorders>
              <w:top w:val="nil"/>
              <w:left w:val="nil"/>
              <w:bottom w:val="single" w:sz="4" w:space="0" w:color="auto"/>
              <w:right w:val="single" w:sz="4" w:space="0" w:color="auto"/>
            </w:tcBorders>
            <w:vAlign w:val="center"/>
            <w:hideMark/>
          </w:tcPr>
          <w:p w:rsidR="008A7754" w:rsidRPr="000112BC" w14:paraId="2C8080A4" w14:textId="77777777">
            <w:pPr>
              <w:spacing w:after="0"/>
              <w:jc w:val="center"/>
              <w:rPr>
                <w:color w:val="000000"/>
              </w:rPr>
            </w:pPr>
            <w:r w:rsidRPr="000112BC">
              <w:rPr>
                <w:color w:val="000000"/>
              </w:rPr>
              <w:t>15</w:t>
            </w:r>
          </w:p>
        </w:tc>
        <w:tc>
          <w:tcPr>
            <w:tcW w:w="932" w:type="dxa"/>
            <w:tcBorders>
              <w:top w:val="nil"/>
              <w:left w:val="nil"/>
              <w:bottom w:val="single" w:sz="4" w:space="0" w:color="auto"/>
              <w:right w:val="single" w:sz="4" w:space="0" w:color="auto"/>
            </w:tcBorders>
            <w:vAlign w:val="center"/>
            <w:hideMark/>
          </w:tcPr>
          <w:p w:rsidR="008A7754" w:rsidRPr="000112BC" w14:paraId="58D3DD28" w14:textId="77777777">
            <w:pPr>
              <w:spacing w:after="0"/>
              <w:jc w:val="center"/>
              <w:rPr>
                <w:color w:val="000000"/>
              </w:rPr>
            </w:pPr>
            <w:r w:rsidRPr="000112BC">
              <w:rPr>
                <w:color w:val="000000"/>
              </w:rPr>
              <w:t>120</w:t>
            </w:r>
          </w:p>
        </w:tc>
        <w:tc>
          <w:tcPr>
            <w:tcW w:w="1318" w:type="dxa"/>
            <w:tcBorders>
              <w:top w:val="nil"/>
              <w:left w:val="nil"/>
              <w:bottom w:val="single" w:sz="4" w:space="0" w:color="auto"/>
              <w:right w:val="single" w:sz="4" w:space="0" w:color="auto"/>
            </w:tcBorders>
            <w:vAlign w:val="center"/>
            <w:hideMark/>
          </w:tcPr>
          <w:p w:rsidR="008A7754" w:rsidRPr="000112BC" w14:paraId="52D82F9B" w14:textId="77777777">
            <w:pPr>
              <w:spacing w:after="0"/>
              <w:jc w:val="center"/>
              <w:rPr>
                <w:color w:val="000000"/>
              </w:rPr>
            </w:pPr>
            <w:r w:rsidRPr="000112BC">
              <w:rPr>
                <w:color w:val="000000"/>
              </w:rPr>
              <w:t>360</w:t>
            </w:r>
          </w:p>
        </w:tc>
      </w:tr>
      <w:tr w14:paraId="74199296" w14:textId="77777777" w:rsidTr="00023727">
        <w:tblPrEx>
          <w:tblW w:w="8640" w:type="dxa"/>
          <w:tblInd w:w="-5" w:type="dxa"/>
          <w:tblLook w:val="04A0"/>
        </w:tblPrEx>
        <w:trPr>
          <w:trHeight w:val="20"/>
        </w:trPr>
        <w:tc>
          <w:tcPr>
            <w:tcW w:w="3780" w:type="dxa"/>
            <w:tcBorders>
              <w:top w:val="nil"/>
              <w:left w:val="single" w:sz="4" w:space="0" w:color="auto"/>
              <w:bottom w:val="single" w:sz="4" w:space="0" w:color="auto"/>
              <w:right w:val="single" w:sz="4" w:space="0" w:color="auto"/>
            </w:tcBorders>
            <w:vAlign w:val="center"/>
          </w:tcPr>
          <w:p w:rsidR="008A7754" w:rsidRPr="00A93ACF" w14:paraId="0B4D7AB1" w14:textId="77777777">
            <w:pPr>
              <w:spacing w:after="0"/>
              <w:rPr>
                <w:color w:val="000000"/>
              </w:rPr>
            </w:pPr>
            <w:r w:rsidRPr="00A93ACF">
              <w:rPr>
                <w:b/>
                <w:bCs/>
                <w:color w:val="000000"/>
              </w:rPr>
              <w:t>Total</w:t>
            </w:r>
          </w:p>
        </w:tc>
        <w:tc>
          <w:tcPr>
            <w:tcW w:w="803" w:type="dxa"/>
            <w:tcBorders>
              <w:top w:val="nil"/>
              <w:left w:val="nil"/>
              <w:bottom w:val="single" w:sz="4" w:space="0" w:color="auto"/>
              <w:right w:val="single" w:sz="4" w:space="0" w:color="auto"/>
            </w:tcBorders>
            <w:vAlign w:val="center"/>
          </w:tcPr>
          <w:p w:rsidR="008A7754" w:rsidRPr="00A93ACF" w14:paraId="3668A0FB" w14:textId="77777777">
            <w:pPr>
              <w:spacing w:after="0"/>
              <w:jc w:val="center"/>
              <w:rPr>
                <w:color w:val="000000"/>
              </w:rPr>
            </w:pPr>
            <w:r w:rsidRPr="00A93ACF">
              <w:rPr>
                <w:b/>
                <w:bCs/>
                <w:color w:val="000000"/>
              </w:rPr>
              <w:t>1</w:t>
            </w:r>
            <w:r>
              <w:rPr>
                <w:b/>
                <w:bCs/>
                <w:color w:val="000000"/>
              </w:rPr>
              <w:t>4</w:t>
            </w:r>
          </w:p>
        </w:tc>
        <w:tc>
          <w:tcPr>
            <w:tcW w:w="1807" w:type="dxa"/>
            <w:tcBorders>
              <w:top w:val="nil"/>
              <w:left w:val="nil"/>
              <w:bottom w:val="single" w:sz="4" w:space="0" w:color="auto"/>
              <w:right w:val="single" w:sz="4" w:space="0" w:color="auto"/>
            </w:tcBorders>
            <w:vAlign w:val="center"/>
          </w:tcPr>
          <w:p w:rsidR="008A7754" w:rsidRPr="001E3DC5" w14:paraId="66F49E5D" w14:textId="1638CE5A">
            <w:pPr>
              <w:spacing w:after="0"/>
              <w:jc w:val="center"/>
              <w:rPr>
                <w:b/>
                <w:bCs/>
                <w:color w:val="000000"/>
              </w:rPr>
            </w:pPr>
            <w:r>
              <w:rPr>
                <w:b/>
                <w:bCs/>
                <w:color w:val="000000"/>
              </w:rPr>
              <w:t>156</w:t>
            </w:r>
          </w:p>
        </w:tc>
        <w:tc>
          <w:tcPr>
            <w:tcW w:w="932" w:type="dxa"/>
            <w:tcBorders>
              <w:top w:val="nil"/>
              <w:left w:val="nil"/>
              <w:bottom w:val="single" w:sz="4" w:space="0" w:color="auto"/>
              <w:right w:val="single" w:sz="4" w:space="0" w:color="auto"/>
            </w:tcBorders>
            <w:vAlign w:val="center"/>
          </w:tcPr>
          <w:p w:rsidR="008A7754" w:rsidRPr="001E3DC5" w14:paraId="516C462D" w14:textId="1C511156">
            <w:pPr>
              <w:spacing w:after="0"/>
              <w:jc w:val="center"/>
              <w:rPr>
                <w:b/>
                <w:bCs/>
                <w:color w:val="000000"/>
              </w:rPr>
            </w:pPr>
            <w:r>
              <w:rPr>
                <w:b/>
                <w:bCs/>
                <w:color w:val="000000"/>
              </w:rPr>
              <w:t>271</w:t>
            </w:r>
          </w:p>
        </w:tc>
        <w:tc>
          <w:tcPr>
            <w:tcW w:w="1318" w:type="dxa"/>
            <w:tcBorders>
              <w:top w:val="nil"/>
              <w:left w:val="nil"/>
              <w:bottom w:val="single" w:sz="4" w:space="0" w:color="auto"/>
              <w:right w:val="single" w:sz="4" w:space="0" w:color="auto"/>
            </w:tcBorders>
            <w:vAlign w:val="center"/>
          </w:tcPr>
          <w:p w:rsidR="008A7754" w:rsidRPr="00427C1F" w14:paraId="41CD17DF" w14:textId="6D12E462">
            <w:pPr>
              <w:spacing w:after="0"/>
              <w:jc w:val="center"/>
              <w:rPr>
                <w:b/>
                <w:bCs/>
                <w:color w:val="000000"/>
              </w:rPr>
            </w:pPr>
            <w:r>
              <w:rPr>
                <w:b/>
                <w:bCs/>
                <w:color w:val="000000"/>
              </w:rPr>
              <w:t>813</w:t>
            </w:r>
          </w:p>
        </w:tc>
      </w:tr>
    </w:tbl>
    <w:p w:rsidR="008A7754" w:rsidRPr="005E786A" w:rsidP="008A7754" w14:paraId="141976C3"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rPr>
          <w:sz w:val="20"/>
          <w:szCs w:val="20"/>
        </w:rPr>
      </w:pPr>
      <w:r w:rsidRPr="00A93ACF">
        <w:rPr>
          <w:sz w:val="20"/>
          <w:szCs w:val="20"/>
        </w:rPr>
        <w:t>*Totals may not sum due to rounding.</w:t>
      </w:r>
    </w:p>
    <w:p w:rsidR="008A7754" w:rsidRPr="00AA4255" w:rsidP="008A7754" w14:paraId="2FEDCA77" w14:textId="7550149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spacing w:after="240"/>
        <w:rPr>
          <w:i/>
          <w:iCs/>
        </w:rPr>
      </w:pPr>
      <w:r w:rsidRPr="00AA4255">
        <w:rPr>
          <w:i/>
          <w:iCs/>
        </w:rPr>
        <w:t xml:space="preserve">Labor </w:t>
      </w:r>
      <w:r>
        <w:rPr>
          <w:i/>
          <w:iCs/>
        </w:rPr>
        <w:t>Cost</w:t>
      </w:r>
    </w:p>
    <w:p w:rsidR="008A7754" w:rsidP="008A7754" w14:paraId="507D16D7" w14:textId="56CE37F5">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spacing w:after="240"/>
      </w:pPr>
      <w:r w:rsidRPr="007E472F">
        <w:t>EPA estimated the cost for State and local government employees by applying the fully loaded labor rate</w:t>
      </w:r>
      <w:r>
        <w:t xml:space="preserve"> from Exhibit 2</w:t>
      </w:r>
      <w:r w:rsidRPr="007E472F">
        <w:t xml:space="preserve"> to the State and local agency burden estimates</w:t>
      </w:r>
      <w:r>
        <w:t xml:space="preserve"> from Exhibit </w:t>
      </w:r>
      <w:r w:rsidR="000112BC">
        <w:t>6</w:t>
      </w:r>
      <w:r>
        <w:t>, which results in a cost of $</w:t>
      </w:r>
      <w:r w:rsidR="005D2B53">
        <w:t>17</w:t>
      </w:r>
      <w:r w:rsidR="009E6185">
        <w:t>,051</w:t>
      </w:r>
      <w:r>
        <w:t xml:space="preserve"> annually (</w:t>
      </w:r>
      <w:r w:rsidRPr="00C343C2">
        <w:t>$</w:t>
      </w:r>
      <w:r w:rsidR="005D2B53">
        <w:t>51,153</w:t>
      </w:r>
      <w:r>
        <w:t xml:space="preserve"> for three years). See Exhibit </w:t>
      </w:r>
      <w:r w:rsidR="00792DB5">
        <w:t>6</w:t>
      </w:r>
      <w:r>
        <w:t>.</w:t>
      </w:r>
    </w:p>
    <w:p w:rsidR="008A7754" w:rsidP="008A7754" w14:paraId="69E20740" w14:textId="2353FB4F">
      <w:pPr>
        <w:keepNext/>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spacing w:after="240"/>
        <w:jc w:val="center"/>
      </w:pPr>
      <w:r>
        <w:rPr>
          <w:b/>
          <w:bCs/>
          <w:color w:val="000000"/>
        </w:rPr>
        <w:t xml:space="preserve">Exhibit </w:t>
      </w:r>
      <w:r w:rsidR="000112BC">
        <w:rPr>
          <w:b/>
          <w:bCs/>
          <w:color w:val="000000"/>
        </w:rPr>
        <w:t>6</w:t>
      </w:r>
      <w:r>
        <w:rPr>
          <w:b/>
          <w:bCs/>
          <w:color w:val="000000"/>
        </w:rPr>
        <w:t>. State and Local Agencies Estimated Burden and Costs*</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tblPr>
      <w:tblGrid>
        <w:gridCol w:w="3990"/>
        <w:gridCol w:w="1396"/>
        <w:gridCol w:w="1396"/>
        <w:gridCol w:w="1396"/>
        <w:gridCol w:w="1398"/>
      </w:tblGrid>
      <w:tr w14:paraId="2CAC1A77" w14:textId="77777777" w:rsidTr="00023727">
        <w:tblPrEx>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tblPrEx>
        <w:trPr>
          <w:trHeight w:val="20"/>
          <w:tblHeader/>
        </w:trPr>
        <w:tc>
          <w:tcPr>
            <w:tcW w:w="2083" w:type="pct"/>
            <w:vAlign w:val="center"/>
            <w:hideMark/>
          </w:tcPr>
          <w:p w:rsidR="008A7754" w14:paraId="1F3D1797" w14:textId="77777777">
            <w:pPr>
              <w:spacing w:after="0"/>
              <w:jc w:val="center"/>
              <w:rPr>
                <w:color w:val="000000"/>
              </w:rPr>
            </w:pPr>
            <w:r>
              <w:rPr>
                <w:color w:val="000000"/>
              </w:rPr>
              <w:t> </w:t>
            </w:r>
          </w:p>
        </w:tc>
        <w:tc>
          <w:tcPr>
            <w:tcW w:w="1458" w:type="pct"/>
            <w:gridSpan w:val="2"/>
            <w:vAlign w:val="center"/>
            <w:hideMark/>
          </w:tcPr>
          <w:p w:rsidR="008A7754" w14:paraId="05BEC092" w14:textId="77777777">
            <w:pPr>
              <w:spacing w:after="0"/>
              <w:jc w:val="center"/>
              <w:rPr>
                <w:b/>
                <w:bCs/>
                <w:color w:val="000000"/>
              </w:rPr>
            </w:pPr>
            <w:r>
              <w:rPr>
                <w:b/>
                <w:bCs/>
                <w:color w:val="000000"/>
              </w:rPr>
              <w:t>Annual</w:t>
            </w:r>
          </w:p>
        </w:tc>
        <w:tc>
          <w:tcPr>
            <w:tcW w:w="1459" w:type="pct"/>
            <w:gridSpan w:val="2"/>
            <w:vAlign w:val="center"/>
            <w:hideMark/>
          </w:tcPr>
          <w:p w:rsidR="008A7754" w14:paraId="01EE43CF" w14:textId="77777777">
            <w:pPr>
              <w:spacing w:after="0"/>
              <w:jc w:val="center"/>
              <w:rPr>
                <w:b/>
                <w:bCs/>
                <w:color w:val="000000"/>
              </w:rPr>
            </w:pPr>
            <w:r>
              <w:rPr>
                <w:b/>
                <w:bCs/>
                <w:color w:val="000000"/>
              </w:rPr>
              <w:t>Three-Year Totals</w:t>
            </w:r>
          </w:p>
        </w:tc>
      </w:tr>
      <w:tr w14:paraId="04CC7CAB" w14:textId="77777777" w:rsidTr="00023727">
        <w:tblPrEx>
          <w:tblW w:w="5000" w:type="pct"/>
          <w:tblLayout w:type="fixed"/>
          <w:tblLook w:val="04A0"/>
        </w:tblPrEx>
        <w:trPr>
          <w:trHeight w:val="20"/>
          <w:tblHeader/>
        </w:trPr>
        <w:tc>
          <w:tcPr>
            <w:tcW w:w="2083" w:type="pct"/>
            <w:vAlign w:val="center"/>
            <w:hideMark/>
          </w:tcPr>
          <w:p w:rsidR="008A7754" w14:paraId="61801EE6" w14:textId="77777777">
            <w:pPr>
              <w:spacing w:after="0"/>
              <w:jc w:val="center"/>
              <w:rPr>
                <w:color w:val="000000"/>
              </w:rPr>
            </w:pPr>
            <w:r>
              <w:rPr>
                <w:color w:val="000000"/>
              </w:rPr>
              <w:t> </w:t>
            </w:r>
          </w:p>
        </w:tc>
        <w:tc>
          <w:tcPr>
            <w:tcW w:w="729" w:type="pct"/>
            <w:vAlign w:val="center"/>
            <w:hideMark/>
          </w:tcPr>
          <w:p w:rsidR="008A7754" w14:paraId="0B2E3BF8" w14:textId="77777777">
            <w:pPr>
              <w:spacing w:after="0"/>
              <w:jc w:val="center"/>
              <w:rPr>
                <w:b/>
                <w:bCs/>
                <w:color w:val="000000"/>
              </w:rPr>
            </w:pPr>
            <w:r>
              <w:rPr>
                <w:b/>
                <w:bCs/>
                <w:color w:val="000000"/>
              </w:rPr>
              <w:t>Hours</w:t>
            </w:r>
          </w:p>
        </w:tc>
        <w:tc>
          <w:tcPr>
            <w:tcW w:w="729" w:type="pct"/>
            <w:vAlign w:val="center"/>
            <w:hideMark/>
          </w:tcPr>
          <w:p w:rsidR="008A7754" w14:paraId="07BF477A" w14:textId="77777777">
            <w:pPr>
              <w:spacing w:after="0"/>
              <w:jc w:val="center"/>
              <w:rPr>
                <w:b/>
                <w:bCs/>
                <w:color w:val="000000"/>
              </w:rPr>
            </w:pPr>
            <w:r>
              <w:rPr>
                <w:b/>
                <w:bCs/>
                <w:color w:val="000000"/>
              </w:rPr>
              <w:t>Cost</w:t>
            </w:r>
          </w:p>
        </w:tc>
        <w:tc>
          <w:tcPr>
            <w:tcW w:w="729" w:type="pct"/>
            <w:vAlign w:val="center"/>
            <w:hideMark/>
          </w:tcPr>
          <w:p w:rsidR="008A7754" w14:paraId="5025D781" w14:textId="77777777">
            <w:pPr>
              <w:spacing w:after="0"/>
              <w:jc w:val="center"/>
              <w:rPr>
                <w:b/>
                <w:bCs/>
                <w:color w:val="000000"/>
              </w:rPr>
            </w:pPr>
            <w:r>
              <w:rPr>
                <w:b/>
                <w:bCs/>
                <w:color w:val="000000"/>
              </w:rPr>
              <w:t>Hours</w:t>
            </w:r>
          </w:p>
        </w:tc>
        <w:tc>
          <w:tcPr>
            <w:tcW w:w="730" w:type="pct"/>
            <w:vAlign w:val="center"/>
            <w:hideMark/>
          </w:tcPr>
          <w:p w:rsidR="008A7754" w14:paraId="56C954F1" w14:textId="77777777">
            <w:pPr>
              <w:spacing w:after="0"/>
              <w:jc w:val="center"/>
              <w:rPr>
                <w:b/>
                <w:bCs/>
                <w:color w:val="000000"/>
              </w:rPr>
            </w:pPr>
            <w:r>
              <w:rPr>
                <w:b/>
                <w:bCs/>
                <w:color w:val="000000"/>
              </w:rPr>
              <w:t>Cost</w:t>
            </w:r>
          </w:p>
        </w:tc>
      </w:tr>
      <w:tr w14:paraId="3F6117A3" w14:textId="77777777" w:rsidTr="00023727">
        <w:tblPrEx>
          <w:tblW w:w="5000" w:type="pct"/>
          <w:tblLayout w:type="fixed"/>
          <w:tblLook w:val="04A0"/>
        </w:tblPrEx>
        <w:trPr>
          <w:trHeight w:val="20"/>
        </w:trPr>
        <w:tc>
          <w:tcPr>
            <w:tcW w:w="2083" w:type="pct"/>
            <w:vAlign w:val="center"/>
            <w:hideMark/>
          </w:tcPr>
          <w:p w:rsidR="008A7754" w14:paraId="33D75ACD" w14:textId="67DCBEA5">
            <w:pPr>
              <w:spacing w:after="0"/>
              <w:rPr>
                <w:color w:val="000000"/>
              </w:rPr>
            </w:pPr>
            <w:r>
              <w:rPr>
                <w:color w:val="000000"/>
              </w:rPr>
              <w:t xml:space="preserve">Covered Person Request and Submitting a Request Letter for </w:t>
            </w:r>
            <w:r w:rsidR="00774E3B">
              <w:rPr>
                <w:color w:val="000000"/>
              </w:rPr>
              <w:t>Access to OCA Data via RMP System</w:t>
            </w:r>
          </w:p>
        </w:tc>
        <w:tc>
          <w:tcPr>
            <w:tcW w:w="729" w:type="pct"/>
            <w:vAlign w:val="center"/>
            <w:hideMark/>
          </w:tcPr>
          <w:p w:rsidR="008A7754" w:rsidP="00A34B84" w14:paraId="67C34A87" w14:textId="1A8A9B95">
            <w:pPr>
              <w:spacing w:after="0"/>
              <w:jc w:val="center"/>
              <w:rPr>
                <w:color w:val="000000"/>
              </w:rPr>
            </w:pPr>
            <w:r>
              <w:rPr>
                <w:color w:val="000000"/>
              </w:rPr>
              <w:t>38</w:t>
            </w:r>
          </w:p>
        </w:tc>
        <w:tc>
          <w:tcPr>
            <w:tcW w:w="729" w:type="pct"/>
            <w:vAlign w:val="center"/>
            <w:hideMark/>
          </w:tcPr>
          <w:p w:rsidR="008A7754" w:rsidP="00A34B84" w14:paraId="4A0F1800" w14:textId="527F5C39">
            <w:pPr>
              <w:spacing w:after="0"/>
              <w:jc w:val="center"/>
              <w:rPr>
                <w:color w:val="000000"/>
              </w:rPr>
            </w:pPr>
            <w:r>
              <w:rPr>
                <w:color w:val="000000"/>
              </w:rPr>
              <w:t>$</w:t>
            </w:r>
            <w:r w:rsidR="00570ED7">
              <w:rPr>
                <w:color w:val="000000"/>
              </w:rPr>
              <w:t>2,391</w:t>
            </w:r>
          </w:p>
        </w:tc>
        <w:tc>
          <w:tcPr>
            <w:tcW w:w="729" w:type="pct"/>
            <w:vAlign w:val="center"/>
            <w:hideMark/>
          </w:tcPr>
          <w:p w:rsidR="008A7754" w:rsidP="00A34B84" w14:paraId="4018949D" w14:textId="7B01E047">
            <w:pPr>
              <w:spacing w:after="0"/>
              <w:jc w:val="center"/>
              <w:rPr>
                <w:color w:val="000000"/>
              </w:rPr>
            </w:pPr>
            <w:r>
              <w:rPr>
                <w:color w:val="000000"/>
              </w:rPr>
              <w:t>114</w:t>
            </w:r>
          </w:p>
        </w:tc>
        <w:tc>
          <w:tcPr>
            <w:tcW w:w="730" w:type="pct"/>
            <w:vAlign w:val="center"/>
            <w:hideMark/>
          </w:tcPr>
          <w:p w:rsidR="008A7754" w:rsidP="00A34B84" w14:paraId="0A0A11FF" w14:textId="12060160">
            <w:pPr>
              <w:spacing w:after="0"/>
              <w:jc w:val="center"/>
              <w:rPr>
                <w:color w:val="000000"/>
              </w:rPr>
            </w:pPr>
            <w:r>
              <w:rPr>
                <w:color w:val="000000"/>
              </w:rPr>
              <w:t>$</w:t>
            </w:r>
            <w:r w:rsidR="00A746D0">
              <w:rPr>
                <w:color w:val="000000"/>
              </w:rPr>
              <w:t>7,172</w:t>
            </w:r>
          </w:p>
        </w:tc>
      </w:tr>
      <w:tr w14:paraId="3ABDDAE7" w14:textId="77777777" w:rsidTr="00023727">
        <w:tblPrEx>
          <w:tblW w:w="5000" w:type="pct"/>
          <w:tblLayout w:type="fixed"/>
          <w:tblLook w:val="04A0"/>
        </w:tblPrEx>
        <w:trPr>
          <w:trHeight w:val="20"/>
        </w:trPr>
        <w:tc>
          <w:tcPr>
            <w:tcW w:w="2083" w:type="pct"/>
            <w:vAlign w:val="center"/>
            <w:hideMark/>
          </w:tcPr>
          <w:p w:rsidR="008A7754" w14:paraId="0AD4A44E" w14:textId="77777777">
            <w:pPr>
              <w:spacing w:after="0"/>
              <w:rPr>
                <w:color w:val="000000"/>
              </w:rPr>
            </w:pPr>
            <w:r>
              <w:rPr>
                <w:color w:val="000000"/>
              </w:rPr>
              <w:t>Registering within CDX</w:t>
            </w:r>
          </w:p>
        </w:tc>
        <w:tc>
          <w:tcPr>
            <w:tcW w:w="729" w:type="pct"/>
            <w:vAlign w:val="center"/>
            <w:hideMark/>
          </w:tcPr>
          <w:p w:rsidR="008A7754" w:rsidP="00A34B84" w14:paraId="1AB000E1" w14:textId="0B6F83D7">
            <w:pPr>
              <w:spacing w:after="0"/>
              <w:jc w:val="center"/>
              <w:rPr>
                <w:color w:val="000000"/>
              </w:rPr>
            </w:pPr>
            <w:r>
              <w:rPr>
                <w:color w:val="000000"/>
              </w:rPr>
              <w:t>38</w:t>
            </w:r>
          </w:p>
        </w:tc>
        <w:tc>
          <w:tcPr>
            <w:tcW w:w="729" w:type="pct"/>
            <w:vAlign w:val="center"/>
            <w:hideMark/>
          </w:tcPr>
          <w:p w:rsidR="008A7754" w:rsidP="00A34B84" w14:paraId="6D1E8895" w14:textId="502178EA">
            <w:pPr>
              <w:spacing w:after="0"/>
              <w:jc w:val="center"/>
              <w:rPr>
                <w:color w:val="000000"/>
              </w:rPr>
            </w:pPr>
            <w:r>
              <w:rPr>
                <w:color w:val="000000"/>
              </w:rPr>
              <w:t>$</w:t>
            </w:r>
            <w:r w:rsidR="00A746D0">
              <w:rPr>
                <w:color w:val="000000"/>
              </w:rPr>
              <w:t>2,391</w:t>
            </w:r>
          </w:p>
        </w:tc>
        <w:tc>
          <w:tcPr>
            <w:tcW w:w="729" w:type="pct"/>
            <w:vAlign w:val="center"/>
            <w:hideMark/>
          </w:tcPr>
          <w:p w:rsidR="008A7754" w:rsidP="00A34B84" w14:paraId="476ABBF5" w14:textId="2F28907C">
            <w:pPr>
              <w:spacing w:after="0"/>
              <w:jc w:val="center"/>
              <w:rPr>
                <w:color w:val="000000"/>
              </w:rPr>
            </w:pPr>
            <w:r>
              <w:rPr>
                <w:color w:val="000000"/>
              </w:rPr>
              <w:t>114</w:t>
            </w:r>
          </w:p>
        </w:tc>
        <w:tc>
          <w:tcPr>
            <w:tcW w:w="730" w:type="pct"/>
            <w:vAlign w:val="center"/>
            <w:hideMark/>
          </w:tcPr>
          <w:p w:rsidR="008A7754" w:rsidP="00A34B84" w14:paraId="64B97B58" w14:textId="423BB8F7">
            <w:pPr>
              <w:spacing w:after="0"/>
              <w:jc w:val="center"/>
              <w:rPr>
                <w:color w:val="000000"/>
              </w:rPr>
            </w:pPr>
            <w:r>
              <w:rPr>
                <w:color w:val="000000"/>
              </w:rPr>
              <w:t>$</w:t>
            </w:r>
            <w:r w:rsidR="00A746D0">
              <w:rPr>
                <w:color w:val="000000"/>
              </w:rPr>
              <w:t>7,172</w:t>
            </w:r>
          </w:p>
        </w:tc>
      </w:tr>
      <w:tr w14:paraId="363534A1" w14:textId="77777777" w:rsidTr="00023727">
        <w:tblPrEx>
          <w:tblW w:w="5000" w:type="pct"/>
          <w:tblLayout w:type="fixed"/>
          <w:tblLook w:val="04A0"/>
        </w:tblPrEx>
        <w:trPr>
          <w:trHeight w:val="20"/>
        </w:trPr>
        <w:tc>
          <w:tcPr>
            <w:tcW w:w="2083" w:type="pct"/>
            <w:vAlign w:val="center"/>
            <w:hideMark/>
          </w:tcPr>
          <w:p w:rsidR="008A7754" w14:paraId="20839408" w14:textId="77777777">
            <w:pPr>
              <w:spacing w:after="0"/>
              <w:rPr>
                <w:color w:val="000000"/>
              </w:rPr>
            </w:pPr>
            <w:r w:rsidRPr="001324E7">
              <w:rPr>
                <w:color w:val="000000"/>
              </w:rPr>
              <w:t>Reading Room</w:t>
            </w:r>
            <w:r>
              <w:rPr>
                <w:color w:val="000000"/>
              </w:rPr>
              <w:t xml:space="preserve"> </w:t>
            </w:r>
          </w:p>
        </w:tc>
        <w:tc>
          <w:tcPr>
            <w:tcW w:w="729" w:type="pct"/>
            <w:vAlign w:val="center"/>
            <w:hideMark/>
          </w:tcPr>
          <w:p w:rsidR="008A7754" w:rsidRPr="00F52421" w:rsidP="00A34B84" w14:paraId="72D2AEA6" w14:textId="77777777">
            <w:pPr>
              <w:spacing w:after="0"/>
              <w:jc w:val="center"/>
              <w:rPr>
                <w:color w:val="000000"/>
              </w:rPr>
            </w:pPr>
            <w:r w:rsidRPr="00F52421">
              <w:rPr>
                <w:color w:val="000000"/>
              </w:rPr>
              <w:t>15</w:t>
            </w:r>
          </w:p>
        </w:tc>
        <w:tc>
          <w:tcPr>
            <w:tcW w:w="729" w:type="pct"/>
            <w:vAlign w:val="center"/>
            <w:hideMark/>
          </w:tcPr>
          <w:p w:rsidR="008A7754" w:rsidRPr="00F52421" w:rsidP="00A34B84" w14:paraId="17831BE8" w14:textId="04793392">
            <w:pPr>
              <w:spacing w:after="0"/>
              <w:jc w:val="center"/>
              <w:rPr>
                <w:color w:val="000000"/>
              </w:rPr>
            </w:pPr>
            <w:r w:rsidRPr="00F52421">
              <w:rPr>
                <w:color w:val="000000"/>
              </w:rPr>
              <w:t>$944</w:t>
            </w:r>
          </w:p>
        </w:tc>
        <w:tc>
          <w:tcPr>
            <w:tcW w:w="729" w:type="pct"/>
            <w:vAlign w:val="center"/>
            <w:hideMark/>
          </w:tcPr>
          <w:p w:rsidR="008A7754" w:rsidRPr="00F52421" w:rsidP="00A34B84" w14:paraId="1BD241AA" w14:textId="77777777">
            <w:pPr>
              <w:spacing w:after="0"/>
              <w:jc w:val="center"/>
              <w:rPr>
                <w:color w:val="000000"/>
              </w:rPr>
            </w:pPr>
            <w:r w:rsidRPr="00F52421">
              <w:rPr>
                <w:color w:val="000000"/>
              </w:rPr>
              <w:t>45</w:t>
            </w:r>
          </w:p>
        </w:tc>
        <w:tc>
          <w:tcPr>
            <w:tcW w:w="730" w:type="pct"/>
            <w:vAlign w:val="center"/>
            <w:hideMark/>
          </w:tcPr>
          <w:p w:rsidR="008A7754" w:rsidRPr="00F52421" w:rsidP="00A34B84" w14:paraId="6C2DDAF1" w14:textId="38BC2BB3">
            <w:pPr>
              <w:spacing w:after="0"/>
              <w:jc w:val="center"/>
              <w:rPr>
                <w:color w:val="000000"/>
              </w:rPr>
            </w:pPr>
            <w:r w:rsidRPr="00F52421">
              <w:rPr>
                <w:color w:val="000000"/>
              </w:rPr>
              <w:t>$2,831</w:t>
            </w:r>
          </w:p>
        </w:tc>
      </w:tr>
      <w:tr w14:paraId="40282D16" w14:textId="77777777" w:rsidTr="00023727">
        <w:tblPrEx>
          <w:tblW w:w="5000" w:type="pct"/>
          <w:tblLayout w:type="fixed"/>
          <w:tblLook w:val="04A0"/>
        </w:tblPrEx>
        <w:trPr>
          <w:trHeight w:val="20"/>
        </w:trPr>
        <w:tc>
          <w:tcPr>
            <w:tcW w:w="2083" w:type="pct"/>
            <w:vAlign w:val="center"/>
          </w:tcPr>
          <w:p w:rsidR="008A7754" w14:paraId="3230DFAD" w14:textId="77777777">
            <w:pPr>
              <w:spacing w:after="0"/>
              <w:rPr>
                <w:color w:val="000000"/>
              </w:rPr>
            </w:pPr>
            <w:r>
              <w:rPr>
                <w:color w:val="000000"/>
              </w:rPr>
              <w:t>Train State and Local Reading Room Staff on OCA</w:t>
            </w:r>
          </w:p>
        </w:tc>
        <w:tc>
          <w:tcPr>
            <w:tcW w:w="729" w:type="pct"/>
            <w:vAlign w:val="center"/>
          </w:tcPr>
          <w:p w:rsidR="008A7754" w:rsidP="00A34B84" w14:paraId="1801CBDD" w14:textId="77777777">
            <w:pPr>
              <w:spacing w:after="0"/>
              <w:jc w:val="center"/>
              <w:rPr>
                <w:color w:val="000000"/>
              </w:rPr>
            </w:pPr>
            <w:r>
              <w:rPr>
                <w:color w:val="000000"/>
              </w:rPr>
              <w:t>60</w:t>
            </w:r>
          </w:p>
        </w:tc>
        <w:tc>
          <w:tcPr>
            <w:tcW w:w="729" w:type="pct"/>
            <w:vAlign w:val="center"/>
          </w:tcPr>
          <w:p w:rsidR="008A7754" w:rsidP="00A34B84" w14:paraId="17F692DD" w14:textId="25E54CB1">
            <w:pPr>
              <w:spacing w:after="0"/>
              <w:jc w:val="center"/>
              <w:rPr>
                <w:color w:val="000000"/>
              </w:rPr>
            </w:pPr>
            <w:r>
              <w:rPr>
                <w:color w:val="000000"/>
              </w:rPr>
              <w:t>$3,775</w:t>
            </w:r>
          </w:p>
        </w:tc>
        <w:tc>
          <w:tcPr>
            <w:tcW w:w="729" w:type="pct"/>
            <w:vAlign w:val="center"/>
          </w:tcPr>
          <w:p w:rsidR="008A7754" w:rsidP="00A34B84" w14:paraId="696CD6E3" w14:textId="77777777">
            <w:pPr>
              <w:spacing w:after="0"/>
              <w:jc w:val="center"/>
              <w:rPr>
                <w:color w:val="000000"/>
              </w:rPr>
            </w:pPr>
            <w:r>
              <w:rPr>
                <w:color w:val="000000"/>
              </w:rPr>
              <w:t>180</w:t>
            </w:r>
          </w:p>
        </w:tc>
        <w:tc>
          <w:tcPr>
            <w:tcW w:w="730" w:type="pct"/>
            <w:vAlign w:val="center"/>
          </w:tcPr>
          <w:p w:rsidR="008A7754" w:rsidP="00A34B84" w14:paraId="0F7CC1EC" w14:textId="68BBF3E5">
            <w:pPr>
              <w:spacing w:after="0"/>
              <w:jc w:val="center"/>
              <w:rPr>
                <w:color w:val="000000"/>
              </w:rPr>
            </w:pPr>
            <w:r>
              <w:rPr>
                <w:color w:val="000000"/>
              </w:rPr>
              <w:t>$11,326</w:t>
            </w:r>
          </w:p>
        </w:tc>
      </w:tr>
      <w:tr w14:paraId="57689317" w14:textId="77777777" w:rsidTr="00023727">
        <w:tblPrEx>
          <w:tblW w:w="5000" w:type="pct"/>
          <w:tblLayout w:type="fixed"/>
          <w:tblLook w:val="04A0"/>
        </w:tblPrEx>
        <w:trPr>
          <w:trHeight w:val="20"/>
        </w:trPr>
        <w:tc>
          <w:tcPr>
            <w:tcW w:w="2083" w:type="pct"/>
            <w:vAlign w:val="center"/>
            <w:hideMark/>
          </w:tcPr>
          <w:p w:rsidR="008A7754" w14:paraId="6056813A" w14:textId="77777777">
            <w:pPr>
              <w:rPr>
                <w:color w:val="000000"/>
              </w:rPr>
            </w:pPr>
            <w:r>
              <w:rPr>
                <w:color w:val="000000"/>
              </w:rPr>
              <w:t>Public Meeting</w:t>
            </w:r>
          </w:p>
        </w:tc>
        <w:tc>
          <w:tcPr>
            <w:tcW w:w="729" w:type="pct"/>
            <w:vAlign w:val="center"/>
            <w:hideMark/>
          </w:tcPr>
          <w:p w:rsidR="008A7754" w:rsidP="00A34B84" w14:paraId="71A87EE9" w14:textId="77777777">
            <w:pPr>
              <w:spacing w:after="0"/>
              <w:jc w:val="center"/>
              <w:rPr>
                <w:color w:val="000000"/>
              </w:rPr>
            </w:pPr>
            <w:r>
              <w:rPr>
                <w:color w:val="000000"/>
              </w:rPr>
              <w:t>120</w:t>
            </w:r>
          </w:p>
        </w:tc>
        <w:tc>
          <w:tcPr>
            <w:tcW w:w="729" w:type="pct"/>
            <w:vAlign w:val="center"/>
            <w:hideMark/>
          </w:tcPr>
          <w:p w:rsidR="008A7754" w:rsidP="00A34B84" w14:paraId="68199F9C" w14:textId="0D8890FB">
            <w:pPr>
              <w:spacing w:after="0"/>
              <w:jc w:val="center"/>
              <w:rPr>
                <w:color w:val="000000"/>
              </w:rPr>
            </w:pPr>
            <w:r>
              <w:rPr>
                <w:color w:val="000000"/>
              </w:rPr>
              <w:t>$7,550</w:t>
            </w:r>
          </w:p>
        </w:tc>
        <w:tc>
          <w:tcPr>
            <w:tcW w:w="729" w:type="pct"/>
            <w:vAlign w:val="center"/>
            <w:hideMark/>
          </w:tcPr>
          <w:p w:rsidR="008A7754" w:rsidP="00A34B84" w14:paraId="3A0D2453" w14:textId="77777777">
            <w:pPr>
              <w:spacing w:after="0"/>
              <w:jc w:val="center"/>
              <w:rPr>
                <w:color w:val="000000"/>
              </w:rPr>
            </w:pPr>
            <w:r>
              <w:rPr>
                <w:color w:val="000000"/>
              </w:rPr>
              <w:t>360</w:t>
            </w:r>
          </w:p>
        </w:tc>
        <w:tc>
          <w:tcPr>
            <w:tcW w:w="730" w:type="pct"/>
            <w:vAlign w:val="center"/>
            <w:hideMark/>
          </w:tcPr>
          <w:p w:rsidR="008A7754" w:rsidP="00A34B84" w14:paraId="25375946" w14:textId="4B2E992B">
            <w:pPr>
              <w:spacing w:after="0"/>
              <w:jc w:val="center"/>
              <w:rPr>
                <w:color w:val="000000"/>
              </w:rPr>
            </w:pPr>
            <w:r>
              <w:rPr>
                <w:color w:val="000000"/>
              </w:rPr>
              <w:t>$22,651</w:t>
            </w:r>
          </w:p>
        </w:tc>
      </w:tr>
      <w:tr w14:paraId="31A0B716" w14:textId="77777777" w:rsidTr="00023727">
        <w:tblPrEx>
          <w:tblW w:w="5000" w:type="pct"/>
          <w:tblLayout w:type="fixed"/>
          <w:tblLook w:val="04A0"/>
        </w:tblPrEx>
        <w:trPr>
          <w:trHeight w:val="20"/>
        </w:trPr>
        <w:tc>
          <w:tcPr>
            <w:tcW w:w="2083" w:type="pct"/>
            <w:vAlign w:val="center"/>
            <w:hideMark/>
          </w:tcPr>
          <w:p w:rsidR="008A7754" w14:paraId="61DFD031" w14:textId="77777777">
            <w:pPr>
              <w:rPr>
                <w:b/>
                <w:bCs/>
                <w:color w:val="000000"/>
              </w:rPr>
            </w:pPr>
            <w:r>
              <w:rPr>
                <w:b/>
                <w:bCs/>
                <w:color w:val="000000"/>
              </w:rPr>
              <w:t>Total</w:t>
            </w:r>
          </w:p>
        </w:tc>
        <w:tc>
          <w:tcPr>
            <w:tcW w:w="729" w:type="pct"/>
            <w:vAlign w:val="center"/>
            <w:hideMark/>
          </w:tcPr>
          <w:p w:rsidR="008A7754" w:rsidP="00A34B84" w14:paraId="6242C4C9" w14:textId="0833C65B">
            <w:pPr>
              <w:spacing w:after="0"/>
              <w:jc w:val="center"/>
              <w:rPr>
                <w:b/>
                <w:bCs/>
                <w:color w:val="000000"/>
              </w:rPr>
            </w:pPr>
            <w:r>
              <w:rPr>
                <w:b/>
                <w:bCs/>
                <w:color w:val="000000"/>
              </w:rPr>
              <w:t>271</w:t>
            </w:r>
          </w:p>
        </w:tc>
        <w:tc>
          <w:tcPr>
            <w:tcW w:w="729" w:type="pct"/>
            <w:vAlign w:val="center"/>
            <w:hideMark/>
          </w:tcPr>
          <w:p w:rsidR="008A7754" w:rsidP="00A34B84" w14:paraId="36843CD2" w14:textId="454D56BE">
            <w:pPr>
              <w:spacing w:after="0"/>
              <w:jc w:val="center"/>
              <w:rPr>
                <w:b/>
                <w:bCs/>
                <w:color w:val="000000"/>
              </w:rPr>
            </w:pPr>
            <w:r>
              <w:rPr>
                <w:b/>
                <w:bCs/>
                <w:color w:val="000000"/>
              </w:rPr>
              <w:t>$</w:t>
            </w:r>
            <w:r w:rsidR="00582B72">
              <w:rPr>
                <w:b/>
                <w:bCs/>
                <w:color w:val="000000"/>
              </w:rPr>
              <w:t>17,051</w:t>
            </w:r>
          </w:p>
        </w:tc>
        <w:tc>
          <w:tcPr>
            <w:tcW w:w="729" w:type="pct"/>
            <w:vAlign w:val="center"/>
            <w:hideMark/>
          </w:tcPr>
          <w:p w:rsidR="008A7754" w:rsidP="00A34B84" w14:paraId="0A1E0A0D" w14:textId="43058E04">
            <w:pPr>
              <w:spacing w:after="0"/>
              <w:jc w:val="center"/>
              <w:rPr>
                <w:b/>
                <w:bCs/>
                <w:color w:val="000000"/>
              </w:rPr>
            </w:pPr>
            <w:r>
              <w:rPr>
                <w:b/>
                <w:bCs/>
                <w:color w:val="000000"/>
              </w:rPr>
              <w:t>813</w:t>
            </w:r>
          </w:p>
        </w:tc>
        <w:tc>
          <w:tcPr>
            <w:tcW w:w="730" w:type="pct"/>
            <w:vAlign w:val="center"/>
            <w:hideMark/>
          </w:tcPr>
          <w:p w:rsidR="008A7754" w:rsidP="00A34B84" w14:paraId="3D744C52" w14:textId="472604DF">
            <w:pPr>
              <w:spacing w:after="0"/>
              <w:jc w:val="center"/>
              <w:rPr>
                <w:b/>
                <w:bCs/>
                <w:color w:val="000000"/>
              </w:rPr>
            </w:pPr>
            <w:r>
              <w:rPr>
                <w:b/>
                <w:bCs/>
                <w:color w:val="000000"/>
              </w:rPr>
              <w:t>$</w:t>
            </w:r>
            <w:r w:rsidR="005D2B53">
              <w:rPr>
                <w:b/>
                <w:bCs/>
                <w:color w:val="000000"/>
              </w:rPr>
              <w:t>51,153</w:t>
            </w:r>
          </w:p>
        </w:tc>
      </w:tr>
    </w:tbl>
    <w:p w:rsidR="008A7754" w:rsidP="008A7754" w14:paraId="7D48B7BF" w14:textId="16988AA4">
      <w:pPr>
        <w:rPr>
          <w:color w:val="000000"/>
          <w:sz w:val="20"/>
          <w:szCs w:val="20"/>
        </w:rPr>
      </w:pPr>
      <w:r w:rsidRPr="003D5B1C">
        <w:rPr>
          <w:color w:val="000000"/>
          <w:sz w:val="20"/>
          <w:szCs w:val="20"/>
        </w:rPr>
        <w:t>*Totals may not sum due to rounding</w:t>
      </w:r>
      <w:r>
        <w:rPr>
          <w:color w:val="000000"/>
          <w:sz w:val="20"/>
          <w:szCs w:val="20"/>
        </w:rPr>
        <w:t>.</w:t>
      </w:r>
    </w:p>
    <w:p w:rsidR="008A7754" w:rsidRPr="0061458A" w:rsidP="008A7754" w14:paraId="69BE0AB4" w14:textId="3D18A3C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rPr>
          <w:b/>
          <w:bCs/>
          <w:u w:val="single"/>
        </w:rPr>
      </w:pPr>
      <w:r w:rsidRPr="0061458A">
        <w:rPr>
          <w:b/>
          <w:bCs/>
          <w:u w:val="single"/>
        </w:rPr>
        <w:t>Total Annual Burden and Costs for All Respondents</w:t>
      </w:r>
    </w:p>
    <w:p w:rsidR="008A7754" w:rsidP="008A7754" w14:paraId="3AAD8005" w14:textId="7A9BCE4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spacing w:after="240"/>
      </w:pPr>
      <w:r>
        <w:t>As detailed above, r</w:t>
      </w:r>
      <w:r w:rsidRPr="00E765BA">
        <w:t xml:space="preserve">espondents for this ICR are </w:t>
      </w:r>
      <w:r>
        <w:t>S</w:t>
      </w:r>
      <w:r w:rsidRPr="00E765BA">
        <w:t xml:space="preserve">tate and local officials requesting OCA data from EPA and the members of the public visiting reading rooms and making inquiries on the VZIS. </w:t>
      </w:r>
      <w:r>
        <w:t xml:space="preserve">This section, and Exhibit </w:t>
      </w:r>
      <w:r w:rsidR="009E6185">
        <w:t>7</w:t>
      </w:r>
      <w:r>
        <w:t xml:space="preserve">, summarize the combined total labor burden and cost for these two categories of respondents. </w:t>
      </w:r>
    </w:p>
    <w:p w:rsidR="008A7754" w:rsidP="008A7754" w14:paraId="2D15177C" w14:textId="4645301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spacing w:after="240"/>
      </w:pPr>
      <w:r w:rsidRPr="008F685C">
        <w:t>The</w:t>
      </w:r>
      <w:r>
        <w:t xml:space="preserve"> </w:t>
      </w:r>
      <w:r w:rsidRPr="008F685C">
        <w:t>total number of annual respondent</w:t>
      </w:r>
      <w:r>
        <w:t xml:space="preserve"> burden hours is 665. </w:t>
      </w:r>
      <w:r w:rsidRPr="009850A0">
        <w:t xml:space="preserve">The total </w:t>
      </w:r>
      <w:r>
        <w:t xml:space="preserve">labor </w:t>
      </w:r>
      <w:r w:rsidRPr="009850A0">
        <w:t>burden of the information collection is the</w:t>
      </w:r>
      <w:r w:rsidRPr="00E7559D">
        <w:t xml:space="preserve"> burden to the public for </w:t>
      </w:r>
      <w:r>
        <w:t xml:space="preserve">using </w:t>
      </w:r>
      <w:r w:rsidRPr="00E7559D">
        <w:t>the reading room</w:t>
      </w:r>
      <w:r>
        <w:t>s</w:t>
      </w:r>
      <w:r w:rsidRPr="00E7559D">
        <w:t xml:space="preserve"> and making VZIS inquiries</w:t>
      </w:r>
      <w:r>
        <w:t xml:space="preserve">, in addition to the </w:t>
      </w:r>
      <w:r w:rsidRPr="00FE2F4A">
        <w:t>burden for State and local agencies</w:t>
      </w:r>
      <w:r>
        <w:t xml:space="preserve"> to submit requests as covered persons for CDs, register within CDX, do reading room training, help the public in the reading room, and hold public meetings. </w:t>
      </w:r>
      <w:r w:rsidRPr="00E7559D">
        <w:t xml:space="preserve">Total </w:t>
      </w:r>
      <w:r>
        <w:t xml:space="preserve">labor </w:t>
      </w:r>
      <w:r w:rsidRPr="00E7559D">
        <w:t xml:space="preserve">burden is calculated by multiplying unit burden estimates by the number of </w:t>
      </w:r>
      <w:r w:rsidRPr="00E765BA">
        <w:t>individuals</w:t>
      </w:r>
      <w:r w:rsidRPr="00E7559D">
        <w:t xml:space="preserve"> affected. Total </w:t>
      </w:r>
      <w:r>
        <w:t xml:space="preserve">labor </w:t>
      </w:r>
      <w:r w:rsidRPr="00E7559D">
        <w:t xml:space="preserve">cost is derived in a similar manner. The total </w:t>
      </w:r>
      <w:r>
        <w:t xml:space="preserve">labor </w:t>
      </w:r>
      <w:r w:rsidRPr="00E7559D">
        <w:t xml:space="preserve">burden and costs associated with the </w:t>
      </w:r>
      <w:r w:rsidRPr="00E765BA">
        <w:t>ICR</w:t>
      </w:r>
      <w:r w:rsidRPr="00E7559D">
        <w:t xml:space="preserve"> </w:t>
      </w:r>
      <w:r>
        <w:t>a</w:t>
      </w:r>
      <w:r w:rsidRPr="00E7559D">
        <w:t xml:space="preserve">re shown </w:t>
      </w:r>
      <w:r>
        <w:t xml:space="preserve">below in Exhibit </w:t>
      </w:r>
      <w:r w:rsidR="009E6185">
        <w:t>7</w:t>
      </w:r>
      <w:r w:rsidRPr="00E7559D">
        <w:t>.</w:t>
      </w:r>
    </w:p>
    <w:p w:rsidR="008A7754" w:rsidP="008A7754" w14:paraId="1D32B775" w14:textId="6753BCE6">
      <w:pPr>
        <w:keepNext/>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jc w:val="center"/>
      </w:pPr>
      <w:r>
        <w:rPr>
          <w:b/>
          <w:bCs/>
          <w:color w:val="000000"/>
        </w:rPr>
        <w:t xml:space="preserve">Exhibit </w:t>
      </w:r>
      <w:r w:rsidR="009E6185">
        <w:rPr>
          <w:b/>
          <w:bCs/>
          <w:color w:val="000000"/>
        </w:rPr>
        <w:t>7</w:t>
      </w:r>
      <w:r>
        <w:rPr>
          <w:b/>
          <w:bCs/>
          <w:color w:val="000000"/>
        </w:rPr>
        <w:t>. Total Respondent Labor Burden and Cost</w:t>
      </w:r>
    </w:p>
    <w:tbl>
      <w:tblPr>
        <w:tblW w:w="5000" w:type="pct"/>
        <w:tblLook w:val="04A0"/>
      </w:tblPr>
      <w:tblGrid>
        <w:gridCol w:w="2392"/>
        <w:gridCol w:w="1796"/>
        <w:gridCol w:w="1796"/>
        <w:gridCol w:w="1796"/>
        <w:gridCol w:w="1796"/>
      </w:tblGrid>
      <w:tr w14:paraId="7D56813F" w14:textId="77777777" w:rsidTr="00023727">
        <w:tblPrEx>
          <w:tblW w:w="5000" w:type="pct"/>
          <w:tblLook w:val="04A0"/>
        </w:tblPrEx>
        <w:trPr>
          <w:trHeight w:val="386"/>
        </w:trPr>
        <w:tc>
          <w:tcPr>
            <w:tcW w:w="2155" w:type="dxa"/>
            <w:vMerge w:val="restart"/>
            <w:tcBorders>
              <w:top w:val="single" w:sz="4" w:space="0" w:color="auto"/>
              <w:left w:val="single" w:sz="4" w:space="0" w:color="auto"/>
              <w:bottom w:val="single" w:sz="4" w:space="0" w:color="auto"/>
              <w:right w:val="single" w:sz="4" w:space="0" w:color="auto"/>
            </w:tcBorders>
            <w:vAlign w:val="center"/>
            <w:hideMark/>
          </w:tcPr>
          <w:p w:rsidR="008A7754" w:rsidRPr="00FA0651" w14:paraId="3DB4BAF4" w14:textId="77777777">
            <w:pPr>
              <w:spacing w:after="0"/>
              <w:rPr>
                <w:b/>
                <w:bCs/>
                <w:color w:val="000000"/>
              </w:rPr>
            </w:pPr>
            <w:r w:rsidRPr="00FA0651">
              <w:rPr>
                <w:b/>
                <w:bCs/>
                <w:color w:val="000000"/>
              </w:rPr>
              <w:t>Respondent</w:t>
            </w:r>
          </w:p>
        </w:tc>
        <w:tc>
          <w:tcPr>
            <w:tcW w:w="3237" w:type="dxa"/>
            <w:gridSpan w:val="2"/>
            <w:tcBorders>
              <w:top w:val="single" w:sz="4" w:space="0" w:color="auto"/>
              <w:left w:val="nil"/>
              <w:bottom w:val="single" w:sz="4" w:space="0" w:color="auto"/>
              <w:right w:val="single" w:sz="4" w:space="0" w:color="000000"/>
            </w:tcBorders>
            <w:vAlign w:val="center"/>
            <w:hideMark/>
          </w:tcPr>
          <w:p w:rsidR="008A7754" w:rsidRPr="00FA0651" w14:paraId="5974E600" w14:textId="77777777">
            <w:pPr>
              <w:spacing w:after="0"/>
              <w:jc w:val="center"/>
              <w:rPr>
                <w:b/>
                <w:bCs/>
                <w:color w:val="000000"/>
              </w:rPr>
            </w:pPr>
            <w:r w:rsidRPr="00FA0651">
              <w:rPr>
                <w:b/>
                <w:bCs/>
                <w:color w:val="000000"/>
              </w:rPr>
              <w:t>Annual</w:t>
            </w:r>
          </w:p>
        </w:tc>
        <w:tc>
          <w:tcPr>
            <w:tcW w:w="3238" w:type="dxa"/>
            <w:gridSpan w:val="2"/>
            <w:tcBorders>
              <w:top w:val="single" w:sz="4" w:space="0" w:color="auto"/>
              <w:left w:val="nil"/>
              <w:bottom w:val="single" w:sz="4" w:space="0" w:color="auto"/>
              <w:right w:val="single" w:sz="4" w:space="0" w:color="000000"/>
            </w:tcBorders>
            <w:vAlign w:val="center"/>
            <w:hideMark/>
          </w:tcPr>
          <w:p w:rsidR="008A7754" w:rsidRPr="00FA0651" w14:paraId="74A87326" w14:textId="77777777">
            <w:pPr>
              <w:spacing w:after="0"/>
              <w:jc w:val="center"/>
              <w:rPr>
                <w:b/>
                <w:bCs/>
                <w:color w:val="000000"/>
              </w:rPr>
            </w:pPr>
            <w:r w:rsidRPr="00FA0651">
              <w:rPr>
                <w:b/>
                <w:bCs/>
                <w:color w:val="000000"/>
              </w:rPr>
              <w:t>Three-Year Total</w:t>
            </w:r>
          </w:p>
        </w:tc>
      </w:tr>
      <w:tr w14:paraId="56DE74E9" w14:textId="77777777" w:rsidTr="00023727">
        <w:tblPrEx>
          <w:tblW w:w="5000" w:type="pct"/>
          <w:tblLook w:val="04A0"/>
        </w:tblPrEx>
        <w:trPr>
          <w:trHeight w:val="560"/>
        </w:trPr>
        <w:tc>
          <w:tcPr>
            <w:tcW w:w="2155" w:type="dxa"/>
            <w:vMerge/>
            <w:tcBorders>
              <w:top w:val="single" w:sz="4" w:space="0" w:color="auto"/>
              <w:left w:val="single" w:sz="4" w:space="0" w:color="auto"/>
              <w:bottom w:val="single" w:sz="4" w:space="0" w:color="auto"/>
              <w:right w:val="single" w:sz="4" w:space="0" w:color="auto"/>
            </w:tcBorders>
            <w:vAlign w:val="center"/>
            <w:hideMark/>
          </w:tcPr>
          <w:p w:rsidR="008A7754" w:rsidRPr="00FA0651" w14:paraId="7AA9453F" w14:textId="77777777">
            <w:pPr>
              <w:spacing w:after="0"/>
              <w:rPr>
                <w:b/>
                <w:bCs/>
                <w:color w:val="000000"/>
              </w:rPr>
            </w:pPr>
          </w:p>
        </w:tc>
        <w:tc>
          <w:tcPr>
            <w:tcW w:w="1618" w:type="dxa"/>
            <w:tcBorders>
              <w:top w:val="nil"/>
              <w:left w:val="nil"/>
              <w:bottom w:val="single" w:sz="4" w:space="0" w:color="auto"/>
              <w:right w:val="single" w:sz="4" w:space="0" w:color="auto"/>
            </w:tcBorders>
            <w:vAlign w:val="center"/>
            <w:hideMark/>
          </w:tcPr>
          <w:p w:rsidR="008A7754" w:rsidRPr="00FA0651" w14:paraId="4AD2695D" w14:textId="77777777">
            <w:pPr>
              <w:spacing w:after="0"/>
              <w:jc w:val="center"/>
              <w:rPr>
                <w:b/>
                <w:bCs/>
                <w:color w:val="000000"/>
              </w:rPr>
            </w:pPr>
            <w:r w:rsidRPr="00FA0651">
              <w:rPr>
                <w:b/>
                <w:bCs/>
                <w:color w:val="000000"/>
              </w:rPr>
              <w:t>Burden Hours</w:t>
            </w:r>
          </w:p>
        </w:tc>
        <w:tc>
          <w:tcPr>
            <w:tcW w:w="1619" w:type="dxa"/>
            <w:tcBorders>
              <w:top w:val="nil"/>
              <w:left w:val="nil"/>
              <w:bottom w:val="single" w:sz="4" w:space="0" w:color="auto"/>
              <w:right w:val="single" w:sz="4" w:space="0" w:color="auto"/>
            </w:tcBorders>
            <w:vAlign w:val="center"/>
            <w:hideMark/>
          </w:tcPr>
          <w:p w:rsidR="008A7754" w:rsidRPr="00FA0651" w14:paraId="0520E8C9" w14:textId="77777777">
            <w:pPr>
              <w:spacing w:after="0"/>
              <w:jc w:val="center"/>
              <w:rPr>
                <w:b/>
                <w:bCs/>
                <w:color w:val="000000"/>
              </w:rPr>
            </w:pPr>
            <w:r w:rsidRPr="00FA0651">
              <w:rPr>
                <w:b/>
                <w:bCs/>
                <w:color w:val="000000"/>
              </w:rPr>
              <w:t>Labor Cost</w:t>
            </w:r>
          </w:p>
        </w:tc>
        <w:tc>
          <w:tcPr>
            <w:tcW w:w="1619" w:type="dxa"/>
            <w:tcBorders>
              <w:top w:val="nil"/>
              <w:left w:val="nil"/>
              <w:bottom w:val="single" w:sz="4" w:space="0" w:color="auto"/>
              <w:right w:val="single" w:sz="4" w:space="0" w:color="auto"/>
            </w:tcBorders>
            <w:vAlign w:val="center"/>
            <w:hideMark/>
          </w:tcPr>
          <w:p w:rsidR="008A7754" w:rsidRPr="00FA0651" w14:paraId="5A8F0BE2" w14:textId="77777777">
            <w:pPr>
              <w:spacing w:after="0"/>
              <w:jc w:val="center"/>
              <w:rPr>
                <w:b/>
                <w:bCs/>
                <w:color w:val="000000"/>
              </w:rPr>
            </w:pPr>
            <w:r w:rsidRPr="00FA0651">
              <w:rPr>
                <w:b/>
                <w:bCs/>
                <w:color w:val="000000"/>
              </w:rPr>
              <w:t>Burden Hours</w:t>
            </w:r>
          </w:p>
        </w:tc>
        <w:tc>
          <w:tcPr>
            <w:tcW w:w="1619" w:type="dxa"/>
            <w:tcBorders>
              <w:top w:val="nil"/>
              <w:left w:val="nil"/>
              <w:bottom w:val="single" w:sz="4" w:space="0" w:color="auto"/>
              <w:right w:val="single" w:sz="4" w:space="0" w:color="auto"/>
            </w:tcBorders>
            <w:vAlign w:val="center"/>
            <w:hideMark/>
          </w:tcPr>
          <w:p w:rsidR="008A7754" w:rsidRPr="00FA0651" w14:paraId="3CC7C507" w14:textId="77777777">
            <w:pPr>
              <w:spacing w:after="0"/>
              <w:jc w:val="center"/>
              <w:rPr>
                <w:b/>
                <w:bCs/>
                <w:color w:val="000000"/>
              </w:rPr>
            </w:pPr>
            <w:r w:rsidRPr="00FA0651">
              <w:rPr>
                <w:b/>
                <w:bCs/>
                <w:color w:val="000000"/>
              </w:rPr>
              <w:t>Labor Cost</w:t>
            </w:r>
          </w:p>
        </w:tc>
      </w:tr>
      <w:tr w14:paraId="28C98BB9" w14:textId="77777777" w:rsidTr="00023727">
        <w:tblPrEx>
          <w:tblW w:w="5000" w:type="pct"/>
          <w:tblLook w:val="04A0"/>
        </w:tblPrEx>
        <w:trPr>
          <w:trHeight w:val="290"/>
        </w:trPr>
        <w:tc>
          <w:tcPr>
            <w:tcW w:w="2155" w:type="dxa"/>
            <w:tcBorders>
              <w:top w:val="nil"/>
              <w:left w:val="single" w:sz="4" w:space="0" w:color="auto"/>
              <w:bottom w:val="single" w:sz="4" w:space="0" w:color="auto"/>
              <w:right w:val="single" w:sz="4" w:space="0" w:color="auto"/>
            </w:tcBorders>
            <w:vAlign w:val="center"/>
            <w:hideMark/>
          </w:tcPr>
          <w:p w:rsidR="008A7754" w:rsidRPr="00FA0651" w14:paraId="2F37E08B" w14:textId="77777777">
            <w:pPr>
              <w:spacing w:after="0"/>
              <w:rPr>
                <w:color w:val="000000"/>
              </w:rPr>
            </w:pPr>
            <w:r w:rsidRPr="00FA0651">
              <w:rPr>
                <w:color w:val="000000"/>
              </w:rPr>
              <w:t>Public</w:t>
            </w:r>
          </w:p>
        </w:tc>
        <w:tc>
          <w:tcPr>
            <w:tcW w:w="1618" w:type="dxa"/>
            <w:tcBorders>
              <w:top w:val="nil"/>
              <w:left w:val="nil"/>
              <w:bottom w:val="single" w:sz="4" w:space="0" w:color="auto"/>
              <w:right w:val="single" w:sz="4" w:space="0" w:color="auto"/>
            </w:tcBorders>
            <w:vAlign w:val="center"/>
            <w:hideMark/>
          </w:tcPr>
          <w:p w:rsidR="008A7754" w:rsidRPr="00FA0651" w:rsidP="00A34B84" w14:paraId="0DADFC6E" w14:textId="61A3197F">
            <w:pPr>
              <w:spacing w:after="0"/>
              <w:jc w:val="center"/>
              <w:rPr>
                <w:color w:val="000000"/>
              </w:rPr>
            </w:pPr>
            <w:r w:rsidRPr="00FA0651">
              <w:rPr>
                <w:color w:val="000000"/>
              </w:rPr>
              <w:t>339</w:t>
            </w:r>
          </w:p>
        </w:tc>
        <w:tc>
          <w:tcPr>
            <w:tcW w:w="1619" w:type="dxa"/>
            <w:tcBorders>
              <w:top w:val="nil"/>
              <w:left w:val="nil"/>
              <w:bottom w:val="single" w:sz="4" w:space="0" w:color="auto"/>
              <w:right w:val="single" w:sz="4" w:space="0" w:color="auto"/>
            </w:tcBorders>
            <w:vAlign w:val="center"/>
            <w:hideMark/>
          </w:tcPr>
          <w:p w:rsidR="008A7754" w:rsidRPr="00FA0651" w:rsidP="00A34B84" w14:paraId="66B9C9D2" w14:textId="77777777">
            <w:pPr>
              <w:spacing w:after="0"/>
              <w:jc w:val="center"/>
              <w:rPr>
                <w:color w:val="000000"/>
              </w:rPr>
            </w:pPr>
            <w:r w:rsidRPr="00FA0651">
              <w:rPr>
                <w:color w:val="000000"/>
              </w:rPr>
              <w:t>$15,052</w:t>
            </w:r>
          </w:p>
        </w:tc>
        <w:tc>
          <w:tcPr>
            <w:tcW w:w="1619" w:type="dxa"/>
            <w:tcBorders>
              <w:top w:val="nil"/>
              <w:left w:val="nil"/>
              <w:bottom w:val="single" w:sz="4" w:space="0" w:color="auto"/>
              <w:right w:val="single" w:sz="4" w:space="0" w:color="auto"/>
            </w:tcBorders>
            <w:vAlign w:val="center"/>
            <w:hideMark/>
          </w:tcPr>
          <w:p w:rsidR="008A7754" w:rsidRPr="00FA0651" w:rsidP="00A34B84" w14:paraId="00807088" w14:textId="6ED556C5">
            <w:pPr>
              <w:spacing w:after="0"/>
              <w:jc w:val="center"/>
              <w:rPr>
                <w:color w:val="000000"/>
              </w:rPr>
            </w:pPr>
            <w:r w:rsidRPr="00FA0651">
              <w:rPr>
                <w:color w:val="000000"/>
              </w:rPr>
              <w:t>1,017</w:t>
            </w:r>
          </w:p>
        </w:tc>
        <w:tc>
          <w:tcPr>
            <w:tcW w:w="1619" w:type="dxa"/>
            <w:tcBorders>
              <w:top w:val="nil"/>
              <w:left w:val="nil"/>
              <w:bottom w:val="single" w:sz="4" w:space="0" w:color="auto"/>
              <w:right w:val="single" w:sz="4" w:space="0" w:color="auto"/>
            </w:tcBorders>
            <w:vAlign w:val="center"/>
            <w:hideMark/>
          </w:tcPr>
          <w:p w:rsidR="008A7754" w:rsidRPr="00FA0651" w:rsidP="00A34B84" w14:paraId="5A69D2D1" w14:textId="77777777">
            <w:pPr>
              <w:spacing w:after="0"/>
              <w:jc w:val="center"/>
              <w:rPr>
                <w:color w:val="000000"/>
              </w:rPr>
            </w:pPr>
            <w:r w:rsidRPr="00FA0651">
              <w:rPr>
                <w:color w:val="000000"/>
              </w:rPr>
              <w:t>$45,155</w:t>
            </w:r>
          </w:p>
        </w:tc>
      </w:tr>
      <w:tr w14:paraId="5B9E3E48" w14:textId="77777777" w:rsidTr="00023727">
        <w:tblPrEx>
          <w:tblW w:w="5000" w:type="pct"/>
          <w:tblLook w:val="04A0"/>
        </w:tblPrEx>
        <w:trPr>
          <w:trHeight w:val="290"/>
        </w:trPr>
        <w:tc>
          <w:tcPr>
            <w:tcW w:w="2155" w:type="dxa"/>
            <w:tcBorders>
              <w:top w:val="nil"/>
              <w:left w:val="single" w:sz="4" w:space="0" w:color="auto"/>
              <w:bottom w:val="single" w:sz="4" w:space="0" w:color="auto"/>
              <w:right w:val="single" w:sz="4" w:space="0" w:color="auto"/>
            </w:tcBorders>
            <w:vAlign w:val="center"/>
            <w:hideMark/>
          </w:tcPr>
          <w:p w:rsidR="008A7754" w:rsidRPr="00FA0651" w14:paraId="5701F772" w14:textId="77777777">
            <w:pPr>
              <w:spacing w:after="0"/>
              <w:rPr>
                <w:color w:val="000000"/>
              </w:rPr>
            </w:pPr>
            <w:r w:rsidRPr="00FA0651">
              <w:rPr>
                <w:color w:val="000000"/>
              </w:rPr>
              <w:t xml:space="preserve">State and </w:t>
            </w:r>
            <w:r>
              <w:rPr>
                <w:color w:val="000000"/>
              </w:rPr>
              <w:t>L</w:t>
            </w:r>
            <w:r w:rsidRPr="00FA0651">
              <w:rPr>
                <w:color w:val="000000"/>
              </w:rPr>
              <w:t xml:space="preserve">ocal </w:t>
            </w:r>
            <w:r>
              <w:rPr>
                <w:color w:val="000000"/>
              </w:rPr>
              <w:t>A</w:t>
            </w:r>
            <w:r w:rsidRPr="00FA0651">
              <w:rPr>
                <w:color w:val="000000"/>
              </w:rPr>
              <w:t xml:space="preserve">gencies and LEPCs </w:t>
            </w:r>
          </w:p>
        </w:tc>
        <w:tc>
          <w:tcPr>
            <w:tcW w:w="1618" w:type="dxa"/>
            <w:tcBorders>
              <w:top w:val="nil"/>
              <w:left w:val="nil"/>
              <w:bottom w:val="single" w:sz="4" w:space="0" w:color="auto"/>
              <w:right w:val="single" w:sz="4" w:space="0" w:color="auto"/>
            </w:tcBorders>
            <w:vAlign w:val="center"/>
            <w:hideMark/>
          </w:tcPr>
          <w:p w:rsidR="008A7754" w:rsidRPr="00FA0651" w:rsidP="00A34B84" w14:paraId="017EB5F2" w14:textId="6BE75DF0">
            <w:pPr>
              <w:spacing w:after="0"/>
              <w:jc w:val="center"/>
              <w:rPr>
                <w:color w:val="000000"/>
              </w:rPr>
            </w:pPr>
            <w:r>
              <w:rPr>
                <w:color w:val="000000"/>
              </w:rPr>
              <w:t>271</w:t>
            </w:r>
          </w:p>
        </w:tc>
        <w:tc>
          <w:tcPr>
            <w:tcW w:w="1619" w:type="dxa"/>
            <w:tcBorders>
              <w:top w:val="nil"/>
              <w:left w:val="nil"/>
              <w:bottom w:val="single" w:sz="4" w:space="0" w:color="auto"/>
              <w:right w:val="single" w:sz="4" w:space="0" w:color="auto"/>
            </w:tcBorders>
            <w:vAlign w:val="center"/>
            <w:hideMark/>
          </w:tcPr>
          <w:p w:rsidR="008A7754" w:rsidRPr="00FA0651" w:rsidP="00A34B84" w14:paraId="7516BD1B" w14:textId="260BBE98">
            <w:pPr>
              <w:spacing w:after="0"/>
              <w:jc w:val="center"/>
              <w:rPr>
                <w:color w:val="000000"/>
              </w:rPr>
            </w:pPr>
            <w:r w:rsidRPr="00FA0651">
              <w:rPr>
                <w:color w:val="000000"/>
              </w:rPr>
              <w:t>$</w:t>
            </w:r>
            <w:r w:rsidR="007668CD">
              <w:rPr>
                <w:color w:val="000000"/>
              </w:rPr>
              <w:t>17,051</w:t>
            </w:r>
          </w:p>
        </w:tc>
        <w:tc>
          <w:tcPr>
            <w:tcW w:w="1619" w:type="dxa"/>
            <w:tcBorders>
              <w:top w:val="nil"/>
              <w:left w:val="nil"/>
              <w:bottom w:val="single" w:sz="4" w:space="0" w:color="auto"/>
              <w:right w:val="single" w:sz="4" w:space="0" w:color="auto"/>
            </w:tcBorders>
            <w:vAlign w:val="center"/>
            <w:hideMark/>
          </w:tcPr>
          <w:p w:rsidR="008A7754" w:rsidRPr="00FA0651" w:rsidP="00A34B84" w14:paraId="0461BDDC" w14:textId="2B9B912E">
            <w:pPr>
              <w:spacing w:after="0"/>
              <w:jc w:val="center"/>
              <w:rPr>
                <w:color w:val="000000"/>
              </w:rPr>
            </w:pPr>
            <w:r>
              <w:rPr>
                <w:color w:val="000000"/>
              </w:rPr>
              <w:t>813</w:t>
            </w:r>
          </w:p>
        </w:tc>
        <w:tc>
          <w:tcPr>
            <w:tcW w:w="1619" w:type="dxa"/>
            <w:tcBorders>
              <w:top w:val="nil"/>
              <w:left w:val="nil"/>
              <w:bottom w:val="single" w:sz="4" w:space="0" w:color="auto"/>
              <w:right w:val="single" w:sz="4" w:space="0" w:color="auto"/>
            </w:tcBorders>
            <w:vAlign w:val="center"/>
            <w:hideMark/>
          </w:tcPr>
          <w:p w:rsidR="008A7754" w:rsidRPr="00FA0651" w:rsidP="00A34B84" w14:paraId="34BD421E" w14:textId="24410294">
            <w:pPr>
              <w:spacing w:after="0"/>
              <w:jc w:val="center"/>
              <w:rPr>
                <w:color w:val="000000"/>
              </w:rPr>
            </w:pPr>
            <w:r w:rsidRPr="00FA0651">
              <w:rPr>
                <w:color w:val="000000"/>
              </w:rPr>
              <w:t>$</w:t>
            </w:r>
            <w:r w:rsidR="00C10AF3">
              <w:rPr>
                <w:color w:val="000000"/>
              </w:rPr>
              <w:t>51,153</w:t>
            </w:r>
          </w:p>
        </w:tc>
      </w:tr>
      <w:tr w14:paraId="06D92C95" w14:textId="77777777" w:rsidTr="00023727">
        <w:tblPrEx>
          <w:tblW w:w="5000" w:type="pct"/>
          <w:tblLook w:val="04A0"/>
        </w:tblPrEx>
        <w:trPr>
          <w:trHeight w:val="290"/>
        </w:trPr>
        <w:tc>
          <w:tcPr>
            <w:tcW w:w="2155" w:type="dxa"/>
            <w:tcBorders>
              <w:top w:val="nil"/>
              <w:left w:val="single" w:sz="4" w:space="0" w:color="auto"/>
              <w:bottom w:val="single" w:sz="4" w:space="0" w:color="auto"/>
              <w:right w:val="single" w:sz="4" w:space="0" w:color="auto"/>
            </w:tcBorders>
            <w:vAlign w:val="center"/>
            <w:hideMark/>
          </w:tcPr>
          <w:p w:rsidR="008A7754" w:rsidRPr="00FA0651" w14:paraId="60C831A3" w14:textId="77777777">
            <w:pPr>
              <w:spacing w:after="0"/>
              <w:rPr>
                <w:b/>
                <w:bCs/>
                <w:color w:val="000000"/>
              </w:rPr>
            </w:pPr>
            <w:r w:rsidRPr="00FA0651">
              <w:rPr>
                <w:b/>
                <w:bCs/>
                <w:color w:val="000000"/>
              </w:rPr>
              <w:t>Total</w:t>
            </w:r>
          </w:p>
        </w:tc>
        <w:tc>
          <w:tcPr>
            <w:tcW w:w="1618" w:type="dxa"/>
            <w:tcBorders>
              <w:top w:val="nil"/>
              <w:left w:val="nil"/>
              <w:bottom w:val="single" w:sz="4" w:space="0" w:color="auto"/>
              <w:right w:val="single" w:sz="4" w:space="0" w:color="auto"/>
            </w:tcBorders>
            <w:vAlign w:val="center"/>
            <w:hideMark/>
          </w:tcPr>
          <w:p w:rsidR="008A7754" w:rsidRPr="00FA0651" w:rsidP="00A34B84" w14:paraId="7B25201D" w14:textId="6D0CBBAF">
            <w:pPr>
              <w:spacing w:after="0"/>
              <w:jc w:val="center"/>
              <w:rPr>
                <w:b/>
                <w:bCs/>
                <w:color w:val="000000"/>
              </w:rPr>
            </w:pPr>
            <w:r w:rsidRPr="00FA0651">
              <w:rPr>
                <w:b/>
                <w:bCs/>
                <w:color w:val="000000"/>
              </w:rPr>
              <w:t>6</w:t>
            </w:r>
            <w:r w:rsidR="007668CD">
              <w:rPr>
                <w:b/>
                <w:bCs/>
                <w:color w:val="000000"/>
              </w:rPr>
              <w:t>10</w:t>
            </w:r>
          </w:p>
        </w:tc>
        <w:tc>
          <w:tcPr>
            <w:tcW w:w="1619" w:type="dxa"/>
            <w:tcBorders>
              <w:top w:val="nil"/>
              <w:left w:val="nil"/>
              <w:bottom w:val="single" w:sz="4" w:space="0" w:color="auto"/>
              <w:right w:val="single" w:sz="4" w:space="0" w:color="auto"/>
            </w:tcBorders>
            <w:vAlign w:val="center"/>
            <w:hideMark/>
          </w:tcPr>
          <w:p w:rsidR="008A7754" w:rsidRPr="00FA0651" w:rsidP="00A34B84" w14:paraId="5A4DF9EF" w14:textId="1C891333">
            <w:pPr>
              <w:spacing w:after="0"/>
              <w:jc w:val="center"/>
              <w:rPr>
                <w:b/>
                <w:bCs/>
                <w:color w:val="000000"/>
              </w:rPr>
            </w:pPr>
            <w:r w:rsidRPr="00FA0651">
              <w:rPr>
                <w:b/>
                <w:bCs/>
                <w:color w:val="000000"/>
              </w:rPr>
              <w:t>$3</w:t>
            </w:r>
            <w:r w:rsidR="00BC62CE">
              <w:rPr>
                <w:b/>
                <w:bCs/>
                <w:color w:val="000000"/>
              </w:rPr>
              <w:t>2,103</w:t>
            </w:r>
          </w:p>
        </w:tc>
        <w:tc>
          <w:tcPr>
            <w:tcW w:w="1619" w:type="dxa"/>
            <w:tcBorders>
              <w:top w:val="nil"/>
              <w:left w:val="nil"/>
              <w:bottom w:val="single" w:sz="4" w:space="0" w:color="auto"/>
              <w:right w:val="single" w:sz="4" w:space="0" w:color="auto"/>
            </w:tcBorders>
            <w:vAlign w:val="center"/>
            <w:hideMark/>
          </w:tcPr>
          <w:p w:rsidR="008A7754" w:rsidRPr="00FA0651" w:rsidP="00A34B84" w14:paraId="7C7A3A56" w14:textId="51B25149">
            <w:pPr>
              <w:spacing w:after="0"/>
              <w:jc w:val="center"/>
              <w:rPr>
                <w:b/>
                <w:bCs/>
                <w:color w:val="000000"/>
              </w:rPr>
            </w:pPr>
            <w:r w:rsidRPr="00FA0651">
              <w:rPr>
                <w:b/>
                <w:bCs/>
                <w:color w:val="000000"/>
              </w:rPr>
              <w:t>1,</w:t>
            </w:r>
            <w:r w:rsidR="002005D2">
              <w:rPr>
                <w:b/>
                <w:bCs/>
                <w:color w:val="000000"/>
              </w:rPr>
              <w:t>830</w:t>
            </w:r>
          </w:p>
        </w:tc>
        <w:tc>
          <w:tcPr>
            <w:tcW w:w="1619" w:type="dxa"/>
            <w:tcBorders>
              <w:top w:val="nil"/>
              <w:left w:val="nil"/>
              <w:bottom w:val="single" w:sz="4" w:space="0" w:color="auto"/>
              <w:right w:val="single" w:sz="4" w:space="0" w:color="auto"/>
            </w:tcBorders>
            <w:vAlign w:val="center"/>
            <w:hideMark/>
          </w:tcPr>
          <w:p w:rsidR="008A7754" w:rsidRPr="00FA0651" w:rsidP="00A34B84" w14:paraId="781CE063" w14:textId="40E53B7B">
            <w:pPr>
              <w:spacing w:after="0"/>
              <w:jc w:val="center"/>
              <w:rPr>
                <w:b/>
                <w:bCs/>
                <w:color w:val="000000"/>
              </w:rPr>
            </w:pPr>
            <w:r w:rsidRPr="00FA0651">
              <w:rPr>
                <w:b/>
                <w:bCs/>
                <w:color w:val="000000"/>
              </w:rPr>
              <w:t>$</w:t>
            </w:r>
            <w:r w:rsidR="00C10AF3">
              <w:rPr>
                <w:b/>
                <w:bCs/>
                <w:color w:val="000000"/>
              </w:rPr>
              <w:t>96,308</w:t>
            </w:r>
          </w:p>
        </w:tc>
      </w:tr>
    </w:tbl>
    <w:p w:rsidR="008A7754" w:rsidP="00DB6A57" w14:paraId="39D460F2"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spacing w:after="240"/>
        <w:rPr>
          <w:b/>
          <w:bCs/>
          <w:color w:val="000000"/>
        </w:rPr>
      </w:pPr>
    </w:p>
    <w:p w:rsidR="00BB2B15" w:rsidRPr="008804E5" w:rsidP="008804E5" w14:paraId="5D1B71A2" w14:textId="6AEB1698">
      <w:pPr>
        <w:pStyle w:val="EPAHeading2"/>
        <w:pBdr>
          <w:bottom w:val="none" w:sz="0" w:space="0" w:color="auto"/>
        </w:pBdr>
      </w:pPr>
      <w:r w:rsidRPr="008804E5">
        <w:t>RESPONDENT CAPITAL AND O&amp;M COSTS</w:t>
      </w:r>
      <w:bookmarkEnd w:id="19"/>
      <w:r w:rsidRPr="008804E5">
        <w:t xml:space="preserve"> </w:t>
      </w:r>
    </w:p>
    <w:p w:rsidR="00F92596" w:rsidRPr="00F92596" w:rsidP="00F92596" w14:paraId="0925DF34" w14:textId="77777777">
      <w:pPr>
        <w:spacing w:after="0" w:line="240" w:lineRule="auto"/>
        <w:rPr>
          <w:rFonts w:cstheme="minorHAnsi"/>
          <w:i/>
          <w:iCs/>
        </w:rPr>
      </w:pPr>
      <w:r w:rsidRPr="00F92596">
        <w:rPr>
          <w:rFonts w:cstheme="minorHAnsi"/>
          <w:i/>
          <w:iCs/>
        </w:rPr>
        <w:t>Provide an estimate for the total annual cost burden to respondents or record keepers resulting from the collection of information. (Do not include the cost of any hour burden already reflected on the burden worksheet).</w:t>
      </w:r>
    </w:p>
    <w:p w:rsidR="00F92596" w:rsidRPr="00F92596" w:rsidP="00163C69" w14:paraId="026BDBA4" w14:textId="77777777">
      <w:pPr>
        <w:spacing w:before="120" w:after="0" w:line="240" w:lineRule="auto"/>
        <w:rPr>
          <w:rFonts w:cstheme="minorHAnsi"/>
          <w:i/>
          <w:iCs/>
        </w:rPr>
      </w:pPr>
      <w:r w:rsidRPr="00F92596">
        <w:rPr>
          <w:rFonts w:cstheme="minorHAnsi"/>
          <w:i/>
          <w:iCs/>
        </w:rPr>
        <w:t>The cost estimate should be split into two components: (a) a total capital and start-up cost</w:t>
      </w:r>
    </w:p>
    <w:p w:rsidR="00F92596" w:rsidRPr="00F92596" w:rsidP="00F92596" w14:paraId="7ED5E3E9" w14:textId="77777777">
      <w:pPr>
        <w:spacing w:after="0" w:line="240" w:lineRule="auto"/>
        <w:rPr>
          <w:rFonts w:cstheme="minorHAnsi"/>
          <w:i/>
          <w:iCs/>
        </w:rPr>
      </w:pPr>
      <w:r w:rsidRPr="00F92596">
        <w:rPr>
          <w:rFonts w:cstheme="minorHAnsi"/>
          <w:i/>
          <w:iCs/>
        </w:rPr>
        <w:t>component (annualized over its expected useful life) and (b) a total operation and maintenance and purchase of services component. The estimates should consider costs associated with generating, maintaining, and disclosing or providing the information. Include descriptions of methods used to estimate major cost factors including system and technology acquisition, expected useful life of capital equipment, the discount rate(s), and the period over which costs will be incurred. Capital and start-up costs include, among other items, preparations for collecting information such as purchasing computers and software; monitoring, sampling, drilling, and testing equipment; and record storage facilities.</w:t>
      </w:r>
    </w:p>
    <w:p w:rsidR="00F92596" w:rsidRPr="00F92596" w:rsidP="00163C69" w14:paraId="761690A4" w14:textId="77777777">
      <w:pPr>
        <w:spacing w:line="240" w:lineRule="auto"/>
        <w:rPr>
          <w:rFonts w:cstheme="minorHAnsi"/>
          <w:i/>
          <w:iCs/>
        </w:rPr>
      </w:pPr>
      <w:r w:rsidRPr="00F92596">
        <w:rPr>
          <w:rFonts w:cstheme="minorHAnsi"/>
          <w:i/>
          <w:iCs/>
        </w:rPr>
        <w:t xml:space="preserve">If cost estimates are expected to vary widely, agencies should present ranges of cost burdens and explain the reasons for the variance. The cost of purchasing or contracting out information collections services should be a part of this cost burden estimate. </w:t>
      </w:r>
    </w:p>
    <w:p w:rsidR="00F92596" w:rsidRPr="00F92596" w:rsidP="00163C69" w14:paraId="577731C5" w14:textId="77777777">
      <w:pPr>
        <w:pBdr>
          <w:bottom w:val="single" w:sz="4" w:space="1" w:color="auto"/>
        </w:pBdr>
        <w:spacing w:line="240" w:lineRule="auto"/>
        <w:rPr>
          <w:rFonts w:cstheme="minorHAnsi"/>
          <w:i/>
          <w:iCs/>
        </w:rPr>
      </w:pPr>
      <w:r w:rsidRPr="00F92596">
        <w:rPr>
          <w:rFonts w:cstheme="minorHAnsi"/>
          <w:i/>
          <w:iCs/>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20510E" w:rsidRPr="00E40E45" w:rsidP="0020510E" w14:paraId="2A51FB4F" w14:textId="77777777">
      <w:pPr>
        <w:keepNext/>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spacing w:after="240"/>
      </w:pPr>
      <w:bookmarkStart w:id="20" w:name="_Toc156593387"/>
      <w:r>
        <w:t xml:space="preserve">As described above, </w:t>
      </w:r>
      <w:r w:rsidRPr="00383746">
        <w:t xml:space="preserve">State </w:t>
      </w:r>
      <w:r>
        <w:t>and local</w:t>
      </w:r>
      <w:r w:rsidRPr="00383746">
        <w:t xml:space="preserve"> agencies</w:t>
      </w:r>
      <w:r>
        <w:t>,</w:t>
      </w:r>
      <w:r w:rsidRPr="00383746">
        <w:t xml:space="preserve"> and LEPCs</w:t>
      </w:r>
      <w:r>
        <w:t xml:space="preserve"> wishing to </w:t>
      </w:r>
      <w:r w:rsidRPr="00383746">
        <w:t>obtain OCA data by CD</w:t>
      </w:r>
      <w:r>
        <w:t xml:space="preserve">, </w:t>
      </w:r>
      <w:r w:rsidRPr="00383746">
        <w:t>RMP*Info</w:t>
      </w:r>
      <w:r>
        <w:t xml:space="preserve">, or </w:t>
      </w:r>
      <w:r w:rsidRPr="00383746">
        <w:t xml:space="preserve">RMP Dataset Download must send a written request to EPA </w:t>
      </w:r>
      <w:r>
        <w:t xml:space="preserve">so that EPA can </w:t>
      </w:r>
      <w:r w:rsidRPr="00383746">
        <w:t>ensure that they a</w:t>
      </w:r>
      <w:r>
        <w:t>re a</w:t>
      </w:r>
      <w:r w:rsidRPr="00383746">
        <w:t xml:space="preserve"> covered person and </w:t>
      </w:r>
      <w:r>
        <w:t>are entitled</w:t>
      </w:r>
      <w:r w:rsidRPr="00383746">
        <w:t xml:space="preserve"> to receive the data.</w:t>
      </w:r>
      <w:r>
        <w:t xml:space="preserve"> The current price of a U.S. Postal Service </w:t>
      </w:r>
      <w:r w:rsidRPr="00BE31EE">
        <w:t>Forever stamp is 73 cents.</w:t>
      </w:r>
      <w:r>
        <w:rPr>
          <w:rStyle w:val="FootnoteReference"/>
        </w:rPr>
        <w:footnoteReference w:id="5"/>
      </w:r>
      <w:r w:rsidRPr="00BE31EE">
        <w:t xml:space="preserve"> One reading room staff activity is printing the requested RMPs. EPA assumes that </w:t>
      </w:r>
      <w:r w:rsidRPr="00BE31EE">
        <w:t>a ream of recycled copy paper</w:t>
      </w:r>
      <w:r w:rsidRPr="00BE31EE">
        <w:t xml:space="preserve"> costs $7.31 (from GSA Advantage website).</w:t>
      </w:r>
      <w:r>
        <w:rPr>
          <w:rStyle w:val="FootnoteReference"/>
        </w:rPr>
        <w:footnoteReference w:id="6"/>
      </w:r>
      <w:r w:rsidRPr="00BE31EE">
        <w:t xml:space="preserve"> EPA estimates that</w:t>
      </w:r>
      <w:r w:rsidRPr="00BE31EE">
        <w:t xml:space="preserve"> each visit</w:t>
      </w:r>
      <w:r w:rsidRPr="00BE31EE">
        <w:t>or to</w:t>
      </w:r>
      <w:r w:rsidRPr="00BE31EE">
        <w:t xml:space="preserve"> a reading room reviews</w:t>
      </w:r>
      <w:r w:rsidRPr="00BE31EE">
        <w:t xml:space="preserve"> </w:t>
      </w:r>
      <w:r w:rsidRPr="00BE31EE">
        <w:t>10 RMPs</w:t>
      </w:r>
      <w:r w:rsidRPr="00BE31EE">
        <w:t xml:space="preserve"> of 20 pages each.</w:t>
      </w:r>
    </w:p>
    <w:p w:rsidR="0020510E" w:rsidRPr="00BE31EE" w:rsidP="0020510E" w14:paraId="2622D92C" w14:textId="237F2A27">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spacing w:after="240"/>
      </w:pPr>
      <w:r w:rsidRPr="00BE31EE">
        <w:t>The total annual O&amp;M cost for State and local agencies and LEPCs to mail letters to EPA requesting OCA information is approximately $</w:t>
      </w:r>
      <w:r w:rsidR="002B7428">
        <w:t>27.74</w:t>
      </w:r>
      <w:r w:rsidRPr="00BE31EE">
        <w:t xml:space="preserve"> ($</w:t>
      </w:r>
      <w:r w:rsidR="002B7428">
        <w:t>83.22</w:t>
      </w:r>
      <w:r w:rsidRPr="00BE31EE">
        <w:t xml:space="preserve"> for three years)</w:t>
      </w:r>
      <w:r w:rsidRPr="00BE31EE">
        <w:t>. Assuming a cost of $7.</w:t>
      </w:r>
      <w:r w:rsidRPr="00BE31EE">
        <w:t>31</w:t>
      </w:r>
      <w:r w:rsidRPr="00BE31EE">
        <w:t xml:space="preserve"> for a ream of recycled copy paper, </w:t>
      </w:r>
      <w:r w:rsidRPr="00BE31EE">
        <w:t>and that each person visiting a reading room reviews 10 RMPs of 20 pages each, the paper cost per visit is $2.92. Assuming five visits to State and local reading rooms annually (15 visits for three years), the paper cost is $14.62 annually ($4</w:t>
      </w:r>
      <w:r w:rsidR="002B7428">
        <w:t xml:space="preserve">3.86 </w:t>
      </w:r>
      <w:r w:rsidRPr="00BE31EE">
        <w:t>for three years). Total O&amp;M costs are estimated to be $</w:t>
      </w:r>
      <w:r w:rsidR="002B7428">
        <w:t>42</w:t>
      </w:r>
      <w:r w:rsidRPr="00BE31EE">
        <w:t xml:space="preserve"> annually ($</w:t>
      </w:r>
      <w:r w:rsidR="00DD7054">
        <w:t>127</w:t>
      </w:r>
      <w:r w:rsidRPr="00BE31EE">
        <w:t xml:space="preserve"> for three years). See Exhibit </w:t>
      </w:r>
      <w:r w:rsidR="00DA56E0">
        <w:t>8</w:t>
      </w:r>
      <w:r w:rsidRPr="00BE31EE">
        <w:t>.</w:t>
      </w:r>
    </w:p>
    <w:p w:rsidR="0020510E" w:rsidRPr="00BE31EE" w:rsidP="0020510E" w14:paraId="21F22DCD" w14:textId="79112BB6">
      <w:pPr>
        <w:keepNext/>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jc w:val="center"/>
        <w:rPr>
          <w:b/>
          <w:bCs/>
          <w:color w:val="000000"/>
        </w:rPr>
      </w:pPr>
      <w:r w:rsidRPr="00BE31EE">
        <w:rPr>
          <w:b/>
          <w:bCs/>
          <w:color w:val="000000"/>
        </w:rPr>
        <w:t xml:space="preserve">Exhibit </w:t>
      </w:r>
      <w:r w:rsidR="00DA56E0">
        <w:rPr>
          <w:b/>
          <w:bCs/>
          <w:color w:val="000000"/>
        </w:rPr>
        <w:t>8</w:t>
      </w:r>
      <w:r w:rsidRPr="00BE31EE">
        <w:rPr>
          <w:b/>
          <w:bCs/>
          <w:color w:val="000000"/>
        </w:rPr>
        <w:t>. O&amp;M Costs for State and Local Agencies and LE</w:t>
      </w:r>
      <w:r>
        <w:rPr>
          <w:b/>
          <w:bCs/>
          <w:color w:val="000000"/>
        </w:rPr>
        <w:t>P</w:t>
      </w:r>
      <w:r w:rsidRPr="00BE31EE">
        <w:rPr>
          <w:b/>
          <w:bCs/>
          <w:color w:val="000000"/>
        </w:rPr>
        <w:t>Cs</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6227"/>
        <w:gridCol w:w="764"/>
        <w:gridCol w:w="830"/>
        <w:gridCol w:w="841"/>
        <w:gridCol w:w="914"/>
      </w:tblGrid>
      <w:tr w14:paraId="37A608DE" w14:textId="77777777" w:rsidTr="00A34B84">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Ex>
        <w:trPr>
          <w:trHeight w:val="20"/>
          <w:tblHeader/>
        </w:trPr>
        <w:tc>
          <w:tcPr>
            <w:tcW w:w="0" w:type="auto"/>
            <w:vAlign w:val="center"/>
            <w:hideMark/>
          </w:tcPr>
          <w:p w:rsidR="0020510E" w:rsidRPr="00BE31EE" w14:paraId="62D3C984" w14:textId="77777777">
            <w:pPr>
              <w:spacing w:after="0"/>
              <w:jc w:val="center"/>
              <w:rPr>
                <w:color w:val="000000"/>
              </w:rPr>
            </w:pPr>
            <w:r w:rsidRPr="00BE31EE">
              <w:rPr>
                <w:color w:val="000000"/>
              </w:rPr>
              <w:t> </w:t>
            </w:r>
          </w:p>
        </w:tc>
        <w:tc>
          <w:tcPr>
            <w:tcW w:w="0" w:type="auto"/>
            <w:gridSpan w:val="2"/>
            <w:vAlign w:val="center"/>
            <w:hideMark/>
          </w:tcPr>
          <w:p w:rsidR="0020510E" w:rsidRPr="00BE31EE" w14:paraId="71E6C80F" w14:textId="77777777">
            <w:pPr>
              <w:spacing w:after="0"/>
              <w:jc w:val="center"/>
              <w:rPr>
                <w:b/>
                <w:bCs/>
                <w:color w:val="000000"/>
              </w:rPr>
            </w:pPr>
            <w:r w:rsidRPr="00BE31EE">
              <w:rPr>
                <w:b/>
                <w:bCs/>
                <w:color w:val="000000"/>
              </w:rPr>
              <w:t>Annual</w:t>
            </w:r>
          </w:p>
        </w:tc>
        <w:tc>
          <w:tcPr>
            <w:tcW w:w="0" w:type="auto"/>
            <w:gridSpan w:val="2"/>
            <w:vAlign w:val="center"/>
            <w:hideMark/>
          </w:tcPr>
          <w:p w:rsidR="0020510E" w:rsidRPr="00BE31EE" w14:paraId="3D95D1FF" w14:textId="77777777">
            <w:pPr>
              <w:spacing w:after="0"/>
              <w:jc w:val="center"/>
              <w:rPr>
                <w:b/>
                <w:bCs/>
                <w:color w:val="000000"/>
              </w:rPr>
            </w:pPr>
            <w:r w:rsidRPr="00BE31EE">
              <w:rPr>
                <w:b/>
                <w:bCs/>
                <w:color w:val="000000"/>
              </w:rPr>
              <w:t>Three-Year Totals</w:t>
            </w:r>
          </w:p>
        </w:tc>
      </w:tr>
      <w:tr w14:paraId="78FC50D6" w14:textId="77777777" w:rsidTr="00A34B84">
        <w:tblPrEx>
          <w:tblW w:w="0" w:type="auto"/>
          <w:tblLook w:val="04A0"/>
        </w:tblPrEx>
        <w:trPr>
          <w:trHeight w:val="20"/>
          <w:tblHeader/>
        </w:trPr>
        <w:tc>
          <w:tcPr>
            <w:tcW w:w="0" w:type="auto"/>
            <w:vAlign w:val="center"/>
            <w:hideMark/>
          </w:tcPr>
          <w:p w:rsidR="0020510E" w:rsidRPr="00BE31EE" w14:paraId="77AEEF55" w14:textId="77777777">
            <w:pPr>
              <w:spacing w:after="0"/>
              <w:jc w:val="center"/>
              <w:rPr>
                <w:color w:val="000000"/>
              </w:rPr>
            </w:pPr>
            <w:r w:rsidRPr="00BE31EE">
              <w:rPr>
                <w:color w:val="000000"/>
              </w:rPr>
              <w:t> </w:t>
            </w:r>
          </w:p>
        </w:tc>
        <w:tc>
          <w:tcPr>
            <w:tcW w:w="0" w:type="auto"/>
            <w:vAlign w:val="center"/>
            <w:hideMark/>
          </w:tcPr>
          <w:p w:rsidR="0020510E" w:rsidRPr="00BE31EE" w14:paraId="0D20830C" w14:textId="77777777">
            <w:pPr>
              <w:spacing w:after="0"/>
              <w:jc w:val="center"/>
              <w:rPr>
                <w:b/>
                <w:bCs/>
                <w:color w:val="000000"/>
              </w:rPr>
            </w:pPr>
            <w:r w:rsidRPr="00BE31EE">
              <w:rPr>
                <w:b/>
                <w:bCs/>
                <w:color w:val="000000"/>
              </w:rPr>
              <w:t>Count</w:t>
            </w:r>
          </w:p>
        </w:tc>
        <w:tc>
          <w:tcPr>
            <w:tcW w:w="0" w:type="auto"/>
            <w:vAlign w:val="center"/>
            <w:hideMark/>
          </w:tcPr>
          <w:p w:rsidR="0020510E" w:rsidRPr="00BE31EE" w14:paraId="33501DE1" w14:textId="77777777">
            <w:pPr>
              <w:spacing w:after="0"/>
              <w:jc w:val="center"/>
              <w:rPr>
                <w:b/>
                <w:bCs/>
                <w:color w:val="000000"/>
              </w:rPr>
            </w:pPr>
            <w:r w:rsidRPr="00BE31EE">
              <w:rPr>
                <w:b/>
                <w:bCs/>
                <w:color w:val="000000"/>
              </w:rPr>
              <w:t>Cost</w:t>
            </w:r>
          </w:p>
        </w:tc>
        <w:tc>
          <w:tcPr>
            <w:tcW w:w="0" w:type="auto"/>
            <w:vAlign w:val="center"/>
            <w:hideMark/>
          </w:tcPr>
          <w:p w:rsidR="0020510E" w:rsidRPr="00BE31EE" w14:paraId="23971542" w14:textId="77777777">
            <w:pPr>
              <w:spacing w:after="0"/>
              <w:jc w:val="center"/>
              <w:rPr>
                <w:b/>
                <w:bCs/>
                <w:color w:val="000000"/>
              </w:rPr>
            </w:pPr>
            <w:r w:rsidRPr="00BE31EE">
              <w:rPr>
                <w:b/>
                <w:bCs/>
                <w:color w:val="000000"/>
              </w:rPr>
              <w:t>Count</w:t>
            </w:r>
          </w:p>
        </w:tc>
        <w:tc>
          <w:tcPr>
            <w:tcW w:w="0" w:type="auto"/>
            <w:vAlign w:val="center"/>
            <w:hideMark/>
          </w:tcPr>
          <w:p w:rsidR="0020510E" w:rsidRPr="00BE31EE" w14:paraId="76175A9E" w14:textId="77777777">
            <w:pPr>
              <w:spacing w:after="0"/>
              <w:jc w:val="center"/>
              <w:rPr>
                <w:b/>
                <w:bCs/>
                <w:color w:val="000000"/>
              </w:rPr>
            </w:pPr>
            <w:r w:rsidRPr="00BE31EE">
              <w:rPr>
                <w:b/>
                <w:bCs/>
                <w:color w:val="000000"/>
              </w:rPr>
              <w:t>Cost</w:t>
            </w:r>
          </w:p>
        </w:tc>
      </w:tr>
      <w:tr w14:paraId="0C0DF98D" w14:textId="77777777" w:rsidTr="00A34B84">
        <w:tblPrEx>
          <w:tblW w:w="0" w:type="auto"/>
          <w:tblLook w:val="04A0"/>
        </w:tblPrEx>
        <w:trPr>
          <w:trHeight w:val="20"/>
        </w:trPr>
        <w:tc>
          <w:tcPr>
            <w:tcW w:w="0" w:type="auto"/>
            <w:vAlign w:val="center"/>
            <w:hideMark/>
          </w:tcPr>
          <w:p w:rsidR="0020510E" w:rsidRPr="00BE31EE" w14:paraId="02B62240" w14:textId="22C6E5C5">
            <w:pPr>
              <w:spacing w:after="0"/>
              <w:rPr>
                <w:color w:val="000000"/>
              </w:rPr>
            </w:pPr>
            <w:r w:rsidRPr="00BE31EE">
              <w:rPr>
                <w:color w:val="000000"/>
              </w:rPr>
              <w:t xml:space="preserve">Postage for Submitted Letters Requesting Coverage and </w:t>
            </w:r>
            <w:r w:rsidR="003B2BA8">
              <w:rPr>
                <w:color w:val="000000"/>
              </w:rPr>
              <w:t>Access to OCA Data via RMP System</w:t>
            </w:r>
          </w:p>
        </w:tc>
        <w:tc>
          <w:tcPr>
            <w:tcW w:w="0" w:type="auto"/>
            <w:vAlign w:val="center"/>
            <w:hideMark/>
          </w:tcPr>
          <w:p w:rsidR="0020510E" w:rsidRPr="00BE31EE" w14:paraId="204C9225" w14:textId="43698BC3">
            <w:pPr>
              <w:spacing w:after="0"/>
              <w:jc w:val="center"/>
              <w:rPr>
                <w:color w:val="000000"/>
              </w:rPr>
            </w:pPr>
            <w:r>
              <w:rPr>
                <w:color w:val="000000"/>
              </w:rPr>
              <w:t>38</w:t>
            </w:r>
          </w:p>
        </w:tc>
        <w:tc>
          <w:tcPr>
            <w:tcW w:w="0" w:type="auto"/>
            <w:vAlign w:val="center"/>
            <w:hideMark/>
          </w:tcPr>
          <w:p w:rsidR="0020510E" w:rsidRPr="00BE31EE" w14:paraId="348F6551" w14:textId="43237F79">
            <w:pPr>
              <w:spacing w:after="0"/>
              <w:jc w:val="center"/>
              <w:rPr>
                <w:color w:val="000000"/>
              </w:rPr>
            </w:pPr>
            <w:r w:rsidRPr="00BE31EE">
              <w:rPr>
                <w:color w:val="000000"/>
              </w:rPr>
              <w:t>$</w:t>
            </w:r>
            <w:r w:rsidR="00E1184C">
              <w:rPr>
                <w:color w:val="000000"/>
              </w:rPr>
              <w:t>27.74</w:t>
            </w:r>
            <w:r w:rsidRPr="00BE31EE">
              <w:rPr>
                <w:color w:val="000000"/>
              </w:rPr>
              <w:t xml:space="preserve"> </w:t>
            </w:r>
          </w:p>
        </w:tc>
        <w:tc>
          <w:tcPr>
            <w:tcW w:w="0" w:type="auto"/>
            <w:vAlign w:val="center"/>
            <w:hideMark/>
          </w:tcPr>
          <w:p w:rsidR="0020510E" w:rsidRPr="00BE31EE" w14:paraId="7C2EB707" w14:textId="43DE114F">
            <w:pPr>
              <w:spacing w:after="0"/>
              <w:jc w:val="center"/>
              <w:rPr>
                <w:color w:val="000000"/>
              </w:rPr>
            </w:pPr>
            <w:r>
              <w:rPr>
                <w:color w:val="000000"/>
              </w:rPr>
              <w:t>114</w:t>
            </w:r>
          </w:p>
        </w:tc>
        <w:tc>
          <w:tcPr>
            <w:tcW w:w="0" w:type="auto"/>
            <w:vAlign w:val="center"/>
            <w:hideMark/>
          </w:tcPr>
          <w:p w:rsidR="0020510E" w:rsidRPr="00BE31EE" w14:paraId="2730893F" w14:textId="394AE110">
            <w:pPr>
              <w:spacing w:after="0"/>
              <w:jc w:val="center"/>
              <w:rPr>
                <w:color w:val="000000"/>
              </w:rPr>
            </w:pPr>
            <w:r w:rsidRPr="00BE31EE">
              <w:rPr>
                <w:color w:val="000000"/>
              </w:rPr>
              <w:t>$</w:t>
            </w:r>
            <w:r w:rsidR="00DA56E0">
              <w:rPr>
                <w:color w:val="000000"/>
              </w:rPr>
              <w:t>83</w:t>
            </w:r>
            <w:r w:rsidR="003620D2">
              <w:rPr>
                <w:color w:val="000000"/>
              </w:rPr>
              <w:t>.22</w:t>
            </w:r>
            <w:r w:rsidRPr="00BE31EE">
              <w:rPr>
                <w:color w:val="000000"/>
              </w:rPr>
              <w:t xml:space="preserve"> </w:t>
            </w:r>
          </w:p>
        </w:tc>
      </w:tr>
      <w:tr w14:paraId="59A0638F" w14:textId="77777777" w:rsidTr="00A34B84">
        <w:tblPrEx>
          <w:tblW w:w="0" w:type="auto"/>
          <w:tblLook w:val="04A0"/>
        </w:tblPrEx>
        <w:trPr>
          <w:trHeight w:val="20"/>
        </w:trPr>
        <w:tc>
          <w:tcPr>
            <w:tcW w:w="0" w:type="auto"/>
            <w:vAlign w:val="center"/>
            <w:hideMark/>
          </w:tcPr>
          <w:p w:rsidR="0020510E" w:rsidRPr="00BE31EE" w14:paraId="0F2B4A87" w14:textId="77777777">
            <w:pPr>
              <w:spacing w:after="0"/>
              <w:rPr>
                <w:color w:val="000000"/>
              </w:rPr>
            </w:pPr>
            <w:r w:rsidRPr="00BE31EE">
              <w:rPr>
                <w:color w:val="000000"/>
              </w:rPr>
              <w:t>Paper for the Reading Room (pages)</w:t>
            </w:r>
          </w:p>
        </w:tc>
        <w:tc>
          <w:tcPr>
            <w:tcW w:w="0" w:type="auto"/>
            <w:vAlign w:val="center"/>
            <w:hideMark/>
          </w:tcPr>
          <w:p w:rsidR="0020510E" w:rsidRPr="00BE31EE" w14:paraId="0AD6C848" w14:textId="77777777">
            <w:pPr>
              <w:spacing w:after="0"/>
              <w:jc w:val="center"/>
              <w:rPr>
                <w:color w:val="000000"/>
              </w:rPr>
            </w:pPr>
            <w:r w:rsidRPr="00BE31EE">
              <w:rPr>
                <w:color w:val="000000"/>
              </w:rPr>
              <w:t>1,000</w:t>
            </w:r>
          </w:p>
        </w:tc>
        <w:tc>
          <w:tcPr>
            <w:tcW w:w="0" w:type="auto"/>
            <w:vAlign w:val="center"/>
            <w:hideMark/>
          </w:tcPr>
          <w:p w:rsidR="0020510E" w:rsidRPr="00BE31EE" w14:paraId="6CCE1E36" w14:textId="77777777">
            <w:pPr>
              <w:spacing w:after="0"/>
              <w:jc w:val="center"/>
              <w:rPr>
                <w:color w:val="000000"/>
              </w:rPr>
            </w:pPr>
            <w:r w:rsidRPr="00BE31EE">
              <w:rPr>
                <w:color w:val="000000"/>
              </w:rPr>
              <w:t xml:space="preserve">$14.62 </w:t>
            </w:r>
          </w:p>
        </w:tc>
        <w:tc>
          <w:tcPr>
            <w:tcW w:w="0" w:type="auto"/>
            <w:vAlign w:val="center"/>
            <w:hideMark/>
          </w:tcPr>
          <w:p w:rsidR="0020510E" w:rsidRPr="00BE31EE" w14:paraId="3A69F654" w14:textId="77777777">
            <w:pPr>
              <w:spacing w:after="0"/>
              <w:jc w:val="center"/>
              <w:rPr>
                <w:color w:val="000000"/>
              </w:rPr>
            </w:pPr>
            <w:r w:rsidRPr="00BE31EE">
              <w:rPr>
                <w:color w:val="000000"/>
              </w:rPr>
              <w:t>3,000</w:t>
            </w:r>
          </w:p>
        </w:tc>
        <w:tc>
          <w:tcPr>
            <w:tcW w:w="0" w:type="auto"/>
            <w:vAlign w:val="center"/>
            <w:hideMark/>
          </w:tcPr>
          <w:p w:rsidR="0020510E" w14:paraId="0E1BBFF9" w14:textId="520ED116">
            <w:pPr>
              <w:spacing w:after="0"/>
              <w:jc w:val="center"/>
              <w:rPr>
                <w:color w:val="000000"/>
              </w:rPr>
            </w:pPr>
            <w:r w:rsidRPr="00BE31EE">
              <w:rPr>
                <w:color w:val="000000"/>
              </w:rPr>
              <w:t>$4</w:t>
            </w:r>
            <w:r w:rsidR="002B7428">
              <w:rPr>
                <w:color w:val="000000"/>
              </w:rPr>
              <w:t>3.86</w:t>
            </w:r>
          </w:p>
        </w:tc>
      </w:tr>
      <w:tr w14:paraId="0BA47EA3" w14:textId="77777777" w:rsidTr="00A34B84">
        <w:tblPrEx>
          <w:tblW w:w="0" w:type="auto"/>
          <w:tblLook w:val="04A0"/>
        </w:tblPrEx>
        <w:trPr>
          <w:trHeight w:val="20"/>
        </w:trPr>
        <w:tc>
          <w:tcPr>
            <w:tcW w:w="0" w:type="auto"/>
            <w:vAlign w:val="center"/>
            <w:hideMark/>
          </w:tcPr>
          <w:p w:rsidR="0020510E" w:rsidRPr="00B34223" w14:paraId="79185650" w14:textId="77777777">
            <w:pPr>
              <w:spacing w:after="0"/>
              <w:rPr>
                <w:b/>
                <w:bCs/>
                <w:color w:val="000000"/>
              </w:rPr>
            </w:pPr>
            <w:r w:rsidRPr="00B34223">
              <w:rPr>
                <w:b/>
                <w:bCs/>
                <w:color w:val="000000"/>
              </w:rPr>
              <w:t>Total</w:t>
            </w:r>
          </w:p>
        </w:tc>
        <w:tc>
          <w:tcPr>
            <w:tcW w:w="0" w:type="auto"/>
            <w:vAlign w:val="center"/>
            <w:hideMark/>
          </w:tcPr>
          <w:p w:rsidR="0020510E" w:rsidRPr="00B34223" w14:paraId="35B43473" w14:textId="77777777">
            <w:pPr>
              <w:spacing w:after="0"/>
              <w:jc w:val="center"/>
              <w:rPr>
                <w:b/>
                <w:bCs/>
                <w:color w:val="000000"/>
              </w:rPr>
            </w:pPr>
          </w:p>
        </w:tc>
        <w:tc>
          <w:tcPr>
            <w:tcW w:w="0" w:type="auto"/>
            <w:vAlign w:val="center"/>
            <w:hideMark/>
          </w:tcPr>
          <w:p w:rsidR="0020510E" w:rsidRPr="00B34223" w14:paraId="5D4CDD24" w14:textId="1D7818D4">
            <w:pPr>
              <w:spacing w:after="0"/>
              <w:jc w:val="center"/>
              <w:rPr>
                <w:b/>
                <w:bCs/>
                <w:color w:val="000000"/>
              </w:rPr>
            </w:pPr>
            <w:r>
              <w:rPr>
                <w:b/>
                <w:bCs/>
                <w:color w:val="000000"/>
              </w:rPr>
              <w:t>$</w:t>
            </w:r>
            <w:r w:rsidR="00E1184C">
              <w:rPr>
                <w:b/>
                <w:bCs/>
                <w:color w:val="000000"/>
              </w:rPr>
              <w:t>42</w:t>
            </w:r>
          </w:p>
        </w:tc>
        <w:tc>
          <w:tcPr>
            <w:tcW w:w="0" w:type="auto"/>
            <w:vAlign w:val="center"/>
            <w:hideMark/>
          </w:tcPr>
          <w:p w:rsidR="0020510E" w:rsidRPr="00B34223" w14:paraId="68CCA536" w14:textId="77777777">
            <w:pPr>
              <w:spacing w:after="0"/>
              <w:jc w:val="center"/>
              <w:rPr>
                <w:b/>
                <w:bCs/>
                <w:color w:val="000000"/>
              </w:rPr>
            </w:pPr>
            <w:r w:rsidRPr="00B34223">
              <w:rPr>
                <w:b/>
                <w:bCs/>
                <w:color w:val="000000"/>
              </w:rPr>
              <w:t> </w:t>
            </w:r>
          </w:p>
        </w:tc>
        <w:tc>
          <w:tcPr>
            <w:tcW w:w="0" w:type="auto"/>
            <w:vAlign w:val="center"/>
            <w:hideMark/>
          </w:tcPr>
          <w:p w:rsidR="0020510E" w:rsidRPr="00B34223" w14:paraId="0DEB017B" w14:textId="235D3CB5">
            <w:pPr>
              <w:spacing w:after="0"/>
              <w:jc w:val="center"/>
              <w:rPr>
                <w:b/>
                <w:bCs/>
                <w:color w:val="000000"/>
              </w:rPr>
            </w:pPr>
            <w:r w:rsidRPr="00B34223">
              <w:rPr>
                <w:b/>
                <w:bCs/>
                <w:color w:val="000000"/>
              </w:rPr>
              <w:t>$</w:t>
            </w:r>
            <w:r w:rsidR="00DD7054">
              <w:rPr>
                <w:b/>
                <w:bCs/>
                <w:color w:val="000000"/>
              </w:rPr>
              <w:t>127</w:t>
            </w:r>
          </w:p>
        </w:tc>
      </w:tr>
    </w:tbl>
    <w:p w:rsidR="0020510E" w:rsidP="0020510E" w14:paraId="409AFA79" w14:textId="77777777">
      <w:pPr>
        <w:keepNext/>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pPr>
    </w:p>
    <w:p w:rsidR="0020510E" w:rsidP="0020510E" w14:paraId="1487C3D5" w14:textId="77777777">
      <w:r w:rsidRPr="00AA4255">
        <w:t>EPA anticipates that respondents will incur no capital under this ICR.</w:t>
      </w:r>
    </w:p>
    <w:p w:rsidR="00023EFE" w:rsidRPr="00163C69" w:rsidP="008804E5" w14:paraId="7D2BF7DE" w14:textId="77777777">
      <w:pPr>
        <w:pStyle w:val="EPAHeading2"/>
      </w:pPr>
      <w:r w:rsidRPr="4BDBF0A0">
        <w:t xml:space="preserve">AGENCY </w:t>
      </w:r>
      <w:bookmarkStart w:id="21" w:name="_Toc156593388"/>
      <w:bookmarkEnd w:id="20"/>
      <w:r w:rsidRPr="4BDBF0A0" w:rsidR="00BB2B15">
        <w:t>COSTS</w:t>
      </w:r>
    </w:p>
    <w:p w:rsidR="001F0834" w:rsidRPr="001F0834" w:rsidP="00854AAE" w14:paraId="3D696CEA" w14:textId="77777777">
      <w:pPr>
        <w:pBdr>
          <w:bottom w:val="single" w:sz="4" w:space="1" w:color="auto"/>
        </w:pBdr>
        <w:rPr>
          <w:rFonts w:cstheme="minorHAnsi"/>
          <w:bCs/>
          <w:i/>
          <w:iCs/>
        </w:rPr>
      </w:pPr>
      <w:r w:rsidRPr="001F0834">
        <w:rPr>
          <w:rFonts w:cstheme="minorHAnsi"/>
          <w:bCs/>
          <w:i/>
          <w:iCs/>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023EFE" w:rsidRPr="00DF6672" w:rsidP="00DF6672" w14:paraId="1D8BBDEC" w14:textId="7D3333D9">
      <w:pPr>
        <w:pStyle w:val="Style1"/>
      </w:pPr>
      <w:r w:rsidRPr="00163C69">
        <w:t xml:space="preserve">14a. </w:t>
      </w:r>
      <w:r w:rsidRPr="00163C69" w:rsidR="00BB2B15">
        <w:t>Agency Activities</w:t>
      </w:r>
    </w:p>
    <w:p w:rsidR="00355838" w:rsidP="00355838" w14:paraId="506B9FE2"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spacing w:after="240"/>
      </w:pPr>
      <w:r w:rsidRPr="00383746">
        <w:t>The Federal government operates the Federal reading rooms, maintains the VZIS software, and provides the State and local agencies with OCA information and technical support</w:t>
      </w:r>
      <w:r>
        <w:t xml:space="preserve"> upon request</w:t>
      </w:r>
      <w:r w:rsidRPr="00383746">
        <w:t xml:space="preserve">. The </w:t>
      </w:r>
      <w:r>
        <w:t xml:space="preserve">Federal </w:t>
      </w:r>
      <w:r w:rsidRPr="00383746">
        <w:t>government may also engage in other activities to provide access to OCA information.</w:t>
      </w:r>
    </w:p>
    <w:p w:rsidR="00355838" w:rsidRPr="00383746" w:rsidP="00355838" w14:paraId="4BE16FDA"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spacing w:after="240"/>
      </w:pPr>
      <w:r w:rsidRPr="00383746">
        <w:t>The Federal reading rooms maintain records of reading room use and certifications in accordance with procedures established by the Administrator and the Attorney General</w:t>
      </w:r>
      <w:r>
        <w:t>, which</w:t>
      </w:r>
      <w:r w:rsidRPr="00383746">
        <w:t xml:space="preserve"> must be retained for up to three years. The Federal reading room staff view the photo identification of requestors to decrease the likelihood that OCA information is obtained by individuals seeking it for criminal purposes.   </w:t>
      </w:r>
    </w:p>
    <w:p w:rsidR="00355838" w:rsidRPr="00383746" w:rsidP="00355838" w14:paraId="228CD45D"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spacing w:after="240"/>
      </w:pPr>
      <w:r w:rsidRPr="00383746">
        <w:t>The reading room staff view proof of residence</w:t>
      </w:r>
      <w:r>
        <w:t xml:space="preserve"> and </w:t>
      </w:r>
      <w:r w:rsidRPr="00383746">
        <w:t>provide access to OCA information only to individuals who have signed a certification that they have not exceeded their allotment. The information recorded on sign-in sheets may be used by law enforcement in the event of a duly authorized investigation of a violation of civil or criminal law. Therefore, these sign-in sheets are retained for three years.</w:t>
      </w:r>
      <w:r>
        <w:t xml:space="preserve"> </w:t>
      </w:r>
      <w:r w:rsidRPr="00383746">
        <w:t xml:space="preserve">The information collected during telephone calls received by the central office from a requestor of OCA information will enable the central office to schedule an appointment for the requestor at a reading room, relay the requested copies of OCA information to that reading room, and, if necessary, contact the requestor. This information is not retained beyond the requestor’s appointment date.  </w:t>
      </w:r>
    </w:p>
    <w:p w:rsidR="00355838" w:rsidRPr="00383746" w:rsidP="00355838" w14:paraId="0FBBC948"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spacing w:after="240"/>
      </w:pPr>
      <w:r w:rsidRPr="00383746">
        <w:t xml:space="preserve">The requests from State and local officials for OCA information also </w:t>
      </w:r>
      <w:r>
        <w:t xml:space="preserve">must </w:t>
      </w:r>
      <w:r w:rsidRPr="00383746">
        <w:t>be retained for three years</w:t>
      </w:r>
      <w:r>
        <w:t>.</w:t>
      </w:r>
    </w:p>
    <w:p w:rsidR="00023EFE" w:rsidRPr="00DF6672" w:rsidP="00DF6672" w14:paraId="30F74537" w14:textId="3975E491">
      <w:pPr>
        <w:pStyle w:val="Style1"/>
      </w:pPr>
      <w:r w:rsidRPr="00163C69">
        <w:t xml:space="preserve">14b. </w:t>
      </w:r>
      <w:r w:rsidRPr="00163C69" w:rsidR="00BB2B15">
        <w:t>Agency Labor Cost</w:t>
      </w:r>
    </w:p>
    <w:p w:rsidR="009C41AC" w:rsidRPr="00BC5B8C" w:rsidP="009C41AC" w14:paraId="51109037"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rPr>
          <w:b/>
          <w:bCs/>
          <w:u w:val="single"/>
        </w:rPr>
      </w:pPr>
      <w:r w:rsidRPr="00BC5B8C">
        <w:rPr>
          <w:b/>
          <w:bCs/>
          <w:u w:val="single"/>
        </w:rPr>
        <w:t>Labor Burden</w:t>
      </w:r>
    </w:p>
    <w:p w:rsidR="009C41AC" w:rsidP="009C41AC" w14:paraId="03798199"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spacing w:after="240"/>
        <w:rPr>
          <w:i/>
        </w:rPr>
      </w:pPr>
      <w:r w:rsidRPr="00383746">
        <w:rPr>
          <w:i/>
        </w:rPr>
        <w:t>Reading Rooms</w:t>
      </w:r>
    </w:p>
    <w:p w:rsidR="009C41AC" w:rsidRPr="00E40E45" w:rsidP="009C41AC" w14:paraId="676D8879"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spacing w:after="240"/>
        <w:rPr>
          <w:i/>
        </w:rPr>
      </w:pPr>
      <w:r w:rsidRPr="00383746">
        <w:t xml:space="preserve">EPA and DOJ currently operate 55 reading rooms located at </w:t>
      </w:r>
      <w:r>
        <w:t>F</w:t>
      </w:r>
      <w:r w:rsidRPr="00383746">
        <w:t xml:space="preserve">ederal buildings. The EPA Headquarters reading room is operated on a walk-in basis and the others are by appointment only. </w:t>
      </w:r>
    </w:p>
    <w:p w:rsidR="009C41AC" w:rsidRPr="00383746" w:rsidP="009C41AC" w14:paraId="70196524"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spacing w:after="240"/>
      </w:pPr>
      <w:r w:rsidRPr="00383746">
        <w:t xml:space="preserve">Reading room staff activities </w:t>
      </w:r>
      <w:r>
        <w:t>include</w:t>
      </w:r>
      <w:r w:rsidRPr="00383746">
        <w:t xml:space="preserve"> tak</w:t>
      </w:r>
      <w:r>
        <w:t>ing</w:t>
      </w:r>
      <w:r w:rsidRPr="00383746">
        <w:t xml:space="preserve"> phone calls from the public, schedul</w:t>
      </w:r>
      <w:r>
        <w:t>ing</w:t>
      </w:r>
      <w:r w:rsidRPr="00383746">
        <w:t xml:space="preserve"> appointments for use of the reading rooms, print</w:t>
      </w:r>
      <w:r>
        <w:t>ing</w:t>
      </w:r>
      <w:r w:rsidRPr="00383746">
        <w:t xml:space="preserve"> the requested RMPs, review</w:t>
      </w:r>
      <w:r>
        <w:t>ing</w:t>
      </w:r>
      <w:r w:rsidRPr="00383746">
        <w:t xml:space="preserve"> the identification presented, monitor</w:t>
      </w:r>
      <w:r>
        <w:t>ing</w:t>
      </w:r>
      <w:r w:rsidRPr="00383746">
        <w:t xml:space="preserve"> the use of the RMPs to ensure that they are not mechanically copied, and shred</w:t>
      </w:r>
      <w:r>
        <w:t>ding</w:t>
      </w:r>
      <w:r w:rsidRPr="00383746">
        <w:t xml:space="preserve"> them when the user is finished. Federal reading room staff are assumed to spend two hours performing these activities for each reading room visit by a member of the public. Reading room staff will also spend one hour </w:t>
      </w:r>
      <w:r>
        <w:t xml:space="preserve">in training </w:t>
      </w:r>
      <w:r w:rsidRPr="00383746">
        <w:t>to handle OCA information securely. However, reading room usage has declined significantly with the public availability of RMP data through</w:t>
      </w:r>
      <w:r w:rsidRPr="00546EA5">
        <w:rPr>
          <w:rFonts w:ascii="Arial" w:hAnsi="Arial" w:cs="Arial"/>
          <w:sz w:val="20"/>
          <w:szCs w:val="20"/>
        </w:rPr>
        <w:t xml:space="preserve"> </w:t>
      </w:r>
      <w:hyperlink r:id="rId9" w:history="1">
        <w:r w:rsidRPr="002E1C94">
          <w:rPr>
            <w:rStyle w:val="Hyperlink"/>
          </w:rPr>
          <w:t>https://j4502-fs18.github.io/Right-to-Know/rmp.html</w:t>
        </w:r>
      </w:hyperlink>
      <w:r w:rsidRPr="00383746">
        <w:t>.</w:t>
      </w:r>
    </w:p>
    <w:p w:rsidR="009C41AC" w:rsidRPr="00383746" w:rsidP="009C41AC" w14:paraId="194A1875"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spacing w:after="240"/>
      </w:pPr>
      <w:r w:rsidRPr="00F53FC5">
        <w:t>EPA Headquarters and EPA Region</w:t>
      </w:r>
      <w:r>
        <w:t>al</w:t>
      </w:r>
      <w:r w:rsidRPr="00F53FC5">
        <w:t xml:space="preserve"> reading rooms logged a </w:t>
      </w:r>
      <w:r w:rsidRPr="00BC5B8C">
        <w:t>total of 12 visits per</w:t>
      </w:r>
      <w:r w:rsidRPr="00F53FC5">
        <w:t xml:space="preserve"> year during the previous ICR renewal period.</w:t>
      </w:r>
      <w:r>
        <w:t xml:space="preserve"> </w:t>
      </w:r>
      <w:r w:rsidRPr="007C59EE">
        <w:t>EPA is maintaining that estimate for this ICR renewal period. Therefore, EPA staff will spend t</w:t>
      </w:r>
      <w:r>
        <w:t>wo</w:t>
      </w:r>
      <w:r w:rsidRPr="007C59EE">
        <w:t xml:space="preserve"> hours per reading room visit, or </w:t>
      </w:r>
      <w:r w:rsidRPr="00782DD2">
        <w:t>24</w:t>
      </w:r>
      <w:r>
        <w:t xml:space="preserve"> </w:t>
      </w:r>
      <w:r w:rsidRPr="007C59EE">
        <w:t>hours annually (</w:t>
      </w:r>
      <w:r>
        <w:t>72</w:t>
      </w:r>
      <w:r w:rsidRPr="007C59EE">
        <w:t xml:space="preserve"> hours for three years</w:t>
      </w:r>
      <w:r>
        <w:t>).</w:t>
      </w:r>
      <w:r w:rsidRPr="007C59EE">
        <w:t xml:space="preserve"> </w:t>
      </w:r>
    </w:p>
    <w:p w:rsidR="009C41AC" w:rsidP="009C41AC" w14:paraId="4A98F614"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spacing w:after="240"/>
        <w:rPr>
          <w:i/>
        </w:rPr>
      </w:pPr>
      <w:r w:rsidRPr="00383746">
        <w:rPr>
          <w:i/>
        </w:rPr>
        <w:t xml:space="preserve">VZIS </w:t>
      </w:r>
      <w:r w:rsidRPr="00080EE7">
        <w:rPr>
          <w:i/>
        </w:rPr>
        <w:t>Inquiries</w:t>
      </w:r>
    </w:p>
    <w:p w:rsidR="009C41AC" w:rsidRPr="00E40E45" w:rsidP="009C41AC" w14:paraId="6925323B"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spacing w:after="240"/>
        <w:rPr>
          <w:i/>
        </w:rPr>
      </w:pPr>
      <w:r>
        <w:rPr>
          <w:i/>
        </w:rPr>
        <w:t xml:space="preserve"> </w:t>
      </w:r>
      <w:r w:rsidRPr="00A76BDF">
        <w:t xml:space="preserve">EPA </w:t>
      </w:r>
      <w:r>
        <w:t>also</w:t>
      </w:r>
      <w:r w:rsidRPr="00A76BDF">
        <w:t xml:space="preserve"> operate</w:t>
      </w:r>
      <w:r>
        <w:t>s</w:t>
      </w:r>
      <w:r w:rsidRPr="00A76BDF">
        <w:t xml:space="preserve"> the VZIS system, prepare</w:t>
      </w:r>
      <w:r>
        <w:t>s</w:t>
      </w:r>
      <w:r w:rsidRPr="00A76BDF">
        <w:t xml:space="preserve"> and mail</w:t>
      </w:r>
      <w:r>
        <w:t>s</w:t>
      </w:r>
      <w:r w:rsidRPr="00A76BDF">
        <w:t xml:space="preserve"> data CDs, create</w:t>
      </w:r>
      <w:r>
        <w:t>s</w:t>
      </w:r>
      <w:r w:rsidRPr="00A76BDF">
        <w:t xml:space="preserve"> CDX accounts, and respond</w:t>
      </w:r>
      <w:r>
        <w:t>s</w:t>
      </w:r>
      <w:r w:rsidRPr="00A76BDF">
        <w:t xml:space="preserve"> to queries</w:t>
      </w:r>
      <w:r w:rsidRPr="00080EE7">
        <w:t xml:space="preserve"> </w:t>
      </w:r>
      <w:r w:rsidRPr="00383746">
        <w:t>through the RMP Reporting Center</w:t>
      </w:r>
      <w:r w:rsidRPr="00A76BDF">
        <w:t xml:space="preserve">. EPA staff are estimated to spend 15 minutes responding to each VZIS query and an equal amount of time answering follow up calls for VZIS queries. </w:t>
      </w:r>
      <w:r>
        <w:t>Thus, EPA estimates that EPA staff will spend 0.5 hours per VZIS i</w:t>
      </w:r>
      <w:r w:rsidRPr="002E4780">
        <w:t>nquir</w:t>
      </w:r>
      <w:r>
        <w:t>y, or 161 hours per year (322 public inquiries x 0.5 hours).</w:t>
      </w:r>
    </w:p>
    <w:p w:rsidR="009C41AC" w:rsidRPr="00383746" w:rsidP="009C41AC" w14:paraId="530500E3"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spacing w:after="240"/>
        <w:rPr>
          <w:i/>
        </w:rPr>
      </w:pPr>
      <w:r w:rsidRPr="00383746">
        <w:rPr>
          <w:i/>
        </w:rPr>
        <w:t>RMP Reporting Center Costs for OCA Data</w:t>
      </w:r>
    </w:p>
    <w:p w:rsidR="009C41AC" w:rsidP="009C41AC" w14:paraId="01FFDD2F" w14:textId="1E4703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spacing w:after="240"/>
        <w:rPr>
          <w:b/>
          <w:bCs/>
        </w:rPr>
      </w:pPr>
      <w:r w:rsidRPr="00383746">
        <w:t>EPA’s RMP Reporting Center maintains OCA data</w:t>
      </w:r>
      <w:r w:rsidR="0015428A">
        <w:t xml:space="preserve"> and </w:t>
      </w:r>
      <w:r w:rsidRPr="00383746">
        <w:t xml:space="preserve">processes OCA data requests. </w:t>
      </w:r>
      <w:r>
        <w:t>RMP Reporting Center</w:t>
      </w:r>
      <w:r w:rsidRPr="009951C2">
        <w:t xml:space="preserve"> staff require approximately </w:t>
      </w:r>
      <w:r w:rsidR="00506239">
        <w:t>1 hour to respond to each request letter and</w:t>
      </w:r>
      <w:r w:rsidRPr="009951C2">
        <w:t xml:space="preserve"> establish each CDX account</w:t>
      </w:r>
      <w:r w:rsidRPr="002D47AF">
        <w:t xml:space="preserve">. </w:t>
      </w:r>
    </w:p>
    <w:p w:rsidR="009C41AC" w:rsidRPr="00BC5B8C" w:rsidP="009C41AC" w14:paraId="4FD509F2"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spacing w:after="240"/>
        <w:rPr>
          <w:b/>
          <w:bCs/>
          <w:u w:val="single"/>
        </w:rPr>
      </w:pPr>
      <w:r w:rsidRPr="00BC5B8C">
        <w:rPr>
          <w:b/>
          <w:bCs/>
          <w:u w:val="single"/>
        </w:rPr>
        <w:t>Labor Costs</w:t>
      </w:r>
      <w:r>
        <w:rPr>
          <w:b/>
          <w:bCs/>
          <w:u w:val="single"/>
        </w:rPr>
        <w:t xml:space="preserve"> </w:t>
      </w:r>
    </w:p>
    <w:p w:rsidR="009C41AC" w:rsidRPr="008215E9" w:rsidP="009C41AC" w14:paraId="3AEB79C2" w14:textId="518EE2A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spacing w:after="240"/>
      </w:pPr>
      <w:r w:rsidRPr="005A72AE">
        <w:t xml:space="preserve">Federal </w:t>
      </w:r>
      <w:r>
        <w:t xml:space="preserve">agency </w:t>
      </w:r>
      <w:r w:rsidRPr="005A72AE">
        <w:t xml:space="preserve">costs were estimated based on </w:t>
      </w:r>
      <w:r w:rsidRPr="00C123A0">
        <w:t>U.S. O</w:t>
      </w:r>
      <w:r>
        <w:t xml:space="preserve">ffice of Personnel Management’s (OPM) </w:t>
      </w:r>
      <w:r w:rsidRPr="005A72AE">
        <w:t>202</w:t>
      </w:r>
      <w:r>
        <w:t>4</w:t>
      </w:r>
      <w:r w:rsidRPr="005A72AE">
        <w:t xml:space="preserve"> </w:t>
      </w:r>
      <w:r>
        <w:t>General Schedule (</w:t>
      </w:r>
      <w:r w:rsidRPr="005A72AE">
        <w:t>GS</w:t>
      </w:r>
      <w:r>
        <w:t>)</w:t>
      </w:r>
      <w:r w:rsidRPr="005A72AE">
        <w:t xml:space="preserve"> wage schedule for the Washington-Baltimore-Northern Virginia locality </w:t>
      </w:r>
      <w:r>
        <w:t xml:space="preserve">area </w:t>
      </w:r>
      <w:r w:rsidRPr="005A72AE">
        <w:t>using a GS-9, step 5</w:t>
      </w:r>
      <w:r>
        <w:t>. The</w:t>
      </w:r>
      <w:r w:rsidRPr="005A72AE">
        <w:t xml:space="preserve"> fully loaded hourly wage rate </w:t>
      </w:r>
      <w:r>
        <w:t>is estimated to be</w:t>
      </w:r>
      <w:r w:rsidRPr="005A72AE">
        <w:t xml:space="preserve"> $5</w:t>
      </w:r>
      <w:r>
        <w:t>9.44</w:t>
      </w:r>
      <w:r w:rsidRPr="005A72AE">
        <w:t xml:space="preserve"> (base wage rate of $3</w:t>
      </w:r>
      <w:r>
        <w:t>7.15</w:t>
      </w:r>
      <w:r w:rsidRPr="005A72AE">
        <w:t xml:space="preserve"> x</w:t>
      </w:r>
      <w:r>
        <w:t xml:space="preserve"> 1.6 (the standard Federal wage overhead rate</w:t>
      </w:r>
      <w:r w:rsidRPr="005A72AE">
        <w:t xml:space="preserve">) </w:t>
      </w:r>
      <w:r>
        <w:t xml:space="preserve">for reading room activities </w:t>
      </w:r>
      <w:r w:rsidRPr="009951C2">
        <w:t>and a GS-13,</w:t>
      </w:r>
      <w:r w:rsidRPr="005A72AE">
        <w:t xml:space="preserve"> step 5 fully loaded </w:t>
      </w:r>
      <w:r>
        <w:t xml:space="preserve">for </w:t>
      </w:r>
      <w:r w:rsidRPr="004F4FB5">
        <w:t>VZIS operation and preparation of data</w:t>
      </w:r>
      <w:r w:rsidRPr="005A72AE">
        <w:t>.</w:t>
      </w:r>
      <w:r>
        <w:rPr>
          <w:rStyle w:val="FootnoteReference"/>
        </w:rPr>
        <w:footnoteReference w:id="7"/>
      </w:r>
      <w:r>
        <w:rPr>
          <w:vertAlign w:val="superscript"/>
        </w:rPr>
        <w:t xml:space="preserve"> </w:t>
      </w:r>
      <w:r w:rsidRPr="008215E9">
        <w:t xml:space="preserve">See Exhibit </w:t>
      </w:r>
      <w:r w:rsidR="00141589">
        <w:t>9</w:t>
      </w:r>
      <w:r w:rsidRPr="008215E9">
        <w:t>.</w:t>
      </w:r>
    </w:p>
    <w:p w:rsidR="009C41AC" w:rsidP="009C41AC" w14:paraId="76AAE715" w14:textId="4FD49F29">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spacing w:after="240"/>
        <w:jc w:val="center"/>
      </w:pPr>
      <w:r>
        <w:rPr>
          <w:b/>
          <w:bCs/>
          <w:color w:val="000000"/>
        </w:rPr>
        <w:t xml:space="preserve">Exhibit </w:t>
      </w:r>
      <w:r w:rsidR="00141589">
        <w:rPr>
          <w:b/>
          <w:bCs/>
          <w:color w:val="000000"/>
        </w:rPr>
        <w:t>9</w:t>
      </w:r>
      <w:r>
        <w:rPr>
          <w:b/>
          <w:bCs/>
          <w:color w:val="000000"/>
        </w:rPr>
        <w:t>. Agency Estimated Labor Rates (</w:t>
      </w:r>
      <w:r w:rsidRPr="00D8125F">
        <w:rPr>
          <w:b/>
          <w:bCs/>
          <w:color w:val="000000"/>
        </w:rPr>
        <w:t>2024$)</w:t>
      </w:r>
    </w:p>
    <w:tbl>
      <w:tblPr>
        <w:tblW w:w="5000" w:type="pct"/>
        <w:tblLook w:val="04A0"/>
      </w:tblPr>
      <w:tblGrid>
        <w:gridCol w:w="3190"/>
        <w:gridCol w:w="2197"/>
        <w:gridCol w:w="2496"/>
        <w:gridCol w:w="1693"/>
      </w:tblGrid>
      <w:tr w14:paraId="372278FE" w14:textId="77777777" w:rsidTr="00023727">
        <w:tblPrEx>
          <w:tblW w:w="5000" w:type="pct"/>
          <w:tblLook w:val="04A0"/>
        </w:tblPrEx>
        <w:trPr>
          <w:trHeight w:val="20"/>
          <w:tblHeader/>
        </w:trPr>
        <w:tc>
          <w:tcPr>
            <w:tcW w:w="1666" w:type="pct"/>
            <w:tcBorders>
              <w:top w:val="single" w:sz="4" w:space="0" w:color="auto"/>
              <w:left w:val="single" w:sz="4" w:space="0" w:color="auto"/>
              <w:bottom w:val="single" w:sz="4" w:space="0" w:color="auto"/>
              <w:right w:val="single" w:sz="4" w:space="0" w:color="auto"/>
            </w:tcBorders>
            <w:vAlign w:val="center"/>
            <w:hideMark/>
          </w:tcPr>
          <w:p w:rsidR="009C41AC" w:rsidRPr="00C123A0" w14:paraId="15700824" w14:textId="77777777">
            <w:pPr>
              <w:spacing w:after="0"/>
              <w:rPr>
                <w:b/>
                <w:bCs/>
                <w:color w:val="000000"/>
              </w:rPr>
            </w:pPr>
            <w:r w:rsidRPr="00C123A0">
              <w:rPr>
                <w:b/>
                <w:bCs/>
                <w:color w:val="000000"/>
              </w:rPr>
              <w:t>Federal wage</w:t>
            </w:r>
          </w:p>
        </w:tc>
        <w:tc>
          <w:tcPr>
            <w:tcW w:w="1147" w:type="pct"/>
            <w:tcBorders>
              <w:top w:val="single" w:sz="4" w:space="0" w:color="auto"/>
              <w:left w:val="nil"/>
              <w:bottom w:val="single" w:sz="4" w:space="0" w:color="auto"/>
              <w:right w:val="single" w:sz="4" w:space="0" w:color="auto"/>
            </w:tcBorders>
            <w:vAlign w:val="center"/>
            <w:hideMark/>
          </w:tcPr>
          <w:p w:rsidR="009C41AC" w:rsidRPr="00C123A0" w14:paraId="05F51C22" w14:textId="77777777">
            <w:pPr>
              <w:spacing w:after="0"/>
              <w:rPr>
                <w:b/>
                <w:bCs/>
                <w:color w:val="000000"/>
              </w:rPr>
            </w:pPr>
            <w:r w:rsidRPr="00C123A0">
              <w:rPr>
                <w:b/>
                <w:bCs/>
                <w:color w:val="000000"/>
              </w:rPr>
              <w:t>Hourly Wage Rate</w:t>
            </w:r>
          </w:p>
        </w:tc>
        <w:tc>
          <w:tcPr>
            <w:tcW w:w="1303" w:type="pct"/>
            <w:tcBorders>
              <w:top w:val="single" w:sz="4" w:space="0" w:color="auto"/>
              <w:left w:val="nil"/>
              <w:bottom w:val="single" w:sz="4" w:space="0" w:color="auto"/>
              <w:right w:val="single" w:sz="4" w:space="0" w:color="auto"/>
            </w:tcBorders>
            <w:vAlign w:val="center"/>
            <w:hideMark/>
          </w:tcPr>
          <w:p w:rsidR="009C41AC" w:rsidRPr="00C123A0" w14:paraId="2744E9AB" w14:textId="77777777">
            <w:pPr>
              <w:spacing w:after="0"/>
              <w:rPr>
                <w:b/>
                <w:bCs/>
                <w:color w:val="000000"/>
              </w:rPr>
            </w:pPr>
            <w:r w:rsidRPr="00C123A0">
              <w:rPr>
                <w:b/>
                <w:bCs/>
                <w:color w:val="000000"/>
              </w:rPr>
              <w:t>Fully Loaded Wage</w:t>
            </w:r>
            <w:r>
              <w:rPr>
                <w:b/>
                <w:bCs/>
                <w:color w:val="000000"/>
              </w:rPr>
              <w:t>*</w:t>
            </w:r>
          </w:p>
        </w:tc>
        <w:tc>
          <w:tcPr>
            <w:tcW w:w="884" w:type="pct"/>
            <w:tcBorders>
              <w:top w:val="single" w:sz="4" w:space="0" w:color="auto"/>
              <w:left w:val="nil"/>
              <w:bottom w:val="single" w:sz="4" w:space="0" w:color="auto"/>
              <w:right w:val="single" w:sz="4" w:space="0" w:color="auto"/>
            </w:tcBorders>
            <w:vAlign w:val="center"/>
            <w:hideMark/>
          </w:tcPr>
          <w:p w:rsidR="009C41AC" w:rsidRPr="00C123A0" w14:paraId="19C50A22" w14:textId="77777777">
            <w:pPr>
              <w:spacing w:after="0"/>
              <w:rPr>
                <w:b/>
                <w:bCs/>
                <w:color w:val="000000"/>
              </w:rPr>
            </w:pPr>
            <w:r w:rsidRPr="00C123A0">
              <w:rPr>
                <w:b/>
                <w:bCs/>
                <w:color w:val="000000"/>
              </w:rPr>
              <w:t>GS</w:t>
            </w:r>
          </w:p>
        </w:tc>
      </w:tr>
      <w:tr w14:paraId="4E804354" w14:textId="77777777" w:rsidTr="00023727">
        <w:tblPrEx>
          <w:tblW w:w="5000" w:type="pct"/>
          <w:tblLook w:val="04A0"/>
        </w:tblPrEx>
        <w:trPr>
          <w:trHeight w:val="20"/>
        </w:trPr>
        <w:tc>
          <w:tcPr>
            <w:tcW w:w="1666" w:type="pct"/>
            <w:tcBorders>
              <w:top w:val="nil"/>
              <w:left w:val="single" w:sz="4" w:space="0" w:color="auto"/>
              <w:bottom w:val="single" w:sz="4" w:space="0" w:color="auto"/>
              <w:right w:val="single" w:sz="4" w:space="0" w:color="auto"/>
            </w:tcBorders>
            <w:vAlign w:val="center"/>
            <w:hideMark/>
          </w:tcPr>
          <w:p w:rsidR="009C41AC" w14:paraId="40887C6B" w14:textId="77777777">
            <w:pPr>
              <w:spacing w:after="0"/>
              <w:rPr>
                <w:color w:val="000000"/>
              </w:rPr>
            </w:pPr>
            <w:r>
              <w:rPr>
                <w:color w:val="000000"/>
              </w:rPr>
              <w:t xml:space="preserve">Reading Room </w:t>
            </w:r>
          </w:p>
        </w:tc>
        <w:tc>
          <w:tcPr>
            <w:tcW w:w="1147" w:type="pct"/>
            <w:tcBorders>
              <w:top w:val="nil"/>
              <w:left w:val="nil"/>
              <w:bottom w:val="single" w:sz="4" w:space="0" w:color="auto"/>
              <w:right w:val="single" w:sz="4" w:space="0" w:color="auto"/>
            </w:tcBorders>
            <w:vAlign w:val="center"/>
            <w:hideMark/>
          </w:tcPr>
          <w:p w:rsidR="009C41AC" w14:paraId="4F19EE09" w14:textId="77777777">
            <w:pPr>
              <w:spacing w:after="0"/>
              <w:jc w:val="center"/>
              <w:rPr>
                <w:color w:val="000000"/>
              </w:rPr>
            </w:pPr>
            <w:r>
              <w:rPr>
                <w:color w:val="000000"/>
              </w:rPr>
              <w:t>$37.15</w:t>
            </w:r>
          </w:p>
        </w:tc>
        <w:tc>
          <w:tcPr>
            <w:tcW w:w="1303" w:type="pct"/>
            <w:tcBorders>
              <w:top w:val="nil"/>
              <w:left w:val="nil"/>
              <w:bottom w:val="single" w:sz="4" w:space="0" w:color="auto"/>
              <w:right w:val="single" w:sz="4" w:space="0" w:color="auto"/>
            </w:tcBorders>
            <w:vAlign w:val="center"/>
            <w:hideMark/>
          </w:tcPr>
          <w:p w:rsidR="009C41AC" w14:paraId="30CDAEF4" w14:textId="77777777">
            <w:pPr>
              <w:spacing w:after="0"/>
              <w:jc w:val="center"/>
              <w:rPr>
                <w:color w:val="000000"/>
              </w:rPr>
            </w:pPr>
            <w:r>
              <w:rPr>
                <w:color w:val="000000"/>
              </w:rPr>
              <w:t xml:space="preserve">$59.4 </w:t>
            </w:r>
          </w:p>
        </w:tc>
        <w:tc>
          <w:tcPr>
            <w:tcW w:w="884" w:type="pct"/>
            <w:tcBorders>
              <w:top w:val="nil"/>
              <w:left w:val="nil"/>
              <w:bottom w:val="single" w:sz="4" w:space="0" w:color="auto"/>
              <w:right w:val="single" w:sz="4" w:space="0" w:color="auto"/>
            </w:tcBorders>
            <w:vAlign w:val="center"/>
            <w:hideMark/>
          </w:tcPr>
          <w:p w:rsidR="009C41AC" w14:paraId="5DBD9EC1" w14:textId="77777777">
            <w:pPr>
              <w:spacing w:after="0"/>
              <w:rPr>
                <w:color w:val="000000"/>
              </w:rPr>
            </w:pPr>
            <w:r>
              <w:rPr>
                <w:color w:val="000000"/>
              </w:rPr>
              <w:t>GS-9, Step 5</w:t>
            </w:r>
          </w:p>
        </w:tc>
      </w:tr>
      <w:tr w14:paraId="3AC560B5" w14:textId="77777777" w:rsidTr="00023727">
        <w:tblPrEx>
          <w:tblW w:w="5000" w:type="pct"/>
          <w:tblLook w:val="04A0"/>
        </w:tblPrEx>
        <w:trPr>
          <w:trHeight w:val="20"/>
        </w:trPr>
        <w:tc>
          <w:tcPr>
            <w:tcW w:w="1666" w:type="pct"/>
            <w:tcBorders>
              <w:top w:val="nil"/>
              <w:left w:val="single" w:sz="4" w:space="0" w:color="auto"/>
              <w:bottom w:val="single" w:sz="4" w:space="0" w:color="auto"/>
              <w:right w:val="single" w:sz="4" w:space="0" w:color="auto"/>
            </w:tcBorders>
            <w:vAlign w:val="center"/>
            <w:hideMark/>
          </w:tcPr>
          <w:p w:rsidR="009C41AC" w14:paraId="29A3D8F7" w14:textId="77777777">
            <w:pPr>
              <w:spacing w:after="0"/>
              <w:rPr>
                <w:color w:val="000000"/>
              </w:rPr>
            </w:pPr>
            <w:r>
              <w:rPr>
                <w:color w:val="000000"/>
              </w:rPr>
              <w:t>Vulnerable Zone Indicator System (VZIS) Inquiries</w:t>
            </w:r>
          </w:p>
        </w:tc>
        <w:tc>
          <w:tcPr>
            <w:tcW w:w="1147" w:type="pct"/>
            <w:tcBorders>
              <w:top w:val="nil"/>
              <w:left w:val="nil"/>
              <w:bottom w:val="single" w:sz="4" w:space="0" w:color="auto"/>
              <w:right w:val="single" w:sz="4" w:space="0" w:color="auto"/>
            </w:tcBorders>
            <w:vAlign w:val="center"/>
            <w:hideMark/>
          </w:tcPr>
          <w:p w:rsidR="009C41AC" w14:paraId="0DC74158" w14:textId="77777777">
            <w:pPr>
              <w:spacing w:after="0"/>
              <w:jc w:val="center"/>
              <w:rPr>
                <w:color w:val="000000"/>
              </w:rPr>
            </w:pPr>
            <w:r>
              <w:rPr>
                <w:color w:val="000000"/>
              </w:rPr>
              <w:t>$64.06</w:t>
            </w:r>
          </w:p>
        </w:tc>
        <w:tc>
          <w:tcPr>
            <w:tcW w:w="1303" w:type="pct"/>
            <w:tcBorders>
              <w:top w:val="nil"/>
              <w:left w:val="nil"/>
              <w:bottom w:val="single" w:sz="4" w:space="0" w:color="auto"/>
              <w:right w:val="single" w:sz="4" w:space="0" w:color="auto"/>
            </w:tcBorders>
            <w:vAlign w:val="center"/>
            <w:hideMark/>
          </w:tcPr>
          <w:p w:rsidR="009C41AC" w14:paraId="302276A1" w14:textId="77777777">
            <w:pPr>
              <w:spacing w:after="0"/>
              <w:jc w:val="center"/>
              <w:rPr>
                <w:color w:val="000000"/>
              </w:rPr>
            </w:pPr>
            <w:r>
              <w:rPr>
                <w:color w:val="000000"/>
              </w:rPr>
              <w:t xml:space="preserve">$102.50 </w:t>
            </w:r>
          </w:p>
        </w:tc>
        <w:tc>
          <w:tcPr>
            <w:tcW w:w="884" w:type="pct"/>
            <w:tcBorders>
              <w:top w:val="nil"/>
              <w:left w:val="nil"/>
              <w:bottom w:val="single" w:sz="4" w:space="0" w:color="auto"/>
              <w:right w:val="single" w:sz="4" w:space="0" w:color="auto"/>
            </w:tcBorders>
            <w:vAlign w:val="center"/>
            <w:hideMark/>
          </w:tcPr>
          <w:p w:rsidR="009C41AC" w14:paraId="352DD807" w14:textId="77777777">
            <w:pPr>
              <w:spacing w:after="0"/>
              <w:rPr>
                <w:color w:val="000000"/>
              </w:rPr>
            </w:pPr>
            <w:r>
              <w:rPr>
                <w:color w:val="000000"/>
              </w:rPr>
              <w:t>GS-13, Step 5</w:t>
            </w:r>
          </w:p>
        </w:tc>
      </w:tr>
      <w:tr w14:paraId="76C859CC" w14:textId="77777777" w:rsidTr="00023727">
        <w:tblPrEx>
          <w:tblW w:w="5000" w:type="pct"/>
          <w:tblLook w:val="04A0"/>
        </w:tblPrEx>
        <w:trPr>
          <w:trHeight w:val="20"/>
        </w:trPr>
        <w:tc>
          <w:tcPr>
            <w:tcW w:w="5000" w:type="pct"/>
            <w:gridSpan w:val="4"/>
            <w:tcBorders>
              <w:top w:val="nil"/>
              <w:left w:val="nil"/>
              <w:bottom w:val="nil"/>
              <w:right w:val="nil"/>
            </w:tcBorders>
            <w:vAlign w:val="center"/>
            <w:hideMark/>
          </w:tcPr>
          <w:p w:rsidR="009C41AC" w14:paraId="411BC344" w14:textId="77777777">
            <w:pPr>
              <w:spacing w:after="0"/>
              <w:rPr>
                <w:color w:val="000000"/>
              </w:rPr>
            </w:pPr>
            <w:r w:rsidRPr="00950A98">
              <w:rPr>
                <w:color w:val="000000"/>
                <w:sz w:val="20"/>
                <w:szCs w:val="20"/>
              </w:rPr>
              <w:t>* Based on the standard government overhead factor of 1.6</w:t>
            </w:r>
            <w:r>
              <w:rPr>
                <w:color w:val="000000"/>
              </w:rPr>
              <w:t>.</w:t>
            </w:r>
          </w:p>
          <w:p w:rsidR="009C41AC" w:rsidRPr="00950A98" w14:paraId="611ED46E" w14:textId="77777777">
            <w:pPr>
              <w:spacing w:after="0"/>
              <w:rPr>
                <w:sz w:val="20"/>
                <w:szCs w:val="20"/>
              </w:rPr>
            </w:pPr>
            <w:r w:rsidRPr="00950A98">
              <w:rPr>
                <w:color w:val="000000"/>
                <w:sz w:val="20"/>
                <w:szCs w:val="20"/>
              </w:rPr>
              <w:t>Sources</w:t>
            </w:r>
            <w:r w:rsidRPr="00D8125F">
              <w:rPr>
                <w:color w:val="000000"/>
                <w:sz w:val="20"/>
                <w:szCs w:val="20"/>
              </w:rPr>
              <w:t>: OPM (2024)</w:t>
            </w:r>
          </w:p>
        </w:tc>
      </w:tr>
    </w:tbl>
    <w:p w:rsidR="009C41AC" w:rsidP="009C41AC" w14:paraId="7F29DF24"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pPr>
    </w:p>
    <w:p w:rsidR="009C41AC" w:rsidP="009C41AC" w14:paraId="046267FC" w14:textId="14A9ACE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spacing w:after="240"/>
      </w:pPr>
      <w:r>
        <w:t>Exhibit 1</w:t>
      </w:r>
      <w:r w:rsidR="00141589">
        <w:t>0</w:t>
      </w:r>
      <w:r>
        <w:t xml:space="preserve"> summarizes the labor burden and cost for these activities, after applying the labor rates to the above-described burdens. Total agency labor burden is </w:t>
      </w:r>
      <w:r w:rsidR="00141589">
        <w:t>278</w:t>
      </w:r>
      <w:r>
        <w:t xml:space="preserve"> hours ($</w:t>
      </w:r>
      <w:r w:rsidR="00141589">
        <w:t>25,</w:t>
      </w:r>
      <w:r w:rsidR="00464181">
        <w:t>093</w:t>
      </w:r>
      <w:r>
        <w:t xml:space="preserve">) per year, or </w:t>
      </w:r>
      <w:r w:rsidR="00464181">
        <w:t>834</w:t>
      </w:r>
      <w:r>
        <w:t xml:space="preserve"> hours ($</w:t>
      </w:r>
      <w:r w:rsidR="00464181">
        <w:t>75,279</w:t>
      </w:r>
      <w:r>
        <w:t xml:space="preserve">) over three years. </w:t>
      </w:r>
    </w:p>
    <w:p w:rsidR="009C41AC" w:rsidP="009C41AC" w14:paraId="4E3BE46B" w14:textId="3A9D87AA">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spacing w:after="240"/>
        <w:jc w:val="center"/>
      </w:pPr>
      <w:r>
        <w:rPr>
          <w:b/>
          <w:bCs/>
          <w:color w:val="000000"/>
        </w:rPr>
        <w:t>Exhibit 1</w:t>
      </w:r>
      <w:r w:rsidR="0039389B">
        <w:rPr>
          <w:b/>
          <w:bCs/>
          <w:color w:val="000000"/>
        </w:rPr>
        <w:t>0</w:t>
      </w:r>
      <w:r>
        <w:rPr>
          <w:b/>
          <w:bCs/>
          <w:color w:val="000000"/>
        </w:rPr>
        <w:t>. Agency Estimated Labor Burden and Cost (</w:t>
      </w:r>
      <w:r w:rsidRPr="00D8125F">
        <w:rPr>
          <w:b/>
          <w:bCs/>
          <w:color w:val="000000"/>
        </w:rPr>
        <w:t>2024$)</w:t>
      </w:r>
    </w:p>
    <w:tbl>
      <w:tblPr>
        <w:tblW w:w="5000" w:type="pct"/>
        <w:tblLook w:val="04A0"/>
      </w:tblPr>
      <w:tblGrid>
        <w:gridCol w:w="2818"/>
        <w:gridCol w:w="1269"/>
        <w:gridCol w:w="1144"/>
        <w:gridCol w:w="1458"/>
        <w:gridCol w:w="1315"/>
        <w:gridCol w:w="1572"/>
      </w:tblGrid>
      <w:tr w14:paraId="59002BDF" w14:textId="77777777" w:rsidTr="0039389B">
        <w:tblPrEx>
          <w:tblW w:w="5000" w:type="pct"/>
          <w:tblLook w:val="04A0"/>
        </w:tblPrEx>
        <w:trPr>
          <w:trHeight w:val="340"/>
        </w:trPr>
        <w:tc>
          <w:tcPr>
            <w:tcW w:w="2818" w:type="dxa"/>
            <w:vMerge w:val="restart"/>
            <w:tcBorders>
              <w:top w:val="single" w:sz="4" w:space="0" w:color="auto"/>
              <w:left w:val="single" w:sz="4" w:space="0" w:color="auto"/>
              <w:right w:val="single" w:sz="4" w:space="0" w:color="auto"/>
            </w:tcBorders>
            <w:vAlign w:val="center"/>
            <w:hideMark/>
          </w:tcPr>
          <w:p w:rsidR="009C41AC" w:rsidRPr="00D8125F" w14:paraId="6AB6CDB6" w14:textId="77777777">
            <w:pPr>
              <w:spacing w:after="0"/>
              <w:jc w:val="center"/>
              <w:rPr>
                <w:color w:val="000000"/>
              </w:rPr>
            </w:pPr>
          </w:p>
          <w:p w:rsidR="009C41AC" w:rsidRPr="00D8125F" w14:paraId="01FEAE17" w14:textId="77777777">
            <w:pPr>
              <w:spacing w:after="0"/>
              <w:jc w:val="center"/>
              <w:rPr>
                <w:color w:val="000000"/>
              </w:rPr>
            </w:pPr>
            <w:r w:rsidRPr="00D8125F">
              <w:rPr>
                <w:b/>
                <w:bCs/>
                <w:color w:val="000000"/>
              </w:rPr>
              <w:t>Labor Costs</w:t>
            </w:r>
          </w:p>
        </w:tc>
        <w:tc>
          <w:tcPr>
            <w:tcW w:w="1269" w:type="dxa"/>
            <w:vMerge w:val="restart"/>
            <w:tcBorders>
              <w:top w:val="single" w:sz="4" w:space="0" w:color="auto"/>
              <w:left w:val="nil"/>
              <w:right w:val="single" w:sz="4" w:space="0" w:color="auto"/>
            </w:tcBorders>
            <w:noWrap/>
            <w:vAlign w:val="bottom"/>
            <w:hideMark/>
          </w:tcPr>
          <w:p w:rsidR="009C41AC" w:rsidRPr="00D8125F" w14:paraId="22695C35" w14:textId="77777777">
            <w:pPr>
              <w:spacing w:after="0"/>
              <w:jc w:val="center"/>
              <w:rPr>
                <w:b/>
                <w:bCs/>
                <w:color w:val="000000"/>
              </w:rPr>
            </w:pPr>
          </w:p>
          <w:p w:rsidR="009C41AC" w:rsidRPr="00D8125F" w14:paraId="3F032B68" w14:textId="77777777">
            <w:pPr>
              <w:spacing w:after="0"/>
              <w:jc w:val="center"/>
              <w:rPr>
                <w:b/>
                <w:bCs/>
                <w:color w:val="000000"/>
              </w:rPr>
            </w:pPr>
            <w:r w:rsidRPr="00D8125F">
              <w:rPr>
                <w:b/>
                <w:bCs/>
                <w:color w:val="000000"/>
              </w:rPr>
              <w:t>Unit Burden Hours</w:t>
            </w:r>
          </w:p>
        </w:tc>
        <w:tc>
          <w:tcPr>
            <w:tcW w:w="2602" w:type="dxa"/>
            <w:gridSpan w:val="2"/>
            <w:tcBorders>
              <w:top w:val="single" w:sz="4" w:space="0" w:color="auto"/>
              <w:left w:val="nil"/>
              <w:bottom w:val="single" w:sz="4" w:space="0" w:color="auto"/>
              <w:right w:val="single" w:sz="4" w:space="0" w:color="000000"/>
            </w:tcBorders>
            <w:vAlign w:val="center"/>
            <w:hideMark/>
          </w:tcPr>
          <w:p w:rsidR="009C41AC" w:rsidRPr="00D8125F" w14:paraId="77A51091" w14:textId="77777777">
            <w:pPr>
              <w:spacing w:after="0"/>
              <w:jc w:val="center"/>
              <w:rPr>
                <w:b/>
                <w:bCs/>
                <w:color w:val="000000"/>
              </w:rPr>
            </w:pPr>
            <w:r w:rsidRPr="00D8125F">
              <w:rPr>
                <w:b/>
                <w:bCs/>
                <w:color w:val="000000"/>
              </w:rPr>
              <w:t>Annual</w:t>
            </w:r>
          </w:p>
        </w:tc>
        <w:tc>
          <w:tcPr>
            <w:tcW w:w="2887" w:type="dxa"/>
            <w:gridSpan w:val="2"/>
            <w:tcBorders>
              <w:top w:val="single" w:sz="4" w:space="0" w:color="auto"/>
              <w:left w:val="nil"/>
              <w:bottom w:val="single" w:sz="4" w:space="0" w:color="auto"/>
              <w:right w:val="single" w:sz="4" w:space="0" w:color="000000"/>
            </w:tcBorders>
            <w:vAlign w:val="center"/>
            <w:hideMark/>
          </w:tcPr>
          <w:p w:rsidR="009C41AC" w:rsidRPr="00D8125F" w14:paraId="12797813" w14:textId="77777777">
            <w:pPr>
              <w:spacing w:after="0"/>
              <w:jc w:val="center"/>
              <w:rPr>
                <w:b/>
                <w:bCs/>
                <w:color w:val="000000"/>
              </w:rPr>
            </w:pPr>
            <w:r w:rsidRPr="00D8125F">
              <w:rPr>
                <w:b/>
                <w:bCs/>
                <w:color w:val="000000"/>
              </w:rPr>
              <w:t>Three-Year Totals</w:t>
            </w:r>
          </w:p>
        </w:tc>
      </w:tr>
      <w:tr w14:paraId="49719875" w14:textId="77777777" w:rsidTr="0039389B">
        <w:tblPrEx>
          <w:tblW w:w="5000" w:type="pct"/>
          <w:tblLook w:val="04A0"/>
        </w:tblPrEx>
        <w:trPr>
          <w:trHeight w:val="570"/>
        </w:trPr>
        <w:tc>
          <w:tcPr>
            <w:tcW w:w="2818" w:type="dxa"/>
            <w:vMerge/>
            <w:tcBorders>
              <w:left w:val="single" w:sz="4" w:space="0" w:color="auto"/>
              <w:bottom w:val="single" w:sz="4" w:space="0" w:color="auto"/>
              <w:right w:val="single" w:sz="4" w:space="0" w:color="auto"/>
            </w:tcBorders>
            <w:vAlign w:val="center"/>
            <w:hideMark/>
          </w:tcPr>
          <w:p w:rsidR="009C41AC" w:rsidRPr="00D8125F" w14:paraId="769FE1F9" w14:textId="77777777">
            <w:pPr>
              <w:spacing w:after="0"/>
              <w:jc w:val="center"/>
              <w:rPr>
                <w:b/>
                <w:bCs/>
                <w:color w:val="000000"/>
              </w:rPr>
            </w:pPr>
          </w:p>
        </w:tc>
        <w:tc>
          <w:tcPr>
            <w:tcW w:w="1269" w:type="dxa"/>
            <w:vMerge/>
            <w:tcBorders>
              <w:left w:val="nil"/>
              <w:bottom w:val="single" w:sz="4" w:space="0" w:color="auto"/>
              <w:right w:val="single" w:sz="4" w:space="0" w:color="auto"/>
            </w:tcBorders>
            <w:vAlign w:val="bottom"/>
            <w:hideMark/>
          </w:tcPr>
          <w:p w:rsidR="009C41AC" w:rsidRPr="00D8125F" w14:paraId="6EAD1719" w14:textId="77777777">
            <w:pPr>
              <w:spacing w:after="0"/>
              <w:jc w:val="center"/>
              <w:rPr>
                <w:b/>
                <w:bCs/>
                <w:color w:val="000000"/>
              </w:rPr>
            </w:pPr>
          </w:p>
        </w:tc>
        <w:tc>
          <w:tcPr>
            <w:tcW w:w="1144" w:type="dxa"/>
            <w:tcBorders>
              <w:top w:val="nil"/>
              <w:left w:val="nil"/>
              <w:bottom w:val="single" w:sz="4" w:space="0" w:color="auto"/>
              <w:right w:val="single" w:sz="4" w:space="0" w:color="auto"/>
            </w:tcBorders>
            <w:vAlign w:val="center"/>
            <w:hideMark/>
          </w:tcPr>
          <w:p w:rsidR="009C41AC" w:rsidRPr="00D8125F" w14:paraId="015C0DDA" w14:textId="77777777">
            <w:pPr>
              <w:spacing w:after="0"/>
              <w:jc w:val="center"/>
              <w:rPr>
                <w:b/>
                <w:bCs/>
                <w:color w:val="000000"/>
              </w:rPr>
            </w:pPr>
            <w:r w:rsidRPr="00D8125F">
              <w:rPr>
                <w:b/>
                <w:bCs/>
                <w:color w:val="000000"/>
              </w:rPr>
              <w:t>Hours</w:t>
            </w:r>
          </w:p>
        </w:tc>
        <w:tc>
          <w:tcPr>
            <w:tcW w:w="1458" w:type="dxa"/>
            <w:tcBorders>
              <w:top w:val="nil"/>
              <w:left w:val="nil"/>
              <w:bottom w:val="single" w:sz="4" w:space="0" w:color="auto"/>
              <w:right w:val="single" w:sz="4" w:space="0" w:color="auto"/>
            </w:tcBorders>
            <w:vAlign w:val="center"/>
            <w:hideMark/>
          </w:tcPr>
          <w:p w:rsidR="009C41AC" w:rsidRPr="00D8125F" w14:paraId="438C09BC" w14:textId="77777777">
            <w:pPr>
              <w:spacing w:after="0"/>
              <w:jc w:val="center"/>
              <w:rPr>
                <w:b/>
                <w:bCs/>
                <w:color w:val="000000"/>
              </w:rPr>
            </w:pPr>
            <w:r w:rsidRPr="00D8125F">
              <w:rPr>
                <w:b/>
                <w:bCs/>
                <w:color w:val="000000"/>
              </w:rPr>
              <w:t>Cost</w:t>
            </w:r>
          </w:p>
        </w:tc>
        <w:tc>
          <w:tcPr>
            <w:tcW w:w="1315" w:type="dxa"/>
            <w:tcBorders>
              <w:top w:val="nil"/>
              <w:left w:val="nil"/>
              <w:bottom w:val="single" w:sz="4" w:space="0" w:color="auto"/>
              <w:right w:val="single" w:sz="4" w:space="0" w:color="auto"/>
            </w:tcBorders>
            <w:vAlign w:val="center"/>
            <w:hideMark/>
          </w:tcPr>
          <w:p w:rsidR="009C41AC" w:rsidRPr="00D8125F" w14:paraId="6E5E4B36" w14:textId="77777777">
            <w:pPr>
              <w:spacing w:after="0"/>
              <w:jc w:val="center"/>
              <w:rPr>
                <w:b/>
                <w:bCs/>
                <w:color w:val="000000"/>
              </w:rPr>
            </w:pPr>
            <w:r w:rsidRPr="00D8125F">
              <w:rPr>
                <w:b/>
                <w:bCs/>
                <w:color w:val="000000"/>
              </w:rPr>
              <w:t>Hours</w:t>
            </w:r>
          </w:p>
        </w:tc>
        <w:tc>
          <w:tcPr>
            <w:tcW w:w="1572" w:type="dxa"/>
            <w:tcBorders>
              <w:top w:val="nil"/>
              <w:left w:val="nil"/>
              <w:bottom w:val="single" w:sz="4" w:space="0" w:color="auto"/>
              <w:right w:val="single" w:sz="4" w:space="0" w:color="auto"/>
            </w:tcBorders>
            <w:vAlign w:val="center"/>
            <w:hideMark/>
          </w:tcPr>
          <w:p w:rsidR="009C41AC" w:rsidRPr="00D8125F" w14:paraId="32783AB9" w14:textId="77777777">
            <w:pPr>
              <w:spacing w:after="0"/>
              <w:jc w:val="center"/>
              <w:rPr>
                <w:b/>
                <w:bCs/>
                <w:color w:val="000000"/>
              </w:rPr>
            </w:pPr>
            <w:r w:rsidRPr="00D8125F">
              <w:rPr>
                <w:b/>
                <w:bCs/>
                <w:color w:val="000000"/>
              </w:rPr>
              <w:t>Cost</w:t>
            </w:r>
          </w:p>
        </w:tc>
      </w:tr>
      <w:tr w14:paraId="102E5A34" w14:textId="77777777" w:rsidTr="0039389B">
        <w:tblPrEx>
          <w:tblW w:w="5000" w:type="pct"/>
          <w:tblLook w:val="04A0"/>
        </w:tblPrEx>
        <w:trPr>
          <w:trHeight w:val="290"/>
        </w:trPr>
        <w:tc>
          <w:tcPr>
            <w:tcW w:w="2818" w:type="dxa"/>
            <w:tcBorders>
              <w:top w:val="nil"/>
              <w:left w:val="single" w:sz="4" w:space="0" w:color="auto"/>
              <w:bottom w:val="single" w:sz="4" w:space="0" w:color="auto"/>
              <w:right w:val="single" w:sz="4" w:space="0" w:color="auto"/>
            </w:tcBorders>
            <w:vAlign w:val="center"/>
            <w:hideMark/>
          </w:tcPr>
          <w:p w:rsidR="009C41AC" w:rsidRPr="00D8125F" w14:paraId="25F2A4C3" w14:textId="77777777">
            <w:pPr>
              <w:spacing w:after="0"/>
              <w:rPr>
                <w:color w:val="000000"/>
              </w:rPr>
            </w:pPr>
            <w:r w:rsidRPr="00D8125F">
              <w:rPr>
                <w:color w:val="000000"/>
              </w:rPr>
              <w:t>Reading Rooms</w:t>
            </w:r>
          </w:p>
        </w:tc>
        <w:tc>
          <w:tcPr>
            <w:tcW w:w="1269" w:type="dxa"/>
            <w:tcBorders>
              <w:top w:val="nil"/>
              <w:left w:val="nil"/>
              <w:bottom w:val="single" w:sz="4" w:space="0" w:color="auto"/>
              <w:right w:val="single" w:sz="4" w:space="0" w:color="auto"/>
            </w:tcBorders>
            <w:noWrap/>
            <w:vAlign w:val="bottom"/>
            <w:hideMark/>
          </w:tcPr>
          <w:p w:rsidR="009C41AC" w:rsidRPr="00D8125F" w:rsidP="002E3C59" w14:paraId="68A781AA" w14:textId="77777777">
            <w:pPr>
              <w:spacing w:after="0"/>
              <w:jc w:val="center"/>
              <w:rPr>
                <w:color w:val="000000"/>
              </w:rPr>
            </w:pPr>
            <w:r w:rsidRPr="00D8125F">
              <w:rPr>
                <w:color w:val="000000"/>
              </w:rPr>
              <w:t>2.0</w:t>
            </w:r>
          </w:p>
        </w:tc>
        <w:tc>
          <w:tcPr>
            <w:tcW w:w="1144" w:type="dxa"/>
            <w:tcBorders>
              <w:top w:val="nil"/>
              <w:left w:val="nil"/>
              <w:bottom w:val="single" w:sz="4" w:space="0" w:color="auto"/>
              <w:right w:val="single" w:sz="4" w:space="0" w:color="auto"/>
            </w:tcBorders>
            <w:vAlign w:val="center"/>
            <w:hideMark/>
          </w:tcPr>
          <w:p w:rsidR="009C41AC" w:rsidRPr="00D8125F" w:rsidP="002E3C59" w14:paraId="7D2632C4" w14:textId="77777777">
            <w:pPr>
              <w:spacing w:after="0"/>
              <w:jc w:val="center"/>
              <w:rPr>
                <w:color w:val="000000"/>
              </w:rPr>
            </w:pPr>
            <w:r w:rsidRPr="00D8125F">
              <w:rPr>
                <w:color w:val="000000"/>
              </w:rPr>
              <w:t>24</w:t>
            </w:r>
          </w:p>
        </w:tc>
        <w:tc>
          <w:tcPr>
            <w:tcW w:w="1458" w:type="dxa"/>
            <w:tcBorders>
              <w:top w:val="nil"/>
              <w:left w:val="nil"/>
              <w:bottom w:val="single" w:sz="4" w:space="0" w:color="auto"/>
              <w:right w:val="single" w:sz="4" w:space="0" w:color="auto"/>
            </w:tcBorders>
            <w:vAlign w:val="center"/>
            <w:hideMark/>
          </w:tcPr>
          <w:p w:rsidR="009C41AC" w:rsidRPr="00D8125F" w:rsidP="002E3C59" w14:paraId="3D768B81" w14:textId="578E51A0">
            <w:pPr>
              <w:spacing w:after="0"/>
              <w:jc w:val="center"/>
              <w:rPr>
                <w:color w:val="000000"/>
              </w:rPr>
            </w:pPr>
            <w:r w:rsidRPr="00D8125F">
              <w:rPr>
                <w:color w:val="000000"/>
              </w:rPr>
              <w:t>$1,427</w:t>
            </w:r>
          </w:p>
        </w:tc>
        <w:tc>
          <w:tcPr>
            <w:tcW w:w="1315" w:type="dxa"/>
            <w:tcBorders>
              <w:top w:val="nil"/>
              <w:left w:val="nil"/>
              <w:bottom w:val="single" w:sz="4" w:space="0" w:color="auto"/>
              <w:right w:val="single" w:sz="4" w:space="0" w:color="auto"/>
            </w:tcBorders>
            <w:vAlign w:val="center"/>
            <w:hideMark/>
          </w:tcPr>
          <w:p w:rsidR="009C41AC" w:rsidRPr="00D8125F" w:rsidP="002E3C59" w14:paraId="07D2A8E9" w14:textId="77777777">
            <w:pPr>
              <w:spacing w:after="0"/>
              <w:jc w:val="center"/>
              <w:rPr>
                <w:color w:val="000000"/>
              </w:rPr>
            </w:pPr>
            <w:r w:rsidRPr="00D8125F">
              <w:rPr>
                <w:color w:val="000000"/>
              </w:rPr>
              <w:t>72</w:t>
            </w:r>
          </w:p>
        </w:tc>
        <w:tc>
          <w:tcPr>
            <w:tcW w:w="1572" w:type="dxa"/>
            <w:tcBorders>
              <w:top w:val="nil"/>
              <w:left w:val="nil"/>
              <w:bottom w:val="single" w:sz="4" w:space="0" w:color="auto"/>
              <w:right w:val="single" w:sz="4" w:space="0" w:color="auto"/>
            </w:tcBorders>
            <w:vAlign w:val="center"/>
            <w:hideMark/>
          </w:tcPr>
          <w:p w:rsidR="009C41AC" w:rsidRPr="00D8125F" w:rsidP="002E3C59" w14:paraId="37A6AC57" w14:textId="09DE44DD">
            <w:pPr>
              <w:spacing w:after="0"/>
              <w:jc w:val="center"/>
              <w:rPr>
                <w:color w:val="000000"/>
              </w:rPr>
            </w:pPr>
            <w:r w:rsidRPr="00D8125F">
              <w:rPr>
                <w:color w:val="000000"/>
              </w:rPr>
              <w:t>$4,280</w:t>
            </w:r>
          </w:p>
        </w:tc>
      </w:tr>
      <w:tr w14:paraId="410FF8C6" w14:textId="77777777" w:rsidTr="0039389B">
        <w:tblPrEx>
          <w:tblW w:w="5000" w:type="pct"/>
          <w:tblLook w:val="04A0"/>
        </w:tblPrEx>
        <w:trPr>
          <w:trHeight w:val="560"/>
        </w:trPr>
        <w:tc>
          <w:tcPr>
            <w:tcW w:w="2818" w:type="dxa"/>
            <w:tcBorders>
              <w:top w:val="nil"/>
              <w:left w:val="single" w:sz="4" w:space="0" w:color="auto"/>
              <w:bottom w:val="single" w:sz="4" w:space="0" w:color="auto"/>
              <w:right w:val="single" w:sz="4" w:space="0" w:color="auto"/>
            </w:tcBorders>
            <w:vAlign w:val="center"/>
            <w:hideMark/>
          </w:tcPr>
          <w:p w:rsidR="009C41AC" w:rsidRPr="00D8125F" w14:paraId="5D473323" w14:textId="77777777">
            <w:pPr>
              <w:spacing w:after="0"/>
              <w:rPr>
                <w:color w:val="000000"/>
              </w:rPr>
            </w:pPr>
            <w:r w:rsidRPr="00D8125F">
              <w:rPr>
                <w:color w:val="000000"/>
              </w:rPr>
              <w:t>Train Federal Reading Room Staff on OCA</w:t>
            </w:r>
          </w:p>
        </w:tc>
        <w:tc>
          <w:tcPr>
            <w:tcW w:w="1269" w:type="dxa"/>
            <w:tcBorders>
              <w:top w:val="nil"/>
              <w:left w:val="nil"/>
              <w:bottom w:val="single" w:sz="4" w:space="0" w:color="auto"/>
              <w:right w:val="single" w:sz="4" w:space="0" w:color="auto"/>
            </w:tcBorders>
            <w:noWrap/>
            <w:vAlign w:val="bottom"/>
            <w:hideMark/>
          </w:tcPr>
          <w:p w:rsidR="009C41AC" w:rsidRPr="00D8125F" w:rsidP="002E3C59" w14:paraId="0F81B30A" w14:textId="77777777">
            <w:pPr>
              <w:spacing w:after="0"/>
              <w:jc w:val="center"/>
              <w:rPr>
                <w:color w:val="000000"/>
              </w:rPr>
            </w:pPr>
            <w:r w:rsidRPr="00D8125F">
              <w:rPr>
                <w:color w:val="000000"/>
              </w:rPr>
              <w:t>1.0</w:t>
            </w:r>
          </w:p>
        </w:tc>
        <w:tc>
          <w:tcPr>
            <w:tcW w:w="1144" w:type="dxa"/>
            <w:tcBorders>
              <w:top w:val="nil"/>
              <w:left w:val="nil"/>
              <w:bottom w:val="single" w:sz="4" w:space="0" w:color="auto"/>
              <w:right w:val="single" w:sz="4" w:space="0" w:color="auto"/>
            </w:tcBorders>
            <w:vAlign w:val="center"/>
            <w:hideMark/>
          </w:tcPr>
          <w:p w:rsidR="009C41AC" w:rsidP="002E3C59" w14:paraId="7DBE3AA1" w14:textId="77777777">
            <w:pPr>
              <w:spacing w:after="0"/>
              <w:jc w:val="center"/>
              <w:rPr>
                <w:color w:val="000000"/>
              </w:rPr>
            </w:pPr>
          </w:p>
          <w:p w:rsidR="009C41AC" w:rsidRPr="00D8125F" w:rsidP="002E3C59" w14:paraId="05DC34F1" w14:textId="77777777">
            <w:pPr>
              <w:spacing w:after="0"/>
              <w:jc w:val="center"/>
              <w:rPr>
                <w:color w:val="000000"/>
              </w:rPr>
            </w:pPr>
            <w:r w:rsidRPr="00D8125F">
              <w:rPr>
                <w:color w:val="000000"/>
              </w:rPr>
              <w:t>55</w:t>
            </w:r>
          </w:p>
        </w:tc>
        <w:tc>
          <w:tcPr>
            <w:tcW w:w="1458" w:type="dxa"/>
            <w:tcBorders>
              <w:top w:val="nil"/>
              <w:left w:val="nil"/>
              <w:bottom w:val="single" w:sz="4" w:space="0" w:color="auto"/>
              <w:right w:val="single" w:sz="4" w:space="0" w:color="auto"/>
            </w:tcBorders>
            <w:vAlign w:val="center"/>
            <w:hideMark/>
          </w:tcPr>
          <w:p w:rsidR="009C41AC" w:rsidP="002E3C59" w14:paraId="6BE7BE2A" w14:textId="77777777">
            <w:pPr>
              <w:spacing w:after="0"/>
              <w:jc w:val="center"/>
              <w:rPr>
                <w:color w:val="000000"/>
              </w:rPr>
            </w:pPr>
          </w:p>
          <w:p w:rsidR="009C41AC" w:rsidRPr="00D8125F" w:rsidP="002E3C59" w14:paraId="34774F70" w14:textId="2F048EAE">
            <w:pPr>
              <w:spacing w:after="0"/>
              <w:jc w:val="center"/>
              <w:rPr>
                <w:color w:val="000000"/>
              </w:rPr>
            </w:pPr>
            <w:r w:rsidRPr="00D8125F">
              <w:rPr>
                <w:color w:val="000000"/>
              </w:rPr>
              <w:t>$3,269</w:t>
            </w:r>
          </w:p>
        </w:tc>
        <w:tc>
          <w:tcPr>
            <w:tcW w:w="1315" w:type="dxa"/>
            <w:tcBorders>
              <w:top w:val="nil"/>
              <w:left w:val="nil"/>
              <w:bottom w:val="single" w:sz="4" w:space="0" w:color="auto"/>
              <w:right w:val="single" w:sz="4" w:space="0" w:color="auto"/>
            </w:tcBorders>
            <w:vAlign w:val="center"/>
            <w:hideMark/>
          </w:tcPr>
          <w:p w:rsidR="009C41AC" w:rsidP="002E3C59" w14:paraId="602F5107" w14:textId="77777777">
            <w:pPr>
              <w:spacing w:after="0"/>
              <w:jc w:val="center"/>
              <w:rPr>
                <w:color w:val="000000"/>
              </w:rPr>
            </w:pPr>
          </w:p>
          <w:p w:rsidR="009C41AC" w:rsidRPr="00D8125F" w:rsidP="002E3C59" w14:paraId="1244757A" w14:textId="77777777">
            <w:pPr>
              <w:spacing w:after="0"/>
              <w:jc w:val="center"/>
              <w:rPr>
                <w:color w:val="000000"/>
              </w:rPr>
            </w:pPr>
            <w:r w:rsidRPr="00D8125F">
              <w:rPr>
                <w:color w:val="000000"/>
              </w:rPr>
              <w:t>165</w:t>
            </w:r>
          </w:p>
        </w:tc>
        <w:tc>
          <w:tcPr>
            <w:tcW w:w="1572" w:type="dxa"/>
            <w:tcBorders>
              <w:top w:val="nil"/>
              <w:left w:val="nil"/>
              <w:bottom w:val="single" w:sz="4" w:space="0" w:color="auto"/>
              <w:right w:val="single" w:sz="4" w:space="0" w:color="auto"/>
            </w:tcBorders>
            <w:vAlign w:val="center"/>
            <w:hideMark/>
          </w:tcPr>
          <w:p w:rsidR="009C41AC" w:rsidP="002E3C59" w14:paraId="675B8D6E" w14:textId="77777777">
            <w:pPr>
              <w:spacing w:after="0"/>
              <w:jc w:val="center"/>
              <w:rPr>
                <w:color w:val="000000"/>
              </w:rPr>
            </w:pPr>
          </w:p>
          <w:p w:rsidR="009C41AC" w:rsidRPr="00D8125F" w:rsidP="002E3C59" w14:paraId="3E4D9312" w14:textId="5CE26C1F">
            <w:pPr>
              <w:spacing w:after="0"/>
              <w:jc w:val="center"/>
              <w:rPr>
                <w:color w:val="000000"/>
              </w:rPr>
            </w:pPr>
            <w:r w:rsidRPr="00D8125F">
              <w:rPr>
                <w:color w:val="000000"/>
              </w:rPr>
              <w:t>$9,808</w:t>
            </w:r>
          </w:p>
        </w:tc>
      </w:tr>
      <w:tr w14:paraId="7242B5D3" w14:textId="77777777" w:rsidTr="0039389B">
        <w:tblPrEx>
          <w:tblW w:w="5000" w:type="pct"/>
          <w:tblLook w:val="04A0"/>
        </w:tblPrEx>
        <w:trPr>
          <w:trHeight w:val="290"/>
        </w:trPr>
        <w:tc>
          <w:tcPr>
            <w:tcW w:w="2818" w:type="dxa"/>
            <w:tcBorders>
              <w:top w:val="nil"/>
              <w:left w:val="single" w:sz="4" w:space="0" w:color="auto"/>
              <w:bottom w:val="single" w:sz="4" w:space="0" w:color="auto"/>
              <w:right w:val="single" w:sz="4" w:space="0" w:color="auto"/>
            </w:tcBorders>
            <w:vAlign w:val="center"/>
            <w:hideMark/>
          </w:tcPr>
          <w:p w:rsidR="009C41AC" w:rsidRPr="00D8125F" w14:paraId="1CC7989A" w14:textId="77777777">
            <w:pPr>
              <w:spacing w:after="0"/>
              <w:rPr>
                <w:color w:val="000000"/>
              </w:rPr>
            </w:pPr>
            <w:r w:rsidRPr="00D8125F">
              <w:rPr>
                <w:color w:val="000000"/>
              </w:rPr>
              <w:t>VZIS and Data Requests</w:t>
            </w:r>
          </w:p>
        </w:tc>
        <w:tc>
          <w:tcPr>
            <w:tcW w:w="1269" w:type="dxa"/>
            <w:tcBorders>
              <w:top w:val="nil"/>
              <w:left w:val="nil"/>
              <w:bottom w:val="single" w:sz="4" w:space="0" w:color="auto"/>
              <w:right w:val="single" w:sz="4" w:space="0" w:color="auto"/>
            </w:tcBorders>
            <w:noWrap/>
            <w:vAlign w:val="bottom"/>
            <w:hideMark/>
          </w:tcPr>
          <w:p w:rsidR="009C41AC" w:rsidRPr="00D8125F" w:rsidP="002E3C59" w14:paraId="3036092A" w14:textId="77777777">
            <w:pPr>
              <w:spacing w:after="0"/>
              <w:jc w:val="center"/>
              <w:rPr>
                <w:color w:val="000000"/>
              </w:rPr>
            </w:pPr>
            <w:r w:rsidRPr="00D8125F">
              <w:rPr>
                <w:color w:val="000000"/>
              </w:rPr>
              <w:t>0.5</w:t>
            </w:r>
          </w:p>
        </w:tc>
        <w:tc>
          <w:tcPr>
            <w:tcW w:w="1144" w:type="dxa"/>
            <w:tcBorders>
              <w:top w:val="nil"/>
              <w:left w:val="nil"/>
              <w:bottom w:val="single" w:sz="4" w:space="0" w:color="auto"/>
              <w:right w:val="single" w:sz="4" w:space="0" w:color="auto"/>
            </w:tcBorders>
            <w:vAlign w:val="center"/>
            <w:hideMark/>
          </w:tcPr>
          <w:p w:rsidR="009C41AC" w:rsidRPr="00D8125F" w:rsidP="002E3C59" w14:paraId="240A5319" w14:textId="77777777">
            <w:pPr>
              <w:spacing w:after="0"/>
              <w:jc w:val="center"/>
              <w:rPr>
                <w:color w:val="000000"/>
              </w:rPr>
            </w:pPr>
            <w:r w:rsidRPr="00D8125F">
              <w:rPr>
                <w:color w:val="000000"/>
              </w:rPr>
              <w:t>161</w:t>
            </w:r>
          </w:p>
        </w:tc>
        <w:tc>
          <w:tcPr>
            <w:tcW w:w="1458" w:type="dxa"/>
            <w:tcBorders>
              <w:top w:val="nil"/>
              <w:left w:val="nil"/>
              <w:bottom w:val="single" w:sz="4" w:space="0" w:color="auto"/>
              <w:right w:val="single" w:sz="4" w:space="0" w:color="auto"/>
            </w:tcBorders>
            <w:vAlign w:val="center"/>
            <w:hideMark/>
          </w:tcPr>
          <w:p w:rsidR="009C41AC" w:rsidRPr="00D8125F" w:rsidP="002E3C59" w14:paraId="3B229A75" w14:textId="755AC2F7">
            <w:pPr>
              <w:spacing w:after="0"/>
              <w:jc w:val="center"/>
              <w:rPr>
                <w:color w:val="000000"/>
              </w:rPr>
            </w:pPr>
            <w:r w:rsidRPr="00D8125F">
              <w:rPr>
                <w:color w:val="000000"/>
              </w:rPr>
              <w:t>$16,502</w:t>
            </w:r>
          </w:p>
        </w:tc>
        <w:tc>
          <w:tcPr>
            <w:tcW w:w="1315" w:type="dxa"/>
            <w:tcBorders>
              <w:top w:val="nil"/>
              <w:left w:val="nil"/>
              <w:bottom w:val="single" w:sz="4" w:space="0" w:color="auto"/>
              <w:right w:val="single" w:sz="4" w:space="0" w:color="auto"/>
            </w:tcBorders>
            <w:vAlign w:val="center"/>
            <w:hideMark/>
          </w:tcPr>
          <w:p w:rsidR="009C41AC" w:rsidRPr="00D8125F" w:rsidP="002E3C59" w14:paraId="398C5312" w14:textId="77777777">
            <w:pPr>
              <w:spacing w:after="0"/>
              <w:jc w:val="center"/>
              <w:rPr>
                <w:color w:val="000000"/>
              </w:rPr>
            </w:pPr>
            <w:r w:rsidRPr="00D8125F">
              <w:rPr>
                <w:color w:val="000000"/>
              </w:rPr>
              <w:t>483</w:t>
            </w:r>
          </w:p>
        </w:tc>
        <w:tc>
          <w:tcPr>
            <w:tcW w:w="1572" w:type="dxa"/>
            <w:tcBorders>
              <w:top w:val="nil"/>
              <w:left w:val="nil"/>
              <w:bottom w:val="single" w:sz="4" w:space="0" w:color="auto"/>
              <w:right w:val="single" w:sz="4" w:space="0" w:color="auto"/>
            </w:tcBorders>
            <w:vAlign w:val="center"/>
            <w:hideMark/>
          </w:tcPr>
          <w:p w:rsidR="009C41AC" w:rsidRPr="00D8125F" w:rsidP="002E3C59" w14:paraId="575BA7D7" w14:textId="35F6788A">
            <w:pPr>
              <w:spacing w:after="0"/>
              <w:jc w:val="center"/>
              <w:rPr>
                <w:color w:val="000000"/>
              </w:rPr>
            </w:pPr>
            <w:r w:rsidRPr="00D8125F">
              <w:rPr>
                <w:color w:val="000000"/>
              </w:rPr>
              <w:t>$49,506</w:t>
            </w:r>
          </w:p>
        </w:tc>
      </w:tr>
      <w:tr w14:paraId="38201DF2" w14:textId="77777777" w:rsidTr="0039389B">
        <w:tblPrEx>
          <w:tblW w:w="5000" w:type="pct"/>
          <w:tblLook w:val="04A0"/>
        </w:tblPrEx>
        <w:trPr>
          <w:trHeight w:val="560"/>
        </w:trPr>
        <w:tc>
          <w:tcPr>
            <w:tcW w:w="2818" w:type="dxa"/>
            <w:tcBorders>
              <w:top w:val="nil"/>
              <w:left w:val="single" w:sz="4" w:space="0" w:color="auto"/>
              <w:bottom w:val="single" w:sz="4" w:space="0" w:color="auto"/>
              <w:right w:val="single" w:sz="4" w:space="0" w:color="auto"/>
            </w:tcBorders>
            <w:vAlign w:val="center"/>
            <w:hideMark/>
          </w:tcPr>
          <w:p w:rsidR="009C41AC" w:rsidRPr="00D8125F" w14:paraId="04464DE0" w14:textId="486A6B09">
            <w:pPr>
              <w:spacing w:after="0"/>
              <w:rPr>
                <w:color w:val="000000"/>
              </w:rPr>
            </w:pPr>
            <w:r w:rsidRPr="00D8125F">
              <w:rPr>
                <w:color w:val="000000"/>
              </w:rPr>
              <w:t xml:space="preserve">Responding to a Request Letter </w:t>
            </w:r>
            <w:r w:rsidR="00506239">
              <w:rPr>
                <w:color w:val="000000"/>
              </w:rPr>
              <w:t>and Register Requestor within CDX</w:t>
            </w:r>
          </w:p>
        </w:tc>
        <w:tc>
          <w:tcPr>
            <w:tcW w:w="1269" w:type="dxa"/>
            <w:tcBorders>
              <w:top w:val="nil"/>
              <w:left w:val="nil"/>
              <w:bottom w:val="single" w:sz="4" w:space="0" w:color="auto"/>
              <w:right w:val="single" w:sz="4" w:space="0" w:color="auto"/>
            </w:tcBorders>
            <w:noWrap/>
            <w:vAlign w:val="bottom"/>
            <w:hideMark/>
          </w:tcPr>
          <w:p w:rsidR="009C41AC" w:rsidRPr="00D8125F" w:rsidP="002E3C59" w14:paraId="18264559" w14:textId="77777777">
            <w:pPr>
              <w:spacing w:after="0"/>
              <w:jc w:val="center"/>
              <w:rPr>
                <w:color w:val="000000"/>
              </w:rPr>
            </w:pPr>
            <w:r w:rsidRPr="00D8125F">
              <w:rPr>
                <w:color w:val="000000"/>
              </w:rPr>
              <w:t>1.0</w:t>
            </w:r>
          </w:p>
        </w:tc>
        <w:tc>
          <w:tcPr>
            <w:tcW w:w="1144" w:type="dxa"/>
            <w:tcBorders>
              <w:top w:val="nil"/>
              <w:left w:val="nil"/>
              <w:bottom w:val="single" w:sz="4" w:space="0" w:color="auto"/>
              <w:right w:val="single" w:sz="4" w:space="0" w:color="auto"/>
            </w:tcBorders>
            <w:vAlign w:val="center"/>
            <w:hideMark/>
          </w:tcPr>
          <w:p w:rsidR="009C41AC" w:rsidP="002E3C59" w14:paraId="0F3F18F0" w14:textId="77777777">
            <w:pPr>
              <w:spacing w:after="0"/>
              <w:jc w:val="center"/>
              <w:rPr>
                <w:color w:val="000000"/>
              </w:rPr>
            </w:pPr>
          </w:p>
          <w:p w:rsidR="009C41AC" w:rsidRPr="00D8125F" w:rsidP="002E3C59" w14:paraId="02AC6C1C" w14:textId="35990FC9">
            <w:pPr>
              <w:spacing w:after="0"/>
              <w:jc w:val="center"/>
              <w:rPr>
                <w:color w:val="000000"/>
              </w:rPr>
            </w:pPr>
            <w:r>
              <w:rPr>
                <w:color w:val="000000"/>
              </w:rPr>
              <w:t>38</w:t>
            </w:r>
          </w:p>
        </w:tc>
        <w:tc>
          <w:tcPr>
            <w:tcW w:w="1458" w:type="dxa"/>
            <w:tcBorders>
              <w:top w:val="nil"/>
              <w:left w:val="nil"/>
              <w:bottom w:val="single" w:sz="4" w:space="0" w:color="auto"/>
              <w:right w:val="single" w:sz="4" w:space="0" w:color="auto"/>
            </w:tcBorders>
            <w:vAlign w:val="center"/>
            <w:hideMark/>
          </w:tcPr>
          <w:p w:rsidR="009C41AC" w:rsidP="002E3C59" w14:paraId="2BBC1523" w14:textId="77777777">
            <w:pPr>
              <w:spacing w:after="0"/>
              <w:jc w:val="center"/>
              <w:rPr>
                <w:color w:val="000000"/>
              </w:rPr>
            </w:pPr>
          </w:p>
          <w:p w:rsidR="009C41AC" w:rsidRPr="00D8125F" w:rsidP="002E3C59" w14:paraId="6983A493" w14:textId="4BFF71DA">
            <w:pPr>
              <w:spacing w:after="0"/>
              <w:jc w:val="center"/>
              <w:rPr>
                <w:color w:val="000000"/>
              </w:rPr>
            </w:pPr>
            <w:r w:rsidRPr="00D8125F">
              <w:rPr>
                <w:color w:val="000000"/>
              </w:rPr>
              <w:t>$</w:t>
            </w:r>
            <w:r w:rsidR="005953A2">
              <w:rPr>
                <w:color w:val="000000"/>
              </w:rPr>
              <w:t>3,895</w:t>
            </w:r>
          </w:p>
        </w:tc>
        <w:tc>
          <w:tcPr>
            <w:tcW w:w="1315" w:type="dxa"/>
            <w:tcBorders>
              <w:top w:val="nil"/>
              <w:left w:val="nil"/>
              <w:bottom w:val="single" w:sz="4" w:space="0" w:color="auto"/>
              <w:right w:val="single" w:sz="4" w:space="0" w:color="auto"/>
            </w:tcBorders>
            <w:vAlign w:val="center"/>
            <w:hideMark/>
          </w:tcPr>
          <w:p w:rsidR="009C41AC" w:rsidP="002E3C59" w14:paraId="7A4D8978" w14:textId="77777777">
            <w:pPr>
              <w:spacing w:after="0"/>
              <w:jc w:val="center"/>
              <w:rPr>
                <w:color w:val="000000"/>
              </w:rPr>
            </w:pPr>
          </w:p>
          <w:p w:rsidR="009C41AC" w:rsidRPr="00D8125F" w:rsidP="002E3C59" w14:paraId="0B9FBA48" w14:textId="21BF9E40">
            <w:pPr>
              <w:spacing w:after="0"/>
              <w:jc w:val="center"/>
              <w:rPr>
                <w:color w:val="000000"/>
              </w:rPr>
            </w:pPr>
            <w:r>
              <w:rPr>
                <w:color w:val="000000"/>
              </w:rPr>
              <w:t>114</w:t>
            </w:r>
          </w:p>
        </w:tc>
        <w:tc>
          <w:tcPr>
            <w:tcW w:w="1572" w:type="dxa"/>
            <w:tcBorders>
              <w:top w:val="nil"/>
              <w:left w:val="nil"/>
              <w:bottom w:val="single" w:sz="4" w:space="0" w:color="auto"/>
              <w:right w:val="single" w:sz="4" w:space="0" w:color="auto"/>
            </w:tcBorders>
            <w:vAlign w:val="center"/>
            <w:hideMark/>
          </w:tcPr>
          <w:p w:rsidR="009C41AC" w:rsidP="002E3C59" w14:paraId="09BA0F09" w14:textId="77777777">
            <w:pPr>
              <w:spacing w:after="0"/>
              <w:jc w:val="center"/>
              <w:rPr>
                <w:color w:val="000000"/>
              </w:rPr>
            </w:pPr>
          </w:p>
          <w:p w:rsidR="009C41AC" w:rsidRPr="00D8125F" w:rsidP="002E3C59" w14:paraId="41DF8C8F" w14:textId="4F26BFDC">
            <w:pPr>
              <w:spacing w:after="0"/>
              <w:jc w:val="center"/>
              <w:rPr>
                <w:color w:val="000000"/>
              </w:rPr>
            </w:pPr>
            <w:r w:rsidRPr="00D8125F">
              <w:rPr>
                <w:color w:val="000000"/>
              </w:rPr>
              <w:t>$</w:t>
            </w:r>
            <w:r w:rsidR="005953A2">
              <w:rPr>
                <w:color w:val="000000"/>
              </w:rPr>
              <w:t>11,685</w:t>
            </w:r>
          </w:p>
        </w:tc>
      </w:tr>
      <w:tr w14:paraId="346FFC53" w14:textId="77777777" w:rsidTr="0039389B">
        <w:tblPrEx>
          <w:tblW w:w="5000" w:type="pct"/>
          <w:tblLook w:val="04A0"/>
        </w:tblPrEx>
        <w:trPr>
          <w:trHeight w:val="290"/>
        </w:trPr>
        <w:tc>
          <w:tcPr>
            <w:tcW w:w="2818" w:type="dxa"/>
            <w:tcBorders>
              <w:top w:val="nil"/>
              <w:left w:val="single" w:sz="4" w:space="0" w:color="auto"/>
              <w:bottom w:val="single" w:sz="4" w:space="0" w:color="auto"/>
              <w:right w:val="single" w:sz="4" w:space="0" w:color="auto"/>
            </w:tcBorders>
            <w:vAlign w:val="center"/>
            <w:hideMark/>
          </w:tcPr>
          <w:p w:rsidR="009C41AC" w:rsidRPr="00D8125F" w14:paraId="729C8041" w14:textId="77777777">
            <w:pPr>
              <w:spacing w:after="0"/>
              <w:rPr>
                <w:b/>
                <w:bCs/>
                <w:color w:val="000000"/>
              </w:rPr>
            </w:pPr>
            <w:r w:rsidRPr="00D8125F">
              <w:rPr>
                <w:b/>
                <w:bCs/>
                <w:color w:val="000000"/>
              </w:rPr>
              <w:t>Total</w:t>
            </w:r>
          </w:p>
        </w:tc>
        <w:tc>
          <w:tcPr>
            <w:tcW w:w="1269" w:type="dxa"/>
            <w:tcBorders>
              <w:top w:val="nil"/>
              <w:left w:val="nil"/>
              <w:bottom w:val="single" w:sz="4" w:space="0" w:color="auto"/>
              <w:right w:val="single" w:sz="4" w:space="0" w:color="auto"/>
            </w:tcBorders>
            <w:noWrap/>
            <w:vAlign w:val="bottom"/>
            <w:hideMark/>
          </w:tcPr>
          <w:p w:rsidR="009C41AC" w:rsidRPr="00D8125F" w:rsidP="002E3C59" w14:paraId="78F1272F" w14:textId="485A155F">
            <w:pPr>
              <w:spacing w:after="0"/>
              <w:jc w:val="center"/>
              <w:rPr>
                <w:rFonts w:ascii="Calibri" w:hAnsi="Calibri" w:cs="Calibri"/>
                <w:color w:val="000000"/>
              </w:rPr>
            </w:pPr>
          </w:p>
        </w:tc>
        <w:tc>
          <w:tcPr>
            <w:tcW w:w="1144" w:type="dxa"/>
            <w:tcBorders>
              <w:top w:val="nil"/>
              <w:left w:val="nil"/>
              <w:bottom w:val="single" w:sz="4" w:space="0" w:color="auto"/>
              <w:right w:val="single" w:sz="4" w:space="0" w:color="auto"/>
            </w:tcBorders>
            <w:vAlign w:val="center"/>
            <w:hideMark/>
          </w:tcPr>
          <w:p w:rsidR="009C41AC" w:rsidRPr="00D8125F" w:rsidP="002E3C59" w14:paraId="567933BA" w14:textId="25E010DA">
            <w:pPr>
              <w:spacing w:after="0"/>
              <w:jc w:val="center"/>
              <w:rPr>
                <w:b/>
                <w:bCs/>
                <w:color w:val="000000"/>
              </w:rPr>
            </w:pPr>
            <w:r>
              <w:rPr>
                <w:b/>
                <w:bCs/>
                <w:color w:val="000000"/>
              </w:rPr>
              <w:t>278</w:t>
            </w:r>
          </w:p>
        </w:tc>
        <w:tc>
          <w:tcPr>
            <w:tcW w:w="1458" w:type="dxa"/>
            <w:tcBorders>
              <w:top w:val="nil"/>
              <w:left w:val="nil"/>
              <w:bottom w:val="single" w:sz="4" w:space="0" w:color="auto"/>
              <w:right w:val="single" w:sz="4" w:space="0" w:color="auto"/>
            </w:tcBorders>
            <w:vAlign w:val="center"/>
            <w:hideMark/>
          </w:tcPr>
          <w:p w:rsidR="009C41AC" w:rsidRPr="00D8125F" w:rsidP="002E3C59" w14:paraId="02C257F1" w14:textId="53BBFB55">
            <w:pPr>
              <w:spacing w:after="0"/>
              <w:jc w:val="center"/>
              <w:rPr>
                <w:b/>
                <w:bCs/>
                <w:color w:val="000000"/>
              </w:rPr>
            </w:pPr>
            <w:r w:rsidRPr="00D8125F">
              <w:rPr>
                <w:b/>
                <w:bCs/>
                <w:color w:val="000000"/>
              </w:rPr>
              <w:t>$</w:t>
            </w:r>
            <w:r w:rsidR="007B1D74">
              <w:rPr>
                <w:b/>
                <w:bCs/>
                <w:color w:val="000000"/>
              </w:rPr>
              <w:t>25,093</w:t>
            </w:r>
          </w:p>
        </w:tc>
        <w:tc>
          <w:tcPr>
            <w:tcW w:w="1315" w:type="dxa"/>
            <w:tcBorders>
              <w:top w:val="nil"/>
              <w:left w:val="nil"/>
              <w:bottom w:val="single" w:sz="4" w:space="0" w:color="auto"/>
              <w:right w:val="single" w:sz="4" w:space="0" w:color="auto"/>
            </w:tcBorders>
            <w:vAlign w:val="center"/>
            <w:hideMark/>
          </w:tcPr>
          <w:p w:rsidR="009C41AC" w:rsidRPr="00D8125F" w:rsidP="002E3C59" w14:paraId="74B46535" w14:textId="6DA5BCF3">
            <w:pPr>
              <w:spacing w:after="0"/>
              <w:jc w:val="center"/>
              <w:rPr>
                <w:b/>
                <w:bCs/>
                <w:color w:val="000000"/>
              </w:rPr>
            </w:pPr>
            <w:r>
              <w:rPr>
                <w:b/>
                <w:bCs/>
                <w:color w:val="000000"/>
              </w:rPr>
              <w:t>834</w:t>
            </w:r>
          </w:p>
        </w:tc>
        <w:tc>
          <w:tcPr>
            <w:tcW w:w="1572" w:type="dxa"/>
            <w:tcBorders>
              <w:top w:val="nil"/>
              <w:left w:val="nil"/>
              <w:bottom w:val="single" w:sz="4" w:space="0" w:color="auto"/>
              <w:right w:val="single" w:sz="4" w:space="0" w:color="auto"/>
            </w:tcBorders>
            <w:vAlign w:val="center"/>
            <w:hideMark/>
          </w:tcPr>
          <w:p w:rsidR="009C41AC" w:rsidRPr="00D8125F" w:rsidP="002E3C59" w14:paraId="479B85FC" w14:textId="0A4EA4A6">
            <w:pPr>
              <w:spacing w:after="0"/>
              <w:jc w:val="center"/>
              <w:rPr>
                <w:b/>
                <w:bCs/>
                <w:color w:val="000000"/>
              </w:rPr>
            </w:pPr>
            <w:r w:rsidRPr="00D8125F">
              <w:rPr>
                <w:b/>
                <w:bCs/>
                <w:color w:val="000000"/>
              </w:rPr>
              <w:t>$</w:t>
            </w:r>
            <w:r w:rsidR="00141589">
              <w:rPr>
                <w:b/>
                <w:bCs/>
                <w:color w:val="000000"/>
              </w:rPr>
              <w:t>75,279</w:t>
            </w:r>
          </w:p>
        </w:tc>
      </w:tr>
    </w:tbl>
    <w:p w:rsidR="009C41AC" w:rsidRPr="00E3739C" w:rsidP="009C41AC" w14:paraId="472FC595"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spacing w:after="240"/>
        <w:rPr>
          <w:sz w:val="20"/>
          <w:szCs w:val="20"/>
        </w:rPr>
      </w:pPr>
      <w:r w:rsidRPr="00E3739C">
        <w:rPr>
          <w:sz w:val="20"/>
          <w:szCs w:val="20"/>
        </w:rPr>
        <w:t>*Totals may not sum due to rounding.</w:t>
      </w:r>
    </w:p>
    <w:p w:rsidR="00D17BB9" w:rsidRPr="00DF6672" w:rsidP="00DF6672" w14:paraId="164B7E2B" w14:textId="2BCAACF4">
      <w:pPr>
        <w:pStyle w:val="Style1"/>
      </w:pPr>
      <w:r w:rsidRPr="00163C69">
        <w:t xml:space="preserve">14c. </w:t>
      </w:r>
      <w:r w:rsidRPr="00163C69">
        <w:t>Agency Non-Labor Costs</w:t>
      </w:r>
    </w:p>
    <w:p w:rsidR="00611031" w:rsidRPr="00383746" w:rsidP="00611031" w14:paraId="4FA7B6C3"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spacing w:after="240"/>
      </w:pPr>
      <w:r w:rsidRPr="00383746">
        <w:t xml:space="preserve">In previous ICRs, reading rooms were assumed to have a computer, monitor, printer, and shredder. The cost for this equipment was calculated in previous ICRs and was assumed to be depreciated over five years. This equipment is standard office equipment </w:t>
      </w:r>
      <w:r>
        <w:t>which</w:t>
      </w:r>
      <w:r w:rsidRPr="00383746">
        <w:t xml:space="preserve"> is now expected to be available in all government offices. Therefore, in this ICR</w:t>
      </w:r>
      <w:r>
        <w:t xml:space="preserve"> renewal</w:t>
      </w:r>
      <w:r w:rsidRPr="00383746">
        <w:t>, EPA did not calculate the costs for this equipment</w:t>
      </w:r>
      <w:r>
        <w:t xml:space="preserve"> and this renewal does not include capital costs.</w:t>
      </w:r>
    </w:p>
    <w:p w:rsidR="00611031" w:rsidRPr="004F4FB5" w:rsidP="00611031" w14:paraId="1686CE98" w14:textId="6B7FB8D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spacing w:after="240"/>
      </w:pPr>
      <w:r w:rsidRPr="00383746">
        <w:t xml:space="preserve">In addition, EPA reading rooms (Headquarters and EPA Regions) print paper copies of RMPs. Using a </w:t>
      </w:r>
      <w:r w:rsidRPr="001A6E7B">
        <w:t xml:space="preserve">cost </w:t>
      </w:r>
      <w:r w:rsidRPr="008545F2">
        <w:t>of $7.</w:t>
      </w:r>
      <w:r>
        <w:t>31</w:t>
      </w:r>
      <w:r w:rsidRPr="003D5B1C">
        <w:t xml:space="preserve"> for a ream of recycled copy paper and assuming each person visiting a reading room reviews 10 RMPs </w:t>
      </w:r>
      <w:r w:rsidRPr="008545F2">
        <w:t>of 20 pages each, the paper cost per visit is $</w:t>
      </w:r>
      <w:r>
        <w:t>2.92</w:t>
      </w:r>
      <w:r w:rsidRPr="005E786A">
        <w:t>.</w:t>
      </w:r>
      <w:r>
        <w:rPr>
          <w:rStyle w:val="FootnoteReference"/>
        </w:rPr>
        <w:footnoteReference w:id="8"/>
      </w:r>
      <w:r w:rsidRPr="008545F2">
        <w:t xml:space="preserve"> Assuming </w:t>
      </w:r>
      <w:r>
        <w:t>12</w:t>
      </w:r>
      <w:r w:rsidRPr="008545F2">
        <w:t xml:space="preserve"> visits to EPA Federal reading rooms per year (</w:t>
      </w:r>
      <w:r>
        <w:t xml:space="preserve">36 </w:t>
      </w:r>
      <w:r w:rsidRPr="008545F2">
        <w:t>visits for three years), the paper cost is $</w:t>
      </w:r>
      <w:r>
        <w:t>35</w:t>
      </w:r>
      <w:r w:rsidRPr="008545F2">
        <w:t xml:space="preserve"> annually ($</w:t>
      </w:r>
      <w:r>
        <w:t>105</w:t>
      </w:r>
      <w:r w:rsidRPr="005E786A">
        <w:t xml:space="preserve"> for three years)</w:t>
      </w:r>
      <w:r w:rsidR="00A76988">
        <w:t xml:space="preserve">, which is the </w:t>
      </w:r>
      <w:r w:rsidRPr="004F4FB5">
        <w:t xml:space="preserve">total O&amp;M cost for the </w:t>
      </w:r>
      <w:r>
        <w:t>F</w:t>
      </w:r>
      <w:r w:rsidRPr="004F4FB5">
        <w:t>ederal government</w:t>
      </w:r>
      <w:r w:rsidR="009419F0">
        <w:t xml:space="preserve">. </w:t>
      </w:r>
      <w:r>
        <w:t>See Exhibit 1</w:t>
      </w:r>
      <w:r w:rsidR="00464181">
        <w:t>1</w:t>
      </w:r>
      <w:r>
        <w:t>.</w:t>
      </w:r>
    </w:p>
    <w:p w:rsidR="00611031" w:rsidP="00611031" w14:paraId="4CB06D9E" w14:textId="693B8783">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jc w:val="center"/>
        <w:rPr>
          <w:b/>
          <w:bCs/>
          <w:color w:val="000000"/>
        </w:rPr>
      </w:pPr>
      <w:r>
        <w:rPr>
          <w:b/>
          <w:bCs/>
          <w:color w:val="000000"/>
        </w:rPr>
        <w:t>Exhibit 1</w:t>
      </w:r>
      <w:r w:rsidR="00464181">
        <w:rPr>
          <w:b/>
          <w:bCs/>
          <w:color w:val="000000"/>
        </w:rPr>
        <w:t>1</w:t>
      </w:r>
      <w:r>
        <w:rPr>
          <w:b/>
          <w:bCs/>
          <w:color w:val="000000"/>
        </w:rPr>
        <w:t>. Agency Estimated Non-Labor Cost (</w:t>
      </w:r>
      <w:r w:rsidRPr="00D8125F">
        <w:rPr>
          <w:b/>
          <w:bCs/>
          <w:color w:val="000000"/>
        </w:rPr>
        <w:t>2024$)</w:t>
      </w:r>
    </w:p>
    <w:tbl>
      <w:tblPr>
        <w:tblW w:w="5000" w:type="pct"/>
        <w:tblLook w:val="04A0"/>
      </w:tblPr>
      <w:tblGrid>
        <w:gridCol w:w="2691"/>
        <w:gridCol w:w="1537"/>
        <w:gridCol w:w="1709"/>
        <w:gridCol w:w="1509"/>
        <w:gridCol w:w="2130"/>
      </w:tblGrid>
      <w:tr w14:paraId="4A828A73" w14:textId="77777777" w:rsidTr="0039389B">
        <w:tblPrEx>
          <w:tblW w:w="5000" w:type="pct"/>
          <w:tblLook w:val="04A0"/>
        </w:tblPrEx>
        <w:trPr>
          <w:trHeight w:val="290"/>
        </w:trPr>
        <w:tc>
          <w:tcPr>
            <w:tcW w:w="2691" w:type="dxa"/>
            <w:vMerge w:val="restart"/>
            <w:tcBorders>
              <w:top w:val="single" w:sz="4" w:space="0" w:color="auto"/>
              <w:left w:val="single" w:sz="4" w:space="0" w:color="auto"/>
              <w:right w:val="single" w:sz="4" w:space="0" w:color="auto"/>
            </w:tcBorders>
            <w:vAlign w:val="center"/>
          </w:tcPr>
          <w:p w:rsidR="00611031" w:rsidRPr="0061458A" w14:paraId="276A1C6B" w14:textId="77777777">
            <w:pPr>
              <w:spacing w:after="0"/>
              <w:jc w:val="center"/>
              <w:rPr>
                <w:b/>
                <w:bCs/>
                <w:color w:val="000000"/>
              </w:rPr>
            </w:pPr>
            <w:r w:rsidRPr="0061458A">
              <w:rPr>
                <w:b/>
                <w:bCs/>
                <w:color w:val="000000"/>
              </w:rPr>
              <w:t>O&amp;M Costs</w:t>
            </w:r>
          </w:p>
        </w:tc>
        <w:tc>
          <w:tcPr>
            <w:tcW w:w="3246" w:type="dxa"/>
            <w:gridSpan w:val="2"/>
            <w:tcBorders>
              <w:top w:val="single" w:sz="4" w:space="0" w:color="auto"/>
              <w:left w:val="nil"/>
              <w:bottom w:val="single" w:sz="4" w:space="0" w:color="auto"/>
              <w:right w:val="single" w:sz="4" w:space="0" w:color="auto"/>
            </w:tcBorders>
            <w:vAlign w:val="center"/>
          </w:tcPr>
          <w:p w:rsidR="00611031" w:rsidRPr="0061458A" w14:paraId="2CD0FC6E" w14:textId="77777777">
            <w:pPr>
              <w:spacing w:after="0"/>
              <w:jc w:val="center"/>
              <w:rPr>
                <w:b/>
                <w:bCs/>
                <w:color w:val="000000"/>
              </w:rPr>
            </w:pPr>
            <w:r>
              <w:rPr>
                <w:b/>
                <w:bCs/>
                <w:color w:val="000000"/>
              </w:rPr>
              <w:t>Annual</w:t>
            </w:r>
          </w:p>
        </w:tc>
        <w:tc>
          <w:tcPr>
            <w:tcW w:w="3639" w:type="dxa"/>
            <w:gridSpan w:val="2"/>
            <w:tcBorders>
              <w:top w:val="single" w:sz="4" w:space="0" w:color="auto"/>
              <w:left w:val="nil"/>
              <w:bottom w:val="single" w:sz="4" w:space="0" w:color="auto"/>
              <w:right w:val="single" w:sz="4" w:space="0" w:color="auto"/>
            </w:tcBorders>
            <w:vAlign w:val="center"/>
          </w:tcPr>
          <w:p w:rsidR="00611031" w:rsidRPr="0061458A" w14:paraId="6870CD58" w14:textId="77777777">
            <w:pPr>
              <w:spacing w:after="0"/>
              <w:jc w:val="center"/>
              <w:rPr>
                <w:b/>
                <w:bCs/>
                <w:color w:val="000000"/>
              </w:rPr>
            </w:pPr>
            <w:r>
              <w:rPr>
                <w:b/>
                <w:bCs/>
                <w:color w:val="000000"/>
              </w:rPr>
              <w:t>Three-Year Total</w:t>
            </w:r>
          </w:p>
        </w:tc>
      </w:tr>
      <w:tr w14:paraId="70A98E36" w14:textId="77777777" w:rsidTr="0039389B">
        <w:tblPrEx>
          <w:tblW w:w="5000" w:type="pct"/>
          <w:tblLook w:val="04A0"/>
        </w:tblPrEx>
        <w:trPr>
          <w:trHeight w:val="290"/>
        </w:trPr>
        <w:tc>
          <w:tcPr>
            <w:tcW w:w="2691" w:type="dxa"/>
            <w:vMerge/>
            <w:tcBorders>
              <w:left w:val="single" w:sz="4" w:space="0" w:color="auto"/>
              <w:bottom w:val="single" w:sz="4" w:space="0" w:color="auto"/>
              <w:right w:val="single" w:sz="4" w:space="0" w:color="auto"/>
            </w:tcBorders>
            <w:vAlign w:val="center"/>
            <w:hideMark/>
          </w:tcPr>
          <w:p w:rsidR="00611031" w:rsidRPr="0061458A" w14:paraId="0D0643AF" w14:textId="77777777">
            <w:pPr>
              <w:spacing w:after="0"/>
              <w:jc w:val="center"/>
              <w:rPr>
                <w:b/>
                <w:bCs/>
                <w:color w:val="000000"/>
              </w:rPr>
            </w:pPr>
          </w:p>
        </w:tc>
        <w:tc>
          <w:tcPr>
            <w:tcW w:w="1537" w:type="dxa"/>
            <w:tcBorders>
              <w:top w:val="single" w:sz="4" w:space="0" w:color="auto"/>
              <w:left w:val="nil"/>
              <w:bottom w:val="single" w:sz="4" w:space="0" w:color="auto"/>
              <w:right w:val="single" w:sz="4" w:space="0" w:color="auto"/>
            </w:tcBorders>
            <w:vAlign w:val="center"/>
            <w:hideMark/>
          </w:tcPr>
          <w:p w:rsidR="00611031" w:rsidRPr="0061458A" w14:paraId="445F4540" w14:textId="77777777">
            <w:pPr>
              <w:spacing w:after="0"/>
              <w:jc w:val="center"/>
              <w:rPr>
                <w:b/>
                <w:bCs/>
                <w:color w:val="000000"/>
              </w:rPr>
            </w:pPr>
            <w:r w:rsidRPr="0061458A">
              <w:rPr>
                <w:b/>
                <w:bCs/>
                <w:color w:val="000000"/>
              </w:rPr>
              <w:t>Count</w:t>
            </w:r>
          </w:p>
        </w:tc>
        <w:tc>
          <w:tcPr>
            <w:tcW w:w="1709" w:type="dxa"/>
            <w:tcBorders>
              <w:top w:val="single" w:sz="4" w:space="0" w:color="auto"/>
              <w:left w:val="nil"/>
              <w:bottom w:val="single" w:sz="4" w:space="0" w:color="auto"/>
              <w:right w:val="single" w:sz="4" w:space="0" w:color="auto"/>
            </w:tcBorders>
            <w:vAlign w:val="center"/>
            <w:hideMark/>
          </w:tcPr>
          <w:p w:rsidR="00611031" w:rsidRPr="0061458A" w14:paraId="15F07654" w14:textId="77777777">
            <w:pPr>
              <w:spacing w:after="0"/>
              <w:jc w:val="center"/>
              <w:rPr>
                <w:b/>
                <w:bCs/>
                <w:color w:val="000000"/>
              </w:rPr>
            </w:pPr>
            <w:r w:rsidRPr="0061458A">
              <w:rPr>
                <w:b/>
                <w:bCs/>
                <w:color w:val="000000"/>
              </w:rPr>
              <w:t>Cost</w:t>
            </w:r>
          </w:p>
        </w:tc>
        <w:tc>
          <w:tcPr>
            <w:tcW w:w="1509" w:type="dxa"/>
            <w:tcBorders>
              <w:top w:val="single" w:sz="4" w:space="0" w:color="auto"/>
              <w:left w:val="nil"/>
              <w:bottom w:val="single" w:sz="4" w:space="0" w:color="auto"/>
              <w:right w:val="single" w:sz="4" w:space="0" w:color="auto"/>
            </w:tcBorders>
            <w:vAlign w:val="center"/>
            <w:hideMark/>
          </w:tcPr>
          <w:p w:rsidR="00611031" w:rsidRPr="0061458A" w14:paraId="44F83255" w14:textId="77777777">
            <w:pPr>
              <w:spacing w:after="0"/>
              <w:jc w:val="center"/>
              <w:rPr>
                <w:b/>
                <w:bCs/>
                <w:color w:val="000000"/>
              </w:rPr>
            </w:pPr>
            <w:r w:rsidRPr="0061458A">
              <w:rPr>
                <w:b/>
                <w:bCs/>
                <w:color w:val="000000"/>
              </w:rPr>
              <w:t>Count</w:t>
            </w:r>
          </w:p>
        </w:tc>
        <w:tc>
          <w:tcPr>
            <w:tcW w:w="2130" w:type="dxa"/>
            <w:tcBorders>
              <w:top w:val="single" w:sz="4" w:space="0" w:color="auto"/>
              <w:left w:val="nil"/>
              <w:bottom w:val="single" w:sz="4" w:space="0" w:color="auto"/>
              <w:right w:val="single" w:sz="4" w:space="0" w:color="auto"/>
            </w:tcBorders>
            <w:vAlign w:val="center"/>
            <w:hideMark/>
          </w:tcPr>
          <w:p w:rsidR="00611031" w:rsidRPr="0061458A" w14:paraId="00AFBB1A" w14:textId="77777777">
            <w:pPr>
              <w:spacing w:after="0"/>
              <w:jc w:val="center"/>
              <w:rPr>
                <w:b/>
                <w:bCs/>
                <w:color w:val="000000"/>
              </w:rPr>
            </w:pPr>
            <w:r w:rsidRPr="0061458A">
              <w:rPr>
                <w:b/>
                <w:bCs/>
                <w:color w:val="000000"/>
              </w:rPr>
              <w:t>Cost</w:t>
            </w:r>
          </w:p>
        </w:tc>
      </w:tr>
      <w:tr w14:paraId="4193B0AF" w14:textId="77777777" w:rsidTr="0039389B">
        <w:tblPrEx>
          <w:tblW w:w="5000" w:type="pct"/>
          <w:tblLook w:val="04A0"/>
        </w:tblPrEx>
        <w:trPr>
          <w:trHeight w:val="290"/>
        </w:trPr>
        <w:tc>
          <w:tcPr>
            <w:tcW w:w="2691" w:type="dxa"/>
            <w:tcBorders>
              <w:top w:val="single" w:sz="4" w:space="0" w:color="auto"/>
              <w:left w:val="single" w:sz="4" w:space="0" w:color="auto"/>
              <w:bottom w:val="single" w:sz="4" w:space="0" w:color="auto"/>
              <w:right w:val="single" w:sz="4" w:space="0" w:color="auto"/>
            </w:tcBorders>
            <w:vAlign w:val="center"/>
            <w:hideMark/>
          </w:tcPr>
          <w:p w:rsidR="00611031" w:rsidRPr="0061458A" w14:paraId="597324E6" w14:textId="77777777">
            <w:pPr>
              <w:spacing w:after="0"/>
              <w:rPr>
                <w:color w:val="000000"/>
              </w:rPr>
            </w:pPr>
            <w:r w:rsidRPr="0061458A">
              <w:rPr>
                <w:color w:val="000000"/>
              </w:rPr>
              <w:t>Paper for the Reading Room (visits)</w:t>
            </w:r>
          </w:p>
        </w:tc>
        <w:tc>
          <w:tcPr>
            <w:tcW w:w="1537" w:type="dxa"/>
            <w:tcBorders>
              <w:top w:val="single" w:sz="4" w:space="0" w:color="auto"/>
              <w:left w:val="nil"/>
              <w:bottom w:val="single" w:sz="4" w:space="0" w:color="auto"/>
              <w:right w:val="single" w:sz="4" w:space="0" w:color="auto"/>
            </w:tcBorders>
            <w:vAlign w:val="center"/>
            <w:hideMark/>
          </w:tcPr>
          <w:p w:rsidR="00611031" w:rsidRPr="0061458A" w:rsidP="002E3C59" w14:paraId="315B5ECD" w14:textId="77777777">
            <w:pPr>
              <w:spacing w:after="0"/>
              <w:jc w:val="center"/>
              <w:rPr>
                <w:color w:val="000000"/>
              </w:rPr>
            </w:pPr>
            <w:r w:rsidRPr="0061458A">
              <w:rPr>
                <w:color w:val="000000"/>
              </w:rPr>
              <w:t>12</w:t>
            </w:r>
          </w:p>
        </w:tc>
        <w:tc>
          <w:tcPr>
            <w:tcW w:w="1709" w:type="dxa"/>
            <w:tcBorders>
              <w:top w:val="single" w:sz="4" w:space="0" w:color="auto"/>
              <w:left w:val="nil"/>
              <w:bottom w:val="single" w:sz="4" w:space="0" w:color="auto"/>
              <w:right w:val="single" w:sz="4" w:space="0" w:color="auto"/>
            </w:tcBorders>
            <w:vAlign w:val="center"/>
            <w:hideMark/>
          </w:tcPr>
          <w:p w:rsidR="00611031" w:rsidRPr="0061458A" w:rsidP="002E3C59" w14:paraId="1950B0BF" w14:textId="1E25B28E">
            <w:pPr>
              <w:spacing w:after="0"/>
              <w:jc w:val="center"/>
              <w:rPr>
                <w:color w:val="000000"/>
              </w:rPr>
            </w:pPr>
            <w:r w:rsidRPr="0061458A">
              <w:rPr>
                <w:color w:val="000000"/>
              </w:rPr>
              <w:t>$35</w:t>
            </w:r>
          </w:p>
        </w:tc>
        <w:tc>
          <w:tcPr>
            <w:tcW w:w="1509" w:type="dxa"/>
            <w:tcBorders>
              <w:top w:val="single" w:sz="4" w:space="0" w:color="auto"/>
              <w:left w:val="nil"/>
              <w:bottom w:val="single" w:sz="4" w:space="0" w:color="auto"/>
              <w:right w:val="single" w:sz="4" w:space="0" w:color="auto"/>
            </w:tcBorders>
            <w:vAlign w:val="center"/>
            <w:hideMark/>
          </w:tcPr>
          <w:p w:rsidR="00611031" w:rsidRPr="0061458A" w:rsidP="002E3C59" w14:paraId="479953CC" w14:textId="77777777">
            <w:pPr>
              <w:spacing w:after="0"/>
              <w:jc w:val="center"/>
              <w:rPr>
                <w:color w:val="000000"/>
              </w:rPr>
            </w:pPr>
            <w:r w:rsidRPr="0061458A">
              <w:rPr>
                <w:color w:val="000000"/>
              </w:rPr>
              <w:t>36</w:t>
            </w:r>
          </w:p>
        </w:tc>
        <w:tc>
          <w:tcPr>
            <w:tcW w:w="2130" w:type="dxa"/>
            <w:tcBorders>
              <w:top w:val="single" w:sz="4" w:space="0" w:color="auto"/>
              <w:left w:val="nil"/>
              <w:bottom w:val="single" w:sz="4" w:space="0" w:color="auto"/>
              <w:right w:val="single" w:sz="4" w:space="0" w:color="auto"/>
            </w:tcBorders>
            <w:vAlign w:val="center"/>
            <w:hideMark/>
          </w:tcPr>
          <w:p w:rsidR="00611031" w:rsidRPr="0061458A" w:rsidP="002E3C59" w14:paraId="60308CBA" w14:textId="273FA5F7">
            <w:pPr>
              <w:spacing w:after="0"/>
              <w:jc w:val="center"/>
              <w:rPr>
                <w:color w:val="000000"/>
              </w:rPr>
            </w:pPr>
            <w:r w:rsidRPr="0061458A">
              <w:rPr>
                <w:color w:val="000000"/>
              </w:rPr>
              <w:t>$105</w:t>
            </w:r>
          </w:p>
        </w:tc>
      </w:tr>
    </w:tbl>
    <w:p w:rsidR="004620CA" w:rsidRPr="00163C69" w:rsidP="008804E5" w14:paraId="3144CC9D" w14:textId="72F4E703">
      <w:pPr>
        <w:pStyle w:val="EPAHeading2"/>
        <w:pBdr>
          <w:bottom w:val="none" w:sz="0" w:space="0" w:color="auto"/>
        </w:pBdr>
      </w:pPr>
      <w:r w:rsidRPr="4BDBF0A0">
        <w:t xml:space="preserve">REASONS FOR </w:t>
      </w:r>
      <w:r w:rsidRPr="4BDBF0A0" w:rsidR="00AD46F7">
        <w:t>CHANGE IN BURDEN</w:t>
      </w:r>
      <w:bookmarkEnd w:id="21"/>
    </w:p>
    <w:p w:rsidR="001F0834" w:rsidRPr="001F0834" w:rsidP="00854AAE" w14:paraId="567B01FE" w14:textId="77777777">
      <w:pPr>
        <w:pBdr>
          <w:bottom w:val="single" w:sz="12" w:space="1" w:color="auto"/>
        </w:pBdr>
        <w:spacing w:before="60"/>
        <w:rPr>
          <w:rFonts w:cstheme="minorHAnsi"/>
          <w:bCs/>
          <w:i/>
          <w:iCs/>
        </w:rPr>
      </w:pPr>
      <w:r w:rsidRPr="001F0834">
        <w:rPr>
          <w:rFonts w:cstheme="minorHAnsi"/>
          <w:bCs/>
          <w:i/>
          <w:iCs/>
        </w:rPr>
        <w:t>Explain the reasons for any program changes or adjustments reported in the burden or capital/O&amp;M cost estimates.</w:t>
      </w:r>
    </w:p>
    <w:p w:rsidR="00744734" w:rsidP="00744734" w14:paraId="77280FDC" w14:textId="77777777">
      <w:bookmarkStart w:id="22" w:name="_Toc156593389"/>
      <w:r>
        <w:t>EPA estimates a small increase</w:t>
      </w:r>
      <w:r w:rsidRPr="004B5384">
        <w:t xml:space="preserve"> in the burden to respondents</w:t>
      </w:r>
      <w:r>
        <w:t xml:space="preserve"> for this renewal</w:t>
      </w:r>
      <w:r w:rsidRPr="004B5384">
        <w:t xml:space="preserve"> </w:t>
      </w:r>
      <w:r>
        <w:t xml:space="preserve">compared to the </w:t>
      </w:r>
      <w:r w:rsidRPr="004B5384">
        <w:t>previous ICR</w:t>
      </w:r>
      <w:r>
        <w:t xml:space="preserve"> renewal (665 vs. 663 hours). This increase is due to the two additional Federal reading room visits.</w:t>
      </w:r>
      <w:r>
        <w:t xml:space="preserve"> </w:t>
      </w:r>
    </w:p>
    <w:p w:rsidR="005D140B" w:rsidRPr="00163C69" w:rsidP="008804E5" w14:paraId="3604F417" w14:textId="5D0F3160">
      <w:pPr>
        <w:pStyle w:val="EPAHeading2"/>
        <w:pBdr>
          <w:bottom w:val="none" w:sz="0" w:space="0" w:color="auto"/>
        </w:pBdr>
      </w:pPr>
      <w:r w:rsidRPr="4BDBF0A0">
        <w:t xml:space="preserve">PUBLICATION OF </w:t>
      </w:r>
      <w:bookmarkStart w:id="23" w:name="_Toc156593390"/>
      <w:bookmarkEnd w:id="22"/>
      <w:r w:rsidR="00E73E81">
        <w:t>DATA</w:t>
      </w:r>
    </w:p>
    <w:p w:rsidR="001F0834" w:rsidRPr="001F0834" w:rsidP="00854AAE" w14:paraId="21A4F990" w14:textId="77777777">
      <w:pPr>
        <w:pBdr>
          <w:bottom w:val="single" w:sz="12" w:space="1" w:color="auto"/>
        </w:pBdr>
        <w:spacing w:before="60"/>
        <w:rPr>
          <w:rFonts w:cstheme="minorHAnsi"/>
          <w:bCs/>
          <w:i/>
          <w:iCs/>
        </w:rPr>
      </w:pPr>
      <w:r w:rsidRPr="001F0834">
        <w:rPr>
          <w:rFonts w:cstheme="minorHAnsi"/>
          <w:bCs/>
          <w:i/>
          <w:iCs/>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C567A5" w:rsidRPr="00334430" w:rsidP="00C567A5" w14:paraId="4946BCC1" w14:textId="77777777">
      <w:r w:rsidRPr="00EF136F">
        <w:t>EPA does not publish any data related to this ICR renewal.</w:t>
      </w:r>
      <w:r>
        <w:t xml:space="preserve"> </w:t>
      </w:r>
    </w:p>
    <w:p w:rsidR="00627768" w:rsidRPr="00163C69" w:rsidP="008804E5" w14:paraId="54E9D2D0" w14:textId="67124984">
      <w:pPr>
        <w:pStyle w:val="EPAHeading2"/>
        <w:pBdr>
          <w:bottom w:val="none" w:sz="0" w:space="0" w:color="auto"/>
        </w:pBdr>
      </w:pPr>
      <w:r w:rsidRPr="008804E5">
        <w:t xml:space="preserve">DISPLAY </w:t>
      </w:r>
      <w:r w:rsidRPr="008804E5" w:rsidR="00644EBE">
        <w:t xml:space="preserve">OF </w:t>
      </w:r>
      <w:r w:rsidRPr="008804E5" w:rsidR="000D5863">
        <w:t>EXPIRATION DATE</w:t>
      </w:r>
      <w:bookmarkEnd w:id="23"/>
      <w:r w:rsidRPr="008804E5" w:rsidR="00644EBE">
        <w:t xml:space="preserve"> </w:t>
      </w:r>
    </w:p>
    <w:p w:rsidR="001F0834" w:rsidRPr="00F532D6" w:rsidP="00854AAE" w14:paraId="23256265" w14:textId="77777777">
      <w:pPr>
        <w:pBdr>
          <w:bottom w:val="single" w:sz="12" w:space="1" w:color="auto"/>
        </w:pBdr>
        <w:spacing w:before="60"/>
        <w:rPr>
          <w:rFonts w:cstheme="minorHAnsi"/>
          <w:i/>
          <w:iCs/>
        </w:rPr>
      </w:pPr>
      <w:r w:rsidRPr="00F532D6">
        <w:rPr>
          <w:rFonts w:cstheme="minorHAnsi"/>
          <w:i/>
          <w:iCs/>
        </w:rPr>
        <w:t>If seeking approval to not display the expiration date for OMB approval of the information collection, explain the reasons that display would be inappropriate.</w:t>
      </w:r>
    </w:p>
    <w:p w:rsidR="00ED57A4" w:rsidRPr="0073767D" w:rsidP="002E1A45" w14:paraId="38543EA2" w14:textId="76F85153">
      <w:pPr>
        <w:tabs>
          <w:tab w:val="left" w:pos="720"/>
          <w:tab w:val="left" w:pos="1440"/>
          <w:tab w:val="left" w:pos="2160"/>
          <w:tab w:val="left" w:pos="2880"/>
          <w:tab w:val="left" w:pos="3600"/>
          <w:tab w:val="left" w:pos="4320"/>
          <w:tab w:val="left" w:pos="5040"/>
          <w:tab w:val="left" w:pos="5850"/>
          <w:tab w:val="left" w:pos="6480"/>
          <w:tab w:val="left" w:pos="7200"/>
          <w:tab w:val="left" w:pos="7922"/>
        </w:tabs>
      </w:pPr>
      <w:r w:rsidRPr="00457BDF">
        <w:t xml:space="preserve">This does not apply to this ICR. </w:t>
      </w:r>
    </w:p>
    <w:p w:rsidR="00691828" w:rsidRPr="00163C69" w:rsidP="008804E5" w14:paraId="7CCB26DD" w14:textId="4CB12282">
      <w:pPr>
        <w:pStyle w:val="EPAHeading2"/>
        <w:pBdr>
          <w:bottom w:val="none" w:sz="0" w:space="0" w:color="auto"/>
        </w:pBdr>
      </w:pPr>
      <w:bookmarkStart w:id="24" w:name="_Toc156593391"/>
      <w:r w:rsidRPr="00163C69">
        <w:t>CERTIFICATION STATEMENT</w:t>
      </w:r>
      <w:bookmarkEnd w:id="24"/>
    </w:p>
    <w:p w:rsidR="001F0834" w:rsidRPr="001F0834" w:rsidP="00854AAE" w14:paraId="59893047" w14:textId="77777777">
      <w:pPr>
        <w:pBdr>
          <w:bottom w:val="single" w:sz="12" w:space="1" w:color="auto"/>
        </w:pBdr>
        <w:spacing w:before="60"/>
        <w:rPr>
          <w:rFonts w:cstheme="minorHAnsi"/>
          <w:i/>
          <w:iCs/>
        </w:rPr>
      </w:pPr>
      <w:r w:rsidRPr="001F0834">
        <w:rPr>
          <w:rFonts w:cstheme="minorHAnsi"/>
          <w:i/>
          <w:iCs/>
        </w:rPr>
        <w:t>Explain each exception to the topics of the certification statement identified in “Certification for Paperwork Reduction Act Submissions.”</w:t>
      </w:r>
    </w:p>
    <w:p w:rsidR="00AB4567" w:rsidP="00AB4567" w14:paraId="218D9D0E" w14:textId="77777777">
      <w:pPr>
        <w:spacing w:after="240"/>
      </w:pPr>
      <w:r w:rsidRPr="00457BDF">
        <w:t>This information collection complies with all provisions of the Certification for Paperwork Reduction Act Submissions.</w:t>
      </w:r>
    </w:p>
    <w:p w:rsidR="00AB4567" w:rsidP="00F72C68" w14:paraId="50CEEF69" w14:textId="77777777">
      <w:pPr>
        <w:spacing w:after="240"/>
        <w:rPr>
          <w:b/>
        </w:rPr>
      </w:pPr>
      <w:r w:rsidRPr="00A214DB">
        <w:rPr>
          <w:b/>
        </w:rPr>
        <w:t>Burden Statement</w:t>
      </w:r>
    </w:p>
    <w:p w:rsidR="00AB4567" w:rsidRPr="00383746" w:rsidP="00AB4567" w14:paraId="2DC37A5E"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rPr>
          <w:color w:val="000000"/>
        </w:rPr>
      </w:pPr>
      <w:r w:rsidRPr="004B5384">
        <w:t xml:space="preserve">The annual public reporting and recordkeeping </w:t>
      </w:r>
      <w:r w:rsidRPr="00782DD2">
        <w:t>burden</w:t>
      </w:r>
      <w:r w:rsidRPr="004B5384">
        <w:t xml:space="preserve"> for this collection of information is estimated </w:t>
      </w:r>
      <w:r w:rsidRPr="00283A59">
        <w:t xml:space="preserve">to </w:t>
      </w:r>
      <w:r w:rsidRPr="00782DD2">
        <w:t>average approximately 1.</w:t>
      </w:r>
      <w:r>
        <w:t xml:space="preserve">0 </w:t>
      </w:r>
      <w:r w:rsidRPr="00782DD2">
        <w:t>hours per response calculated as a weighted average of public and State and local, and LEPC agency responses. Burden means the total time, effort, or financial resources expended by</w:t>
      </w:r>
      <w:r w:rsidRPr="00AF066D">
        <w:t xml:space="preserve"> persons to generate, maintain, retain, disclose</w:t>
      </w:r>
      <w:r>
        <w:t>,</w:t>
      </w:r>
      <w:r w:rsidRPr="00AF066D">
        <w:t xml:space="preserve"> or provide information to or for a </w:t>
      </w:r>
      <w:r w:rsidRPr="00AF066D">
        <w:t>Federal</w:t>
      </w:r>
      <w:r w:rsidRPr="00AF066D">
        <w:t xml:space="preserve"> agency. This includes the time needed to review instructions; develop, acquire, install, and utilize technology </w:t>
      </w:r>
      <w:r w:rsidRPr="000322A3">
        <w:t>and systems for the purposes of collecting, validating, and verifying information, processing and maintaining information, and disclosing and providing information; adjust the existing ways to comply with any</w:t>
      </w:r>
      <w:r w:rsidRPr="00383746">
        <w:t xml:space="preserve"> previously applicable instructions and requirements; train personnel to be able to respond to a collection of information; search data sources; complete and review the collection of information; and transmit or otherwise disclose the information.</w:t>
      </w:r>
      <w:r w:rsidRPr="00383746">
        <w:rPr>
          <w:color w:val="000000"/>
        </w:rPr>
        <w:t xml:space="preserve"> An agency may not conduct or sponsor, and a person is not required to respond to, a collection of information unless it displays a currently valid OMB control number. The OMB control numbers for EPA's regulations are listed in 40 CFR part 9 and 48 CFR chapter 15. </w:t>
      </w:r>
    </w:p>
    <w:p w:rsidR="00BB3410" w:rsidRPr="00BB3410" w:rsidP="00D213C4" w14:paraId="02BFB1B4" w14:textId="20D011D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383746">
        <w:t xml:space="preserve">To comment on the Agency's need for this information, the accuracy of the provided burden estimates, and any suggested methods for minimizing respondent burden, including the use of automated </w:t>
      </w:r>
      <w:r w:rsidRPr="00383746">
        <w:t>collection techniques, EPA has established a public docket for this ICR under Docket ID Number EPA-HQ-OAR-2003-0073, which is available for online viewing at www.regulations.gov, or in person viewing at the EPA Docket Center, WJC West, Room 3334, 1301 Constitution Ave., NW, Washington, DC.  The EPA Docket Center Public Reading Room is open from 8:30 a.m. to 4:30 p.m., Monday through Friday, excluding legal holidays. The telephone number for the Reading Room is (202) 566-1744. An electronic version of the public docket is available at www.regulations.gov. This site can be used to submit or view public comments, access the index listing of the contents of the public docket, and to access those documents in the public docket that are available electronically. When in the system, select “search,” then key in the Docket ID Number identified above. Also, you can send comments to the Office of Information and Regulatory Affairs, Office of Management and Budget, 725 17th Street, NW, Washington, D.C. 20503, Attention: Desk Officer for EPA.  Please include the EPA Docket ID Number EPA-HQ-OAR-2003-0073 and OMB Control Number 2050-0172 in any correspondence</w:t>
      </w:r>
      <w:r w:rsidR="00D213C4">
        <w:t>.</w:t>
      </w:r>
    </w:p>
    <w:sectPr w:rsidSect="00C620A5">
      <w:headerReference w:type="default" r:id="rId11"/>
      <w:pgSz w:w="12240" w:h="15840"/>
      <w:pgMar w:top="1440" w:right="1440" w:bottom="1440" w:left="1440"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769C6" w:rsidP="002335AB" w14:paraId="2EBDCF3D" w14:textId="77777777">
      <w:pPr>
        <w:spacing w:after="0" w:line="240" w:lineRule="auto"/>
      </w:pPr>
      <w:r>
        <w:separator/>
      </w:r>
    </w:p>
  </w:footnote>
  <w:footnote w:type="continuationSeparator" w:id="1">
    <w:p w:rsidR="002769C6" w:rsidP="002335AB" w14:paraId="775A0F8E" w14:textId="77777777">
      <w:pPr>
        <w:spacing w:after="0" w:line="240" w:lineRule="auto"/>
      </w:pPr>
      <w:r>
        <w:continuationSeparator/>
      </w:r>
    </w:p>
  </w:footnote>
  <w:footnote w:type="continuationNotice" w:id="2">
    <w:p w:rsidR="002769C6" w14:paraId="6E9BC407" w14:textId="77777777">
      <w:pPr>
        <w:spacing w:after="0" w:line="240" w:lineRule="auto"/>
      </w:pPr>
    </w:p>
  </w:footnote>
  <w:footnote w:id="3">
    <w:p w:rsidR="008A7754" w:rsidRPr="009A709B" w:rsidP="008A7754" w14:paraId="548FF1EC"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rPr>
          <w:sz w:val="20"/>
          <w:szCs w:val="20"/>
        </w:rPr>
      </w:pPr>
      <w:r w:rsidRPr="009A709B">
        <w:rPr>
          <w:rStyle w:val="FootnoteReference"/>
          <w:sz w:val="20"/>
          <w:szCs w:val="20"/>
        </w:rPr>
        <w:footnoteRef/>
      </w:r>
      <w:r w:rsidRPr="0017337D">
        <w:rPr>
          <w:sz w:val="20"/>
          <w:szCs w:val="20"/>
        </w:rPr>
        <w:t>Bureau of Labor Statistics. 2024</w:t>
      </w:r>
      <w:r>
        <w:rPr>
          <w:sz w:val="20"/>
          <w:szCs w:val="20"/>
        </w:rPr>
        <w:t>a</w:t>
      </w:r>
      <w:r w:rsidRPr="0017337D">
        <w:rPr>
          <w:sz w:val="20"/>
          <w:szCs w:val="20"/>
        </w:rPr>
        <w:t>. Employer Costs for Employee Compensation, September 2024. Table 4. Private industry workers by occupational and industry group. Data release December 17, 2024. Available:</w:t>
      </w:r>
      <w:r>
        <w:rPr>
          <w:sz w:val="20"/>
          <w:szCs w:val="20"/>
        </w:rPr>
        <w:t xml:space="preserve"> </w:t>
      </w:r>
      <w:r w:rsidRPr="0017337D">
        <w:rPr>
          <w:sz w:val="20"/>
          <w:szCs w:val="20"/>
        </w:rPr>
        <w:t>https://www.bls.gov/news.release/ecec.t04.htm</w:t>
      </w:r>
      <w:r w:rsidRPr="009A709B">
        <w:rPr>
          <w:color w:val="183061"/>
          <w:sz w:val="20"/>
          <w:szCs w:val="20"/>
        </w:rPr>
        <w:t>.</w:t>
      </w:r>
      <w:r w:rsidRPr="009A709B">
        <w:rPr>
          <w:sz w:val="20"/>
          <w:szCs w:val="20"/>
        </w:rPr>
        <w:t xml:space="preserve"> Note, “Table 4. Employer Costs for Employee Compensation for private industry workers by occupational and industry group”</w:t>
      </w:r>
      <w:r w:rsidRPr="009A709B">
        <w:rPr>
          <w:color w:val="000000"/>
          <w:sz w:val="20"/>
          <w:szCs w:val="20"/>
        </w:rPr>
        <w:t xml:space="preserve"> listed hourly compensation (wages and salaries plus fringe benefits)</w:t>
      </w:r>
      <w:r w:rsidRPr="009A709B">
        <w:rPr>
          <w:sz w:val="20"/>
          <w:szCs w:val="20"/>
        </w:rPr>
        <w:t xml:space="preserve">. </w:t>
      </w:r>
      <w:r w:rsidRPr="009A709B">
        <w:rPr>
          <w:color w:val="000000"/>
          <w:sz w:val="20"/>
          <w:szCs w:val="20"/>
        </w:rPr>
        <w:t>Therefore, the wage rates used in this ICR</w:t>
      </w:r>
      <w:r w:rsidRPr="009A709B">
        <w:rPr>
          <w:sz w:val="20"/>
          <w:szCs w:val="20"/>
        </w:rPr>
        <w:t xml:space="preserve"> </w:t>
      </w:r>
      <w:r w:rsidRPr="009A709B">
        <w:rPr>
          <w:color w:val="000000"/>
          <w:sz w:val="20"/>
          <w:szCs w:val="20"/>
        </w:rPr>
        <w:t>include salaries, fringe benefits, overhead costs</w:t>
      </w:r>
      <w:r>
        <w:rPr>
          <w:color w:val="000000"/>
          <w:sz w:val="20"/>
          <w:szCs w:val="20"/>
        </w:rPr>
        <w:t>,</w:t>
      </w:r>
      <w:r w:rsidRPr="009A709B">
        <w:rPr>
          <w:color w:val="000000"/>
          <w:sz w:val="20"/>
          <w:szCs w:val="20"/>
        </w:rPr>
        <w:t xml:space="preserve"> and general and administrative costs as of </w:t>
      </w:r>
      <w:r>
        <w:rPr>
          <w:color w:val="000000"/>
          <w:sz w:val="20"/>
          <w:szCs w:val="20"/>
        </w:rPr>
        <w:t>September 2024</w:t>
      </w:r>
      <w:r w:rsidRPr="009A709B">
        <w:rPr>
          <w:color w:val="000000"/>
          <w:sz w:val="20"/>
          <w:szCs w:val="20"/>
        </w:rPr>
        <w:t>.</w:t>
      </w:r>
      <w:r w:rsidRPr="009A709B">
        <w:rPr>
          <w:sz w:val="20"/>
          <w:szCs w:val="20"/>
        </w:rPr>
        <w:t xml:space="preserve">  </w:t>
      </w:r>
    </w:p>
  </w:footnote>
  <w:footnote w:id="4">
    <w:p w:rsidR="008A7754" w:rsidP="008A7754" w14:paraId="3140C181" w14:textId="77777777">
      <w:pPr>
        <w:pStyle w:val="FootnoteText"/>
      </w:pPr>
      <w:r w:rsidRPr="009A709B">
        <w:rPr>
          <w:rStyle w:val="FootnoteReference"/>
        </w:rPr>
        <w:footnoteRef/>
      </w:r>
      <w:r w:rsidRPr="009A709B">
        <w:t xml:space="preserve"> </w:t>
      </w:r>
      <w:r w:rsidRPr="0017337D">
        <w:t>Bureau of Labor Statistics. 2024</w:t>
      </w:r>
      <w:r>
        <w:t>b</w:t>
      </w:r>
      <w:r w:rsidRPr="0017337D">
        <w:t xml:space="preserve">. Employer Costs for Employee Compensation, September 2024. </w:t>
      </w:r>
      <w:r>
        <w:t>T</w:t>
      </w:r>
      <w:r w:rsidRPr="00880E8D">
        <w:t>able 3. State and local government workers by occupational and industry group</w:t>
      </w:r>
      <w:r w:rsidRPr="0017337D">
        <w:t xml:space="preserve">. Data release December 17, 2024. </w:t>
      </w:r>
      <w:r w:rsidRPr="0062602D">
        <w:t>Available: https://www.bls.gov/news.release/ecec.t04.htm</w:t>
      </w:r>
      <w:r w:rsidRPr="0062602D">
        <w:rPr>
          <w:color w:val="000000"/>
        </w:rPr>
        <w:t xml:space="preserve"> </w:t>
      </w:r>
      <w:r w:rsidRPr="009A709B">
        <w:t>Note, “Table 3. Employer Costs for Employee Compensation for state and local government workers by occupational and industry group”</w:t>
      </w:r>
      <w:r w:rsidRPr="009A709B">
        <w:rPr>
          <w:color w:val="000000"/>
        </w:rPr>
        <w:t xml:space="preserve"> listed hourly compensation (wages and salaries plus fringe benefits)</w:t>
      </w:r>
      <w:r w:rsidRPr="009A709B">
        <w:t xml:space="preserve">, presents </w:t>
      </w:r>
      <w:r w:rsidRPr="009A709B">
        <w:rPr>
          <w:color w:val="000000"/>
        </w:rPr>
        <w:t>rates for state and local government managerial, technical, and clerical workers. Therefore, the wage rates used in this ICR</w:t>
      </w:r>
      <w:r w:rsidRPr="009A709B">
        <w:t xml:space="preserve"> </w:t>
      </w:r>
      <w:r w:rsidRPr="009A709B">
        <w:rPr>
          <w:color w:val="000000"/>
        </w:rPr>
        <w:t>include salaries, fringe benefits, overhead costs</w:t>
      </w:r>
      <w:r>
        <w:rPr>
          <w:color w:val="000000"/>
        </w:rPr>
        <w:t>,</w:t>
      </w:r>
      <w:r w:rsidRPr="009A709B">
        <w:rPr>
          <w:color w:val="000000"/>
        </w:rPr>
        <w:t xml:space="preserve"> and general and administrative costs as of </w:t>
      </w:r>
      <w:r>
        <w:rPr>
          <w:color w:val="000000"/>
        </w:rPr>
        <w:t>September 2024</w:t>
      </w:r>
      <w:r w:rsidRPr="00FC0796">
        <w:rPr>
          <w:color w:val="000000"/>
          <w:sz w:val="16"/>
          <w:szCs w:val="16"/>
        </w:rPr>
        <w:t>.</w:t>
      </w:r>
      <w:r w:rsidRPr="00FC0796">
        <w:rPr>
          <w:sz w:val="16"/>
          <w:szCs w:val="16"/>
        </w:rPr>
        <w:t xml:space="preserve"> </w:t>
      </w:r>
    </w:p>
  </w:footnote>
  <w:footnote w:id="5">
    <w:p w:rsidR="0020510E" w:rsidRPr="00FA099F" w:rsidP="0020510E" w14:paraId="37708DFB" w14:textId="77777777">
      <w:pPr>
        <w:rPr>
          <w:rFonts w:asciiTheme="majorBidi" w:hAnsiTheme="majorBidi" w:cstheme="majorBidi"/>
          <w:color w:val="000000"/>
          <w:sz w:val="20"/>
          <w:szCs w:val="20"/>
        </w:rPr>
      </w:pPr>
      <w:r w:rsidRPr="00525D56">
        <w:rPr>
          <w:rStyle w:val="FootnoteReference"/>
          <w:rFonts w:asciiTheme="majorBidi" w:hAnsiTheme="majorBidi" w:cstheme="majorBidi"/>
          <w:sz w:val="20"/>
          <w:szCs w:val="20"/>
        </w:rPr>
        <w:footnoteRef/>
      </w:r>
      <w:r w:rsidRPr="00525D56">
        <w:rPr>
          <w:rFonts w:asciiTheme="majorBidi" w:hAnsiTheme="majorBidi" w:cstheme="majorBidi"/>
          <w:sz w:val="20"/>
          <w:szCs w:val="20"/>
          <w:vertAlign w:val="superscript"/>
        </w:rPr>
        <w:t xml:space="preserve"> </w:t>
      </w:r>
      <w:r w:rsidRPr="00525D56">
        <w:rPr>
          <w:rFonts w:asciiTheme="majorBidi" w:hAnsiTheme="majorBidi" w:cstheme="majorBidi"/>
          <w:color w:val="000000"/>
          <w:sz w:val="20"/>
          <w:szCs w:val="20"/>
        </w:rPr>
        <w:t>US Postal Service. 202</w:t>
      </w:r>
      <w:r>
        <w:rPr>
          <w:rFonts w:asciiTheme="majorBidi" w:hAnsiTheme="majorBidi" w:cstheme="majorBidi"/>
          <w:color w:val="000000"/>
          <w:sz w:val="20"/>
          <w:szCs w:val="20"/>
        </w:rPr>
        <w:t>4</w:t>
      </w:r>
      <w:r w:rsidRPr="00525D56">
        <w:rPr>
          <w:rFonts w:asciiTheme="majorBidi" w:hAnsiTheme="majorBidi" w:cstheme="majorBidi"/>
          <w:color w:val="000000"/>
          <w:sz w:val="20"/>
          <w:szCs w:val="20"/>
        </w:rPr>
        <w:t>. The Postal Store.</w:t>
      </w:r>
      <w:r w:rsidRPr="00FA099F">
        <w:rPr>
          <w:rFonts w:asciiTheme="majorBidi" w:hAnsiTheme="majorBidi" w:cstheme="majorBidi"/>
          <w:color w:val="000000"/>
          <w:sz w:val="20"/>
          <w:szCs w:val="20"/>
        </w:rPr>
        <w:t xml:space="preserve"> </w:t>
      </w:r>
      <w:hyperlink r:id="rId1" w:history="1">
        <w:r w:rsidRPr="00FA099F">
          <w:rPr>
            <w:rStyle w:val="Hyperlink"/>
            <w:rFonts w:asciiTheme="majorBidi" w:hAnsiTheme="majorBidi" w:cstheme="majorBidi"/>
            <w:sz w:val="20"/>
            <w:szCs w:val="20"/>
          </w:rPr>
          <w:t>https://store.usps.com/store/results/stamps/_/N-9y93lv</w:t>
        </w:r>
      </w:hyperlink>
    </w:p>
  </w:footnote>
  <w:footnote w:id="6">
    <w:p w:rsidR="0020510E" w:rsidRPr="00FA099F" w:rsidP="0020510E" w14:paraId="7403BA96" w14:textId="77777777">
      <w:pPr>
        <w:pStyle w:val="FootnoteText"/>
      </w:pPr>
      <w:r w:rsidRPr="003062A4">
        <w:rPr>
          <w:rStyle w:val="FootnoteReference"/>
        </w:rPr>
        <w:footnoteRef/>
      </w:r>
      <w:r>
        <w:t xml:space="preserve"> </w:t>
      </w:r>
      <w:r w:rsidRPr="00BF7FBB">
        <w:t>GSA Advantage. 202</w:t>
      </w:r>
      <w:r>
        <w:t>4</w:t>
      </w:r>
      <w:r w:rsidRPr="00BF7FBB">
        <w:t>. Search Results - "R</w:t>
      </w:r>
      <w:r>
        <w:t>ecycled Copy</w:t>
      </w:r>
      <w:r w:rsidRPr="00BF7FBB">
        <w:t xml:space="preserve"> Paper." </w:t>
      </w:r>
      <w:r w:rsidRPr="00BE31EE">
        <w:t>https://www.gsaadvantage.gov/advantage/ws/search/advantage_search?q=0:8recycled%20copy%20paper&amp;db=0&amp;searchType=0</w:t>
      </w:r>
    </w:p>
  </w:footnote>
  <w:footnote w:id="7">
    <w:p w:rsidR="009C41AC" w:rsidP="009C41AC" w14:paraId="0EBBBF45" w14:textId="77777777">
      <w:pPr>
        <w:pStyle w:val="FootnoteText"/>
      </w:pPr>
      <w:r w:rsidRPr="008215E9">
        <w:rPr>
          <w:rStyle w:val="FootnoteReference"/>
        </w:rPr>
        <w:footnoteRef/>
      </w:r>
      <w:r>
        <w:t xml:space="preserve"> </w:t>
      </w:r>
      <w:r w:rsidRPr="008215E9">
        <w:t>U.S. Office of Personnel Management</w:t>
      </w:r>
      <w:r>
        <w:t xml:space="preserve"> (OPM)</w:t>
      </w:r>
      <w:r w:rsidRPr="008215E9">
        <w:t>. 202</w:t>
      </w:r>
      <w:r>
        <w:t>4</w:t>
      </w:r>
      <w:r w:rsidRPr="008215E9">
        <w:t>. SALARY TABLE 202</w:t>
      </w:r>
      <w:r>
        <w:t xml:space="preserve">4 </w:t>
      </w:r>
      <w:r w:rsidRPr="008215E9">
        <w:t>DCB. January 202</w:t>
      </w:r>
      <w:r>
        <w:t>4</w:t>
      </w:r>
      <w:r w:rsidRPr="008215E9">
        <w:t>. Retrieved from: https://www.opm.gov/policy-data-oversight/pay-leave/salaries-wages/salary-tables/pdf/202</w:t>
      </w:r>
      <w:r>
        <w:t>4</w:t>
      </w:r>
      <w:r w:rsidRPr="008215E9">
        <w:t>/DCB_h.pdf</w:t>
      </w:r>
    </w:p>
  </w:footnote>
  <w:footnote w:id="8">
    <w:p w:rsidR="00611031" w:rsidP="00611031" w14:paraId="05F0B608" w14:textId="77777777">
      <w:pPr>
        <w:pStyle w:val="FootnoteText"/>
      </w:pPr>
      <w:r w:rsidRPr="008634AC">
        <w:rPr>
          <w:rStyle w:val="FootnoteReference"/>
        </w:rPr>
        <w:footnoteRef/>
      </w:r>
      <w:r>
        <w:t xml:space="preserve"> </w:t>
      </w:r>
      <w:r w:rsidRPr="00BF7FBB">
        <w:t>GSA Advantage</w:t>
      </w:r>
      <w:r>
        <w:t>, Op. cit.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00A03" w:rsidRPr="00D00A03" w:rsidP="00D00A03" w14:paraId="2939678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C7C0CDCE"/>
    <w:lvl w:ilvl="0">
      <w:start w:val="0"/>
      <w:numFmt w:val="bullet"/>
      <w:lvlText w:val="*"/>
      <w:lvlJc w:val="left"/>
    </w:lvl>
  </w:abstractNum>
  <w:abstractNum w:abstractNumId="1">
    <w:nsid w:val="01903223"/>
    <w:multiLevelType w:val="hybridMultilevel"/>
    <w:tmpl w:val="F8B0FF42"/>
    <w:lvl w:ilvl="0">
      <w:start w:val="2"/>
      <w:numFmt w:val="lowerLetter"/>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
    <w:nsid w:val="04264FD9"/>
    <w:multiLevelType w:val="hybridMultilevel"/>
    <w:tmpl w:val="FDF42D1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54F65C9"/>
    <w:multiLevelType w:val="hybridMultilevel"/>
    <w:tmpl w:val="3D4296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5077397"/>
    <w:multiLevelType w:val="hybridMultilevel"/>
    <w:tmpl w:val="8B3C0F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E1F0975"/>
    <w:multiLevelType w:val="hybridMultilevel"/>
    <w:tmpl w:val="F7BC74E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31D1527F"/>
    <w:multiLevelType w:val="hybridMultilevel"/>
    <w:tmpl w:val="1C88143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34CB7FDC"/>
    <w:multiLevelType w:val="hybridMultilevel"/>
    <w:tmpl w:val="239C821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62913ED"/>
    <w:multiLevelType w:val="hybridMultilevel"/>
    <w:tmpl w:val="2722B66A"/>
    <w:lvl w:ilvl="0">
      <w:start w:val="6"/>
      <w:numFmt w:val="bullet"/>
      <w:lvlText w:val="-"/>
      <w:lvlJc w:val="left"/>
      <w:pPr>
        <w:ind w:left="720" w:hanging="360"/>
      </w:pPr>
      <w:rPr>
        <w:rFonts w:ascii="Calibri" w:hAnsi="Calibri" w:eastAsiaTheme="minorEastAsia"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84D1A38"/>
    <w:multiLevelType w:val="hybridMultilevel"/>
    <w:tmpl w:val="26E44B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8E27A01"/>
    <w:multiLevelType w:val="hybridMultilevel"/>
    <w:tmpl w:val="AB463F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A7014F6"/>
    <w:multiLevelType w:val="hybridMultilevel"/>
    <w:tmpl w:val="BDE48DC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3D00615A"/>
    <w:multiLevelType w:val="hybridMultilevel"/>
    <w:tmpl w:val="244AB73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412610D7"/>
    <w:multiLevelType w:val="hybridMultilevel"/>
    <w:tmpl w:val="56CC27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16D282B"/>
    <w:multiLevelType w:val="hybridMultilevel"/>
    <w:tmpl w:val="89C49D8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4AFE3844"/>
    <w:multiLevelType w:val="hybridMultilevel"/>
    <w:tmpl w:val="98428FD0"/>
    <w:lvl w:ilvl="0">
      <w:start w:val="1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4BFA0529"/>
    <w:multiLevelType w:val="hybridMultilevel"/>
    <w:tmpl w:val="EF32199A"/>
    <w:lvl w:ilvl="0">
      <w:start w:val="1"/>
      <w:numFmt w:val="decimal"/>
      <w:pStyle w:val="EPAHeading2"/>
      <w:lvlText w:val="%1."/>
      <w:lvlJc w:val="left"/>
      <w:pPr>
        <w:ind w:left="360" w:hanging="360"/>
      </w:pPr>
    </w:lvl>
    <w:lvl w:ilvl="1">
      <w:start w:val="16"/>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55C833D8"/>
    <w:multiLevelType w:val="hybridMultilevel"/>
    <w:tmpl w:val="194E2C3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5BD66B84"/>
    <w:multiLevelType w:val="hybridMultilevel"/>
    <w:tmpl w:val="C75480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66813907"/>
    <w:multiLevelType w:val="hybridMultilevel"/>
    <w:tmpl w:val="E8C6B4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69274807"/>
    <w:multiLevelType w:val="hybridMultilevel"/>
    <w:tmpl w:val="D2F6D978"/>
    <w:lvl w:ilvl="0">
      <w:start w:val="16"/>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6B3C3049"/>
    <w:multiLevelType w:val="hybridMultilevel"/>
    <w:tmpl w:val="6B5C28FC"/>
    <w:lvl w:ilvl="0">
      <w:start w:val="1"/>
      <w:numFmt w:val="lowerRoman"/>
      <w:lvlText w:val="(%1)"/>
      <w:lvlJc w:val="left"/>
      <w:pPr>
        <w:ind w:left="716" w:hanging="720"/>
      </w:pPr>
      <w:rPr>
        <w:rFonts w:hint="default"/>
      </w:rPr>
    </w:lvl>
    <w:lvl w:ilvl="1">
      <w:start w:val="1"/>
      <w:numFmt w:val="lowerLetter"/>
      <w:lvlText w:val="%2."/>
      <w:lvlJc w:val="left"/>
      <w:pPr>
        <w:ind w:left="1076" w:hanging="360"/>
      </w:pPr>
    </w:lvl>
    <w:lvl w:ilvl="2" w:tentative="1">
      <w:start w:val="1"/>
      <w:numFmt w:val="lowerRoman"/>
      <w:lvlText w:val="%3."/>
      <w:lvlJc w:val="right"/>
      <w:pPr>
        <w:ind w:left="1796" w:hanging="180"/>
      </w:pPr>
    </w:lvl>
    <w:lvl w:ilvl="3" w:tentative="1">
      <w:start w:val="1"/>
      <w:numFmt w:val="decimal"/>
      <w:lvlText w:val="%4."/>
      <w:lvlJc w:val="left"/>
      <w:pPr>
        <w:ind w:left="2516" w:hanging="360"/>
      </w:pPr>
    </w:lvl>
    <w:lvl w:ilvl="4" w:tentative="1">
      <w:start w:val="1"/>
      <w:numFmt w:val="lowerLetter"/>
      <w:lvlText w:val="%5."/>
      <w:lvlJc w:val="left"/>
      <w:pPr>
        <w:ind w:left="3236" w:hanging="360"/>
      </w:pPr>
    </w:lvl>
    <w:lvl w:ilvl="5" w:tentative="1">
      <w:start w:val="1"/>
      <w:numFmt w:val="lowerRoman"/>
      <w:lvlText w:val="%6."/>
      <w:lvlJc w:val="right"/>
      <w:pPr>
        <w:ind w:left="3956" w:hanging="180"/>
      </w:pPr>
    </w:lvl>
    <w:lvl w:ilvl="6" w:tentative="1">
      <w:start w:val="1"/>
      <w:numFmt w:val="decimal"/>
      <w:lvlText w:val="%7."/>
      <w:lvlJc w:val="left"/>
      <w:pPr>
        <w:ind w:left="4676" w:hanging="360"/>
      </w:pPr>
    </w:lvl>
    <w:lvl w:ilvl="7" w:tentative="1">
      <w:start w:val="1"/>
      <w:numFmt w:val="lowerLetter"/>
      <w:lvlText w:val="%8."/>
      <w:lvlJc w:val="left"/>
      <w:pPr>
        <w:ind w:left="5396" w:hanging="360"/>
      </w:pPr>
    </w:lvl>
    <w:lvl w:ilvl="8" w:tentative="1">
      <w:start w:val="1"/>
      <w:numFmt w:val="lowerRoman"/>
      <w:lvlText w:val="%9."/>
      <w:lvlJc w:val="right"/>
      <w:pPr>
        <w:ind w:left="6116" w:hanging="180"/>
      </w:pPr>
    </w:lvl>
  </w:abstractNum>
  <w:abstractNum w:abstractNumId="22">
    <w:nsid w:val="6C0968ED"/>
    <w:multiLevelType w:val="multilevel"/>
    <w:tmpl w:val="F9249250"/>
    <w:lvl w:ilvl="0">
      <w:start w:val="15"/>
      <w:numFmt w:val="decimal"/>
      <w:lvlText w:val="%1)"/>
      <w:lvlJc w:val="left"/>
      <w:pPr>
        <w:ind w:left="360" w:hanging="360"/>
      </w:pPr>
      <w:rPr>
        <w:rFonts w:hint="default"/>
      </w:rPr>
    </w:lvl>
    <w:lvl w:ilvl="1">
      <w:start w:val="14"/>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6DC6032B"/>
    <w:multiLevelType w:val="hybridMultilevel"/>
    <w:tmpl w:val="5CF82860"/>
    <w:lvl w:ilvl="0">
      <w:start w:val="13"/>
      <w:numFmt w:val="decimal"/>
      <w:lvlText w:val="%1."/>
      <w:lvlJc w:val="left"/>
      <w:pPr>
        <w:ind w:left="356"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71215467"/>
    <w:multiLevelType w:val="hybridMultilevel"/>
    <w:tmpl w:val="540A6BC6"/>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5">
    <w:nsid w:val="72307831"/>
    <w:multiLevelType w:val="multilevel"/>
    <w:tmpl w:val="2D50DCE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5"/>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7DAF68DD"/>
    <w:multiLevelType w:val="hybridMultilevel"/>
    <w:tmpl w:val="4BAEE2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7E33326B"/>
    <w:multiLevelType w:val="hybridMultilevel"/>
    <w:tmpl w:val="69206B4E"/>
    <w:lvl w:ilvl="0">
      <w:start w:val="1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92127513">
    <w:abstractNumId w:val="12"/>
  </w:num>
  <w:num w:numId="2" w16cid:durableId="1032609060">
    <w:abstractNumId w:val="5"/>
  </w:num>
  <w:num w:numId="3" w16cid:durableId="1158494831">
    <w:abstractNumId w:val="3"/>
  </w:num>
  <w:num w:numId="4" w16cid:durableId="493573829">
    <w:abstractNumId w:val="26"/>
  </w:num>
  <w:num w:numId="5" w16cid:durableId="2055687918">
    <w:abstractNumId w:val="17"/>
  </w:num>
  <w:num w:numId="6" w16cid:durableId="1603025219">
    <w:abstractNumId w:val="24"/>
  </w:num>
  <w:num w:numId="7" w16cid:durableId="423957196">
    <w:abstractNumId w:val="15"/>
  </w:num>
  <w:num w:numId="8" w16cid:durableId="2031829208">
    <w:abstractNumId w:val="20"/>
  </w:num>
  <w:num w:numId="9" w16cid:durableId="218439549">
    <w:abstractNumId w:val="8"/>
  </w:num>
  <w:num w:numId="10" w16cid:durableId="1285231924">
    <w:abstractNumId w:val="4"/>
  </w:num>
  <w:num w:numId="11" w16cid:durableId="327370686">
    <w:abstractNumId w:val="7"/>
  </w:num>
  <w:num w:numId="12" w16cid:durableId="1802993385">
    <w:abstractNumId w:val="10"/>
  </w:num>
  <w:num w:numId="13" w16cid:durableId="1792938267">
    <w:abstractNumId w:val="27"/>
  </w:num>
  <w:num w:numId="14" w16cid:durableId="239490726">
    <w:abstractNumId w:val="6"/>
  </w:num>
  <w:num w:numId="15" w16cid:durableId="1395350314">
    <w:abstractNumId w:val="9"/>
  </w:num>
  <w:num w:numId="16" w16cid:durableId="441535906">
    <w:abstractNumId w:val="13"/>
  </w:num>
  <w:num w:numId="17" w16cid:durableId="2008243381">
    <w:abstractNumId w:val="21"/>
  </w:num>
  <w:num w:numId="18" w16cid:durableId="840463183">
    <w:abstractNumId w:val="19"/>
  </w:num>
  <w:num w:numId="19" w16cid:durableId="469980091">
    <w:abstractNumId w:val="23"/>
  </w:num>
  <w:num w:numId="20" w16cid:durableId="2126730031">
    <w:abstractNumId w:val="11"/>
  </w:num>
  <w:num w:numId="21" w16cid:durableId="106124704">
    <w:abstractNumId w:val="2"/>
  </w:num>
  <w:num w:numId="22" w16cid:durableId="1552418013">
    <w:abstractNumId w:val="14"/>
  </w:num>
  <w:num w:numId="23" w16cid:durableId="1598828334">
    <w:abstractNumId w:val="25"/>
  </w:num>
  <w:num w:numId="24" w16cid:durableId="2051031068">
    <w:abstractNumId w:val="1"/>
  </w:num>
  <w:num w:numId="25" w16cid:durableId="258569098">
    <w:abstractNumId w:val="16"/>
  </w:num>
  <w:num w:numId="26" w16cid:durableId="331181582">
    <w:abstractNumId w:val="18"/>
  </w:num>
  <w:num w:numId="27" w16cid:durableId="1015961391">
    <w:abstractNumId w:val="22"/>
  </w:num>
  <w:num w:numId="28" w16cid:durableId="1259101347">
    <w:abstractNumId w:val="0"/>
    <w:lvlOverride w:ilvl="0">
      <w:lvl w:ilvl="0">
        <w:start w:val="0"/>
        <w:numFmt w:val="bullet"/>
        <w:lvlText w:val=""/>
        <w:legacy w:legacy="1" w:legacySpace="0" w:legacyIndent="720"/>
        <w:lvlJc w:val="left"/>
        <w:rPr>
          <w:rFonts w:ascii="Symbol" w:hAnsi="Symbol" w:hint="default"/>
        </w:rPr>
      </w:lvl>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trackedChanges" w:enforcement="0"/>
  <w:defaultTabStop w:val="720"/>
  <w:characterSpacingControl w:val="doNotCompress"/>
  <w:footnotePr>
    <w:footnote w:id="0"/>
    <w:footnote w:id="1"/>
    <w:footnote w:id="2"/>
  </w:footnotePr>
  <w:compat>
    <w:useFELayout/>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609"/>
    <w:rsid w:val="0000050D"/>
    <w:rsid w:val="00000F5D"/>
    <w:rsid w:val="0000329D"/>
    <w:rsid w:val="00003D64"/>
    <w:rsid w:val="000042E9"/>
    <w:rsid w:val="00004678"/>
    <w:rsid w:val="000069C3"/>
    <w:rsid w:val="00006C95"/>
    <w:rsid w:val="00007FB5"/>
    <w:rsid w:val="00010EEE"/>
    <w:rsid w:val="000112BC"/>
    <w:rsid w:val="000129E1"/>
    <w:rsid w:val="00013852"/>
    <w:rsid w:val="00013CE8"/>
    <w:rsid w:val="00014B10"/>
    <w:rsid w:val="00015FF6"/>
    <w:rsid w:val="0001637F"/>
    <w:rsid w:val="00017B90"/>
    <w:rsid w:val="00020791"/>
    <w:rsid w:val="00023727"/>
    <w:rsid w:val="00023EFE"/>
    <w:rsid w:val="000267E1"/>
    <w:rsid w:val="00030670"/>
    <w:rsid w:val="0003166C"/>
    <w:rsid w:val="000322A3"/>
    <w:rsid w:val="00032552"/>
    <w:rsid w:val="00033219"/>
    <w:rsid w:val="00036CF2"/>
    <w:rsid w:val="00037107"/>
    <w:rsid w:val="00042F77"/>
    <w:rsid w:val="0004467E"/>
    <w:rsid w:val="000452DC"/>
    <w:rsid w:val="000461BA"/>
    <w:rsid w:val="00047160"/>
    <w:rsid w:val="00050BB4"/>
    <w:rsid w:val="00051045"/>
    <w:rsid w:val="00053570"/>
    <w:rsid w:val="000544D0"/>
    <w:rsid w:val="0005572E"/>
    <w:rsid w:val="0005629D"/>
    <w:rsid w:val="0005783D"/>
    <w:rsid w:val="00060163"/>
    <w:rsid w:val="0006085E"/>
    <w:rsid w:val="0006128A"/>
    <w:rsid w:val="00061A77"/>
    <w:rsid w:val="00061BCE"/>
    <w:rsid w:val="00063CA7"/>
    <w:rsid w:val="00065167"/>
    <w:rsid w:val="00065411"/>
    <w:rsid w:val="00066059"/>
    <w:rsid w:val="00070074"/>
    <w:rsid w:val="0007205A"/>
    <w:rsid w:val="000728E0"/>
    <w:rsid w:val="00073C3D"/>
    <w:rsid w:val="00074917"/>
    <w:rsid w:val="00074E51"/>
    <w:rsid w:val="00075C7A"/>
    <w:rsid w:val="000762A8"/>
    <w:rsid w:val="00076439"/>
    <w:rsid w:val="00076F0F"/>
    <w:rsid w:val="00077D8A"/>
    <w:rsid w:val="00080EE7"/>
    <w:rsid w:val="00082A72"/>
    <w:rsid w:val="00083D4A"/>
    <w:rsid w:val="00084BF3"/>
    <w:rsid w:val="00090627"/>
    <w:rsid w:val="00090750"/>
    <w:rsid w:val="000911D6"/>
    <w:rsid w:val="00091EB4"/>
    <w:rsid w:val="0009219E"/>
    <w:rsid w:val="000925BD"/>
    <w:rsid w:val="00093C6D"/>
    <w:rsid w:val="00093DC2"/>
    <w:rsid w:val="00094023"/>
    <w:rsid w:val="0009492C"/>
    <w:rsid w:val="00095F01"/>
    <w:rsid w:val="00096646"/>
    <w:rsid w:val="000978FD"/>
    <w:rsid w:val="000A1198"/>
    <w:rsid w:val="000A11F1"/>
    <w:rsid w:val="000A170A"/>
    <w:rsid w:val="000A397C"/>
    <w:rsid w:val="000A4527"/>
    <w:rsid w:val="000A6FCE"/>
    <w:rsid w:val="000B3576"/>
    <w:rsid w:val="000B461B"/>
    <w:rsid w:val="000B592F"/>
    <w:rsid w:val="000B7BBA"/>
    <w:rsid w:val="000C41A7"/>
    <w:rsid w:val="000C43C8"/>
    <w:rsid w:val="000C608D"/>
    <w:rsid w:val="000D17E1"/>
    <w:rsid w:val="000D224E"/>
    <w:rsid w:val="000D251E"/>
    <w:rsid w:val="000D2D5D"/>
    <w:rsid w:val="000D3C22"/>
    <w:rsid w:val="000D45B2"/>
    <w:rsid w:val="000D516A"/>
    <w:rsid w:val="000D5863"/>
    <w:rsid w:val="000D6FA4"/>
    <w:rsid w:val="000E1158"/>
    <w:rsid w:val="000E184B"/>
    <w:rsid w:val="000E19CB"/>
    <w:rsid w:val="000E1DC8"/>
    <w:rsid w:val="000E1FE8"/>
    <w:rsid w:val="000E3298"/>
    <w:rsid w:val="000E348B"/>
    <w:rsid w:val="000E5609"/>
    <w:rsid w:val="000E7DC1"/>
    <w:rsid w:val="000F0186"/>
    <w:rsid w:val="000F29EE"/>
    <w:rsid w:val="000F338A"/>
    <w:rsid w:val="000F3423"/>
    <w:rsid w:val="000F3AC3"/>
    <w:rsid w:val="000F4DBB"/>
    <w:rsid w:val="000F6D04"/>
    <w:rsid w:val="00100432"/>
    <w:rsid w:val="00100499"/>
    <w:rsid w:val="00100BF7"/>
    <w:rsid w:val="00100FA6"/>
    <w:rsid w:val="00101362"/>
    <w:rsid w:val="0010158E"/>
    <w:rsid w:val="0010258D"/>
    <w:rsid w:val="00102EE5"/>
    <w:rsid w:val="00103DD8"/>
    <w:rsid w:val="00105F52"/>
    <w:rsid w:val="00106C2C"/>
    <w:rsid w:val="00107505"/>
    <w:rsid w:val="00111663"/>
    <w:rsid w:val="00112360"/>
    <w:rsid w:val="00112675"/>
    <w:rsid w:val="001132F2"/>
    <w:rsid w:val="001141DA"/>
    <w:rsid w:val="00116064"/>
    <w:rsid w:val="001172FE"/>
    <w:rsid w:val="00117FE1"/>
    <w:rsid w:val="0013006A"/>
    <w:rsid w:val="00130CF9"/>
    <w:rsid w:val="001310E0"/>
    <w:rsid w:val="001324E7"/>
    <w:rsid w:val="00132921"/>
    <w:rsid w:val="001329B3"/>
    <w:rsid w:val="00134DB1"/>
    <w:rsid w:val="001355F5"/>
    <w:rsid w:val="00135EAD"/>
    <w:rsid w:val="00136237"/>
    <w:rsid w:val="00137EB8"/>
    <w:rsid w:val="00141589"/>
    <w:rsid w:val="00145DAE"/>
    <w:rsid w:val="00147B68"/>
    <w:rsid w:val="0015084F"/>
    <w:rsid w:val="00152A80"/>
    <w:rsid w:val="0015428A"/>
    <w:rsid w:val="00160461"/>
    <w:rsid w:val="00161846"/>
    <w:rsid w:val="001636DA"/>
    <w:rsid w:val="00163C69"/>
    <w:rsid w:val="00164169"/>
    <w:rsid w:val="00166B27"/>
    <w:rsid w:val="00167AE9"/>
    <w:rsid w:val="00170329"/>
    <w:rsid w:val="00170689"/>
    <w:rsid w:val="00170EB8"/>
    <w:rsid w:val="00171DC0"/>
    <w:rsid w:val="0017337D"/>
    <w:rsid w:val="00173422"/>
    <w:rsid w:val="00173E50"/>
    <w:rsid w:val="00176BA8"/>
    <w:rsid w:val="001775F3"/>
    <w:rsid w:val="00180511"/>
    <w:rsid w:val="00184011"/>
    <w:rsid w:val="00185251"/>
    <w:rsid w:val="0019149E"/>
    <w:rsid w:val="00191826"/>
    <w:rsid w:val="0019182F"/>
    <w:rsid w:val="00191C72"/>
    <w:rsid w:val="001925B3"/>
    <w:rsid w:val="0019580A"/>
    <w:rsid w:val="00195BEB"/>
    <w:rsid w:val="00197A23"/>
    <w:rsid w:val="001A20B0"/>
    <w:rsid w:val="001A21A7"/>
    <w:rsid w:val="001A3351"/>
    <w:rsid w:val="001A53A7"/>
    <w:rsid w:val="001A5B79"/>
    <w:rsid w:val="001A6E7B"/>
    <w:rsid w:val="001A76B3"/>
    <w:rsid w:val="001A7DEF"/>
    <w:rsid w:val="001B1773"/>
    <w:rsid w:val="001B1962"/>
    <w:rsid w:val="001B2D25"/>
    <w:rsid w:val="001B3E10"/>
    <w:rsid w:val="001B4565"/>
    <w:rsid w:val="001B46D7"/>
    <w:rsid w:val="001B4BEC"/>
    <w:rsid w:val="001B739E"/>
    <w:rsid w:val="001B7B47"/>
    <w:rsid w:val="001C0151"/>
    <w:rsid w:val="001C260A"/>
    <w:rsid w:val="001C2D48"/>
    <w:rsid w:val="001C3106"/>
    <w:rsid w:val="001C3D5A"/>
    <w:rsid w:val="001C4634"/>
    <w:rsid w:val="001C6741"/>
    <w:rsid w:val="001C7470"/>
    <w:rsid w:val="001C7D52"/>
    <w:rsid w:val="001D01BB"/>
    <w:rsid w:val="001D1A2F"/>
    <w:rsid w:val="001D294E"/>
    <w:rsid w:val="001D47F8"/>
    <w:rsid w:val="001D4CDC"/>
    <w:rsid w:val="001D4D40"/>
    <w:rsid w:val="001D4F2F"/>
    <w:rsid w:val="001D51D8"/>
    <w:rsid w:val="001D5CED"/>
    <w:rsid w:val="001E0924"/>
    <w:rsid w:val="001E211E"/>
    <w:rsid w:val="001E3A31"/>
    <w:rsid w:val="001E3DC5"/>
    <w:rsid w:val="001E43D7"/>
    <w:rsid w:val="001E534A"/>
    <w:rsid w:val="001E548A"/>
    <w:rsid w:val="001E601A"/>
    <w:rsid w:val="001E6E50"/>
    <w:rsid w:val="001E7480"/>
    <w:rsid w:val="001E74E1"/>
    <w:rsid w:val="001F0834"/>
    <w:rsid w:val="001F0D3B"/>
    <w:rsid w:val="001F1600"/>
    <w:rsid w:val="001F1A52"/>
    <w:rsid w:val="001F1F14"/>
    <w:rsid w:val="001F34A5"/>
    <w:rsid w:val="001F370A"/>
    <w:rsid w:val="001F5541"/>
    <w:rsid w:val="001F75D9"/>
    <w:rsid w:val="001F7B1A"/>
    <w:rsid w:val="001F7DF2"/>
    <w:rsid w:val="002005D2"/>
    <w:rsid w:val="0020142E"/>
    <w:rsid w:val="00201886"/>
    <w:rsid w:val="0020510E"/>
    <w:rsid w:val="002064A4"/>
    <w:rsid w:val="00210F2E"/>
    <w:rsid w:val="00211627"/>
    <w:rsid w:val="0021345A"/>
    <w:rsid w:val="00213AE6"/>
    <w:rsid w:val="00216C6A"/>
    <w:rsid w:val="00220258"/>
    <w:rsid w:val="00222530"/>
    <w:rsid w:val="0022259D"/>
    <w:rsid w:val="0022416D"/>
    <w:rsid w:val="00224BB3"/>
    <w:rsid w:val="00224D61"/>
    <w:rsid w:val="00224F14"/>
    <w:rsid w:val="00226D49"/>
    <w:rsid w:val="0022710C"/>
    <w:rsid w:val="002272EE"/>
    <w:rsid w:val="00227759"/>
    <w:rsid w:val="00230F45"/>
    <w:rsid w:val="00233342"/>
    <w:rsid w:val="002335AB"/>
    <w:rsid w:val="00234B8D"/>
    <w:rsid w:val="00235E79"/>
    <w:rsid w:val="002360BC"/>
    <w:rsid w:val="00240F23"/>
    <w:rsid w:val="0024175E"/>
    <w:rsid w:val="002420F2"/>
    <w:rsid w:val="00244BBC"/>
    <w:rsid w:val="002455F0"/>
    <w:rsid w:val="0024599B"/>
    <w:rsid w:val="00246A7E"/>
    <w:rsid w:val="00247198"/>
    <w:rsid w:val="0025051F"/>
    <w:rsid w:val="00251151"/>
    <w:rsid w:val="00251B35"/>
    <w:rsid w:val="00252A4E"/>
    <w:rsid w:val="0025319A"/>
    <w:rsid w:val="0025617C"/>
    <w:rsid w:val="0026050F"/>
    <w:rsid w:val="00260FB7"/>
    <w:rsid w:val="00263821"/>
    <w:rsid w:val="00264655"/>
    <w:rsid w:val="002648CF"/>
    <w:rsid w:val="00265FE7"/>
    <w:rsid w:val="00267002"/>
    <w:rsid w:val="00270940"/>
    <w:rsid w:val="002769C6"/>
    <w:rsid w:val="00277A03"/>
    <w:rsid w:val="00282EFF"/>
    <w:rsid w:val="002833E4"/>
    <w:rsid w:val="0028340E"/>
    <w:rsid w:val="00283764"/>
    <w:rsid w:val="00283A59"/>
    <w:rsid w:val="00283AE9"/>
    <w:rsid w:val="00283C66"/>
    <w:rsid w:val="002847BB"/>
    <w:rsid w:val="00285249"/>
    <w:rsid w:val="00285782"/>
    <w:rsid w:val="00285A68"/>
    <w:rsid w:val="00286FA0"/>
    <w:rsid w:val="00287F94"/>
    <w:rsid w:val="00290BEB"/>
    <w:rsid w:val="00291493"/>
    <w:rsid w:val="00291589"/>
    <w:rsid w:val="0029581D"/>
    <w:rsid w:val="0029755D"/>
    <w:rsid w:val="002A43D0"/>
    <w:rsid w:val="002A6075"/>
    <w:rsid w:val="002A676B"/>
    <w:rsid w:val="002A6E4E"/>
    <w:rsid w:val="002A774D"/>
    <w:rsid w:val="002A7860"/>
    <w:rsid w:val="002A78D3"/>
    <w:rsid w:val="002B0036"/>
    <w:rsid w:val="002B4615"/>
    <w:rsid w:val="002B7383"/>
    <w:rsid w:val="002B7428"/>
    <w:rsid w:val="002B77A2"/>
    <w:rsid w:val="002C0623"/>
    <w:rsid w:val="002C1434"/>
    <w:rsid w:val="002C1646"/>
    <w:rsid w:val="002C1E3E"/>
    <w:rsid w:val="002C4713"/>
    <w:rsid w:val="002C7DDE"/>
    <w:rsid w:val="002D3E1A"/>
    <w:rsid w:val="002D47AF"/>
    <w:rsid w:val="002E0316"/>
    <w:rsid w:val="002E0999"/>
    <w:rsid w:val="002E1A45"/>
    <w:rsid w:val="002E1C94"/>
    <w:rsid w:val="002E2569"/>
    <w:rsid w:val="002E3C59"/>
    <w:rsid w:val="002E4780"/>
    <w:rsid w:val="002E5BAD"/>
    <w:rsid w:val="002E6047"/>
    <w:rsid w:val="002E6D1D"/>
    <w:rsid w:val="002E7A6A"/>
    <w:rsid w:val="002F0614"/>
    <w:rsid w:val="002F077A"/>
    <w:rsid w:val="002F10BE"/>
    <w:rsid w:val="002F13DA"/>
    <w:rsid w:val="002F15EB"/>
    <w:rsid w:val="002F3CE0"/>
    <w:rsid w:val="002F6A76"/>
    <w:rsid w:val="003005BB"/>
    <w:rsid w:val="00303DE5"/>
    <w:rsid w:val="00304842"/>
    <w:rsid w:val="00307411"/>
    <w:rsid w:val="00310FDB"/>
    <w:rsid w:val="00312370"/>
    <w:rsid w:val="00312F28"/>
    <w:rsid w:val="003132A5"/>
    <w:rsid w:val="00313941"/>
    <w:rsid w:val="00316194"/>
    <w:rsid w:val="003169B4"/>
    <w:rsid w:val="00316BE6"/>
    <w:rsid w:val="00317844"/>
    <w:rsid w:val="00317A6C"/>
    <w:rsid w:val="00317D89"/>
    <w:rsid w:val="003224B7"/>
    <w:rsid w:val="00322A16"/>
    <w:rsid w:val="003233D3"/>
    <w:rsid w:val="0032350D"/>
    <w:rsid w:val="00323E74"/>
    <w:rsid w:val="00324F21"/>
    <w:rsid w:val="003256A4"/>
    <w:rsid w:val="00330B87"/>
    <w:rsid w:val="00331168"/>
    <w:rsid w:val="0033211D"/>
    <w:rsid w:val="00333489"/>
    <w:rsid w:val="00334430"/>
    <w:rsid w:val="00335582"/>
    <w:rsid w:val="00340209"/>
    <w:rsid w:val="00342DB5"/>
    <w:rsid w:val="00343CEF"/>
    <w:rsid w:val="00344CB0"/>
    <w:rsid w:val="003467C8"/>
    <w:rsid w:val="00347C3C"/>
    <w:rsid w:val="0035079F"/>
    <w:rsid w:val="003527C1"/>
    <w:rsid w:val="00352C25"/>
    <w:rsid w:val="00355838"/>
    <w:rsid w:val="003565B6"/>
    <w:rsid w:val="0035687D"/>
    <w:rsid w:val="00356A66"/>
    <w:rsid w:val="00357418"/>
    <w:rsid w:val="00360B75"/>
    <w:rsid w:val="00361737"/>
    <w:rsid w:val="003620D2"/>
    <w:rsid w:val="00362EC3"/>
    <w:rsid w:val="00363F41"/>
    <w:rsid w:val="00366D56"/>
    <w:rsid w:val="00367871"/>
    <w:rsid w:val="00367DAD"/>
    <w:rsid w:val="00367E40"/>
    <w:rsid w:val="0037342A"/>
    <w:rsid w:val="00373CC8"/>
    <w:rsid w:val="00374E24"/>
    <w:rsid w:val="00375E2A"/>
    <w:rsid w:val="00376609"/>
    <w:rsid w:val="0038330C"/>
    <w:rsid w:val="00383746"/>
    <w:rsid w:val="003856DC"/>
    <w:rsid w:val="003901B8"/>
    <w:rsid w:val="0039389B"/>
    <w:rsid w:val="003A1D0D"/>
    <w:rsid w:val="003A38FB"/>
    <w:rsid w:val="003A41A0"/>
    <w:rsid w:val="003A6BEF"/>
    <w:rsid w:val="003B04B9"/>
    <w:rsid w:val="003B0A8F"/>
    <w:rsid w:val="003B153D"/>
    <w:rsid w:val="003B2BA8"/>
    <w:rsid w:val="003B4D4F"/>
    <w:rsid w:val="003C0DBC"/>
    <w:rsid w:val="003C2B04"/>
    <w:rsid w:val="003C321D"/>
    <w:rsid w:val="003C5631"/>
    <w:rsid w:val="003C68C2"/>
    <w:rsid w:val="003C6CE9"/>
    <w:rsid w:val="003D0044"/>
    <w:rsid w:val="003D06CD"/>
    <w:rsid w:val="003D0C03"/>
    <w:rsid w:val="003D1457"/>
    <w:rsid w:val="003D23D5"/>
    <w:rsid w:val="003D29E8"/>
    <w:rsid w:val="003D2F77"/>
    <w:rsid w:val="003D3498"/>
    <w:rsid w:val="003D598C"/>
    <w:rsid w:val="003D5B1C"/>
    <w:rsid w:val="003D7167"/>
    <w:rsid w:val="003D7919"/>
    <w:rsid w:val="003D7B2A"/>
    <w:rsid w:val="003E133B"/>
    <w:rsid w:val="003E4B7A"/>
    <w:rsid w:val="003E5AAE"/>
    <w:rsid w:val="003E5D61"/>
    <w:rsid w:val="003E7E56"/>
    <w:rsid w:val="003F0A11"/>
    <w:rsid w:val="003F36DC"/>
    <w:rsid w:val="003F5429"/>
    <w:rsid w:val="003F639F"/>
    <w:rsid w:val="003F6664"/>
    <w:rsid w:val="003F72BB"/>
    <w:rsid w:val="00401C79"/>
    <w:rsid w:val="00402C51"/>
    <w:rsid w:val="00403FAB"/>
    <w:rsid w:val="00404886"/>
    <w:rsid w:val="00405B61"/>
    <w:rsid w:val="0040643E"/>
    <w:rsid w:val="004064AA"/>
    <w:rsid w:val="004113CD"/>
    <w:rsid w:val="00412B2A"/>
    <w:rsid w:val="00414BB8"/>
    <w:rsid w:val="00415248"/>
    <w:rsid w:val="00415988"/>
    <w:rsid w:val="00417612"/>
    <w:rsid w:val="0042383B"/>
    <w:rsid w:val="0042409F"/>
    <w:rsid w:val="00424DDE"/>
    <w:rsid w:val="00424F93"/>
    <w:rsid w:val="004252C1"/>
    <w:rsid w:val="0042541E"/>
    <w:rsid w:val="00426D9B"/>
    <w:rsid w:val="00427079"/>
    <w:rsid w:val="00427C1F"/>
    <w:rsid w:val="004306A8"/>
    <w:rsid w:val="00430EDC"/>
    <w:rsid w:val="00431D3F"/>
    <w:rsid w:val="00432AC2"/>
    <w:rsid w:val="0043515D"/>
    <w:rsid w:val="004369B5"/>
    <w:rsid w:val="00436FD0"/>
    <w:rsid w:val="004415F7"/>
    <w:rsid w:val="00441783"/>
    <w:rsid w:val="004420DA"/>
    <w:rsid w:val="00444707"/>
    <w:rsid w:val="004455F6"/>
    <w:rsid w:val="00445751"/>
    <w:rsid w:val="004468C2"/>
    <w:rsid w:val="00446B8D"/>
    <w:rsid w:val="00450C44"/>
    <w:rsid w:val="00453E26"/>
    <w:rsid w:val="00456E33"/>
    <w:rsid w:val="00457A94"/>
    <w:rsid w:val="00457BDF"/>
    <w:rsid w:val="004600ED"/>
    <w:rsid w:val="004620CA"/>
    <w:rsid w:val="00463285"/>
    <w:rsid w:val="00464181"/>
    <w:rsid w:val="00465846"/>
    <w:rsid w:val="00466349"/>
    <w:rsid w:val="00466B43"/>
    <w:rsid w:val="00470E22"/>
    <w:rsid w:val="00472D33"/>
    <w:rsid w:val="00472F70"/>
    <w:rsid w:val="00475BA6"/>
    <w:rsid w:val="00477D70"/>
    <w:rsid w:val="004831CC"/>
    <w:rsid w:val="00485567"/>
    <w:rsid w:val="004855BE"/>
    <w:rsid w:val="00486860"/>
    <w:rsid w:val="00491CC3"/>
    <w:rsid w:val="00491ED9"/>
    <w:rsid w:val="00495623"/>
    <w:rsid w:val="00496DCB"/>
    <w:rsid w:val="00496F19"/>
    <w:rsid w:val="0049718B"/>
    <w:rsid w:val="004A0C7A"/>
    <w:rsid w:val="004A247B"/>
    <w:rsid w:val="004A2646"/>
    <w:rsid w:val="004A284B"/>
    <w:rsid w:val="004A2961"/>
    <w:rsid w:val="004A2CDE"/>
    <w:rsid w:val="004A2FB2"/>
    <w:rsid w:val="004A3ABF"/>
    <w:rsid w:val="004A4B8D"/>
    <w:rsid w:val="004A5B46"/>
    <w:rsid w:val="004A6B13"/>
    <w:rsid w:val="004B0167"/>
    <w:rsid w:val="004B3AF1"/>
    <w:rsid w:val="004B5384"/>
    <w:rsid w:val="004B710E"/>
    <w:rsid w:val="004C17A6"/>
    <w:rsid w:val="004C43EA"/>
    <w:rsid w:val="004C4445"/>
    <w:rsid w:val="004C53AD"/>
    <w:rsid w:val="004C6291"/>
    <w:rsid w:val="004C65F0"/>
    <w:rsid w:val="004C680C"/>
    <w:rsid w:val="004C6EC4"/>
    <w:rsid w:val="004C7205"/>
    <w:rsid w:val="004D0275"/>
    <w:rsid w:val="004D59E6"/>
    <w:rsid w:val="004D5E8D"/>
    <w:rsid w:val="004D6404"/>
    <w:rsid w:val="004E1414"/>
    <w:rsid w:val="004E1D45"/>
    <w:rsid w:val="004E336F"/>
    <w:rsid w:val="004E3CB0"/>
    <w:rsid w:val="004E5457"/>
    <w:rsid w:val="004E5A83"/>
    <w:rsid w:val="004E7F0A"/>
    <w:rsid w:val="004F05F2"/>
    <w:rsid w:val="004F106A"/>
    <w:rsid w:val="004F1136"/>
    <w:rsid w:val="004F1426"/>
    <w:rsid w:val="004F3C8A"/>
    <w:rsid w:val="004F4340"/>
    <w:rsid w:val="004F4CDB"/>
    <w:rsid w:val="004F4FB5"/>
    <w:rsid w:val="004F4FDD"/>
    <w:rsid w:val="004F6CF4"/>
    <w:rsid w:val="0050085E"/>
    <w:rsid w:val="005016D0"/>
    <w:rsid w:val="00501DE1"/>
    <w:rsid w:val="005024CE"/>
    <w:rsid w:val="00502BAA"/>
    <w:rsid w:val="005044BE"/>
    <w:rsid w:val="00504949"/>
    <w:rsid w:val="00506171"/>
    <w:rsid w:val="00506239"/>
    <w:rsid w:val="005062F5"/>
    <w:rsid w:val="00510C48"/>
    <w:rsid w:val="005119F4"/>
    <w:rsid w:val="00511DDD"/>
    <w:rsid w:val="00511FB8"/>
    <w:rsid w:val="00512F2D"/>
    <w:rsid w:val="00513479"/>
    <w:rsid w:val="00515993"/>
    <w:rsid w:val="00517F46"/>
    <w:rsid w:val="00520209"/>
    <w:rsid w:val="0052076B"/>
    <w:rsid w:val="00524059"/>
    <w:rsid w:val="00524411"/>
    <w:rsid w:val="005248BE"/>
    <w:rsid w:val="00525D56"/>
    <w:rsid w:val="005263EC"/>
    <w:rsid w:val="00526DFC"/>
    <w:rsid w:val="00527EB0"/>
    <w:rsid w:val="005303CA"/>
    <w:rsid w:val="00530DF8"/>
    <w:rsid w:val="00531CA7"/>
    <w:rsid w:val="005324A6"/>
    <w:rsid w:val="005346D7"/>
    <w:rsid w:val="00535D3D"/>
    <w:rsid w:val="00536768"/>
    <w:rsid w:val="005372F7"/>
    <w:rsid w:val="00537322"/>
    <w:rsid w:val="00542227"/>
    <w:rsid w:val="005424B5"/>
    <w:rsid w:val="00542CEE"/>
    <w:rsid w:val="00542D98"/>
    <w:rsid w:val="00546097"/>
    <w:rsid w:val="00546B65"/>
    <w:rsid w:val="00546EA5"/>
    <w:rsid w:val="00546FB4"/>
    <w:rsid w:val="005519F6"/>
    <w:rsid w:val="00552A7B"/>
    <w:rsid w:val="00552BE0"/>
    <w:rsid w:val="005544CE"/>
    <w:rsid w:val="00554865"/>
    <w:rsid w:val="0055616B"/>
    <w:rsid w:val="00556D62"/>
    <w:rsid w:val="00557E8F"/>
    <w:rsid w:val="005609B4"/>
    <w:rsid w:val="00560A26"/>
    <w:rsid w:val="005636FA"/>
    <w:rsid w:val="0056373A"/>
    <w:rsid w:val="00564A1B"/>
    <w:rsid w:val="00564BF4"/>
    <w:rsid w:val="00565A5E"/>
    <w:rsid w:val="0056642D"/>
    <w:rsid w:val="00566F71"/>
    <w:rsid w:val="00567874"/>
    <w:rsid w:val="00570ED7"/>
    <w:rsid w:val="00571C92"/>
    <w:rsid w:val="00571D24"/>
    <w:rsid w:val="005723B9"/>
    <w:rsid w:val="005726BA"/>
    <w:rsid w:val="0057299B"/>
    <w:rsid w:val="00574C83"/>
    <w:rsid w:val="00580D7F"/>
    <w:rsid w:val="005810DF"/>
    <w:rsid w:val="00582B72"/>
    <w:rsid w:val="00583101"/>
    <w:rsid w:val="005836B3"/>
    <w:rsid w:val="00584D72"/>
    <w:rsid w:val="0058662D"/>
    <w:rsid w:val="005900C3"/>
    <w:rsid w:val="005905BE"/>
    <w:rsid w:val="00590A21"/>
    <w:rsid w:val="005932EC"/>
    <w:rsid w:val="005953A2"/>
    <w:rsid w:val="005966D8"/>
    <w:rsid w:val="0059769C"/>
    <w:rsid w:val="005A0F75"/>
    <w:rsid w:val="005A129A"/>
    <w:rsid w:val="005A35B4"/>
    <w:rsid w:val="005A422E"/>
    <w:rsid w:val="005A7235"/>
    <w:rsid w:val="005A72AE"/>
    <w:rsid w:val="005A7BA6"/>
    <w:rsid w:val="005B499E"/>
    <w:rsid w:val="005B6A8D"/>
    <w:rsid w:val="005C195D"/>
    <w:rsid w:val="005C2031"/>
    <w:rsid w:val="005C7CE1"/>
    <w:rsid w:val="005D0ACB"/>
    <w:rsid w:val="005D140B"/>
    <w:rsid w:val="005D1C36"/>
    <w:rsid w:val="005D1F2E"/>
    <w:rsid w:val="005D2654"/>
    <w:rsid w:val="005D2B53"/>
    <w:rsid w:val="005D2DB3"/>
    <w:rsid w:val="005D2E6F"/>
    <w:rsid w:val="005D5624"/>
    <w:rsid w:val="005D5865"/>
    <w:rsid w:val="005D5F1D"/>
    <w:rsid w:val="005E03A2"/>
    <w:rsid w:val="005E35C4"/>
    <w:rsid w:val="005E4A7B"/>
    <w:rsid w:val="005E588F"/>
    <w:rsid w:val="005E5BEC"/>
    <w:rsid w:val="005E5D2D"/>
    <w:rsid w:val="005E6FAB"/>
    <w:rsid w:val="005E77FE"/>
    <w:rsid w:val="005E786A"/>
    <w:rsid w:val="005F0924"/>
    <w:rsid w:val="005F1234"/>
    <w:rsid w:val="005F13AA"/>
    <w:rsid w:val="005F484B"/>
    <w:rsid w:val="005F5D81"/>
    <w:rsid w:val="006001F8"/>
    <w:rsid w:val="00601B3B"/>
    <w:rsid w:val="00602636"/>
    <w:rsid w:val="00602E17"/>
    <w:rsid w:val="006036CD"/>
    <w:rsid w:val="00603CAA"/>
    <w:rsid w:val="00603CC1"/>
    <w:rsid w:val="0060451D"/>
    <w:rsid w:val="00604681"/>
    <w:rsid w:val="00604D35"/>
    <w:rsid w:val="0060549C"/>
    <w:rsid w:val="006071E2"/>
    <w:rsid w:val="0060750F"/>
    <w:rsid w:val="006079C2"/>
    <w:rsid w:val="00611031"/>
    <w:rsid w:val="00611426"/>
    <w:rsid w:val="00613362"/>
    <w:rsid w:val="0061458A"/>
    <w:rsid w:val="00614CFF"/>
    <w:rsid w:val="006150A3"/>
    <w:rsid w:val="006161DD"/>
    <w:rsid w:val="0061689C"/>
    <w:rsid w:val="00616F6F"/>
    <w:rsid w:val="006210DF"/>
    <w:rsid w:val="0062163B"/>
    <w:rsid w:val="00622434"/>
    <w:rsid w:val="00622500"/>
    <w:rsid w:val="00622738"/>
    <w:rsid w:val="00623817"/>
    <w:rsid w:val="00624119"/>
    <w:rsid w:val="006247DB"/>
    <w:rsid w:val="00624BE7"/>
    <w:rsid w:val="0062570F"/>
    <w:rsid w:val="0062602D"/>
    <w:rsid w:val="006262C0"/>
    <w:rsid w:val="00627768"/>
    <w:rsid w:val="00632CD6"/>
    <w:rsid w:val="00635E63"/>
    <w:rsid w:val="006364B9"/>
    <w:rsid w:val="00637244"/>
    <w:rsid w:val="00640646"/>
    <w:rsid w:val="006406C5"/>
    <w:rsid w:val="00640DB6"/>
    <w:rsid w:val="00642467"/>
    <w:rsid w:val="00642D76"/>
    <w:rsid w:val="00642EAC"/>
    <w:rsid w:val="00643FF8"/>
    <w:rsid w:val="00644EBE"/>
    <w:rsid w:val="00645B0D"/>
    <w:rsid w:val="00651606"/>
    <w:rsid w:val="0065161C"/>
    <w:rsid w:val="00652B35"/>
    <w:rsid w:val="00652EE5"/>
    <w:rsid w:val="0065454C"/>
    <w:rsid w:val="00660027"/>
    <w:rsid w:val="00660B98"/>
    <w:rsid w:val="00665EAF"/>
    <w:rsid w:val="00666566"/>
    <w:rsid w:val="00666D5A"/>
    <w:rsid w:val="00670897"/>
    <w:rsid w:val="00672A20"/>
    <w:rsid w:val="006737EC"/>
    <w:rsid w:val="006739CE"/>
    <w:rsid w:val="00680F71"/>
    <w:rsid w:val="0068304A"/>
    <w:rsid w:val="00683207"/>
    <w:rsid w:val="00686D59"/>
    <w:rsid w:val="00687254"/>
    <w:rsid w:val="00687583"/>
    <w:rsid w:val="00691828"/>
    <w:rsid w:val="00691A07"/>
    <w:rsid w:val="00692B88"/>
    <w:rsid w:val="00693D40"/>
    <w:rsid w:val="00695510"/>
    <w:rsid w:val="00695AAA"/>
    <w:rsid w:val="006971C6"/>
    <w:rsid w:val="00697598"/>
    <w:rsid w:val="006A01ED"/>
    <w:rsid w:val="006A173F"/>
    <w:rsid w:val="006A1AC5"/>
    <w:rsid w:val="006A231D"/>
    <w:rsid w:val="006A29EB"/>
    <w:rsid w:val="006A6EDB"/>
    <w:rsid w:val="006B102F"/>
    <w:rsid w:val="006B15F9"/>
    <w:rsid w:val="006B18D6"/>
    <w:rsid w:val="006B20E9"/>
    <w:rsid w:val="006B2749"/>
    <w:rsid w:val="006B42B0"/>
    <w:rsid w:val="006B490F"/>
    <w:rsid w:val="006B57A3"/>
    <w:rsid w:val="006B58DB"/>
    <w:rsid w:val="006B6448"/>
    <w:rsid w:val="006B6B7D"/>
    <w:rsid w:val="006B738C"/>
    <w:rsid w:val="006B770D"/>
    <w:rsid w:val="006C1677"/>
    <w:rsid w:val="006C4CAA"/>
    <w:rsid w:val="006C5E68"/>
    <w:rsid w:val="006C68A7"/>
    <w:rsid w:val="006C780F"/>
    <w:rsid w:val="006C79DB"/>
    <w:rsid w:val="006D09D6"/>
    <w:rsid w:val="006D1400"/>
    <w:rsid w:val="006D419B"/>
    <w:rsid w:val="006D7A1A"/>
    <w:rsid w:val="006E009D"/>
    <w:rsid w:val="006E0122"/>
    <w:rsid w:val="006E0960"/>
    <w:rsid w:val="006E116F"/>
    <w:rsid w:val="006E13FF"/>
    <w:rsid w:val="006E197A"/>
    <w:rsid w:val="006E1DC0"/>
    <w:rsid w:val="006E4817"/>
    <w:rsid w:val="006E60A2"/>
    <w:rsid w:val="006E6819"/>
    <w:rsid w:val="006E6A2C"/>
    <w:rsid w:val="006E6C7E"/>
    <w:rsid w:val="006E7D37"/>
    <w:rsid w:val="006F1F1D"/>
    <w:rsid w:val="006F3A74"/>
    <w:rsid w:val="006F4946"/>
    <w:rsid w:val="006F7323"/>
    <w:rsid w:val="00700983"/>
    <w:rsid w:val="007020F8"/>
    <w:rsid w:val="007029CB"/>
    <w:rsid w:val="00702E91"/>
    <w:rsid w:val="00702F36"/>
    <w:rsid w:val="00703FEF"/>
    <w:rsid w:val="00704459"/>
    <w:rsid w:val="007045C4"/>
    <w:rsid w:val="00704CBA"/>
    <w:rsid w:val="00706B15"/>
    <w:rsid w:val="00706F41"/>
    <w:rsid w:val="00710A21"/>
    <w:rsid w:val="00712749"/>
    <w:rsid w:val="007128E1"/>
    <w:rsid w:val="007139DB"/>
    <w:rsid w:val="00714D14"/>
    <w:rsid w:val="00714E66"/>
    <w:rsid w:val="007167A3"/>
    <w:rsid w:val="00716971"/>
    <w:rsid w:val="00716CE1"/>
    <w:rsid w:val="00716D1D"/>
    <w:rsid w:val="00724442"/>
    <w:rsid w:val="00724815"/>
    <w:rsid w:val="00726EFA"/>
    <w:rsid w:val="007279D9"/>
    <w:rsid w:val="00732759"/>
    <w:rsid w:val="00732A40"/>
    <w:rsid w:val="00735197"/>
    <w:rsid w:val="00735C37"/>
    <w:rsid w:val="0073767D"/>
    <w:rsid w:val="0074077E"/>
    <w:rsid w:val="00741CD7"/>
    <w:rsid w:val="00742631"/>
    <w:rsid w:val="00742DE0"/>
    <w:rsid w:val="00743A10"/>
    <w:rsid w:val="00743BAD"/>
    <w:rsid w:val="00744734"/>
    <w:rsid w:val="00745A5F"/>
    <w:rsid w:val="00746F8F"/>
    <w:rsid w:val="00747678"/>
    <w:rsid w:val="00750796"/>
    <w:rsid w:val="00751696"/>
    <w:rsid w:val="007534F8"/>
    <w:rsid w:val="0075404F"/>
    <w:rsid w:val="007558ED"/>
    <w:rsid w:val="007560F1"/>
    <w:rsid w:val="00762228"/>
    <w:rsid w:val="00763E34"/>
    <w:rsid w:val="00764EF9"/>
    <w:rsid w:val="007668CD"/>
    <w:rsid w:val="00770A34"/>
    <w:rsid w:val="00770FC4"/>
    <w:rsid w:val="007711BC"/>
    <w:rsid w:val="007713C7"/>
    <w:rsid w:val="00772C87"/>
    <w:rsid w:val="00772D61"/>
    <w:rsid w:val="00774E3B"/>
    <w:rsid w:val="00775025"/>
    <w:rsid w:val="00776C0D"/>
    <w:rsid w:val="0077747C"/>
    <w:rsid w:val="00780787"/>
    <w:rsid w:val="00782DD2"/>
    <w:rsid w:val="007837C6"/>
    <w:rsid w:val="007838DA"/>
    <w:rsid w:val="0078463B"/>
    <w:rsid w:val="007853D4"/>
    <w:rsid w:val="007860F8"/>
    <w:rsid w:val="00786880"/>
    <w:rsid w:val="00791DFE"/>
    <w:rsid w:val="007927B8"/>
    <w:rsid w:val="00792DB5"/>
    <w:rsid w:val="007937AD"/>
    <w:rsid w:val="00794978"/>
    <w:rsid w:val="00796ED4"/>
    <w:rsid w:val="007975D8"/>
    <w:rsid w:val="007A0115"/>
    <w:rsid w:val="007A2883"/>
    <w:rsid w:val="007A3403"/>
    <w:rsid w:val="007A3539"/>
    <w:rsid w:val="007A3C78"/>
    <w:rsid w:val="007A4ADE"/>
    <w:rsid w:val="007A5180"/>
    <w:rsid w:val="007A5A6C"/>
    <w:rsid w:val="007A5EE5"/>
    <w:rsid w:val="007B00E3"/>
    <w:rsid w:val="007B14AA"/>
    <w:rsid w:val="007B1D74"/>
    <w:rsid w:val="007B22C1"/>
    <w:rsid w:val="007B2A30"/>
    <w:rsid w:val="007B41DD"/>
    <w:rsid w:val="007B5199"/>
    <w:rsid w:val="007B74AA"/>
    <w:rsid w:val="007C285F"/>
    <w:rsid w:val="007C2E2B"/>
    <w:rsid w:val="007C3A41"/>
    <w:rsid w:val="007C59EE"/>
    <w:rsid w:val="007C7191"/>
    <w:rsid w:val="007C7392"/>
    <w:rsid w:val="007D1451"/>
    <w:rsid w:val="007D1B8B"/>
    <w:rsid w:val="007D2824"/>
    <w:rsid w:val="007D287F"/>
    <w:rsid w:val="007D3C4B"/>
    <w:rsid w:val="007D4381"/>
    <w:rsid w:val="007D47D8"/>
    <w:rsid w:val="007D58A8"/>
    <w:rsid w:val="007D74BC"/>
    <w:rsid w:val="007E0597"/>
    <w:rsid w:val="007E0985"/>
    <w:rsid w:val="007E1BD7"/>
    <w:rsid w:val="007E1DEB"/>
    <w:rsid w:val="007E2E4D"/>
    <w:rsid w:val="007E403E"/>
    <w:rsid w:val="007E472F"/>
    <w:rsid w:val="007E4B86"/>
    <w:rsid w:val="007E6E0D"/>
    <w:rsid w:val="007F1FD4"/>
    <w:rsid w:val="007F246C"/>
    <w:rsid w:val="007F2A90"/>
    <w:rsid w:val="007F3FAF"/>
    <w:rsid w:val="007F486C"/>
    <w:rsid w:val="007F5265"/>
    <w:rsid w:val="007F60B7"/>
    <w:rsid w:val="007F7757"/>
    <w:rsid w:val="0080187D"/>
    <w:rsid w:val="00802495"/>
    <w:rsid w:val="0080293D"/>
    <w:rsid w:val="00803457"/>
    <w:rsid w:val="008042DB"/>
    <w:rsid w:val="00806D50"/>
    <w:rsid w:val="00807B4F"/>
    <w:rsid w:val="00811D22"/>
    <w:rsid w:val="00811FC2"/>
    <w:rsid w:val="008144DD"/>
    <w:rsid w:val="0081485B"/>
    <w:rsid w:val="00815A4C"/>
    <w:rsid w:val="00816010"/>
    <w:rsid w:val="008201BE"/>
    <w:rsid w:val="008202C9"/>
    <w:rsid w:val="008208CD"/>
    <w:rsid w:val="008215E9"/>
    <w:rsid w:val="008219AA"/>
    <w:rsid w:val="008240E3"/>
    <w:rsid w:val="00824837"/>
    <w:rsid w:val="00827596"/>
    <w:rsid w:val="0082798D"/>
    <w:rsid w:val="00830F44"/>
    <w:rsid w:val="008310D5"/>
    <w:rsid w:val="008316D7"/>
    <w:rsid w:val="00831944"/>
    <w:rsid w:val="00831B47"/>
    <w:rsid w:val="008325E6"/>
    <w:rsid w:val="008343F1"/>
    <w:rsid w:val="008366EC"/>
    <w:rsid w:val="00840AE4"/>
    <w:rsid w:val="008416DF"/>
    <w:rsid w:val="008443B3"/>
    <w:rsid w:val="00846433"/>
    <w:rsid w:val="0084668A"/>
    <w:rsid w:val="00850DF4"/>
    <w:rsid w:val="008510C7"/>
    <w:rsid w:val="0085150A"/>
    <w:rsid w:val="0085160F"/>
    <w:rsid w:val="0085327B"/>
    <w:rsid w:val="00853B1E"/>
    <w:rsid w:val="0085417B"/>
    <w:rsid w:val="008545F2"/>
    <w:rsid w:val="00854AAE"/>
    <w:rsid w:val="00856CDB"/>
    <w:rsid w:val="00860243"/>
    <w:rsid w:val="00862ACA"/>
    <w:rsid w:val="00863B5C"/>
    <w:rsid w:val="00863E35"/>
    <w:rsid w:val="0086480C"/>
    <w:rsid w:val="00864C6E"/>
    <w:rsid w:val="0086680C"/>
    <w:rsid w:val="00866A4F"/>
    <w:rsid w:val="00866F44"/>
    <w:rsid w:val="00870F86"/>
    <w:rsid w:val="00873EFF"/>
    <w:rsid w:val="008749E8"/>
    <w:rsid w:val="00876774"/>
    <w:rsid w:val="00876C6F"/>
    <w:rsid w:val="008803DA"/>
    <w:rsid w:val="008804E5"/>
    <w:rsid w:val="00880E8D"/>
    <w:rsid w:val="00881794"/>
    <w:rsid w:val="00881CAD"/>
    <w:rsid w:val="00883A58"/>
    <w:rsid w:val="0089326A"/>
    <w:rsid w:val="0089358E"/>
    <w:rsid w:val="00893F67"/>
    <w:rsid w:val="00895E6F"/>
    <w:rsid w:val="008A0297"/>
    <w:rsid w:val="008A034D"/>
    <w:rsid w:val="008A1004"/>
    <w:rsid w:val="008A15C2"/>
    <w:rsid w:val="008A2F96"/>
    <w:rsid w:val="008A34CB"/>
    <w:rsid w:val="008A474D"/>
    <w:rsid w:val="008A6835"/>
    <w:rsid w:val="008A7754"/>
    <w:rsid w:val="008B0300"/>
    <w:rsid w:val="008B170E"/>
    <w:rsid w:val="008B37A1"/>
    <w:rsid w:val="008B4625"/>
    <w:rsid w:val="008B467F"/>
    <w:rsid w:val="008B57B0"/>
    <w:rsid w:val="008C06CB"/>
    <w:rsid w:val="008C0C83"/>
    <w:rsid w:val="008C582D"/>
    <w:rsid w:val="008C6A5F"/>
    <w:rsid w:val="008C7F35"/>
    <w:rsid w:val="008D2A1E"/>
    <w:rsid w:val="008D2CA0"/>
    <w:rsid w:val="008D3B33"/>
    <w:rsid w:val="008D4703"/>
    <w:rsid w:val="008D659E"/>
    <w:rsid w:val="008D6656"/>
    <w:rsid w:val="008E2B3A"/>
    <w:rsid w:val="008E3EF5"/>
    <w:rsid w:val="008E4DC6"/>
    <w:rsid w:val="008E5A45"/>
    <w:rsid w:val="008E5DFF"/>
    <w:rsid w:val="008E6B14"/>
    <w:rsid w:val="008E6FC3"/>
    <w:rsid w:val="008F0A00"/>
    <w:rsid w:val="008F0EEB"/>
    <w:rsid w:val="008F1F04"/>
    <w:rsid w:val="008F2C24"/>
    <w:rsid w:val="008F48A5"/>
    <w:rsid w:val="008F4B28"/>
    <w:rsid w:val="008F5FAF"/>
    <w:rsid w:val="008F685C"/>
    <w:rsid w:val="008F74C2"/>
    <w:rsid w:val="008F7CEE"/>
    <w:rsid w:val="00900E6F"/>
    <w:rsid w:val="00901C53"/>
    <w:rsid w:val="009025E2"/>
    <w:rsid w:val="00902767"/>
    <w:rsid w:val="00902BB7"/>
    <w:rsid w:val="009048BF"/>
    <w:rsid w:val="00911E06"/>
    <w:rsid w:val="009124E7"/>
    <w:rsid w:val="00912F15"/>
    <w:rsid w:val="00916658"/>
    <w:rsid w:val="00916674"/>
    <w:rsid w:val="00916D23"/>
    <w:rsid w:val="0091768B"/>
    <w:rsid w:val="0092219B"/>
    <w:rsid w:val="00922AA7"/>
    <w:rsid w:val="00922C6F"/>
    <w:rsid w:val="00922D6B"/>
    <w:rsid w:val="00923155"/>
    <w:rsid w:val="00925391"/>
    <w:rsid w:val="009254E0"/>
    <w:rsid w:val="00925CEA"/>
    <w:rsid w:val="00927A0F"/>
    <w:rsid w:val="00927A30"/>
    <w:rsid w:val="00927DC6"/>
    <w:rsid w:val="00931E9D"/>
    <w:rsid w:val="009328B3"/>
    <w:rsid w:val="009352CD"/>
    <w:rsid w:val="00936A54"/>
    <w:rsid w:val="00937543"/>
    <w:rsid w:val="00937AC9"/>
    <w:rsid w:val="009406AD"/>
    <w:rsid w:val="00940B0E"/>
    <w:rsid w:val="00940F81"/>
    <w:rsid w:val="00941552"/>
    <w:rsid w:val="009419F0"/>
    <w:rsid w:val="00942B82"/>
    <w:rsid w:val="00943C5A"/>
    <w:rsid w:val="00944273"/>
    <w:rsid w:val="00944C1D"/>
    <w:rsid w:val="00945D12"/>
    <w:rsid w:val="00950A98"/>
    <w:rsid w:val="0095227C"/>
    <w:rsid w:val="009523A7"/>
    <w:rsid w:val="009523F2"/>
    <w:rsid w:val="00953998"/>
    <w:rsid w:val="00953FB7"/>
    <w:rsid w:val="009551C5"/>
    <w:rsid w:val="00956636"/>
    <w:rsid w:val="00961FE9"/>
    <w:rsid w:val="009620C0"/>
    <w:rsid w:val="009628DB"/>
    <w:rsid w:val="00963312"/>
    <w:rsid w:val="0096386A"/>
    <w:rsid w:val="0096508A"/>
    <w:rsid w:val="00965ABF"/>
    <w:rsid w:val="00971A41"/>
    <w:rsid w:val="0097528F"/>
    <w:rsid w:val="00975BE8"/>
    <w:rsid w:val="00976A58"/>
    <w:rsid w:val="00977AA1"/>
    <w:rsid w:val="00980058"/>
    <w:rsid w:val="00982445"/>
    <w:rsid w:val="00982777"/>
    <w:rsid w:val="00982C40"/>
    <w:rsid w:val="0098375D"/>
    <w:rsid w:val="009850A0"/>
    <w:rsid w:val="00986137"/>
    <w:rsid w:val="00986389"/>
    <w:rsid w:val="009872CD"/>
    <w:rsid w:val="00987A8B"/>
    <w:rsid w:val="00990A46"/>
    <w:rsid w:val="00990AB9"/>
    <w:rsid w:val="009912BB"/>
    <w:rsid w:val="009920E2"/>
    <w:rsid w:val="00994217"/>
    <w:rsid w:val="00994618"/>
    <w:rsid w:val="00994BC1"/>
    <w:rsid w:val="009951C2"/>
    <w:rsid w:val="00996CD5"/>
    <w:rsid w:val="0099784C"/>
    <w:rsid w:val="00997E71"/>
    <w:rsid w:val="009A09EC"/>
    <w:rsid w:val="009A0E02"/>
    <w:rsid w:val="009A12AA"/>
    <w:rsid w:val="009A151F"/>
    <w:rsid w:val="009A24BC"/>
    <w:rsid w:val="009A442C"/>
    <w:rsid w:val="009A5C07"/>
    <w:rsid w:val="009A6AF8"/>
    <w:rsid w:val="009A709B"/>
    <w:rsid w:val="009A7EF0"/>
    <w:rsid w:val="009B2A92"/>
    <w:rsid w:val="009B3C05"/>
    <w:rsid w:val="009B46F6"/>
    <w:rsid w:val="009B5CB4"/>
    <w:rsid w:val="009B5E96"/>
    <w:rsid w:val="009B76F3"/>
    <w:rsid w:val="009B7753"/>
    <w:rsid w:val="009C2087"/>
    <w:rsid w:val="009C24FF"/>
    <w:rsid w:val="009C2DE1"/>
    <w:rsid w:val="009C3712"/>
    <w:rsid w:val="009C3901"/>
    <w:rsid w:val="009C3BA8"/>
    <w:rsid w:val="009C3C64"/>
    <w:rsid w:val="009C41AC"/>
    <w:rsid w:val="009C66BD"/>
    <w:rsid w:val="009C6C8F"/>
    <w:rsid w:val="009D040F"/>
    <w:rsid w:val="009D043F"/>
    <w:rsid w:val="009D1603"/>
    <w:rsid w:val="009D23AF"/>
    <w:rsid w:val="009D2F92"/>
    <w:rsid w:val="009D4058"/>
    <w:rsid w:val="009D4B0D"/>
    <w:rsid w:val="009D53B7"/>
    <w:rsid w:val="009D57EC"/>
    <w:rsid w:val="009D5839"/>
    <w:rsid w:val="009D5AD5"/>
    <w:rsid w:val="009D607F"/>
    <w:rsid w:val="009D6EDD"/>
    <w:rsid w:val="009D75E4"/>
    <w:rsid w:val="009D7CC1"/>
    <w:rsid w:val="009E0CD5"/>
    <w:rsid w:val="009E107C"/>
    <w:rsid w:val="009E1340"/>
    <w:rsid w:val="009E1EB9"/>
    <w:rsid w:val="009E25DF"/>
    <w:rsid w:val="009E33E8"/>
    <w:rsid w:val="009E3400"/>
    <w:rsid w:val="009E39DB"/>
    <w:rsid w:val="009E3F6A"/>
    <w:rsid w:val="009E40F8"/>
    <w:rsid w:val="009E5853"/>
    <w:rsid w:val="009E5EDB"/>
    <w:rsid w:val="009E6185"/>
    <w:rsid w:val="009F06DE"/>
    <w:rsid w:val="009F1184"/>
    <w:rsid w:val="009F1E00"/>
    <w:rsid w:val="009F3011"/>
    <w:rsid w:val="009F45ED"/>
    <w:rsid w:val="00A02D1A"/>
    <w:rsid w:val="00A03078"/>
    <w:rsid w:val="00A0627A"/>
    <w:rsid w:val="00A10781"/>
    <w:rsid w:val="00A10C30"/>
    <w:rsid w:val="00A12BD8"/>
    <w:rsid w:val="00A15F64"/>
    <w:rsid w:val="00A214DB"/>
    <w:rsid w:val="00A233E0"/>
    <w:rsid w:val="00A24F5B"/>
    <w:rsid w:val="00A26353"/>
    <w:rsid w:val="00A2635B"/>
    <w:rsid w:val="00A26E89"/>
    <w:rsid w:val="00A274B4"/>
    <w:rsid w:val="00A27E5C"/>
    <w:rsid w:val="00A306EB"/>
    <w:rsid w:val="00A31484"/>
    <w:rsid w:val="00A34B84"/>
    <w:rsid w:val="00A352DB"/>
    <w:rsid w:val="00A358CC"/>
    <w:rsid w:val="00A35BC3"/>
    <w:rsid w:val="00A35F5B"/>
    <w:rsid w:val="00A361CE"/>
    <w:rsid w:val="00A45770"/>
    <w:rsid w:val="00A45865"/>
    <w:rsid w:val="00A5226D"/>
    <w:rsid w:val="00A53BD4"/>
    <w:rsid w:val="00A53C9A"/>
    <w:rsid w:val="00A55764"/>
    <w:rsid w:val="00A5593D"/>
    <w:rsid w:val="00A56C84"/>
    <w:rsid w:val="00A60384"/>
    <w:rsid w:val="00A6282F"/>
    <w:rsid w:val="00A62AFA"/>
    <w:rsid w:val="00A64A05"/>
    <w:rsid w:val="00A64B54"/>
    <w:rsid w:val="00A67FC6"/>
    <w:rsid w:val="00A68791"/>
    <w:rsid w:val="00A71397"/>
    <w:rsid w:val="00A71F84"/>
    <w:rsid w:val="00A72623"/>
    <w:rsid w:val="00A746D0"/>
    <w:rsid w:val="00A768D2"/>
    <w:rsid w:val="00A76988"/>
    <w:rsid w:val="00A76BDF"/>
    <w:rsid w:val="00A80A27"/>
    <w:rsid w:val="00A816BC"/>
    <w:rsid w:val="00A82647"/>
    <w:rsid w:val="00A8542E"/>
    <w:rsid w:val="00A8593A"/>
    <w:rsid w:val="00A9188B"/>
    <w:rsid w:val="00A91EFC"/>
    <w:rsid w:val="00A93ACF"/>
    <w:rsid w:val="00A955EC"/>
    <w:rsid w:val="00A9734E"/>
    <w:rsid w:val="00A975AC"/>
    <w:rsid w:val="00A97EE9"/>
    <w:rsid w:val="00AA26C8"/>
    <w:rsid w:val="00AA2AE3"/>
    <w:rsid w:val="00AA3857"/>
    <w:rsid w:val="00AA4255"/>
    <w:rsid w:val="00AA4996"/>
    <w:rsid w:val="00AA4A5E"/>
    <w:rsid w:val="00AA4F24"/>
    <w:rsid w:val="00AA5BD7"/>
    <w:rsid w:val="00AA67A0"/>
    <w:rsid w:val="00AA74E9"/>
    <w:rsid w:val="00AB4567"/>
    <w:rsid w:val="00AB458E"/>
    <w:rsid w:val="00AB58D2"/>
    <w:rsid w:val="00AC105E"/>
    <w:rsid w:val="00AC1131"/>
    <w:rsid w:val="00AC1AC4"/>
    <w:rsid w:val="00AC5472"/>
    <w:rsid w:val="00AD15AC"/>
    <w:rsid w:val="00AD1B66"/>
    <w:rsid w:val="00AD1CFF"/>
    <w:rsid w:val="00AD2447"/>
    <w:rsid w:val="00AD3F78"/>
    <w:rsid w:val="00AD46F7"/>
    <w:rsid w:val="00AE026A"/>
    <w:rsid w:val="00AE1346"/>
    <w:rsid w:val="00AE2594"/>
    <w:rsid w:val="00AE274D"/>
    <w:rsid w:val="00AE3624"/>
    <w:rsid w:val="00AE3760"/>
    <w:rsid w:val="00AE3F7E"/>
    <w:rsid w:val="00AE63B1"/>
    <w:rsid w:val="00AE7BE7"/>
    <w:rsid w:val="00AE7FC5"/>
    <w:rsid w:val="00AF066D"/>
    <w:rsid w:val="00AF2486"/>
    <w:rsid w:val="00AF3D20"/>
    <w:rsid w:val="00AF4218"/>
    <w:rsid w:val="00AF6F5C"/>
    <w:rsid w:val="00B027C5"/>
    <w:rsid w:val="00B02874"/>
    <w:rsid w:val="00B02F88"/>
    <w:rsid w:val="00B04655"/>
    <w:rsid w:val="00B06750"/>
    <w:rsid w:val="00B07337"/>
    <w:rsid w:val="00B10BA0"/>
    <w:rsid w:val="00B11B2A"/>
    <w:rsid w:val="00B13545"/>
    <w:rsid w:val="00B13DEC"/>
    <w:rsid w:val="00B15AEE"/>
    <w:rsid w:val="00B15B9E"/>
    <w:rsid w:val="00B222EC"/>
    <w:rsid w:val="00B22810"/>
    <w:rsid w:val="00B22F84"/>
    <w:rsid w:val="00B2326A"/>
    <w:rsid w:val="00B23E0D"/>
    <w:rsid w:val="00B24852"/>
    <w:rsid w:val="00B24B0E"/>
    <w:rsid w:val="00B26757"/>
    <w:rsid w:val="00B31C31"/>
    <w:rsid w:val="00B34223"/>
    <w:rsid w:val="00B37C28"/>
    <w:rsid w:val="00B400AE"/>
    <w:rsid w:val="00B434D7"/>
    <w:rsid w:val="00B45BEF"/>
    <w:rsid w:val="00B47058"/>
    <w:rsid w:val="00B5068E"/>
    <w:rsid w:val="00B51024"/>
    <w:rsid w:val="00B524A9"/>
    <w:rsid w:val="00B56900"/>
    <w:rsid w:val="00B603E4"/>
    <w:rsid w:val="00B62988"/>
    <w:rsid w:val="00B6398D"/>
    <w:rsid w:val="00B63B97"/>
    <w:rsid w:val="00B65237"/>
    <w:rsid w:val="00B666CD"/>
    <w:rsid w:val="00B67894"/>
    <w:rsid w:val="00B72371"/>
    <w:rsid w:val="00B737EF"/>
    <w:rsid w:val="00B74A04"/>
    <w:rsid w:val="00B74D25"/>
    <w:rsid w:val="00B7519D"/>
    <w:rsid w:val="00B77C81"/>
    <w:rsid w:val="00B80F76"/>
    <w:rsid w:val="00B818B8"/>
    <w:rsid w:val="00B81A2E"/>
    <w:rsid w:val="00B83587"/>
    <w:rsid w:val="00B8407F"/>
    <w:rsid w:val="00B8491D"/>
    <w:rsid w:val="00B85B34"/>
    <w:rsid w:val="00B8742C"/>
    <w:rsid w:val="00B90437"/>
    <w:rsid w:val="00B92284"/>
    <w:rsid w:val="00B9379D"/>
    <w:rsid w:val="00B93F50"/>
    <w:rsid w:val="00B9424F"/>
    <w:rsid w:val="00B9504D"/>
    <w:rsid w:val="00B957FA"/>
    <w:rsid w:val="00B95BD0"/>
    <w:rsid w:val="00B9602F"/>
    <w:rsid w:val="00BA1A18"/>
    <w:rsid w:val="00BA45E6"/>
    <w:rsid w:val="00BA5E6F"/>
    <w:rsid w:val="00BA6E91"/>
    <w:rsid w:val="00BB0D04"/>
    <w:rsid w:val="00BB29FA"/>
    <w:rsid w:val="00BB2B15"/>
    <w:rsid w:val="00BB3410"/>
    <w:rsid w:val="00BB432F"/>
    <w:rsid w:val="00BB49A7"/>
    <w:rsid w:val="00BB49C0"/>
    <w:rsid w:val="00BB6F4C"/>
    <w:rsid w:val="00BB6FB5"/>
    <w:rsid w:val="00BB753F"/>
    <w:rsid w:val="00BB7DA0"/>
    <w:rsid w:val="00BB7FF2"/>
    <w:rsid w:val="00BC0B1A"/>
    <w:rsid w:val="00BC1522"/>
    <w:rsid w:val="00BC185F"/>
    <w:rsid w:val="00BC1BF0"/>
    <w:rsid w:val="00BC3541"/>
    <w:rsid w:val="00BC3DD2"/>
    <w:rsid w:val="00BC5B8C"/>
    <w:rsid w:val="00BC62CE"/>
    <w:rsid w:val="00BC77F4"/>
    <w:rsid w:val="00BD12E4"/>
    <w:rsid w:val="00BD6B16"/>
    <w:rsid w:val="00BE08D5"/>
    <w:rsid w:val="00BE12E1"/>
    <w:rsid w:val="00BE1B26"/>
    <w:rsid w:val="00BE1F44"/>
    <w:rsid w:val="00BE31EE"/>
    <w:rsid w:val="00BE3D6F"/>
    <w:rsid w:val="00BE4548"/>
    <w:rsid w:val="00BE53BF"/>
    <w:rsid w:val="00BE63D7"/>
    <w:rsid w:val="00BF0CAD"/>
    <w:rsid w:val="00BF2700"/>
    <w:rsid w:val="00BF2A34"/>
    <w:rsid w:val="00BF2DF6"/>
    <w:rsid w:val="00BF5699"/>
    <w:rsid w:val="00BF6721"/>
    <w:rsid w:val="00BF7FBB"/>
    <w:rsid w:val="00C02D9A"/>
    <w:rsid w:val="00C033E9"/>
    <w:rsid w:val="00C0389F"/>
    <w:rsid w:val="00C04326"/>
    <w:rsid w:val="00C046AD"/>
    <w:rsid w:val="00C054E3"/>
    <w:rsid w:val="00C066B7"/>
    <w:rsid w:val="00C07AAE"/>
    <w:rsid w:val="00C07D74"/>
    <w:rsid w:val="00C10AF3"/>
    <w:rsid w:val="00C11ED5"/>
    <w:rsid w:val="00C123A0"/>
    <w:rsid w:val="00C13B84"/>
    <w:rsid w:val="00C14B7B"/>
    <w:rsid w:val="00C14D9D"/>
    <w:rsid w:val="00C155C2"/>
    <w:rsid w:val="00C1628D"/>
    <w:rsid w:val="00C20372"/>
    <w:rsid w:val="00C2356F"/>
    <w:rsid w:val="00C24C6C"/>
    <w:rsid w:val="00C25A7A"/>
    <w:rsid w:val="00C27150"/>
    <w:rsid w:val="00C30469"/>
    <w:rsid w:val="00C3183C"/>
    <w:rsid w:val="00C32359"/>
    <w:rsid w:val="00C32D5B"/>
    <w:rsid w:val="00C33E98"/>
    <w:rsid w:val="00C343C2"/>
    <w:rsid w:val="00C347F1"/>
    <w:rsid w:val="00C34842"/>
    <w:rsid w:val="00C36AEE"/>
    <w:rsid w:val="00C36B00"/>
    <w:rsid w:val="00C36E61"/>
    <w:rsid w:val="00C375CA"/>
    <w:rsid w:val="00C37662"/>
    <w:rsid w:val="00C424E4"/>
    <w:rsid w:val="00C4298A"/>
    <w:rsid w:val="00C42F7B"/>
    <w:rsid w:val="00C441E0"/>
    <w:rsid w:val="00C44A9E"/>
    <w:rsid w:val="00C457F1"/>
    <w:rsid w:val="00C45979"/>
    <w:rsid w:val="00C4750D"/>
    <w:rsid w:val="00C51D4B"/>
    <w:rsid w:val="00C538F7"/>
    <w:rsid w:val="00C541C4"/>
    <w:rsid w:val="00C54E17"/>
    <w:rsid w:val="00C54FDB"/>
    <w:rsid w:val="00C567A5"/>
    <w:rsid w:val="00C573BC"/>
    <w:rsid w:val="00C60DDA"/>
    <w:rsid w:val="00C620A5"/>
    <w:rsid w:val="00C6228D"/>
    <w:rsid w:val="00C63846"/>
    <w:rsid w:val="00C63E7C"/>
    <w:rsid w:val="00C67D9C"/>
    <w:rsid w:val="00C706D7"/>
    <w:rsid w:val="00C72590"/>
    <w:rsid w:val="00C72CCD"/>
    <w:rsid w:val="00C733F7"/>
    <w:rsid w:val="00C754FD"/>
    <w:rsid w:val="00C76FDB"/>
    <w:rsid w:val="00C80081"/>
    <w:rsid w:val="00C80E50"/>
    <w:rsid w:val="00C81982"/>
    <w:rsid w:val="00C81E8A"/>
    <w:rsid w:val="00C836BD"/>
    <w:rsid w:val="00C83ECD"/>
    <w:rsid w:val="00C8408B"/>
    <w:rsid w:val="00C86ABE"/>
    <w:rsid w:val="00C8720B"/>
    <w:rsid w:val="00C87C08"/>
    <w:rsid w:val="00C87E71"/>
    <w:rsid w:val="00C91270"/>
    <w:rsid w:val="00C9141A"/>
    <w:rsid w:val="00C916DE"/>
    <w:rsid w:val="00C93634"/>
    <w:rsid w:val="00C943C6"/>
    <w:rsid w:val="00C94D70"/>
    <w:rsid w:val="00C9517E"/>
    <w:rsid w:val="00C96032"/>
    <w:rsid w:val="00C96BDE"/>
    <w:rsid w:val="00CA27B9"/>
    <w:rsid w:val="00CA32FE"/>
    <w:rsid w:val="00CA4137"/>
    <w:rsid w:val="00CA5AE4"/>
    <w:rsid w:val="00CA6D14"/>
    <w:rsid w:val="00CA7D74"/>
    <w:rsid w:val="00CB02A1"/>
    <w:rsid w:val="00CB038B"/>
    <w:rsid w:val="00CB11F8"/>
    <w:rsid w:val="00CB1797"/>
    <w:rsid w:val="00CB4B04"/>
    <w:rsid w:val="00CB6AD7"/>
    <w:rsid w:val="00CC03C4"/>
    <w:rsid w:val="00CC044E"/>
    <w:rsid w:val="00CC2643"/>
    <w:rsid w:val="00CC338D"/>
    <w:rsid w:val="00CC3C26"/>
    <w:rsid w:val="00CC43C3"/>
    <w:rsid w:val="00CC43C5"/>
    <w:rsid w:val="00CC43CD"/>
    <w:rsid w:val="00CC4618"/>
    <w:rsid w:val="00CC4E79"/>
    <w:rsid w:val="00CD1614"/>
    <w:rsid w:val="00CD1836"/>
    <w:rsid w:val="00CD275E"/>
    <w:rsid w:val="00CD2EF7"/>
    <w:rsid w:val="00CD38AB"/>
    <w:rsid w:val="00CD4100"/>
    <w:rsid w:val="00CD4338"/>
    <w:rsid w:val="00CD4809"/>
    <w:rsid w:val="00CD5A92"/>
    <w:rsid w:val="00CE0942"/>
    <w:rsid w:val="00CE1EF9"/>
    <w:rsid w:val="00CE2CB1"/>
    <w:rsid w:val="00CE3ACF"/>
    <w:rsid w:val="00CE4292"/>
    <w:rsid w:val="00CE4DEB"/>
    <w:rsid w:val="00CE4F47"/>
    <w:rsid w:val="00CE5752"/>
    <w:rsid w:val="00CE6F2D"/>
    <w:rsid w:val="00CF23B4"/>
    <w:rsid w:val="00CF242E"/>
    <w:rsid w:val="00CF413A"/>
    <w:rsid w:val="00CF4631"/>
    <w:rsid w:val="00CF5A3C"/>
    <w:rsid w:val="00CF5EFF"/>
    <w:rsid w:val="00D00106"/>
    <w:rsid w:val="00D00A03"/>
    <w:rsid w:val="00D00D33"/>
    <w:rsid w:val="00D01A8F"/>
    <w:rsid w:val="00D04072"/>
    <w:rsid w:val="00D043F3"/>
    <w:rsid w:val="00D10B82"/>
    <w:rsid w:val="00D10D69"/>
    <w:rsid w:val="00D12D20"/>
    <w:rsid w:val="00D14A68"/>
    <w:rsid w:val="00D163B0"/>
    <w:rsid w:val="00D17BB9"/>
    <w:rsid w:val="00D20C3F"/>
    <w:rsid w:val="00D210DB"/>
    <w:rsid w:val="00D213C4"/>
    <w:rsid w:val="00D225E2"/>
    <w:rsid w:val="00D234AD"/>
    <w:rsid w:val="00D24AC0"/>
    <w:rsid w:val="00D26124"/>
    <w:rsid w:val="00D31DCE"/>
    <w:rsid w:val="00D33817"/>
    <w:rsid w:val="00D36464"/>
    <w:rsid w:val="00D37D03"/>
    <w:rsid w:val="00D37D3F"/>
    <w:rsid w:val="00D414EB"/>
    <w:rsid w:val="00D4260C"/>
    <w:rsid w:val="00D43278"/>
    <w:rsid w:val="00D432B7"/>
    <w:rsid w:val="00D437E5"/>
    <w:rsid w:val="00D4483E"/>
    <w:rsid w:val="00D4591C"/>
    <w:rsid w:val="00D45C8A"/>
    <w:rsid w:val="00D47C16"/>
    <w:rsid w:val="00D47C2B"/>
    <w:rsid w:val="00D47CB3"/>
    <w:rsid w:val="00D50C3C"/>
    <w:rsid w:val="00D51356"/>
    <w:rsid w:val="00D517F0"/>
    <w:rsid w:val="00D5260D"/>
    <w:rsid w:val="00D54334"/>
    <w:rsid w:val="00D544EC"/>
    <w:rsid w:val="00D55926"/>
    <w:rsid w:val="00D55EB1"/>
    <w:rsid w:val="00D57716"/>
    <w:rsid w:val="00D61EDC"/>
    <w:rsid w:val="00D6303D"/>
    <w:rsid w:val="00D63F7A"/>
    <w:rsid w:val="00D64254"/>
    <w:rsid w:val="00D72231"/>
    <w:rsid w:val="00D73509"/>
    <w:rsid w:val="00D73DBE"/>
    <w:rsid w:val="00D73E09"/>
    <w:rsid w:val="00D74290"/>
    <w:rsid w:val="00D76DB3"/>
    <w:rsid w:val="00D77C8D"/>
    <w:rsid w:val="00D8125F"/>
    <w:rsid w:val="00D82F91"/>
    <w:rsid w:val="00D87764"/>
    <w:rsid w:val="00D90653"/>
    <w:rsid w:val="00D919DB"/>
    <w:rsid w:val="00D92ED6"/>
    <w:rsid w:val="00D9599C"/>
    <w:rsid w:val="00DA4019"/>
    <w:rsid w:val="00DA4E0C"/>
    <w:rsid w:val="00DA53F8"/>
    <w:rsid w:val="00DA56E0"/>
    <w:rsid w:val="00DA7843"/>
    <w:rsid w:val="00DA7E80"/>
    <w:rsid w:val="00DB0E66"/>
    <w:rsid w:val="00DB13CB"/>
    <w:rsid w:val="00DB523F"/>
    <w:rsid w:val="00DB52E0"/>
    <w:rsid w:val="00DB5E95"/>
    <w:rsid w:val="00DB6062"/>
    <w:rsid w:val="00DB6A57"/>
    <w:rsid w:val="00DB72F4"/>
    <w:rsid w:val="00DB7775"/>
    <w:rsid w:val="00DB799B"/>
    <w:rsid w:val="00DC1889"/>
    <w:rsid w:val="00DC1EEC"/>
    <w:rsid w:val="00DC2D99"/>
    <w:rsid w:val="00DC57CD"/>
    <w:rsid w:val="00DC6593"/>
    <w:rsid w:val="00DD2682"/>
    <w:rsid w:val="00DD2AB4"/>
    <w:rsid w:val="00DD35B0"/>
    <w:rsid w:val="00DD4E7A"/>
    <w:rsid w:val="00DD6533"/>
    <w:rsid w:val="00DD7054"/>
    <w:rsid w:val="00DD718B"/>
    <w:rsid w:val="00DE15D8"/>
    <w:rsid w:val="00DE26D9"/>
    <w:rsid w:val="00DE3DF8"/>
    <w:rsid w:val="00DE4E0C"/>
    <w:rsid w:val="00DE50FF"/>
    <w:rsid w:val="00DE60DC"/>
    <w:rsid w:val="00DE68CB"/>
    <w:rsid w:val="00DF07AC"/>
    <w:rsid w:val="00DF0955"/>
    <w:rsid w:val="00DF3AA1"/>
    <w:rsid w:val="00DF4973"/>
    <w:rsid w:val="00DF6030"/>
    <w:rsid w:val="00DF6672"/>
    <w:rsid w:val="00DF7E5D"/>
    <w:rsid w:val="00E00589"/>
    <w:rsid w:val="00E0220E"/>
    <w:rsid w:val="00E034D9"/>
    <w:rsid w:val="00E03FC8"/>
    <w:rsid w:val="00E04947"/>
    <w:rsid w:val="00E076DF"/>
    <w:rsid w:val="00E10927"/>
    <w:rsid w:val="00E1184C"/>
    <w:rsid w:val="00E128B1"/>
    <w:rsid w:val="00E1337F"/>
    <w:rsid w:val="00E14467"/>
    <w:rsid w:val="00E14BF3"/>
    <w:rsid w:val="00E16410"/>
    <w:rsid w:val="00E205A3"/>
    <w:rsid w:val="00E2389F"/>
    <w:rsid w:val="00E25157"/>
    <w:rsid w:val="00E27F78"/>
    <w:rsid w:val="00E30F8E"/>
    <w:rsid w:val="00E3122D"/>
    <w:rsid w:val="00E33FC1"/>
    <w:rsid w:val="00E3518D"/>
    <w:rsid w:val="00E35BF8"/>
    <w:rsid w:val="00E36345"/>
    <w:rsid w:val="00E3739C"/>
    <w:rsid w:val="00E37A2B"/>
    <w:rsid w:val="00E40D81"/>
    <w:rsid w:val="00E40E45"/>
    <w:rsid w:val="00E42EA6"/>
    <w:rsid w:val="00E439D8"/>
    <w:rsid w:val="00E463E4"/>
    <w:rsid w:val="00E47562"/>
    <w:rsid w:val="00E50CD6"/>
    <w:rsid w:val="00E5311D"/>
    <w:rsid w:val="00E54B97"/>
    <w:rsid w:val="00E5559F"/>
    <w:rsid w:val="00E55F68"/>
    <w:rsid w:val="00E604E8"/>
    <w:rsid w:val="00E63258"/>
    <w:rsid w:val="00E63B7C"/>
    <w:rsid w:val="00E64357"/>
    <w:rsid w:val="00E64935"/>
    <w:rsid w:val="00E64F9E"/>
    <w:rsid w:val="00E663AF"/>
    <w:rsid w:val="00E6714A"/>
    <w:rsid w:val="00E671A5"/>
    <w:rsid w:val="00E67AA0"/>
    <w:rsid w:val="00E70167"/>
    <w:rsid w:val="00E705EC"/>
    <w:rsid w:val="00E71E8B"/>
    <w:rsid w:val="00E72DB0"/>
    <w:rsid w:val="00E73765"/>
    <w:rsid w:val="00E73E81"/>
    <w:rsid w:val="00E74511"/>
    <w:rsid w:val="00E75438"/>
    <w:rsid w:val="00E7559D"/>
    <w:rsid w:val="00E75DBD"/>
    <w:rsid w:val="00E765BA"/>
    <w:rsid w:val="00E777B0"/>
    <w:rsid w:val="00E77E40"/>
    <w:rsid w:val="00E815E1"/>
    <w:rsid w:val="00E833F8"/>
    <w:rsid w:val="00E83D5C"/>
    <w:rsid w:val="00E85622"/>
    <w:rsid w:val="00E87701"/>
    <w:rsid w:val="00E87F99"/>
    <w:rsid w:val="00E87FCD"/>
    <w:rsid w:val="00E91C6A"/>
    <w:rsid w:val="00E91D31"/>
    <w:rsid w:val="00E94E34"/>
    <w:rsid w:val="00E957A4"/>
    <w:rsid w:val="00E97093"/>
    <w:rsid w:val="00EA0CF2"/>
    <w:rsid w:val="00EA0D20"/>
    <w:rsid w:val="00EA3AE4"/>
    <w:rsid w:val="00EA456C"/>
    <w:rsid w:val="00EA4A33"/>
    <w:rsid w:val="00EA4F52"/>
    <w:rsid w:val="00EA58E6"/>
    <w:rsid w:val="00EA5D83"/>
    <w:rsid w:val="00EA6184"/>
    <w:rsid w:val="00EA6BDC"/>
    <w:rsid w:val="00EB0C83"/>
    <w:rsid w:val="00EB1912"/>
    <w:rsid w:val="00EB1C08"/>
    <w:rsid w:val="00EB2A3A"/>
    <w:rsid w:val="00EB34A6"/>
    <w:rsid w:val="00EB3F8B"/>
    <w:rsid w:val="00EB4C2F"/>
    <w:rsid w:val="00EC04E3"/>
    <w:rsid w:val="00EC0D68"/>
    <w:rsid w:val="00EC1141"/>
    <w:rsid w:val="00EC11F9"/>
    <w:rsid w:val="00EC122D"/>
    <w:rsid w:val="00EC1979"/>
    <w:rsid w:val="00EC230D"/>
    <w:rsid w:val="00EC6B27"/>
    <w:rsid w:val="00EC700B"/>
    <w:rsid w:val="00EC7AEE"/>
    <w:rsid w:val="00ED0082"/>
    <w:rsid w:val="00ED1842"/>
    <w:rsid w:val="00ED1C59"/>
    <w:rsid w:val="00ED2C2E"/>
    <w:rsid w:val="00ED31BD"/>
    <w:rsid w:val="00ED3C90"/>
    <w:rsid w:val="00ED4385"/>
    <w:rsid w:val="00ED44A3"/>
    <w:rsid w:val="00ED57A4"/>
    <w:rsid w:val="00ED6496"/>
    <w:rsid w:val="00EE038B"/>
    <w:rsid w:val="00EE2072"/>
    <w:rsid w:val="00EE2403"/>
    <w:rsid w:val="00EE2B2F"/>
    <w:rsid w:val="00EE5AC9"/>
    <w:rsid w:val="00EE68B7"/>
    <w:rsid w:val="00EE7609"/>
    <w:rsid w:val="00EE782C"/>
    <w:rsid w:val="00EF136F"/>
    <w:rsid w:val="00EF2E9D"/>
    <w:rsid w:val="00EF3B34"/>
    <w:rsid w:val="00EF71E8"/>
    <w:rsid w:val="00EF7A31"/>
    <w:rsid w:val="00EF7B2E"/>
    <w:rsid w:val="00F0015C"/>
    <w:rsid w:val="00F02003"/>
    <w:rsid w:val="00F0705E"/>
    <w:rsid w:val="00F071BE"/>
    <w:rsid w:val="00F10CF0"/>
    <w:rsid w:val="00F1359F"/>
    <w:rsid w:val="00F13918"/>
    <w:rsid w:val="00F15CFE"/>
    <w:rsid w:val="00F171C6"/>
    <w:rsid w:val="00F1773A"/>
    <w:rsid w:val="00F17E88"/>
    <w:rsid w:val="00F17F8C"/>
    <w:rsid w:val="00F229AC"/>
    <w:rsid w:val="00F252CD"/>
    <w:rsid w:val="00F2554C"/>
    <w:rsid w:val="00F27BD2"/>
    <w:rsid w:val="00F3030A"/>
    <w:rsid w:val="00F31DEE"/>
    <w:rsid w:val="00F32BF6"/>
    <w:rsid w:val="00F33388"/>
    <w:rsid w:val="00F33E4D"/>
    <w:rsid w:val="00F34178"/>
    <w:rsid w:val="00F34BCA"/>
    <w:rsid w:val="00F36723"/>
    <w:rsid w:val="00F37D13"/>
    <w:rsid w:val="00F405E9"/>
    <w:rsid w:val="00F43533"/>
    <w:rsid w:val="00F440BC"/>
    <w:rsid w:val="00F462DB"/>
    <w:rsid w:val="00F47EAC"/>
    <w:rsid w:val="00F47FF9"/>
    <w:rsid w:val="00F5019F"/>
    <w:rsid w:val="00F50C29"/>
    <w:rsid w:val="00F51F05"/>
    <w:rsid w:val="00F52421"/>
    <w:rsid w:val="00F52BA8"/>
    <w:rsid w:val="00F532D6"/>
    <w:rsid w:val="00F53FC5"/>
    <w:rsid w:val="00F56114"/>
    <w:rsid w:val="00F573CC"/>
    <w:rsid w:val="00F57EAD"/>
    <w:rsid w:val="00F601B4"/>
    <w:rsid w:val="00F62C65"/>
    <w:rsid w:val="00F63290"/>
    <w:rsid w:val="00F652A6"/>
    <w:rsid w:val="00F66728"/>
    <w:rsid w:val="00F67649"/>
    <w:rsid w:val="00F67C9A"/>
    <w:rsid w:val="00F7072E"/>
    <w:rsid w:val="00F71C27"/>
    <w:rsid w:val="00F7283C"/>
    <w:rsid w:val="00F72C68"/>
    <w:rsid w:val="00F741CB"/>
    <w:rsid w:val="00F74FF8"/>
    <w:rsid w:val="00F7776D"/>
    <w:rsid w:val="00F823FF"/>
    <w:rsid w:val="00F84AF9"/>
    <w:rsid w:val="00F85BB1"/>
    <w:rsid w:val="00F8697C"/>
    <w:rsid w:val="00F904F9"/>
    <w:rsid w:val="00F90ACE"/>
    <w:rsid w:val="00F9157A"/>
    <w:rsid w:val="00F916E8"/>
    <w:rsid w:val="00F91707"/>
    <w:rsid w:val="00F919C9"/>
    <w:rsid w:val="00F91EF0"/>
    <w:rsid w:val="00F92596"/>
    <w:rsid w:val="00F95973"/>
    <w:rsid w:val="00FA0651"/>
    <w:rsid w:val="00FA099F"/>
    <w:rsid w:val="00FA0F0D"/>
    <w:rsid w:val="00FA243A"/>
    <w:rsid w:val="00FA4C93"/>
    <w:rsid w:val="00FA5FC1"/>
    <w:rsid w:val="00FA7931"/>
    <w:rsid w:val="00FB012C"/>
    <w:rsid w:val="00FB2200"/>
    <w:rsid w:val="00FB37E2"/>
    <w:rsid w:val="00FB38ED"/>
    <w:rsid w:val="00FB6E02"/>
    <w:rsid w:val="00FB72D9"/>
    <w:rsid w:val="00FB7E9F"/>
    <w:rsid w:val="00FC02BD"/>
    <w:rsid w:val="00FC0796"/>
    <w:rsid w:val="00FC0F42"/>
    <w:rsid w:val="00FC2365"/>
    <w:rsid w:val="00FC33F4"/>
    <w:rsid w:val="00FC4CC6"/>
    <w:rsid w:val="00FC4FBB"/>
    <w:rsid w:val="00FC53C7"/>
    <w:rsid w:val="00FC601F"/>
    <w:rsid w:val="00FC6545"/>
    <w:rsid w:val="00FC7E37"/>
    <w:rsid w:val="00FD0324"/>
    <w:rsid w:val="00FD071A"/>
    <w:rsid w:val="00FD3EF8"/>
    <w:rsid w:val="00FD54EB"/>
    <w:rsid w:val="00FD7196"/>
    <w:rsid w:val="00FE0BEA"/>
    <w:rsid w:val="00FE0D6A"/>
    <w:rsid w:val="00FE2C1F"/>
    <w:rsid w:val="00FE2F4A"/>
    <w:rsid w:val="00FE4665"/>
    <w:rsid w:val="00FE539F"/>
    <w:rsid w:val="00FE667A"/>
    <w:rsid w:val="00FF04B1"/>
    <w:rsid w:val="00FF0CC3"/>
    <w:rsid w:val="00FF0DE8"/>
    <w:rsid w:val="00FF11A9"/>
    <w:rsid w:val="00FF165F"/>
    <w:rsid w:val="00FF16DB"/>
    <w:rsid w:val="00FF3DDF"/>
    <w:rsid w:val="00FF5265"/>
    <w:rsid w:val="00FF55F1"/>
    <w:rsid w:val="01AFBD83"/>
    <w:rsid w:val="01DBE774"/>
    <w:rsid w:val="01EE46BA"/>
    <w:rsid w:val="01EF6AF3"/>
    <w:rsid w:val="02369EEC"/>
    <w:rsid w:val="0248A40C"/>
    <w:rsid w:val="025EBAC4"/>
    <w:rsid w:val="02AC709B"/>
    <w:rsid w:val="02D22C48"/>
    <w:rsid w:val="02FFC142"/>
    <w:rsid w:val="03324726"/>
    <w:rsid w:val="0340C7B5"/>
    <w:rsid w:val="03563071"/>
    <w:rsid w:val="0358D710"/>
    <w:rsid w:val="0359EF17"/>
    <w:rsid w:val="0365DAEE"/>
    <w:rsid w:val="0372BE5B"/>
    <w:rsid w:val="0389EECB"/>
    <w:rsid w:val="038B508C"/>
    <w:rsid w:val="03E4746D"/>
    <w:rsid w:val="043A4EAC"/>
    <w:rsid w:val="0478847D"/>
    <w:rsid w:val="05031D9C"/>
    <w:rsid w:val="056DDD49"/>
    <w:rsid w:val="0589CF88"/>
    <w:rsid w:val="06070A83"/>
    <w:rsid w:val="0613B2CE"/>
    <w:rsid w:val="065BDB83"/>
    <w:rsid w:val="065EDDB5"/>
    <w:rsid w:val="067503E0"/>
    <w:rsid w:val="0688745E"/>
    <w:rsid w:val="06D233E7"/>
    <w:rsid w:val="0768A609"/>
    <w:rsid w:val="07DA50B0"/>
    <w:rsid w:val="08462F7E"/>
    <w:rsid w:val="084F7F16"/>
    <w:rsid w:val="0856A253"/>
    <w:rsid w:val="08742A6B"/>
    <w:rsid w:val="09A58165"/>
    <w:rsid w:val="09DA399C"/>
    <w:rsid w:val="0A60FF51"/>
    <w:rsid w:val="0A61D18E"/>
    <w:rsid w:val="0A7BADC9"/>
    <w:rsid w:val="0A87B1B4"/>
    <w:rsid w:val="0A9A8022"/>
    <w:rsid w:val="0AA3A86F"/>
    <w:rsid w:val="0AFB87B1"/>
    <w:rsid w:val="0C14FBF0"/>
    <w:rsid w:val="0C550549"/>
    <w:rsid w:val="0C9D8B4A"/>
    <w:rsid w:val="0CAA651B"/>
    <w:rsid w:val="0D05FC5C"/>
    <w:rsid w:val="0D36C0D2"/>
    <w:rsid w:val="0D9C6C8E"/>
    <w:rsid w:val="0E24BC54"/>
    <w:rsid w:val="0E27C4FB"/>
    <w:rsid w:val="0E379206"/>
    <w:rsid w:val="0E421184"/>
    <w:rsid w:val="0E7B3485"/>
    <w:rsid w:val="0F24E44C"/>
    <w:rsid w:val="0F26F43C"/>
    <w:rsid w:val="0F43C128"/>
    <w:rsid w:val="0FE6717B"/>
    <w:rsid w:val="104196CA"/>
    <w:rsid w:val="104361D7"/>
    <w:rsid w:val="105625C4"/>
    <w:rsid w:val="106176CF"/>
    <w:rsid w:val="10BBB88C"/>
    <w:rsid w:val="10CC20C5"/>
    <w:rsid w:val="112D3373"/>
    <w:rsid w:val="11410993"/>
    <w:rsid w:val="11AB4B38"/>
    <w:rsid w:val="129B6C98"/>
    <w:rsid w:val="12BD9676"/>
    <w:rsid w:val="131FD8A5"/>
    <w:rsid w:val="13CB0A04"/>
    <w:rsid w:val="13F72327"/>
    <w:rsid w:val="14C791E6"/>
    <w:rsid w:val="1543CD3F"/>
    <w:rsid w:val="15BD4994"/>
    <w:rsid w:val="1655B9ED"/>
    <w:rsid w:val="166451EE"/>
    <w:rsid w:val="16971CCD"/>
    <w:rsid w:val="16B4A4E5"/>
    <w:rsid w:val="16D612E6"/>
    <w:rsid w:val="173E4C25"/>
    <w:rsid w:val="177504D9"/>
    <w:rsid w:val="17897176"/>
    <w:rsid w:val="17D03F3F"/>
    <w:rsid w:val="17E67368"/>
    <w:rsid w:val="181E39F3"/>
    <w:rsid w:val="184778CF"/>
    <w:rsid w:val="1855D6E5"/>
    <w:rsid w:val="187D4DCF"/>
    <w:rsid w:val="18874C03"/>
    <w:rsid w:val="188778EA"/>
    <w:rsid w:val="18A01C93"/>
    <w:rsid w:val="18AE5026"/>
    <w:rsid w:val="18DC5CAE"/>
    <w:rsid w:val="193C70FB"/>
    <w:rsid w:val="197C0B15"/>
    <w:rsid w:val="198CBA07"/>
    <w:rsid w:val="19D0DF69"/>
    <w:rsid w:val="1A4C914E"/>
    <w:rsid w:val="1A889B5B"/>
    <w:rsid w:val="1A9C409B"/>
    <w:rsid w:val="1AC73956"/>
    <w:rsid w:val="1ACFC339"/>
    <w:rsid w:val="1BB23D1F"/>
    <w:rsid w:val="1C3ACA4E"/>
    <w:rsid w:val="1C8F0082"/>
    <w:rsid w:val="1D24AEC1"/>
    <w:rsid w:val="1D88378A"/>
    <w:rsid w:val="1D92A723"/>
    <w:rsid w:val="1DC75DB1"/>
    <w:rsid w:val="1DE31029"/>
    <w:rsid w:val="1E453E56"/>
    <w:rsid w:val="1ED51596"/>
    <w:rsid w:val="1F1C394A"/>
    <w:rsid w:val="1F5487D7"/>
    <w:rsid w:val="1F7C4270"/>
    <w:rsid w:val="1FA29A87"/>
    <w:rsid w:val="1FA62F62"/>
    <w:rsid w:val="203D5B12"/>
    <w:rsid w:val="20968CC8"/>
    <w:rsid w:val="20DF4F37"/>
    <w:rsid w:val="20FB9EC2"/>
    <w:rsid w:val="211AF725"/>
    <w:rsid w:val="213A3980"/>
    <w:rsid w:val="218D4418"/>
    <w:rsid w:val="21AE98AB"/>
    <w:rsid w:val="221F5CE0"/>
    <w:rsid w:val="222512CE"/>
    <w:rsid w:val="22325D29"/>
    <w:rsid w:val="22773A0F"/>
    <w:rsid w:val="22826A13"/>
    <w:rsid w:val="23B29CB5"/>
    <w:rsid w:val="240E6710"/>
    <w:rsid w:val="2465FC40"/>
    <w:rsid w:val="24CA7F1E"/>
    <w:rsid w:val="25373DF2"/>
    <w:rsid w:val="25887D1F"/>
    <w:rsid w:val="25A37DC1"/>
    <w:rsid w:val="25CAEC98"/>
    <w:rsid w:val="263A7A08"/>
    <w:rsid w:val="266CA112"/>
    <w:rsid w:val="27274B2F"/>
    <w:rsid w:val="275FA0AA"/>
    <w:rsid w:val="279052A7"/>
    <w:rsid w:val="2792BB1F"/>
    <w:rsid w:val="27BDE7A1"/>
    <w:rsid w:val="27BE8256"/>
    <w:rsid w:val="27E825D9"/>
    <w:rsid w:val="286300B2"/>
    <w:rsid w:val="287DB562"/>
    <w:rsid w:val="28A8953E"/>
    <w:rsid w:val="2912FBA6"/>
    <w:rsid w:val="2990A606"/>
    <w:rsid w:val="2A00A404"/>
    <w:rsid w:val="2A8EDDB9"/>
    <w:rsid w:val="2AA44433"/>
    <w:rsid w:val="2AB2567D"/>
    <w:rsid w:val="2B4B5582"/>
    <w:rsid w:val="2BE32438"/>
    <w:rsid w:val="2C0DB51F"/>
    <w:rsid w:val="2C4E5B0E"/>
    <w:rsid w:val="2D40FCE6"/>
    <w:rsid w:val="2D9223AC"/>
    <w:rsid w:val="2E4B5F0D"/>
    <w:rsid w:val="2E5E4AEF"/>
    <w:rsid w:val="2ED600DC"/>
    <w:rsid w:val="2EE5F300"/>
    <w:rsid w:val="2F01D88F"/>
    <w:rsid w:val="2F21E837"/>
    <w:rsid w:val="2F3FE089"/>
    <w:rsid w:val="2F89C750"/>
    <w:rsid w:val="2F97CE1F"/>
    <w:rsid w:val="2FD90668"/>
    <w:rsid w:val="3022F585"/>
    <w:rsid w:val="30313B04"/>
    <w:rsid w:val="309F3366"/>
    <w:rsid w:val="31099FF3"/>
    <w:rsid w:val="3121CC31"/>
    <w:rsid w:val="320B6F4B"/>
    <w:rsid w:val="326B2CC6"/>
    <w:rsid w:val="329F570B"/>
    <w:rsid w:val="32E3142D"/>
    <w:rsid w:val="331FED17"/>
    <w:rsid w:val="3343CE0C"/>
    <w:rsid w:val="33446247"/>
    <w:rsid w:val="337291F6"/>
    <w:rsid w:val="3432FB36"/>
    <w:rsid w:val="34573AA0"/>
    <w:rsid w:val="35871221"/>
    <w:rsid w:val="35FD5EF2"/>
    <w:rsid w:val="366A66C8"/>
    <w:rsid w:val="36AD647E"/>
    <w:rsid w:val="374D12E5"/>
    <w:rsid w:val="37708A51"/>
    <w:rsid w:val="37DBF8F1"/>
    <w:rsid w:val="37F1FC62"/>
    <w:rsid w:val="3810C2BE"/>
    <w:rsid w:val="384D55EA"/>
    <w:rsid w:val="38547927"/>
    <w:rsid w:val="38AB8210"/>
    <w:rsid w:val="38BE1427"/>
    <w:rsid w:val="38CF9107"/>
    <w:rsid w:val="3963E91D"/>
    <w:rsid w:val="3A1B83DF"/>
    <w:rsid w:val="3A5210FE"/>
    <w:rsid w:val="3A57C0BD"/>
    <w:rsid w:val="3A815CE5"/>
    <w:rsid w:val="3AAD53C7"/>
    <w:rsid w:val="3AB552BC"/>
    <w:rsid w:val="3AFFB97E"/>
    <w:rsid w:val="3B0BE252"/>
    <w:rsid w:val="3B0E920A"/>
    <w:rsid w:val="3BAB6869"/>
    <w:rsid w:val="3BEB04C5"/>
    <w:rsid w:val="3C9B89DF"/>
    <w:rsid w:val="3CB852BE"/>
    <w:rsid w:val="3D15E52A"/>
    <w:rsid w:val="3E102B8C"/>
    <w:rsid w:val="3E256BBE"/>
    <w:rsid w:val="3E2DE675"/>
    <w:rsid w:val="3E65CE30"/>
    <w:rsid w:val="3E9CD3A0"/>
    <w:rsid w:val="3EB7B85F"/>
    <w:rsid w:val="3EE3A51C"/>
    <w:rsid w:val="3EE6D5A6"/>
    <w:rsid w:val="3F2B31E0"/>
    <w:rsid w:val="3F62E1B1"/>
    <w:rsid w:val="3FA31006"/>
    <w:rsid w:val="402AD2D5"/>
    <w:rsid w:val="40797F11"/>
    <w:rsid w:val="407CE14E"/>
    <w:rsid w:val="417ABBDB"/>
    <w:rsid w:val="419D6EF2"/>
    <w:rsid w:val="41BFBFA4"/>
    <w:rsid w:val="4261741E"/>
    <w:rsid w:val="437E5AB7"/>
    <w:rsid w:val="439D51F1"/>
    <w:rsid w:val="43EE9002"/>
    <w:rsid w:val="4421770F"/>
    <w:rsid w:val="448F848A"/>
    <w:rsid w:val="44D2B511"/>
    <w:rsid w:val="451ABEE3"/>
    <w:rsid w:val="4520F70F"/>
    <w:rsid w:val="4590F584"/>
    <w:rsid w:val="459FC8F5"/>
    <w:rsid w:val="45D22335"/>
    <w:rsid w:val="4613F2F6"/>
    <w:rsid w:val="46201964"/>
    <w:rsid w:val="46681301"/>
    <w:rsid w:val="46985145"/>
    <w:rsid w:val="472ACC5B"/>
    <w:rsid w:val="477A0BC4"/>
    <w:rsid w:val="477FD07D"/>
    <w:rsid w:val="4804911A"/>
    <w:rsid w:val="4818FDB7"/>
    <w:rsid w:val="481F7EE4"/>
    <w:rsid w:val="48CDBC3D"/>
    <w:rsid w:val="48D3DA8E"/>
    <w:rsid w:val="49133A93"/>
    <w:rsid w:val="49248A83"/>
    <w:rsid w:val="498764AB"/>
    <w:rsid w:val="4A018F5E"/>
    <w:rsid w:val="4A2B536C"/>
    <w:rsid w:val="4A9C43CA"/>
    <w:rsid w:val="4AD72224"/>
    <w:rsid w:val="4B8C1788"/>
    <w:rsid w:val="4BDBF0A0"/>
    <w:rsid w:val="4BE53EA6"/>
    <w:rsid w:val="4C04BBF2"/>
    <w:rsid w:val="4C270B2A"/>
    <w:rsid w:val="4C5807F8"/>
    <w:rsid w:val="4C929F63"/>
    <w:rsid w:val="4CA5DD10"/>
    <w:rsid w:val="4CD146E4"/>
    <w:rsid w:val="4D24F240"/>
    <w:rsid w:val="4D857A98"/>
    <w:rsid w:val="4DA32AA6"/>
    <w:rsid w:val="4E1EA890"/>
    <w:rsid w:val="4E28B7CE"/>
    <w:rsid w:val="4E684EAB"/>
    <w:rsid w:val="4EA0E14A"/>
    <w:rsid w:val="4EAE4F8E"/>
    <w:rsid w:val="4EB83457"/>
    <w:rsid w:val="4EC8A5E0"/>
    <w:rsid w:val="4ECED983"/>
    <w:rsid w:val="4F344174"/>
    <w:rsid w:val="4F580799"/>
    <w:rsid w:val="4F90C958"/>
    <w:rsid w:val="4FDF4D6F"/>
    <w:rsid w:val="4FE7D2BE"/>
    <w:rsid w:val="5035202F"/>
    <w:rsid w:val="5050A6CE"/>
    <w:rsid w:val="50D011D5"/>
    <w:rsid w:val="50DAAFDA"/>
    <w:rsid w:val="51CD8467"/>
    <w:rsid w:val="521911B3"/>
    <w:rsid w:val="5286A8AB"/>
    <w:rsid w:val="528A0761"/>
    <w:rsid w:val="52A0F47C"/>
    <w:rsid w:val="52C9A661"/>
    <w:rsid w:val="52DA71F9"/>
    <w:rsid w:val="534A0648"/>
    <w:rsid w:val="53B8BDE3"/>
    <w:rsid w:val="53BC4006"/>
    <w:rsid w:val="542209E4"/>
    <w:rsid w:val="54C8E03D"/>
    <w:rsid w:val="54EBB54E"/>
    <w:rsid w:val="54EF6163"/>
    <w:rsid w:val="54F09390"/>
    <w:rsid w:val="55C46F90"/>
    <w:rsid w:val="562AFBC0"/>
    <w:rsid w:val="57AB9424"/>
    <w:rsid w:val="57AC274C"/>
    <w:rsid w:val="5806B8EF"/>
    <w:rsid w:val="5835B083"/>
    <w:rsid w:val="58B028F7"/>
    <w:rsid w:val="58B54621"/>
    <w:rsid w:val="58E8061A"/>
    <w:rsid w:val="5907D66A"/>
    <w:rsid w:val="59397F5D"/>
    <w:rsid w:val="59C5FCF1"/>
    <w:rsid w:val="5A0E3882"/>
    <w:rsid w:val="5A199BC4"/>
    <w:rsid w:val="5A2AA4C5"/>
    <w:rsid w:val="5A5B07D4"/>
    <w:rsid w:val="5A83D67B"/>
    <w:rsid w:val="5B00145C"/>
    <w:rsid w:val="5B2DA956"/>
    <w:rsid w:val="5B3D24DA"/>
    <w:rsid w:val="5B56F2EA"/>
    <w:rsid w:val="5B62618D"/>
    <w:rsid w:val="5BB14082"/>
    <w:rsid w:val="5BBB9343"/>
    <w:rsid w:val="5C20C024"/>
    <w:rsid w:val="5C37D93F"/>
    <w:rsid w:val="5C7C89F5"/>
    <w:rsid w:val="5D05D99B"/>
    <w:rsid w:val="5D661202"/>
    <w:rsid w:val="5DAE2CE2"/>
    <w:rsid w:val="5DD1D3A6"/>
    <w:rsid w:val="5E0A2024"/>
    <w:rsid w:val="5EB44CFC"/>
    <w:rsid w:val="5F0A01BF"/>
    <w:rsid w:val="5F264E0D"/>
    <w:rsid w:val="5FA42750"/>
    <w:rsid w:val="600A041E"/>
    <w:rsid w:val="602069F4"/>
    <w:rsid w:val="605B484E"/>
    <w:rsid w:val="60BF5BE7"/>
    <w:rsid w:val="61144901"/>
    <w:rsid w:val="6144C413"/>
    <w:rsid w:val="618FD68D"/>
    <w:rsid w:val="61BC3A55"/>
    <w:rsid w:val="6230FBE5"/>
    <w:rsid w:val="62427667"/>
    <w:rsid w:val="6275C003"/>
    <w:rsid w:val="62C6FCEF"/>
    <w:rsid w:val="62C86836"/>
    <w:rsid w:val="62D2B05F"/>
    <w:rsid w:val="62EF0CA2"/>
    <w:rsid w:val="63004559"/>
    <w:rsid w:val="632133F9"/>
    <w:rsid w:val="633062C5"/>
    <w:rsid w:val="636198AD"/>
    <w:rsid w:val="63753164"/>
    <w:rsid w:val="63A29E6B"/>
    <w:rsid w:val="63B366FE"/>
    <w:rsid w:val="63F1DF7F"/>
    <w:rsid w:val="643A07D3"/>
    <w:rsid w:val="64625D75"/>
    <w:rsid w:val="648F9301"/>
    <w:rsid w:val="6497165D"/>
    <w:rsid w:val="64A95F1A"/>
    <w:rsid w:val="64D3BA6C"/>
    <w:rsid w:val="6502FD70"/>
    <w:rsid w:val="652A4E96"/>
    <w:rsid w:val="66FC4F7A"/>
    <w:rsid w:val="67A12CA8"/>
    <w:rsid w:val="67B0064B"/>
    <w:rsid w:val="67EAAB8B"/>
    <w:rsid w:val="6840832B"/>
    <w:rsid w:val="6919E450"/>
    <w:rsid w:val="693BCAC5"/>
    <w:rsid w:val="69734583"/>
    <w:rsid w:val="69C0983C"/>
    <w:rsid w:val="69C65CF5"/>
    <w:rsid w:val="6A27ADA6"/>
    <w:rsid w:val="6A3C75AE"/>
    <w:rsid w:val="6A72FDEA"/>
    <w:rsid w:val="6A797A9F"/>
    <w:rsid w:val="6A84908E"/>
    <w:rsid w:val="6AA64786"/>
    <w:rsid w:val="6AA89EEA"/>
    <w:rsid w:val="6AA91BA3"/>
    <w:rsid w:val="6AD20ED4"/>
    <w:rsid w:val="6BAE07D7"/>
    <w:rsid w:val="6BD47994"/>
    <w:rsid w:val="6C06BB6F"/>
    <w:rsid w:val="6C1A47A6"/>
    <w:rsid w:val="6C662F01"/>
    <w:rsid w:val="6CAD4DC2"/>
    <w:rsid w:val="6CD068BD"/>
    <w:rsid w:val="6D31ABFA"/>
    <w:rsid w:val="6D72E780"/>
    <w:rsid w:val="6DAEF4CA"/>
    <w:rsid w:val="6DE0BC65"/>
    <w:rsid w:val="6E6D5E88"/>
    <w:rsid w:val="6EBC1B3C"/>
    <w:rsid w:val="6EFA4A49"/>
    <w:rsid w:val="6F4FE255"/>
    <w:rsid w:val="6F6C6E4E"/>
    <w:rsid w:val="6F7C8CC6"/>
    <w:rsid w:val="6F800330"/>
    <w:rsid w:val="70B9CADB"/>
    <w:rsid w:val="70C1EA7D"/>
    <w:rsid w:val="71016B6C"/>
    <w:rsid w:val="71083EAF"/>
    <w:rsid w:val="71B73D84"/>
    <w:rsid w:val="71C942A4"/>
    <w:rsid w:val="72100CD5"/>
    <w:rsid w:val="721A1AE9"/>
    <w:rsid w:val="723B9BBC"/>
    <w:rsid w:val="729599FD"/>
    <w:rsid w:val="72E08E85"/>
    <w:rsid w:val="72FBE242"/>
    <w:rsid w:val="730C8C6A"/>
    <w:rsid w:val="7333BF65"/>
    <w:rsid w:val="733415EF"/>
    <w:rsid w:val="73A2B3E6"/>
    <w:rsid w:val="73EBD8BA"/>
    <w:rsid w:val="73F98B3F"/>
    <w:rsid w:val="740E8C24"/>
    <w:rsid w:val="7483A86B"/>
    <w:rsid w:val="74B96759"/>
    <w:rsid w:val="74C611E6"/>
    <w:rsid w:val="756D3DCA"/>
    <w:rsid w:val="75AD869D"/>
    <w:rsid w:val="76450E62"/>
    <w:rsid w:val="767124E0"/>
    <w:rsid w:val="767F2AB4"/>
    <w:rsid w:val="76D274F7"/>
    <w:rsid w:val="76F5E482"/>
    <w:rsid w:val="76F8507D"/>
    <w:rsid w:val="771357ED"/>
    <w:rsid w:val="7758C1E7"/>
    <w:rsid w:val="778EDDEE"/>
    <w:rsid w:val="77CE5746"/>
    <w:rsid w:val="77F83150"/>
    <w:rsid w:val="78674B66"/>
    <w:rsid w:val="78BF49DD"/>
    <w:rsid w:val="790B3138"/>
    <w:rsid w:val="799DA319"/>
    <w:rsid w:val="79A48D3C"/>
    <w:rsid w:val="79B20E76"/>
    <w:rsid w:val="79C64322"/>
    <w:rsid w:val="79D5BFE7"/>
    <w:rsid w:val="7B85C3CB"/>
    <w:rsid w:val="7BD2E15A"/>
    <w:rsid w:val="7C02D676"/>
    <w:rsid w:val="7C55E10E"/>
    <w:rsid w:val="7C6523A7"/>
    <w:rsid w:val="7D0C0225"/>
    <w:rsid w:val="7D4D62A7"/>
    <w:rsid w:val="7D4DE6BD"/>
    <w:rsid w:val="7D7D5244"/>
    <w:rsid w:val="7E06B584"/>
    <w:rsid w:val="7E3A3F11"/>
    <w:rsid w:val="7E50821F"/>
    <w:rsid w:val="7F7F9DBB"/>
    <w:rsid w:val="7FD666F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26D906B7"/>
  <w15:docId w15:val="{12963861-3C12-401C-AB53-6F3492C1B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34A5"/>
  </w:style>
  <w:style w:type="paragraph" w:styleId="Heading1">
    <w:name w:val="heading 1"/>
    <w:basedOn w:val="Normal"/>
    <w:next w:val="Normal"/>
    <w:link w:val="Heading1Char"/>
    <w:uiPriority w:val="9"/>
    <w:qFormat/>
    <w:rsid w:val="005E588F"/>
    <w:pPr>
      <w:keepNext/>
      <w:keepLines/>
      <w:spacing w:before="320" w:after="0" w:line="240" w:lineRule="auto"/>
      <w:outlineLvl w:val="0"/>
    </w:pPr>
    <w:rPr>
      <w:rFonts w:asciiTheme="majorHAnsi" w:eastAsiaTheme="majorEastAsia" w:hAnsiTheme="majorHAnsi" w:cstheme="majorBidi"/>
      <w:color w:val="2F5496" w:themeColor="accent1" w:themeShade="BF"/>
      <w:sz w:val="30"/>
      <w:szCs w:val="30"/>
    </w:rPr>
  </w:style>
  <w:style w:type="paragraph" w:styleId="Heading2">
    <w:name w:val="heading 2"/>
    <w:basedOn w:val="Normal"/>
    <w:next w:val="Normal"/>
    <w:link w:val="Heading2Char"/>
    <w:uiPriority w:val="9"/>
    <w:unhideWhenUsed/>
    <w:qFormat/>
    <w:rsid w:val="005E588F"/>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Heading3">
    <w:name w:val="heading 3"/>
    <w:basedOn w:val="Normal"/>
    <w:next w:val="Normal"/>
    <w:link w:val="Heading3Char"/>
    <w:uiPriority w:val="9"/>
    <w:unhideWhenUsed/>
    <w:qFormat/>
    <w:rsid w:val="005E588F"/>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Heading4">
    <w:name w:val="heading 4"/>
    <w:basedOn w:val="Normal"/>
    <w:next w:val="Normal"/>
    <w:link w:val="Heading4Char"/>
    <w:uiPriority w:val="9"/>
    <w:semiHidden/>
    <w:unhideWhenUsed/>
    <w:qFormat/>
    <w:rsid w:val="005E588F"/>
    <w:pPr>
      <w:keepNext/>
      <w:keepLines/>
      <w:spacing w:before="40" w:after="0"/>
      <w:outlineLvl w:val="3"/>
    </w:pPr>
    <w:rPr>
      <w:rFonts w:asciiTheme="majorHAnsi" w:eastAsiaTheme="majorEastAsia" w:hAnsiTheme="majorHAnsi" w:cstheme="majorBidi"/>
      <w:i/>
      <w:iCs/>
      <w:color w:val="2E74B5" w:themeColor="accent5" w:themeShade="BF"/>
      <w:sz w:val="25"/>
      <w:szCs w:val="25"/>
    </w:rPr>
  </w:style>
  <w:style w:type="paragraph" w:styleId="Heading5">
    <w:name w:val="heading 5"/>
    <w:basedOn w:val="Normal"/>
    <w:next w:val="Normal"/>
    <w:link w:val="Heading5Char"/>
    <w:uiPriority w:val="9"/>
    <w:semiHidden/>
    <w:unhideWhenUsed/>
    <w:qFormat/>
    <w:rsid w:val="005E588F"/>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Heading6">
    <w:name w:val="heading 6"/>
    <w:basedOn w:val="Normal"/>
    <w:next w:val="Normal"/>
    <w:link w:val="Heading6Char"/>
    <w:uiPriority w:val="9"/>
    <w:semiHidden/>
    <w:unhideWhenUsed/>
    <w:qFormat/>
    <w:rsid w:val="005E588F"/>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Heading7">
    <w:name w:val="heading 7"/>
    <w:basedOn w:val="Normal"/>
    <w:next w:val="Normal"/>
    <w:link w:val="Heading7Char"/>
    <w:uiPriority w:val="9"/>
    <w:semiHidden/>
    <w:unhideWhenUsed/>
    <w:qFormat/>
    <w:rsid w:val="005E588F"/>
    <w:pPr>
      <w:keepNext/>
      <w:keepLines/>
      <w:spacing w:before="40" w:after="0"/>
      <w:outlineLvl w:val="6"/>
    </w:pPr>
    <w:rPr>
      <w:rFonts w:asciiTheme="majorHAnsi" w:eastAsiaTheme="majorEastAsia" w:hAnsiTheme="majorHAnsi" w:cstheme="majorBidi"/>
      <w:color w:val="1F3864" w:themeColor="accent1" w:themeShade="80"/>
    </w:rPr>
  </w:style>
  <w:style w:type="paragraph" w:styleId="Heading8">
    <w:name w:val="heading 8"/>
    <w:basedOn w:val="Normal"/>
    <w:next w:val="Normal"/>
    <w:link w:val="Heading8Char"/>
    <w:uiPriority w:val="9"/>
    <w:semiHidden/>
    <w:unhideWhenUsed/>
    <w:qFormat/>
    <w:rsid w:val="005E588F"/>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Heading9">
    <w:name w:val="heading 9"/>
    <w:basedOn w:val="Normal"/>
    <w:next w:val="Normal"/>
    <w:link w:val="Heading9Char"/>
    <w:uiPriority w:val="9"/>
    <w:semiHidden/>
    <w:unhideWhenUsed/>
    <w:qFormat/>
    <w:rsid w:val="005E588F"/>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462DB"/>
    <w:rPr>
      <w:color w:val="808080"/>
    </w:rPr>
  </w:style>
  <w:style w:type="character" w:customStyle="1" w:styleId="Heading1Char">
    <w:name w:val="Heading 1 Char"/>
    <w:basedOn w:val="DefaultParagraphFont"/>
    <w:link w:val="Heading1"/>
    <w:uiPriority w:val="9"/>
    <w:rsid w:val="005E588F"/>
    <w:rPr>
      <w:rFonts w:asciiTheme="majorHAnsi" w:eastAsiaTheme="majorEastAsia" w:hAnsiTheme="majorHAnsi" w:cstheme="majorBidi"/>
      <w:color w:val="2F5496" w:themeColor="accent1" w:themeShade="BF"/>
      <w:sz w:val="30"/>
      <w:szCs w:val="30"/>
    </w:rPr>
  </w:style>
  <w:style w:type="paragraph" w:styleId="TOCHeading">
    <w:name w:val="TOC Heading"/>
    <w:basedOn w:val="Heading1"/>
    <w:next w:val="Normal"/>
    <w:uiPriority w:val="39"/>
    <w:unhideWhenUsed/>
    <w:qFormat/>
    <w:rsid w:val="005E588F"/>
    <w:pPr>
      <w:outlineLvl w:val="9"/>
    </w:pPr>
  </w:style>
  <w:style w:type="paragraph" w:styleId="TOC2">
    <w:name w:val="toc 2"/>
    <w:basedOn w:val="Normal"/>
    <w:next w:val="Normal"/>
    <w:autoRedefine/>
    <w:uiPriority w:val="39"/>
    <w:unhideWhenUsed/>
    <w:rsid w:val="00E076DF"/>
    <w:pPr>
      <w:tabs>
        <w:tab w:val="left" w:pos="880"/>
        <w:tab w:val="right" w:leader="dot" w:pos="9350"/>
      </w:tabs>
      <w:spacing w:after="100"/>
      <w:ind w:left="220"/>
    </w:pPr>
    <w:rPr>
      <w:rFonts w:cs="Times New Roman"/>
    </w:rPr>
  </w:style>
  <w:style w:type="paragraph" w:styleId="TOC1">
    <w:name w:val="toc 1"/>
    <w:basedOn w:val="Normal"/>
    <w:next w:val="Normal"/>
    <w:autoRedefine/>
    <w:uiPriority w:val="39"/>
    <w:unhideWhenUsed/>
    <w:rsid w:val="00E076DF"/>
    <w:pPr>
      <w:tabs>
        <w:tab w:val="right" w:leader="dot" w:pos="9350"/>
      </w:tabs>
      <w:spacing w:after="100"/>
    </w:pPr>
    <w:rPr>
      <w:rFonts w:cs="Times New Roman"/>
    </w:rPr>
  </w:style>
  <w:style w:type="paragraph" w:styleId="TOC3">
    <w:name w:val="toc 3"/>
    <w:basedOn w:val="Normal"/>
    <w:next w:val="Normal"/>
    <w:autoRedefine/>
    <w:uiPriority w:val="39"/>
    <w:unhideWhenUsed/>
    <w:rsid w:val="00F462DB"/>
    <w:pPr>
      <w:spacing w:after="100"/>
      <w:ind w:left="440"/>
    </w:pPr>
    <w:rPr>
      <w:rFonts w:cs="Times New Roman"/>
    </w:rPr>
  </w:style>
  <w:style w:type="character" w:styleId="Hyperlink">
    <w:name w:val="Hyperlink"/>
    <w:basedOn w:val="DefaultParagraphFont"/>
    <w:unhideWhenUsed/>
    <w:rsid w:val="00F17F8C"/>
    <w:rPr>
      <w:color w:val="0563C1" w:themeColor="hyperlink"/>
      <w:u w:val="single"/>
    </w:rPr>
  </w:style>
  <w:style w:type="character" w:styleId="UnresolvedMention">
    <w:name w:val="Unresolved Mention"/>
    <w:basedOn w:val="DefaultParagraphFont"/>
    <w:uiPriority w:val="99"/>
    <w:unhideWhenUsed/>
    <w:rsid w:val="00F17F8C"/>
    <w:rPr>
      <w:color w:val="605E5C"/>
      <w:shd w:val="clear" w:color="auto" w:fill="E1DFDD"/>
    </w:rPr>
  </w:style>
  <w:style w:type="character" w:styleId="FollowedHyperlink">
    <w:name w:val="FollowedHyperlink"/>
    <w:basedOn w:val="DefaultParagraphFont"/>
    <w:uiPriority w:val="99"/>
    <w:semiHidden/>
    <w:unhideWhenUsed/>
    <w:rsid w:val="00F17F8C"/>
    <w:rPr>
      <w:color w:val="954F72" w:themeColor="followedHyperlink"/>
      <w:u w:val="single"/>
    </w:rPr>
  </w:style>
  <w:style w:type="paragraph" w:styleId="BalloonText">
    <w:name w:val="Balloon Text"/>
    <w:basedOn w:val="Normal"/>
    <w:link w:val="BalloonTextChar"/>
    <w:uiPriority w:val="99"/>
    <w:semiHidden/>
    <w:unhideWhenUsed/>
    <w:rsid w:val="004252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52C1"/>
    <w:rPr>
      <w:rFonts w:ascii="Segoe UI" w:hAnsi="Segoe UI" w:cs="Segoe UI"/>
      <w:sz w:val="18"/>
      <w:szCs w:val="18"/>
    </w:rPr>
  </w:style>
  <w:style w:type="character" w:customStyle="1" w:styleId="FootnoteRef">
    <w:name w:val="Footnote Ref"/>
    <w:rsid w:val="002335AB"/>
    <w:rPr>
      <w:sz w:val="20"/>
      <w:szCs w:val="20"/>
      <w:vertAlign w:val="superscript"/>
    </w:rPr>
  </w:style>
  <w:style w:type="paragraph" w:customStyle="1" w:styleId="a">
    <w:name w:val="!"/>
    <w:rsid w:val="002335AB"/>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styleId="Caption">
    <w:name w:val="caption"/>
    <w:basedOn w:val="Normal"/>
    <w:next w:val="Normal"/>
    <w:uiPriority w:val="35"/>
    <w:unhideWhenUsed/>
    <w:qFormat/>
    <w:rsid w:val="005E588F"/>
    <w:pPr>
      <w:spacing w:line="240" w:lineRule="auto"/>
    </w:pPr>
    <w:rPr>
      <w:b/>
      <w:bCs/>
      <w:smallCaps/>
      <w:color w:val="4472C4" w:themeColor="accent1"/>
      <w:spacing w:val="6"/>
    </w:rPr>
  </w:style>
  <w:style w:type="character" w:customStyle="1" w:styleId="Level-02">
    <w:name w:val="Level-02"/>
    <w:rsid w:val="004A4B8D"/>
    <w:rPr>
      <w:sz w:val="20"/>
      <w:szCs w:val="20"/>
    </w:rPr>
  </w:style>
  <w:style w:type="paragraph" w:styleId="Header">
    <w:name w:val="header"/>
    <w:basedOn w:val="Normal"/>
    <w:link w:val="HeaderChar"/>
    <w:unhideWhenUsed/>
    <w:rsid w:val="00997E71"/>
    <w:pPr>
      <w:tabs>
        <w:tab w:val="center" w:pos="4680"/>
        <w:tab w:val="right" w:pos="9360"/>
      </w:tabs>
      <w:spacing w:after="0" w:line="240" w:lineRule="auto"/>
    </w:pPr>
  </w:style>
  <w:style w:type="character" w:customStyle="1" w:styleId="HeaderChar">
    <w:name w:val="Header Char"/>
    <w:basedOn w:val="DefaultParagraphFont"/>
    <w:link w:val="Header"/>
    <w:rsid w:val="00997E71"/>
  </w:style>
  <w:style w:type="paragraph" w:styleId="Footer">
    <w:name w:val="footer"/>
    <w:basedOn w:val="Normal"/>
    <w:link w:val="FooterChar"/>
    <w:unhideWhenUsed/>
    <w:rsid w:val="00997E71"/>
    <w:pPr>
      <w:tabs>
        <w:tab w:val="center" w:pos="4680"/>
        <w:tab w:val="right" w:pos="9360"/>
      </w:tabs>
      <w:spacing w:after="0" w:line="240" w:lineRule="auto"/>
    </w:pPr>
  </w:style>
  <w:style w:type="character" w:customStyle="1" w:styleId="FooterChar">
    <w:name w:val="Footer Char"/>
    <w:basedOn w:val="DefaultParagraphFont"/>
    <w:link w:val="Footer"/>
    <w:rsid w:val="00997E71"/>
  </w:style>
  <w:style w:type="paragraph" w:styleId="CommentText">
    <w:name w:val="annotation text"/>
    <w:basedOn w:val="Normal"/>
    <w:link w:val="CommentTextChar"/>
    <w:uiPriority w:val="99"/>
    <w:unhideWhenUsed/>
    <w:rsid w:val="00997E71"/>
    <w:pPr>
      <w:spacing w:line="240" w:lineRule="auto"/>
    </w:pPr>
    <w:rPr>
      <w:sz w:val="20"/>
      <w:szCs w:val="20"/>
    </w:rPr>
  </w:style>
  <w:style w:type="character" w:customStyle="1" w:styleId="CommentTextChar">
    <w:name w:val="Comment Text Char"/>
    <w:basedOn w:val="DefaultParagraphFont"/>
    <w:link w:val="CommentText"/>
    <w:uiPriority w:val="99"/>
    <w:rsid w:val="00997E71"/>
    <w:rPr>
      <w:sz w:val="20"/>
      <w:szCs w:val="20"/>
    </w:rPr>
  </w:style>
  <w:style w:type="character" w:styleId="CommentReference">
    <w:name w:val="annotation reference"/>
    <w:basedOn w:val="DefaultParagraphFont"/>
    <w:uiPriority w:val="99"/>
    <w:semiHidden/>
    <w:unhideWhenUsed/>
    <w:rsid w:val="00997E71"/>
    <w:rPr>
      <w:sz w:val="16"/>
      <w:szCs w:val="16"/>
    </w:rPr>
  </w:style>
  <w:style w:type="paragraph" w:styleId="ListParagraph">
    <w:name w:val="List Paragraph"/>
    <w:basedOn w:val="Normal"/>
    <w:uiPriority w:val="34"/>
    <w:qFormat/>
    <w:pPr>
      <w:ind w:left="720"/>
      <w:contextualSpacing/>
    </w:pPr>
  </w:style>
  <w:style w:type="paragraph" w:styleId="CommentSubject">
    <w:name w:val="annotation subject"/>
    <w:basedOn w:val="CommentText"/>
    <w:next w:val="CommentText"/>
    <w:link w:val="CommentSubjectChar"/>
    <w:uiPriority w:val="99"/>
    <w:semiHidden/>
    <w:unhideWhenUsed/>
    <w:rsid w:val="00427079"/>
    <w:rPr>
      <w:b/>
      <w:bCs/>
    </w:rPr>
  </w:style>
  <w:style w:type="character" w:customStyle="1" w:styleId="CommentSubjectChar">
    <w:name w:val="Comment Subject Char"/>
    <w:basedOn w:val="CommentTextChar"/>
    <w:link w:val="CommentSubject"/>
    <w:uiPriority w:val="99"/>
    <w:semiHidden/>
    <w:rsid w:val="00427079"/>
    <w:rPr>
      <w:b/>
      <w:bCs/>
      <w:sz w:val="20"/>
      <w:szCs w:val="20"/>
    </w:rPr>
  </w:style>
  <w:style w:type="paragraph" w:styleId="Revision">
    <w:name w:val="Revision"/>
    <w:hidden/>
    <w:uiPriority w:val="99"/>
    <w:semiHidden/>
    <w:rsid w:val="00100432"/>
    <w:pPr>
      <w:spacing w:after="0" w:line="240" w:lineRule="auto"/>
    </w:pPr>
  </w:style>
  <w:style w:type="paragraph" w:styleId="FootnoteText">
    <w:name w:val="footnote text"/>
    <w:basedOn w:val="Normal"/>
    <w:link w:val="FootnoteTextChar"/>
    <w:uiPriority w:val="99"/>
    <w:unhideWhenUsed/>
    <w:rsid w:val="005723B9"/>
    <w:pPr>
      <w:spacing w:after="0" w:line="240" w:lineRule="auto"/>
    </w:pPr>
    <w:rPr>
      <w:sz w:val="20"/>
      <w:szCs w:val="20"/>
    </w:rPr>
  </w:style>
  <w:style w:type="character" w:customStyle="1" w:styleId="FootnoteTextChar">
    <w:name w:val="Footnote Text Char"/>
    <w:basedOn w:val="DefaultParagraphFont"/>
    <w:link w:val="FootnoteText"/>
    <w:uiPriority w:val="99"/>
    <w:rsid w:val="005723B9"/>
    <w:rPr>
      <w:sz w:val="20"/>
      <w:szCs w:val="20"/>
    </w:rPr>
  </w:style>
  <w:style w:type="character" w:styleId="FootnoteReference">
    <w:name w:val="footnote reference"/>
    <w:basedOn w:val="DefaultParagraphFont"/>
    <w:uiPriority w:val="99"/>
    <w:unhideWhenUsed/>
    <w:rsid w:val="005723B9"/>
    <w:rPr>
      <w:vertAlign w:val="superscript"/>
    </w:rPr>
  </w:style>
  <w:style w:type="character" w:customStyle="1" w:styleId="Heading2Char">
    <w:name w:val="Heading 2 Char"/>
    <w:basedOn w:val="DefaultParagraphFont"/>
    <w:link w:val="Heading2"/>
    <w:uiPriority w:val="9"/>
    <w:rsid w:val="005E588F"/>
    <w:rPr>
      <w:rFonts w:asciiTheme="majorHAnsi" w:eastAsiaTheme="majorEastAsia" w:hAnsiTheme="majorHAnsi" w:cstheme="majorBidi"/>
      <w:color w:val="C45911" w:themeColor="accent2" w:themeShade="BF"/>
      <w:sz w:val="28"/>
      <w:szCs w:val="28"/>
    </w:rPr>
  </w:style>
  <w:style w:type="character" w:customStyle="1" w:styleId="Heading3Char">
    <w:name w:val="Heading 3 Char"/>
    <w:basedOn w:val="DefaultParagraphFont"/>
    <w:link w:val="Heading3"/>
    <w:uiPriority w:val="9"/>
    <w:rsid w:val="005E588F"/>
    <w:rPr>
      <w:rFonts w:asciiTheme="majorHAnsi" w:eastAsiaTheme="majorEastAsia" w:hAnsiTheme="majorHAnsi" w:cstheme="majorBidi"/>
      <w:color w:val="538135" w:themeColor="accent6" w:themeShade="BF"/>
      <w:sz w:val="26"/>
      <w:szCs w:val="26"/>
    </w:rPr>
  </w:style>
  <w:style w:type="character" w:customStyle="1" w:styleId="Heading4Char">
    <w:name w:val="Heading 4 Char"/>
    <w:basedOn w:val="DefaultParagraphFont"/>
    <w:link w:val="Heading4"/>
    <w:uiPriority w:val="9"/>
    <w:semiHidden/>
    <w:rsid w:val="005E588F"/>
    <w:rPr>
      <w:rFonts w:asciiTheme="majorHAnsi" w:eastAsiaTheme="majorEastAsia" w:hAnsiTheme="majorHAnsi" w:cstheme="majorBidi"/>
      <w:i/>
      <w:iCs/>
      <w:color w:val="2E74B5" w:themeColor="accent5" w:themeShade="BF"/>
      <w:sz w:val="25"/>
      <w:szCs w:val="25"/>
    </w:rPr>
  </w:style>
  <w:style w:type="character" w:customStyle="1" w:styleId="Heading5Char">
    <w:name w:val="Heading 5 Char"/>
    <w:basedOn w:val="DefaultParagraphFont"/>
    <w:link w:val="Heading5"/>
    <w:uiPriority w:val="9"/>
    <w:semiHidden/>
    <w:rsid w:val="005E588F"/>
    <w:rPr>
      <w:rFonts w:asciiTheme="majorHAnsi" w:eastAsiaTheme="majorEastAsia" w:hAnsiTheme="majorHAnsi" w:cstheme="majorBidi"/>
      <w:i/>
      <w:iCs/>
      <w:color w:val="833C0B" w:themeColor="accent2" w:themeShade="80"/>
      <w:sz w:val="24"/>
      <w:szCs w:val="24"/>
    </w:rPr>
  </w:style>
  <w:style w:type="character" w:customStyle="1" w:styleId="Heading6Char">
    <w:name w:val="Heading 6 Char"/>
    <w:basedOn w:val="DefaultParagraphFont"/>
    <w:link w:val="Heading6"/>
    <w:uiPriority w:val="9"/>
    <w:semiHidden/>
    <w:rsid w:val="005E588F"/>
    <w:rPr>
      <w:rFonts w:asciiTheme="majorHAnsi" w:eastAsiaTheme="majorEastAsia" w:hAnsiTheme="majorHAnsi" w:cstheme="majorBidi"/>
      <w:i/>
      <w:iCs/>
      <w:color w:val="385623" w:themeColor="accent6" w:themeShade="80"/>
      <w:sz w:val="23"/>
      <w:szCs w:val="23"/>
    </w:rPr>
  </w:style>
  <w:style w:type="character" w:customStyle="1" w:styleId="Heading7Char">
    <w:name w:val="Heading 7 Char"/>
    <w:basedOn w:val="DefaultParagraphFont"/>
    <w:link w:val="Heading7"/>
    <w:uiPriority w:val="9"/>
    <w:semiHidden/>
    <w:rsid w:val="005E588F"/>
    <w:rPr>
      <w:rFonts w:asciiTheme="majorHAnsi" w:eastAsiaTheme="majorEastAsia" w:hAnsiTheme="majorHAnsi" w:cstheme="majorBidi"/>
      <w:color w:val="1F3864" w:themeColor="accent1" w:themeShade="80"/>
    </w:rPr>
  </w:style>
  <w:style w:type="character" w:customStyle="1" w:styleId="Heading8Char">
    <w:name w:val="Heading 8 Char"/>
    <w:basedOn w:val="DefaultParagraphFont"/>
    <w:link w:val="Heading8"/>
    <w:uiPriority w:val="9"/>
    <w:semiHidden/>
    <w:rsid w:val="005E588F"/>
    <w:rPr>
      <w:rFonts w:asciiTheme="majorHAnsi" w:eastAsiaTheme="majorEastAsia" w:hAnsiTheme="majorHAnsi" w:cstheme="majorBidi"/>
      <w:color w:val="833C0B" w:themeColor="accent2" w:themeShade="80"/>
      <w:sz w:val="21"/>
      <w:szCs w:val="21"/>
    </w:rPr>
  </w:style>
  <w:style w:type="character" w:customStyle="1" w:styleId="Heading9Char">
    <w:name w:val="Heading 9 Char"/>
    <w:basedOn w:val="DefaultParagraphFont"/>
    <w:link w:val="Heading9"/>
    <w:uiPriority w:val="9"/>
    <w:semiHidden/>
    <w:rsid w:val="005E588F"/>
    <w:rPr>
      <w:rFonts w:asciiTheme="majorHAnsi" w:eastAsiaTheme="majorEastAsia" w:hAnsiTheme="majorHAnsi" w:cstheme="majorBidi"/>
      <w:color w:val="385623" w:themeColor="accent6" w:themeShade="80"/>
    </w:rPr>
  </w:style>
  <w:style w:type="paragraph" w:styleId="Title">
    <w:name w:val="Title"/>
    <w:basedOn w:val="Normal"/>
    <w:next w:val="Normal"/>
    <w:link w:val="TitleChar"/>
    <w:uiPriority w:val="10"/>
    <w:qFormat/>
    <w:rsid w:val="005E588F"/>
    <w:pPr>
      <w:spacing w:after="0" w:line="240" w:lineRule="auto"/>
      <w:contextualSpacing/>
    </w:pPr>
    <w:rPr>
      <w:rFonts w:asciiTheme="majorHAnsi" w:eastAsiaTheme="majorEastAsia" w:hAnsiTheme="majorHAnsi" w:cstheme="majorBidi"/>
      <w:color w:val="2F5496" w:themeColor="accent1" w:themeShade="BF"/>
      <w:spacing w:val="-10"/>
      <w:sz w:val="52"/>
      <w:szCs w:val="52"/>
    </w:rPr>
  </w:style>
  <w:style w:type="character" w:customStyle="1" w:styleId="TitleChar">
    <w:name w:val="Title Char"/>
    <w:basedOn w:val="DefaultParagraphFont"/>
    <w:link w:val="Title"/>
    <w:uiPriority w:val="10"/>
    <w:rsid w:val="005E588F"/>
    <w:rPr>
      <w:rFonts w:asciiTheme="majorHAnsi" w:eastAsiaTheme="majorEastAsia" w:hAnsiTheme="majorHAnsi" w:cstheme="majorBidi"/>
      <w:color w:val="2F5496" w:themeColor="accent1" w:themeShade="BF"/>
      <w:spacing w:val="-10"/>
      <w:sz w:val="52"/>
      <w:szCs w:val="52"/>
    </w:rPr>
  </w:style>
  <w:style w:type="paragraph" w:styleId="Subtitle">
    <w:name w:val="Subtitle"/>
    <w:basedOn w:val="Normal"/>
    <w:next w:val="Normal"/>
    <w:link w:val="SubtitleChar"/>
    <w:uiPriority w:val="11"/>
    <w:qFormat/>
    <w:rsid w:val="005E588F"/>
    <w:pPr>
      <w:numPr>
        <w:ilvl w:val="1"/>
      </w:numPr>
      <w:spacing w:line="240" w:lineRule="auto"/>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5E588F"/>
    <w:rPr>
      <w:rFonts w:asciiTheme="majorHAnsi" w:eastAsiaTheme="majorEastAsia" w:hAnsiTheme="majorHAnsi" w:cstheme="majorBidi"/>
    </w:rPr>
  </w:style>
  <w:style w:type="character" w:styleId="Strong">
    <w:name w:val="Strong"/>
    <w:basedOn w:val="DefaultParagraphFont"/>
    <w:uiPriority w:val="22"/>
    <w:qFormat/>
    <w:rsid w:val="005E588F"/>
    <w:rPr>
      <w:b/>
      <w:bCs/>
    </w:rPr>
  </w:style>
  <w:style w:type="character" w:styleId="Emphasis">
    <w:name w:val="Emphasis"/>
    <w:basedOn w:val="DefaultParagraphFont"/>
    <w:uiPriority w:val="20"/>
    <w:qFormat/>
    <w:rsid w:val="005E588F"/>
    <w:rPr>
      <w:i/>
      <w:iCs/>
    </w:rPr>
  </w:style>
  <w:style w:type="paragraph" w:styleId="NoSpacing">
    <w:name w:val="No Spacing"/>
    <w:uiPriority w:val="1"/>
    <w:qFormat/>
    <w:rsid w:val="005E588F"/>
    <w:pPr>
      <w:spacing w:after="0" w:line="240" w:lineRule="auto"/>
    </w:pPr>
  </w:style>
  <w:style w:type="paragraph" w:styleId="Quote">
    <w:name w:val="Quote"/>
    <w:basedOn w:val="Normal"/>
    <w:next w:val="Normal"/>
    <w:link w:val="QuoteChar"/>
    <w:uiPriority w:val="29"/>
    <w:qFormat/>
    <w:rsid w:val="005E588F"/>
    <w:pPr>
      <w:spacing w:before="120"/>
      <w:ind w:left="720" w:right="720"/>
      <w:jc w:val="center"/>
    </w:pPr>
    <w:rPr>
      <w:i/>
      <w:iCs/>
    </w:rPr>
  </w:style>
  <w:style w:type="character" w:customStyle="1" w:styleId="QuoteChar">
    <w:name w:val="Quote Char"/>
    <w:basedOn w:val="DefaultParagraphFont"/>
    <w:link w:val="Quote"/>
    <w:uiPriority w:val="29"/>
    <w:rsid w:val="005E588F"/>
    <w:rPr>
      <w:i/>
      <w:iCs/>
    </w:rPr>
  </w:style>
  <w:style w:type="paragraph" w:styleId="IntenseQuote">
    <w:name w:val="Intense Quote"/>
    <w:basedOn w:val="Normal"/>
    <w:next w:val="Normal"/>
    <w:link w:val="IntenseQuoteChar"/>
    <w:uiPriority w:val="30"/>
    <w:qFormat/>
    <w:rsid w:val="005E588F"/>
    <w:pPr>
      <w:spacing w:before="120" w:line="300" w:lineRule="auto"/>
      <w:ind w:left="576" w:right="576"/>
      <w:jc w:val="center"/>
    </w:pPr>
    <w:rPr>
      <w:rFonts w:asciiTheme="majorHAnsi" w:eastAsiaTheme="majorEastAsia" w:hAnsiTheme="majorHAnsi" w:cstheme="majorBidi"/>
      <w:color w:val="4472C4" w:themeColor="accent1"/>
      <w:sz w:val="24"/>
      <w:szCs w:val="24"/>
    </w:rPr>
  </w:style>
  <w:style w:type="character" w:customStyle="1" w:styleId="IntenseQuoteChar">
    <w:name w:val="Intense Quote Char"/>
    <w:basedOn w:val="DefaultParagraphFont"/>
    <w:link w:val="IntenseQuote"/>
    <w:uiPriority w:val="30"/>
    <w:rsid w:val="005E588F"/>
    <w:rPr>
      <w:rFonts w:asciiTheme="majorHAnsi" w:eastAsiaTheme="majorEastAsia" w:hAnsiTheme="majorHAnsi" w:cstheme="majorBidi"/>
      <w:color w:val="4472C4" w:themeColor="accent1"/>
      <w:sz w:val="24"/>
      <w:szCs w:val="24"/>
    </w:rPr>
  </w:style>
  <w:style w:type="character" w:styleId="SubtleEmphasis">
    <w:name w:val="Subtle Emphasis"/>
    <w:basedOn w:val="DefaultParagraphFont"/>
    <w:uiPriority w:val="19"/>
    <w:qFormat/>
    <w:rsid w:val="005E588F"/>
    <w:rPr>
      <w:i/>
      <w:iCs/>
      <w:color w:val="404040" w:themeColor="text1" w:themeTint="BF"/>
    </w:rPr>
  </w:style>
  <w:style w:type="character" w:styleId="IntenseEmphasis">
    <w:name w:val="Intense Emphasis"/>
    <w:basedOn w:val="DefaultParagraphFont"/>
    <w:uiPriority w:val="21"/>
    <w:qFormat/>
    <w:rsid w:val="005E588F"/>
    <w:rPr>
      <w:b w:val="0"/>
      <w:bCs w:val="0"/>
      <w:i/>
      <w:iCs/>
      <w:color w:val="4472C4" w:themeColor="accent1"/>
    </w:rPr>
  </w:style>
  <w:style w:type="character" w:styleId="SubtleReference">
    <w:name w:val="Subtle Reference"/>
    <w:basedOn w:val="DefaultParagraphFont"/>
    <w:uiPriority w:val="31"/>
    <w:qFormat/>
    <w:rsid w:val="005E588F"/>
    <w:rPr>
      <w:smallCaps/>
      <w:color w:val="404040" w:themeColor="text1" w:themeTint="BF"/>
      <w:u w:val="single" w:color="7F7F7F"/>
    </w:rPr>
  </w:style>
  <w:style w:type="character" w:styleId="IntenseReference">
    <w:name w:val="Intense Reference"/>
    <w:basedOn w:val="DefaultParagraphFont"/>
    <w:uiPriority w:val="32"/>
    <w:qFormat/>
    <w:rsid w:val="005E588F"/>
    <w:rPr>
      <w:b/>
      <w:bCs/>
      <w:smallCaps/>
      <w:color w:val="4472C4" w:themeColor="accent1"/>
      <w:spacing w:val="5"/>
      <w:u w:val="single"/>
    </w:rPr>
  </w:style>
  <w:style w:type="character" w:styleId="BookTitle">
    <w:name w:val="Book Title"/>
    <w:basedOn w:val="DefaultParagraphFont"/>
    <w:uiPriority w:val="33"/>
    <w:qFormat/>
    <w:rsid w:val="005E588F"/>
    <w:rPr>
      <w:b/>
      <w:bCs/>
      <w:smallCaps/>
    </w:rPr>
  </w:style>
  <w:style w:type="character" w:customStyle="1" w:styleId="normaltextrun">
    <w:name w:val="normaltextrun"/>
    <w:basedOn w:val="DefaultParagraphFont"/>
    <w:rsid w:val="00EF7A31"/>
  </w:style>
  <w:style w:type="character" w:customStyle="1" w:styleId="eop">
    <w:name w:val="eop"/>
    <w:basedOn w:val="DefaultParagraphFont"/>
    <w:rsid w:val="00EF7A31"/>
  </w:style>
  <w:style w:type="paragraph" w:customStyle="1" w:styleId="paragraph">
    <w:name w:val="paragraph"/>
    <w:basedOn w:val="Normal"/>
    <w:rsid w:val="003565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xtualspellingandgrammarerror">
    <w:name w:val="contextualspellingandgrammarerror"/>
    <w:basedOn w:val="DefaultParagraphFont"/>
    <w:rsid w:val="003565B6"/>
  </w:style>
  <w:style w:type="character" w:customStyle="1" w:styleId="advancedproofingissue">
    <w:name w:val="advancedproofingissue"/>
    <w:basedOn w:val="DefaultParagraphFont"/>
    <w:rsid w:val="002420F2"/>
  </w:style>
  <w:style w:type="table" w:styleId="TableGrid">
    <w:name w:val="Table Grid"/>
    <w:basedOn w:val="TableNormal"/>
    <w:rsid w:val="00A361CE"/>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A361CE"/>
  </w:style>
  <w:style w:type="paragraph" w:styleId="NormalWeb">
    <w:name w:val="Normal (Web)"/>
    <w:basedOn w:val="Normal"/>
    <w:uiPriority w:val="99"/>
    <w:unhideWhenUsed/>
    <w:rsid w:val="00BB432F"/>
    <w:pPr>
      <w:spacing w:after="0" w:line="240" w:lineRule="auto"/>
    </w:pPr>
    <w:rPr>
      <w:rFonts w:ascii="Calibri" w:hAnsi="Calibri" w:eastAsiaTheme="minorHAnsi" w:cs="Calibri"/>
    </w:rPr>
  </w:style>
  <w:style w:type="paragraph" w:customStyle="1" w:styleId="EPAHeading">
    <w:name w:val="EPA Heading"/>
    <w:basedOn w:val="Header"/>
    <w:link w:val="EPAHeadingChar"/>
    <w:qFormat/>
    <w:rsid w:val="004E1D45"/>
    <w:rPr>
      <w:rFonts w:cstheme="minorHAnsi"/>
      <w:b/>
      <w:bCs/>
    </w:rPr>
  </w:style>
  <w:style w:type="character" w:customStyle="1" w:styleId="EPAHeadingChar">
    <w:name w:val="EPA Heading Char"/>
    <w:basedOn w:val="HeaderChar"/>
    <w:link w:val="EPAHeading"/>
    <w:rsid w:val="004E1D45"/>
    <w:rPr>
      <w:rFonts w:cstheme="minorHAnsi"/>
      <w:b/>
      <w:bCs/>
    </w:rPr>
  </w:style>
  <w:style w:type="paragraph" w:customStyle="1" w:styleId="EPAHeading2">
    <w:name w:val="EPA Heading 2"/>
    <w:basedOn w:val="Heading1"/>
    <w:next w:val="Normal"/>
    <w:link w:val="EPAHeading2Char"/>
    <w:qFormat/>
    <w:rsid w:val="004E1D45"/>
    <w:pPr>
      <w:numPr>
        <w:numId w:val="25"/>
      </w:numPr>
      <w:pBdr>
        <w:bottom w:val="single" w:sz="4" w:space="1" w:color="auto"/>
      </w:pBdr>
      <w:spacing w:before="240"/>
    </w:pPr>
    <w:rPr>
      <w:rFonts w:asciiTheme="minorHAnsi" w:hAnsiTheme="minorHAnsi" w:cstheme="minorHAnsi"/>
      <w:b/>
      <w:bCs/>
      <w:color w:val="auto"/>
      <w:sz w:val="22"/>
    </w:rPr>
  </w:style>
  <w:style w:type="character" w:customStyle="1" w:styleId="EPAHeading2Char">
    <w:name w:val="EPA Heading 2 Char"/>
    <w:basedOn w:val="Heading1Char"/>
    <w:link w:val="EPAHeading2"/>
    <w:rsid w:val="004E1D45"/>
    <w:rPr>
      <w:rFonts w:asciiTheme="majorHAnsi" w:eastAsiaTheme="majorEastAsia" w:hAnsiTheme="majorHAnsi" w:cstheme="minorHAnsi"/>
      <w:b/>
      <w:bCs/>
      <w:color w:val="2F5496" w:themeColor="accent1" w:themeShade="BF"/>
      <w:sz w:val="30"/>
      <w:szCs w:val="30"/>
    </w:rPr>
  </w:style>
  <w:style w:type="paragraph" w:customStyle="1" w:styleId="Style1">
    <w:name w:val="Style1"/>
    <w:basedOn w:val="Heading2"/>
    <w:qFormat/>
    <w:rsid w:val="00DF6672"/>
    <w:pPr>
      <w:spacing w:before="120"/>
    </w:pPr>
    <w:rPr>
      <w:rFonts w:asciiTheme="minorHAnsi" w:hAnsiTheme="minorHAnsi" w:cstheme="minorHAnsi"/>
      <w:b/>
      <w:bCs/>
      <w:color w:val="auto"/>
      <w:sz w:val="22"/>
    </w:rPr>
  </w:style>
  <w:style w:type="character" w:styleId="Mention">
    <w:name w:val="Mention"/>
    <w:basedOn w:val="DefaultParagraphFont"/>
    <w:uiPriority w:val="99"/>
    <w:unhideWhenUsed/>
    <w:rsid w:val="006001F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www.rtk.net" TargetMode="External" /><Relationship Id="rId11" Type="http://schemas.openxmlformats.org/officeDocument/2006/relationships/header" Target="head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j4502-fs18.github.io/Right-to-Know/rmp.html"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store.usps.com/store/results/stamps/_/N-9y93l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829BAA98A669448AA00C14375F7321B" ma:contentTypeVersion="15" ma:contentTypeDescription="Create a new document." ma:contentTypeScope="" ma:versionID="6377b63d2e2bc69f49bc7688d7855657">
  <xsd:schema xmlns:xsd="http://www.w3.org/2001/XMLSchema" xmlns:xs="http://www.w3.org/2001/XMLSchema" xmlns:p="http://schemas.microsoft.com/office/2006/metadata/properties" xmlns:ns2="ff851fb3-1a43-4650-9573-f8d09a594f92" xmlns:ns3="90c7abac-10f6-40f3-a610-cd5cf5fdbda6" xmlns:ns4="fa6a9aea-fb0f-4ddd-aff8-712634b7d5fe" targetNamespace="http://schemas.microsoft.com/office/2006/metadata/properties" ma:root="true" ma:fieldsID="bfa0c1aa019d22123f34e5e3fdb2968c" ns2:_="" ns3:_="" ns4:_="">
    <xsd:import namespace="ff851fb3-1a43-4650-9573-f8d09a594f92"/>
    <xsd:import namespace="90c7abac-10f6-40f3-a610-cd5cf5fdbda6"/>
    <xsd:import namespace="fa6a9aea-fb0f-4ddd-aff8-712634b7d5f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lcf76f155ced4ddcb4097134ff3c332f" minOccurs="0"/>
                <xsd:element ref="ns4: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51fb3-1a43-4650-9573-f8d09a594f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856f2ee-118d-42e8-91de-064c9a66b685"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c7abac-10f6-40f3-a610-cd5cf5fdbda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6a9aea-fb0f-4ddd-aff8-712634b7d5fe"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f34bee8-7dde-405f-afd1-9dc1249e06dc}" ma:internalName="TaxCatchAll" ma:showField="CatchAllData" ma:web="90c7abac-10f6-40f3-a610-cd5cf5fdbd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fa6a9aea-fb0f-4ddd-aff8-712634b7d5fe" xsi:nil="true"/>
    <lcf76f155ced4ddcb4097134ff3c332f xmlns="ff851fb3-1a43-4650-9573-f8d09a594f9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AC11DD8-5415-43A4-B697-62AC812BCC73}">
  <ds:schemaRefs>
    <ds:schemaRef ds:uri="http://schemas.microsoft.com/sharepoint/v3/contenttype/forms"/>
  </ds:schemaRefs>
</ds:datastoreItem>
</file>

<file path=customXml/itemProps2.xml><?xml version="1.0" encoding="utf-8"?>
<ds:datastoreItem xmlns:ds="http://schemas.openxmlformats.org/officeDocument/2006/customXml" ds:itemID="{4F41F9B2-1A34-4F2A-A860-68A9947038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51fb3-1a43-4650-9573-f8d09a594f92"/>
    <ds:schemaRef ds:uri="90c7abac-10f6-40f3-a610-cd5cf5fdbda6"/>
    <ds:schemaRef ds:uri="fa6a9aea-fb0f-4ddd-aff8-712634b7d5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3A42AE-7E2D-4A1B-B833-4CF08E3A9D97}">
  <ds:schemaRefs>
    <ds:schemaRef ds:uri="http://schemas.openxmlformats.org/officeDocument/2006/bibliography"/>
  </ds:schemaRefs>
</ds:datastoreItem>
</file>

<file path=customXml/itemProps4.xml><?xml version="1.0" encoding="utf-8"?>
<ds:datastoreItem xmlns:ds="http://schemas.openxmlformats.org/officeDocument/2006/customXml" ds:itemID="{E5033098-BF7F-4D78-8529-0AFBF5D8899C}">
  <ds:schemaRefs>
    <ds:schemaRef ds:uri="http://schemas.microsoft.com/office/2006/metadata/properties"/>
    <ds:schemaRef ds:uri="http://schemas.microsoft.com/office/infopath/2007/PartnerControls"/>
    <ds:schemaRef ds:uri="fa6a9aea-fb0f-4ddd-aff8-712634b7d5fe"/>
    <ds:schemaRef ds:uri="ff851fb3-1a43-4650-9573-f8d09a594f92"/>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List>
</file>

<file path=docProps/app.xml><?xml version="1.0" encoding="utf-8"?>
<Properties xmlns="http://schemas.openxmlformats.org/officeDocument/2006/extended-properties" xmlns:vt="http://schemas.openxmlformats.org/officeDocument/2006/docPropsVTypes">
  <Template>Normal.dotm</Template>
  <TotalTime>422</TotalTime>
  <Pages>16</Pages>
  <Words>6158</Words>
  <Characters>35105</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18Q Supporting Statement Instructions_draft</vt:lpstr>
    </vt:vector>
  </TitlesOfParts>
  <Company/>
  <LinksUpToDate>false</LinksUpToDate>
  <CharactersWithSpaces>41181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18Q Supporting Statement Instructions_draft</dc:title>
  <dc:creator>McGrath, Daniel</dc:creator>
  <cp:lastModifiedBy>Bill Noggle</cp:lastModifiedBy>
  <cp:revision>70</cp:revision>
  <dcterms:created xsi:type="dcterms:W3CDTF">2025-09-03T12:03:00Z</dcterms:created>
  <dcterms:modified xsi:type="dcterms:W3CDTF">2025-09-04T17:53:00Z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0x0101008829BAA98A669448AA00C14375F7321B</vt:lpwstr>
  </property>
  <property fmtid="{D5CDD505-2E9C-101B-9397-08002B2CF9AE}" pid="3" name="Document Type">
    <vt:lpwstr/>
  </property>
  <property fmtid="{D5CDD505-2E9C-101B-9397-08002B2CF9AE}" pid="4" name="e3f09c3df709400db2417a7161762d62">
    <vt:lpwstr/>
  </property>
  <property fmtid="{D5CDD505-2E9C-101B-9397-08002B2CF9AE}" pid="5" name="EPA Subject">
    <vt:lpwstr/>
  </property>
  <property fmtid="{D5CDD505-2E9C-101B-9397-08002B2CF9AE}" pid="6" name="GrammarlyDocumentId">
    <vt:lpwstr>a86e2fc53bbd1bcb0284f45b3c0d02852a05458551506f0bb17e01f1c2acf9c3</vt:lpwstr>
  </property>
  <property fmtid="{D5CDD505-2E9C-101B-9397-08002B2CF9AE}" pid="7" name="MediaServiceImageTags">
    <vt:lpwstr/>
  </property>
  <property fmtid="{D5CDD505-2E9C-101B-9397-08002B2CF9AE}" pid="8" name="TaxKeyword">
    <vt:lpwstr/>
  </property>
  <property fmtid="{D5CDD505-2E9C-101B-9397-08002B2CF9AE}" pid="9" name="_ExtendedDescription">
    <vt:lpwstr/>
  </property>
</Properties>
</file>