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63B366FE" w:rsidRPr="00CB038B" w:rsidP="11AB4B38" w14:paraId="46692DEB" w14:textId="18E8CE09">
      <w:pPr>
        <w:spacing w:after="0"/>
        <w:jc w:val="center"/>
        <w:rPr>
          <w:sz w:val="32"/>
          <w:szCs w:val="32"/>
        </w:rPr>
      </w:pPr>
      <w:bookmarkStart w:id="0" w:name="_Toc49148152"/>
      <w:r w:rsidRPr="11AB4B38">
        <w:rPr>
          <w:sz w:val="32"/>
          <w:szCs w:val="32"/>
        </w:rPr>
        <w:t>U.S. Environmental Protection Agency</w:t>
      </w:r>
    </w:p>
    <w:p w:rsidR="00DE4E0C" w:rsidRPr="00CB038B" w:rsidP="11AB4B38" w14:paraId="1A3CA841" w14:textId="4B14E2EE">
      <w:pPr>
        <w:jc w:val="center"/>
        <w:rPr>
          <w:sz w:val="32"/>
          <w:szCs w:val="32"/>
        </w:rPr>
      </w:pPr>
      <w:r w:rsidRPr="11AB4B38">
        <w:rPr>
          <w:sz w:val="32"/>
          <w:szCs w:val="32"/>
        </w:rPr>
        <w:t>Information Collection Request</w:t>
      </w:r>
    </w:p>
    <w:p w:rsidR="00EA0D20" w:rsidP="00BB432F" w14:paraId="77D1C27C" w14:textId="77777777">
      <w:pPr>
        <w:rPr>
          <w:rFonts w:cstheme="minorHAnsi"/>
          <w:b/>
          <w:bCs/>
        </w:rPr>
      </w:pPr>
    </w:p>
    <w:p w:rsidR="00BB432F" w:rsidRPr="00BB3410" w:rsidP="00BB432F" w14:paraId="7B82FD92" w14:textId="736A1403">
      <w:pPr>
        <w:rPr>
          <w:rFonts w:cstheme="minorHAnsi"/>
        </w:rPr>
      </w:pPr>
      <w:r w:rsidRPr="00BB3410">
        <w:rPr>
          <w:rFonts w:cstheme="minorHAnsi"/>
          <w:b/>
          <w:bCs/>
        </w:rPr>
        <w:t>Title</w:t>
      </w:r>
      <w:r w:rsidRPr="00EA0D20">
        <w:rPr>
          <w:rFonts w:cstheme="minorHAnsi"/>
          <w:b/>
          <w:bCs/>
        </w:rPr>
        <w:t>:</w:t>
      </w:r>
      <w:r w:rsidR="001F34A5">
        <w:rPr>
          <w:rFonts w:cstheme="minorHAnsi"/>
        </w:rPr>
        <w:t xml:space="preserve"> </w:t>
      </w:r>
      <w:r w:rsidRPr="00B23DD0" w:rsidR="00B23DD0">
        <w:rPr>
          <w:rFonts w:cstheme="minorHAnsi"/>
        </w:rPr>
        <w:t>Focus Groups as Used by EPA for Economics Projects</w:t>
      </w:r>
    </w:p>
    <w:p w:rsidR="00EE2403" w:rsidRPr="00BB3410" w:rsidP="00BB432F" w14:paraId="71D5121E" w14:textId="79D88C6A">
      <w:pPr>
        <w:spacing w:line="240" w:lineRule="auto"/>
        <w:rPr>
          <w:rFonts w:cstheme="minorHAnsi"/>
        </w:rPr>
      </w:pPr>
      <w:r w:rsidRPr="00BB3410">
        <w:rPr>
          <w:rFonts w:cstheme="minorHAnsi"/>
          <w:b/>
          <w:bCs/>
        </w:rPr>
        <w:t>OMB Control Number</w:t>
      </w:r>
      <w:r w:rsidRPr="00EA0D20">
        <w:rPr>
          <w:rFonts w:cstheme="minorHAnsi"/>
          <w:b/>
          <w:bCs/>
        </w:rPr>
        <w:t>:</w:t>
      </w:r>
      <w:r w:rsidRPr="00BB3410" w:rsidR="00BB432F">
        <w:rPr>
          <w:rFonts w:cstheme="minorHAnsi"/>
        </w:rPr>
        <w:t xml:space="preserve"> </w:t>
      </w:r>
      <w:r w:rsidRPr="00B23DD0" w:rsidR="00B23DD0">
        <w:rPr>
          <w:rFonts w:cstheme="minorHAnsi"/>
        </w:rPr>
        <w:t>2090-0028</w:t>
      </w:r>
    </w:p>
    <w:p w:rsidR="00EE2403" w:rsidRPr="00BB3410" w:rsidP="00ED57A4" w14:paraId="4FB77BCA" w14:textId="08E00D06">
      <w:pPr>
        <w:spacing w:before="240" w:line="240" w:lineRule="auto"/>
        <w:rPr>
          <w:rFonts w:cstheme="minorHAnsi"/>
        </w:rPr>
      </w:pPr>
      <w:r w:rsidRPr="00BB3410">
        <w:rPr>
          <w:rFonts w:cstheme="minorHAnsi"/>
          <w:b/>
          <w:bCs/>
        </w:rPr>
        <w:t>EPA ICR Number</w:t>
      </w:r>
      <w:r w:rsidRPr="00EA0D20">
        <w:rPr>
          <w:rFonts w:cstheme="minorHAnsi"/>
          <w:b/>
          <w:bCs/>
        </w:rPr>
        <w:t>:</w:t>
      </w:r>
      <w:r w:rsidRPr="00BB3410" w:rsidR="00BB432F">
        <w:rPr>
          <w:rFonts w:cstheme="minorHAnsi"/>
        </w:rPr>
        <w:t xml:space="preserve"> </w:t>
      </w:r>
      <w:r w:rsidRPr="00B23DD0" w:rsidR="00B23DD0">
        <w:rPr>
          <w:rFonts w:cstheme="minorHAnsi"/>
        </w:rPr>
        <w:t>2205.2</w:t>
      </w:r>
      <w:r w:rsidR="00A022E3">
        <w:rPr>
          <w:rFonts w:cstheme="minorHAnsi"/>
        </w:rPr>
        <w:t>6</w:t>
      </w:r>
    </w:p>
    <w:p w:rsidR="00B23DD0" w:rsidRPr="00B23DD0" w:rsidP="00B23DD0" w14:paraId="118FF474" w14:textId="77777777">
      <w:pPr>
        <w:spacing w:before="240"/>
      </w:pPr>
      <w:r w:rsidRPr="4BDBF0A0">
        <w:rPr>
          <w:b/>
          <w:bCs/>
        </w:rPr>
        <w:t>Abstract:</w:t>
      </w:r>
      <w:r w:rsidRPr="4BDBF0A0" w:rsidR="00BB432F">
        <w:t xml:space="preserve"> </w:t>
      </w:r>
      <w:r w:rsidRPr="00B23DD0">
        <w:t>The Environmental Protection Agency (EPA) is seeking approval for a generic information collection request (ICR) for the conduct of focus groups and one-on-one interviews related to economics projects primarily for survey development. Focus groups are groups of individuals brought together for moderated discussions on a specific topic or issue. These groups are typically formed to gain insight and understanding of attitudes and perceptions held by the public surrounding an issue. One-on-one interviews, as the term implies, are individual interviews in which a respondent is generally asked to review materials and provide feedback on their content and design as well as the thought processes that the materials invoke.</w:t>
      </w:r>
    </w:p>
    <w:p w:rsidR="00B23DD0" w:rsidRPr="00B23DD0" w:rsidP="00B23DD0" w14:paraId="07FEE3B9" w14:textId="41B29275">
      <w:pPr>
        <w:spacing w:before="240"/>
      </w:pPr>
      <w:r w:rsidRPr="00B23DD0">
        <w:t>Focus groups and one-on-one interviews (hereafter referred to collectively as “focus groups”) used as a qualitative research tool</w:t>
      </w:r>
      <w:r w:rsidR="0033571E">
        <w:t>,</w:t>
      </w:r>
      <w:r w:rsidRPr="00B23DD0">
        <w:t xml:space="preserve"> have three major purposes:</w:t>
      </w:r>
    </w:p>
    <w:p w:rsidR="00B23DD0" w:rsidRPr="00B23DD0" w:rsidP="00B23DD0" w14:paraId="4A816327" w14:textId="4F105043">
      <w:pPr>
        <w:numPr>
          <w:ilvl w:val="0"/>
          <w:numId w:val="28"/>
        </w:numPr>
        <w:spacing w:before="240"/>
      </w:pPr>
      <w:r w:rsidRPr="00B23DD0">
        <w:t xml:space="preserve">To better understand respondents’ attitudes, perceptions and emotions in response to specific topics and </w:t>
      </w:r>
      <w:r w:rsidRPr="00B23DD0" w:rsidR="0033571E">
        <w:t>concepts.</w:t>
      </w:r>
    </w:p>
    <w:p w:rsidR="00B23DD0" w:rsidRPr="00B23DD0" w:rsidP="00B23DD0" w14:paraId="60C59F0A" w14:textId="29C1BBDD">
      <w:pPr>
        <w:numPr>
          <w:ilvl w:val="0"/>
          <w:numId w:val="28"/>
        </w:numPr>
        <w:spacing w:before="240"/>
      </w:pPr>
      <w:r w:rsidRPr="00B23DD0">
        <w:t>To obtain respondent information useful for better defining variables and measures in later quantitative studies</w:t>
      </w:r>
      <w:r w:rsidR="0033571E">
        <w:t>.</w:t>
      </w:r>
    </w:p>
    <w:p w:rsidR="00B23DD0" w:rsidRPr="00B23DD0" w:rsidP="00B23DD0" w14:paraId="1873349A" w14:textId="77777777">
      <w:pPr>
        <w:numPr>
          <w:ilvl w:val="0"/>
          <w:numId w:val="28"/>
        </w:numPr>
        <w:spacing w:before="240"/>
      </w:pPr>
      <w:r w:rsidRPr="00B23DD0">
        <w:t>To further explore findings obtained from quantitative studies.</w:t>
      </w:r>
    </w:p>
    <w:p w:rsidR="00B23DD0" w:rsidRPr="00B23DD0" w:rsidP="00B23DD0" w14:paraId="54136DAC" w14:textId="77777777">
      <w:pPr>
        <w:spacing w:before="240"/>
      </w:pPr>
      <w:r w:rsidRPr="00B23DD0">
        <w:t>Through these focus groups, the Agency will be able to gain a more in-depth understanding of the public’s attitudes, beliefs, motivations and feelings regarding specific issues and will provide invaluable information regarding the quality of draft survey instruments. Focus group discussions are necessary and important steps in the design of a quality survey.</w:t>
      </w:r>
    </w:p>
    <w:p w:rsidR="00DE4E0C" w:rsidRPr="00BB3410" w:rsidP="4BDBF0A0" w14:paraId="12DA0580" w14:textId="3A9EBC77">
      <w:pPr>
        <w:rPr>
          <w:b/>
          <w:bCs/>
          <w:u w:val="single"/>
        </w:rPr>
      </w:pPr>
      <w:r w:rsidRPr="4BDBF0A0">
        <w:rPr>
          <w:b/>
          <w:bCs/>
          <w:u w:val="single"/>
        </w:rPr>
        <w:t>Supporting Statement A</w:t>
      </w:r>
      <w:bookmarkEnd w:id="0"/>
    </w:p>
    <w:p w:rsidR="00D47CB3" w:rsidRPr="00E3122D" w:rsidP="00854AAE" w14:paraId="73FF37C3" w14:textId="77C3FA07">
      <w:pPr>
        <w:pStyle w:val="ListParagraph"/>
        <w:numPr>
          <w:ilvl w:val="0"/>
          <w:numId w:val="25"/>
        </w:numPr>
        <w:pBdr>
          <w:bottom w:val="single" w:sz="4" w:space="1" w:color="auto"/>
        </w:pBdr>
        <w:spacing w:before="240" w:after="0"/>
        <w:rPr>
          <w:rFonts w:cstheme="minorHAnsi"/>
          <w:b/>
          <w:bCs/>
        </w:rPr>
      </w:pPr>
      <w:bookmarkStart w:id="1" w:name="_Toc156593368"/>
      <w:r w:rsidRPr="00E3122D">
        <w:rPr>
          <w:rFonts w:cstheme="minorHAnsi"/>
          <w:b/>
          <w:bCs/>
        </w:rPr>
        <w:t>NEED AND AUTHORITY FOR THE COLLECTION</w:t>
      </w:r>
      <w:bookmarkEnd w:id="1"/>
    </w:p>
    <w:p w:rsidR="00A27E5C" w:rsidRPr="00D47CB3" w:rsidP="00854AAE" w14:paraId="0D31D853" w14:textId="354D5D40">
      <w:pPr>
        <w:pBdr>
          <w:bottom w:val="single" w:sz="4" w:space="1" w:color="auto"/>
        </w:pBdr>
        <w:spacing w:before="60"/>
        <w:rPr>
          <w:rFonts w:cstheme="minorHAnsi"/>
          <w:i/>
          <w:iCs/>
        </w:rPr>
      </w:pPr>
      <w:r w:rsidRPr="00D47CB3">
        <w:rPr>
          <w:rFonts w:ascii="Calibri" w:hAnsi="Calibri" w:cs="Calibri"/>
          <w:i/>
          <w:iCs/>
          <w:color w:val="000000"/>
          <w:shd w:val="clear" w:color="auto" w:fill="FFFFFF"/>
        </w:rPr>
        <w:t>Explain the circumstances that make the collection of information necessary. Identify any legal or administrative requirements that necessitate the collection.</w:t>
      </w:r>
    </w:p>
    <w:p w:rsidR="00B23DD0" w:rsidRPr="00B23DD0" w:rsidP="00B23DD0" w14:paraId="6337A4AD" w14:textId="16B1F396">
      <w:pPr>
        <w:keepNext/>
        <w:rPr>
          <w:rFonts w:cstheme="minorHAnsi"/>
        </w:rPr>
      </w:pPr>
      <w:r w:rsidRPr="00B23DD0">
        <w:rPr>
          <w:rFonts w:cstheme="minorHAnsi"/>
        </w:rPr>
        <w:t xml:space="preserve">Over the next three years, the Agency anticipates embarking on </w:t>
      </w:r>
      <w:r w:rsidRPr="00B23DD0">
        <w:rPr>
          <w:rFonts w:cstheme="minorHAnsi"/>
        </w:rPr>
        <w:t>a number of</w:t>
      </w:r>
      <w:r w:rsidRPr="00B23DD0">
        <w:rPr>
          <w:rFonts w:cstheme="minorHAnsi"/>
        </w:rPr>
        <w:t xml:space="preserve"> survey development efforts associated with a variety of economics projects including those related to </w:t>
      </w:r>
      <w:r w:rsidRPr="0033571E" w:rsidR="0033571E">
        <w:rPr>
          <w:rFonts w:cstheme="minorHAnsi"/>
        </w:rPr>
        <w:t>drinking water quality, health risk reductions, coastal adaptation and restoration, to name a few</w:t>
      </w:r>
      <w:r w:rsidRPr="00B23DD0">
        <w:rPr>
          <w:rFonts w:cstheme="minorHAnsi"/>
        </w:rPr>
        <w:t xml:space="preserve">. Focus groups are an </w:t>
      </w:r>
      <w:r w:rsidRPr="00B23DD0">
        <w:rPr>
          <w:rFonts w:cstheme="minorHAnsi"/>
        </w:rPr>
        <w:t xml:space="preserve">important part of any survey development process, allowing researchers to directly gauge what specific issues are important to the public and providing a means for explicitly testing draft survey materials.  </w:t>
      </w:r>
    </w:p>
    <w:p w:rsidR="00B23DD0" w:rsidRPr="00B23DD0" w:rsidP="00B23DD0" w14:paraId="68B57B34" w14:textId="77777777">
      <w:pPr>
        <w:keepNext/>
        <w:rPr>
          <w:rFonts w:cstheme="minorHAnsi"/>
        </w:rPr>
      </w:pPr>
      <w:r w:rsidRPr="00B23DD0">
        <w:rPr>
          <w:rFonts w:cstheme="minorHAnsi"/>
        </w:rPr>
        <w:t>If this information is not collected, a vital link in developing methods to better understand the economic benefits and costs associated with Agency actions will be lost. This loss will cause further delays in the development of improved estimates of benefits and costs.</w:t>
      </w:r>
    </w:p>
    <w:p w:rsidR="00BB432F" w:rsidRPr="00BB3410" w:rsidP="00B23DD0" w14:paraId="61662F16" w14:textId="0CDD5715">
      <w:pPr>
        <w:keepNext/>
        <w:rPr>
          <w:rFonts w:cstheme="minorHAnsi"/>
        </w:rPr>
      </w:pPr>
      <w:r w:rsidRPr="00B23DD0">
        <w:rPr>
          <w:rFonts w:cstheme="minorHAnsi"/>
        </w:rPr>
        <w:t>This data collection is conducted for research purposes; there are no legal requirements. The materials prepared for these discussions will fully conform to federal regulations – specifically the Privacy Act of 1974 (5 U.S.C. 552a), the Hawkins-Stafford Amendments of 1988 (P.L 100-297), and the Computer Security Act of 1987.</w:t>
      </w:r>
    </w:p>
    <w:p w:rsidR="00D47CB3" w:rsidRPr="00E3122D" w:rsidP="00854AAE" w14:paraId="24F38A28" w14:textId="345BCCC4">
      <w:pPr>
        <w:pStyle w:val="ListParagraph"/>
        <w:numPr>
          <w:ilvl w:val="0"/>
          <w:numId w:val="25"/>
        </w:numPr>
        <w:pBdr>
          <w:bottom w:val="single" w:sz="4" w:space="1" w:color="auto"/>
        </w:pBdr>
        <w:spacing w:before="240" w:after="0"/>
        <w:rPr>
          <w:rFonts w:cstheme="minorHAnsi"/>
          <w:b/>
          <w:bCs/>
        </w:rPr>
      </w:pPr>
      <w:bookmarkStart w:id="2" w:name="_Toc156593369"/>
      <w:r w:rsidRPr="00E3122D">
        <w:rPr>
          <w:rFonts w:cstheme="minorHAnsi"/>
          <w:b/>
          <w:bCs/>
        </w:rPr>
        <w:t>PRACTICAL UTILITY/USERS OF THE DATA</w:t>
      </w:r>
      <w:bookmarkEnd w:id="2"/>
    </w:p>
    <w:p w:rsidR="004252C1" w:rsidRPr="00D47CB3" w:rsidP="00854AAE" w14:paraId="3E2FC7F8" w14:textId="1DCB8D2C">
      <w:pPr>
        <w:pBdr>
          <w:bottom w:val="single" w:sz="4" w:space="1" w:color="auto"/>
        </w:pBdr>
        <w:spacing w:before="60"/>
        <w:rPr>
          <w:rFonts w:ascii="Calibri" w:hAnsi="Calibri" w:cs="Calibri"/>
          <w:i/>
          <w:iCs/>
          <w:color w:val="000000"/>
          <w:shd w:val="clear" w:color="auto" w:fill="FFFFFF"/>
        </w:rPr>
      </w:pPr>
      <w:r w:rsidRPr="00D47CB3">
        <w:rPr>
          <w:rFonts w:ascii="Calibri" w:hAnsi="Calibri" w:cs="Calibri"/>
          <w:i/>
          <w:iCs/>
          <w:color w:val="000000"/>
          <w:shd w:val="clear" w:color="auto" w:fill="FFFFFF"/>
        </w:rPr>
        <w:t>Indicate how, by whom, and for what purpose the information is to be used. Except for a new collection, indicate the actual use the agency has made of the information received from the current collection.</w:t>
      </w:r>
    </w:p>
    <w:p w:rsidR="00B23DD0" w:rsidRPr="00B23DD0" w:rsidP="00B23DD0" w14:paraId="2F25D12F" w14:textId="77777777">
      <w:pPr>
        <w:pBdr>
          <w:top w:val="single" w:sz="6" w:space="0" w:color="FFFFFF"/>
          <w:left w:val="single" w:sz="6" w:space="0" w:color="FFFFFF"/>
          <w:bottom w:val="single" w:sz="6" w:space="0" w:color="FFFFFF"/>
          <w:right w:val="single" w:sz="6" w:space="0" w:color="FFFFFF"/>
        </w:pBdr>
        <w:rPr>
          <w:rFonts w:cstheme="minorHAnsi"/>
        </w:rPr>
      </w:pPr>
      <w:r w:rsidRPr="00B23DD0">
        <w:rPr>
          <w:rFonts w:cstheme="minorHAnsi"/>
        </w:rPr>
        <w:t xml:space="preserve">The information collected in the focus groups will help inform economics projects as well as economics-related surveys under development. To the extent that the surveys are ultimately successfully administered, they will serve to expand the Agency’s understanding of benefits and costs of a variety of actions and could provide the means to quantitatively assess the effects of others. Participation in the focus groups will be </w:t>
      </w:r>
      <w:r w:rsidRPr="00B23DD0">
        <w:rPr>
          <w:rFonts w:cstheme="minorHAnsi"/>
        </w:rPr>
        <w:t>voluntary</w:t>
      </w:r>
      <w:r w:rsidRPr="00B23DD0">
        <w:rPr>
          <w:rFonts w:cstheme="minorHAnsi"/>
        </w:rPr>
        <w:t xml:space="preserve"> and the identity of the participants will be kept confidential.</w:t>
      </w:r>
    </w:p>
    <w:p w:rsidR="00BB432F" w:rsidRPr="00BB3410" w:rsidP="00B23DD0" w14:paraId="1E879A61" w14:textId="434E5A8B">
      <w:pPr>
        <w:pBdr>
          <w:top w:val="single" w:sz="6" w:space="0" w:color="FFFFFF"/>
          <w:left w:val="single" w:sz="6" w:space="0" w:color="FFFFFF"/>
          <w:bottom w:val="single" w:sz="6" w:space="0" w:color="FFFFFF"/>
          <w:right w:val="single" w:sz="6" w:space="0" w:color="FFFFFF"/>
        </w:pBdr>
        <w:rPr>
          <w:rFonts w:cstheme="minorHAnsi"/>
          <w:color w:val="FF0000"/>
        </w:rPr>
      </w:pPr>
      <w:r w:rsidRPr="00B23DD0">
        <w:rPr>
          <w:rFonts w:cstheme="minorHAnsi"/>
        </w:rPr>
        <w:t>Focus groups generally do not yield meaningful quantitative findings and do not yield data about public opinion that can be generalized. As such, they cannot be used directly to estimate benefits and costs associated with a specific environmental action. However, program offices engaged in survey research use focus groups as an important tool to inform thinking on issues and refine ideas, especially in the survey development process. The conduct of quantitative research would need to be completed before new estimates of benefits or costs could be developed.</w:t>
      </w:r>
    </w:p>
    <w:p w:rsidR="00074917" w:rsidRPr="00E3122D" w:rsidP="00854AAE" w14:paraId="1522D565" w14:textId="553E3A2D">
      <w:pPr>
        <w:pStyle w:val="ListParagraph"/>
        <w:numPr>
          <w:ilvl w:val="0"/>
          <w:numId w:val="25"/>
        </w:numPr>
        <w:pBdr>
          <w:bottom w:val="single" w:sz="4" w:space="1" w:color="auto"/>
        </w:pBdr>
        <w:spacing w:before="240" w:after="0"/>
        <w:rPr>
          <w:rFonts w:cstheme="minorHAnsi"/>
          <w:b/>
          <w:bCs/>
        </w:rPr>
      </w:pPr>
      <w:bookmarkStart w:id="3" w:name="_Toc156593370"/>
      <w:r w:rsidRPr="00E3122D">
        <w:rPr>
          <w:rFonts w:cstheme="minorHAnsi"/>
          <w:b/>
          <w:bCs/>
        </w:rPr>
        <w:t>USE OF TECHNOLOGY</w:t>
      </w:r>
      <w:bookmarkEnd w:id="3"/>
    </w:p>
    <w:p w:rsidR="00D47CB3" w:rsidRPr="00FA1B3A" w:rsidP="00854AAE" w14:paraId="50A4BA09" w14:textId="2FD9C2D1">
      <w:pPr>
        <w:pBdr>
          <w:bottom w:val="single" w:sz="4" w:space="1" w:color="auto"/>
        </w:pBdr>
        <w:spacing w:before="60"/>
        <w:rPr>
          <w:rFonts w:cstheme="minorHAnsi"/>
          <w:i/>
          <w:iCs/>
        </w:rPr>
      </w:pPr>
      <w:r w:rsidRPr="00FA1B3A">
        <w:rPr>
          <w:rFonts w:ascii="Calibri" w:hAnsi="Calibri" w:cs="Calibri"/>
          <w:i/>
          <w:iCs/>
          <w:shd w:val="clear" w:color="auto" w:fill="FFFFFF"/>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9F1E00" w:rsidRPr="00BB3410" w:rsidP="00854AAE" w14:paraId="7B30150C" w14:textId="1CB61B65">
      <w:pPr>
        <w:pBdr>
          <w:top w:val="single" w:sz="6" w:space="0" w:color="FFFFFF"/>
          <w:left w:val="single" w:sz="6" w:space="0" w:color="FFFFFF"/>
          <w:bottom w:val="single" w:sz="6" w:space="0" w:color="FFFFFF"/>
          <w:right w:val="single" w:sz="6" w:space="0" w:color="FFFFFF"/>
        </w:pBdr>
        <w:rPr>
          <w:rFonts w:cstheme="minorHAnsi"/>
        </w:rPr>
      </w:pPr>
      <w:r>
        <w:rPr>
          <w:rFonts w:cstheme="minorHAnsi"/>
          <w:color w:val="000000"/>
        </w:rPr>
        <w:t xml:space="preserve">The use of technology will vary by study. Focus groups are often audio or video recorded. Software may be used to transcribe the audio recording to text, thus reducing labor hours of manual transcription. Software may also aid in the coding of transcripts for qualitative analysis of focus group findings, further reducing labor burden hours. </w:t>
      </w:r>
      <w:r w:rsidR="00E23D7D">
        <w:rPr>
          <w:rFonts w:cstheme="minorHAnsi"/>
          <w:color w:val="000000"/>
        </w:rPr>
        <w:t xml:space="preserve">Some focus groups may be conducted remotely and/or electronically reducing the need for government travel. </w:t>
      </w:r>
    </w:p>
    <w:p w:rsidR="005263EC" w:rsidRPr="00E3122D" w:rsidP="00854AAE" w14:paraId="2CB3B868" w14:textId="58CBB947">
      <w:pPr>
        <w:pStyle w:val="ListParagraph"/>
        <w:numPr>
          <w:ilvl w:val="0"/>
          <w:numId w:val="25"/>
        </w:numPr>
        <w:pBdr>
          <w:bottom w:val="single" w:sz="4" w:space="1" w:color="auto"/>
        </w:pBdr>
        <w:spacing w:before="240" w:after="0"/>
        <w:rPr>
          <w:rFonts w:cstheme="minorHAnsi"/>
          <w:b/>
          <w:bCs/>
        </w:rPr>
      </w:pPr>
      <w:bookmarkStart w:id="4" w:name="_Toc156593371"/>
      <w:r w:rsidRPr="00E3122D">
        <w:rPr>
          <w:rFonts w:cstheme="minorHAnsi"/>
          <w:b/>
          <w:bCs/>
        </w:rPr>
        <w:t>EFFORTS TO IDENTIFY DUPLICATION</w:t>
      </w:r>
      <w:bookmarkEnd w:id="4"/>
    </w:p>
    <w:p w:rsidR="00D47CB3" w:rsidRPr="001F0834" w:rsidP="00854AAE" w14:paraId="15DFF081" w14:textId="57054C58">
      <w:pPr>
        <w:pBdr>
          <w:bottom w:val="single" w:sz="4" w:space="1" w:color="auto"/>
        </w:pBdr>
        <w:spacing w:before="60"/>
        <w:rPr>
          <w:rFonts w:cstheme="minorHAnsi"/>
          <w:i/>
          <w:iCs/>
        </w:rPr>
      </w:pPr>
      <w:r w:rsidRPr="001F0834">
        <w:rPr>
          <w:rFonts w:ascii="Calibri" w:hAnsi="Calibri" w:cs="Calibri"/>
          <w:i/>
          <w:iCs/>
          <w:color w:val="000000"/>
          <w:shd w:val="clear" w:color="auto" w:fill="FFFFFF"/>
        </w:rPr>
        <w:t>Describe efforts to identify duplication. Show specifically why any similar information already available cannot be used or modified for use for the purposes described in Item 2 above.</w:t>
      </w:r>
    </w:p>
    <w:p w:rsidR="00ED57A4" w:rsidRPr="00BB3410" w:rsidP="00854AAE" w14:paraId="0E470EF3" w14:textId="334E88A2">
      <w:pPr>
        <w:rPr>
          <w:rFonts w:cstheme="minorHAnsi"/>
          <w:shd w:val="clear" w:color="auto" w:fill="FFFFFF"/>
        </w:rPr>
      </w:pPr>
      <w:r w:rsidRPr="00B23DD0">
        <w:rPr>
          <w:rFonts w:cstheme="minorHAnsi"/>
        </w:rPr>
        <w:t>It is not expected that any of the information to be submitted to the EPA during these focus group studies is duplicative or is already in the possession of the Federal Government. The proposed focus groups will address the needs of the Agency and significantly improve our ability to test and redefine ideas that will allow EPA to conduct further quantitative research on various environmental economics issues.</w:t>
      </w:r>
    </w:p>
    <w:p w:rsidR="00251151" w:rsidRPr="00E3122D" w:rsidP="4BDBF0A0" w14:paraId="79D36B3F" w14:textId="440DD77F">
      <w:pPr>
        <w:pStyle w:val="ListParagraph"/>
        <w:numPr>
          <w:ilvl w:val="0"/>
          <w:numId w:val="25"/>
        </w:numPr>
        <w:pBdr>
          <w:bottom w:val="single" w:sz="4" w:space="1" w:color="auto"/>
        </w:pBdr>
        <w:spacing w:before="240" w:after="0"/>
        <w:rPr>
          <w:b/>
          <w:bCs/>
        </w:rPr>
      </w:pPr>
      <w:bookmarkStart w:id="5" w:name="_Toc156593372"/>
      <w:r w:rsidRPr="4BDBF0A0">
        <w:rPr>
          <w:b/>
          <w:bCs/>
        </w:rPr>
        <w:t xml:space="preserve">MINIMIZING BURDEN ON SMALL </w:t>
      </w:r>
      <w:r w:rsidRPr="4BDBF0A0" w:rsidR="0F43C128">
        <w:rPr>
          <w:b/>
          <w:bCs/>
        </w:rPr>
        <w:t xml:space="preserve">BUSINESSES AND SMALL </w:t>
      </w:r>
      <w:r w:rsidRPr="4BDBF0A0">
        <w:rPr>
          <w:b/>
          <w:bCs/>
        </w:rPr>
        <w:t>ENTITIES</w:t>
      </w:r>
      <w:bookmarkEnd w:id="5"/>
    </w:p>
    <w:p w:rsidR="00D47CB3" w:rsidRPr="001F0834" w:rsidP="00854AAE" w14:paraId="3D612A53" w14:textId="12EBD254">
      <w:pPr>
        <w:pBdr>
          <w:bottom w:val="single" w:sz="4" w:space="1" w:color="auto"/>
        </w:pBdr>
        <w:spacing w:before="60"/>
        <w:rPr>
          <w:rFonts w:cstheme="minorHAnsi"/>
          <w:i/>
          <w:iCs/>
        </w:rPr>
      </w:pPr>
      <w:r w:rsidRPr="001F0834">
        <w:rPr>
          <w:rFonts w:ascii="Calibri" w:hAnsi="Calibri" w:cs="Calibri"/>
          <w:i/>
          <w:iCs/>
          <w:color w:val="000000"/>
          <w:shd w:val="clear" w:color="auto" w:fill="FFFFFF"/>
        </w:rPr>
        <w:t>If the collection of information impacts small businesses or other small entities, describe any methods used to minimize burden.</w:t>
      </w:r>
    </w:p>
    <w:p w:rsidR="00ED57A4" w:rsidRPr="00BB3410" w:rsidP="00854AAE" w14:paraId="518B46AB" w14:textId="1EFD6605">
      <w:pPr>
        <w:rPr>
          <w:rFonts w:cstheme="minorHAnsi"/>
        </w:rPr>
      </w:pPr>
      <w:r w:rsidRPr="00B23DD0">
        <w:rPr>
          <w:rFonts w:cstheme="minorHAnsi"/>
        </w:rPr>
        <w:t>Small businesses, small organizations, and small governmental jurisdictions will not be required to participate in focus groups or interviews as part of this information collection.</w:t>
      </w:r>
    </w:p>
    <w:p w:rsidR="004252C1" w:rsidRPr="00E3122D" w:rsidP="006D5998" w14:paraId="1FF5A778" w14:textId="02F91DFF">
      <w:pPr>
        <w:pStyle w:val="ListParagraph"/>
        <w:numPr>
          <w:ilvl w:val="0"/>
          <w:numId w:val="25"/>
        </w:numPr>
        <w:spacing w:before="240" w:after="0"/>
        <w:rPr>
          <w:b/>
          <w:bCs/>
        </w:rPr>
      </w:pPr>
      <w:bookmarkStart w:id="6" w:name="_Toc156593373"/>
      <w:r w:rsidRPr="4BDBF0A0">
        <w:rPr>
          <w:b/>
          <w:bCs/>
        </w:rPr>
        <w:t>CONSEQUENCES</w:t>
      </w:r>
      <w:r w:rsidRPr="4BDBF0A0" w:rsidR="00061A77">
        <w:rPr>
          <w:b/>
          <w:bCs/>
        </w:rPr>
        <w:t xml:space="preserve"> OF LESS FREQUENT COLLECTION</w:t>
      </w:r>
      <w:bookmarkEnd w:id="6"/>
    </w:p>
    <w:p w:rsidR="00D47CB3" w:rsidRPr="006D5998" w:rsidP="006D5998" w14:paraId="00E27992" w14:textId="51FE3814">
      <w:pPr>
        <w:pBdr>
          <w:bottom w:val="single" w:sz="4" w:space="1" w:color="auto"/>
        </w:pBdr>
        <w:tabs>
          <w:tab w:val="left" w:pos="921"/>
        </w:tabs>
        <w:spacing w:before="60"/>
        <w:rPr>
          <w:rFonts w:cstheme="minorHAnsi"/>
          <w:i/>
          <w:iCs/>
        </w:rPr>
      </w:pPr>
      <w:r w:rsidRPr="006D5998">
        <w:rPr>
          <w:rFonts w:ascii="Calibri" w:hAnsi="Calibri" w:cs="Calibri"/>
          <w:i/>
          <w:iCs/>
          <w:color w:val="000000"/>
          <w:shd w:val="clear" w:color="auto" w:fill="FFFFFF"/>
        </w:rPr>
        <w:t>Describe the consequence to Federal program or policy activities if the collection is not conducted or is conducted less frequently, as well as any technical or legal obstacles to reducing burden.</w:t>
      </w:r>
    </w:p>
    <w:p w:rsidR="00B23DD0" w:rsidRPr="00B23DD0" w:rsidP="006D5998" w14:paraId="6D3B749F" w14:textId="77777777">
      <w:pPr>
        <w:spacing w:before="240" w:after="0"/>
        <w:rPr>
          <w:rFonts w:cstheme="minorHAnsi"/>
          <w:b/>
          <w:bCs/>
        </w:rPr>
      </w:pPr>
      <w:bookmarkStart w:id="7" w:name="_Toc156593374"/>
      <w:r w:rsidRPr="00B23DD0">
        <w:rPr>
          <w:rFonts w:cstheme="minorHAnsi"/>
        </w:rPr>
        <w:t>Each focus group will be a one-time collection exercise for the enrolled participants.</w:t>
      </w:r>
    </w:p>
    <w:p w:rsidR="00A233E0" w:rsidRPr="00E3122D" w:rsidP="006D5998" w14:paraId="27596CC0" w14:textId="4374A71A">
      <w:pPr>
        <w:pStyle w:val="ListParagraph"/>
        <w:numPr>
          <w:ilvl w:val="0"/>
          <w:numId w:val="25"/>
        </w:numPr>
        <w:spacing w:before="240" w:after="0"/>
        <w:rPr>
          <w:rFonts w:cstheme="minorHAnsi"/>
          <w:b/>
          <w:bCs/>
        </w:rPr>
      </w:pPr>
      <w:r w:rsidRPr="00E3122D">
        <w:rPr>
          <w:rFonts w:cstheme="minorHAnsi"/>
          <w:b/>
          <w:bCs/>
        </w:rPr>
        <w:t>GENERAL GUIDELINES</w:t>
      </w:r>
      <w:bookmarkEnd w:id="7"/>
    </w:p>
    <w:p w:rsidR="00A233E0" w:rsidRPr="00A233E0" w:rsidP="006D5998" w14:paraId="7754F228" w14:textId="58B8BB5C">
      <w:pPr>
        <w:pBdr>
          <w:bottom w:val="single" w:sz="4" w:space="1" w:color="auto"/>
        </w:pBdr>
        <w:spacing w:before="60"/>
        <w:rPr>
          <w:rFonts w:cstheme="minorHAnsi"/>
        </w:rPr>
      </w:pPr>
      <w:r w:rsidRPr="006D5998">
        <w:rPr>
          <w:rFonts w:cstheme="minorHAnsi"/>
          <w:i/>
          <w:iCs/>
        </w:rPr>
        <w:t xml:space="preserve">Explain any special circumstances that require the collection to be conducted in a manner inconsistent with PRA Guidelines at 5 CFR 1320.5(d)(2). </w:t>
      </w:r>
      <w:r w:rsidRPr="00A233E0">
        <w:rPr>
          <w:rFonts w:cstheme="minorHAnsi"/>
          <w:i/>
          <w:iCs/>
        </w:rPr>
        <w:t xml:space="preserve"> </w:t>
      </w:r>
    </w:p>
    <w:p w:rsidR="00B23DD0" w:rsidRPr="00B23DD0" w:rsidP="006D5998" w14:paraId="3A37BD1A" w14:textId="77777777">
      <w:pPr>
        <w:spacing w:before="240" w:after="0"/>
        <w:rPr>
          <w:rFonts w:cstheme="minorHAnsi"/>
          <w:color w:val="000000"/>
        </w:rPr>
      </w:pPr>
      <w:bookmarkStart w:id="8" w:name="_Toc156593375"/>
      <w:r w:rsidRPr="00B23DD0">
        <w:rPr>
          <w:rFonts w:cstheme="minorHAnsi"/>
          <w:color w:val="000000"/>
        </w:rPr>
        <w:t xml:space="preserve">Information will be collected according to the guidelines in 5 CFR 1320. Respondents will be asked to participate in one focus group and their participation will be voluntary. There will be no need for participants to maintain records or submit documents or proprietary trade secrets. There will be complete protection of any demographic information collection from participant—full names, phone numbers and addresses will not be associated with responses.  </w:t>
      </w:r>
    </w:p>
    <w:p w:rsidR="00B23DD0" w:rsidP="006D5998" w14:paraId="150A2316" w14:textId="77777777">
      <w:pPr>
        <w:spacing w:before="240" w:after="0"/>
        <w:rPr>
          <w:rFonts w:cstheme="minorHAnsi"/>
          <w:color w:val="000000"/>
        </w:rPr>
      </w:pPr>
      <w:r w:rsidRPr="00B23DD0">
        <w:rPr>
          <w:rFonts w:cstheme="minorHAnsi"/>
          <w:color w:val="000000"/>
        </w:rPr>
        <w:t>EPA has developed EPA Information Quality Guidelines (2002) to ensure the utility, objectivity and integrity of information that is disseminated by the Agency. It is EPA’s intention that collection of information under this ICR will result in information that will be collected, maintained, and used in ways consistent with both the EPA Information Quality Guidelines (2002) and the OMB Information Quality Guidelines (2002). EPA intends to conduct a pre-dissemination review when the Agency prepares to disseminate information collected under this ICR.</w:t>
      </w:r>
    </w:p>
    <w:p w:rsidR="006036CD" w:rsidRPr="00B23DD0" w:rsidP="006D5998" w14:paraId="02EE9B8D" w14:textId="5CDFE968">
      <w:pPr>
        <w:pBdr>
          <w:bottom w:val="single" w:sz="4" w:space="1" w:color="auto"/>
        </w:pBdr>
        <w:spacing w:before="240" w:after="0"/>
        <w:rPr>
          <w:rFonts w:cstheme="minorHAnsi"/>
          <w:b/>
          <w:bCs/>
        </w:rPr>
      </w:pPr>
      <w:r w:rsidRPr="00B23DD0">
        <w:rPr>
          <w:rFonts w:cstheme="minorHAnsi"/>
          <w:b/>
          <w:bCs/>
        </w:rPr>
        <w:t>PUBLIC COMMENT AND CONSULTATIONS</w:t>
      </w:r>
      <w:bookmarkStart w:id="9" w:name="_Toc156593376"/>
      <w:bookmarkEnd w:id="8"/>
    </w:p>
    <w:p w:rsidR="00DD2682" w:rsidRPr="00E3122D" w:rsidP="00854AAE" w14:paraId="4922639E" w14:textId="016E742A">
      <w:pPr>
        <w:spacing w:before="120" w:after="0"/>
        <w:rPr>
          <w:rFonts w:cstheme="minorHAnsi"/>
          <w:b/>
          <w:bCs/>
        </w:rPr>
      </w:pPr>
      <w:r w:rsidRPr="00E3122D">
        <w:rPr>
          <w:rFonts w:cstheme="minorHAnsi"/>
          <w:b/>
          <w:bCs/>
        </w:rPr>
        <w:t xml:space="preserve">8a. </w:t>
      </w:r>
      <w:r w:rsidRPr="00E3122D" w:rsidR="00A82647">
        <w:rPr>
          <w:rFonts w:cstheme="minorHAnsi"/>
          <w:b/>
          <w:bCs/>
        </w:rPr>
        <w:t>Public Comment</w:t>
      </w:r>
      <w:bookmarkStart w:id="10" w:name="_Toc156593377"/>
      <w:bookmarkEnd w:id="9"/>
    </w:p>
    <w:p w:rsidR="00A233E0" w:rsidRPr="00FA1B3A" w:rsidP="00854AAE" w14:paraId="4D2D25D5" w14:textId="77777777">
      <w:pPr>
        <w:spacing w:line="240" w:lineRule="auto"/>
        <w:rPr>
          <w:rFonts w:cstheme="minorHAnsi"/>
          <w:i/>
          <w:iCs/>
        </w:rPr>
      </w:pPr>
      <w:r w:rsidRPr="00A233E0">
        <w:rPr>
          <w:rFonts w:cstheme="minorHAnsi"/>
          <w:i/>
          <w:iCs/>
        </w:rPr>
        <w:t xml:space="preserve">If applicable, provide a copy and identify the date and page number of </w:t>
      </w:r>
      <w:r w:rsidRPr="00A233E0">
        <w:rPr>
          <w:rFonts w:cstheme="minorHAnsi"/>
          <w:i/>
          <w:iCs/>
        </w:rPr>
        <w:t>publication</w:t>
      </w:r>
      <w:r w:rsidRPr="00A233E0">
        <w:rPr>
          <w:rFonts w:cstheme="minorHAnsi"/>
          <w:i/>
          <w:iCs/>
        </w:rPr>
        <w:t xml:space="preserve"> in the Federal Register of the Agency's notice, required by 5 CFR 1320.8(d), soliciting comments on the information collection </w:t>
      </w:r>
      <w:r w:rsidRPr="00A233E0">
        <w:rPr>
          <w:rFonts w:cstheme="minorHAnsi"/>
          <w:i/>
          <w:iCs/>
        </w:rPr>
        <w:t xml:space="preserve">prior to submission to OMB. Summarize public comments received in response to that notice and describe actions taken by the Agency in response to these comments. Specifically address comments </w:t>
      </w:r>
      <w:r w:rsidRPr="00FA1B3A">
        <w:rPr>
          <w:rFonts w:cstheme="minorHAnsi"/>
          <w:i/>
          <w:iCs/>
        </w:rPr>
        <w:t>received on cost and hour burden.</w:t>
      </w:r>
    </w:p>
    <w:p w:rsidR="00EA4C43" w:rsidRPr="006D5998" w:rsidP="00EA4C43" w14:paraId="44614010" w14:textId="688C837E">
      <w:pPr>
        <w:pStyle w:val="BodyTextIndent"/>
        <w:ind w:left="0"/>
        <w:rPr>
          <w:rFonts w:asciiTheme="minorHAnsi" w:hAnsiTheme="minorHAnsi" w:cstheme="minorHAnsi"/>
          <w:sz w:val="22"/>
          <w:szCs w:val="22"/>
        </w:rPr>
      </w:pPr>
      <w:r w:rsidRPr="006D5998">
        <w:rPr>
          <w:rFonts w:asciiTheme="minorHAnsi" w:hAnsiTheme="minorHAnsi" w:cstheme="minorHAnsi"/>
          <w:sz w:val="22"/>
          <w:szCs w:val="22"/>
        </w:rPr>
        <w:t xml:space="preserve">On </w:t>
      </w:r>
      <w:r w:rsidRPr="006D5998" w:rsidR="00A76DE3">
        <w:rPr>
          <w:rFonts w:asciiTheme="minorHAnsi" w:hAnsiTheme="minorHAnsi" w:cstheme="minorHAnsi"/>
          <w:sz w:val="22"/>
          <w:szCs w:val="22"/>
        </w:rPr>
        <w:t>August 28, 2025</w:t>
      </w:r>
      <w:r w:rsidRPr="006D5998">
        <w:rPr>
          <w:rFonts w:asciiTheme="minorHAnsi" w:hAnsiTheme="minorHAnsi" w:cstheme="minorHAnsi"/>
          <w:sz w:val="22"/>
          <w:szCs w:val="22"/>
        </w:rPr>
        <w:t xml:space="preserve"> (</w:t>
      </w:r>
      <w:r w:rsidRPr="006D5998" w:rsidR="00A76DE3">
        <w:rPr>
          <w:rFonts w:asciiTheme="minorHAnsi" w:hAnsiTheme="minorHAnsi" w:cstheme="minorHAnsi"/>
          <w:color w:val="333333"/>
          <w:sz w:val="22"/>
          <w:szCs w:val="22"/>
        </w:rPr>
        <w:t>90</w:t>
      </w:r>
      <w:r w:rsidRPr="006D5998">
        <w:rPr>
          <w:rFonts w:asciiTheme="minorHAnsi" w:hAnsiTheme="minorHAnsi" w:cstheme="minorHAnsi"/>
          <w:color w:val="333333"/>
          <w:sz w:val="22"/>
          <w:szCs w:val="22"/>
        </w:rPr>
        <w:t xml:space="preserve"> FR </w:t>
      </w:r>
      <w:r w:rsidRPr="006D5998" w:rsidR="00A76DE3">
        <w:rPr>
          <w:rFonts w:asciiTheme="minorHAnsi" w:hAnsiTheme="minorHAnsi" w:cstheme="minorHAnsi"/>
          <w:color w:val="333333"/>
          <w:sz w:val="22"/>
          <w:szCs w:val="22"/>
        </w:rPr>
        <w:t>42007</w:t>
      </w:r>
      <w:r w:rsidRPr="006D5998">
        <w:rPr>
          <w:rFonts w:asciiTheme="minorHAnsi" w:hAnsiTheme="minorHAnsi" w:cstheme="minorHAnsi"/>
          <w:sz w:val="22"/>
          <w:szCs w:val="22"/>
        </w:rPr>
        <w:t xml:space="preserve">), EPA sought comments on this ICR pursuant to 5 CFR 1320.8(d) (see Appendix 1). EPA received no substantive comments related to the notice. </w:t>
      </w:r>
    </w:p>
    <w:p w:rsidR="00EA4C43" w:rsidRPr="006D5998" w:rsidP="00EA4C43" w14:paraId="61E3875E" w14:textId="77777777">
      <w:pPr>
        <w:pStyle w:val="BodyTextIndent"/>
        <w:ind w:left="720"/>
        <w:rPr>
          <w:sz w:val="22"/>
          <w:szCs w:val="22"/>
        </w:rPr>
      </w:pPr>
    </w:p>
    <w:p w:rsidR="00EA4C43" w:rsidRPr="006D5998" w:rsidP="00EA4C43" w14:paraId="70CD0E04" w14:textId="77777777">
      <w:pPr>
        <w:pStyle w:val="BodyTextIndent"/>
        <w:ind w:left="0"/>
        <w:rPr>
          <w:rFonts w:asciiTheme="minorHAnsi" w:hAnsiTheme="minorHAnsi" w:cstheme="minorHAnsi"/>
          <w:sz w:val="22"/>
          <w:szCs w:val="22"/>
        </w:rPr>
      </w:pPr>
      <w:r w:rsidRPr="006D5998">
        <w:rPr>
          <w:rFonts w:asciiTheme="minorHAnsi" w:hAnsiTheme="minorHAnsi" w:cstheme="minorHAnsi"/>
          <w:sz w:val="22"/>
          <w:szCs w:val="22"/>
        </w:rPr>
        <w:t>Any additional comments on this ICR should be submitted to EPA and OMB within 30 days of this notice.</w:t>
      </w:r>
    </w:p>
    <w:p w:rsidR="00ED57A4" w:rsidP="00854AAE" w14:paraId="102C4D0F" w14:textId="5BD98F74">
      <w:pPr>
        <w:pBdr>
          <w:top w:val="single" w:sz="6" w:space="0" w:color="FFFFFF"/>
          <w:left w:val="single" w:sz="6" w:space="0" w:color="FFFFFF"/>
          <w:bottom w:val="single" w:sz="6" w:space="0" w:color="FFFFFF"/>
          <w:right w:val="single" w:sz="6" w:space="0" w:color="FFFFFF"/>
        </w:pBdr>
        <w:rPr>
          <w:rFonts w:cstheme="minorHAnsi"/>
          <w:color w:val="000000"/>
        </w:rPr>
      </w:pPr>
    </w:p>
    <w:p w:rsidR="00DB7775" w:rsidRPr="00E3122D" w:rsidP="00854AAE" w14:paraId="71A9B3CC" w14:textId="77087A05">
      <w:pPr>
        <w:spacing w:before="120" w:after="0"/>
        <w:rPr>
          <w:rFonts w:cstheme="minorHAnsi"/>
          <w:b/>
          <w:bCs/>
        </w:rPr>
      </w:pPr>
      <w:r w:rsidRPr="00E3122D">
        <w:rPr>
          <w:rFonts w:cstheme="minorHAnsi"/>
          <w:b/>
          <w:bCs/>
        </w:rPr>
        <w:t xml:space="preserve">8b. </w:t>
      </w:r>
      <w:r w:rsidRPr="00E3122D" w:rsidR="0061689C">
        <w:rPr>
          <w:rFonts w:cstheme="minorHAnsi"/>
          <w:b/>
          <w:bCs/>
        </w:rPr>
        <w:t>C</w:t>
      </w:r>
      <w:bookmarkEnd w:id="10"/>
      <w:r w:rsidRPr="00E3122D" w:rsidR="005D140B">
        <w:rPr>
          <w:rFonts w:cstheme="minorHAnsi"/>
          <w:b/>
          <w:bCs/>
        </w:rPr>
        <w:t>onsultations</w:t>
      </w:r>
    </w:p>
    <w:p w:rsidR="00A233E0" w:rsidRPr="00A233E0" w:rsidP="00854AAE" w14:paraId="04F99483" w14:textId="77777777">
      <w:pPr>
        <w:rPr>
          <w:rFonts w:cstheme="minorHAnsi"/>
          <w:i/>
          <w:iCs/>
        </w:rPr>
      </w:pPr>
      <w:r w:rsidRPr="00A233E0">
        <w:rPr>
          <w:rFonts w:cstheme="minorHAnsi"/>
          <w:i/>
          <w:i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EA4C43" w:rsidRPr="006D5998" w:rsidP="00EA4C43" w14:paraId="10EA2F5A" w14:textId="74CCE054">
      <w:pPr>
        <w:pStyle w:val="BodyTextIndent"/>
        <w:ind w:left="0"/>
        <w:rPr>
          <w:rFonts w:asciiTheme="minorHAnsi" w:hAnsiTheme="minorHAnsi" w:cstheme="minorHAnsi"/>
          <w:sz w:val="22"/>
          <w:szCs w:val="22"/>
        </w:rPr>
      </w:pPr>
      <w:bookmarkStart w:id="11" w:name="_Toc156593378"/>
      <w:r w:rsidRPr="006D5998">
        <w:rPr>
          <w:rFonts w:asciiTheme="minorHAnsi" w:hAnsiTheme="minorHAnsi" w:cstheme="minorHAnsi"/>
          <w:sz w:val="22"/>
          <w:szCs w:val="22"/>
        </w:rPr>
        <w:t>EPA will use in-house staff and/or outside contractors (including possible contacts with the academic community) to develop focus group plans for specific areas of interest. According to OMB guidelines for generic clearances for focus groups, EPA has established an independent review process to assure the development and implementation of high-quality focus groups by EPA. This generic ICR does not obviate the need for OMB review and approval of each focus group project.</w:t>
      </w:r>
    </w:p>
    <w:p w:rsidR="00EA4C43" w:rsidRPr="006D5998" w:rsidP="00EA4C43" w14:paraId="03274D4A" w14:textId="77777777">
      <w:pPr>
        <w:pStyle w:val="BodyTextIndent"/>
        <w:rPr>
          <w:rFonts w:asciiTheme="minorHAnsi" w:hAnsiTheme="minorHAnsi" w:cstheme="minorHAnsi"/>
          <w:sz w:val="22"/>
          <w:szCs w:val="22"/>
        </w:rPr>
      </w:pPr>
    </w:p>
    <w:p w:rsidR="00EA4C43" w:rsidRPr="006D5998" w:rsidP="00EA4C43" w14:paraId="15CCCF33" w14:textId="77777777">
      <w:pPr>
        <w:pStyle w:val="BodyTextIndent"/>
        <w:ind w:left="0"/>
        <w:rPr>
          <w:rFonts w:asciiTheme="minorHAnsi" w:hAnsiTheme="minorHAnsi" w:cstheme="minorHAnsi"/>
          <w:sz w:val="22"/>
          <w:szCs w:val="22"/>
        </w:rPr>
      </w:pPr>
      <w:r w:rsidRPr="006D5998">
        <w:rPr>
          <w:rFonts w:asciiTheme="minorHAnsi" w:hAnsiTheme="minorHAnsi" w:cstheme="minorHAnsi"/>
          <w:sz w:val="22"/>
          <w:szCs w:val="22"/>
        </w:rPr>
        <w:t xml:space="preserve">This ICR covers the conduct of focus groups related to environmental economics projects. As such, follow up with respondents regarding the accuracy of estimated burden hours is not possible as focus groups by their very nature are structured as one-time collections. Focus groups are often conducted at facilities designed for this purpose, therefore deviations from estimated burden hours are generally small.  </w:t>
      </w:r>
    </w:p>
    <w:p w:rsidR="00EA4C43" w:rsidRPr="006D5998" w:rsidP="00EA4C43" w14:paraId="6D359DA9" w14:textId="77777777">
      <w:pPr>
        <w:pStyle w:val="BodyTextIndent"/>
        <w:rPr>
          <w:rFonts w:asciiTheme="minorHAnsi" w:hAnsiTheme="minorHAnsi" w:cstheme="minorHAnsi"/>
          <w:sz w:val="22"/>
          <w:szCs w:val="22"/>
        </w:rPr>
      </w:pPr>
      <w:r w:rsidRPr="006D5998">
        <w:rPr>
          <w:rFonts w:asciiTheme="minorHAnsi" w:hAnsiTheme="minorHAnsi" w:cstheme="minorHAnsi"/>
          <w:sz w:val="22"/>
          <w:szCs w:val="22"/>
        </w:rPr>
        <w:t xml:space="preserve"> </w:t>
      </w:r>
    </w:p>
    <w:p w:rsidR="00EA4C43" w:rsidRPr="006D5998" w:rsidP="00EA4C43" w14:paraId="3CEE4DD6" w14:textId="77777777">
      <w:pPr>
        <w:autoSpaceDE w:val="0"/>
        <w:autoSpaceDN w:val="0"/>
        <w:adjustRightInd w:val="0"/>
        <w:rPr>
          <w:rFonts w:cstheme="minorHAnsi"/>
        </w:rPr>
      </w:pPr>
      <w:r w:rsidRPr="006D5998">
        <w:rPr>
          <w:rFonts w:cstheme="minorHAnsi"/>
        </w:rPr>
        <w:t xml:space="preserve">The need for generic ICRs to facilitate the survey administration process was discussed at a workshop hosted at Resources for the Future on October 2, </w:t>
      </w:r>
      <w:r w:rsidRPr="006D5998">
        <w:rPr>
          <w:rFonts w:cstheme="minorHAnsi"/>
        </w:rPr>
        <w:t>2006</w:t>
      </w:r>
      <w:r w:rsidRPr="006D5998">
        <w:rPr>
          <w:rFonts w:cstheme="minorHAnsi"/>
        </w:rPr>
        <w:t xml:space="preserve"> entitled: </w:t>
      </w:r>
      <w:r w:rsidRPr="006D5998">
        <w:rPr>
          <w:rFonts w:cstheme="minorHAnsi"/>
          <w:bCs/>
        </w:rPr>
        <w:t xml:space="preserve">Sample Representativeness: Implications for Administering and Testing Stated Preference Surveys. Generic ICRs for the conduct of focus groups were specifically identified as a means of reducing review times for focus groups and enhancing Agency’s ability to navigate the survey approval process. See </w:t>
      </w:r>
      <w:hyperlink r:id="rId9" w:history="1">
        <w:r w:rsidRPr="006D5998">
          <w:rPr>
            <w:rStyle w:val="Hyperlink"/>
            <w:rFonts w:cstheme="minorHAnsi"/>
            <w:bCs/>
          </w:rPr>
          <w:t>http://www.rff.org/rff/Events/upload/32432_1.pdf</w:t>
        </w:r>
      </w:hyperlink>
      <w:r w:rsidRPr="006D5998">
        <w:rPr>
          <w:rFonts w:cstheme="minorHAnsi"/>
          <w:bCs/>
        </w:rPr>
        <w:t xml:space="preserve"> for a summary of the workshop.</w:t>
      </w:r>
    </w:p>
    <w:p w:rsidR="00A233E0" w:rsidRPr="00E3122D" w:rsidP="00854AAE" w14:paraId="191560B2" w14:textId="77777777">
      <w:pPr>
        <w:pStyle w:val="ListParagraph"/>
        <w:numPr>
          <w:ilvl w:val="0"/>
          <w:numId w:val="25"/>
        </w:numPr>
        <w:pBdr>
          <w:bottom w:val="single" w:sz="4" w:space="1" w:color="auto"/>
        </w:pBdr>
        <w:spacing w:before="240" w:after="0"/>
        <w:rPr>
          <w:rFonts w:cstheme="minorHAnsi"/>
          <w:b/>
          <w:bCs/>
        </w:rPr>
      </w:pPr>
      <w:r w:rsidRPr="00E3122D">
        <w:rPr>
          <w:rFonts w:cstheme="minorHAnsi"/>
          <w:b/>
          <w:bCs/>
        </w:rPr>
        <w:t>PAYMENTS OR GIFTS TO RESPONDENTS</w:t>
      </w:r>
      <w:bookmarkEnd w:id="11"/>
    </w:p>
    <w:p w:rsidR="00D47CB3" w:rsidRPr="00D47CB3" w:rsidP="00854AAE" w14:paraId="5B1B6C7F" w14:textId="1A951D95">
      <w:pPr>
        <w:pBdr>
          <w:bottom w:val="single" w:sz="4" w:space="1" w:color="auto"/>
        </w:pBdr>
        <w:spacing w:before="60"/>
        <w:rPr>
          <w:rFonts w:cstheme="minorHAnsi"/>
        </w:rPr>
      </w:pPr>
      <w:r w:rsidRPr="00A233E0">
        <w:rPr>
          <w:rFonts w:cstheme="minorHAnsi"/>
          <w:i/>
          <w:iCs/>
        </w:rPr>
        <w:t>Explain any decisions to provide payments or gifts to respondents, other than remuneration of contractors or grantees.</w:t>
      </w:r>
    </w:p>
    <w:p w:rsidR="00ED57A4" w:rsidRPr="00BB3410" w:rsidP="00854AAE" w14:paraId="0D75D3D3" w14:textId="1D34BC1A">
      <w:pPr>
        <w:rPr>
          <w:rFonts w:cstheme="minorHAnsi"/>
        </w:rPr>
      </w:pPr>
      <w:r>
        <w:rPr>
          <w:rStyle w:val="normaltextrun"/>
          <w:color w:val="000000"/>
          <w:bdr w:val="none" w:sz="0" w:space="0" w:color="auto" w:frame="1"/>
        </w:rPr>
        <w:t xml:space="preserve">Focus groups and cognitive interviews are typically conducted through a contractor that provides the facilities and recruits the participants. The participants are generally compensated for their time by the contractor but are not paid directly by EPA. </w:t>
      </w:r>
    </w:p>
    <w:p w:rsidR="4C04BBF2" w:rsidP="006D5998" w14:paraId="333FE36D" w14:textId="45DEA41F">
      <w:pPr>
        <w:pStyle w:val="ListParagraph"/>
        <w:numPr>
          <w:ilvl w:val="0"/>
          <w:numId w:val="25"/>
        </w:numPr>
        <w:spacing w:before="240" w:after="0"/>
        <w:rPr>
          <w:b/>
          <w:bCs/>
        </w:rPr>
      </w:pPr>
      <w:r w:rsidRPr="4BDBF0A0">
        <w:rPr>
          <w:b/>
          <w:bCs/>
        </w:rPr>
        <w:t>ASSURANCE OF CONFIDENTIALITY</w:t>
      </w:r>
    </w:p>
    <w:p w:rsidR="00A233E0" w:rsidRPr="00A233E0" w:rsidP="006D5998" w14:paraId="429AF986" w14:textId="40745D8B">
      <w:pPr>
        <w:pBdr>
          <w:bottom w:val="single" w:sz="4" w:space="1" w:color="auto"/>
        </w:pBdr>
        <w:spacing w:before="60"/>
        <w:rPr>
          <w:rFonts w:cstheme="minorHAnsi"/>
        </w:rPr>
      </w:pPr>
      <w:r w:rsidRPr="00A233E0">
        <w:rPr>
          <w:rFonts w:cstheme="minorHAnsi"/>
          <w:i/>
          <w:iCs/>
        </w:rPr>
        <w:t xml:space="preserve">Describe any assurance of confidentiality provided to respondents and the basis for the assurance in statute, regulation, or Agency policy. If the collection requires a </w:t>
      </w:r>
      <w:r w:rsidRPr="00A233E0">
        <w:rPr>
          <w:rFonts w:cstheme="minorHAnsi"/>
          <w:i/>
          <w:iCs/>
        </w:rPr>
        <w:t>systems of records notice (SORN)</w:t>
      </w:r>
      <w:r w:rsidRPr="00A233E0">
        <w:rPr>
          <w:rFonts w:cstheme="minorHAnsi"/>
          <w:i/>
          <w:iCs/>
        </w:rPr>
        <w:t xml:space="preserve"> or privacy impact assessment (PIA), those should be cited and described here.</w:t>
      </w:r>
    </w:p>
    <w:p w:rsidR="00EA4C43" w:rsidRPr="00EA4C43" w:rsidP="006D5998" w14:paraId="65F8A30E" w14:textId="77777777">
      <w:pPr>
        <w:spacing w:before="240" w:after="0"/>
        <w:rPr>
          <w:rFonts w:cstheme="minorHAnsi"/>
          <w:b/>
          <w:bCs/>
        </w:rPr>
      </w:pPr>
      <w:bookmarkStart w:id="12" w:name="_Toc156593380"/>
      <w:r w:rsidRPr="00EA4C43">
        <w:rPr>
          <w:rFonts w:cstheme="minorHAnsi"/>
          <w:color w:val="000000"/>
        </w:rPr>
        <w:t xml:space="preserve">Each focus group will fully conform to federal regulations – specifically the Privacy Act of 1974 (5 U.S.C. 552a), the Hawkins-Stafford Amendments of 1988 (P.L 100-297), and the Computer Security Act of 1987.  </w:t>
      </w:r>
    </w:p>
    <w:p w:rsidR="00A233E0" w:rsidRPr="00E3122D" w:rsidP="006D5998" w14:paraId="36FBAEFB" w14:textId="7DCABE6F">
      <w:pPr>
        <w:pStyle w:val="ListParagraph"/>
        <w:numPr>
          <w:ilvl w:val="0"/>
          <w:numId w:val="25"/>
        </w:numPr>
        <w:spacing w:before="240" w:after="0"/>
        <w:rPr>
          <w:rFonts w:cstheme="minorHAnsi"/>
          <w:b/>
          <w:bCs/>
        </w:rPr>
      </w:pPr>
      <w:r w:rsidRPr="4BDBF0A0">
        <w:rPr>
          <w:b/>
          <w:bCs/>
        </w:rPr>
        <w:t>JUSTIFICATION FOR SENSITIVE QUESTIONS</w:t>
      </w:r>
      <w:bookmarkEnd w:id="12"/>
    </w:p>
    <w:p w:rsidR="00A233E0" w:rsidRPr="00A233E0" w:rsidP="006D5998" w14:paraId="6E3B78D8" w14:textId="5C334C1C">
      <w:pPr>
        <w:pBdr>
          <w:bottom w:val="single" w:sz="4" w:space="1" w:color="auto"/>
        </w:pBdr>
        <w:spacing w:before="60"/>
        <w:rPr>
          <w:rFonts w:cstheme="minorHAnsi"/>
        </w:rPr>
      </w:pPr>
      <w:r w:rsidRPr="00A233E0">
        <w:rPr>
          <w:rFonts w:cstheme="minorHAnsi"/>
          <w:i/>
          <w:iCs/>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EA4C43" w:rsidRPr="006D5998" w:rsidP="00EA4C43" w14:paraId="62D3C6C9" w14:textId="77777777">
      <w:pPr>
        <w:pStyle w:val="BodyTextIndent"/>
        <w:ind w:left="0"/>
        <w:rPr>
          <w:rFonts w:asciiTheme="minorHAnsi" w:hAnsiTheme="minorHAnsi" w:cstheme="minorHAnsi"/>
          <w:sz w:val="22"/>
          <w:szCs w:val="22"/>
        </w:rPr>
      </w:pPr>
      <w:bookmarkStart w:id="13" w:name="_Toc156593381"/>
      <w:r w:rsidRPr="006D5998">
        <w:rPr>
          <w:rFonts w:asciiTheme="minorHAnsi" w:hAnsiTheme="minorHAnsi" w:cstheme="minorHAnsi"/>
          <w:sz w:val="22"/>
          <w:szCs w:val="22"/>
        </w:rPr>
        <w:t>No questions will be asked that are of a personal or sensitive nature.</w:t>
      </w:r>
    </w:p>
    <w:p w:rsidR="00EA4C43" w:rsidP="00EA4C43" w14:paraId="3927A768" w14:textId="77777777">
      <w:pPr>
        <w:pStyle w:val="BodyTextIndent"/>
        <w:ind w:left="0"/>
      </w:pPr>
    </w:p>
    <w:p w:rsidR="001172FE" w:rsidRPr="00E3122D" w:rsidP="006D5998" w14:paraId="637A8E82" w14:textId="77777777">
      <w:pPr>
        <w:pStyle w:val="ListParagraph"/>
        <w:numPr>
          <w:ilvl w:val="0"/>
          <w:numId w:val="25"/>
        </w:numPr>
        <w:pBdr>
          <w:bottom w:val="single" w:sz="4" w:space="1" w:color="auto"/>
        </w:pBdr>
        <w:spacing w:before="240" w:after="0"/>
        <w:rPr>
          <w:rFonts w:cstheme="minorHAnsi"/>
          <w:b/>
          <w:bCs/>
        </w:rPr>
      </w:pPr>
      <w:r w:rsidRPr="4BDBF0A0">
        <w:rPr>
          <w:b/>
          <w:bCs/>
        </w:rPr>
        <w:t>RESPONDENT BURDEN HOURS</w:t>
      </w:r>
      <w:r w:rsidRPr="4BDBF0A0" w:rsidR="00DB799B">
        <w:rPr>
          <w:b/>
          <w:bCs/>
        </w:rPr>
        <w:t xml:space="preserve"> &amp; LABOR COSTS</w:t>
      </w:r>
      <w:bookmarkStart w:id="14" w:name="_Toc156593382"/>
      <w:bookmarkEnd w:id="13"/>
    </w:p>
    <w:p w:rsidR="00A233E0" w:rsidRPr="00F532D6" w:rsidP="00163C69" w14:paraId="71F2FC12" w14:textId="77777777">
      <w:pPr>
        <w:pStyle w:val="ListParagraph"/>
        <w:ind w:left="0"/>
        <w:rPr>
          <w:rFonts w:cstheme="minorHAnsi"/>
          <w:i/>
          <w:iCs/>
        </w:rPr>
      </w:pPr>
      <w:r w:rsidRPr="00F532D6">
        <w:rPr>
          <w:rFonts w:cstheme="minorHAnsi"/>
          <w:i/>
          <w:iCs/>
        </w:rPr>
        <w:t>Provide estimates of the hour burden of the collection of information. The statement should:</w:t>
      </w:r>
    </w:p>
    <w:p w:rsidR="00A233E0" w:rsidP="006E197A" w14:paraId="11BD2D70" w14:textId="77777777">
      <w:pPr>
        <w:pStyle w:val="ListParagraph"/>
        <w:numPr>
          <w:ilvl w:val="0"/>
          <w:numId w:val="14"/>
        </w:numPr>
        <w:ind w:left="446"/>
        <w:rPr>
          <w:rFonts w:cstheme="minorHAnsi"/>
          <w:i/>
          <w:iCs/>
        </w:rPr>
      </w:pPr>
      <w:r w:rsidRPr="00F532D6">
        <w:rPr>
          <w:rFonts w:cstheme="minorHAnsi"/>
          <w:i/>
          <w:iCs/>
        </w:rPr>
        <w:t>Indicate the number of respondents, frequency of response, annual hour burden, and an explanation of how the burden was estimated. Generally, estimates should not include burden hours for customary and usual business practices.</w:t>
      </w:r>
    </w:p>
    <w:p w:rsidR="00A76DE3" w:rsidP="00A76DE3" w14:paraId="3BC79F16" w14:textId="77777777">
      <w:pPr>
        <w:pStyle w:val="ListParagraph"/>
        <w:ind w:left="446"/>
        <w:rPr>
          <w:rFonts w:cstheme="minorHAnsi"/>
          <w:i/>
          <w:iCs/>
        </w:rPr>
      </w:pPr>
    </w:p>
    <w:p w:rsidR="00A76DE3" w:rsidP="00A76DE3" w14:paraId="46900616" w14:textId="19B6EEB6">
      <w:pPr>
        <w:pStyle w:val="ListParagraph"/>
        <w:ind w:left="446"/>
        <w:rPr>
          <w:rFonts w:cstheme="minorHAnsi"/>
        </w:rPr>
      </w:pPr>
      <w:r>
        <w:rPr>
          <w:rFonts w:cstheme="minorHAnsi"/>
        </w:rPr>
        <w:t xml:space="preserve">EPA estimates that, over the next three years, up to 6 studies may require focus groups and that an average of </w:t>
      </w:r>
      <w:r w:rsidR="00070D79">
        <w:rPr>
          <w:rFonts w:cstheme="minorHAnsi"/>
        </w:rPr>
        <w:t xml:space="preserve">8 focus groups will be required for each study. If 9 respondents participate in each focus group, the total number of participants would be 432, or 144 per year. Focus groups tend to last 2 hours, amounting to a total respondent burden of 864 hours, or 288 hours per year. Focus groups are a one-time collection from the participants. </w:t>
      </w:r>
    </w:p>
    <w:p w:rsidR="00A76DE3" w:rsidRPr="00A76DE3" w:rsidP="00A76DE3" w14:paraId="1153DFEF" w14:textId="77777777">
      <w:pPr>
        <w:pStyle w:val="ListParagraph"/>
        <w:ind w:left="446"/>
        <w:rPr>
          <w:rFonts w:cstheme="minorHAnsi"/>
        </w:rPr>
      </w:pPr>
    </w:p>
    <w:p w:rsidR="00A233E0" w:rsidP="001F0834" w14:paraId="2184CE92" w14:textId="77777777">
      <w:pPr>
        <w:pStyle w:val="ListParagraph"/>
        <w:numPr>
          <w:ilvl w:val="0"/>
          <w:numId w:val="14"/>
        </w:numPr>
        <w:ind w:left="450"/>
        <w:rPr>
          <w:rFonts w:cstheme="minorHAnsi"/>
          <w:i/>
          <w:iCs/>
        </w:rPr>
      </w:pPr>
      <w:r w:rsidRPr="00F532D6">
        <w:rPr>
          <w:rFonts w:cstheme="minorHAnsi"/>
          <w:i/>
          <w:iCs/>
        </w:rPr>
        <w:t>If this request for approval covers more than one form, provide separate hour burden estimates for each form and the aggregate the hour burdens.</w:t>
      </w:r>
    </w:p>
    <w:p w:rsidR="00070D79" w:rsidP="00070D79" w14:paraId="3B8522E5" w14:textId="77777777">
      <w:pPr>
        <w:pStyle w:val="ListParagraph"/>
        <w:ind w:left="450"/>
        <w:rPr>
          <w:rFonts w:cstheme="minorHAnsi"/>
          <w:i/>
          <w:iCs/>
        </w:rPr>
      </w:pPr>
    </w:p>
    <w:p w:rsidR="00070D79" w:rsidRPr="00070D79" w:rsidP="00070D79" w14:paraId="5ED579D8" w14:textId="23A8EF2F">
      <w:pPr>
        <w:pStyle w:val="ListParagraph"/>
        <w:ind w:left="450"/>
        <w:rPr>
          <w:rFonts w:cstheme="minorHAnsi"/>
        </w:rPr>
      </w:pPr>
      <w:r>
        <w:rPr>
          <w:rFonts w:cstheme="minorHAnsi"/>
        </w:rPr>
        <w:t xml:space="preserve">This generic ICR does not cover any forms. </w:t>
      </w:r>
    </w:p>
    <w:p w:rsidR="00070D79" w:rsidRPr="00F532D6" w:rsidP="00070D79" w14:paraId="0ADA9DF0" w14:textId="77777777">
      <w:pPr>
        <w:pStyle w:val="ListParagraph"/>
        <w:ind w:left="450"/>
        <w:rPr>
          <w:rFonts w:cstheme="minorHAnsi"/>
          <w:i/>
          <w:iCs/>
        </w:rPr>
      </w:pPr>
    </w:p>
    <w:p w:rsidR="00A233E0" w:rsidP="00070D79" w14:paraId="7EF5894F" w14:textId="5EEBA470">
      <w:pPr>
        <w:pStyle w:val="ListParagraph"/>
        <w:numPr>
          <w:ilvl w:val="0"/>
          <w:numId w:val="14"/>
        </w:numPr>
        <w:ind w:left="446"/>
        <w:rPr>
          <w:rFonts w:cstheme="minorHAnsi"/>
          <w:i/>
          <w:iCs/>
        </w:rPr>
      </w:pPr>
      <w:r w:rsidRPr="00F532D6">
        <w:rPr>
          <w:rFonts w:cstheme="minorHAnsi"/>
          <w:i/>
          <w:i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as O&amp;M costs under non-labor costs covered under question 13</w:t>
      </w:r>
      <w:r w:rsidR="001F0834">
        <w:rPr>
          <w:rFonts w:cstheme="minorHAnsi"/>
          <w:i/>
          <w:iCs/>
        </w:rPr>
        <w:t>.</w:t>
      </w:r>
    </w:p>
    <w:p w:rsidR="00070D79" w:rsidRPr="00070D79" w:rsidP="00070D79" w14:paraId="11B03CAE" w14:textId="021EC8BF">
      <w:pPr>
        <w:ind w:left="446"/>
        <w:rPr>
          <w:rFonts w:cstheme="minorHAnsi"/>
        </w:rPr>
      </w:pPr>
      <w:r>
        <w:rPr>
          <w:rFonts w:cstheme="minorHAnsi"/>
        </w:rPr>
        <w:t>The civilian average hourly wage rate is $32.52 which would bring the expected total respondent burden to $28,097. However, respondents are typically compensated by contractors for their participation at a rate that exceeds the average hourly wage.</w:t>
      </w:r>
    </w:p>
    <w:p w:rsidR="00116084" w:rsidP="00116084" w14:paraId="158C0B4F" w14:textId="77777777">
      <w:pPr>
        <w:pStyle w:val="BodyTextIndent"/>
        <w:ind w:left="1080"/>
      </w:pPr>
    </w:p>
    <w:p w:rsidR="00116084" w:rsidRPr="00116084" w:rsidP="006D5998" w14:paraId="3FA5981C" w14:textId="77777777">
      <w:pPr>
        <w:ind w:left="86"/>
        <w:rPr>
          <w:rFonts w:cstheme="minorHAnsi"/>
          <w:i/>
          <w:iCs/>
        </w:rPr>
      </w:pPr>
    </w:p>
    <w:p w:rsidR="001172FE" w:rsidRPr="00E3122D" w:rsidP="00854AAE" w14:paraId="571186E5" w14:textId="2917827F">
      <w:pPr>
        <w:spacing w:before="120" w:after="0"/>
        <w:rPr>
          <w:rFonts w:cstheme="minorHAnsi"/>
          <w:b/>
          <w:bCs/>
        </w:rPr>
      </w:pPr>
      <w:r w:rsidRPr="00E3122D">
        <w:rPr>
          <w:rFonts w:cstheme="minorHAnsi"/>
          <w:b/>
          <w:bCs/>
        </w:rPr>
        <w:t xml:space="preserve">12a. </w:t>
      </w:r>
      <w:r w:rsidRPr="00E3122D" w:rsidR="00557E8F">
        <w:rPr>
          <w:rFonts w:cstheme="minorHAnsi"/>
          <w:b/>
          <w:bCs/>
        </w:rPr>
        <w:t>Respondents/NAICS Codes</w:t>
      </w:r>
      <w:bookmarkStart w:id="15" w:name="_Toc156593383"/>
      <w:bookmarkEnd w:id="14"/>
    </w:p>
    <w:p w:rsidR="00FA1B3A" w:rsidP="00854AAE" w14:paraId="04CA0B95" w14:textId="77777777">
      <w:pPr>
        <w:spacing w:before="120" w:after="0"/>
        <w:rPr>
          <w:rFonts w:cstheme="minorHAnsi"/>
          <w:color w:val="000000"/>
        </w:rPr>
      </w:pPr>
      <w:r w:rsidRPr="00FA1B3A">
        <w:rPr>
          <w:rFonts w:cstheme="minorHAnsi"/>
          <w:color w:val="000000"/>
        </w:rPr>
        <w:t xml:space="preserve">The target population for the focus group discussions will vary by project but will generally include members of the public. The target population will be clearly defined in advance for each focus group and participants will be randomly recruited whenever feasible. </w:t>
      </w:r>
    </w:p>
    <w:p w:rsidR="00ED57A4" w:rsidRPr="00163C69" w:rsidP="00854AAE" w14:paraId="24D360E5" w14:textId="562B00D6">
      <w:pPr>
        <w:spacing w:before="120" w:after="0"/>
        <w:rPr>
          <w:rFonts w:cstheme="minorHAnsi"/>
          <w:b/>
          <w:bCs/>
        </w:rPr>
      </w:pPr>
      <w:r w:rsidRPr="00163C69">
        <w:rPr>
          <w:rFonts w:cstheme="minorHAnsi"/>
          <w:b/>
          <w:bCs/>
        </w:rPr>
        <w:t xml:space="preserve">12b. </w:t>
      </w:r>
      <w:r w:rsidRPr="00163C69" w:rsidR="00BB7DA0">
        <w:rPr>
          <w:rFonts w:cstheme="minorHAnsi"/>
          <w:b/>
          <w:bCs/>
        </w:rPr>
        <w:t>Information Requested</w:t>
      </w:r>
      <w:bookmarkStart w:id="16" w:name="_Toc156593384"/>
      <w:bookmarkEnd w:id="15"/>
    </w:p>
    <w:p w:rsidR="00570F24" w:rsidP="00854AAE" w14:paraId="6AEE75EA" w14:textId="77777777">
      <w:pPr>
        <w:spacing w:before="120" w:after="0"/>
        <w:rPr>
          <w:rFonts w:cstheme="minorHAnsi"/>
          <w:color w:val="000000"/>
        </w:rPr>
      </w:pPr>
      <w:r w:rsidRPr="00570F24">
        <w:rPr>
          <w:rFonts w:cstheme="minorHAnsi"/>
          <w:color w:val="000000"/>
        </w:rPr>
        <w:t>Respondents will be asked to participate in a moderated discussion on a specific topic or issue, during which they will be asked their thoughts, perceptions, and beliefs regarding the issue. The collection will be a one-time event and there will be no need for participants to maintain records or submit documents or proprietary trade secrets. There will be complete protection of any demographic information collection from participants -- names, phone numbers and addresses will not be associated with responses.</w:t>
      </w:r>
    </w:p>
    <w:p w:rsidR="001172FE" w:rsidRPr="00163C69" w:rsidP="00854AAE" w14:paraId="7B8A0ACD" w14:textId="4122B109">
      <w:pPr>
        <w:spacing w:before="120" w:after="0"/>
        <w:rPr>
          <w:rFonts w:cstheme="minorHAnsi"/>
          <w:b/>
          <w:bCs/>
        </w:rPr>
      </w:pPr>
      <w:r w:rsidRPr="00163C69">
        <w:rPr>
          <w:rFonts w:cstheme="minorHAnsi"/>
          <w:b/>
          <w:bCs/>
        </w:rPr>
        <w:t xml:space="preserve">12c. </w:t>
      </w:r>
      <w:r w:rsidRPr="00163C69" w:rsidR="00DD718B">
        <w:rPr>
          <w:rFonts w:cstheme="minorHAnsi"/>
          <w:b/>
          <w:bCs/>
        </w:rPr>
        <w:t>Respondent Activities</w:t>
      </w:r>
      <w:bookmarkStart w:id="17" w:name="_Toc156593385"/>
      <w:bookmarkEnd w:id="16"/>
    </w:p>
    <w:p w:rsidR="009F1E00" w:rsidRPr="00BB3410" w:rsidP="00854AAE" w14:paraId="3C4B52CA" w14:textId="68BF2D3B">
      <w:pPr>
        <w:spacing w:before="60"/>
        <w:rPr>
          <w:rFonts w:cstheme="minorHAnsi"/>
        </w:rPr>
      </w:pPr>
      <w:r>
        <w:rPr>
          <w:rFonts w:cstheme="minorHAnsi"/>
        </w:rPr>
        <w:t xml:space="preserve">Respondents will be asked to participate in a group discussion (focus group) or a one-on-one interview (cognitive interview). The topics of discussion will vary by study. Focus groups generally last about two hours while cognitive interviews last no longer than one hour. </w:t>
      </w:r>
    </w:p>
    <w:p w:rsidR="00D92ED6" w:rsidRPr="00163C69" w:rsidP="00854AAE" w14:paraId="0B6BE1C2" w14:textId="3F49A8F0">
      <w:pPr>
        <w:spacing w:before="120" w:after="0"/>
        <w:rPr>
          <w:rFonts w:cstheme="minorHAnsi"/>
          <w:b/>
          <w:bCs/>
        </w:rPr>
      </w:pPr>
      <w:r w:rsidRPr="00163C69">
        <w:rPr>
          <w:rFonts w:cstheme="minorHAnsi"/>
          <w:b/>
          <w:bCs/>
        </w:rPr>
        <w:t xml:space="preserve">12d. </w:t>
      </w:r>
      <w:r w:rsidRPr="00163C69">
        <w:rPr>
          <w:rFonts w:cstheme="minorHAnsi"/>
          <w:b/>
          <w:bCs/>
        </w:rPr>
        <w:t xml:space="preserve">Respondent </w:t>
      </w:r>
      <w:r w:rsidRPr="00163C69" w:rsidR="00BB2B15">
        <w:rPr>
          <w:rFonts w:cstheme="minorHAnsi"/>
          <w:b/>
          <w:bCs/>
        </w:rPr>
        <w:t xml:space="preserve">Burden </w:t>
      </w:r>
      <w:r w:rsidRPr="00163C69" w:rsidR="00B666CD">
        <w:rPr>
          <w:rFonts w:cstheme="minorHAnsi"/>
          <w:b/>
          <w:bCs/>
        </w:rPr>
        <w:t>Hour</w:t>
      </w:r>
      <w:r w:rsidRPr="00163C69" w:rsidR="00BB2B15">
        <w:rPr>
          <w:rFonts w:cstheme="minorHAnsi"/>
          <w:b/>
          <w:bCs/>
        </w:rPr>
        <w:t>s</w:t>
      </w:r>
      <w:r w:rsidRPr="00163C69" w:rsidR="00B666CD">
        <w:rPr>
          <w:rFonts w:cstheme="minorHAnsi"/>
          <w:b/>
          <w:bCs/>
        </w:rPr>
        <w:t xml:space="preserve"> and Labor </w:t>
      </w:r>
      <w:bookmarkEnd w:id="17"/>
      <w:r w:rsidRPr="00163C69" w:rsidR="00BB2B15">
        <w:rPr>
          <w:rFonts w:cstheme="minorHAnsi"/>
          <w:b/>
          <w:bCs/>
        </w:rPr>
        <w:t>Costs</w:t>
      </w:r>
    </w:p>
    <w:p w:rsidR="00570F24" w:rsidRPr="00570F24" w:rsidP="00570F24" w14:paraId="416759CC" w14:textId="34E07B0A">
      <w:pPr>
        <w:pStyle w:val="BodyTextIndent"/>
        <w:ind w:left="0"/>
        <w:rPr>
          <w:rFonts w:asciiTheme="minorHAnsi" w:hAnsiTheme="minorHAnsi" w:cstheme="minorHAnsi"/>
          <w:snapToGrid w:val="0"/>
          <w:sz w:val="22"/>
          <w:szCs w:val="22"/>
        </w:rPr>
      </w:pPr>
      <w:bookmarkStart w:id="18" w:name="_Toc156593386"/>
      <w:r w:rsidRPr="00570F24">
        <w:rPr>
          <w:rFonts w:asciiTheme="minorHAnsi" w:hAnsiTheme="minorHAnsi" w:cstheme="minorHAnsi"/>
          <w:snapToGrid w:val="0"/>
          <w:sz w:val="22"/>
          <w:szCs w:val="22"/>
        </w:rPr>
        <w:t xml:space="preserve">Estimates of respondent burden were derived from projected focus group usage over the next three years. Each program office was asked for the number and size of the focus groups that they anticipate conducting for economics projects over the next three years. At this stage, EPA is estimating a total of six study areas over the next three years on subjects including non-fatal health risk valuation, coastal adaptation, prevention of algal blooms, and </w:t>
      </w:r>
      <w:r w:rsidR="009C4678">
        <w:rPr>
          <w:rFonts w:asciiTheme="minorHAnsi" w:hAnsiTheme="minorHAnsi" w:cstheme="minorHAnsi"/>
          <w:snapToGrid w:val="0"/>
          <w:sz w:val="22"/>
          <w:szCs w:val="22"/>
        </w:rPr>
        <w:t>drinking water quality</w:t>
      </w:r>
      <w:r w:rsidRPr="00570F24">
        <w:rPr>
          <w:rFonts w:asciiTheme="minorHAnsi" w:hAnsiTheme="minorHAnsi" w:cstheme="minorHAnsi"/>
          <w:snapToGrid w:val="0"/>
          <w:sz w:val="22"/>
          <w:szCs w:val="22"/>
        </w:rPr>
        <w:t xml:space="preserve">. In addition to these study areas, we also recognize that the timing of research-related focus group projects is clustered in nature and predictions of when these projects will occur are imprecise.  </w:t>
      </w:r>
    </w:p>
    <w:p w:rsidR="00570F24" w:rsidRPr="00570F24" w:rsidP="00570F24" w14:paraId="7696BFC5" w14:textId="77777777">
      <w:pPr>
        <w:pStyle w:val="BodyTextIndent"/>
        <w:rPr>
          <w:rFonts w:asciiTheme="minorHAnsi" w:hAnsiTheme="minorHAnsi" w:cstheme="minorHAnsi"/>
          <w:sz w:val="22"/>
          <w:szCs w:val="22"/>
        </w:rPr>
      </w:pPr>
    </w:p>
    <w:p w:rsidR="00570F24" w:rsidRPr="00570F24" w:rsidP="00570F24" w14:paraId="3041102E" w14:textId="7E2A8E53">
      <w:pPr>
        <w:pStyle w:val="BodyTextIndent"/>
        <w:ind w:left="0"/>
        <w:rPr>
          <w:rFonts w:asciiTheme="minorHAnsi" w:hAnsiTheme="minorHAnsi" w:cstheme="minorHAnsi"/>
          <w:b/>
          <w:sz w:val="22"/>
          <w:szCs w:val="22"/>
        </w:rPr>
      </w:pPr>
      <w:r w:rsidRPr="00570F24">
        <w:rPr>
          <w:rFonts w:asciiTheme="minorHAnsi" w:hAnsiTheme="minorHAnsi" w:cstheme="minorHAnsi"/>
          <w:sz w:val="22"/>
          <w:szCs w:val="22"/>
        </w:rPr>
        <w:t xml:space="preserve">TABLE 1 – </w:t>
      </w:r>
      <w:r w:rsidRPr="00570F24">
        <w:rPr>
          <w:rFonts w:asciiTheme="minorHAnsi" w:hAnsiTheme="minorHAnsi" w:cstheme="minorHAnsi"/>
          <w:b/>
          <w:sz w:val="22"/>
          <w:szCs w:val="22"/>
        </w:rPr>
        <w:t>Average Annual Respondent Burden and Costs</w:t>
      </w:r>
      <w:r w:rsidRPr="00570F24">
        <w:rPr>
          <w:rFonts w:asciiTheme="minorHAnsi" w:hAnsiTheme="minorHAnsi" w:cstheme="minorHAnsi"/>
          <w:sz w:val="22"/>
          <w:szCs w:val="22"/>
          <w:vertAlign w:val="superscript"/>
        </w:rPr>
        <w:t>1</w:t>
      </w:r>
    </w:p>
    <w:p w:rsidR="00570F24" w:rsidRPr="00AE7F54" w:rsidP="00570F24" w14:paraId="4B1690DF" w14:textId="77777777">
      <w:pPr>
        <w:pStyle w:val="BodyTextIndent"/>
        <w:rPr>
          <w:b/>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96"/>
        <w:gridCol w:w="1296"/>
        <w:gridCol w:w="1296"/>
        <w:gridCol w:w="1296"/>
        <w:gridCol w:w="1296"/>
        <w:gridCol w:w="1296"/>
        <w:gridCol w:w="1296"/>
      </w:tblGrid>
      <w:tr w14:paraId="59073636" w14:textId="77777777" w:rsidTr="00570F24">
        <w:tblPrEx>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1296" w:type="dxa"/>
            <w:vAlign w:val="center"/>
          </w:tcPr>
          <w:p w:rsidR="00570F24" w:rsidP="00B21786" w14:paraId="3BC0A4E3" w14:textId="77777777">
            <w:pPr>
              <w:pStyle w:val="BodyTextIndent"/>
              <w:ind w:left="0"/>
              <w:jc w:val="center"/>
              <w:rPr>
                <w:sz w:val="16"/>
              </w:rPr>
            </w:pPr>
          </w:p>
          <w:p w:rsidR="00570F24" w:rsidP="00B21786" w14:paraId="68826530" w14:textId="77777777">
            <w:pPr>
              <w:pStyle w:val="BodyTextIndent"/>
              <w:ind w:left="0"/>
              <w:jc w:val="center"/>
              <w:rPr>
                <w:sz w:val="16"/>
              </w:rPr>
            </w:pPr>
          </w:p>
          <w:p w:rsidR="00570F24" w:rsidP="00B21786" w14:paraId="6D70E2A3" w14:textId="77777777">
            <w:pPr>
              <w:pStyle w:val="BodyTextIndent"/>
              <w:ind w:left="0"/>
              <w:jc w:val="center"/>
              <w:rPr>
                <w:sz w:val="16"/>
              </w:rPr>
            </w:pPr>
            <w:r>
              <w:rPr>
                <w:sz w:val="16"/>
              </w:rPr>
              <w:t>Approximate Number of Studies</w:t>
            </w:r>
          </w:p>
        </w:tc>
        <w:tc>
          <w:tcPr>
            <w:tcW w:w="1296" w:type="dxa"/>
            <w:vAlign w:val="center"/>
          </w:tcPr>
          <w:p w:rsidR="00570F24" w:rsidP="00B21786" w14:paraId="1EB37F41" w14:textId="77777777">
            <w:pPr>
              <w:pStyle w:val="BodyTextIndent"/>
              <w:ind w:left="0"/>
              <w:jc w:val="center"/>
              <w:rPr>
                <w:sz w:val="16"/>
              </w:rPr>
            </w:pPr>
          </w:p>
          <w:p w:rsidR="00570F24" w:rsidP="00B21786" w14:paraId="672593CA" w14:textId="77777777">
            <w:pPr>
              <w:pStyle w:val="BodyTextIndent"/>
              <w:ind w:left="0"/>
              <w:jc w:val="center"/>
              <w:rPr>
                <w:sz w:val="16"/>
              </w:rPr>
            </w:pPr>
          </w:p>
          <w:p w:rsidR="00570F24" w:rsidRPr="00F44E33" w:rsidP="00B21786" w14:paraId="27A3888C" w14:textId="77777777">
            <w:pPr>
              <w:pStyle w:val="BodyTextIndent"/>
              <w:ind w:left="0"/>
              <w:jc w:val="center"/>
              <w:rPr>
                <w:sz w:val="16"/>
                <w:vertAlign w:val="superscript"/>
              </w:rPr>
            </w:pPr>
            <w:r>
              <w:rPr>
                <w:sz w:val="16"/>
              </w:rPr>
              <w:t>Average Number of Focus Groups per Study</w:t>
            </w:r>
          </w:p>
          <w:p w:rsidR="00570F24" w:rsidP="00B21786" w14:paraId="47BA265F" w14:textId="77777777">
            <w:pPr>
              <w:pStyle w:val="BodyTextIndent"/>
              <w:ind w:left="0"/>
              <w:jc w:val="center"/>
              <w:rPr>
                <w:sz w:val="16"/>
              </w:rPr>
            </w:pPr>
          </w:p>
        </w:tc>
        <w:tc>
          <w:tcPr>
            <w:tcW w:w="1296" w:type="dxa"/>
            <w:vAlign w:val="center"/>
          </w:tcPr>
          <w:p w:rsidR="00570F24" w:rsidP="00B21786" w14:paraId="4B5ED73D" w14:textId="77777777">
            <w:pPr>
              <w:pStyle w:val="BodyTextIndent"/>
              <w:ind w:left="0"/>
              <w:jc w:val="center"/>
              <w:rPr>
                <w:sz w:val="16"/>
              </w:rPr>
            </w:pPr>
          </w:p>
          <w:p w:rsidR="00570F24" w:rsidP="00B21786" w14:paraId="10741901" w14:textId="77777777">
            <w:pPr>
              <w:pStyle w:val="BodyTextIndent"/>
              <w:ind w:left="0"/>
              <w:jc w:val="center"/>
              <w:rPr>
                <w:sz w:val="16"/>
              </w:rPr>
            </w:pPr>
          </w:p>
          <w:p w:rsidR="00570F24" w:rsidP="00B21786" w14:paraId="50EFE6AC" w14:textId="77777777">
            <w:pPr>
              <w:pStyle w:val="BodyTextIndent"/>
              <w:ind w:left="0"/>
              <w:jc w:val="center"/>
              <w:rPr>
                <w:sz w:val="16"/>
              </w:rPr>
            </w:pPr>
            <w:r>
              <w:rPr>
                <w:sz w:val="16"/>
              </w:rPr>
              <w:t>Average Number of Participants per Group</w:t>
            </w:r>
          </w:p>
        </w:tc>
        <w:tc>
          <w:tcPr>
            <w:tcW w:w="1296" w:type="dxa"/>
            <w:vAlign w:val="center"/>
          </w:tcPr>
          <w:p w:rsidR="00570F24" w:rsidP="00B21786" w14:paraId="1E712DE0" w14:textId="77777777">
            <w:pPr>
              <w:pStyle w:val="BodyTextIndent"/>
              <w:ind w:left="0"/>
              <w:jc w:val="center"/>
              <w:rPr>
                <w:sz w:val="16"/>
              </w:rPr>
            </w:pPr>
          </w:p>
          <w:p w:rsidR="00570F24" w:rsidP="00B21786" w14:paraId="76F9B899" w14:textId="77777777">
            <w:pPr>
              <w:pStyle w:val="BodyTextIndent"/>
              <w:ind w:left="0"/>
              <w:jc w:val="center"/>
              <w:rPr>
                <w:sz w:val="16"/>
              </w:rPr>
            </w:pPr>
            <w:r>
              <w:rPr>
                <w:sz w:val="16"/>
              </w:rPr>
              <w:t>Average Hours of Duration for Each Group (includes screening)</w:t>
            </w:r>
          </w:p>
          <w:p w:rsidR="00570F24" w:rsidP="00B21786" w14:paraId="652BB7B2" w14:textId="77777777">
            <w:pPr>
              <w:pStyle w:val="BodyTextIndent"/>
              <w:ind w:left="0"/>
              <w:jc w:val="center"/>
              <w:rPr>
                <w:sz w:val="16"/>
              </w:rPr>
            </w:pPr>
          </w:p>
        </w:tc>
        <w:tc>
          <w:tcPr>
            <w:tcW w:w="1296" w:type="dxa"/>
            <w:vAlign w:val="center"/>
          </w:tcPr>
          <w:p w:rsidR="00570F24" w:rsidP="00B21786" w14:paraId="59331A14" w14:textId="77777777">
            <w:pPr>
              <w:pStyle w:val="BodyTextIndent"/>
              <w:ind w:left="0"/>
              <w:jc w:val="center"/>
              <w:rPr>
                <w:sz w:val="16"/>
              </w:rPr>
            </w:pPr>
          </w:p>
          <w:p w:rsidR="00570F24" w:rsidP="00B21786" w14:paraId="187C591E" w14:textId="77777777">
            <w:pPr>
              <w:pStyle w:val="BodyTextIndent"/>
              <w:ind w:left="0"/>
              <w:jc w:val="center"/>
              <w:rPr>
                <w:sz w:val="16"/>
              </w:rPr>
            </w:pPr>
            <w:r>
              <w:rPr>
                <w:sz w:val="16"/>
              </w:rPr>
              <w:t>Total Estimated Respondent Hours</w:t>
            </w:r>
          </w:p>
          <w:p w:rsidR="00570F24" w:rsidP="00B21786" w14:paraId="7573A44B" w14:textId="77777777">
            <w:pPr>
              <w:pStyle w:val="BodyTextIndent"/>
              <w:ind w:left="0"/>
              <w:jc w:val="center"/>
              <w:rPr>
                <w:sz w:val="16"/>
              </w:rPr>
            </w:pPr>
            <w:r>
              <w:rPr>
                <w:sz w:val="16"/>
              </w:rPr>
              <w:t>Over next 3 years</w:t>
            </w:r>
          </w:p>
          <w:p w:rsidR="00570F24" w:rsidP="00B21786" w14:paraId="7072CDA0" w14:textId="77777777">
            <w:pPr>
              <w:pStyle w:val="BodyTextIndent"/>
              <w:ind w:left="0"/>
              <w:jc w:val="center"/>
              <w:rPr>
                <w:sz w:val="16"/>
              </w:rPr>
            </w:pPr>
          </w:p>
        </w:tc>
        <w:tc>
          <w:tcPr>
            <w:tcW w:w="1296" w:type="dxa"/>
            <w:vAlign w:val="center"/>
          </w:tcPr>
          <w:p w:rsidR="00570F24" w:rsidP="00B21786" w14:paraId="7F47610B" w14:textId="77777777">
            <w:pPr>
              <w:pStyle w:val="BodyTextIndent"/>
              <w:ind w:left="0"/>
              <w:jc w:val="center"/>
              <w:rPr>
                <w:sz w:val="16"/>
              </w:rPr>
            </w:pPr>
          </w:p>
          <w:p w:rsidR="00570F24" w:rsidP="00B21786" w14:paraId="7062CED1" w14:textId="77777777">
            <w:pPr>
              <w:pStyle w:val="BodyTextIndent"/>
              <w:ind w:left="0"/>
              <w:jc w:val="center"/>
              <w:rPr>
                <w:sz w:val="16"/>
              </w:rPr>
            </w:pPr>
            <w:r>
              <w:rPr>
                <w:sz w:val="16"/>
              </w:rPr>
              <w:t>Annual Hour Burden</w:t>
            </w:r>
          </w:p>
        </w:tc>
        <w:tc>
          <w:tcPr>
            <w:tcW w:w="1296" w:type="dxa"/>
            <w:vAlign w:val="center"/>
          </w:tcPr>
          <w:p w:rsidR="00570F24" w:rsidP="00B21786" w14:paraId="19A51074" w14:textId="77777777">
            <w:pPr>
              <w:pStyle w:val="BodyTextIndent"/>
              <w:ind w:left="0"/>
              <w:jc w:val="center"/>
              <w:rPr>
                <w:sz w:val="16"/>
              </w:rPr>
            </w:pPr>
          </w:p>
          <w:p w:rsidR="00570F24" w:rsidP="00B21786" w14:paraId="6C74F49A" w14:textId="77777777">
            <w:pPr>
              <w:pStyle w:val="BodyTextIndent"/>
              <w:ind w:left="0"/>
              <w:jc w:val="center"/>
              <w:rPr>
                <w:sz w:val="16"/>
              </w:rPr>
            </w:pPr>
            <w:r>
              <w:rPr>
                <w:sz w:val="16"/>
              </w:rPr>
              <w:t>Estimated</w:t>
            </w:r>
          </w:p>
          <w:p w:rsidR="00570F24" w:rsidRPr="00F44E33" w:rsidP="00B21786" w14:paraId="5DD89634" w14:textId="77777777">
            <w:pPr>
              <w:pStyle w:val="BodyTextIndent"/>
              <w:ind w:left="0"/>
              <w:jc w:val="center"/>
              <w:rPr>
                <w:sz w:val="16"/>
                <w:vertAlign w:val="superscript"/>
              </w:rPr>
            </w:pPr>
            <w:r>
              <w:rPr>
                <w:sz w:val="16"/>
              </w:rPr>
              <w:t>Annualized Cost to Respondents ($)</w:t>
            </w:r>
            <w:r>
              <w:rPr>
                <w:sz w:val="16"/>
                <w:vertAlign w:val="superscript"/>
              </w:rPr>
              <w:t>2,3</w:t>
            </w:r>
          </w:p>
        </w:tc>
      </w:tr>
      <w:tr w14:paraId="6731C777" w14:textId="77777777" w:rsidTr="00570F24">
        <w:tblPrEx>
          <w:tblW w:w="9072" w:type="dxa"/>
          <w:tblInd w:w="-5" w:type="dxa"/>
          <w:tblLayout w:type="fixed"/>
          <w:tblLook w:val="0000"/>
        </w:tblPrEx>
        <w:trPr>
          <w:trHeight w:val="557"/>
        </w:trPr>
        <w:tc>
          <w:tcPr>
            <w:tcW w:w="1296" w:type="dxa"/>
            <w:vAlign w:val="center"/>
          </w:tcPr>
          <w:p w:rsidR="00570F24" w:rsidP="00B21786" w14:paraId="04B78FFC" w14:textId="77777777">
            <w:pPr>
              <w:pStyle w:val="BodyTextIndent"/>
              <w:ind w:left="0"/>
              <w:jc w:val="center"/>
              <w:rPr>
                <w:sz w:val="16"/>
              </w:rPr>
            </w:pPr>
            <w:r>
              <w:rPr>
                <w:sz w:val="16"/>
              </w:rPr>
              <w:t>6</w:t>
            </w:r>
          </w:p>
        </w:tc>
        <w:tc>
          <w:tcPr>
            <w:tcW w:w="1296" w:type="dxa"/>
            <w:vAlign w:val="center"/>
          </w:tcPr>
          <w:p w:rsidR="00570F24" w:rsidP="00B21786" w14:paraId="111B6C46" w14:textId="77777777">
            <w:pPr>
              <w:pStyle w:val="BodyTextIndent"/>
              <w:ind w:left="0"/>
              <w:jc w:val="center"/>
              <w:rPr>
                <w:sz w:val="16"/>
              </w:rPr>
            </w:pPr>
            <w:r>
              <w:rPr>
                <w:sz w:val="16"/>
              </w:rPr>
              <w:t>8</w:t>
            </w:r>
          </w:p>
        </w:tc>
        <w:tc>
          <w:tcPr>
            <w:tcW w:w="1296" w:type="dxa"/>
            <w:vAlign w:val="center"/>
          </w:tcPr>
          <w:p w:rsidR="00570F24" w:rsidP="00B21786" w14:paraId="641575F8" w14:textId="77777777">
            <w:pPr>
              <w:pStyle w:val="BodyTextIndent"/>
              <w:ind w:left="0"/>
              <w:jc w:val="center"/>
              <w:rPr>
                <w:sz w:val="16"/>
              </w:rPr>
            </w:pPr>
            <w:r>
              <w:rPr>
                <w:sz w:val="16"/>
              </w:rPr>
              <w:t>9</w:t>
            </w:r>
          </w:p>
        </w:tc>
        <w:tc>
          <w:tcPr>
            <w:tcW w:w="1296" w:type="dxa"/>
            <w:vAlign w:val="center"/>
          </w:tcPr>
          <w:p w:rsidR="00570F24" w:rsidP="00B21786" w14:paraId="265BA24E" w14:textId="77777777">
            <w:pPr>
              <w:pStyle w:val="BodyTextIndent"/>
              <w:ind w:left="0"/>
              <w:jc w:val="center"/>
              <w:rPr>
                <w:sz w:val="16"/>
              </w:rPr>
            </w:pPr>
            <w:r>
              <w:rPr>
                <w:sz w:val="16"/>
              </w:rPr>
              <w:t>2.0</w:t>
            </w:r>
          </w:p>
        </w:tc>
        <w:tc>
          <w:tcPr>
            <w:tcW w:w="1296" w:type="dxa"/>
            <w:vAlign w:val="center"/>
          </w:tcPr>
          <w:p w:rsidR="00570F24" w:rsidP="00B21786" w14:paraId="246E63CD" w14:textId="77777777">
            <w:pPr>
              <w:pStyle w:val="BodyTextIndent"/>
              <w:ind w:left="0"/>
              <w:jc w:val="center"/>
              <w:rPr>
                <w:sz w:val="16"/>
              </w:rPr>
            </w:pPr>
            <w:r>
              <w:rPr>
                <w:sz w:val="16"/>
              </w:rPr>
              <w:t>864</w:t>
            </w:r>
          </w:p>
        </w:tc>
        <w:tc>
          <w:tcPr>
            <w:tcW w:w="1296" w:type="dxa"/>
            <w:vAlign w:val="center"/>
          </w:tcPr>
          <w:p w:rsidR="00570F24" w:rsidRPr="00C5766B" w:rsidP="00B21786" w14:paraId="39F784AB" w14:textId="77777777">
            <w:pPr>
              <w:pStyle w:val="BodyTextIndent"/>
              <w:ind w:left="0"/>
              <w:jc w:val="center"/>
              <w:rPr>
                <w:sz w:val="16"/>
              </w:rPr>
            </w:pPr>
            <w:r>
              <w:rPr>
                <w:sz w:val="16"/>
              </w:rPr>
              <w:t>288</w:t>
            </w:r>
          </w:p>
        </w:tc>
        <w:tc>
          <w:tcPr>
            <w:tcW w:w="1296" w:type="dxa"/>
            <w:vAlign w:val="center"/>
          </w:tcPr>
          <w:p w:rsidR="00570F24" w:rsidRPr="00C5766B" w:rsidP="00B21786" w14:paraId="67A95BC0" w14:textId="77777777">
            <w:pPr>
              <w:pStyle w:val="BodyTextIndent"/>
              <w:ind w:left="0"/>
              <w:jc w:val="center"/>
              <w:rPr>
                <w:sz w:val="16"/>
              </w:rPr>
            </w:pPr>
            <w:r>
              <w:rPr>
                <w:sz w:val="16"/>
              </w:rPr>
              <w:t>$9,365.76</w:t>
            </w:r>
          </w:p>
        </w:tc>
      </w:tr>
    </w:tbl>
    <w:p w:rsidR="00570F24" w:rsidP="00570F24" w14:paraId="7BBDFD96" w14:textId="77777777">
      <w:pPr>
        <w:pStyle w:val="BodyTextIndent"/>
        <w:rPr>
          <w:sz w:val="16"/>
          <w:szCs w:val="16"/>
        </w:rPr>
      </w:pPr>
      <w:r w:rsidRPr="009A632E">
        <w:rPr>
          <w:sz w:val="16"/>
          <w:szCs w:val="16"/>
          <w:vertAlign w:val="superscript"/>
        </w:rPr>
        <w:t>1</w:t>
      </w:r>
      <w:r>
        <w:rPr>
          <w:sz w:val="16"/>
        </w:rPr>
        <w:t xml:space="preserve"> </w:t>
      </w:r>
      <w:r w:rsidRPr="00C66DC2">
        <w:rPr>
          <w:sz w:val="16"/>
          <w:szCs w:val="16"/>
        </w:rPr>
        <w:t xml:space="preserve">There are no </w:t>
      </w:r>
      <w:r>
        <w:rPr>
          <w:sz w:val="16"/>
          <w:szCs w:val="16"/>
        </w:rPr>
        <w:t xml:space="preserve">respondent </w:t>
      </w:r>
      <w:r w:rsidRPr="00C66DC2">
        <w:rPr>
          <w:sz w:val="16"/>
          <w:szCs w:val="16"/>
        </w:rPr>
        <w:t>capital costs o</w:t>
      </w:r>
      <w:r>
        <w:rPr>
          <w:sz w:val="16"/>
          <w:szCs w:val="16"/>
        </w:rPr>
        <w:t>r</w:t>
      </w:r>
      <w:r w:rsidRPr="00C66DC2">
        <w:rPr>
          <w:sz w:val="16"/>
          <w:szCs w:val="16"/>
        </w:rPr>
        <w:t xml:space="preserve"> operating and maintenance costs ass</w:t>
      </w:r>
      <w:r>
        <w:rPr>
          <w:sz w:val="16"/>
          <w:szCs w:val="16"/>
        </w:rPr>
        <w:t>ociated with this collection of</w:t>
      </w:r>
      <w:r w:rsidRPr="00C66DC2">
        <w:rPr>
          <w:sz w:val="16"/>
          <w:szCs w:val="16"/>
        </w:rPr>
        <w:t xml:space="preserve"> information.</w:t>
      </w:r>
    </w:p>
    <w:p w:rsidR="00570F24" w:rsidP="00570F24" w14:paraId="42B67022" w14:textId="77777777">
      <w:pPr>
        <w:pStyle w:val="BodyTextIndent"/>
        <w:rPr>
          <w:rFonts w:cs="Tahoma"/>
          <w:sz w:val="16"/>
          <w:szCs w:val="16"/>
        </w:rPr>
      </w:pPr>
      <w:r w:rsidRPr="00F44E33">
        <w:rPr>
          <w:sz w:val="16"/>
          <w:szCs w:val="16"/>
          <w:vertAlign w:val="superscript"/>
        </w:rPr>
        <w:t>2</w:t>
      </w:r>
      <w:r w:rsidRPr="0009650E">
        <w:rPr>
          <w:sz w:val="16"/>
          <w:szCs w:val="16"/>
          <w:vertAlign w:val="superscript"/>
        </w:rPr>
        <w:t xml:space="preserve"> </w:t>
      </w:r>
      <w:r>
        <w:rPr>
          <w:rFonts w:cs="Tahoma"/>
          <w:sz w:val="16"/>
          <w:szCs w:val="16"/>
        </w:rPr>
        <w:t>Average h</w:t>
      </w:r>
      <w:r w:rsidRPr="003C1837">
        <w:rPr>
          <w:rFonts w:cs="Tahoma"/>
          <w:sz w:val="16"/>
          <w:szCs w:val="16"/>
        </w:rPr>
        <w:t xml:space="preserve">ourly </w:t>
      </w:r>
      <w:r w:rsidRPr="003C1837">
        <w:rPr>
          <w:rFonts w:cs="Tahoma"/>
          <w:sz w:val="16"/>
          <w:szCs w:val="16"/>
        </w:rPr>
        <w:t>rate</w:t>
      </w:r>
      <w:r>
        <w:rPr>
          <w:rFonts w:cs="Tahoma"/>
          <w:sz w:val="16"/>
          <w:szCs w:val="16"/>
        </w:rPr>
        <w:t xml:space="preserve"> for wages and salaries</w:t>
      </w:r>
      <w:r w:rsidRPr="003C1837">
        <w:rPr>
          <w:rFonts w:cs="Tahoma"/>
          <w:sz w:val="16"/>
          <w:szCs w:val="16"/>
        </w:rPr>
        <w:t xml:space="preserve"> ($</w:t>
      </w:r>
      <w:r>
        <w:rPr>
          <w:rFonts w:cs="Tahoma"/>
          <w:sz w:val="16"/>
          <w:szCs w:val="16"/>
        </w:rPr>
        <w:t>32.52</w:t>
      </w:r>
      <w:r w:rsidRPr="0009650E">
        <w:rPr>
          <w:rFonts w:cs="Tahoma"/>
          <w:sz w:val="16"/>
          <w:szCs w:val="16"/>
        </w:rPr>
        <w:t>)</w:t>
      </w:r>
      <w:r w:rsidRPr="001A3387">
        <w:rPr>
          <w:rFonts w:cs="Tahoma"/>
          <w:sz w:val="16"/>
          <w:szCs w:val="16"/>
        </w:rPr>
        <w:t xml:space="preserve"> from “</w:t>
      </w:r>
      <w:r w:rsidRPr="007E45F5">
        <w:rPr>
          <w:rFonts w:cs="Tahoma"/>
          <w:sz w:val="16"/>
          <w:szCs w:val="16"/>
        </w:rPr>
        <w:t xml:space="preserve">Table 1. Employer costs </w:t>
      </w:r>
      <w:r>
        <w:rPr>
          <w:rFonts w:cs="Tahoma"/>
          <w:sz w:val="16"/>
          <w:szCs w:val="16"/>
        </w:rPr>
        <w:t>for Employee Compensation by ownership</w:t>
      </w:r>
      <w:r w:rsidRPr="007E45F5">
        <w:rPr>
          <w:rFonts w:cs="Tahoma"/>
          <w:sz w:val="16"/>
          <w:szCs w:val="16"/>
        </w:rPr>
        <w:t xml:space="preserve">: Civilian workers, </w:t>
      </w:r>
      <w:r>
        <w:rPr>
          <w:rFonts w:cs="Tahoma"/>
          <w:sz w:val="16"/>
          <w:szCs w:val="16"/>
        </w:rPr>
        <w:t>December 2024”</w:t>
      </w:r>
      <w:r>
        <w:t xml:space="preserve">. </w:t>
      </w:r>
      <w:r w:rsidRPr="001A3387">
        <w:rPr>
          <w:rFonts w:cs="Tahoma"/>
          <w:sz w:val="16"/>
          <w:szCs w:val="16"/>
        </w:rPr>
        <w:t>U.S. Department of Labor, Bureau of Labor Statistics.</w:t>
      </w:r>
      <w:r>
        <w:rPr>
          <w:rFonts w:cs="Tahoma"/>
          <w:sz w:val="16"/>
          <w:szCs w:val="16"/>
        </w:rPr>
        <w:t xml:space="preserve"> (</w:t>
      </w:r>
      <w:hyperlink r:id="rId10" w:history="1">
        <w:r w:rsidRPr="0023260E">
          <w:rPr>
            <w:rStyle w:val="Hyperlink"/>
            <w:rFonts w:cs="Tahoma"/>
            <w:sz w:val="16"/>
            <w:szCs w:val="16"/>
          </w:rPr>
          <w:t>http://www.bls.gov/news.release/</w:t>
        </w:r>
        <w:r w:rsidRPr="0023260E">
          <w:rPr>
            <w:rStyle w:val="Hyperlink"/>
            <w:rFonts w:cs="Tahoma"/>
            <w:sz w:val="16"/>
            <w:szCs w:val="16"/>
          </w:rPr>
          <w:t>e</w:t>
        </w:r>
        <w:r w:rsidRPr="0023260E">
          <w:rPr>
            <w:rStyle w:val="Hyperlink"/>
            <w:rFonts w:cs="Tahoma"/>
            <w:sz w:val="16"/>
            <w:szCs w:val="16"/>
          </w:rPr>
          <w:t>cec.t01.htm</w:t>
        </w:r>
      </w:hyperlink>
      <w:r>
        <w:rPr>
          <w:rFonts w:cs="Tahoma"/>
          <w:sz w:val="16"/>
          <w:szCs w:val="16"/>
        </w:rPr>
        <w:t>)</w:t>
      </w:r>
    </w:p>
    <w:p w:rsidR="00570F24" w:rsidRPr="001A3387" w:rsidP="00570F24" w14:paraId="6BF89FF1" w14:textId="77777777">
      <w:pPr>
        <w:pStyle w:val="BodyTextIndent"/>
        <w:rPr>
          <w:sz w:val="16"/>
          <w:szCs w:val="16"/>
        </w:rPr>
      </w:pPr>
      <w:r w:rsidRPr="00116084">
        <w:rPr>
          <w:rFonts w:cs="Tahoma"/>
          <w:sz w:val="16"/>
          <w:szCs w:val="16"/>
          <w:vertAlign w:val="superscript"/>
        </w:rPr>
        <w:t>3</w:t>
      </w:r>
      <w:r>
        <w:rPr>
          <w:rFonts w:cs="Tahoma"/>
          <w:sz w:val="16"/>
          <w:szCs w:val="16"/>
        </w:rPr>
        <w:t xml:space="preserve"> Respondents will be compensated for their time by a contractor. Those costs are reported under Costs to the Agency in question 13. </w:t>
      </w:r>
    </w:p>
    <w:p w:rsidR="00BB2B15" w:rsidRPr="00163C69" w:rsidP="00DE5833" w14:paraId="5D1B71A2" w14:textId="2ADBBFA0">
      <w:pPr>
        <w:pStyle w:val="ListParagraph"/>
        <w:numPr>
          <w:ilvl w:val="0"/>
          <w:numId w:val="29"/>
        </w:numPr>
        <w:spacing w:before="240" w:after="0"/>
        <w:rPr>
          <w:rFonts w:cstheme="minorHAnsi"/>
          <w:b/>
          <w:bCs/>
          <w:caps/>
        </w:rPr>
      </w:pPr>
      <w:r w:rsidRPr="4BDBF0A0">
        <w:rPr>
          <w:b/>
          <w:bCs/>
          <w:caps/>
        </w:rPr>
        <w:t>Respondent</w:t>
      </w:r>
      <w:r w:rsidRPr="4BDBF0A0" w:rsidR="009A09EC">
        <w:rPr>
          <w:b/>
          <w:bCs/>
          <w:caps/>
        </w:rPr>
        <w:t xml:space="preserve"> </w:t>
      </w:r>
      <w:r w:rsidRPr="4BDBF0A0" w:rsidR="00D17BB9">
        <w:rPr>
          <w:b/>
          <w:bCs/>
          <w:caps/>
        </w:rPr>
        <w:t xml:space="preserve">CAPITAL AND O&amp;m </w:t>
      </w:r>
      <w:r w:rsidRPr="4BDBF0A0" w:rsidR="004E3CB0">
        <w:rPr>
          <w:b/>
          <w:bCs/>
          <w:caps/>
        </w:rPr>
        <w:t>Cost</w:t>
      </w:r>
      <w:r w:rsidRPr="4BDBF0A0" w:rsidR="00D17BB9">
        <w:rPr>
          <w:b/>
          <w:bCs/>
          <w:caps/>
        </w:rPr>
        <w:t>S</w:t>
      </w:r>
      <w:bookmarkEnd w:id="18"/>
      <w:r w:rsidRPr="4BDBF0A0" w:rsidR="004E3CB0">
        <w:rPr>
          <w:b/>
          <w:bCs/>
          <w:caps/>
        </w:rPr>
        <w:t xml:space="preserve"> </w:t>
      </w:r>
    </w:p>
    <w:p w:rsidR="00F92596" w:rsidRPr="00F92596" w:rsidP="00F92596" w14:paraId="0925DF34" w14:textId="77777777">
      <w:pPr>
        <w:spacing w:after="0" w:line="240" w:lineRule="auto"/>
        <w:rPr>
          <w:rFonts w:cstheme="minorHAnsi"/>
          <w:i/>
          <w:iCs/>
        </w:rPr>
      </w:pPr>
      <w:r w:rsidRPr="00F92596">
        <w:rPr>
          <w:rFonts w:cstheme="minorHAnsi"/>
          <w:i/>
          <w:iCs/>
        </w:rPr>
        <w:t>Provide an estimate for the total annual cost burden to respondents or record keepers resulting from the collection of information. (Do not include the cost of any hour burden already reflected on the burden worksheet).</w:t>
      </w:r>
    </w:p>
    <w:p w:rsidR="00F92596" w:rsidRPr="00F92596" w:rsidP="00163C69" w14:paraId="026BDBA4" w14:textId="77777777">
      <w:pPr>
        <w:spacing w:before="120" w:after="0" w:line="240" w:lineRule="auto"/>
        <w:rPr>
          <w:rFonts w:cstheme="minorHAnsi"/>
          <w:i/>
          <w:iCs/>
        </w:rPr>
      </w:pPr>
      <w:r w:rsidRPr="00F92596">
        <w:rPr>
          <w:rFonts w:cstheme="minorHAnsi"/>
          <w:i/>
          <w:iCs/>
        </w:rPr>
        <w:t>The cost estimate should be split into two components: (a) a total capital and start-up cost</w:t>
      </w:r>
    </w:p>
    <w:p w:rsidR="00F92596" w:rsidRPr="00F92596" w:rsidP="00F92596" w14:paraId="7ED5E3E9" w14:textId="77777777">
      <w:pPr>
        <w:spacing w:after="0" w:line="240" w:lineRule="auto"/>
        <w:rPr>
          <w:rFonts w:cstheme="minorHAnsi"/>
          <w:i/>
          <w:iCs/>
        </w:rPr>
      </w:pPr>
      <w:r w:rsidRPr="00F92596">
        <w:rPr>
          <w:rFonts w:cstheme="minorHAnsi"/>
          <w:i/>
          <w:iCs/>
        </w:rPr>
        <w:t>component (annualized over its expected useful life) and (b) a total operation and maintenance and purchase of services component. The estimates should consider costs associated with generating, maintaining, and disclosing or providing the information. Include descriptions of methods used to estimate major cost factors including system and technology acquisition, expected useful life of capital equipment, the discount rate(s), and the period over which costs will be incurred. Capital and start-up costs include, among other items, preparations for collecting information such as purchasing computers and software; monitoring, sampling, drilling, and testing equipment; and record storage facilities.</w:t>
      </w:r>
    </w:p>
    <w:p w:rsidR="00F92596" w:rsidRPr="00F92596" w:rsidP="00163C69" w14:paraId="761690A4" w14:textId="77777777">
      <w:pPr>
        <w:spacing w:line="240" w:lineRule="auto"/>
        <w:rPr>
          <w:rFonts w:cstheme="minorHAnsi"/>
          <w:i/>
          <w:iCs/>
        </w:rPr>
      </w:pPr>
      <w:r w:rsidRPr="00F92596">
        <w:rPr>
          <w:rFonts w:cstheme="minorHAnsi"/>
          <w:i/>
          <w:iCs/>
        </w:rPr>
        <w:t xml:space="preserve">If cost estimates are expected to vary widely, agencies should present ranges of cost burdens and explain the reasons for the variance. The cost of purchasing or contracting out information collections services should be a part of this cost burden estimate. </w:t>
      </w:r>
    </w:p>
    <w:p w:rsidR="00F92596" w:rsidRPr="00F92596" w:rsidP="006D5998" w14:paraId="577731C5" w14:textId="77777777">
      <w:pPr>
        <w:pBdr>
          <w:bottom w:val="single" w:sz="4" w:space="1" w:color="auto"/>
        </w:pBdr>
        <w:spacing w:line="240" w:lineRule="auto"/>
        <w:rPr>
          <w:rFonts w:cstheme="minorHAnsi"/>
          <w:i/>
          <w:iCs/>
        </w:rPr>
      </w:pPr>
      <w:r w:rsidRPr="00F92596">
        <w:rPr>
          <w:rFonts w:cstheme="minorHAnsi"/>
          <w:i/>
          <w:i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570F24" w:rsidRPr="00570F24" w:rsidP="006D5998" w14:paraId="4C75E9CB" w14:textId="77777777">
      <w:pPr>
        <w:spacing w:before="240" w:after="0"/>
        <w:rPr>
          <w:rFonts w:cstheme="minorHAnsi"/>
          <w:b/>
          <w:bCs/>
        </w:rPr>
      </w:pPr>
      <w:bookmarkStart w:id="19" w:name="_Toc156593387"/>
      <w:r w:rsidRPr="00570F24">
        <w:rPr>
          <w:rFonts w:cstheme="minorHAnsi"/>
          <w:color w:val="000000"/>
        </w:rPr>
        <w:t xml:space="preserve">The participants for the planned focus groups are individuals from the </w:t>
      </w:r>
      <w:r w:rsidRPr="00570F24">
        <w:rPr>
          <w:rFonts w:cstheme="minorHAnsi"/>
          <w:color w:val="000000"/>
        </w:rPr>
        <w:t>general public</w:t>
      </w:r>
      <w:r w:rsidRPr="00570F24">
        <w:rPr>
          <w:rFonts w:cstheme="minorHAnsi"/>
          <w:color w:val="000000"/>
        </w:rPr>
        <w:t xml:space="preserve"> participating during non-work hours. As such, there are no capital costs or operating and maintenance costs associated with this collection. </w:t>
      </w:r>
    </w:p>
    <w:p w:rsidR="00023EFE" w:rsidRPr="00163C69" w:rsidP="006D5998" w14:paraId="7D2BF7DE" w14:textId="5A2805DE">
      <w:pPr>
        <w:pStyle w:val="ListParagraph"/>
        <w:numPr>
          <w:ilvl w:val="0"/>
          <w:numId w:val="29"/>
        </w:numPr>
        <w:spacing w:before="240" w:after="0"/>
        <w:rPr>
          <w:rFonts w:cstheme="minorHAnsi"/>
          <w:b/>
          <w:bCs/>
        </w:rPr>
      </w:pPr>
      <w:r w:rsidRPr="4BDBF0A0">
        <w:rPr>
          <w:b/>
          <w:bCs/>
        </w:rPr>
        <w:t xml:space="preserve">AGENCY </w:t>
      </w:r>
      <w:bookmarkStart w:id="20" w:name="_Toc156593388"/>
      <w:bookmarkEnd w:id="19"/>
      <w:r w:rsidRPr="4BDBF0A0" w:rsidR="00BB2B15">
        <w:rPr>
          <w:b/>
          <w:bCs/>
        </w:rPr>
        <w:t>COSTS</w:t>
      </w:r>
    </w:p>
    <w:p w:rsidR="001F0834" w:rsidRPr="001F0834" w:rsidP="006D5998" w14:paraId="3D696CEA" w14:textId="77777777">
      <w:pPr>
        <w:pBdr>
          <w:bottom w:val="single" w:sz="4" w:space="1" w:color="auto"/>
        </w:pBdr>
        <w:rPr>
          <w:rFonts w:cstheme="minorHAnsi"/>
          <w:bCs/>
          <w:i/>
          <w:iCs/>
        </w:rPr>
      </w:pPr>
      <w:r w:rsidRPr="001F0834">
        <w:rPr>
          <w:rFonts w:cstheme="minorHAnsi"/>
          <w:bCs/>
          <w:i/>
          <w:iCs/>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023EFE" w:rsidRPr="00163C69" w:rsidP="00854AAE" w14:paraId="1D8BBDEC" w14:textId="7D3333D9">
      <w:pPr>
        <w:spacing w:before="120" w:after="0"/>
        <w:rPr>
          <w:rFonts w:cstheme="minorHAnsi"/>
          <w:b/>
          <w:bCs/>
        </w:rPr>
      </w:pPr>
      <w:r w:rsidRPr="00163C69">
        <w:rPr>
          <w:rFonts w:eastAsiaTheme="majorEastAsia" w:cstheme="minorHAnsi"/>
          <w:b/>
          <w:bCs/>
        </w:rPr>
        <w:t xml:space="preserve">14a. </w:t>
      </w:r>
      <w:r w:rsidRPr="00163C69" w:rsidR="00BB2B15">
        <w:rPr>
          <w:rFonts w:eastAsiaTheme="majorEastAsia" w:cstheme="minorHAnsi"/>
          <w:b/>
          <w:bCs/>
        </w:rPr>
        <w:t>Agency Activities</w:t>
      </w:r>
    </w:p>
    <w:p w:rsidR="00570F24" w:rsidP="00854AAE" w14:paraId="342DF001" w14:textId="4F1BAE39">
      <w:pPr>
        <w:spacing w:before="120" w:after="0"/>
      </w:pPr>
      <w:r>
        <w:t xml:space="preserve">The Agency </w:t>
      </w:r>
      <w:r w:rsidR="00DE5833">
        <w:t xml:space="preserve">will </w:t>
      </w:r>
      <w:r>
        <w:t xml:space="preserve">develop the focus group materials, organize and conduct focus group discussions, and observe focus group discussions. </w:t>
      </w:r>
    </w:p>
    <w:p w:rsidR="00023EFE" w:rsidRPr="00163C69" w:rsidP="00854AAE" w14:paraId="30F74537" w14:textId="51EAB4FB">
      <w:pPr>
        <w:spacing w:before="120" w:after="0"/>
        <w:rPr>
          <w:rFonts w:cstheme="minorHAnsi"/>
          <w:b/>
          <w:bCs/>
        </w:rPr>
      </w:pPr>
      <w:r w:rsidRPr="00163C69">
        <w:rPr>
          <w:rFonts w:eastAsiaTheme="majorEastAsia" w:cstheme="minorHAnsi"/>
          <w:b/>
          <w:bCs/>
        </w:rPr>
        <w:t xml:space="preserve">14b. </w:t>
      </w:r>
      <w:r w:rsidRPr="00163C69" w:rsidR="00BB2B15">
        <w:rPr>
          <w:rFonts w:eastAsiaTheme="majorEastAsia" w:cstheme="minorHAnsi"/>
          <w:b/>
          <w:bCs/>
        </w:rPr>
        <w:t>Agency Labor Cost</w:t>
      </w:r>
    </w:p>
    <w:p w:rsidR="00570F24" w:rsidRPr="00570F24" w:rsidP="00570F24" w14:paraId="727FDCC7" w14:textId="50C9D238">
      <w:pPr>
        <w:pStyle w:val="BodyTextIndent"/>
        <w:ind w:left="0"/>
        <w:rPr>
          <w:rFonts w:asciiTheme="minorHAnsi" w:hAnsiTheme="minorHAnsi" w:cstheme="minorHAnsi"/>
          <w:sz w:val="22"/>
          <w:szCs w:val="22"/>
        </w:rPr>
      </w:pPr>
      <w:r w:rsidRPr="00570F24">
        <w:rPr>
          <w:rFonts w:asciiTheme="minorHAnsi" w:hAnsiTheme="minorHAnsi" w:cstheme="minorHAnsi"/>
          <w:sz w:val="22"/>
          <w:szCs w:val="22"/>
        </w:rPr>
        <w:t xml:space="preserve">Expenses will vary by specific project. The table below provides a hypothetical assessment of what the costs might be per year based on several assumptions regarding the level of effort required. EPA person-costs are estimated using an hourly rate for a GS-14 (step 1) based in Washington, DC in 2025 (See GS Pay Tables at: https://www.opm.gov/policy-data-oversight/pay-leave/salaries-wages/salary-tables/pdf/2025/GS_h.pdf). These hourly rates are multiplied by a factor of 1.6 to reflect federal labor costs (e.g., employee benefits). Time spent on each step may vary as well as the GS-level of the employees involved. Contractor costs will also depend on the location of focus groups, degree of involvement in materials preparation and whether written transcripts of each focus group are required. </w:t>
      </w:r>
      <w:r w:rsidRPr="00570F24">
        <w:rPr>
          <w:rFonts w:asciiTheme="minorHAnsi" w:hAnsiTheme="minorHAnsi" w:cstheme="minorHAnsi"/>
          <w:sz w:val="22"/>
          <w:szCs w:val="22"/>
        </w:rPr>
        <w:t xml:space="preserve">The estimates presented below assume that the Agency prepares all materials and that approximately 3 individuals observe each focus group. </w:t>
      </w:r>
    </w:p>
    <w:p w:rsidR="00570F24" w:rsidRPr="00570F24" w:rsidP="00570F24" w14:paraId="2E45A878" w14:textId="77777777">
      <w:pPr>
        <w:rPr>
          <w:rFonts w:cstheme="minorHAnsi"/>
        </w:rPr>
      </w:pPr>
    </w:p>
    <w:p w:rsidR="00570F24" w:rsidRPr="00570F24" w:rsidP="00570F24" w14:paraId="415CC5E8" w14:textId="4F2213AB">
      <w:pPr>
        <w:rPr>
          <w:rFonts w:cstheme="minorHAnsi"/>
          <w:b/>
        </w:rPr>
      </w:pPr>
      <w:r w:rsidRPr="00570F24">
        <w:rPr>
          <w:rFonts w:cstheme="minorHAnsi"/>
          <w:bCs/>
        </w:rPr>
        <w:t>Table 2 -</w:t>
      </w:r>
      <w:r>
        <w:rPr>
          <w:rFonts w:cstheme="minorHAnsi"/>
          <w:b/>
        </w:rPr>
        <w:t xml:space="preserve"> </w:t>
      </w:r>
      <w:r w:rsidRPr="00570F24">
        <w:rPr>
          <w:rFonts w:cstheme="minorHAnsi"/>
          <w:b/>
        </w:rPr>
        <w:t xml:space="preserve">Estimated Average Annual Agency </w:t>
      </w:r>
      <w:r w:rsidR="00DE5833">
        <w:rPr>
          <w:rFonts w:cstheme="minorHAnsi"/>
          <w:b/>
        </w:rPr>
        <w:t>Labor</w:t>
      </w:r>
      <w:r w:rsidRPr="00570F24">
        <w:rPr>
          <w:rFonts w:cstheme="minorHAnsi"/>
          <w:b/>
        </w:rPr>
        <w:t xml:space="preserve"> Costs</w:t>
      </w:r>
    </w:p>
    <w:tbl>
      <w:tblPr>
        <w:tblStyle w:val="TableGrid"/>
        <w:tblW w:w="0" w:type="auto"/>
        <w:tblLook w:val="04A0"/>
      </w:tblPr>
      <w:tblGrid>
        <w:gridCol w:w="1795"/>
        <w:gridCol w:w="2340"/>
        <w:gridCol w:w="1620"/>
        <w:gridCol w:w="1886"/>
        <w:gridCol w:w="1709"/>
      </w:tblGrid>
      <w:tr w14:paraId="56A63E7C" w14:textId="77777777" w:rsidTr="00BC6B8A">
        <w:tblPrEx>
          <w:tblW w:w="0" w:type="auto"/>
          <w:tblLook w:val="04A0"/>
        </w:tblPrEx>
        <w:tc>
          <w:tcPr>
            <w:tcW w:w="1795" w:type="dxa"/>
            <w:vAlign w:val="center"/>
          </w:tcPr>
          <w:p w:rsidR="00DE5833" w:rsidRPr="00DE5833" w:rsidP="00DE5833" w14:paraId="387F6CBB" w14:textId="4E5A4397">
            <w:pPr>
              <w:jc w:val="center"/>
              <w:rPr>
                <w:rFonts w:eastAsiaTheme="majorEastAsia" w:cstheme="minorHAnsi"/>
                <w:sz w:val="18"/>
                <w:szCs w:val="18"/>
              </w:rPr>
            </w:pPr>
            <w:r w:rsidRPr="00DE5833">
              <w:rPr>
                <w:rFonts w:eastAsiaTheme="majorEastAsia" w:cstheme="minorHAnsi"/>
                <w:sz w:val="18"/>
                <w:szCs w:val="18"/>
              </w:rPr>
              <w:t>Estimated Focus Groups per Year</w:t>
            </w:r>
          </w:p>
        </w:tc>
        <w:tc>
          <w:tcPr>
            <w:tcW w:w="2340" w:type="dxa"/>
            <w:vAlign w:val="center"/>
          </w:tcPr>
          <w:p w:rsidR="00DE5833" w:rsidRPr="00DE5833" w:rsidP="00DE5833" w14:paraId="61C7308C" w14:textId="1E182C8F">
            <w:pPr>
              <w:jc w:val="center"/>
              <w:rPr>
                <w:rFonts w:eastAsiaTheme="majorEastAsia" w:cstheme="minorHAnsi"/>
                <w:sz w:val="18"/>
                <w:szCs w:val="18"/>
              </w:rPr>
            </w:pPr>
            <w:r w:rsidRPr="00DE5833">
              <w:rPr>
                <w:rFonts w:eastAsiaTheme="majorEastAsia" w:cstheme="minorHAnsi"/>
                <w:sz w:val="18"/>
                <w:szCs w:val="18"/>
              </w:rPr>
              <w:t xml:space="preserve">Estimated </w:t>
            </w:r>
            <w:r>
              <w:rPr>
                <w:rFonts w:eastAsiaTheme="majorEastAsia" w:cstheme="minorHAnsi"/>
                <w:sz w:val="18"/>
                <w:szCs w:val="18"/>
              </w:rPr>
              <w:t xml:space="preserve">total </w:t>
            </w:r>
            <w:r w:rsidRPr="00DE5833">
              <w:rPr>
                <w:rFonts w:eastAsiaTheme="majorEastAsia" w:cstheme="minorHAnsi"/>
                <w:sz w:val="18"/>
                <w:szCs w:val="18"/>
              </w:rPr>
              <w:t>labor hours for each focus group</w:t>
            </w:r>
          </w:p>
          <w:p w:rsidR="00DE5833" w:rsidRPr="00DE5833" w:rsidP="00DE5833" w14:paraId="0B7B012D" w14:textId="2C29C18E">
            <w:pPr>
              <w:jc w:val="center"/>
              <w:rPr>
                <w:rFonts w:eastAsiaTheme="majorEastAsia" w:cstheme="minorHAnsi"/>
                <w:sz w:val="18"/>
                <w:szCs w:val="18"/>
              </w:rPr>
            </w:pPr>
            <w:r w:rsidRPr="00DE5833">
              <w:rPr>
                <w:rFonts w:eastAsiaTheme="majorEastAsia" w:cstheme="minorHAnsi"/>
                <w:sz w:val="18"/>
                <w:szCs w:val="18"/>
              </w:rPr>
              <w:t>(includes preparation, observation, and analysis</w:t>
            </w:r>
            <w:r>
              <w:rPr>
                <w:rFonts w:eastAsiaTheme="majorEastAsia" w:cstheme="minorHAnsi"/>
                <w:sz w:val="18"/>
                <w:szCs w:val="18"/>
              </w:rPr>
              <w:t xml:space="preserve"> by 3 Agency employees</w:t>
            </w:r>
            <w:r w:rsidRPr="00DE5833">
              <w:rPr>
                <w:rFonts w:eastAsiaTheme="majorEastAsia" w:cstheme="minorHAnsi"/>
                <w:sz w:val="18"/>
                <w:szCs w:val="18"/>
              </w:rPr>
              <w:t>)</w:t>
            </w:r>
          </w:p>
        </w:tc>
        <w:tc>
          <w:tcPr>
            <w:tcW w:w="1620" w:type="dxa"/>
            <w:vAlign w:val="center"/>
          </w:tcPr>
          <w:p w:rsidR="00DE5833" w:rsidRPr="00DE5833" w:rsidP="00DE5833" w14:paraId="08E8DA84" w14:textId="73934DBB">
            <w:pPr>
              <w:jc w:val="center"/>
              <w:rPr>
                <w:rFonts w:eastAsiaTheme="majorEastAsia" w:cstheme="minorHAnsi"/>
                <w:sz w:val="18"/>
                <w:szCs w:val="18"/>
              </w:rPr>
            </w:pPr>
            <w:r w:rsidRPr="00DE5833">
              <w:rPr>
                <w:rFonts w:eastAsiaTheme="majorEastAsia" w:cstheme="minorHAnsi"/>
                <w:sz w:val="18"/>
                <w:szCs w:val="18"/>
              </w:rPr>
              <w:t>Total number of labor hours per year</w:t>
            </w:r>
          </w:p>
        </w:tc>
        <w:tc>
          <w:tcPr>
            <w:tcW w:w="1886" w:type="dxa"/>
            <w:vAlign w:val="center"/>
          </w:tcPr>
          <w:p w:rsidR="00DE5833" w:rsidRPr="00DE5833" w:rsidP="00DE5833" w14:paraId="191E2544" w14:textId="1A5D22C8">
            <w:pPr>
              <w:jc w:val="center"/>
              <w:rPr>
                <w:rFonts w:eastAsiaTheme="majorEastAsia" w:cstheme="minorHAnsi"/>
                <w:sz w:val="18"/>
                <w:szCs w:val="18"/>
              </w:rPr>
            </w:pPr>
            <w:r w:rsidRPr="00DE5833">
              <w:rPr>
                <w:rFonts w:eastAsiaTheme="majorEastAsia" w:cstheme="minorHAnsi"/>
                <w:sz w:val="18"/>
                <w:szCs w:val="18"/>
              </w:rPr>
              <w:t>Hourly labor rate</w:t>
            </w:r>
            <w:r w:rsidR="00BC6B8A">
              <w:rPr>
                <w:rFonts w:eastAsiaTheme="majorEastAsia" w:cstheme="minorHAnsi"/>
                <w:sz w:val="18"/>
                <w:szCs w:val="18"/>
              </w:rPr>
              <w:t xml:space="preserve"> x 1.6 = Federal Labor Costs</w:t>
            </w:r>
          </w:p>
        </w:tc>
        <w:tc>
          <w:tcPr>
            <w:tcW w:w="1709" w:type="dxa"/>
            <w:vAlign w:val="center"/>
          </w:tcPr>
          <w:p w:rsidR="00DE5833" w:rsidRPr="00DE5833" w:rsidP="00DE5833" w14:paraId="6813B226" w14:textId="0F0851D8">
            <w:pPr>
              <w:jc w:val="center"/>
              <w:rPr>
                <w:rFonts w:eastAsiaTheme="majorEastAsia" w:cstheme="minorHAnsi"/>
                <w:sz w:val="18"/>
                <w:szCs w:val="18"/>
              </w:rPr>
            </w:pPr>
            <w:r w:rsidRPr="00DE5833">
              <w:rPr>
                <w:rFonts w:eastAsiaTheme="majorEastAsia" w:cstheme="minorHAnsi"/>
                <w:sz w:val="18"/>
                <w:szCs w:val="18"/>
              </w:rPr>
              <w:t>Annual Agency Labor Costs</w:t>
            </w:r>
          </w:p>
        </w:tc>
      </w:tr>
      <w:tr w14:paraId="5EE9A1B8" w14:textId="77777777" w:rsidTr="00BC6B8A">
        <w:tblPrEx>
          <w:tblW w:w="0" w:type="auto"/>
          <w:tblLook w:val="04A0"/>
        </w:tblPrEx>
        <w:tc>
          <w:tcPr>
            <w:tcW w:w="1795" w:type="dxa"/>
            <w:vAlign w:val="center"/>
          </w:tcPr>
          <w:p w:rsidR="00DE5833" w:rsidRPr="00BC6B8A" w:rsidP="00DE5833" w14:paraId="42B7FD5A" w14:textId="0BC6D773">
            <w:pPr>
              <w:jc w:val="center"/>
              <w:rPr>
                <w:rFonts w:eastAsiaTheme="majorEastAsia" w:cstheme="minorHAnsi"/>
                <w:sz w:val="20"/>
                <w:szCs w:val="20"/>
              </w:rPr>
            </w:pPr>
            <w:r w:rsidRPr="00BC6B8A">
              <w:rPr>
                <w:rFonts w:eastAsiaTheme="majorEastAsia" w:cstheme="minorHAnsi"/>
                <w:sz w:val="20"/>
                <w:szCs w:val="20"/>
              </w:rPr>
              <w:t>16</w:t>
            </w:r>
          </w:p>
        </w:tc>
        <w:tc>
          <w:tcPr>
            <w:tcW w:w="2340" w:type="dxa"/>
            <w:vAlign w:val="center"/>
          </w:tcPr>
          <w:p w:rsidR="00DE5833" w:rsidRPr="00BC6B8A" w:rsidP="00DE5833" w14:paraId="277F4B86" w14:textId="5F42CDEA">
            <w:pPr>
              <w:jc w:val="center"/>
              <w:rPr>
                <w:rFonts w:eastAsiaTheme="majorEastAsia" w:cstheme="minorHAnsi"/>
                <w:sz w:val="20"/>
                <w:szCs w:val="20"/>
              </w:rPr>
            </w:pPr>
            <w:r w:rsidRPr="00BC6B8A">
              <w:rPr>
                <w:rFonts w:eastAsiaTheme="majorEastAsia" w:cstheme="minorHAnsi"/>
                <w:sz w:val="20"/>
                <w:szCs w:val="20"/>
              </w:rPr>
              <w:t>12</w:t>
            </w:r>
          </w:p>
        </w:tc>
        <w:tc>
          <w:tcPr>
            <w:tcW w:w="1620" w:type="dxa"/>
            <w:vAlign w:val="center"/>
          </w:tcPr>
          <w:p w:rsidR="00DE5833" w:rsidRPr="00BC6B8A" w:rsidP="00DE5833" w14:paraId="598127BF" w14:textId="56B3C279">
            <w:pPr>
              <w:jc w:val="center"/>
              <w:rPr>
                <w:rFonts w:eastAsiaTheme="majorEastAsia" w:cstheme="minorHAnsi"/>
                <w:sz w:val="20"/>
                <w:szCs w:val="20"/>
              </w:rPr>
            </w:pPr>
            <w:r w:rsidRPr="00BC6B8A">
              <w:rPr>
                <w:rFonts w:eastAsiaTheme="majorEastAsia" w:cstheme="minorHAnsi"/>
                <w:sz w:val="20"/>
                <w:szCs w:val="20"/>
              </w:rPr>
              <w:t>192</w:t>
            </w:r>
          </w:p>
        </w:tc>
        <w:tc>
          <w:tcPr>
            <w:tcW w:w="1886" w:type="dxa"/>
            <w:vAlign w:val="center"/>
          </w:tcPr>
          <w:p w:rsidR="00DE5833" w:rsidRPr="00BC6B8A" w:rsidP="00DE5833" w14:paraId="53D8063D" w14:textId="002481AC">
            <w:pPr>
              <w:jc w:val="center"/>
              <w:rPr>
                <w:rFonts w:eastAsiaTheme="majorEastAsia" w:cstheme="minorHAnsi"/>
                <w:sz w:val="20"/>
                <w:szCs w:val="20"/>
              </w:rPr>
            </w:pPr>
            <w:r w:rsidRPr="00BC6B8A">
              <w:rPr>
                <w:rFonts w:eastAsiaTheme="majorEastAsia" w:cstheme="minorHAnsi"/>
                <w:sz w:val="20"/>
                <w:szCs w:val="20"/>
              </w:rPr>
              <w:t>$109.23</w:t>
            </w:r>
          </w:p>
        </w:tc>
        <w:tc>
          <w:tcPr>
            <w:tcW w:w="1709" w:type="dxa"/>
            <w:vAlign w:val="center"/>
          </w:tcPr>
          <w:p w:rsidR="00DE5833" w:rsidRPr="00BC6B8A" w:rsidP="00DE5833" w14:paraId="4ADEC2F2" w14:textId="54F618DC">
            <w:pPr>
              <w:jc w:val="center"/>
              <w:rPr>
                <w:rFonts w:eastAsiaTheme="majorEastAsia" w:cstheme="minorHAnsi"/>
                <w:sz w:val="20"/>
                <w:szCs w:val="20"/>
              </w:rPr>
            </w:pPr>
            <w:r w:rsidRPr="00BC6B8A">
              <w:rPr>
                <w:rFonts w:eastAsiaTheme="majorEastAsia" w:cstheme="minorHAnsi"/>
                <w:sz w:val="20"/>
                <w:szCs w:val="20"/>
              </w:rPr>
              <w:t>$20,972.54</w:t>
            </w:r>
          </w:p>
        </w:tc>
      </w:tr>
    </w:tbl>
    <w:p w:rsidR="00DE5833" w:rsidP="00854AAE" w14:paraId="31653744" w14:textId="77777777">
      <w:pPr>
        <w:spacing w:before="120" w:after="0"/>
        <w:rPr>
          <w:rFonts w:eastAsiaTheme="majorEastAsia" w:cstheme="minorHAnsi"/>
          <w:b/>
          <w:bCs/>
        </w:rPr>
      </w:pPr>
    </w:p>
    <w:p w:rsidR="00D17BB9" w:rsidRPr="00163C69" w:rsidP="00854AAE" w14:paraId="164B7E2B" w14:textId="6826BE73">
      <w:pPr>
        <w:spacing w:before="120" w:after="0"/>
        <w:rPr>
          <w:rFonts w:cstheme="minorHAnsi"/>
          <w:b/>
          <w:bCs/>
        </w:rPr>
      </w:pPr>
      <w:r w:rsidRPr="00163C69">
        <w:rPr>
          <w:rFonts w:eastAsiaTheme="majorEastAsia" w:cstheme="minorHAnsi"/>
          <w:b/>
          <w:bCs/>
        </w:rPr>
        <w:t xml:space="preserve">14c. </w:t>
      </w:r>
      <w:r w:rsidRPr="00163C69">
        <w:rPr>
          <w:rFonts w:eastAsiaTheme="majorEastAsia" w:cstheme="minorHAnsi"/>
          <w:b/>
          <w:bCs/>
        </w:rPr>
        <w:t>Agency Non-Labor Costs</w:t>
      </w:r>
    </w:p>
    <w:tbl>
      <w:tblPr>
        <w:tblStyle w:val="TableGrid"/>
        <w:tblW w:w="0" w:type="auto"/>
        <w:tblLook w:val="04A0"/>
      </w:tblPr>
      <w:tblGrid>
        <w:gridCol w:w="1795"/>
        <w:gridCol w:w="2340"/>
        <w:gridCol w:w="1620"/>
        <w:gridCol w:w="1886"/>
      </w:tblGrid>
      <w:tr w14:paraId="77A632AD" w14:textId="77777777" w:rsidTr="00B21786">
        <w:tblPrEx>
          <w:tblW w:w="0" w:type="auto"/>
          <w:tblLook w:val="04A0"/>
        </w:tblPrEx>
        <w:tc>
          <w:tcPr>
            <w:tcW w:w="1795" w:type="dxa"/>
            <w:vAlign w:val="center"/>
          </w:tcPr>
          <w:p w:rsidR="00BC6B8A" w:rsidRPr="00DE5833" w:rsidP="00B21786" w14:paraId="7B361D3C" w14:textId="77777777">
            <w:pPr>
              <w:jc w:val="center"/>
              <w:rPr>
                <w:rFonts w:eastAsiaTheme="majorEastAsia" w:cstheme="minorHAnsi"/>
                <w:sz w:val="18"/>
                <w:szCs w:val="18"/>
              </w:rPr>
            </w:pPr>
            <w:r w:rsidRPr="00DE5833">
              <w:rPr>
                <w:rFonts w:eastAsiaTheme="majorEastAsia" w:cstheme="minorHAnsi"/>
                <w:sz w:val="18"/>
                <w:szCs w:val="18"/>
              </w:rPr>
              <w:t>Estimated Focus Groups per Year</w:t>
            </w:r>
          </w:p>
        </w:tc>
        <w:tc>
          <w:tcPr>
            <w:tcW w:w="2340" w:type="dxa"/>
            <w:vAlign w:val="center"/>
          </w:tcPr>
          <w:p w:rsidR="00BC6B8A" w:rsidRPr="00DE5833" w:rsidP="00B21786" w14:paraId="0AA3B12A" w14:textId="70559F53">
            <w:pPr>
              <w:jc w:val="center"/>
              <w:rPr>
                <w:rFonts w:eastAsiaTheme="majorEastAsia" w:cstheme="minorHAnsi"/>
                <w:sz w:val="18"/>
                <w:szCs w:val="18"/>
              </w:rPr>
            </w:pPr>
            <w:r>
              <w:rPr>
                <w:rFonts w:eastAsiaTheme="majorEastAsia" w:cstheme="minorHAnsi"/>
                <w:sz w:val="18"/>
                <w:szCs w:val="18"/>
              </w:rPr>
              <w:t>Estimated Contractor Costs per Focus Group</w:t>
            </w:r>
          </w:p>
        </w:tc>
        <w:tc>
          <w:tcPr>
            <w:tcW w:w="1620" w:type="dxa"/>
            <w:vAlign w:val="center"/>
          </w:tcPr>
          <w:p w:rsidR="00BC6B8A" w:rsidRPr="00DE5833" w:rsidP="00B21786" w14:paraId="44D05C25" w14:textId="153D63AC">
            <w:pPr>
              <w:jc w:val="center"/>
              <w:rPr>
                <w:rFonts w:eastAsiaTheme="majorEastAsia" w:cstheme="minorHAnsi"/>
                <w:sz w:val="18"/>
                <w:szCs w:val="18"/>
              </w:rPr>
            </w:pPr>
            <w:r>
              <w:rPr>
                <w:rFonts w:eastAsiaTheme="majorEastAsia" w:cstheme="minorHAnsi"/>
                <w:sz w:val="18"/>
                <w:szCs w:val="18"/>
              </w:rPr>
              <w:t xml:space="preserve">O&amp;M Costs </w:t>
            </w:r>
          </w:p>
        </w:tc>
        <w:tc>
          <w:tcPr>
            <w:tcW w:w="1886" w:type="dxa"/>
            <w:vAlign w:val="center"/>
          </w:tcPr>
          <w:p w:rsidR="00BC6B8A" w:rsidRPr="00DE5833" w:rsidP="00B21786" w14:paraId="086BC0A6" w14:textId="5538A54A">
            <w:pPr>
              <w:jc w:val="center"/>
              <w:rPr>
                <w:rFonts w:eastAsiaTheme="majorEastAsia" w:cstheme="minorHAnsi"/>
                <w:sz w:val="18"/>
                <w:szCs w:val="18"/>
              </w:rPr>
            </w:pPr>
            <w:r>
              <w:rPr>
                <w:rFonts w:eastAsiaTheme="majorEastAsia" w:cstheme="minorHAnsi"/>
                <w:sz w:val="18"/>
                <w:szCs w:val="18"/>
              </w:rPr>
              <w:t>Annual Non-Labor Costs</w:t>
            </w:r>
          </w:p>
        </w:tc>
      </w:tr>
      <w:tr w14:paraId="19288A54" w14:textId="77777777" w:rsidTr="00B21786">
        <w:tblPrEx>
          <w:tblW w:w="0" w:type="auto"/>
          <w:tblLook w:val="04A0"/>
        </w:tblPrEx>
        <w:tc>
          <w:tcPr>
            <w:tcW w:w="1795" w:type="dxa"/>
            <w:vAlign w:val="center"/>
          </w:tcPr>
          <w:p w:rsidR="00BC6B8A" w:rsidRPr="00BC6B8A" w:rsidP="00B21786" w14:paraId="3DF304FE" w14:textId="77777777">
            <w:pPr>
              <w:jc w:val="center"/>
              <w:rPr>
                <w:rFonts w:eastAsiaTheme="majorEastAsia" w:cstheme="minorHAnsi"/>
                <w:sz w:val="20"/>
                <w:szCs w:val="20"/>
              </w:rPr>
            </w:pPr>
            <w:r w:rsidRPr="00BC6B8A">
              <w:rPr>
                <w:rFonts w:eastAsiaTheme="majorEastAsia" w:cstheme="minorHAnsi"/>
                <w:sz w:val="20"/>
                <w:szCs w:val="20"/>
              </w:rPr>
              <w:t>16</w:t>
            </w:r>
          </w:p>
        </w:tc>
        <w:tc>
          <w:tcPr>
            <w:tcW w:w="2340" w:type="dxa"/>
            <w:vAlign w:val="center"/>
          </w:tcPr>
          <w:p w:rsidR="00BC6B8A" w:rsidRPr="00BC6B8A" w:rsidP="00B21786" w14:paraId="2F135EB7" w14:textId="248B25A3">
            <w:pPr>
              <w:jc w:val="center"/>
              <w:rPr>
                <w:rFonts w:eastAsiaTheme="majorEastAsia" w:cstheme="minorHAnsi"/>
                <w:sz w:val="20"/>
                <w:szCs w:val="20"/>
              </w:rPr>
            </w:pPr>
            <w:r>
              <w:rPr>
                <w:rFonts w:eastAsiaTheme="majorEastAsia" w:cstheme="minorHAnsi"/>
                <w:sz w:val="20"/>
                <w:szCs w:val="20"/>
              </w:rPr>
              <w:t>$5,000</w:t>
            </w:r>
          </w:p>
        </w:tc>
        <w:tc>
          <w:tcPr>
            <w:tcW w:w="1620" w:type="dxa"/>
            <w:vAlign w:val="center"/>
          </w:tcPr>
          <w:p w:rsidR="00BC6B8A" w:rsidRPr="00BC6B8A" w:rsidP="00B21786" w14:paraId="15254F2D" w14:textId="092F99C9">
            <w:pPr>
              <w:jc w:val="center"/>
              <w:rPr>
                <w:rFonts w:eastAsiaTheme="majorEastAsia" w:cstheme="minorHAnsi"/>
                <w:sz w:val="20"/>
                <w:szCs w:val="20"/>
              </w:rPr>
            </w:pPr>
            <w:r>
              <w:rPr>
                <w:rFonts w:eastAsiaTheme="majorEastAsia" w:cstheme="minorHAnsi"/>
                <w:sz w:val="20"/>
                <w:szCs w:val="20"/>
              </w:rPr>
              <w:t>-</w:t>
            </w:r>
          </w:p>
        </w:tc>
        <w:tc>
          <w:tcPr>
            <w:tcW w:w="1886" w:type="dxa"/>
            <w:vAlign w:val="center"/>
          </w:tcPr>
          <w:p w:rsidR="00BC6B8A" w:rsidRPr="00BC6B8A" w:rsidP="00B21786" w14:paraId="535B29C5" w14:textId="7622416E">
            <w:pPr>
              <w:jc w:val="center"/>
              <w:rPr>
                <w:rFonts w:eastAsiaTheme="majorEastAsia" w:cstheme="minorHAnsi"/>
                <w:sz w:val="20"/>
                <w:szCs w:val="20"/>
              </w:rPr>
            </w:pPr>
            <w:r>
              <w:rPr>
                <w:rFonts w:eastAsiaTheme="majorEastAsia" w:cstheme="minorHAnsi"/>
                <w:sz w:val="20"/>
                <w:szCs w:val="20"/>
              </w:rPr>
              <w:t>$80,000</w:t>
            </w:r>
          </w:p>
        </w:tc>
      </w:tr>
    </w:tbl>
    <w:p w:rsidR="00BB3410" w:rsidRPr="00BB3410" w:rsidP="00854AAE" w14:paraId="7FCA1ABF" w14:textId="434F792E">
      <w:pPr>
        <w:spacing w:before="60"/>
        <w:rPr>
          <w:rFonts w:cstheme="minorHAnsi"/>
        </w:rPr>
      </w:pPr>
    </w:p>
    <w:p w:rsidR="004620CA" w:rsidRPr="00163C69" w:rsidP="4BDBF0A0" w14:paraId="3144CC9D" w14:textId="72F4E703">
      <w:pPr>
        <w:pStyle w:val="ListParagraph"/>
        <w:numPr>
          <w:ilvl w:val="0"/>
          <w:numId w:val="27"/>
        </w:numPr>
        <w:spacing w:before="240" w:after="0"/>
        <w:rPr>
          <w:b/>
          <w:bCs/>
        </w:rPr>
      </w:pPr>
      <w:r w:rsidRPr="4BDBF0A0">
        <w:rPr>
          <w:b/>
          <w:bCs/>
        </w:rPr>
        <w:t xml:space="preserve">REASONS FOR </w:t>
      </w:r>
      <w:r w:rsidRPr="4BDBF0A0" w:rsidR="00AD46F7">
        <w:rPr>
          <w:b/>
          <w:bCs/>
        </w:rPr>
        <w:t>CHANGE IN BURDEN</w:t>
      </w:r>
      <w:bookmarkEnd w:id="20"/>
    </w:p>
    <w:p w:rsidR="001F0834" w:rsidRPr="001F0834" w:rsidP="00854AAE" w14:paraId="567B01FE" w14:textId="77777777">
      <w:pPr>
        <w:pBdr>
          <w:bottom w:val="single" w:sz="12" w:space="1" w:color="auto"/>
        </w:pBdr>
        <w:spacing w:before="60"/>
        <w:rPr>
          <w:rFonts w:cstheme="minorHAnsi"/>
          <w:bCs/>
          <w:i/>
          <w:iCs/>
        </w:rPr>
      </w:pPr>
      <w:r w:rsidRPr="001F0834">
        <w:rPr>
          <w:rFonts w:cstheme="minorHAnsi"/>
          <w:bCs/>
          <w:i/>
          <w:iCs/>
        </w:rPr>
        <w:t>Explain the reasons for any program changes or adjustments reported in the burden or capital/O&amp;M cost estimates.</w:t>
      </w:r>
    </w:p>
    <w:p w:rsidR="00ED57A4" w:rsidRPr="00BB3410" w:rsidP="00854AAE" w14:paraId="18F76AB6" w14:textId="42688D05">
      <w:pPr>
        <w:pBdr>
          <w:top w:val="single" w:sz="6" w:space="0" w:color="FFFFFF"/>
          <w:left w:val="single" w:sz="6" w:space="0" w:color="FFFFFF"/>
          <w:bottom w:val="single" w:sz="6" w:space="0" w:color="FFFFFF"/>
          <w:right w:val="single" w:sz="6" w:space="0" w:color="FFFFFF"/>
        </w:pBdr>
        <w:rPr>
          <w:rFonts w:cstheme="minorHAnsi"/>
          <w:color w:val="FF0000"/>
        </w:rPr>
      </w:pPr>
      <w:bookmarkStart w:id="21" w:name="_Hlk198207090"/>
      <w:r w:rsidRPr="00F44E33">
        <w:rPr>
          <w:rFonts w:cs="Tahoma"/>
        </w:rPr>
        <w:t xml:space="preserve">The request for </w:t>
      </w:r>
      <w:r w:rsidR="009C4678">
        <w:rPr>
          <w:rFonts w:cs="Tahoma"/>
        </w:rPr>
        <w:t>864</w:t>
      </w:r>
      <w:r>
        <w:rPr>
          <w:rFonts w:cs="Tahoma"/>
        </w:rPr>
        <w:t xml:space="preserve"> total burden</w:t>
      </w:r>
      <w:r w:rsidRPr="00F44E33">
        <w:rPr>
          <w:rFonts w:cs="Tahoma"/>
        </w:rPr>
        <w:t xml:space="preserve"> hours represents </w:t>
      </w:r>
      <w:r w:rsidRPr="002C6F18">
        <w:rPr>
          <w:rFonts w:cs="Tahoma"/>
        </w:rPr>
        <w:t xml:space="preserve">a </w:t>
      </w:r>
      <w:r w:rsidRPr="00D87E41">
        <w:rPr>
          <w:rFonts w:cs="Tahoma"/>
        </w:rPr>
        <w:t xml:space="preserve">decrease of </w:t>
      </w:r>
      <w:r w:rsidR="00206A2D">
        <w:rPr>
          <w:rFonts w:cs="Tahoma"/>
        </w:rPr>
        <w:t>1,314</w:t>
      </w:r>
      <w:r w:rsidRPr="00D87E41">
        <w:rPr>
          <w:rFonts w:cs="Tahoma"/>
        </w:rPr>
        <w:t xml:space="preserve"> (=2,178</w:t>
      </w:r>
      <w:r>
        <w:rPr>
          <w:rFonts w:cs="Tahoma"/>
        </w:rPr>
        <w:t>-</w:t>
      </w:r>
      <w:r w:rsidR="00206A2D">
        <w:rPr>
          <w:rFonts w:cs="Tahoma"/>
        </w:rPr>
        <w:t>864</w:t>
      </w:r>
      <w:r w:rsidRPr="00D87E41">
        <w:rPr>
          <w:rFonts w:cs="Tahoma"/>
        </w:rPr>
        <w:t>)</w:t>
      </w:r>
      <w:r>
        <w:rPr>
          <w:rFonts w:cs="Tahoma"/>
        </w:rPr>
        <w:t xml:space="preserve"> </w:t>
      </w:r>
      <w:r w:rsidRPr="002C6F18">
        <w:rPr>
          <w:rFonts w:cs="Tahoma"/>
        </w:rPr>
        <w:t xml:space="preserve">hours in the </w:t>
      </w:r>
      <w:r w:rsidRPr="00F44E33">
        <w:rPr>
          <w:rFonts w:cs="Tahoma"/>
          <w:u w:val="single"/>
        </w:rPr>
        <w:t>total</w:t>
      </w:r>
      <w:r w:rsidRPr="002C6F18">
        <w:rPr>
          <w:rFonts w:cs="Tahoma"/>
        </w:rPr>
        <w:t xml:space="preserve"> estimated burden currently identified in the OMB Inventory of Approved ICR Burdens. </w:t>
      </w:r>
      <w:r>
        <w:rPr>
          <w:rFonts w:cs="Tahoma"/>
        </w:rPr>
        <w:t>Burden estimates derived for this (and the previous) renewal are based on projected use estimates for this generic ICR provided by the various program offices at EPA. These projections are based on anticipated, new and continuing projects over the coming three years. A decrease in burden over the previous ICR conveys simply that EPA anticipates less need for the conduct of focus groups under this ICR than in the past.</w:t>
      </w:r>
      <w:bookmarkEnd w:id="21"/>
    </w:p>
    <w:p w:rsidR="005D140B" w:rsidRPr="00163C69" w:rsidP="4BDBF0A0" w14:paraId="3604F417" w14:textId="5D0F3160">
      <w:pPr>
        <w:pStyle w:val="ListParagraph"/>
        <w:numPr>
          <w:ilvl w:val="0"/>
          <w:numId w:val="27"/>
        </w:numPr>
        <w:spacing w:before="240" w:after="0"/>
        <w:rPr>
          <w:b/>
          <w:bCs/>
        </w:rPr>
      </w:pPr>
      <w:bookmarkStart w:id="22" w:name="_Toc156593389"/>
      <w:r w:rsidRPr="4BDBF0A0">
        <w:rPr>
          <w:b/>
          <w:bCs/>
        </w:rPr>
        <w:t xml:space="preserve">PUBLICATION OF </w:t>
      </w:r>
      <w:bookmarkStart w:id="23" w:name="_Toc156593390"/>
      <w:bookmarkEnd w:id="22"/>
      <w:r w:rsidR="00E73E81">
        <w:rPr>
          <w:b/>
          <w:bCs/>
        </w:rPr>
        <w:t>DATA</w:t>
      </w:r>
    </w:p>
    <w:p w:rsidR="001F0834" w:rsidRPr="001F0834" w:rsidP="00854AAE" w14:paraId="21A4F990" w14:textId="77777777">
      <w:pPr>
        <w:pBdr>
          <w:bottom w:val="single" w:sz="12" w:space="1" w:color="auto"/>
        </w:pBdr>
        <w:spacing w:before="60"/>
        <w:rPr>
          <w:rFonts w:cstheme="minorHAnsi"/>
          <w:bCs/>
          <w:i/>
          <w:iCs/>
        </w:rPr>
      </w:pPr>
      <w:r w:rsidRPr="001F0834">
        <w:rPr>
          <w:rFonts w:cstheme="minorHAnsi"/>
          <w:bCs/>
          <w:i/>
          <w:iC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73767D" w:rsidRPr="0073767D" w:rsidP="00854AAE" w14:paraId="5CBE5491" w14:textId="72FF0C7E">
      <w:pPr>
        <w:pBdr>
          <w:top w:val="single" w:sz="6" w:space="0" w:color="FFFFFF"/>
          <w:left w:val="single" w:sz="6" w:space="0" w:color="FFFFFF"/>
          <w:bottom w:val="single" w:sz="6" w:space="0" w:color="FFFFFF"/>
          <w:right w:val="single" w:sz="6" w:space="0" w:color="FFFFFF"/>
        </w:pBdr>
      </w:pPr>
      <w:r>
        <w:t xml:space="preserve">Focus group findings are qualitative in nature and not generally published in detail. Rather, focus groups inform study design for later primary data collections that may be analyzed and published.  </w:t>
      </w:r>
    </w:p>
    <w:p w:rsidR="00627768" w:rsidRPr="00163C69" w:rsidP="4BDBF0A0" w14:paraId="54E9D2D0" w14:textId="67124984">
      <w:pPr>
        <w:pStyle w:val="ListParagraph"/>
        <w:numPr>
          <w:ilvl w:val="0"/>
          <w:numId w:val="27"/>
        </w:numPr>
        <w:spacing w:before="240" w:after="0"/>
        <w:rPr>
          <w:b/>
          <w:bCs/>
        </w:rPr>
      </w:pPr>
      <w:r w:rsidRPr="4BDBF0A0">
        <w:rPr>
          <w:b/>
          <w:bCs/>
        </w:rPr>
        <w:t xml:space="preserve">DISPLAY </w:t>
      </w:r>
      <w:r w:rsidRPr="4BDBF0A0" w:rsidR="00644EBE">
        <w:rPr>
          <w:b/>
          <w:bCs/>
        </w:rPr>
        <w:t xml:space="preserve">OF </w:t>
      </w:r>
      <w:r w:rsidRPr="4BDBF0A0" w:rsidR="000D5863">
        <w:rPr>
          <w:b/>
          <w:bCs/>
        </w:rPr>
        <w:t>EXPIRATION DATE</w:t>
      </w:r>
      <w:bookmarkEnd w:id="23"/>
      <w:r w:rsidRPr="4BDBF0A0" w:rsidR="00644EBE">
        <w:rPr>
          <w:b/>
          <w:bCs/>
        </w:rPr>
        <w:t xml:space="preserve"> </w:t>
      </w:r>
    </w:p>
    <w:p w:rsidR="001F0834" w:rsidRPr="00F532D6" w:rsidP="00854AAE" w14:paraId="23256265" w14:textId="77777777">
      <w:pPr>
        <w:pBdr>
          <w:bottom w:val="single" w:sz="12" w:space="1" w:color="auto"/>
        </w:pBdr>
        <w:spacing w:before="60"/>
        <w:rPr>
          <w:rFonts w:cstheme="minorHAnsi"/>
          <w:i/>
          <w:iCs/>
        </w:rPr>
      </w:pPr>
      <w:r w:rsidRPr="00F532D6">
        <w:rPr>
          <w:rFonts w:cstheme="minorHAnsi"/>
          <w:i/>
          <w:iCs/>
        </w:rPr>
        <w:t>If seeking approval to not display the expiration date for OMB approval of the information collection, explain the reasons that display would be inappropriate.</w:t>
      </w:r>
    </w:p>
    <w:p w:rsidR="00ED57A4" w:rsidRPr="0073767D" w:rsidP="00854AAE" w14:paraId="38543EA2" w14:textId="0232B487">
      <w:pPr>
        <w:pBdr>
          <w:top w:val="single" w:sz="6" w:space="0" w:color="FFFFFF"/>
          <w:left w:val="single" w:sz="6" w:space="0" w:color="FFFFFF"/>
          <w:bottom w:val="single" w:sz="6" w:space="0" w:color="FFFFFF"/>
          <w:right w:val="single" w:sz="6" w:space="0" w:color="FFFFFF"/>
        </w:pBdr>
      </w:pPr>
      <w:r w:rsidRPr="009D2224">
        <w:t>The Agency plans to display the expiration date for OMB approval of the information collection on all instruments.</w:t>
      </w:r>
    </w:p>
    <w:p w:rsidR="00691828" w:rsidRPr="00163C69" w:rsidP="00854AAE" w14:paraId="7CCB26DD" w14:textId="4CB12282">
      <w:pPr>
        <w:pStyle w:val="ListParagraph"/>
        <w:numPr>
          <w:ilvl w:val="0"/>
          <w:numId w:val="27"/>
        </w:numPr>
        <w:spacing w:before="240" w:after="0"/>
        <w:rPr>
          <w:rFonts w:cstheme="minorHAnsi"/>
          <w:b/>
          <w:bCs/>
        </w:rPr>
      </w:pPr>
      <w:bookmarkStart w:id="24" w:name="_Toc156593391"/>
      <w:r w:rsidRPr="00163C69">
        <w:rPr>
          <w:rFonts w:cstheme="minorHAnsi"/>
          <w:b/>
          <w:bCs/>
        </w:rPr>
        <w:t>CERTIFICATION STATEMENT</w:t>
      </w:r>
      <w:bookmarkEnd w:id="24"/>
    </w:p>
    <w:p w:rsidR="001F0834" w:rsidRPr="001F0834" w:rsidP="00854AAE" w14:paraId="59893047" w14:textId="77777777">
      <w:pPr>
        <w:pBdr>
          <w:bottom w:val="single" w:sz="12" w:space="1" w:color="auto"/>
        </w:pBdr>
        <w:spacing w:before="60"/>
        <w:rPr>
          <w:rFonts w:cstheme="minorHAnsi"/>
          <w:i/>
          <w:iCs/>
        </w:rPr>
      </w:pPr>
      <w:r w:rsidRPr="001F0834">
        <w:rPr>
          <w:rFonts w:cstheme="minorHAnsi"/>
          <w:i/>
          <w:iCs/>
        </w:rPr>
        <w:t>Explain each exception to the topics of the certification statement identified in “Certification for Paperwork Reduction Act Submissions.”</w:t>
      </w:r>
    </w:p>
    <w:p w:rsidR="00BB3410" w:rsidRPr="00BB3410" w:rsidP="00BB3410" w14:paraId="0F10E677" w14:textId="0CEEE063">
      <w:pPr>
        <w:rPr>
          <w:rFonts w:cstheme="minorHAnsi"/>
          <w:color w:val="000000"/>
          <w:shd w:val="clear" w:color="auto" w:fill="FFFFFF"/>
        </w:rPr>
        <w:sectPr>
          <w:footerReference w:type="default" r:id="rId11"/>
          <w:pgSz w:w="12240" w:h="15840"/>
          <w:pgMar w:top="1440" w:right="1440" w:bottom="1440" w:left="1440" w:header="720" w:footer="720" w:gutter="0"/>
          <w:cols w:space="720"/>
          <w:docGrid w:linePitch="360"/>
        </w:sectPr>
      </w:pPr>
      <w:r w:rsidRPr="009D2224">
        <w:t>This information collection complies with all provisions of the Certification for Paperwork Reduction Act Submissions.</w:t>
      </w:r>
      <w:r w:rsidRPr="00BB3410">
        <w:rPr>
          <w:rStyle w:val="normaltextrun"/>
          <w:rFonts w:cstheme="minorHAnsi"/>
          <w:color w:val="000000"/>
          <w:shd w:val="clear" w:color="auto" w:fill="FFFFFF"/>
        </w:rPr>
        <w:br w:type="page"/>
      </w:r>
    </w:p>
    <w:p w:rsidR="00BB3410" w:rsidRPr="00BB3410" w:rsidP="00BB3410" w14:paraId="02BFB1B4" w14:textId="77777777">
      <w:pPr>
        <w:pStyle w:val="ListParagraph"/>
        <w:spacing w:before="240"/>
        <w:ind w:left="0"/>
        <w:rPr>
          <w:rFonts w:cstheme="minorHAnsi"/>
          <w:sz w:val="24"/>
          <w:szCs w:val="24"/>
        </w:rPr>
      </w:pPr>
    </w:p>
    <w:sectPr w:rsidSect="00BB3410">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B432F" w14:paraId="197E032B" w14:textId="77777777">
    <w:pPr>
      <w:framePr w:wrap="notBeside" w:hAnchor="text" w:xAlign="center"/>
    </w:pPr>
    <w:r>
      <w:fldChar w:fldCharType="begin"/>
    </w:r>
    <w:r>
      <w:instrText xml:space="preserve"> PAGE  </w:instrText>
    </w:r>
    <w:r>
      <w:fldChar w:fldCharType="separate"/>
    </w:r>
    <w:r>
      <w:rPr>
        <w:noProof/>
      </w:rPr>
      <w:t>2</w:t>
    </w:r>
    <w:r>
      <w:fldChar w:fldCharType="end"/>
    </w:r>
  </w:p>
  <w:p w:rsidR="00BB432F" w14:paraId="124C49E3" w14:textId="77777777"/>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903223"/>
    <w:multiLevelType w:val="hybridMultilevel"/>
    <w:tmpl w:val="F8B0FF42"/>
    <w:lvl w:ilvl="0">
      <w:start w:val="2"/>
      <w:numFmt w:val="lowerLetter"/>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
    <w:nsid w:val="04264FD9"/>
    <w:multiLevelType w:val="hybridMultilevel"/>
    <w:tmpl w:val="FDF42D1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54F65C9"/>
    <w:multiLevelType w:val="hybridMultilevel"/>
    <w:tmpl w:val="3D4296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5077397"/>
    <w:multiLevelType w:val="hybridMultilevel"/>
    <w:tmpl w:val="8B3C0F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E1F0975"/>
    <w:multiLevelType w:val="hybridMultilevel"/>
    <w:tmpl w:val="F7BC74E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31D1527F"/>
    <w:multiLevelType w:val="hybridMultilevel"/>
    <w:tmpl w:val="1C88143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34CB7FDC"/>
    <w:multiLevelType w:val="hybridMultilevel"/>
    <w:tmpl w:val="239C821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5D1581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362913ED"/>
    <w:multiLevelType w:val="hybridMultilevel"/>
    <w:tmpl w:val="2722B66A"/>
    <w:lvl w:ilvl="0">
      <w:start w:val="6"/>
      <w:numFmt w:val="bullet"/>
      <w:lvlText w:val="-"/>
      <w:lvlJc w:val="left"/>
      <w:pPr>
        <w:ind w:left="720" w:hanging="360"/>
      </w:pPr>
      <w:rPr>
        <w:rFonts w:ascii="Calibri" w:hAnsi="Calibri" w:eastAsiaTheme="minorEastAsia"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84D1A38"/>
    <w:multiLevelType w:val="hybridMultilevel"/>
    <w:tmpl w:val="26E44B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8E27A01"/>
    <w:multiLevelType w:val="hybridMultilevel"/>
    <w:tmpl w:val="AB463F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A7014F6"/>
    <w:multiLevelType w:val="hybridMultilevel"/>
    <w:tmpl w:val="BDE48DC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3D00615A"/>
    <w:multiLevelType w:val="hybridMultilevel"/>
    <w:tmpl w:val="244AB73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412610D7"/>
    <w:multiLevelType w:val="hybridMultilevel"/>
    <w:tmpl w:val="56CC27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16D282B"/>
    <w:multiLevelType w:val="hybridMultilevel"/>
    <w:tmpl w:val="89C49D8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4AFE3844"/>
    <w:multiLevelType w:val="hybridMultilevel"/>
    <w:tmpl w:val="98428FD0"/>
    <w:lvl w:ilvl="0">
      <w:start w:val="1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4BFA0529"/>
    <w:multiLevelType w:val="hybridMultilevel"/>
    <w:tmpl w:val="08DC5FF2"/>
    <w:lvl w:ilvl="0">
      <w:start w:val="1"/>
      <w:numFmt w:val="decimal"/>
      <w:lvlText w:val="%1."/>
      <w:lvlJc w:val="left"/>
      <w:pPr>
        <w:ind w:left="360" w:hanging="360"/>
      </w:pPr>
    </w:lvl>
    <w:lvl w:ilvl="1">
      <w:start w:val="16"/>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55C833D8"/>
    <w:multiLevelType w:val="hybridMultilevel"/>
    <w:tmpl w:val="194E2C3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5BD66B84"/>
    <w:multiLevelType w:val="hybridMultilevel"/>
    <w:tmpl w:val="C75480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E356068"/>
    <w:multiLevelType w:val="hybridMultilevel"/>
    <w:tmpl w:val="8F6A4118"/>
    <w:lvl w:ilvl="0">
      <w:start w:val="13"/>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66813907"/>
    <w:multiLevelType w:val="hybridMultilevel"/>
    <w:tmpl w:val="E8C6B4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69274807"/>
    <w:multiLevelType w:val="hybridMultilevel"/>
    <w:tmpl w:val="D2F6D978"/>
    <w:lvl w:ilvl="0">
      <w:start w:val="16"/>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6B3C3049"/>
    <w:multiLevelType w:val="hybridMultilevel"/>
    <w:tmpl w:val="6B5C28FC"/>
    <w:lvl w:ilvl="0">
      <w:start w:val="1"/>
      <w:numFmt w:val="lowerRoman"/>
      <w:lvlText w:val="(%1)"/>
      <w:lvlJc w:val="left"/>
      <w:pPr>
        <w:ind w:left="716" w:hanging="720"/>
      </w:pPr>
      <w:rPr>
        <w:rFonts w:hint="default"/>
      </w:rPr>
    </w:lvl>
    <w:lvl w:ilvl="1">
      <w:start w:val="1"/>
      <w:numFmt w:val="lowerLetter"/>
      <w:lvlText w:val="%2."/>
      <w:lvlJc w:val="left"/>
      <w:pPr>
        <w:ind w:left="1076" w:hanging="360"/>
      </w:pPr>
    </w:lvl>
    <w:lvl w:ilvl="2" w:tentative="1">
      <w:start w:val="1"/>
      <w:numFmt w:val="lowerRoman"/>
      <w:lvlText w:val="%3."/>
      <w:lvlJc w:val="right"/>
      <w:pPr>
        <w:ind w:left="1796" w:hanging="180"/>
      </w:pPr>
    </w:lvl>
    <w:lvl w:ilvl="3" w:tentative="1">
      <w:start w:val="1"/>
      <w:numFmt w:val="decimal"/>
      <w:lvlText w:val="%4."/>
      <w:lvlJc w:val="left"/>
      <w:pPr>
        <w:ind w:left="2516" w:hanging="360"/>
      </w:pPr>
    </w:lvl>
    <w:lvl w:ilvl="4" w:tentative="1">
      <w:start w:val="1"/>
      <w:numFmt w:val="lowerLetter"/>
      <w:lvlText w:val="%5."/>
      <w:lvlJc w:val="left"/>
      <w:pPr>
        <w:ind w:left="3236" w:hanging="360"/>
      </w:pPr>
    </w:lvl>
    <w:lvl w:ilvl="5" w:tentative="1">
      <w:start w:val="1"/>
      <w:numFmt w:val="lowerRoman"/>
      <w:lvlText w:val="%6."/>
      <w:lvlJc w:val="right"/>
      <w:pPr>
        <w:ind w:left="3956" w:hanging="180"/>
      </w:pPr>
    </w:lvl>
    <w:lvl w:ilvl="6" w:tentative="1">
      <w:start w:val="1"/>
      <w:numFmt w:val="decimal"/>
      <w:lvlText w:val="%7."/>
      <w:lvlJc w:val="left"/>
      <w:pPr>
        <w:ind w:left="4676" w:hanging="360"/>
      </w:pPr>
    </w:lvl>
    <w:lvl w:ilvl="7" w:tentative="1">
      <w:start w:val="1"/>
      <w:numFmt w:val="lowerLetter"/>
      <w:lvlText w:val="%8."/>
      <w:lvlJc w:val="left"/>
      <w:pPr>
        <w:ind w:left="5396" w:hanging="360"/>
      </w:pPr>
    </w:lvl>
    <w:lvl w:ilvl="8" w:tentative="1">
      <w:start w:val="1"/>
      <w:numFmt w:val="lowerRoman"/>
      <w:lvlText w:val="%9."/>
      <w:lvlJc w:val="right"/>
      <w:pPr>
        <w:ind w:left="6116" w:hanging="180"/>
      </w:pPr>
    </w:lvl>
  </w:abstractNum>
  <w:abstractNum w:abstractNumId="23">
    <w:nsid w:val="6C0968ED"/>
    <w:multiLevelType w:val="multilevel"/>
    <w:tmpl w:val="F9249250"/>
    <w:lvl w:ilvl="0">
      <w:start w:val="15"/>
      <w:numFmt w:val="decimal"/>
      <w:lvlText w:val="%1)"/>
      <w:lvlJc w:val="left"/>
      <w:pPr>
        <w:ind w:left="360" w:hanging="360"/>
      </w:pPr>
      <w:rPr>
        <w:rFonts w:hint="default"/>
      </w:rPr>
    </w:lvl>
    <w:lvl w:ilvl="1">
      <w:start w:val="14"/>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6DC6032B"/>
    <w:multiLevelType w:val="hybridMultilevel"/>
    <w:tmpl w:val="5CF82860"/>
    <w:lvl w:ilvl="0">
      <w:start w:val="13"/>
      <w:numFmt w:val="decimal"/>
      <w:lvlText w:val="%1."/>
      <w:lvlJc w:val="left"/>
      <w:pPr>
        <w:ind w:left="356"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71215467"/>
    <w:multiLevelType w:val="hybridMultilevel"/>
    <w:tmpl w:val="540A6BC6"/>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6">
    <w:nsid w:val="72307831"/>
    <w:multiLevelType w:val="multilevel"/>
    <w:tmpl w:val="2D50DCE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5"/>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7DAF68DD"/>
    <w:multiLevelType w:val="hybridMultilevel"/>
    <w:tmpl w:val="4BAEE2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7E33326B"/>
    <w:multiLevelType w:val="hybridMultilevel"/>
    <w:tmpl w:val="69206B4E"/>
    <w:lvl w:ilvl="0">
      <w:start w:val="1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92127513">
    <w:abstractNumId w:val="12"/>
  </w:num>
  <w:num w:numId="2" w16cid:durableId="1032609060">
    <w:abstractNumId w:val="4"/>
  </w:num>
  <w:num w:numId="3" w16cid:durableId="1158494831">
    <w:abstractNumId w:val="2"/>
  </w:num>
  <w:num w:numId="4" w16cid:durableId="493573829">
    <w:abstractNumId w:val="27"/>
  </w:num>
  <w:num w:numId="5" w16cid:durableId="2055687918">
    <w:abstractNumId w:val="17"/>
  </w:num>
  <w:num w:numId="6" w16cid:durableId="1603025219">
    <w:abstractNumId w:val="25"/>
  </w:num>
  <w:num w:numId="7" w16cid:durableId="423957196">
    <w:abstractNumId w:val="15"/>
  </w:num>
  <w:num w:numId="8" w16cid:durableId="2031829208">
    <w:abstractNumId w:val="21"/>
  </w:num>
  <w:num w:numId="9" w16cid:durableId="218439549">
    <w:abstractNumId w:val="8"/>
  </w:num>
  <w:num w:numId="10" w16cid:durableId="1285231924">
    <w:abstractNumId w:val="3"/>
  </w:num>
  <w:num w:numId="11" w16cid:durableId="327370686">
    <w:abstractNumId w:val="6"/>
  </w:num>
  <w:num w:numId="12" w16cid:durableId="1802993385">
    <w:abstractNumId w:val="10"/>
  </w:num>
  <w:num w:numId="13" w16cid:durableId="1792938267">
    <w:abstractNumId w:val="28"/>
  </w:num>
  <w:num w:numId="14" w16cid:durableId="239490726">
    <w:abstractNumId w:val="5"/>
  </w:num>
  <w:num w:numId="15" w16cid:durableId="1395350314">
    <w:abstractNumId w:val="9"/>
  </w:num>
  <w:num w:numId="16" w16cid:durableId="441535906">
    <w:abstractNumId w:val="13"/>
  </w:num>
  <w:num w:numId="17" w16cid:durableId="2008243381">
    <w:abstractNumId w:val="22"/>
  </w:num>
  <w:num w:numId="18" w16cid:durableId="840463183">
    <w:abstractNumId w:val="20"/>
  </w:num>
  <w:num w:numId="19" w16cid:durableId="469980091">
    <w:abstractNumId w:val="24"/>
  </w:num>
  <w:num w:numId="20" w16cid:durableId="2126730031">
    <w:abstractNumId w:val="11"/>
  </w:num>
  <w:num w:numId="21" w16cid:durableId="106124704">
    <w:abstractNumId w:val="1"/>
  </w:num>
  <w:num w:numId="22" w16cid:durableId="1552418013">
    <w:abstractNumId w:val="14"/>
  </w:num>
  <w:num w:numId="23" w16cid:durableId="1598828334">
    <w:abstractNumId w:val="26"/>
  </w:num>
  <w:num w:numId="24" w16cid:durableId="2051031068">
    <w:abstractNumId w:val="0"/>
  </w:num>
  <w:num w:numId="25" w16cid:durableId="258569098">
    <w:abstractNumId w:val="16"/>
  </w:num>
  <w:num w:numId="26" w16cid:durableId="331181582">
    <w:abstractNumId w:val="18"/>
  </w:num>
  <w:num w:numId="27" w16cid:durableId="1015961391">
    <w:abstractNumId w:val="23"/>
  </w:num>
  <w:num w:numId="28" w16cid:durableId="1504393872">
    <w:abstractNumId w:val="7"/>
  </w:num>
  <w:num w:numId="29" w16cid:durableId="1690986027">
    <w:abstractNumId w:val="1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trackedChanges" w:enforcement="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609"/>
    <w:rsid w:val="0000050D"/>
    <w:rsid w:val="0000329D"/>
    <w:rsid w:val="00003D64"/>
    <w:rsid w:val="00004678"/>
    <w:rsid w:val="000069C3"/>
    <w:rsid w:val="00006C95"/>
    <w:rsid w:val="00007FB5"/>
    <w:rsid w:val="00010EEE"/>
    <w:rsid w:val="000129E1"/>
    <w:rsid w:val="00013852"/>
    <w:rsid w:val="00013CE8"/>
    <w:rsid w:val="00014B10"/>
    <w:rsid w:val="00015FF6"/>
    <w:rsid w:val="0001637F"/>
    <w:rsid w:val="00017B90"/>
    <w:rsid w:val="00020791"/>
    <w:rsid w:val="00023EFE"/>
    <w:rsid w:val="000267E1"/>
    <w:rsid w:val="00030670"/>
    <w:rsid w:val="0003166C"/>
    <w:rsid w:val="00032552"/>
    <w:rsid w:val="00033219"/>
    <w:rsid w:val="00036CF2"/>
    <w:rsid w:val="00037107"/>
    <w:rsid w:val="00042F77"/>
    <w:rsid w:val="0004467E"/>
    <w:rsid w:val="000452DC"/>
    <w:rsid w:val="000461BA"/>
    <w:rsid w:val="00047160"/>
    <w:rsid w:val="00050BB4"/>
    <w:rsid w:val="00051045"/>
    <w:rsid w:val="00053570"/>
    <w:rsid w:val="000544D0"/>
    <w:rsid w:val="0005572E"/>
    <w:rsid w:val="0005629D"/>
    <w:rsid w:val="0005783D"/>
    <w:rsid w:val="00060163"/>
    <w:rsid w:val="0006085E"/>
    <w:rsid w:val="0006128A"/>
    <w:rsid w:val="00061A77"/>
    <w:rsid w:val="00061BCE"/>
    <w:rsid w:val="00063CA7"/>
    <w:rsid w:val="00065167"/>
    <w:rsid w:val="00065411"/>
    <w:rsid w:val="00066059"/>
    <w:rsid w:val="00070074"/>
    <w:rsid w:val="00070D79"/>
    <w:rsid w:val="000728E0"/>
    <w:rsid w:val="00073C3D"/>
    <w:rsid w:val="00074917"/>
    <w:rsid w:val="00074E51"/>
    <w:rsid w:val="00075C7A"/>
    <w:rsid w:val="000762A8"/>
    <w:rsid w:val="00076439"/>
    <w:rsid w:val="00076F0F"/>
    <w:rsid w:val="00077D8A"/>
    <w:rsid w:val="00082A72"/>
    <w:rsid w:val="00083D4A"/>
    <w:rsid w:val="00084BF3"/>
    <w:rsid w:val="00090627"/>
    <w:rsid w:val="00090750"/>
    <w:rsid w:val="000911D6"/>
    <w:rsid w:val="00091EB4"/>
    <w:rsid w:val="0009219E"/>
    <w:rsid w:val="000925BD"/>
    <w:rsid w:val="00093C6D"/>
    <w:rsid w:val="00093DC2"/>
    <w:rsid w:val="00094023"/>
    <w:rsid w:val="0009492C"/>
    <w:rsid w:val="00095F01"/>
    <w:rsid w:val="0009650E"/>
    <w:rsid w:val="000978FD"/>
    <w:rsid w:val="000A1198"/>
    <w:rsid w:val="000A11F1"/>
    <w:rsid w:val="000A170A"/>
    <w:rsid w:val="000A397C"/>
    <w:rsid w:val="000A4527"/>
    <w:rsid w:val="000B3576"/>
    <w:rsid w:val="000B461B"/>
    <w:rsid w:val="000B7BBA"/>
    <w:rsid w:val="000C41A7"/>
    <w:rsid w:val="000C43C8"/>
    <w:rsid w:val="000C608D"/>
    <w:rsid w:val="000D224E"/>
    <w:rsid w:val="000D251E"/>
    <w:rsid w:val="000D2D5D"/>
    <w:rsid w:val="000D3C22"/>
    <w:rsid w:val="000D45B2"/>
    <w:rsid w:val="000D516A"/>
    <w:rsid w:val="000D5863"/>
    <w:rsid w:val="000D6FA4"/>
    <w:rsid w:val="000E1158"/>
    <w:rsid w:val="000E184B"/>
    <w:rsid w:val="000E19CB"/>
    <w:rsid w:val="000E1FE8"/>
    <w:rsid w:val="000E3298"/>
    <w:rsid w:val="000E348B"/>
    <w:rsid w:val="000E5609"/>
    <w:rsid w:val="000E7DC1"/>
    <w:rsid w:val="000F0186"/>
    <w:rsid w:val="000F29EE"/>
    <w:rsid w:val="000F338A"/>
    <w:rsid w:val="000F3AC3"/>
    <w:rsid w:val="000F4DBB"/>
    <w:rsid w:val="000F6D04"/>
    <w:rsid w:val="00100432"/>
    <w:rsid w:val="00100499"/>
    <w:rsid w:val="00100BF7"/>
    <w:rsid w:val="00100FA6"/>
    <w:rsid w:val="00101362"/>
    <w:rsid w:val="0010158E"/>
    <w:rsid w:val="0010258D"/>
    <w:rsid w:val="00102EE5"/>
    <w:rsid w:val="00103DD8"/>
    <w:rsid w:val="00105F52"/>
    <w:rsid w:val="00106C2C"/>
    <w:rsid w:val="00107505"/>
    <w:rsid w:val="00111663"/>
    <w:rsid w:val="00112360"/>
    <w:rsid w:val="00112675"/>
    <w:rsid w:val="001141DA"/>
    <w:rsid w:val="00116064"/>
    <w:rsid w:val="00116084"/>
    <w:rsid w:val="001172FE"/>
    <w:rsid w:val="00117FE1"/>
    <w:rsid w:val="0013006A"/>
    <w:rsid w:val="00130CF9"/>
    <w:rsid w:val="001310E0"/>
    <w:rsid w:val="00132921"/>
    <w:rsid w:val="001329B3"/>
    <w:rsid w:val="00135EAD"/>
    <w:rsid w:val="00136237"/>
    <w:rsid w:val="00137EB8"/>
    <w:rsid w:val="00145DAE"/>
    <w:rsid w:val="00147B68"/>
    <w:rsid w:val="0015084F"/>
    <w:rsid w:val="00152A80"/>
    <w:rsid w:val="00160461"/>
    <w:rsid w:val="00161846"/>
    <w:rsid w:val="001636DA"/>
    <w:rsid w:val="00163C69"/>
    <w:rsid w:val="00164169"/>
    <w:rsid w:val="00166B27"/>
    <w:rsid w:val="00170329"/>
    <w:rsid w:val="00170689"/>
    <w:rsid w:val="00170EB8"/>
    <w:rsid w:val="00171DC0"/>
    <w:rsid w:val="00173422"/>
    <w:rsid w:val="00173E50"/>
    <w:rsid w:val="00176BA8"/>
    <w:rsid w:val="001775F3"/>
    <w:rsid w:val="00180511"/>
    <w:rsid w:val="00184011"/>
    <w:rsid w:val="00185251"/>
    <w:rsid w:val="0019149E"/>
    <w:rsid w:val="0019182F"/>
    <w:rsid w:val="00191C72"/>
    <w:rsid w:val="001925B3"/>
    <w:rsid w:val="0019580A"/>
    <w:rsid w:val="00195BEB"/>
    <w:rsid w:val="00197A23"/>
    <w:rsid w:val="001A20B0"/>
    <w:rsid w:val="001A21A7"/>
    <w:rsid w:val="001A3351"/>
    <w:rsid w:val="001A3387"/>
    <w:rsid w:val="001A53A7"/>
    <w:rsid w:val="001A76B3"/>
    <w:rsid w:val="001A7A0C"/>
    <w:rsid w:val="001A7DEF"/>
    <w:rsid w:val="001B1773"/>
    <w:rsid w:val="001B1962"/>
    <w:rsid w:val="001B2D25"/>
    <w:rsid w:val="001B4565"/>
    <w:rsid w:val="001B46D7"/>
    <w:rsid w:val="001B4BEC"/>
    <w:rsid w:val="001B7B47"/>
    <w:rsid w:val="001C0151"/>
    <w:rsid w:val="001C260A"/>
    <w:rsid w:val="001C2D48"/>
    <w:rsid w:val="001C3106"/>
    <w:rsid w:val="001C3D5A"/>
    <w:rsid w:val="001C4634"/>
    <w:rsid w:val="001C6741"/>
    <w:rsid w:val="001C7470"/>
    <w:rsid w:val="001C7D52"/>
    <w:rsid w:val="001D01BB"/>
    <w:rsid w:val="001D294E"/>
    <w:rsid w:val="001D47F8"/>
    <w:rsid w:val="001D4CDC"/>
    <w:rsid w:val="001D4D40"/>
    <w:rsid w:val="001D4F2F"/>
    <w:rsid w:val="001D51D8"/>
    <w:rsid w:val="001D5CED"/>
    <w:rsid w:val="001E0924"/>
    <w:rsid w:val="001E211E"/>
    <w:rsid w:val="001E3A31"/>
    <w:rsid w:val="001E43D7"/>
    <w:rsid w:val="001E534A"/>
    <w:rsid w:val="001E548A"/>
    <w:rsid w:val="001E601A"/>
    <w:rsid w:val="001E6E50"/>
    <w:rsid w:val="001E7480"/>
    <w:rsid w:val="001E74E1"/>
    <w:rsid w:val="001F0834"/>
    <w:rsid w:val="001F0D3B"/>
    <w:rsid w:val="001F1A52"/>
    <w:rsid w:val="001F1F14"/>
    <w:rsid w:val="001F34A5"/>
    <w:rsid w:val="001F370A"/>
    <w:rsid w:val="001F5541"/>
    <w:rsid w:val="001F75D9"/>
    <w:rsid w:val="001F7B1A"/>
    <w:rsid w:val="001F7DF2"/>
    <w:rsid w:val="0020142E"/>
    <w:rsid w:val="00201886"/>
    <w:rsid w:val="002064A4"/>
    <w:rsid w:val="00206A2D"/>
    <w:rsid w:val="00210F2E"/>
    <w:rsid w:val="00211627"/>
    <w:rsid w:val="0021345A"/>
    <w:rsid w:val="00213AE6"/>
    <w:rsid w:val="00216C6A"/>
    <w:rsid w:val="00220258"/>
    <w:rsid w:val="00222530"/>
    <w:rsid w:val="0022259D"/>
    <w:rsid w:val="0022416D"/>
    <w:rsid w:val="00224BB3"/>
    <w:rsid w:val="00224D61"/>
    <w:rsid w:val="00224F14"/>
    <w:rsid w:val="00226D49"/>
    <w:rsid w:val="0022710C"/>
    <w:rsid w:val="002272EE"/>
    <w:rsid w:val="00227759"/>
    <w:rsid w:val="00230F45"/>
    <w:rsid w:val="0023260E"/>
    <w:rsid w:val="00233342"/>
    <w:rsid w:val="002335AB"/>
    <w:rsid w:val="00234B8D"/>
    <w:rsid w:val="00235E79"/>
    <w:rsid w:val="002360BC"/>
    <w:rsid w:val="00240F23"/>
    <w:rsid w:val="0024175E"/>
    <w:rsid w:val="002420F2"/>
    <w:rsid w:val="002455F0"/>
    <w:rsid w:val="0024599B"/>
    <w:rsid w:val="00246A7E"/>
    <w:rsid w:val="00247198"/>
    <w:rsid w:val="0025051F"/>
    <w:rsid w:val="00251151"/>
    <w:rsid w:val="00252A4E"/>
    <w:rsid w:val="0025319A"/>
    <w:rsid w:val="0025617C"/>
    <w:rsid w:val="0026050F"/>
    <w:rsid w:val="00260FB7"/>
    <w:rsid w:val="002648CF"/>
    <w:rsid w:val="00265FE7"/>
    <w:rsid w:val="00270940"/>
    <w:rsid w:val="00275D18"/>
    <w:rsid w:val="00277A03"/>
    <w:rsid w:val="0028340E"/>
    <w:rsid w:val="00283764"/>
    <w:rsid w:val="00283AE9"/>
    <w:rsid w:val="00283C66"/>
    <w:rsid w:val="002847BB"/>
    <w:rsid w:val="00285782"/>
    <w:rsid w:val="00285A68"/>
    <w:rsid w:val="00286FA0"/>
    <w:rsid w:val="00287F94"/>
    <w:rsid w:val="00290BEB"/>
    <w:rsid w:val="00291493"/>
    <w:rsid w:val="00291589"/>
    <w:rsid w:val="0029755D"/>
    <w:rsid w:val="002A43D0"/>
    <w:rsid w:val="002A6075"/>
    <w:rsid w:val="002A676B"/>
    <w:rsid w:val="002A6E4E"/>
    <w:rsid w:val="002A774D"/>
    <w:rsid w:val="002A7860"/>
    <w:rsid w:val="002A78D3"/>
    <w:rsid w:val="002B0036"/>
    <w:rsid w:val="002B4615"/>
    <w:rsid w:val="002B7383"/>
    <w:rsid w:val="002B77A2"/>
    <w:rsid w:val="002C0623"/>
    <w:rsid w:val="002C1434"/>
    <w:rsid w:val="002C1646"/>
    <w:rsid w:val="002C397A"/>
    <w:rsid w:val="002C4713"/>
    <w:rsid w:val="002C6F18"/>
    <w:rsid w:val="002C7DDE"/>
    <w:rsid w:val="002D3E1A"/>
    <w:rsid w:val="002E0316"/>
    <w:rsid w:val="002E0999"/>
    <w:rsid w:val="002E2569"/>
    <w:rsid w:val="002E5BAD"/>
    <w:rsid w:val="002E6047"/>
    <w:rsid w:val="002E6D1D"/>
    <w:rsid w:val="002F0614"/>
    <w:rsid w:val="002F077A"/>
    <w:rsid w:val="002F10BE"/>
    <w:rsid w:val="002F13DA"/>
    <w:rsid w:val="002F15EB"/>
    <w:rsid w:val="002F3CE0"/>
    <w:rsid w:val="002F6A76"/>
    <w:rsid w:val="003005BB"/>
    <w:rsid w:val="00303DE5"/>
    <w:rsid w:val="00304842"/>
    <w:rsid w:val="00307411"/>
    <w:rsid w:val="00310FDB"/>
    <w:rsid w:val="00312370"/>
    <w:rsid w:val="00312F28"/>
    <w:rsid w:val="003132A5"/>
    <w:rsid w:val="00313941"/>
    <w:rsid w:val="00316194"/>
    <w:rsid w:val="003169B4"/>
    <w:rsid w:val="00316BE6"/>
    <w:rsid w:val="00317844"/>
    <w:rsid w:val="00317A6C"/>
    <w:rsid w:val="00317D89"/>
    <w:rsid w:val="003224B7"/>
    <w:rsid w:val="00322A16"/>
    <w:rsid w:val="0032350D"/>
    <w:rsid w:val="00323E74"/>
    <w:rsid w:val="00324F21"/>
    <w:rsid w:val="003256A4"/>
    <w:rsid w:val="00330B87"/>
    <w:rsid w:val="00331168"/>
    <w:rsid w:val="0033211D"/>
    <w:rsid w:val="00333489"/>
    <w:rsid w:val="0033571E"/>
    <w:rsid w:val="00342DB5"/>
    <w:rsid w:val="00343CEF"/>
    <w:rsid w:val="00344CB0"/>
    <w:rsid w:val="003467C8"/>
    <w:rsid w:val="00347C3C"/>
    <w:rsid w:val="0035079F"/>
    <w:rsid w:val="003527C1"/>
    <w:rsid w:val="00352C25"/>
    <w:rsid w:val="003565B6"/>
    <w:rsid w:val="00356A66"/>
    <w:rsid w:val="00357418"/>
    <w:rsid w:val="00360B75"/>
    <w:rsid w:val="00361737"/>
    <w:rsid w:val="00363F41"/>
    <w:rsid w:val="00366D56"/>
    <w:rsid w:val="00367871"/>
    <w:rsid w:val="00367DAD"/>
    <w:rsid w:val="0037342A"/>
    <w:rsid w:val="00373CC8"/>
    <w:rsid w:val="00374E24"/>
    <w:rsid w:val="00375E2A"/>
    <w:rsid w:val="00376609"/>
    <w:rsid w:val="0038330C"/>
    <w:rsid w:val="003856DC"/>
    <w:rsid w:val="003901B8"/>
    <w:rsid w:val="003A1D0D"/>
    <w:rsid w:val="003A38FB"/>
    <w:rsid w:val="003A41A0"/>
    <w:rsid w:val="003A6BEF"/>
    <w:rsid w:val="003B04B9"/>
    <w:rsid w:val="003B0A8F"/>
    <w:rsid w:val="003B153D"/>
    <w:rsid w:val="003B4D4F"/>
    <w:rsid w:val="003C0DBC"/>
    <w:rsid w:val="003C1837"/>
    <w:rsid w:val="003C2B04"/>
    <w:rsid w:val="003C321D"/>
    <w:rsid w:val="003C5631"/>
    <w:rsid w:val="003C68C2"/>
    <w:rsid w:val="003C6CE9"/>
    <w:rsid w:val="003D06CD"/>
    <w:rsid w:val="003D0C03"/>
    <w:rsid w:val="003D1457"/>
    <w:rsid w:val="003D23D5"/>
    <w:rsid w:val="003D29E8"/>
    <w:rsid w:val="003D2F77"/>
    <w:rsid w:val="003D3498"/>
    <w:rsid w:val="003D598C"/>
    <w:rsid w:val="003D7167"/>
    <w:rsid w:val="003D7919"/>
    <w:rsid w:val="003D7B2A"/>
    <w:rsid w:val="003E133B"/>
    <w:rsid w:val="003E4B7A"/>
    <w:rsid w:val="003E5AAE"/>
    <w:rsid w:val="003E5D61"/>
    <w:rsid w:val="003E7E56"/>
    <w:rsid w:val="003F0A11"/>
    <w:rsid w:val="003F36DC"/>
    <w:rsid w:val="003F5429"/>
    <w:rsid w:val="003F639F"/>
    <w:rsid w:val="003F6664"/>
    <w:rsid w:val="003F72BB"/>
    <w:rsid w:val="00401C79"/>
    <w:rsid w:val="00402C51"/>
    <w:rsid w:val="00403FAB"/>
    <w:rsid w:val="00404886"/>
    <w:rsid w:val="0040643E"/>
    <w:rsid w:val="004064AA"/>
    <w:rsid w:val="004113CD"/>
    <w:rsid w:val="00412B2A"/>
    <w:rsid w:val="00414BB8"/>
    <w:rsid w:val="00415248"/>
    <w:rsid w:val="00415988"/>
    <w:rsid w:val="00417612"/>
    <w:rsid w:val="0042383B"/>
    <w:rsid w:val="0042409F"/>
    <w:rsid w:val="00424DDE"/>
    <w:rsid w:val="00424F93"/>
    <w:rsid w:val="004252C1"/>
    <w:rsid w:val="0042541E"/>
    <w:rsid w:val="00427079"/>
    <w:rsid w:val="004306A8"/>
    <w:rsid w:val="00430EDC"/>
    <w:rsid w:val="00431D3F"/>
    <w:rsid w:val="00432AC2"/>
    <w:rsid w:val="0043515D"/>
    <w:rsid w:val="00436FD0"/>
    <w:rsid w:val="00441783"/>
    <w:rsid w:val="004420DA"/>
    <w:rsid w:val="00444707"/>
    <w:rsid w:val="004455F6"/>
    <w:rsid w:val="00445751"/>
    <w:rsid w:val="004468C2"/>
    <w:rsid w:val="00446B8D"/>
    <w:rsid w:val="00450C44"/>
    <w:rsid w:val="00456E33"/>
    <w:rsid w:val="004600ED"/>
    <w:rsid w:val="004620CA"/>
    <w:rsid w:val="00463285"/>
    <w:rsid w:val="00465846"/>
    <w:rsid w:val="00466349"/>
    <w:rsid w:val="00466B43"/>
    <w:rsid w:val="00470E22"/>
    <w:rsid w:val="00472D33"/>
    <w:rsid w:val="00475BA6"/>
    <w:rsid w:val="00477D70"/>
    <w:rsid w:val="004831CC"/>
    <w:rsid w:val="00485567"/>
    <w:rsid w:val="004855BE"/>
    <w:rsid w:val="00486860"/>
    <w:rsid w:val="00491CC3"/>
    <w:rsid w:val="00491ED9"/>
    <w:rsid w:val="00495623"/>
    <w:rsid w:val="00496F19"/>
    <w:rsid w:val="0049718B"/>
    <w:rsid w:val="004A0C7A"/>
    <w:rsid w:val="004A2646"/>
    <w:rsid w:val="004A284B"/>
    <w:rsid w:val="004A2961"/>
    <w:rsid w:val="004A2CDE"/>
    <w:rsid w:val="004A3ABF"/>
    <w:rsid w:val="004A4B8D"/>
    <w:rsid w:val="004A5B46"/>
    <w:rsid w:val="004A6B13"/>
    <w:rsid w:val="004B0167"/>
    <w:rsid w:val="004B710E"/>
    <w:rsid w:val="004C17A6"/>
    <w:rsid w:val="004C43EA"/>
    <w:rsid w:val="004C4445"/>
    <w:rsid w:val="004C53AD"/>
    <w:rsid w:val="004C6291"/>
    <w:rsid w:val="004C65F0"/>
    <w:rsid w:val="004C680C"/>
    <w:rsid w:val="004C6EC4"/>
    <w:rsid w:val="004C7205"/>
    <w:rsid w:val="004D0275"/>
    <w:rsid w:val="004D59E6"/>
    <w:rsid w:val="004D5E8D"/>
    <w:rsid w:val="004D6404"/>
    <w:rsid w:val="004E1414"/>
    <w:rsid w:val="004E336F"/>
    <w:rsid w:val="004E3CB0"/>
    <w:rsid w:val="004E5457"/>
    <w:rsid w:val="004E5A83"/>
    <w:rsid w:val="004E7F0A"/>
    <w:rsid w:val="004F05F2"/>
    <w:rsid w:val="004F106A"/>
    <w:rsid w:val="004F1136"/>
    <w:rsid w:val="004F1426"/>
    <w:rsid w:val="004F3C8A"/>
    <w:rsid w:val="004F4CDB"/>
    <w:rsid w:val="004F4FDD"/>
    <w:rsid w:val="004F6CF4"/>
    <w:rsid w:val="0050085E"/>
    <w:rsid w:val="005016D0"/>
    <w:rsid w:val="00501DE1"/>
    <w:rsid w:val="005024CE"/>
    <w:rsid w:val="00502BAA"/>
    <w:rsid w:val="00504949"/>
    <w:rsid w:val="00506171"/>
    <w:rsid w:val="005062F5"/>
    <w:rsid w:val="00510C48"/>
    <w:rsid w:val="005119F4"/>
    <w:rsid w:val="00511DDD"/>
    <w:rsid w:val="00512F2D"/>
    <w:rsid w:val="00513479"/>
    <w:rsid w:val="00515993"/>
    <w:rsid w:val="00517F46"/>
    <w:rsid w:val="00520209"/>
    <w:rsid w:val="0052076B"/>
    <w:rsid w:val="00524059"/>
    <w:rsid w:val="005263EC"/>
    <w:rsid w:val="00526DFC"/>
    <w:rsid w:val="00527EB0"/>
    <w:rsid w:val="005303CA"/>
    <w:rsid w:val="00530DF8"/>
    <w:rsid w:val="00531CA7"/>
    <w:rsid w:val="005324A6"/>
    <w:rsid w:val="005346D7"/>
    <w:rsid w:val="00535D3D"/>
    <w:rsid w:val="00536768"/>
    <w:rsid w:val="005372F7"/>
    <w:rsid w:val="00537322"/>
    <w:rsid w:val="00542227"/>
    <w:rsid w:val="005424B5"/>
    <w:rsid w:val="00542CEE"/>
    <w:rsid w:val="00546097"/>
    <w:rsid w:val="00546B65"/>
    <w:rsid w:val="00546FB4"/>
    <w:rsid w:val="005519F6"/>
    <w:rsid w:val="00552A7B"/>
    <w:rsid w:val="00552BE0"/>
    <w:rsid w:val="005544CE"/>
    <w:rsid w:val="00554865"/>
    <w:rsid w:val="0055616B"/>
    <w:rsid w:val="00556D62"/>
    <w:rsid w:val="00557E8F"/>
    <w:rsid w:val="005609B4"/>
    <w:rsid w:val="00560A26"/>
    <w:rsid w:val="005636FA"/>
    <w:rsid w:val="0056373A"/>
    <w:rsid w:val="00564A1B"/>
    <w:rsid w:val="00564BF4"/>
    <w:rsid w:val="00565A5E"/>
    <w:rsid w:val="00566F71"/>
    <w:rsid w:val="00570F24"/>
    <w:rsid w:val="00571C92"/>
    <w:rsid w:val="00571D24"/>
    <w:rsid w:val="005723B9"/>
    <w:rsid w:val="005726BA"/>
    <w:rsid w:val="0057299B"/>
    <w:rsid w:val="00574C83"/>
    <w:rsid w:val="005810DF"/>
    <w:rsid w:val="00583101"/>
    <w:rsid w:val="005836B3"/>
    <w:rsid w:val="00584D72"/>
    <w:rsid w:val="0058662D"/>
    <w:rsid w:val="005900C3"/>
    <w:rsid w:val="00590A21"/>
    <w:rsid w:val="005932EC"/>
    <w:rsid w:val="005966D8"/>
    <w:rsid w:val="0059769C"/>
    <w:rsid w:val="005A0F75"/>
    <w:rsid w:val="005A129A"/>
    <w:rsid w:val="005A35B4"/>
    <w:rsid w:val="005A422E"/>
    <w:rsid w:val="005A7235"/>
    <w:rsid w:val="005A7BA6"/>
    <w:rsid w:val="005B499E"/>
    <w:rsid w:val="005B6A8D"/>
    <w:rsid w:val="005C195D"/>
    <w:rsid w:val="005C2031"/>
    <w:rsid w:val="005D0ACB"/>
    <w:rsid w:val="005D140B"/>
    <w:rsid w:val="005D1C36"/>
    <w:rsid w:val="005D1F2E"/>
    <w:rsid w:val="005D2654"/>
    <w:rsid w:val="005D2E6F"/>
    <w:rsid w:val="005D5624"/>
    <w:rsid w:val="005D5865"/>
    <w:rsid w:val="005D5F1D"/>
    <w:rsid w:val="005E03A2"/>
    <w:rsid w:val="005E35C4"/>
    <w:rsid w:val="005E4A7B"/>
    <w:rsid w:val="005E588F"/>
    <w:rsid w:val="005E5BEC"/>
    <w:rsid w:val="005E5D2D"/>
    <w:rsid w:val="005E6FAB"/>
    <w:rsid w:val="005F1234"/>
    <w:rsid w:val="005F13AA"/>
    <w:rsid w:val="005F484B"/>
    <w:rsid w:val="00601B3B"/>
    <w:rsid w:val="00602636"/>
    <w:rsid w:val="006036CD"/>
    <w:rsid w:val="00603CAA"/>
    <w:rsid w:val="00603CC1"/>
    <w:rsid w:val="0060451D"/>
    <w:rsid w:val="00604681"/>
    <w:rsid w:val="00604D35"/>
    <w:rsid w:val="0060549C"/>
    <w:rsid w:val="006071E2"/>
    <w:rsid w:val="0060750F"/>
    <w:rsid w:val="006079C2"/>
    <w:rsid w:val="00611426"/>
    <w:rsid w:val="00613362"/>
    <w:rsid w:val="006150A3"/>
    <w:rsid w:val="006161DD"/>
    <w:rsid w:val="0061689C"/>
    <w:rsid w:val="006210DF"/>
    <w:rsid w:val="0062163B"/>
    <w:rsid w:val="00622434"/>
    <w:rsid w:val="00622500"/>
    <w:rsid w:val="00622738"/>
    <w:rsid w:val="00623817"/>
    <w:rsid w:val="00624119"/>
    <w:rsid w:val="00624BE7"/>
    <w:rsid w:val="0062570F"/>
    <w:rsid w:val="006262C0"/>
    <w:rsid w:val="00627768"/>
    <w:rsid w:val="00635E63"/>
    <w:rsid w:val="006364B9"/>
    <w:rsid w:val="00637244"/>
    <w:rsid w:val="00640646"/>
    <w:rsid w:val="006406C5"/>
    <w:rsid w:val="00640DB6"/>
    <w:rsid w:val="00642467"/>
    <w:rsid w:val="00642D76"/>
    <w:rsid w:val="00643FF8"/>
    <w:rsid w:val="00644EBE"/>
    <w:rsid w:val="00645B0D"/>
    <w:rsid w:val="00651606"/>
    <w:rsid w:val="0065161C"/>
    <w:rsid w:val="00652B35"/>
    <w:rsid w:val="00652EE5"/>
    <w:rsid w:val="0065454C"/>
    <w:rsid w:val="00660027"/>
    <w:rsid w:val="00660B98"/>
    <w:rsid w:val="00665EAF"/>
    <w:rsid w:val="00666566"/>
    <w:rsid w:val="00666D5A"/>
    <w:rsid w:val="00670897"/>
    <w:rsid w:val="00672A20"/>
    <w:rsid w:val="006737EC"/>
    <w:rsid w:val="006739CE"/>
    <w:rsid w:val="0068304A"/>
    <w:rsid w:val="00683207"/>
    <w:rsid w:val="00686D59"/>
    <w:rsid w:val="00687254"/>
    <w:rsid w:val="00687583"/>
    <w:rsid w:val="00691828"/>
    <w:rsid w:val="00691A07"/>
    <w:rsid w:val="00692B88"/>
    <w:rsid w:val="00693D40"/>
    <w:rsid w:val="006971C6"/>
    <w:rsid w:val="00697598"/>
    <w:rsid w:val="006A01ED"/>
    <w:rsid w:val="006A173F"/>
    <w:rsid w:val="006A1AC5"/>
    <w:rsid w:val="006A231D"/>
    <w:rsid w:val="006A29EB"/>
    <w:rsid w:val="006A6EDB"/>
    <w:rsid w:val="006B102F"/>
    <w:rsid w:val="006B15F9"/>
    <w:rsid w:val="006B18D6"/>
    <w:rsid w:val="006B20E9"/>
    <w:rsid w:val="006B2749"/>
    <w:rsid w:val="006B42B0"/>
    <w:rsid w:val="006B490F"/>
    <w:rsid w:val="006B57A3"/>
    <w:rsid w:val="006B58DB"/>
    <w:rsid w:val="006B6448"/>
    <w:rsid w:val="006B6B7D"/>
    <w:rsid w:val="006B738C"/>
    <w:rsid w:val="006B770D"/>
    <w:rsid w:val="006C1677"/>
    <w:rsid w:val="006C4CAA"/>
    <w:rsid w:val="006C68A7"/>
    <w:rsid w:val="006C780F"/>
    <w:rsid w:val="006C79DB"/>
    <w:rsid w:val="006D09D6"/>
    <w:rsid w:val="006D1400"/>
    <w:rsid w:val="006D419B"/>
    <w:rsid w:val="006D5998"/>
    <w:rsid w:val="006D7A1A"/>
    <w:rsid w:val="006E009D"/>
    <w:rsid w:val="006E0122"/>
    <w:rsid w:val="006E0960"/>
    <w:rsid w:val="006E116F"/>
    <w:rsid w:val="006E13FF"/>
    <w:rsid w:val="006E197A"/>
    <w:rsid w:val="006E1DC0"/>
    <w:rsid w:val="006E4817"/>
    <w:rsid w:val="006E6819"/>
    <w:rsid w:val="006E6A2C"/>
    <w:rsid w:val="006E6C7E"/>
    <w:rsid w:val="006E7D37"/>
    <w:rsid w:val="006F1F1D"/>
    <w:rsid w:val="006F4946"/>
    <w:rsid w:val="00700983"/>
    <w:rsid w:val="007020F8"/>
    <w:rsid w:val="007029CB"/>
    <w:rsid w:val="00702E91"/>
    <w:rsid w:val="00702F36"/>
    <w:rsid w:val="00703FEF"/>
    <w:rsid w:val="00704459"/>
    <w:rsid w:val="007045C4"/>
    <w:rsid w:val="00704CBA"/>
    <w:rsid w:val="00706B15"/>
    <w:rsid w:val="00706F41"/>
    <w:rsid w:val="00710A21"/>
    <w:rsid w:val="00712749"/>
    <w:rsid w:val="007128E1"/>
    <w:rsid w:val="007139DB"/>
    <w:rsid w:val="00714D14"/>
    <w:rsid w:val="00714E66"/>
    <w:rsid w:val="007167A3"/>
    <w:rsid w:val="00716971"/>
    <w:rsid w:val="00716CE1"/>
    <w:rsid w:val="00716D1D"/>
    <w:rsid w:val="00724442"/>
    <w:rsid w:val="00724815"/>
    <w:rsid w:val="00726EFA"/>
    <w:rsid w:val="007279D9"/>
    <w:rsid w:val="00732759"/>
    <w:rsid w:val="00732A40"/>
    <w:rsid w:val="00735197"/>
    <w:rsid w:val="00735C37"/>
    <w:rsid w:val="0073767D"/>
    <w:rsid w:val="0074077E"/>
    <w:rsid w:val="00741CD7"/>
    <w:rsid w:val="00742631"/>
    <w:rsid w:val="00742DE0"/>
    <w:rsid w:val="00743A10"/>
    <w:rsid w:val="00743BAD"/>
    <w:rsid w:val="00745A5F"/>
    <w:rsid w:val="00746F8F"/>
    <w:rsid w:val="00747678"/>
    <w:rsid w:val="00750796"/>
    <w:rsid w:val="007534F8"/>
    <w:rsid w:val="0075404F"/>
    <w:rsid w:val="007558ED"/>
    <w:rsid w:val="007560F1"/>
    <w:rsid w:val="00762228"/>
    <w:rsid w:val="00763E34"/>
    <w:rsid w:val="00764EF9"/>
    <w:rsid w:val="00770A34"/>
    <w:rsid w:val="00770FC4"/>
    <w:rsid w:val="007711BC"/>
    <w:rsid w:val="007713C7"/>
    <w:rsid w:val="00772C87"/>
    <w:rsid w:val="00772D61"/>
    <w:rsid w:val="00775025"/>
    <w:rsid w:val="00776C0D"/>
    <w:rsid w:val="0077747C"/>
    <w:rsid w:val="00780787"/>
    <w:rsid w:val="007837C6"/>
    <w:rsid w:val="007838DA"/>
    <w:rsid w:val="0078463B"/>
    <w:rsid w:val="007853D4"/>
    <w:rsid w:val="007860F8"/>
    <w:rsid w:val="00786880"/>
    <w:rsid w:val="00791DFE"/>
    <w:rsid w:val="007927B8"/>
    <w:rsid w:val="007937AD"/>
    <w:rsid w:val="00794978"/>
    <w:rsid w:val="00796ED4"/>
    <w:rsid w:val="007975D8"/>
    <w:rsid w:val="007A0115"/>
    <w:rsid w:val="007A2883"/>
    <w:rsid w:val="007A3403"/>
    <w:rsid w:val="007A3539"/>
    <w:rsid w:val="007A3C78"/>
    <w:rsid w:val="007A4ADE"/>
    <w:rsid w:val="007A5180"/>
    <w:rsid w:val="007A5A6C"/>
    <w:rsid w:val="007A5EE5"/>
    <w:rsid w:val="007B00E3"/>
    <w:rsid w:val="007B14AA"/>
    <w:rsid w:val="007B22C1"/>
    <w:rsid w:val="007B2A30"/>
    <w:rsid w:val="007B41DD"/>
    <w:rsid w:val="007B5199"/>
    <w:rsid w:val="007B6CB3"/>
    <w:rsid w:val="007B74AA"/>
    <w:rsid w:val="007C285F"/>
    <w:rsid w:val="007C3A41"/>
    <w:rsid w:val="007C7191"/>
    <w:rsid w:val="007C7392"/>
    <w:rsid w:val="007D1451"/>
    <w:rsid w:val="007D1B8B"/>
    <w:rsid w:val="007D2824"/>
    <w:rsid w:val="007D3C4B"/>
    <w:rsid w:val="007D4381"/>
    <w:rsid w:val="007D47D8"/>
    <w:rsid w:val="007D58A8"/>
    <w:rsid w:val="007E0597"/>
    <w:rsid w:val="007E0985"/>
    <w:rsid w:val="007E1BD7"/>
    <w:rsid w:val="007E1DEB"/>
    <w:rsid w:val="007E2E4D"/>
    <w:rsid w:val="007E403E"/>
    <w:rsid w:val="007E45F5"/>
    <w:rsid w:val="007E4B86"/>
    <w:rsid w:val="007E6E0D"/>
    <w:rsid w:val="007F1FD4"/>
    <w:rsid w:val="007F246C"/>
    <w:rsid w:val="007F2A90"/>
    <w:rsid w:val="007F5265"/>
    <w:rsid w:val="007F60B7"/>
    <w:rsid w:val="007F7757"/>
    <w:rsid w:val="0080187D"/>
    <w:rsid w:val="00802495"/>
    <w:rsid w:val="0080293D"/>
    <w:rsid w:val="00803457"/>
    <w:rsid w:val="008042DB"/>
    <w:rsid w:val="00806D50"/>
    <w:rsid w:val="00807B4F"/>
    <w:rsid w:val="00811D22"/>
    <w:rsid w:val="00811FC2"/>
    <w:rsid w:val="008144DD"/>
    <w:rsid w:val="0081485B"/>
    <w:rsid w:val="00815A4C"/>
    <w:rsid w:val="00816010"/>
    <w:rsid w:val="008201BE"/>
    <w:rsid w:val="008202C9"/>
    <w:rsid w:val="008208CD"/>
    <w:rsid w:val="008219AA"/>
    <w:rsid w:val="008240E3"/>
    <w:rsid w:val="00824837"/>
    <w:rsid w:val="00827596"/>
    <w:rsid w:val="0082798D"/>
    <w:rsid w:val="00830F44"/>
    <w:rsid w:val="008310D5"/>
    <w:rsid w:val="008316D7"/>
    <w:rsid w:val="00831944"/>
    <w:rsid w:val="00831B47"/>
    <w:rsid w:val="008343F1"/>
    <w:rsid w:val="008366EC"/>
    <w:rsid w:val="00840AE4"/>
    <w:rsid w:val="008416DF"/>
    <w:rsid w:val="008443B3"/>
    <w:rsid w:val="00846433"/>
    <w:rsid w:val="0084668A"/>
    <w:rsid w:val="00850DF4"/>
    <w:rsid w:val="008510C7"/>
    <w:rsid w:val="0085150A"/>
    <w:rsid w:val="0085160F"/>
    <w:rsid w:val="0085327B"/>
    <w:rsid w:val="00853B1E"/>
    <w:rsid w:val="00854AAE"/>
    <w:rsid w:val="00856CDB"/>
    <w:rsid w:val="00860243"/>
    <w:rsid w:val="00862ACA"/>
    <w:rsid w:val="00863B5C"/>
    <w:rsid w:val="00863E35"/>
    <w:rsid w:val="0086480C"/>
    <w:rsid w:val="0086680C"/>
    <w:rsid w:val="00866A4F"/>
    <w:rsid w:val="00866F44"/>
    <w:rsid w:val="00870F86"/>
    <w:rsid w:val="00873EFF"/>
    <w:rsid w:val="008749E8"/>
    <w:rsid w:val="00876774"/>
    <w:rsid w:val="00876C6F"/>
    <w:rsid w:val="008803DA"/>
    <w:rsid w:val="00881794"/>
    <w:rsid w:val="00881CAD"/>
    <w:rsid w:val="00883A58"/>
    <w:rsid w:val="0089326A"/>
    <w:rsid w:val="0089358E"/>
    <w:rsid w:val="00893F67"/>
    <w:rsid w:val="00894AB6"/>
    <w:rsid w:val="00895E6F"/>
    <w:rsid w:val="008A0297"/>
    <w:rsid w:val="008A034D"/>
    <w:rsid w:val="008A1004"/>
    <w:rsid w:val="008A15C2"/>
    <w:rsid w:val="008A2F96"/>
    <w:rsid w:val="008A34CB"/>
    <w:rsid w:val="008A38F5"/>
    <w:rsid w:val="008A474D"/>
    <w:rsid w:val="008A6835"/>
    <w:rsid w:val="008B0300"/>
    <w:rsid w:val="008B170E"/>
    <w:rsid w:val="008B37A1"/>
    <w:rsid w:val="008B4625"/>
    <w:rsid w:val="008B467F"/>
    <w:rsid w:val="008B57B0"/>
    <w:rsid w:val="008C06CB"/>
    <w:rsid w:val="008C0C83"/>
    <w:rsid w:val="008C582D"/>
    <w:rsid w:val="008C6A5F"/>
    <w:rsid w:val="008C7F35"/>
    <w:rsid w:val="008D2A1E"/>
    <w:rsid w:val="008D2CA0"/>
    <w:rsid w:val="008D3B33"/>
    <w:rsid w:val="008D4703"/>
    <w:rsid w:val="008D659E"/>
    <w:rsid w:val="008D6656"/>
    <w:rsid w:val="008E2B3A"/>
    <w:rsid w:val="008E3EF5"/>
    <w:rsid w:val="008E4DC6"/>
    <w:rsid w:val="008E5DFF"/>
    <w:rsid w:val="008E6B14"/>
    <w:rsid w:val="008E6FC3"/>
    <w:rsid w:val="008F0A00"/>
    <w:rsid w:val="008F0EEB"/>
    <w:rsid w:val="008F1F04"/>
    <w:rsid w:val="008F2C24"/>
    <w:rsid w:val="008F48A5"/>
    <w:rsid w:val="008F4B28"/>
    <w:rsid w:val="008F5FAF"/>
    <w:rsid w:val="008F74C2"/>
    <w:rsid w:val="008F7CEE"/>
    <w:rsid w:val="00900E6F"/>
    <w:rsid w:val="00901C53"/>
    <w:rsid w:val="00902767"/>
    <w:rsid w:val="00902BB7"/>
    <w:rsid w:val="009048BF"/>
    <w:rsid w:val="00911E06"/>
    <w:rsid w:val="009124E7"/>
    <w:rsid w:val="00912F15"/>
    <w:rsid w:val="00916658"/>
    <w:rsid w:val="00916674"/>
    <w:rsid w:val="00916D23"/>
    <w:rsid w:val="0091768B"/>
    <w:rsid w:val="00922AA7"/>
    <w:rsid w:val="00922C6F"/>
    <w:rsid w:val="00922D6B"/>
    <w:rsid w:val="00923155"/>
    <w:rsid w:val="00925391"/>
    <w:rsid w:val="009254E0"/>
    <w:rsid w:val="00925CEA"/>
    <w:rsid w:val="00927A0F"/>
    <w:rsid w:val="00927A30"/>
    <w:rsid w:val="00927DC6"/>
    <w:rsid w:val="00931E9D"/>
    <w:rsid w:val="009328B3"/>
    <w:rsid w:val="00936A54"/>
    <w:rsid w:val="00937543"/>
    <w:rsid w:val="00937AC9"/>
    <w:rsid w:val="00940B0E"/>
    <w:rsid w:val="00940F81"/>
    <w:rsid w:val="00941552"/>
    <w:rsid w:val="00942B82"/>
    <w:rsid w:val="00943C5A"/>
    <w:rsid w:val="00944273"/>
    <w:rsid w:val="00944C1D"/>
    <w:rsid w:val="00945D12"/>
    <w:rsid w:val="0095227C"/>
    <w:rsid w:val="009523A7"/>
    <w:rsid w:val="009523F2"/>
    <w:rsid w:val="00953FB7"/>
    <w:rsid w:val="009551C5"/>
    <w:rsid w:val="00956636"/>
    <w:rsid w:val="00961FE9"/>
    <w:rsid w:val="009620C0"/>
    <w:rsid w:val="009628DB"/>
    <w:rsid w:val="00963312"/>
    <w:rsid w:val="0096386A"/>
    <w:rsid w:val="0096508A"/>
    <w:rsid w:val="00965ABF"/>
    <w:rsid w:val="00971A41"/>
    <w:rsid w:val="00975BE8"/>
    <w:rsid w:val="00976A58"/>
    <w:rsid w:val="00977AA1"/>
    <w:rsid w:val="00980058"/>
    <w:rsid w:val="00982445"/>
    <w:rsid w:val="00982777"/>
    <w:rsid w:val="009827CB"/>
    <w:rsid w:val="00982C40"/>
    <w:rsid w:val="0098375D"/>
    <w:rsid w:val="00986137"/>
    <w:rsid w:val="00986389"/>
    <w:rsid w:val="009872CD"/>
    <w:rsid w:val="00987A8B"/>
    <w:rsid w:val="00990A46"/>
    <w:rsid w:val="00990AB9"/>
    <w:rsid w:val="009912BB"/>
    <w:rsid w:val="009920E2"/>
    <w:rsid w:val="00994217"/>
    <w:rsid w:val="00994618"/>
    <w:rsid w:val="00996CD5"/>
    <w:rsid w:val="00997E71"/>
    <w:rsid w:val="009A09EC"/>
    <w:rsid w:val="009A0E02"/>
    <w:rsid w:val="009A151F"/>
    <w:rsid w:val="009A24BC"/>
    <w:rsid w:val="009A442C"/>
    <w:rsid w:val="009A5C07"/>
    <w:rsid w:val="009A632E"/>
    <w:rsid w:val="009A6AF8"/>
    <w:rsid w:val="009A7EF0"/>
    <w:rsid w:val="009B2A92"/>
    <w:rsid w:val="009B3C05"/>
    <w:rsid w:val="009B46F6"/>
    <w:rsid w:val="009B5CB4"/>
    <w:rsid w:val="009B5E96"/>
    <w:rsid w:val="009B76F3"/>
    <w:rsid w:val="009B7753"/>
    <w:rsid w:val="009C2087"/>
    <w:rsid w:val="009C24FF"/>
    <w:rsid w:val="009C2DE1"/>
    <w:rsid w:val="009C3712"/>
    <w:rsid w:val="009C3901"/>
    <w:rsid w:val="009C3BA8"/>
    <w:rsid w:val="009C3C64"/>
    <w:rsid w:val="009C4678"/>
    <w:rsid w:val="009C66BD"/>
    <w:rsid w:val="009D040F"/>
    <w:rsid w:val="009D043F"/>
    <w:rsid w:val="009D1603"/>
    <w:rsid w:val="009D2224"/>
    <w:rsid w:val="009D23AF"/>
    <w:rsid w:val="009D2F92"/>
    <w:rsid w:val="009D4058"/>
    <w:rsid w:val="009D4B0D"/>
    <w:rsid w:val="009D57EC"/>
    <w:rsid w:val="009D5839"/>
    <w:rsid w:val="009D5AD5"/>
    <w:rsid w:val="009D607F"/>
    <w:rsid w:val="009D6EDD"/>
    <w:rsid w:val="009D75E4"/>
    <w:rsid w:val="009D7CC1"/>
    <w:rsid w:val="009E0CD5"/>
    <w:rsid w:val="009E107C"/>
    <w:rsid w:val="009E1340"/>
    <w:rsid w:val="009E1EB9"/>
    <w:rsid w:val="009E25DF"/>
    <w:rsid w:val="009E33E8"/>
    <w:rsid w:val="009E3400"/>
    <w:rsid w:val="009E39DB"/>
    <w:rsid w:val="009E3F6A"/>
    <w:rsid w:val="009E40F8"/>
    <w:rsid w:val="009E5EDB"/>
    <w:rsid w:val="009F06DE"/>
    <w:rsid w:val="009F1184"/>
    <w:rsid w:val="009F1E00"/>
    <w:rsid w:val="009F3011"/>
    <w:rsid w:val="009F45ED"/>
    <w:rsid w:val="00A022E3"/>
    <w:rsid w:val="00A02D1A"/>
    <w:rsid w:val="00A03078"/>
    <w:rsid w:val="00A0627A"/>
    <w:rsid w:val="00A10781"/>
    <w:rsid w:val="00A10C30"/>
    <w:rsid w:val="00A12BD8"/>
    <w:rsid w:val="00A15F64"/>
    <w:rsid w:val="00A233E0"/>
    <w:rsid w:val="00A24F5B"/>
    <w:rsid w:val="00A26353"/>
    <w:rsid w:val="00A26E89"/>
    <w:rsid w:val="00A274B4"/>
    <w:rsid w:val="00A27E5C"/>
    <w:rsid w:val="00A306EB"/>
    <w:rsid w:val="00A31484"/>
    <w:rsid w:val="00A352DB"/>
    <w:rsid w:val="00A358CC"/>
    <w:rsid w:val="00A35BC3"/>
    <w:rsid w:val="00A35F5B"/>
    <w:rsid w:val="00A361CE"/>
    <w:rsid w:val="00A45770"/>
    <w:rsid w:val="00A45865"/>
    <w:rsid w:val="00A5226D"/>
    <w:rsid w:val="00A53BD4"/>
    <w:rsid w:val="00A53C9A"/>
    <w:rsid w:val="00A55764"/>
    <w:rsid w:val="00A56C84"/>
    <w:rsid w:val="00A60384"/>
    <w:rsid w:val="00A6282F"/>
    <w:rsid w:val="00A62AFA"/>
    <w:rsid w:val="00A64B54"/>
    <w:rsid w:val="00A67FC6"/>
    <w:rsid w:val="00A68791"/>
    <w:rsid w:val="00A71397"/>
    <w:rsid w:val="00A71F84"/>
    <w:rsid w:val="00A72623"/>
    <w:rsid w:val="00A768D2"/>
    <w:rsid w:val="00A76DE3"/>
    <w:rsid w:val="00A80A27"/>
    <w:rsid w:val="00A816BC"/>
    <w:rsid w:val="00A82647"/>
    <w:rsid w:val="00A8542E"/>
    <w:rsid w:val="00A8593A"/>
    <w:rsid w:val="00A9188B"/>
    <w:rsid w:val="00A91EFC"/>
    <w:rsid w:val="00A955EC"/>
    <w:rsid w:val="00A9734E"/>
    <w:rsid w:val="00A975AC"/>
    <w:rsid w:val="00A97EE9"/>
    <w:rsid w:val="00AA26C8"/>
    <w:rsid w:val="00AA2AE3"/>
    <w:rsid w:val="00AA3857"/>
    <w:rsid w:val="00AA4A5E"/>
    <w:rsid w:val="00AA4F24"/>
    <w:rsid w:val="00AA5BD7"/>
    <w:rsid w:val="00AA67A0"/>
    <w:rsid w:val="00AA74E9"/>
    <w:rsid w:val="00AB58D2"/>
    <w:rsid w:val="00AC105E"/>
    <w:rsid w:val="00AC1131"/>
    <w:rsid w:val="00AC1AC4"/>
    <w:rsid w:val="00AC5472"/>
    <w:rsid w:val="00AD15AC"/>
    <w:rsid w:val="00AD1B66"/>
    <w:rsid w:val="00AD1CFF"/>
    <w:rsid w:val="00AD2447"/>
    <w:rsid w:val="00AD3F78"/>
    <w:rsid w:val="00AD46F7"/>
    <w:rsid w:val="00AE026A"/>
    <w:rsid w:val="00AE1346"/>
    <w:rsid w:val="00AE2594"/>
    <w:rsid w:val="00AE274D"/>
    <w:rsid w:val="00AE3624"/>
    <w:rsid w:val="00AE3760"/>
    <w:rsid w:val="00AE3F7E"/>
    <w:rsid w:val="00AE63B1"/>
    <w:rsid w:val="00AE7BE7"/>
    <w:rsid w:val="00AE7F54"/>
    <w:rsid w:val="00AE7FC5"/>
    <w:rsid w:val="00AF2486"/>
    <w:rsid w:val="00AF3D20"/>
    <w:rsid w:val="00AF4218"/>
    <w:rsid w:val="00AF6F5C"/>
    <w:rsid w:val="00B027C5"/>
    <w:rsid w:val="00B02874"/>
    <w:rsid w:val="00B04655"/>
    <w:rsid w:val="00B06750"/>
    <w:rsid w:val="00B07337"/>
    <w:rsid w:val="00B11B2A"/>
    <w:rsid w:val="00B13545"/>
    <w:rsid w:val="00B13DEC"/>
    <w:rsid w:val="00B15AEE"/>
    <w:rsid w:val="00B15B9E"/>
    <w:rsid w:val="00B21786"/>
    <w:rsid w:val="00B222EC"/>
    <w:rsid w:val="00B22810"/>
    <w:rsid w:val="00B22F84"/>
    <w:rsid w:val="00B2326A"/>
    <w:rsid w:val="00B23DD0"/>
    <w:rsid w:val="00B23E0D"/>
    <w:rsid w:val="00B24852"/>
    <w:rsid w:val="00B26757"/>
    <w:rsid w:val="00B31C31"/>
    <w:rsid w:val="00B37C28"/>
    <w:rsid w:val="00B400AE"/>
    <w:rsid w:val="00B434D7"/>
    <w:rsid w:val="00B45BEF"/>
    <w:rsid w:val="00B47058"/>
    <w:rsid w:val="00B5068E"/>
    <w:rsid w:val="00B51024"/>
    <w:rsid w:val="00B524A9"/>
    <w:rsid w:val="00B603E4"/>
    <w:rsid w:val="00B62988"/>
    <w:rsid w:val="00B63B97"/>
    <w:rsid w:val="00B65237"/>
    <w:rsid w:val="00B666CD"/>
    <w:rsid w:val="00B67894"/>
    <w:rsid w:val="00B72371"/>
    <w:rsid w:val="00B737EF"/>
    <w:rsid w:val="00B74D25"/>
    <w:rsid w:val="00B7519D"/>
    <w:rsid w:val="00B77C81"/>
    <w:rsid w:val="00B80F76"/>
    <w:rsid w:val="00B818B8"/>
    <w:rsid w:val="00B81A2E"/>
    <w:rsid w:val="00B83587"/>
    <w:rsid w:val="00B8407F"/>
    <w:rsid w:val="00B8491D"/>
    <w:rsid w:val="00B85B34"/>
    <w:rsid w:val="00B8742C"/>
    <w:rsid w:val="00B90437"/>
    <w:rsid w:val="00B92284"/>
    <w:rsid w:val="00B9379D"/>
    <w:rsid w:val="00B93F50"/>
    <w:rsid w:val="00B9424F"/>
    <w:rsid w:val="00B9504D"/>
    <w:rsid w:val="00B957FA"/>
    <w:rsid w:val="00B95BD0"/>
    <w:rsid w:val="00B9602F"/>
    <w:rsid w:val="00BA1A18"/>
    <w:rsid w:val="00BA45E6"/>
    <w:rsid w:val="00BA5E6F"/>
    <w:rsid w:val="00BB0D04"/>
    <w:rsid w:val="00BB29FA"/>
    <w:rsid w:val="00BB2B15"/>
    <w:rsid w:val="00BB3410"/>
    <w:rsid w:val="00BB432F"/>
    <w:rsid w:val="00BB49A7"/>
    <w:rsid w:val="00BB49C0"/>
    <w:rsid w:val="00BB6F4C"/>
    <w:rsid w:val="00BB6FB5"/>
    <w:rsid w:val="00BB753F"/>
    <w:rsid w:val="00BB7DA0"/>
    <w:rsid w:val="00BB7FF2"/>
    <w:rsid w:val="00BC0B1A"/>
    <w:rsid w:val="00BC1522"/>
    <w:rsid w:val="00BC1BF0"/>
    <w:rsid w:val="00BC3541"/>
    <w:rsid w:val="00BC3DD2"/>
    <w:rsid w:val="00BC6B8A"/>
    <w:rsid w:val="00BD12E4"/>
    <w:rsid w:val="00BD6B16"/>
    <w:rsid w:val="00BE12E1"/>
    <w:rsid w:val="00BE1B26"/>
    <w:rsid w:val="00BE1F44"/>
    <w:rsid w:val="00BE3D6F"/>
    <w:rsid w:val="00BE4548"/>
    <w:rsid w:val="00BE53BF"/>
    <w:rsid w:val="00BE63D7"/>
    <w:rsid w:val="00BF0CAD"/>
    <w:rsid w:val="00BF2700"/>
    <w:rsid w:val="00BF2A34"/>
    <w:rsid w:val="00BF2DF6"/>
    <w:rsid w:val="00BF5699"/>
    <w:rsid w:val="00BF6721"/>
    <w:rsid w:val="00C02D9A"/>
    <w:rsid w:val="00C033E9"/>
    <w:rsid w:val="00C0389F"/>
    <w:rsid w:val="00C04326"/>
    <w:rsid w:val="00C046AD"/>
    <w:rsid w:val="00C054E3"/>
    <w:rsid w:val="00C066B7"/>
    <w:rsid w:val="00C07AAE"/>
    <w:rsid w:val="00C07D74"/>
    <w:rsid w:val="00C11ED5"/>
    <w:rsid w:val="00C13B84"/>
    <w:rsid w:val="00C14B7B"/>
    <w:rsid w:val="00C14D9D"/>
    <w:rsid w:val="00C1628D"/>
    <w:rsid w:val="00C20372"/>
    <w:rsid w:val="00C2356F"/>
    <w:rsid w:val="00C24C6C"/>
    <w:rsid w:val="00C25A7A"/>
    <w:rsid w:val="00C27150"/>
    <w:rsid w:val="00C30469"/>
    <w:rsid w:val="00C3183C"/>
    <w:rsid w:val="00C32359"/>
    <w:rsid w:val="00C32D5B"/>
    <w:rsid w:val="00C33E98"/>
    <w:rsid w:val="00C347F1"/>
    <w:rsid w:val="00C34842"/>
    <w:rsid w:val="00C36AEE"/>
    <w:rsid w:val="00C36E61"/>
    <w:rsid w:val="00C375CA"/>
    <w:rsid w:val="00C4298A"/>
    <w:rsid w:val="00C42F7B"/>
    <w:rsid w:val="00C441E0"/>
    <w:rsid w:val="00C44A9E"/>
    <w:rsid w:val="00C457F1"/>
    <w:rsid w:val="00C45979"/>
    <w:rsid w:val="00C51D4B"/>
    <w:rsid w:val="00C538F7"/>
    <w:rsid w:val="00C541C4"/>
    <w:rsid w:val="00C54E17"/>
    <w:rsid w:val="00C54FDB"/>
    <w:rsid w:val="00C573BC"/>
    <w:rsid w:val="00C5766B"/>
    <w:rsid w:val="00C60DDA"/>
    <w:rsid w:val="00C6228D"/>
    <w:rsid w:val="00C63846"/>
    <w:rsid w:val="00C66DC2"/>
    <w:rsid w:val="00C67D9C"/>
    <w:rsid w:val="00C706D7"/>
    <w:rsid w:val="00C72590"/>
    <w:rsid w:val="00C72CCD"/>
    <w:rsid w:val="00C733F7"/>
    <w:rsid w:val="00C754FD"/>
    <w:rsid w:val="00C76FDB"/>
    <w:rsid w:val="00C80081"/>
    <w:rsid w:val="00C80E50"/>
    <w:rsid w:val="00C81982"/>
    <w:rsid w:val="00C81E8A"/>
    <w:rsid w:val="00C83ECD"/>
    <w:rsid w:val="00C8408B"/>
    <w:rsid w:val="00C86ABE"/>
    <w:rsid w:val="00C8720B"/>
    <w:rsid w:val="00C87C08"/>
    <w:rsid w:val="00C87E71"/>
    <w:rsid w:val="00C91270"/>
    <w:rsid w:val="00C9141A"/>
    <w:rsid w:val="00C916DE"/>
    <w:rsid w:val="00C93634"/>
    <w:rsid w:val="00C943C6"/>
    <w:rsid w:val="00C94D70"/>
    <w:rsid w:val="00C9517E"/>
    <w:rsid w:val="00C96032"/>
    <w:rsid w:val="00C96BDE"/>
    <w:rsid w:val="00CA27B9"/>
    <w:rsid w:val="00CA32FE"/>
    <w:rsid w:val="00CA4137"/>
    <w:rsid w:val="00CA5AE4"/>
    <w:rsid w:val="00CA6D14"/>
    <w:rsid w:val="00CA7D74"/>
    <w:rsid w:val="00CB02A1"/>
    <w:rsid w:val="00CB038B"/>
    <w:rsid w:val="00CB1797"/>
    <w:rsid w:val="00CB4B04"/>
    <w:rsid w:val="00CB6AD7"/>
    <w:rsid w:val="00CC03C4"/>
    <w:rsid w:val="00CC2643"/>
    <w:rsid w:val="00CC338D"/>
    <w:rsid w:val="00CC3C26"/>
    <w:rsid w:val="00CC43C3"/>
    <w:rsid w:val="00CC43C5"/>
    <w:rsid w:val="00CC43CD"/>
    <w:rsid w:val="00CC4618"/>
    <w:rsid w:val="00CD1614"/>
    <w:rsid w:val="00CD1836"/>
    <w:rsid w:val="00CD275E"/>
    <w:rsid w:val="00CD2EF7"/>
    <w:rsid w:val="00CD38AB"/>
    <w:rsid w:val="00CD4100"/>
    <w:rsid w:val="00CD4338"/>
    <w:rsid w:val="00CD4809"/>
    <w:rsid w:val="00CD5A92"/>
    <w:rsid w:val="00CE0942"/>
    <w:rsid w:val="00CE1EF9"/>
    <w:rsid w:val="00CE2CB1"/>
    <w:rsid w:val="00CE3ACF"/>
    <w:rsid w:val="00CE4292"/>
    <w:rsid w:val="00CE4DEB"/>
    <w:rsid w:val="00CE4F47"/>
    <w:rsid w:val="00CE5752"/>
    <w:rsid w:val="00CE6F2D"/>
    <w:rsid w:val="00CF23B4"/>
    <w:rsid w:val="00CF242E"/>
    <w:rsid w:val="00CF413A"/>
    <w:rsid w:val="00CF4631"/>
    <w:rsid w:val="00CF5A3C"/>
    <w:rsid w:val="00CF5EFF"/>
    <w:rsid w:val="00D00106"/>
    <w:rsid w:val="00D00D33"/>
    <w:rsid w:val="00D01A8F"/>
    <w:rsid w:val="00D04072"/>
    <w:rsid w:val="00D043F3"/>
    <w:rsid w:val="00D10B82"/>
    <w:rsid w:val="00D12D20"/>
    <w:rsid w:val="00D14A68"/>
    <w:rsid w:val="00D163B0"/>
    <w:rsid w:val="00D17BB9"/>
    <w:rsid w:val="00D210DB"/>
    <w:rsid w:val="00D225E2"/>
    <w:rsid w:val="00D234AD"/>
    <w:rsid w:val="00D24AC0"/>
    <w:rsid w:val="00D26124"/>
    <w:rsid w:val="00D31DCE"/>
    <w:rsid w:val="00D33817"/>
    <w:rsid w:val="00D36464"/>
    <w:rsid w:val="00D37D03"/>
    <w:rsid w:val="00D37D3F"/>
    <w:rsid w:val="00D414EB"/>
    <w:rsid w:val="00D4260C"/>
    <w:rsid w:val="00D43278"/>
    <w:rsid w:val="00D432B7"/>
    <w:rsid w:val="00D437E5"/>
    <w:rsid w:val="00D4483E"/>
    <w:rsid w:val="00D4591C"/>
    <w:rsid w:val="00D45C8A"/>
    <w:rsid w:val="00D47C16"/>
    <w:rsid w:val="00D47C2B"/>
    <w:rsid w:val="00D47CB3"/>
    <w:rsid w:val="00D50C3C"/>
    <w:rsid w:val="00D51356"/>
    <w:rsid w:val="00D517F0"/>
    <w:rsid w:val="00D5260D"/>
    <w:rsid w:val="00D54334"/>
    <w:rsid w:val="00D544EC"/>
    <w:rsid w:val="00D55926"/>
    <w:rsid w:val="00D55EB1"/>
    <w:rsid w:val="00D57716"/>
    <w:rsid w:val="00D61EDC"/>
    <w:rsid w:val="00D64254"/>
    <w:rsid w:val="00D73509"/>
    <w:rsid w:val="00D73DBE"/>
    <w:rsid w:val="00D73E09"/>
    <w:rsid w:val="00D74290"/>
    <w:rsid w:val="00D76DB3"/>
    <w:rsid w:val="00D77C8D"/>
    <w:rsid w:val="00D87764"/>
    <w:rsid w:val="00D87E41"/>
    <w:rsid w:val="00D90653"/>
    <w:rsid w:val="00D92ED6"/>
    <w:rsid w:val="00D9599C"/>
    <w:rsid w:val="00DA4019"/>
    <w:rsid w:val="00DA4E0C"/>
    <w:rsid w:val="00DA53F8"/>
    <w:rsid w:val="00DA7843"/>
    <w:rsid w:val="00DA7E80"/>
    <w:rsid w:val="00DB0E66"/>
    <w:rsid w:val="00DB13CB"/>
    <w:rsid w:val="00DB523F"/>
    <w:rsid w:val="00DB52E0"/>
    <w:rsid w:val="00DB5E95"/>
    <w:rsid w:val="00DB6062"/>
    <w:rsid w:val="00DB7775"/>
    <w:rsid w:val="00DB799B"/>
    <w:rsid w:val="00DC1889"/>
    <w:rsid w:val="00DC1EEC"/>
    <w:rsid w:val="00DC2D99"/>
    <w:rsid w:val="00DC57CD"/>
    <w:rsid w:val="00DC6593"/>
    <w:rsid w:val="00DD2682"/>
    <w:rsid w:val="00DD35B0"/>
    <w:rsid w:val="00DD4E7A"/>
    <w:rsid w:val="00DD6533"/>
    <w:rsid w:val="00DD718B"/>
    <w:rsid w:val="00DE15D8"/>
    <w:rsid w:val="00DE26D9"/>
    <w:rsid w:val="00DE3DF8"/>
    <w:rsid w:val="00DE4E0C"/>
    <w:rsid w:val="00DE50FF"/>
    <w:rsid w:val="00DE5833"/>
    <w:rsid w:val="00DE60DC"/>
    <w:rsid w:val="00DE68CB"/>
    <w:rsid w:val="00DF0955"/>
    <w:rsid w:val="00DF3AA1"/>
    <w:rsid w:val="00DF4973"/>
    <w:rsid w:val="00DF6030"/>
    <w:rsid w:val="00DF7E5D"/>
    <w:rsid w:val="00E00589"/>
    <w:rsid w:val="00E0220E"/>
    <w:rsid w:val="00E034D9"/>
    <w:rsid w:val="00E03FC8"/>
    <w:rsid w:val="00E04947"/>
    <w:rsid w:val="00E076DF"/>
    <w:rsid w:val="00E10927"/>
    <w:rsid w:val="00E128B1"/>
    <w:rsid w:val="00E14467"/>
    <w:rsid w:val="00E14BF3"/>
    <w:rsid w:val="00E16410"/>
    <w:rsid w:val="00E205A3"/>
    <w:rsid w:val="00E2389F"/>
    <w:rsid w:val="00E23D7D"/>
    <w:rsid w:val="00E25157"/>
    <w:rsid w:val="00E27F78"/>
    <w:rsid w:val="00E30F8E"/>
    <w:rsid w:val="00E3122D"/>
    <w:rsid w:val="00E33FC1"/>
    <w:rsid w:val="00E3518D"/>
    <w:rsid w:val="00E35BF8"/>
    <w:rsid w:val="00E37A2B"/>
    <w:rsid w:val="00E40D81"/>
    <w:rsid w:val="00E42EA6"/>
    <w:rsid w:val="00E439D8"/>
    <w:rsid w:val="00E463E4"/>
    <w:rsid w:val="00E47562"/>
    <w:rsid w:val="00E50CD6"/>
    <w:rsid w:val="00E5311D"/>
    <w:rsid w:val="00E54B97"/>
    <w:rsid w:val="00E55F68"/>
    <w:rsid w:val="00E604E8"/>
    <w:rsid w:val="00E63258"/>
    <w:rsid w:val="00E63B7C"/>
    <w:rsid w:val="00E64357"/>
    <w:rsid w:val="00E64935"/>
    <w:rsid w:val="00E64F9E"/>
    <w:rsid w:val="00E663AF"/>
    <w:rsid w:val="00E6714A"/>
    <w:rsid w:val="00E671A5"/>
    <w:rsid w:val="00E67AA0"/>
    <w:rsid w:val="00E70167"/>
    <w:rsid w:val="00E705EC"/>
    <w:rsid w:val="00E71E8B"/>
    <w:rsid w:val="00E72DB0"/>
    <w:rsid w:val="00E73765"/>
    <w:rsid w:val="00E73E81"/>
    <w:rsid w:val="00E74511"/>
    <w:rsid w:val="00E75438"/>
    <w:rsid w:val="00E75DBD"/>
    <w:rsid w:val="00E777B0"/>
    <w:rsid w:val="00E77E40"/>
    <w:rsid w:val="00E815E1"/>
    <w:rsid w:val="00E833F8"/>
    <w:rsid w:val="00E83D5C"/>
    <w:rsid w:val="00E85622"/>
    <w:rsid w:val="00E87F99"/>
    <w:rsid w:val="00E87FCD"/>
    <w:rsid w:val="00E91C6A"/>
    <w:rsid w:val="00E94E34"/>
    <w:rsid w:val="00E957A4"/>
    <w:rsid w:val="00E95FE6"/>
    <w:rsid w:val="00E97093"/>
    <w:rsid w:val="00EA0CF2"/>
    <w:rsid w:val="00EA0D20"/>
    <w:rsid w:val="00EA1DDF"/>
    <w:rsid w:val="00EA3AE4"/>
    <w:rsid w:val="00EA4A33"/>
    <w:rsid w:val="00EA4C43"/>
    <w:rsid w:val="00EA58E6"/>
    <w:rsid w:val="00EA5D83"/>
    <w:rsid w:val="00EA6184"/>
    <w:rsid w:val="00EA6BDC"/>
    <w:rsid w:val="00EB0C83"/>
    <w:rsid w:val="00EB1912"/>
    <w:rsid w:val="00EB1C08"/>
    <w:rsid w:val="00EB2A3A"/>
    <w:rsid w:val="00EB34A6"/>
    <w:rsid w:val="00EB4C2F"/>
    <w:rsid w:val="00EC04E3"/>
    <w:rsid w:val="00EC0D68"/>
    <w:rsid w:val="00EC1141"/>
    <w:rsid w:val="00EC11F9"/>
    <w:rsid w:val="00EC122D"/>
    <w:rsid w:val="00EC1979"/>
    <w:rsid w:val="00EC230D"/>
    <w:rsid w:val="00EC6B27"/>
    <w:rsid w:val="00EC700B"/>
    <w:rsid w:val="00EC7AEE"/>
    <w:rsid w:val="00ED0082"/>
    <w:rsid w:val="00ED1842"/>
    <w:rsid w:val="00ED1C59"/>
    <w:rsid w:val="00ED2C2E"/>
    <w:rsid w:val="00ED31BD"/>
    <w:rsid w:val="00ED3C90"/>
    <w:rsid w:val="00ED4385"/>
    <w:rsid w:val="00ED44A3"/>
    <w:rsid w:val="00ED57A4"/>
    <w:rsid w:val="00ED6496"/>
    <w:rsid w:val="00EE038B"/>
    <w:rsid w:val="00EE2072"/>
    <w:rsid w:val="00EE2403"/>
    <w:rsid w:val="00EE2B2F"/>
    <w:rsid w:val="00EE5AC9"/>
    <w:rsid w:val="00EE68B7"/>
    <w:rsid w:val="00EE7609"/>
    <w:rsid w:val="00EE782C"/>
    <w:rsid w:val="00EF2E9D"/>
    <w:rsid w:val="00EF3B34"/>
    <w:rsid w:val="00EF71E8"/>
    <w:rsid w:val="00EF7A31"/>
    <w:rsid w:val="00EF7B2E"/>
    <w:rsid w:val="00F0015C"/>
    <w:rsid w:val="00F02003"/>
    <w:rsid w:val="00F0705E"/>
    <w:rsid w:val="00F071BE"/>
    <w:rsid w:val="00F10CF0"/>
    <w:rsid w:val="00F13918"/>
    <w:rsid w:val="00F13ECD"/>
    <w:rsid w:val="00F15CFE"/>
    <w:rsid w:val="00F171C6"/>
    <w:rsid w:val="00F1773A"/>
    <w:rsid w:val="00F17E88"/>
    <w:rsid w:val="00F17F8C"/>
    <w:rsid w:val="00F229AC"/>
    <w:rsid w:val="00F252CD"/>
    <w:rsid w:val="00F2554C"/>
    <w:rsid w:val="00F27BD2"/>
    <w:rsid w:val="00F3030A"/>
    <w:rsid w:val="00F31DEE"/>
    <w:rsid w:val="00F32BF6"/>
    <w:rsid w:val="00F33388"/>
    <w:rsid w:val="00F33E4D"/>
    <w:rsid w:val="00F34178"/>
    <w:rsid w:val="00F34BCA"/>
    <w:rsid w:val="00F36723"/>
    <w:rsid w:val="00F37D13"/>
    <w:rsid w:val="00F405E9"/>
    <w:rsid w:val="00F43533"/>
    <w:rsid w:val="00F440BC"/>
    <w:rsid w:val="00F44E33"/>
    <w:rsid w:val="00F462DB"/>
    <w:rsid w:val="00F47EAC"/>
    <w:rsid w:val="00F5019F"/>
    <w:rsid w:val="00F50C29"/>
    <w:rsid w:val="00F51F05"/>
    <w:rsid w:val="00F52E10"/>
    <w:rsid w:val="00F532D6"/>
    <w:rsid w:val="00F56114"/>
    <w:rsid w:val="00F573CC"/>
    <w:rsid w:val="00F57EAD"/>
    <w:rsid w:val="00F601B4"/>
    <w:rsid w:val="00F62C65"/>
    <w:rsid w:val="00F63290"/>
    <w:rsid w:val="00F652A6"/>
    <w:rsid w:val="00F66728"/>
    <w:rsid w:val="00F67649"/>
    <w:rsid w:val="00F67C9A"/>
    <w:rsid w:val="00F7072E"/>
    <w:rsid w:val="00F71C27"/>
    <w:rsid w:val="00F7283C"/>
    <w:rsid w:val="00F741CB"/>
    <w:rsid w:val="00F74FF8"/>
    <w:rsid w:val="00F7776D"/>
    <w:rsid w:val="00F823FF"/>
    <w:rsid w:val="00F84AF9"/>
    <w:rsid w:val="00F85BB1"/>
    <w:rsid w:val="00F8697C"/>
    <w:rsid w:val="00F904F9"/>
    <w:rsid w:val="00F90ACE"/>
    <w:rsid w:val="00F9157A"/>
    <w:rsid w:val="00F916E8"/>
    <w:rsid w:val="00F91707"/>
    <w:rsid w:val="00F919C9"/>
    <w:rsid w:val="00F91EF0"/>
    <w:rsid w:val="00F92596"/>
    <w:rsid w:val="00F95973"/>
    <w:rsid w:val="00FA0F0D"/>
    <w:rsid w:val="00FA1B3A"/>
    <w:rsid w:val="00FA243A"/>
    <w:rsid w:val="00FA4C93"/>
    <w:rsid w:val="00FA5FC1"/>
    <w:rsid w:val="00FA7931"/>
    <w:rsid w:val="00FB012C"/>
    <w:rsid w:val="00FB2200"/>
    <w:rsid w:val="00FB37E2"/>
    <w:rsid w:val="00FB38ED"/>
    <w:rsid w:val="00FB6E02"/>
    <w:rsid w:val="00FB72D9"/>
    <w:rsid w:val="00FB7E9F"/>
    <w:rsid w:val="00FC02BD"/>
    <w:rsid w:val="00FC0F42"/>
    <w:rsid w:val="00FC2365"/>
    <w:rsid w:val="00FC4CC6"/>
    <w:rsid w:val="00FC4FBB"/>
    <w:rsid w:val="00FC53C7"/>
    <w:rsid w:val="00FC601F"/>
    <w:rsid w:val="00FC6545"/>
    <w:rsid w:val="00FC7E37"/>
    <w:rsid w:val="00FD0324"/>
    <w:rsid w:val="00FD071A"/>
    <w:rsid w:val="00FD3EF8"/>
    <w:rsid w:val="00FD54EB"/>
    <w:rsid w:val="00FD7196"/>
    <w:rsid w:val="00FE0BEA"/>
    <w:rsid w:val="00FE0D6A"/>
    <w:rsid w:val="00FE2C1F"/>
    <w:rsid w:val="00FE4665"/>
    <w:rsid w:val="00FE539F"/>
    <w:rsid w:val="00FF04B1"/>
    <w:rsid w:val="00FF0CC3"/>
    <w:rsid w:val="00FF0DE8"/>
    <w:rsid w:val="00FF11A9"/>
    <w:rsid w:val="00FF165F"/>
    <w:rsid w:val="00FF16DB"/>
    <w:rsid w:val="00FF3DDF"/>
    <w:rsid w:val="00FF5265"/>
    <w:rsid w:val="00FF55F1"/>
    <w:rsid w:val="01AFBD83"/>
    <w:rsid w:val="01DBE774"/>
    <w:rsid w:val="01EE46BA"/>
    <w:rsid w:val="01EF6AF3"/>
    <w:rsid w:val="02369EEC"/>
    <w:rsid w:val="0248A40C"/>
    <w:rsid w:val="025EBAC4"/>
    <w:rsid w:val="02AC709B"/>
    <w:rsid w:val="02D22C48"/>
    <w:rsid w:val="02FFC142"/>
    <w:rsid w:val="03324726"/>
    <w:rsid w:val="0340C7B5"/>
    <w:rsid w:val="03563071"/>
    <w:rsid w:val="0358D710"/>
    <w:rsid w:val="0359EF17"/>
    <w:rsid w:val="0365DAEE"/>
    <w:rsid w:val="0372BE5B"/>
    <w:rsid w:val="0389EECB"/>
    <w:rsid w:val="038B508C"/>
    <w:rsid w:val="03E4746D"/>
    <w:rsid w:val="043A4EAC"/>
    <w:rsid w:val="0478847D"/>
    <w:rsid w:val="05031D9C"/>
    <w:rsid w:val="056DDD49"/>
    <w:rsid w:val="0589CF88"/>
    <w:rsid w:val="06070A83"/>
    <w:rsid w:val="0613B2CE"/>
    <w:rsid w:val="065BDB83"/>
    <w:rsid w:val="065EDDB5"/>
    <w:rsid w:val="067503E0"/>
    <w:rsid w:val="0688745E"/>
    <w:rsid w:val="06D233E7"/>
    <w:rsid w:val="0768A609"/>
    <w:rsid w:val="07DA50B0"/>
    <w:rsid w:val="08462F7E"/>
    <w:rsid w:val="084F7F16"/>
    <w:rsid w:val="0856A253"/>
    <w:rsid w:val="08742A6B"/>
    <w:rsid w:val="09A58165"/>
    <w:rsid w:val="09DA399C"/>
    <w:rsid w:val="0A60FF51"/>
    <w:rsid w:val="0A61D18E"/>
    <w:rsid w:val="0A7BADC9"/>
    <w:rsid w:val="0A87B1B4"/>
    <w:rsid w:val="0A9A8022"/>
    <w:rsid w:val="0AA3A86F"/>
    <w:rsid w:val="0AFB87B1"/>
    <w:rsid w:val="0C14FBF0"/>
    <w:rsid w:val="0C550549"/>
    <w:rsid w:val="0C9D8B4A"/>
    <w:rsid w:val="0CAA651B"/>
    <w:rsid w:val="0D05FC5C"/>
    <w:rsid w:val="0D36C0D2"/>
    <w:rsid w:val="0D9C6C8E"/>
    <w:rsid w:val="0E24BC54"/>
    <w:rsid w:val="0E27C4FB"/>
    <w:rsid w:val="0E379206"/>
    <w:rsid w:val="0E421184"/>
    <w:rsid w:val="0E7B3485"/>
    <w:rsid w:val="0F24E44C"/>
    <w:rsid w:val="0F26F43C"/>
    <w:rsid w:val="0F43C128"/>
    <w:rsid w:val="0FE6717B"/>
    <w:rsid w:val="104196CA"/>
    <w:rsid w:val="104361D7"/>
    <w:rsid w:val="105625C4"/>
    <w:rsid w:val="106176CF"/>
    <w:rsid w:val="10BBB88C"/>
    <w:rsid w:val="10CC20C5"/>
    <w:rsid w:val="112D3373"/>
    <w:rsid w:val="11410993"/>
    <w:rsid w:val="11AB4B38"/>
    <w:rsid w:val="129B6C98"/>
    <w:rsid w:val="12BD9676"/>
    <w:rsid w:val="131FD8A5"/>
    <w:rsid w:val="13CB0A04"/>
    <w:rsid w:val="13F72327"/>
    <w:rsid w:val="14C791E6"/>
    <w:rsid w:val="1543CD3F"/>
    <w:rsid w:val="15BD4994"/>
    <w:rsid w:val="1655B9ED"/>
    <w:rsid w:val="166451EE"/>
    <w:rsid w:val="16971CCD"/>
    <w:rsid w:val="16B4A4E5"/>
    <w:rsid w:val="16D612E6"/>
    <w:rsid w:val="173E4C25"/>
    <w:rsid w:val="177504D9"/>
    <w:rsid w:val="17897176"/>
    <w:rsid w:val="17D03F3F"/>
    <w:rsid w:val="17E67368"/>
    <w:rsid w:val="181E39F3"/>
    <w:rsid w:val="184778CF"/>
    <w:rsid w:val="1855D6E5"/>
    <w:rsid w:val="187D4DCF"/>
    <w:rsid w:val="18874C03"/>
    <w:rsid w:val="188778EA"/>
    <w:rsid w:val="18A01C93"/>
    <w:rsid w:val="18AE5026"/>
    <w:rsid w:val="18DC5CAE"/>
    <w:rsid w:val="193C70FB"/>
    <w:rsid w:val="197C0B15"/>
    <w:rsid w:val="198CBA07"/>
    <w:rsid w:val="19D0DF69"/>
    <w:rsid w:val="1A4C914E"/>
    <w:rsid w:val="1A889B5B"/>
    <w:rsid w:val="1A9C409B"/>
    <w:rsid w:val="1AC73956"/>
    <w:rsid w:val="1ACFC339"/>
    <w:rsid w:val="1BB23D1F"/>
    <w:rsid w:val="1C3ACA4E"/>
    <w:rsid w:val="1C8F0082"/>
    <w:rsid w:val="1D24AEC1"/>
    <w:rsid w:val="1D88378A"/>
    <w:rsid w:val="1D92A723"/>
    <w:rsid w:val="1DC75DB1"/>
    <w:rsid w:val="1DE31029"/>
    <w:rsid w:val="1E453E56"/>
    <w:rsid w:val="1ED51596"/>
    <w:rsid w:val="1F1C394A"/>
    <w:rsid w:val="1F5487D7"/>
    <w:rsid w:val="1F7C4270"/>
    <w:rsid w:val="1FA29A87"/>
    <w:rsid w:val="1FA62F62"/>
    <w:rsid w:val="203D5B12"/>
    <w:rsid w:val="20968CC8"/>
    <w:rsid w:val="20DF4F37"/>
    <w:rsid w:val="20FB9EC2"/>
    <w:rsid w:val="211AF725"/>
    <w:rsid w:val="213A3980"/>
    <w:rsid w:val="218D4418"/>
    <w:rsid w:val="21AE98AB"/>
    <w:rsid w:val="221F5CE0"/>
    <w:rsid w:val="222512CE"/>
    <w:rsid w:val="22325D29"/>
    <w:rsid w:val="22773A0F"/>
    <w:rsid w:val="22826A13"/>
    <w:rsid w:val="23B29CB5"/>
    <w:rsid w:val="240E6710"/>
    <w:rsid w:val="2465FC40"/>
    <w:rsid w:val="24CA7F1E"/>
    <w:rsid w:val="25373DF2"/>
    <w:rsid w:val="25887D1F"/>
    <w:rsid w:val="25A37DC1"/>
    <w:rsid w:val="25CAEC98"/>
    <w:rsid w:val="263A7A08"/>
    <w:rsid w:val="266CA112"/>
    <w:rsid w:val="27274B2F"/>
    <w:rsid w:val="275FA0AA"/>
    <w:rsid w:val="279052A7"/>
    <w:rsid w:val="2792BB1F"/>
    <w:rsid w:val="27BDE7A1"/>
    <w:rsid w:val="27BE8256"/>
    <w:rsid w:val="27E825D9"/>
    <w:rsid w:val="286300B2"/>
    <w:rsid w:val="287DB562"/>
    <w:rsid w:val="28A8953E"/>
    <w:rsid w:val="2912FBA6"/>
    <w:rsid w:val="2990A606"/>
    <w:rsid w:val="2A00A404"/>
    <w:rsid w:val="2A8EDDB9"/>
    <w:rsid w:val="2AA44433"/>
    <w:rsid w:val="2AB2567D"/>
    <w:rsid w:val="2B4B5582"/>
    <w:rsid w:val="2BE32438"/>
    <w:rsid w:val="2C0DB51F"/>
    <w:rsid w:val="2C4E5B0E"/>
    <w:rsid w:val="2D40FCE6"/>
    <w:rsid w:val="2D9223AC"/>
    <w:rsid w:val="2E4B5F0D"/>
    <w:rsid w:val="2E5E4AEF"/>
    <w:rsid w:val="2ED600DC"/>
    <w:rsid w:val="2EE5F300"/>
    <w:rsid w:val="2F01D88F"/>
    <w:rsid w:val="2F21E837"/>
    <w:rsid w:val="2F3FE089"/>
    <w:rsid w:val="2F89C750"/>
    <w:rsid w:val="2F97CE1F"/>
    <w:rsid w:val="2FD90668"/>
    <w:rsid w:val="3022F585"/>
    <w:rsid w:val="30313B04"/>
    <w:rsid w:val="309F3366"/>
    <w:rsid w:val="31099FF3"/>
    <w:rsid w:val="3121CC31"/>
    <w:rsid w:val="320B6F4B"/>
    <w:rsid w:val="326B2CC6"/>
    <w:rsid w:val="329F570B"/>
    <w:rsid w:val="32E3142D"/>
    <w:rsid w:val="331FED17"/>
    <w:rsid w:val="3343CE0C"/>
    <w:rsid w:val="33446247"/>
    <w:rsid w:val="337291F6"/>
    <w:rsid w:val="3432FB36"/>
    <w:rsid w:val="34573AA0"/>
    <w:rsid w:val="35871221"/>
    <w:rsid w:val="35FD5EF2"/>
    <w:rsid w:val="366A66C8"/>
    <w:rsid w:val="36AD647E"/>
    <w:rsid w:val="374D12E5"/>
    <w:rsid w:val="37708A51"/>
    <w:rsid w:val="37DBF8F1"/>
    <w:rsid w:val="37F1FC62"/>
    <w:rsid w:val="3810C2BE"/>
    <w:rsid w:val="384D55EA"/>
    <w:rsid w:val="38547927"/>
    <w:rsid w:val="38AB8210"/>
    <w:rsid w:val="38BE1427"/>
    <w:rsid w:val="38CF9107"/>
    <w:rsid w:val="3963E91D"/>
    <w:rsid w:val="3A1B83DF"/>
    <w:rsid w:val="3A5210FE"/>
    <w:rsid w:val="3A57C0BD"/>
    <w:rsid w:val="3A815CE5"/>
    <w:rsid w:val="3AAD53C7"/>
    <w:rsid w:val="3AB552BC"/>
    <w:rsid w:val="3AFFB97E"/>
    <w:rsid w:val="3B0BE252"/>
    <w:rsid w:val="3B0E920A"/>
    <w:rsid w:val="3BAB6869"/>
    <w:rsid w:val="3BEB04C5"/>
    <w:rsid w:val="3C9B89DF"/>
    <w:rsid w:val="3CB852BE"/>
    <w:rsid w:val="3D15E52A"/>
    <w:rsid w:val="3E102B8C"/>
    <w:rsid w:val="3E256BBE"/>
    <w:rsid w:val="3E2DE675"/>
    <w:rsid w:val="3E65CE30"/>
    <w:rsid w:val="3E9CD3A0"/>
    <w:rsid w:val="3EB7B85F"/>
    <w:rsid w:val="3EE3A51C"/>
    <w:rsid w:val="3EE6D5A6"/>
    <w:rsid w:val="3F2B31E0"/>
    <w:rsid w:val="3F62E1B1"/>
    <w:rsid w:val="3FA31006"/>
    <w:rsid w:val="402AD2D5"/>
    <w:rsid w:val="40797F11"/>
    <w:rsid w:val="407CE14E"/>
    <w:rsid w:val="417ABBDB"/>
    <w:rsid w:val="419D6EF2"/>
    <w:rsid w:val="41BFBFA4"/>
    <w:rsid w:val="4261741E"/>
    <w:rsid w:val="437E5AB7"/>
    <w:rsid w:val="439D51F1"/>
    <w:rsid w:val="43EE9002"/>
    <w:rsid w:val="4421770F"/>
    <w:rsid w:val="448F848A"/>
    <w:rsid w:val="44D2B511"/>
    <w:rsid w:val="451ABEE3"/>
    <w:rsid w:val="4520F70F"/>
    <w:rsid w:val="4590F584"/>
    <w:rsid w:val="459FC8F5"/>
    <w:rsid w:val="45D22335"/>
    <w:rsid w:val="4613F2F6"/>
    <w:rsid w:val="46201964"/>
    <w:rsid w:val="46681301"/>
    <w:rsid w:val="46985145"/>
    <w:rsid w:val="472ACC5B"/>
    <w:rsid w:val="477A0BC4"/>
    <w:rsid w:val="477FD07D"/>
    <w:rsid w:val="4804911A"/>
    <w:rsid w:val="4818FDB7"/>
    <w:rsid w:val="481F7EE4"/>
    <w:rsid w:val="48CDBC3D"/>
    <w:rsid w:val="48D3DA8E"/>
    <w:rsid w:val="49133A93"/>
    <w:rsid w:val="49248A83"/>
    <w:rsid w:val="498764AB"/>
    <w:rsid w:val="4A018F5E"/>
    <w:rsid w:val="4A2B536C"/>
    <w:rsid w:val="4A9C43CA"/>
    <w:rsid w:val="4AD72224"/>
    <w:rsid w:val="4B8C1788"/>
    <w:rsid w:val="4BDBF0A0"/>
    <w:rsid w:val="4BE53EA6"/>
    <w:rsid w:val="4C04BBF2"/>
    <w:rsid w:val="4C270B2A"/>
    <w:rsid w:val="4C5807F8"/>
    <w:rsid w:val="4C929F63"/>
    <w:rsid w:val="4CA5DD10"/>
    <w:rsid w:val="4CD146E4"/>
    <w:rsid w:val="4D24F240"/>
    <w:rsid w:val="4D857A98"/>
    <w:rsid w:val="4DA32AA6"/>
    <w:rsid w:val="4E1EA890"/>
    <w:rsid w:val="4E28B7CE"/>
    <w:rsid w:val="4E684EAB"/>
    <w:rsid w:val="4EA0E14A"/>
    <w:rsid w:val="4EAE4F8E"/>
    <w:rsid w:val="4EB83457"/>
    <w:rsid w:val="4EC8A5E0"/>
    <w:rsid w:val="4ECED983"/>
    <w:rsid w:val="4F344174"/>
    <w:rsid w:val="4F580799"/>
    <w:rsid w:val="4F90C958"/>
    <w:rsid w:val="4FDF4D6F"/>
    <w:rsid w:val="4FE7D2BE"/>
    <w:rsid w:val="5035202F"/>
    <w:rsid w:val="5050A6CE"/>
    <w:rsid w:val="50D011D5"/>
    <w:rsid w:val="50DAAFDA"/>
    <w:rsid w:val="51CD8467"/>
    <w:rsid w:val="521911B3"/>
    <w:rsid w:val="5286A8AB"/>
    <w:rsid w:val="528A0761"/>
    <w:rsid w:val="52A0F47C"/>
    <w:rsid w:val="52C9A661"/>
    <w:rsid w:val="52DA71F9"/>
    <w:rsid w:val="534A0648"/>
    <w:rsid w:val="53B8BDE3"/>
    <w:rsid w:val="53BC4006"/>
    <w:rsid w:val="542209E4"/>
    <w:rsid w:val="54C8E03D"/>
    <w:rsid w:val="54EBB54E"/>
    <w:rsid w:val="54EF6163"/>
    <w:rsid w:val="54F09390"/>
    <w:rsid w:val="55C46F90"/>
    <w:rsid w:val="562AFBC0"/>
    <w:rsid w:val="57AB9424"/>
    <w:rsid w:val="57AC274C"/>
    <w:rsid w:val="5806B8EF"/>
    <w:rsid w:val="5835B083"/>
    <w:rsid w:val="58B028F7"/>
    <w:rsid w:val="58B54621"/>
    <w:rsid w:val="58E8061A"/>
    <w:rsid w:val="5907D66A"/>
    <w:rsid w:val="59397F5D"/>
    <w:rsid w:val="59C5FCF1"/>
    <w:rsid w:val="5A0E3882"/>
    <w:rsid w:val="5A199BC4"/>
    <w:rsid w:val="5A2AA4C5"/>
    <w:rsid w:val="5A5B07D4"/>
    <w:rsid w:val="5A83D67B"/>
    <w:rsid w:val="5B00145C"/>
    <w:rsid w:val="5B2DA956"/>
    <w:rsid w:val="5B3D24DA"/>
    <w:rsid w:val="5B56F2EA"/>
    <w:rsid w:val="5B62618D"/>
    <w:rsid w:val="5BB14082"/>
    <w:rsid w:val="5BBB9343"/>
    <w:rsid w:val="5C20C024"/>
    <w:rsid w:val="5C37D93F"/>
    <w:rsid w:val="5C7C89F5"/>
    <w:rsid w:val="5D05D99B"/>
    <w:rsid w:val="5D661202"/>
    <w:rsid w:val="5DAE2CE2"/>
    <w:rsid w:val="5DD1D3A6"/>
    <w:rsid w:val="5E0A2024"/>
    <w:rsid w:val="5EB44CFC"/>
    <w:rsid w:val="5F0A01BF"/>
    <w:rsid w:val="5F264E0D"/>
    <w:rsid w:val="5FA42750"/>
    <w:rsid w:val="600A041E"/>
    <w:rsid w:val="602069F4"/>
    <w:rsid w:val="605B484E"/>
    <w:rsid w:val="60BF5BE7"/>
    <w:rsid w:val="61144901"/>
    <w:rsid w:val="6144C413"/>
    <w:rsid w:val="618FD68D"/>
    <w:rsid w:val="61BC3A55"/>
    <w:rsid w:val="6230FBE5"/>
    <w:rsid w:val="62427667"/>
    <w:rsid w:val="6275C003"/>
    <w:rsid w:val="62C6FCEF"/>
    <w:rsid w:val="62C86836"/>
    <w:rsid w:val="62D2B05F"/>
    <w:rsid w:val="62EF0CA2"/>
    <w:rsid w:val="63004559"/>
    <w:rsid w:val="632133F9"/>
    <w:rsid w:val="633062C5"/>
    <w:rsid w:val="636198AD"/>
    <w:rsid w:val="63753164"/>
    <w:rsid w:val="63A29E6B"/>
    <w:rsid w:val="63B366FE"/>
    <w:rsid w:val="63F1DF7F"/>
    <w:rsid w:val="643A07D3"/>
    <w:rsid w:val="64625D75"/>
    <w:rsid w:val="648F9301"/>
    <w:rsid w:val="6497165D"/>
    <w:rsid w:val="64A95F1A"/>
    <w:rsid w:val="64D3BA6C"/>
    <w:rsid w:val="6502FD70"/>
    <w:rsid w:val="652A4E96"/>
    <w:rsid w:val="66FC4F7A"/>
    <w:rsid w:val="67A12CA8"/>
    <w:rsid w:val="67B0064B"/>
    <w:rsid w:val="67EAAB8B"/>
    <w:rsid w:val="6840832B"/>
    <w:rsid w:val="6919E450"/>
    <w:rsid w:val="693BCAC5"/>
    <w:rsid w:val="69734583"/>
    <w:rsid w:val="69C0983C"/>
    <w:rsid w:val="69C65CF5"/>
    <w:rsid w:val="6A27ADA6"/>
    <w:rsid w:val="6A3C75AE"/>
    <w:rsid w:val="6A72FDEA"/>
    <w:rsid w:val="6A797A9F"/>
    <w:rsid w:val="6A84908E"/>
    <w:rsid w:val="6AA64786"/>
    <w:rsid w:val="6AA89EEA"/>
    <w:rsid w:val="6AA91BA3"/>
    <w:rsid w:val="6AD20ED4"/>
    <w:rsid w:val="6BAE07D7"/>
    <w:rsid w:val="6BD47994"/>
    <w:rsid w:val="6C06BB6F"/>
    <w:rsid w:val="6C1A47A6"/>
    <w:rsid w:val="6C662F01"/>
    <w:rsid w:val="6CAD4DC2"/>
    <w:rsid w:val="6CD068BD"/>
    <w:rsid w:val="6D31ABFA"/>
    <w:rsid w:val="6D72E780"/>
    <w:rsid w:val="6DAEF4CA"/>
    <w:rsid w:val="6DE0BC65"/>
    <w:rsid w:val="6E6D5E88"/>
    <w:rsid w:val="6EBC1B3C"/>
    <w:rsid w:val="6EFA4A49"/>
    <w:rsid w:val="6F4FE255"/>
    <w:rsid w:val="6F6C6E4E"/>
    <w:rsid w:val="6F7C8CC6"/>
    <w:rsid w:val="6F800330"/>
    <w:rsid w:val="70B9CADB"/>
    <w:rsid w:val="70C1EA7D"/>
    <w:rsid w:val="71016B6C"/>
    <w:rsid w:val="71083EAF"/>
    <w:rsid w:val="71B73D84"/>
    <w:rsid w:val="71C942A4"/>
    <w:rsid w:val="72100CD5"/>
    <w:rsid w:val="721A1AE9"/>
    <w:rsid w:val="723B9BBC"/>
    <w:rsid w:val="729599FD"/>
    <w:rsid w:val="72E08E85"/>
    <w:rsid w:val="72FBE242"/>
    <w:rsid w:val="730C8C6A"/>
    <w:rsid w:val="7333BF65"/>
    <w:rsid w:val="733415EF"/>
    <w:rsid w:val="73A2B3E6"/>
    <w:rsid w:val="73EBD8BA"/>
    <w:rsid w:val="73F98B3F"/>
    <w:rsid w:val="740E8C24"/>
    <w:rsid w:val="7483A86B"/>
    <w:rsid w:val="74B96759"/>
    <w:rsid w:val="74C611E6"/>
    <w:rsid w:val="756D3DCA"/>
    <w:rsid w:val="75AD869D"/>
    <w:rsid w:val="76450E62"/>
    <w:rsid w:val="767124E0"/>
    <w:rsid w:val="767F2AB4"/>
    <w:rsid w:val="76D274F7"/>
    <w:rsid w:val="76F5E482"/>
    <w:rsid w:val="76F8507D"/>
    <w:rsid w:val="771357ED"/>
    <w:rsid w:val="7758C1E7"/>
    <w:rsid w:val="778EDDEE"/>
    <w:rsid w:val="77CE5746"/>
    <w:rsid w:val="77F83150"/>
    <w:rsid w:val="78674B66"/>
    <w:rsid w:val="78BF49DD"/>
    <w:rsid w:val="790B3138"/>
    <w:rsid w:val="799DA319"/>
    <w:rsid w:val="79A48D3C"/>
    <w:rsid w:val="79B20E76"/>
    <w:rsid w:val="79C64322"/>
    <w:rsid w:val="79D5BFE7"/>
    <w:rsid w:val="7B85C3CB"/>
    <w:rsid w:val="7BD2E15A"/>
    <w:rsid w:val="7C02D676"/>
    <w:rsid w:val="7C55E10E"/>
    <w:rsid w:val="7C6523A7"/>
    <w:rsid w:val="7D0C0225"/>
    <w:rsid w:val="7D4D62A7"/>
    <w:rsid w:val="7D4DE6BD"/>
    <w:rsid w:val="7D7D5244"/>
    <w:rsid w:val="7E06B584"/>
    <w:rsid w:val="7E3A3F11"/>
    <w:rsid w:val="7E50821F"/>
    <w:rsid w:val="7F7F9DBB"/>
    <w:rsid w:val="7FD666F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26D906B7"/>
  <w15:docId w15:val="{D28F7B40-0F46-45AD-862D-89D5D09C3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34A5"/>
  </w:style>
  <w:style w:type="paragraph" w:styleId="Heading1">
    <w:name w:val="heading 1"/>
    <w:basedOn w:val="Normal"/>
    <w:next w:val="Normal"/>
    <w:link w:val="Heading1Char"/>
    <w:uiPriority w:val="9"/>
    <w:qFormat/>
    <w:rsid w:val="005E588F"/>
    <w:pPr>
      <w:keepNext/>
      <w:keepLines/>
      <w:spacing w:before="320" w:after="0" w:line="240" w:lineRule="auto"/>
      <w:outlineLvl w:val="0"/>
    </w:pPr>
    <w:rPr>
      <w:rFonts w:asciiTheme="majorHAnsi" w:eastAsiaTheme="majorEastAsia" w:hAnsiTheme="majorHAnsi" w:cstheme="majorBidi"/>
      <w:color w:val="2F5496" w:themeColor="accent1" w:themeShade="BF"/>
      <w:sz w:val="30"/>
      <w:szCs w:val="30"/>
    </w:rPr>
  </w:style>
  <w:style w:type="paragraph" w:styleId="Heading2">
    <w:name w:val="heading 2"/>
    <w:basedOn w:val="Normal"/>
    <w:next w:val="Normal"/>
    <w:link w:val="Heading2Char"/>
    <w:uiPriority w:val="9"/>
    <w:unhideWhenUsed/>
    <w:qFormat/>
    <w:rsid w:val="005E588F"/>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Heading3">
    <w:name w:val="heading 3"/>
    <w:basedOn w:val="Normal"/>
    <w:next w:val="Normal"/>
    <w:link w:val="Heading3Char"/>
    <w:uiPriority w:val="9"/>
    <w:unhideWhenUsed/>
    <w:qFormat/>
    <w:rsid w:val="005E588F"/>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Heading4">
    <w:name w:val="heading 4"/>
    <w:basedOn w:val="Normal"/>
    <w:next w:val="Normal"/>
    <w:link w:val="Heading4Char"/>
    <w:uiPriority w:val="9"/>
    <w:semiHidden/>
    <w:unhideWhenUsed/>
    <w:qFormat/>
    <w:rsid w:val="005E588F"/>
    <w:pPr>
      <w:keepNext/>
      <w:keepLines/>
      <w:spacing w:before="40" w:after="0"/>
      <w:outlineLvl w:val="3"/>
    </w:pPr>
    <w:rPr>
      <w:rFonts w:asciiTheme="majorHAnsi" w:eastAsiaTheme="majorEastAsia" w:hAnsiTheme="majorHAnsi" w:cstheme="majorBidi"/>
      <w:i/>
      <w:iCs/>
      <w:color w:val="2E74B5" w:themeColor="accent5" w:themeShade="BF"/>
      <w:sz w:val="25"/>
      <w:szCs w:val="25"/>
    </w:rPr>
  </w:style>
  <w:style w:type="paragraph" w:styleId="Heading5">
    <w:name w:val="heading 5"/>
    <w:basedOn w:val="Normal"/>
    <w:next w:val="Normal"/>
    <w:link w:val="Heading5Char"/>
    <w:uiPriority w:val="9"/>
    <w:semiHidden/>
    <w:unhideWhenUsed/>
    <w:qFormat/>
    <w:rsid w:val="005E588F"/>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Heading6">
    <w:name w:val="heading 6"/>
    <w:basedOn w:val="Normal"/>
    <w:next w:val="Normal"/>
    <w:link w:val="Heading6Char"/>
    <w:uiPriority w:val="9"/>
    <w:semiHidden/>
    <w:unhideWhenUsed/>
    <w:qFormat/>
    <w:rsid w:val="005E588F"/>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Heading7">
    <w:name w:val="heading 7"/>
    <w:basedOn w:val="Normal"/>
    <w:next w:val="Normal"/>
    <w:link w:val="Heading7Char"/>
    <w:uiPriority w:val="9"/>
    <w:semiHidden/>
    <w:unhideWhenUsed/>
    <w:qFormat/>
    <w:rsid w:val="005E588F"/>
    <w:pPr>
      <w:keepNext/>
      <w:keepLines/>
      <w:spacing w:before="40" w:after="0"/>
      <w:outlineLvl w:val="6"/>
    </w:pPr>
    <w:rPr>
      <w:rFonts w:asciiTheme="majorHAnsi" w:eastAsiaTheme="majorEastAsia" w:hAnsiTheme="majorHAnsi" w:cstheme="majorBidi"/>
      <w:color w:val="1F3864" w:themeColor="accent1" w:themeShade="80"/>
    </w:rPr>
  </w:style>
  <w:style w:type="paragraph" w:styleId="Heading8">
    <w:name w:val="heading 8"/>
    <w:basedOn w:val="Normal"/>
    <w:next w:val="Normal"/>
    <w:link w:val="Heading8Char"/>
    <w:uiPriority w:val="9"/>
    <w:semiHidden/>
    <w:unhideWhenUsed/>
    <w:qFormat/>
    <w:rsid w:val="005E588F"/>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Heading9">
    <w:name w:val="heading 9"/>
    <w:basedOn w:val="Normal"/>
    <w:next w:val="Normal"/>
    <w:link w:val="Heading9Char"/>
    <w:uiPriority w:val="9"/>
    <w:semiHidden/>
    <w:unhideWhenUsed/>
    <w:qFormat/>
    <w:rsid w:val="005E588F"/>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62DB"/>
    <w:rPr>
      <w:color w:val="808080"/>
    </w:rPr>
  </w:style>
  <w:style w:type="character" w:customStyle="1" w:styleId="Heading1Char">
    <w:name w:val="Heading 1 Char"/>
    <w:basedOn w:val="DefaultParagraphFont"/>
    <w:link w:val="Heading1"/>
    <w:uiPriority w:val="9"/>
    <w:rsid w:val="005E588F"/>
    <w:rPr>
      <w:rFonts w:asciiTheme="majorHAnsi" w:eastAsiaTheme="majorEastAsia" w:hAnsiTheme="majorHAnsi" w:cstheme="majorBidi"/>
      <w:color w:val="2F5496" w:themeColor="accent1" w:themeShade="BF"/>
      <w:sz w:val="30"/>
      <w:szCs w:val="30"/>
    </w:rPr>
  </w:style>
  <w:style w:type="paragraph" w:styleId="TOCHeading">
    <w:name w:val="TOC Heading"/>
    <w:basedOn w:val="Heading1"/>
    <w:next w:val="Normal"/>
    <w:uiPriority w:val="39"/>
    <w:unhideWhenUsed/>
    <w:qFormat/>
    <w:rsid w:val="005E588F"/>
    <w:pPr>
      <w:outlineLvl w:val="9"/>
    </w:pPr>
  </w:style>
  <w:style w:type="paragraph" w:styleId="TOC2">
    <w:name w:val="toc 2"/>
    <w:basedOn w:val="Normal"/>
    <w:next w:val="Normal"/>
    <w:autoRedefine/>
    <w:uiPriority w:val="39"/>
    <w:unhideWhenUsed/>
    <w:rsid w:val="00E076DF"/>
    <w:pPr>
      <w:tabs>
        <w:tab w:val="left" w:pos="880"/>
        <w:tab w:val="right" w:leader="dot" w:pos="9350"/>
      </w:tabs>
      <w:spacing w:after="100"/>
      <w:ind w:left="220"/>
    </w:pPr>
    <w:rPr>
      <w:rFonts w:cs="Times New Roman"/>
    </w:rPr>
  </w:style>
  <w:style w:type="paragraph" w:styleId="TOC1">
    <w:name w:val="toc 1"/>
    <w:basedOn w:val="Normal"/>
    <w:next w:val="Normal"/>
    <w:autoRedefine/>
    <w:uiPriority w:val="39"/>
    <w:unhideWhenUsed/>
    <w:rsid w:val="00E076DF"/>
    <w:pPr>
      <w:tabs>
        <w:tab w:val="right" w:leader="dot" w:pos="9350"/>
      </w:tabs>
      <w:spacing w:after="100"/>
    </w:pPr>
    <w:rPr>
      <w:rFonts w:cs="Times New Roman"/>
    </w:rPr>
  </w:style>
  <w:style w:type="paragraph" w:styleId="TOC3">
    <w:name w:val="toc 3"/>
    <w:basedOn w:val="Normal"/>
    <w:next w:val="Normal"/>
    <w:autoRedefine/>
    <w:uiPriority w:val="39"/>
    <w:unhideWhenUsed/>
    <w:rsid w:val="00F462DB"/>
    <w:pPr>
      <w:spacing w:after="100"/>
      <w:ind w:left="440"/>
    </w:pPr>
    <w:rPr>
      <w:rFonts w:cs="Times New Roman"/>
    </w:rPr>
  </w:style>
  <w:style w:type="character" w:styleId="Hyperlink">
    <w:name w:val="Hyperlink"/>
    <w:basedOn w:val="DefaultParagraphFont"/>
    <w:unhideWhenUsed/>
    <w:rsid w:val="00F17F8C"/>
    <w:rPr>
      <w:color w:val="0563C1" w:themeColor="hyperlink"/>
      <w:u w:val="single"/>
    </w:rPr>
  </w:style>
  <w:style w:type="character" w:styleId="UnresolvedMention">
    <w:name w:val="Unresolved Mention"/>
    <w:basedOn w:val="DefaultParagraphFont"/>
    <w:uiPriority w:val="99"/>
    <w:unhideWhenUsed/>
    <w:rsid w:val="00F17F8C"/>
    <w:rPr>
      <w:color w:val="605E5C"/>
      <w:shd w:val="clear" w:color="auto" w:fill="E1DFDD"/>
    </w:rPr>
  </w:style>
  <w:style w:type="character" w:styleId="FollowedHyperlink">
    <w:name w:val="FollowedHyperlink"/>
    <w:basedOn w:val="DefaultParagraphFont"/>
    <w:uiPriority w:val="99"/>
    <w:semiHidden/>
    <w:unhideWhenUsed/>
    <w:rsid w:val="00F17F8C"/>
    <w:rPr>
      <w:color w:val="954F72" w:themeColor="followedHyperlink"/>
      <w:u w:val="single"/>
    </w:rPr>
  </w:style>
  <w:style w:type="paragraph" w:styleId="BalloonText">
    <w:name w:val="Balloon Text"/>
    <w:basedOn w:val="Normal"/>
    <w:link w:val="BalloonTextChar"/>
    <w:uiPriority w:val="99"/>
    <w:semiHidden/>
    <w:unhideWhenUsed/>
    <w:rsid w:val="004252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52C1"/>
    <w:rPr>
      <w:rFonts w:ascii="Segoe UI" w:hAnsi="Segoe UI" w:cs="Segoe UI"/>
      <w:sz w:val="18"/>
      <w:szCs w:val="18"/>
    </w:rPr>
  </w:style>
  <w:style w:type="character" w:customStyle="1" w:styleId="FootnoteRef">
    <w:name w:val="Footnote Ref"/>
    <w:rsid w:val="002335AB"/>
    <w:rPr>
      <w:sz w:val="20"/>
      <w:szCs w:val="20"/>
      <w:vertAlign w:val="superscript"/>
    </w:rPr>
  </w:style>
  <w:style w:type="paragraph" w:customStyle="1" w:styleId="a">
    <w:name w:val="!"/>
    <w:rsid w:val="002335AB"/>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5E588F"/>
    <w:pPr>
      <w:spacing w:line="240" w:lineRule="auto"/>
    </w:pPr>
    <w:rPr>
      <w:b/>
      <w:bCs/>
      <w:smallCaps/>
      <w:color w:val="4472C4" w:themeColor="accent1"/>
      <w:spacing w:val="6"/>
    </w:rPr>
  </w:style>
  <w:style w:type="character" w:customStyle="1" w:styleId="Level-02">
    <w:name w:val="Level-02"/>
    <w:rsid w:val="004A4B8D"/>
    <w:rPr>
      <w:sz w:val="20"/>
      <w:szCs w:val="20"/>
    </w:rPr>
  </w:style>
  <w:style w:type="paragraph" w:styleId="Header">
    <w:name w:val="header"/>
    <w:basedOn w:val="Normal"/>
    <w:link w:val="HeaderChar"/>
    <w:unhideWhenUsed/>
    <w:rsid w:val="00997E71"/>
    <w:pPr>
      <w:tabs>
        <w:tab w:val="center" w:pos="4680"/>
        <w:tab w:val="right" w:pos="9360"/>
      </w:tabs>
      <w:spacing w:after="0" w:line="240" w:lineRule="auto"/>
    </w:pPr>
  </w:style>
  <w:style w:type="character" w:customStyle="1" w:styleId="HeaderChar">
    <w:name w:val="Header Char"/>
    <w:basedOn w:val="DefaultParagraphFont"/>
    <w:link w:val="Header"/>
    <w:rsid w:val="00997E71"/>
  </w:style>
  <w:style w:type="paragraph" w:styleId="Footer">
    <w:name w:val="footer"/>
    <w:basedOn w:val="Normal"/>
    <w:link w:val="FooterChar"/>
    <w:unhideWhenUsed/>
    <w:rsid w:val="00997E71"/>
    <w:pPr>
      <w:tabs>
        <w:tab w:val="center" w:pos="4680"/>
        <w:tab w:val="right" w:pos="9360"/>
      </w:tabs>
      <w:spacing w:after="0" w:line="240" w:lineRule="auto"/>
    </w:pPr>
  </w:style>
  <w:style w:type="character" w:customStyle="1" w:styleId="FooterChar">
    <w:name w:val="Footer Char"/>
    <w:basedOn w:val="DefaultParagraphFont"/>
    <w:link w:val="Footer"/>
    <w:rsid w:val="00997E71"/>
  </w:style>
  <w:style w:type="paragraph" w:styleId="CommentText">
    <w:name w:val="annotation text"/>
    <w:basedOn w:val="Normal"/>
    <w:link w:val="CommentTextChar"/>
    <w:uiPriority w:val="99"/>
    <w:unhideWhenUsed/>
    <w:rsid w:val="00997E71"/>
    <w:pPr>
      <w:spacing w:line="240" w:lineRule="auto"/>
    </w:pPr>
    <w:rPr>
      <w:sz w:val="20"/>
      <w:szCs w:val="20"/>
    </w:rPr>
  </w:style>
  <w:style w:type="character" w:customStyle="1" w:styleId="CommentTextChar">
    <w:name w:val="Comment Text Char"/>
    <w:basedOn w:val="DefaultParagraphFont"/>
    <w:link w:val="CommentText"/>
    <w:uiPriority w:val="99"/>
    <w:rsid w:val="00997E71"/>
    <w:rPr>
      <w:sz w:val="20"/>
      <w:szCs w:val="20"/>
    </w:rPr>
  </w:style>
  <w:style w:type="character" w:styleId="CommentReference">
    <w:name w:val="annotation reference"/>
    <w:basedOn w:val="DefaultParagraphFont"/>
    <w:uiPriority w:val="99"/>
    <w:semiHidden/>
    <w:unhideWhenUsed/>
    <w:rsid w:val="00997E71"/>
    <w:rPr>
      <w:sz w:val="16"/>
      <w:szCs w:val="16"/>
    </w:rPr>
  </w:style>
  <w:style w:type="paragraph" w:styleId="ListParagraph">
    <w:name w:val="List Paragraph"/>
    <w:basedOn w:val="Normal"/>
    <w:uiPriority w:val="34"/>
    <w:qFormat/>
    <w:pPr>
      <w:ind w:left="720"/>
      <w:contextualSpacing/>
    </w:pPr>
  </w:style>
  <w:style w:type="paragraph" w:styleId="CommentSubject">
    <w:name w:val="annotation subject"/>
    <w:basedOn w:val="CommentText"/>
    <w:next w:val="CommentText"/>
    <w:link w:val="CommentSubjectChar"/>
    <w:uiPriority w:val="99"/>
    <w:semiHidden/>
    <w:unhideWhenUsed/>
    <w:rsid w:val="00427079"/>
    <w:rPr>
      <w:b/>
      <w:bCs/>
    </w:rPr>
  </w:style>
  <w:style w:type="character" w:customStyle="1" w:styleId="CommentSubjectChar">
    <w:name w:val="Comment Subject Char"/>
    <w:basedOn w:val="CommentTextChar"/>
    <w:link w:val="CommentSubject"/>
    <w:uiPriority w:val="99"/>
    <w:semiHidden/>
    <w:rsid w:val="00427079"/>
    <w:rPr>
      <w:b/>
      <w:bCs/>
      <w:sz w:val="20"/>
      <w:szCs w:val="20"/>
    </w:rPr>
  </w:style>
  <w:style w:type="paragraph" w:styleId="Revision">
    <w:name w:val="Revision"/>
    <w:hidden/>
    <w:uiPriority w:val="99"/>
    <w:semiHidden/>
    <w:rsid w:val="00100432"/>
    <w:pPr>
      <w:spacing w:after="0" w:line="240" w:lineRule="auto"/>
    </w:pPr>
  </w:style>
  <w:style w:type="paragraph" w:styleId="FootnoteText">
    <w:name w:val="footnote text"/>
    <w:basedOn w:val="Normal"/>
    <w:link w:val="FootnoteTextChar"/>
    <w:unhideWhenUsed/>
    <w:rsid w:val="005723B9"/>
    <w:pPr>
      <w:spacing w:after="0" w:line="240" w:lineRule="auto"/>
    </w:pPr>
    <w:rPr>
      <w:sz w:val="20"/>
      <w:szCs w:val="20"/>
    </w:rPr>
  </w:style>
  <w:style w:type="character" w:customStyle="1" w:styleId="FootnoteTextChar">
    <w:name w:val="Footnote Text Char"/>
    <w:basedOn w:val="DefaultParagraphFont"/>
    <w:link w:val="FootnoteText"/>
    <w:rsid w:val="005723B9"/>
    <w:rPr>
      <w:sz w:val="20"/>
      <w:szCs w:val="20"/>
    </w:rPr>
  </w:style>
  <w:style w:type="character" w:styleId="FootnoteReference">
    <w:name w:val="footnote reference"/>
    <w:basedOn w:val="DefaultParagraphFont"/>
    <w:unhideWhenUsed/>
    <w:rsid w:val="005723B9"/>
    <w:rPr>
      <w:vertAlign w:val="superscript"/>
    </w:rPr>
  </w:style>
  <w:style w:type="character" w:customStyle="1" w:styleId="Heading2Char">
    <w:name w:val="Heading 2 Char"/>
    <w:basedOn w:val="DefaultParagraphFont"/>
    <w:link w:val="Heading2"/>
    <w:uiPriority w:val="9"/>
    <w:rsid w:val="005E588F"/>
    <w:rPr>
      <w:rFonts w:asciiTheme="majorHAnsi" w:eastAsiaTheme="majorEastAsia" w:hAnsiTheme="majorHAnsi" w:cstheme="majorBidi"/>
      <w:color w:val="C45911" w:themeColor="accent2" w:themeShade="BF"/>
      <w:sz w:val="28"/>
      <w:szCs w:val="28"/>
    </w:rPr>
  </w:style>
  <w:style w:type="character" w:customStyle="1" w:styleId="Heading3Char">
    <w:name w:val="Heading 3 Char"/>
    <w:basedOn w:val="DefaultParagraphFont"/>
    <w:link w:val="Heading3"/>
    <w:uiPriority w:val="9"/>
    <w:rsid w:val="005E588F"/>
    <w:rPr>
      <w:rFonts w:asciiTheme="majorHAnsi" w:eastAsiaTheme="majorEastAsia" w:hAnsiTheme="majorHAnsi" w:cstheme="majorBidi"/>
      <w:color w:val="538135" w:themeColor="accent6" w:themeShade="BF"/>
      <w:sz w:val="26"/>
      <w:szCs w:val="26"/>
    </w:rPr>
  </w:style>
  <w:style w:type="character" w:customStyle="1" w:styleId="Heading4Char">
    <w:name w:val="Heading 4 Char"/>
    <w:basedOn w:val="DefaultParagraphFont"/>
    <w:link w:val="Heading4"/>
    <w:uiPriority w:val="9"/>
    <w:semiHidden/>
    <w:rsid w:val="005E588F"/>
    <w:rPr>
      <w:rFonts w:asciiTheme="majorHAnsi" w:eastAsiaTheme="majorEastAsia" w:hAnsiTheme="majorHAnsi" w:cstheme="majorBidi"/>
      <w:i/>
      <w:iCs/>
      <w:color w:val="2E74B5" w:themeColor="accent5" w:themeShade="BF"/>
      <w:sz w:val="25"/>
      <w:szCs w:val="25"/>
    </w:rPr>
  </w:style>
  <w:style w:type="character" w:customStyle="1" w:styleId="Heading5Char">
    <w:name w:val="Heading 5 Char"/>
    <w:basedOn w:val="DefaultParagraphFont"/>
    <w:link w:val="Heading5"/>
    <w:uiPriority w:val="9"/>
    <w:semiHidden/>
    <w:rsid w:val="005E588F"/>
    <w:rPr>
      <w:rFonts w:asciiTheme="majorHAnsi" w:eastAsiaTheme="majorEastAsia" w:hAnsiTheme="majorHAnsi" w:cstheme="majorBidi"/>
      <w:i/>
      <w:iCs/>
      <w:color w:val="833C0B" w:themeColor="accent2" w:themeShade="80"/>
      <w:sz w:val="24"/>
      <w:szCs w:val="24"/>
    </w:rPr>
  </w:style>
  <w:style w:type="character" w:customStyle="1" w:styleId="Heading6Char">
    <w:name w:val="Heading 6 Char"/>
    <w:basedOn w:val="DefaultParagraphFont"/>
    <w:link w:val="Heading6"/>
    <w:uiPriority w:val="9"/>
    <w:semiHidden/>
    <w:rsid w:val="005E588F"/>
    <w:rPr>
      <w:rFonts w:asciiTheme="majorHAnsi" w:eastAsiaTheme="majorEastAsia" w:hAnsiTheme="majorHAnsi" w:cstheme="majorBidi"/>
      <w:i/>
      <w:iCs/>
      <w:color w:val="385623" w:themeColor="accent6" w:themeShade="80"/>
      <w:sz w:val="23"/>
      <w:szCs w:val="23"/>
    </w:rPr>
  </w:style>
  <w:style w:type="character" w:customStyle="1" w:styleId="Heading7Char">
    <w:name w:val="Heading 7 Char"/>
    <w:basedOn w:val="DefaultParagraphFont"/>
    <w:link w:val="Heading7"/>
    <w:uiPriority w:val="9"/>
    <w:semiHidden/>
    <w:rsid w:val="005E588F"/>
    <w:rPr>
      <w:rFonts w:asciiTheme="majorHAnsi" w:eastAsiaTheme="majorEastAsia" w:hAnsiTheme="majorHAnsi" w:cstheme="majorBidi"/>
      <w:color w:val="1F3864" w:themeColor="accent1" w:themeShade="80"/>
    </w:rPr>
  </w:style>
  <w:style w:type="character" w:customStyle="1" w:styleId="Heading8Char">
    <w:name w:val="Heading 8 Char"/>
    <w:basedOn w:val="DefaultParagraphFont"/>
    <w:link w:val="Heading8"/>
    <w:uiPriority w:val="9"/>
    <w:semiHidden/>
    <w:rsid w:val="005E588F"/>
    <w:rPr>
      <w:rFonts w:asciiTheme="majorHAnsi" w:eastAsiaTheme="majorEastAsia" w:hAnsiTheme="majorHAnsi" w:cstheme="majorBidi"/>
      <w:color w:val="833C0B" w:themeColor="accent2" w:themeShade="80"/>
      <w:sz w:val="21"/>
      <w:szCs w:val="21"/>
    </w:rPr>
  </w:style>
  <w:style w:type="character" w:customStyle="1" w:styleId="Heading9Char">
    <w:name w:val="Heading 9 Char"/>
    <w:basedOn w:val="DefaultParagraphFont"/>
    <w:link w:val="Heading9"/>
    <w:uiPriority w:val="9"/>
    <w:semiHidden/>
    <w:rsid w:val="005E588F"/>
    <w:rPr>
      <w:rFonts w:asciiTheme="majorHAnsi" w:eastAsiaTheme="majorEastAsia" w:hAnsiTheme="majorHAnsi" w:cstheme="majorBidi"/>
      <w:color w:val="385623" w:themeColor="accent6" w:themeShade="80"/>
    </w:rPr>
  </w:style>
  <w:style w:type="paragraph" w:styleId="Title">
    <w:name w:val="Title"/>
    <w:basedOn w:val="Normal"/>
    <w:next w:val="Normal"/>
    <w:link w:val="TitleChar"/>
    <w:uiPriority w:val="10"/>
    <w:qFormat/>
    <w:rsid w:val="005E588F"/>
    <w:pPr>
      <w:spacing w:after="0" w:line="240" w:lineRule="auto"/>
      <w:contextualSpacing/>
    </w:pPr>
    <w:rPr>
      <w:rFonts w:asciiTheme="majorHAnsi" w:eastAsiaTheme="majorEastAsia" w:hAnsiTheme="majorHAnsi" w:cstheme="majorBidi"/>
      <w:color w:val="2F5496" w:themeColor="accent1" w:themeShade="BF"/>
      <w:spacing w:val="-10"/>
      <w:sz w:val="52"/>
      <w:szCs w:val="52"/>
    </w:rPr>
  </w:style>
  <w:style w:type="character" w:customStyle="1" w:styleId="TitleChar">
    <w:name w:val="Title Char"/>
    <w:basedOn w:val="DefaultParagraphFont"/>
    <w:link w:val="Title"/>
    <w:uiPriority w:val="10"/>
    <w:rsid w:val="005E588F"/>
    <w:rPr>
      <w:rFonts w:asciiTheme="majorHAnsi" w:eastAsiaTheme="majorEastAsia" w:hAnsiTheme="majorHAnsi" w:cstheme="majorBidi"/>
      <w:color w:val="2F5496" w:themeColor="accent1" w:themeShade="BF"/>
      <w:spacing w:val="-10"/>
      <w:sz w:val="52"/>
      <w:szCs w:val="52"/>
    </w:rPr>
  </w:style>
  <w:style w:type="paragraph" w:styleId="Subtitle">
    <w:name w:val="Subtitle"/>
    <w:basedOn w:val="Normal"/>
    <w:next w:val="Normal"/>
    <w:link w:val="SubtitleChar"/>
    <w:uiPriority w:val="11"/>
    <w:qFormat/>
    <w:rsid w:val="005E588F"/>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5E588F"/>
    <w:rPr>
      <w:rFonts w:asciiTheme="majorHAnsi" w:eastAsiaTheme="majorEastAsia" w:hAnsiTheme="majorHAnsi" w:cstheme="majorBidi"/>
    </w:rPr>
  </w:style>
  <w:style w:type="character" w:styleId="Strong">
    <w:name w:val="Strong"/>
    <w:basedOn w:val="DefaultParagraphFont"/>
    <w:uiPriority w:val="22"/>
    <w:qFormat/>
    <w:rsid w:val="005E588F"/>
    <w:rPr>
      <w:b/>
      <w:bCs/>
    </w:rPr>
  </w:style>
  <w:style w:type="character" w:styleId="Emphasis">
    <w:name w:val="Emphasis"/>
    <w:basedOn w:val="DefaultParagraphFont"/>
    <w:uiPriority w:val="20"/>
    <w:qFormat/>
    <w:rsid w:val="005E588F"/>
    <w:rPr>
      <w:i/>
      <w:iCs/>
    </w:rPr>
  </w:style>
  <w:style w:type="paragraph" w:styleId="NoSpacing">
    <w:name w:val="No Spacing"/>
    <w:uiPriority w:val="1"/>
    <w:qFormat/>
    <w:rsid w:val="005E588F"/>
    <w:pPr>
      <w:spacing w:after="0" w:line="240" w:lineRule="auto"/>
    </w:pPr>
  </w:style>
  <w:style w:type="paragraph" w:styleId="Quote">
    <w:name w:val="Quote"/>
    <w:basedOn w:val="Normal"/>
    <w:next w:val="Normal"/>
    <w:link w:val="QuoteChar"/>
    <w:uiPriority w:val="29"/>
    <w:qFormat/>
    <w:rsid w:val="005E588F"/>
    <w:pPr>
      <w:spacing w:before="120"/>
      <w:ind w:left="720" w:right="720"/>
      <w:jc w:val="center"/>
    </w:pPr>
    <w:rPr>
      <w:i/>
      <w:iCs/>
    </w:rPr>
  </w:style>
  <w:style w:type="character" w:customStyle="1" w:styleId="QuoteChar">
    <w:name w:val="Quote Char"/>
    <w:basedOn w:val="DefaultParagraphFont"/>
    <w:link w:val="Quote"/>
    <w:uiPriority w:val="29"/>
    <w:rsid w:val="005E588F"/>
    <w:rPr>
      <w:i/>
      <w:iCs/>
    </w:rPr>
  </w:style>
  <w:style w:type="paragraph" w:styleId="IntenseQuote">
    <w:name w:val="Intense Quote"/>
    <w:basedOn w:val="Normal"/>
    <w:next w:val="Normal"/>
    <w:link w:val="IntenseQuoteChar"/>
    <w:uiPriority w:val="30"/>
    <w:qFormat/>
    <w:rsid w:val="005E588F"/>
    <w:pPr>
      <w:spacing w:before="120" w:line="300" w:lineRule="auto"/>
      <w:ind w:left="576" w:right="576"/>
      <w:jc w:val="center"/>
    </w:pPr>
    <w:rPr>
      <w:rFonts w:asciiTheme="majorHAnsi" w:eastAsiaTheme="majorEastAsia" w:hAnsiTheme="majorHAnsi" w:cstheme="majorBidi"/>
      <w:color w:val="4472C4" w:themeColor="accent1"/>
      <w:sz w:val="24"/>
      <w:szCs w:val="24"/>
    </w:rPr>
  </w:style>
  <w:style w:type="character" w:customStyle="1" w:styleId="IntenseQuoteChar">
    <w:name w:val="Intense Quote Char"/>
    <w:basedOn w:val="DefaultParagraphFont"/>
    <w:link w:val="IntenseQuote"/>
    <w:uiPriority w:val="30"/>
    <w:rsid w:val="005E588F"/>
    <w:rPr>
      <w:rFonts w:asciiTheme="majorHAnsi" w:eastAsiaTheme="majorEastAsia" w:hAnsiTheme="majorHAnsi" w:cstheme="majorBidi"/>
      <w:color w:val="4472C4" w:themeColor="accent1"/>
      <w:sz w:val="24"/>
      <w:szCs w:val="24"/>
    </w:rPr>
  </w:style>
  <w:style w:type="character" w:styleId="SubtleEmphasis">
    <w:name w:val="Subtle Emphasis"/>
    <w:basedOn w:val="DefaultParagraphFont"/>
    <w:uiPriority w:val="19"/>
    <w:qFormat/>
    <w:rsid w:val="005E588F"/>
    <w:rPr>
      <w:i/>
      <w:iCs/>
      <w:color w:val="404040" w:themeColor="text1" w:themeTint="BF"/>
    </w:rPr>
  </w:style>
  <w:style w:type="character" w:styleId="IntenseEmphasis">
    <w:name w:val="Intense Emphasis"/>
    <w:basedOn w:val="DefaultParagraphFont"/>
    <w:uiPriority w:val="21"/>
    <w:qFormat/>
    <w:rsid w:val="005E588F"/>
    <w:rPr>
      <w:b w:val="0"/>
      <w:bCs w:val="0"/>
      <w:i/>
      <w:iCs/>
      <w:color w:val="4472C4" w:themeColor="accent1"/>
    </w:rPr>
  </w:style>
  <w:style w:type="character" w:styleId="SubtleReference">
    <w:name w:val="Subtle Reference"/>
    <w:basedOn w:val="DefaultParagraphFont"/>
    <w:uiPriority w:val="31"/>
    <w:qFormat/>
    <w:rsid w:val="005E588F"/>
    <w:rPr>
      <w:smallCaps/>
      <w:color w:val="404040" w:themeColor="text1" w:themeTint="BF"/>
      <w:u w:val="single" w:color="7F7F7F"/>
    </w:rPr>
  </w:style>
  <w:style w:type="character" w:styleId="IntenseReference">
    <w:name w:val="Intense Reference"/>
    <w:basedOn w:val="DefaultParagraphFont"/>
    <w:uiPriority w:val="32"/>
    <w:qFormat/>
    <w:rsid w:val="005E588F"/>
    <w:rPr>
      <w:b/>
      <w:bCs/>
      <w:smallCaps/>
      <w:color w:val="4472C4" w:themeColor="accent1"/>
      <w:spacing w:val="5"/>
      <w:u w:val="single"/>
    </w:rPr>
  </w:style>
  <w:style w:type="character" w:styleId="BookTitle">
    <w:name w:val="Book Title"/>
    <w:basedOn w:val="DefaultParagraphFont"/>
    <w:uiPriority w:val="33"/>
    <w:qFormat/>
    <w:rsid w:val="005E588F"/>
    <w:rPr>
      <w:b/>
      <w:bCs/>
      <w:smallCaps/>
    </w:rPr>
  </w:style>
  <w:style w:type="character" w:customStyle="1" w:styleId="normaltextrun">
    <w:name w:val="normaltextrun"/>
    <w:basedOn w:val="DefaultParagraphFont"/>
    <w:rsid w:val="00EF7A31"/>
  </w:style>
  <w:style w:type="character" w:customStyle="1" w:styleId="eop">
    <w:name w:val="eop"/>
    <w:basedOn w:val="DefaultParagraphFont"/>
    <w:rsid w:val="00EF7A31"/>
  </w:style>
  <w:style w:type="paragraph" w:customStyle="1" w:styleId="paragraph">
    <w:name w:val="paragraph"/>
    <w:basedOn w:val="Normal"/>
    <w:rsid w:val="003565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xtualspellingandgrammarerror">
    <w:name w:val="contextualspellingandgrammarerror"/>
    <w:basedOn w:val="DefaultParagraphFont"/>
    <w:rsid w:val="003565B6"/>
  </w:style>
  <w:style w:type="character" w:customStyle="1" w:styleId="advancedproofingissue">
    <w:name w:val="advancedproofingissue"/>
    <w:basedOn w:val="DefaultParagraphFont"/>
    <w:rsid w:val="002420F2"/>
  </w:style>
  <w:style w:type="table" w:styleId="TableGrid">
    <w:name w:val="Table Grid"/>
    <w:basedOn w:val="TableNormal"/>
    <w:uiPriority w:val="39"/>
    <w:rsid w:val="00A361CE"/>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A361CE"/>
  </w:style>
  <w:style w:type="paragraph" w:styleId="NormalWeb">
    <w:name w:val="Normal (Web)"/>
    <w:basedOn w:val="Normal"/>
    <w:uiPriority w:val="99"/>
    <w:unhideWhenUsed/>
    <w:rsid w:val="00BB432F"/>
    <w:pPr>
      <w:spacing w:after="0" w:line="240" w:lineRule="auto"/>
    </w:pPr>
    <w:rPr>
      <w:rFonts w:ascii="Calibri" w:hAnsi="Calibri" w:eastAsiaTheme="minorHAnsi" w:cs="Calibri"/>
    </w:rPr>
  </w:style>
  <w:style w:type="paragraph" w:styleId="BodyTextIndent">
    <w:name w:val="Body Text Indent"/>
    <w:basedOn w:val="Normal"/>
    <w:link w:val="BodyTextIndentChar"/>
    <w:rsid w:val="00EA4C43"/>
    <w:pPr>
      <w:spacing w:after="0" w:line="240" w:lineRule="auto"/>
      <w:ind w:left="360"/>
    </w:pPr>
    <w:rPr>
      <w:rFonts w:ascii="Tahoma" w:eastAsia="Times New Roman" w:hAnsi="Tahoma" w:cs="Times New Roman"/>
      <w:sz w:val="20"/>
      <w:szCs w:val="20"/>
    </w:rPr>
  </w:style>
  <w:style w:type="character" w:customStyle="1" w:styleId="BodyTextIndentChar">
    <w:name w:val="Body Text Indent Char"/>
    <w:basedOn w:val="DefaultParagraphFont"/>
    <w:link w:val="BodyTextIndent"/>
    <w:rsid w:val="00EA4C43"/>
    <w:rPr>
      <w:rFonts w:ascii="Tahoma" w:eastAsia="Times New Roman" w:hAnsi="Tahoma"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bls.gov/news.release/ecec.t01.htm" TargetMode="Externa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www.rff.org/rff/Events/upload/32432_1.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2C2644CEF3BE14BA984F9E32D274554" ma:contentTypeVersion="16" ma:contentTypeDescription="Create a new document." ma:contentTypeScope="" ma:versionID="d513bca65c16c20fa6621e38b2352deb">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02fe02c4-dc41-46ff-9d52-90c0a1b1f611" xmlns:ns6="96fc5250-dc30-4f01-945b-7e46a880eeb3" targetNamespace="http://schemas.microsoft.com/office/2006/metadata/properties" ma:root="true" ma:fieldsID="a96de173cb04a30135a30bb001169eca" ns1:_="" ns2:_="" ns3:_="" ns4:_="" ns5:_="" ns6:_="">
    <xsd:import namespace="http://schemas.microsoft.com/sharepoint/v3"/>
    <xsd:import namespace="4ffa91fb-a0ff-4ac5-b2db-65c790d184a4"/>
    <xsd:import namespace="http://schemas.microsoft.com/sharepoint.v3"/>
    <xsd:import namespace="http://schemas.microsoft.com/sharepoint/v3/fields"/>
    <xsd:import namespace="02fe02c4-dc41-46ff-9d52-90c0a1b1f611"/>
    <xsd:import namespace="96fc5250-dc30-4f01-945b-7e46a880eeb3"/>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5:MediaServiceDateTaken" minOccurs="0"/>
                <xsd:element ref="ns5:MediaServiceAutoTags" minOccurs="0"/>
                <xsd:element ref="ns5:MediaServiceOCR" minOccurs="0"/>
                <xsd:element ref="ns5:MediaServiceGenerationTime" minOccurs="0"/>
                <xsd:element ref="ns5:MediaServiceEventHashCode" minOccurs="0"/>
                <xsd:element ref="ns1:_ip_UnifiedCompliancePolicyProperties" minOccurs="0"/>
                <xsd:element ref="ns1:_ip_UnifiedCompliancePolicyUIAction" minOccurs="0"/>
                <xsd:element ref="ns5:MediaLengthInSeconds"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_ip_UnifiedCompliancePolicyProperties" ma:index="37" nillable="true" ma:displayName="Unified Compliance Policy Properties" ma:hidden="true" ma:internalName="_ip_UnifiedCompliancePolicyProperties">
      <xsd:simpleType>
        <xsd:restriction base="dms:Note"/>
      </xsd:simpleType>
    </xsd:element>
    <xsd:element name="_ip_UnifiedCompliancePolicyUIAction" ma:index="3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9205dcaf-ae28-4449-b177-6e6c07e37888}" ma:internalName="TaxCatchAllLabel" ma:readOnly="true" ma:showField="CatchAllDataLabel" ma:web="96fc5250-dc30-4f01-945b-7e46a880eeb3">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9205dcaf-ae28-4449-b177-6e6c07e37888}" ma:internalName="TaxCatchAll" ma:showField="CatchAllData" ma:web="96fc5250-dc30-4f01-945b-7e46a880ee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fe02c4-dc41-46ff-9d52-90c0a1b1f611"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2" nillable="true" ma:displayName="MediaServiceDateTaken" ma:hidden="true" ma:internalName="MediaServiceDateTaken" ma:readOnly="true">
      <xsd:simpleType>
        <xsd:restriction base="dms:Text"/>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element name="MediaServiceSearchProperties" ma:index="4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fc5250-dc30-4f01-945b-7e46a880eeb3"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29f62856-1543-49d4-a736-4569d363f533"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2021-04-13T04:00:00+00:00</Document_x0020_Creation_x0020_Date>
    <EPA_x0020_Office xmlns="4ffa91fb-a0ff-4ac5-b2db-65c790d184a4">OMS-OEIP-RSD</EPA_x0020_Office>
    <CategoryDescription xmlns="http://schemas.microsoft.com/sharepoint.v3" xsi:nil="true"/>
    <Identifier xmlns="4ffa91fb-a0ff-4ac5-b2db-65c790d184a4" xsi:nil="true"/>
    <_Coverage xmlns="http://schemas.microsoft.com/sharepoint/v3/fields" xsi:nil="true"/>
    <Creator xmlns="4ffa91fb-a0ff-4ac5-b2db-65c790d184a4">
      <UserInfo>
        <DisplayName>McGrath, Daniel (he/him)</DisplayName>
        <AccountId>23</AccountId>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D03A42AE-7E2D-4A1B-B833-4CF08E3A9D97}">
  <ds:schemaRefs>
    <ds:schemaRef ds:uri="http://schemas.openxmlformats.org/officeDocument/2006/bibliography"/>
  </ds:schemaRefs>
</ds:datastoreItem>
</file>

<file path=customXml/itemProps2.xml><?xml version="1.0" encoding="utf-8"?>
<ds:datastoreItem xmlns:ds="http://schemas.openxmlformats.org/officeDocument/2006/customXml" ds:itemID="{ABFE85B8-FE95-4816-9B05-25E65235F1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02fe02c4-dc41-46ff-9d52-90c0a1b1f611"/>
    <ds:schemaRef ds:uri="96fc5250-dc30-4f01-945b-7e46a880ee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C11DD8-5415-43A4-B697-62AC812BCC73}">
  <ds:schemaRefs>
    <ds:schemaRef ds:uri="http://schemas.microsoft.com/sharepoint/v3/contenttype/forms"/>
  </ds:schemaRefs>
</ds:datastoreItem>
</file>

<file path=customXml/itemProps4.xml><?xml version="1.0" encoding="utf-8"?>
<ds:datastoreItem xmlns:ds="http://schemas.openxmlformats.org/officeDocument/2006/customXml" ds:itemID="{493D8C8B-B810-46D9-85D4-43C505A3034E}">
  <ds:schemaRefs>
    <ds:schemaRef ds:uri="Microsoft.SharePoint.Taxonomy.ContentTypeSync"/>
  </ds:schemaRefs>
</ds:datastoreItem>
</file>

<file path=customXml/itemProps5.xml><?xml version="1.0" encoding="utf-8"?>
<ds:datastoreItem xmlns:ds="http://schemas.openxmlformats.org/officeDocument/2006/customXml" ds:itemID="{E5033098-BF7F-4D78-8529-0AFBF5D8899C}">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3354</Words>
  <Characters>19122</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18Q Supporting Statement Instructions_draft</vt:lpstr>
    </vt:vector>
  </TitlesOfParts>
  <Company/>
  <LinksUpToDate>false</LinksUpToDate>
  <CharactersWithSpaces>22432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18Q Supporting Statement Instructions_draft</dc:title>
  <dc:creator>McGrath, Daniel</dc:creator>
  <cp:lastModifiedBy>Schultz, Eric</cp:lastModifiedBy>
  <cp:revision>2</cp:revision>
  <dcterms:created xsi:type="dcterms:W3CDTF">2025-10-14T19:42:00Z</dcterms:created>
  <dcterms:modified xsi:type="dcterms:W3CDTF">2025-10-14T19:42:00Z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0x01010052C2644CEF3BE14BA984F9E32D274554</vt:lpwstr>
  </property>
  <property fmtid="{D5CDD505-2E9C-101B-9397-08002B2CF9AE}" pid="3" name="Document Type">
    <vt:lpwstr/>
  </property>
  <property fmtid="{D5CDD505-2E9C-101B-9397-08002B2CF9AE}" pid="4" name="e3f09c3df709400db2417a7161762d62">
    <vt:lpwstr/>
  </property>
  <property fmtid="{D5CDD505-2E9C-101B-9397-08002B2CF9AE}" pid="5" name="EPA Subject">
    <vt:lpwstr/>
  </property>
  <property fmtid="{D5CDD505-2E9C-101B-9397-08002B2CF9AE}" pid="6" name="GrammarlyDocumentId">
    <vt:lpwstr>a86e2fc53bbd1bcb0284f45b3c0d02852a05458551506f0bb17e01f1c2acf9c3</vt:lpwstr>
  </property>
  <property fmtid="{D5CDD505-2E9C-101B-9397-08002B2CF9AE}" pid="7" name="TaxKeyword">
    <vt:lpwstr/>
  </property>
  <property fmtid="{D5CDD505-2E9C-101B-9397-08002B2CF9AE}" pid="8" name="_ExtendedDescription">
    <vt:lpwstr/>
  </property>
</Properties>
</file>