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EF79763" w:rsidP="5EF79763" w14:paraId="45A7E155" w14:textId="44936FFB">
      <w:pPr>
        <w:pStyle w:val="Heading1"/>
        <w:spacing w:after="240"/>
      </w:pPr>
    </w:p>
    <w:p w:rsidR="005E21B4" w:rsidRPr="0061395A" w:rsidP="009A3BA2" w14:paraId="67D944E6" w14:textId="77777777">
      <w:pPr>
        <w:pStyle w:val="Heading1"/>
        <w:spacing w:after="240"/>
      </w:pPr>
      <w:r w:rsidRPr="0061395A">
        <w:t>OMB Supporting Statement</w:t>
      </w:r>
    </w:p>
    <w:p w:rsidR="005E21B4" w:rsidRPr="0061395A" w:rsidP="009A3BA2" w14:paraId="30392D0D" w14:textId="77777777">
      <w:pPr>
        <w:pStyle w:val="Heading1"/>
        <w:spacing w:after="240"/>
        <w:ind w:left="0"/>
        <w:jc w:val="left"/>
        <w:rPr>
          <w:i/>
        </w:rPr>
      </w:pPr>
      <w:r w:rsidRPr="0061395A">
        <w:t>F</w:t>
      </w:r>
      <w:r w:rsidRPr="0061395A">
        <w:rPr>
          <w:rFonts w:eastAsia="Calibri"/>
        </w:rPr>
        <w:t>ederal Employees Dental and Vision Insurance Program</w:t>
      </w:r>
      <w:r w:rsidRPr="0061395A">
        <w:rPr>
          <w:lang w:val="en"/>
        </w:rPr>
        <w:t xml:space="preserve"> </w:t>
      </w:r>
      <w:r w:rsidRPr="0061395A">
        <w:t>Enrollment System (</w:t>
      </w:r>
      <w:r w:rsidRPr="0061395A">
        <w:rPr>
          <w:lang w:val="en"/>
        </w:rPr>
        <w:t>BENEFEDS)</w:t>
      </w:r>
    </w:p>
    <w:p w:rsidR="005E21B4" w:rsidRPr="0061395A" w:rsidP="009A3BA2" w14:paraId="46B724B1" w14:textId="77777777">
      <w:pPr>
        <w:spacing w:after="240"/>
        <w:rPr>
          <w:sz w:val="24"/>
          <w:szCs w:val="24"/>
        </w:rPr>
      </w:pPr>
      <w:r w:rsidRPr="0061395A">
        <w:rPr>
          <w:sz w:val="24"/>
          <w:szCs w:val="24"/>
        </w:rPr>
        <w:t>OMB Control Number: 3206-</w:t>
      </w:r>
      <w:r w:rsidRPr="0061395A" w:rsidR="00CF2EE7">
        <w:rPr>
          <w:sz w:val="24"/>
          <w:szCs w:val="24"/>
        </w:rPr>
        <w:t>0272</w:t>
      </w:r>
    </w:p>
    <w:p w:rsidR="005E21B4" w:rsidRPr="0061395A" w:rsidP="009A3BA2" w14:paraId="6A2741EB" w14:textId="77777777">
      <w:pPr>
        <w:numPr>
          <w:ilvl w:val="0"/>
          <w:numId w:val="2"/>
        </w:numPr>
        <w:tabs>
          <w:tab w:val="num" w:pos="360"/>
        </w:tabs>
        <w:spacing w:after="240"/>
        <w:ind w:left="360"/>
        <w:rPr>
          <w:b/>
          <w:sz w:val="24"/>
          <w:szCs w:val="24"/>
        </w:rPr>
      </w:pPr>
      <w:r w:rsidRPr="0061395A">
        <w:rPr>
          <w:b/>
          <w:sz w:val="24"/>
          <w:szCs w:val="24"/>
        </w:rPr>
        <w:t>Justification</w:t>
      </w:r>
    </w:p>
    <w:p w:rsidR="003D478A" w:rsidRPr="0061395A" w:rsidP="009A3BA2" w14:paraId="43D5C305" w14:textId="5EBD012E">
      <w:pPr>
        <w:numPr>
          <w:ilvl w:val="0"/>
          <w:numId w:val="3"/>
        </w:numPr>
        <w:spacing w:after="240"/>
        <w:rPr>
          <w:b/>
          <w:bCs/>
          <w:sz w:val="22"/>
          <w:szCs w:val="22"/>
        </w:rPr>
      </w:pPr>
      <w:r w:rsidRPr="0061395A">
        <w:rPr>
          <w:b/>
          <w:bCs/>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01AE" w:rsidRPr="0061395A" w:rsidP="009A3BA2" w14:paraId="72FC86F9" w14:textId="74D5519F">
      <w:pPr>
        <w:spacing w:after="240"/>
        <w:ind w:left="720"/>
        <w:rPr>
          <w:sz w:val="22"/>
          <w:szCs w:val="22"/>
        </w:rPr>
      </w:pPr>
      <w:r w:rsidRPr="0061395A">
        <w:rPr>
          <w:sz w:val="22"/>
          <w:szCs w:val="22"/>
        </w:rPr>
        <w:t xml:space="preserve">OPM </w:t>
      </w:r>
      <w:r w:rsidRPr="0061395A" w:rsidR="00256062">
        <w:rPr>
          <w:sz w:val="22"/>
          <w:szCs w:val="22"/>
        </w:rPr>
        <w:t xml:space="preserve">uses </w:t>
      </w:r>
      <w:r w:rsidRPr="0061395A">
        <w:rPr>
          <w:sz w:val="22"/>
          <w:szCs w:val="22"/>
        </w:rPr>
        <w:t>the F</w:t>
      </w:r>
      <w:r w:rsidRPr="0061395A">
        <w:rPr>
          <w:rFonts w:eastAsia="Calibri"/>
          <w:bCs/>
          <w:sz w:val="22"/>
          <w:szCs w:val="22"/>
        </w:rPr>
        <w:t>ederal Employees Dental and Vision Insurance Program</w:t>
      </w:r>
      <w:r w:rsidRPr="0061395A">
        <w:rPr>
          <w:sz w:val="22"/>
          <w:szCs w:val="22"/>
          <w:lang w:val="en"/>
        </w:rPr>
        <w:t xml:space="preserve"> </w:t>
      </w:r>
      <w:r w:rsidRPr="0061395A">
        <w:rPr>
          <w:sz w:val="22"/>
          <w:szCs w:val="22"/>
        </w:rPr>
        <w:t xml:space="preserve">(FEDVIP) enrollment system, known as BENEFEDS, to carry out </w:t>
      </w:r>
      <w:r w:rsidRPr="0061395A" w:rsidR="00256062">
        <w:rPr>
          <w:sz w:val="22"/>
          <w:szCs w:val="22"/>
        </w:rPr>
        <w:t>OPM’s</w:t>
      </w:r>
      <w:r w:rsidRPr="0061395A">
        <w:rPr>
          <w:sz w:val="22"/>
          <w:szCs w:val="22"/>
        </w:rPr>
        <w:t xml:space="preserve"> responsibility</w:t>
      </w:r>
      <w:r w:rsidRPr="0061395A">
        <w:rPr>
          <w:sz w:val="22"/>
          <w:szCs w:val="22"/>
          <w:shd w:val="clear" w:color="auto" w:fill="FFFFFF"/>
        </w:rPr>
        <w:t xml:space="preserve"> to </w:t>
      </w:r>
      <w:r w:rsidRPr="0061395A">
        <w:rPr>
          <w:sz w:val="22"/>
          <w:szCs w:val="22"/>
        </w:rPr>
        <w:t>administer FEDVIP in accordance with 5 U.S.C. chapters 89A and 89B and implementing regulations (5 CFR Part 894)</w:t>
      </w:r>
      <w:r w:rsidRPr="0061395A">
        <w:rPr>
          <w:sz w:val="22"/>
          <w:szCs w:val="22"/>
          <w:lang w:val="en"/>
        </w:rPr>
        <w:t>.</w:t>
      </w:r>
      <w:r w:rsidRPr="0061395A">
        <w:rPr>
          <w:sz w:val="22"/>
          <w:szCs w:val="22"/>
        </w:rPr>
        <w:t xml:space="preserve">  </w:t>
      </w:r>
      <w:r w:rsidRPr="0061395A" w:rsidR="00B7303F">
        <w:rPr>
          <w:sz w:val="22"/>
          <w:szCs w:val="22"/>
        </w:rPr>
        <w:t>L</w:t>
      </w:r>
      <w:r w:rsidRPr="0061395A">
        <w:rPr>
          <w:sz w:val="22"/>
          <w:szCs w:val="22"/>
        </w:rPr>
        <w:t>aw and regulations specify who is eligible to enroll and when an individual may enroll or change enrollment. Eligible individuals use the system to enroll</w:t>
      </w:r>
      <w:r w:rsidRPr="0061395A" w:rsidR="00256062">
        <w:rPr>
          <w:sz w:val="22"/>
          <w:szCs w:val="22"/>
        </w:rPr>
        <w:t xml:space="preserve"> and</w:t>
      </w:r>
      <w:r w:rsidRPr="0061395A">
        <w:rPr>
          <w:sz w:val="22"/>
          <w:szCs w:val="22"/>
        </w:rPr>
        <w:t xml:space="preserve"> change enrollment</w:t>
      </w:r>
      <w:r w:rsidRPr="0061395A" w:rsidR="00256062">
        <w:rPr>
          <w:sz w:val="22"/>
          <w:szCs w:val="22"/>
        </w:rPr>
        <w:t>,</w:t>
      </w:r>
      <w:r w:rsidRPr="0061395A">
        <w:rPr>
          <w:sz w:val="22"/>
          <w:szCs w:val="22"/>
        </w:rPr>
        <w:t xml:space="preserve"> during the annual Federal Benefits Open Season </w:t>
      </w:r>
      <w:r w:rsidRPr="0061395A" w:rsidR="00421C43">
        <w:rPr>
          <w:sz w:val="22"/>
          <w:szCs w:val="22"/>
        </w:rPr>
        <w:t xml:space="preserve">(Open Season) </w:t>
      </w:r>
      <w:r w:rsidRPr="0061395A">
        <w:rPr>
          <w:sz w:val="22"/>
          <w:szCs w:val="22"/>
        </w:rPr>
        <w:t>or when experiencing a qualifying life event</w:t>
      </w:r>
      <w:r w:rsidRPr="0061395A" w:rsidR="00421C43">
        <w:rPr>
          <w:sz w:val="22"/>
          <w:szCs w:val="22"/>
        </w:rPr>
        <w:t xml:space="preserve"> (QLE)</w:t>
      </w:r>
      <w:r w:rsidRPr="0061395A">
        <w:rPr>
          <w:sz w:val="22"/>
          <w:szCs w:val="22"/>
        </w:rPr>
        <w:t xml:space="preserve">. </w:t>
      </w:r>
    </w:p>
    <w:p w:rsidR="00555D48" w:rsidRPr="0061395A" w:rsidP="009A3BA2" w14:paraId="19508E7C" w14:textId="77777777">
      <w:pPr>
        <w:widowControl w:val="0"/>
        <w:numPr>
          <w:ilvl w:val="0"/>
          <w:numId w:val="3"/>
        </w:numPr>
        <w:autoSpaceDE w:val="0"/>
        <w:autoSpaceDN w:val="0"/>
        <w:adjustRightInd w:val="0"/>
        <w:spacing w:after="240"/>
        <w:ind w:right="14"/>
        <w:rPr>
          <w:b/>
          <w:bCs/>
          <w:sz w:val="22"/>
          <w:szCs w:val="22"/>
        </w:rPr>
      </w:pPr>
      <w:r w:rsidRPr="0061395A">
        <w:rPr>
          <w:b/>
          <w:bCs/>
          <w:sz w:val="22"/>
          <w:szCs w:val="22"/>
          <w:shd w:val="clear" w:color="auto" w:fill="FFFFFF"/>
        </w:rPr>
        <w:t xml:space="preserve">Indicate how, by whom, and for what purpose the information is to be used. Except for a new collection, indicate the actual use the agency has made of the information received from the current collection. </w:t>
      </w:r>
    </w:p>
    <w:p w:rsidR="008501AE" w:rsidRPr="0061395A" w:rsidP="009A3BA2" w14:paraId="24557898" w14:textId="36BFA9FA">
      <w:pPr>
        <w:widowControl w:val="0"/>
        <w:autoSpaceDE w:val="0"/>
        <w:autoSpaceDN w:val="0"/>
        <w:adjustRightInd w:val="0"/>
        <w:spacing w:after="240"/>
        <w:ind w:left="720" w:right="14"/>
        <w:rPr>
          <w:sz w:val="22"/>
          <w:szCs w:val="22"/>
        </w:rPr>
      </w:pPr>
      <w:r w:rsidRPr="0061395A">
        <w:rPr>
          <w:sz w:val="22"/>
          <w:szCs w:val="22"/>
          <w:shd w:val="clear" w:color="auto" w:fill="FFFFFF"/>
        </w:rPr>
        <w:t xml:space="preserve">BENEFEDS is used by Federal Civilian and U.S. Postal Service (USPS) employees, retirees (annuitants), survivor annuitants, compensationers, and their eligible family members to enroll and be enrolled in FEDVIP. In addition, BENEFEDS </w:t>
      </w:r>
      <w:r w:rsidRPr="0061395A" w:rsidR="00421C43">
        <w:rPr>
          <w:sz w:val="22"/>
          <w:szCs w:val="22"/>
          <w:shd w:val="clear" w:color="auto" w:fill="FFFFFF"/>
        </w:rPr>
        <w:t>is</w:t>
      </w:r>
      <w:r w:rsidRPr="0061395A">
        <w:rPr>
          <w:sz w:val="22"/>
          <w:szCs w:val="22"/>
          <w:shd w:val="clear" w:color="auto" w:fill="FFFFFF"/>
        </w:rPr>
        <w:t xml:space="preserve"> used by most uniformed services retirees and their families eligible to enroll in dental and vision insurance and most </w:t>
      </w:r>
      <w:r w:rsidRPr="0061395A">
        <w:rPr>
          <w:sz w:val="22"/>
          <w:szCs w:val="22"/>
        </w:rPr>
        <w:t xml:space="preserve">uniformed services active duty family members </w:t>
      </w:r>
      <w:r w:rsidRPr="0061395A">
        <w:rPr>
          <w:sz w:val="22"/>
          <w:szCs w:val="22"/>
          <w:shd w:val="clear" w:color="auto" w:fill="FFFFFF"/>
        </w:rPr>
        <w:t>eligible to enroll in vision insurance under FEDVIP.  BENEFEDS is also used for the collection of FEDVIP premiums from the enrolled populations.</w:t>
      </w:r>
    </w:p>
    <w:p w:rsidR="008501AE" w:rsidRPr="0061395A" w:rsidP="009A3BA2" w14:paraId="65D111B4" w14:textId="51D892DB">
      <w:pPr>
        <w:widowControl w:val="0"/>
        <w:autoSpaceDE w:val="0"/>
        <w:autoSpaceDN w:val="0"/>
        <w:adjustRightInd w:val="0"/>
        <w:spacing w:after="240" w:line="264" w:lineRule="exact"/>
        <w:ind w:left="720" w:right="14"/>
        <w:rPr>
          <w:sz w:val="22"/>
          <w:szCs w:val="22"/>
        </w:rPr>
      </w:pPr>
      <w:r w:rsidRPr="0061395A">
        <w:rPr>
          <w:sz w:val="22"/>
          <w:szCs w:val="22"/>
        </w:rPr>
        <w:t>BENEFEDS is OPM’s approved online portal for enrolling in FEDVIP dental and vision plans. It provides tools for enrollees to confirm eligibility; compare insurance plans; and enroll online. It can be accessed by computer or smartphone.</w:t>
      </w:r>
      <w:r w:rsidRPr="0061395A">
        <w:rPr>
          <w:color w:val="000000"/>
          <w:kern w:val="24"/>
          <w:position w:val="-9"/>
          <w:sz w:val="22"/>
          <w:szCs w:val="22"/>
        </w:rPr>
        <w:t xml:space="preserve"> </w:t>
      </w:r>
      <w:r w:rsidRPr="0061395A">
        <w:rPr>
          <w:sz w:val="22"/>
          <w:szCs w:val="22"/>
        </w:rPr>
        <w:t xml:space="preserve">Once an individual has completed the registration and enrollment, a confirmation page will display with the plan and premium amount, coverage effective date, premium effective date, and covered family members, if applicable. BENEFEDS </w:t>
      </w:r>
      <w:r w:rsidRPr="0061395A" w:rsidR="00EF787D">
        <w:rPr>
          <w:sz w:val="22"/>
          <w:szCs w:val="22"/>
        </w:rPr>
        <w:t xml:space="preserve">is a centralized location that </w:t>
      </w:r>
      <w:r w:rsidRPr="0061395A">
        <w:rPr>
          <w:sz w:val="22"/>
          <w:szCs w:val="22"/>
        </w:rPr>
        <w:t xml:space="preserve">provides the insurance carrier with information necessary to enable the carrier to pay and process claims for the individual and any covered family members, which the carrier would otherwise have to obtain from </w:t>
      </w:r>
      <w:r w:rsidRPr="0061395A" w:rsidR="00F901E9">
        <w:rPr>
          <w:sz w:val="22"/>
          <w:szCs w:val="22"/>
        </w:rPr>
        <w:t xml:space="preserve">each </w:t>
      </w:r>
      <w:r w:rsidRPr="0061395A">
        <w:rPr>
          <w:sz w:val="22"/>
          <w:szCs w:val="22"/>
        </w:rPr>
        <w:t xml:space="preserve">enrollee by other means. The consequences of not collecting the information on enrollment in BENEFEDS would be that some other method of obtaining the same information would have to be developed, tested and </w:t>
      </w:r>
      <w:r w:rsidRPr="0061395A" w:rsidR="00F901E9">
        <w:rPr>
          <w:sz w:val="22"/>
          <w:szCs w:val="22"/>
        </w:rPr>
        <w:t>implemented for each agency payroll office and carrier</w:t>
      </w:r>
      <w:r w:rsidRPr="0061395A">
        <w:rPr>
          <w:sz w:val="22"/>
          <w:szCs w:val="22"/>
        </w:rPr>
        <w:t>.</w:t>
      </w:r>
    </w:p>
    <w:p w:rsidR="008E67D0" w:rsidRPr="0061395A" w:rsidP="008501AE" w14:paraId="196FA1B5" w14:textId="6A9B4CDB">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D64F1" w:rsidP="008C1C8B" w14:paraId="6A5A2E35" w14:textId="77777777">
      <w:pPr>
        <w:widowControl w:val="0"/>
        <w:autoSpaceDE w:val="0"/>
        <w:autoSpaceDN w:val="0"/>
        <w:adjustRightInd w:val="0"/>
        <w:spacing w:line="264" w:lineRule="exact"/>
        <w:ind w:left="720" w:right="14"/>
        <w:rPr>
          <w:sz w:val="22"/>
          <w:szCs w:val="22"/>
        </w:rPr>
      </w:pPr>
      <w:r w:rsidRPr="0061395A">
        <w:rPr>
          <w:sz w:val="22"/>
          <w:szCs w:val="22"/>
        </w:rPr>
        <w:t>BENEFEDS</w:t>
      </w:r>
      <w:r w:rsidRPr="0061395A" w:rsidR="009D58E7">
        <w:rPr>
          <w:sz w:val="22"/>
          <w:szCs w:val="22"/>
        </w:rPr>
        <w:t xml:space="preserve"> is an online enrollment system available online at BENEFEDS.com. Enrollment by phone is permitted and in rare and isolated cir</w:t>
      </w:r>
      <w:r w:rsidRPr="0061395A" w:rsidR="0071697E">
        <w:rPr>
          <w:sz w:val="22"/>
          <w:szCs w:val="22"/>
        </w:rPr>
        <w:t>cumstances paper enrollment has been permitted to accommodate enrollees with unique needs. Completion of the FEDVIP dental and/or vision registration and enrollment forms represent a voluntary election by the respondent, and the information collected can only be obtained from the respondent</w:t>
      </w:r>
      <w:r w:rsidRPr="0061395A" w:rsidR="00FF43D9">
        <w:rPr>
          <w:sz w:val="22"/>
          <w:szCs w:val="22"/>
        </w:rPr>
        <w:t xml:space="preserve">, BENEFEDS.com is Federal Information Security Modernization Act (FISMA) compliant and a Privacy Notice and Privacy Act Statement are posted. </w:t>
      </w:r>
    </w:p>
    <w:p w:rsidR="00857263" w:rsidP="008C1C8B" w14:paraId="2FDD61C2" w14:textId="77777777">
      <w:pPr>
        <w:widowControl w:val="0"/>
        <w:autoSpaceDE w:val="0"/>
        <w:autoSpaceDN w:val="0"/>
        <w:adjustRightInd w:val="0"/>
        <w:spacing w:line="264" w:lineRule="exact"/>
        <w:ind w:left="720" w:right="14"/>
        <w:rPr>
          <w:b/>
          <w:bCs/>
          <w:sz w:val="22"/>
          <w:szCs w:val="22"/>
        </w:rPr>
      </w:pPr>
    </w:p>
    <w:p w:rsidR="00927FCA" w:rsidRPr="00857263" w:rsidP="00857263" w14:paraId="19FBC3D7" w14:textId="6385A9A1">
      <w:pPr>
        <w:pStyle w:val="ListParagraph"/>
        <w:widowControl w:val="0"/>
        <w:numPr>
          <w:ilvl w:val="0"/>
          <w:numId w:val="3"/>
        </w:numPr>
        <w:autoSpaceDE w:val="0"/>
        <w:autoSpaceDN w:val="0"/>
        <w:adjustRightInd w:val="0"/>
        <w:spacing w:line="264" w:lineRule="exact"/>
        <w:ind w:right="14"/>
        <w:rPr>
          <w:b/>
          <w:bCs/>
          <w:sz w:val="22"/>
          <w:szCs w:val="22"/>
        </w:rPr>
      </w:pPr>
      <w:r w:rsidRPr="00857263">
        <w:rPr>
          <w:b/>
          <w:bCs/>
          <w:sz w:val="22"/>
          <w:szCs w:val="22"/>
        </w:rPr>
        <w:t xml:space="preserve">Describe efforts to identify duplication. Show specifically why any similar information already </w:t>
      </w:r>
      <w:r w:rsidRPr="00857263">
        <w:rPr>
          <w:b/>
          <w:bCs/>
          <w:sz w:val="22"/>
          <w:szCs w:val="22"/>
        </w:rPr>
        <w:t>available cannot be used or modified for use for the purposes described in Item 2 above.</w:t>
      </w:r>
    </w:p>
    <w:p w:rsidR="008501AE" w:rsidRPr="0061395A" w:rsidP="009A3BA2" w14:paraId="5B62D37B" w14:textId="5F090CB3">
      <w:pPr>
        <w:widowControl w:val="0"/>
        <w:autoSpaceDE w:val="0"/>
        <w:autoSpaceDN w:val="0"/>
        <w:adjustRightInd w:val="0"/>
        <w:spacing w:after="240" w:line="264" w:lineRule="exact"/>
        <w:ind w:left="720" w:right="14"/>
        <w:rPr>
          <w:sz w:val="22"/>
          <w:szCs w:val="22"/>
        </w:rPr>
      </w:pPr>
      <w:r w:rsidRPr="0061395A">
        <w:rPr>
          <w:sz w:val="22"/>
          <w:szCs w:val="22"/>
        </w:rPr>
        <w:t xml:space="preserve">Every effort is made to identify and avoid duplication. The number of times respondents are required to complete the FEDVIP dental and vision form(s) is kept to a minimum. After initial registration and enrollment, completion of a new form is </w:t>
      </w:r>
      <w:r w:rsidRPr="0061395A" w:rsidR="00387DEF">
        <w:rPr>
          <w:sz w:val="22"/>
          <w:szCs w:val="22"/>
        </w:rPr>
        <w:t>not</w:t>
      </w:r>
      <w:r w:rsidRPr="0061395A" w:rsidR="009472FB">
        <w:rPr>
          <w:sz w:val="22"/>
          <w:szCs w:val="22"/>
        </w:rPr>
        <w:t xml:space="preserve"> </w:t>
      </w:r>
      <w:r w:rsidRPr="0061395A">
        <w:rPr>
          <w:sz w:val="22"/>
          <w:szCs w:val="22"/>
        </w:rPr>
        <w:t>required</w:t>
      </w:r>
      <w:r w:rsidRPr="0061395A" w:rsidR="009472FB">
        <w:rPr>
          <w:sz w:val="22"/>
          <w:szCs w:val="22"/>
        </w:rPr>
        <w:t>,</w:t>
      </w:r>
      <w:r w:rsidRPr="0061395A">
        <w:rPr>
          <w:sz w:val="22"/>
          <w:szCs w:val="22"/>
        </w:rPr>
        <w:t xml:space="preserve"> only </w:t>
      </w:r>
      <w:r w:rsidRPr="0061395A" w:rsidR="009472FB">
        <w:rPr>
          <w:sz w:val="22"/>
          <w:szCs w:val="22"/>
        </w:rPr>
        <w:t xml:space="preserve">adjustments to accounts </w:t>
      </w:r>
      <w:r w:rsidRPr="0061395A">
        <w:rPr>
          <w:sz w:val="22"/>
          <w:szCs w:val="22"/>
        </w:rPr>
        <w:t>when the individual desires to make a change in his or her vision or dental insurance enrollment status or to change plans during Open Season or if the enrollee experiences a</w:t>
      </w:r>
      <w:r w:rsidRPr="0061395A" w:rsidR="009472FB">
        <w:rPr>
          <w:sz w:val="22"/>
          <w:szCs w:val="22"/>
        </w:rPr>
        <w:t xml:space="preserve"> qualifying life event</w:t>
      </w:r>
      <w:r w:rsidRPr="0061395A">
        <w:rPr>
          <w:sz w:val="22"/>
          <w:szCs w:val="22"/>
        </w:rPr>
        <w:t xml:space="preserve"> </w:t>
      </w:r>
      <w:r w:rsidRPr="0061395A" w:rsidR="009472FB">
        <w:rPr>
          <w:sz w:val="22"/>
          <w:szCs w:val="22"/>
        </w:rPr>
        <w:t>(</w:t>
      </w:r>
      <w:r w:rsidRPr="0061395A">
        <w:rPr>
          <w:sz w:val="22"/>
          <w:szCs w:val="22"/>
        </w:rPr>
        <w:t>QLE</w:t>
      </w:r>
      <w:r w:rsidRPr="0061395A" w:rsidR="009472FB">
        <w:rPr>
          <w:sz w:val="22"/>
          <w:szCs w:val="22"/>
        </w:rPr>
        <w:t>)</w:t>
      </w:r>
      <w:r w:rsidRPr="0061395A" w:rsidR="008A6E38">
        <w:rPr>
          <w:sz w:val="22"/>
          <w:szCs w:val="22"/>
        </w:rPr>
        <w:t>, such as birth or acquisition of a child</w:t>
      </w:r>
      <w:r w:rsidRPr="0061395A">
        <w:rPr>
          <w:sz w:val="22"/>
          <w:szCs w:val="22"/>
        </w:rPr>
        <w:t>.</w:t>
      </w:r>
      <w:r w:rsidRPr="0061395A" w:rsidR="008A6E38">
        <w:rPr>
          <w:sz w:val="22"/>
          <w:szCs w:val="22"/>
        </w:rPr>
        <w:t xml:space="preserve"> QLEs are certain life events that allow an individual to enroll in FEDVIP or make changes to an existing FEDVIP plan outside of Open Season</w:t>
      </w:r>
      <w:r w:rsidRPr="0061395A" w:rsidR="00C406F4">
        <w:rPr>
          <w:sz w:val="22"/>
          <w:szCs w:val="22"/>
        </w:rPr>
        <w:t xml:space="preserve">. Like the Federal Employees Health Benefits (FEHB) Program, enrollment continues automatically each year, unless the coverage is cancelled. </w:t>
      </w:r>
    </w:p>
    <w:p w:rsidR="002A09B2" w:rsidRPr="0061395A" w:rsidP="00772A32" w14:paraId="07080EFA" w14:textId="77777777">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If the collection of information impacts small businesses or other small entities, describe any methods used to minimize burden.</w:t>
      </w:r>
    </w:p>
    <w:p w:rsidR="00772A32" w:rsidRPr="0061395A" w:rsidP="009A3BA2" w14:paraId="414FAE07" w14:textId="25B4DB0C">
      <w:pPr>
        <w:widowControl w:val="0"/>
        <w:autoSpaceDE w:val="0"/>
        <w:autoSpaceDN w:val="0"/>
        <w:adjustRightInd w:val="0"/>
        <w:spacing w:after="240" w:line="264" w:lineRule="exact"/>
        <w:ind w:left="720" w:right="14"/>
        <w:rPr>
          <w:sz w:val="22"/>
          <w:szCs w:val="22"/>
        </w:rPr>
      </w:pPr>
      <w:r w:rsidRPr="0061395A">
        <w:rPr>
          <w:sz w:val="22"/>
          <w:szCs w:val="22"/>
        </w:rPr>
        <w:t>This information is not collected from small businesses.</w:t>
      </w:r>
    </w:p>
    <w:p w:rsidR="002E5272" w:rsidRPr="0061395A" w:rsidP="008501AE" w14:paraId="67DF942D" w14:textId="77777777">
      <w:pPr>
        <w:numPr>
          <w:ilvl w:val="0"/>
          <w:numId w:val="3"/>
        </w:numPr>
        <w:rPr>
          <w:b/>
          <w:bCs/>
          <w:i/>
          <w:color w:val="000000"/>
          <w:sz w:val="22"/>
          <w:szCs w:val="22"/>
        </w:rPr>
      </w:pPr>
      <w:r w:rsidRPr="0061395A">
        <w:rPr>
          <w:b/>
          <w:bCs/>
          <w:sz w:val="22"/>
          <w:szCs w:val="22"/>
        </w:rPr>
        <w:t>Describe the consequence to Federal program or policy activities if the collection is not conducted or is conducted less frequently, as well as any technical or legal obstacles to reducing burden.</w:t>
      </w:r>
    </w:p>
    <w:p w:rsidR="008501AE" w:rsidRPr="00AD53A8" w:rsidP="009A3BA2" w14:paraId="28D41C89" w14:textId="5C872AE3">
      <w:pPr>
        <w:spacing w:after="240"/>
        <w:ind w:left="720"/>
        <w:rPr>
          <w:i/>
          <w:color w:val="000000"/>
          <w:sz w:val="22"/>
          <w:szCs w:val="22"/>
        </w:rPr>
      </w:pPr>
      <w:r w:rsidRPr="0061395A">
        <w:rPr>
          <w:sz w:val="22"/>
          <w:szCs w:val="22"/>
        </w:rPr>
        <w:t xml:space="preserve">If this information </w:t>
      </w:r>
      <w:r w:rsidRPr="0061395A" w:rsidR="00256062">
        <w:rPr>
          <w:sz w:val="22"/>
          <w:szCs w:val="22"/>
        </w:rPr>
        <w:t>were</w:t>
      </w:r>
      <w:r w:rsidRPr="0061395A">
        <w:rPr>
          <w:sz w:val="22"/>
          <w:szCs w:val="22"/>
        </w:rPr>
        <w:t xml:space="preserve"> not collected, respondents </w:t>
      </w:r>
      <w:r w:rsidRPr="0061395A" w:rsidR="00256062">
        <w:rPr>
          <w:sz w:val="22"/>
          <w:szCs w:val="22"/>
        </w:rPr>
        <w:t xml:space="preserve">could </w:t>
      </w:r>
      <w:r w:rsidRPr="0061395A">
        <w:rPr>
          <w:sz w:val="22"/>
          <w:szCs w:val="22"/>
        </w:rPr>
        <w:t xml:space="preserve">not enroll in FEDVIP or make changes to their dental and vision insurance enrollment, and premium collection could not be facilitated. The only way to reduce the burden would be to restrict an enrollee’s choice to make changes to </w:t>
      </w:r>
      <w:r w:rsidRPr="0061395A" w:rsidR="00F35505">
        <w:rPr>
          <w:sz w:val="22"/>
          <w:szCs w:val="22"/>
        </w:rPr>
        <w:t>their</w:t>
      </w:r>
      <w:r w:rsidRPr="0061395A">
        <w:rPr>
          <w:sz w:val="22"/>
          <w:szCs w:val="22"/>
        </w:rPr>
        <w:t xml:space="preserve"> enrollment, which would require making changes in current regulation.</w:t>
      </w:r>
      <w:r w:rsidR="00AD53A8">
        <w:rPr>
          <w:sz w:val="22"/>
          <w:szCs w:val="22"/>
        </w:rPr>
        <w:t xml:space="preserve"> </w:t>
      </w:r>
      <w:r w:rsidRPr="00AD53A8" w:rsidR="002E424C">
        <w:rPr>
          <w:sz w:val="22"/>
          <w:szCs w:val="22"/>
        </w:rPr>
        <w:t>Also, restricting an enrollee’s choice to make changes could mean that the enrollee may not receive the benefits, if the change is based on an address change outside of the carrier’s service area.</w:t>
      </w:r>
    </w:p>
    <w:p w:rsidR="00FC310F" w:rsidRPr="0061395A" w:rsidP="005071C0" w14:paraId="304C7499" w14:textId="77777777">
      <w:pPr>
        <w:widowControl w:val="0"/>
        <w:numPr>
          <w:ilvl w:val="0"/>
          <w:numId w:val="3"/>
        </w:numPr>
        <w:autoSpaceDE w:val="0"/>
        <w:autoSpaceDN w:val="0"/>
        <w:adjustRightInd w:val="0"/>
        <w:spacing w:line="264" w:lineRule="exact"/>
        <w:ind w:right="14"/>
        <w:rPr>
          <w:b/>
          <w:bCs/>
          <w:sz w:val="22"/>
          <w:szCs w:val="22"/>
        </w:rPr>
      </w:pPr>
      <w:r w:rsidRPr="0061395A">
        <w:rPr>
          <w:b/>
          <w:bCs/>
          <w:sz w:val="22"/>
          <w:szCs w:val="22"/>
        </w:rPr>
        <w:t xml:space="preserve">Explain any special circumstances that would cause an information collection to be conducted in a manner: </w:t>
      </w:r>
    </w:p>
    <w:p w:rsidR="00F972FC" w:rsidRPr="0061395A" w:rsidP="00F972FC" w14:paraId="1A9A6F56" w14:textId="1C7EE456">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requiring respondents to report information to the agency more often than </w:t>
      </w:r>
      <w:r w:rsidRPr="0061395A">
        <w:rPr>
          <w:b/>
          <w:bCs/>
          <w:sz w:val="22"/>
          <w:szCs w:val="22"/>
        </w:rPr>
        <w:t>quarterly;</w:t>
      </w:r>
    </w:p>
    <w:p w:rsidR="002C136B" w:rsidRPr="0061395A" w:rsidP="00F972FC" w14:paraId="45932D66" w14:textId="5B39468A">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requiring respondents to prepare a written response to a collection of information in fewer than 30 days after receipt of </w:t>
      </w:r>
      <w:r w:rsidRPr="0061395A">
        <w:rPr>
          <w:b/>
          <w:bCs/>
          <w:sz w:val="22"/>
          <w:szCs w:val="22"/>
        </w:rPr>
        <w:t>it;</w:t>
      </w:r>
    </w:p>
    <w:p w:rsidR="00A84F31" w:rsidRPr="0061395A" w:rsidP="00F972FC" w14:paraId="355CBB6F" w14:textId="54D7D6FE">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requiring respondents to submit more than an original and two copies of any </w:t>
      </w:r>
      <w:r w:rsidRPr="0061395A">
        <w:rPr>
          <w:b/>
          <w:bCs/>
          <w:sz w:val="22"/>
          <w:szCs w:val="22"/>
        </w:rPr>
        <w:t>document;</w:t>
      </w:r>
    </w:p>
    <w:p w:rsidR="004C5897" w:rsidRPr="0061395A" w:rsidP="00F972FC" w14:paraId="2B5C96BC" w14:textId="4402B0E3">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retain records, other than health, medical, government contract, grant</w:t>
      </w:r>
      <w:r w:rsidRPr="0061395A" w:rsidR="00CC5CEB">
        <w:rPr>
          <w:b/>
          <w:bCs/>
          <w:sz w:val="22"/>
          <w:szCs w:val="22"/>
        </w:rPr>
        <w:t>-</w:t>
      </w:r>
      <w:r w:rsidRPr="0061395A">
        <w:rPr>
          <w:b/>
          <w:bCs/>
          <w:sz w:val="22"/>
          <w:szCs w:val="22"/>
        </w:rPr>
        <w:t>in</w:t>
      </w:r>
      <w:r w:rsidRPr="0061395A" w:rsidR="00CC5CEB">
        <w:rPr>
          <w:b/>
          <w:bCs/>
          <w:sz w:val="22"/>
          <w:szCs w:val="22"/>
        </w:rPr>
        <w:t>-</w:t>
      </w:r>
      <w:r w:rsidRPr="0061395A">
        <w:rPr>
          <w:b/>
          <w:bCs/>
          <w:sz w:val="22"/>
          <w:szCs w:val="22"/>
        </w:rPr>
        <w:t xml:space="preserve">aid, or tax records, for more than three </w:t>
      </w:r>
      <w:r w:rsidRPr="0061395A">
        <w:rPr>
          <w:b/>
          <w:bCs/>
          <w:sz w:val="22"/>
          <w:szCs w:val="22"/>
        </w:rPr>
        <w:t>years;</w:t>
      </w:r>
      <w:r w:rsidRPr="0061395A">
        <w:rPr>
          <w:b/>
          <w:bCs/>
          <w:sz w:val="22"/>
          <w:szCs w:val="22"/>
        </w:rPr>
        <w:t xml:space="preserve"> </w:t>
      </w:r>
    </w:p>
    <w:p w:rsidR="00CC5CEB" w:rsidRPr="0061395A" w:rsidP="00F972FC" w14:paraId="1FC972E9" w14:textId="68E4AB91">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in connection with a statistical survey, that is not designed to produce valid and reliable results that can be generalized to the universe of </w:t>
      </w:r>
      <w:r w:rsidRPr="0061395A">
        <w:rPr>
          <w:b/>
          <w:bCs/>
          <w:sz w:val="22"/>
          <w:szCs w:val="22"/>
        </w:rPr>
        <w:t>study;</w:t>
      </w:r>
    </w:p>
    <w:p w:rsidR="00BD7ED4" w:rsidRPr="0061395A" w:rsidP="00F972FC" w14:paraId="5C6BB55F" w14:textId="2097E538">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 xml:space="preserve">requiring the use of </w:t>
      </w:r>
      <w:r w:rsidRPr="0061395A" w:rsidR="00AC2AF3">
        <w:rPr>
          <w:b/>
          <w:bCs/>
          <w:sz w:val="22"/>
          <w:szCs w:val="22"/>
        </w:rPr>
        <w:t xml:space="preserve">a </w:t>
      </w:r>
      <w:r w:rsidRPr="0061395A">
        <w:rPr>
          <w:b/>
          <w:bCs/>
          <w:sz w:val="22"/>
          <w:szCs w:val="22"/>
        </w:rPr>
        <w:t>statistical data</w:t>
      </w:r>
      <w:r w:rsidRPr="0061395A" w:rsidR="00AC2AF3">
        <w:rPr>
          <w:b/>
          <w:bCs/>
          <w:sz w:val="22"/>
          <w:szCs w:val="22"/>
        </w:rPr>
        <w:t xml:space="preserve"> classification that </w:t>
      </w:r>
      <w:r w:rsidRPr="0061395A" w:rsidR="00AC2AF3">
        <w:rPr>
          <w:b/>
          <w:bCs/>
          <w:sz w:val="22"/>
          <w:szCs w:val="22"/>
        </w:rPr>
        <w:t>have</w:t>
      </w:r>
      <w:r w:rsidRPr="0061395A" w:rsidR="00AC2AF3">
        <w:rPr>
          <w:b/>
          <w:bCs/>
          <w:sz w:val="22"/>
          <w:szCs w:val="22"/>
        </w:rPr>
        <w:t xml:space="preserve"> not been reviewed and approved by </w:t>
      </w:r>
      <w:r w:rsidRPr="0061395A" w:rsidR="00AC2AF3">
        <w:rPr>
          <w:b/>
          <w:bCs/>
          <w:sz w:val="22"/>
          <w:szCs w:val="22"/>
        </w:rPr>
        <w:t>OMB;</w:t>
      </w:r>
    </w:p>
    <w:p w:rsidR="00AC2AF3" w:rsidRPr="0061395A" w:rsidP="00F972FC" w14:paraId="2C53B247" w14:textId="3EE3E980">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that includes a pledge of confidentiality that is not supported by authority established in statute or regulation, that is not supported by disclosure and data security policies that a consistent with the pledge, or which unnecessarily impedes sharing of data with other agencies for compatible confidential use; or</w:t>
      </w:r>
    </w:p>
    <w:p w:rsidR="00651326" w:rsidRPr="0061395A" w:rsidP="000C542F" w14:paraId="6FBC478F" w14:textId="31E84039">
      <w:pPr>
        <w:widowControl w:val="0"/>
        <w:numPr>
          <w:ilvl w:val="0"/>
          <w:numId w:val="5"/>
        </w:numPr>
        <w:autoSpaceDE w:val="0"/>
        <w:autoSpaceDN w:val="0"/>
        <w:adjustRightInd w:val="0"/>
        <w:spacing w:line="264" w:lineRule="exact"/>
        <w:ind w:right="14"/>
        <w:rPr>
          <w:b/>
          <w:bCs/>
          <w:sz w:val="22"/>
          <w:szCs w:val="22"/>
        </w:rPr>
      </w:pPr>
      <w:r w:rsidRPr="0061395A">
        <w:rPr>
          <w:b/>
          <w:bCs/>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9A3BA2" w:rsidRPr="0061395A" w:rsidP="009A3BA2" w14:paraId="7B9821F9" w14:textId="77777777">
      <w:pPr>
        <w:widowControl w:val="0"/>
        <w:autoSpaceDE w:val="0"/>
        <w:autoSpaceDN w:val="0"/>
        <w:adjustRightInd w:val="0"/>
        <w:spacing w:after="240" w:line="264" w:lineRule="exact"/>
        <w:ind w:left="720" w:right="14"/>
        <w:rPr>
          <w:sz w:val="22"/>
          <w:szCs w:val="22"/>
        </w:rPr>
      </w:pPr>
      <w:r w:rsidRPr="0061395A">
        <w:rPr>
          <w:sz w:val="22"/>
          <w:szCs w:val="22"/>
        </w:rPr>
        <w:t xml:space="preserve">Respondents are required to report certain information for purposes of FEDVIP premiums being deducted from payroll or an annuity. Specific events and criteria (such as marriage, birth or acquisition of a child, </w:t>
      </w:r>
      <w:r w:rsidRPr="0061395A">
        <w:rPr>
          <w:sz w:val="22"/>
          <w:szCs w:val="22"/>
          <w:lang w:val="en"/>
        </w:rPr>
        <w:t>move out of a regional plan’s service area</w:t>
      </w:r>
      <w:r w:rsidRPr="0061395A">
        <w:rPr>
          <w:sz w:val="22"/>
          <w:szCs w:val="22"/>
        </w:rPr>
        <w:t xml:space="preserve">) must be met </w:t>
      </w:r>
      <w:r w:rsidRPr="0061395A">
        <w:rPr>
          <w:sz w:val="22"/>
          <w:szCs w:val="22"/>
        </w:rPr>
        <w:t>in order to</w:t>
      </w:r>
      <w:r w:rsidRPr="0061395A">
        <w:rPr>
          <w:sz w:val="22"/>
          <w:szCs w:val="22"/>
        </w:rPr>
        <w:t xml:space="preserve"> make changes at times of the year other than the annual Federal Benefits Open Season. Since these opportunities are set by regulation and represent changes in an individual's circumstances which may or may not be under his or her control, there is no way to predict or control how often changes are requested.</w:t>
      </w:r>
    </w:p>
    <w:p w:rsidR="005071C0" w:rsidRPr="0061395A" w:rsidP="009A3BA2" w14:paraId="70FE0399" w14:textId="0110C668">
      <w:pPr>
        <w:widowControl w:val="0"/>
        <w:autoSpaceDE w:val="0"/>
        <w:autoSpaceDN w:val="0"/>
        <w:adjustRightInd w:val="0"/>
        <w:spacing w:after="240" w:line="264" w:lineRule="exact"/>
        <w:ind w:left="720" w:right="14"/>
        <w:rPr>
          <w:sz w:val="22"/>
          <w:szCs w:val="22"/>
        </w:rPr>
      </w:pPr>
      <w:r w:rsidRPr="0061395A">
        <w:rPr>
          <w:sz w:val="22"/>
          <w:szCs w:val="22"/>
        </w:rPr>
        <w:t>No other circumstances listed in this question apply to this collection.</w:t>
      </w:r>
    </w:p>
    <w:p w:rsidR="00056717" w:rsidRPr="0061395A" w:rsidP="00287E6C" w14:paraId="6A8E9A09" w14:textId="4164EB35">
      <w:pPr>
        <w:widowControl w:val="0"/>
        <w:numPr>
          <w:ilvl w:val="0"/>
          <w:numId w:val="3"/>
        </w:numPr>
        <w:autoSpaceDE w:val="0"/>
        <w:autoSpaceDN w:val="0"/>
        <w:adjustRightInd w:val="0"/>
        <w:spacing w:line="264" w:lineRule="exact"/>
        <w:ind w:right="14"/>
        <w:rPr>
          <w:b/>
          <w:bCs/>
          <w:sz w:val="22"/>
          <w:szCs w:val="22"/>
        </w:rPr>
      </w:pPr>
      <w:r w:rsidRPr="0061395A">
        <w:rPr>
          <w:b/>
          <w:bCs/>
          <w:color w:val="000000"/>
          <w:sz w:val="22"/>
          <w:szCs w:val="22"/>
        </w:rPr>
        <w:t xml:space="preserve">If applicable, provide a copy and identify the date and page number of </w:t>
      </w:r>
      <w:r w:rsidRPr="0061395A">
        <w:rPr>
          <w:b/>
          <w:bCs/>
          <w:color w:val="000000"/>
          <w:sz w:val="22"/>
          <w:szCs w:val="22"/>
        </w:rPr>
        <w:t>publication</w:t>
      </w:r>
      <w:r w:rsidRPr="0061395A">
        <w:rPr>
          <w:b/>
          <w:bCs/>
          <w:color w:val="000000"/>
          <w:sz w:val="22"/>
          <w:szCs w:val="22"/>
        </w:rPr>
        <w:t xml:space="preserve"> in the Federal </w:t>
      </w:r>
      <w:r w:rsidRPr="0061395A">
        <w:rPr>
          <w:b/>
          <w:bCs/>
          <w:color w:val="000000"/>
          <w:sz w:val="22"/>
          <w:szCs w:val="22"/>
        </w:rPr>
        <w:t>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reported. disclosed, or Consultation with representatives of those from whom information is to be obtained or those who must compile records should occur at least once every 3 years even if the collection information activity is the same as in prior periods. There may be circumstances that may preclude consultation in a specific situation. These circumstances should be explained.</w:t>
      </w:r>
    </w:p>
    <w:p w:rsidR="004D37DD" w:rsidRPr="0061395A" w:rsidP="009A3BA2" w14:paraId="476F7764" w14:textId="1697EC1C">
      <w:pPr>
        <w:widowControl w:val="0"/>
        <w:autoSpaceDE w:val="0"/>
        <w:autoSpaceDN w:val="0"/>
        <w:adjustRightInd w:val="0"/>
        <w:spacing w:after="240" w:line="264" w:lineRule="exact"/>
        <w:ind w:left="720" w:right="14"/>
        <w:rPr>
          <w:sz w:val="22"/>
          <w:szCs w:val="22"/>
        </w:rPr>
      </w:pPr>
      <w:r w:rsidRPr="35009804" w:rsidR="5D0E7C6F">
        <w:rPr>
          <w:color w:val="000000" w:themeColor="text1" w:themeShade="FF" w:themeTint="FF"/>
          <w:sz w:val="22"/>
          <w:szCs w:val="22"/>
        </w:rPr>
        <w:t>On</w:t>
      </w:r>
      <w:r w:rsidRPr="35009804" w:rsidR="1C5A9E86">
        <w:rPr>
          <w:color w:val="000000" w:themeColor="text1" w:themeShade="FF" w:themeTint="FF"/>
          <w:sz w:val="22"/>
          <w:szCs w:val="22"/>
        </w:rPr>
        <w:t xml:space="preserve"> </w:t>
      </w:r>
      <w:r w:rsidRPr="35009804" w:rsidR="1556F170">
        <w:rPr>
          <w:color w:val="000000" w:themeColor="text1" w:themeShade="FF" w:themeTint="FF"/>
          <w:sz w:val="22"/>
          <w:szCs w:val="22"/>
        </w:rPr>
        <w:t>April 2</w:t>
      </w:r>
      <w:r w:rsidRPr="35009804" w:rsidR="29CFB633">
        <w:rPr>
          <w:color w:val="000000" w:themeColor="text1" w:themeShade="FF" w:themeTint="FF"/>
          <w:sz w:val="22"/>
          <w:szCs w:val="22"/>
        </w:rPr>
        <w:t>5</w:t>
      </w:r>
      <w:r w:rsidRPr="35009804" w:rsidR="1556F170">
        <w:rPr>
          <w:color w:val="000000" w:themeColor="text1" w:themeShade="FF" w:themeTint="FF"/>
          <w:sz w:val="22"/>
          <w:szCs w:val="22"/>
        </w:rPr>
        <w:t>, 2025</w:t>
      </w:r>
      <w:r w:rsidRPr="35009804" w:rsidR="5D0E7C6F">
        <w:rPr>
          <w:color w:val="000000" w:themeColor="text1" w:themeShade="FF" w:themeTint="FF"/>
          <w:sz w:val="22"/>
          <w:szCs w:val="22"/>
        </w:rPr>
        <w:t xml:space="preserve">, </w:t>
      </w:r>
      <w:r w:rsidRPr="35009804" w:rsidR="65FB2CB6">
        <w:rPr>
          <w:color w:val="000000" w:themeColor="text1" w:themeShade="FF" w:themeTint="FF"/>
          <w:sz w:val="22"/>
          <w:szCs w:val="22"/>
        </w:rPr>
        <w:t>OPM publish</w:t>
      </w:r>
      <w:r w:rsidRPr="35009804" w:rsidR="5D0E7C6F">
        <w:rPr>
          <w:color w:val="000000" w:themeColor="text1" w:themeShade="FF" w:themeTint="FF"/>
          <w:sz w:val="22"/>
          <w:szCs w:val="22"/>
        </w:rPr>
        <w:t>ed</w:t>
      </w:r>
      <w:r w:rsidRPr="35009804" w:rsidR="65FB2CB6">
        <w:rPr>
          <w:color w:val="000000" w:themeColor="text1" w:themeShade="FF" w:themeTint="FF"/>
          <w:sz w:val="22"/>
          <w:szCs w:val="22"/>
        </w:rPr>
        <w:t xml:space="preserve"> </w:t>
      </w:r>
      <w:r w:rsidRPr="35009804" w:rsidR="1556F170">
        <w:rPr>
          <w:color w:val="000000" w:themeColor="text1" w:themeShade="FF" w:themeTint="FF"/>
          <w:sz w:val="22"/>
          <w:szCs w:val="22"/>
        </w:rPr>
        <w:t>a 60 Day Notice</w:t>
      </w:r>
      <w:r w:rsidRPr="35009804" w:rsidR="351BC018">
        <w:rPr>
          <w:color w:val="000000" w:themeColor="text1" w:themeShade="FF" w:themeTint="FF"/>
          <w:sz w:val="22"/>
          <w:szCs w:val="22"/>
        </w:rPr>
        <w:t xml:space="preserve"> </w:t>
      </w:r>
      <w:r w:rsidRPr="35009804" w:rsidR="65FB2CB6">
        <w:rPr>
          <w:color w:val="000000" w:themeColor="text1" w:themeShade="FF" w:themeTint="FF"/>
          <w:sz w:val="22"/>
          <w:szCs w:val="22"/>
        </w:rPr>
        <w:t>in the Federal Register</w:t>
      </w:r>
      <w:r w:rsidRPr="35009804" w:rsidR="1C5A9E86">
        <w:rPr>
          <w:color w:val="000000" w:themeColor="text1" w:themeShade="FF" w:themeTint="FF"/>
          <w:sz w:val="22"/>
          <w:szCs w:val="22"/>
        </w:rPr>
        <w:t xml:space="preserve"> </w:t>
      </w:r>
      <w:r w:rsidRPr="35009804" w:rsidR="1556F170">
        <w:rPr>
          <w:color w:val="000000" w:themeColor="text1" w:themeShade="FF" w:themeTint="FF"/>
          <w:sz w:val="22"/>
          <w:szCs w:val="22"/>
        </w:rPr>
        <w:t>(</w:t>
      </w:r>
      <w:r w:rsidRPr="35009804" w:rsidR="1556F170">
        <w:rPr>
          <w:color w:val="000000" w:themeColor="text1" w:themeShade="FF" w:themeTint="FF"/>
          <w:sz w:val="22"/>
          <w:szCs w:val="22"/>
        </w:rPr>
        <w:t>90 FR 17471</w:t>
      </w:r>
      <w:r w:rsidRPr="35009804" w:rsidR="1556F170">
        <w:rPr>
          <w:color w:val="000000" w:themeColor="text1" w:themeShade="FF" w:themeTint="FF"/>
          <w:sz w:val="22"/>
          <w:szCs w:val="22"/>
        </w:rPr>
        <w:t>)</w:t>
      </w:r>
      <w:r w:rsidRPr="35009804" w:rsidR="2A9655BB">
        <w:rPr>
          <w:color w:val="000000" w:themeColor="text1" w:themeShade="FF" w:themeTint="FF"/>
          <w:sz w:val="22"/>
          <w:szCs w:val="22"/>
        </w:rPr>
        <w:t>.</w:t>
      </w:r>
      <w:r w:rsidRPr="35009804" w:rsidR="5D0E7C6F">
        <w:rPr>
          <w:color w:val="000000" w:themeColor="text1" w:themeShade="FF" w:themeTint="FF"/>
          <w:sz w:val="22"/>
          <w:szCs w:val="22"/>
        </w:rPr>
        <w:t xml:space="preserve"> Two comments have been received</w:t>
      </w:r>
      <w:r w:rsidRPr="35009804" w:rsidR="6BD6B546">
        <w:rPr>
          <w:color w:val="000000" w:themeColor="text1" w:themeShade="FF" w:themeTint="FF"/>
          <w:sz w:val="22"/>
          <w:szCs w:val="22"/>
        </w:rPr>
        <w:t xml:space="preserve">. </w:t>
      </w:r>
      <w:r w:rsidRPr="35009804" w:rsidR="6A0E750A">
        <w:rPr>
          <w:color w:val="000000" w:themeColor="text1" w:themeShade="FF" w:themeTint="FF"/>
          <w:sz w:val="22"/>
          <w:szCs w:val="22"/>
        </w:rPr>
        <w:t>Two (2) comments were received. One commenter commented on OPM changing information to align with E.O. 14168. The commenter responded to OPM's plans to change information relating to gender by raising concerns of discrimination, impacts on mental health and health equity, labor rights and equal access, accessibility of digital access for low-income and rural communities, enforcement transparency, and the impact of federal workers' dignity. OPM thanks the commenter for their submission. As a federal agency, OPM must comply with Section 3(e) of E.O. 14168 requiring forms to list an individual's sex as male or female and not request gender identity.</w:t>
      </w:r>
    </w:p>
    <w:p w:rsidR="007856B9" w:rsidRPr="0061395A" w:rsidP="008F4406" w14:paraId="3D4D6D8F" w14:textId="77777777">
      <w:pPr>
        <w:numPr>
          <w:ilvl w:val="0"/>
          <w:numId w:val="3"/>
        </w:numPr>
        <w:rPr>
          <w:b/>
          <w:bCs/>
          <w:i/>
          <w:color w:val="000000"/>
          <w:sz w:val="22"/>
          <w:szCs w:val="22"/>
        </w:rPr>
      </w:pPr>
      <w:r w:rsidRPr="0061395A">
        <w:rPr>
          <w:b/>
          <w:bCs/>
          <w:sz w:val="22"/>
          <w:szCs w:val="22"/>
        </w:rPr>
        <w:t>Explain any decision to provide any payment or gift to respondents, other of than remuneration of contractors or grantees.</w:t>
      </w:r>
    </w:p>
    <w:p w:rsidR="008F4406" w:rsidRPr="0061395A" w:rsidP="009A3BA2" w14:paraId="3E3FA838" w14:textId="6BFF542F">
      <w:pPr>
        <w:spacing w:after="240"/>
        <w:ind w:left="720"/>
        <w:rPr>
          <w:i/>
          <w:color w:val="000000"/>
          <w:sz w:val="22"/>
          <w:szCs w:val="22"/>
        </w:rPr>
      </w:pPr>
      <w:r w:rsidRPr="0061395A">
        <w:rPr>
          <w:sz w:val="22"/>
          <w:szCs w:val="22"/>
        </w:rPr>
        <w:t xml:space="preserve">No </w:t>
      </w:r>
      <w:r w:rsidRPr="0061395A">
        <w:rPr>
          <w:bCs/>
          <w:sz w:val="22"/>
          <w:szCs w:val="22"/>
        </w:rPr>
        <w:t>payments or gifts will be given to respondents</w:t>
      </w:r>
      <w:r w:rsidRPr="0061395A">
        <w:rPr>
          <w:sz w:val="22"/>
          <w:szCs w:val="22"/>
        </w:rPr>
        <w:t>.</w:t>
      </w:r>
    </w:p>
    <w:p w:rsidR="0057061C" w:rsidRPr="0061395A" w:rsidP="008501AE" w14:paraId="07B44FF9" w14:textId="306C1F8B">
      <w:pPr>
        <w:numPr>
          <w:ilvl w:val="0"/>
          <w:numId w:val="3"/>
        </w:numPr>
        <w:rPr>
          <w:b/>
          <w:bCs/>
          <w:i/>
          <w:color w:val="000000"/>
          <w:sz w:val="22"/>
          <w:szCs w:val="22"/>
        </w:rPr>
      </w:pPr>
      <w:r w:rsidRPr="0061395A">
        <w:rPr>
          <w:b/>
          <w:bCs/>
          <w:sz w:val="22"/>
          <w:szCs w:val="22"/>
        </w:rPr>
        <w:t xml:space="preserve">Describe any assurance of confidentiality provided to respondents and the basis for the assurance in statute, regulation, or agency policy. If the collection requires a </w:t>
      </w:r>
      <w:r w:rsidRPr="0061395A" w:rsidR="0018786C">
        <w:rPr>
          <w:b/>
          <w:bCs/>
          <w:sz w:val="22"/>
          <w:szCs w:val="22"/>
        </w:rPr>
        <w:t>system of records notice (SORN)</w:t>
      </w:r>
      <w:r w:rsidRPr="0061395A">
        <w:rPr>
          <w:b/>
          <w:bCs/>
          <w:sz w:val="22"/>
          <w:szCs w:val="22"/>
        </w:rPr>
        <w:t xml:space="preserve"> or privacy impact assessment (PIA), those should be cited and described here.</w:t>
      </w:r>
    </w:p>
    <w:p w:rsidR="008501AE" w:rsidRPr="0061395A" w:rsidP="009A3BA2" w14:paraId="4F3633ED" w14:textId="27A6567D">
      <w:pPr>
        <w:spacing w:after="240"/>
        <w:ind w:left="720"/>
        <w:rPr>
          <w:i/>
          <w:color w:val="000000"/>
          <w:sz w:val="22"/>
          <w:szCs w:val="22"/>
        </w:rPr>
      </w:pPr>
      <w:r w:rsidRPr="0061395A">
        <w:rPr>
          <w:sz w:val="22"/>
          <w:szCs w:val="22"/>
        </w:rPr>
        <w:t>The information collected is protected by the Privacy Act of 1974. The routine use of disclosure appears in the Federal Register for OPM/Central-</w:t>
      </w:r>
      <w:r w:rsidRPr="00AD53A8" w:rsidR="00DC52E4">
        <w:rPr>
          <w:sz w:val="22"/>
          <w:szCs w:val="22"/>
        </w:rPr>
        <w:t>26</w:t>
      </w:r>
      <w:r w:rsidR="001472B0">
        <w:rPr>
          <w:sz w:val="22"/>
          <w:szCs w:val="22"/>
        </w:rPr>
        <w:t xml:space="preserve">, </w:t>
      </w:r>
      <w:r w:rsidRPr="0061395A" w:rsidR="00741421">
        <w:rPr>
          <w:sz w:val="22"/>
          <w:szCs w:val="22"/>
        </w:rPr>
        <w:t xml:space="preserve">which can be found at   </w:t>
      </w:r>
      <w:hyperlink r:id="rId7" w:history="1">
        <w:r w:rsidRPr="0061395A" w:rsidR="00741421">
          <w:rPr>
            <w:rStyle w:val="Hyperlink"/>
            <w:sz w:val="22"/>
            <w:szCs w:val="22"/>
          </w:rPr>
          <w:t>https://www.federalregister.gov/documents/2022/06/21/2022-13216/privacy-act-of-1974-system-of-records</w:t>
        </w:r>
      </w:hyperlink>
      <w:r w:rsidRPr="0061395A" w:rsidR="00741421">
        <w:rPr>
          <w:sz w:val="22"/>
          <w:szCs w:val="22"/>
        </w:rPr>
        <w:t xml:space="preserve">.  </w:t>
      </w:r>
      <w:r w:rsidR="00577A0B">
        <w:rPr>
          <w:sz w:val="22"/>
          <w:szCs w:val="22"/>
        </w:rPr>
        <w:t xml:space="preserve">The </w:t>
      </w:r>
      <w:r w:rsidRPr="00577A0B" w:rsidR="00741421">
        <w:rPr>
          <w:sz w:val="22"/>
          <w:szCs w:val="22"/>
        </w:rPr>
        <w:t>BENEFEDS PIA</w:t>
      </w:r>
      <w:r w:rsidR="00577A0B">
        <w:rPr>
          <w:sz w:val="22"/>
          <w:szCs w:val="22"/>
        </w:rPr>
        <w:t xml:space="preserve"> can be found at</w:t>
      </w:r>
      <w:r w:rsidRPr="00577A0B" w:rsidR="00741421">
        <w:rPr>
          <w:sz w:val="22"/>
          <w:szCs w:val="22"/>
        </w:rPr>
        <w:t xml:space="preserve">: </w:t>
      </w:r>
      <w:hyperlink r:id="rId8" w:tgtFrame="_blank" w:history="1">
        <w:r w:rsidRPr="0061395A" w:rsidR="00741421">
          <w:rPr>
            <w:rStyle w:val="Hyperlink"/>
            <w:sz w:val="22"/>
            <w:szCs w:val="22"/>
          </w:rPr>
          <w:t>https://www.opm.gov/information-management/privacy-policy/privacy-policy/benefeds.pdf</w:t>
        </w:r>
      </w:hyperlink>
      <w:r w:rsidRPr="00577A0B" w:rsidR="00741421">
        <w:rPr>
          <w:sz w:val="22"/>
          <w:szCs w:val="22"/>
        </w:rPr>
        <w:t xml:space="preserve">. </w:t>
      </w:r>
      <w:r w:rsidRPr="00577A0B" w:rsidR="00577A0B">
        <w:rPr>
          <w:sz w:val="22"/>
          <w:szCs w:val="22"/>
        </w:rPr>
        <w:t>In addition, a</w:t>
      </w:r>
      <w:r w:rsidRPr="00577A0B" w:rsidR="00741421">
        <w:rPr>
          <w:sz w:val="22"/>
          <w:szCs w:val="22"/>
        </w:rPr>
        <w:t xml:space="preserve"> Privacy Notice and Privacy Act Statement </w:t>
      </w:r>
      <w:r w:rsidR="00577A0B">
        <w:rPr>
          <w:sz w:val="22"/>
          <w:szCs w:val="22"/>
        </w:rPr>
        <w:t>is</w:t>
      </w:r>
      <w:r w:rsidRPr="00577A0B" w:rsidR="00577A0B">
        <w:rPr>
          <w:sz w:val="22"/>
          <w:szCs w:val="22"/>
        </w:rPr>
        <w:t xml:space="preserve"> </w:t>
      </w:r>
      <w:r w:rsidRPr="00577A0B" w:rsidR="00741421">
        <w:rPr>
          <w:sz w:val="22"/>
          <w:szCs w:val="22"/>
        </w:rPr>
        <w:t>also posted on BENEFEDS.com.</w:t>
      </w:r>
    </w:p>
    <w:p w:rsidR="00AF3F07" w:rsidRPr="0061395A" w:rsidP="008501AE" w14:paraId="14FF54ED" w14:textId="2269CF5B">
      <w:pPr>
        <w:numPr>
          <w:ilvl w:val="0"/>
          <w:numId w:val="3"/>
        </w:numPr>
        <w:rPr>
          <w:b/>
          <w:bCs/>
          <w:i/>
          <w:color w:val="000000"/>
          <w:sz w:val="22"/>
          <w:szCs w:val="22"/>
        </w:rPr>
      </w:pPr>
      <w:r w:rsidRPr="0061395A">
        <w:rPr>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21B4" w:rsidRPr="0061395A" w:rsidP="5EF79763" w14:paraId="6F4F141E" w14:textId="01E2E51A">
      <w:pPr>
        <w:spacing w:after="240"/>
        <w:ind w:left="720"/>
        <w:rPr>
          <w:sz w:val="22"/>
          <w:szCs w:val="22"/>
        </w:rPr>
      </w:pPr>
      <w:r w:rsidRPr="5EF79763" w:rsidR="5D0E7C6F">
        <w:rPr>
          <w:sz w:val="22"/>
          <w:szCs w:val="22"/>
        </w:rPr>
        <w:t>The information collected does not include questions of a sensitive nature, such as sexual behavior and attitudes, religious beliefs, and other matters that are commonly considered private.</w:t>
      </w:r>
    </w:p>
    <w:p w:rsidR="00A178A3" w:rsidRPr="0061395A" w:rsidP="00B373DD" w14:paraId="586A6B4A" w14:textId="77777777">
      <w:pPr>
        <w:widowControl w:val="0"/>
        <w:numPr>
          <w:ilvl w:val="0"/>
          <w:numId w:val="3"/>
        </w:numPr>
        <w:autoSpaceDE w:val="0"/>
        <w:autoSpaceDN w:val="0"/>
        <w:adjustRightInd w:val="0"/>
        <w:spacing w:line="268" w:lineRule="exact"/>
        <w:ind w:right="547"/>
        <w:rPr>
          <w:b/>
          <w:bCs/>
          <w:sz w:val="22"/>
          <w:szCs w:val="22"/>
        </w:rPr>
      </w:pPr>
      <w:r w:rsidRPr="0061395A">
        <w:rPr>
          <w:b/>
          <w:bCs/>
          <w:sz w:val="22"/>
          <w:szCs w:val="22"/>
        </w:rPr>
        <w:t>Provide estimates of the hour burden of the collection of information. The statement should:</w:t>
      </w:r>
    </w:p>
    <w:p w:rsidR="001D7E90" w:rsidRPr="0061395A" w:rsidP="003E7243" w14:paraId="68106E2B" w14:textId="35FF2548">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61395A" w:rsidR="003B53C1">
        <w:rPr>
          <w:b/>
          <w:bCs/>
          <w:sz w:val="22"/>
          <w:szCs w:val="22"/>
        </w:rPr>
        <w:t xml:space="preserve">differences in activity, size, or complexity, show the range of estimated hour burden, and </w:t>
      </w:r>
      <w:r w:rsidRPr="0061395A" w:rsidR="003B53C1">
        <w:rPr>
          <w:b/>
          <w:bCs/>
          <w:sz w:val="22"/>
          <w:szCs w:val="22"/>
        </w:rPr>
        <w:t>explain the reasons for the variance. Generally, estimates should not include burden hours for customary and usual business practices.</w:t>
      </w:r>
    </w:p>
    <w:p w:rsidR="003B53C1" w:rsidRPr="0061395A" w:rsidP="003E7243" w14:paraId="53894D58" w14:textId="06E27675">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If this request for approval covers more than one form, provide separate hour burden estimates for each form and aggregate the hour burdens.</w:t>
      </w:r>
    </w:p>
    <w:p w:rsidR="003B53C1" w:rsidRPr="0061395A" w:rsidP="003E7243" w14:paraId="130DB8AE" w14:textId="688E94C8">
      <w:pPr>
        <w:widowControl w:val="0"/>
        <w:numPr>
          <w:ilvl w:val="0"/>
          <w:numId w:val="5"/>
        </w:numPr>
        <w:autoSpaceDE w:val="0"/>
        <w:autoSpaceDN w:val="0"/>
        <w:adjustRightInd w:val="0"/>
        <w:spacing w:line="268" w:lineRule="exact"/>
        <w:ind w:right="547"/>
        <w:rPr>
          <w:b/>
          <w:bCs/>
          <w:sz w:val="22"/>
          <w:szCs w:val="22"/>
        </w:rPr>
      </w:pPr>
      <w:r w:rsidRPr="0061395A">
        <w:rPr>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w:t>
      </w:r>
      <w:r w:rsidRPr="0061395A" w:rsidR="00F00408">
        <w:rPr>
          <w:b/>
          <w:bCs/>
          <w:sz w:val="22"/>
          <w:szCs w:val="22"/>
        </w:rPr>
        <w:t>t</w:t>
      </w:r>
      <w:r w:rsidRPr="0061395A">
        <w:rPr>
          <w:b/>
          <w:bCs/>
          <w:sz w:val="22"/>
          <w:szCs w:val="22"/>
        </w:rPr>
        <w:t xml:space="preserve"> be included here. Instead, this cost should be included under ‘Annual Cost to Federal Government’.</w:t>
      </w:r>
    </w:p>
    <w:p w:rsidR="00B373DD" w:rsidRPr="0061395A" w:rsidP="009A3BA2" w14:paraId="47C3C8F2" w14:textId="5CF7A92C">
      <w:pPr>
        <w:widowControl w:val="0"/>
        <w:autoSpaceDE w:val="0"/>
        <w:autoSpaceDN w:val="0"/>
        <w:adjustRightInd w:val="0"/>
        <w:spacing w:after="240" w:line="268" w:lineRule="exact"/>
        <w:ind w:left="720" w:right="547"/>
        <w:rPr>
          <w:sz w:val="22"/>
          <w:szCs w:val="22"/>
        </w:rPr>
      </w:pPr>
      <w:r>
        <w:rPr>
          <w:sz w:val="22"/>
          <w:szCs w:val="22"/>
        </w:rPr>
        <w:t>OPM estimates a</w:t>
      </w:r>
      <w:r w:rsidRPr="00AD53A8" w:rsidR="00F8193D">
        <w:rPr>
          <w:sz w:val="22"/>
          <w:szCs w:val="22"/>
        </w:rPr>
        <w:t xml:space="preserve">pproximately </w:t>
      </w:r>
      <w:r w:rsidRPr="00BA7D52">
        <w:rPr>
          <w:sz w:val="22"/>
          <w:szCs w:val="22"/>
        </w:rPr>
        <w:t>502,347</w:t>
      </w:r>
      <w:r w:rsidR="00F95AA1">
        <w:rPr>
          <w:sz w:val="22"/>
          <w:szCs w:val="22"/>
        </w:rPr>
        <w:t xml:space="preserve"> </w:t>
      </w:r>
      <w:r w:rsidRPr="00AD53A8" w:rsidR="00F8193D">
        <w:rPr>
          <w:sz w:val="22"/>
          <w:szCs w:val="22"/>
        </w:rPr>
        <w:t xml:space="preserve">respondents </w:t>
      </w:r>
      <w:r>
        <w:rPr>
          <w:sz w:val="22"/>
          <w:szCs w:val="22"/>
        </w:rPr>
        <w:t>will make</w:t>
      </w:r>
      <w:r w:rsidRPr="00AD53A8">
        <w:rPr>
          <w:sz w:val="22"/>
          <w:szCs w:val="22"/>
        </w:rPr>
        <w:t xml:space="preserve"> </w:t>
      </w:r>
      <w:r w:rsidRPr="00AD53A8" w:rsidR="00F8193D">
        <w:rPr>
          <w:sz w:val="22"/>
          <w:szCs w:val="22"/>
        </w:rPr>
        <w:t xml:space="preserve">new enrollments or plan changes from </w:t>
      </w:r>
      <w:r w:rsidRPr="00AD53A8" w:rsidR="004A1A48">
        <w:rPr>
          <w:sz w:val="22"/>
          <w:szCs w:val="22"/>
        </w:rPr>
        <w:t>eligible population</w:t>
      </w:r>
      <w:r>
        <w:rPr>
          <w:sz w:val="22"/>
          <w:szCs w:val="22"/>
        </w:rPr>
        <w:t>s</w:t>
      </w:r>
      <w:r w:rsidRPr="0061395A" w:rsidR="00397495">
        <w:rPr>
          <w:sz w:val="22"/>
          <w:szCs w:val="22"/>
        </w:rPr>
        <w:t xml:space="preserve">. </w:t>
      </w:r>
      <w:r w:rsidRPr="0061395A" w:rsidR="00F8193D">
        <w:rPr>
          <w:bCs/>
          <w:sz w:val="22"/>
          <w:szCs w:val="22"/>
        </w:rPr>
        <w:t xml:space="preserve">The public reporting burden for this collection is estimated to average </w:t>
      </w:r>
      <w:r w:rsidRPr="0061395A" w:rsidR="009720B5">
        <w:rPr>
          <w:bCs/>
          <w:sz w:val="22"/>
          <w:szCs w:val="22"/>
        </w:rPr>
        <w:t>7.</w:t>
      </w:r>
      <w:r>
        <w:rPr>
          <w:bCs/>
          <w:sz w:val="22"/>
          <w:szCs w:val="22"/>
        </w:rPr>
        <w:t>03</w:t>
      </w:r>
      <w:r w:rsidRPr="0061395A">
        <w:rPr>
          <w:bCs/>
          <w:sz w:val="22"/>
          <w:szCs w:val="22"/>
        </w:rPr>
        <w:t xml:space="preserve"> </w:t>
      </w:r>
      <w:r w:rsidRPr="0061395A" w:rsidR="00F8193D">
        <w:rPr>
          <w:bCs/>
          <w:sz w:val="22"/>
          <w:szCs w:val="22"/>
        </w:rPr>
        <w:t xml:space="preserve">minutes </w:t>
      </w:r>
      <w:r w:rsidRPr="0061395A" w:rsidR="00391B79">
        <w:rPr>
          <w:bCs/>
          <w:sz w:val="22"/>
          <w:szCs w:val="22"/>
        </w:rPr>
        <w:t>(</w:t>
      </w:r>
      <w:r w:rsidRPr="0061395A" w:rsidR="009720B5">
        <w:rPr>
          <w:bCs/>
          <w:sz w:val="22"/>
          <w:szCs w:val="22"/>
        </w:rPr>
        <w:t>.11</w:t>
      </w:r>
      <w:r w:rsidR="00F95AA1">
        <w:rPr>
          <w:bCs/>
          <w:sz w:val="22"/>
          <w:szCs w:val="22"/>
        </w:rPr>
        <w:t>7</w:t>
      </w:r>
      <w:r w:rsidRPr="0061395A" w:rsidR="002A08E3">
        <w:rPr>
          <w:bCs/>
          <w:sz w:val="22"/>
          <w:szCs w:val="22"/>
        </w:rPr>
        <w:t xml:space="preserve"> hours) </w:t>
      </w:r>
      <w:r w:rsidRPr="0061395A" w:rsidR="00F8193D">
        <w:rPr>
          <w:bCs/>
          <w:sz w:val="22"/>
          <w:szCs w:val="22"/>
        </w:rPr>
        <w:t>for a respondent to submit an enrollment including time for reviewing education and support but may not include time for reviewing a plan and specific benefits</w:t>
      </w:r>
      <w:r w:rsidRPr="0061395A" w:rsidR="009720B5">
        <w:rPr>
          <w:bCs/>
          <w:sz w:val="22"/>
          <w:szCs w:val="22"/>
        </w:rPr>
        <w:t xml:space="preserve"> which is a decrease in burden response due to increased system efficiency</w:t>
      </w:r>
      <w:r w:rsidRPr="0061395A" w:rsidR="00F8193D">
        <w:rPr>
          <w:bCs/>
          <w:sz w:val="22"/>
          <w:szCs w:val="22"/>
        </w:rPr>
        <w:t xml:space="preserve">. The total burden hour estimate for this form is </w:t>
      </w:r>
      <w:r w:rsidR="00034093">
        <w:rPr>
          <w:bCs/>
          <w:sz w:val="22"/>
          <w:szCs w:val="22"/>
        </w:rPr>
        <w:t>58,775</w:t>
      </w:r>
      <w:r w:rsidRPr="0061395A" w:rsidR="00F8193D">
        <w:rPr>
          <w:sz w:val="22"/>
          <w:szCs w:val="22"/>
        </w:rPr>
        <w:t xml:space="preserve"> </w:t>
      </w:r>
      <w:r w:rsidRPr="0061395A" w:rsidR="00F8193D">
        <w:rPr>
          <w:bCs/>
          <w:sz w:val="22"/>
          <w:szCs w:val="22"/>
        </w:rPr>
        <w:t>hours.</w:t>
      </w:r>
    </w:p>
    <w:tbl>
      <w:tblPr>
        <w:tblW w:w="0" w:type="auto"/>
        <w:tblInd w:w="720" w:type="dxa"/>
        <w:tblCellMar>
          <w:left w:w="0" w:type="dxa"/>
          <w:right w:w="0" w:type="dxa"/>
        </w:tblCellMar>
        <w:tblLook w:val="04A0"/>
      </w:tblPr>
      <w:tblGrid>
        <w:gridCol w:w="1194"/>
        <w:gridCol w:w="1129"/>
        <w:gridCol w:w="1230"/>
        <w:gridCol w:w="1187"/>
        <w:gridCol w:w="1158"/>
        <w:gridCol w:w="1121"/>
        <w:gridCol w:w="1134"/>
        <w:gridCol w:w="1187"/>
      </w:tblGrid>
      <w:tr w14:paraId="2110E988" w14:textId="77777777" w:rsidTr="009A3BA2">
        <w:tblPrEx>
          <w:tblW w:w="0" w:type="auto"/>
          <w:tblInd w:w="720" w:type="dxa"/>
          <w:tblCellMar>
            <w:left w:w="0" w:type="dxa"/>
            <w:right w:w="0" w:type="dxa"/>
          </w:tblCellMar>
          <w:tblLook w:val="04A0"/>
        </w:tblPrEx>
        <w:tc>
          <w:tcPr>
            <w:tcW w:w="11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17011A1" w14:textId="77777777">
            <w:pPr>
              <w:spacing w:before="240"/>
            </w:pPr>
            <w:r w:rsidRPr="0061395A">
              <w:rPr>
                <w:rFonts w:ascii="Arial" w:hAnsi="Arial" w:cs="Arial"/>
                <w:b/>
                <w:bCs/>
                <w:sz w:val="16"/>
                <w:szCs w:val="16"/>
              </w:rPr>
              <w:t>Form Name</w:t>
            </w:r>
          </w:p>
        </w:tc>
        <w:tc>
          <w:tcPr>
            <w:tcW w:w="11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236134D1" w14:textId="77777777">
            <w:pPr>
              <w:spacing w:before="240"/>
            </w:pPr>
            <w:r w:rsidRPr="0061395A">
              <w:rPr>
                <w:rFonts w:ascii="Arial" w:hAnsi="Arial" w:cs="Arial"/>
                <w:b/>
                <w:bCs/>
                <w:sz w:val="16"/>
                <w:szCs w:val="16"/>
              </w:rPr>
              <w:t>Form Number</w:t>
            </w:r>
          </w:p>
        </w:tc>
        <w:tc>
          <w:tcPr>
            <w:tcW w:w="1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333FBE8" w14:textId="77777777">
            <w:pPr>
              <w:spacing w:before="240"/>
            </w:pPr>
            <w:r w:rsidRPr="0061395A">
              <w:rPr>
                <w:rFonts w:ascii="Arial" w:hAnsi="Arial" w:cs="Arial"/>
                <w:b/>
                <w:bCs/>
                <w:sz w:val="16"/>
                <w:szCs w:val="16"/>
              </w:rPr>
              <w:t>No. of Respondents</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5C53E625" w14:textId="77777777">
            <w:pPr>
              <w:spacing w:before="240"/>
            </w:pPr>
            <w:r w:rsidRPr="0061395A">
              <w:rPr>
                <w:rFonts w:ascii="Arial" w:hAnsi="Arial" w:cs="Arial"/>
                <w:b/>
                <w:bCs/>
                <w:sz w:val="16"/>
                <w:szCs w:val="16"/>
              </w:rPr>
              <w:t>No. of Responses per Respondent</w:t>
            </w:r>
          </w:p>
        </w:tc>
        <w:tc>
          <w:tcPr>
            <w:tcW w:w="11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19B104BE" w14:textId="77777777">
            <w:pPr>
              <w:spacing w:before="240"/>
            </w:pPr>
            <w:r w:rsidRPr="0061395A">
              <w:rPr>
                <w:rFonts w:ascii="Arial" w:hAnsi="Arial" w:cs="Arial"/>
                <w:b/>
                <w:bCs/>
                <w:sz w:val="16"/>
                <w:szCs w:val="16"/>
              </w:rPr>
              <w:t>Average Burden per Response (in hours)</w:t>
            </w:r>
          </w:p>
        </w:tc>
        <w:tc>
          <w:tcPr>
            <w:tcW w:w="11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370FA4B2" w14:textId="77777777">
            <w:pPr>
              <w:spacing w:before="240"/>
            </w:pPr>
            <w:r w:rsidRPr="0061395A">
              <w:rPr>
                <w:rFonts w:ascii="Arial" w:hAnsi="Arial" w:cs="Arial"/>
                <w:b/>
                <w:bCs/>
                <w:sz w:val="16"/>
                <w:szCs w:val="16"/>
              </w:rPr>
              <w:t>Total Annual Burden (in hours)</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6E2E18ED" w14:textId="77777777">
            <w:pPr>
              <w:spacing w:before="240"/>
            </w:pPr>
            <w:r w:rsidRPr="0061395A">
              <w:rPr>
                <w:rFonts w:ascii="Arial" w:hAnsi="Arial" w:cs="Arial"/>
                <w:b/>
                <w:bCs/>
                <w:sz w:val="16"/>
                <w:szCs w:val="16"/>
              </w:rPr>
              <w:t>Average Hourly Wage Rate</w:t>
            </w:r>
          </w:p>
        </w:tc>
        <w:tc>
          <w:tcPr>
            <w:tcW w:w="11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4936" w:rsidRPr="0061395A" w14:paraId="797F3B3F" w14:textId="77777777">
            <w:pPr>
              <w:spacing w:before="240"/>
            </w:pPr>
            <w:r w:rsidRPr="0061395A">
              <w:rPr>
                <w:rFonts w:ascii="Arial" w:hAnsi="Arial" w:cs="Arial"/>
                <w:b/>
                <w:bCs/>
                <w:sz w:val="16"/>
                <w:szCs w:val="16"/>
              </w:rPr>
              <w:t>Total Annual Respondent Cost</w:t>
            </w:r>
          </w:p>
        </w:tc>
      </w:tr>
      <w:tr w14:paraId="7573A057" w14:textId="77777777" w:rsidTr="009A3BA2">
        <w:tblPrEx>
          <w:tblW w:w="0" w:type="auto"/>
          <w:tblInd w:w="720" w:type="dxa"/>
          <w:tblCellMar>
            <w:left w:w="0" w:type="dxa"/>
            <w:right w:w="0" w:type="dxa"/>
          </w:tblCellMar>
          <w:tblLook w:val="04A0"/>
        </w:tblPrEx>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4936" w:rsidRPr="0061395A" w14:paraId="20DBD3CF" w14:textId="77777777">
            <w:pPr>
              <w:spacing w:before="240"/>
              <w:rPr>
                <w:sz w:val="16"/>
                <w:szCs w:val="16"/>
              </w:rPr>
            </w:pPr>
            <w:r w:rsidRPr="0061395A">
              <w:rPr>
                <w:b/>
                <w:bCs/>
                <w:i/>
                <w:iCs/>
                <w:sz w:val="16"/>
                <w:szCs w:val="16"/>
              </w:rPr>
              <w:t>Federal Employees Dental and Vision Insurance Program (FEDVIP) Enrollment System (BENEFEDS)</w:t>
            </w:r>
          </w:p>
        </w:tc>
        <w:tc>
          <w:tcPr>
            <w:tcW w:w="1129"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2C597807" w14:textId="77777777">
            <w:pPr>
              <w:spacing w:before="240"/>
              <w:rPr>
                <w:sz w:val="16"/>
                <w:szCs w:val="16"/>
              </w:rPr>
            </w:pPr>
            <w:r w:rsidRPr="0061395A">
              <w:rPr>
                <w:sz w:val="16"/>
                <w:szCs w:val="16"/>
              </w:rPr>
              <w:t>3206-0272</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7F5E777C" w14:textId="63D73239">
            <w:pPr>
              <w:spacing w:before="240"/>
              <w:jc w:val="right"/>
              <w:rPr>
                <w:sz w:val="16"/>
                <w:szCs w:val="16"/>
              </w:rPr>
            </w:pPr>
            <w:r w:rsidRPr="00BA7D52">
              <w:rPr>
                <w:sz w:val="16"/>
                <w:szCs w:val="16"/>
              </w:rPr>
              <w:t>502,347</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661AD32B" w14:textId="77777777">
            <w:pPr>
              <w:spacing w:before="240"/>
              <w:jc w:val="right"/>
              <w:rPr>
                <w:sz w:val="16"/>
                <w:szCs w:val="16"/>
              </w:rPr>
            </w:pPr>
            <w:r w:rsidRPr="0061395A">
              <w:rPr>
                <w:sz w:val="16"/>
                <w:szCs w:val="16"/>
              </w:rPr>
              <w:t>1 </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2E241408" w14:textId="51AE9BA8">
            <w:pPr>
              <w:spacing w:before="240"/>
              <w:jc w:val="right"/>
              <w:rPr>
                <w:sz w:val="16"/>
                <w:szCs w:val="16"/>
              </w:rPr>
            </w:pPr>
            <w:r w:rsidRPr="0061395A">
              <w:rPr>
                <w:sz w:val="16"/>
                <w:szCs w:val="16"/>
              </w:rPr>
              <w:t>.</w:t>
            </w:r>
            <w:r w:rsidRPr="0061395A" w:rsidR="00034093">
              <w:rPr>
                <w:sz w:val="16"/>
                <w:szCs w:val="16"/>
              </w:rPr>
              <w:t>11</w:t>
            </w:r>
            <w:r w:rsidR="00034093">
              <w:rPr>
                <w:sz w:val="16"/>
                <w:szCs w:val="16"/>
              </w:rPr>
              <w:t>7</w:t>
            </w:r>
          </w:p>
        </w:tc>
        <w:tc>
          <w:tcPr>
            <w:tcW w:w="1121"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3921309A" w14:textId="32966BE6">
            <w:pPr>
              <w:spacing w:before="240"/>
              <w:jc w:val="right"/>
              <w:rPr>
                <w:sz w:val="16"/>
                <w:szCs w:val="16"/>
              </w:rPr>
            </w:pPr>
            <w:r>
              <w:rPr>
                <w:sz w:val="16"/>
                <w:szCs w:val="16"/>
              </w:rPr>
              <w:t>58,775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4952588A" w14:textId="4FB637A9">
            <w:pPr>
              <w:spacing w:before="240"/>
              <w:jc w:val="center"/>
              <w:rPr>
                <w:sz w:val="16"/>
                <w:szCs w:val="16"/>
              </w:rPr>
            </w:pPr>
            <w:r w:rsidRPr="0061395A">
              <w:rPr>
                <w:sz w:val="16"/>
                <w:szCs w:val="16"/>
              </w:rPr>
              <w:t>$</w:t>
            </w:r>
            <w:r w:rsidR="000C7987">
              <w:rPr>
                <w:sz w:val="16"/>
                <w:szCs w:val="16"/>
              </w:rPr>
              <w:t>35.54</w:t>
            </w:r>
            <w:r w:rsidRPr="0061395A">
              <w:rPr>
                <w:sz w:val="16"/>
                <w:szCs w:val="16"/>
              </w:rPr>
              <w:t> </w:t>
            </w:r>
          </w:p>
        </w:tc>
        <w:tc>
          <w:tcPr>
            <w:tcW w:w="1187" w:type="dxa"/>
            <w:tcBorders>
              <w:top w:val="nil"/>
              <w:left w:val="nil"/>
              <w:bottom w:val="single" w:sz="8" w:space="0" w:color="auto"/>
              <w:right w:val="single" w:sz="8" w:space="0" w:color="auto"/>
            </w:tcBorders>
            <w:tcMar>
              <w:top w:w="0" w:type="dxa"/>
              <w:left w:w="108" w:type="dxa"/>
              <w:bottom w:w="0" w:type="dxa"/>
              <w:right w:w="108" w:type="dxa"/>
            </w:tcMar>
            <w:hideMark/>
          </w:tcPr>
          <w:p w:rsidR="00244936" w:rsidRPr="0061395A" w14:paraId="771B82BE" w14:textId="1C8237D2">
            <w:pPr>
              <w:spacing w:before="240"/>
              <w:jc w:val="center"/>
              <w:rPr>
                <w:sz w:val="16"/>
                <w:szCs w:val="16"/>
              </w:rPr>
            </w:pPr>
            <w:r w:rsidRPr="0061395A">
              <w:rPr>
                <w:sz w:val="16"/>
                <w:szCs w:val="16"/>
              </w:rPr>
              <w:t>$</w:t>
            </w:r>
            <w:r w:rsidR="000C7987">
              <w:rPr>
                <w:sz w:val="16"/>
                <w:szCs w:val="16"/>
              </w:rPr>
              <w:t>2,088,864</w:t>
            </w:r>
          </w:p>
        </w:tc>
      </w:tr>
    </w:tbl>
    <w:p w:rsidR="008A01CB" w:rsidRPr="00DA15FC" w:rsidP="00F50A9C" w14:paraId="6E8312FC" w14:textId="77777777">
      <w:pPr>
        <w:widowControl w:val="0"/>
        <w:numPr>
          <w:ilvl w:val="0"/>
          <w:numId w:val="3"/>
        </w:numPr>
        <w:autoSpaceDE w:val="0"/>
        <w:autoSpaceDN w:val="0"/>
        <w:adjustRightInd w:val="0"/>
        <w:spacing w:before="240" w:line="268" w:lineRule="exact"/>
        <w:ind w:right="547"/>
        <w:rPr>
          <w:b/>
          <w:bCs/>
          <w:sz w:val="22"/>
          <w:szCs w:val="22"/>
        </w:rPr>
      </w:pPr>
      <w:r w:rsidRPr="00DA15FC">
        <w:rPr>
          <w:b/>
          <w:bCs/>
          <w:sz w:val="22"/>
          <w:szCs w:val="22"/>
        </w:rPr>
        <w:t>Provide an estimate for the total annual cost burden to respondents or record keepers resulting from the collection of information. (Do not include the cos t of any hour burden already reflected on the burden worksheet).</w:t>
      </w:r>
    </w:p>
    <w:p w:rsidR="004348F4" w:rsidRPr="00DA15FC" w:rsidP="004348F4" w14:paraId="41D9FF56" w14:textId="36D217D2">
      <w:pPr>
        <w:widowControl w:val="0"/>
        <w:numPr>
          <w:ilvl w:val="0"/>
          <w:numId w:val="6"/>
        </w:numPr>
        <w:autoSpaceDE w:val="0"/>
        <w:autoSpaceDN w:val="0"/>
        <w:adjustRightInd w:val="0"/>
        <w:spacing w:line="268" w:lineRule="exact"/>
        <w:ind w:right="547"/>
        <w:rPr>
          <w:b/>
          <w:bCs/>
          <w:sz w:val="22"/>
          <w:szCs w:val="22"/>
        </w:rPr>
      </w:pPr>
      <w:r w:rsidRPr="00DA15FC">
        <w:rPr>
          <w:b/>
          <w:bCs/>
          <w:sz w:val="22"/>
          <w:szCs w:val="22"/>
        </w:rPr>
        <w:t>The cost estimate should be split into two components: (a) a total capital and start</w:t>
      </w:r>
      <w:r w:rsidRPr="00DA15FC" w:rsidR="008C3DEF">
        <w:rPr>
          <w:b/>
          <w:bCs/>
          <w:sz w:val="22"/>
          <w:szCs w:val="22"/>
        </w:rPr>
        <w:t>-</w:t>
      </w:r>
      <w:r w:rsidRPr="00DA15FC">
        <w:rPr>
          <w:b/>
          <w:bCs/>
          <w:sz w:val="22"/>
          <w:szCs w:val="22"/>
        </w:rPr>
        <w:t xml:space="preserve">up cost component (annualized over its expected useful life) and (b) a total operation and maintenance and purchase of services component. The estimates should </w:t>
      </w:r>
      <w:r w:rsidRPr="00DA15FC">
        <w:rPr>
          <w:b/>
          <w:bCs/>
          <w:sz w:val="22"/>
          <w:szCs w:val="22"/>
        </w:rPr>
        <w:t>take into account</w:t>
      </w:r>
      <w:r w:rsidRPr="00DA15FC">
        <w:rPr>
          <w:b/>
          <w:bCs/>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A15FC">
        <w:rPr>
          <w:b/>
          <w:bCs/>
          <w:sz w:val="22"/>
          <w:szCs w:val="22"/>
        </w:rPr>
        <w:t>time period</w:t>
      </w:r>
      <w:r w:rsidRPr="00DA15FC">
        <w:rPr>
          <w:b/>
          <w:bCs/>
          <w:sz w:val="22"/>
          <w:szCs w:val="22"/>
        </w:rPr>
        <w:t xml:space="preserve"> over which costs will be incurred. Capital and start</w:t>
      </w:r>
      <w:r w:rsidRPr="00DA15FC" w:rsidR="008C3DEF">
        <w:rPr>
          <w:b/>
          <w:bCs/>
          <w:sz w:val="22"/>
          <w:szCs w:val="22"/>
        </w:rPr>
        <w:t>-</w:t>
      </w:r>
      <w:r w:rsidRPr="00DA15FC">
        <w:rPr>
          <w:b/>
          <w:bCs/>
          <w:sz w:val="22"/>
          <w:szCs w:val="22"/>
        </w:rPr>
        <w:t>up costs include, among other items, preparations for collecting information such as purchasing computers and software; monitoring, sampling, drilling and testing equipment; and record storage facilities.</w:t>
      </w:r>
    </w:p>
    <w:p w:rsidR="008C3DEF" w:rsidRPr="00DA15FC" w:rsidP="004348F4" w14:paraId="5027CA1E" w14:textId="16B59766">
      <w:pPr>
        <w:widowControl w:val="0"/>
        <w:numPr>
          <w:ilvl w:val="0"/>
          <w:numId w:val="6"/>
        </w:numPr>
        <w:autoSpaceDE w:val="0"/>
        <w:autoSpaceDN w:val="0"/>
        <w:adjustRightInd w:val="0"/>
        <w:spacing w:line="268" w:lineRule="exact"/>
        <w:ind w:right="547"/>
        <w:rPr>
          <w:b/>
          <w:bCs/>
          <w:sz w:val="22"/>
          <w:szCs w:val="22"/>
        </w:rPr>
      </w:pPr>
      <w:r w:rsidRPr="00DA15FC">
        <w:rPr>
          <w:b/>
          <w:bCs/>
          <w:sz w:val="22"/>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w:t>
      </w:r>
      <w:r w:rsidRPr="00DA15FC" w:rsidR="0035222E">
        <w:rPr>
          <w:b/>
          <w:bCs/>
          <w:sz w:val="22"/>
          <w:szCs w:val="22"/>
        </w:rPr>
        <w:t>-</w:t>
      </w:r>
      <w:r w:rsidRPr="00DA15FC">
        <w:rPr>
          <w:b/>
          <w:bCs/>
          <w:sz w:val="22"/>
          <w:szCs w:val="22"/>
        </w:rPr>
        <w:t>day pre</w:t>
      </w:r>
      <w:r w:rsidRPr="00DA15FC" w:rsidR="0035222E">
        <w:rPr>
          <w:b/>
          <w:bCs/>
          <w:sz w:val="22"/>
          <w:szCs w:val="22"/>
        </w:rPr>
        <w:t>-</w:t>
      </w:r>
      <w:r w:rsidRPr="00DA15FC">
        <w:rPr>
          <w:b/>
          <w:bCs/>
          <w:sz w:val="22"/>
          <w:szCs w:val="22"/>
        </w:rPr>
        <w:t>OMB submission public comment process and use existing economic or regulatory impact analysis associated with the rulemaking containing the information collection, as appropriate.</w:t>
      </w:r>
    </w:p>
    <w:p w:rsidR="0035222E" w:rsidRPr="00DA15FC" w:rsidP="004348F4" w14:paraId="29C24E14" w14:textId="4A4C4114">
      <w:pPr>
        <w:widowControl w:val="0"/>
        <w:numPr>
          <w:ilvl w:val="0"/>
          <w:numId w:val="6"/>
        </w:numPr>
        <w:autoSpaceDE w:val="0"/>
        <w:autoSpaceDN w:val="0"/>
        <w:adjustRightInd w:val="0"/>
        <w:spacing w:line="268" w:lineRule="exact"/>
        <w:ind w:right="547"/>
        <w:rPr>
          <w:sz w:val="22"/>
          <w:szCs w:val="22"/>
        </w:rPr>
      </w:pPr>
      <w:r w:rsidRPr="00DA15FC">
        <w:rPr>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DA15FC">
        <w:rPr>
          <w:b/>
          <w:bCs/>
          <w:sz w:val="22"/>
          <w:szCs w:val="22"/>
        </w:rPr>
        <w:t>provide information or keep records for the government, or (4) as part of customary a usual business or private practices.</w:t>
      </w:r>
    </w:p>
    <w:p w:rsidR="008501AE" w:rsidP="00F50A9C" w14:paraId="45F6BAE9" w14:textId="75BC11DA">
      <w:pPr>
        <w:widowControl w:val="0"/>
        <w:autoSpaceDE w:val="0"/>
        <w:autoSpaceDN w:val="0"/>
        <w:adjustRightInd w:val="0"/>
        <w:spacing w:after="240" w:line="268" w:lineRule="exact"/>
        <w:ind w:left="720" w:right="547"/>
        <w:rPr>
          <w:sz w:val="22"/>
          <w:szCs w:val="22"/>
        </w:rPr>
      </w:pPr>
      <w:r w:rsidRPr="7088A8C2">
        <w:rPr>
          <w:sz w:val="22"/>
          <w:szCs w:val="22"/>
        </w:rPr>
        <w:t xml:space="preserve">In addition to the burden hours, </w:t>
      </w:r>
      <w:r w:rsidRPr="7088A8C2" w:rsidR="26B86C45">
        <w:rPr>
          <w:sz w:val="22"/>
          <w:szCs w:val="22"/>
        </w:rPr>
        <w:t xml:space="preserve">the monetary burden would include premiums for dental and/or vision coverage that must be paid </w:t>
      </w:r>
      <w:r w:rsidRPr="7088A8C2">
        <w:rPr>
          <w:sz w:val="22"/>
          <w:szCs w:val="22"/>
        </w:rPr>
        <w:t>once the respondents are enrolled in a FEDVIP plan. There is no Government contribution towards FEDVIP premiums. The range of premium costs vary significantly based on enrollment type (Self Only, Self Plus One, Self and Family), the plan selected, and in the case of dental plans, the rating region. For example, the range for dental plan premiums in 202</w:t>
      </w:r>
      <w:r w:rsidR="009D78E5">
        <w:rPr>
          <w:sz w:val="22"/>
          <w:szCs w:val="22"/>
        </w:rPr>
        <w:t>5</w:t>
      </w:r>
      <w:r w:rsidRPr="7088A8C2">
        <w:rPr>
          <w:sz w:val="22"/>
          <w:szCs w:val="22"/>
        </w:rPr>
        <w:t xml:space="preserve"> is $5.3</w:t>
      </w:r>
      <w:r w:rsidR="00ED44C1">
        <w:rPr>
          <w:sz w:val="22"/>
          <w:szCs w:val="22"/>
        </w:rPr>
        <w:t>4</w:t>
      </w:r>
      <w:r w:rsidRPr="7088A8C2">
        <w:rPr>
          <w:sz w:val="22"/>
          <w:szCs w:val="22"/>
        </w:rPr>
        <w:t xml:space="preserve"> for a Self Only option in rating region 1 to $9</w:t>
      </w:r>
      <w:r w:rsidR="00ED44C1">
        <w:rPr>
          <w:sz w:val="22"/>
          <w:szCs w:val="22"/>
        </w:rPr>
        <w:t>3</w:t>
      </w:r>
      <w:r w:rsidRPr="7088A8C2">
        <w:rPr>
          <w:sz w:val="22"/>
          <w:szCs w:val="22"/>
        </w:rPr>
        <w:t>.</w:t>
      </w:r>
      <w:r w:rsidR="00ED44C1">
        <w:rPr>
          <w:sz w:val="22"/>
          <w:szCs w:val="22"/>
        </w:rPr>
        <w:t>91</w:t>
      </w:r>
      <w:r w:rsidRPr="7088A8C2">
        <w:rPr>
          <w:sz w:val="22"/>
          <w:szCs w:val="22"/>
        </w:rPr>
        <w:t xml:space="preserve"> for a Self and Family option in Rating region 5. The range for vision plans is $3.1</w:t>
      </w:r>
      <w:r w:rsidR="00ED44C1">
        <w:rPr>
          <w:sz w:val="22"/>
          <w:szCs w:val="22"/>
        </w:rPr>
        <w:t>7</w:t>
      </w:r>
      <w:r w:rsidRPr="7088A8C2">
        <w:rPr>
          <w:sz w:val="22"/>
          <w:szCs w:val="22"/>
        </w:rPr>
        <w:t xml:space="preserve"> for a Self Only option to $20.</w:t>
      </w:r>
      <w:r w:rsidR="00ED44C1">
        <w:rPr>
          <w:sz w:val="22"/>
          <w:szCs w:val="22"/>
        </w:rPr>
        <w:t>19</w:t>
      </w:r>
      <w:r w:rsidRPr="7088A8C2">
        <w:rPr>
          <w:sz w:val="22"/>
          <w:szCs w:val="22"/>
        </w:rPr>
        <w:t xml:space="preserve"> for a Self and Family option.</w:t>
      </w:r>
    </w:p>
    <w:tbl>
      <w:tblPr>
        <w:tblStyle w:val="TableGrid"/>
        <w:tblW w:w="0" w:type="auto"/>
        <w:tblInd w:w="715" w:type="dxa"/>
        <w:tblLook w:val="04A0"/>
      </w:tblPr>
      <w:tblGrid>
        <w:gridCol w:w="1890"/>
        <w:gridCol w:w="2340"/>
        <w:gridCol w:w="3150"/>
      </w:tblGrid>
      <w:tr w14:paraId="07B25646" w14:textId="77777777" w:rsidTr="003F574C">
        <w:tblPrEx>
          <w:tblW w:w="0" w:type="auto"/>
          <w:tblInd w:w="715" w:type="dxa"/>
          <w:tblLook w:val="04A0"/>
        </w:tblPrEx>
        <w:tc>
          <w:tcPr>
            <w:tcW w:w="1890" w:type="dxa"/>
          </w:tcPr>
          <w:p w:rsidR="00E736E5" w:rsidRPr="00B85DF0" w:rsidP="00EB7B63" w14:paraId="5B3CA188" w14:textId="77777777">
            <w:pPr>
              <w:jc w:val="center"/>
              <w:rPr>
                <w:b/>
                <w:bCs/>
              </w:rPr>
            </w:pPr>
            <w:r w:rsidRPr="00B85DF0">
              <w:rPr>
                <w:b/>
                <w:bCs/>
              </w:rPr>
              <w:t>2025</w:t>
            </w:r>
          </w:p>
        </w:tc>
        <w:tc>
          <w:tcPr>
            <w:tcW w:w="2340" w:type="dxa"/>
          </w:tcPr>
          <w:p w:rsidR="00E736E5" w:rsidP="00EB7B63" w14:paraId="400DD82A" w14:textId="77777777">
            <w:pPr>
              <w:jc w:val="center"/>
              <w:rPr>
                <w:b/>
                <w:bCs/>
              </w:rPr>
            </w:pPr>
            <w:r w:rsidRPr="00B85DF0">
              <w:rPr>
                <w:b/>
                <w:bCs/>
              </w:rPr>
              <w:t>Self Only, Region 1</w:t>
            </w:r>
          </w:p>
          <w:p w:rsidR="00E736E5" w:rsidRPr="00B85DF0" w:rsidP="00EB7B63" w14:paraId="6E2AA377" w14:textId="77777777">
            <w:pPr>
              <w:jc w:val="center"/>
              <w:rPr>
                <w:b/>
                <w:bCs/>
              </w:rPr>
            </w:pPr>
            <w:r>
              <w:rPr>
                <w:b/>
                <w:bCs/>
              </w:rPr>
              <w:t>Bi-Weekly</w:t>
            </w:r>
          </w:p>
        </w:tc>
        <w:tc>
          <w:tcPr>
            <w:tcW w:w="3150" w:type="dxa"/>
          </w:tcPr>
          <w:p w:rsidR="00E736E5" w:rsidP="00EB7B63" w14:paraId="74CDEEC2" w14:textId="77777777">
            <w:pPr>
              <w:jc w:val="center"/>
              <w:rPr>
                <w:b/>
                <w:bCs/>
              </w:rPr>
            </w:pPr>
            <w:r w:rsidRPr="00B85DF0">
              <w:rPr>
                <w:b/>
                <w:bCs/>
              </w:rPr>
              <w:t>Self and Family, Region 5</w:t>
            </w:r>
          </w:p>
          <w:p w:rsidR="00E736E5" w:rsidRPr="00B85DF0" w:rsidP="00EB7B63" w14:paraId="1B4D8349" w14:textId="77777777">
            <w:pPr>
              <w:jc w:val="center"/>
              <w:rPr>
                <w:b/>
                <w:bCs/>
              </w:rPr>
            </w:pPr>
            <w:r>
              <w:rPr>
                <w:b/>
                <w:bCs/>
              </w:rPr>
              <w:t>Bi-Weekly</w:t>
            </w:r>
          </w:p>
        </w:tc>
      </w:tr>
      <w:tr w14:paraId="52A54C32" w14:textId="77777777" w:rsidTr="003F574C">
        <w:tblPrEx>
          <w:tblW w:w="0" w:type="auto"/>
          <w:tblInd w:w="715" w:type="dxa"/>
          <w:tblLook w:val="04A0"/>
        </w:tblPrEx>
        <w:tc>
          <w:tcPr>
            <w:tcW w:w="1890" w:type="dxa"/>
          </w:tcPr>
          <w:p w:rsidR="00E736E5" w:rsidRPr="00B85DF0" w:rsidP="00EB7B63" w14:paraId="5FA46B3B" w14:textId="77777777">
            <w:pPr>
              <w:jc w:val="center"/>
              <w:rPr>
                <w:b/>
                <w:bCs/>
              </w:rPr>
            </w:pPr>
            <w:r w:rsidRPr="00B85DF0">
              <w:rPr>
                <w:b/>
                <w:bCs/>
              </w:rPr>
              <w:t>Dental Premium Range</w:t>
            </w:r>
          </w:p>
        </w:tc>
        <w:tc>
          <w:tcPr>
            <w:tcW w:w="2340" w:type="dxa"/>
          </w:tcPr>
          <w:p w:rsidR="00E736E5" w:rsidP="00EB7B63" w14:paraId="41B2B24A" w14:textId="77777777">
            <w:pPr>
              <w:jc w:val="center"/>
            </w:pPr>
            <w:r>
              <w:t>$5.34</w:t>
            </w:r>
          </w:p>
        </w:tc>
        <w:tc>
          <w:tcPr>
            <w:tcW w:w="3150" w:type="dxa"/>
          </w:tcPr>
          <w:p w:rsidR="00E736E5" w:rsidP="00EB7B63" w14:paraId="7F6EA462" w14:textId="77777777">
            <w:pPr>
              <w:jc w:val="center"/>
            </w:pPr>
            <w:r>
              <w:t>$93.91</w:t>
            </w:r>
          </w:p>
        </w:tc>
      </w:tr>
      <w:tr w14:paraId="1829133E" w14:textId="77777777" w:rsidTr="003F574C">
        <w:tblPrEx>
          <w:tblW w:w="0" w:type="auto"/>
          <w:tblInd w:w="715" w:type="dxa"/>
          <w:tblLook w:val="04A0"/>
        </w:tblPrEx>
        <w:tc>
          <w:tcPr>
            <w:tcW w:w="7380" w:type="dxa"/>
            <w:gridSpan w:val="3"/>
          </w:tcPr>
          <w:p w:rsidR="00E736E5" w:rsidP="00EB7B63" w14:paraId="2A68F91A" w14:textId="77777777">
            <w:pPr>
              <w:jc w:val="center"/>
            </w:pPr>
          </w:p>
        </w:tc>
      </w:tr>
      <w:tr w14:paraId="585BB6D8" w14:textId="77777777" w:rsidTr="003F574C">
        <w:tblPrEx>
          <w:tblW w:w="0" w:type="auto"/>
          <w:tblInd w:w="715" w:type="dxa"/>
          <w:tblLook w:val="04A0"/>
        </w:tblPrEx>
        <w:tc>
          <w:tcPr>
            <w:tcW w:w="1890" w:type="dxa"/>
          </w:tcPr>
          <w:p w:rsidR="00E736E5" w:rsidRPr="00B85DF0" w:rsidP="00EB7B63" w14:paraId="7AD3FF39" w14:textId="77777777">
            <w:pPr>
              <w:jc w:val="center"/>
              <w:rPr>
                <w:b/>
                <w:bCs/>
              </w:rPr>
            </w:pPr>
            <w:r w:rsidRPr="00B85DF0">
              <w:rPr>
                <w:b/>
                <w:bCs/>
              </w:rPr>
              <w:t>Vision Premium Range</w:t>
            </w:r>
          </w:p>
          <w:p w:rsidR="00E736E5" w:rsidRPr="00B85DF0" w:rsidP="00EB7B63" w14:paraId="31F31569" w14:textId="77777777">
            <w:pPr>
              <w:jc w:val="center"/>
              <w:rPr>
                <w:b/>
                <w:bCs/>
              </w:rPr>
            </w:pPr>
            <w:r w:rsidRPr="00B85DF0">
              <w:rPr>
                <w:b/>
                <w:bCs/>
              </w:rPr>
              <w:t>(no rating region</w:t>
            </w:r>
            <w:r>
              <w:rPr>
                <w:b/>
                <w:bCs/>
              </w:rPr>
              <w:t>s</w:t>
            </w:r>
            <w:r w:rsidRPr="00B85DF0">
              <w:rPr>
                <w:b/>
                <w:bCs/>
              </w:rPr>
              <w:t>)</w:t>
            </w:r>
          </w:p>
        </w:tc>
        <w:tc>
          <w:tcPr>
            <w:tcW w:w="2340" w:type="dxa"/>
          </w:tcPr>
          <w:p w:rsidR="00E736E5" w:rsidP="00EB7B63" w14:paraId="55891F9B" w14:textId="77777777">
            <w:pPr>
              <w:jc w:val="center"/>
            </w:pPr>
            <w:r>
              <w:t>$3.17</w:t>
            </w:r>
          </w:p>
        </w:tc>
        <w:tc>
          <w:tcPr>
            <w:tcW w:w="3150" w:type="dxa"/>
          </w:tcPr>
          <w:p w:rsidR="00E736E5" w:rsidP="00EB7B63" w14:paraId="088E5B92" w14:textId="77777777">
            <w:pPr>
              <w:jc w:val="center"/>
            </w:pPr>
            <w:r>
              <w:t>$20.19</w:t>
            </w:r>
          </w:p>
        </w:tc>
      </w:tr>
    </w:tbl>
    <w:p w:rsidR="00E736E5" w:rsidRPr="00DA15FC" w:rsidP="00F50A9C" w14:paraId="5157CD4A" w14:textId="77777777">
      <w:pPr>
        <w:widowControl w:val="0"/>
        <w:autoSpaceDE w:val="0"/>
        <w:autoSpaceDN w:val="0"/>
        <w:adjustRightInd w:val="0"/>
        <w:spacing w:after="240" w:line="268" w:lineRule="exact"/>
        <w:ind w:left="720" w:right="547"/>
        <w:rPr>
          <w:sz w:val="22"/>
          <w:szCs w:val="22"/>
        </w:rPr>
      </w:pPr>
    </w:p>
    <w:p w:rsidR="000E1A87" w:rsidRPr="00DA15FC" w:rsidP="00BF409E" w14:paraId="17CD1990" w14:textId="77777777">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501AE" w:rsidP="00F50A9C" w14:paraId="70679006" w14:textId="727B23FC">
      <w:pPr>
        <w:widowControl w:val="0"/>
        <w:autoSpaceDE w:val="0"/>
        <w:autoSpaceDN w:val="0"/>
        <w:adjustRightInd w:val="0"/>
        <w:spacing w:after="240" w:line="268" w:lineRule="exact"/>
        <w:ind w:left="720" w:right="547"/>
        <w:rPr>
          <w:sz w:val="22"/>
          <w:szCs w:val="22"/>
          <w:highlight w:val="cyan"/>
        </w:rPr>
      </w:pPr>
      <w:r w:rsidRPr="00DA15FC">
        <w:rPr>
          <w:sz w:val="22"/>
          <w:szCs w:val="22"/>
        </w:rPr>
        <w:t>There is no Government contribution towards premiums; enrollees pay the full cost of coverage which includes the BENEFEDS contracted fees for FEDVIP administration. FEDVIP awards a 7-year contract for BENEFEDS, and regardless of whether new populations are added to FEDVIP, the contract remains the same and the costs are fixed</w:t>
      </w:r>
      <w:r w:rsidRPr="00DA15FC" w:rsidR="0061395A">
        <w:rPr>
          <w:sz w:val="22"/>
          <w:szCs w:val="22"/>
        </w:rPr>
        <w:t>. No additional hiring or staff time is anticipated to support contract administration</w:t>
      </w:r>
      <w:r w:rsidRPr="00DA15FC">
        <w:rPr>
          <w:sz w:val="22"/>
          <w:szCs w:val="22"/>
        </w:rPr>
        <w:t>. The BENEFEDS contract is supported by OPM staff consisting of a Contracting Officer (CO) and Contracting Officer’s Representative (COR) that spend 2% and 85% of their time respectively administering this contract. In addition, Chief of FEDVIP, FEDVIP Program Analyst, FEIO Deputy Assistant Director and other FEDVIP employees also provide support for the contract as detailed in the following table.</w:t>
      </w:r>
    </w:p>
    <w:tbl>
      <w:tblPr>
        <w:tblStyle w:val="TableGrid"/>
        <w:tblW w:w="0" w:type="auto"/>
        <w:tblLook w:val="04A0"/>
      </w:tblPr>
      <w:tblGrid>
        <w:gridCol w:w="1857"/>
        <w:gridCol w:w="1834"/>
        <w:gridCol w:w="2266"/>
        <w:gridCol w:w="1847"/>
        <w:gridCol w:w="2266"/>
      </w:tblGrid>
      <w:tr w14:paraId="23911213" w14:textId="77777777" w:rsidTr="003F574C">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29EEF248" w14:textId="77777777">
            <w:r w:rsidRPr="00DA15FC">
              <w:t>Position title</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4ED183F4" w14:textId="77777777">
            <w:r w:rsidRPr="00DA15FC">
              <w:t>GS level</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56C012A3" w14:textId="77777777">
            <w:r w:rsidRPr="00DA15FC">
              <w:t>Annual salary</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2197DFBE" w14:textId="77777777">
            <w:r w:rsidRPr="00DA15FC">
              <w:t>Percentage of time</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5A6F3E69" w14:textId="77777777">
            <w:r w:rsidRPr="00DA15FC">
              <w:t>Annual cost total</w:t>
            </w:r>
          </w:p>
        </w:tc>
      </w:tr>
      <w:tr w14:paraId="06F88EA7" w14:textId="77777777" w:rsidTr="003F574C">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166EA89E" w14:textId="4B6237F1">
            <w:r w:rsidRPr="00DA15FC">
              <w:t>Contracting Officer (CO)</w:t>
            </w:r>
            <w:r w:rsidR="00B34172">
              <w:t>/</w:t>
            </w:r>
            <w:r w:rsidRPr="00B34172" w:rsidR="00B34172">
              <w:t xml:space="preserve"> Chief of FEDVIP</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2E478174" w14:textId="4E581D01">
            <w:r w:rsidRPr="00B34172">
              <w:t xml:space="preserve"> GS-15, step 1</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083E00A2" w14:textId="11E6903C">
            <w:r w:rsidRPr="00DA15FC">
              <w:t>$</w:t>
            </w:r>
            <w:r w:rsidR="00B34172">
              <w:t>167,603</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4DAAF0E3" w14:textId="69BDDA03">
            <w:r w:rsidRPr="00DA15FC">
              <w:t>2</w:t>
            </w:r>
            <w:r w:rsidR="00B34172">
              <w:t>0</w:t>
            </w:r>
            <w:r w:rsidRPr="00DA15FC">
              <w:t>%</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31E80A7C" w14:textId="63FF84C9">
            <w:r w:rsidRPr="00DA15FC">
              <w:t>$</w:t>
            </w:r>
            <w:r w:rsidR="000C7987">
              <w:t>3</w:t>
            </w:r>
            <w:r w:rsidR="00B34172">
              <w:t>3</w:t>
            </w:r>
            <w:r w:rsidR="000C7987">
              <w:t>,</w:t>
            </w:r>
            <w:r w:rsidR="00B34172">
              <w:t>521</w:t>
            </w:r>
          </w:p>
        </w:tc>
      </w:tr>
      <w:tr w14:paraId="5600EA4C" w14:textId="77777777" w:rsidTr="003F574C">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11C245B2" w14:textId="77777777">
            <w:r w:rsidRPr="00DA15FC">
              <w:t>Contracting Officer’s Representative (COR)</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64F878C8" w14:textId="7244847D">
            <w:r w:rsidRPr="00DA15FC">
              <w:t>GS-1</w:t>
            </w:r>
            <w:r>
              <w:t>5</w:t>
            </w:r>
            <w:r w:rsidRPr="00DA15FC">
              <w:t>, step 1</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2B3E768F" w14:textId="5C95F998">
            <w:r w:rsidRPr="00DA15FC">
              <w:t>$</w:t>
            </w:r>
            <w:r w:rsidRPr="000C7987" w:rsidR="000C7987">
              <w:t>167</w:t>
            </w:r>
            <w:r w:rsidR="000C7987">
              <w:t>,</w:t>
            </w:r>
            <w:r w:rsidRPr="000C7987" w:rsidR="000C7987">
              <w:t>603</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165726FD" w14:textId="77777777">
            <w:r w:rsidRPr="00DA15FC">
              <w:t>85%</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287F85FD" w14:textId="00952F9D">
            <w:r w:rsidRPr="00DA15FC">
              <w:t>$</w:t>
            </w:r>
            <w:r w:rsidR="000C7987">
              <w:t>142,463</w:t>
            </w:r>
          </w:p>
        </w:tc>
      </w:tr>
      <w:tr w14:paraId="1DF2C969" w14:textId="77777777" w:rsidTr="003F574C">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04067FEB" w14:textId="77777777">
            <w:r w:rsidRPr="00DA15FC">
              <w:t>FEDVIP Program Analyst</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086618CA" w14:textId="7A279276">
            <w:r w:rsidRPr="00DA15FC">
              <w:t>GS-1</w:t>
            </w:r>
            <w:r>
              <w:t>2</w:t>
            </w:r>
            <w:r w:rsidRPr="00DA15FC">
              <w:t>, step 1</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4FD1BC9F" w14:textId="6258F9A7">
            <w:r w:rsidRPr="00DA15FC">
              <w:t>$</w:t>
            </w:r>
            <w:r w:rsidRPr="000C7987" w:rsidR="000C7987">
              <w:t>101</w:t>
            </w:r>
            <w:r w:rsidR="000C7987">
              <w:t>,</w:t>
            </w:r>
            <w:r w:rsidRPr="000C7987" w:rsidR="000C7987">
              <w:t>401</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3C3E054A" w14:textId="77777777">
            <w:r w:rsidRPr="00DA15FC">
              <w:t>80%</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325DC672" w14:textId="0A6E5CDB">
            <w:r w:rsidRPr="00DA15FC">
              <w:t>$</w:t>
            </w:r>
            <w:r w:rsidR="000C7987">
              <w:t>81,121</w:t>
            </w:r>
          </w:p>
        </w:tc>
      </w:tr>
      <w:tr w14:paraId="7D85F8CE" w14:textId="77777777" w:rsidTr="003F574C">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62D24B3D" w14:textId="46ECE139">
            <w:r w:rsidRPr="00DA15FC">
              <w:t>Deputy Ass</w:t>
            </w:r>
            <w:r w:rsidR="00B34172">
              <w:t>ociate</w:t>
            </w:r>
            <w:r w:rsidRPr="00DA15FC">
              <w:t xml:space="preserve"> Director</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389D48FD" w14:textId="0889333C">
            <w:r w:rsidRPr="00B34172">
              <w:t>SES, Level V</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0505E5FC" w14:textId="63CE332F">
            <w:r w:rsidRPr="00DA15FC">
              <w:t>$</w:t>
            </w:r>
            <w:r w:rsidRPr="000C7987" w:rsidR="000C7987">
              <w:t>1</w:t>
            </w:r>
            <w:r w:rsidR="00B34172">
              <w:t>83</w:t>
            </w:r>
            <w:r w:rsidR="000C7987">
              <w:t>,</w:t>
            </w:r>
            <w:r w:rsidR="00B34172">
              <w:t>100</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4E54A061" w14:textId="788E9113">
            <w:r>
              <w:t>2</w:t>
            </w:r>
            <w:r w:rsidRPr="00DA15FC" w:rsidR="00F8193D">
              <w:t>%</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1F998D0C" w14:textId="61563384">
            <w:r w:rsidRPr="00DA15FC">
              <w:t>$</w:t>
            </w:r>
            <w:r w:rsidR="00B34172">
              <w:t>3,662</w:t>
            </w:r>
          </w:p>
        </w:tc>
      </w:tr>
      <w:tr w14:paraId="2D0B0D07" w14:textId="77777777" w:rsidTr="00213251">
        <w:tblPrEx>
          <w:tblW w:w="0" w:type="auto"/>
          <w:tblLook w:val="04A0"/>
        </w:tblPrEx>
        <w:tc>
          <w:tcPr>
            <w:tcW w:w="1857" w:type="dxa"/>
            <w:tcBorders>
              <w:top w:val="single" w:sz="4" w:space="0" w:color="auto"/>
              <w:left w:val="single" w:sz="4" w:space="0" w:color="auto"/>
              <w:bottom w:val="single" w:sz="4" w:space="0" w:color="auto"/>
              <w:right w:val="single" w:sz="4" w:space="0" w:color="auto"/>
            </w:tcBorders>
            <w:hideMark/>
          </w:tcPr>
          <w:p w:rsidR="00025BF9" w:rsidRPr="00DA15FC" w:rsidP="00AA6714" w14:paraId="75A33F08" w14:textId="77777777">
            <w:r w:rsidRPr="00DA15FC">
              <w:t>Two (2) other FEDVIP employees</w:t>
            </w:r>
          </w:p>
        </w:tc>
        <w:tc>
          <w:tcPr>
            <w:tcW w:w="1834" w:type="dxa"/>
            <w:tcBorders>
              <w:top w:val="single" w:sz="4" w:space="0" w:color="auto"/>
              <w:left w:val="single" w:sz="4" w:space="0" w:color="auto"/>
              <w:bottom w:val="single" w:sz="4" w:space="0" w:color="auto"/>
              <w:right w:val="single" w:sz="4" w:space="0" w:color="auto"/>
            </w:tcBorders>
            <w:hideMark/>
          </w:tcPr>
          <w:p w:rsidR="00025BF9" w:rsidRPr="00DA15FC" w:rsidP="00AA6714" w14:paraId="12B615F6" w14:textId="77777777">
            <w:r w:rsidRPr="00DA15FC">
              <w:t>GS-13, step 1</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6E75422D" w14:textId="43034B7C">
            <w:r w:rsidRPr="00DA15FC">
              <w:t>$</w:t>
            </w:r>
            <w:r w:rsidRPr="000C7987" w:rsidR="000C7987">
              <w:t>120</w:t>
            </w:r>
            <w:r w:rsidR="000C7987">
              <w:t>,</w:t>
            </w:r>
            <w:r w:rsidRPr="000C7987" w:rsidR="000C7987">
              <w:t>579</w:t>
            </w:r>
          </w:p>
        </w:tc>
        <w:tc>
          <w:tcPr>
            <w:tcW w:w="1847" w:type="dxa"/>
            <w:tcBorders>
              <w:top w:val="single" w:sz="4" w:space="0" w:color="auto"/>
              <w:left w:val="single" w:sz="4" w:space="0" w:color="auto"/>
              <w:bottom w:val="single" w:sz="4" w:space="0" w:color="auto"/>
              <w:right w:val="single" w:sz="4" w:space="0" w:color="auto"/>
            </w:tcBorders>
            <w:hideMark/>
          </w:tcPr>
          <w:p w:rsidR="00025BF9" w:rsidRPr="00DA15FC" w:rsidP="00AA6714" w14:paraId="2378A0F3" w14:textId="77777777">
            <w:r w:rsidRPr="00DA15FC">
              <w:t>5% each</w:t>
            </w:r>
          </w:p>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65C353A1" w14:textId="3771AD72">
            <w:r w:rsidRPr="00DA15FC">
              <w:t>$</w:t>
            </w:r>
            <w:r w:rsidR="00721113">
              <w:t>12,058</w:t>
            </w:r>
          </w:p>
        </w:tc>
      </w:tr>
      <w:tr w14:paraId="761BC18C" w14:textId="77777777" w:rsidTr="00213251">
        <w:tblPrEx>
          <w:tblW w:w="0" w:type="auto"/>
          <w:tblLook w:val="04A0"/>
        </w:tblPrEx>
        <w:tc>
          <w:tcPr>
            <w:tcW w:w="1857" w:type="dxa"/>
            <w:tcBorders>
              <w:top w:val="single" w:sz="4" w:space="0" w:color="auto"/>
              <w:left w:val="single" w:sz="4" w:space="0" w:color="auto"/>
              <w:bottom w:val="single" w:sz="4" w:space="0" w:color="auto"/>
              <w:right w:val="nil"/>
            </w:tcBorders>
          </w:tcPr>
          <w:p w:rsidR="00025BF9" w:rsidRPr="00DA15FC" w:rsidP="00213251" w14:paraId="01074E7D" w14:textId="21AA0DD4">
            <w:pPr>
              <w:jc w:val="center"/>
            </w:pPr>
            <w:r>
              <w:t>Total</w:t>
            </w:r>
          </w:p>
        </w:tc>
        <w:tc>
          <w:tcPr>
            <w:tcW w:w="1834" w:type="dxa"/>
            <w:tcBorders>
              <w:top w:val="single" w:sz="4" w:space="0" w:color="auto"/>
              <w:left w:val="nil"/>
              <w:bottom w:val="single" w:sz="4" w:space="0" w:color="auto"/>
              <w:right w:val="nil"/>
            </w:tcBorders>
          </w:tcPr>
          <w:p w:rsidR="00025BF9" w:rsidRPr="00DA15FC" w:rsidP="00AA6714" w14:paraId="105AB395" w14:textId="77777777"/>
        </w:tc>
        <w:tc>
          <w:tcPr>
            <w:tcW w:w="2266" w:type="dxa"/>
            <w:tcBorders>
              <w:top w:val="single" w:sz="4" w:space="0" w:color="auto"/>
              <w:left w:val="nil"/>
              <w:bottom w:val="single" w:sz="4" w:space="0" w:color="auto"/>
              <w:right w:val="nil"/>
            </w:tcBorders>
          </w:tcPr>
          <w:p w:rsidR="00025BF9" w:rsidRPr="00DA15FC" w:rsidP="00AA6714" w14:paraId="02A80804" w14:textId="77777777"/>
        </w:tc>
        <w:tc>
          <w:tcPr>
            <w:tcW w:w="1847" w:type="dxa"/>
            <w:tcBorders>
              <w:top w:val="single" w:sz="4" w:space="0" w:color="auto"/>
              <w:left w:val="nil"/>
              <w:bottom w:val="single" w:sz="4" w:space="0" w:color="auto"/>
              <w:right w:val="single" w:sz="4" w:space="0" w:color="auto"/>
            </w:tcBorders>
          </w:tcPr>
          <w:p w:rsidR="00025BF9" w:rsidRPr="00DA15FC" w:rsidP="00AA6714" w14:paraId="034838DE" w14:textId="77777777"/>
        </w:tc>
        <w:tc>
          <w:tcPr>
            <w:tcW w:w="2266" w:type="dxa"/>
            <w:tcBorders>
              <w:top w:val="single" w:sz="4" w:space="0" w:color="auto"/>
              <w:left w:val="single" w:sz="4" w:space="0" w:color="auto"/>
              <w:bottom w:val="single" w:sz="4" w:space="0" w:color="auto"/>
              <w:right w:val="single" w:sz="4" w:space="0" w:color="auto"/>
            </w:tcBorders>
            <w:hideMark/>
          </w:tcPr>
          <w:p w:rsidR="00025BF9" w:rsidRPr="00DA15FC" w:rsidP="00AA6714" w14:paraId="04BA4959" w14:textId="6F2ACE9E">
            <w:r w:rsidRPr="00DA15FC">
              <w:t>$</w:t>
            </w:r>
            <w:r w:rsidR="003274F8">
              <w:t>272,825</w:t>
            </w:r>
          </w:p>
        </w:tc>
      </w:tr>
    </w:tbl>
    <w:p w:rsidR="00025BF9" w:rsidRPr="00DA15FC" w:rsidP="00F50A9C" w14:paraId="396C32C7" w14:textId="77777777">
      <w:pPr>
        <w:widowControl w:val="0"/>
        <w:autoSpaceDE w:val="0"/>
        <w:autoSpaceDN w:val="0"/>
        <w:adjustRightInd w:val="0"/>
        <w:spacing w:after="240" w:line="268" w:lineRule="exact"/>
        <w:ind w:left="720" w:right="547"/>
        <w:rPr>
          <w:sz w:val="22"/>
          <w:szCs w:val="22"/>
        </w:rPr>
      </w:pPr>
    </w:p>
    <w:p w:rsidR="00775648" w:rsidRPr="00DA15FC" w:rsidP="008501AE" w14:paraId="02BEBEBF" w14:textId="21CB60C6">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Explain the reasons for any program changes or adjustments reported on the burden worksheet.</w:t>
      </w:r>
    </w:p>
    <w:p w:rsidR="008501AE" w:rsidRPr="00DA15FC" w:rsidP="00F50A9C" w14:paraId="24C6EC8B" w14:textId="1109507D">
      <w:pPr>
        <w:widowControl w:val="0"/>
        <w:autoSpaceDE w:val="0"/>
        <w:autoSpaceDN w:val="0"/>
        <w:adjustRightInd w:val="0"/>
        <w:spacing w:after="240" w:line="268" w:lineRule="exact"/>
        <w:ind w:left="720" w:right="547"/>
        <w:rPr>
          <w:sz w:val="22"/>
          <w:szCs w:val="22"/>
        </w:rPr>
      </w:pPr>
      <w:r>
        <w:rPr>
          <w:sz w:val="22"/>
          <w:szCs w:val="22"/>
        </w:rPr>
        <w:t>Program changes and adjustments should be considered routine agency adjustment, mostly the result of salary changes, inflation, and updated data availability on the number of respondents and time spent per response.</w:t>
      </w:r>
    </w:p>
    <w:p w:rsidR="00E04310" w:rsidRPr="00DA15FC" w:rsidP="008501AE" w14:paraId="16D52D1F" w14:textId="003D1A02">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01AE" w:rsidRPr="00DA15FC" w:rsidP="00F50A9C" w14:paraId="419050B9" w14:textId="0E903CEF">
      <w:pPr>
        <w:widowControl w:val="0"/>
        <w:autoSpaceDE w:val="0"/>
        <w:autoSpaceDN w:val="0"/>
        <w:adjustRightInd w:val="0"/>
        <w:spacing w:after="240" w:line="268" w:lineRule="exact"/>
        <w:ind w:left="720" w:right="547"/>
        <w:rPr>
          <w:sz w:val="22"/>
          <w:szCs w:val="22"/>
        </w:rPr>
      </w:pPr>
      <w:r w:rsidRPr="35009804" w:rsidR="5D0E7C6F">
        <w:rPr>
          <w:sz w:val="22"/>
          <w:szCs w:val="22"/>
        </w:rPr>
        <w:t xml:space="preserve">The enrollment information collected is shared with the FEDVIP </w:t>
      </w:r>
      <w:r w:rsidRPr="35009804" w:rsidR="5D0E7C6F">
        <w:rPr>
          <w:sz w:val="22"/>
          <w:szCs w:val="22"/>
        </w:rPr>
        <w:t>carriers</w:t>
      </w:r>
      <w:r w:rsidRPr="35009804" w:rsidR="0BF1212E">
        <w:rPr>
          <w:sz w:val="22"/>
          <w:szCs w:val="22"/>
        </w:rPr>
        <w:t>,</w:t>
      </w:r>
      <w:r w:rsidRPr="35009804" w:rsidR="5D0E7C6F">
        <w:rPr>
          <w:sz w:val="22"/>
          <w:szCs w:val="22"/>
        </w:rPr>
        <w:t xml:space="preserve"> but the results of this information collection are not published</w:t>
      </w:r>
      <w:r w:rsidRPr="35009804" w:rsidR="7C4D89A4">
        <w:rPr>
          <w:sz w:val="22"/>
          <w:szCs w:val="22"/>
        </w:rPr>
        <w:t>.</w:t>
      </w:r>
    </w:p>
    <w:p w:rsidR="00A333FC" w:rsidRPr="00DA15FC" w:rsidP="008501AE" w14:paraId="589CE565" w14:textId="04593D00">
      <w:pPr>
        <w:widowControl w:val="0"/>
        <w:numPr>
          <w:ilvl w:val="0"/>
          <w:numId w:val="3"/>
        </w:numPr>
        <w:autoSpaceDE w:val="0"/>
        <w:autoSpaceDN w:val="0"/>
        <w:adjustRightInd w:val="0"/>
        <w:spacing w:line="268" w:lineRule="exact"/>
        <w:ind w:right="547"/>
        <w:rPr>
          <w:b/>
          <w:bCs/>
          <w:sz w:val="22"/>
          <w:szCs w:val="22"/>
        </w:rPr>
      </w:pPr>
      <w:r w:rsidRPr="5EF79763">
        <w:rPr>
          <w:b/>
          <w:bCs/>
          <w:sz w:val="22"/>
          <w:szCs w:val="22"/>
        </w:rPr>
        <w:t xml:space="preserve">If seeking approval to not display the </w:t>
      </w:r>
      <w:r w:rsidRPr="5EF79763">
        <w:rPr>
          <w:b/>
          <w:bCs/>
          <w:sz w:val="22"/>
          <w:szCs w:val="22"/>
        </w:rPr>
        <w:t>expiration</w:t>
      </w:r>
      <w:r w:rsidRPr="5EF79763">
        <w:rPr>
          <w:b/>
          <w:bCs/>
          <w:sz w:val="22"/>
          <w:szCs w:val="22"/>
        </w:rPr>
        <w:t xml:space="preserve"> date for OMB approval of the information collection, explain the reasons that display would be inappropriate.</w:t>
      </w:r>
    </w:p>
    <w:p w:rsidR="1D956AD8" w:rsidP="5EF79763" w14:paraId="3FFB5951" w14:textId="78E2109F">
      <w:pPr>
        <w:pStyle w:val="ListParagraph"/>
      </w:pPr>
      <w:r>
        <w:t>As part of the Public Burden Statement, which is presented to respondents prior to filling out any questions, OPM invites respondents to visit OIRA's reginfo.gov to review the detailed information (including the OMB expiration date) on this ICR.</w:t>
      </w:r>
    </w:p>
    <w:p w:rsidR="008501AE" w:rsidRPr="00DA15FC" w:rsidP="00F50A9C" w14:paraId="34085484" w14:textId="33DB879D">
      <w:pPr>
        <w:widowControl w:val="0"/>
        <w:autoSpaceDE w:val="0"/>
        <w:autoSpaceDN w:val="0"/>
        <w:adjustRightInd w:val="0"/>
        <w:spacing w:after="240" w:line="268" w:lineRule="exact"/>
        <w:ind w:left="720" w:right="547"/>
        <w:rPr>
          <w:sz w:val="22"/>
          <w:szCs w:val="22"/>
        </w:rPr>
      </w:pPr>
    </w:p>
    <w:p w:rsidR="00094C2A" w:rsidRPr="00DA15FC" w:rsidP="00254E49" w14:paraId="3F61F41B" w14:textId="77777777">
      <w:pPr>
        <w:widowControl w:val="0"/>
        <w:numPr>
          <w:ilvl w:val="0"/>
          <w:numId w:val="3"/>
        </w:numPr>
        <w:autoSpaceDE w:val="0"/>
        <w:autoSpaceDN w:val="0"/>
        <w:adjustRightInd w:val="0"/>
        <w:spacing w:line="268" w:lineRule="exact"/>
        <w:ind w:right="547"/>
        <w:rPr>
          <w:b/>
          <w:bCs/>
          <w:sz w:val="22"/>
          <w:szCs w:val="22"/>
        </w:rPr>
      </w:pPr>
      <w:r w:rsidRPr="00DA15FC">
        <w:rPr>
          <w:b/>
          <w:bCs/>
          <w:sz w:val="22"/>
          <w:szCs w:val="22"/>
        </w:rPr>
        <w:t>Explain each exception to the topics of the certification statement identified in “Certification for Paperwork Reduction Act Submissions.”</w:t>
      </w:r>
    </w:p>
    <w:p w:rsidR="0012063A" w:rsidRPr="008501AE" w:rsidP="00F50A9C" w14:paraId="155B94E9" w14:textId="67B08CD6">
      <w:pPr>
        <w:widowControl w:val="0"/>
        <w:autoSpaceDE w:val="0"/>
        <w:autoSpaceDN w:val="0"/>
        <w:adjustRightInd w:val="0"/>
        <w:spacing w:line="268" w:lineRule="exact"/>
        <w:ind w:left="720" w:right="547"/>
        <w:rPr>
          <w:sz w:val="22"/>
          <w:szCs w:val="22"/>
        </w:rPr>
      </w:pPr>
      <w:r w:rsidRPr="00DA15FC">
        <w:rPr>
          <w:sz w:val="22"/>
          <w:szCs w:val="22"/>
        </w:rPr>
        <w:t>There are no exceptions.</w:t>
      </w:r>
    </w:p>
    <w:sectPr w:rsidSect="005E21B4">
      <w:headerReference w:type="even" r:id="rId9"/>
      <w:headerReference w:type="default" r:id="rId10"/>
      <w:pgSz w:w="12240" w:h="15840" w:orient="portrait"/>
      <w:pgMar w:top="1080" w:right="1080" w:bottom="720" w:left="108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401" w:rsidP="005E21B4" w14:paraId="375E1EB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2401" w:rsidP="005E21B4" w14:paraId="30CC76F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401" w:rsidP="005E21B4" w14:paraId="5A31E3D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D1B">
      <w:rPr>
        <w:rStyle w:val="PageNumber"/>
        <w:noProof/>
      </w:rPr>
      <w:t>3</w:t>
    </w:r>
    <w:r>
      <w:rPr>
        <w:rStyle w:val="PageNumber"/>
      </w:rPr>
      <w:fldChar w:fldCharType="end"/>
    </w:r>
  </w:p>
  <w:p w:rsidR="00F42401" w:rsidP="005E21B4" w14:paraId="46FEFE8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80629"/>
    <w:multiLevelType w:val="hybridMultilevel"/>
    <w:tmpl w:val="E64A55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39B45DD8"/>
    <w:multiLevelType w:val="hybridMultilevel"/>
    <w:tmpl w:val="D7B6FEEC"/>
    <w:lvl w:ilvl="0">
      <w:start w:val="1"/>
      <w:numFmt w:val="upp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B91D53"/>
    <w:multiLevelType w:val="hybridMultilevel"/>
    <w:tmpl w:val="06ECD3FC"/>
    <w:lvl w:ilvl="0">
      <w:start w:val="1"/>
      <w:numFmt w:val="decimal"/>
      <w:lvlText w:val="%1."/>
      <w:lvlJc w:val="left"/>
      <w:pPr>
        <w:tabs>
          <w:tab w:val="num" w:pos="1080"/>
        </w:tabs>
        <w:ind w:left="1080" w:hanging="360"/>
      </w:pPr>
      <w:rPr>
        <w:color w:val="auto"/>
      </w:r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B096CDF"/>
    <w:multiLevelType w:val="hybridMultilevel"/>
    <w:tmpl w:val="063A5B7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CB145D6"/>
    <w:multiLevelType w:val="hybridMultilevel"/>
    <w:tmpl w:val="0EA2A1B2"/>
    <w:lvl w:ilvl="0">
      <w:start w:val="1"/>
      <w:numFmt w:val="decimal"/>
      <w:lvlText w:val="%1."/>
      <w:lvlJc w:val="left"/>
      <w:pPr>
        <w:ind w:left="720" w:hanging="360"/>
      </w:pPr>
      <w:rPr>
        <w:rFonts w:ascii="Times New Roman" w:hAnsi="Times New Roman" w:cs="Times New Roman" w:hint="default"/>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242D61"/>
    <w:multiLevelType w:val="hybridMultilevel"/>
    <w:tmpl w:val="52B8B9D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6476598">
    <w:abstractNumId w:val="2"/>
  </w:num>
  <w:num w:numId="2" w16cid:durableId="1252659163">
    <w:abstractNumId w:val="1"/>
  </w:num>
  <w:num w:numId="3" w16cid:durableId="562835128">
    <w:abstractNumId w:val="4"/>
  </w:num>
  <w:num w:numId="4" w16cid:durableId="1227453611">
    <w:abstractNumId w:val="0"/>
  </w:num>
  <w:num w:numId="5" w16cid:durableId="7566728">
    <w:abstractNumId w:val="3"/>
  </w:num>
  <w:num w:numId="6" w16cid:durableId="176967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AD"/>
    <w:rsid w:val="000023CC"/>
    <w:rsid w:val="00002F66"/>
    <w:rsid w:val="00004ABE"/>
    <w:rsid w:val="00007543"/>
    <w:rsid w:val="000134AA"/>
    <w:rsid w:val="00025BF9"/>
    <w:rsid w:val="00031A6D"/>
    <w:rsid w:val="00031E73"/>
    <w:rsid w:val="00034093"/>
    <w:rsid w:val="00035DBE"/>
    <w:rsid w:val="00046D1B"/>
    <w:rsid w:val="00052AB1"/>
    <w:rsid w:val="0005417E"/>
    <w:rsid w:val="00056717"/>
    <w:rsid w:val="0006404D"/>
    <w:rsid w:val="00064C98"/>
    <w:rsid w:val="00065C1D"/>
    <w:rsid w:val="00067527"/>
    <w:rsid w:val="00067758"/>
    <w:rsid w:val="00067EAE"/>
    <w:rsid w:val="000706B1"/>
    <w:rsid w:val="00070C4F"/>
    <w:rsid w:val="00085F92"/>
    <w:rsid w:val="000875E0"/>
    <w:rsid w:val="0009032F"/>
    <w:rsid w:val="00093093"/>
    <w:rsid w:val="00094660"/>
    <w:rsid w:val="000947A8"/>
    <w:rsid w:val="00094C2A"/>
    <w:rsid w:val="000A037D"/>
    <w:rsid w:val="000A5A76"/>
    <w:rsid w:val="000B3764"/>
    <w:rsid w:val="000C1C83"/>
    <w:rsid w:val="000C542F"/>
    <w:rsid w:val="000C7356"/>
    <w:rsid w:val="000C78B3"/>
    <w:rsid w:val="000C7987"/>
    <w:rsid w:val="000D2D14"/>
    <w:rsid w:val="000D4C98"/>
    <w:rsid w:val="000D6201"/>
    <w:rsid w:val="000E0AD4"/>
    <w:rsid w:val="000E122B"/>
    <w:rsid w:val="000E12B9"/>
    <w:rsid w:val="000E1A87"/>
    <w:rsid w:val="000E4493"/>
    <w:rsid w:val="000E602F"/>
    <w:rsid w:val="000F0DA0"/>
    <w:rsid w:val="000F3A66"/>
    <w:rsid w:val="000F715B"/>
    <w:rsid w:val="00106F53"/>
    <w:rsid w:val="0012063A"/>
    <w:rsid w:val="001238A9"/>
    <w:rsid w:val="00124F73"/>
    <w:rsid w:val="001270BE"/>
    <w:rsid w:val="00132803"/>
    <w:rsid w:val="001331C1"/>
    <w:rsid w:val="00136E85"/>
    <w:rsid w:val="0014023A"/>
    <w:rsid w:val="001418DD"/>
    <w:rsid w:val="001421A5"/>
    <w:rsid w:val="0014251E"/>
    <w:rsid w:val="001472B0"/>
    <w:rsid w:val="0015178B"/>
    <w:rsid w:val="001524A6"/>
    <w:rsid w:val="00152C47"/>
    <w:rsid w:val="00154011"/>
    <w:rsid w:val="00157735"/>
    <w:rsid w:val="0016042D"/>
    <w:rsid w:val="00161D1B"/>
    <w:rsid w:val="00163281"/>
    <w:rsid w:val="001650C6"/>
    <w:rsid w:val="00171348"/>
    <w:rsid w:val="001829FA"/>
    <w:rsid w:val="00183AE4"/>
    <w:rsid w:val="00185098"/>
    <w:rsid w:val="00185E81"/>
    <w:rsid w:val="0018786C"/>
    <w:rsid w:val="00187C44"/>
    <w:rsid w:val="00190786"/>
    <w:rsid w:val="0019089A"/>
    <w:rsid w:val="00192FA4"/>
    <w:rsid w:val="0019683B"/>
    <w:rsid w:val="001A1F31"/>
    <w:rsid w:val="001B7E44"/>
    <w:rsid w:val="001C1443"/>
    <w:rsid w:val="001C2521"/>
    <w:rsid w:val="001D7A7E"/>
    <w:rsid w:val="001D7E90"/>
    <w:rsid w:val="001E6DFD"/>
    <w:rsid w:val="001F1085"/>
    <w:rsid w:val="001F2014"/>
    <w:rsid w:val="001F39E3"/>
    <w:rsid w:val="001F44E2"/>
    <w:rsid w:val="00200612"/>
    <w:rsid w:val="00200EF2"/>
    <w:rsid w:val="00204988"/>
    <w:rsid w:val="002115B7"/>
    <w:rsid w:val="00211EC6"/>
    <w:rsid w:val="00213251"/>
    <w:rsid w:val="00213A2E"/>
    <w:rsid w:val="00217A96"/>
    <w:rsid w:val="002209B4"/>
    <w:rsid w:val="00222B43"/>
    <w:rsid w:val="002233F6"/>
    <w:rsid w:val="00236AB3"/>
    <w:rsid w:val="002375C1"/>
    <w:rsid w:val="00240818"/>
    <w:rsid w:val="00241687"/>
    <w:rsid w:val="00241D6D"/>
    <w:rsid w:val="002424BC"/>
    <w:rsid w:val="002428E0"/>
    <w:rsid w:val="00244936"/>
    <w:rsid w:val="0025002C"/>
    <w:rsid w:val="00250F5E"/>
    <w:rsid w:val="00254E49"/>
    <w:rsid w:val="00256062"/>
    <w:rsid w:val="00261ABB"/>
    <w:rsid w:val="00266CB9"/>
    <w:rsid w:val="00271C94"/>
    <w:rsid w:val="00272012"/>
    <w:rsid w:val="00272D73"/>
    <w:rsid w:val="00273EF4"/>
    <w:rsid w:val="00276799"/>
    <w:rsid w:val="00276E7A"/>
    <w:rsid w:val="00282AB2"/>
    <w:rsid w:val="00287E6C"/>
    <w:rsid w:val="002908E1"/>
    <w:rsid w:val="0029094C"/>
    <w:rsid w:val="00296C59"/>
    <w:rsid w:val="00297FC8"/>
    <w:rsid w:val="002A08E3"/>
    <w:rsid w:val="002A093A"/>
    <w:rsid w:val="002A09B2"/>
    <w:rsid w:val="002A6CD7"/>
    <w:rsid w:val="002A78B2"/>
    <w:rsid w:val="002A7DC2"/>
    <w:rsid w:val="002B3B81"/>
    <w:rsid w:val="002B5AC5"/>
    <w:rsid w:val="002B629F"/>
    <w:rsid w:val="002B6AB4"/>
    <w:rsid w:val="002B7F3E"/>
    <w:rsid w:val="002C136B"/>
    <w:rsid w:val="002C2B13"/>
    <w:rsid w:val="002C4C72"/>
    <w:rsid w:val="002C522D"/>
    <w:rsid w:val="002D4F25"/>
    <w:rsid w:val="002E15F6"/>
    <w:rsid w:val="002E424C"/>
    <w:rsid w:val="002E5272"/>
    <w:rsid w:val="002E7E30"/>
    <w:rsid w:val="002F4363"/>
    <w:rsid w:val="002F500B"/>
    <w:rsid w:val="002F6887"/>
    <w:rsid w:val="002F7E98"/>
    <w:rsid w:val="00301AF4"/>
    <w:rsid w:val="003030B4"/>
    <w:rsid w:val="003047E2"/>
    <w:rsid w:val="00306D64"/>
    <w:rsid w:val="0030731F"/>
    <w:rsid w:val="00307791"/>
    <w:rsid w:val="00310B8F"/>
    <w:rsid w:val="00317AB8"/>
    <w:rsid w:val="003200BA"/>
    <w:rsid w:val="003255FF"/>
    <w:rsid w:val="003269F8"/>
    <w:rsid w:val="003274F8"/>
    <w:rsid w:val="00334FC6"/>
    <w:rsid w:val="00335FFB"/>
    <w:rsid w:val="00340DF9"/>
    <w:rsid w:val="00341DD5"/>
    <w:rsid w:val="00344062"/>
    <w:rsid w:val="0034571F"/>
    <w:rsid w:val="00345BBF"/>
    <w:rsid w:val="0035222E"/>
    <w:rsid w:val="00352D83"/>
    <w:rsid w:val="003568F6"/>
    <w:rsid w:val="00361E25"/>
    <w:rsid w:val="00364165"/>
    <w:rsid w:val="00370654"/>
    <w:rsid w:val="00371194"/>
    <w:rsid w:val="00386F36"/>
    <w:rsid w:val="00387DEF"/>
    <w:rsid w:val="00390B81"/>
    <w:rsid w:val="00391B79"/>
    <w:rsid w:val="0039371A"/>
    <w:rsid w:val="00397495"/>
    <w:rsid w:val="003A6913"/>
    <w:rsid w:val="003B1C61"/>
    <w:rsid w:val="003B53C1"/>
    <w:rsid w:val="003B628F"/>
    <w:rsid w:val="003C4FA4"/>
    <w:rsid w:val="003C5A64"/>
    <w:rsid w:val="003C6833"/>
    <w:rsid w:val="003D442F"/>
    <w:rsid w:val="003D45CA"/>
    <w:rsid w:val="003D478A"/>
    <w:rsid w:val="003D572C"/>
    <w:rsid w:val="003D64F1"/>
    <w:rsid w:val="003D6526"/>
    <w:rsid w:val="003E7243"/>
    <w:rsid w:val="003F2C7A"/>
    <w:rsid w:val="003F574C"/>
    <w:rsid w:val="003F7EC4"/>
    <w:rsid w:val="004049D7"/>
    <w:rsid w:val="00405F75"/>
    <w:rsid w:val="00421C43"/>
    <w:rsid w:val="0042253D"/>
    <w:rsid w:val="00426837"/>
    <w:rsid w:val="00430A01"/>
    <w:rsid w:val="00430A7D"/>
    <w:rsid w:val="004348F4"/>
    <w:rsid w:val="00434961"/>
    <w:rsid w:val="00435A71"/>
    <w:rsid w:val="00440C98"/>
    <w:rsid w:val="00441E5F"/>
    <w:rsid w:val="00445C36"/>
    <w:rsid w:val="00460A7D"/>
    <w:rsid w:val="00461D45"/>
    <w:rsid w:val="004658EE"/>
    <w:rsid w:val="0047223F"/>
    <w:rsid w:val="0048195E"/>
    <w:rsid w:val="00486C83"/>
    <w:rsid w:val="00487F56"/>
    <w:rsid w:val="004A1A48"/>
    <w:rsid w:val="004A1D4D"/>
    <w:rsid w:val="004A1FBF"/>
    <w:rsid w:val="004A29CA"/>
    <w:rsid w:val="004A5333"/>
    <w:rsid w:val="004A5803"/>
    <w:rsid w:val="004B6997"/>
    <w:rsid w:val="004C0194"/>
    <w:rsid w:val="004C38CC"/>
    <w:rsid w:val="004C5897"/>
    <w:rsid w:val="004C5E35"/>
    <w:rsid w:val="004C7D1D"/>
    <w:rsid w:val="004D35D3"/>
    <w:rsid w:val="004D37DD"/>
    <w:rsid w:val="004D429C"/>
    <w:rsid w:val="004D566D"/>
    <w:rsid w:val="004D6DA2"/>
    <w:rsid w:val="004D6FA8"/>
    <w:rsid w:val="004E30A6"/>
    <w:rsid w:val="004E5AF2"/>
    <w:rsid w:val="004E6A75"/>
    <w:rsid w:val="004E6FF7"/>
    <w:rsid w:val="004F47E6"/>
    <w:rsid w:val="004F4F0E"/>
    <w:rsid w:val="004F50E6"/>
    <w:rsid w:val="00503BD9"/>
    <w:rsid w:val="00503F2D"/>
    <w:rsid w:val="005071C0"/>
    <w:rsid w:val="005114C4"/>
    <w:rsid w:val="00511CBD"/>
    <w:rsid w:val="00513B15"/>
    <w:rsid w:val="00514220"/>
    <w:rsid w:val="00515CC7"/>
    <w:rsid w:val="00516B3D"/>
    <w:rsid w:val="00522FD3"/>
    <w:rsid w:val="005250A0"/>
    <w:rsid w:val="00530BBB"/>
    <w:rsid w:val="005325B8"/>
    <w:rsid w:val="005331BA"/>
    <w:rsid w:val="00534E20"/>
    <w:rsid w:val="00537A4C"/>
    <w:rsid w:val="0054479D"/>
    <w:rsid w:val="00544CEB"/>
    <w:rsid w:val="005464AA"/>
    <w:rsid w:val="005549CC"/>
    <w:rsid w:val="00555D48"/>
    <w:rsid w:val="00560674"/>
    <w:rsid w:val="00562BC3"/>
    <w:rsid w:val="00563F8C"/>
    <w:rsid w:val="0056496B"/>
    <w:rsid w:val="0056600F"/>
    <w:rsid w:val="00570462"/>
    <w:rsid w:val="0057061C"/>
    <w:rsid w:val="00570BF8"/>
    <w:rsid w:val="00571DAD"/>
    <w:rsid w:val="005748A7"/>
    <w:rsid w:val="00577A0B"/>
    <w:rsid w:val="00584012"/>
    <w:rsid w:val="00584CDC"/>
    <w:rsid w:val="00591F06"/>
    <w:rsid w:val="00597B67"/>
    <w:rsid w:val="005A409E"/>
    <w:rsid w:val="005A43C4"/>
    <w:rsid w:val="005A4651"/>
    <w:rsid w:val="005A73F8"/>
    <w:rsid w:val="005A7932"/>
    <w:rsid w:val="005A7C2B"/>
    <w:rsid w:val="005B0CE5"/>
    <w:rsid w:val="005B1911"/>
    <w:rsid w:val="005B4A3B"/>
    <w:rsid w:val="005B553E"/>
    <w:rsid w:val="005B6E42"/>
    <w:rsid w:val="005B7495"/>
    <w:rsid w:val="005C00A1"/>
    <w:rsid w:val="005C05EC"/>
    <w:rsid w:val="005C10E7"/>
    <w:rsid w:val="005C1241"/>
    <w:rsid w:val="005C141F"/>
    <w:rsid w:val="005C24A6"/>
    <w:rsid w:val="005C2EEE"/>
    <w:rsid w:val="005C3A7E"/>
    <w:rsid w:val="005D21CD"/>
    <w:rsid w:val="005D4067"/>
    <w:rsid w:val="005D7518"/>
    <w:rsid w:val="005E21B4"/>
    <w:rsid w:val="005E369F"/>
    <w:rsid w:val="005E4B73"/>
    <w:rsid w:val="0060035E"/>
    <w:rsid w:val="006025D4"/>
    <w:rsid w:val="00611A60"/>
    <w:rsid w:val="006123BD"/>
    <w:rsid w:val="0061395A"/>
    <w:rsid w:val="00613F07"/>
    <w:rsid w:val="0061447F"/>
    <w:rsid w:val="006152A8"/>
    <w:rsid w:val="00615DCB"/>
    <w:rsid w:val="00615DF5"/>
    <w:rsid w:val="00622051"/>
    <w:rsid w:val="00624333"/>
    <w:rsid w:val="00625553"/>
    <w:rsid w:val="00627261"/>
    <w:rsid w:val="0063178D"/>
    <w:rsid w:val="006370CF"/>
    <w:rsid w:val="00641BC9"/>
    <w:rsid w:val="00643995"/>
    <w:rsid w:val="006441A6"/>
    <w:rsid w:val="006467B5"/>
    <w:rsid w:val="00651326"/>
    <w:rsid w:val="0066289A"/>
    <w:rsid w:val="0066430D"/>
    <w:rsid w:val="00664772"/>
    <w:rsid w:val="00670361"/>
    <w:rsid w:val="006732F1"/>
    <w:rsid w:val="006841CF"/>
    <w:rsid w:val="00684E72"/>
    <w:rsid w:val="00687329"/>
    <w:rsid w:val="00693467"/>
    <w:rsid w:val="00695523"/>
    <w:rsid w:val="006A05CC"/>
    <w:rsid w:val="006B65A1"/>
    <w:rsid w:val="006C1CD6"/>
    <w:rsid w:val="006C2EDA"/>
    <w:rsid w:val="006C48BD"/>
    <w:rsid w:val="006C4C6A"/>
    <w:rsid w:val="006D14AD"/>
    <w:rsid w:val="006D338D"/>
    <w:rsid w:val="006D6E93"/>
    <w:rsid w:val="006D73DC"/>
    <w:rsid w:val="006D7ADA"/>
    <w:rsid w:val="006E0362"/>
    <w:rsid w:val="006E4135"/>
    <w:rsid w:val="006F010E"/>
    <w:rsid w:val="006F0792"/>
    <w:rsid w:val="006F3B38"/>
    <w:rsid w:val="006F5B4E"/>
    <w:rsid w:val="006F6C17"/>
    <w:rsid w:val="006F7DA6"/>
    <w:rsid w:val="00701F54"/>
    <w:rsid w:val="00706208"/>
    <w:rsid w:val="00710667"/>
    <w:rsid w:val="0071697E"/>
    <w:rsid w:val="00721113"/>
    <w:rsid w:val="00721D31"/>
    <w:rsid w:val="007221BB"/>
    <w:rsid w:val="0072310E"/>
    <w:rsid w:val="00723811"/>
    <w:rsid w:val="0072638C"/>
    <w:rsid w:val="00733646"/>
    <w:rsid w:val="0074073B"/>
    <w:rsid w:val="00741421"/>
    <w:rsid w:val="0075092C"/>
    <w:rsid w:val="007510CD"/>
    <w:rsid w:val="007524FD"/>
    <w:rsid w:val="00752AB8"/>
    <w:rsid w:val="0075472B"/>
    <w:rsid w:val="00754A50"/>
    <w:rsid w:val="00754B29"/>
    <w:rsid w:val="00756510"/>
    <w:rsid w:val="00763280"/>
    <w:rsid w:val="00765535"/>
    <w:rsid w:val="00765AAD"/>
    <w:rsid w:val="00767998"/>
    <w:rsid w:val="00772A32"/>
    <w:rsid w:val="00772A8F"/>
    <w:rsid w:val="007739CD"/>
    <w:rsid w:val="00773C7F"/>
    <w:rsid w:val="00775648"/>
    <w:rsid w:val="0077673E"/>
    <w:rsid w:val="007829C8"/>
    <w:rsid w:val="00783D4A"/>
    <w:rsid w:val="00784E1A"/>
    <w:rsid w:val="00785581"/>
    <w:rsid w:val="007856B9"/>
    <w:rsid w:val="007858D8"/>
    <w:rsid w:val="007866FA"/>
    <w:rsid w:val="00787A73"/>
    <w:rsid w:val="007957AD"/>
    <w:rsid w:val="00797CA0"/>
    <w:rsid w:val="007A0188"/>
    <w:rsid w:val="007A2A74"/>
    <w:rsid w:val="007A765B"/>
    <w:rsid w:val="007B0B78"/>
    <w:rsid w:val="007B259C"/>
    <w:rsid w:val="007B2666"/>
    <w:rsid w:val="007C17CF"/>
    <w:rsid w:val="007C3F1D"/>
    <w:rsid w:val="007C5FC5"/>
    <w:rsid w:val="007C777F"/>
    <w:rsid w:val="007D13FC"/>
    <w:rsid w:val="007D33CB"/>
    <w:rsid w:val="007D3438"/>
    <w:rsid w:val="007D46A2"/>
    <w:rsid w:val="007D4F76"/>
    <w:rsid w:val="007D7088"/>
    <w:rsid w:val="007E1D83"/>
    <w:rsid w:val="007E6089"/>
    <w:rsid w:val="00800A51"/>
    <w:rsid w:val="008011ED"/>
    <w:rsid w:val="00802172"/>
    <w:rsid w:val="00813A6D"/>
    <w:rsid w:val="0082580C"/>
    <w:rsid w:val="00830B4A"/>
    <w:rsid w:val="00832677"/>
    <w:rsid w:val="0083537D"/>
    <w:rsid w:val="00835801"/>
    <w:rsid w:val="00836455"/>
    <w:rsid w:val="00836E08"/>
    <w:rsid w:val="008419AC"/>
    <w:rsid w:val="00841AE5"/>
    <w:rsid w:val="00842C38"/>
    <w:rsid w:val="008438EB"/>
    <w:rsid w:val="00845A27"/>
    <w:rsid w:val="008501AE"/>
    <w:rsid w:val="00850BA1"/>
    <w:rsid w:val="008519D6"/>
    <w:rsid w:val="00851E9F"/>
    <w:rsid w:val="00853072"/>
    <w:rsid w:val="00853378"/>
    <w:rsid w:val="0085373A"/>
    <w:rsid w:val="0085492A"/>
    <w:rsid w:val="00856F47"/>
    <w:rsid w:val="00857263"/>
    <w:rsid w:val="008624AE"/>
    <w:rsid w:val="00863C92"/>
    <w:rsid w:val="0086456F"/>
    <w:rsid w:val="00864BC3"/>
    <w:rsid w:val="00865A7C"/>
    <w:rsid w:val="00867BE1"/>
    <w:rsid w:val="008741AC"/>
    <w:rsid w:val="00874E9F"/>
    <w:rsid w:val="00877B5C"/>
    <w:rsid w:val="00890278"/>
    <w:rsid w:val="00890523"/>
    <w:rsid w:val="008A01CB"/>
    <w:rsid w:val="008A4534"/>
    <w:rsid w:val="008A6E38"/>
    <w:rsid w:val="008B0439"/>
    <w:rsid w:val="008B4144"/>
    <w:rsid w:val="008B72C7"/>
    <w:rsid w:val="008C1166"/>
    <w:rsid w:val="008C1C8B"/>
    <w:rsid w:val="008C1ED2"/>
    <w:rsid w:val="008C32D0"/>
    <w:rsid w:val="008C3DEF"/>
    <w:rsid w:val="008C47AF"/>
    <w:rsid w:val="008C5130"/>
    <w:rsid w:val="008D3F1B"/>
    <w:rsid w:val="008D75BB"/>
    <w:rsid w:val="008E2164"/>
    <w:rsid w:val="008E51CC"/>
    <w:rsid w:val="008E67D0"/>
    <w:rsid w:val="008E6BF0"/>
    <w:rsid w:val="008E6FCF"/>
    <w:rsid w:val="008E7CE8"/>
    <w:rsid w:val="008F3CB1"/>
    <w:rsid w:val="008F4406"/>
    <w:rsid w:val="008F60B7"/>
    <w:rsid w:val="00901D58"/>
    <w:rsid w:val="009021FE"/>
    <w:rsid w:val="00905FE5"/>
    <w:rsid w:val="00915FC5"/>
    <w:rsid w:val="00921309"/>
    <w:rsid w:val="00921E57"/>
    <w:rsid w:val="00922F3F"/>
    <w:rsid w:val="00926AF8"/>
    <w:rsid w:val="00927FCA"/>
    <w:rsid w:val="00930F48"/>
    <w:rsid w:val="00931B04"/>
    <w:rsid w:val="00935988"/>
    <w:rsid w:val="0093795D"/>
    <w:rsid w:val="00942BD1"/>
    <w:rsid w:val="009462BC"/>
    <w:rsid w:val="0094688D"/>
    <w:rsid w:val="009472FB"/>
    <w:rsid w:val="00954557"/>
    <w:rsid w:val="009546B7"/>
    <w:rsid w:val="00955FDA"/>
    <w:rsid w:val="009572AF"/>
    <w:rsid w:val="00960C3E"/>
    <w:rsid w:val="00964782"/>
    <w:rsid w:val="009658FF"/>
    <w:rsid w:val="009720B5"/>
    <w:rsid w:val="00972BF4"/>
    <w:rsid w:val="00976E76"/>
    <w:rsid w:val="0097763D"/>
    <w:rsid w:val="009821B9"/>
    <w:rsid w:val="00982A5F"/>
    <w:rsid w:val="0098555D"/>
    <w:rsid w:val="00985D16"/>
    <w:rsid w:val="00987FA7"/>
    <w:rsid w:val="00994FFC"/>
    <w:rsid w:val="009956C4"/>
    <w:rsid w:val="00997041"/>
    <w:rsid w:val="009A0C68"/>
    <w:rsid w:val="009A187E"/>
    <w:rsid w:val="009A2F35"/>
    <w:rsid w:val="009A3BA2"/>
    <w:rsid w:val="009A66B7"/>
    <w:rsid w:val="009C1719"/>
    <w:rsid w:val="009C4156"/>
    <w:rsid w:val="009C4C4C"/>
    <w:rsid w:val="009C5B4A"/>
    <w:rsid w:val="009D0573"/>
    <w:rsid w:val="009D2927"/>
    <w:rsid w:val="009D4F18"/>
    <w:rsid w:val="009D58E7"/>
    <w:rsid w:val="009D78E5"/>
    <w:rsid w:val="009E051C"/>
    <w:rsid w:val="009E0B30"/>
    <w:rsid w:val="009E54B3"/>
    <w:rsid w:val="009F4368"/>
    <w:rsid w:val="009F4DE8"/>
    <w:rsid w:val="009F603D"/>
    <w:rsid w:val="009F72E5"/>
    <w:rsid w:val="009F7AA4"/>
    <w:rsid w:val="00A01301"/>
    <w:rsid w:val="00A0724D"/>
    <w:rsid w:val="00A07F2C"/>
    <w:rsid w:val="00A112FF"/>
    <w:rsid w:val="00A11FB2"/>
    <w:rsid w:val="00A12699"/>
    <w:rsid w:val="00A12EDF"/>
    <w:rsid w:val="00A178A3"/>
    <w:rsid w:val="00A179C2"/>
    <w:rsid w:val="00A2175C"/>
    <w:rsid w:val="00A23123"/>
    <w:rsid w:val="00A32D58"/>
    <w:rsid w:val="00A333FC"/>
    <w:rsid w:val="00A35FA4"/>
    <w:rsid w:val="00A377B8"/>
    <w:rsid w:val="00A37F94"/>
    <w:rsid w:val="00A45B0A"/>
    <w:rsid w:val="00A47A12"/>
    <w:rsid w:val="00A47CCA"/>
    <w:rsid w:val="00A51919"/>
    <w:rsid w:val="00A52CDB"/>
    <w:rsid w:val="00A54A41"/>
    <w:rsid w:val="00A5792F"/>
    <w:rsid w:val="00A64B27"/>
    <w:rsid w:val="00A70A70"/>
    <w:rsid w:val="00A71E95"/>
    <w:rsid w:val="00A7205C"/>
    <w:rsid w:val="00A74548"/>
    <w:rsid w:val="00A7501D"/>
    <w:rsid w:val="00A76831"/>
    <w:rsid w:val="00A800C3"/>
    <w:rsid w:val="00A807D2"/>
    <w:rsid w:val="00A81B7B"/>
    <w:rsid w:val="00A84F31"/>
    <w:rsid w:val="00A85534"/>
    <w:rsid w:val="00A86DED"/>
    <w:rsid w:val="00A92463"/>
    <w:rsid w:val="00A9487E"/>
    <w:rsid w:val="00A95F5B"/>
    <w:rsid w:val="00AA075C"/>
    <w:rsid w:val="00AA0C12"/>
    <w:rsid w:val="00AA0C99"/>
    <w:rsid w:val="00AA6714"/>
    <w:rsid w:val="00AB2A78"/>
    <w:rsid w:val="00AC131B"/>
    <w:rsid w:val="00AC22E0"/>
    <w:rsid w:val="00AC2AF3"/>
    <w:rsid w:val="00AC5149"/>
    <w:rsid w:val="00AC722B"/>
    <w:rsid w:val="00AD4727"/>
    <w:rsid w:val="00AD53A8"/>
    <w:rsid w:val="00AD60F0"/>
    <w:rsid w:val="00AD7481"/>
    <w:rsid w:val="00AE3526"/>
    <w:rsid w:val="00AF04B4"/>
    <w:rsid w:val="00AF38C3"/>
    <w:rsid w:val="00AF3F07"/>
    <w:rsid w:val="00AF4095"/>
    <w:rsid w:val="00AF4C09"/>
    <w:rsid w:val="00B0273E"/>
    <w:rsid w:val="00B073A2"/>
    <w:rsid w:val="00B07447"/>
    <w:rsid w:val="00B12115"/>
    <w:rsid w:val="00B16275"/>
    <w:rsid w:val="00B169C7"/>
    <w:rsid w:val="00B203D1"/>
    <w:rsid w:val="00B2229B"/>
    <w:rsid w:val="00B2236A"/>
    <w:rsid w:val="00B244C6"/>
    <w:rsid w:val="00B25FA4"/>
    <w:rsid w:val="00B268CE"/>
    <w:rsid w:val="00B34172"/>
    <w:rsid w:val="00B373DD"/>
    <w:rsid w:val="00B4061C"/>
    <w:rsid w:val="00B40B6B"/>
    <w:rsid w:val="00B41FBB"/>
    <w:rsid w:val="00B443B7"/>
    <w:rsid w:val="00B54081"/>
    <w:rsid w:val="00B54DAB"/>
    <w:rsid w:val="00B608A3"/>
    <w:rsid w:val="00B66EFB"/>
    <w:rsid w:val="00B67145"/>
    <w:rsid w:val="00B70A18"/>
    <w:rsid w:val="00B7303F"/>
    <w:rsid w:val="00B748EE"/>
    <w:rsid w:val="00B74BA8"/>
    <w:rsid w:val="00B74CF1"/>
    <w:rsid w:val="00B830A0"/>
    <w:rsid w:val="00B84C54"/>
    <w:rsid w:val="00B85DF0"/>
    <w:rsid w:val="00B90D94"/>
    <w:rsid w:val="00B92CAF"/>
    <w:rsid w:val="00B9551D"/>
    <w:rsid w:val="00B95969"/>
    <w:rsid w:val="00BA1BBF"/>
    <w:rsid w:val="00BA6395"/>
    <w:rsid w:val="00BA664E"/>
    <w:rsid w:val="00BA7D52"/>
    <w:rsid w:val="00BB1154"/>
    <w:rsid w:val="00BB17E7"/>
    <w:rsid w:val="00BB3863"/>
    <w:rsid w:val="00BB70FD"/>
    <w:rsid w:val="00BC1A79"/>
    <w:rsid w:val="00BC7FA7"/>
    <w:rsid w:val="00BD0627"/>
    <w:rsid w:val="00BD1149"/>
    <w:rsid w:val="00BD2BD2"/>
    <w:rsid w:val="00BD38CF"/>
    <w:rsid w:val="00BD57CA"/>
    <w:rsid w:val="00BD7ED4"/>
    <w:rsid w:val="00BE0F3A"/>
    <w:rsid w:val="00BE1DF7"/>
    <w:rsid w:val="00BE49CA"/>
    <w:rsid w:val="00BF049B"/>
    <w:rsid w:val="00BF409E"/>
    <w:rsid w:val="00BF6220"/>
    <w:rsid w:val="00BF795E"/>
    <w:rsid w:val="00C020AE"/>
    <w:rsid w:val="00C0651F"/>
    <w:rsid w:val="00C133AE"/>
    <w:rsid w:val="00C144E8"/>
    <w:rsid w:val="00C14A90"/>
    <w:rsid w:val="00C20890"/>
    <w:rsid w:val="00C2123D"/>
    <w:rsid w:val="00C31402"/>
    <w:rsid w:val="00C35264"/>
    <w:rsid w:val="00C37206"/>
    <w:rsid w:val="00C406F4"/>
    <w:rsid w:val="00C50010"/>
    <w:rsid w:val="00C53D7F"/>
    <w:rsid w:val="00C53F6D"/>
    <w:rsid w:val="00C67BB7"/>
    <w:rsid w:val="00C7437C"/>
    <w:rsid w:val="00C74939"/>
    <w:rsid w:val="00C75107"/>
    <w:rsid w:val="00C80AC5"/>
    <w:rsid w:val="00C853D3"/>
    <w:rsid w:val="00C85CCD"/>
    <w:rsid w:val="00C90F3F"/>
    <w:rsid w:val="00C92F75"/>
    <w:rsid w:val="00C942B8"/>
    <w:rsid w:val="00CA3F20"/>
    <w:rsid w:val="00CA540C"/>
    <w:rsid w:val="00CA5551"/>
    <w:rsid w:val="00CB1080"/>
    <w:rsid w:val="00CB4429"/>
    <w:rsid w:val="00CB6D07"/>
    <w:rsid w:val="00CC0895"/>
    <w:rsid w:val="00CC538B"/>
    <w:rsid w:val="00CC5CEB"/>
    <w:rsid w:val="00CD006D"/>
    <w:rsid w:val="00CD48D6"/>
    <w:rsid w:val="00CD4EC9"/>
    <w:rsid w:val="00CD6BC7"/>
    <w:rsid w:val="00CD75E7"/>
    <w:rsid w:val="00CE0976"/>
    <w:rsid w:val="00CE49E0"/>
    <w:rsid w:val="00CE6653"/>
    <w:rsid w:val="00CE6862"/>
    <w:rsid w:val="00CF0029"/>
    <w:rsid w:val="00CF2EE7"/>
    <w:rsid w:val="00CF6824"/>
    <w:rsid w:val="00D00259"/>
    <w:rsid w:val="00D068BF"/>
    <w:rsid w:val="00D06931"/>
    <w:rsid w:val="00D10CEB"/>
    <w:rsid w:val="00D12DD0"/>
    <w:rsid w:val="00D130CA"/>
    <w:rsid w:val="00D20DC6"/>
    <w:rsid w:val="00D21A69"/>
    <w:rsid w:val="00D2203D"/>
    <w:rsid w:val="00D27A4F"/>
    <w:rsid w:val="00D30983"/>
    <w:rsid w:val="00D3115F"/>
    <w:rsid w:val="00D534E6"/>
    <w:rsid w:val="00D620D0"/>
    <w:rsid w:val="00D67557"/>
    <w:rsid w:val="00D732B2"/>
    <w:rsid w:val="00D74254"/>
    <w:rsid w:val="00D80B9C"/>
    <w:rsid w:val="00D9326B"/>
    <w:rsid w:val="00D933F8"/>
    <w:rsid w:val="00D96930"/>
    <w:rsid w:val="00DA0FBA"/>
    <w:rsid w:val="00DA14AF"/>
    <w:rsid w:val="00DA15FC"/>
    <w:rsid w:val="00DA3471"/>
    <w:rsid w:val="00DA61E7"/>
    <w:rsid w:val="00DA70B6"/>
    <w:rsid w:val="00DA7CA1"/>
    <w:rsid w:val="00DB154A"/>
    <w:rsid w:val="00DB59A5"/>
    <w:rsid w:val="00DC0188"/>
    <w:rsid w:val="00DC09C9"/>
    <w:rsid w:val="00DC15C6"/>
    <w:rsid w:val="00DC1FA8"/>
    <w:rsid w:val="00DC24CA"/>
    <w:rsid w:val="00DC52E4"/>
    <w:rsid w:val="00DD03DB"/>
    <w:rsid w:val="00DD0763"/>
    <w:rsid w:val="00DD0968"/>
    <w:rsid w:val="00DD71D1"/>
    <w:rsid w:val="00DE6F99"/>
    <w:rsid w:val="00DF2AC0"/>
    <w:rsid w:val="00DF3DB7"/>
    <w:rsid w:val="00DF69FC"/>
    <w:rsid w:val="00E00672"/>
    <w:rsid w:val="00E04310"/>
    <w:rsid w:val="00E0489F"/>
    <w:rsid w:val="00E0799F"/>
    <w:rsid w:val="00E1190D"/>
    <w:rsid w:val="00E12B6E"/>
    <w:rsid w:val="00E12C0D"/>
    <w:rsid w:val="00E14D95"/>
    <w:rsid w:val="00E17312"/>
    <w:rsid w:val="00E23D20"/>
    <w:rsid w:val="00E265FC"/>
    <w:rsid w:val="00E27AA9"/>
    <w:rsid w:val="00E3170D"/>
    <w:rsid w:val="00E33650"/>
    <w:rsid w:val="00E33DDC"/>
    <w:rsid w:val="00E41404"/>
    <w:rsid w:val="00E42D2D"/>
    <w:rsid w:val="00E46299"/>
    <w:rsid w:val="00E46FF0"/>
    <w:rsid w:val="00E56F52"/>
    <w:rsid w:val="00E61018"/>
    <w:rsid w:val="00E63BC4"/>
    <w:rsid w:val="00E6580D"/>
    <w:rsid w:val="00E664BE"/>
    <w:rsid w:val="00E72035"/>
    <w:rsid w:val="00E736E5"/>
    <w:rsid w:val="00E76814"/>
    <w:rsid w:val="00E80E13"/>
    <w:rsid w:val="00E81F4B"/>
    <w:rsid w:val="00E84FBA"/>
    <w:rsid w:val="00E850A2"/>
    <w:rsid w:val="00E8644B"/>
    <w:rsid w:val="00E8707A"/>
    <w:rsid w:val="00E9216F"/>
    <w:rsid w:val="00E94BDC"/>
    <w:rsid w:val="00E96692"/>
    <w:rsid w:val="00EA656A"/>
    <w:rsid w:val="00EB102E"/>
    <w:rsid w:val="00EB1835"/>
    <w:rsid w:val="00EB7B63"/>
    <w:rsid w:val="00EC4046"/>
    <w:rsid w:val="00EC6B3D"/>
    <w:rsid w:val="00ED193D"/>
    <w:rsid w:val="00ED3236"/>
    <w:rsid w:val="00ED44C1"/>
    <w:rsid w:val="00ED47F9"/>
    <w:rsid w:val="00ED5AA8"/>
    <w:rsid w:val="00ED6CC5"/>
    <w:rsid w:val="00EE0C18"/>
    <w:rsid w:val="00EE1861"/>
    <w:rsid w:val="00EF01A3"/>
    <w:rsid w:val="00EF1875"/>
    <w:rsid w:val="00EF4BEA"/>
    <w:rsid w:val="00EF4F0D"/>
    <w:rsid w:val="00EF4F4B"/>
    <w:rsid w:val="00EF5C44"/>
    <w:rsid w:val="00EF787D"/>
    <w:rsid w:val="00F00408"/>
    <w:rsid w:val="00F005A6"/>
    <w:rsid w:val="00F02F4C"/>
    <w:rsid w:val="00F17BF8"/>
    <w:rsid w:val="00F2251A"/>
    <w:rsid w:val="00F22C1E"/>
    <w:rsid w:val="00F24275"/>
    <w:rsid w:val="00F25DD7"/>
    <w:rsid w:val="00F30D48"/>
    <w:rsid w:val="00F347E7"/>
    <w:rsid w:val="00F35505"/>
    <w:rsid w:val="00F42401"/>
    <w:rsid w:val="00F42BC3"/>
    <w:rsid w:val="00F43329"/>
    <w:rsid w:val="00F50664"/>
    <w:rsid w:val="00F50A9C"/>
    <w:rsid w:val="00F5218A"/>
    <w:rsid w:val="00F63902"/>
    <w:rsid w:val="00F643AF"/>
    <w:rsid w:val="00F67ACB"/>
    <w:rsid w:val="00F74518"/>
    <w:rsid w:val="00F77EE8"/>
    <w:rsid w:val="00F80840"/>
    <w:rsid w:val="00F81213"/>
    <w:rsid w:val="00F8193D"/>
    <w:rsid w:val="00F867CC"/>
    <w:rsid w:val="00F901E9"/>
    <w:rsid w:val="00F903C4"/>
    <w:rsid w:val="00F93ADC"/>
    <w:rsid w:val="00F95AA1"/>
    <w:rsid w:val="00F972FC"/>
    <w:rsid w:val="00FA610B"/>
    <w:rsid w:val="00FC310F"/>
    <w:rsid w:val="00FC45E4"/>
    <w:rsid w:val="00FD0ED6"/>
    <w:rsid w:val="00FD242B"/>
    <w:rsid w:val="00FD2FCC"/>
    <w:rsid w:val="00FD73B5"/>
    <w:rsid w:val="00FD7FAE"/>
    <w:rsid w:val="00FE15FA"/>
    <w:rsid w:val="00FE37E7"/>
    <w:rsid w:val="00FE3F3D"/>
    <w:rsid w:val="00FE4CAD"/>
    <w:rsid w:val="00FE5F80"/>
    <w:rsid w:val="00FF43D9"/>
    <w:rsid w:val="02B843F8"/>
    <w:rsid w:val="0BF1212E"/>
    <w:rsid w:val="13AFA35B"/>
    <w:rsid w:val="1556F170"/>
    <w:rsid w:val="18AB6787"/>
    <w:rsid w:val="1C5A9E86"/>
    <w:rsid w:val="1D956AD8"/>
    <w:rsid w:val="1EEE1D0E"/>
    <w:rsid w:val="2390A8D8"/>
    <w:rsid w:val="26B86C45"/>
    <w:rsid w:val="2822D28A"/>
    <w:rsid w:val="29CFB633"/>
    <w:rsid w:val="2A9655BB"/>
    <w:rsid w:val="2AA81EF9"/>
    <w:rsid w:val="2D0B5F98"/>
    <w:rsid w:val="2DB79312"/>
    <w:rsid w:val="32077B0C"/>
    <w:rsid w:val="35009804"/>
    <w:rsid w:val="351BC018"/>
    <w:rsid w:val="35B63DD2"/>
    <w:rsid w:val="3623AC43"/>
    <w:rsid w:val="3B91F710"/>
    <w:rsid w:val="3DFBB4E3"/>
    <w:rsid w:val="3E5F87CB"/>
    <w:rsid w:val="42EE6B23"/>
    <w:rsid w:val="5D0E7C6F"/>
    <w:rsid w:val="5EF79763"/>
    <w:rsid w:val="65FB2CB6"/>
    <w:rsid w:val="67503C09"/>
    <w:rsid w:val="6A0E750A"/>
    <w:rsid w:val="6BD6B546"/>
    <w:rsid w:val="7088A8C2"/>
    <w:rsid w:val="7C4D89A4"/>
    <w:rsid w:val="7DEBC1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437438"/>
  <w15:chartTrackingRefBased/>
  <w15:docId w15:val="{DC54E59D-5486-4C05-A3EF-95B5C5D0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1B4"/>
  </w:style>
  <w:style w:type="paragraph" w:styleId="Heading1">
    <w:name w:val="heading 1"/>
    <w:basedOn w:val="Title"/>
    <w:link w:val="Heading1Char"/>
    <w:uiPriority w:val="9"/>
    <w:qFormat/>
    <w:rsid w:val="009A3BA2"/>
    <w:pPr>
      <w:ind w:left="-720"/>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21B4"/>
    <w:pPr>
      <w:jc w:val="center"/>
    </w:pPr>
    <w:rPr>
      <w:sz w:val="24"/>
    </w:rPr>
  </w:style>
  <w:style w:type="character" w:styleId="Hyperlink">
    <w:name w:val="Hyperlink"/>
    <w:rsid w:val="005E21B4"/>
    <w:rPr>
      <w:color w:val="0000FF"/>
      <w:u w:val="single"/>
    </w:rPr>
  </w:style>
  <w:style w:type="character" w:styleId="PageNumber">
    <w:name w:val="page number"/>
    <w:basedOn w:val="DefaultParagraphFont"/>
    <w:rsid w:val="005E21B4"/>
  </w:style>
  <w:style w:type="paragraph" w:styleId="Header">
    <w:name w:val="header"/>
    <w:basedOn w:val="Normal"/>
    <w:rsid w:val="005E21B4"/>
    <w:pPr>
      <w:tabs>
        <w:tab w:val="center" w:pos="4320"/>
        <w:tab w:val="right" w:pos="8640"/>
      </w:tabs>
    </w:pPr>
  </w:style>
  <w:style w:type="paragraph" w:styleId="BalloonText">
    <w:name w:val="Balloon Text"/>
    <w:basedOn w:val="Normal"/>
    <w:link w:val="BalloonTextChar"/>
    <w:uiPriority w:val="99"/>
    <w:semiHidden/>
    <w:unhideWhenUsed/>
    <w:rsid w:val="005114C4"/>
    <w:rPr>
      <w:rFonts w:ascii="Tahoma" w:hAnsi="Tahoma" w:cs="Tahoma"/>
      <w:sz w:val="16"/>
      <w:szCs w:val="16"/>
    </w:rPr>
  </w:style>
  <w:style w:type="character" w:customStyle="1" w:styleId="BalloonTextChar">
    <w:name w:val="Balloon Text Char"/>
    <w:link w:val="BalloonText"/>
    <w:uiPriority w:val="99"/>
    <w:semiHidden/>
    <w:rsid w:val="005114C4"/>
    <w:rPr>
      <w:rFonts w:ascii="Tahoma" w:hAnsi="Tahoma" w:cs="Tahoma"/>
      <w:sz w:val="16"/>
      <w:szCs w:val="16"/>
    </w:rPr>
  </w:style>
  <w:style w:type="paragraph" w:styleId="ListParagraph">
    <w:name w:val="List Paragraph"/>
    <w:basedOn w:val="Normal"/>
    <w:uiPriority w:val="34"/>
    <w:qFormat/>
    <w:rsid w:val="000E122B"/>
    <w:pPr>
      <w:ind w:left="720"/>
      <w:contextualSpacing/>
    </w:pPr>
    <w:rPr>
      <w:sz w:val="24"/>
      <w:szCs w:val="24"/>
    </w:rPr>
  </w:style>
  <w:style w:type="paragraph" w:styleId="NormalWeb">
    <w:name w:val="Normal (Web)"/>
    <w:basedOn w:val="Normal"/>
    <w:uiPriority w:val="99"/>
    <w:semiHidden/>
    <w:unhideWhenUsed/>
    <w:rsid w:val="00A7501D"/>
    <w:pPr>
      <w:spacing w:before="100" w:beforeAutospacing="1" w:after="100" w:afterAutospacing="1"/>
    </w:pPr>
    <w:rPr>
      <w:sz w:val="24"/>
      <w:szCs w:val="24"/>
    </w:rPr>
  </w:style>
  <w:style w:type="character" w:styleId="CommentReference">
    <w:name w:val="annotation reference"/>
    <w:uiPriority w:val="99"/>
    <w:semiHidden/>
    <w:unhideWhenUsed/>
    <w:rsid w:val="008501AE"/>
    <w:rPr>
      <w:sz w:val="16"/>
      <w:szCs w:val="16"/>
    </w:rPr>
  </w:style>
  <w:style w:type="paragraph" w:styleId="CommentText">
    <w:name w:val="annotation text"/>
    <w:basedOn w:val="Normal"/>
    <w:link w:val="CommentTextChar"/>
    <w:uiPriority w:val="99"/>
    <w:unhideWhenUsed/>
    <w:rsid w:val="008501AE"/>
    <w:pPr>
      <w:spacing w:after="120"/>
    </w:pPr>
  </w:style>
  <w:style w:type="character" w:customStyle="1" w:styleId="CommentTextChar">
    <w:name w:val="Comment Text Char"/>
    <w:basedOn w:val="DefaultParagraphFont"/>
    <w:link w:val="CommentText"/>
    <w:uiPriority w:val="99"/>
    <w:rsid w:val="008501AE"/>
  </w:style>
  <w:style w:type="character" w:styleId="FollowedHyperlink">
    <w:name w:val="FollowedHyperlink"/>
    <w:uiPriority w:val="99"/>
    <w:semiHidden/>
    <w:unhideWhenUsed/>
    <w:rsid w:val="00004ABE"/>
    <w:rPr>
      <w:color w:val="954F72"/>
      <w:u w:val="single"/>
    </w:rPr>
  </w:style>
  <w:style w:type="table" w:styleId="TableGrid">
    <w:name w:val="Table Grid"/>
    <w:basedOn w:val="TableNormal"/>
    <w:uiPriority w:val="39"/>
    <w:rsid w:val="004D3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3BA2"/>
    <w:rPr>
      <w:sz w:val="24"/>
      <w:szCs w:val="24"/>
    </w:rPr>
  </w:style>
  <w:style w:type="paragraph" w:styleId="CommentSubject">
    <w:name w:val="annotation subject"/>
    <w:basedOn w:val="CommentText"/>
    <w:next w:val="CommentText"/>
    <w:link w:val="CommentSubjectChar"/>
    <w:uiPriority w:val="99"/>
    <w:semiHidden/>
    <w:unhideWhenUsed/>
    <w:rsid w:val="00926AF8"/>
    <w:pPr>
      <w:spacing w:after="0"/>
    </w:pPr>
    <w:rPr>
      <w:b/>
      <w:bCs/>
    </w:rPr>
  </w:style>
  <w:style w:type="character" w:customStyle="1" w:styleId="CommentSubjectChar">
    <w:name w:val="Comment Subject Char"/>
    <w:link w:val="CommentSubject"/>
    <w:uiPriority w:val="99"/>
    <w:semiHidden/>
    <w:rsid w:val="00926AF8"/>
    <w:rPr>
      <w:b/>
      <w:bCs/>
    </w:rPr>
  </w:style>
  <w:style w:type="character" w:styleId="UnresolvedMention">
    <w:name w:val="Unresolved Mention"/>
    <w:uiPriority w:val="99"/>
    <w:unhideWhenUsed/>
    <w:rsid w:val="00926AF8"/>
    <w:rPr>
      <w:color w:val="605E5C"/>
      <w:shd w:val="clear" w:color="auto" w:fill="E1DFDD"/>
    </w:rPr>
  </w:style>
  <w:style w:type="character" w:styleId="Mention">
    <w:name w:val="Mention"/>
    <w:uiPriority w:val="99"/>
    <w:unhideWhenUsed/>
    <w:rsid w:val="00FE37E7"/>
    <w:rPr>
      <w:color w:val="2B579A"/>
      <w:shd w:val="clear" w:color="auto" w:fill="E1DFDD"/>
    </w:rPr>
  </w:style>
  <w:style w:type="paragraph" w:styleId="Footer">
    <w:name w:val="footer"/>
    <w:basedOn w:val="Normal"/>
    <w:link w:val="FooterChar"/>
    <w:uiPriority w:val="99"/>
    <w:semiHidden/>
    <w:unhideWhenUsed/>
    <w:rsid w:val="00190786"/>
    <w:pPr>
      <w:tabs>
        <w:tab w:val="center" w:pos="4680"/>
        <w:tab w:val="right" w:pos="9360"/>
      </w:tabs>
    </w:pPr>
  </w:style>
  <w:style w:type="character" w:customStyle="1" w:styleId="FooterChar">
    <w:name w:val="Footer Char"/>
    <w:basedOn w:val="DefaultParagraphFont"/>
    <w:link w:val="Footer"/>
    <w:uiPriority w:val="99"/>
    <w:semiHidden/>
    <w:rsid w:val="00190786"/>
  </w:style>
  <w:style w:type="paragraph" w:styleId="Revision">
    <w:name w:val="Revision"/>
    <w:hidden/>
    <w:uiPriority w:val="99"/>
    <w:semiHidden/>
    <w:rsid w:val="00154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2/06/21/2022-13216/privacy-act-of-1974-system-of-records" TargetMode="External" /><Relationship Id="rId8" Type="http://schemas.openxmlformats.org/officeDocument/2006/relationships/hyperlink" Target="https://www.opm.gov/information-management/privacy-policy/privacy-policy/benefeds.pdf"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Hidden xmlns="6230d612-7037-498f-bfff-b82b5e1a6587">false</Hidden>
    <lcf76f155ced4ddcb4097134ff3c332f xmlns="6230d612-7037-498f-bfff-b82b5e1a6587">
      <Terms xmlns="http://schemas.microsoft.com/office/infopath/2007/PartnerControls"/>
    </lcf76f155ced4ddcb4097134ff3c332f>
    <_ip_UnifiedCompliancePolicyProperties xmlns="http://schemas.microsoft.com/sharepoint/v3" xsi:nil="true"/>
    <TaxCatchAll xmlns="d0cae902-28e2-4e17-856a-6e87d0697a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d265f378fbedbade716701c410865762">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c84ddb601c37ab0dcc9a75f06d822b7f"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99F3D-FE73-4BC1-9768-53A984014793}">
  <ds:schemaRefs>
    <ds:schemaRef ds:uri="http://schemas.microsoft.com/office/2006/metadata/properties"/>
    <ds:schemaRef ds:uri="http://schemas.microsoft.com/office/infopath/2007/PartnerControls"/>
    <ds:schemaRef ds:uri="62620c11-92ec-4e0b-abc3-42c944bd6a3c"/>
  </ds:schemaRefs>
</ds:datastoreItem>
</file>

<file path=customXml/itemProps2.xml><?xml version="1.0" encoding="utf-8"?>
<ds:datastoreItem xmlns:ds="http://schemas.openxmlformats.org/officeDocument/2006/customXml" ds:itemID="{82164B0E-391A-40E2-B5B9-2A9F1F2AD92B}">
  <ds:schemaRefs>
    <ds:schemaRef ds:uri="http://schemas.microsoft.com/sharepoint/v3/contenttype/forms"/>
  </ds:schemaRefs>
</ds:datastoreItem>
</file>

<file path=customXml/itemProps3.xml><?xml version="1.0" encoding="utf-8"?>
<ds:datastoreItem xmlns:ds="http://schemas.openxmlformats.org/officeDocument/2006/customXml" ds:itemID="{32C917FB-F7FB-47C1-8CE8-1C08B8EBA4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Office of Personnel Management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BENEFEDS PRA</dc:title>
  <dc:creator>U.S. Office of Personnel Management</dc:creator>
  <cp:lastModifiedBy>Stanley, Alexys</cp:lastModifiedBy>
  <cp:revision>7</cp:revision>
  <dcterms:created xsi:type="dcterms:W3CDTF">2025-09-26T15:56:00Z</dcterms:created>
  <dcterms:modified xsi:type="dcterms:W3CDTF">2025-09-29T20:17:29Z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docLang">
    <vt:lpwstr>en</vt:lpwstr>
  </property>
  <property fmtid="{D5CDD505-2E9C-101B-9397-08002B2CF9AE}" pid="4" name="MediaServiceImageTags">
    <vt:lpwstr/>
  </property>
</Properties>
</file>