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09E2" w:rsidRPr="00516093" w:rsidP="00B67B9B" w14:paraId="4C5A575B" w14:textId="1DB5B455">
      <w:pPr>
        <w:autoSpaceDE w:val="0"/>
        <w:autoSpaceDN w:val="0"/>
        <w:spacing w:line="240" w:lineRule="atLeast"/>
        <w:rPr>
          <w:rFonts w:ascii="Verdana" w:hAnsi="Verdana"/>
          <w:b/>
          <w:bCs/>
          <w:color w:val="000000"/>
        </w:rPr>
      </w:pPr>
      <w:r w:rsidRPr="00516093">
        <w:rPr>
          <w:rFonts w:ascii="Verdana" w:hAnsi="Verdana"/>
          <w:b/>
          <w:bCs/>
          <w:color w:val="000000"/>
        </w:rPr>
        <w:t>B1.</w:t>
      </w:r>
      <w:r w:rsidR="0096282C">
        <w:rPr>
          <w:rFonts w:ascii="Verdana" w:hAnsi="Verdana"/>
          <w:b/>
          <w:bCs/>
          <w:color w:val="000000"/>
        </w:rPr>
        <w:t xml:space="preserve"> </w:t>
      </w:r>
      <w:r w:rsidRPr="00516093">
        <w:rPr>
          <w:rFonts w:ascii="Verdana" w:hAnsi="Verdana"/>
          <w:b/>
          <w:bCs/>
          <w:color w:val="000000"/>
        </w:rPr>
        <w:t>Development of Concepts, Methods, and De</w:t>
      </w:r>
      <w:r w:rsidRPr="00516093" w:rsidR="00B67B9B">
        <w:rPr>
          <w:rFonts w:ascii="Verdana" w:hAnsi="Verdana"/>
          <w:b/>
          <w:bCs/>
          <w:color w:val="000000"/>
        </w:rPr>
        <w:t>sign</w:t>
      </w:r>
    </w:p>
    <w:p w:rsidR="00B67B9B" w:rsidRPr="00516093" w:rsidP="00B67B9B" w14:paraId="40D61700" w14:textId="77777777">
      <w:pPr>
        <w:autoSpaceDE w:val="0"/>
        <w:autoSpaceDN w:val="0"/>
        <w:spacing w:line="240" w:lineRule="atLeast"/>
        <w:rPr>
          <w:rFonts w:ascii="Verdana" w:hAnsi="Verdana"/>
          <w:b/>
          <w:bCs/>
          <w:color w:val="000000"/>
        </w:rPr>
      </w:pPr>
    </w:p>
    <w:p w:rsidR="0096282C" w:rsidRPr="004525D4" w:rsidP="0096282C" w14:paraId="486DFB11" w14:textId="4478E722">
      <w:pPr>
        <w:autoSpaceDE w:val="0"/>
        <w:autoSpaceDN w:val="0"/>
        <w:spacing w:line="240" w:lineRule="atLeast"/>
        <w:rPr>
          <w:rFonts w:ascii="Verdana" w:hAnsi="Verdana"/>
          <w:bCs/>
          <w:iCs/>
          <w:color w:val="000000" w:themeColor="text1"/>
        </w:rPr>
      </w:pPr>
      <w:r w:rsidRPr="004525D4">
        <w:rPr>
          <w:rFonts w:ascii="Verdana" w:hAnsi="Verdana"/>
          <w:bCs/>
          <w:color w:val="000000" w:themeColor="text1"/>
        </w:rPr>
        <w:t>The Consumer Assessment of Healthcare Providers and Systems (CAHPS</w:t>
      </w:r>
      <w:r w:rsidRPr="00F231E8" w:rsidR="00F231E8">
        <w:rPr>
          <w:rFonts w:ascii="Verdana" w:hAnsi="Verdana"/>
          <w:bCs/>
          <w:color w:val="000000" w:themeColor="text1"/>
          <w:vertAlign w:val="superscript"/>
        </w:rPr>
        <w:t>®</w:t>
      </w:r>
      <w:r w:rsidRPr="004525D4">
        <w:rPr>
          <w:rFonts w:ascii="Verdana" w:hAnsi="Verdana"/>
          <w:bCs/>
          <w:color w:val="000000" w:themeColor="text1"/>
        </w:rPr>
        <w:t xml:space="preserve">) is developed by the Agency for Healthcare Research and Quality (AHRQ), a division of the Department of Health and Human Services (HHS). It is the industry standard for measuring patient experience and satisfaction. CAHPS surveys are utilized by a wide variety of public programs, including </w:t>
      </w:r>
      <w:r w:rsidRPr="004525D4">
        <w:rPr>
          <w:rFonts w:ascii="Verdana" w:hAnsi="Verdana"/>
          <w:bCs/>
          <w:iCs/>
          <w:color w:val="000000" w:themeColor="text1"/>
        </w:rPr>
        <w:t xml:space="preserve">Medicare, Medicaid, TRICARE, Veterans Affairs (VA), and states. In addition, health plan accrediting bodies all require commercial health plans to conduct a CAHPS survey of their enrollees in each line of business as part of the accreditation process. The National Quality Forum is the endorsement body for healthcare quality and customer experience measures and has endorsed CAHPS through its rigorous process. </w:t>
      </w:r>
    </w:p>
    <w:p w:rsidR="0096282C" w:rsidRPr="004525D4" w:rsidP="0096282C" w14:paraId="3E45A3A0" w14:textId="77777777">
      <w:pPr>
        <w:autoSpaceDE w:val="0"/>
        <w:autoSpaceDN w:val="0"/>
        <w:spacing w:line="240" w:lineRule="atLeast"/>
        <w:rPr>
          <w:rFonts w:ascii="Verdana" w:hAnsi="Verdana"/>
          <w:bCs/>
          <w:iCs/>
          <w:color w:val="000000" w:themeColor="text1"/>
        </w:rPr>
      </w:pPr>
    </w:p>
    <w:p w:rsidR="0096282C" w:rsidRPr="004525D4" w:rsidP="0096282C" w14:paraId="10A312E9" w14:textId="77777777">
      <w:pPr>
        <w:autoSpaceDE w:val="0"/>
        <w:autoSpaceDN w:val="0"/>
        <w:spacing w:line="240" w:lineRule="atLeast"/>
        <w:rPr>
          <w:rFonts w:ascii="Verdana" w:hAnsi="Verdana"/>
          <w:bCs/>
          <w:iCs/>
          <w:color w:val="000000" w:themeColor="text1"/>
        </w:rPr>
      </w:pPr>
      <w:r w:rsidRPr="004525D4">
        <w:rPr>
          <w:rFonts w:ascii="Verdana" w:hAnsi="Verdana"/>
          <w:bCs/>
          <w:iCs/>
          <w:color w:val="000000" w:themeColor="text1"/>
        </w:rPr>
        <w:t xml:space="preserve">There is no alternative customer experience survey in health care that is as thoroughly vetted, methodologically sound, widely known and utilized as the existing CAHPS survey for health plans. </w:t>
      </w:r>
    </w:p>
    <w:p w:rsidR="0096282C" w:rsidRPr="004525D4" w:rsidP="0096282C" w14:paraId="5B1929B1" w14:textId="77777777">
      <w:pPr>
        <w:autoSpaceDE w:val="0"/>
        <w:autoSpaceDN w:val="0"/>
        <w:spacing w:line="240" w:lineRule="atLeast"/>
        <w:rPr>
          <w:rFonts w:ascii="Verdana" w:hAnsi="Verdana"/>
          <w:bCs/>
          <w:iCs/>
          <w:color w:val="000000" w:themeColor="text1"/>
        </w:rPr>
      </w:pPr>
    </w:p>
    <w:p w:rsidR="0096282C" w:rsidRPr="009F22C3" w:rsidP="0096282C" w14:paraId="6F615C37" w14:textId="0676DF37">
      <w:pPr>
        <w:autoSpaceDE w:val="0"/>
        <w:autoSpaceDN w:val="0"/>
        <w:spacing w:line="240" w:lineRule="atLeast"/>
        <w:rPr>
          <w:rFonts w:ascii="Verdana" w:hAnsi="Verdana"/>
          <w:color w:val="000000" w:themeColor="text1"/>
        </w:rPr>
      </w:pPr>
      <w:r w:rsidRPr="009F22C3">
        <w:rPr>
          <w:rFonts w:ascii="Verdana" w:hAnsi="Verdana"/>
          <w:color w:val="000000" w:themeColor="text1"/>
        </w:rPr>
        <w:t xml:space="preserve">Obtaining OMB approval and a </w:t>
      </w:r>
      <w:r w:rsidRPr="009F22C3" w:rsidR="009F22C3">
        <w:rPr>
          <w:rFonts w:ascii="Verdana" w:hAnsi="Verdana"/>
          <w:color w:val="000000" w:themeColor="text1"/>
        </w:rPr>
        <w:t>control</w:t>
      </w:r>
      <w:r w:rsidRPr="009F22C3">
        <w:rPr>
          <w:rFonts w:ascii="Verdana" w:hAnsi="Verdana"/>
          <w:color w:val="000000" w:themeColor="text1"/>
        </w:rPr>
        <w:t xml:space="preserve"> number for CAHPS surveys is done by all the federal entities listed in the previous paragraph, for example the Centers for Medicare and Medicaid Services’ (CMS) Medicare Advantage and Prescription Drug Plan CAHPS</w:t>
      </w:r>
      <w:r w:rsidRPr="009F22C3">
        <w:rPr>
          <w:rFonts w:ascii="Verdana" w:hAnsi="Verdana"/>
          <w:color w:val="000000" w:themeColor="text1"/>
          <w:vertAlign w:val="superscript"/>
        </w:rPr>
        <w:t>®</w:t>
      </w:r>
      <w:r w:rsidRPr="009F22C3">
        <w:rPr>
          <w:rFonts w:ascii="Verdana" w:hAnsi="Verdana"/>
          <w:color w:val="000000" w:themeColor="text1"/>
        </w:rPr>
        <w:t xml:space="preserve"> Survey MA PDP CAHPS OMB number 0938-0732. </w:t>
      </w:r>
    </w:p>
    <w:p w:rsidR="0096282C" w:rsidP="00B67B9B" w14:paraId="0FD2D09E" w14:textId="77777777">
      <w:pPr>
        <w:autoSpaceDE w:val="0"/>
        <w:autoSpaceDN w:val="0"/>
        <w:spacing w:line="240" w:lineRule="atLeast"/>
        <w:rPr>
          <w:rFonts w:ascii="Verdana" w:hAnsi="Verdana"/>
          <w:color w:val="000000"/>
        </w:rPr>
      </w:pPr>
    </w:p>
    <w:p w:rsidR="00763ED1" w:rsidRPr="00516093" w:rsidP="00B67B9B" w14:paraId="703D25C7" w14:textId="4D4B9890">
      <w:pPr>
        <w:autoSpaceDE w:val="0"/>
        <w:autoSpaceDN w:val="0"/>
        <w:spacing w:line="240" w:lineRule="atLeast"/>
        <w:rPr>
          <w:rFonts w:ascii="Verdana" w:hAnsi="Verdana"/>
          <w:color w:val="000000"/>
        </w:rPr>
      </w:pPr>
      <w:r w:rsidRPr="00516093">
        <w:rPr>
          <w:rFonts w:ascii="Verdana" w:hAnsi="Verdana"/>
          <w:color w:val="000000"/>
        </w:rPr>
        <w:t xml:space="preserve">As part of its </w:t>
      </w:r>
      <w:r w:rsidRPr="00516093" w:rsidR="00EF2C67">
        <w:rPr>
          <w:rFonts w:ascii="Verdana" w:hAnsi="Verdana"/>
          <w:color w:val="000000"/>
        </w:rPr>
        <w:t>Federal Employees Health Benefits</w:t>
      </w:r>
      <w:r w:rsidRPr="00516093" w:rsidR="00C742EA">
        <w:rPr>
          <w:rFonts w:ascii="Verdana" w:hAnsi="Verdana"/>
          <w:color w:val="000000"/>
        </w:rPr>
        <w:t xml:space="preserve"> </w:t>
      </w:r>
      <w:r w:rsidRPr="00516093" w:rsidR="00A11A9D">
        <w:rPr>
          <w:rFonts w:ascii="Verdana" w:hAnsi="Verdana"/>
          <w:color w:val="000000"/>
        </w:rPr>
        <w:t xml:space="preserve">(FEHB) Program </w:t>
      </w:r>
      <w:r w:rsidR="006042F6">
        <w:rPr>
          <w:rFonts w:ascii="Verdana" w:hAnsi="Verdana"/>
          <w:color w:val="000000"/>
        </w:rPr>
        <w:t xml:space="preserve">and the Postal </w:t>
      </w:r>
      <w:r w:rsidR="00A44F65">
        <w:rPr>
          <w:rFonts w:ascii="Verdana" w:hAnsi="Verdana"/>
          <w:color w:val="000000"/>
        </w:rPr>
        <w:t xml:space="preserve">Service </w:t>
      </w:r>
      <w:r w:rsidR="006042F6">
        <w:rPr>
          <w:rFonts w:ascii="Verdana" w:hAnsi="Verdana"/>
          <w:color w:val="000000"/>
        </w:rPr>
        <w:t>Health Benefits P</w:t>
      </w:r>
      <w:r w:rsidR="00A44F65">
        <w:rPr>
          <w:rFonts w:ascii="Verdana" w:hAnsi="Verdana"/>
          <w:color w:val="000000"/>
        </w:rPr>
        <w:t>rogram</w:t>
      </w:r>
      <w:r w:rsidR="006042F6">
        <w:rPr>
          <w:rFonts w:ascii="Verdana" w:hAnsi="Verdana"/>
          <w:color w:val="000000"/>
        </w:rPr>
        <w:t xml:space="preserve"> (PSHB) </w:t>
      </w:r>
      <w:r w:rsidRPr="00516093">
        <w:rPr>
          <w:rFonts w:ascii="Verdana" w:hAnsi="Verdana"/>
          <w:color w:val="000000"/>
        </w:rPr>
        <w:t>Plan Performance Assessment (PPA), OPM is requiring all FEHB Carriers</w:t>
      </w:r>
      <w:r w:rsidR="006042F6">
        <w:rPr>
          <w:rFonts w:ascii="Verdana" w:hAnsi="Verdana"/>
          <w:color w:val="000000"/>
        </w:rPr>
        <w:t xml:space="preserve"> and PSHB Carriers</w:t>
      </w:r>
      <w:r w:rsidRPr="00516093">
        <w:rPr>
          <w:rFonts w:ascii="Verdana" w:hAnsi="Verdana"/>
          <w:color w:val="000000"/>
        </w:rPr>
        <w:t xml:space="preserve"> to utilize the </w:t>
      </w:r>
      <w:r w:rsidRPr="00516093" w:rsidR="007C48FC">
        <w:rPr>
          <w:rFonts w:ascii="Verdana" w:hAnsi="Verdana"/>
          <w:color w:val="000000"/>
        </w:rPr>
        <w:t xml:space="preserve">CAHPS commercial </w:t>
      </w:r>
      <w:r w:rsidRPr="00516093">
        <w:rPr>
          <w:rFonts w:ascii="Verdana" w:hAnsi="Verdana"/>
          <w:color w:val="000000"/>
        </w:rPr>
        <w:t>survey using a certified CAHPS vendor.</w:t>
      </w:r>
      <w:r w:rsidR="0096282C">
        <w:rPr>
          <w:rFonts w:ascii="Verdana" w:hAnsi="Verdana"/>
          <w:color w:val="000000"/>
        </w:rPr>
        <w:t xml:space="preserve"> </w:t>
      </w:r>
      <w:r w:rsidRPr="00516093">
        <w:rPr>
          <w:rFonts w:ascii="Verdana" w:hAnsi="Verdana"/>
          <w:color w:val="000000"/>
        </w:rPr>
        <w:t xml:space="preserve">The PPA ties FEHB </w:t>
      </w:r>
      <w:r w:rsidR="006042F6">
        <w:rPr>
          <w:rFonts w:ascii="Verdana" w:hAnsi="Verdana"/>
          <w:color w:val="000000"/>
        </w:rPr>
        <w:t xml:space="preserve">and PSHB </w:t>
      </w:r>
      <w:r w:rsidRPr="00516093">
        <w:rPr>
          <w:rFonts w:ascii="Verdana" w:hAnsi="Verdana"/>
          <w:color w:val="000000"/>
        </w:rPr>
        <w:t>Carriers</w:t>
      </w:r>
      <w:r w:rsidR="00F93819">
        <w:rPr>
          <w:rFonts w:ascii="Verdana" w:hAnsi="Verdana"/>
          <w:color w:val="000000"/>
        </w:rPr>
        <w:t>’</w:t>
      </w:r>
      <w:r w:rsidR="006042F6">
        <w:rPr>
          <w:rFonts w:ascii="Verdana" w:hAnsi="Verdana"/>
          <w:color w:val="000000"/>
        </w:rPr>
        <w:t xml:space="preserve"> </w:t>
      </w:r>
      <w:r w:rsidRPr="00516093">
        <w:rPr>
          <w:rFonts w:ascii="Verdana" w:hAnsi="Verdana"/>
          <w:color w:val="000000"/>
        </w:rPr>
        <w:t>profit to performance on key metrics</w:t>
      </w:r>
      <w:r w:rsidR="0096282C">
        <w:rPr>
          <w:rFonts w:ascii="Verdana" w:hAnsi="Verdana"/>
          <w:color w:val="000000"/>
        </w:rPr>
        <w:t xml:space="preserve"> </w:t>
      </w:r>
      <w:r w:rsidRPr="004525D4" w:rsidR="0096282C">
        <w:rPr>
          <w:rFonts w:ascii="Verdana" w:hAnsi="Verdana"/>
          <w:bCs/>
          <w:color w:val="000000" w:themeColor="text1"/>
        </w:rPr>
        <w:t>(</w:t>
      </w:r>
      <w:r w:rsidRPr="004525D4" w:rsidR="0096282C">
        <w:rPr>
          <w:rFonts w:ascii="Verdana" w:eastAsia="Times New Roman" w:hAnsi="Verdana"/>
          <w:color w:val="000000" w:themeColor="text1"/>
        </w:rPr>
        <w:t>48 CFR 1615.404-70)</w:t>
      </w:r>
      <w:r w:rsidRPr="00516093" w:rsidR="007C48FC">
        <w:rPr>
          <w:rFonts w:ascii="Verdana" w:hAnsi="Verdana"/>
          <w:color w:val="000000"/>
        </w:rPr>
        <w:t>.</w:t>
      </w:r>
      <w:r w:rsidR="0096282C">
        <w:rPr>
          <w:rFonts w:ascii="Verdana" w:hAnsi="Verdana"/>
          <w:color w:val="000000"/>
        </w:rPr>
        <w:t xml:space="preserve"> </w:t>
      </w:r>
    </w:p>
    <w:p w:rsidR="00763ED1" w:rsidRPr="00516093" w:rsidP="00B67B9B" w14:paraId="74DF27C5" w14:textId="77777777">
      <w:pPr>
        <w:autoSpaceDE w:val="0"/>
        <w:autoSpaceDN w:val="0"/>
        <w:spacing w:line="240" w:lineRule="atLeast"/>
        <w:rPr>
          <w:rFonts w:ascii="Verdana" w:hAnsi="Verdana"/>
          <w:color w:val="000000"/>
        </w:rPr>
      </w:pPr>
    </w:p>
    <w:p w:rsidR="00ED61AB" w:rsidRPr="00516093" w:rsidP="00B67B9B" w14:paraId="3005A0BC" w14:textId="10C2BE09">
      <w:pPr>
        <w:autoSpaceDE w:val="0"/>
        <w:autoSpaceDN w:val="0"/>
        <w:spacing w:line="240" w:lineRule="atLeast"/>
        <w:rPr>
          <w:rFonts w:ascii="Verdana" w:hAnsi="Verdana"/>
          <w:color w:val="000000"/>
        </w:rPr>
      </w:pPr>
      <w:bookmarkStart w:id="0" w:name="_Hlk112324845"/>
      <w:r w:rsidRPr="00516093">
        <w:rPr>
          <w:rFonts w:ascii="Verdana" w:hAnsi="Verdana"/>
          <w:color w:val="000000"/>
        </w:rPr>
        <w:t>T</w:t>
      </w:r>
      <w:r w:rsidRPr="00516093">
        <w:rPr>
          <w:rFonts w:ascii="Verdana" w:hAnsi="Verdana"/>
          <w:color w:val="000000"/>
        </w:rPr>
        <w:t>he AHRQ</w:t>
      </w:r>
      <w:r w:rsidRPr="00516093">
        <w:rPr>
          <w:rFonts w:ascii="Verdana" w:hAnsi="Verdana"/>
          <w:color w:val="000000"/>
        </w:rPr>
        <w:t xml:space="preserve"> CAHPS</w:t>
      </w:r>
      <w:r w:rsidRPr="00516093">
        <w:rPr>
          <w:rFonts w:ascii="Verdana" w:hAnsi="Verdana"/>
          <w:color w:val="000000"/>
        </w:rPr>
        <w:t xml:space="preserve"> surveys</w:t>
      </w:r>
      <w:r w:rsidRPr="00516093">
        <w:rPr>
          <w:rFonts w:ascii="Verdana" w:hAnsi="Verdana"/>
          <w:color w:val="000000"/>
        </w:rPr>
        <w:t xml:space="preserve"> provide a uniform and industry accepted survey vehicle to assess member satisfaction</w:t>
      </w:r>
      <w:r w:rsidRPr="00516093">
        <w:rPr>
          <w:rFonts w:ascii="Verdana" w:hAnsi="Verdana"/>
          <w:color w:val="000000"/>
        </w:rPr>
        <w:t>.</w:t>
      </w:r>
      <w:r w:rsidR="0096282C">
        <w:rPr>
          <w:rFonts w:ascii="Verdana" w:hAnsi="Verdana"/>
          <w:color w:val="000000"/>
        </w:rPr>
        <w:t xml:space="preserve"> </w:t>
      </w:r>
      <w:r w:rsidR="004600D8">
        <w:rPr>
          <w:rFonts w:ascii="Verdana" w:hAnsi="Verdana"/>
          <w:color w:val="000000"/>
        </w:rPr>
        <w:t>According to t</w:t>
      </w:r>
      <w:r w:rsidRPr="00516093">
        <w:rPr>
          <w:rFonts w:ascii="Verdana" w:hAnsi="Verdana"/>
          <w:color w:val="000000"/>
        </w:rPr>
        <w:t xml:space="preserve">he </w:t>
      </w:r>
      <w:hyperlink r:id="rId8" w:history="1">
        <w:r w:rsidRPr="00E524A0">
          <w:rPr>
            <w:rStyle w:val="Hyperlink"/>
            <w:rFonts w:ascii="Verdana" w:hAnsi="Verdana"/>
          </w:rPr>
          <w:t>AHRQ website</w:t>
        </w:r>
      </w:hyperlink>
      <w:r w:rsidRPr="00516093">
        <w:rPr>
          <w:rFonts w:ascii="Verdana" w:hAnsi="Verdana"/>
          <w:color w:val="000000"/>
        </w:rPr>
        <w:t xml:space="preserve">: </w:t>
      </w:r>
    </w:p>
    <w:p w:rsidR="00ED61AB" w:rsidRPr="00516093" w:rsidP="00B67B9B" w14:paraId="62F422FD" w14:textId="77777777">
      <w:pPr>
        <w:autoSpaceDE w:val="0"/>
        <w:autoSpaceDN w:val="0"/>
        <w:spacing w:line="240" w:lineRule="atLeast"/>
        <w:rPr>
          <w:rFonts w:ascii="Verdana" w:hAnsi="Verdana"/>
          <w:color w:val="000000"/>
        </w:rPr>
      </w:pPr>
    </w:p>
    <w:p w:rsidR="00ED61AB" w:rsidRPr="00516093" w:rsidP="00ED61AB" w14:paraId="4AEF23D1" w14:textId="77777777">
      <w:pPr>
        <w:autoSpaceDE w:val="0"/>
        <w:autoSpaceDN w:val="0"/>
        <w:spacing w:line="240" w:lineRule="atLeast"/>
        <w:ind w:left="360"/>
        <w:rPr>
          <w:rFonts w:ascii="Verdana" w:hAnsi="Verdana"/>
          <w:color w:val="000000"/>
        </w:rPr>
      </w:pPr>
      <w:r w:rsidRPr="00516093">
        <w:rPr>
          <w:rFonts w:ascii="Verdana" w:hAnsi="Verdana"/>
          <w:color w:val="000000"/>
        </w:rPr>
        <w:t>The CAHPS Health Plan Survey is a tool for collecting standardized information on enrollees' experiences with health plans and their services. It was designed to support consumers in assessing the performance of health plans and choosing the plans that best meet their needs. Health plans can also use the survey results to identify their strengths and weaknesses and target areas for improvement. Survey results can be used to:</w:t>
      </w:r>
    </w:p>
    <w:p w:rsidR="00ED61AB" w:rsidRPr="00516093" w:rsidP="00ED61AB" w14:paraId="533DF5F2" w14:textId="77777777">
      <w:pPr>
        <w:numPr>
          <w:ilvl w:val="0"/>
          <w:numId w:val="1"/>
        </w:numPr>
        <w:tabs>
          <w:tab w:val="clear" w:pos="720"/>
          <w:tab w:val="num" w:pos="1080"/>
        </w:tabs>
        <w:autoSpaceDE w:val="0"/>
        <w:autoSpaceDN w:val="0"/>
        <w:spacing w:line="240" w:lineRule="atLeast"/>
        <w:ind w:left="1080"/>
        <w:rPr>
          <w:rFonts w:ascii="Verdana" w:hAnsi="Verdana"/>
          <w:color w:val="000000"/>
        </w:rPr>
      </w:pPr>
      <w:r w:rsidRPr="00516093">
        <w:rPr>
          <w:rFonts w:ascii="Verdana" w:hAnsi="Verdana"/>
          <w:color w:val="000000"/>
        </w:rPr>
        <w:t>Support consumers in assessing the performance of health plans and choosing the plans that best meet their needs.</w:t>
      </w:r>
    </w:p>
    <w:p w:rsidR="00ED61AB" w:rsidRPr="00516093" w:rsidP="00ED61AB" w14:paraId="0B1129C5" w14:textId="77777777">
      <w:pPr>
        <w:numPr>
          <w:ilvl w:val="0"/>
          <w:numId w:val="1"/>
        </w:numPr>
        <w:tabs>
          <w:tab w:val="clear" w:pos="720"/>
          <w:tab w:val="num" w:pos="1080"/>
        </w:tabs>
        <w:autoSpaceDE w:val="0"/>
        <w:autoSpaceDN w:val="0"/>
        <w:spacing w:line="240" w:lineRule="atLeast"/>
        <w:ind w:left="1080"/>
        <w:rPr>
          <w:rFonts w:ascii="Verdana" w:hAnsi="Verdana"/>
          <w:color w:val="000000"/>
        </w:rPr>
      </w:pPr>
      <w:r w:rsidRPr="00516093">
        <w:rPr>
          <w:rFonts w:ascii="Verdana" w:hAnsi="Verdana"/>
          <w:color w:val="000000"/>
        </w:rPr>
        <w:t>Identify the strengths and weaknesses of health plans and target areas for improvement.</w:t>
      </w:r>
    </w:p>
    <w:p w:rsidR="00ED61AB" w:rsidRPr="00516093" w:rsidP="00B67B9B" w14:paraId="2C7C30C7" w14:textId="77777777">
      <w:pPr>
        <w:autoSpaceDE w:val="0"/>
        <w:autoSpaceDN w:val="0"/>
        <w:spacing w:line="240" w:lineRule="atLeast"/>
        <w:rPr>
          <w:rFonts w:ascii="Verdana" w:hAnsi="Verdana"/>
          <w:color w:val="000000"/>
        </w:rPr>
      </w:pPr>
    </w:p>
    <w:p w:rsidR="00391363" w:rsidRPr="00516093" w:rsidP="00B67B9B" w14:paraId="3367FD56" w14:textId="5A401462">
      <w:pPr>
        <w:autoSpaceDE w:val="0"/>
        <w:autoSpaceDN w:val="0"/>
        <w:spacing w:line="240" w:lineRule="atLeast"/>
        <w:rPr>
          <w:rFonts w:ascii="Verdana" w:hAnsi="Verdana"/>
          <w:color w:val="000000"/>
        </w:rPr>
      </w:pPr>
      <w:r w:rsidRPr="00516093">
        <w:rPr>
          <w:rFonts w:ascii="Verdana" w:hAnsi="Verdana"/>
          <w:color w:val="000000"/>
        </w:rPr>
        <w:t xml:space="preserve">OPM </w:t>
      </w:r>
      <w:r w:rsidR="00F9240D">
        <w:rPr>
          <w:rFonts w:ascii="Verdana" w:hAnsi="Verdana"/>
          <w:color w:val="000000"/>
        </w:rPr>
        <w:t>uses</w:t>
      </w:r>
      <w:r w:rsidRPr="00516093">
        <w:rPr>
          <w:rFonts w:ascii="Verdana" w:hAnsi="Verdana"/>
          <w:color w:val="000000"/>
        </w:rPr>
        <w:t xml:space="preserve"> the </w:t>
      </w:r>
      <w:r w:rsidR="004B39A3">
        <w:rPr>
          <w:rFonts w:ascii="Verdana" w:hAnsi="Verdana"/>
          <w:color w:val="000000"/>
        </w:rPr>
        <w:t xml:space="preserve">Adult </w:t>
      </w:r>
      <w:r w:rsidRPr="00516093">
        <w:rPr>
          <w:rFonts w:ascii="Verdana" w:hAnsi="Verdana"/>
          <w:color w:val="000000"/>
        </w:rPr>
        <w:t xml:space="preserve">Commercial </w:t>
      </w:r>
      <w:r w:rsidR="004B39A3">
        <w:rPr>
          <w:rFonts w:ascii="Verdana" w:hAnsi="Verdana"/>
          <w:color w:val="000000"/>
        </w:rPr>
        <w:t>S</w:t>
      </w:r>
      <w:r w:rsidRPr="00516093">
        <w:rPr>
          <w:rFonts w:ascii="Verdana" w:hAnsi="Verdana"/>
          <w:color w:val="000000"/>
        </w:rPr>
        <w:t>urvey</w:t>
      </w:r>
      <w:r w:rsidRPr="00516093" w:rsidR="00B974B5">
        <w:rPr>
          <w:rFonts w:ascii="Verdana" w:hAnsi="Verdana"/>
          <w:color w:val="000000"/>
        </w:rPr>
        <w:t>.</w:t>
      </w:r>
      <w:r w:rsidRPr="00516093">
        <w:rPr>
          <w:rFonts w:ascii="Verdana" w:hAnsi="Verdana"/>
          <w:color w:val="000000"/>
        </w:rPr>
        <w:t xml:space="preserve"> The survey utilizes a </w:t>
      </w:r>
      <w:r w:rsidRPr="00516093" w:rsidR="00B974B5">
        <w:rPr>
          <w:rFonts w:ascii="Verdana" w:hAnsi="Verdana"/>
          <w:color w:val="000000"/>
        </w:rPr>
        <w:t>sampling</w:t>
      </w:r>
      <w:r w:rsidRPr="00516093">
        <w:rPr>
          <w:rFonts w:ascii="Verdana" w:hAnsi="Verdana"/>
          <w:color w:val="000000"/>
        </w:rPr>
        <w:t xml:space="preserve"> methodology as required by the survey </w:t>
      </w:r>
      <w:r w:rsidRPr="00516093" w:rsidR="009F22C3">
        <w:rPr>
          <w:rFonts w:ascii="Verdana" w:hAnsi="Verdana"/>
          <w:color w:val="000000"/>
        </w:rPr>
        <w:t>licens</w:t>
      </w:r>
      <w:r w:rsidR="009F22C3">
        <w:rPr>
          <w:rFonts w:ascii="Verdana" w:hAnsi="Verdana"/>
          <w:color w:val="000000"/>
        </w:rPr>
        <w:t>or</w:t>
      </w:r>
      <w:r w:rsidRPr="00516093">
        <w:rPr>
          <w:rFonts w:ascii="Verdana" w:hAnsi="Verdana"/>
          <w:color w:val="000000"/>
        </w:rPr>
        <w:t xml:space="preserve">, the National Committee for Quality Assurance (NCQA), outlined in extensive detail in </w:t>
      </w:r>
      <w:r w:rsidRPr="0085212A">
        <w:rPr>
          <w:rFonts w:ascii="Verdana" w:hAnsi="Verdana"/>
          <w:color w:val="000000"/>
        </w:rPr>
        <w:t>the</w:t>
      </w:r>
      <w:r w:rsidRPr="0085212A">
        <w:rPr>
          <w:rFonts w:ascii="Verdana" w:hAnsi="Verdana" w:cs="Arial"/>
          <w:color w:val="54585A"/>
          <w:shd w:val="clear" w:color="auto" w:fill="FFFFFF"/>
        </w:rPr>
        <w:t xml:space="preserve"> </w:t>
      </w:r>
      <w:hyperlink r:id="rId9" w:history="1">
        <w:r w:rsidRPr="0085212A" w:rsidR="00CD30D5">
          <w:rPr>
            <w:rStyle w:val="Hyperlink"/>
            <w:rFonts w:ascii="Verdana" w:hAnsi="Verdana"/>
            <w:bCs/>
          </w:rPr>
          <w:t>HEDIS Volume 3</w:t>
        </w:r>
      </w:hyperlink>
      <w:r w:rsidRPr="0085212A">
        <w:rPr>
          <w:rFonts w:ascii="Verdana" w:hAnsi="Verdana"/>
        </w:rPr>
        <w:t>: Specifications for Survey Measures includes surveys and protocols for</w:t>
      </w:r>
      <w:r w:rsidRPr="00516093">
        <w:rPr>
          <w:rFonts w:ascii="Verdana" w:hAnsi="Verdana"/>
        </w:rPr>
        <w:t xml:space="preserve"> the CAHPS 5.</w:t>
      </w:r>
      <w:r w:rsidR="00F231E8">
        <w:rPr>
          <w:rFonts w:ascii="Verdana" w:hAnsi="Verdana"/>
        </w:rPr>
        <w:t>1</w:t>
      </w:r>
      <w:r w:rsidRPr="00516093" w:rsidR="00F231E8">
        <w:rPr>
          <w:rFonts w:ascii="Verdana" w:hAnsi="Verdana"/>
        </w:rPr>
        <w:t xml:space="preserve">H </w:t>
      </w:r>
      <w:r w:rsidRPr="00516093">
        <w:rPr>
          <w:rFonts w:ascii="Verdana" w:hAnsi="Verdana"/>
        </w:rPr>
        <w:t xml:space="preserve">Survey. Information can also be found on the </w:t>
      </w:r>
      <w:hyperlink r:id="rId10" w:history="1">
        <w:r w:rsidRPr="004525D4" w:rsidR="00CD30D5">
          <w:rPr>
            <w:rStyle w:val="Hyperlink"/>
            <w:rFonts w:ascii="Verdana" w:hAnsi="Verdana"/>
            <w:bCs/>
          </w:rPr>
          <w:t>AHRQ website</w:t>
        </w:r>
      </w:hyperlink>
      <w:r w:rsidRPr="00516093">
        <w:rPr>
          <w:rFonts w:ascii="Verdana" w:hAnsi="Verdana"/>
          <w:color w:val="000000"/>
        </w:rPr>
        <w:t>.</w:t>
      </w:r>
      <w:r w:rsidR="0096282C">
        <w:rPr>
          <w:rFonts w:ascii="Verdana" w:hAnsi="Verdana"/>
          <w:color w:val="000000"/>
        </w:rPr>
        <w:t xml:space="preserve"> </w:t>
      </w:r>
      <w:r w:rsidRPr="00516093" w:rsidR="00B974B5">
        <w:rPr>
          <w:rFonts w:ascii="Verdana" w:hAnsi="Verdana"/>
          <w:color w:val="000000"/>
        </w:rPr>
        <w:t>Recommended data collection modes include mail</w:t>
      </w:r>
      <w:r w:rsidR="004816AB">
        <w:rPr>
          <w:rFonts w:ascii="Verdana" w:hAnsi="Verdana"/>
          <w:color w:val="000000"/>
        </w:rPr>
        <w:t>, email</w:t>
      </w:r>
      <w:r w:rsidRPr="00516093" w:rsidR="00E2343D">
        <w:rPr>
          <w:rFonts w:ascii="Verdana" w:hAnsi="Verdana"/>
          <w:color w:val="000000"/>
        </w:rPr>
        <w:t xml:space="preserve"> and telephone</w:t>
      </w:r>
      <w:r w:rsidRPr="00516093" w:rsidR="00B974B5">
        <w:rPr>
          <w:rFonts w:ascii="Verdana" w:hAnsi="Verdana"/>
          <w:color w:val="000000"/>
        </w:rPr>
        <w:t>, and protocols have been developed for each mode.</w:t>
      </w:r>
    </w:p>
    <w:bookmarkEnd w:id="0"/>
    <w:p w:rsidR="00391363" w:rsidRPr="00516093" w:rsidP="00B67B9B" w14:paraId="376EAB2D" w14:textId="77777777">
      <w:pPr>
        <w:autoSpaceDE w:val="0"/>
        <w:autoSpaceDN w:val="0"/>
        <w:spacing w:line="240" w:lineRule="atLeast"/>
        <w:rPr>
          <w:rFonts w:ascii="Verdana" w:hAnsi="Verdana"/>
        </w:rPr>
      </w:pPr>
    </w:p>
    <w:p w:rsidR="00047C40" w:rsidRPr="00516093" w:rsidP="00047C40" w14:paraId="2E5D3FA2" w14:textId="77777777">
      <w:pPr>
        <w:autoSpaceDE w:val="0"/>
        <w:autoSpaceDN w:val="0"/>
        <w:spacing w:line="240" w:lineRule="atLeast"/>
        <w:rPr>
          <w:rFonts w:ascii="Verdana" w:hAnsi="Verdana"/>
          <w:sz w:val="22"/>
          <w:szCs w:val="22"/>
        </w:rPr>
      </w:pPr>
      <w:r w:rsidRPr="00516093">
        <w:rPr>
          <w:rFonts w:ascii="Verdana" w:hAnsi="Verdana"/>
        </w:rPr>
        <w:t>Two modes of survey administration are allowed during the national implementation to give facilities options in how they would like to administer the survey, based on their goals and resources. These two modes are described below:</w:t>
      </w:r>
    </w:p>
    <w:p w:rsidR="00047C40" w:rsidRPr="00516093" w:rsidP="00047C40" w14:paraId="4A5EEFFC" w14:textId="77777777">
      <w:pPr>
        <w:numPr>
          <w:ilvl w:val="0"/>
          <w:numId w:val="8"/>
        </w:numPr>
        <w:autoSpaceDE w:val="0"/>
        <w:autoSpaceDN w:val="0"/>
        <w:spacing w:line="240" w:lineRule="atLeast"/>
        <w:rPr>
          <w:rFonts w:ascii="Verdana" w:eastAsia="Times New Roman" w:hAnsi="Verdana"/>
        </w:rPr>
      </w:pPr>
      <w:r w:rsidRPr="00516093">
        <w:rPr>
          <w:rFonts w:ascii="Verdana" w:eastAsia="Times New Roman" w:hAnsi="Verdana"/>
        </w:rPr>
        <w:t>Mail-only Mode</w:t>
      </w:r>
    </w:p>
    <w:p w:rsidR="00047C40" w:rsidRPr="00516093" w:rsidP="00047C40" w14:paraId="372970FC" w14:textId="77777777">
      <w:pPr>
        <w:numPr>
          <w:ilvl w:val="1"/>
          <w:numId w:val="8"/>
        </w:numPr>
        <w:autoSpaceDE w:val="0"/>
        <w:autoSpaceDN w:val="0"/>
        <w:spacing w:line="240" w:lineRule="atLeast"/>
        <w:rPr>
          <w:rFonts w:ascii="Verdana" w:hAnsi="Verdana"/>
        </w:rPr>
      </w:pPr>
      <w:r w:rsidRPr="00516093">
        <w:rPr>
          <w:rFonts w:ascii="Verdana" w:hAnsi="Verdana"/>
        </w:rPr>
        <w:t>Mailing of the questionnaire and cover letter to all sampled members.</w:t>
      </w:r>
    </w:p>
    <w:p w:rsidR="00047C40" w:rsidRPr="00516093" w:rsidP="00047C40" w14:paraId="4BE0569A" w14:textId="77777777">
      <w:pPr>
        <w:numPr>
          <w:ilvl w:val="1"/>
          <w:numId w:val="8"/>
        </w:numPr>
        <w:autoSpaceDE w:val="0"/>
        <w:autoSpaceDN w:val="0"/>
        <w:spacing w:line="240" w:lineRule="atLeast"/>
        <w:rPr>
          <w:rFonts w:ascii="Verdana" w:hAnsi="Verdana"/>
        </w:rPr>
      </w:pPr>
      <w:r w:rsidRPr="00516093">
        <w:rPr>
          <w:rFonts w:ascii="Verdana" w:hAnsi="Verdana"/>
        </w:rPr>
        <w:t>Reminder postcard mailing</w:t>
      </w:r>
    </w:p>
    <w:p w:rsidR="00047C40" w:rsidRPr="00516093" w:rsidP="00047C40" w14:paraId="786730BA" w14:textId="77777777">
      <w:pPr>
        <w:numPr>
          <w:ilvl w:val="1"/>
          <w:numId w:val="8"/>
        </w:numPr>
        <w:autoSpaceDE w:val="0"/>
        <w:autoSpaceDN w:val="0"/>
        <w:spacing w:line="240" w:lineRule="atLeast"/>
        <w:rPr>
          <w:rFonts w:ascii="Verdana" w:hAnsi="Verdana"/>
        </w:rPr>
      </w:pPr>
      <w:r w:rsidRPr="00516093">
        <w:rPr>
          <w:rFonts w:ascii="Verdana" w:hAnsi="Verdana"/>
        </w:rPr>
        <w:t>Second mailing of the questionnaire and cover letter to sampled members who do not respond to the first questionnaire mailing within 5 weeks</w:t>
      </w:r>
    </w:p>
    <w:p w:rsidR="00047C40" w:rsidRPr="00516093" w:rsidP="00047C40" w14:paraId="29C54728" w14:textId="77777777">
      <w:pPr>
        <w:numPr>
          <w:ilvl w:val="1"/>
          <w:numId w:val="8"/>
        </w:numPr>
        <w:autoSpaceDE w:val="0"/>
        <w:autoSpaceDN w:val="0"/>
        <w:spacing w:line="240" w:lineRule="atLeast"/>
        <w:rPr>
          <w:rFonts w:ascii="Verdana" w:hAnsi="Verdana"/>
        </w:rPr>
      </w:pPr>
      <w:r w:rsidRPr="00516093">
        <w:rPr>
          <w:rFonts w:ascii="Verdana" w:hAnsi="Verdana"/>
        </w:rPr>
        <w:t>Second reminder postcard mailing</w:t>
      </w:r>
    </w:p>
    <w:p w:rsidR="00047C40" w:rsidP="00047C40" w14:paraId="26BDCBE9" w14:textId="0F053A82">
      <w:pPr>
        <w:numPr>
          <w:ilvl w:val="1"/>
          <w:numId w:val="8"/>
        </w:numPr>
        <w:autoSpaceDE w:val="0"/>
        <w:autoSpaceDN w:val="0"/>
        <w:spacing w:line="240" w:lineRule="atLeast"/>
        <w:rPr>
          <w:rFonts w:ascii="Verdana" w:hAnsi="Verdana"/>
        </w:rPr>
      </w:pPr>
      <w:r w:rsidRPr="00516093">
        <w:rPr>
          <w:rFonts w:ascii="Verdana" w:hAnsi="Verdana"/>
        </w:rPr>
        <w:t>Third mailing of the questionnaire and cover letter to sampled members who do not respond to the first or second questionnaire mailing within 3 weeks of the second questionnaire mailing.</w:t>
      </w:r>
    </w:p>
    <w:p w:rsidR="006042F6" w:rsidRPr="00516093" w:rsidP="006042F6" w14:paraId="006F0C3B" w14:textId="77777777">
      <w:pPr>
        <w:autoSpaceDE w:val="0"/>
        <w:autoSpaceDN w:val="0"/>
        <w:spacing w:line="240" w:lineRule="atLeast"/>
        <w:ind w:left="1440"/>
        <w:rPr>
          <w:rFonts w:ascii="Verdana" w:hAnsi="Verdana"/>
        </w:rPr>
      </w:pPr>
    </w:p>
    <w:p w:rsidR="00047C40" w:rsidRPr="00516093" w:rsidP="00047C40" w14:paraId="5A447326" w14:textId="77777777">
      <w:pPr>
        <w:numPr>
          <w:ilvl w:val="0"/>
          <w:numId w:val="8"/>
        </w:numPr>
        <w:autoSpaceDE w:val="0"/>
        <w:autoSpaceDN w:val="0"/>
        <w:spacing w:line="240" w:lineRule="atLeast"/>
        <w:rPr>
          <w:rFonts w:ascii="Verdana" w:eastAsia="Times New Roman" w:hAnsi="Verdana"/>
        </w:rPr>
      </w:pPr>
      <w:r w:rsidRPr="00516093">
        <w:rPr>
          <w:rFonts w:ascii="Verdana" w:eastAsia="Times New Roman" w:hAnsi="Verdana"/>
        </w:rPr>
        <w:t>Mixed Mode (Mail with Telephone Follow-up)</w:t>
      </w:r>
    </w:p>
    <w:p w:rsidR="00047C40" w:rsidRPr="00516093" w:rsidP="00047C40" w14:paraId="0F0259EA" w14:textId="77777777">
      <w:pPr>
        <w:numPr>
          <w:ilvl w:val="1"/>
          <w:numId w:val="8"/>
        </w:numPr>
        <w:autoSpaceDE w:val="0"/>
        <w:autoSpaceDN w:val="0"/>
        <w:spacing w:line="240" w:lineRule="atLeast"/>
        <w:rPr>
          <w:rFonts w:ascii="Verdana" w:hAnsi="Verdana"/>
        </w:rPr>
      </w:pPr>
      <w:r w:rsidRPr="00516093">
        <w:rPr>
          <w:rFonts w:ascii="Verdana" w:hAnsi="Verdana"/>
        </w:rPr>
        <w:t>Mailing of the questionnaire and cover letter to all sampled members.</w:t>
      </w:r>
    </w:p>
    <w:p w:rsidR="00047C40" w:rsidRPr="00516093" w:rsidP="00047C40" w14:paraId="68402911" w14:textId="77777777">
      <w:pPr>
        <w:numPr>
          <w:ilvl w:val="1"/>
          <w:numId w:val="8"/>
        </w:numPr>
        <w:autoSpaceDE w:val="0"/>
        <w:autoSpaceDN w:val="0"/>
        <w:spacing w:line="240" w:lineRule="atLeast"/>
        <w:rPr>
          <w:rFonts w:ascii="Verdana" w:hAnsi="Verdana"/>
        </w:rPr>
      </w:pPr>
      <w:r w:rsidRPr="00516093">
        <w:rPr>
          <w:rFonts w:ascii="Verdana" w:hAnsi="Verdana"/>
        </w:rPr>
        <w:t>Reminder postcard mailing</w:t>
      </w:r>
    </w:p>
    <w:p w:rsidR="00047C40" w:rsidRPr="00516093" w:rsidP="00047C40" w14:paraId="007460D3" w14:textId="77777777">
      <w:pPr>
        <w:numPr>
          <w:ilvl w:val="1"/>
          <w:numId w:val="8"/>
        </w:numPr>
        <w:autoSpaceDE w:val="0"/>
        <w:autoSpaceDN w:val="0"/>
        <w:spacing w:line="240" w:lineRule="atLeast"/>
        <w:rPr>
          <w:rFonts w:ascii="Verdana" w:hAnsi="Verdana"/>
        </w:rPr>
      </w:pPr>
      <w:r w:rsidRPr="00516093">
        <w:rPr>
          <w:rFonts w:ascii="Verdana" w:hAnsi="Verdana"/>
        </w:rPr>
        <w:t>Second mailing of the questionnaire and cover letter to sampled members who do not respond to the first questionnaire mailing within 5 weeks</w:t>
      </w:r>
    </w:p>
    <w:p w:rsidR="00047C40" w:rsidRPr="00516093" w:rsidP="00047C40" w14:paraId="0BB3247F" w14:textId="77777777">
      <w:pPr>
        <w:numPr>
          <w:ilvl w:val="1"/>
          <w:numId w:val="8"/>
        </w:numPr>
        <w:autoSpaceDE w:val="0"/>
        <w:autoSpaceDN w:val="0"/>
        <w:spacing w:line="240" w:lineRule="atLeast"/>
        <w:rPr>
          <w:rFonts w:ascii="Verdana" w:hAnsi="Verdana"/>
        </w:rPr>
      </w:pPr>
      <w:r w:rsidRPr="00516093">
        <w:rPr>
          <w:rFonts w:ascii="Verdana" w:hAnsi="Verdana"/>
        </w:rPr>
        <w:t>Second reminder postcard mailing</w:t>
      </w:r>
    </w:p>
    <w:p w:rsidR="00047C40" w:rsidRPr="00516093" w:rsidP="00047C40" w14:paraId="728BC532" w14:textId="77777777">
      <w:pPr>
        <w:numPr>
          <w:ilvl w:val="1"/>
          <w:numId w:val="8"/>
        </w:numPr>
        <w:autoSpaceDE w:val="0"/>
        <w:autoSpaceDN w:val="0"/>
        <w:spacing w:line="240" w:lineRule="atLeast"/>
        <w:rPr>
          <w:rFonts w:ascii="Verdana" w:hAnsi="Verdana"/>
        </w:rPr>
      </w:pPr>
      <w:r w:rsidRPr="00516093">
        <w:rPr>
          <w:rFonts w:ascii="Verdana" w:hAnsi="Verdana"/>
        </w:rPr>
        <w:t>Telephone follow-up with all sampled patients who do not respond to one of the questionnaire mailings. A maximum of six telephone contact attempts per sampled patient will be made to complete the survey.</w:t>
      </w:r>
    </w:p>
    <w:p w:rsidR="006042F6" w:rsidP="00B67B9B" w14:paraId="2D7B6E81" w14:textId="77777777">
      <w:pPr>
        <w:autoSpaceDE w:val="0"/>
        <w:autoSpaceDN w:val="0"/>
        <w:spacing w:line="240" w:lineRule="atLeast"/>
        <w:rPr>
          <w:rFonts w:ascii="Verdana" w:hAnsi="Verdana"/>
        </w:rPr>
      </w:pPr>
      <w:bookmarkStart w:id="1" w:name="_Hlk112324863"/>
    </w:p>
    <w:p w:rsidR="00E2343D" w:rsidRPr="00516093" w:rsidP="00B67B9B" w14:paraId="12C079B7" w14:textId="1CCADC8A">
      <w:pPr>
        <w:autoSpaceDE w:val="0"/>
        <w:autoSpaceDN w:val="0"/>
        <w:spacing w:line="240" w:lineRule="atLeast"/>
        <w:rPr>
          <w:rFonts w:ascii="Verdana" w:hAnsi="Verdana"/>
        </w:rPr>
      </w:pPr>
      <w:r w:rsidRPr="00F231E8">
        <w:rPr>
          <w:rFonts w:ascii="Verdana" w:hAnsi="Verdana"/>
        </w:rPr>
        <w:t xml:space="preserve">NCQA provides a standardized internet data collection protocol enhancement for optional use by health plans and survey vendors (prior approval is not required). Survey vendors may add an email component to the internet </w:t>
      </w:r>
      <w:r w:rsidRPr="00F231E8">
        <w:rPr>
          <w:rFonts w:ascii="Verdana" w:hAnsi="Verdana"/>
        </w:rPr>
        <w:t xml:space="preserve">enhancement which allows vendors to email the cover letters, surveys and reminders to members with valid email addresses. The email component is optional (prior approval is not required). Specifications for the standardized HEDIS CAHPS internet enhancement are included in </w:t>
      </w:r>
      <w:hyperlink r:id="rId9" w:history="1">
        <w:r w:rsidRPr="00FF1B37">
          <w:rPr>
            <w:rStyle w:val="Hyperlink"/>
            <w:rFonts w:ascii="Verdana" w:hAnsi="Verdana"/>
            <w:bCs/>
          </w:rPr>
          <w:t>HEDIS Volume 3</w:t>
        </w:r>
      </w:hyperlink>
      <w:r w:rsidRPr="00FF1B37">
        <w:rPr>
          <w:rFonts w:ascii="Verdana" w:hAnsi="Verdana"/>
          <w:bCs/>
          <w:color w:val="000000" w:themeColor="text1"/>
        </w:rPr>
        <w:t>:</w:t>
      </w:r>
      <w:r w:rsidRPr="00F231E8">
        <w:rPr>
          <w:rFonts w:ascii="Verdana" w:hAnsi="Verdana"/>
          <w:bCs/>
          <w:color w:val="000000" w:themeColor="text1"/>
        </w:rPr>
        <w:t xml:space="preserve"> Specifications for Survey Measures</w:t>
      </w:r>
      <w:r>
        <w:rPr>
          <w:rFonts w:ascii="Verdana" w:hAnsi="Verdana"/>
          <w:bCs/>
          <w:color w:val="000000" w:themeColor="text1"/>
        </w:rPr>
        <w:t>.</w:t>
      </w:r>
    </w:p>
    <w:bookmarkEnd w:id="1"/>
    <w:p w:rsidR="00F231E8" w:rsidP="00B67B9B" w14:paraId="284FCA19" w14:textId="77777777">
      <w:pPr>
        <w:autoSpaceDE w:val="0"/>
        <w:autoSpaceDN w:val="0"/>
        <w:spacing w:line="240" w:lineRule="atLeast"/>
        <w:rPr>
          <w:rFonts w:ascii="Verdana" w:hAnsi="Verdana"/>
          <w:color w:val="000000"/>
        </w:rPr>
      </w:pPr>
    </w:p>
    <w:p w:rsidR="00391363" w:rsidRPr="00516093" w:rsidP="00B67B9B" w14:paraId="2BA9BC82" w14:textId="4BE70B5E">
      <w:pPr>
        <w:autoSpaceDE w:val="0"/>
        <w:autoSpaceDN w:val="0"/>
        <w:spacing w:line="240" w:lineRule="atLeast"/>
        <w:rPr>
          <w:rFonts w:ascii="Verdana" w:hAnsi="Verdana"/>
          <w:color w:val="000000"/>
        </w:rPr>
      </w:pPr>
      <w:r w:rsidRPr="00516093">
        <w:rPr>
          <w:rFonts w:ascii="Verdana" w:hAnsi="Verdana"/>
          <w:color w:val="000000"/>
        </w:rPr>
        <w:t xml:space="preserve">AHRQ versions of the survey </w:t>
      </w:r>
      <w:r w:rsidRPr="00516093">
        <w:rPr>
          <w:rFonts w:ascii="Verdana" w:hAnsi="Verdana"/>
          <w:color w:val="000000"/>
        </w:rPr>
        <w:t xml:space="preserve">are administered by CMS as part of their public reporting </w:t>
      </w:r>
      <w:r w:rsidRPr="00516093">
        <w:rPr>
          <w:rFonts w:ascii="Verdana" w:hAnsi="Verdana"/>
          <w:color w:val="000000"/>
        </w:rPr>
        <w:t>and</w:t>
      </w:r>
      <w:r w:rsidRPr="00516093">
        <w:rPr>
          <w:rFonts w:ascii="Verdana" w:hAnsi="Verdana"/>
          <w:color w:val="000000"/>
        </w:rPr>
        <w:t xml:space="preserve"> reimbursement programs</w:t>
      </w:r>
      <w:r w:rsidRPr="00516093" w:rsidR="00B974B5">
        <w:rPr>
          <w:rFonts w:ascii="Verdana" w:hAnsi="Verdana"/>
          <w:color w:val="000000"/>
        </w:rPr>
        <w:t>.</w:t>
      </w:r>
      <w:r w:rsidRPr="00516093" w:rsidR="00923C0E">
        <w:rPr>
          <w:rFonts w:ascii="Verdana" w:hAnsi="Verdana"/>
          <w:color w:val="000000"/>
        </w:rPr>
        <w:t xml:space="preserve"> The CAHPS surveys utilized by CMS have received PRA approval. CAHPS is also utilized by many private health insurance </w:t>
      </w:r>
      <w:r w:rsidRPr="00516093" w:rsidR="007365DF">
        <w:rPr>
          <w:rFonts w:ascii="Verdana" w:hAnsi="Verdana"/>
          <w:color w:val="000000"/>
        </w:rPr>
        <w:t>purchasers and</w:t>
      </w:r>
      <w:r w:rsidRPr="00516093" w:rsidR="00923C0E">
        <w:rPr>
          <w:rFonts w:ascii="Verdana" w:hAnsi="Verdana"/>
          <w:color w:val="000000"/>
        </w:rPr>
        <w:t xml:space="preserve"> is part of the NCQA accreditation process.</w:t>
      </w:r>
      <w:r w:rsidR="0096282C">
        <w:rPr>
          <w:rFonts w:ascii="Verdana" w:hAnsi="Verdana"/>
          <w:color w:val="000000"/>
        </w:rPr>
        <w:t xml:space="preserve"> </w:t>
      </w:r>
    </w:p>
    <w:p w:rsidR="00B974B5" w:rsidRPr="00516093" w:rsidP="004E09E2" w14:paraId="29B194EE" w14:textId="77777777">
      <w:pPr>
        <w:autoSpaceDE w:val="0"/>
        <w:autoSpaceDN w:val="0"/>
        <w:spacing w:line="240" w:lineRule="atLeast"/>
        <w:rPr>
          <w:rFonts w:ascii="Verdana" w:hAnsi="Verdana"/>
          <w:color w:val="000000"/>
        </w:rPr>
      </w:pPr>
    </w:p>
    <w:p w:rsidR="004E09E2" w:rsidRPr="00516093" w:rsidP="000A3459" w14:paraId="1CAB2FCD" w14:textId="3D40CAC3">
      <w:pPr>
        <w:autoSpaceDE w:val="0"/>
        <w:autoSpaceDN w:val="0"/>
        <w:spacing w:line="240" w:lineRule="atLeast"/>
        <w:rPr>
          <w:rFonts w:ascii="Verdana" w:hAnsi="Verdana"/>
          <w:color w:val="000000"/>
        </w:rPr>
      </w:pPr>
      <w:r w:rsidRPr="00516093">
        <w:rPr>
          <w:rFonts w:ascii="Verdana" w:hAnsi="Verdana"/>
          <w:b/>
          <w:bCs/>
          <w:color w:val="000000"/>
        </w:rPr>
        <w:t>B2.</w:t>
      </w:r>
      <w:r w:rsidR="0096282C">
        <w:rPr>
          <w:rFonts w:ascii="Verdana" w:hAnsi="Verdana"/>
          <w:b/>
          <w:bCs/>
          <w:color w:val="000000"/>
        </w:rPr>
        <w:t xml:space="preserve"> </w:t>
      </w:r>
      <w:r w:rsidRPr="00516093">
        <w:rPr>
          <w:rFonts w:ascii="Verdana" w:hAnsi="Verdana"/>
          <w:b/>
          <w:bCs/>
          <w:color w:val="000000"/>
        </w:rPr>
        <w:t>Collection of Data</w:t>
      </w:r>
      <w:r w:rsidRPr="00516093">
        <w:rPr>
          <w:rFonts w:ascii="Verdana" w:hAnsi="Verdana"/>
          <w:color w:val="000000"/>
        </w:rPr>
        <w:t xml:space="preserve"> </w:t>
      </w:r>
    </w:p>
    <w:p w:rsidR="004E09E2" w:rsidRPr="00516093" w:rsidP="004E09E2" w14:paraId="6E558DEE" w14:textId="77777777">
      <w:pPr>
        <w:autoSpaceDE w:val="0"/>
        <w:autoSpaceDN w:val="0"/>
        <w:spacing w:line="240" w:lineRule="atLeast"/>
        <w:rPr>
          <w:rFonts w:ascii="Verdana" w:hAnsi="Verdana"/>
          <w:b/>
          <w:bCs/>
          <w:color w:val="000000"/>
        </w:rPr>
      </w:pPr>
    </w:p>
    <w:p w:rsidR="00CD30D5" w:rsidRPr="004525D4" w:rsidP="00CD30D5" w14:paraId="34D3A967" w14:textId="22167C7B">
      <w:pPr>
        <w:autoSpaceDE w:val="0"/>
        <w:autoSpaceDN w:val="0"/>
        <w:spacing w:line="240" w:lineRule="atLeast"/>
        <w:rPr>
          <w:rFonts w:ascii="Verdana" w:hAnsi="Verdana"/>
          <w:color w:val="000000"/>
        </w:rPr>
      </w:pPr>
      <w:bookmarkStart w:id="2" w:name="_Hlk112324892"/>
      <w:r w:rsidRPr="004525D4">
        <w:rPr>
          <w:rFonts w:ascii="Verdana" w:hAnsi="Verdana"/>
          <w:color w:val="000000"/>
        </w:rPr>
        <w:t>Under the FEHB</w:t>
      </w:r>
      <w:r w:rsidR="006042F6">
        <w:rPr>
          <w:rFonts w:ascii="Verdana" w:hAnsi="Verdana"/>
          <w:color w:val="000000"/>
        </w:rPr>
        <w:t xml:space="preserve"> and PSHB</w:t>
      </w:r>
      <w:r w:rsidRPr="004525D4">
        <w:rPr>
          <w:rFonts w:ascii="Verdana" w:hAnsi="Verdana"/>
          <w:color w:val="000000"/>
        </w:rPr>
        <w:t xml:space="preserve"> contract, FEHB</w:t>
      </w:r>
      <w:r w:rsidR="006042F6">
        <w:rPr>
          <w:rFonts w:ascii="Verdana" w:hAnsi="Verdana"/>
          <w:color w:val="000000"/>
        </w:rPr>
        <w:t xml:space="preserve"> and PSHB</w:t>
      </w:r>
      <w:r w:rsidRPr="004525D4">
        <w:rPr>
          <w:rFonts w:ascii="Verdana" w:hAnsi="Verdana"/>
          <w:color w:val="000000"/>
        </w:rPr>
        <w:t xml:space="preserve"> Carriers must administer CAHPS consistent with the AHRQ guidelines required by NCQA. OPM requires all FEHB </w:t>
      </w:r>
      <w:r w:rsidR="006042F6">
        <w:rPr>
          <w:rFonts w:ascii="Verdana" w:hAnsi="Verdana"/>
          <w:color w:val="000000"/>
        </w:rPr>
        <w:t xml:space="preserve">and PSHB </w:t>
      </w:r>
      <w:r w:rsidRPr="004525D4">
        <w:rPr>
          <w:rFonts w:ascii="Verdana" w:hAnsi="Verdana"/>
          <w:color w:val="000000"/>
        </w:rPr>
        <w:t xml:space="preserve">Carriers to use a certified CAHPS vendor when administering the CAHPS Survey. </w:t>
      </w:r>
    </w:p>
    <w:bookmarkEnd w:id="2"/>
    <w:p w:rsidR="00CD30D5" w:rsidRPr="004525D4" w:rsidP="00CD30D5" w14:paraId="37169861" w14:textId="77777777">
      <w:pPr>
        <w:autoSpaceDE w:val="0"/>
        <w:autoSpaceDN w:val="0"/>
        <w:spacing w:line="240" w:lineRule="atLeast"/>
        <w:rPr>
          <w:rFonts w:ascii="Verdana" w:hAnsi="Verdana"/>
          <w:color w:val="000000"/>
        </w:rPr>
      </w:pPr>
    </w:p>
    <w:p w:rsidR="00B974B5" w:rsidRPr="00516093" w:rsidP="00014E44" w14:paraId="6332E815" w14:textId="3C8CF771">
      <w:pPr>
        <w:autoSpaceDE w:val="0"/>
        <w:autoSpaceDN w:val="0"/>
        <w:spacing w:line="240" w:lineRule="atLeast"/>
        <w:rPr>
          <w:rFonts w:ascii="Verdana" w:hAnsi="Verdana"/>
          <w:bCs/>
          <w:color w:val="000000"/>
        </w:rPr>
      </w:pPr>
      <w:r w:rsidRPr="00516093">
        <w:rPr>
          <w:rFonts w:ascii="Verdana" w:hAnsi="Verdana"/>
          <w:bCs/>
          <w:color w:val="000000"/>
        </w:rPr>
        <w:t>To become an NCQA-Certified survey vendor, “an organization must demonstrate that it has the capabilities, experience and expert personnel to collect and report survey results accurately. NCQA issues an annual request for proposal (RFP) for new organizations to apply for certification.”</w:t>
      </w:r>
      <w:r w:rsidR="0096282C">
        <w:rPr>
          <w:rFonts w:ascii="Verdana" w:hAnsi="Verdana"/>
          <w:bCs/>
          <w:color w:val="000000"/>
        </w:rPr>
        <w:t xml:space="preserve"> </w:t>
      </w:r>
    </w:p>
    <w:p w:rsidR="00B974B5" w:rsidRPr="00516093" w:rsidP="00014E44" w14:paraId="32FE5AF3" w14:textId="77777777">
      <w:pPr>
        <w:autoSpaceDE w:val="0"/>
        <w:autoSpaceDN w:val="0"/>
        <w:spacing w:line="240" w:lineRule="atLeast"/>
        <w:rPr>
          <w:rFonts w:ascii="Verdana" w:hAnsi="Verdana"/>
          <w:bCs/>
          <w:color w:val="000000"/>
        </w:rPr>
      </w:pPr>
    </w:p>
    <w:p w:rsidR="00CD30D5" w:rsidRPr="004525D4" w:rsidP="00CD30D5" w14:paraId="1E8F01B9" w14:textId="77777777">
      <w:pPr>
        <w:autoSpaceDE w:val="0"/>
        <w:autoSpaceDN w:val="0"/>
        <w:spacing w:line="240" w:lineRule="atLeast"/>
        <w:rPr>
          <w:rFonts w:ascii="Verdana" w:hAnsi="Verdana"/>
          <w:bCs/>
          <w:color w:val="000000"/>
        </w:rPr>
      </w:pPr>
      <w:r w:rsidRPr="004525D4">
        <w:rPr>
          <w:rFonts w:ascii="Verdana" w:hAnsi="Verdana"/>
          <w:bCs/>
          <w:color w:val="000000"/>
        </w:rPr>
        <w:t xml:space="preserve">AHRQ first launched the CAHPS Survey in 1995 to develop standardized surveys that organizations can use to collect comparable information on patients’ experience with care, and to generate tools and resources to support the dissemination and use of comparative survey results to inform the public and improve health care quality. </w:t>
      </w:r>
    </w:p>
    <w:p w:rsidR="00CD30D5" w:rsidRPr="004525D4" w:rsidP="00CD30D5" w14:paraId="6F41EB40" w14:textId="77777777">
      <w:pPr>
        <w:autoSpaceDE w:val="0"/>
        <w:autoSpaceDN w:val="0"/>
        <w:spacing w:line="240" w:lineRule="atLeast"/>
        <w:rPr>
          <w:rFonts w:ascii="Verdana" w:hAnsi="Verdana"/>
          <w:bCs/>
          <w:color w:val="000000"/>
        </w:rPr>
      </w:pPr>
    </w:p>
    <w:p w:rsidR="00CD30D5" w:rsidRPr="004525D4" w:rsidP="00CD30D5" w14:paraId="4EEAD64F" w14:textId="6CDA1751">
      <w:pPr>
        <w:autoSpaceDE w:val="0"/>
        <w:autoSpaceDN w:val="0"/>
        <w:spacing w:line="240" w:lineRule="atLeast"/>
        <w:rPr>
          <w:rFonts w:ascii="Verdana" w:hAnsi="Verdana"/>
          <w:bCs/>
          <w:color w:val="000000"/>
        </w:rPr>
      </w:pPr>
      <w:r w:rsidRPr="004525D4">
        <w:rPr>
          <w:rFonts w:ascii="Verdana" w:hAnsi="Verdana"/>
          <w:color w:val="000000"/>
        </w:rPr>
        <w:t xml:space="preserve">The AHRQ CAHPS surveys provide a uniform and industry accepted survey vehicle to assess member satisfaction. </w:t>
      </w:r>
    </w:p>
    <w:p w:rsidR="00CD30D5" w:rsidRPr="004525D4" w:rsidP="00CD30D5" w14:paraId="222C6972" w14:textId="77777777">
      <w:pPr>
        <w:autoSpaceDE w:val="0"/>
        <w:autoSpaceDN w:val="0"/>
        <w:spacing w:line="240" w:lineRule="atLeast"/>
        <w:rPr>
          <w:rFonts w:ascii="Verdana" w:hAnsi="Verdana"/>
          <w:color w:val="000000"/>
        </w:rPr>
      </w:pPr>
    </w:p>
    <w:p w:rsidR="00CD30D5" w:rsidRPr="004525D4" w:rsidP="00BD3D93" w14:paraId="1CD5FE9A" w14:textId="77777777">
      <w:pPr>
        <w:autoSpaceDE w:val="0"/>
        <w:autoSpaceDN w:val="0"/>
        <w:spacing w:line="240" w:lineRule="atLeast"/>
        <w:rPr>
          <w:rFonts w:ascii="Verdana" w:hAnsi="Verdana"/>
          <w:b/>
          <w:color w:val="000000"/>
        </w:rPr>
      </w:pPr>
      <w:r w:rsidRPr="004525D4">
        <w:rPr>
          <w:rFonts w:ascii="Verdana" w:hAnsi="Verdana"/>
          <w:b/>
          <w:color w:val="000000"/>
        </w:rPr>
        <w:t xml:space="preserve">Development of the CAHPS Surveys </w:t>
      </w:r>
    </w:p>
    <w:p w:rsidR="00BD3D93" w:rsidP="00BD3D93" w14:paraId="195B93FE" w14:textId="77777777">
      <w:pPr>
        <w:autoSpaceDE w:val="0"/>
        <w:autoSpaceDN w:val="0"/>
        <w:spacing w:line="240" w:lineRule="atLeast"/>
        <w:rPr>
          <w:rFonts w:ascii="Verdana" w:hAnsi="Verdana"/>
          <w:color w:val="000000"/>
        </w:rPr>
      </w:pPr>
    </w:p>
    <w:p w:rsidR="00CD30D5" w:rsidRPr="004525D4" w:rsidP="00BD3D93" w14:paraId="589518A9" w14:textId="45599951">
      <w:pPr>
        <w:autoSpaceDE w:val="0"/>
        <w:autoSpaceDN w:val="0"/>
        <w:spacing w:line="240" w:lineRule="atLeast"/>
        <w:rPr>
          <w:rFonts w:ascii="Verdana" w:hAnsi="Verdana"/>
          <w:color w:val="000000"/>
        </w:rPr>
      </w:pPr>
      <w:r w:rsidRPr="004525D4">
        <w:rPr>
          <w:rFonts w:ascii="Verdana" w:hAnsi="Verdana"/>
          <w:color w:val="000000"/>
        </w:rPr>
        <w:t xml:space="preserve">The development process for CAHPS surveys emphasizes scientific rigor and frequent input from patients and other key stakeholders. Major steps include literature reviews and environmental scans, focus groups with patients, input from health care providers and other key stakeholders, cognitive testing of survey questions and reporting measures, and field testing. This process is designed to ensure that the survey will generate valid and reliable data to meet the information needs of health care consumers, care providers, health plans, purchasers, and policymakers. </w:t>
      </w:r>
    </w:p>
    <w:p w:rsidR="00BD3D93" w:rsidP="00BD3D93" w14:paraId="0C0270A8" w14:textId="77777777">
      <w:pPr>
        <w:autoSpaceDE w:val="0"/>
        <w:autoSpaceDN w:val="0"/>
        <w:spacing w:line="240" w:lineRule="atLeast"/>
        <w:rPr>
          <w:rFonts w:ascii="Verdana" w:hAnsi="Verdana"/>
          <w:color w:val="000000"/>
        </w:rPr>
      </w:pPr>
    </w:p>
    <w:p w:rsidR="00CD30D5" w:rsidRPr="004525D4" w:rsidP="00BD3D93" w14:paraId="2A9ADE46" w14:textId="6C36C3CD">
      <w:pPr>
        <w:autoSpaceDE w:val="0"/>
        <w:autoSpaceDN w:val="0"/>
        <w:spacing w:line="240" w:lineRule="atLeast"/>
        <w:rPr>
          <w:rFonts w:ascii="Verdana" w:hAnsi="Verdana"/>
          <w:color w:val="000000"/>
        </w:rPr>
      </w:pPr>
      <w:r w:rsidRPr="004525D4">
        <w:rPr>
          <w:rFonts w:ascii="Verdana" w:hAnsi="Verdana"/>
          <w:color w:val="000000"/>
        </w:rPr>
        <w:t xml:space="preserve">To achieve the program’s goals, AHRQ funds private research organizations with proven expertise in survey design and evaluation, public reporting, and quality assessment and improvement. The current organizations are RAND and the Yale School of Public Health. These research organizations work with AHRQ and other Federal agencies to develop, test, and maintain the surveys and to produce resources that support and evaluate their use in reports and improvement initiatives. </w:t>
      </w:r>
    </w:p>
    <w:p w:rsidR="00CD30D5" w:rsidRPr="004525D4" w:rsidP="00CD30D5" w14:paraId="124DDD34" w14:textId="77777777">
      <w:pPr>
        <w:autoSpaceDE w:val="0"/>
        <w:autoSpaceDN w:val="0"/>
        <w:spacing w:line="240" w:lineRule="atLeast"/>
        <w:ind w:left="720"/>
        <w:rPr>
          <w:rFonts w:ascii="Verdana" w:hAnsi="Verdana"/>
          <w:color w:val="000000"/>
        </w:rPr>
      </w:pPr>
    </w:p>
    <w:p w:rsidR="00CD30D5" w:rsidRPr="004525D4" w:rsidP="00BD3D93" w14:paraId="502BC917" w14:textId="77777777">
      <w:pPr>
        <w:autoSpaceDE w:val="0"/>
        <w:autoSpaceDN w:val="0"/>
        <w:spacing w:line="240" w:lineRule="atLeast"/>
        <w:rPr>
          <w:rFonts w:ascii="Verdana" w:hAnsi="Verdana"/>
          <w:color w:val="000000"/>
        </w:rPr>
      </w:pPr>
      <w:r w:rsidRPr="004525D4">
        <w:rPr>
          <w:rFonts w:ascii="Verdana" w:hAnsi="Verdana"/>
          <w:color w:val="000000"/>
        </w:rPr>
        <w:t xml:space="preserve">Collectively, these organizations are known as the CAHPS Consortium. </w:t>
      </w:r>
    </w:p>
    <w:p w:rsidR="00CD30D5" w:rsidRPr="004525D4" w:rsidP="00CD30D5" w14:paraId="3ACE4FD9" w14:textId="77777777">
      <w:pPr>
        <w:autoSpaceDE w:val="0"/>
        <w:autoSpaceDN w:val="0"/>
        <w:spacing w:line="240" w:lineRule="atLeast"/>
        <w:ind w:left="360"/>
        <w:rPr>
          <w:rFonts w:ascii="Verdana" w:hAnsi="Verdana"/>
          <w:color w:val="000000"/>
        </w:rPr>
      </w:pPr>
    </w:p>
    <w:p w:rsidR="00CD30D5" w:rsidRPr="004525D4" w:rsidP="00BD3D93" w14:paraId="17D9FF2B" w14:textId="77777777">
      <w:pPr>
        <w:autoSpaceDE w:val="0"/>
        <w:autoSpaceDN w:val="0"/>
        <w:spacing w:line="240" w:lineRule="atLeast"/>
        <w:rPr>
          <w:rFonts w:ascii="Verdana" w:hAnsi="Verdana"/>
          <w:b/>
          <w:color w:val="000000"/>
        </w:rPr>
      </w:pPr>
      <w:r w:rsidRPr="004525D4">
        <w:rPr>
          <w:rFonts w:ascii="Verdana" w:hAnsi="Verdana"/>
          <w:b/>
          <w:color w:val="000000"/>
        </w:rPr>
        <w:t xml:space="preserve">Uses of CAHPS Survey Results </w:t>
      </w:r>
    </w:p>
    <w:p w:rsidR="00BD3D93" w:rsidP="00BD3D93" w14:paraId="277CC9F6" w14:textId="77777777">
      <w:pPr>
        <w:autoSpaceDE w:val="0"/>
        <w:autoSpaceDN w:val="0"/>
        <w:spacing w:line="240" w:lineRule="atLeast"/>
        <w:rPr>
          <w:rFonts w:ascii="Verdana" w:hAnsi="Verdana"/>
          <w:color w:val="000000"/>
        </w:rPr>
      </w:pPr>
    </w:p>
    <w:p w:rsidR="00CD30D5" w:rsidRPr="004525D4" w:rsidP="00BD3D93" w14:paraId="211EC51A" w14:textId="39B67394">
      <w:pPr>
        <w:autoSpaceDE w:val="0"/>
        <w:autoSpaceDN w:val="0"/>
        <w:spacing w:line="240" w:lineRule="atLeast"/>
        <w:rPr>
          <w:rFonts w:ascii="Verdana" w:hAnsi="Verdana"/>
          <w:color w:val="000000"/>
        </w:rPr>
      </w:pPr>
      <w:r w:rsidRPr="004525D4">
        <w:rPr>
          <w:rFonts w:ascii="Verdana" w:hAnsi="Verdana"/>
          <w:color w:val="000000"/>
        </w:rPr>
        <w:t>Once AHRQ’s CAHPS Consortium releases a CAHPS survey into the public domain, it is available for any organization to use for its own purposes. The results of CAHPS surveys are typically used to monitor and drive improvements in patient experience with care and to better inform consumers about health care providers in their area. Some organizations incorporate the survey results into programs that reward or recognize health care providers for providing high-quality care.</w:t>
      </w:r>
    </w:p>
    <w:p w:rsidR="00CD30D5" w:rsidRPr="004525D4" w:rsidP="00CD30D5" w14:paraId="347C3DEE" w14:textId="77777777">
      <w:pPr>
        <w:autoSpaceDE w:val="0"/>
        <w:autoSpaceDN w:val="0"/>
        <w:spacing w:line="240" w:lineRule="atLeast"/>
        <w:rPr>
          <w:rFonts w:ascii="Verdana" w:hAnsi="Verdana"/>
          <w:color w:val="000000"/>
        </w:rPr>
      </w:pPr>
    </w:p>
    <w:p w:rsidR="00CD30D5" w:rsidRPr="004525D4" w:rsidP="00CD30D5" w14:paraId="1D6091E1" w14:textId="7675B343">
      <w:pPr>
        <w:autoSpaceDE w:val="0"/>
        <w:autoSpaceDN w:val="0"/>
        <w:spacing w:line="240" w:lineRule="atLeast"/>
        <w:rPr>
          <w:rFonts w:ascii="Verdana" w:hAnsi="Verdana"/>
          <w:color w:val="000000"/>
        </w:rPr>
      </w:pPr>
      <w:r w:rsidRPr="5FEF601D">
        <w:rPr>
          <w:rFonts w:ascii="Verdana" w:hAnsi="Verdana"/>
          <w:color w:val="000000" w:themeColor="text1"/>
        </w:rPr>
        <w:t>The target population for OPM’s CAHPS Survey is FEHB</w:t>
      </w:r>
      <w:r w:rsidRPr="5FEF601D" w:rsidR="006042F6">
        <w:rPr>
          <w:rFonts w:ascii="Verdana" w:hAnsi="Verdana"/>
          <w:color w:val="000000" w:themeColor="text1"/>
        </w:rPr>
        <w:t xml:space="preserve"> and PSHB</w:t>
      </w:r>
      <w:r w:rsidRPr="5FEF601D">
        <w:rPr>
          <w:rFonts w:ascii="Verdana" w:hAnsi="Verdana"/>
          <w:color w:val="000000" w:themeColor="text1"/>
        </w:rPr>
        <w:t xml:space="preserve"> members who are eighteen and older without Medicare </w:t>
      </w:r>
      <w:r w:rsidRPr="5FEF601D" w:rsidR="002F7ADB">
        <w:rPr>
          <w:rFonts w:ascii="Verdana" w:hAnsi="Verdana"/>
          <w:color w:val="000000" w:themeColor="text1"/>
        </w:rPr>
        <w:t xml:space="preserve">as their primary coverage </w:t>
      </w:r>
      <w:r w:rsidRPr="5FEF601D">
        <w:rPr>
          <w:rFonts w:ascii="Verdana" w:hAnsi="Verdana"/>
          <w:color w:val="000000" w:themeColor="text1"/>
        </w:rPr>
        <w:t xml:space="preserve">and were enrolled in </w:t>
      </w:r>
      <w:r w:rsidRPr="5FEF601D" w:rsidR="006042F6">
        <w:rPr>
          <w:rFonts w:ascii="Verdana" w:hAnsi="Verdana"/>
          <w:color w:val="000000" w:themeColor="text1"/>
        </w:rPr>
        <w:t xml:space="preserve">a FEHB or PSHB </w:t>
      </w:r>
      <w:r w:rsidRPr="5FEF601D">
        <w:rPr>
          <w:rFonts w:ascii="Verdana" w:hAnsi="Verdana"/>
          <w:color w:val="000000" w:themeColor="text1"/>
        </w:rPr>
        <w:t xml:space="preserve">health plan. The estimated target population </w:t>
      </w:r>
      <w:r w:rsidRPr="00BD3D93">
        <w:rPr>
          <w:rFonts w:ascii="Verdana" w:hAnsi="Verdana"/>
          <w:color w:val="000000" w:themeColor="text1"/>
        </w:rPr>
        <w:t>is 2.</w:t>
      </w:r>
      <w:r w:rsidRPr="00BD3D93" w:rsidR="44D3093D">
        <w:rPr>
          <w:rFonts w:ascii="Verdana" w:hAnsi="Verdana"/>
          <w:color w:val="000000" w:themeColor="text1"/>
        </w:rPr>
        <w:t>27</w:t>
      </w:r>
      <w:r w:rsidRPr="00BD3D93">
        <w:rPr>
          <w:rFonts w:ascii="Verdana" w:hAnsi="Verdana"/>
          <w:color w:val="000000" w:themeColor="text1"/>
        </w:rPr>
        <w:t xml:space="preserve"> million people.</w:t>
      </w:r>
      <w:r w:rsidRPr="5FEF601D">
        <w:rPr>
          <w:rFonts w:ascii="Verdana" w:hAnsi="Verdana"/>
          <w:color w:val="000000" w:themeColor="text1"/>
        </w:rPr>
        <w:t xml:space="preserve"> This sample frame is the eligible population and is required by AHRQ and NCQA. The anchor date to be eligible is December 31 of the measurement year (i.e., the calendar year before the survey is administered). </w:t>
      </w:r>
    </w:p>
    <w:p w:rsidR="00CD30D5" w:rsidRPr="004525D4" w:rsidP="00CD30D5" w14:paraId="1CC923FB" w14:textId="77777777">
      <w:pPr>
        <w:autoSpaceDE w:val="0"/>
        <w:autoSpaceDN w:val="0"/>
        <w:spacing w:line="240" w:lineRule="atLeast"/>
        <w:rPr>
          <w:rFonts w:ascii="Verdana" w:hAnsi="Verdana"/>
          <w:color w:val="000000"/>
        </w:rPr>
      </w:pPr>
    </w:p>
    <w:p w:rsidR="00CD30D5" w:rsidRPr="00BD3D93" w:rsidP="00CD30D5" w14:paraId="6B761359" w14:textId="41883170">
      <w:pPr>
        <w:autoSpaceDE w:val="0"/>
        <w:autoSpaceDN w:val="0"/>
        <w:spacing w:line="240" w:lineRule="atLeast"/>
        <w:rPr>
          <w:rFonts w:ascii="Verdana" w:hAnsi="Verdana"/>
          <w:color w:val="000000"/>
        </w:rPr>
      </w:pPr>
      <w:r w:rsidRPr="00BD3D93">
        <w:rPr>
          <w:rFonts w:ascii="Verdana" w:hAnsi="Verdana"/>
          <w:color w:val="000000" w:themeColor="text1"/>
        </w:rPr>
        <w:t>AHRQ and NCQA require a systematic sampling method. The sample is drawn by the certified survey vendor. The steps, as shown in Section 3 of NCQA’s HEDIS 202</w:t>
      </w:r>
      <w:r w:rsidRPr="00BD3D93" w:rsidR="44E9D24A">
        <w:rPr>
          <w:rFonts w:ascii="Verdana" w:hAnsi="Verdana"/>
          <w:color w:val="000000" w:themeColor="text1"/>
        </w:rPr>
        <w:t>3</w:t>
      </w:r>
      <w:r w:rsidRPr="00BD3D93">
        <w:rPr>
          <w:rFonts w:ascii="Verdana" w:hAnsi="Verdana"/>
          <w:color w:val="000000" w:themeColor="text1"/>
        </w:rPr>
        <w:t xml:space="preserve"> Volume 3, Specifications for Survey Measures, are:</w:t>
      </w:r>
    </w:p>
    <w:p w:rsidR="00CD30D5" w:rsidRPr="00BD3D93" w:rsidP="00CD30D5" w14:paraId="2BD11BE5" w14:textId="77777777">
      <w:pPr>
        <w:autoSpaceDE w:val="0"/>
        <w:autoSpaceDN w:val="0"/>
        <w:spacing w:line="240" w:lineRule="atLeast"/>
        <w:rPr>
          <w:rFonts w:ascii="Verdana" w:hAnsi="Verdana"/>
          <w:color w:val="000000"/>
        </w:rPr>
      </w:pPr>
    </w:p>
    <w:tbl>
      <w:tblPr>
        <w:tblW w:w="9835" w:type="dxa"/>
        <w:tblLayout w:type="fixed"/>
        <w:tblLook w:val="0000"/>
      </w:tblPr>
      <w:tblGrid>
        <w:gridCol w:w="855"/>
        <w:gridCol w:w="8980"/>
      </w:tblGrid>
      <w:tr w14:paraId="4A088E46" w14:textId="77777777">
        <w:tblPrEx>
          <w:tblW w:w="9835" w:type="dxa"/>
          <w:tblLayout w:type="fixed"/>
          <w:tblLook w:val="0000"/>
        </w:tblPrEx>
        <w:trPr>
          <w:trHeight w:val="1143"/>
        </w:trPr>
        <w:tc>
          <w:tcPr>
            <w:tcW w:w="855" w:type="dxa"/>
          </w:tcPr>
          <w:p w:rsidR="00CD30D5" w:rsidRPr="00BD3D93" w14:paraId="1027DCA9" w14:textId="77777777">
            <w:pPr>
              <w:autoSpaceDE w:val="0"/>
              <w:autoSpaceDN w:val="0"/>
              <w:spacing w:line="240" w:lineRule="atLeast"/>
              <w:rPr>
                <w:rFonts w:ascii="Verdana" w:hAnsi="Verdana"/>
                <w:b/>
                <w:i/>
                <w:color w:val="000000"/>
              </w:rPr>
            </w:pPr>
            <w:r w:rsidRPr="00BD3D93">
              <w:rPr>
                <w:rFonts w:ascii="Verdana" w:hAnsi="Verdana"/>
                <w:b/>
                <w:i/>
                <w:color w:val="000000"/>
              </w:rPr>
              <w:t>Step 1</w:t>
            </w:r>
          </w:p>
        </w:tc>
        <w:tc>
          <w:tcPr>
            <w:tcW w:w="8980" w:type="dxa"/>
          </w:tcPr>
          <w:p w:rsidR="00CD30D5" w:rsidRPr="00BD3D93" w14:paraId="64490946" w14:textId="77777777">
            <w:pPr>
              <w:tabs>
                <w:tab w:val="left" w:pos="8473"/>
              </w:tabs>
              <w:autoSpaceDE w:val="0"/>
              <w:autoSpaceDN w:val="0"/>
              <w:spacing w:line="240" w:lineRule="atLeast"/>
              <w:ind w:right="379"/>
              <w:rPr>
                <w:rFonts w:ascii="Verdana" w:hAnsi="Verdana"/>
                <w:color w:val="000000"/>
              </w:rPr>
            </w:pPr>
            <w:r w:rsidRPr="00BD3D93">
              <w:rPr>
                <w:rFonts w:ascii="Verdana" w:hAnsi="Verdana"/>
                <w:color w:val="000000"/>
              </w:rPr>
              <w:t xml:space="preserve">Determine the minimum required sample size (MRSS) from Table S-3. </w:t>
            </w:r>
          </w:p>
          <w:p w:rsidR="00CD30D5" w:rsidRPr="004525D4" w14:paraId="60F5A003" w14:textId="77777777">
            <w:pPr>
              <w:tabs>
                <w:tab w:val="left" w:pos="8473"/>
              </w:tabs>
              <w:autoSpaceDE w:val="0"/>
              <w:autoSpaceDN w:val="0"/>
              <w:spacing w:line="240" w:lineRule="atLeast"/>
              <w:ind w:right="379"/>
              <w:rPr>
                <w:rFonts w:ascii="Verdana" w:hAnsi="Verdana"/>
                <w:color w:val="000000"/>
              </w:rPr>
            </w:pPr>
            <w:r w:rsidRPr="00BD3D93">
              <w:rPr>
                <w:rFonts w:ascii="Verdana" w:hAnsi="Verdana"/>
                <w:color w:val="000000"/>
              </w:rPr>
              <w:t>If the number of eligible members in the sample frame is ≤ MRSS, include the health plan’s entire eligible population in the sample (steps 2–7 are not needed in this case).</w:t>
            </w:r>
          </w:p>
        </w:tc>
      </w:tr>
    </w:tbl>
    <w:p w:rsidR="00CD30D5" w:rsidRPr="004525D4" w:rsidP="00CD30D5" w14:paraId="4546DE95" w14:textId="77777777">
      <w:pPr>
        <w:autoSpaceDE w:val="0"/>
        <w:autoSpaceDN w:val="0"/>
        <w:spacing w:line="240" w:lineRule="atLeast"/>
        <w:rPr>
          <w:rFonts w:ascii="Verdana" w:hAnsi="Verdana"/>
          <w:b/>
          <w:bCs/>
          <w:i/>
          <w:color w:val="000000"/>
        </w:rPr>
      </w:pPr>
    </w:p>
    <w:p w:rsidR="00CD30D5" w:rsidRPr="004525D4" w:rsidP="00CD30D5" w14:paraId="4AD5DB16" w14:textId="77777777">
      <w:pPr>
        <w:autoSpaceDE w:val="0"/>
        <w:autoSpaceDN w:val="0"/>
        <w:spacing w:line="240" w:lineRule="atLeast"/>
        <w:rPr>
          <w:rFonts w:ascii="Verdana" w:hAnsi="Verdana"/>
          <w:b/>
          <w:bCs/>
          <w:i/>
          <w:color w:val="000000"/>
        </w:rPr>
      </w:pPr>
    </w:p>
    <w:p w:rsidR="00CD30D5" w:rsidRPr="004525D4" w:rsidP="00CD30D5" w14:paraId="0942B67C" w14:textId="77777777">
      <w:pPr>
        <w:autoSpaceDE w:val="0"/>
        <w:autoSpaceDN w:val="0"/>
        <w:spacing w:line="240" w:lineRule="atLeast"/>
        <w:rPr>
          <w:rFonts w:ascii="Verdana" w:hAnsi="Verdana"/>
          <w:b/>
          <w:bCs/>
          <w:i/>
          <w:color w:val="000000"/>
        </w:rPr>
      </w:pPr>
      <w:r w:rsidRPr="004525D4">
        <w:rPr>
          <w:rFonts w:ascii="Verdana" w:hAnsi="Verdana"/>
          <w:b/>
          <w:bCs/>
          <w:i/>
          <w:color w:val="000000"/>
        </w:rPr>
        <w:t>Table S-3: Minimum Required Sample Sizes</w:t>
      </w:r>
    </w:p>
    <w:tbl>
      <w:tblPr>
        <w:tblW w:w="6392" w:type="dxa"/>
        <w:tblInd w:w="1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50"/>
        <w:gridCol w:w="3242"/>
      </w:tblGrid>
      <w:tr w14:paraId="71DF1038" w14:textId="77777777" w:rsidTr="00BD3D93">
        <w:tblPrEx>
          <w:tblW w:w="6392" w:type="dxa"/>
          <w:tblInd w:w="1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0"/>
        </w:trPr>
        <w:tc>
          <w:tcPr>
            <w:tcW w:w="3150" w:type="dxa"/>
            <w:tcBorders>
              <w:right w:val="nil"/>
            </w:tcBorders>
            <w:shd w:val="clear" w:color="auto" w:fill="000000" w:themeFill="text1"/>
          </w:tcPr>
          <w:p w:rsidR="00CD30D5" w:rsidRPr="00BD3D93" w:rsidP="00BD3D93" w14:paraId="5F5F5E34" w14:textId="77777777">
            <w:pPr>
              <w:autoSpaceDE w:val="0"/>
              <w:autoSpaceDN w:val="0"/>
              <w:spacing w:line="240" w:lineRule="atLeast"/>
              <w:jc w:val="center"/>
              <w:rPr>
                <w:rFonts w:ascii="Verdana" w:hAnsi="Verdana"/>
                <w:b/>
                <w:bCs/>
                <w:color w:val="FFFFFF" w:themeColor="background1"/>
              </w:rPr>
            </w:pPr>
            <w:r w:rsidRPr="00BD3D93">
              <w:rPr>
                <w:rFonts w:ascii="Verdana" w:hAnsi="Verdana"/>
                <w:b/>
                <w:bCs/>
                <w:color w:val="FFFFFF" w:themeColor="background1"/>
              </w:rPr>
              <w:t>Survey Type</w:t>
            </w:r>
          </w:p>
        </w:tc>
        <w:tc>
          <w:tcPr>
            <w:tcW w:w="3242" w:type="dxa"/>
            <w:tcBorders>
              <w:left w:val="single" w:sz="6" w:space="0" w:color="FFFFFF" w:themeColor="background1"/>
            </w:tcBorders>
            <w:shd w:val="clear" w:color="auto" w:fill="000000" w:themeFill="text1"/>
          </w:tcPr>
          <w:p w:rsidR="00CD30D5" w:rsidRPr="00BD3D93" w:rsidP="00BD3D93" w14:paraId="68ADE2B4" w14:textId="77777777">
            <w:pPr>
              <w:autoSpaceDE w:val="0"/>
              <w:autoSpaceDN w:val="0"/>
              <w:spacing w:line="240" w:lineRule="atLeast"/>
              <w:jc w:val="center"/>
              <w:rPr>
                <w:rFonts w:ascii="Verdana" w:hAnsi="Verdana"/>
                <w:b/>
                <w:bCs/>
                <w:color w:val="FFFFFF" w:themeColor="background1"/>
              </w:rPr>
            </w:pPr>
            <w:r w:rsidRPr="00BD3D93">
              <w:rPr>
                <w:rFonts w:ascii="Verdana" w:hAnsi="Verdana"/>
                <w:b/>
                <w:bCs/>
                <w:color w:val="FFFFFF" w:themeColor="background1"/>
              </w:rPr>
              <w:t>Required Sample Size</w:t>
            </w:r>
          </w:p>
        </w:tc>
      </w:tr>
      <w:tr w14:paraId="08B82452" w14:textId="77777777" w:rsidTr="00BD3D93">
        <w:tblPrEx>
          <w:tblW w:w="6392" w:type="dxa"/>
          <w:tblInd w:w="1252" w:type="dxa"/>
          <w:tblLayout w:type="fixed"/>
          <w:tblLook w:val="0000"/>
        </w:tblPrEx>
        <w:trPr>
          <w:trHeight w:val="300"/>
        </w:trPr>
        <w:tc>
          <w:tcPr>
            <w:tcW w:w="3150" w:type="dxa"/>
            <w:shd w:val="clear" w:color="auto" w:fill="FFFFFF" w:themeFill="background1"/>
          </w:tcPr>
          <w:p w:rsidR="00CD30D5" w:rsidRPr="004525D4" w:rsidP="00BD3D93" w14:paraId="157E25B7" w14:textId="77777777">
            <w:pPr>
              <w:autoSpaceDE w:val="0"/>
              <w:autoSpaceDN w:val="0"/>
              <w:spacing w:line="240" w:lineRule="atLeast"/>
              <w:jc w:val="center"/>
              <w:rPr>
                <w:rFonts w:ascii="Verdana" w:hAnsi="Verdana"/>
                <w:color w:val="000000"/>
              </w:rPr>
            </w:pPr>
            <w:r w:rsidRPr="4B9289C1">
              <w:rPr>
                <w:rFonts w:ascii="Verdana" w:hAnsi="Verdana"/>
                <w:color w:val="000000" w:themeColor="text1"/>
              </w:rPr>
              <w:t>Adult Commercial</w:t>
            </w:r>
          </w:p>
        </w:tc>
        <w:tc>
          <w:tcPr>
            <w:tcW w:w="3242" w:type="dxa"/>
            <w:shd w:val="clear" w:color="auto" w:fill="FFFFFF" w:themeFill="background1"/>
          </w:tcPr>
          <w:p w:rsidR="00CD30D5" w:rsidRPr="004525D4" w:rsidP="00BD3D93" w14:paraId="23798A37" w14:textId="77777777">
            <w:pPr>
              <w:autoSpaceDE w:val="0"/>
              <w:autoSpaceDN w:val="0"/>
              <w:spacing w:line="240" w:lineRule="atLeast"/>
              <w:jc w:val="center"/>
              <w:rPr>
                <w:rFonts w:ascii="Verdana" w:hAnsi="Verdana"/>
                <w:color w:val="000000"/>
              </w:rPr>
            </w:pPr>
            <w:r w:rsidRPr="4B9289C1">
              <w:rPr>
                <w:rFonts w:ascii="Verdana" w:hAnsi="Verdana"/>
                <w:color w:val="000000" w:themeColor="text1"/>
              </w:rPr>
              <w:t>1,100</w:t>
            </w:r>
          </w:p>
        </w:tc>
      </w:tr>
      <w:tr w14:paraId="3C7A8282" w14:textId="77777777" w:rsidTr="00BD3D93">
        <w:tblPrEx>
          <w:tblW w:w="6392" w:type="dxa"/>
          <w:tblInd w:w="1252" w:type="dxa"/>
          <w:tblLayout w:type="fixed"/>
          <w:tblLook w:val="0000"/>
        </w:tblPrEx>
        <w:trPr>
          <w:trHeight w:val="300"/>
        </w:trPr>
        <w:tc>
          <w:tcPr>
            <w:tcW w:w="3150" w:type="dxa"/>
            <w:shd w:val="clear" w:color="auto" w:fill="D9D9D9" w:themeFill="background1" w:themeFillShade="D9"/>
          </w:tcPr>
          <w:p w:rsidR="00CD30D5" w:rsidRPr="004525D4" w:rsidP="00BD3D93" w14:paraId="1B560414" w14:textId="77777777">
            <w:pPr>
              <w:autoSpaceDE w:val="0"/>
              <w:autoSpaceDN w:val="0"/>
              <w:spacing w:line="240" w:lineRule="atLeast"/>
              <w:jc w:val="center"/>
              <w:rPr>
                <w:rFonts w:ascii="Verdana" w:hAnsi="Verdana"/>
                <w:color w:val="000000"/>
              </w:rPr>
            </w:pPr>
            <w:r w:rsidRPr="4B9289C1">
              <w:rPr>
                <w:rFonts w:ascii="Verdana" w:hAnsi="Verdana"/>
                <w:color w:val="000000" w:themeColor="text1"/>
              </w:rPr>
              <w:t>Adult Medicaid</w:t>
            </w:r>
          </w:p>
        </w:tc>
        <w:tc>
          <w:tcPr>
            <w:tcW w:w="3242" w:type="dxa"/>
            <w:shd w:val="clear" w:color="auto" w:fill="D9D9D9" w:themeFill="background1" w:themeFillShade="D9"/>
          </w:tcPr>
          <w:p w:rsidR="00CD30D5" w:rsidRPr="004525D4" w:rsidP="00BD3D93" w14:paraId="4DE74623" w14:textId="77777777">
            <w:pPr>
              <w:autoSpaceDE w:val="0"/>
              <w:autoSpaceDN w:val="0"/>
              <w:spacing w:line="240" w:lineRule="atLeast"/>
              <w:jc w:val="center"/>
              <w:rPr>
                <w:rFonts w:ascii="Verdana" w:hAnsi="Verdana"/>
                <w:color w:val="000000"/>
              </w:rPr>
            </w:pPr>
            <w:r w:rsidRPr="4B9289C1">
              <w:rPr>
                <w:rFonts w:ascii="Verdana" w:hAnsi="Verdana"/>
                <w:color w:val="000000" w:themeColor="text1"/>
              </w:rPr>
              <w:t>1,350</w:t>
            </w:r>
          </w:p>
        </w:tc>
      </w:tr>
      <w:tr w14:paraId="1AA1E16D" w14:textId="77777777" w:rsidTr="00BD3D93">
        <w:tblPrEx>
          <w:tblW w:w="6392" w:type="dxa"/>
          <w:tblInd w:w="1252" w:type="dxa"/>
          <w:tblLayout w:type="fixed"/>
          <w:tblLook w:val="0000"/>
        </w:tblPrEx>
        <w:trPr>
          <w:trHeight w:val="300"/>
        </w:trPr>
        <w:tc>
          <w:tcPr>
            <w:tcW w:w="3150" w:type="dxa"/>
            <w:shd w:val="clear" w:color="auto" w:fill="FFFFFF" w:themeFill="background1"/>
          </w:tcPr>
          <w:p w:rsidR="00CD30D5" w:rsidRPr="004525D4" w:rsidP="00BD3D93" w14:paraId="42ED8E3E" w14:textId="77777777">
            <w:pPr>
              <w:autoSpaceDE w:val="0"/>
              <w:autoSpaceDN w:val="0"/>
              <w:spacing w:line="240" w:lineRule="atLeast"/>
              <w:jc w:val="center"/>
              <w:rPr>
                <w:rFonts w:ascii="Verdana" w:hAnsi="Verdana"/>
                <w:color w:val="000000"/>
              </w:rPr>
            </w:pPr>
            <w:r w:rsidRPr="4B9289C1">
              <w:rPr>
                <w:rFonts w:ascii="Verdana" w:hAnsi="Verdana"/>
                <w:color w:val="000000" w:themeColor="text1"/>
              </w:rPr>
              <w:t>Child Medicaid</w:t>
            </w:r>
          </w:p>
        </w:tc>
        <w:tc>
          <w:tcPr>
            <w:tcW w:w="3242" w:type="dxa"/>
            <w:shd w:val="clear" w:color="auto" w:fill="FFFFFF" w:themeFill="background1"/>
          </w:tcPr>
          <w:p w:rsidR="00CD30D5" w:rsidRPr="004525D4" w:rsidP="00BD3D93" w14:paraId="2E76B246" w14:textId="77777777">
            <w:pPr>
              <w:autoSpaceDE w:val="0"/>
              <w:autoSpaceDN w:val="0"/>
              <w:spacing w:line="240" w:lineRule="atLeast"/>
              <w:jc w:val="center"/>
              <w:rPr>
                <w:rFonts w:ascii="Verdana" w:hAnsi="Verdana"/>
                <w:color w:val="000000"/>
              </w:rPr>
            </w:pPr>
            <w:r w:rsidRPr="4B9289C1">
              <w:rPr>
                <w:rFonts w:ascii="Verdana" w:hAnsi="Verdana"/>
                <w:color w:val="000000" w:themeColor="text1"/>
              </w:rPr>
              <w:t>1,650</w:t>
            </w:r>
          </w:p>
        </w:tc>
      </w:tr>
    </w:tbl>
    <w:p w:rsidR="00CD30D5" w:rsidRPr="004525D4" w:rsidP="00CD30D5" w14:paraId="4F51DCB3" w14:textId="77777777">
      <w:pPr>
        <w:autoSpaceDE w:val="0"/>
        <w:autoSpaceDN w:val="0"/>
        <w:spacing w:line="240" w:lineRule="atLeast"/>
        <w:rPr>
          <w:rFonts w:ascii="Verdana" w:hAnsi="Verdana"/>
          <w:color w:val="000000"/>
        </w:rPr>
      </w:pPr>
    </w:p>
    <w:p w:rsidR="00CD30D5" w:rsidRPr="004525D4" w:rsidP="00CD30D5" w14:paraId="128CB185" w14:textId="77777777">
      <w:pPr>
        <w:autoSpaceDE w:val="0"/>
        <w:autoSpaceDN w:val="0"/>
        <w:spacing w:line="240" w:lineRule="atLeast"/>
        <w:rPr>
          <w:rFonts w:ascii="Verdana" w:hAnsi="Verdana"/>
          <w:color w:val="000000"/>
        </w:rPr>
      </w:pPr>
    </w:p>
    <w:tbl>
      <w:tblPr>
        <w:tblW w:w="9720" w:type="dxa"/>
        <w:tblLayout w:type="fixed"/>
        <w:tblLook w:val="0000"/>
      </w:tblPr>
      <w:tblGrid>
        <w:gridCol w:w="854"/>
        <w:gridCol w:w="8866"/>
      </w:tblGrid>
      <w:tr w14:paraId="2E66BAA6" w14:textId="77777777">
        <w:tblPrEx>
          <w:tblW w:w="9720" w:type="dxa"/>
          <w:tblLayout w:type="fixed"/>
          <w:tblLook w:val="0000"/>
        </w:tblPrEx>
        <w:tc>
          <w:tcPr>
            <w:tcW w:w="854" w:type="dxa"/>
          </w:tcPr>
          <w:p w:rsidR="00CD30D5" w:rsidRPr="004525D4" w14:paraId="3A8303C6" w14:textId="77777777">
            <w:pPr>
              <w:autoSpaceDE w:val="0"/>
              <w:autoSpaceDN w:val="0"/>
              <w:spacing w:line="240" w:lineRule="atLeast"/>
              <w:rPr>
                <w:rFonts w:ascii="Verdana" w:hAnsi="Verdana"/>
                <w:b/>
                <w:i/>
                <w:color w:val="000000"/>
              </w:rPr>
            </w:pPr>
            <w:r w:rsidRPr="004525D4">
              <w:rPr>
                <w:rFonts w:ascii="Verdana" w:hAnsi="Verdana"/>
                <w:b/>
                <w:i/>
                <w:color w:val="000000"/>
              </w:rPr>
              <w:t>Step 2</w:t>
            </w:r>
          </w:p>
        </w:tc>
        <w:tc>
          <w:tcPr>
            <w:tcW w:w="8866" w:type="dxa"/>
          </w:tcPr>
          <w:p w:rsidR="00CD30D5" w:rsidRPr="004525D4" w14:paraId="4F348F35" w14:textId="77777777">
            <w:pPr>
              <w:autoSpaceDE w:val="0"/>
              <w:autoSpaceDN w:val="0"/>
              <w:spacing w:line="240" w:lineRule="atLeast"/>
              <w:rPr>
                <w:rFonts w:ascii="Verdana" w:hAnsi="Verdana"/>
                <w:color w:val="000000"/>
              </w:rPr>
            </w:pPr>
            <w:r w:rsidRPr="004525D4">
              <w:rPr>
                <w:rFonts w:ascii="Verdana" w:hAnsi="Verdana"/>
                <w:color w:val="000000"/>
              </w:rPr>
              <w:t xml:space="preserve">Determine the oversampling rate based on anticipated disenrollment and response rate (refer to </w:t>
            </w:r>
            <w:r w:rsidRPr="004525D4">
              <w:rPr>
                <w:rFonts w:ascii="Verdana" w:hAnsi="Verdana"/>
                <w:i/>
                <w:color w:val="000000"/>
              </w:rPr>
              <w:t>Oversampling</w:t>
            </w:r>
            <w:r w:rsidRPr="004525D4">
              <w:rPr>
                <w:rFonts w:ascii="Verdana" w:hAnsi="Verdana"/>
                <w:color w:val="000000"/>
              </w:rPr>
              <w:t xml:space="preserve"> section).</w:t>
            </w:r>
          </w:p>
        </w:tc>
      </w:tr>
      <w:tr w14:paraId="44361AE9" w14:textId="77777777">
        <w:tblPrEx>
          <w:tblW w:w="9720" w:type="dxa"/>
          <w:tblLayout w:type="fixed"/>
          <w:tblLook w:val="0000"/>
        </w:tblPrEx>
        <w:tc>
          <w:tcPr>
            <w:tcW w:w="854" w:type="dxa"/>
          </w:tcPr>
          <w:p w:rsidR="00CD30D5" w:rsidRPr="004525D4" w14:paraId="36133657" w14:textId="77777777">
            <w:pPr>
              <w:autoSpaceDE w:val="0"/>
              <w:autoSpaceDN w:val="0"/>
              <w:spacing w:line="240" w:lineRule="atLeast"/>
              <w:rPr>
                <w:rFonts w:ascii="Verdana" w:hAnsi="Verdana"/>
                <w:b/>
                <w:i/>
                <w:color w:val="000000"/>
              </w:rPr>
            </w:pPr>
            <w:r w:rsidRPr="004525D4">
              <w:rPr>
                <w:rFonts w:ascii="Verdana" w:hAnsi="Verdana"/>
                <w:b/>
                <w:i/>
                <w:color w:val="000000"/>
              </w:rPr>
              <w:t>Step 3</w:t>
            </w:r>
          </w:p>
        </w:tc>
        <w:tc>
          <w:tcPr>
            <w:tcW w:w="8866" w:type="dxa"/>
          </w:tcPr>
          <w:p w:rsidR="00CD30D5" w:rsidRPr="004525D4" w14:paraId="1A187EC0" w14:textId="77777777">
            <w:pPr>
              <w:autoSpaceDE w:val="0"/>
              <w:autoSpaceDN w:val="0"/>
              <w:spacing w:line="240" w:lineRule="atLeast"/>
              <w:rPr>
                <w:rFonts w:ascii="Verdana" w:hAnsi="Verdana"/>
                <w:color w:val="000000"/>
              </w:rPr>
            </w:pPr>
            <w:r w:rsidRPr="004525D4">
              <w:rPr>
                <w:rFonts w:ascii="Verdana" w:hAnsi="Verdana"/>
                <w:color w:val="000000"/>
              </w:rPr>
              <w:t>Determine the final sample size (FSS).</w:t>
            </w:r>
            <w:r w:rsidRPr="004525D4">
              <w:rPr>
                <w:rFonts w:ascii="Verdana" w:hAnsi="Verdana"/>
                <w:i/>
                <w:color w:val="000000"/>
              </w:rPr>
              <w:t xml:space="preserve"> </w:t>
            </w:r>
            <w:r w:rsidRPr="004525D4">
              <w:rPr>
                <w:rFonts w:ascii="Verdana" w:hAnsi="Verdana"/>
                <w:color w:val="000000"/>
              </w:rPr>
              <w:t>The FSS includes the MRSS (from step 1) plus oversample (from step 2) and is calculated by the following formula:</w:t>
            </w:r>
          </w:p>
          <w:p w:rsidR="00CD30D5" w:rsidRPr="004525D4" w14:paraId="38C348BE" w14:textId="77777777">
            <w:pPr>
              <w:autoSpaceDE w:val="0"/>
              <w:autoSpaceDN w:val="0"/>
              <w:spacing w:line="240" w:lineRule="atLeast"/>
              <w:rPr>
                <w:rFonts w:ascii="Verdana" w:hAnsi="Verdana"/>
                <w:color w:val="000000"/>
              </w:rPr>
            </w:pPr>
            <w:r w:rsidRPr="004525D4">
              <w:rPr>
                <w:rFonts w:ascii="Verdana" w:hAnsi="Verdana"/>
                <w:color w:val="000000"/>
              </w:rPr>
              <w:t xml:space="preserve">FSS = MRSS + (MRSS </w:t>
            </w:r>
            <w:r w:rsidRPr="004525D4">
              <w:rPr>
                <w:rFonts w:ascii="Symbol" w:eastAsia="Symbol" w:hAnsi="Symbol" w:cs="Symbol"/>
                <w:color w:val="000000"/>
              </w:rPr>
              <w:t>´</w:t>
            </w:r>
            <w:r w:rsidRPr="004525D4">
              <w:rPr>
                <w:rFonts w:ascii="Verdana" w:hAnsi="Verdana"/>
                <w:color w:val="000000"/>
              </w:rPr>
              <w:t xml:space="preserve"> oversampling rate)</w:t>
            </w:r>
          </w:p>
          <w:p w:rsidR="00CD30D5" w:rsidRPr="004525D4" w14:paraId="36CA7552" w14:textId="77777777">
            <w:pPr>
              <w:autoSpaceDE w:val="0"/>
              <w:autoSpaceDN w:val="0"/>
              <w:spacing w:line="240" w:lineRule="atLeast"/>
              <w:rPr>
                <w:rFonts w:ascii="Verdana" w:hAnsi="Verdana"/>
                <w:color w:val="000000"/>
              </w:rPr>
            </w:pPr>
            <w:r w:rsidRPr="004525D4">
              <w:rPr>
                <w:rFonts w:ascii="Verdana" w:hAnsi="Verdana"/>
                <w:color w:val="000000"/>
              </w:rPr>
              <w:t xml:space="preserve">(round </w:t>
            </w:r>
            <w:r w:rsidRPr="004525D4">
              <w:rPr>
                <w:rFonts w:ascii="Verdana" w:hAnsi="Verdana"/>
                <w:i/>
                <w:color w:val="000000"/>
              </w:rPr>
              <w:t>up</w:t>
            </w:r>
            <w:r w:rsidRPr="004525D4">
              <w:rPr>
                <w:rFonts w:ascii="Verdana" w:hAnsi="Verdana"/>
                <w:color w:val="000000"/>
              </w:rPr>
              <w:t xml:space="preserve"> to the next whole number), where MRSS = the minimum required sample size.</w:t>
            </w:r>
          </w:p>
          <w:p w:rsidR="00CD30D5" w:rsidRPr="004525D4" w14:paraId="10038B88" w14:textId="77777777">
            <w:pPr>
              <w:autoSpaceDE w:val="0"/>
              <w:autoSpaceDN w:val="0"/>
              <w:spacing w:line="240" w:lineRule="atLeast"/>
              <w:rPr>
                <w:rFonts w:ascii="Verdana" w:hAnsi="Verdana"/>
                <w:color w:val="000000"/>
              </w:rPr>
            </w:pPr>
            <w:r w:rsidRPr="004525D4">
              <w:rPr>
                <w:rFonts w:ascii="Verdana" w:hAnsi="Verdana"/>
                <w:color w:val="000000"/>
              </w:rPr>
              <w:t>For example, if the MRSS is 1,100 and a 10 percent oversample is needed,</w:t>
            </w:r>
          </w:p>
          <w:p w:rsidR="00CD30D5" w:rsidRPr="004525D4" w14:paraId="730C917B" w14:textId="77777777">
            <w:pPr>
              <w:autoSpaceDE w:val="0"/>
              <w:autoSpaceDN w:val="0"/>
              <w:spacing w:line="240" w:lineRule="atLeast"/>
              <w:rPr>
                <w:rFonts w:ascii="Verdana" w:hAnsi="Verdana"/>
                <w:color w:val="000000"/>
              </w:rPr>
            </w:pPr>
            <w:r w:rsidRPr="004525D4">
              <w:rPr>
                <w:rFonts w:ascii="Verdana" w:hAnsi="Verdana"/>
                <w:color w:val="000000"/>
              </w:rPr>
              <w:t xml:space="preserve">FSS = 1,100 + (1,100 </w:t>
            </w:r>
            <w:r w:rsidRPr="004525D4">
              <w:rPr>
                <w:rFonts w:ascii="Symbol" w:eastAsia="Symbol" w:hAnsi="Symbol" w:cs="Symbol"/>
                <w:color w:val="000000"/>
              </w:rPr>
              <w:t>´</w:t>
            </w:r>
            <w:r w:rsidRPr="004525D4">
              <w:rPr>
                <w:rFonts w:ascii="Verdana" w:hAnsi="Verdana"/>
                <w:color w:val="000000"/>
              </w:rPr>
              <w:t xml:space="preserve"> 0.10) = 1,210.</w:t>
            </w:r>
          </w:p>
        </w:tc>
      </w:tr>
      <w:tr w14:paraId="374BA2FC" w14:textId="77777777">
        <w:tblPrEx>
          <w:tblW w:w="9720" w:type="dxa"/>
          <w:tblLayout w:type="fixed"/>
          <w:tblLook w:val="0000"/>
        </w:tblPrEx>
        <w:tc>
          <w:tcPr>
            <w:tcW w:w="854" w:type="dxa"/>
            <w:tcBorders>
              <w:bottom w:val="nil"/>
            </w:tcBorders>
          </w:tcPr>
          <w:p w:rsidR="00CD30D5" w:rsidRPr="004525D4" w14:paraId="6AB346F7" w14:textId="77777777">
            <w:pPr>
              <w:autoSpaceDE w:val="0"/>
              <w:autoSpaceDN w:val="0"/>
              <w:spacing w:line="240" w:lineRule="atLeast"/>
              <w:rPr>
                <w:rFonts w:ascii="Verdana" w:hAnsi="Verdana"/>
                <w:b/>
                <w:i/>
                <w:color w:val="000000"/>
              </w:rPr>
            </w:pPr>
            <w:r w:rsidRPr="004525D4">
              <w:rPr>
                <w:rFonts w:ascii="Verdana" w:hAnsi="Verdana"/>
                <w:b/>
                <w:i/>
                <w:color w:val="000000"/>
              </w:rPr>
              <w:t>Step 4</w:t>
            </w:r>
          </w:p>
        </w:tc>
        <w:tc>
          <w:tcPr>
            <w:tcW w:w="8866" w:type="dxa"/>
          </w:tcPr>
          <w:p w:rsidR="00CD30D5" w:rsidRPr="004525D4" w14:paraId="7AB66844" w14:textId="77777777">
            <w:pPr>
              <w:autoSpaceDE w:val="0"/>
              <w:autoSpaceDN w:val="0"/>
              <w:spacing w:line="240" w:lineRule="atLeast"/>
              <w:rPr>
                <w:rFonts w:ascii="Verdana" w:hAnsi="Verdana"/>
                <w:color w:val="000000"/>
              </w:rPr>
            </w:pPr>
            <w:r w:rsidRPr="004525D4">
              <w:rPr>
                <w:rFonts w:ascii="Verdana" w:hAnsi="Verdana"/>
                <w:color w:val="000000"/>
              </w:rPr>
              <w:t xml:space="preserve">Using the validated sample frame, sort the list of eligible members (EM) in alphabetical order by last name, first name, date of birth and address. </w:t>
            </w:r>
          </w:p>
          <w:p w:rsidR="00CD30D5" w:rsidRPr="004525D4" w14:paraId="42CAE02E" w14:textId="77777777">
            <w:pPr>
              <w:autoSpaceDE w:val="0"/>
              <w:autoSpaceDN w:val="0"/>
              <w:spacing w:line="240" w:lineRule="atLeast"/>
              <w:rPr>
                <w:rFonts w:ascii="Verdana" w:hAnsi="Verdana"/>
                <w:color w:val="000000"/>
              </w:rPr>
            </w:pPr>
            <w:r w:rsidRPr="004525D4">
              <w:rPr>
                <w:rFonts w:ascii="Verdana" w:hAnsi="Verdana"/>
                <w:color w:val="000000"/>
              </w:rPr>
              <w:t>Sort EMs from Z to A.</w:t>
            </w:r>
          </w:p>
          <w:p w:rsidR="00CD30D5" w:rsidRPr="004525D4" w14:paraId="7C0718B4" w14:textId="77777777">
            <w:pPr>
              <w:autoSpaceDE w:val="0"/>
              <w:autoSpaceDN w:val="0"/>
              <w:spacing w:line="240" w:lineRule="atLeast"/>
              <w:rPr>
                <w:rFonts w:ascii="Verdana" w:hAnsi="Verdana"/>
                <w:i/>
                <w:color w:val="000000"/>
              </w:rPr>
            </w:pPr>
            <w:r w:rsidRPr="004525D4">
              <w:rPr>
                <w:rFonts w:ascii="Verdana" w:hAnsi="Verdana"/>
                <w:b/>
                <w:i/>
                <w:color w:val="000000"/>
              </w:rPr>
              <w:t xml:space="preserve">Note: </w:t>
            </w:r>
            <w:r w:rsidRPr="004525D4">
              <w:rPr>
                <w:rFonts w:ascii="Verdana" w:hAnsi="Verdana"/>
                <w:i/>
                <w:color w:val="000000"/>
              </w:rPr>
              <w:t>Sort order applies to all components. Sort all fields by descending order (i.e., last name descending, first name descending, date of birth descending, address descending).</w:t>
            </w:r>
          </w:p>
        </w:tc>
      </w:tr>
      <w:tr w14:paraId="3C452274" w14:textId="77777777">
        <w:tblPrEx>
          <w:tblW w:w="9720" w:type="dxa"/>
          <w:tblLayout w:type="fixed"/>
          <w:tblLook w:val="0000"/>
        </w:tblPrEx>
        <w:tc>
          <w:tcPr>
            <w:tcW w:w="854" w:type="dxa"/>
          </w:tcPr>
          <w:p w:rsidR="00CD30D5" w:rsidRPr="004525D4" w14:paraId="6BB85F1B" w14:textId="77777777">
            <w:pPr>
              <w:autoSpaceDE w:val="0"/>
              <w:autoSpaceDN w:val="0"/>
              <w:spacing w:line="240" w:lineRule="atLeast"/>
              <w:rPr>
                <w:rFonts w:ascii="Verdana" w:hAnsi="Verdana"/>
                <w:b/>
                <w:i/>
                <w:color w:val="000000"/>
              </w:rPr>
            </w:pPr>
            <w:r w:rsidRPr="004525D4">
              <w:rPr>
                <w:rFonts w:ascii="Verdana" w:hAnsi="Verdana"/>
                <w:b/>
                <w:i/>
                <w:color w:val="000000"/>
              </w:rPr>
              <w:t>Step 5</w:t>
            </w:r>
          </w:p>
        </w:tc>
        <w:tc>
          <w:tcPr>
            <w:tcW w:w="8866" w:type="dxa"/>
          </w:tcPr>
          <w:p w:rsidR="00CD30D5" w:rsidRPr="004525D4" w14:paraId="1B258C8A" w14:textId="77777777">
            <w:pPr>
              <w:autoSpaceDE w:val="0"/>
              <w:autoSpaceDN w:val="0"/>
              <w:spacing w:line="240" w:lineRule="atLeast"/>
              <w:rPr>
                <w:rFonts w:ascii="Verdana" w:hAnsi="Verdana"/>
                <w:color w:val="000000"/>
              </w:rPr>
            </w:pPr>
            <w:r w:rsidRPr="004525D4">
              <w:rPr>
                <w:rFonts w:ascii="Verdana" w:hAnsi="Verdana"/>
                <w:color w:val="000000"/>
              </w:rPr>
              <w:t xml:space="preserve">Calculate N = EM/FSS. Round </w:t>
            </w:r>
            <w:r w:rsidRPr="004525D4">
              <w:rPr>
                <w:rFonts w:ascii="Verdana" w:hAnsi="Verdana"/>
                <w:i/>
                <w:color w:val="000000"/>
              </w:rPr>
              <w:t>down</w:t>
            </w:r>
            <w:r w:rsidRPr="004525D4">
              <w:rPr>
                <w:rFonts w:ascii="Verdana" w:hAnsi="Verdana"/>
                <w:color w:val="000000"/>
              </w:rPr>
              <w:t xml:space="preserve"> to a whole number. </w:t>
            </w:r>
          </w:p>
          <w:p w:rsidR="00CD30D5" w:rsidRPr="004525D4" w14:paraId="0A8D5C2F" w14:textId="77777777">
            <w:pPr>
              <w:autoSpaceDE w:val="0"/>
              <w:autoSpaceDN w:val="0"/>
              <w:spacing w:line="240" w:lineRule="atLeast"/>
              <w:rPr>
                <w:rFonts w:ascii="Verdana" w:hAnsi="Verdana"/>
                <w:color w:val="000000"/>
              </w:rPr>
            </w:pPr>
            <w:r w:rsidRPr="004525D4">
              <w:rPr>
                <w:rFonts w:ascii="Verdana" w:hAnsi="Verdana"/>
                <w:color w:val="000000"/>
              </w:rPr>
              <w:t xml:space="preserve">Determine N, which is used in the formula to determine which member will start your sample. </w:t>
            </w:r>
            <w:r w:rsidRPr="004525D4">
              <w:rPr>
                <w:rFonts w:ascii="Verdana" w:hAnsi="Verdana"/>
                <w:color w:val="000000"/>
              </w:rPr>
              <w:br/>
              <w:t>N is calculated using the equation:</w:t>
            </w:r>
          </w:p>
          <w:p w:rsidR="00CD30D5" w:rsidRPr="004525D4" w14:paraId="6C162694" w14:textId="77777777">
            <w:pPr>
              <w:autoSpaceDE w:val="0"/>
              <w:autoSpaceDN w:val="0"/>
              <w:spacing w:line="240" w:lineRule="atLeast"/>
              <w:rPr>
                <w:rFonts w:ascii="Verdana" w:hAnsi="Verdana"/>
                <w:color w:val="000000"/>
              </w:rPr>
            </w:pPr>
            <w:r w:rsidRPr="004525D4">
              <w:rPr>
                <w:rFonts w:ascii="Verdana" w:hAnsi="Verdana"/>
                <w:color w:val="000000"/>
              </w:rPr>
              <w:t>N = EM/FSS</w:t>
            </w:r>
          </w:p>
          <w:p w:rsidR="00CD30D5" w:rsidRPr="004525D4" w14:paraId="28D2DBC0" w14:textId="77777777">
            <w:pPr>
              <w:autoSpaceDE w:val="0"/>
              <w:autoSpaceDN w:val="0"/>
              <w:spacing w:line="240" w:lineRule="atLeast"/>
              <w:rPr>
                <w:rFonts w:ascii="Verdana" w:hAnsi="Verdana"/>
                <w:color w:val="000000"/>
              </w:rPr>
            </w:pPr>
            <w:r w:rsidRPr="004525D4">
              <w:rPr>
                <w:rFonts w:ascii="Verdana" w:hAnsi="Verdana"/>
                <w:color w:val="000000"/>
              </w:rPr>
              <w:t>where EM = the eligible member population (the number of eligible members in the sample frame) and FSS = the final sample size (step 3).</w:t>
            </w:r>
          </w:p>
        </w:tc>
      </w:tr>
      <w:tr w14:paraId="3F25CF33" w14:textId="77777777">
        <w:tblPrEx>
          <w:tblW w:w="9720" w:type="dxa"/>
          <w:tblLayout w:type="fixed"/>
          <w:tblLook w:val="0000"/>
        </w:tblPrEx>
        <w:tc>
          <w:tcPr>
            <w:tcW w:w="854" w:type="dxa"/>
          </w:tcPr>
          <w:p w:rsidR="00CD30D5" w:rsidRPr="004525D4" w14:paraId="43477D7A" w14:textId="77777777">
            <w:pPr>
              <w:autoSpaceDE w:val="0"/>
              <w:autoSpaceDN w:val="0"/>
              <w:spacing w:line="240" w:lineRule="atLeast"/>
              <w:rPr>
                <w:rFonts w:ascii="Verdana" w:hAnsi="Verdana"/>
                <w:b/>
                <w:i/>
                <w:color w:val="000000"/>
              </w:rPr>
            </w:pPr>
            <w:r w:rsidRPr="004525D4">
              <w:rPr>
                <w:rFonts w:ascii="Verdana" w:hAnsi="Verdana"/>
                <w:b/>
                <w:i/>
                <w:color w:val="000000"/>
              </w:rPr>
              <w:t>Step 6</w:t>
            </w:r>
          </w:p>
        </w:tc>
        <w:tc>
          <w:tcPr>
            <w:tcW w:w="8866" w:type="dxa"/>
          </w:tcPr>
          <w:p w:rsidR="00CD30D5" w:rsidRPr="004525D4" w14:paraId="28A59A26" w14:textId="77777777">
            <w:pPr>
              <w:autoSpaceDE w:val="0"/>
              <w:autoSpaceDN w:val="0"/>
              <w:spacing w:line="240" w:lineRule="atLeast"/>
              <w:rPr>
                <w:rFonts w:ascii="Verdana" w:hAnsi="Verdana"/>
                <w:color w:val="000000"/>
              </w:rPr>
            </w:pPr>
            <w:r w:rsidRPr="004525D4">
              <w:rPr>
                <w:rFonts w:ascii="Verdana" w:hAnsi="Verdana"/>
                <w:color w:val="000000"/>
              </w:rPr>
              <w:t xml:space="preserve">Calculate START = (RAND </w:t>
            </w:r>
            <w:r w:rsidRPr="004525D4">
              <w:rPr>
                <w:rFonts w:ascii="Symbol" w:eastAsia="Symbol" w:hAnsi="Symbol" w:cs="Symbol"/>
                <w:color w:val="000000"/>
              </w:rPr>
              <w:t>´</w:t>
            </w:r>
            <w:r w:rsidRPr="004525D4">
              <w:rPr>
                <w:rFonts w:ascii="Verdana" w:hAnsi="Verdana"/>
                <w:color w:val="000000"/>
              </w:rPr>
              <w:t xml:space="preserve"> N).</w:t>
            </w:r>
            <w:r w:rsidRPr="004525D4">
              <w:rPr>
                <w:rFonts w:ascii="Verdana" w:hAnsi="Verdana"/>
                <w:i/>
                <w:color w:val="000000"/>
              </w:rPr>
              <w:t xml:space="preserve"> </w:t>
            </w:r>
            <w:r w:rsidRPr="004525D4">
              <w:rPr>
                <w:rFonts w:ascii="Verdana" w:hAnsi="Verdana"/>
                <w:color w:val="000000"/>
              </w:rPr>
              <w:t>Before choosing members, determine the member to start with (START). It is important that the sample be selected from a single pass through the member list. START can have many values and still allow only one pass.</w:t>
            </w:r>
          </w:p>
          <w:p w:rsidR="00CD30D5" w:rsidRPr="004525D4" w14:paraId="74175BB3" w14:textId="77777777">
            <w:pPr>
              <w:autoSpaceDE w:val="0"/>
              <w:autoSpaceDN w:val="0"/>
              <w:spacing w:line="240" w:lineRule="atLeast"/>
              <w:rPr>
                <w:rFonts w:ascii="Verdana" w:hAnsi="Verdana"/>
                <w:i/>
                <w:color w:val="000000"/>
              </w:rPr>
            </w:pPr>
            <w:r w:rsidRPr="004525D4">
              <w:rPr>
                <w:rFonts w:ascii="Verdana" w:hAnsi="Verdana"/>
                <w:i/>
                <w:color w:val="000000"/>
              </w:rPr>
              <w:t xml:space="preserve"> </w:t>
            </w:r>
          </w:p>
        </w:tc>
      </w:tr>
      <w:tr w14:paraId="54CCABAE" w14:textId="77777777">
        <w:tblPrEx>
          <w:tblW w:w="9720" w:type="dxa"/>
          <w:tblLayout w:type="fixed"/>
          <w:tblLook w:val="0000"/>
        </w:tblPrEx>
        <w:tc>
          <w:tcPr>
            <w:tcW w:w="854" w:type="dxa"/>
          </w:tcPr>
          <w:p w:rsidR="00CD30D5" w:rsidRPr="004525D4" w14:paraId="288AA408" w14:textId="77777777">
            <w:pPr>
              <w:autoSpaceDE w:val="0"/>
              <w:autoSpaceDN w:val="0"/>
              <w:spacing w:line="240" w:lineRule="atLeast"/>
              <w:rPr>
                <w:rFonts w:ascii="Verdana" w:hAnsi="Verdana"/>
                <w:b/>
                <w:i/>
                <w:color w:val="000000"/>
              </w:rPr>
            </w:pPr>
          </w:p>
        </w:tc>
        <w:tc>
          <w:tcPr>
            <w:tcW w:w="8866" w:type="dxa"/>
          </w:tcPr>
          <w:p w:rsidR="00CD30D5" w:rsidRPr="004525D4" w14:paraId="69C38BD7" w14:textId="77777777">
            <w:pPr>
              <w:autoSpaceDE w:val="0"/>
              <w:autoSpaceDN w:val="0"/>
              <w:spacing w:line="240" w:lineRule="atLeast"/>
              <w:rPr>
                <w:rFonts w:ascii="Verdana" w:hAnsi="Verdana"/>
                <w:color w:val="000000"/>
              </w:rPr>
            </w:pPr>
            <w:r w:rsidRPr="004525D4">
              <w:rPr>
                <w:rFonts w:ascii="Verdana" w:hAnsi="Verdana"/>
                <w:color w:val="000000"/>
              </w:rPr>
              <w:t>NCQA provides survey vendors with list of Random Numbers (RAND) each with a value between 0 and 1. Survey vendors use the RAND to calculate the starting point from which to draw the final sample.</w:t>
            </w:r>
          </w:p>
          <w:p w:rsidR="00CD30D5" w:rsidRPr="004525D4" w14:paraId="0DD89525" w14:textId="77777777">
            <w:pPr>
              <w:autoSpaceDE w:val="0"/>
              <w:autoSpaceDN w:val="0"/>
              <w:spacing w:line="240" w:lineRule="atLeast"/>
              <w:rPr>
                <w:rFonts w:ascii="Verdana" w:hAnsi="Verdana"/>
                <w:color w:val="000000"/>
              </w:rPr>
            </w:pPr>
            <w:r w:rsidRPr="004525D4">
              <w:rPr>
                <w:rFonts w:ascii="Verdana" w:hAnsi="Verdana"/>
                <w:color w:val="000000"/>
              </w:rPr>
              <w:t>Calculate the number from which to start drawing the final sample as follows:</w:t>
            </w:r>
          </w:p>
          <w:p w:rsidR="00CD30D5" w:rsidRPr="004525D4" w14:paraId="48DE5E58" w14:textId="77777777">
            <w:pPr>
              <w:autoSpaceDE w:val="0"/>
              <w:autoSpaceDN w:val="0"/>
              <w:spacing w:line="240" w:lineRule="atLeast"/>
              <w:rPr>
                <w:rFonts w:ascii="Verdana" w:hAnsi="Verdana"/>
                <w:color w:val="000000"/>
              </w:rPr>
            </w:pPr>
            <w:r w:rsidRPr="004525D4">
              <w:rPr>
                <w:rFonts w:ascii="Verdana" w:hAnsi="Verdana"/>
                <w:color w:val="000000"/>
              </w:rPr>
              <w:t xml:space="preserve">START = (RAND </w:t>
            </w:r>
            <w:r w:rsidRPr="004525D4">
              <w:rPr>
                <w:rFonts w:ascii="Symbol" w:eastAsia="Symbol" w:hAnsi="Symbol" w:cs="Symbol"/>
                <w:color w:val="000000"/>
              </w:rPr>
              <w:t>´</w:t>
            </w:r>
            <w:r w:rsidRPr="004525D4">
              <w:rPr>
                <w:rFonts w:ascii="Verdana" w:hAnsi="Verdana"/>
                <w:color w:val="000000"/>
              </w:rPr>
              <w:t xml:space="preserve"> N)</w:t>
            </w:r>
          </w:p>
          <w:p w:rsidR="00CD30D5" w:rsidRPr="004525D4" w14:paraId="15D62EC3" w14:textId="77777777">
            <w:pPr>
              <w:autoSpaceDE w:val="0"/>
              <w:autoSpaceDN w:val="0"/>
              <w:spacing w:line="240" w:lineRule="atLeast"/>
              <w:rPr>
                <w:rFonts w:ascii="Verdana" w:hAnsi="Verdana"/>
                <w:color w:val="000000"/>
              </w:rPr>
            </w:pPr>
            <w:r w:rsidRPr="004525D4">
              <w:rPr>
                <w:rFonts w:ascii="Verdana" w:hAnsi="Verdana"/>
                <w:color w:val="000000"/>
              </w:rPr>
              <w:t>(round per the .5 rule to the nearest whole number greater than 0), where RAND = the random number</w:t>
            </w:r>
            <w:r w:rsidRPr="004525D4">
              <w:rPr>
                <w:rFonts w:ascii="Verdana" w:hAnsi="Verdana"/>
                <w:i/>
                <w:color w:val="000000"/>
              </w:rPr>
              <w:t>.</w:t>
            </w:r>
          </w:p>
        </w:tc>
      </w:tr>
      <w:tr w14:paraId="5546AE75" w14:textId="77777777">
        <w:tblPrEx>
          <w:tblW w:w="9720" w:type="dxa"/>
          <w:tblLayout w:type="fixed"/>
          <w:tblLook w:val="0000"/>
        </w:tblPrEx>
        <w:tc>
          <w:tcPr>
            <w:tcW w:w="854" w:type="dxa"/>
          </w:tcPr>
          <w:p w:rsidR="00CD30D5" w:rsidRPr="004525D4" w14:paraId="4AE31EEE" w14:textId="77777777">
            <w:pPr>
              <w:autoSpaceDE w:val="0"/>
              <w:autoSpaceDN w:val="0"/>
              <w:spacing w:line="240" w:lineRule="atLeast"/>
              <w:rPr>
                <w:rFonts w:ascii="Verdana" w:hAnsi="Verdana"/>
                <w:b/>
                <w:i/>
                <w:color w:val="000000"/>
              </w:rPr>
            </w:pPr>
            <w:r w:rsidRPr="004525D4">
              <w:rPr>
                <w:rFonts w:ascii="Verdana" w:hAnsi="Verdana"/>
                <w:b/>
                <w:i/>
                <w:color w:val="000000"/>
              </w:rPr>
              <w:t xml:space="preserve">Step 7 </w:t>
            </w:r>
          </w:p>
        </w:tc>
        <w:tc>
          <w:tcPr>
            <w:tcW w:w="8866" w:type="dxa"/>
          </w:tcPr>
          <w:p w:rsidR="00CD30D5" w:rsidRPr="004525D4" w14:paraId="06267FCF" w14:textId="77777777">
            <w:pPr>
              <w:autoSpaceDE w:val="0"/>
              <w:autoSpaceDN w:val="0"/>
              <w:spacing w:line="240" w:lineRule="atLeast"/>
              <w:rPr>
                <w:rFonts w:ascii="Verdana" w:hAnsi="Verdana"/>
                <w:color w:val="000000"/>
              </w:rPr>
            </w:pPr>
            <w:r w:rsidRPr="004525D4">
              <w:rPr>
                <w:rFonts w:ascii="Verdana" w:hAnsi="Verdana"/>
                <w:color w:val="000000"/>
              </w:rPr>
              <w:t>Select the sample, choosing every i</w:t>
            </w:r>
            <w:r w:rsidRPr="004525D4">
              <w:rPr>
                <w:rFonts w:ascii="Verdana" w:hAnsi="Verdana"/>
                <w:color w:val="000000"/>
                <w:vertAlign w:val="superscript"/>
              </w:rPr>
              <w:t>th</w:t>
            </w:r>
            <w:r w:rsidRPr="004525D4">
              <w:rPr>
                <w:rFonts w:ascii="Verdana" w:hAnsi="Verdana"/>
                <w:color w:val="000000"/>
              </w:rPr>
              <w:t xml:space="preserve"> member using the formula:</w:t>
            </w:r>
          </w:p>
          <w:p w:rsidR="00CD30D5" w:rsidRPr="004525D4" w14:paraId="0E01D888" w14:textId="77777777">
            <w:pPr>
              <w:autoSpaceDE w:val="0"/>
              <w:autoSpaceDN w:val="0"/>
              <w:spacing w:line="240" w:lineRule="atLeast"/>
              <w:ind w:left="720"/>
              <w:rPr>
                <w:rFonts w:ascii="Verdana" w:hAnsi="Verdana"/>
                <w:color w:val="000000"/>
              </w:rPr>
            </w:pPr>
            <w:r w:rsidRPr="004525D4">
              <w:rPr>
                <w:rFonts w:ascii="Verdana" w:hAnsi="Verdana"/>
                <w:color w:val="000000"/>
              </w:rPr>
              <w:t>i</w:t>
            </w:r>
            <w:r w:rsidRPr="004525D4">
              <w:rPr>
                <w:rFonts w:ascii="Verdana" w:hAnsi="Verdana"/>
                <w:color w:val="000000"/>
                <w:vertAlign w:val="superscript"/>
              </w:rPr>
              <w:t>th</w:t>
            </w:r>
            <w:r w:rsidRPr="004525D4">
              <w:rPr>
                <w:rFonts w:ascii="Verdana" w:hAnsi="Verdana"/>
                <w:color w:val="000000"/>
              </w:rPr>
              <w:t xml:space="preserve"> member = START + [(i-1) x (EM/FSS)]</w:t>
            </w:r>
          </w:p>
          <w:p w:rsidR="00CD30D5" w:rsidRPr="004525D4" w14:paraId="77DC92F3" w14:textId="77777777">
            <w:pPr>
              <w:autoSpaceDE w:val="0"/>
              <w:autoSpaceDN w:val="0"/>
              <w:spacing w:line="240" w:lineRule="atLeast"/>
              <w:rPr>
                <w:rFonts w:ascii="Verdana" w:hAnsi="Verdana"/>
                <w:color w:val="000000"/>
              </w:rPr>
            </w:pPr>
            <w:r w:rsidRPr="004525D4">
              <w:rPr>
                <w:rFonts w:ascii="Verdana" w:hAnsi="Verdana"/>
                <w:color w:val="000000"/>
              </w:rPr>
              <w:t>(rounding [(i-1) x (EM/FSS)] per the .5 rule to the nearest whole number greater than 0).</w:t>
            </w:r>
          </w:p>
          <w:p w:rsidR="00CD30D5" w:rsidRPr="004525D4" w14:paraId="63FE614C" w14:textId="77777777">
            <w:pPr>
              <w:autoSpaceDE w:val="0"/>
              <w:autoSpaceDN w:val="0"/>
              <w:spacing w:line="240" w:lineRule="atLeast"/>
              <w:rPr>
                <w:rFonts w:ascii="Verdana" w:hAnsi="Verdana"/>
                <w:color w:val="000000"/>
              </w:rPr>
            </w:pPr>
          </w:p>
          <w:p w:rsidR="00CD30D5" w:rsidRPr="004525D4" w14:paraId="30E7858A" w14:textId="77777777">
            <w:pPr>
              <w:autoSpaceDE w:val="0"/>
              <w:autoSpaceDN w:val="0"/>
              <w:spacing w:line="240" w:lineRule="atLeast"/>
              <w:rPr>
                <w:rFonts w:ascii="Verdana" w:hAnsi="Verdana"/>
                <w:color w:val="000000"/>
              </w:rPr>
            </w:pPr>
            <w:r w:rsidRPr="004525D4">
              <w:rPr>
                <w:rFonts w:ascii="Verdana" w:hAnsi="Verdana"/>
                <w:color w:val="000000"/>
              </w:rPr>
              <w:t>For i = 2,3,4, …, FSS where EM = the eligible member population (e.g., the number of members in the sample frame). FSS = the final sample size (step 3).</w:t>
            </w:r>
          </w:p>
          <w:p w:rsidR="00CD30D5" w:rsidRPr="004525D4" w14:paraId="3CFACC4F" w14:textId="77777777">
            <w:pPr>
              <w:autoSpaceDE w:val="0"/>
              <w:autoSpaceDN w:val="0"/>
              <w:spacing w:line="240" w:lineRule="atLeast"/>
              <w:rPr>
                <w:rFonts w:ascii="Verdana" w:hAnsi="Verdana"/>
                <w:color w:val="000000"/>
              </w:rPr>
            </w:pPr>
          </w:p>
          <w:p w:rsidR="00CD30D5" w:rsidRPr="004525D4" w14:paraId="7C7CCFFB" w14:textId="77777777">
            <w:pPr>
              <w:autoSpaceDE w:val="0"/>
              <w:autoSpaceDN w:val="0"/>
              <w:spacing w:line="240" w:lineRule="atLeast"/>
              <w:rPr>
                <w:rFonts w:ascii="Verdana" w:hAnsi="Verdana"/>
                <w:color w:val="000000"/>
              </w:rPr>
            </w:pPr>
            <w:r w:rsidRPr="004525D4">
              <w:rPr>
                <w:rFonts w:ascii="Verdana" w:hAnsi="Verdana"/>
                <w:color w:val="000000"/>
              </w:rPr>
              <w:t>Starting with the member corresponding to the number START, choose every ith member until the FSS is met.</w:t>
            </w:r>
          </w:p>
          <w:p w:rsidR="00CD30D5" w:rsidRPr="004525D4" w14:paraId="5B43D5DB" w14:textId="77777777">
            <w:pPr>
              <w:autoSpaceDE w:val="0"/>
              <w:autoSpaceDN w:val="0"/>
              <w:spacing w:line="240" w:lineRule="atLeast"/>
              <w:rPr>
                <w:rFonts w:ascii="Verdana" w:hAnsi="Verdana"/>
                <w:color w:val="000000"/>
              </w:rPr>
            </w:pPr>
          </w:p>
          <w:p w:rsidR="00CD30D5" w:rsidRPr="004525D4" w14:paraId="54700E32" w14:textId="77777777">
            <w:pPr>
              <w:autoSpaceDE w:val="0"/>
              <w:autoSpaceDN w:val="0"/>
              <w:spacing w:line="240" w:lineRule="atLeast"/>
              <w:rPr>
                <w:rFonts w:ascii="Verdana" w:hAnsi="Verdana"/>
                <w:b/>
                <w:color w:val="000000"/>
              </w:rPr>
            </w:pPr>
            <w:r w:rsidRPr="004525D4">
              <w:rPr>
                <w:rFonts w:ascii="Verdana" w:hAnsi="Verdana"/>
                <w:b/>
                <w:color w:val="000000"/>
              </w:rPr>
              <w:t>If the oversample was underestimated and the sample falls below the MRSS, the oversampling rate must be adjusted and a new sample must be pulled.</w:t>
            </w:r>
          </w:p>
          <w:p w:rsidR="00CD30D5" w:rsidRPr="004525D4" w14:paraId="69DD739F" w14:textId="77777777">
            <w:pPr>
              <w:autoSpaceDE w:val="0"/>
              <w:autoSpaceDN w:val="0"/>
              <w:spacing w:line="240" w:lineRule="atLeast"/>
              <w:rPr>
                <w:rFonts w:ascii="Verdana" w:hAnsi="Verdana"/>
                <w:b/>
                <w:color w:val="000000"/>
              </w:rPr>
            </w:pPr>
          </w:p>
          <w:p w:rsidR="00CD30D5" w:rsidRPr="004525D4" w14:paraId="6FA98455" w14:textId="77777777">
            <w:pPr>
              <w:autoSpaceDE w:val="0"/>
              <w:autoSpaceDN w:val="0"/>
              <w:spacing w:line="240" w:lineRule="atLeast"/>
              <w:rPr>
                <w:rFonts w:ascii="Verdana" w:hAnsi="Verdana"/>
                <w:b/>
                <w:color w:val="000000"/>
              </w:rPr>
            </w:pPr>
          </w:p>
        </w:tc>
      </w:tr>
      <w:tr w14:paraId="37C721EA" w14:textId="77777777">
        <w:tblPrEx>
          <w:tblW w:w="9720" w:type="dxa"/>
          <w:tblLayout w:type="fixed"/>
          <w:tblLook w:val="0000"/>
        </w:tblPrEx>
        <w:tc>
          <w:tcPr>
            <w:tcW w:w="854" w:type="dxa"/>
            <w:shd w:val="clear" w:color="auto" w:fill="auto"/>
          </w:tcPr>
          <w:p w:rsidR="00CD30D5" w:rsidRPr="004525D4" w14:paraId="139FA8D5" w14:textId="77777777">
            <w:pPr>
              <w:autoSpaceDE w:val="0"/>
              <w:autoSpaceDN w:val="0"/>
              <w:spacing w:line="240" w:lineRule="atLeast"/>
              <w:rPr>
                <w:rFonts w:ascii="Verdana" w:hAnsi="Verdana"/>
                <w:b/>
                <w:i/>
                <w:color w:val="000000"/>
              </w:rPr>
            </w:pPr>
          </w:p>
        </w:tc>
        <w:tc>
          <w:tcPr>
            <w:tcW w:w="8866" w:type="dxa"/>
          </w:tcPr>
          <w:p w:rsidR="00CD30D5" w14:paraId="6E86B8E4" w14:textId="77777777">
            <w:pPr>
              <w:autoSpaceDE w:val="0"/>
              <w:autoSpaceDN w:val="0"/>
              <w:spacing w:line="240" w:lineRule="atLeast"/>
              <w:rPr>
                <w:rFonts w:ascii="Verdana" w:hAnsi="Verdana"/>
                <w:color w:val="000000"/>
              </w:rPr>
            </w:pPr>
            <w:r w:rsidRPr="004525D4">
              <w:rPr>
                <w:rFonts w:ascii="Verdana" w:hAnsi="Verdana"/>
                <w:b/>
                <w:i/>
                <w:color w:val="000000"/>
              </w:rPr>
              <w:t>Small numbers</w:t>
            </w:r>
            <w:r w:rsidRPr="004525D4">
              <w:rPr>
                <w:rFonts w:ascii="Verdana" w:hAnsi="Verdana"/>
                <w:bCs/>
                <w:i/>
                <w:color w:val="000000"/>
              </w:rPr>
              <w:t>:</w:t>
            </w:r>
            <w:r w:rsidRPr="004525D4">
              <w:rPr>
                <w:rFonts w:ascii="Verdana" w:hAnsi="Verdana"/>
                <w:bCs/>
                <w:color w:val="000000"/>
              </w:rPr>
              <w:t xml:space="preserve"> </w:t>
            </w:r>
            <w:r w:rsidRPr="004525D4">
              <w:rPr>
                <w:rFonts w:ascii="Verdana" w:hAnsi="Verdana"/>
                <w:color w:val="000000"/>
              </w:rPr>
              <w:t xml:space="preserve">A health plan with very small numbers of eligible members (where denominators of less than 100 are expected) should contact NCQA to determine specific HEDIS survey reporting requirements. The health plan can submit concerns through the NCQA PCS system at </w:t>
            </w:r>
            <w:hyperlink r:id="rId11" w:history="1">
              <w:r w:rsidRPr="004525D4">
                <w:rPr>
                  <w:rStyle w:val="Hyperlink"/>
                  <w:rFonts w:ascii="Verdana" w:hAnsi="Verdana"/>
                </w:rPr>
                <w:t>https://my.ncqa.org</w:t>
              </w:r>
            </w:hyperlink>
            <w:r w:rsidRPr="004525D4">
              <w:rPr>
                <w:rFonts w:ascii="Verdana" w:hAnsi="Verdana"/>
                <w:color w:val="000000"/>
              </w:rPr>
              <w:t>.</w:t>
            </w:r>
          </w:p>
          <w:p w:rsidR="00E524A0" w:rsidRPr="004525D4" w14:paraId="6F1C9D30" w14:textId="77B82595">
            <w:pPr>
              <w:autoSpaceDE w:val="0"/>
              <w:autoSpaceDN w:val="0"/>
              <w:spacing w:line="240" w:lineRule="atLeast"/>
              <w:rPr>
                <w:rFonts w:ascii="Verdana" w:hAnsi="Verdana"/>
                <w:color w:val="000000"/>
              </w:rPr>
            </w:pPr>
          </w:p>
        </w:tc>
      </w:tr>
      <w:tr w14:paraId="44C79232" w14:textId="77777777">
        <w:tblPrEx>
          <w:tblW w:w="9720" w:type="dxa"/>
          <w:tblLayout w:type="fixed"/>
          <w:tblLook w:val="0000"/>
        </w:tblPrEx>
        <w:tc>
          <w:tcPr>
            <w:tcW w:w="854" w:type="dxa"/>
            <w:shd w:val="clear" w:color="auto" w:fill="auto"/>
          </w:tcPr>
          <w:p w:rsidR="00CD30D5" w:rsidRPr="004525D4" w14:paraId="6D6CE200" w14:textId="77777777">
            <w:pPr>
              <w:autoSpaceDE w:val="0"/>
              <w:autoSpaceDN w:val="0"/>
              <w:spacing w:line="240" w:lineRule="atLeast"/>
              <w:rPr>
                <w:rFonts w:ascii="Verdana" w:hAnsi="Verdana"/>
                <w:b/>
                <w:i/>
                <w:color w:val="000000"/>
              </w:rPr>
            </w:pPr>
          </w:p>
        </w:tc>
        <w:tc>
          <w:tcPr>
            <w:tcW w:w="8866" w:type="dxa"/>
          </w:tcPr>
          <w:p w:rsidR="00CD30D5" w:rsidRPr="004525D4" w14:paraId="05270B98" w14:textId="77777777">
            <w:pPr>
              <w:autoSpaceDE w:val="0"/>
              <w:autoSpaceDN w:val="0"/>
              <w:spacing w:line="240" w:lineRule="atLeast"/>
              <w:rPr>
                <w:rFonts w:ascii="Verdana" w:hAnsi="Verdana"/>
                <w:color w:val="000000"/>
              </w:rPr>
            </w:pPr>
            <w:r w:rsidRPr="004525D4">
              <w:rPr>
                <w:rFonts w:ascii="Verdana" w:hAnsi="Verdana"/>
                <w:b/>
                <w:i/>
                <w:color w:val="000000"/>
              </w:rPr>
              <w:t>Oversampling</w:t>
            </w:r>
            <w:r w:rsidRPr="004525D4">
              <w:rPr>
                <w:rFonts w:ascii="Verdana" w:hAnsi="Verdana"/>
                <w:color w:val="000000"/>
              </w:rPr>
              <w:t xml:space="preserve">: A health plan must oversample if it cannot eliminate disenrolled members from membership files; correct addresses and, when appropriate, telephone numbers; and provide updated, accurate sample frames to the survey vendor by the required date. For example, a health plan that receives December membership updates from purchasers in January may need additional time to enter updates into its membership files. Similarly, a health plan that does not receive December membership updates from purchasers until late February may be unable to update membership files before generating the sample frame. </w:t>
            </w:r>
          </w:p>
          <w:p w:rsidR="00CD30D5" w:rsidRPr="004525D4" w14:paraId="45F487C8" w14:textId="77777777">
            <w:pPr>
              <w:autoSpaceDE w:val="0"/>
              <w:autoSpaceDN w:val="0"/>
              <w:spacing w:line="240" w:lineRule="atLeast"/>
              <w:rPr>
                <w:rFonts w:ascii="Verdana" w:hAnsi="Verdana"/>
                <w:color w:val="000000"/>
              </w:rPr>
            </w:pPr>
            <w:r w:rsidRPr="004525D4">
              <w:rPr>
                <w:rFonts w:ascii="Verdana" w:hAnsi="Verdana"/>
                <w:color w:val="000000"/>
              </w:rPr>
              <w:t xml:space="preserve">The oversampling rate must be a whole number (e.g., 7%). Health plans must oversample enough to guarantee that sufficient eligible members are surveyed to meet the required sample size. Health plans may also oversample to obtain a greater number of completed surveys at the end of the survey administration. For example, the health plan may oversample if it has a prior history of low survey response rates; if it anticipates that a significant number of the telephone numbers in the membership files are inaccurate; or, if after reviewing the information in Appendix 7: General Recommendations for Oversampling for Survey Measures, it does not expect to achieve a denominator of 100 for most survey calculations. </w:t>
            </w:r>
          </w:p>
          <w:p w:rsidR="00CD30D5" w:rsidRPr="004525D4" w14:paraId="5109DB06" w14:textId="77777777">
            <w:pPr>
              <w:autoSpaceDE w:val="0"/>
              <w:autoSpaceDN w:val="0"/>
              <w:spacing w:line="240" w:lineRule="atLeast"/>
              <w:rPr>
                <w:rFonts w:ascii="Verdana" w:hAnsi="Verdana"/>
                <w:color w:val="000000"/>
              </w:rPr>
            </w:pPr>
            <w:r w:rsidRPr="004525D4">
              <w:rPr>
                <w:rFonts w:ascii="Verdana" w:hAnsi="Verdana"/>
                <w:color w:val="000000"/>
              </w:rPr>
              <w:t>If the oversample was calculated correctly, the members remaining in the sample will be greater than or equal to the MRSS.</w:t>
            </w:r>
          </w:p>
          <w:p w:rsidR="00CD30D5" w:rsidRPr="004525D4" w14:paraId="02244715" w14:textId="77777777">
            <w:pPr>
              <w:autoSpaceDE w:val="0"/>
              <w:autoSpaceDN w:val="0"/>
              <w:spacing w:line="240" w:lineRule="atLeast"/>
              <w:rPr>
                <w:rFonts w:ascii="Verdana" w:hAnsi="Verdana"/>
                <w:color w:val="000000"/>
              </w:rPr>
            </w:pPr>
          </w:p>
        </w:tc>
      </w:tr>
    </w:tbl>
    <w:p w:rsidR="00CD30D5" w:rsidRPr="00516093" w:rsidP="00CD30D5" w14:paraId="37407064" w14:textId="77777777">
      <w:pPr>
        <w:rPr>
          <w:rFonts w:ascii="Verdana" w:hAnsi="Verdana"/>
          <w:szCs w:val="22"/>
        </w:rPr>
      </w:pPr>
    </w:p>
    <w:p w:rsidR="00B974B5" w:rsidRPr="00516093" w:rsidP="0097450A" w14:paraId="62F3F6A4" w14:textId="111777B7">
      <w:pPr>
        <w:autoSpaceDE w:val="0"/>
        <w:autoSpaceDN w:val="0"/>
        <w:spacing w:line="240" w:lineRule="atLeast"/>
        <w:ind w:left="720"/>
        <w:rPr>
          <w:rFonts w:ascii="Verdana" w:hAnsi="Verdana"/>
          <w:bCs/>
          <w:color w:val="000000"/>
        </w:rPr>
      </w:pPr>
      <w:r w:rsidRPr="00516093">
        <w:rPr>
          <w:rFonts w:ascii="Verdana" w:hAnsi="Verdana"/>
          <w:bCs/>
          <w:color w:val="000000"/>
        </w:rPr>
        <w:t xml:space="preserve">The </w:t>
      </w:r>
      <w:r w:rsidRPr="00516093" w:rsidR="00B64B33">
        <w:rPr>
          <w:rFonts w:ascii="Verdana" w:hAnsi="Verdana"/>
          <w:bCs/>
          <w:color w:val="000000"/>
        </w:rPr>
        <w:t>surveys</w:t>
      </w:r>
      <w:r w:rsidRPr="00516093">
        <w:rPr>
          <w:rFonts w:ascii="Verdana" w:hAnsi="Verdana"/>
          <w:bCs/>
          <w:color w:val="000000"/>
        </w:rPr>
        <w:t xml:space="preserve"> collected </w:t>
      </w:r>
      <w:r w:rsidRPr="00516093" w:rsidR="00B64B33">
        <w:rPr>
          <w:rFonts w:ascii="Verdana" w:hAnsi="Verdana"/>
          <w:bCs/>
          <w:color w:val="000000"/>
        </w:rPr>
        <w:t xml:space="preserve">and processed </w:t>
      </w:r>
      <w:r w:rsidRPr="00516093">
        <w:rPr>
          <w:rFonts w:ascii="Verdana" w:hAnsi="Verdana"/>
          <w:bCs/>
          <w:color w:val="000000"/>
        </w:rPr>
        <w:t>by NCQA-Certified survey vendor</w:t>
      </w:r>
      <w:r w:rsidRPr="00516093" w:rsidR="00B64B33">
        <w:rPr>
          <w:rFonts w:ascii="Verdana" w:hAnsi="Verdana"/>
          <w:bCs/>
          <w:color w:val="000000"/>
        </w:rPr>
        <w:t>s</w:t>
      </w:r>
      <w:r w:rsidRPr="00516093">
        <w:rPr>
          <w:rFonts w:ascii="Verdana" w:hAnsi="Verdana"/>
          <w:bCs/>
          <w:color w:val="000000"/>
        </w:rPr>
        <w:t xml:space="preserve">, and </w:t>
      </w:r>
      <w:r w:rsidR="004B39A3">
        <w:rPr>
          <w:rFonts w:ascii="Verdana" w:hAnsi="Verdana"/>
          <w:bCs/>
          <w:color w:val="000000"/>
        </w:rPr>
        <w:t xml:space="preserve">are </w:t>
      </w:r>
      <w:r w:rsidRPr="00516093">
        <w:rPr>
          <w:rFonts w:ascii="Verdana" w:hAnsi="Verdana"/>
          <w:bCs/>
          <w:color w:val="000000"/>
        </w:rPr>
        <w:t>submitted thr</w:t>
      </w:r>
      <w:r w:rsidR="004B39A3">
        <w:rPr>
          <w:rFonts w:ascii="Verdana" w:hAnsi="Verdana"/>
          <w:bCs/>
          <w:color w:val="000000"/>
        </w:rPr>
        <w:t>ough</w:t>
      </w:r>
      <w:r w:rsidRPr="00516093">
        <w:rPr>
          <w:rFonts w:ascii="Verdana" w:hAnsi="Verdana"/>
          <w:bCs/>
          <w:color w:val="000000"/>
        </w:rPr>
        <w:t xml:space="preserve"> the NCQA Portal, </w:t>
      </w:r>
      <w:r w:rsidR="004B39A3">
        <w:rPr>
          <w:rFonts w:ascii="Verdana" w:hAnsi="Verdana"/>
          <w:bCs/>
          <w:color w:val="000000"/>
        </w:rPr>
        <w:t xml:space="preserve">and </w:t>
      </w:r>
      <w:r w:rsidRPr="00516093">
        <w:rPr>
          <w:rFonts w:ascii="Verdana" w:hAnsi="Verdana"/>
          <w:bCs/>
          <w:color w:val="000000"/>
        </w:rPr>
        <w:t>access is restricted by NCQA.</w:t>
      </w:r>
      <w:r w:rsidR="0096282C">
        <w:rPr>
          <w:rFonts w:ascii="Verdana" w:hAnsi="Verdana"/>
          <w:bCs/>
          <w:color w:val="000000"/>
        </w:rPr>
        <w:t xml:space="preserve"> </w:t>
      </w:r>
      <w:r w:rsidRPr="00516093">
        <w:rPr>
          <w:rFonts w:ascii="Verdana" w:hAnsi="Verdana"/>
          <w:bCs/>
          <w:color w:val="000000"/>
        </w:rPr>
        <w:t>NCQA validates the submission, determines benchmarks for each measure, and provides results to health plans and purchasers.</w:t>
      </w:r>
      <w:r w:rsidR="0096282C">
        <w:rPr>
          <w:rFonts w:ascii="Verdana" w:hAnsi="Verdana"/>
          <w:bCs/>
          <w:color w:val="000000"/>
        </w:rPr>
        <w:t xml:space="preserve"> </w:t>
      </w:r>
      <w:r w:rsidRPr="00516093">
        <w:rPr>
          <w:rFonts w:ascii="Verdana" w:hAnsi="Verdana"/>
          <w:bCs/>
          <w:color w:val="000000"/>
        </w:rPr>
        <w:t xml:space="preserve">Respondents are informed about the data collection in the </w:t>
      </w:r>
      <w:r w:rsidRPr="00516093" w:rsidR="00ED7401">
        <w:rPr>
          <w:rFonts w:ascii="Verdana" w:hAnsi="Verdana"/>
          <w:bCs/>
          <w:color w:val="000000"/>
        </w:rPr>
        <w:t>instructions</w:t>
      </w:r>
      <w:r w:rsidRPr="00516093">
        <w:rPr>
          <w:rFonts w:ascii="Verdana" w:hAnsi="Verdana"/>
          <w:bCs/>
          <w:color w:val="000000"/>
        </w:rPr>
        <w:t xml:space="preserve"> for the survey.</w:t>
      </w:r>
      <w:r w:rsidR="0096282C">
        <w:rPr>
          <w:rFonts w:ascii="Verdana" w:hAnsi="Verdana"/>
          <w:bCs/>
          <w:color w:val="000000"/>
        </w:rPr>
        <w:t xml:space="preserve"> </w:t>
      </w:r>
      <w:r w:rsidRPr="00516093" w:rsidR="007F1067">
        <w:rPr>
          <w:rFonts w:ascii="Verdana" w:hAnsi="Verdana"/>
          <w:bCs/>
          <w:color w:val="000000"/>
        </w:rPr>
        <w:t xml:space="preserve">OPM contracts with a vendor to further analyze and validate the aggregated results, and </w:t>
      </w:r>
      <w:r w:rsidR="004B39A3">
        <w:rPr>
          <w:rFonts w:ascii="Verdana" w:hAnsi="Verdana"/>
          <w:bCs/>
          <w:color w:val="000000"/>
        </w:rPr>
        <w:t xml:space="preserve">then </w:t>
      </w:r>
      <w:r w:rsidRPr="00516093" w:rsidR="007F1067">
        <w:rPr>
          <w:rFonts w:ascii="Verdana" w:hAnsi="Verdana"/>
          <w:bCs/>
          <w:color w:val="000000"/>
        </w:rPr>
        <w:t>produce</w:t>
      </w:r>
      <w:r w:rsidR="004B39A3">
        <w:rPr>
          <w:rFonts w:ascii="Verdana" w:hAnsi="Verdana"/>
          <w:bCs/>
          <w:color w:val="000000"/>
        </w:rPr>
        <w:t>s</w:t>
      </w:r>
      <w:r w:rsidRPr="00516093" w:rsidR="007F1067">
        <w:rPr>
          <w:rFonts w:ascii="Verdana" w:hAnsi="Verdana"/>
          <w:bCs/>
          <w:color w:val="000000"/>
        </w:rPr>
        <w:t xml:space="preserve"> a dataset for OPM</w:t>
      </w:r>
      <w:r w:rsidR="004B39A3">
        <w:rPr>
          <w:rFonts w:ascii="Verdana" w:hAnsi="Verdana"/>
          <w:bCs/>
          <w:color w:val="000000"/>
        </w:rPr>
        <w:t>’</w:t>
      </w:r>
      <w:r w:rsidRPr="00516093" w:rsidR="007F1067">
        <w:rPr>
          <w:rFonts w:ascii="Verdana" w:hAnsi="Verdana"/>
          <w:bCs/>
          <w:color w:val="000000"/>
        </w:rPr>
        <w:t>s use.</w:t>
      </w:r>
      <w:r w:rsidR="0011181C">
        <w:rPr>
          <w:rFonts w:ascii="Verdana" w:hAnsi="Verdana"/>
          <w:bCs/>
          <w:color w:val="000000"/>
        </w:rPr>
        <w:t xml:space="preserve"> </w:t>
      </w:r>
      <w:r w:rsidRPr="0011181C" w:rsidR="0011181C">
        <w:rPr>
          <w:rFonts w:ascii="Verdana" w:hAnsi="Verdana"/>
          <w:bCs/>
          <w:color w:val="000000"/>
        </w:rPr>
        <w:t xml:space="preserve">The surveys are administered annually </w:t>
      </w:r>
      <w:r w:rsidR="0011181C">
        <w:rPr>
          <w:rFonts w:ascii="Verdana" w:hAnsi="Verdana"/>
          <w:bCs/>
          <w:color w:val="000000"/>
        </w:rPr>
        <w:t xml:space="preserve">generally </w:t>
      </w:r>
      <w:r w:rsidRPr="0011181C" w:rsidR="0011181C">
        <w:rPr>
          <w:rFonts w:ascii="Verdana" w:hAnsi="Verdana"/>
          <w:bCs/>
          <w:color w:val="000000"/>
        </w:rPr>
        <w:t xml:space="preserve">between </w:t>
      </w:r>
      <w:r w:rsidR="009F22C3">
        <w:rPr>
          <w:rFonts w:ascii="Verdana" w:hAnsi="Verdana"/>
          <w:bCs/>
          <w:color w:val="000000"/>
        </w:rPr>
        <w:t>January</w:t>
      </w:r>
      <w:r w:rsidRPr="0011181C" w:rsidR="0011181C">
        <w:rPr>
          <w:rFonts w:ascii="Verdana" w:hAnsi="Verdana"/>
          <w:bCs/>
          <w:color w:val="000000"/>
        </w:rPr>
        <w:t xml:space="preserve"> and </w:t>
      </w:r>
      <w:r w:rsidR="00F92F7E">
        <w:rPr>
          <w:rFonts w:ascii="Verdana" w:hAnsi="Verdana"/>
          <w:bCs/>
          <w:color w:val="000000"/>
        </w:rPr>
        <w:t>May</w:t>
      </w:r>
      <w:r w:rsidRPr="0011181C" w:rsidR="0011181C">
        <w:rPr>
          <w:rFonts w:ascii="Verdana" w:hAnsi="Verdana"/>
          <w:bCs/>
          <w:color w:val="000000"/>
        </w:rPr>
        <w:t>.</w:t>
      </w:r>
    </w:p>
    <w:p w:rsidR="007F1067" w:rsidRPr="00516093" w:rsidP="00014E44" w14:paraId="4D34C986" w14:textId="77777777">
      <w:pPr>
        <w:autoSpaceDE w:val="0"/>
        <w:autoSpaceDN w:val="0"/>
        <w:spacing w:line="240" w:lineRule="atLeast"/>
        <w:rPr>
          <w:rFonts w:ascii="Verdana" w:hAnsi="Verdana"/>
          <w:bCs/>
          <w:color w:val="000000"/>
        </w:rPr>
      </w:pPr>
    </w:p>
    <w:p w:rsidR="007F1067" w:rsidRPr="00516093" w:rsidP="0097450A" w14:paraId="66D7ABC5" w14:textId="6EAF9522">
      <w:pPr>
        <w:autoSpaceDE w:val="0"/>
        <w:autoSpaceDN w:val="0"/>
        <w:spacing w:line="240" w:lineRule="atLeast"/>
        <w:ind w:left="720"/>
        <w:rPr>
          <w:rFonts w:ascii="Verdana" w:hAnsi="Verdana"/>
          <w:bCs/>
          <w:color w:val="000000"/>
        </w:rPr>
      </w:pPr>
      <w:r>
        <w:rPr>
          <w:rFonts w:ascii="Verdana" w:hAnsi="Verdana"/>
          <w:bCs/>
          <w:color w:val="000000"/>
        </w:rPr>
        <w:t xml:space="preserve">Applicable </w:t>
      </w:r>
      <w:r w:rsidRPr="00516093">
        <w:rPr>
          <w:rFonts w:ascii="Verdana" w:hAnsi="Verdana"/>
          <w:bCs/>
          <w:color w:val="000000"/>
        </w:rPr>
        <w:t>FEHB</w:t>
      </w:r>
      <w:r>
        <w:rPr>
          <w:rFonts w:ascii="Verdana" w:hAnsi="Verdana"/>
          <w:bCs/>
          <w:color w:val="000000"/>
        </w:rPr>
        <w:t xml:space="preserve"> and PSHB</w:t>
      </w:r>
      <w:r w:rsidRPr="00516093">
        <w:rPr>
          <w:rFonts w:ascii="Verdana" w:hAnsi="Verdana"/>
          <w:bCs/>
          <w:color w:val="000000"/>
        </w:rPr>
        <w:t xml:space="preserve"> Carriers are required to report their CAHPS results, and many report the results for their entire book of business of which FEHB</w:t>
      </w:r>
      <w:r>
        <w:rPr>
          <w:rFonts w:ascii="Verdana" w:hAnsi="Verdana"/>
          <w:bCs/>
          <w:color w:val="000000"/>
        </w:rPr>
        <w:t xml:space="preserve"> or PSHB</w:t>
      </w:r>
      <w:r w:rsidRPr="00516093">
        <w:rPr>
          <w:rFonts w:ascii="Verdana" w:hAnsi="Verdana"/>
          <w:bCs/>
          <w:color w:val="000000"/>
        </w:rPr>
        <w:t xml:space="preserve"> is a part.</w:t>
      </w:r>
      <w:r w:rsidR="0096282C">
        <w:rPr>
          <w:rFonts w:ascii="Verdana" w:hAnsi="Verdana"/>
          <w:bCs/>
          <w:color w:val="000000"/>
        </w:rPr>
        <w:t xml:space="preserve"> </w:t>
      </w:r>
      <w:r w:rsidR="00D47F29">
        <w:rPr>
          <w:rFonts w:ascii="Verdana" w:hAnsi="Verdana"/>
          <w:bCs/>
          <w:color w:val="000000"/>
        </w:rPr>
        <w:t xml:space="preserve">Participation in </w:t>
      </w:r>
      <w:r w:rsidRPr="00516093">
        <w:rPr>
          <w:rFonts w:ascii="Verdana" w:hAnsi="Verdana"/>
          <w:bCs/>
          <w:color w:val="000000"/>
        </w:rPr>
        <w:t>the survey is entirely voluntary.</w:t>
      </w:r>
      <w:r w:rsidR="0096282C">
        <w:rPr>
          <w:rFonts w:ascii="Verdana" w:hAnsi="Verdana"/>
          <w:bCs/>
          <w:color w:val="000000"/>
        </w:rPr>
        <w:t xml:space="preserve"> </w:t>
      </w:r>
      <w:r w:rsidRPr="00516093">
        <w:rPr>
          <w:rFonts w:ascii="Verdana" w:hAnsi="Verdana"/>
          <w:bCs/>
          <w:color w:val="000000"/>
        </w:rPr>
        <w:t xml:space="preserve">The burden on </w:t>
      </w:r>
      <w:r w:rsidR="00D47F29">
        <w:rPr>
          <w:rFonts w:ascii="Verdana" w:hAnsi="Verdana"/>
          <w:bCs/>
          <w:color w:val="000000"/>
        </w:rPr>
        <w:t>participant</w:t>
      </w:r>
      <w:r w:rsidRPr="00516093">
        <w:rPr>
          <w:rFonts w:ascii="Verdana" w:hAnsi="Verdana"/>
          <w:bCs/>
          <w:color w:val="000000"/>
        </w:rPr>
        <w:t>s is not considere</w:t>
      </w:r>
      <w:r w:rsidRPr="00516093" w:rsidR="00692E8F">
        <w:rPr>
          <w:rFonts w:ascii="Verdana" w:hAnsi="Verdana"/>
          <w:bCs/>
          <w:color w:val="000000"/>
        </w:rPr>
        <w:t>d onerous</w:t>
      </w:r>
      <w:r w:rsidR="00D47F29">
        <w:rPr>
          <w:rFonts w:ascii="Verdana" w:hAnsi="Verdana"/>
          <w:bCs/>
          <w:color w:val="000000"/>
        </w:rPr>
        <w:t xml:space="preserve">, as </w:t>
      </w:r>
      <w:r w:rsidRPr="00516093" w:rsidR="00692E8F">
        <w:rPr>
          <w:rFonts w:ascii="Verdana" w:hAnsi="Verdana"/>
          <w:bCs/>
          <w:color w:val="000000"/>
        </w:rPr>
        <w:t>the estimated time t</w:t>
      </w:r>
      <w:r w:rsidRPr="00516093">
        <w:rPr>
          <w:rFonts w:ascii="Verdana" w:hAnsi="Verdana"/>
          <w:bCs/>
          <w:color w:val="000000"/>
        </w:rPr>
        <w:t xml:space="preserve">o complete the survey is </w:t>
      </w:r>
      <w:r w:rsidRPr="00516093" w:rsidR="002E7549">
        <w:rPr>
          <w:rFonts w:ascii="Verdana" w:hAnsi="Verdana"/>
          <w:bCs/>
          <w:color w:val="000000"/>
        </w:rPr>
        <w:t xml:space="preserve">fifteen </w:t>
      </w:r>
      <w:r w:rsidRPr="00516093">
        <w:rPr>
          <w:rFonts w:ascii="Verdana" w:hAnsi="Verdana"/>
          <w:bCs/>
          <w:color w:val="000000"/>
        </w:rPr>
        <w:t>minutes.</w:t>
      </w:r>
    </w:p>
    <w:p w:rsidR="007F1067" w:rsidRPr="00516093" w:rsidP="00014E44" w14:paraId="4F3F64C3" w14:textId="77777777">
      <w:pPr>
        <w:autoSpaceDE w:val="0"/>
        <w:autoSpaceDN w:val="0"/>
        <w:spacing w:line="240" w:lineRule="atLeast"/>
        <w:rPr>
          <w:rFonts w:ascii="Verdana" w:hAnsi="Verdana"/>
          <w:bCs/>
          <w:color w:val="000000"/>
        </w:rPr>
      </w:pPr>
    </w:p>
    <w:p w:rsidR="007F1067" w:rsidP="0097450A" w14:paraId="6CF22B4D" w14:textId="5399C98F">
      <w:pPr>
        <w:ind w:left="720"/>
        <w:rPr>
          <w:rFonts w:ascii="Verdana" w:hAnsi="Verdana"/>
          <w:szCs w:val="22"/>
        </w:rPr>
      </w:pPr>
      <w:r w:rsidRPr="00516093">
        <w:rPr>
          <w:rFonts w:ascii="Verdana" w:hAnsi="Verdana"/>
          <w:bCs/>
          <w:color w:val="000000"/>
        </w:rPr>
        <w:t xml:space="preserve">The results are </w:t>
      </w:r>
      <w:r w:rsidRPr="00516093" w:rsidR="007365DF">
        <w:rPr>
          <w:rFonts w:ascii="Verdana" w:hAnsi="Verdana"/>
          <w:bCs/>
          <w:color w:val="000000"/>
        </w:rPr>
        <w:t>aggregated and</w:t>
      </w:r>
      <w:r w:rsidRPr="00516093">
        <w:rPr>
          <w:rFonts w:ascii="Verdana" w:hAnsi="Verdana"/>
          <w:bCs/>
          <w:color w:val="000000"/>
        </w:rPr>
        <w:t xml:space="preserve"> used as part of the formula to determination of FEHB</w:t>
      </w:r>
      <w:r w:rsidR="0097450A">
        <w:rPr>
          <w:rFonts w:ascii="Verdana" w:hAnsi="Verdana"/>
          <w:bCs/>
          <w:color w:val="000000"/>
        </w:rPr>
        <w:t xml:space="preserve"> or PSHB </w:t>
      </w:r>
      <w:r w:rsidRPr="00516093">
        <w:rPr>
          <w:rFonts w:ascii="Verdana" w:hAnsi="Verdana"/>
          <w:bCs/>
          <w:color w:val="000000"/>
        </w:rPr>
        <w:t>Plans profit factor</w:t>
      </w:r>
      <w:r w:rsidR="005658D8">
        <w:rPr>
          <w:rFonts w:ascii="Verdana" w:hAnsi="Verdana"/>
          <w:bCs/>
          <w:color w:val="000000"/>
        </w:rPr>
        <w:t xml:space="preserve">. In addition, </w:t>
      </w:r>
      <w:r w:rsidRPr="00516093">
        <w:rPr>
          <w:rFonts w:ascii="Verdana" w:hAnsi="Verdana"/>
          <w:bCs/>
          <w:color w:val="000000"/>
        </w:rPr>
        <w:t xml:space="preserve">aggregated </w:t>
      </w:r>
      <w:r w:rsidRPr="00516093">
        <w:rPr>
          <w:rFonts w:ascii="Verdana" w:hAnsi="Verdana"/>
          <w:szCs w:val="22"/>
        </w:rPr>
        <w:t>CAHPS survey results are provided on two OPM webpages to help inform selection of FEHB health plans.</w:t>
      </w:r>
      <w:r w:rsidR="0097450A">
        <w:rPr>
          <w:rFonts w:ascii="Verdana" w:hAnsi="Verdana"/>
          <w:szCs w:val="22"/>
        </w:rPr>
        <w:t xml:space="preserve"> A</w:t>
      </w:r>
      <w:r w:rsidRPr="00516093" w:rsidR="0097450A">
        <w:rPr>
          <w:rFonts w:ascii="Verdana" w:hAnsi="Verdana"/>
          <w:bCs/>
          <w:color w:val="000000"/>
        </w:rPr>
        <w:t xml:space="preserve">ggregated </w:t>
      </w:r>
      <w:r w:rsidRPr="00516093" w:rsidR="0097450A">
        <w:rPr>
          <w:rFonts w:ascii="Verdana" w:hAnsi="Verdana"/>
          <w:szCs w:val="22"/>
        </w:rPr>
        <w:t xml:space="preserve">CAHPS survey results are provided on </w:t>
      </w:r>
      <w:r w:rsidR="0097450A">
        <w:rPr>
          <w:rFonts w:ascii="Verdana" w:hAnsi="Verdana"/>
          <w:szCs w:val="22"/>
        </w:rPr>
        <w:t xml:space="preserve">one </w:t>
      </w:r>
      <w:r w:rsidRPr="00516093" w:rsidR="0097450A">
        <w:rPr>
          <w:rFonts w:ascii="Verdana" w:hAnsi="Verdana"/>
          <w:szCs w:val="22"/>
        </w:rPr>
        <w:t xml:space="preserve">OPM webpage to help inform selection of </w:t>
      </w:r>
      <w:r w:rsidR="0097450A">
        <w:rPr>
          <w:rFonts w:ascii="Verdana" w:hAnsi="Verdana"/>
          <w:szCs w:val="22"/>
        </w:rPr>
        <w:t>PSHB</w:t>
      </w:r>
      <w:r w:rsidRPr="00516093" w:rsidR="0097450A">
        <w:rPr>
          <w:rFonts w:ascii="Verdana" w:hAnsi="Verdana"/>
          <w:szCs w:val="22"/>
        </w:rPr>
        <w:t xml:space="preserve"> health plans</w:t>
      </w:r>
      <w:r w:rsidR="0097450A">
        <w:rPr>
          <w:rFonts w:ascii="Verdana" w:hAnsi="Verdana"/>
          <w:szCs w:val="22"/>
        </w:rPr>
        <w:t>.</w:t>
      </w:r>
      <w:r w:rsidR="0096282C">
        <w:rPr>
          <w:rFonts w:ascii="Verdana" w:hAnsi="Verdana"/>
          <w:szCs w:val="22"/>
        </w:rPr>
        <w:t xml:space="preserve"> </w:t>
      </w:r>
      <w:r w:rsidRPr="00516093">
        <w:rPr>
          <w:rFonts w:ascii="Verdana" w:hAnsi="Verdana"/>
          <w:szCs w:val="22"/>
        </w:rPr>
        <w:t>Specific Carrier scores are reported within a range</w:t>
      </w:r>
      <w:r w:rsidR="0097450A">
        <w:rPr>
          <w:rFonts w:ascii="Verdana" w:hAnsi="Verdana"/>
          <w:szCs w:val="22"/>
        </w:rPr>
        <w:t xml:space="preserve"> for all platforms. </w:t>
      </w:r>
    </w:p>
    <w:p w:rsidR="00DA04BA" w:rsidRPr="00516093" w:rsidP="007F1067" w14:paraId="0324AB21" w14:textId="2D88409B">
      <w:pPr>
        <w:rPr>
          <w:rFonts w:ascii="Verdana" w:hAnsi="Verdana"/>
          <w:szCs w:val="22"/>
        </w:rPr>
      </w:pPr>
    </w:p>
    <w:p w:rsidR="004E09E2" w:rsidRPr="00516093" w:rsidP="000A3459" w14:paraId="30C5B242" w14:textId="1DABF7A0">
      <w:pPr>
        <w:autoSpaceDE w:val="0"/>
        <w:autoSpaceDN w:val="0"/>
        <w:spacing w:line="240" w:lineRule="atLeast"/>
        <w:rPr>
          <w:rFonts w:ascii="Verdana" w:hAnsi="Verdana"/>
          <w:color w:val="000000"/>
        </w:rPr>
      </w:pPr>
      <w:r w:rsidRPr="00516093">
        <w:rPr>
          <w:rFonts w:ascii="Verdana" w:hAnsi="Verdana"/>
          <w:b/>
          <w:bCs/>
          <w:color w:val="000000"/>
        </w:rPr>
        <w:t>B3.</w:t>
      </w:r>
      <w:r w:rsidR="0096282C">
        <w:rPr>
          <w:rFonts w:ascii="Verdana" w:hAnsi="Verdana"/>
          <w:b/>
          <w:bCs/>
          <w:color w:val="000000"/>
        </w:rPr>
        <w:t xml:space="preserve"> </w:t>
      </w:r>
      <w:r w:rsidRPr="00516093">
        <w:rPr>
          <w:rFonts w:ascii="Verdana" w:hAnsi="Verdana"/>
          <w:b/>
          <w:bCs/>
          <w:color w:val="000000"/>
        </w:rPr>
        <w:t>Processing and Editing of Data</w:t>
      </w:r>
    </w:p>
    <w:p w:rsidR="002940D7" w:rsidRPr="00516093" w:rsidP="004E09E2" w14:paraId="2B545A55" w14:textId="77777777">
      <w:pPr>
        <w:autoSpaceDE w:val="0"/>
        <w:autoSpaceDN w:val="0"/>
        <w:spacing w:line="240" w:lineRule="atLeast"/>
        <w:ind w:left="360" w:hanging="360"/>
        <w:rPr>
          <w:rFonts w:ascii="Verdana" w:hAnsi="Verdana"/>
          <w:color w:val="000000"/>
        </w:rPr>
      </w:pPr>
    </w:p>
    <w:p w:rsidR="000A3459" w:rsidRPr="00516093" w:rsidP="0097450A" w14:paraId="5E1A3CE1" w14:textId="7FD119DB">
      <w:pPr>
        <w:autoSpaceDE w:val="0"/>
        <w:autoSpaceDN w:val="0"/>
        <w:spacing w:line="240" w:lineRule="atLeast"/>
        <w:ind w:left="720"/>
        <w:rPr>
          <w:rFonts w:ascii="Verdana" w:hAnsi="Verdana"/>
          <w:bCs/>
          <w:color w:val="000000"/>
        </w:rPr>
      </w:pPr>
      <w:r w:rsidRPr="00516093">
        <w:rPr>
          <w:rFonts w:ascii="Verdana" w:hAnsi="Verdana"/>
          <w:bCs/>
          <w:color w:val="000000"/>
        </w:rPr>
        <w:t xml:space="preserve">Standard data cleaning and analysis procedures </w:t>
      </w:r>
      <w:r w:rsidRPr="00516093" w:rsidR="005D42EC">
        <w:rPr>
          <w:rFonts w:ascii="Verdana" w:hAnsi="Verdana"/>
          <w:bCs/>
          <w:color w:val="000000"/>
        </w:rPr>
        <w:t>are</w:t>
      </w:r>
      <w:r w:rsidRPr="00516093">
        <w:rPr>
          <w:rFonts w:ascii="Verdana" w:hAnsi="Verdana"/>
          <w:bCs/>
          <w:color w:val="000000"/>
        </w:rPr>
        <w:t xml:space="preserve"> performed by </w:t>
      </w:r>
      <w:r w:rsidRPr="00516093" w:rsidR="005D42EC">
        <w:rPr>
          <w:rFonts w:ascii="Verdana" w:hAnsi="Verdana"/>
          <w:bCs/>
          <w:color w:val="000000"/>
        </w:rPr>
        <w:t>the NCQA Certified Vendor.</w:t>
      </w:r>
      <w:r w:rsidR="0096282C">
        <w:rPr>
          <w:rFonts w:ascii="Verdana" w:hAnsi="Verdana"/>
          <w:bCs/>
          <w:color w:val="000000"/>
        </w:rPr>
        <w:t xml:space="preserve"> </w:t>
      </w:r>
      <w:r w:rsidRPr="00516093" w:rsidR="005D42EC">
        <w:rPr>
          <w:rFonts w:ascii="Verdana" w:hAnsi="Verdana"/>
          <w:bCs/>
          <w:color w:val="000000"/>
        </w:rPr>
        <w:t>The vendor is responsible for validating the results,</w:t>
      </w:r>
      <w:r w:rsidRPr="00516093" w:rsidR="00692E8F">
        <w:rPr>
          <w:rFonts w:ascii="Verdana" w:hAnsi="Verdana"/>
          <w:bCs/>
          <w:color w:val="000000"/>
        </w:rPr>
        <w:t xml:space="preserve"> including making sure that the sample protocol is followed, and all other requirements are followed. Only then is the data submitted to NCQA. </w:t>
      </w:r>
      <w:r w:rsidR="005658D8">
        <w:rPr>
          <w:rFonts w:ascii="Verdana" w:hAnsi="Verdana"/>
          <w:bCs/>
          <w:color w:val="000000"/>
        </w:rPr>
        <w:t>The</w:t>
      </w:r>
      <w:r w:rsidRPr="00516093" w:rsidR="00692E8F">
        <w:rPr>
          <w:rFonts w:ascii="Verdana" w:hAnsi="Verdana"/>
          <w:bCs/>
          <w:color w:val="000000"/>
        </w:rPr>
        <w:t xml:space="preserve"> OPM vendor does additional validation and analy</w:t>
      </w:r>
      <w:r w:rsidR="005658D8">
        <w:rPr>
          <w:rFonts w:ascii="Verdana" w:hAnsi="Verdana"/>
          <w:bCs/>
          <w:color w:val="000000"/>
        </w:rPr>
        <w:t>si</w:t>
      </w:r>
      <w:r w:rsidRPr="00516093" w:rsidR="00692E8F">
        <w:rPr>
          <w:rFonts w:ascii="Verdana" w:hAnsi="Verdana"/>
          <w:bCs/>
          <w:color w:val="000000"/>
        </w:rPr>
        <w:t>s under a separate contract with OPM.</w:t>
      </w:r>
      <w:r w:rsidR="0096282C">
        <w:rPr>
          <w:rFonts w:ascii="Verdana" w:hAnsi="Verdana"/>
          <w:bCs/>
          <w:color w:val="000000"/>
        </w:rPr>
        <w:t xml:space="preserve"> </w:t>
      </w:r>
      <w:r w:rsidRPr="00516093" w:rsidR="00692E8F">
        <w:rPr>
          <w:rFonts w:ascii="Verdana" w:hAnsi="Verdana"/>
          <w:bCs/>
          <w:color w:val="000000"/>
        </w:rPr>
        <w:t>Currently, the OPM vendor is a NCQA</w:t>
      </w:r>
      <w:r w:rsidR="004779EB">
        <w:rPr>
          <w:rFonts w:ascii="Verdana" w:hAnsi="Verdana"/>
          <w:bCs/>
          <w:color w:val="000000"/>
        </w:rPr>
        <w:t>-</w:t>
      </w:r>
      <w:r w:rsidRPr="00516093" w:rsidR="00692E8F">
        <w:rPr>
          <w:rFonts w:ascii="Verdana" w:hAnsi="Verdana"/>
          <w:bCs/>
          <w:color w:val="000000"/>
        </w:rPr>
        <w:t xml:space="preserve">Certified </w:t>
      </w:r>
      <w:r w:rsidR="004779EB">
        <w:rPr>
          <w:rFonts w:ascii="Verdana" w:hAnsi="Verdana"/>
          <w:bCs/>
          <w:color w:val="000000"/>
        </w:rPr>
        <w:t>survey v</w:t>
      </w:r>
      <w:r w:rsidRPr="00516093" w:rsidR="00692E8F">
        <w:rPr>
          <w:rFonts w:ascii="Verdana" w:hAnsi="Verdana"/>
          <w:bCs/>
          <w:color w:val="000000"/>
        </w:rPr>
        <w:t>endor.</w:t>
      </w:r>
      <w:r w:rsidR="0096282C">
        <w:rPr>
          <w:rFonts w:ascii="Verdana" w:hAnsi="Verdana"/>
          <w:bCs/>
          <w:color w:val="000000"/>
        </w:rPr>
        <w:t xml:space="preserve"> </w:t>
      </w:r>
    </w:p>
    <w:p w:rsidR="004E09E2" w:rsidRPr="00516093" w:rsidP="004E09E2" w14:paraId="2F9E60F3" w14:textId="77777777">
      <w:pPr>
        <w:autoSpaceDE w:val="0"/>
        <w:autoSpaceDN w:val="0"/>
        <w:spacing w:line="240" w:lineRule="atLeast"/>
        <w:rPr>
          <w:rFonts w:ascii="Verdana" w:hAnsi="Verdana"/>
          <w:b/>
          <w:bCs/>
          <w:color w:val="000000"/>
        </w:rPr>
      </w:pPr>
    </w:p>
    <w:p w:rsidR="004E09E2" w:rsidRPr="004779EB" w:rsidP="004779EB" w14:paraId="3C0EE728" w14:textId="2757511B">
      <w:pPr>
        <w:spacing w:after="200" w:line="276" w:lineRule="auto"/>
        <w:rPr>
          <w:rFonts w:ascii="Verdana" w:hAnsi="Verdana"/>
          <w:b/>
          <w:bCs/>
        </w:rPr>
      </w:pPr>
      <w:r w:rsidRPr="00516093">
        <w:rPr>
          <w:rFonts w:ascii="Verdana" w:hAnsi="Verdana"/>
          <w:b/>
          <w:bCs/>
        </w:rPr>
        <w:t>B4.</w:t>
      </w:r>
      <w:r w:rsidR="0096282C">
        <w:rPr>
          <w:rFonts w:ascii="Verdana" w:hAnsi="Verdana"/>
          <w:b/>
          <w:bCs/>
        </w:rPr>
        <w:t xml:space="preserve"> </w:t>
      </w:r>
      <w:r w:rsidRPr="00516093">
        <w:rPr>
          <w:rFonts w:ascii="Verdana" w:hAnsi="Verdana"/>
          <w:b/>
          <w:bCs/>
        </w:rPr>
        <w:t>Production of Estimates and Projections</w:t>
      </w:r>
      <w:r w:rsidRPr="00516093">
        <w:rPr>
          <w:rFonts w:ascii="Verdana" w:hAnsi="Verdana"/>
        </w:rPr>
        <w:t xml:space="preserve"> </w:t>
      </w:r>
    </w:p>
    <w:p w:rsidR="006E3B68" w:rsidRPr="00516093" w:rsidP="0097450A" w14:paraId="3F0B1C22" w14:textId="4638EFD9">
      <w:pPr>
        <w:ind w:left="720"/>
        <w:rPr>
          <w:rFonts w:ascii="Verdana" w:hAnsi="Verdana"/>
        </w:rPr>
      </w:pPr>
      <w:r w:rsidRPr="00516093">
        <w:rPr>
          <w:rFonts w:ascii="Verdana" w:hAnsi="Verdana"/>
        </w:rPr>
        <w:t>The CAHPS sampling protocols are set by NCQA and applied by the NCQA</w:t>
      </w:r>
      <w:r w:rsidR="004779EB">
        <w:rPr>
          <w:rFonts w:ascii="Verdana" w:hAnsi="Verdana"/>
        </w:rPr>
        <w:t>-</w:t>
      </w:r>
      <w:r w:rsidRPr="00516093">
        <w:rPr>
          <w:rFonts w:ascii="Verdana" w:hAnsi="Verdana"/>
        </w:rPr>
        <w:t xml:space="preserve">Certified </w:t>
      </w:r>
      <w:r w:rsidR="004779EB">
        <w:rPr>
          <w:rFonts w:ascii="Verdana" w:hAnsi="Verdana"/>
        </w:rPr>
        <w:t>v</w:t>
      </w:r>
      <w:r w:rsidRPr="00516093">
        <w:rPr>
          <w:rFonts w:ascii="Verdana" w:hAnsi="Verdana"/>
        </w:rPr>
        <w:t>endor for each health plan.</w:t>
      </w:r>
      <w:r w:rsidR="0096282C">
        <w:rPr>
          <w:rFonts w:ascii="Verdana" w:hAnsi="Verdana"/>
        </w:rPr>
        <w:t xml:space="preserve"> </w:t>
      </w:r>
      <w:r w:rsidRPr="00516093">
        <w:rPr>
          <w:rFonts w:ascii="Verdana" w:hAnsi="Verdana"/>
        </w:rPr>
        <w:t xml:space="preserve">This ensures that they are statistically valid, and comparisons of results can be made across all </w:t>
      </w:r>
      <w:r w:rsidR="004779EB">
        <w:rPr>
          <w:rFonts w:ascii="Verdana" w:hAnsi="Verdana"/>
        </w:rPr>
        <w:t>c</w:t>
      </w:r>
      <w:r w:rsidRPr="00516093">
        <w:rPr>
          <w:rFonts w:ascii="Verdana" w:hAnsi="Verdana"/>
        </w:rPr>
        <w:t>arriers.</w:t>
      </w:r>
      <w:r w:rsidR="0096282C">
        <w:rPr>
          <w:rFonts w:ascii="Verdana" w:hAnsi="Verdana"/>
        </w:rPr>
        <w:t xml:space="preserve"> </w:t>
      </w:r>
      <w:r w:rsidRPr="00516093">
        <w:rPr>
          <w:rFonts w:ascii="Verdana" w:hAnsi="Verdana"/>
        </w:rPr>
        <w:t>NCQA</w:t>
      </w:r>
      <w:r w:rsidR="004779EB">
        <w:rPr>
          <w:rFonts w:ascii="Verdana" w:hAnsi="Verdana"/>
        </w:rPr>
        <w:t>-</w:t>
      </w:r>
      <w:r w:rsidRPr="00516093">
        <w:rPr>
          <w:rFonts w:ascii="Verdana" w:hAnsi="Verdana"/>
        </w:rPr>
        <w:t xml:space="preserve">Certified </w:t>
      </w:r>
      <w:r w:rsidR="004779EB">
        <w:rPr>
          <w:rFonts w:ascii="Verdana" w:hAnsi="Verdana"/>
        </w:rPr>
        <w:t>v</w:t>
      </w:r>
      <w:r w:rsidRPr="00516093">
        <w:rPr>
          <w:rFonts w:ascii="Verdana" w:hAnsi="Verdana"/>
        </w:rPr>
        <w:t xml:space="preserve">endors identify any biased results, and those results are excluded from use. For a specific measure identified as </w:t>
      </w:r>
      <w:r w:rsidRPr="00516093">
        <w:rPr>
          <w:rFonts w:ascii="Verdana" w:hAnsi="Verdana"/>
        </w:rPr>
        <w:t>biased, the results are not used in the analysis or for the calculation of profit factor.</w:t>
      </w:r>
      <w:r w:rsidR="0096282C">
        <w:rPr>
          <w:rFonts w:ascii="Verdana" w:hAnsi="Verdana"/>
        </w:rPr>
        <w:t xml:space="preserve"> </w:t>
      </w:r>
      <w:r w:rsidRPr="00516093">
        <w:rPr>
          <w:rFonts w:ascii="Verdana" w:hAnsi="Verdana"/>
        </w:rPr>
        <w:t>They are also not made available to consumers.</w:t>
      </w:r>
    </w:p>
    <w:p w:rsidR="00564AFF" w:rsidP="004E09E2" w14:paraId="2EDC32A7" w14:textId="55E7C274">
      <w:pPr>
        <w:autoSpaceDE w:val="0"/>
        <w:autoSpaceDN w:val="0"/>
        <w:spacing w:line="240" w:lineRule="atLeast"/>
        <w:rPr>
          <w:rFonts w:ascii="Verdana" w:hAnsi="Verdana"/>
          <w:b/>
          <w:bCs/>
          <w:color w:val="000000"/>
        </w:rPr>
      </w:pPr>
    </w:p>
    <w:p w:rsidR="00F9240D" w:rsidRPr="004525D4" w:rsidP="00F9240D" w14:paraId="110338C4" w14:textId="5C4B3059">
      <w:pPr>
        <w:rPr>
          <w:rFonts w:ascii="Verdana" w:hAnsi="Verdana"/>
          <w:szCs w:val="20"/>
        </w:rPr>
      </w:pPr>
      <w:r w:rsidRPr="004525D4">
        <w:rPr>
          <w:rFonts w:ascii="Verdana" w:hAnsi="Verdana"/>
        </w:rPr>
        <w:t xml:space="preserve">NCQA auditors review the sample for material bias. If this bias is found, they do not approve the sample frame for use. For the survey sample frame, material bias is caused by a (+/-)10% difference between the eligible population and the survey sample frame. For example, if an error in the generation of the sample frame results in the exclusion of more than 10% of eligible members, the sample frame is considered materially biased, and the auditor does not approve the sample frame. The health plan must correct errors and regenerate the sample </w:t>
      </w:r>
      <w:r w:rsidRPr="004525D4" w:rsidR="00D606B7">
        <w:rPr>
          <w:rFonts w:ascii="Verdana" w:hAnsi="Verdana"/>
        </w:rPr>
        <w:t>frame,</w:t>
      </w:r>
      <w:r w:rsidRPr="004525D4">
        <w:rPr>
          <w:rFonts w:ascii="Verdana" w:hAnsi="Verdana"/>
        </w:rPr>
        <w:t xml:space="preserve"> or it receives an audit result of Not Applicable (NA) for the survey and any measure collected through that survey</w:t>
      </w:r>
      <w:r w:rsidR="00421E20">
        <w:rPr>
          <w:rFonts w:ascii="Verdana" w:hAnsi="Verdana"/>
        </w:rPr>
        <w:t>.</w:t>
      </w:r>
    </w:p>
    <w:p w:rsidR="00F9240D" w:rsidRPr="004525D4" w:rsidP="00F9240D" w14:paraId="43A575C5" w14:textId="77777777">
      <w:pPr>
        <w:autoSpaceDE w:val="0"/>
        <w:autoSpaceDN w:val="0"/>
        <w:spacing w:line="240" w:lineRule="atLeast"/>
        <w:rPr>
          <w:rFonts w:ascii="Verdana" w:hAnsi="Verdana"/>
          <w:b/>
          <w:bCs/>
          <w:color w:val="000000"/>
        </w:rPr>
      </w:pPr>
    </w:p>
    <w:p w:rsidR="00F9240D" w:rsidRPr="00516093" w:rsidP="004E09E2" w14:paraId="371BCA36" w14:textId="77777777">
      <w:pPr>
        <w:autoSpaceDE w:val="0"/>
        <w:autoSpaceDN w:val="0"/>
        <w:spacing w:line="240" w:lineRule="atLeast"/>
        <w:rPr>
          <w:rFonts w:ascii="Verdana" w:hAnsi="Verdana"/>
          <w:b/>
          <w:bCs/>
          <w:color w:val="000000"/>
        </w:rPr>
      </w:pPr>
    </w:p>
    <w:p w:rsidR="00653F1C" w:rsidRPr="00516093" w:rsidP="004E09E2" w14:paraId="508FEC16" w14:textId="20459F17">
      <w:pPr>
        <w:autoSpaceDE w:val="0"/>
        <w:autoSpaceDN w:val="0"/>
        <w:spacing w:line="240" w:lineRule="atLeast"/>
        <w:rPr>
          <w:rFonts w:ascii="Verdana" w:hAnsi="Verdana"/>
          <w:b/>
          <w:bCs/>
          <w:color w:val="000000"/>
        </w:rPr>
      </w:pPr>
      <w:r w:rsidRPr="00516093">
        <w:rPr>
          <w:rFonts w:ascii="Verdana" w:hAnsi="Verdana"/>
          <w:b/>
          <w:bCs/>
          <w:color w:val="000000"/>
        </w:rPr>
        <w:t>B5.</w:t>
      </w:r>
      <w:r w:rsidR="0096282C">
        <w:rPr>
          <w:rFonts w:ascii="Verdana" w:hAnsi="Verdana"/>
          <w:color w:val="000000"/>
        </w:rPr>
        <w:t xml:space="preserve"> </w:t>
      </w:r>
      <w:r w:rsidRPr="00516093">
        <w:rPr>
          <w:rFonts w:ascii="Verdana" w:hAnsi="Verdana"/>
          <w:b/>
          <w:bCs/>
          <w:color w:val="000000"/>
        </w:rPr>
        <w:t>Data Analysis</w:t>
      </w:r>
    </w:p>
    <w:p w:rsidR="00564AFF" w:rsidRPr="00516093" w:rsidP="004E09E2" w14:paraId="3C60E368" w14:textId="77777777">
      <w:pPr>
        <w:autoSpaceDE w:val="0"/>
        <w:autoSpaceDN w:val="0"/>
        <w:spacing w:line="240" w:lineRule="atLeast"/>
        <w:rPr>
          <w:rFonts w:ascii="Verdana" w:hAnsi="Verdana"/>
          <w:color w:val="000000"/>
        </w:rPr>
      </w:pPr>
    </w:p>
    <w:p w:rsidR="00AC6766" w:rsidRPr="00516093" w:rsidP="00AC6766" w14:paraId="6C00D755" w14:textId="4B126EFD">
      <w:pPr>
        <w:autoSpaceDE w:val="0"/>
        <w:autoSpaceDN w:val="0"/>
        <w:adjustRightInd w:val="0"/>
        <w:rPr>
          <w:rFonts w:ascii="Verdana" w:hAnsi="Verdana"/>
          <w:szCs w:val="22"/>
        </w:rPr>
      </w:pPr>
      <w:r w:rsidRPr="00516093">
        <w:rPr>
          <w:rFonts w:ascii="Verdana" w:hAnsi="Verdana"/>
          <w:szCs w:val="22"/>
        </w:rPr>
        <w:t xml:space="preserve">Basic survey analysis techniques (e.g., </w:t>
      </w:r>
      <w:r w:rsidRPr="00516093" w:rsidR="00E447BD">
        <w:rPr>
          <w:rFonts w:ascii="Verdana" w:hAnsi="Verdana"/>
          <w:szCs w:val="22"/>
        </w:rPr>
        <w:t xml:space="preserve">comparing to commercial benchmarks produced by NCQA for CAHPS, </w:t>
      </w:r>
      <w:r w:rsidRPr="00516093">
        <w:rPr>
          <w:rFonts w:ascii="Verdana" w:hAnsi="Verdana"/>
          <w:szCs w:val="22"/>
        </w:rPr>
        <w:t>calculating frequencies</w:t>
      </w:r>
      <w:r w:rsidRPr="00516093" w:rsidR="00E447BD">
        <w:rPr>
          <w:rFonts w:ascii="Verdana" w:hAnsi="Verdana"/>
          <w:szCs w:val="22"/>
        </w:rPr>
        <w:t>, patterns, etc.</w:t>
      </w:r>
      <w:r w:rsidRPr="00516093">
        <w:rPr>
          <w:rFonts w:ascii="Verdana" w:hAnsi="Verdana"/>
          <w:szCs w:val="22"/>
        </w:rPr>
        <w:t>) will be used to interpret and explain the data provided by respond</w:t>
      </w:r>
      <w:r w:rsidRPr="00516093" w:rsidR="00E447BD">
        <w:rPr>
          <w:rFonts w:ascii="Verdana" w:hAnsi="Verdana"/>
          <w:szCs w:val="22"/>
        </w:rPr>
        <w:t xml:space="preserve">ents. </w:t>
      </w:r>
      <w:r w:rsidR="0097450A">
        <w:rPr>
          <w:rFonts w:ascii="Verdana" w:hAnsi="Verdana"/>
          <w:szCs w:val="22"/>
        </w:rPr>
        <w:t>FEHB</w:t>
      </w:r>
      <w:r w:rsidRPr="00516093" w:rsidR="0097450A">
        <w:rPr>
          <w:rFonts w:ascii="Verdana" w:hAnsi="Verdana"/>
          <w:szCs w:val="22"/>
        </w:rPr>
        <w:t xml:space="preserve"> </w:t>
      </w:r>
      <w:r w:rsidRPr="00516093" w:rsidR="00E447BD">
        <w:rPr>
          <w:rFonts w:ascii="Verdana" w:hAnsi="Verdana"/>
          <w:szCs w:val="22"/>
        </w:rPr>
        <w:t xml:space="preserve">results will be used </w:t>
      </w:r>
      <w:r w:rsidRPr="00516093" w:rsidR="00AD5600">
        <w:rPr>
          <w:rFonts w:ascii="Verdana" w:hAnsi="Verdana"/>
          <w:szCs w:val="22"/>
        </w:rPr>
        <w:t>in the FEHB Plan Performance Assessment, and ranges for each FEHB Plan</w:t>
      </w:r>
      <w:r w:rsidR="00A44F65">
        <w:rPr>
          <w:rFonts w:ascii="Verdana" w:hAnsi="Verdana"/>
          <w:szCs w:val="22"/>
        </w:rPr>
        <w:t xml:space="preserve"> are</w:t>
      </w:r>
      <w:r w:rsidRPr="00516093" w:rsidR="00AD5600">
        <w:rPr>
          <w:rFonts w:ascii="Verdana" w:hAnsi="Verdana"/>
          <w:szCs w:val="22"/>
        </w:rPr>
        <w:t xml:space="preserve"> posted on the OPM website</w:t>
      </w:r>
      <w:r w:rsidRPr="00516093" w:rsidR="00E447BD">
        <w:rPr>
          <w:rFonts w:ascii="Verdana" w:hAnsi="Verdana"/>
          <w:szCs w:val="22"/>
        </w:rPr>
        <w:t xml:space="preserve"> (</w:t>
      </w:r>
      <w:hyperlink r:id="rId12" w:history="1">
        <w:r w:rsidRPr="00516093" w:rsidR="00E447BD">
          <w:rPr>
            <w:rStyle w:val="Hyperlink"/>
            <w:rFonts w:ascii="Verdana" w:hAnsi="Verdana"/>
            <w:szCs w:val="22"/>
          </w:rPr>
          <w:t>https://www.opm.gov/healthcare-insurance/healthcare/plan-information/compare-plans/quality</w:t>
        </w:r>
      </w:hyperlink>
      <w:r w:rsidRPr="00516093" w:rsidR="00E447BD">
        <w:rPr>
          <w:rFonts w:ascii="Verdana" w:hAnsi="Verdana"/>
          <w:szCs w:val="22"/>
        </w:rPr>
        <w:t xml:space="preserve">) </w:t>
      </w:r>
      <w:r w:rsidRPr="00516093" w:rsidR="00AD5600">
        <w:rPr>
          <w:rFonts w:ascii="Verdana" w:hAnsi="Verdana"/>
          <w:szCs w:val="22"/>
        </w:rPr>
        <w:t>and included in the results for the FEHB Plan Comparison Tool</w:t>
      </w:r>
      <w:r w:rsidRPr="00516093" w:rsidR="00E447BD">
        <w:rPr>
          <w:rFonts w:ascii="Verdana" w:hAnsi="Verdana"/>
          <w:szCs w:val="22"/>
        </w:rPr>
        <w:t xml:space="preserve"> (</w:t>
      </w:r>
      <w:hyperlink r:id="rId13" w:history="1">
        <w:r w:rsidRPr="00516093" w:rsidR="00E447BD">
          <w:rPr>
            <w:rStyle w:val="Hyperlink"/>
            <w:rFonts w:ascii="Verdana" w:hAnsi="Verdana"/>
            <w:szCs w:val="22"/>
          </w:rPr>
          <w:t>https://www.opm.gov/healthcare-insurance/healthcare/plan-information/compare-plans/</w:t>
        </w:r>
      </w:hyperlink>
      <w:r w:rsidRPr="00516093" w:rsidR="00E447BD">
        <w:rPr>
          <w:rFonts w:ascii="Verdana" w:hAnsi="Verdana"/>
          <w:szCs w:val="22"/>
        </w:rPr>
        <w:t>).</w:t>
      </w:r>
      <w:r w:rsidR="0096282C">
        <w:rPr>
          <w:rFonts w:ascii="Verdana" w:hAnsi="Verdana"/>
          <w:szCs w:val="22"/>
        </w:rPr>
        <w:t xml:space="preserve"> </w:t>
      </w:r>
      <w:r w:rsidR="0097450A">
        <w:rPr>
          <w:rFonts w:ascii="Verdana" w:hAnsi="Verdana"/>
          <w:szCs w:val="22"/>
        </w:rPr>
        <w:t>P</w:t>
      </w:r>
      <w:r w:rsidR="00D606B7">
        <w:rPr>
          <w:rFonts w:ascii="Verdana" w:hAnsi="Verdana"/>
          <w:szCs w:val="22"/>
        </w:rPr>
        <w:t>SHB</w:t>
      </w:r>
      <w:r w:rsidR="0097450A">
        <w:rPr>
          <w:rFonts w:ascii="Verdana" w:hAnsi="Verdana"/>
          <w:szCs w:val="22"/>
        </w:rPr>
        <w:t xml:space="preserve"> results will be used in the PSHB Plan Performance Assessment, and ranges for each PSHB Plan</w:t>
      </w:r>
      <w:r w:rsidR="00A44F65">
        <w:rPr>
          <w:rFonts w:ascii="Verdana" w:hAnsi="Verdana"/>
          <w:szCs w:val="22"/>
        </w:rPr>
        <w:t xml:space="preserve"> are</w:t>
      </w:r>
      <w:r w:rsidR="0097450A">
        <w:rPr>
          <w:rFonts w:ascii="Verdana" w:hAnsi="Verdana"/>
          <w:szCs w:val="22"/>
        </w:rPr>
        <w:t xml:space="preserve"> posted on the OPM</w:t>
      </w:r>
      <w:r w:rsidR="00CC2878">
        <w:rPr>
          <w:rFonts w:ascii="Verdana" w:hAnsi="Verdana"/>
          <w:szCs w:val="22"/>
        </w:rPr>
        <w:t xml:space="preserve"> Decision Support Tool (</w:t>
      </w:r>
      <w:hyperlink r:id="rId14" w:history="1">
        <w:r w:rsidRPr="00CC2878" w:rsidR="00CC2878">
          <w:rPr>
            <w:rStyle w:val="Hyperlink"/>
            <w:rFonts w:ascii="Verdana" w:hAnsi="Verdana"/>
            <w:szCs w:val="22"/>
          </w:rPr>
          <w:t>Home - Postal Service Health Benefits</w:t>
        </w:r>
      </w:hyperlink>
      <w:r w:rsidR="00CC2878">
        <w:rPr>
          <w:rFonts w:ascii="Verdana" w:hAnsi="Verdana"/>
          <w:szCs w:val="22"/>
        </w:rPr>
        <w:t>)</w:t>
      </w:r>
    </w:p>
    <w:p w:rsidR="00AC6766" w:rsidRPr="00516093" w:rsidP="00AC6766" w14:paraId="7751CDD0" w14:textId="77777777">
      <w:pPr>
        <w:autoSpaceDE w:val="0"/>
        <w:autoSpaceDN w:val="0"/>
        <w:adjustRightInd w:val="0"/>
        <w:rPr>
          <w:rFonts w:ascii="Verdana" w:hAnsi="Verdana"/>
          <w:sz w:val="22"/>
          <w:szCs w:val="22"/>
        </w:rPr>
      </w:pPr>
    </w:p>
    <w:p w:rsidR="004E09E2" w:rsidRPr="00516093" w:rsidP="004E09E2" w14:paraId="1851A12C" w14:textId="32E85B99">
      <w:pPr>
        <w:autoSpaceDE w:val="0"/>
        <w:autoSpaceDN w:val="0"/>
        <w:spacing w:line="240" w:lineRule="atLeast"/>
        <w:rPr>
          <w:rFonts w:ascii="Verdana" w:hAnsi="Verdana"/>
          <w:color w:val="000000"/>
        </w:rPr>
      </w:pPr>
      <w:r w:rsidRPr="00516093">
        <w:rPr>
          <w:rFonts w:ascii="Verdana" w:hAnsi="Verdana"/>
          <w:b/>
          <w:bCs/>
          <w:color w:val="000000"/>
        </w:rPr>
        <w:t>B6.</w:t>
      </w:r>
      <w:r w:rsidR="0096282C">
        <w:rPr>
          <w:rFonts w:ascii="Verdana" w:hAnsi="Verdana"/>
          <w:b/>
          <w:bCs/>
          <w:color w:val="000000"/>
        </w:rPr>
        <w:t xml:space="preserve"> </w:t>
      </w:r>
      <w:r w:rsidRPr="00516093">
        <w:rPr>
          <w:rFonts w:ascii="Verdana" w:hAnsi="Verdana"/>
          <w:b/>
          <w:bCs/>
          <w:color w:val="000000"/>
        </w:rPr>
        <w:t>Review and Evaluation Procedures</w:t>
      </w:r>
      <w:r w:rsidRPr="00516093">
        <w:rPr>
          <w:rFonts w:ascii="Verdana" w:hAnsi="Verdana"/>
          <w:color w:val="000000"/>
        </w:rPr>
        <w:t xml:space="preserve"> </w:t>
      </w:r>
    </w:p>
    <w:p w:rsidR="00B8465E" w:rsidRPr="00516093" w:rsidP="004E09E2" w14:paraId="0EA0CB29" w14:textId="77777777">
      <w:pPr>
        <w:rPr>
          <w:rFonts w:ascii="Verdana" w:hAnsi="Verdana"/>
        </w:rPr>
      </w:pPr>
    </w:p>
    <w:p w:rsidR="00EF146A" w:rsidRPr="00516093" w:rsidP="004E09E2" w14:paraId="499EA3E2" w14:textId="39A5B2DE">
      <w:pPr>
        <w:rPr>
          <w:rFonts w:ascii="Verdana" w:hAnsi="Verdana"/>
        </w:rPr>
      </w:pPr>
      <w:r w:rsidRPr="00516093">
        <w:rPr>
          <w:rFonts w:ascii="Verdana" w:hAnsi="Verdana"/>
        </w:rPr>
        <w:t>As noted above, t</w:t>
      </w:r>
      <w:r w:rsidRPr="00516093" w:rsidR="002D7997">
        <w:rPr>
          <w:rFonts w:ascii="Verdana" w:hAnsi="Verdana"/>
        </w:rPr>
        <w:t xml:space="preserve">he survey tool was developed </w:t>
      </w:r>
      <w:r w:rsidRPr="00516093">
        <w:rPr>
          <w:rFonts w:ascii="Verdana" w:hAnsi="Verdana"/>
        </w:rPr>
        <w:t>by AHRQ and is the industry standard, used for multiple government healthcare programs including Medicare and Medicaid, by NCQA for accreditation, by states for their healthcare programs, and throughout the industry.</w:t>
      </w:r>
      <w:r w:rsidR="0096282C">
        <w:rPr>
          <w:rFonts w:ascii="Verdana" w:hAnsi="Verdana"/>
        </w:rPr>
        <w:t xml:space="preserve"> </w:t>
      </w:r>
      <w:r w:rsidRPr="00516093">
        <w:rPr>
          <w:rFonts w:ascii="Verdana" w:hAnsi="Verdana"/>
        </w:rPr>
        <w:t>PRA approval has been granted on numerous occasions for CAHPS in CMS programs.</w:t>
      </w:r>
      <w:r w:rsidR="0096282C">
        <w:rPr>
          <w:rFonts w:ascii="Verdana" w:hAnsi="Verdana"/>
        </w:rPr>
        <w:t xml:space="preserve"> </w:t>
      </w:r>
    </w:p>
    <w:p w:rsidR="003A5EF5" w:rsidRPr="00516093" w:rsidP="004E09E2" w14:paraId="6601F396" w14:textId="77777777">
      <w:pPr>
        <w:rPr>
          <w:rFonts w:ascii="Verdana" w:hAnsi="Verdana"/>
        </w:rPr>
      </w:pPr>
    </w:p>
    <w:p w:rsidR="004E09E2" w:rsidRPr="00516093" w:rsidP="00564AFF" w14:paraId="73EA9D34" w14:textId="38DA14F4">
      <w:pPr>
        <w:rPr>
          <w:rFonts w:ascii="Verdana" w:hAnsi="Verdana"/>
        </w:rPr>
      </w:pPr>
      <w:r w:rsidRPr="00516093">
        <w:rPr>
          <w:rFonts w:ascii="Verdana" w:hAnsi="Verdana"/>
          <w:b/>
          <w:bCs/>
        </w:rPr>
        <w:t>B7.</w:t>
      </w:r>
      <w:r w:rsidR="0096282C">
        <w:rPr>
          <w:rFonts w:ascii="Verdana" w:hAnsi="Verdana"/>
          <w:b/>
          <w:bCs/>
        </w:rPr>
        <w:t xml:space="preserve"> </w:t>
      </w:r>
      <w:r w:rsidRPr="00516093">
        <w:rPr>
          <w:rFonts w:ascii="Verdana" w:hAnsi="Verdana"/>
          <w:b/>
          <w:bCs/>
        </w:rPr>
        <w:t>Data Dissemination</w:t>
      </w:r>
      <w:r w:rsidRPr="00516093">
        <w:rPr>
          <w:rFonts w:ascii="Verdana" w:hAnsi="Verdana"/>
        </w:rPr>
        <w:t xml:space="preserve"> </w:t>
      </w:r>
    </w:p>
    <w:p w:rsidR="004E09E2" w:rsidRPr="00516093" w:rsidP="004E09E2" w14:paraId="0A9DBA52" w14:textId="77777777">
      <w:pPr>
        <w:rPr>
          <w:rFonts w:ascii="Verdana" w:hAnsi="Verdana"/>
        </w:rPr>
      </w:pPr>
    </w:p>
    <w:p w:rsidR="00ED61AB" w:rsidRPr="00516093" w:rsidP="004E09E2" w14:paraId="60019AF4" w14:textId="683C0398">
      <w:pPr>
        <w:rPr>
          <w:rFonts w:ascii="Verdana" w:hAnsi="Verdana"/>
          <w:szCs w:val="22"/>
        </w:rPr>
      </w:pPr>
      <w:r w:rsidRPr="00516093">
        <w:rPr>
          <w:rFonts w:ascii="Verdana" w:hAnsi="Verdana"/>
          <w:szCs w:val="22"/>
        </w:rPr>
        <w:t xml:space="preserve">Aggregated reporting on the CAHPS survey results </w:t>
      </w:r>
      <w:r w:rsidRPr="00516093" w:rsidR="007365DF">
        <w:rPr>
          <w:rFonts w:ascii="Verdana" w:hAnsi="Verdana"/>
          <w:szCs w:val="22"/>
        </w:rPr>
        <w:t>are</w:t>
      </w:r>
      <w:r w:rsidRPr="00516093">
        <w:rPr>
          <w:rFonts w:ascii="Verdana" w:hAnsi="Verdana"/>
          <w:szCs w:val="22"/>
        </w:rPr>
        <w:t xml:space="preserve"> provided on two OPM webpages to help inform selection of FEHB </w:t>
      </w:r>
      <w:r w:rsidR="00CC2878">
        <w:rPr>
          <w:rFonts w:ascii="Verdana" w:hAnsi="Verdana"/>
          <w:szCs w:val="22"/>
        </w:rPr>
        <w:t xml:space="preserve">and PSHB </w:t>
      </w:r>
      <w:r w:rsidRPr="00516093">
        <w:rPr>
          <w:rFonts w:ascii="Verdana" w:hAnsi="Verdana"/>
          <w:szCs w:val="22"/>
        </w:rPr>
        <w:t>health plans.</w:t>
      </w:r>
      <w:r w:rsidR="0096282C">
        <w:rPr>
          <w:rFonts w:ascii="Verdana" w:hAnsi="Verdana"/>
          <w:szCs w:val="22"/>
        </w:rPr>
        <w:t xml:space="preserve"> </w:t>
      </w:r>
      <w:r w:rsidRPr="00516093">
        <w:rPr>
          <w:rFonts w:ascii="Verdana" w:hAnsi="Verdana"/>
          <w:szCs w:val="22"/>
        </w:rPr>
        <w:t xml:space="preserve">Specific </w:t>
      </w:r>
      <w:r w:rsidR="004779EB">
        <w:rPr>
          <w:rFonts w:ascii="Verdana" w:hAnsi="Verdana"/>
          <w:szCs w:val="22"/>
        </w:rPr>
        <w:t>c</w:t>
      </w:r>
      <w:r w:rsidRPr="00516093">
        <w:rPr>
          <w:rFonts w:ascii="Verdana" w:hAnsi="Verdana"/>
          <w:szCs w:val="22"/>
        </w:rPr>
        <w:t>arrier scores are reported within a range.</w:t>
      </w:r>
      <w:r w:rsidR="0096282C">
        <w:rPr>
          <w:rFonts w:ascii="Verdana" w:hAnsi="Verdana"/>
          <w:szCs w:val="22"/>
        </w:rPr>
        <w:t xml:space="preserve"> </w:t>
      </w:r>
    </w:p>
    <w:p w:rsidR="00B8465E" w:rsidRPr="00516093" w:rsidP="004E09E2" w14:paraId="38A26133" w14:textId="77777777">
      <w:pPr>
        <w:rPr>
          <w:rFonts w:ascii="Verdana" w:hAnsi="Verdana"/>
          <w:szCs w:val="22"/>
        </w:rPr>
      </w:pPr>
      <w:r w:rsidRPr="00516093">
        <w:rPr>
          <w:rFonts w:ascii="Verdana" w:hAnsi="Verdana"/>
          <w:szCs w:val="22"/>
        </w:rPr>
        <w:t xml:space="preserve"> </w:t>
      </w:r>
    </w:p>
    <w:p w:rsidR="00B8465E" w:rsidRPr="00516093" w:rsidP="004E09E2" w14:paraId="4877C435" w14:textId="648E1AF8">
      <w:pPr>
        <w:rPr>
          <w:rFonts w:ascii="Verdana" w:hAnsi="Verdana"/>
        </w:rPr>
      </w:pPr>
      <w:r w:rsidRPr="00516093">
        <w:rPr>
          <w:rFonts w:ascii="Verdana" w:hAnsi="Verdana"/>
          <w:szCs w:val="22"/>
        </w:rPr>
        <w:t xml:space="preserve">No PII is reported on the CAHPS results. The results are </w:t>
      </w:r>
      <w:r w:rsidRPr="00516093" w:rsidR="007365DF">
        <w:rPr>
          <w:rFonts w:ascii="Verdana" w:hAnsi="Verdana"/>
          <w:szCs w:val="22"/>
        </w:rPr>
        <w:t>aggregated,</w:t>
      </w:r>
      <w:r w:rsidRPr="00516093">
        <w:rPr>
          <w:rFonts w:ascii="Verdana" w:hAnsi="Verdana"/>
          <w:szCs w:val="22"/>
        </w:rPr>
        <w:t xml:space="preserve"> and no individual responses are reported.</w:t>
      </w:r>
      <w:r w:rsidR="0096282C">
        <w:rPr>
          <w:rFonts w:ascii="Verdana" w:hAnsi="Verdana"/>
          <w:szCs w:val="22"/>
        </w:rPr>
        <w:t xml:space="preserve"> </w:t>
      </w:r>
    </w:p>
    <w:p w:rsidR="00B8465E" w:rsidRPr="00516093" w:rsidP="004E09E2" w14:paraId="35AF0790" w14:textId="77777777">
      <w:pPr>
        <w:rPr>
          <w:rFonts w:ascii="Verdana" w:hAnsi="Verdana"/>
        </w:rPr>
      </w:pPr>
    </w:p>
    <w:p w:rsidR="004E09E2" w:rsidRPr="00516093" w:rsidP="004E09E2" w14:paraId="16C1DEC8" w14:textId="2CA05757">
      <w:pPr>
        <w:rPr>
          <w:rFonts w:ascii="Verdana" w:hAnsi="Verdana"/>
        </w:rPr>
      </w:pPr>
      <w:r w:rsidRPr="00516093">
        <w:rPr>
          <w:rFonts w:ascii="Verdana" w:hAnsi="Verdana"/>
          <w:b/>
          <w:bCs/>
        </w:rPr>
        <w:t>B8.</w:t>
      </w:r>
      <w:r w:rsidR="0096282C">
        <w:rPr>
          <w:rFonts w:ascii="Verdana" w:hAnsi="Verdana"/>
          <w:b/>
          <w:bCs/>
        </w:rPr>
        <w:t xml:space="preserve"> </w:t>
      </w:r>
      <w:r w:rsidRPr="00516093">
        <w:rPr>
          <w:rFonts w:ascii="Verdana" w:hAnsi="Verdana"/>
          <w:b/>
          <w:bCs/>
        </w:rPr>
        <w:t>Contact Person(s)</w:t>
      </w:r>
    </w:p>
    <w:p w:rsidR="004E09E2" w:rsidRPr="00516093" w:rsidP="004E09E2" w14:paraId="268C4C5D" w14:textId="77777777">
      <w:pPr>
        <w:rPr>
          <w:rFonts w:ascii="Verdana" w:hAnsi="Verdana"/>
          <w:sz w:val="22"/>
          <w:szCs w:val="22"/>
        </w:rPr>
      </w:pPr>
    </w:p>
    <w:p w:rsidR="00ED61AB" w:rsidRPr="002A5800" w14:paraId="78D449FC" w14:textId="5F0F34D4">
      <w:pPr>
        <w:rPr>
          <w:rFonts w:ascii="Verdana" w:hAnsi="Verdana"/>
        </w:rPr>
      </w:pPr>
      <w:r w:rsidRPr="002A5800">
        <w:rPr>
          <w:rFonts w:ascii="Verdana" w:hAnsi="Verdana"/>
        </w:rPr>
        <w:t>Meredith Gitangu</w:t>
      </w:r>
      <w:r w:rsidRPr="002A5800" w:rsidR="007365DF">
        <w:rPr>
          <w:rFonts w:ascii="Verdana" w:hAnsi="Verdana"/>
        </w:rPr>
        <w:t>, Senior Policy Analyst</w:t>
      </w:r>
    </w:p>
    <w:p w:rsidR="007365DF" w:rsidRPr="002A5800" w14:paraId="16A25C43" w14:textId="5E495122">
      <w:pPr>
        <w:rPr>
          <w:rFonts w:ascii="Verdana" w:hAnsi="Verdana"/>
        </w:rPr>
      </w:pPr>
      <w:r w:rsidRPr="002A5800">
        <w:rPr>
          <w:rFonts w:ascii="Verdana" w:hAnsi="Verdana"/>
        </w:rPr>
        <w:t>Healthcare and Insurance</w:t>
      </w:r>
    </w:p>
    <w:p w:rsidR="00A209CF" w:rsidRPr="002A5800" w14:paraId="14CE431F" w14:textId="064C7415">
      <w:pPr>
        <w:rPr>
          <w:rFonts w:ascii="Verdana" w:hAnsi="Verdana"/>
        </w:rPr>
      </w:pPr>
      <w:r w:rsidRPr="002A5800">
        <w:rPr>
          <w:rFonts w:ascii="Verdana" w:hAnsi="Verdana"/>
        </w:rPr>
        <w:t>U.S. Office of Personnel Management</w:t>
      </w:r>
    </w:p>
    <w:p w:rsidR="00A209CF" w:rsidRPr="00516093" w14:paraId="1EF56292" w14:textId="35CA74A4">
      <w:pPr>
        <w:rPr>
          <w:rFonts w:ascii="Verdana" w:hAnsi="Verdana"/>
        </w:rPr>
      </w:pPr>
      <w:r w:rsidRPr="002A5800">
        <w:rPr>
          <w:rFonts w:ascii="Verdana" w:hAnsi="Verdana"/>
        </w:rPr>
        <w:t>Meredith.Gitangu@opm.gov</w:t>
      </w:r>
    </w:p>
    <w:p w:rsidR="00A209CF" w:rsidRPr="00516093" w14:paraId="46D32D9E" w14:textId="77777777">
      <w:pPr>
        <w:rPr>
          <w:rFonts w:ascii="Verdana" w:hAnsi="Verdana"/>
          <w:b/>
        </w:rPr>
      </w:pPr>
    </w:p>
    <w:p w:rsidR="00C019AB" w:rsidRPr="00BD3D93" w14:paraId="3DBC3829" w14:textId="77777777">
      <w:pPr>
        <w:rPr>
          <w:rFonts w:ascii="Verdana" w:hAnsi="Verdana"/>
          <w:bCs/>
        </w:rPr>
      </w:pPr>
      <w:r w:rsidRPr="00BD3D93">
        <w:rPr>
          <w:rFonts w:ascii="Verdana" w:hAnsi="Verdana"/>
          <w:bCs/>
        </w:rPr>
        <w:t xml:space="preserve">Johanna Kalin, </w:t>
      </w:r>
      <w:r w:rsidRPr="00BD3D93">
        <w:rPr>
          <w:rFonts w:ascii="Verdana" w:hAnsi="Verdana"/>
          <w:bCs/>
        </w:rPr>
        <w:t>Branch Chief</w:t>
      </w:r>
    </w:p>
    <w:p w:rsidR="00625A94" w:rsidRPr="00BD3D93" w14:paraId="11A8CD26" w14:textId="77777777">
      <w:pPr>
        <w:rPr>
          <w:rFonts w:ascii="Verdana" w:hAnsi="Verdana"/>
          <w:bCs/>
        </w:rPr>
      </w:pPr>
      <w:r w:rsidRPr="00BD3D93">
        <w:rPr>
          <w:rFonts w:ascii="Verdana" w:hAnsi="Verdana"/>
          <w:bCs/>
        </w:rPr>
        <w:t>Healthcare and Insurance</w:t>
      </w:r>
    </w:p>
    <w:p w:rsidR="00625A94" w:rsidRPr="00BD3D93" w14:paraId="5D53CE10" w14:textId="77777777">
      <w:pPr>
        <w:rPr>
          <w:rFonts w:ascii="Verdana" w:hAnsi="Verdana"/>
          <w:bCs/>
        </w:rPr>
      </w:pPr>
      <w:r w:rsidRPr="00BD3D93">
        <w:rPr>
          <w:rFonts w:ascii="Verdana" w:hAnsi="Verdana"/>
          <w:bCs/>
        </w:rPr>
        <w:t>U.S. Office of Personnel Management</w:t>
      </w:r>
    </w:p>
    <w:p w:rsidR="00394799" w:rsidRPr="00BD3D93" w14:paraId="2E89D12E" w14:textId="27E441CD">
      <w:pPr>
        <w:rPr>
          <w:rFonts w:ascii="Verdana" w:hAnsi="Verdana"/>
          <w:bCs/>
        </w:rPr>
      </w:pPr>
      <w:hyperlink r:id="rId15" w:history="1">
        <w:r w:rsidRPr="00BD3D93">
          <w:rPr>
            <w:rStyle w:val="Hyperlink"/>
            <w:rFonts w:ascii="Verdana" w:hAnsi="Verdana"/>
            <w:bCs/>
          </w:rPr>
          <w:t>Johanna.Kalin@opm.gov</w:t>
        </w:r>
      </w:hyperlink>
      <w:r w:rsidRPr="00BD3D93">
        <w:rPr>
          <w:rFonts w:ascii="Verdana" w:hAnsi="Verdana"/>
          <w:bCs/>
        </w:rPr>
        <w:t xml:space="preserve"> </w:t>
      </w:r>
      <w:r w:rsidRPr="00BD3D93" w:rsidR="009E679B">
        <w:rPr>
          <w:rFonts w:ascii="Verdana" w:hAnsi="Verdana"/>
          <w:bCs/>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1540" w:hanging="360"/>
      </w:pPr>
      <w:rPr>
        <w:rFonts w:ascii="Arial" w:hAnsi="Arial" w:cs="Arial"/>
        <w:b w:val="0"/>
        <w:bCs w:val="0"/>
        <w:spacing w:val="-5"/>
        <w:w w:val="99"/>
        <w:sz w:val="24"/>
        <w:szCs w:val="24"/>
      </w:rPr>
    </w:lvl>
    <w:lvl w:ilvl="1">
      <w:start w:val="0"/>
      <w:numFmt w:val="bullet"/>
      <w:lvlText w:val="•"/>
      <w:lvlJc w:val="left"/>
      <w:pPr>
        <w:ind w:left="2330" w:hanging="360"/>
      </w:pPr>
    </w:lvl>
    <w:lvl w:ilvl="2">
      <w:start w:val="0"/>
      <w:numFmt w:val="bullet"/>
      <w:lvlText w:val="•"/>
      <w:lvlJc w:val="left"/>
      <w:pPr>
        <w:ind w:left="3120" w:hanging="360"/>
      </w:pPr>
    </w:lvl>
    <w:lvl w:ilvl="3">
      <w:start w:val="0"/>
      <w:numFmt w:val="bullet"/>
      <w:lvlText w:val="•"/>
      <w:lvlJc w:val="left"/>
      <w:pPr>
        <w:ind w:left="3910" w:hanging="360"/>
      </w:pPr>
    </w:lvl>
    <w:lvl w:ilvl="4">
      <w:start w:val="0"/>
      <w:numFmt w:val="bullet"/>
      <w:lvlText w:val="•"/>
      <w:lvlJc w:val="left"/>
      <w:pPr>
        <w:ind w:left="4700" w:hanging="360"/>
      </w:pPr>
    </w:lvl>
    <w:lvl w:ilvl="5">
      <w:start w:val="0"/>
      <w:numFmt w:val="bullet"/>
      <w:lvlText w:val="•"/>
      <w:lvlJc w:val="left"/>
      <w:pPr>
        <w:ind w:left="5490" w:hanging="360"/>
      </w:pPr>
    </w:lvl>
    <w:lvl w:ilvl="6">
      <w:start w:val="0"/>
      <w:numFmt w:val="bullet"/>
      <w:lvlText w:val="•"/>
      <w:lvlJc w:val="left"/>
      <w:pPr>
        <w:ind w:left="6280" w:hanging="360"/>
      </w:pPr>
    </w:lvl>
    <w:lvl w:ilvl="7">
      <w:start w:val="0"/>
      <w:numFmt w:val="bullet"/>
      <w:lvlText w:val="•"/>
      <w:lvlJc w:val="left"/>
      <w:pPr>
        <w:ind w:left="7070" w:hanging="360"/>
      </w:pPr>
    </w:lvl>
    <w:lvl w:ilvl="8">
      <w:start w:val="0"/>
      <w:numFmt w:val="bullet"/>
      <w:lvlText w:val="•"/>
      <w:lvlJc w:val="left"/>
      <w:pPr>
        <w:ind w:left="7860" w:hanging="360"/>
      </w:pPr>
    </w:lvl>
  </w:abstractNum>
  <w:abstractNum w:abstractNumId="1">
    <w:nsid w:val="00000403"/>
    <w:multiLevelType w:val="multilevel"/>
    <w:tmpl w:val="00000886"/>
    <w:lvl w:ilvl="0">
      <w:start w:val="0"/>
      <w:numFmt w:val="bullet"/>
      <w:lvlText w:val="–"/>
      <w:lvlJc w:val="left"/>
      <w:pPr>
        <w:ind w:left="1900" w:hanging="720"/>
      </w:pPr>
      <w:rPr>
        <w:rFonts w:ascii="Times New Roman" w:hAnsi="Times New Roman" w:cs="Times New Roman"/>
        <w:b w:val="0"/>
        <w:bCs w:val="0"/>
        <w:spacing w:val="-2"/>
        <w:w w:val="99"/>
        <w:sz w:val="24"/>
        <w:szCs w:val="24"/>
      </w:rPr>
    </w:lvl>
    <w:lvl w:ilvl="1">
      <w:start w:val="0"/>
      <w:numFmt w:val="bullet"/>
      <w:lvlText w:val="•"/>
      <w:lvlJc w:val="left"/>
      <w:pPr>
        <w:ind w:left="2654" w:hanging="720"/>
      </w:pPr>
    </w:lvl>
    <w:lvl w:ilvl="2">
      <w:start w:val="0"/>
      <w:numFmt w:val="bullet"/>
      <w:lvlText w:val="•"/>
      <w:lvlJc w:val="left"/>
      <w:pPr>
        <w:ind w:left="3408" w:hanging="720"/>
      </w:pPr>
    </w:lvl>
    <w:lvl w:ilvl="3">
      <w:start w:val="0"/>
      <w:numFmt w:val="bullet"/>
      <w:lvlText w:val="•"/>
      <w:lvlJc w:val="left"/>
      <w:pPr>
        <w:ind w:left="4162" w:hanging="720"/>
      </w:pPr>
    </w:lvl>
    <w:lvl w:ilvl="4">
      <w:start w:val="0"/>
      <w:numFmt w:val="bullet"/>
      <w:lvlText w:val="•"/>
      <w:lvlJc w:val="left"/>
      <w:pPr>
        <w:ind w:left="4916" w:hanging="720"/>
      </w:pPr>
    </w:lvl>
    <w:lvl w:ilvl="5">
      <w:start w:val="0"/>
      <w:numFmt w:val="bullet"/>
      <w:lvlText w:val="•"/>
      <w:lvlJc w:val="left"/>
      <w:pPr>
        <w:ind w:left="5670" w:hanging="720"/>
      </w:pPr>
    </w:lvl>
    <w:lvl w:ilvl="6">
      <w:start w:val="0"/>
      <w:numFmt w:val="bullet"/>
      <w:lvlText w:val="•"/>
      <w:lvlJc w:val="left"/>
      <w:pPr>
        <w:ind w:left="6424" w:hanging="720"/>
      </w:pPr>
    </w:lvl>
    <w:lvl w:ilvl="7">
      <w:start w:val="0"/>
      <w:numFmt w:val="bullet"/>
      <w:lvlText w:val="•"/>
      <w:lvlJc w:val="left"/>
      <w:pPr>
        <w:ind w:left="7178" w:hanging="720"/>
      </w:pPr>
    </w:lvl>
    <w:lvl w:ilvl="8">
      <w:start w:val="0"/>
      <w:numFmt w:val="bullet"/>
      <w:lvlText w:val="•"/>
      <w:lvlJc w:val="left"/>
      <w:pPr>
        <w:ind w:left="7932" w:hanging="720"/>
      </w:pPr>
    </w:lvl>
  </w:abstractNum>
  <w:abstractNum w:abstractNumId="2">
    <w:nsid w:val="00000404"/>
    <w:multiLevelType w:val="multilevel"/>
    <w:tmpl w:val="00000887"/>
    <w:lvl w:ilvl="0">
      <w:start w:val="0"/>
      <w:numFmt w:val="bullet"/>
      <w:lvlText w:val="•"/>
      <w:lvlJc w:val="left"/>
      <w:pPr>
        <w:ind w:left="1540" w:hanging="360"/>
      </w:pPr>
      <w:rPr>
        <w:rFonts w:ascii="Arial" w:hAnsi="Arial" w:cs="Arial"/>
        <w:b w:val="0"/>
        <w:bCs w:val="0"/>
        <w:spacing w:val="-5"/>
        <w:w w:val="100"/>
        <w:sz w:val="24"/>
        <w:szCs w:val="24"/>
      </w:rPr>
    </w:lvl>
    <w:lvl w:ilvl="1">
      <w:start w:val="0"/>
      <w:numFmt w:val="bullet"/>
      <w:lvlText w:val="•"/>
      <w:lvlJc w:val="left"/>
      <w:pPr>
        <w:ind w:left="2330" w:hanging="360"/>
      </w:pPr>
    </w:lvl>
    <w:lvl w:ilvl="2">
      <w:start w:val="0"/>
      <w:numFmt w:val="bullet"/>
      <w:lvlText w:val="•"/>
      <w:lvlJc w:val="left"/>
      <w:pPr>
        <w:ind w:left="3120" w:hanging="360"/>
      </w:pPr>
    </w:lvl>
    <w:lvl w:ilvl="3">
      <w:start w:val="0"/>
      <w:numFmt w:val="bullet"/>
      <w:lvlText w:val="•"/>
      <w:lvlJc w:val="left"/>
      <w:pPr>
        <w:ind w:left="3910" w:hanging="360"/>
      </w:pPr>
    </w:lvl>
    <w:lvl w:ilvl="4">
      <w:start w:val="0"/>
      <w:numFmt w:val="bullet"/>
      <w:lvlText w:val="•"/>
      <w:lvlJc w:val="left"/>
      <w:pPr>
        <w:ind w:left="4700" w:hanging="360"/>
      </w:pPr>
    </w:lvl>
    <w:lvl w:ilvl="5">
      <w:start w:val="0"/>
      <w:numFmt w:val="bullet"/>
      <w:lvlText w:val="•"/>
      <w:lvlJc w:val="left"/>
      <w:pPr>
        <w:ind w:left="5490" w:hanging="360"/>
      </w:pPr>
    </w:lvl>
    <w:lvl w:ilvl="6">
      <w:start w:val="0"/>
      <w:numFmt w:val="bullet"/>
      <w:lvlText w:val="•"/>
      <w:lvlJc w:val="left"/>
      <w:pPr>
        <w:ind w:left="6280" w:hanging="360"/>
      </w:pPr>
    </w:lvl>
    <w:lvl w:ilvl="7">
      <w:start w:val="0"/>
      <w:numFmt w:val="bullet"/>
      <w:lvlText w:val="•"/>
      <w:lvlJc w:val="left"/>
      <w:pPr>
        <w:ind w:left="7070" w:hanging="360"/>
      </w:pPr>
    </w:lvl>
    <w:lvl w:ilvl="8">
      <w:start w:val="0"/>
      <w:numFmt w:val="bullet"/>
      <w:lvlText w:val="•"/>
      <w:lvlJc w:val="left"/>
      <w:pPr>
        <w:ind w:left="7860" w:hanging="360"/>
      </w:pPr>
    </w:lvl>
  </w:abstractNum>
  <w:abstractNum w:abstractNumId="3">
    <w:nsid w:val="00000405"/>
    <w:multiLevelType w:val="multilevel"/>
    <w:tmpl w:val="00000888"/>
    <w:lvl w:ilvl="0">
      <w:start w:val="0"/>
      <w:numFmt w:val="bullet"/>
      <w:lvlText w:val="•"/>
      <w:lvlJc w:val="left"/>
      <w:pPr>
        <w:ind w:left="1540" w:hanging="360"/>
      </w:pPr>
      <w:rPr>
        <w:rFonts w:ascii="Arial" w:hAnsi="Arial" w:cs="Arial"/>
        <w:b w:val="0"/>
        <w:bCs w:val="0"/>
        <w:spacing w:val="-2"/>
        <w:w w:val="99"/>
        <w:sz w:val="24"/>
        <w:szCs w:val="24"/>
      </w:rPr>
    </w:lvl>
    <w:lvl w:ilvl="1">
      <w:start w:val="0"/>
      <w:numFmt w:val="bullet"/>
      <w:lvlText w:val="•"/>
      <w:lvlJc w:val="left"/>
      <w:pPr>
        <w:ind w:left="2330" w:hanging="360"/>
      </w:pPr>
    </w:lvl>
    <w:lvl w:ilvl="2">
      <w:start w:val="0"/>
      <w:numFmt w:val="bullet"/>
      <w:lvlText w:val="•"/>
      <w:lvlJc w:val="left"/>
      <w:pPr>
        <w:ind w:left="3120" w:hanging="360"/>
      </w:pPr>
    </w:lvl>
    <w:lvl w:ilvl="3">
      <w:start w:val="0"/>
      <w:numFmt w:val="bullet"/>
      <w:lvlText w:val="•"/>
      <w:lvlJc w:val="left"/>
      <w:pPr>
        <w:ind w:left="3910" w:hanging="360"/>
      </w:pPr>
    </w:lvl>
    <w:lvl w:ilvl="4">
      <w:start w:val="0"/>
      <w:numFmt w:val="bullet"/>
      <w:lvlText w:val="•"/>
      <w:lvlJc w:val="left"/>
      <w:pPr>
        <w:ind w:left="4700" w:hanging="360"/>
      </w:pPr>
    </w:lvl>
    <w:lvl w:ilvl="5">
      <w:start w:val="0"/>
      <w:numFmt w:val="bullet"/>
      <w:lvlText w:val="•"/>
      <w:lvlJc w:val="left"/>
      <w:pPr>
        <w:ind w:left="5490" w:hanging="360"/>
      </w:pPr>
    </w:lvl>
    <w:lvl w:ilvl="6">
      <w:start w:val="0"/>
      <w:numFmt w:val="bullet"/>
      <w:lvlText w:val="•"/>
      <w:lvlJc w:val="left"/>
      <w:pPr>
        <w:ind w:left="6280" w:hanging="360"/>
      </w:pPr>
    </w:lvl>
    <w:lvl w:ilvl="7">
      <w:start w:val="0"/>
      <w:numFmt w:val="bullet"/>
      <w:lvlText w:val="•"/>
      <w:lvlJc w:val="left"/>
      <w:pPr>
        <w:ind w:left="7070" w:hanging="360"/>
      </w:pPr>
    </w:lvl>
    <w:lvl w:ilvl="8">
      <w:start w:val="0"/>
      <w:numFmt w:val="bullet"/>
      <w:lvlText w:val="•"/>
      <w:lvlJc w:val="left"/>
      <w:pPr>
        <w:ind w:left="7860" w:hanging="360"/>
      </w:pPr>
    </w:lvl>
  </w:abstractNum>
  <w:abstractNum w:abstractNumId="4">
    <w:nsid w:val="00000406"/>
    <w:multiLevelType w:val="multilevel"/>
    <w:tmpl w:val="00000889"/>
    <w:lvl w:ilvl="0">
      <w:start w:val="0"/>
      <w:numFmt w:val="bullet"/>
      <w:lvlText w:val="–"/>
      <w:lvlJc w:val="left"/>
      <w:pPr>
        <w:ind w:left="1900" w:hanging="720"/>
      </w:pPr>
      <w:rPr>
        <w:rFonts w:ascii="Times New Roman" w:hAnsi="Times New Roman" w:cs="Times New Roman"/>
        <w:b w:val="0"/>
        <w:bCs w:val="0"/>
        <w:spacing w:val="-2"/>
        <w:w w:val="99"/>
        <w:sz w:val="24"/>
        <w:szCs w:val="24"/>
      </w:rPr>
    </w:lvl>
    <w:lvl w:ilvl="1">
      <w:start w:val="0"/>
      <w:numFmt w:val="bullet"/>
      <w:lvlText w:val="•"/>
      <w:lvlJc w:val="left"/>
      <w:pPr>
        <w:ind w:left="2654" w:hanging="720"/>
      </w:pPr>
    </w:lvl>
    <w:lvl w:ilvl="2">
      <w:start w:val="0"/>
      <w:numFmt w:val="bullet"/>
      <w:lvlText w:val="•"/>
      <w:lvlJc w:val="left"/>
      <w:pPr>
        <w:ind w:left="3408" w:hanging="720"/>
      </w:pPr>
    </w:lvl>
    <w:lvl w:ilvl="3">
      <w:start w:val="0"/>
      <w:numFmt w:val="bullet"/>
      <w:lvlText w:val="•"/>
      <w:lvlJc w:val="left"/>
      <w:pPr>
        <w:ind w:left="4162" w:hanging="720"/>
      </w:pPr>
    </w:lvl>
    <w:lvl w:ilvl="4">
      <w:start w:val="0"/>
      <w:numFmt w:val="bullet"/>
      <w:lvlText w:val="•"/>
      <w:lvlJc w:val="left"/>
      <w:pPr>
        <w:ind w:left="4916" w:hanging="720"/>
      </w:pPr>
    </w:lvl>
    <w:lvl w:ilvl="5">
      <w:start w:val="0"/>
      <w:numFmt w:val="bullet"/>
      <w:lvlText w:val="•"/>
      <w:lvlJc w:val="left"/>
      <w:pPr>
        <w:ind w:left="5670" w:hanging="720"/>
      </w:pPr>
    </w:lvl>
    <w:lvl w:ilvl="6">
      <w:start w:val="0"/>
      <w:numFmt w:val="bullet"/>
      <w:lvlText w:val="•"/>
      <w:lvlJc w:val="left"/>
      <w:pPr>
        <w:ind w:left="6424" w:hanging="720"/>
      </w:pPr>
    </w:lvl>
    <w:lvl w:ilvl="7">
      <w:start w:val="0"/>
      <w:numFmt w:val="bullet"/>
      <w:lvlText w:val="•"/>
      <w:lvlJc w:val="left"/>
      <w:pPr>
        <w:ind w:left="7178" w:hanging="720"/>
      </w:pPr>
    </w:lvl>
    <w:lvl w:ilvl="8">
      <w:start w:val="0"/>
      <w:numFmt w:val="bullet"/>
      <w:lvlText w:val="•"/>
      <w:lvlJc w:val="left"/>
      <w:pPr>
        <w:ind w:left="7932" w:hanging="720"/>
      </w:pPr>
    </w:lvl>
  </w:abstractNum>
  <w:abstractNum w:abstractNumId="5">
    <w:nsid w:val="405126B2"/>
    <w:multiLevelType w:val="hybridMultilevel"/>
    <w:tmpl w:val="1DDE1CF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80137A"/>
    <w:multiLevelType w:val="multilevel"/>
    <w:tmpl w:val="A64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869006">
    <w:abstractNumId w:val="6"/>
  </w:num>
  <w:num w:numId="2" w16cid:durableId="1503231779">
    <w:abstractNumId w:val="4"/>
  </w:num>
  <w:num w:numId="3" w16cid:durableId="1796216096">
    <w:abstractNumId w:val="3"/>
  </w:num>
  <w:num w:numId="4" w16cid:durableId="341128739">
    <w:abstractNumId w:val="2"/>
  </w:num>
  <w:num w:numId="5" w16cid:durableId="736628983">
    <w:abstractNumId w:val="1"/>
  </w:num>
  <w:num w:numId="6" w16cid:durableId="902300321">
    <w:abstractNumId w:val="0"/>
  </w:num>
  <w:num w:numId="7" w16cid:durableId="180322244">
    <w:abstractNumId w:val="5"/>
  </w:num>
  <w:num w:numId="8" w16cid:durableId="954874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9E2"/>
    <w:rsid w:val="00014E44"/>
    <w:rsid w:val="00047C40"/>
    <w:rsid w:val="000736DF"/>
    <w:rsid w:val="000800A4"/>
    <w:rsid w:val="00091BEB"/>
    <w:rsid w:val="00092C84"/>
    <w:rsid w:val="000A3459"/>
    <w:rsid w:val="000B5952"/>
    <w:rsid w:val="0011181C"/>
    <w:rsid w:val="00114CFF"/>
    <w:rsid w:val="00117ABF"/>
    <w:rsid w:val="00142BF0"/>
    <w:rsid w:val="00153105"/>
    <w:rsid w:val="001C43AC"/>
    <w:rsid w:val="001C4DD0"/>
    <w:rsid w:val="001F41AB"/>
    <w:rsid w:val="001F4AF2"/>
    <w:rsid w:val="00227434"/>
    <w:rsid w:val="00281DBA"/>
    <w:rsid w:val="002940D7"/>
    <w:rsid w:val="002A5800"/>
    <w:rsid w:val="002A6C71"/>
    <w:rsid w:val="002D7997"/>
    <w:rsid w:val="002E7549"/>
    <w:rsid w:val="002F7ADB"/>
    <w:rsid w:val="003542CF"/>
    <w:rsid w:val="0035531C"/>
    <w:rsid w:val="00384CF8"/>
    <w:rsid w:val="00387E3A"/>
    <w:rsid w:val="00391363"/>
    <w:rsid w:val="003918A5"/>
    <w:rsid w:val="00394799"/>
    <w:rsid w:val="00395C0E"/>
    <w:rsid w:val="00396A33"/>
    <w:rsid w:val="003A5EF5"/>
    <w:rsid w:val="003C2009"/>
    <w:rsid w:val="00421E20"/>
    <w:rsid w:val="004525D4"/>
    <w:rsid w:val="004600D8"/>
    <w:rsid w:val="004779EB"/>
    <w:rsid w:val="004816AB"/>
    <w:rsid w:val="004B39A3"/>
    <w:rsid w:val="004D0418"/>
    <w:rsid w:val="004E09E2"/>
    <w:rsid w:val="00516093"/>
    <w:rsid w:val="005248D8"/>
    <w:rsid w:val="0053600C"/>
    <w:rsid w:val="005543CD"/>
    <w:rsid w:val="00564AFF"/>
    <w:rsid w:val="005658D8"/>
    <w:rsid w:val="005D42EC"/>
    <w:rsid w:val="006042F6"/>
    <w:rsid w:val="00617FB8"/>
    <w:rsid w:val="00625A94"/>
    <w:rsid w:val="00653F1C"/>
    <w:rsid w:val="00692E8F"/>
    <w:rsid w:val="006B1004"/>
    <w:rsid w:val="006C3EE8"/>
    <w:rsid w:val="006E3B68"/>
    <w:rsid w:val="007365DF"/>
    <w:rsid w:val="00763ED1"/>
    <w:rsid w:val="00787B0C"/>
    <w:rsid w:val="007C48FC"/>
    <w:rsid w:val="007F1067"/>
    <w:rsid w:val="0085212A"/>
    <w:rsid w:val="00856D5A"/>
    <w:rsid w:val="008C01AC"/>
    <w:rsid w:val="008C6955"/>
    <w:rsid w:val="00914AF1"/>
    <w:rsid w:val="00923C0E"/>
    <w:rsid w:val="00940855"/>
    <w:rsid w:val="0096282C"/>
    <w:rsid w:val="0097450A"/>
    <w:rsid w:val="009A0244"/>
    <w:rsid w:val="009D68FE"/>
    <w:rsid w:val="009E679B"/>
    <w:rsid w:val="009E7148"/>
    <w:rsid w:val="009F22C3"/>
    <w:rsid w:val="00A11A9D"/>
    <w:rsid w:val="00A209CF"/>
    <w:rsid w:val="00A22D4F"/>
    <w:rsid w:val="00A42963"/>
    <w:rsid w:val="00A44F65"/>
    <w:rsid w:val="00A6742B"/>
    <w:rsid w:val="00A9411E"/>
    <w:rsid w:val="00AA6534"/>
    <w:rsid w:val="00AC6766"/>
    <w:rsid w:val="00AD5600"/>
    <w:rsid w:val="00AE6724"/>
    <w:rsid w:val="00B54FDE"/>
    <w:rsid w:val="00B64B33"/>
    <w:rsid w:val="00B67B9B"/>
    <w:rsid w:val="00B8465E"/>
    <w:rsid w:val="00B87972"/>
    <w:rsid w:val="00B974B5"/>
    <w:rsid w:val="00BD3D93"/>
    <w:rsid w:val="00C019AB"/>
    <w:rsid w:val="00C400D7"/>
    <w:rsid w:val="00C56460"/>
    <w:rsid w:val="00C63279"/>
    <w:rsid w:val="00C742EA"/>
    <w:rsid w:val="00CC2878"/>
    <w:rsid w:val="00CD30D5"/>
    <w:rsid w:val="00D17970"/>
    <w:rsid w:val="00D17BE4"/>
    <w:rsid w:val="00D47F29"/>
    <w:rsid w:val="00D56CB8"/>
    <w:rsid w:val="00D606B7"/>
    <w:rsid w:val="00DA04BA"/>
    <w:rsid w:val="00E07CC3"/>
    <w:rsid w:val="00E135C4"/>
    <w:rsid w:val="00E232AE"/>
    <w:rsid w:val="00E2343D"/>
    <w:rsid w:val="00E447BD"/>
    <w:rsid w:val="00E471F2"/>
    <w:rsid w:val="00E524A0"/>
    <w:rsid w:val="00E76283"/>
    <w:rsid w:val="00EA2B5D"/>
    <w:rsid w:val="00EB48BB"/>
    <w:rsid w:val="00ED61AB"/>
    <w:rsid w:val="00ED7401"/>
    <w:rsid w:val="00EF146A"/>
    <w:rsid w:val="00EF2C67"/>
    <w:rsid w:val="00F231E8"/>
    <w:rsid w:val="00F60E64"/>
    <w:rsid w:val="00F738D0"/>
    <w:rsid w:val="00F7558A"/>
    <w:rsid w:val="00F9240D"/>
    <w:rsid w:val="00F92F7E"/>
    <w:rsid w:val="00F93819"/>
    <w:rsid w:val="00FA2DB9"/>
    <w:rsid w:val="00FB4A21"/>
    <w:rsid w:val="00FD3CAC"/>
    <w:rsid w:val="00FE7AAB"/>
    <w:rsid w:val="00FF1B37"/>
    <w:rsid w:val="32FB5CEA"/>
    <w:rsid w:val="3CF2D16C"/>
    <w:rsid w:val="44D3093D"/>
    <w:rsid w:val="44E9D24A"/>
    <w:rsid w:val="4A3CC035"/>
    <w:rsid w:val="4B9289C1"/>
    <w:rsid w:val="4D3C0B45"/>
    <w:rsid w:val="5FEF60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BCC8A7"/>
  <w15:docId w15:val="{9F848F30-B289-46A4-BBDE-E91D7B90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9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9E2"/>
    <w:pPr>
      <w:spacing w:before="100" w:beforeAutospacing="1" w:after="100" w:afterAutospacing="1"/>
    </w:pPr>
    <w:rPr>
      <w:rFonts w:ascii="Arial Unicode MS" w:eastAsia="Arial Unicode MS" w:hAnsi="Arial Unicode MS" w:cs="Arial Unicode MS"/>
      <w:color w:val="000000"/>
    </w:rPr>
  </w:style>
  <w:style w:type="paragraph" w:customStyle="1" w:styleId="levnl13">
    <w:name w:val="_levnl13"/>
    <w:basedOn w:val="Normal"/>
    <w:uiPriority w:val="99"/>
    <w:semiHidden/>
    <w:rsid w:val="004E09E2"/>
    <w:pPr>
      <w:ind w:left="360" w:hanging="360"/>
    </w:pPr>
    <w:rPr>
      <w:rFonts w:eastAsia="Arial Unicode MS"/>
    </w:rPr>
  </w:style>
  <w:style w:type="character" w:styleId="Hyperlink">
    <w:name w:val="Hyperlink"/>
    <w:basedOn w:val="DefaultParagraphFont"/>
    <w:unhideWhenUsed/>
    <w:rsid w:val="00A209CF"/>
    <w:rPr>
      <w:color w:val="0000FF" w:themeColor="hyperlink"/>
      <w:u w:val="single"/>
    </w:rPr>
  </w:style>
  <w:style w:type="paragraph" w:styleId="BalloonText">
    <w:name w:val="Balloon Text"/>
    <w:basedOn w:val="Normal"/>
    <w:link w:val="BalloonTextChar"/>
    <w:uiPriority w:val="99"/>
    <w:semiHidden/>
    <w:unhideWhenUsed/>
    <w:rsid w:val="00EF146A"/>
    <w:rPr>
      <w:rFonts w:ascii="Tahoma" w:hAnsi="Tahoma" w:cs="Tahoma"/>
      <w:sz w:val="16"/>
      <w:szCs w:val="16"/>
    </w:rPr>
  </w:style>
  <w:style w:type="character" w:customStyle="1" w:styleId="BalloonTextChar">
    <w:name w:val="Balloon Text Char"/>
    <w:basedOn w:val="DefaultParagraphFont"/>
    <w:link w:val="BalloonText"/>
    <w:uiPriority w:val="99"/>
    <w:semiHidden/>
    <w:rsid w:val="00EF146A"/>
    <w:rPr>
      <w:rFonts w:ascii="Tahoma" w:hAnsi="Tahoma" w:cs="Tahoma"/>
      <w:sz w:val="16"/>
      <w:szCs w:val="16"/>
    </w:rPr>
  </w:style>
  <w:style w:type="character" w:styleId="Emphasis">
    <w:name w:val="Emphasis"/>
    <w:basedOn w:val="DefaultParagraphFont"/>
    <w:uiPriority w:val="20"/>
    <w:qFormat/>
    <w:rsid w:val="00391363"/>
    <w:rPr>
      <w:i/>
      <w:iCs/>
    </w:rPr>
  </w:style>
  <w:style w:type="character" w:styleId="CommentReference">
    <w:name w:val="annotation reference"/>
    <w:basedOn w:val="DefaultParagraphFont"/>
    <w:uiPriority w:val="99"/>
    <w:semiHidden/>
    <w:unhideWhenUsed/>
    <w:rsid w:val="00E447BD"/>
    <w:rPr>
      <w:sz w:val="16"/>
      <w:szCs w:val="16"/>
    </w:rPr>
  </w:style>
  <w:style w:type="paragraph" w:styleId="CommentText">
    <w:name w:val="annotation text"/>
    <w:basedOn w:val="Normal"/>
    <w:link w:val="CommentTextChar"/>
    <w:uiPriority w:val="99"/>
    <w:unhideWhenUsed/>
    <w:rsid w:val="00E447BD"/>
    <w:rPr>
      <w:sz w:val="20"/>
      <w:szCs w:val="20"/>
    </w:rPr>
  </w:style>
  <w:style w:type="character" w:customStyle="1" w:styleId="CommentTextChar">
    <w:name w:val="Comment Text Char"/>
    <w:basedOn w:val="DefaultParagraphFont"/>
    <w:link w:val="CommentText"/>
    <w:uiPriority w:val="99"/>
    <w:rsid w:val="00E447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47BD"/>
    <w:rPr>
      <w:b/>
      <w:bCs/>
    </w:rPr>
  </w:style>
  <w:style w:type="character" w:customStyle="1" w:styleId="CommentSubjectChar">
    <w:name w:val="Comment Subject Char"/>
    <w:basedOn w:val="CommentTextChar"/>
    <w:link w:val="CommentSubject"/>
    <w:uiPriority w:val="99"/>
    <w:semiHidden/>
    <w:rsid w:val="00E447BD"/>
    <w:rPr>
      <w:rFonts w:ascii="Times New Roman" w:hAnsi="Times New Roman" w:cs="Times New Roman"/>
      <w:b/>
      <w:bCs/>
      <w:sz w:val="20"/>
      <w:szCs w:val="20"/>
    </w:rPr>
  </w:style>
  <w:style w:type="paragraph" w:styleId="ListParagraph">
    <w:name w:val="List Paragraph"/>
    <w:basedOn w:val="Normal"/>
    <w:uiPriority w:val="34"/>
    <w:qFormat/>
    <w:rsid w:val="00E2343D"/>
    <w:pPr>
      <w:ind w:left="720"/>
      <w:contextualSpacing/>
    </w:pPr>
  </w:style>
  <w:style w:type="character" w:styleId="FollowedHyperlink">
    <w:name w:val="FollowedHyperlink"/>
    <w:basedOn w:val="DefaultParagraphFont"/>
    <w:uiPriority w:val="99"/>
    <w:semiHidden/>
    <w:unhideWhenUsed/>
    <w:rsid w:val="00A11A9D"/>
    <w:rPr>
      <w:color w:val="800080" w:themeColor="followedHyperlink"/>
      <w:u w:val="single"/>
    </w:rPr>
  </w:style>
  <w:style w:type="character" w:styleId="UnresolvedMention">
    <w:name w:val="Unresolved Mention"/>
    <w:basedOn w:val="DefaultParagraphFont"/>
    <w:uiPriority w:val="99"/>
    <w:semiHidden/>
    <w:unhideWhenUsed/>
    <w:rsid w:val="00E524A0"/>
    <w:rPr>
      <w:color w:val="605E5C"/>
      <w:shd w:val="clear" w:color="auto" w:fill="E1DFDD"/>
    </w:rPr>
  </w:style>
  <w:style w:type="paragraph" w:styleId="Revision">
    <w:name w:val="Revision"/>
    <w:hidden/>
    <w:uiPriority w:val="99"/>
    <w:semiHidden/>
    <w:rsid w:val="006042F6"/>
    <w:pPr>
      <w:spacing w:after="0" w:line="240" w:lineRule="auto"/>
    </w:pPr>
    <w:rPr>
      <w:rFonts w:ascii="Times New Roman" w:hAnsi="Times New Roman" w:cs="Times New Roman"/>
      <w:sz w:val="24"/>
      <w:szCs w:val="24"/>
    </w:rPr>
  </w:style>
  <w:style w:type="character" w:styleId="Mention">
    <w:name w:val="Mention"/>
    <w:basedOn w:val="DefaultParagraphFont"/>
    <w:uiPriority w:val="99"/>
    <w:unhideWhenUsed/>
    <w:rsid w:val="005248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hrq.gov/" TargetMode="External" /><Relationship Id="rId11" Type="http://schemas.openxmlformats.org/officeDocument/2006/relationships/hyperlink" Target="https://my.ncqa.org" TargetMode="External" /><Relationship Id="rId12" Type="http://schemas.openxmlformats.org/officeDocument/2006/relationships/hyperlink" Target="https://www.opm.gov/healthcare-insurance/healthcare/plan-information/compare-plans/quality" TargetMode="External" /><Relationship Id="rId13" Type="http://schemas.openxmlformats.org/officeDocument/2006/relationships/hyperlink" Target="https://www.opm.gov/healthcare-insurance/healthcare/plan-information/compare-plans/" TargetMode="External" /><Relationship Id="rId14" Type="http://schemas.openxmlformats.org/officeDocument/2006/relationships/hyperlink" Target="https://health-benefits.opm.gov/HBEWeb/ehbs/Annon/Landing" TargetMode="External" /><Relationship Id="rId15" Type="http://schemas.openxmlformats.org/officeDocument/2006/relationships/hyperlink" Target="mailto:Johanna.Kalin@opm.gov"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hrq.gov/cahps/surveys-guidance/hp/index.html" TargetMode="External" /><Relationship Id="rId9" Type="http://schemas.openxmlformats.org/officeDocument/2006/relationships/hyperlink" Target="https://store.ncqa.org/hedis-my-2022-volume-3-epub.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30d612-7037-498f-bfff-b82b5e1a6587">
      <Terms xmlns="http://schemas.microsoft.com/office/infopath/2007/PartnerControls"/>
    </lcf76f155ced4ddcb4097134ff3c332f>
    <TaxCatchAll xmlns="d0cae902-28e2-4e17-856a-6e87d0697a0c" xsi:nil="true"/>
    <Hidden xmlns="6230d612-7037-498f-bfff-b82b5e1a6587">false</Hidden>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5" ma:contentTypeDescription="Create a new document." ma:contentTypeScope="" ma:versionID="d265f378fbedbade716701c410865762">
  <xsd:schema xmlns:xsd="http://www.w3.org/2001/XMLSchema" xmlns:xs="http://www.w3.org/2001/XMLSchema" xmlns:p="http://schemas.microsoft.com/office/2006/metadata/properties" xmlns:ns1="http://schemas.microsoft.com/sharepoint/v3" xmlns:ns2="6230d612-7037-498f-bfff-b82b5e1a6587" xmlns:ns3="d0cae902-28e2-4e17-856a-6e87d0697a0c" targetNamespace="http://schemas.microsoft.com/office/2006/metadata/properties" ma:root="true" ma:fieldsID="c84ddb601c37ab0dcc9a75f06d822b7f" ns1:_="" ns2:_="" ns3:_="">
    <xsd:import namespace="http://schemas.microsoft.com/sharepoint/v3"/>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Hidd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Hidden" ma:index="20" nillable="true" ma:displayName="Hidden" ma:default="0" ma:internalName="Hidde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01498-4D9B-46DB-B53E-EB66E125121D}">
  <ds:schemaRefs>
    <ds:schemaRef ds:uri="http://schemas.openxmlformats.org/officeDocument/2006/bibliography"/>
  </ds:schemaRefs>
</ds:datastoreItem>
</file>

<file path=customXml/itemProps2.xml><?xml version="1.0" encoding="utf-8"?>
<ds:datastoreItem xmlns:ds="http://schemas.openxmlformats.org/officeDocument/2006/customXml" ds:itemID="{7B0FAEF9-3625-44B0-948A-3E24BB473157}">
  <ds:schemaRefs>
    <ds:schemaRef ds:uri="http://schemas.microsoft.com/office/2006/metadata/properties"/>
    <ds:schemaRef ds:uri="http://schemas.microsoft.com/office/infopath/2007/PartnerControls"/>
    <ds:schemaRef ds:uri="5057afc8-6448-46fd-8bf7-64bb86b10e7e"/>
    <ds:schemaRef ds:uri="f8fd1470-d384-4fce-aaf6-9cbde5e5b9b2"/>
  </ds:schemaRefs>
</ds:datastoreItem>
</file>

<file path=customXml/itemProps3.xml><?xml version="1.0" encoding="utf-8"?>
<ds:datastoreItem xmlns:ds="http://schemas.openxmlformats.org/officeDocument/2006/customXml" ds:itemID="{12D1AFEB-BBB7-497B-B9D5-52D49359C08F}">
  <ds:schemaRefs/>
</ds:datastoreItem>
</file>

<file path=customXml/itemProps4.xml><?xml version="1.0" encoding="utf-8"?>
<ds:datastoreItem xmlns:ds="http://schemas.openxmlformats.org/officeDocument/2006/customXml" ds:itemID="{8BD5DDAC-9329-46DF-9631-81E2E01C1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2736</Words>
  <Characters>15601</Characters>
  <Application>Microsoft Office Word</Application>
  <DocSecurity>0</DocSecurity>
  <Lines>130</Lines>
  <Paragraphs>36</Paragraphs>
  <ScaleCrop>false</ScaleCrop>
  <Company>Office of Personnel Management</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Sobek, Lauren M.</dc:creator>
  <cp:lastModifiedBy>Gitangu, Meredith L</cp:lastModifiedBy>
  <cp:revision>3</cp:revision>
  <dcterms:created xsi:type="dcterms:W3CDTF">2025-09-08T15:32:00Z</dcterms:created>
  <dcterms:modified xsi:type="dcterms:W3CDTF">2025-09-08T15:34:00Z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y fmtid="{D5CDD505-2E9C-101B-9397-08002B2CF9AE}" pid="3" name="MediaServiceImageTags">
    <vt:lpwstr/>
  </property>
</Properties>
</file>