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4E6" w14:paraId="686EBDD2" w14:textId="77777777">
      <w:pPr>
        <w:jc w:val="center"/>
      </w:pPr>
    </w:p>
    <w:p w:rsidR="003414E6" w14:paraId="7B750E15" w14:textId="77777777">
      <w:pPr>
        <w:jc w:val="center"/>
      </w:pPr>
    </w:p>
    <w:p w:rsidR="0067719F" w14:paraId="54AA31F1" w14:textId="77777777">
      <w:pPr>
        <w:jc w:val="center"/>
      </w:pPr>
      <w:r>
        <w:t>OMB SUPPORTING STATEMENT</w:t>
      </w:r>
    </w:p>
    <w:p w:rsidR="0067719F" w14:paraId="204ABD33" w14:textId="77777777"/>
    <w:p w:rsidR="003414E6" w14:paraId="6E490E6A" w14:textId="77777777"/>
    <w:p w:rsidR="0067719F" w14:paraId="03BADDE4" w14:textId="77777777">
      <w:r w:rsidRPr="009760F2">
        <w:rPr>
          <w:b/>
        </w:rPr>
        <w:t>FEHB Program Health Plan Carrier Application Supporting Statement</w:t>
      </w:r>
    </w:p>
    <w:p w:rsidR="00A86050" w14:paraId="32DF1E2A" w14:textId="77777777"/>
    <w:p w:rsidR="00A86050" w:rsidP="00A86050" w14:paraId="3494FCC9" w14:textId="77777777">
      <w:pPr>
        <w:numPr>
          <w:ilvl w:val="0"/>
          <w:numId w:val="3"/>
        </w:numPr>
      </w:pPr>
      <w:r>
        <w:t>Justification</w:t>
      </w:r>
    </w:p>
    <w:p w:rsidR="00A86050" w:rsidP="00A86050" w14:paraId="52B28874" w14:textId="77777777"/>
    <w:p w:rsidR="00A86050" w:rsidRPr="00741061" w:rsidP="00A86050" w14:paraId="2629B763" w14:textId="77777777">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14:paraId="296D245D" w14:textId="77777777"/>
    <w:p w:rsidR="00777277" w:rsidP="009D5156" w14:paraId="3244758D" w14:textId="00C0CED9">
      <w:pPr>
        <w:ind w:left="360"/>
      </w:pPr>
      <w:r>
        <w:t xml:space="preserve">The Federal Employees Health Benefits (FEHB) Program is offered under the authority of the FEHB law (Chapter 89 </w:t>
      </w:r>
      <w:r w:rsidR="4800D378">
        <w:t>pr</w:t>
      </w:r>
      <w:r>
        <w:t>of title 5 of the U.S. Code) and is administered by the Office of Personnel Management (OPM) in accordance with the FEHB law and its implementing regulations (5 CFR Part 89, and 48 CFR Chapter 16).</w:t>
      </w:r>
      <w:r w:rsidR="00863CE6">
        <w:t xml:space="preserve"> </w:t>
      </w:r>
    </w:p>
    <w:p w:rsidR="00777277" w:rsidP="009D5156" w14:paraId="3B694148" w14:textId="77777777">
      <w:pPr>
        <w:ind w:left="360"/>
      </w:pPr>
    </w:p>
    <w:p w:rsidR="00777277" w:rsidP="009D5156" w14:paraId="1B14115B" w14:textId="0E3500D9">
      <w:pPr>
        <w:ind w:left="360"/>
      </w:pPr>
      <w:r>
        <w:t xml:space="preserve">The Postal Service Health Benefits </w:t>
      </w:r>
      <w:r w:rsidR="00813D8A">
        <w:t xml:space="preserve">(PSHB) </w:t>
      </w:r>
      <w:r>
        <w:t>Program is a separate program within the Federal Employees Health Benefits Program and is also administered by OPM.</w:t>
      </w:r>
      <w:r w:rsidR="00B95978">
        <w:t xml:space="preserve"> </w:t>
      </w:r>
    </w:p>
    <w:p w:rsidR="00777277" w:rsidP="009D5156" w14:paraId="669E7A77" w14:textId="77777777">
      <w:pPr>
        <w:ind w:left="360"/>
      </w:pPr>
    </w:p>
    <w:p w:rsidR="00B95978" w:rsidP="009D5156" w14:paraId="7F94C8E0" w14:textId="78961561">
      <w:pPr>
        <w:ind w:left="360"/>
      </w:pPr>
      <w:r>
        <w:t>Consumer Assessment of Healthcare Providers and Systems (CAHPS®) surveys ask consumers and patients to report on and evaluate their experiences with health care. These surveys cover topics that are important to consumers and focus on aspects of quality that consumers are best qualified to assess</w:t>
      </w:r>
      <w:r w:rsidR="00BC0737">
        <w:t>. Patient experience encompasses the range of interactions that patients have with the healthcare system, including their health plans. Questions include several aspects of healthcare such as getting timely appointments, easy access to information and good communication with health care providers</w:t>
      </w:r>
      <w:r>
        <w:t xml:space="preserve"> </w:t>
      </w:r>
    </w:p>
    <w:p w:rsidR="00A86050" w:rsidP="00B95978" w14:paraId="5F2FAC04" w14:textId="77777777"/>
    <w:p w:rsidR="00A86050" w:rsidRPr="00741061" w:rsidP="00A86050" w14:paraId="42E71030" w14:textId="77777777">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A86050" w:rsidP="00A86050" w14:paraId="3564C925" w14:textId="77777777"/>
    <w:p w:rsidR="009760F2" w:rsidRPr="009760F2" w:rsidP="00B95978" w14:paraId="768563C2" w14:textId="42CC94BD">
      <w:pPr>
        <w:ind w:left="360"/>
        <w:rPr>
          <w:noProof/>
        </w:rPr>
      </w:pPr>
      <w:r>
        <w:t>OPM uses the CAHPS results as part of the FEHB</w:t>
      </w:r>
      <w:r w:rsidR="00863CE6">
        <w:t xml:space="preserve"> and PSHB</w:t>
      </w:r>
      <w:r>
        <w:t xml:space="preserve"> Program Plan Performance Assessment (PPA).  The PPA enables a consistent, objective evaluation of carrier performance </w:t>
      </w:r>
      <w:r w:rsidR="00B241F1">
        <w:t>and</w:t>
      </w:r>
      <w:r>
        <w:t xml:space="preserve"> provides more transparency for enrollees. This assessment uses a discrete set of quantifiable measures to examine key aspects of performance in the areas of clinical quality, customer service and resource use. Six CAHPS measures are part of this discrete set of quantifiable measures. Taken together with more traditional assessments of contract administration, these measures help ensure that enrollees receive high quality affordable healthcare and </w:t>
      </w:r>
      <w:r>
        <w:t>a positive</w:t>
      </w:r>
      <w:r>
        <w:t xml:space="preserve"> customer experience. The PPA is linked to carrier profit and adjustment factors. FEHB</w:t>
      </w:r>
      <w:r w:rsidR="00863CE6">
        <w:t xml:space="preserve"> and PSHB</w:t>
      </w:r>
      <w:r>
        <w:t xml:space="preserve"> contracts include language to incorporate the PPA as a determinant of the Service Charge or Performance Adjustment</w:t>
      </w:r>
      <w:r w:rsidRPr="009760F2">
        <w:rPr>
          <w:noProof/>
        </w:rPr>
        <w:t>.</w:t>
      </w:r>
    </w:p>
    <w:p w:rsidR="0067719F" w14:paraId="76510914" w14:textId="77777777"/>
    <w:p w:rsidR="006B37C6" w:rsidRPr="00741061" w:rsidP="006B37C6" w14:paraId="1DD62AFF" w14:textId="77777777">
      <w:pPr>
        <w:pStyle w:val="ListParagraph"/>
        <w:numPr>
          <w:ilvl w:val="0"/>
          <w:numId w:val="4"/>
        </w:numPr>
        <w:shd w:val="pct25" w:color="auto" w:fill="auto"/>
        <w:tabs>
          <w:tab w:val="left" w:pos="-720"/>
        </w:tabs>
        <w:suppressAutoHyphens/>
        <w:contextualSpacing/>
      </w:pPr>
      <w:r w:rsidRPr="00741061">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741061">
        <w:t xml:space="preserve">the basis for the decision </w:t>
      </w:r>
      <w:r w:rsidRPr="00741061">
        <w:t>for adopting</w:t>
      </w:r>
      <w:r w:rsidRPr="00741061">
        <w:t xml:space="preserve"> this means of collection.  Also describe any consideration of using information technology to reduce burden.</w:t>
      </w:r>
      <w:r w:rsidRPr="00741061">
        <w:tab/>
      </w:r>
    </w:p>
    <w:p w:rsidR="008728DF" w:rsidRPr="004B68D0" w:rsidP="004B4693" w14:paraId="2AF0C540" w14:textId="69D00825">
      <w:pPr>
        <w:pStyle w:val="Body"/>
        <w:numPr>
          <w:ilvl w:val="0"/>
          <w:numId w:val="9"/>
        </w:numPr>
        <w:ind w:left="990"/>
        <w:rPr>
          <w:rFonts w:ascii="Times New Roman" w:hAnsi="Times New Roman"/>
          <w:sz w:val="24"/>
          <w:szCs w:val="24"/>
        </w:rPr>
      </w:pPr>
      <w:r w:rsidRPr="008728DF">
        <w:rPr>
          <w:rFonts w:ascii="Times New Roman" w:hAnsi="Times New Roman"/>
          <w:sz w:val="24"/>
          <w:szCs w:val="24"/>
        </w:rPr>
        <w:t xml:space="preserve">The National Committee for Quality Assurance (NCQA) oversees the technical guidance that FEHB Carriers follow to administer the CAHPS Survey. CAHPS Survey guidance is outlined in the </w:t>
      </w:r>
      <w:r w:rsidRPr="004B68D0">
        <w:rPr>
          <w:rFonts w:ascii="Times New Roman" w:hAnsi="Times New Roman"/>
          <w:sz w:val="24"/>
          <w:szCs w:val="24"/>
        </w:rPr>
        <w:t xml:space="preserve">NCQA </w:t>
      </w:r>
      <w:hyperlink r:id="rId9" w:history="1">
        <w:r w:rsidRPr="004B68D0">
          <w:rPr>
            <w:rStyle w:val="Hyperlink"/>
            <w:rFonts w:ascii="Times New Roman" w:hAnsi="Times New Roman"/>
            <w:bCs/>
            <w:sz w:val="24"/>
            <w:szCs w:val="24"/>
          </w:rPr>
          <w:t>HEDIS Volume 3</w:t>
        </w:r>
      </w:hyperlink>
      <w:r w:rsidRPr="004B68D0">
        <w:rPr>
          <w:rFonts w:ascii="Times New Roman" w:hAnsi="Times New Roman"/>
          <w:sz w:val="24"/>
          <w:szCs w:val="24"/>
        </w:rPr>
        <w:t xml:space="preserve">: Specifications for Survey Measures. </w:t>
      </w:r>
    </w:p>
    <w:p w:rsidR="00D93737" w:rsidRPr="004B68D0" w:rsidP="004B4693" w14:paraId="7B3915A6" w14:textId="0CD1FBCA">
      <w:pPr>
        <w:pStyle w:val="Body"/>
        <w:numPr>
          <w:ilvl w:val="0"/>
          <w:numId w:val="9"/>
        </w:numPr>
        <w:ind w:left="990"/>
        <w:rPr>
          <w:rFonts w:ascii="Times New Roman" w:hAnsi="Times New Roman"/>
          <w:sz w:val="24"/>
          <w:szCs w:val="24"/>
        </w:rPr>
      </w:pPr>
      <w:r w:rsidRPr="004B68D0">
        <w:rPr>
          <w:rFonts w:ascii="Times New Roman" w:hAnsi="Times New Roman"/>
          <w:sz w:val="24"/>
          <w:szCs w:val="24"/>
        </w:rPr>
        <w:t>OPM also requires all FEHB</w:t>
      </w:r>
      <w:r w:rsidR="00863CE6">
        <w:rPr>
          <w:rFonts w:ascii="Times New Roman" w:hAnsi="Times New Roman"/>
          <w:sz w:val="24"/>
          <w:szCs w:val="24"/>
        </w:rPr>
        <w:t xml:space="preserve"> and PSHB</w:t>
      </w:r>
      <w:r w:rsidRPr="004B68D0">
        <w:rPr>
          <w:rFonts w:ascii="Times New Roman" w:hAnsi="Times New Roman"/>
          <w:sz w:val="24"/>
          <w:szCs w:val="24"/>
        </w:rPr>
        <w:t xml:space="preserve"> Carriers to work with a certified CAHPS vendor in the administration of the survey</w:t>
      </w:r>
      <w:r w:rsidRPr="004B68D0" w:rsidR="00BC0737">
        <w:rPr>
          <w:rFonts w:ascii="Times New Roman" w:hAnsi="Times New Roman"/>
          <w:sz w:val="24"/>
          <w:szCs w:val="24"/>
        </w:rPr>
        <w:t>.</w:t>
      </w:r>
    </w:p>
    <w:p w:rsidR="00D93737" w:rsidRPr="004B68D0" w:rsidP="004B4693" w14:paraId="3CC50D23" w14:textId="19E768FF">
      <w:pPr>
        <w:pStyle w:val="Body"/>
        <w:numPr>
          <w:ilvl w:val="0"/>
          <w:numId w:val="9"/>
        </w:numPr>
        <w:ind w:left="990"/>
        <w:rPr>
          <w:rFonts w:ascii="Times New Roman" w:hAnsi="Times New Roman"/>
          <w:sz w:val="24"/>
          <w:szCs w:val="24"/>
        </w:rPr>
      </w:pPr>
      <w:r w:rsidRPr="004B68D0">
        <w:rPr>
          <w:rFonts w:ascii="Times New Roman" w:hAnsi="Times New Roman"/>
          <w:sz w:val="24"/>
          <w:szCs w:val="24"/>
        </w:rPr>
        <w:t>The CAHPS Survey relies largely on a mail and telephone-based approach</w:t>
      </w:r>
    </w:p>
    <w:p w:rsidR="004B4693" w:rsidRPr="004B68D0" w:rsidP="004B4693" w14:paraId="3CE99964" w14:textId="35FCC2AC">
      <w:pPr>
        <w:pStyle w:val="Body"/>
        <w:numPr>
          <w:ilvl w:val="0"/>
          <w:numId w:val="9"/>
        </w:numPr>
        <w:ind w:left="990"/>
        <w:rPr>
          <w:rFonts w:ascii="Times New Roman" w:hAnsi="Times New Roman"/>
          <w:sz w:val="24"/>
          <w:szCs w:val="24"/>
        </w:rPr>
      </w:pPr>
      <w:hyperlink r:id="rId9" w:history="1">
        <w:r w:rsidRPr="004B68D0">
          <w:rPr>
            <w:rStyle w:val="Hyperlink"/>
            <w:rFonts w:ascii="Times New Roman" w:hAnsi="Times New Roman"/>
            <w:bCs/>
            <w:sz w:val="24"/>
            <w:szCs w:val="24"/>
          </w:rPr>
          <w:t>HEDIS Volume 3</w:t>
        </w:r>
      </w:hyperlink>
      <w:r w:rsidRPr="004B68D0">
        <w:rPr>
          <w:rFonts w:ascii="Times New Roman" w:hAnsi="Times New Roman"/>
          <w:sz w:val="24"/>
          <w:szCs w:val="24"/>
        </w:rPr>
        <w:t xml:space="preserve">: Specifications for Survey Measures states that </w:t>
      </w:r>
    </w:p>
    <w:p w:rsidR="004B4693" w:rsidRPr="004B68D0" w:rsidP="004B4693" w14:paraId="079977C8" w14:textId="74DC27A3">
      <w:pPr>
        <w:pStyle w:val="Body"/>
        <w:numPr>
          <w:ilvl w:val="1"/>
          <w:numId w:val="9"/>
        </w:numPr>
        <w:rPr>
          <w:rFonts w:ascii="Times New Roman" w:hAnsi="Times New Roman"/>
          <w:sz w:val="24"/>
          <w:szCs w:val="24"/>
        </w:rPr>
      </w:pPr>
      <w:r w:rsidRPr="004B68D0">
        <w:rPr>
          <w:rFonts w:ascii="Times New Roman" w:hAnsi="Times New Roman"/>
          <w:sz w:val="24"/>
          <w:szCs w:val="24"/>
        </w:rPr>
        <w:t>The health plan and survey vendor select one of two standard options for administering HEDIS CAHPS surveys:</w:t>
      </w:r>
    </w:p>
    <w:p w:rsidR="004B4693" w:rsidRPr="004B68D0" w:rsidP="004B4693" w14:paraId="2594E1E4" w14:textId="2BCB4606">
      <w:pPr>
        <w:pStyle w:val="Bullet"/>
        <w:numPr>
          <w:ilvl w:val="2"/>
          <w:numId w:val="9"/>
        </w:numPr>
        <w:spacing w:before="120"/>
        <w:rPr>
          <w:rFonts w:ascii="Times New Roman" w:hAnsi="Times New Roman"/>
          <w:sz w:val="24"/>
        </w:rPr>
      </w:pPr>
      <w:r w:rsidRPr="004B68D0">
        <w:rPr>
          <w:rFonts w:ascii="Times New Roman" w:hAnsi="Times New Roman"/>
          <w:sz w:val="24"/>
        </w:rPr>
        <w:t xml:space="preserve">The </w:t>
      </w:r>
      <w:r w:rsidRPr="004B68D0">
        <w:rPr>
          <w:rFonts w:ascii="Times New Roman" w:hAnsi="Times New Roman"/>
          <w:b/>
          <w:sz w:val="24"/>
        </w:rPr>
        <w:t>mail</w:t>
      </w:r>
      <w:r w:rsidRPr="004B68D0">
        <w:rPr>
          <w:rFonts w:ascii="Times New Roman" w:hAnsi="Times New Roman"/>
          <w:b/>
          <w:sz w:val="24"/>
        </w:rPr>
        <w:t xml:space="preserve">-only methodology, </w:t>
      </w:r>
      <w:r w:rsidRPr="004B68D0">
        <w:rPr>
          <w:rFonts w:ascii="Times New Roman" w:hAnsi="Times New Roman"/>
          <w:sz w:val="24"/>
        </w:rPr>
        <w:t>a five-wave mail protocol with three questionnaire mailings and two reminder postcards.</w:t>
      </w:r>
    </w:p>
    <w:p w:rsidR="00D93737" w:rsidRPr="004B68D0" w:rsidP="00D93737" w14:paraId="5577645D" w14:textId="77777777">
      <w:pPr>
        <w:pStyle w:val="Bullet"/>
        <w:numPr>
          <w:ilvl w:val="2"/>
          <w:numId w:val="9"/>
        </w:numPr>
        <w:spacing w:before="120"/>
        <w:rPr>
          <w:rFonts w:ascii="Times New Roman" w:hAnsi="Times New Roman"/>
          <w:sz w:val="24"/>
        </w:rPr>
      </w:pPr>
      <w:r w:rsidRPr="004B68D0">
        <w:rPr>
          <w:rFonts w:ascii="Times New Roman" w:hAnsi="Times New Roman"/>
          <w:sz w:val="24"/>
        </w:rPr>
        <w:t xml:space="preserve">The </w:t>
      </w:r>
      <w:r w:rsidRPr="004B68D0">
        <w:rPr>
          <w:rFonts w:ascii="Times New Roman" w:hAnsi="Times New Roman"/>
          <w:b/>
          <w:sz w:val="24"/>
        </w:rPr>
        <w:t xml:space="preserve">mixed methodology, </w:t>
      </w:r>
      <w:r w:rsidRPr="004B68D0">
        <w:rPr>
          <w:rFonts w:ascii="Times New Roman" w:hAnsi="Times New Roman"/>
          <w:sz w:val="24"/>
        </w:rPr>
        <w:t>a four-wave mail protocol (two questionnaires and two reminder postcards) with telephone follow-up of a minimum of three and a maximum of six telephone attempts.</w:t>
      </w:r>
    </w:p>
    <w:p w:rsidR="004B4693" w:rsidRPr="004B68D0" w:rsidP="00D93737" w14:paraId="3ED941CA" w14:textId="31E743DE">
      <w:pPr>
        <w:pStyle w:val="Bullet"/>
        <w:numPr>
          <w:ilvl w:val="1"/>
          <w:numId w:val="9"/>
        </w:numPr>
        <w:spacing w:before="120"/>
        <w:rPr>
          <w:rFonts w:ascii="Times New Roman" w:hAnsi="Times New Roman"/>
          <w:sz w:val="24"/>
        </w:rPr>
      </w:pPr>
      <w:r w:rsidRPr="004B68D0">
        <w:rPr>
          <w:rFonts w:ascii="Times New Roman" w:hAnsi="Times New Roman"/>
          <w:sz w:val="24"/>
        </w:rPr>
        <w:t xml:space="preserve">NCQA provides a standardized internet data collection protocol enhancement for optional use by health plans and survey vendors (prior approval is not required). Survey vendors may add an email component to the internet enhancement which allows vendors to email the cover letters, surveys and reminders to members with valid email addresses. The email component is optional (prior approval is not required). Specifications for the standardized HEDIS CAHPS internet enhancement are included </w:t>
      </w:r>
      <w:r w:rsidRPr="004B68D0" w:rsidR="003E3AEA">
        <w:rPr>
          <w:rFonts w:ascii="Times New Roman" w:hAnsi="Times New Roman"/>
          <w:sz w:val="24"/>
        </w:rPr>
        <w:t xml:space="preserve">in </w:t>
      </w:r>
      <w:hyperlink r:id="rId9" w:history="1">
        <w:r w:rsidRPr="004B68D0">
          <w:rPr>
            <w:rStyle w:val="Hyperlink"/>
            <w:rFonts w:ascii="Times New Roman" w:hAnsi="Times New Roman"/>
            <w:bCs/>
            <w:sz w:val="24"/>
          </w:rPr>
          <w:t>HEDIS Volume 3</w:t>
        </w:r>
      </w:hyperlink>
      <w:r w:rsidRPr="004B68D0">
        <w:rPr>
          <w:rFonts w:ascii="Times New Roman" w:hAnsi="Times New Roman"/>
          <w:sz w:val="24"/>
        </w:rPr>
        <w:t>: Specifications for Survey Measures.</w:t>
      </w:r>
    </w:p>
    <w:p w:rsidR="004B4693" w:rsidRPr="00D93737" w:rsidP="004B4693" w14:paraId="3E2E0C45" w14:textId="77777777">
      <w:pPr>
        <w:rPr>
          <w:szCs w:val="24"/>
        </w:rPr>
      </w:pPr>
    </w:p>
    <w:p w:rsidR="0009586A" w:rsidP="002B1643" w14:paraId="081C3EFD" w14:textId="7EA5EC0D">
      <w:pPr>
        <w:ind w:left="720"/>
      </w:pPr>
      <w:r>
        <w:t xml:space="preserve">The CAHPS program is funded and administered by the Agency for Healthcare Research and Quality (AHRQ), which </w:t>
      </w:r>
      <w:r w:rsidR="003E3AEA">
        <w:t>oversees</w:t>
      </w:r>
      <w:r>
        <w:t xml:space="preserve"> the use of the CAHPS Survey. According to their </w:t>
      </w:r>
      <w:hyperlink r:id="rId10">
        <w:r w:rsidRPr="32A97CA9">
          <w:rPr>
            <w:rStyle w:val="Hyperlink"/>
          </w:rPr>
          <w:t>website</w:t>
        </w:r>
      </w:hyperlink>
      <w:r>
        <w:t xml:space="preserve">: </w:t>
      </w:r>
    </w:p>
    <w:p w:rsidR="32A97CA9" w:rsidP="32A97CA9" w14:paraId="3E4E2628" w14:textId="775D625C">
      <w:pPr>
        <w:ind w:left="720"/>
      </w:pPr>
    </w:p>
    <w:p w:rsidR="002B1643" w:rsidRPr="0009586A" w:rsidP="0009586A" w14:paraId="6CAE36E4" w14:textId="68B1CD42">
      <w:pPr>
        <w:ind w:left="1440"/>
        <w:rPr>
          <w:i/>
          <w:iCs/>
        </w:rPr>
      </w:pPr>
      <w:r w:rsidRPr="0009586A">
        <w:rPr>
          <w:i/>
          <w:iCs/>
        </w:rPr>
        <w:t xml:space="preserve">Web-based surveying is an increasingly popular mode of survey administration given its cost-effectiveness. However, the CAHPS research team has found that healthcare organizations are unlikely to have valid email addresses for a representative portion of their patient or enrollee population. Further, research indicates that </w:t>
      </w:r>
      <w:r w:rsidRPr="0009586A">
        <w:rPr>
          <w:i/>
          <w:iCs/>
        </w:rPr>
        <w:t>a web</w:t>
      </w:r>
      <w:r w:rsidRPr="0009586A">
        <w:rPr>
          <w:i/>
          <w:iCs/>
        </w:rPr>
        <w:t>-based administration, by itself, of CAHPS surveys consistently yields the lowest response rates. Therefore, to minimize nonresponse bias and increase response rates, web administration is currently recommended only as part of a mixed mode protocol.</w:t>
      </w:r>
    </w:p>
    <w:p w:rsidR="0009586A" w:rsidP="002B1643" w14:paraId="6F3361E6" w14:textId="77777777">
      <w:pPr>
        <w:ind w:left="720"/>
      </w:pPr>
    </w:p>
    <w:p w:rsidR="006B37C6" w:rsidRPr="00741061" w:rsidP="006B37C6" w14:paraId="727CC37C" w14:textId="77777777">
      <w:pPr>
        <w:pStyle w:val="ListParagraph"/>
        <w:numPr>
          <w:ilvl w:val="0"/>
          <w:numId w:val="4"/>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6B37C6" w:rsidP="006B37C6" w14:paraId="37645339" w14:textId="77777777">
      <w:pPr>
        <w:ind w:firstLine="720"/>
      </w:pPr>
    </w:p>
    <w:p w:rsidR="00B31C53" w:rsidP="009F6DA2" w14:paraId="0EF52D91" w14:textId="79A55A57">
      <w:pPr>
        <w:ind w:left="720"/>
      </w:pPr>
      <w:r>
        <w:t xml:space="preserve">The CAHPS survey is the only vehicle that OPM obtains information on </w:t>
      </w:r>
      <w:r w:rsidR="31219C83">
        <w:t>enrollee experiences with health plans and their services. OPM does not</w:t>
      </w:r>
      <w:r w:rsidR="6274F842">
        <w:t xml:space="preserve"> directly</w:t>
      </w:r>
      <w:r w:rsidR="31219C83">
        <w:t xml:space="preserve"> collect data </w:t>
      </w:r>
      <w:r w:rsidR="080D89DA">
        <w:t xml:space="preserve">on </w:t>
      </w:r>
      <w:r w:rsidR="3D2166F4">
        <w:t>enrollees'</w:t>
      </w:r>
      <w:r w:rsidR="080D89DA">
        <w:t xml:space="preserve"> experiences with their health plans</w:t>
      </w:r>
      <w:r w:rsidR="7DD2B7D4">
        <w:t xml:space="preserve">. </w:t>
      </w:r>
      <w:r w:rsidR="5FD379D2">
        <w:t>T</w:t>
      </w:r>
      <w:r w:rsidR="0DDFAD5F">
        <w:t>he FEHB and PSHB health plans provide the CAHPS health plan survey</w:t>
      </w:r>
      <w:r w:rsidR="3E9805F0">
        <w:t xml:space="preserve"> to </w:t>
      </w:r>
      <w:r w:rsidR="71B1A6B2">
        <w:t>a sample of</w:t>
      </w:r>
      <w:r w:rsidR="3E9805F0">
        <w:t xml:space="preserve"> enrollees</w:t>
      </w:r>
      <w:r w:rsidR="71B1A6B2">
        <w:t xml:space="preserve"> within their </w:t>
      </w:r>
      <w:r w:rsidR="1D184246">
        <w:t>population,</w:t>
      </w:r>
      <w:r w:rsidR="3E9805F0">
        <w:t xml:space="preserve"> or</w:t>
      </w:r>
      <w:r w:rsidR="71B1A6B2">
        <w:t xml:space="preserve"> the health plans</w:t>
      </w:r>
      <w:r w:rsidR="3E9805F0">
        <w:t xml:space="preserve"> contract out to </w:t>
      </w:r>
      <w:r w:rsidR="71B1A6B2">
        <w:t>a vendor</w:t>
      </w:r>
      <w:r w:rsidR="3E9805F0">
        <w:t xml:space="preserve"> to provide the CAHPS health plan survey to a sample within the population of enrollees of the health plan. </w:t>
      </w:r>
    </w:p>
    <w:p w:rsidR="00900453" w:rsidP="009F6DA2" w14:paraId="22F74FAE" w14:textId="77777777">
      <w:pPr>
        <w:ind w:left="720"/>
        <w:rPr>
          <w:szCs w:val="24"/>
        </w:rPr>
      </w:pPr>
    </w:p>
    <w:p w:rsidR="00900453" w:rsidP="009F6DA2" w14:paraId="2A8B4B51" w14:textId="55311978">
      <w:pPr>
        <w:ind w:left="720"/>
        <w:rPr>
          <w:szCs w:val="24"/>
        </w:rPr>
      </w:pPr>
      <w:r>
        <w:rPr>
          <w:szCs w:val="24"/>
        </w:rPr>
        <w:t xml:space="preserve">OPM does not </w:t>
      </w:r>
      <w:r w:rsidR="0011676F">
        <w:rPr>
          <w:szCs w:val="24"/>
        </w:rPr>
        <w:t xml:space="preserve">send the survey out to enrollees for several reasons. One of the main reasons is that many health plans are </w:t>
      </w:r>
      <w:r w:rsidR="006F6CD9">
        <w:rPr>
          <w:szCs w:val="24"/>
        </w:rPr>
        <w:t xml:space="preserve">mandated by CMS or their State to collect the CAHPS </w:t>
      </w:r>
      <w:r w:rsidR="0053128F">
        <w:rPr>
          <w:szCs w:val="24"/>
        </w:rPr>
        <w:t>survey</w:t>
      </w:r>
      <w:r w:rsidR="006F6CD9">
        <w:rPr>
          <w:szCs w:val="24"/>
        </w:rPr>
        <w:t xml:space="preserve"> </w:t>
      </w:r>
      <w:r w:rsidR="00F70E91">
        <w:rPr>
          <w:szCs w:val="24"/>
        </w:rPr>
        <w:t>within</w:t>
      </w:r>
      <w:r w:rsidR="006F6CD9">
        <w:rPr>
          <w:szCs w:val="24"/>
        </w:rPr>
        <w:t xml:space="preserve"> Medicare, Medicaid, and </w:t>
      </w:r>
      <w:r w:rsidR="00F70E91">
        <w:rPr>
          <w:szCs w:val="24"/>
        </w:rPr>
        <w:t>CHIP. In addition,</w:t>
      </w:r>
      <w:r w:rsidR="004A1193">
        <w:rPr>
          <w:szCs w:val="24"/>
        </w:rPr>
        <w:t xml:space="preserve"> the National Committee fo</w:t>
      </w:r>
      <w:r w:rsidR="002E113C">
        <w:rPr>
          <w:szCs w:val="24"/>
        </w:rPr>
        <w:t>r</w:t>
      </w:r>
      <w:r w:rsidR="004A1193">
        <w:rPr>
          <w:szCs w:val="24"/>
        </w:rPr>
        <w:t xml:space="preserve"> Quality </w:t>
      </w:r>
      <w:r w:rsidR="002E113C">
        <w:rPr>
          <w:szCs w:val="24"/>
        </w:rPr>
        <w:t>Assurance</w:t>
      </w:r>
      <w:r w:rsidR="004A1193">
        <w:rPr>
          <w:szCs w:val="24"/>
        </w:rPr>
        <w:t xml:space="preserve"> (NCQA) requires health plan </w:t>
      </w:r>
      <w:r w:rsidR="002E113C">
        <w:rPr>
          <w:szCs w:val="24"/>
        </w:rPr>
        <w:t>seeking</w:t>
      </w:r>
      <w:r w:rsidR="004A1193">
        <w:rPr>
          <w:szCs w:val="24"/>
        </w:rPr>
        <w:t xml:space="preserve"> accreditation to </w:t>
      </w:r>
      <w:r w:rsidR="00280C14">
        <w:rPr>
          <w:szCs w:val="24"/>
        </w:rPr>
        <w:t xml:space="preserve">submit the CAHPS Health Plan survey. If OPM also sent the survey out this would </w:t>
      </w:r>
      <w:r w:rsidR="002E113C">
        <w:rPr>
          <w:szCs w:val="24"/>
        </w:rPr>
        <w:t xml:space="preserve">be identified as duplicated efforts. </w:t>
      </w:r>
    </w:p>
    <w:p w:rsidR="00927871" w:rsidP="009F6DA2" w14:paraId="6BEC1DE4" w14:textId="77777777">
      <w:pPr>
        <w:ind w:left="720"/>
        <w:rPr>
          <w:szCs w:val="24"/>
        </w:rPr>
      </w:pPr>
    </w:p>
    <w:p w:rsidR="00927871" w:rsidP="009F6DA2" w14:paraId="53344F49" w14:textId="1CC805C4">
      <w:pPr>
        <w:ind w:left="720"/>
        <w:rPr>
          <w:szCs w:val="24"/>
        </w:rPr>
      </w:pPr>
      <w:r>
        <w:rPr>
          <w:szCs w:val="24"/>
        </w:rPr>
        <w:t xml:space="preserve">Further, CAHPS surveys, although not a universal requirement for all health plans, </w:t>
      </w:r>
      <w:r w:rsidR="00C71EB3">
        <w:rPr>
          <w:szCs w:val="24"/>
        </w:rPr>
        <w:t xml:space="preserve">are frequently used by various organizations for quality measurement, public reporting and overall accreditation </w:t>
      </w:r>
      <w:r w:rsidR="00C71EB3">
        <w:rPr>
          <w:szCs w:val="24"/>
        </w:rPr>
        <w:t>purposed</w:t>
      </w:r>
      <w:r w:rsidR="00C71EB3">
        <w:rPr>
          <w:szCs w:val="24"/>
        </w:rPr>
        <w:t xml:space="preserve">. </w:t>
      </w:r>
    </w:p>
    <w:p w:rsidR="006B37C6" w:rsidP="006B37C6" w14:paraId="1B7D8384" w14:textId="04BACEF8">
      <w:pPr>
        <w:ind w:firstLine="720"/>
      </w:pPr>
    </w:p>
    <w:p w:rsidR="004B4693" w:rsidP="00D93737" w14:paraId="23D54EFA" w14:textId="77777777"/>
    <w:p w:rsidR="006B37C6" w:rsidRPr="00741061" w:rsidP="006B37C6" w14:paraId="392B1F04" w14:textId="77777777">
      <w:pPr>
        <w:pStyle w:val="ListParagraph"/>
        <w:numPr>
          <w:ilvl w:val="0"/>
          <w:numId w:val="4"/>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6B37C6" w:rsidP="006B37C6" w14:paraId="4651C1E8" w14:textId="77777777">
      <w:pPr>
        <w:ind w:left="720"/>
      </w:pPr>
    </w:p>
    <w:p w:rsidR="0067719F" w:rsidP="006B37C6" w14:paraId="4988B8DF" w14:textId="6DEB8849">
      <w:pPr>
        <w:ind w:left="720"/>
      </w:pPr>
      <w:r w:rsidRPr="00837D73">
        <w:t>This I</w:t>
      </w:r>
      <w:r w:rsidR="0053128F">
        <w:t>C</w:t>
      </w:r>
      <w:r w:rsidRPr="00837D73">
        <w:t>R does not impact small businesses.</w:t>
      </w:r>
    </w:p>
    <w:p w:rsidR="006B37C6" w:rsidP="006B37C6" w14:paraId="1D2929D1" w14:textId="77777777">
      <w:pPr>
        <w:ind w:left="720"/>
      </w:pPr>
    </w:p>
    <w:p w:rsidR="006B37C6" w:rsidRPr="00741061" w:rsidP="006B37C6" w14:paraId="4F35F27E" w14:textId="77777777">
      <w:pPr>
        <w:pStyle w:val="ListParagraph"/>
        <w:numPr>
          <w:ilvl w:val="0"/>
          <w:numId w:val="4"/>
        </w:numPr>
        <w:shd w:val="pct25" w:color="auto" w:fill="auto"/>
        <w:tabs>
          <w:tab w:val="left" w:pos="-720"/>
        </w:tabs>
        <w:suppressAutoHyphens/>
        <w:contextualSpacing/>
      </w:pPr>
      <w:r w:rsidRPr="00741061">
        <w:t xml:space="preserve">Describe the </w:t>
      </w:r>
      <w:r w:rsidRPr="00741061">
        <w:t>consequence</w:t>
      </w:r>
      <w:r w:rsidRPr="00741061">
        <w:t xml:space="preserve"> to Federal/DHS program or policy activities if the collection of information is not conducted, or is conducted less frequently, as well as any technical or legal obstacles to reducing burden.</w:t>
      </w:r>
    </w:p>
    <w:p w:rsidR="0067719F" w14:paraId="63A4B51F" w14:textId="77777777"/>
    <w:p w:rsidR="0036340A" w:rsidRPr="0036340A" w:rsidP="0036340A" w14:paraId="40C54EF0" w14:textId="78749AED">
      <w:pPr>
        <w:ind w:left="720"/>
      </w:pPr>
      <w:r>
        <w:t>Several CAHPS measures are a part of the PPA and t</w:t>
      </w:r>
      <w:r w:rsidRPr="00C12F5C" w:rsidR="00C12F5C">
        <w:t xml:space="preserve">he PPA is linked to carrier profit and adjustment factors. FEHB </w:t>
      </w:r>
      <w:r w:rsidR="00863CE6">
        <w:t xml:space="preserve">and PSHB </w:t>
      </w:r>
      <w:r w:rsidRPr="00C12F5C" w:rsidR="00C12F5C">
        <w:t>contracts include language to incorporate the PPA as a determinant of the Service Charge or Performance Adjustment</w:t>
      </w:r>
      <w:r>
        <w:t>.</w:t>
      </w:r>
      <w:r w:rsidR="00C12F5C">
        <w:t xml:space="preserve"> CAHPS data is also provided annually to consumers through the FEHB Plan Comparison Tool</w:t>
      </w:r>
      <w:r w:rsidR="00863CE6">
        <w:t xml:space="preserve"> and the PSHB Decision Support Tool</w:t>
      </w:r>
      <w:r w:rsidR="00C12F5C">
        <w:t xml:space="preserve"> used as part of the FEHB</w:t>
      </w:r>
      <w:r w:rsidR="00863CE6">
        <w:t xml:space="preserve"> and PSHB</w:t>
      </w:r>
      <w:r w:rsidR="00C12F5C">
        <w:t xml:space="preserve"> Open Season. It is important that consumers have the most recent data available to assist in decision making. </w:t>
      </w:r>
    </w:p>
    <w:p w:rsidR="0036340A" w:rsidRPr="0036340A" w:rsidP="0036340A" w14:paraId="6C721D82" w14:textId="77777777">
      <w:pPr>
        <w:ind w:left="720"/>
      </w:pPr>
    </w:p>
    <w:p w:rsidR="00CB0B42" w:rsidP="006B37C6" w14:paraId="70E2F9A3" w14:textId="77777777">
      <w:pPr>
        <w:ind w:left="720"/>
      </w:pPr>
    </w:p>
    <w:p w:rsidR="00CB0B42" w:rsidP="00CB0B42" w14:paraId="4E8FD454" w14:textId="77777777">
      <w:pPr>
        <w:pStyle w:val="ListParagraph"/>
        <w:numPr>
          <w:ilvl w:val="0"/>
          <w:numId w:val="4"/>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CB0B42" w:rsidP="00CB0B42" w14:paraId="7ED18CED" w14:textId="77777777">
      <w:pPr>
        <w:pStyle w:val="ListParagraph"/>
        <w:shd w:val="pct25" w:color="auto" w:fill="auto"/>
        <w:tabs>
          <w:tab w:val="left" w:pos="-720"/>
        </w:tabs>
        <w:suppressAutoHyphens/>
      </w:pPr>
      <w:r>
        <w:t xml:space="preserve">• requiring respondents to report information to the agency more often than quarterly; </w:t>
      </w:r>
    </w:p>
    <w:p w:rsidR="00CB0B42" w:rsidP="00CB0B42" w14:paraId="48186E50"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CB0B42" w:rsidP="00CB0B42" w14:paraId="6C4CC39C" w14:textId="77777777">
      <w:pPr>
        <w:pStyle w:val="ListParagraph"/>
        <w:shd w:val="pct25" w:color="auto" w:fill="auto"/>
        <w:tabs>
          <w:tab w:val="left" w:pos="-720"/>
        </w:tabs>
        <w:suppressAutoHyphens/>
      </w:pPr>
      <w:r>
        <w:t xml:space="preserve">•requiring respondents to submit more than an original and two copies of any document; </w:t>
      </w:r>
    </w:p>
    <w:p w:rsidR="00CB0B42" w:rsidP="00CB0B42" w14:paraId="57F91BA0"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CB0B42" w:rsidP="00CB0B42" w14:paraId="0AA5AEF5" w14:textId="77777777">
      <w:pPr>
        <w:pStyle w:val="ListParagraph"/>
        <w:shd w:val="pct25" w:color="auto" w:fill="auto"/>
        <w:tabs>
          <w:tab w:val="left" w:pos="-720"/>
        </w:tabs>
        <w:suppressAutoHyphens/>
      </w:pPr>
      <w:r>
        <w:t xml:space="preserve">• in connection with a statistical </w:t>
      </w:r>
      <w:r>
        <w:t>survey,</w:t>
      </w:r>
      <w:r>
        <w:t xml:space="preserve"> that is not designed to produce valid and reliable results that can be generalized to the universe of study; </w:t>
      </w:r>
    </w:p>
    <w:p w:rsidR="00CB0B42" w:rsidP="00CB0B42" w14:paraId="11359AB7"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CB0B42" w:rsidP="00CB0B42" w14:paraId="507D0A50"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w:t>
      </w:r>
      <w:r>
        <w:t xml:space="preserve">consistent with the pledge, or which unnecessarily impedes sharing of data with other agencies for compatible confidential use; or </w:t>
      </w:r>
    </w:p>
    <w:p w:rsidR="00CB0B42" w:rsidP="00CB0B42" w14:paraId="680182DD"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CB0B42" w:rsidP="00CB0B42" w14:paraId="1D065664" w14:textId="77777777">
      <w:pPr>
        <w:ind w:left="720"/>
      </w:pPr>
      <w:r>
        <w:br/>
        <w:t>There are no special circumstances involved in the collection of this information.</w:t>
      </w:r>
    </w:p>
    <w:p w:rsidR="00CB0B42" w:rsidP="00CB0B42" w14:paraId="172D08B5" w14:textId="77777777">
      <w:pPr>
        <w:ind w:left="720"/>
      </w:pPr>
    </w:p>
    <w:p w:rsidR="00CB0B42" w:rsidRPr="00741061" w:rsidP="00CB0B42" w14:paraId="35B3BB15" w14:textId="6BE79671">
      <w:pPr>
        <w:pStyle w:val="ListParagraph"/>
        <w:numPr>
          <w:ilvl w:val="0"/>
          <w:numId w:val="4"/>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rsidR="003B3CFE">
        <w:t>publications</w:t>
      </w:r>
      <w:r w:rsidRPr="00741061">
        <w:t xml:space="preserve"> in the Federal Register of the agency’s notice soliciting comments on the information collection prior to submission to OMB</w:t>
      </w:r>
    </w:p>
    <w:p w:rsidR="000D52DD" w:rsidP="00CB0B42" w14:paraId="520526A8" w14:textId="77777777">
      <w:pPr>
        <w:ind w:left="720"/>
      </w:pPr>
    </w:p>
    <w:p w:rsidR="00CB0B42" w:rsidP="00CB0B42" w14:paraId="4B1CD85D" w14:textId="250DB9CA">
      <w:pPr>
        <w:ind w:left="720"/>
      </w:pPr>
      <w:r>
        <w:t>The 60</w:t>
      </w:r>
      <w:r>
        <w:t xml:space="preserve"> Day FRN was published at </w:t>
      </w:r>
      <w:r w:rsidR="001D51F3">
        <w:t>90</w:t>
      </w:r>
      <w:r>
        <w:t xml:space="preserve"> Fed. Reg. </w:t>
      </w:r>
      <w:r w:rsidR="001D51F3">
        <w:t>27</w:t>
      </w:r>
      <w:r w:rsidR="00433CB6">
        <w:t>058</w:t>
      </w:r>
      <w:r>
        <w:t xml:space="preserve"> (</w:t>
      </w:r>
      <w:r w:rsidR="007B6D9C">
        <w:t>June</w:t>
      </w:r>
      <w:r>
        <w:t xml:space="preserve"> 25, 202</w:t>
      </w:r>
      <w:r w:rsidR="007B6D9C">
        <w:t>5</w:t>
      </w:r>
      <w:r>
        <w:t xml:space="preserve">). </w:t>
      </w:r>
      <w:r w:rsidR="009A06E1">
        <w:t>One (1) comment was received. The commenter recommended not delaying the implementation of the national healthcare system after experiencing denial of a claim for medical services. OPM has determined this comment is outside the scope of the ICR.</w:t>
      </w:r>
      <w:r w:rsidR="00583DC4">
        <w:t xml:space="preserve"> </w:t>
      </w:r>
      <w:r>
        <w:t xml:space="preserve">The 30 Day FRN was published </w:t>
      </w:r>
      <w:r>
        <w:t>at</w:t>
      </w:r>
      <w:r>
        <w:t xml:space="preserve"> 87 Fed. Reg. 35576 </w:t>
      </w:r>
      <w:r w:rsidRPr="008F7967">
        <w:rPr>
          <w:highlight w:val="yellow"/>
        </w:rPr>
        <w:t>(</w:t>
      </w:r>
      <w:r w:rsidRPr="008F7967" w:rsidR="001D51F3">
        <w:rPr>
          <w:highlight w:val="yellow"/>
        </w:rPr>
        <w:t>September xx,</w:t>
      </w:r>
      <w:r w:rsidRPr="008F7967" w:rsidR="001D51F3">
        <w:rPr>
          <w:highlight w:val="yellow"/>
        </w:rPr>
        <w:t xml:space="preserve"> 2025</w:t>
      </w:r>
      <w:r w:rsidRPr="008F7967">
        <w:rPr>
          <w:highlight w:val="yellow"/>
        </w:rPr>
        <w:t>)</w:t>
      </w:r>
      <w:r w:rsidRPr="008F7967" w:rsidR="00372B11">
        <w:rPr>
          <w:highlight w:val="yellow"/>
        </w:rPr>
        <w:t>.</w:t>
      </w:r>
    </w:p>
    <w:p w:rsidR="00CB0B42" w:rsidP="0047295A" w14:paraId="2CA5496B" w14:textId="77777777"/>
    <w:p w:rsidR="00CB0B42" w:rsidP="00CB0B42" w14:paraId="5BFE5B58" w14:textId="77777777">
      <w:pPr>
        <w:ind w:left="720"/>
      </w:pPr>
    </w:p>
    <w:p w:rsidR="00CB0B42" w:rsidRPr="00741061" w:rsidP="00CB0B42" w14:paraId="48033821" w14:textId="77777777">
      <w:pPr>
        <w:pStyle w:val="ListParagraph"/>
        <w:numPr>
          <w:ilvl w:val="0"/>
          <w:numId w:val="4"/>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2B1643" w:rsidP="006B37C6" w14:paraId="3E8D18D0" w14:textId="77777777">
      <w:pPr>
        <w:ind w:left="720"/>
      </w:pPr>
    </w:p>
    <w:p w:rsidR="006B37C6" w:rsidP="006B37C6" w14:paraId="45FDC0B3" w14:textId="069A3CA5">
      <w:pPr>
        <w:ind w:left="720"/>
      </w:pPr>
      <w:r>
        <w:t>No payment or gift is provided to respondents.</w:t>
      </w:r>
    </w:p>
    <w:p w:rsidR="008E462F" w:rsidP="006B37C6" w14:paraId="66153D76" w14:textId="57E3C88F">
      <w:pPr>
        <w:ind w:left="720"/>
      </w:pPr>
    </w:p>
    <w:p w:rsidR="008E462F" w:rsidRPr="008728DF" w:rsidP="008E462F" w14:paraId="72BCDDA3" w14:textId="77777777">
      <w:pPr>
        <w:pStyle w:val="Body"/>
        <w:numPr>
          <w:ilvl w:val="0"/>
          <w:numId w:val="9"/>
        </w:numPr>
        <w:ind w:left="990"/>
        <w:rPr>
          <w:rFonts w:ascii="Times New Roman" w:hAnsi="Times New Roman"/>
          <w:sz w:val="24"/>
          <w:szCs w:val="24"/>
        </w:rPr>
      </w:pPr>
      <w:hyperlink r:id="rId9" w:history="1">
        <w:r w:rsidRPr="00B84785">
          <w:rPr>
            <w:rStyle w:val="Hyperlink"/>
            <w:rFonts w:ascii="Times New Roman" w:hAnsi="Times New Roman"/>
            <w:bCs/>
            <w:sz w:val="24"/>
            <w:szCs w:val="24"/>
          </w:rPr>
          <w:t>HEDIS Volume 3</w:t>
        </w:r>
      </w:hyperlink>
      <w:r w:rsidRPr="00B84785">
        <w:rPr>
          <w:rFonts w:ascii="Times New Roman" w:hAnsi="Times New Roman"/>
          <w:sz w:val="24"/>
          <w:szCs w:val="24"/>
        </w:rPr>
        <w:t>:</w:t>
      </w:r>
      <w:r w:rsidRPr="00A347C5">
        <w:rPr>
          <w:rFonts w:ascii="Times New Roman" w:hAnsi="Times New Roman"/>
          <w:sz w:val="24"/>
          <w:szCs w:val="24"/>
        </w:rPr>
        <w:t xml:space="preserve"> Spec</w:t>
      </w:r>
      <w:r w:rsidRPr="008728DF">
        <w:rPr>
          <w:rFonts w:ascii="Times New Roman" w:hAnsi="Times New Roman"/>
          <w:sz w:val="24"/>
          <w:szCs w:val="24"/>
        </w:rPr>
        <w:t xml:space="preserve">ifications for Survey Measures states that </w:t>
      </w:r>
    </w:p>
    <w:p w:rsidR="008E462F" w:rsidP="002D478E" w14:paraId="3A77D887" w14:textId="3D0BB874">
      <w:pPr>
        <w:pStyle w:val="Body"/>
        <w:numPr>
          <w:ilvl w:val="1"/>
          <w:numId w:val="9"/>
        </w:numPr>
        <w:ind w:left="720"/>
      </w:pPr>
      <w:r w:rsidRPr="002D478E">
        <w:rPr>
          <w:rFonts w:ascii="Times New Roman" w:hAnsi="Times New Roman"/>
          <w:sz w:val="24"/>
          <w:szCs w:val="24"/>
        </w:rPr>
        <w:t xml:space="preserve">NCQA does not allow the health plan or survey vendor to use incentives of any kind. Proxy responses are not permitted for the adult surveys; the sampled member must complete his or her own survey. </w:t>
      </w:r>
    </w:p>
    <w:p w:rsidR="002B1643" w:rsidP="006B37C6" w14:paraId="32D66467" w14:textId="77777777">
      <w:pPr>
        <w:ind w:left="720"/>
      </w:pPr>
    </w:p>
    <w:p w:rsidR="00CB0B42" w:rsidRPr="00741061" w:rsidP="00CB0B42" w14:paraId="65D680EF" w14:textId="77777777">
      <w:pPr>
        <w:pStyle w:val="ListParagraph"/>
        <w:numPr>
          <w:ilvl w:val="0"/>
          <w:numId w:val="4"/>
        </w:numPr>
        <w:shd w:val="pct25" w:color="auto" w:fill="auto"/>
        <w:tabs>
          <w:tab w:val="left" w:pos="-720"/>
          <w:tab w:val="num" w:pos="630"/>
          <w:tab w:val="clear" w:pos="720"/>
        </w:tabs>
        <w:suppressAutoHyphens/>
        <w:ind w:left="630" w:right="-288"/>
        <w:contextualSpacing/>
      </w:pPr>
      <w:r w:rsidRPr="00741061">
        <w:t xml:space="preserve">Describe any assurance of confidentiality provided to respondents and the basis for the assurance in statute, regulation, or agency policy.  </w:t>
      </w:r>
    </w:p>
    <w:p w:rsidR="00CB0B42" w:rsidP="00CB0B42" w14:paraId="711D2F88" w14:textId="77777777">
      <w:pPr>
        <w:pStyle w:val="ListParagraph"/>
        <w:ind w:right="-288"/>
      </w:pPr>
    </w:p>
    <w:p w:rsidR="000D52DD" w:rsidP="0036340A" w14:paraId="13BF0BA2" w14:textId="3F355F1A">
      <w:pPr>
        <w:ind w:left="720" w:right="-288"/>
      </w:pPr>
      <w:r>
        <w:t xml:space="preserve">This information collection is protected </w:t>
      </w:r>
      <w:r w:rsidR="003A2BDE">
        <w:t xml:space="preserve">as confidential contracting documents under the Federal Acquisition Regulation and the FEHB Acquisition Regulation.  In addition, the Freedom of Information Act protects commercial or financial information from being disclosed that could harm the business interest of a company.  The information is also protected </w:t>
      </w:r>
      <w:r>
        <w:t>by the Privacy Act of 1974</w:t>
      </w:r>
      <w:r w:rsidR="002A03D6">
        <w:t xml:space="preserve"> and</w:t>
      </w:r>
      <w:r w:rsidR="0036340A">
        <w:t xml:space="preserve"> </w:t>
      </w:r>
      <w:r w:rsidRPr="0036340A" w:rsidR="0036340A">
        <w:t>the Health Insurance Portability and Accountability Act</w:t>
      </w:r>
      <w:r w:rsidR="003A2BDE">
        <w:t>.</w:t>
      </w:r>
    </w:p>
    <w:p w:rsidR="00CB0B42" w:rsidP="00CB0B42" w14:paraId="54F17151" w14:textId="77777777">
      <w:pPr>
        <w:ind w:right="-288" w:firstLine="720"/>
      </w:pPr>
    </w:p>
    <w:p w:rsidR="00CB0B42" w:rsidRPr="00741061" w:rsidP="00CB0B42" w14:paraId="4D951DF8" w14:textId="77777777">
      <w:pPr>
        <w:pStyle w:val="ListParagraph"/>
        <w:numPr>
          <w:ilvl w:val="0"/>
          <w:numId w:val="4"/>
        </w:numPr>
        <w:shd w:val="pct25" w:color="auto" w:fill="auto"/>
        <w:tabs>
          <w:tab w:val="left" w:pos="-720"/>
          <w:tab w:val="num" w:pos="630"/>
          <w:tab w:val="clear" w:pos="72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41061">
        <w:t>persons</w:t>
      </w:r>
      <w:r w:rsidRPr="00741061">
        <w:t xml:space="preserve"> from whom the information is requested, and any steps to be taken to obtain their consent. </w:t>
      </w:r>
    </w:p>
    <w:p w:rsidR="00CB0B42" w:rsidP="00F33C73" w14:paraId="6CABA25C" w14:textId="5460E0C7">
      <w:pPr>
        <w:spacing w:before="240"/>
        <w:ind w:left="720"/>
      </w:pPr>
      <w:r w:rsidRPr="000D52DD">
        <w:t xml:space="preserve"> </w:t>
      </w:r>
      <w:r w:rsidR="00877FFB">
        <w:t>While t</w:t>
      </w:r>
      <w:r w:rsidRPr="000D52DD">
        <w:t xml:space="preserve">he information collection does not include questions such as sexual behavior and attitudes, religious beliefs, </w:t>
      </w:r>
      <w:r w:rsidR="00877FFB">
        <w:t>etc</w:t>
      </w:r>
      <w:r w:rsidRPr="000D52DD">
        <w:t>.</w:t>
      </w:r>
      <w:r w:rsidR="00877FFB">
        <w:t xml:space="preserve">, </w:t>
      </w:r>
      <w:r w:rsidRPr="000D52DD" w:rsidR="00877FFB">
        <w:t xml:space="preserve">CAHPS surveys </w:t>
      </w:r>
      <w:r w:rsidR="00877FFB">
        <w:t xml:space="preserve">do </w:t>
      </w:r>
      <w:r w:rsidRPr="000D52DD" w:rsidR="00877FFB">
        <w:t>collect information on patient experience</w:t>
      </w:r>
      <w:r w:rsidR="00877FFB">
        <w:t>.</w:t>
      </w:r>
    </w:p>
    <w:p w:rsidR="008E462F" w:rsidP="00CB0B42" w14:paraId="74DD4210" w14:textId="1EF68724">
      <w:pPr>
        <w:spacing w:before="240"/>
        <w:ind w:left="720"/>
      </w:pPr>
      <w:r>
        <w:t>Therefore</w:t>
      </w:r>
      <w:r>
        <w:t>, the following statement is included on the cover page of the survey</w:t>
      </w:r>
    </w:p>
    <w:p w:rsidR="008E462F" w:rsidP="008E462F" w14:paraId="05B8C543" w14:textId="77777777">
      <w:pPr>
        <w:pStyle w:val="ListParagraph"/>
        <w:numPr>
          <w:ilvl w:val="0"/>
          <w:numId w:val="10"/>
        </w:numPr>
        <w:contextualSpacing/>
      </w:pPr>
      <w:r>
        <w:t>Personally identifiable information will not be made public and will only be released in accordance with federal laws and regulations.</w:t>
      </w:r>
    </w:p>
    <w:p w:rsidR="008E462F" w:rsidP="008E462F" w14:paraId="1C74527D" w14:textId="2B59669F">
      <w:pPr>
        <w:pStyle w:val="ListParagraph"/>
        <w:numPr>
          <w:ilvl w:val="0"/>
          <w:numId w:val="10"/>
        </w:numPr>
        <w:contextualSpacing/>
      </w:pPr>
      <w:r>
        <w:t xml:space="preserve">You may notice a number on the cover of this survey. This number is ONLY used to let us know if you returned your </w:t>
      </w:r>
      <w:r w:rsidR="000E157D">
        <w:t>survey,</w:t>
      </w:r>
      <w:r>
        <w:t xml:space="preserve"> so we don’t have to send you reminders.</w:t>
      </w:r>
    </w:p>
    <w:p w:rsidR="00CB0B42" w:rsidP="00CB0B42" w14:paraId="0F809983" w14:textId="77777777">
      <w:pPr>
        <w:ind w:right="-288" w:firstLine="720"/>
      </w:pPr>
    </w:p>
    <w:p w:rsidR="00CB0B42" w:rsidRPr="00741061" w:rsidP="00CB0B42" w14:paraId="538DF441"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00CB0B42" w:rsidRPr="00741061" w:rsidP="00CB0B42" w14:paraId="07E04E43" w14:textId="77777777">
      <w:pPr>
        <w:pStyle w:val="ListParagraph"/>
        <w:tabs>
          <w:tab w:val="left" w:pos="-720"/>
        </w:tabs>
        <w:suppressAutoHyphens/>
        <w:ind w:left="360"/>
      </w:pPr>
    </w:p>
    <w:p w:rsidR="00CB0B42" w:rsidP="00CB0B42" w14:paraId="4327225A" w14:textId="77777777">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CB0B42" w:rsidP="00CB0B42" w14:paraId="4F5DB182" w14:textId="77777777">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t xml:space="preserve"> </w:t>
      </w:r>
    </w:p>
    <w:p w:rsidR="00CB0B42" w:rsidRPr="00741061" w:rsidP="00C1773B" w14:paraId="586FA7C2"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37D73" w:rsidRPr="000E157D" w:rsidP="00837D73" w14:paraId="66B73DC4" w14:textId="6F3B0D56">
      <w:pPr>
        <w:ind w:left="360"/>
        <w:rPr>
          <w:iCs/>
        </w:rPr>
      </w:pPr>
      <w:r>
        <w:br/>
      </w:r>
      <w:r w:rsidRPr="000E157D" w:rsidR="0036340A">
        <w:t>Burden Estimate</w:t>
      </w:r>
      <w:r w:rsidRPr="000E157D" w:rsidR="0036340A">
        <w:rPr>
          <w:b/>
        </w:rPr>
        <w:t xml:space="preserve">: </w:t>
      </w:r>
      <w:r w:rsidRPr="000E157D">
        <w:rPr>
          <w:iCs/>
        </w:rPr>
        <w:t xml:space="preserve">Approximately </w:t>
      </w:r>
      <w:r w:rsidRPr="000E157D" w:rsidR="00F33C73">
        <w:rPr>
          <w:iCs/>
        </w:rPr>
        <w:t xml:space="preserve">48,829 </w:t>
      </w:r>
      <w:r w:rsidRPr="000E157D">
        <w:rPr>
          <w:iCs/>
        </w:rPr>
        <w:t xml:space="preserve">CAHPS surveys will be processed annually. The survey requires approximately 15 minutes for the respondents to read the instructions and complete the survey. A burden of </w:t>
      </w:r>
      <w:r w:rsidRPr="000E157D" w:rsidR="00F33C73">
        <w:rPr>
          <w:iCs/>
        </w:rPr>
        <w:t xml:space="preserve">12,207.25 </w:t>
      </w:r>
      <w:r w:rsidRPr="000E157D">
        <w:rPr>
          <w:iCs/>
        </w:rPr>
        <w:t xml:space="preserve">hours is estimated and is not expected to vary substantially. </w:t>
      </w:r>
    </w:p>
    <w:p w:rsidR="00837D73" w:rsidRPr="000E157D" w:rsidP="00837D73" w14:paraId="4DD4691A" w14:textId="77777777">
      <w:pPr>
        <w:rPr>
          <w:iCs/>
        </w:rPr>
      </w:pPr>
    </w:p>
    <w:tbl>
      <w:tblPr>
        <w:tblpPr w:leftFromText="180" w:rightFromText="180" w:vertAnchor="text" w:horzAnchor="margin" w:tblpY="170"/>
        <w:tblW w:w="10535" w:type="dxa"/>
        <w:tblLayout w:type="fixed"/>
        <w:tblCellMar>
          <w:left w:w="0" w:type="dxa"/>
          <w:right w:w="0" w:type="dxa"/>
        </w:tblCellMar>
        <w:tblLook w:val="04A0"/>
      </w:tblPr>
      <w:tblGrid>
        <w:gridCol w:w="1316"/>
        <w:gridCol w:w="1317"/>
        <w:gridCol w:w="1317"/>
        <w:gridCol w:w="1260"/>
        <w:gridCol w:w="1374"/>
        <w:gridCol w:w="1317"/>
        <w:gridCol w:w="1317"/>
        <w:gridCol w:w="1317"/>
      </w:tblGrid>
      <w:tr w14:paraId="518305E7" w14:textId="77777777" w:rsidTr="00257983">
        <w:tblPrEx>
          <w:tblW w:w="10535" w:type="dxa"/>
          <w:tblLayout w:type="fixed"/>
          <w:tblCellMar>
            <w:left w:w="0" w:type="dxa"/>
            <w:right w:w="0" w:type="dxa"/>
          </w:tblCellMar>
          <w:tblLook w:val="04A0"/>
        </w:tblPrEx>
        <w:trPr>
          <w:trHeight w:val="1141"/>
        </w:trPr>
        <w:tc>
          <w:tcPr>
            <w:tcW w:w="131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0DCFAA49" w14:textId="77777777">
            <w:pPr>
              <w:rPr>
                <w:iCs/>
                <w:sz w:val="20"/>
                <w:szCs w:val="16"/>
              </w:rPr>
            </w:pPr>
            <w:r w:rsidRPr="000E157D">
              <w:rPr>
                <w:b/>
                <w:bCs/>
                <w:iCs/>
                <w:sz w:val="20"/>
                <w:szCs w:val="16"/>
              </w:rPr>
              <w:t>Form Name</w:t>
            </w:r>
          </w:p>
        </w:tc>
        <w:tc>
          <w:tcPr>
            <w:tcW w:w="13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72C46565" w14:textId="77777777">
            <w:pPr>
              <w:rPr>
                <w:iCs/>
                <w:sz w:val="20"/>
                <w:szCs w:val="16"/>
              </w:rPr>
            </w:pPr>
            <w:r w:rsidRPr="000E157D">
              <w:rPr>
                <w:b/>
                <w:bCs/>
                <w:iCs/>
                <w:sz w:val="20"/>
                <w:szCs w:val="16"/>
              </w:rPr>
              <w:t>Form Number</w:t>
            </w:r>
          </w:p>
        </w:tc>
        <w:tc>
          <w:tcPr>
            <w:tcW w:w="13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7372BA57" w14:textId="77777777">
            <w:pPr>
              <w:rPr>
                <w:iCs/>
                <w:sz w:val="20"/>
                <w:szCs w:val="16"/>
              </w:rPr>
            </w:pPr>
            <w:r w:rsidRPr="000E157D">
              <w:rPr>
                <w:b/>
                <w:bCs/>
                <w:iCs/>
                <w:sz w:val="20"/>
                <w:szCs w:val="16"/>
              </w:rPr>
              <w:t>No. of Respondents</w:t>
            </w:r>
          </w:p>
        </w:tc>
        <w:tc>
          <w:tcPr>
            <w:tcW w:w="12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1363961E" w14:textId="77777777">
            <w:pPr>
              <w:rPr>
                <w:iCs/>
                <w:sz w:val="20"/>
                <w:szCs w:val="16"/>
              </w:rPr>
            </w:pPr>
            <w:r w:rsidRPr="000E157D">
              <w:rPr>
                <w:b/>
                <w:bCs/>
                <w:iCs/>
                <w:sz w:val="20"/>
                <w:szCs w:val="16"/>
              </w:rPr>
              <w:t>No. of Responses per Respondent</w:t>
            </w:r>
          </w:p>
        </w:tc>
        <w:tc>
          <w:tcPr>
            <w:tcW w:w="13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6E82AFC6" w14:textId="77777777">
            <w:pPr>
              <w:rPr>
                <w:iCs/>
                <w:sz w:val="20"/>
                <w:szCs w:val="16"/>
              </w:rPr>
            </w:pPr>
            <w:r w:rsidRPr="000E157D">
              <w:rPr>
                <w:b/>
                <w:bCs/>
                <w:iCs/>
                <w:sz w:val="20"/>
                <w:szCs w:val="16"/>
              </w:rPr>
              <w:t>Average Burden per Response (in hours)</w:t>
            </w:r>
          </w:p>
        </w:tc>
        <w:tc>
          <w:tcPr>
            <w:tcW w:w="13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269E2595" w14:textId="77777777">
            <w:pPr>
              <w:rPr>
                <w:iCs/>
                <w:sz w:val="20"/>
                <w:szCs w:val="16"/>
              </w:rPr>
            </w:pPr>
            <w:r w:rsidRPr="000E157D">
              <w:rPr>
                <w:b/>
                <w:bCs/>
                <w:iCs/>
                <w:sz w:val="20"/>
                <w:szCs w:val="16"/>
              </w:rPr>
              <w:t>Total Annual Burden (in hours)</w:t>
            </w:r>
          </w:p>
        </w:tc>
        <w:tc>
          <w:tcPr>
            <w:tcW w:w="13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1C149947" w14:textId="3E137073">
            <w:pPr>
              <w:rPr>
                <w:iCs/>
                <w:sz w:val="20"/>
                <w:szCs w:val="16"/>
              </w:rPr>
            </w:pPr>
            <w:r w:rsidRPr="000E157D">
              <w:rPr>
                <w:b/>
                <w:bCs/>
                <w:iCs/>
                <w:sz w:val="20"/>
                <w:szCs w:val="16"/>
              </w:rPr>
              <w:t>Average Rate</w:t>
            </w:r>
          </w:p>
        </w:tc>
        <w:tc>
          <w:tcPr>
            <w:tcW w:w="13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37D73" w:rsidRPr="000E157D" w:rsidP="00837D73" w14:paraId="5D48EB98" w14:textId="77777777">
            <w:pPr>
              <w:rPr>
                <w:iCs/>
                <w:sz w:val="20"/>
                <w:szCs w:val="16"/>
              </w:rPr>
            </w:pPr>
            <w:r w:rsidRPr="000E157D">
              <w:rPr>
                <w:b/>
                <w:bCs/>
                <w:iCs/>
                <w:sz w:val="20"/>
                <w:szCs w:val="16"/>
              </w:rPr>
              <w:t>Total Annual Respondent Cost</w:t>
            </w:r>
          </w:p>
        </w:tc>
      </w:tr>
      <w:tr w14:paraId="120E80CA" w14:textId="77777777" w:rsidTr="00257983">
        <w:tblPrEx>
          <w:tblW w:w="10535" w:type="dxa"/>
          <w:tblLayout w:type="fixed"/>
          <w:tblCellMar>
            <w:left w:w="0" w:type="dxa"/>
            <w:right w:w="0" w:type="dxa"/>
          </w:tblCellMar>
          <w:tblLook w:val="04A0"/>
        </w:tblPrEx>
        <w:trPr>
          <w:trHeight w:val="905"/>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7D73" w:rsidRPr="000E157D" w:rsidP="00837D73" w14:paraId="2A864709" w14:textId="77777777">
            <w:pPr>
              <w:rPr>
                <w:iCs/>
                <w:sz w:val="20"/>
                <w:szCs w:val="16"/>
              </w:rPr>
            </w:pPr>
            <w:r w:rsidRPr="000E157D">
              <w:rPr>
                <w:b/>
                <w:bCs/>
                <w:i/>
                <w:iCs/>
                <w:sz w:val="20"/>
                <w:szCs w:val="16"/>
              </w:rPr>
              <w:t>CAHPS Enrollee Survey</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837D73" w:rsidRPr="000E157D" w:rsidP="00837D73" w14:paraId="7C5FEF1F" w14:textId="5CDD39A6">
            <w:pPr>
              <w:rPr>
                <w:iCs/>
                <w:sz w:val="20"/>
                <w:szCs w:val="16"/>
              </w:rPr>
            </w:pPr>
            <w:r w:rsidRPr="000E157D">
              <w:rPr>
                <w:iCs/>
                <w:sz w:val="20"/>
                <w:szCs w:val="16"/>
              </w:rPr>
              <w:t>3206-</w:t>
            </w:r>
            <w:r w:rsidR="00B84785">
              <w:rPr>
                <w:iCs/>
                <w:sz w:val="20"/>
                <w:szCs w:val="16"/>
              </w:rPr>
              <w:t>0274</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837D73" w:rsidRPr="000E157D" w:rsidP="00837D73" w14:paraId="076563B6" w14:textId="3DE5038C">
            <w:pPr>
              <w:jc w:val="right"/>
              <w:rPr>
                <w:iCs/>
                <w:sz w:val="20"/>
                <w:szCs w:val="16"/>
              </w:rPr>
            </w:pPr>
            <w:r w:rsidRPr="000E157D">
              <w:rPr>
                <w:iCs/>
                <w:sz w:val="20"/>
                <w:szCs w:val="16"/>
              </w:rPr>
              <w:t>48,829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837D73" w:rsidRPr="000E157D" w:rsidP="00837D73" w14:paraId="57AF02E0" w14:textId="77777777">
            <w:pPr>
              <w:jc w:val="right"/>
              <w:rPr>
                <w:iCs/>
                <w:sz w:val="20"/>
                <w:szCs w:val="16"/>
              </w:rPr>
            </w:pPr>
            <w:r w:rsidRPr="000E157D">
              <w:rPr>
                <w:iCs/>
                <w:sz w:val="20"/>
                <w:szCs w:val="16"/>
              </w:rPr>
              <w:t>1 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837D73" w:rsidRPr="000E157D" w:rsidP="00837D73" w14:paraId="700E2955" w14:textId="77777777">
            <w:pPr>
              <w:jc w:val="right"/>
              <w:rPr>
                <w:iCs/>
                <w:sz w:val="20"/>
                <w:szCs w:val="16"/>
              </w:rPr>
            </w:pPr>
            <w:bookmarkStart w:id="0" w:name="_Hlk89954275"/>
            <w:r w:rsidRPr="000E157D">
              <w:rPr>
                <w:iCs/>
                <w:sz w:val="20"/>
                <w:szCs w:val="16"/>
              </w:rPr>
              <w:t>0.25 hours</w:t>
            </w:r>
            <w:bookmarkEnd w:id="0"/>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F33C73" w:rsidRPr="000E157D" w:rsidP="00837D73" w14:paraId="07C0B500" w14:textId="77777777">
            <w:pPr>
              <w:jc w:val="right"/>
              <w:rPr>
                <w:iCs/>
                <w:sz w:val="20"/>
                <w:szCs w:val="16"/>
              </w:rPr>
            </w:pPr>
            <w:r w:rsidRPr="000E157D">
              <w:rPr>
                <w:iCs/>
                <w:sz w:val="20"/>
                <w:szCs w:val="16"/>
              </w:rPr>
              <w:t>12,207.25</w:t>
            </w:r>
          </w:p>
          <w:p w:rsidR="00837D73" w:rsidRPr="000E157D" w:rsidP="00837D73" w14:paraId="6A54998A" w14:textId="4A570752">
            <w:pPr>
              <w:jc w:val="right"/>
              <w:rPr>
                <w:iCs/>
                <w:sz w:val="20"/>
                <w:szCs w:val="16"/>
              </w:rPr>
            </w:pPr>
            <w:r w:rsidRPr="000E157D">
              <w:rPr>
                <w:iCs/>
                <w:sz w:val="20"/>
                <w:szCs w:val="16"/>
              </w:rPr>
              <w:t>hours</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F33C73" w:rsidRPr="000E157D" w:rsidP="00837D73" w14:paraId="0B7C250D" w14:textId="0A4B1285">
            <w:pPr>
              <w:jc w:val="right"/>
              <w:rPr>
                <w:color w:val="000000"/>
                <w:sz w:val="20"/>
              </w:rPr>
            </w:pPr>
            <w:r w:rsidRPr="000E157D">
              <w:rPr>
                <w:color w:val="000000"/>
                <w:sz w:val="20"/>
              </w:rPr>
              <w:t>$</w:t>
            </w:r>
            <w:r w:rsidR="007B76EB">
              <w:rPr>
                <w:color w:val="000000"/>
                <w:sz w:val="20"/>
              </w:rPr>
              <w:t>8.17</w:t>
            </w:r>
          </w:p>
          <w:p w:rsidR="00837D73" w:rsidRPr="000E157D" w:rsidP="00837D73" w14:paraId="4A93201E" w14:textId="1ECEE6DA">
            <w:pPr>
              <w:jc w:val="right"/>
              <w:rPr>
                <w:iCs/>
                <w:sz w:val="20"/>
                <w:szCs w:val="16"/>
              </w:rPr>
            </w:pPr>
            <w:r w:rsidRPr="000E157D">
              <w:rPr>
                <w:iCs/>
                <w:sz w:val="20"/>
                <w:szCs w:val="16"/>
              </w:rPr>
              <w:t xml:space="preserve">per </w:t>
            </w:r>
            <w:r w:rsidR="00C650D9">
              <w:rPr>
                <w:iCs/>
                <w:sz w:val="20"/>
                <w:szCs w:val="16"/>
              </w:rPr>
              <w:t>form</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837D73" w:rsidRPr="0009586A" w:rsidP="00837D73" w14:paraId="094408B3" w14:textId="2119C271">
            <w:pPr>
              <w:jc w:val="right"/>
              <w:rPr>
                <w:iCs/>
                <w:sz w:val="20"/>
                <w:szCs w:val="16"/>
              </w:rPr>
            </w:pPr>
            <w:r w:rsidRPr="000E157D">
              <w:rPr>
                <w:iCs/>
                <w:sz w:val="20"/>
                <w:szCs w:val="16"/>
              </w:rPr>
              <w:t>$</w:t>
            </w:r>
            <w:r w:rsidR="00C50EFD">
              <w:rPr>
                <w:color w:val="000000"/>
                <w:sz w:val="20"/>
              </w:rPr>
              <w:t>398,688.79</w:t>
            </w:r>
          </w:p>
        </w:tc>
      </w:tr>
    </w:tbl>
    <w:p w:rsidR="00666B96" w:rsidRPr="0036340A" w:rsidP="00FC1263" w14:paraId="2CB7C8EA" w14:textId="750FE225">
      <w:pPr>
        <w:rPr>
          <w:iCs/>
        </w:rPr>
      </w:pPr>
      <w:r>
        <w:rPr>
          <w:iCs/>
        </w:rPr>
        <w:t xml:space="preserve">Note: </w:t>
      </w:r>
      <w:hyperlink r:id="rId11" w:anchor="/industry/000000" w:history="1">
        <w:r w:rsidRPr="00FC1263">
          <w:rPr>
            <w:rStyle w:val="Hyperlink"/>
            <w:iCs/>
          </w:rPr>
          <w:t>https://data.bls.gov/oes/#/industry/000000</w:t>
        </w:r>
      </w:hyperlink>
    </w:p>
    <w:p w:rsidR="00900E7C" w:rsidP="00CB0B42" w14:paraId="1033A193" w14:textId="77777777">
      <w:pPr>
        <w:ind w:right="-288" w:firstLine="720"/>
      </w:pPr>
    </w:p>
    <w:p w:rsidR="00C11A92" w:rsidRPr="00741061" w:rsidP="00C11A92" w14:paraId="27CA4BD0"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C11A92" w:rsidRPr="00741061" w:rsidP="00C11A92" w14:paraId="16CB2203" w14:textId="77777777">
      <w:pPr>
        <w:pStyle w:val="ListParagraph"/>
        <w:shd w:val="pct25" w:color="auto" w:fill="auto"/>
        <w:tabs>
          <w:tab w:val="left" w:pos="-720"/>
        </w:tabs>
        <w:suppressAutoHyphens/>
        <w:ind w:left="0"/>
      </w:pPr>
    </w:p>
    <w:p w:rsidR="00C11A92" w:rsidRPr="00741061" w:rsidP="00C11A92" w14:paraId="09E49074" w14:textId="62F03E61">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r w:rsidRPr="00741061">
        <w:t>take into account</w:t>
      </w:r>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41061">
        <w:t>time period</w:t>
      </w:r>
      <w:r w:rsidRPr="00741061">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11A92" w:rsidRPr="00741061" w:rsidP="00C11A92" w14:paraId="208670EF" w14:textId="77777777">
      <w:pPr>
        <w:pStyle w:val="ListParagraph"/>
        <w:shd w:val="pct25" w:color="auto" w:fill="FFFFFF"/>
        <w:tabs>
          <w:tab w:val="left" w:pos="-720"/>
        </w:tabs>
        <w:suppressAutoHyphens/>
        <w:ind w:left="0"/>
      </w:pPr>
    </w:p>
    <w:p w:rsidR="00C11A92" w:rsidRPr="00741061" w:rsidP="00C11A92" w14:paraId="60A73C8A" w14:textId="77777777">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11A92" w:rsidRPr="00741061" w:rsidP="00C11A92" w14:paraId="0ACA716C" w14:textId="77777777">
      <w:pPr>
        <w:pStyle w:val="ListParagraph"/>
        <w:shd w:val="pct25" w:color="auto" w:fill="FFFFFF"/>
        <w:tabs>
          <w:tab w:val="left" w:pos="-720"/>
        </w:tabs>
        <w:suppressAutoHyphens/>
        <w:ind w:left="0"/>
      </w:pPr>
    </w:p>
    <w:p w:rsidR="00C11A92" w:rsidRPr="00741061" w:rsidP="00C11A92" w14:paraId="136DF64F"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w:t>
      </w:r>
      <w:r w:rsidRPr="00741061">
        <w:t>:  (</w:t>
      </w:r>
      <w:r w:rsidRPr="00741061">
        <w:t xml:space="preserve">1) prior to October 1, 1995, (2) to achieve regulatory compliance with requirements not associated with the information collection, (3) for reasons other than </w:t>
      </w:r>
      <w:r w:rsidRPr="00741061">
        <w:t>to provide</w:t>
      </w:r>
      <w:r w:rsidRPr="00741061">
        <w:t xml:space="preserve"> information to keep records for the government, or (4) as part of customary and usual business or private practices.</w:t>
      </w:r>
    </w:p>
    <w:p w:rsidR="00D27067" w:rsidP="00D27067" w14:paraId="7C8EDF68" w14:textId="77777777">
      <w:pPr>
        <w:pStyle w:val="ListParagraph"/>
        <w:shd w:val="pct25" w:color="auto" w:fill="FFFFFF"/>
        <w:tabs>
          <w:tab w:val="left" w:pos="-720"/>
        </w:tabs>
        <w:suppressAutoHyphens/>
        <w:ind w:left="0"/>
        <w:rPr>
          <w:iCs/>
        </w:rPr>
      </w:pPr>
    </w:p>
    <w:p w:rsidR="00D30957" w:rsidP="00D30957" w14:paraId="101D8727" w14:textId="77777777">
      <w:pPr>
        <w:rPr>
          <w:iCs/>
        </w:rPr>
      </w:pPr>
    </w:p>
    <w:p w:rsidR="00550C37" w:rsidP="00257983" w14:paraId="68EA5937" w14:textId="1E5F715A">
      <w:pPr>
        <w:contextualSpacing/>
      </w:pPr>
      <w:r>
        <w:t xml:space="preserve">The CAHPS </w:t>
      </w:r>
      <w:r w:rsidR="005515CE">
        <w:t>survey</w:t>
      </w:r>
      <w:r>
        <w:t xml:space="preserve"> </w:t>
      </w:r>
      <w:r w:rsidR="007D2FB2">
        <w:t xml:space="preserve">is at no cost to </w:t>
      </w:r>
      <w:r w:rsidR="005515CE">
        <w:t>individuals</w:t>
      </w:r>
      <w:r w:rsidR="007D2FB2">
        <w:t xml:space="preserve"> who are asked to </w:t>
      </w:r>
      <w:r w:rsidR="005515CE">
        <w:t xml:space="preserve">fill </w:t>
      </w:r>
      <w:r w:rsidR="007D2FB2">
        <w:t>the survey out</w:t>
      </w:r>
      <w:r w:rsidR="005515CE">
        <w:t>.</w:t>
      </w:r>
      <w:r w:rsidR="00524280">
        <w:t xml:space="preserve"> There </w:t>
      </w:r>
      <w:r w:rsidR="00C65EA2">
        <w:t>are</w:t>
      </w:r>
      <w:r w:rsidR="00524280">
        <w:t xml:space="preserve"> no additional documents needed to be submitted by the individual. </w:t>
      </w:r>
      <w:r w:rsidR="005515CE">
        <w:t xml:space="preserve"> </w:t>
      </w:r>
      <w:r w:rsidR="007D2FB2">
        <w:t xml:space="preserve">The surveys are designed </w:t>
      </w:r>
      <w:r w:rsidR="005515CE">
        <w:t>to gather</w:t>
      </w:r>
      <w:r w:rsidR="007D2FB2">
        <w:t xml:space="preserve"> feedback on patient experience with healthcare and participation is voluntary. </w:t>
      </w:r>
      <w:r w:rsidR="00A60CAF">
        <w:t>Th</w:t>
      </w:r>
      <w:r w:rsidR="00524280">
        <w:t>ere</w:t>
      </w:r>
      <w:r w:rsidR="00A60CAF">
        <w:t xml:space="preserve"> are no </w:t>
      </w:r>
      <w:r w:rsidR="005515CE">
        <w:t>financial</w:t>
      </w:r>
      <w:r w:rsidR="00A60CAF">
        <w:t xml:space="preserve"> incentives offered to complete the survey</w:t>
      </w:r>
      <w:r w:rsidR="007B76EB">
        <w:t xml:space="preserve">. </w:t>
      </w:r>
      <w:r w:rsidR="006828FD">
        <w:t xml:space="preserve">Based on the 2024 </w:t>
      </w:r>
      <w:r w:rsidR="009B0EF1">
        <w:t>number of respondents to the CAHPS survey, 30,990 completed the survey and sent the survey back using the</w:t>
      </w:r>
      <w:r w:rsidRPr="009B0EF1" w:rsidR="009B0EF1">
        <w:t xml:space="preserve"> </w:t>
      </w:r>
      <w:r w:rsidR="009B0EF1">
        <w:t xml:space="preserve">pre-addressed and pre-stamped envelope. Using the 30,990 respondents by mail and the </w:t>
      </w:r>
      <w:hyperlink r:id="rId12" w:history="1">
        <w:r w:rsidRPr="007B76EB" w:rsidR="009B0EF1">
          <w:rPr>
            <w:rStyle w:val="Hyperlink"/>
          </w:rPr>
          <w:t>2025 IRS mileage rates</w:t>
        </w:r>
      </w:hyperlink>
      <w:r w:rsidR="009B0EF1">
        <w:t xml:space="preserve"> of </w:t>
      </w:r>
      <w:r w:rsidRPr="007B76EB" w:rsidR="009B0EF1">
        <w:t>$0.70</w:t>
      </w:r>
      <w:r w:rsidR="009B0EF1">
        <w:t xml:space="preserve"> per mile as well as </w:t>
      </w:r>
      <w:r w:rsidRPr="007B76EB" w:rsidR="009B0EF1">
        <w:t xml:space="preserve">a </w:t>
      </w:r>
      <w:hyperlink r:id="rId13" w:history="1">
        <w:r w:rsidRPr="007B76EB" w:rsidR="009B0EF1">
          <w:rPr>
            <w:rStyle w:val="Hyperlink"/>
          </w:rPr>
          <w:t>2023 USPS report</w:t>
        </w:r>
      </w:hyperlink>
      <w:r w:rsidR="009B0EF1">
        <w:t xml:space="preserve"> stating</w:t>
      </w:r>
      <w:r w:rsidRPr="007B76EB" w:rsidR="009B0EF1">
        <w:t xml:space="preserve"> 95% of Americans live within 5 miles of a Post Office</w:t>
      </w:r>
      <w:r w:rsidR="009B0EF1">
        <w:t>,</w:t>
      </w:r>
      <w:r w:rsidR="00427903">
        <w:t xml:space="preserve"> </w:t>
      </w:r>
      <w:r w:rsidR="009B0EF1">
        <w:t>OPM estimate</w:t>
      </w:r>
      <w:r w:rsidR="00427903">
        <w:t>s</w:t>
      </w:r>
      <w:r w:rsidR="009B0EF1">
        <w:t xml:space="preserve"> that the non-hourly cost burden will be $108,465. OPM acknowledges that this is </w:t>
      </w:r>
      <w:r w:rsidR="00354573">
        <w:t>likely</w:t>
      </w:r>
      <w:r w:rsidR="00BD57C0">
        <w:t xml:space="preserve"> </w:t>
      </w:r>
      <w:r w:rsidR="009B0EF1">
        <w:t xml:space="preserve">an </w:t>
      </w:r>
      <w:r w:rsidR="00354573">
        <w:t>overestimation</w:t>
      </w:r>
      <w:r w:rsidR="009B0EF1">
        <w:t xml:space="preserve"> since it does not account for those who walked to a mailbox, and for those that live less than 5 miles from a Post Office.  </w:t>
      </w:r>
    </w:p>
    <w:p w:rsidR="00B7481F" w:rsidP="006856F2" w14:paraId="573AB10F" w14:textId="30E4C47B"/>
    <w:p w:rsidR="00C11A92" w:rsidRPr="00C650D9" w:rsidP="006856F2" w14:paraId="484FAED0" w14:textId="56AFC9FD">
      <w:r w:rsidRPr="00741061">
        <w:fldChar w:fldCharType="begin"/>
      </w:r>
      <w:r w:rsidRPr="00741061">
        <w:instrText>ADVANCE \R 0.95</w:instrText>
      </w:r>
      <w:r w:rsidRPr="00741061">
        <w:fldChar w:fldCharType="end"/>
      </w:r>
      <w:r w:rsidRPr="00354573">
        <w:rPr>
          <w:highlight w:val="lightGray"/>
        </w:rPr>
        <w:t>14</w:t>
      </w:r>
      <w:r w:rsidRPr="00354573">
        <w:rPr>
          <w:highlight w:val="lightGray"/>
        </w:rPr>
        <w:t>.  Provide</w:t>
      </w:r>
      <w:r w:rsidRPr="00354573">
        <w:rPr>
          <w:highlight w:val="lightGray"/>
        </w:rPr>
        <w:t xml:space="preserve"> estimates of annualized cost to the Federal Government.  Also, provide a description of the method used to estimate cost, which should include quantification of hours, operational expenses (such as equipment, overhead, printing and support staff), and any other </w:t>
      </w:r>
      <w:r w:rsidRPr="00354573">
        <w:rPr>
          <w:highlight w:val="lightGray"/>
        </w:rPr>
        <w:t>expense</w:t>
      </w:r>
      <w:r w:rsidRPr="00354573">
        <w:rPr>
          <w:highlight w:val="lightGray"/>
        </w:rPr>
        <w:t xml:space="preserve"> that would have been incurred without this collection of information. You may also aggregate cost estimates for Items 12, 13, and 14 in a single table.</w:t>
      </w:r>
      <w:r w:rsidRPr="00C650D9">
        <w:t xml:space="preserve">  </w:t>
      </w:r>
    </w:p>
    <w:p w:rsidR="00D30957" w:rsidP="00D30957" w14:paraId="33F249F0" w14:textId="77777777"/>
    <w:p w:rsidR="00827CF8" w:rsidP="00827CF8" w14:paraId="448CDA4C" w14:textId="7AEB684C">
      <w:r>
        <w:t xml:space="preserve">FEHB and PSHB plans are required to participate in the CAHPS survey program. </w:t>
      </w:r>
      <w:r w:rsidR="00ED539F">
        <w:t xml:space="preserve">The respective </w:t>
      </w:r>
      <w:r>
        <w:t>Plan w</w:t>
      </w:r>
      <w:r w:rsidR="00943AB2">
        <w:t>ill</w:t>
      </w:r>
      <w:r>
        <w:t xml:space="preserve"> send the CAHPS survey to a randomly selected group of their members to evaluate their experience with the plan. </w:t>
      </w:r>
    </w:p>
    <w:p w:rsidR="00827CF8" w:rsidP="00827CF8" w14:paraId="119E5110" w14:textId="77777777"/>
    <w:p w:rsidR="00827CF8" w:rsidP="00827CF8" w14:paraId="6A9F5EF6" w14:textId="438BE03C">
      <w:r>
        <w:t>Each Plan contracts with an approved and certified National Committee for Quality Assurance (NCQA) HEDIS/CAHPS vendor to administer the adult version of the CAHPS Health Plan Survey for commercial members. The FEHB</w:t>
      </w:r>
      <w:r w:rsidR="00943AB2">
        <w:t>/PSHB</w:t>
      </w:r>
      <w:r>
        <w:t xml:space="preserve"> Carriers are responsible for a pro-rata share of the cost of compiling, processing and reporting the CAHPS survey results. OPM’s data </w:t>
      </w:r>
      <w:r>
        <w:t xml:space="preserve">collection contractor invoices each Carrier directly for a processing fee per unique NCQA Submission ID for which data is submitted on their behalf. </w:t>
      </w:r>
    </w:p>
    <w:p w:rsidR="00827CF8" w:rsidP="00827CF8" w14:paraId="2649484E" w14:textId="77777777"/>
    <w:p w:rsidR="00827CF8" w:rsidP="00827CF8" w14:paraId="7F0AFCE6" w14:textId="41B1ECE4">
      <w:r>
        <w:t xml:space="preserve">Operating expenses for the cost of administrating the CAHPS survey may be factored </w:t>
      </w:r>
      <w:r>
        <w:t>into</w:t>
      </w:r>
      <w:r>
        <w:t xml:space="preserve"> the premiums paid by the enrollees and the government. The federal government contributes a significant portion of the premium for the FEHB</w:t>
      </w:r>
      <w:r w:rsidR="00943AB2">
        <w:t>/PSHB</w:t>
      </w:r>
      <w:r>
        <w:t xml:space="preserve"> plans, which indirectly supports the cost of the CAHPS survey. </w:t>
      </w:r>
    </w:p>
    <w:p w:rsidR="00827CF8" w:rsidP="00827CF8" w14:paraId="3CF5DDCC" w14:textId="77777777"/>
    <w:p w:rsidR="00687E30" w:rsidP="00827CF8" w14:paraId="5D283D34" w14:textId="779240B4">
      <w:r>
        <w:t>W</w:t>
      </w:r>
      <w:r w:rsidR="00827CF8">
        <w:t>hile there is no direct cost to the government for the CAHPS survey, there may be a</w:t>
      </w:r>
      <w:r>
        <w:t xml:space="preserve"> very</w:t>
      </w:r>
      <w:r w:rsidR="00827CF8">
        <w:t xml:space="preserve"> small percentage of costs paid </w:t>
      </w:r>
      <w:r w:rsidR="001B470A">
        <w:t>from</w:t>
      </w:r>
      <w:r w:rsidR="00827CF8">
        <w:t xml:space="preserve"> the government share of the premiums</w:t>
      </w:r>
      <w:r w:rsidR="00BF5528">
        <w:t>.</w:t>
      </w:r>
      <w:r w:rsidR="00401090">
        <w:t xml:space="preserve"> To</w:t>
      </w:r>
      <w:r w:rsidR="00681CDA">
        <w:t xml:space="preserve"> </w:t>
      </w:r>
      <w:r w:rsidR="005245ED">
        <w:t>determine these</w:t>
      </w:r>
      <w:r w:rsidR="00401090">
        <w:t xml:space="preserve"> cost</w:t>
      </w:r>
      <w:r w:rsidR="00681CDA">
        <w:t xml:space="preserve">s, </w:t>
      </w:r>
      <w:r w:rsidR="00242616">
        <w:t xml:space="preserve">OPM </w:t>
      </w:r>
      <w:r w:rsidR="004D7FA5">
        <w:t xml:space="preserve">calculated the total </w:t>
      </w:r>
      <w:r w:rsidR="00827CF8">
        <w:t xml:space="preserve">average </w:t>
      </w:r>
      <w:r w:rsidR="00940A8B">
        <w:t xml:space="preserve">government contribution costs </w:t>
      </w:r>
      <w:r w:rsidR="0054085E">
        <w:t>from the previous three years (202</w:t>
      </w:r>
      <w:r w:rsidR="00401090">
        <w:t>3</w:t>
      </w:r>
      <w:r w:rsidR="0054085E">
        <w:t>-202</w:t>
      </w:r>
      <w:r w:rsidR="00E7574D">
        <w:t>5</w:t>
      </w:r>
      <w:r w:rsidR="0054085E">
        <w:t>)</w:t>
      </w:r>
      <w:r w:rsidR="00A01769">
        <w:t xml:space="preserve"> and </w:t>
      </w:r>
      <w:r w:rsidR="001B470A">
        <w:t>multiplied</w:t>
      </w:r>
      <w:r w:rsidR="00D45736">
        <w:t xml:space="preserve"> it by the total number of enrollees</w:t>
      </w:r>
      <w:r w:rsidR="007700B9">
        <w:t xml:space="preserve"> who </w:t>
      </w:r>
      <w:r w:rsidR="00E7574D">
        <w:t>receive</w:t>
      </w:r>
      <w:r w:rsidR="007700B9">
        <w:t xml:space="preserve"> a government contribution</w:t>
      </w:r>
      <w:r w:rsidR="00E7574D">
        <w:t xml:space="preserve"> towards their premiums</w:t>
      </w:r>
      <w:r w:rsidR="00242616">
        <w:t>.</w:t>
      </w:r>
      <w:r>
        <w:rPr>
          <w:rStyle w:val="FootnoteReference"/>
        </w:rPr>
        <w:footnoteReference w:id="3"/>
      </w:r>
      <w:r w:rsidR="00242616">
        <w:t xml:space="preserve"> </w:t>
      </w:r>
      <w:r>
        <w:rPr>
          <w:rStyle w:val="FootnoteReference"/>
        </w:rPr>
        <w:footnoteReference w:id="4"/>
      </w:r>
      <w:r w:rsidR="00104F13">
        <w:t xml:space="preserve"> </w:t>
      </w:r>
      <w:r w:rsidR="00681CDA">
        <w:t xml:space="preserve">OPM </w:t>
      </w:r>
      <w:r w:rsidR="001B470A">
        <w:t xml:space="preserve">also calculated the </w:t>
      </w:r>
      <w:r w:rsidR="00B11022">
        <w:t>a</w:t>
      </w:r>
      <w:r w:rsidR="00892AB5">
        <w:t xml:space="preserve">verage </w:t>
      </w:r>
      <w:r w:rsidR="00B11022">
        <w:t>e</w:t>
      </w:r>
      <w:r w:rsidR="00892AB5">
        <w:t>nrollee contribution cost to their shar</w:t>
      </w:r>
      <w:r w:rsidR="00B11022">
        <w:t>e</w:t>
      </w:r>
      <w:r w:rsidR="00892AB5">
        <w:t xml:space="preserve"> of the </w:t>
      </w:r>
      <w:r w:rsidR="007A1B37">
        <w:t>premiums</w:t>
      </w:r>
      <w:r w:rsidR="00892AB5">
        <w:t xml:space="preserve"> for 202</w:t>
      </w:r>
      <w:r w:rsidR="00B11022">
        <w:t>3</w:t>
      </w:r>
      <w:r w:rsidR="00892AB5">
        <w:t>-202</w:t>
      </w:r>
      <w:r w:rsidR="00B11022">
        <w:t>5</w:t>
      </w:r>
      <w:r w:rsidR="00892AB5">
        <w:t xml:space="preserve">. </w:t>
      </w:r>
      <w:r w:rsidR="00671D03">
        <w:t xml:space="preserve"> OPM computed</w:t>
      </w:r>
      <w:r w:rsidR="00892AB5">
        <w:t xml:space="preserve"> the percentage of </w:t>
      </w:r>
      <w:r w:rsidR="000E449E">
        <w:t xml:space="preserve">the </w:t>
      </w:r>
      <w:r w:rsidR="00892AB5">
        <w:t xml:space="preserve">government </w:t>
      </w:r>
      <w:r w:rsidR="00B11022">
        <w:t xml:space="preserve">share </w:t>
      </w:r>
      <w:r w:rsidR="00892AB5">
        <w:t xml:space="preserve">of </w:t>
      </w:r>
      <w:r w:rsidR="000B5AFD">
        <w:t>premiums and</w:t>
      </w:r>
      <w:r w:rsidR="00B11022">
        <w:t xml:space="preserve"> the percentage of </w:t>
      </w:r>
      <w:r w:rsidR="000E449E">
        <w:t xml:space="preserve">the </w:t>
      </w:r>
      <w:r w:rsidR="00892AB5">
        <w:t xml:space="preserve">enrollee </w:t>
      </w:r>
      <w:r w:rsidR="0090791A">
        <w:t>share of premiums</w:t>
      </w:r>
      <w:r w:rsidR="00892AB5">
        <w:t xml:space="preserve">. </w:t>
      </w:r>
      <w:r w:rsidR="00090AFE">
        <w:t>OPM applied</w:t>
      </w:r>
      <w:r w:rsidR="005451D8">
        <w:t xml:space="preserve"> the</w:t>
      </w:r>
      <w:r w:rsidR="0090791A">
        <w:t xml:space="preserve">se </w:t>
      </w:r>
      <w:r w:rsidR="005451D8">
        <w:t xml:space="preserve">percentages </w:t>
      </w:r>
      <w:r w:rsidR="002F15A2">
        <w:t>to the total cost of the CAHPS Survey</w:t>
      </w:r>
      <w:r w:rsidR="0090791A">
        <w:t xml:space="preserve"> per year from 2023-2025</w:t>
      </w:r>
      <w:r w:rsidR="00090AFE">
        <w:t>, providing us</w:t>
      </w:r>
      <w:r w:rsidR="002F15A2">
        <w:t xml:space="preserve"> with the overall total cost of the CAHPS survey </w:t>
      </w:r>
      <w:r w:rsidR="00175E91">
        <w:t>allocate</w:t>
      </w:r>
      <w:r w:rsidR="000E449E">
        <w:t>d</w:t>
      </w:r>
      <w:r w:rsidR="00175E91">
        <w:t xml:space="preserve"> to </w:t>
      </w:r>
      <w:r w:rsidR="002F15A2">
        <w:t>enrollee</w:t>
      </w:r>
      <w:r w:rsidR="002F15A2">
        <w:t xml:space="preserve"> </w:t>
      </w:r>
      <w:r w:rsidR="00090AFE">
        <w:t xml:space="preserve">share of </w:t>
      </w:r>
      <w:r w:rsidR="002F15A2">
        <w:t xml:space="preserve">premiums and the total CAHPS survey cost </w:t>
      </w:r>
      <w:r w:rsidR="00175E91">
        <w:t xml:space="preserve">allocated </w:t>
      </w:r>
      <w:r w:rsidR="002F15A2">
        <w:t xml:space="preserve">to the government </w:t>
      </w:r>
      <w:r w:rsidR="00090AFE">
        <w:t xml:space="preserve">share of </w:t>
      </w:r>
      <w:r w:rsidR="002F15A2">
        <w:t>premiums.</w:t>
      </w:r>
    </w:p>
    <w:p w:rsidR="00687E30" w:rsidP="00827CF8" w14:paraId="43A5F21E" w14:textId="45D0109F">
      <w:r>
        <w:t xml:space="preserve">To obtain an estimated </w:t>
      </w:r>
      <w:r w:rsidR="004C6F10">
        <w:t>cost</w:t>
      </w:r>
      <w:r>
        <w:t xml:space="preserve"> to the government</w:t>
      </w:r>
      <w:r w:rsidR="004C6F10">
        <w:t xml:space="preserve"> for FEHB</w:t>
      </w:r>
      <w:r w:rsidR="001E1011">
        <w:t xml:space="preserve">/PSHB Health Carriers </w:t>
      </w:r>
      <w:r w:rsidR="004C6F10">
        <w:t xml:space="preserve">to issue the CAHPS survey </w:t>
      </w:r>
      <w:r w:rsidR="001E1011">
        <w:t xml:space="preserve">per year we took the average government </w:t>
      </w:r>
      <w:r w:rsidR="006E42EF">
        <w:t xml:space="preserve">share of the </w:t>
      </w:r>
      <w:r w:rsidR="00DF6469">
        <w:t>health premiums</w:t>
      </w:r>
      <w:r w:rsidR="006E42EF">
        <w:t xml:space="preserve"> estimated to pay </w:t>
      </w:r>
      <w:r w:rsidR="00DF6469">
        <w:t>for the</w:t>
      </w:r>
      <w:r w:rsidR="006E42EF">
        <w:t xml:space="preserve"> CAHPS survey. The total costs to the government </w:t>
      </w:r>
      <w:r w:rsidR="00982A5B">
        <w:t xml:space="preserve">for issuing the CAHPS survey </w:t>
      </w:r>
      <w:r w:rsidR="00982A5B">
        <w:t>is</w:t>
      </w:r>
      <w:r w:rsidR="00982A5B">
        <w:t xml:space="preserve"> estimate</w:t>
      </w:r>
      <w:r w:rsidR="00427903">
        <w:t>d</w:t>
      </w:r>
      <w:r w:rsidR="00982A5B">
        <w:t xml:space="preserve"> at $78,161 per year. </w:t>
      </w:r>
    </w:p>
    <w:p w:rsidR="00827CF8" w:rsidP="00D30957" w14:paraId="0432FD4C" w14:textId="77777777"/>
    <w:p w:rsidR="007D61D1" w:rsidP="00D30957" w14:paraId="21BA9547" w14:textId="19F247AF">
      <w:r>
        <w:t xml:space="preserve">The table below demonstrates the calculations described above. </w:t>
      </w:r>
    </w:p>
    <w:p w:rsidR="006C2B40" w:rsidP="00D30957" w14:paraId="5A855EE4" w14:textId="77777777"/>
    <w:p w:rsidR="006C2B40" w:rsidP="00D30957" w14:paraId="0EB6D784" w14:textId="5EBEA449">
      <w:r w:rsidRPr="006C2B40">
        <w:rPr>
          <w:noProof/>
        </w:rPr>
        <w:drawing>
          <wp:inline distT="0" distB="0" distL="0" distR="0">
            <wp:extent cx="5943600" cy="1463675"/>
            <wp:effectExtent l="0" t="0" r="0" b="3175"/>
            <wp:docPr id="1203067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67511"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63675"/>
                    </a:xfrm>
                    <a:prstGeom prst="rect">
                      <a:avLst/>
                    </a:prstGeom>
                    <a:noFill/>
                    <a:ln>
                      <a:noFill/>
                    </a:ln>
                  </pic:spPr>
                </pic:pic>
              </a:graphicData>
            </a:graphic>
          </wp:inline>
        </w:drawing>
      </w:r>
    </w:p>
    <w:p w:rsidR="007250F1" w:rsidP="00D30957" w14:paraId="7B786422" w14:textId="77777777"/>
    <w:p w:rsidR="005D6C98" w:rsidP="00D30957" w14:paraId="046E8218" w14:textId="59236E6B">
      <w:r>
        <w:t>In addition to the government paying part of the costs associated with issuing the CAHPS survey t</w:t>
      </w:r>
      <w:r w:rsidR="00257983">
        <w:t>he Performance Improvement</w:t>
      </w:r>
      <w:r w:rsidR="00B1352F">
        <w:t xml:space="preserve"> (PI)</w:t>
      </w:r>
      <w:r w:rsidR="00257983">
        <w:t xml:space="preserve">, Healthcare and Insurance, OPM, receives CAHPS measure results on an annual basis. CAHPS </w:t>
      </w:r>
      <w:r>
        <w:t>measures</w:t>
      </w:r>
      <w:r w:rsidR="00257983">
        <w:t xml:space="preserve"> </w:t>
      </w:r>
      <w:r>
        <w:t xml:space="preserve">account for the Customer Service performance area of the annual FEHB/PSHB Plan Performance Assessment. </w:t>
      </w:r>
      <w:r w:rsidR="00257983">
        <w:t xml:space="preserve">The PI team scores the CAHPS measures according to carrier letter 2020-15, Federal Employees Health Benefits (FEHB) Plan Performance Assessment Methodology. The PI team also uses this data in </w:t>
      </w:r>
      <w:r>
        <w:t xml:space="preserve">annual </w:t>
      </w:r>
      <w:r w:rsidR="00257983">
        <w:t>analysis and to assess trends over time. We estimate that all team members spend 5% of their total time on CAHPS measures</w:t>
      </w:r>
      <w:r w:rsidR="00B1352F">
        <w:t xml:space="preserve"> or a total of 572 hours combined. </w:t>
      </w:r>
    </w:p>
    <w:p w:rsidR="005D6C98" w:rsidP="00D30957" w14:paraId="6DCAF0A9" w14:textId="77777777"/>
    <w:p w:rsidR="00257983" w:rsidP="00D30957" w14:paraId="5DBDCA18" w14:textId="5362E07F">
      <w:r>
        <w:t>We accounted for our overhead costs and received an annual overhead cost of 37% from our Office of R</w:t>
      </w:r>
      <w:r w:rsidR="002D120A">
        <w:t>esource</w:t>
      </w:r>
      <w:r>
        <w:t xml:space="preserve"> Management. We calculated the total annual salaries for our team, including Branch Chief and Program Manager. To </w:t>
      </w:r>
      <w:r>
        <w:t>calculated</w:t>
      </w:r>
      <w:r>
        <w:t xml:space="preserve"> total overhead costs, </w:t>
      </w:r>
      <w:r w:rsidR="002D120A">
        <w:t xml:space="preserve">we </w:t>
      </w:r>
      <w:r>
        <w:t xml:space="preserve">took </w:t>
      </w:r>
      <w:r>
        <w:t>the 37</w:t>
      </w:r>
      <w:r>
        <w:t xml:space="preserve">% and attributed to each PI </w:t>
      </w:r>
      <w:r>
        <w:t>members</w:t>
      </w:r>
      <w:r>
        <w:t xml:space="preserve"> salary. We then added overhead costs to the PI teams salaried and took 5% of those costs for the 5% of hours worked on CAHPS. The estimated total annual cost to the Federal Government came to </w:t>
      </w:r>
      <w:r w:rsidR="00B1352F">
        <w:t>$48,556.</w:t>
      </w:r>
    </w:p>
    <w:p w:rsidR="00D767B1" w:rsidP="00D30957" w14:paraId="4E9FAC18" w14:textId="77777777"/>
    <w:p w:rsidR="2D3DA4A3" w:rsidP="00C6453F" w14:paraId="5994ACCD" w14:textId="0721CE7F">
      <w:pPr>
        <w:spacing w:line="259" w:lineRule="auto"/>
      </w:pPr>
      <w:r>
        <w:t>The total cost to the Federal Government amount</w:t>
      </w:r>
      <w:r w:rsidR="01FFC897">
        <w:t>s</w:t>
      </w:r>
      <w:r>
        <w:t xml:space="preserve"> to $126,717, which includes $78,</w:t>
      </w:r>
      <w:r w:rsidR="6EA7C83F">
        <w:t xml:space="preserve">161 for </w:t>
      </w:r>
      <w:r w:rsidR="00C6453F">
        <w:t xml:space="preserve">issuance of the </w:t>
      </w:r>
      <w:r w:rsidR="6EA7C83F">
        <w:t xml:space="preserve">CAHPS Survey costs </w:t>
      </w:r>
      <w:r>
        <w:t>and $48,5</w:t>
      </w:r>
      <w:r w:rsidR="38A958A6">
        <w:t>5</w:t>
      </w:r>
      <w:r>
        <w:t>6 for employee salaries</w:t>
      </w:r>
      <w:r w:rsidR="00C6453F">
        <w:t xml:space="preserve"> who analyze the data sent to Healthcare and Insurance at OPM. </w:t>
      </w:r>
    </w:p>
    <w:p w:rsidR="00D767B1" w:rsidRPr="00C650D9" w:rsidP="00D30957" w14:paraId="0AB62EBF" w14:textId="35BAA71A"/>
    <w:p w:rsidR="005D6C98" w:rsidP="006856F2" w14:paraId="2D3DEF10" w14:textId="4AFDCD67">
      <w:pPr>
        <w:rPr>
          <w:iCs/>
        </w:rPr>
      </w:pPr>
    </w:p>
    <w:p w:rsidR="00C11A92" w:rsidRPr="00741061" w:rsidP="09051D7D" w14:paraId="620AA406" w14:textId="2A6B31CB">
      <w:pPr>
        <w:pStyle w:val="ListParagraph"/>
        <w:suppressAutoHyphens/>
        <w:ind w:left="0"/>
      </w:pPr>
      <w:r w:rsidRPr="00A15124">
        <w:rPr>
          <w:highlight w:val="lightGray"/>
        </w:rPr>
        <w:t xml:space="preserve">15.  Explain the reasons for any program changes or adjustments reported in Items 13 or 14 of the OMB Form 83-I.  Changes in hour burden, i.e., program changes or adjustments made to annual reporting and recordkeeping </w:t>
      </w:r>
      <w:r w:rsidRPr="00A15124">
        <w:rPr>
          <w:b/>
          <w:bCs/>
          <w:highlight w:val="lightGray"/>
        </w:rPr>
        <w:t>hour</w:t>
      </w:r>
      <w:r w:rsidRPr="00A15124">
        <w:rPr>
          <w:highlight w:val="lightGray"/>
        </w:rPr>
        <w:t xml:space="preserve"> and </w:t>
      </w:r>
      <w:r w:rsidRPr="00A15124">
        <w:rPr>
          <w:b/>
          <w:bCs/>
          <w:highlight w:val="lightGray"/>
        </w:rPr>
        <w:t>cost</w:t>
      </w:r>
      <w:r w:rsidRPr="00A15124">
        <w:rPr>
          <w:highlight w:val="lightGray"/>
        </w:rPr>
        <w:t xml:space="preserve"> burden.  A program change is the result of </w:t>
      </w:r>
      <w:r w:rsidRPr="006A5FFD">
        <w:rPr>
          <w:highlight w:val="lightGray"/>
        </w:rPr>
        <w:t xml:space="preserve">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w:t>
      </w:r>
      <w:r w:rsidRPr="006A5FFD">
        <w:rPr>
          <w:highlight w:val="lightGray"/>
        </w:rPr>
        <w:t>controllable</w:t>
      </w:r>
      <w:r w:rsidRPr="006A5FFD">
        <w:rPr>
          <w:highlight w:val="lightGray"/>
        </w:rPr>
        <w:t xml:space="preserve"> by the Federal government are recorded as adjustments.</w:t>
      </w:r>
      <w:r>
        <w:t xml:space="preserve"> </w:t>
      </w:r>
    </w:p>
    <w:p w:rsidR="00611CDB" w:rsidP="006B37C6" w14:paraId="4D43543E" w14:textId="7154CC56">
      <w:pPr>
        <w:ind w:left="720"/>
      </w:pPr>
    </w:p>
    <w:p w:rsidR="09051D7D" w:rsidP="00340F50" w14:paraId="7D6FB3C8" w14:textId="137D43D9">
      <w:r>
        <w:t>In 2022, 83 carriers participated in the PPA program, whereas in 2024, the number of carriers decreased to 67. The decrease in the number of carriers participating in the PPA program has led to fewer CAHPS survey responses.</w:t>
      </w:r>
      <w:r w:rsidR="00B84785">
        <w:t xml:space="preserve"> </w:t>
      </w:r>
    </w:p>
    <w:p w:rsidR="2F9B178A" w:rsidP="2F9B178A" w14:paraId="0BC6E900" w14:textId="5202BCF9"/>
    <w:p w:rsidR="0A0F0727" w:rsidP="2F9B178A" w14:paraId="011C3F55" w14:textId="06566C0D">
      <w:r>
        <w:t xml:space="preserve">The number of </w:t>
      </w:r>
      <w:r w:rsidR="357CFDB1">
        <w:t xml:space="preserve">CAHPS survey </w:t>
      </w:r>
      <w:r>
        <w:t xml:space="preserve">responses </w:t>
      </w:r>
      <w:r w:rsidR="69BC95E6">
        <w:t>has decreased from 2022 to 2024.</w:t>
      </w:r>
      <w:r>
        <w:t xml:space="preserve"> </w:t>
      </w:r>
      <w:r w:rsidR="5AF0FE02">
        <w:t>According to ORI and CSS, most non-respondents to the CAHPS survey fall into the category of “</w:t>
      </w:r>
      <w:r w:rsidR="431C3694">
        <w:t>Non-response</w:t>
      </w:r>
      <w:r w:rsidR="431C3694">
        <w:t xml:space="preserve"> after maximum attempts.” Additionally, NCQA </w:t>
      </w:r>
      <w:r w:rsidR="1E4B2E4C">
        <w:t>excluded responses from individuals who did not meet the eligible population criteria, faced language barriers, were mentally or physically incapacitated, or were deceased.</w:t>
      </w:r>
    </w:p>
    <w:p w:rsidR="09051D7D" w:rsidP="09051D7D" w14:paraId="2586D3CB" w14:textId="4945601F">
      <w:pPr>
        <w:ind w:left="720"/>
      </w:pPr>
    </w:p>
    <w:p w:rsidR="00C11A92" w:rsidRPr="00741061" w:rsidP="00C11A92" w14:paraId="7825B84E" w14:textId="77777777">
      <w:pPr>
        <w:pStyle w:val="ListParagraph"/>
        <w:shd w:val="pct25" w:color="auto" w:fill="auto"/>
        <w:tabs>
          <w:tab w:val="left" w:pos="-720"/>
        </w:tabs>
        <w:suppressAutoHyphens/>
        <w:ind w:left="0"/>
      </w:pPr>
      <w:r w:rsidRPr="00741061">
        <w:t>16</w:t>
      </w:r>
      <w:r w:rsidRPr="00741061">
        <w:t>.  For</w:t>
      </w:r>
      <w:r w:rsidRPr="00741061">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11A92" w:rsidP="00C11A92" w14:paraId="5A1C6FE3" w14:textId="77777777">
      <w:pPr>
        <w:ind w:left="720"/>
      </w:pPr>
    </w:p>
    <w:p w:rsidR="00C11A92" w:rsidP="00BA6F22" w14:paraId="0FFD3282" w14:textId="5DA1EA13">
      <w:r>
        <w:t>The results of this information collection are published</w:t>
      </w:r>
      <w:r w:rsidR="009A3952">
        <w:t xml:space="preserve"> as part of the FEHB Carriers Plan Comparison Tool and Quality data</w:t>
      </w:r>
      <w:r w:rsidR="00863CE6">
        <w:t xml:space="preserve"> and the PSHB Decision Support Tool</w:t>
      </w:r>
      <w:r w:rsidR="009A3952">
        <w:t xml:space="preserve"> in the form of pie charts to help consumer </w:t>
      </w:r>
      <w:r w:rsidR="00A66955">
        <w:t>decisions</w:t>
      </w:r>
      <w:r w:rsidR="009A3952">
        <w:t xml:space="preserve"> making</w:t>
      </w:r>
      <w:r>
        <w:t>.</w:t>
      </w:r>
      <w:r w:rsidR="009A3952">
        <w:t xml:space="preserve"> This information is published annually during the FEHB </w:t>
      </w:r>
      <w:r w:rsidR="00863CE6">
        <w:t xml:space="preserve">and PSHB </w:t>
      </w:r>
      <w:r w:rsidR="009A3952">
        <w:t>open season</w:t>
      </w:r>
      <w:r w:rsidR="00CB1567">
        <w:t>.</w:t>
      </w:r>
    </w:p>
    <w:p w:rsidR="00C11A92" w:rsidP="00C11A92" w14:paraId="7F874CEF" w14:textId="77777777">
      <w:pPr>
        <w:ind w:left="720"/>
      </w:pPr>
    </w:p>
    <w:p w:rsidR="00C11A92" w:rsidRPr="00741061" w:rsidP="00C11A92" w14:paraId="049F775F" w14:textId="77777777">
      <w:pPr>
        <w:pStyle w:val="ListParagraph"/>
        <w:shd w:val="pct25" w:color="auto" w:fill="auto"/>
        <w:tabs>
          <w:tab w:val="left" w:pos="-720"/>
        </w:tabs>
        <w:suppressAutoHyphens/>
        <w:ind w:left="0"/>
      </w:pPr>
      <w:r w:rsidRPr="00741061">
        <w:t>17</w:t>
      </w:r>
      <w:r w:rsidRPr="00741061">
        <w:t>.  If</w:t>
      </w:r>
      <w:r w:rsidRPr="00741061">
        <w:t xml:space="preserve"> seeking approval to not display the expiration date for OMB approval of the information collection, explain reasons that display would be inappropriate.</w:t>
      </w:r>
    </w:p>
    <w:p w:rsidR="00611CDB" w:rsidP="00611CDB" w14:paraId="60A67A9C" w14:textId="6C70C390">
      <w:pPr>
        <w:ind w:left="720"/>
      </w:pPr>
      <w:r>
        <w:t>N/A</w:t>
      </w:r>
      <w:r w:rsidRPr="0092615E">
        <w:t xml:space="preserve"> </w:t>
      </w:r>
    </w:p>
    <w:p w:rsidR="00C11A92" w:rsidRPr="00741061" w:rsidP="00C11A92" w14:paraId="6DBA8B89" w14:textId="77777777">
      <w:pPr>
        <w:pStyle w:val="ListParagraph"/>
        <w:tabs>
          <w:tab w:val="left" w:pos="-720"/>
        </w:tabs>
        <w:suppressAutoHyphens/>
        <w:ind w:left="0"/>
      </w:pPr>
    </w:p>
    <w:p w:rsidR="00C11A92" w:rsidP="0088417A" w14:paraId="2887F0F2"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67719F" w:rsidP="009B0EF1" w14:paraId="01B41F66" w14:textId="086159E1">
      <w:pPr>
        <w:spacing w:before="240"/>
        <w:ind w:firstLine="720"/>
      </w:pPr>
      <w:r>
        <w:t>There are no exceptions to the certification statement.</w:t>
      </w:r>
    </w:p>
    <w:sectPr>
      <w:headerReference w:type="even" r:id="rId15"/>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317E" w14:paraId="692C5B54" w14:textId="77777777">
      <w:r>
        <w:separator/>
      </w:r>
    </w:p>
  </w:footnote>
  <w:footnote w:type="continuationSeparator" w:id="1">
    <w:p w:rsidR="0043317E" w14:paraId="773EBB13" w14:textId="77777777">
      <w:r>
        <w:continuationSeparator/>
      </w:r>
    </w:p>
  </w:footnote>
  <w:footnote w:type="continuationNotice" w:id="2">
    <w:p w:rsidR="0043317E" w14:paraId="3D16BFA0" w14:textId="77777777"/>
  </w:footnote>
  <w:footnote w:id="3">
    <w:p w:rsidR="00CC70FB" w14:paraId="71C856E0" w14:textId="634E9F20">
      <w:pPr>
        <w:pStyle w:val="FootnoteText"/>
      </w:pPr>
      <w:r>
        <w:rPr>
          <w:rStyle w:val="FootnoteReference"/>
        </w:rPr>
        <w:footnoteRef/>
      </w:r>
      <w:r>
        <w:t xml:space="preserve"> </w:t>
      </w:r>
      <w:r w:rsidR="003C465B">
        <w:t xml:space="preserve">OPM calculates the program-wide </w:t>
      </w:r>
      <w:r w:rsidR="00763D1C">
        <w:t xml:space="preserve">weighted average of premiums in effect each year for Self Only, Self Plus One and Self and Family enrollments. </w:t>
      </w:r>
    </w:p>
    <w:p w:rsidR="00104F13" w14:paraId="56FA960C" w14:textId="77777777">
      <w:pPr>
        <w:pStyle w:val="FootnoteText"/>
      </w:pPr>
    </w:p>
  </w:footnote>
  <w:footnote w:id="4">
    <w:p w:rsidR="00364298" w14:paraId="5358B739" w14:textId="725B9709">
      <w:pPr>
        <w:pStyle w:val="FootnoteText"/>
      </w:pPr>
      <w:r>
        <w:rPr>
          <w:rStyle w:val="FootnoteReference"/>
        </w:rPr>
        <w:footnoteRef/>
      </w:r>
      <w:r>
        <w:t xml:space="preserve"> </w:t>
      </w:r>
      <w:r w:rsidR="00797BBA">
        <w:t xml:space="preserve">Some government </w:t>
      </w:r>
      <w:r w:rsidR="00104F13">
        <w:t>enrollees</w:t>
      </w:r>
      <w:r w:rsidR="00797BBA">
        <w:t xml:space="preserve"> in health insurance programs do not</w:t>
      </w:r>
      <w:r w:rsidR="00104F13">
        <w:t xml:space="preserve"> </w:t>
      </w:r>
      <w:r w:rsidR="00797BBA">
        <w:t>receive government contribution towards their premiums because of their employment status or specific program rules such as temporary employment</w:t>
      </w:r>
      <w:r w:rsidR="00104F1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693" w:rsidP="00921FB5" w14:paraId="5BB963CA" w14:textId="77777777">
    <w:pPr>
      <w:pStyle w:val="Header"/>
      <w:tabs>
        <w:tab w:val="left" w:pos="720"/>
      </w:tabs>
    </w:pPr>
    <w:r>
      <w:fldChar w:fldCharType="begin"/>
    </w:r>
    <w:r>
      <w:instrText xml:space="preserve"> PAGE </w:instrText>
    </w:r>
    <w:r>
      <w:fldChar w:fldCharType="separate"/>
    </w:r>
    <w:r>
      <w:rPr>
        <w:noProof/>
      </w:rPr>
      <w:t>62</w:t>
    </w:r>
    <w:r>
      <w:rPr>
        <w:noProof/>
      </w:rPr>
      <w:fldChar w:fldCharType="end"/>
    </w:r>
    <w:r>
      <w:tab/>
      <w:t>Protocols for Administering HEDIS CAHPS 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A37E0"/>
    <w:multiLevelType w:val="hybridMultilevel"/>
    <w:tmpl w:val="BCF48ED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0B2810"/>
    <w:multiLevelType w:val="hybridMultilevel"/>
    <w:tmpl w:val="4CDCF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3">
    <w:nsid w:val="3E7262C2"/>
    <w:multiLevelType w:val="hybridMultilevel"/>
    <w:tmpl w:val="89EC9404"/>
    <w:lvl w:ilvl="0">
      <w:start w:va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6">
    <w:nsid w:val="5052169A"/>
    <w:multiLevelType w:val="hybridMultilevel"/>
    <w:tmpl w:val="7F765DB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9169A8"/>
    <w:multiLevelType w:val="hybridMultilevel"/>
    <w:tmpl w:val="4C6C4860"/>
    <w:lvl w:ilvl="0">
      <w:start w:val="1"/>
      <w:numFmt w:val="bullet"/>
      <w:pStyle w:val="Bullet"/>
      <w:lvlText w:val=""/>
      <w:lvlJc w:val="left"/>
      <w:pPr>
        <w:ind w:left="1080" w:hanging="360"/>
      </w:pPr>
      <w:rPr>
        <w:rFonts w:ascii="Symbol" w:hAnsi="Symbol" w:hint="default"/>
        <w:sz w:val="21"/>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12D5173"/>
    <w:multiLevelType w:val="hybridMultilevel"/>
    <w:tmpl w:val="E22C6A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10">
    <w:nsid w:val="6D1469A7"/>
    <w:multiLevelType w:val="hybridMultilevel"/>
    <w:tmpl w:val="5760572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536BC5"/>
    <w:multiLevelType w:val="singleLevel"/>
    <w:tmpl w:val="57722588"/>
    <w:lvl w:ilvl="0">
      <w:start w:val="1"/>
      <w:numFmt w:val="decimal"/>
      <w:lvlText w:val="%1."/>
      <w:lvlJc w:val="left"/>
      <w:pPr>
        <w:tabs>
          <w:tab w:val="num" w:pos="720"/>
        </w:tabs>
        <w:ind w:left="720" w:hanging="360"/>
      </w:pPr>
      <w:rPr>
        <w:rFonts w:hint="default"/>
      </w:rPr>
    </w:lvl>
  </w:abstractNum>
  <w:abstractNum w:abstractNumId="12">
    <w:nsid w:val="7B6C34BD"/>
    <w:multiLevelType w:val="hybridMultilevel"/>
    <w:tmpl w:val="072A32FA"/>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1009092">
    <w:abstractNumId w:val="5"/>
  </w:num>
  <w:num w:numId="2" w16cid:durableId="2029092846">
    <w:abstractNumId w:val="2"/>
  </w:num>
  <w:num w:numId="3" w16cid:durableId="827137233">
    <w:abstractNumId w:val="4"/>
  </w:num>
  <w:num w:numId="4" w16cid:durableId="1677271581">
    <w:abstractNumId w:val="11"/>
  </w:num>
  <w:num w:numId="5" w16cid:durableId="1372153256">
    <w:abstractNumId w:val="9"/>
  </w:num>
  <w:num w:numId="6" w16cid:durableId="1044868407">
    <w:abstractNumId w:val="12"/>
  </w:num>
  <w:num w:numId="7" w16cid:durableId="347096821">
    <w:abstractNumId w:val="10"/>
  </w:num>
  <w:num w:numId="8" w16cid:durableId="1958874585">
    <w:abstractNumId w:val="7"/>
  </w:num>
  <w:num w:numId="9" w16cid:durableId="47189470">
    <w:abstractNumId w:val="1"/>
  </w:num>
  <w:num w:numId="10" w16cid:durableId="65610679">
    <w:abstractNumId w:val="0"/>
  </w:num>
  <w:num w:numId="11" w16cid:durableId="1132947360">
    <w:abstractNumId w:val="3"/>
  </w:num>
  <w:num w:numId="12" w16cid:durableId="1924877801">
    <w:abstractNumId w:val="8"/>
  </w:num>
  <w:num w:numId="13" w16cid:durableId="978143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3"/>
    <w:rsid w:val="000122CC"/>
    <w:rsid w:val="00015DF7"/>
    <w:rsid w:val="00040027"/>
    <w:rsid w:val="00040412"/>
    <w:rsid w:val="00050567"/>
    <w:rsid w:val="00087C24"/>
    <w:rsid w:val="000901F8"/>
    <w:rsid w:val="00090AFE"/>
    <w:rsid w:val="0009586A"/>
    <w:rsid w:val="000A1725"/>
    <w:rsid w:val="000B246D"/>
    <w:rsid w:val="000B5139"/>
    <w:rsid w:val="000B5AFD"/>
    <w:rsid w:val="000C76FA"/>
    <w:rsid w:val="000D52DD"/>
    <w:rsid w:val="000E00A1"/>
    <w:rsid w:val="000E157D"/>
    <w:rsid w:val="000E449E"/>
    <w:rsid w:val="000E4617"/>
    <w:rsid w:val="00102AB0"/>
    <w:rsid w:val="00104044"/>
    <w:rsid w:val="00104F13"/>
    <w:rsid w:val="0011386E"/>
    <w:rsid w:val="0011676F"/>
    <w:rsid w:val="00131ABF"/>
    <w:rsid w:val="0014051F"/>
    <w:rsid w:val="00144EAB"/>
    <w:rsid w:val="00157904"/>
    <w:rsid w:val="0016093E"/>
    <w:rsid w:val="00162B75"/>
    <w:rsid w:val="001640E4"/>
    <w:rsid w:val="00173D6F"/>
    <w:rsid w:val="001753D1"/>
    <w:rsid w:val="00175E91"/>
    <w:rsid w:val="00181A3F"/>
    <w:rsid w:val="00186795"/>
    <w:rsid w:val="001A0978"/>
    <w:rsid w:val="001B470A"/>
    <w:rsid w:val="001C64BD"/>
    <w:rsid w:val="001D51F3"/>
    <w:rsid w:val="001D67AD"/>
    <w:rsid w:val="001E1011"/>
    <w:rsid w:val="001F484B"/>
    <w:rsid w:val="001F7B17"/>
    <w:rsid w:val="00204336"/>
    <w:rsid w:val="002156A3"/>
    <w:rsid w:val="00237649"/>
    <w:rsid w:val="00242616"/>
    <w:rsid w:val="002459DD"/>
    <w:rsid w:val="00257983"/>
    <w:rsid w:val="00260541"/>
    <w:rsid w:val="00262BF5"/>
    <w:rsid w:val="002675B3"/>
    <w:rsid w:val="00280C14"/>
    <w:rsid w:val="002A03D6"/>
    <w:rsid w:val="002A46E3"/>
    <w:rsid w:val="002B1643"/>
    <w:rsid w:val="002B3F8A"/>
    <w:rsid w:val="002D0AA5"/>
    <w:rsid w:val="002D120A"/>
    <w:rsid w:val="002D1BDB"/>
    <w:rsid w:val="002D478E"/>
    <w:rsid w:val="002E113C"/>
    <w:rsid w:val="002E15C4"/>
    <w:rsid w:val="002E53E2"/>
    <w:rsid w:val="002F15A2"/>
    <w:rsid w:val="00300EE8"/>
    <w:rsid w:val="00303C99"/>
    <w:rsid w:val="003074D5"/>
    <w:rsid w:val="003120F3"/>
    <w:rsid w:val="00316459"/>
    <w:rsid w:val="00322479"/>
    <w:rsid w:val="0032674C"/>
    <w:rsid w:val="00330C2F"/>
    <w:rsid w:val="00335CED"/>
    <w:rsid w:val="00340F50"/>
    <w:rsid w:val="003414E6"/>
    <w:rsid w:val="0034372F"/>
    <w:rsid w:val="00352469"/>
    <w:rsid w:val="00354573"/>
    <w:rsid w:val="00356696"/>
    <w:rsid w:val="0036340A"/>
    <w:rsid w:val="00364298"/>
    <w:rsid w:val="00372B11"/>
    <w:rsid w:val="003763EC"/>
    <w:rsid w:val="0038206A"/>
    <w:rsid w:val="00391EED"/>
    <w:rsid w:val="00393018"/>
    <w:rsid w:val="00393089"/>
    <w:rsid w:val="003A2BDE"/>
    <w:rsid w:val="003A4EDB"/>
    <w:rsid w:val="003A7E51"/>
    <w:rsid w:val="003B144E"/>
    <w:rsid w:val="003B20C8"/>
    <w:rsid w:val="003B3CFE"/>
    <w:rsid w:val="003B449B"/>
    <w:rsid w:val="003B7568"/>
    <w:rsid w:val="003C3449"/>
    <w:rsid w:val="003C465B"/>
    <w:rsid w:val="003D09EE"/>
    <w:rsid w:val="003D23F4"/>
    <w:rsid w:val="003E3576"/>
    <w:rsid w:val="003E3AEA"/>
    <w:rsid w:val="003E4E8D"/>
    <w:rsid w:val="003F2A40"/>
    <w:rsid w:val="003F330A"/>
    <w:rsid w:val="00401090"/>
    <w:rsid w:val="004124FC"/>
    <w:rsid w:val="004201E8"/>
    <w:rsid w:val="00424EC6"/>
    <w:rsid w:val="00425BA6"/>
    <w:rsid w:val="00427903"/>
    <w:rsid w:val="0043317E"/>
    <w:rsid w:val="0043366D"/>
    <w:rsid w:val="00433CB6"/>
    <w:rsid w:val="004477C6"/>
    <w:rsid w:val="00450658"/>
    <w:rsid w:val="004645AC"/>
    <w:rsid w:val="0046641C"/>
    <w:rsid w:val="0047295A"/>
    <w:rsid w:val="00481746"/>
    <w:rsid w:val="00496015"/>
    <w:rsid w:val="00496E6E"/>
    <w:rsid w:val="004A1193"/>
    <w:rsid w:val="004A59B6"/>
    <w:rsid w:val="004B4693"/>
    <w:rsid w:val="004B68D0"/>
    <w:rsid w:val="004C6F10"/>
    <w:rsid w:val="004D7FA5"/>
    <w:rsid w:val="004F086A"/>
    <w:rsid w:val="00505305"/>
    <w:rsid w:val="00513E23"/>
    <w:rsid w:val="00522CBB"/>
    <w:rsid w:val="0052347B"/>
    <w:rsid w:val="00524280"/>
    <w:rsid w:val="005242D7"/>
    <w:rsid w:val="005245ED"/>
    <w:rsid w:val="00530538"/>
    <w:rsid w:val="0053113A"/>
    <w:rsid w:val="0053128F"/>
    <w:rsid w:val="0054085E"/>
    <w:rsid w:val="005451D8"/>
    <w:rsid w:val="00550C37"/>
    <w:rsid w:val="005515CE"/>
    <w:rsid w:val="00557789"/>
    <w:rsid w:val="00565B21"/>
    <w:rsid w:val="0056683A"/>
    <w:rsid w:val="00572D62"/>
    <w:rsid w:val="0057447C"/>
    <w:rsid w:val="00583DC4"/>
    <w:rsid w:val="00591F3F"/>
    <w:rsid w:val="00594F7C"/>
    <w:rsid w:val="005D05F9"/>
    <w:rsid w:val="005D1717"/>
    <w:rsid w:val="005D5FB1"/>
    <w:rsid w:val="005D6C98"/>
    <w:rsid w:val="005E613F"/>
    <w:rsid w:val="00600F43"/>
    <w:rsid w:val="00610799"/>
    <w:rsid w:val="00611CDB"/>
    <w:rsid w:val="00613BDD"/>
    <w:rsid w:val="006243A0"/>
    <w:rsid w:val="00631BBA"/>
    <w:rsid w:val="00644C52"/>
    <w:rsid w:val="006535BA"/>
    <w:rsid w:val="006552B4"/>
    <w:rsid w:val="00656AF2"/>
    <w:rsid w:val="006610A6"/>
    <w:rsid w:val="006632C4"/>
    <w:rsid w:val="00666B96"/>
    <w:rsid w:val="00671D03"/>
    <w:rsid w:val="0067695B"/>
    <w:rsid w:val="0067719F"/>
    <w:rsid w:val="00681CDA"/>
    <w:rsid w:val="006828FD"/>
    <w:rsid w:val="006856F2"/>
    <w:rsid w:val="00687651"/>
    <w:rsid w:val="00687E30"/>
    <w:rsid w:val="00692F8F"/>
    <w:rsid w:val="006A2107"/>
    <w:rsid w:val="006A4011"/>
    <w:rsid w:val="006A5FFD"/>
    <w:rsid w:val="006B3340"/>
    <w:rsid w:val="006B37C6"/>
    <w:rsid w:val="006C2B40"/>
    <w:rsid w:val="006E42EF"/>
    <w:rsid w:val="006F6859"/>
    <w:rsid w:val="006F6CD9"/>
    <w:rsid w:val="007250F1"/>
    <w:rsid w:val="007359B2"/>
    <w:rsid w:val="00736B65"/>
    <w:rsid w:val="00741061"/>
    <w:rsid w:val="007438A8"/>
    <w:rsid w:val="00746882"/>
    <w:rsid w:val="007620D9"/>
    <w:rsid w:val="00763D1C"/>
    <w:rsid w:val="007700B9"/>
    <w:rsid w:val="00777277"/>
    <w:rsid w:val="00797BBA"/>
    <w:rsid w:val="00797DA3"/>
    <w:rsid w:val="007A1B37"/>
    <w:rsid w:val="007B6D9C"/>
    <w:rsid w:val="007B76EB"/>
    <w:rsid w:val="007C01EB"/>
    <w:rsid w:val="007C7CA9"/>
    <w:rsid w:val="007D0C48"/>
    <w:rsid w:val="007D2FB2"/>
    <w:rsid w:val="007D61D1"/>
    <w:rsid w:val="007D67D7"/>
    <w:rsid w:val="007E3EED"/>
    <w:rsid w:val="007E44F6"/>
    <w:rsid w:val="007F3070"/>
    <w:rsid w:val="00810C0A"/>
    <w:rsid w:val="008114ED"/>
    <w:rsid w:val="0081341B"/>
    <w:rsid w:val="00813D8A"/>
    <w:rsid w:val="00827CF8"/>
    <w:rsid w:val="008352A7"/>
    <w:rsid w:val="00837562"/>
    <w:rsid w:val="00837D73"/>
    <w:rsid w:val="0085262D"/>
    <w:rsid w:val="00856D5A"/>
    <w:rsid w:val="00863CE6"/>
    <w:rsid w:val="008728DF"/>
    <w:rsid w:val="0087629F"/>
    <w:rsid w:val="00877FFB"/>
    <w:rsid w:val="0088417A"/>
    <w:rsid w:val="00885FB5"/>
    <w:rsid w:val="00892AB5"/>
    <w:rsid w:val="008B1DEA"/>
    <w:rsid w:val="008C64F8"/>
    <w:rsid w:val="008E462F"/>
    <w:rsid w:val="008F7967"/>
    <w:rsid w:val="00900453"/>
    <w:rsid w:val="00900E7C"/>
    <w:rsid w:val="009069C8"/>
    <w:rsid w:val="0090791A"/>
    <w:rsid w:val="009211F1"/>
    <w:rsid w:val="00921FB5"/>
    <w:rsid w:val="00925A96"/>
    <w:rsid w:val="0092615E"/>
    <w:rsid w:val="00927871"/>
    <w:rsid w:val="00934EFB"/>
    <w:rsid w:val="00940A8B"/>
    <w:rsid w:val="00943AB2"/>
    <w:rsid w:val="0097283D"/>
    <w:rsid w:val="009760F2"/>
    <w:rsid w:val="00982A5B"/>
    <w:rsid w:val="00983D42"/>
    <w:rsid w:val="009858E9"/>
    <w:rsid w:val="009A06E1"/>
    <w:rsid w:val="009A3952"/>
    <w:rsid w:val="009A53C2"/>
    <w:rsid w:val="009A69F3"/>
    <w:rsid w:val="009A6C84"/>
    <w:rsid w:val="009B08DA"/>
    <w:rsid w:val="009B0EF1"/>
    <w:rsid w:val="009B7453"/>
    <w:rsid w:val="009D1B0A"/>
    <w:rsid w:val="009D5156"/>
    <w:rsid w:val="009D5166"/>
    <w:rsid w:val="009D66A1"/>
    <w:rsid w:val="009E5762"/>
    <w:rsid w:val="009F6DA2"/>
    <w:rsid w:val="009F7CD4"/>
    <w:rsid w:val="00A01769"/>
    <w:rsid w:val="00A06F0A"/>
    <w:rsid w:val="00A10BE7"/>
    <w:rsid w:val="00A1229D"/>
    <w:rsid w:val="00A124AF"/>
    <w:rsid w:val="00A14624"/>
    <w:rsid w:val="00A15124"/>
    <w:rsid w:val="00A308CB"/>
    <w:rsid w:val="00A347C5"/>
    <w:rsid w:val="00A3690D"/>
    <w:rsid w:val="00A46227"/>
    <w:rsid w:val="00A60CAF"/>
    <w:rsid w:val="00A66955"/>
    <w:rsid w:val="00A86050"/>
    <w:rsid w:val="00AA07A6"/>
    <w:rsid w:val="00AA502A"/>
    <w:rsid w:val="00AA682B"/>
    <w:rsid w:val="00AB084A"/>
    <w:rsid w:val="00AB41A6"/>
    <w:rsid w:val="00AB4E31"/>
    <w:rsid w:val="00AC532D"/>
    <w:rsid w:val="00AD0D85"/>
    <w:rsid w:val="00B01391"/>
    <w:rsid w:val="00B05BB8"/>
    <w:rsid w:val="00B11022"/>
    <w:rsid w:val="00B114FC"/>
    <w:rsid w:val="00B1352F"/>
    <w:rsid w:val="00B241F1"/>
    <w:rsid w:val="00B309F7"/>
    <w:rsid w:val="00B31C53"/>
    <w:rsid w:val="00B45C24"/>
    <w:rsid w:val="00B45F0F"/>
    <w:rsid w:val="00B5022E"/>
    <w:rsid w:val="00B5725A"/>
    <w:rsid w:val="00B721CC"/>
    <w:rsid w:val="00B74393"/>
    <w:rsid w:val="00B7481F"/>
    <w:rsid w:val="00B84785"/>
    <w:rsid w:val="00B929A3"/>
    <w:rsid w:val="00B95978"/>
    <w:rsid w:val="00BA114F"/>
    <w:rsid w:val="00BA6F22"/>
    <w:rsid w:val="00BB6F5C"/>
    <w:rsid w:val="00BC0737"/>
    <w:rsid w:val="00BD57C0"/>
    <w:rsid w:val="00BF27AA"/>
    <w:rsid w:val="00BF5528"/>
    <w:rsid w:val="00C11A92"/>
    <w:rsid w:val="00C12F5C"/>
    <w:rsid w:val="00C1773B"/>
    <w:rsid w:val="00C23A21"/>
    <w:rsid w:val="00C416F1"/>
    <w:rsid w:val="00C50EFD"/>
    <w:rsid w:val="00C54292"/>
    <w:rsid w:val="00C620A6"/>
    <w:rsid w:val="00C6453F"/>
    <w:rsid w:val="00C650D9"/>
    <w:rsid w:val="00C65EA2"/>
    <w:rsid w:val="00C71EB3"/>
    <w:rsid w:val="00C73B64"/>
    <w:rsid w:val="00C73C03"/>
    <w:rsid w:val="00C81F27"/>
    <w:rsid w:val="00CB0B42"/>
    <w:rsid w:val="00CB1567"/>
    <w:rsid w:val="00CC70FB"/>
    <w:rsid w:val="00D17EF3"/>
    <w:rsid w:val="00D27067"/>
    <w:rsid w:val="00D30957"/>
    <w:rsid w:val="00D34636"/>
    <w:rsid w:val="00D37508"/>
    <w:rsid w:val="00D43115"/>
    <w:rsid w:val="00D440B7"/>
    <w:rsid w:val="00D45736"/>
    <w:rsid w:val="00D767B1"/>
    <w:rsid w:val="00D82F63"/>
    <w:rsid w:val="00D90192"/>
    <w:rsid w:val="00D907BA"/>
    <w:rsid w:val="00D90C62"/>
    <w:rsid w:val="00D92E58"/>
    <w:rsid w:val="00D93737"/>
    <w:rsid w:val="00DC100A"/>
    <w:rsid w:val="00DE255C"/>
    <w:rsid w:val="00DE26CE"/>
    <w:rsid w:val="00DF6469"/>
    <w:rsid w:val="00E01594"/>
    <w:rsid w:val="00E239AD"/>
    <w:rsid w:val="00E26880"/>
    <w:rsid w:val="00E30AFA"/>
    <w:rsid w:val="00E320A5"/>
    <w:rsid w:val="00E52EAE"/>
    <w:rsid w:val="00E650E3"/>
    <w:rsid w:val="00E7574D"/>
    <w:rsid w:val="00EB0FB2"/>
    <w:rsid w:val="00EB2081"/>
    <w:rsid w:val="00ED158B"/>
    <w:rsid w:val="00ED15D3"/>
    <w:rsid w:val="00ED38E8"/>
    <w:rsid w:val="00ED4817"/>
    <w:rsid w:val="00ED539F"/>
    <w:rsid w:val="00EE0850"/>
    <w:rsid w:val="00EF134A"/>
    <w:rsid w:val="00F13528"/>
    <w:rsid w:val="00F33C73"/>
    <w:rsid w:val="00F40257"/>
    <w:rsid w:val="00F414E3"/>
    <w:rsid w:val="00F52260"/>
    <w:rsid w:val="00F70E91"/>
    <w:rsid w:val="00F7743E"/>
    <w:rsid w:val="00F808E4"/>
    <w:rsid w:val="00F950A5"/>
    <w:rsid w:val="00FC1263"/>
    <w:rsid w:val="00FC4360"/>
    <w:rsid w:val="00FD114B"/>
    <w:rsid w:val="00FD6F50"/>
    <w:rsid w:val="00FE3E88"/>
    <w:rsid w:val="00FE7AAB"/>
    <w:rsid w:val="00FF1D49"/>
    <w:rsid w:val="00FF562B"/>
    <w:rsid w:val="00FF5C00"/>
    <w:rsid w:val="01FFC897"/>
    <w:rsid w:val="021AC2D3"/>
    <w:rsid w:val="0235DF27"/>
    <w:rsid w:val="0497F93A"/>
    <w:rsid w:val="060F2064"/>
    <w:rsid w:val="080D89DA"/>
    <w:rsid w:val="09051D7D"/>
    <w:rsid w:val="0A0F0727"/>
    <w:rsid w:val="0CA9F485"/>
    <w:rsid w:val="0DDFAD5F"/>
    <w:rsid w:val="11D21FBF"/>
    <w:rsid w:val="15FAA918"/>
    <w:rsid w:val="19A673EB"/>
    <w:rsid w:val="1D184246"/>
    <w:rsid w:val="1E4B2E4C"/>
    <w:rsid w:val="1F3A5A4F"/>
    <w:rsid w:val="23CC6351"/>
    <w:rsid w:val="2A3ADE02"/>
    <w:rsid w:val="2D3DA4A3"/>
    <w:rsid w:val="2F9B178A"/>
    <w:rsid w:val="2FE15D10"/>
    <w:rsid w:val="31219C83"/>
    <w:rsid w:val="32A97CA9"/>
    <w:rsid w:val="343BA503"/>
    <w:rsid w:val="357B1979"/>
    <w:rsid w:val="357CFDB1"/>
    <w:rsid w:val="37B110E6"/>
    <w:rsid w:val="38A958A6"/>
    <w:rsid w:val="3C964482"/>
    <w:rsid w:val="3D2166F4"/>
    <w:rsid w:val="3E9805F0"/>
    <w:rsid w:val="3FBE66ED"/>
    <w:rsid w:val="41E92271"/>
    <w:rsid w:val="431C3694"/>
    <w:rsid w:val="463CEBB2"/>
    <w:rsid w:val="46EEC781"/>
    <w:rsid w:val="4800D378"/>
    <w:rsid w:val="4DB71506"/>
    <w:rsid w:val="501A83B1"/>
    <w:rsid w:val="51182DAA"/>
    <w:rsid w:val="542CEE47"/>
    <w:rsid w:val="5571AD76"/>
    <w:rsid w:val="5AF0FE02"/>
    <w:rsid w:val="5B54494F"/>
    <w:rsid w:val="5FD379D2"/>
    <w:rsid w:val="6274F842"/>
    <w:rsid w:val="6794B2E8"/>
    <w:rsid w:val="6986E977"/>
    <w:rsid w:val="69BC95E6"/>
    <w:rsid w:val="6DF25C14"/>
    <w:rsid w:val="6E272A83"/>
    <w:rsid w:val="6EA7C83F"/>
    <w:rsid w:val="6FEA9133"/>
    <w:rsid w:val="71B1A6B2"/>
    <w:rsid w:val="7477FA5F"/>
    <w:rsid w:val="76DB07C9"/>
    <w:rsid w:val="78474CD8"/>
    <w:rsid w:val="7DD2B7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96CCDA"/>
  <w15:chartTrackingRefBased/>
  <w15:docId w15:val="{8D91DFC2-9B16-4EEF-8727-42F2036F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2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BDE"/>
    <w:rPr>
      <w:rFonts w:ascii="Segoe UI" w:hAnsi="Segoe UI" w:cs="Segoe UI"/>
      <w:sz w:val="18"/>
      <w:szCs w:val="18"/>
    </w:rPr>
  </w:style>
  <w:style w:type="character" w:styleId="Hyperlink">
    <w:name w:val="Hyperlink"/>
    <w:basedOn w:val="DefaultParagraphFont"/>
    <w:unhideWhenUsed/>
    <w:rsid w:val="0009586A"/>
    <w:rPr>
      <w:color w:val="0563C1" w:themeColor="hyperlink"/>
      <w:u w:val="single"/>
    </w:rPr>
  </w:style>
  <w:style w:type="character" w:styleId="UnresolvedMention">
    <w:name w:val="Unresolved Mention"/>
    <w:basedOn w:val="DefaultParagraphFont"/>
    <w:uiPriority w:val="99"/>
    <w:semiHidden/>
    <w:unhideWhenUsed/>
    <w:rsid w:val="0009586A"/>
    <w:rPr>
      <w:color w:val="605E5C"/>
      <w:shd w:val="clear" w:color="auto" w:fill="E1DFDD"/>
    </w:rPr>
  </w:style>
  <w:style w:type="paragraph" w:customStyle="1" w:styleId="Body">
    <w:name w:val="Body"/>
    <w:link w:val="BodyChar1"/>
    <w:qFormat/>
    <w:rsid w:val="004B4693"/>
    <w:pPr>
      <w:spacing w:before="180"/>
    </w:pPr>
    <w:rPr>
      <w:rFonts w:ascii="Arial" w:hAnsi="Arial"/>
      <w:kern w:val="24"/>
      <w:sz w:val="21"/>
    </w:rPr>
  </w:style>
  <w:style w:type="character" w:customStyle="1" w:styleId="BodyChar1">
    <w:name w:val="Body Char1"/>
    <w:basedOn w:val="DefaultParagraphFont"/>
    <w:link w:val="Body"/>
    <w:rsid w:val="004B4693"/>
    <w:rPr>
      <w:rFonts w:ascii="Arial" w:hAnsi="Arial"/>
      <w:kern w:val="24"/>
      <w:sz w:val="21"/>
    </w:rPr>
  </w:style>
  <w:style w:type="paragraph" w:customStyle="1" w:styleId="Bullet">
    <w:name w:val="Bullet"/>
    <w:link w:val="BulletChar"/>
    <w:qFormat/>
    <w:rsid w:val="004B4693"/>
    <w:pPr>
      <w:numPr>
        <w:numId w:val="8"/>
      </w:numPr>
      <w:spacing w:before="80"/>
      <w:ind w:left="576" w:hanging="216"/>
    </w:pPr>
    <w:rPr>
      <w:rFonts w:ascii="Arial" w:hAnsi="Arial"/>
      <w:sz w:val="21"/>
      <w:szCs w:val="24"/>
    </w:rPr>
  </w:style>
  <w:style w:type="character" w:customStyle="1" w:styleId="BulletChar">
    <w:name w:val="Bullet Char"/>
    <w:basedOn w:val="DefaultParagraphFont"/>
    <w:link w:val="Bullet"/>
    <w:rsid w:val="004B4693"/>
    <w:rPr>
      <w:rFonts w:ascii="Arial" w:hAnsi="Arial"/>
      <w:sz w:val="21"/>
      <w:szCs w:val="24"/>
    </w:rPr>
  </w:style>
  <w:style w:type="paragraph" w:styleId="Header">
    <w:name w:val="header"/>
    <w:link w:val="HeaderChar"/>
    <w:qFormat/>
    <w:rsid w:val="004B4693"/>
    <w:pPr>
      <w:pBdr>
        <w:bottom w:val="single" w:sz="6" w:space="1" w:color="auto"/>
      </w:pBdr>
      <w:tabs>
        <w:tab w:val="right" w:pos="9000"/>
        <w:tab w:val="right" w:pos="9720"/>
      </w:tabs>
      <w:spacing w:before="120" w:after="360"/>
    </w:pPr>
    <w:rPr>
      <w:rFonts w:ascii="Arial" w:hAnsi="Arial"/>
      <w:b/>
      <w:i/>
    </w:rPr>
  </w:style>
  <w:style w:type="character" w:customStyle="1" w:styleId="HeaderChar">
    <w:name w:val="Header Char"/>
    <w:basedOn w:val="DefaultParagraphFont"/>
    <w:link w:val="Header"/>
    <w:rsid w:val="004B4693"/>
    <w:rPr>
      <w:rFonts w:ascii="Arial" w:hAnsi="Arial"/>
      <w:b/>
      <w:i/>
    </w:rPr>
  </w:style>
  <w:style w:type="paragraph" w:customStyle="1" w:styleId="TableText">
    <w:name w:val="Table Text"/>
    <w:link w:val="TableTextChar"/>
    <w:qFormat/>
    <w:rsid w:val="004B4693"/>
    <w:pPr>
      <w:spacing w:before="60" w:after="60" w:line="216" w:lineRule="auto"/>
    </w:pPr>
    <w:rPr>
      <w:rFonts w:ascii="Arial Narrow" w:hAnsi="Arial Narrow"/>
      <w:sz w:val="21"/>
      <w:szCs w:val="19"/>
    </w:rPr>
  </w:style>
  <w:style w:type="paragraph" w:customStyle="1" w:styleId="TableHead">
    <w:name w:val="Table Head"/>
    <w:link w:val="TableHeadChar"/>
    <w:qFormat/>
    <w:rsid w:val="004B4693"/>
    <w:pPr>
      <w:spacing w:before="60" w:after="60" w:line="216" w:lineRule="auto"/>
      <w:jc w:val="center"/>
    </w:pPr>
    <w:rPr>
      <w:rFonts w:ascii="Arial Narrow" w:hAnsi="Arial Narrow"/>
      <w:b/>
      <w:color w:val="FFFFFF" w:themeColor="background1"/>
      <w:sz w:val="21"/>
    </w:rPr>
  </w:style>
  <w:style w:type="character" w:customStyle="1" w:styleId="TableHeadChar">
    <w:name w:val="Table Head Char"/>
    <w:basedOn w:val="DefaultParagraphFont"/>
    <w:link w:val="TableHead"/>
    <w:rsid w:val="004B4693"/>
    <w:rPr>
      <w:rFonts w:ascii="Arial Narrow" w:hAnsi="Arial Narrow"/>
      <w:b/>
      <w:color w:val="FFFFFF" w:themeColor="background1"/>
      <w:sz w:val="21"/>
    </w:rPr>
  </w:style>
  <w:style w:type="paragraph" w:customStyle="1" w:styleId="MarginSubhead">
    <w:name w:val="Margin Subhead"/>
    <w:rsid w:val="004B4693"/>
    <w:pPr>
      <w:spacing w:before="180"/>
      <w:ind w:left="216"/>
    </w:pPr>
    <w:rPr>
      <w:rFonts w:ascii="Arial" w:hAnsi="Arial"/>
      <w:b/>
      <w:sz w:val="21"/>
    </w:rPr>
  </w:style>
  <w:style w:type="character" w:customStyle="1" w:styleId="TableTextChar">
    <w:name w:val="Table Text Char"/>
    <w:basedOn w:val="DefaultParagraphFont"/>
    <w:link w:val="TableText"/>
    <w:rsid w:val="004B4693"/>
    <w:rPr>
      <w:rFonts w:ascii="Arial Narrow" w:hAnsi="Arial Narrow"/>
      <w:sz w:val="21"/>
      <w:szCs w:val="19"/>
    </w:rPr>
  </w:style>
  <w:style w:type="character" w:styleId="FollowedHyperlink">
    <w:name w:val="FollowedHyperlink"/>
    <w:basedOn w:val="DefaultParagraphFont"/>
    <w:uiPriority w:val="99"/>
    <w:semiHidden/>
    <w:unhideWhenUsed/>
    <w:rsid w:val="00D93737"/>
    <w:rPr>
      <w:color w:val="954F72" w:themeColor="followedHyperlink"/>
      <w:u w:val="single"/>
    </w:rPr>
  </w:style>
  <w:style w:type="character" w:styleId="CommentReference">
    <w:name w:val="annotation reference"/>
    <w:basedOn w:val="DefaultParagraphFont"/>
    <w:uiPriority w:val="99"/>
    <w:semiHidden/>
    <w:unhideWhenUsed/>
    <w:rsid w:val="00B241F1"/>
    <w:rPr>
      <w:sz w:val="16"/>
      <w:szCs w:val="16"/>
    </w:rPr>
  </w:style>
  <w:style w:type="paragraph" w:styleId="CommentText">
    <w:name w:val="annotation text"/>
    <w:basedOn w:val="Normal"/>
    <w:link w:val="CommentTextChar"/>
    <w:uiPriority w:val="99"/>
    <w:unhideWhenUsed/>
    <w:rsid w:val="00B241F1"/>
    <w:rPr>
      <w:sz w:val="20"/>
    </w:rPr>
  </w:style>
  <w:style w:type="character" w:customStyle="1" w:styleId="CommentTextChar">
    <w:name w:val="Comment Text Char"/>
    <w:basedOn w:val="DefaultParagraphFont"/>
    <w:link w:val="CommentText"/>
    <w:uiPriority w:val="99"/>
    <w:rsid w:val="00B241F1"/>
  </w:style>
  <w:style w:type="paragraph" w:styleId="CommentSubject">
    <w:name w:val="annotation subject"/>
    <w:basedOn w:val="CommentText"/>
    <w:next w:val="CommentText"/>
    <w:link w:val="CommentSubjectChar"/>
    <w:uiPriority w:val="99"/>
    <w:semiHidden/>
    <w:unhideWhenUsed/>
    <w:rsid w:val="00B241F1"/>
    <w:rPr>
      <w:b/>
      <w:bCs/>
    </w:rPr>
  </w:style>
  <w:style w:type="character" w:customStyle="1" w:styleId="CommentSubjectChar">
    <w:name w:val="Comment Subject Char"/>
    <w:basedOn w:val="CommentTextChar"/>
    <w:link w:val="CommentSubject"/>
    <w:uiPriority w:val="99"/>
    <w:semiHidden/>
    <w:rsid w:val="00B241F1"/>
    <w:rPr>
      <w:b/>
      <w:bCs/>
    </w:rPr>
  </w:style>
  <w:style w:type="paragraph" w:styleId="Revision">
    <w:name w:val="Revision"/>
    <w:hidden/>
    <w:uiPriority w:val="99"/>
    <w:semiHidden/>
    <w:rsid w:val="00BC0737"/>
    <w:rPr>
      <w:sz w:val="24"/>
    </w:rPr>
  </w:style>
  <w:style w:type="paragraph" w:styleId="Footer">
    <w:name w:val="footer"/>
    <w:basedOn w:val="Normal"/>
    <w:link w:val="FooterChar"/>
    <w:uiPriority w:val="99"/>
    <w:semiHidden/>
    <w:unhideWhenUsed/>
    <w:rsid w:val="007D67D7"/>
    <w:pPr>
      <w:tabs>
        <w:tab w:val="center" w:pos="4680"/>
        <w:tab w:val="right" w:pos="9360"/>
      </w:tabs>
    </w:pPr>
  </w:style>
  <w:style w:type="character" w:customStyle="1" w:styleId="FooterChar">
    <w:name w:val="Footer Char"/>
    <w:basedOn w:val="DefaultParagraphFont"/>
    <w:link w:val="Footer"/>
    <w:uiPriority w:val="99"/>
    <w:semiHidden/>
    <w:rsid w:val="007D67D7"/>
    <w:rPr>
      <w:sz w:val="24"/>
    </w:rPr>
  </w:style>
  <w:style w:type="character" w:styleId="Mention">
    <w:name w:val="Mention"/>
    <w:basedOn w:val="DefaultParagraphFont"/>
    <w:uiPriority w:val="99"/>
    <w:unhideWhenUsed/>
    <w:rsid w:val="007D67D7"/>
    <w:rPr>
      <w:color w:val="2B579A"/>
      <w:shd w:val="clear" w:color="auto" w:fill="E1DFDD"/>
    </w:rPr>
  </w:style>
  <w:style w:type="paragraph" w:styleId="FootnoteText">
    <w:name w:val="footnote text"/>
    <w:basedOn w:val="Normal"/>
    <w:link w:val="FootnoteTextChar"/>
    <w:uiPriority w:val="99"/>
    <w:semiHidden/>
    <w:unhideWhenUsed/>
    <w:rsid w:val="00CC70FB"/>
    <w:rPr>
      <w:sz w:val="20"/>
    </w:rPr>
  </w:style>
  <w:style w:type="character" w:customStyle="1" w:styleId="FootnoteTextChar">
    <w:name w:val="Footnote Text Char"/>
    <w:basedOn w:val="DefaultParagraphFont"/>
    <w:link w:val="FootnoteText"/>
    <w:uiPriority w:val="99"/>
    <w:semiHidden/>
    <w:rsid w:val="00CC70FB"/>
  </w:style>
  <w:style w:type="character" w:styleId="FootnoteReference">
    <w:name w:val="footnote reference"/>
    <w:basedOn w:val="DefaultParagraphFont"/>
    <w:uiPriority w:val="99"/>
    <w:semiHidden/>
    <w:unhideWhenUsed/>
    <w:rsid w:val="00CC7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hrq.gov/cahps/faq/index.html" TargetMode="External" /><Relationship Id="rId11" Type="http://schemas.openxmlformats.org/officeDocument/2006/relationships/hyperlink" Target="https://data.bls.gov/oes/" TargetMode="External" /><Relationship Id="rId12" Type="http://schemas.openxmlformats.org/officeDocument/2006/relationships/hyperlink" Target="https://www.irs.gov/tax-professionals/standard-mileage-rates" TargetMode="External" /><Relationship Id="rId13" Type="http://schemas.openxmlformats.org/officeDocument/2006/relationships/hyperlink" Target="https://about.usps.com/what/strategic-plans/delivering-for-america/assets/usps-dfa-two-year-report.pdf" TargetMode="External" /><Relationship Id="rId14" Type="http://schemas.openxmlformats.org/officeDocument/2006/relationships/image" Target="media/image1.emf"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tore.ncqa.org/hedis-my-2022-volume-3-epu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Hidden xmlns="6230d612-7037-498f-bfff-b82b5e1a6587">false</Hidden>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d265f378fbedbade716701c410865762">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c84ddb601c37ab0dcc9a75f06d822b7f"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CA1EB-D73B-437F-8558-B55E482104D3}">
  <ds:schemaRefs>
    <ds:schemaRef ds:uri="http://schemas.microsoft.com/office/2006/metadata/properties"/>
    <ds:schemaRef ds:uri="http://schemas.microsoft.com/office/infopath/2007/PartnerControls"/>
    <ds:schemaRef ds:uri="5057afc8-6448-46fd-8bf7-64bb86b10e7e"/>
    <ds:schemaRef ds:uri="f8fd1470-d384-4fce-aaf6-9cbde5e5b9b2"/>
    <ds:schemaRef ds:uri="6230d612-7037-498f-bfff-b82b5e1a6587"/>
    <ds:schemaRef ds:uri="d0cae902-28e2-4e17-856a-6e87d0697a0c"/>
    <ds:schemaRef ds:uri="http://schemas.microsoft.com/sharepoint/v3"/>
  </ds:schemaRefs>
</ds:datastoreItem>
</file>

<file path=customXml/itemProps2.xml><?xml version="1.0" encoding="utf-8"?>
<ds:datastoreItem xmlns:ds="http://schemas.openxmlformats.org/officeDocument/2006/customXml" ds:itemID="{FA1D05BA-AD22-46E5-9E61-DFC429D5102F}">
  <ds:schemaRefs>
    <ds:schemaRef ds:uri="http://schemas.openxmlformats.org/officeDocument/2006/bibliography"/>
  </ds:schemaRefs>
</ds:datastoreItem>
</file>

<file path=customXml/itemProps3.xml><?xml version="1.0" encoding="utf-8"?>
<ds:datastoreItem xmlns:ds="http://schemas.openxmlformats.org/officeDocument/2006/customXml" ds:itemID="{DE684E64-1844-48E9-B102-884CBC364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0d612-7037-498f-bfff-b82b5e1a6587"/>
    <ds:schemaRef ds:uri="d0cae902-28e2-4e17-856a-6e87d069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4C257-1E57-46DF-88DA-479A5CFD3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3518</Words>
  <Characters>19978</Characters>
  <Application>Microsoft Office Word</Application>
  <DocSecurity>0</DocSecurity>
  <Lines>166</Lines>
  <Paragraphs>46</Paragraphs>
  <ScaleCrop>false</ScaleCrop>
  <Company>OPM</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Stanley, Alexys</cp:lastModifiedBy>
  <cp:revision>6</cp:revision>
  <cp:lastPrinted>2011-06-22T08:53:00Z</cp:lastPrinted>
  <dcterms:created xsi:type="dcterms:W3CDTF">2025-09-08T15:28:00Z</dcterms:created>
  <dcterms:modified xsi:type="dcterms:W3CDTF">2025-10-31T16:14:00Z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