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0E6F5D" w:rsidRPr="000E6F5D" w:rsidP="000E6F5D" w14:paraId="04F28961" w14:textId="678D0CA7">
      <w:pPr>
        <w:rPr>
          <w:b/>
          <w:sz w:val="32"/>
          <w:szCs w:val="32"/>
        </w:rPr>
      </w:pPr>
      <w:r w:rsidRPr="00636740">
        <w:rPr>
          <w:b/>
          <w:sz w:val="32"/>
          <w:szCs w:val="32"/>
        </w:rPr>
        <w:t>A</w:t>
      </w:r>
      <w:r>
        <w:rPr>
          <w:b/>
          <w:sz w:val="32"/>
          <w:szCs w:val="32"/>
        </w:rPr>
        <w:t>25</w:t>
      </w:r>
      <w:r w:rsidRPr="00636740">
        <w:rPr>
          <w:b/>
          <w:sz w:val="32"/>
          <w:szCs w:val="32"/>
        </w:rPr>
        <w:t>-</w:t>
      </w:r>
      <w:r w:rsidRPr="000E6F5D">
        <w:rPr>
          <w:b/>
          <w:sz w:val="32"/>
          <w:szCs w:val="32"/>
        </w:rPr>
        <w:t>Child Nutrition - Healthy Meals Incentives</w:t>
      </w:r>
    </w:p>
    <w:p w:rsidR="00636740" w:rsidRPr="00636740" w:rsidP="005C17F7" w14:paraId="440BA80A" w14:textId="32F85A94">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31115</wp:posOffset>
                </wp:positionV>
                <wp:extent cx="6051550" cy="6350"/>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2.45pt" to="476.5pt,2.9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3FB34FF">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0E6F5D">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1904"/>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E6F5D"/>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1000"/>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70F05"/>
    <w:rsid w:val="005802C8"/>
    <w:rsid w:val="005817FD"/>
    <w:rsid w:val="00582D82"/>
    <w:rsid w:val="0058448F"/>
    <w:rsid w:val="00585303"/>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1643A"/>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2.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3.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10528</Words>
  <Characters>60010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2025-04-11T13:01:00Z</dcterms:created>
  <dcterms:modified xsi:type="dcterms:W3CDTF">2025-04-11T13:01:00Z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