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008932F0" w14:paraId="3D99F753" w14:textId="77777777">
      <w:pPr>
        <w:pStyle w:val="NoSpacing"/>
        <w:jc w:val="center"/>
        <w:rPr>
          <w:rFonts w:ascii="Calibri" w:hAnsi="Calibri" w:cs="Calibri"/>
          <w:b/>
          <w:bCs/>
          <w:sz w:val="24"/>
          <w:szCs w:val="24"/>
        </w:rPr>
      </w:pPr>
      <w:r w:rsidRPr="2DDF10C6">
        <w:rPr>
          <w:rFonts w:ascii="Calibri" w:hAnsi="Calibri" w:cs="Calibri"/>
          <w:b/>
          <w:bCs/>
          <w:sz w:val="24"/>
          <w:szCs w:val="24"/>
        </w:rPr>
        <w:t>SUPPORTING STATEMENT</w:t>
      </w:r>
      <w:r w:rsidRPr="2DDF10C6" w:rsidR="007F2304">
        <w:rPr>
          <w:rFonts w:ascii="Calibri" w:hAnsi="Calibri" w:cs="Calibri"/>
          <w:b/>
          <w:bCs/>
          <w:sz w:val="24"/>
          <w:szCs w:val="24"/>
        </w:rPr>
        <w:t xml:space="preserve"> A</w:t>
      </w:r>
    </w:p>
    <w:p w:rsidR="00E12A81" w:rsidRPr="00E12A81" w:rsidP="008932F0"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8932F0"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5122C5" w:rsidP="008932F0" w14:paraId="02DC0E54" w14:textId="4988C49A">
      <w:pPr>
        <w:pStyle w:val="NoSpacing"/>
        <w:jc w:val="center"/>
        <w:rPr>
          <w:rFonts w:ascii="Calibri" w:hAnsi="Calibri" w:cs="Calibri"/>
          <w:b/>
          <w:color w:val="FF0000"/>
          <w:sz w:val="24"/>
        </w:rPr>
      </w:pPr>
      <w:r w:rsidRPr="008932F0">
        <w:rPr>
          <w:rFonts w:ascii="Calibri" w:hAnsi="Calibri" w:cs="Calibri"/>
          <w:b/>
          <w:sz w:val="24"/>
        </w:rPr>
        <w:t>Monthly Retail Surveys (MRS)</w:t>
      </w:r>
      <w:r w:rsidRPr="005122C5" w:rsidR="001F2674">
        <w:rPr>
          <w:rFonts w:ascii="Calibri" w:hAnsi="Calibri" w:cs="Calibri"/>
          <w:b/>
          <w:color w:val="FF0000"/>
          <w:sz w:val="24"/>
        </w:rPr>
        <w:t xml:space="preserve"> </w:t>
      </w:r>
    </w:p>
    <w:p w:rsidR="00201347" w:rsidRPr="00E12A81" w:rsidP="008932F0" w14:paraId="55C6B4DF" w14:textId="3138149F">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E12A81">
        <w:rPr>
          <w:rFonts w:ascii="Calibri" w:hAnsi="Calibri" w:cs="Calibri"/>
          <w:b/>
          <w:sz w:val="24"/>
        </w:rPr>
        <w:t>-</w:t>
      </w:r>
      <w:r w:rsidRPr="008932F0" w:rsidR="004B4EA2">
        <w:rPr>
          <w:rFonts w:ascii="Calibri" w:hAnsi="Calibri" w:cs="Calibri"/>
          <w:b/>
          <w:sz w:val="24"/>
        </w:rPr>
        <w:t>0717</w:t>
      </w:r>
    </w:p>
    <w:p w:rsidR="00201347" w:rsidRPr="00124446" w:rsidP="008932F0" w14:paraId="672A6659" w14:textId="77777777">
      <w:pPr>
        <w:pStyle w:val="BodyText"/>
        <w:spacing w:before="0"/>
        <w:ind w:left="0"/>
        <w:rPr>
          <w:rFonts w:ascii="Calibri" w:hAnsi="Calibri" w:cs="Calibri"/>
          <w:b/>
          <w:sz w:val="31"/>
        </w:rPr>
      </w:pPr>
    </w:p>
    <w:p w:rsidR="00201347" w:rsidP="008932F0" w14:paraId="7CBFD60A" w14:textId="77777777">
      <w:pPr>
        <w:pStyle w:val="Heading1"/>
        <w:spacing w:before="0"/>
        <w:ind w:left="0"/>
        <w:rPr>
          <w:rFonts w:ascii="Calibri" w:hAnsi="Calibri" w:cs="Calibri"/>
        </w:rPr>
      </w:pPr>
      <w:r w:rsidRPr="00124446">
        <w:rPr>
          <w:rFonts w:ascii="Calibri" w:hAnsi="Calibri" w:cs="Calibri"/>
        </w:rPr>
        <w:t>Abstract</w:t>
      </w:r>
    </w:p>
    <w:p w:rsidR="000F64D2" w:rsidRPr="00124446" w:rsidP="008932F0" w14:paraId="49B33F90" w14:textId="77777777">
      <w:pPr>
        <w:pStyle w:val="Heading1"/>
        <w:spacing w:before="0"/>
        <w:ind w:left="0"/>
        <w:rPr>
          <w:rFonts w:ascii="Calibri" w:hAnsi="Calibri" w:cs="Calibri"/>
        </w:rPr>
      </w:pPr>
    </w:p>
    <w:p w:rsidR="0052213E" w:rsidP="008932F0" w14:paraId="56C841A0" w14:textId="0B608ABE">
      <w:pPr>
        <w:rPr>
          <w:rFonts w:ascii="Calibri" w:hAnsi="Calibri" w:cs="Calibri"/>
          <w:bCs/>
          <w:sz w:val="24"/>
        </w:rPr>
      </w:pPr>
      <w:r w:rsidRPr="008932F0">
        <w:rPr>
          <w:rFonts w:ascii="Calibri" w:hAnsi="Calibri" w:cs="Calibri"/>
          <w:bCs/>
          <w:sz w:val="24"/>
        </w:rPr>
        <w:t>The U.S. Census Bureau requests an extension of the Monthly Retail Surveys (MRS). The MRS is comprised of two surveys known as the Monthly Retail Trade Survey (MRTS) and the Advance Monthly Retail Trade Survey (MARTS).  MRS are administered monthly to a sample of employer firms (i.e., businesses with paid employees) with establishments located in the United States and classified in retail trade and/or food services sectors as defined by the North American Industry Classification System (NAICS).</w:t>
      </w:r>
    </w:p>
    <w:p w:rsidR="000F64D2" w:rsidRPr="008932F0" w:rsidP="000F64D2" w14:paraId="49E85728" w14:textId="77777777">
      <w:pPr>
        <w:rPr>
          <w:rFonts w:ascii="Calibri" w:hAnsi="Calibri" w:cs="Calibri"/>
          <w:bCs/>
          <w:sz w:val="24"/>
        </w:rPr>
      </w:pPr>
    </w:p>
    <w:p w:rsidR="00DB710D" w:rsidP="008932F0" w14:paraId="3E7581C3" w14:textId="591EE13A">
      <w:pPr>
        <w:rPr>
          <w:rFonts w:ascii="Calibri" w:hAnsi="Calibri" w:cs="Calibri"/>
          <w:bCs/>
          <w:sz w:val="24"/>
        </w:rPr>
      </w:pPr>
      <w:r w:rsidRPr="008932F0">
        <w:rPr>
          <w:rFonts w:ascii="Calibri" w:hAnsi="Calibri" w:cs="Calibri"/>
          <w:bCs/>
          <w:sz w:val="24"/>
        </w:rPr>
        <w:t>The MRTS provides estimates of monthly retail sales, end-of-month merchandise inventories, and quarterly e-commerce sales of retailers in the United States. In addition, the survey also provides an estimate of monthly sales at food service establishments and drinking places.</w:t>
      </w:r>
    </w:p>
    <w:p w:rsidR="000F64D2" w:rsidRPr="008932F0" w:rsidP="000F64D2" w14:paraId="33C7EAE9" w14:textId="77777777">
      <w:pPr>
        <w:rPr>
          <w:rFonts w:ascii="Calibri" w:hAnsi="Calibri" w:cs="Calibri"/>
          <w:bCs/>
          <w:sz w:val="24"/>
        </w:rPr>
      </w:pPr>
    </w:p>
    <w:p w:rsidR="000C5C51" w:rsidP="008932F0" w14:paraId="32988B78" w14:textId="3A65058A">
      <w:pPr>
        <w:rPr>
          <w:rFonts w:ascii="Calibri" w:hAnsi="Calibri" w:cs="Calibri"/>
          <w:bCs/>
          <w:sz w:val="24"/>
        </w:rPr>
      </w:pPr>
      <w:r w:rsidRPr="008932F0">
        <w:rPr>
          <w:rFonts w:ascii="Calibri" w:hAnsi="Calibri" w:cs="Calibri"/>
          <w:bCs/>
          <w:sz w:val="24"/>
        </w:rPr>
        <w:t xml:space="preserve">The MARTS, a subsample of MRTS, began in 1953 as a monthly survey for activity taking place during the previous month. The MARTS was developed in response to requests by government, business, and other users to provide an early indication of current retail trade activity in the United States. Retail sales are one of the primary measures of consumer demand for both durable and non-durable goods. </w:t>
      </w:r>
      <w:r w:rsidRPr="008932F0">
        <w:rPr>
          <w:rFonts w:ascii="Calibri" w:hAnsi="Calibri" w:cs="Calibri"/>
          <w:bCs/>
          <w:sz w:val="24"/>
        </w:rPr>
        <w:t>The MARTS</w:t>
      </w:r>
      <w:r w:rsidRPr="008932F0">
        <w:rPr>
          <w:rFonts w:ascii="Calibri" w:hAnsi="Calibri" w:cs="Calibri"/>
          <w:bCs/>
          <w:sz w:val="24"/>
        </w:rPr>
        <w:t xml:space="preserve"> also provides an estimate of monthly sales at food service establishments and drinking places.</w:t>
      </w:r>
    </w:p>
    <w:p w:rsidR="000F64D2" w:rsidRPr="008932F0" w:rsidP="000F64D2" w14:paraId="6883D221" w14:textId="77777777">
      <w:pPr>
        <w:rPr>
          <w:rFonts w:ascii="Calibri" w:hAnsi="Calibri" w:cs="Calibri"/>
          <w:bCs/>
          <w:sz w:val="24"/>
        </w:rPr>
      </w:pPr>
    </w:p>
    <w:p w:rsidR="000C5C51" w:rsidRPr="008932F0" w:rsidP="008932F0" w14:paraId="2AD1F0B8" w14:textId="1D4824DC">
      <w:pPr>
        <w:rPr>
          <w:rFonts w:ascii="Calibri" w:hAnsi="Calibri" w:cs="Calibri"/>
          <w:bCs/>
          <w:sz w:val="24"/>
        </w:rPr>
      </w:pPr>
      <w:r w:rsidRPr="008932F0">
        <w:rPr>
          <w:rFonts w:ascii="Calibri" w:hAnsi="Calibri" w:cs="Calibri"/>
          <w:bCs/>
          <w:sz w:val="24"/>
        </w:rPr>
        <w:t>The estimates produced in the MRS are critical to the accurate measurement of total economic activity.</w:t>
      </w:r>
    </w:p>
    <w:p w:rsidR="007F2304" w:rsidP="008932F0" w14:paraId="5DAB6C7B" w14:textId="77777777">
      <w:pPr>
        <w:rPr>
          <w:rFonts w:ascii="Calibri" w:hAnsi="Calibri" w:cs="Calibri"/>
          <w:b/>
          <w:sz w:val="24"/>
        </w:rPr>
      </w:pPr>
    </w:p>
    <w:p w:rsidR="000F64D2" w:rsidRPr="00124446" w:rsidP="008932F0" w14:paraId="29234014" w14:textId="77777777">
      <w:pPr>
        <w:rPr>
          <w:rFonts w:ascii="Calibri" w:hAnsi="Calibri" w:cs="Calibri"/>
          <w:b/>
          <w:sz w:val="24"/>
        </w:rPr>
      </w:pPr>
    </w:p>
    <w:p w:rsidR="00201347" w:rsidP="008932F0" w14:paraId="2D134F98" w14:textId="77777777">
      <w:pPr>
        <w:pStyle w:val="Heading1"/>
        <w:spacing w:before="0"/>
        <w:ind w:left="0"/>
        <w:rPr>
          <w:rFonts w:ascii="Calibri" w:hAnsi="Calibri" w:cs="Calibri"/>
        </w:rPr>
      </w:pPr>
      <w:r w:rsidRPr="00124446">
        <w:rPr>
          <w:rFonts w:ascii="Calibri" w:hAnsi="Calibri" w:cs="Calibri"/>
        </w:rPr>
        <w:t>Justification</w:t>
      </w:r>
    </w:p>
    <w:p w:rsidR="000F64D2" w:rsidRPr="00124446" w:rsidP="008932F0" w14:paraId="5BCAFFEE" w14:textId="77777777">
      <w:pPr>
        <w:pStyle w:val="Heading1"/>
        <w:spacing w:before="0"/>
        <w:ind w:left="0"/>
        <w:rPr>
          <w:rFonts w:ascii="Calibri" w:hAnsi="Calibri" w:cs="Calibri"/>
        </w:rPr>
      </w:pPr>
    </w:p>
    <w:p w:rsidR="00201347" w:rsidP="008932F0" w14:paraId="4E9A3E84" w14:textId="77777777">
      <w:pPr>
        <w:pStyle w:val="ListParagraph"/>
        <w:numPr>
          <w:ilvl w:val="0"/>
          <w:numId w:val="7"/>
        </w:numPr>
        <w:tabs>
          <w:tab w:val="left" w:pos="669"/>
        </w:tabs>
        <w:spacing w:before="0"/>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93E77" w:rsidRPr="00124446" w:rsidP="00193E77" w14:paraId="4055A902" w14:textId="77777777">
      <w:pPr>
        <w:pStyle w:val="ListParagraph"/>
        <w:tabs>
          <w:tab w:val="left" w:pos="669"/>
        </w:tabs>
        <w:spacing w:before="0"/>
        <w:ind w:left="360" w:firstLine="0"/>
        <w:rPr>
          <w:rFonts w:ascii="Calibri" w:hAnsi="Calibri" w:cs="Calibri"/>
          <w:b/>
          <w:sz w:val="24"/>
        </w:rPr>
      </w:pPr>
    </w:p>
    <w:p w:rsidR="0063343B" w:rsidP="008932F0" w14:paraId="12142D25" w14:textId="0BA6B7AF">
      <w:pPr>
        <w:pStyle w:val="BodyText"/>
        <w:spacing w:before="0"/>
        <w:ind w:right="312"/>
        <w:rPr>
          <w:rFonts w:ascii="Calibri" w:hAnsi="Calibri" w:cs="Calibri"/>
          <w:bCs/>
        </w:rPr>
      </w:pPr>
      <w:r>
        <w:rPr>
          <w:rFonts w:ascii="Calibri" w:hAnsi="Calibri" w:cs="Calibri"/>
          <w:bCs/>
        </w:rPr>
        <w:t>S</w:t>
      </w:r>
      <w:r w:rsidRPr="00C7571E">
        <w:rPr>
          <w:rFonts w:ascii="Calibri" w:hAnsi="Calibri" w:cs="Calibri"/>
          <w:bCs/>
        </w:rPr>
        <w:t xml:space="preserve">ales, inventories, and e-commerce data provide a current statistical picture of the retail portion of consumer activity. The sales and inventories </w:t>
      </w:r>
      <w:r w:rsidRPr="00C7571E">
        <w:rPr>
          <w:rFonts w:ascii="Calibri" w:hAnsi="Calibri" w:cs="Calibri"/>
          <w:bCs/>
        </w:rPr>
        <w:t>estimates</w:t>
      </w:r>
      <w:r w:rsidRPr="00C7571E">
        <w:rPr>
          <w:rFonts w:ascii="Calibri" w:hAnsi="Calibri" w:cs="Calibri"/>
          <w:bCs/>
        </w:rPr>
        <w:t xml:space="preserve"> in the MRTS measure current trends of economic activity that occur in the United States. The survey estimates provide valuable information for economic policy decisions and actions by the government and are widely used by private businesses, trade organizations, professional associations, and others for market research and analysis. The Bureau of Economic Analysis (BEA) uses </w:t>
      </w:r>
      <w:r w:rsidRPr="00C7571E">
        <w:rPr>
          <w:rFonts w:ascii="Calibri" w:hAnsi="Calibri" w:cs="Calibri"/>
          <w:bCs/>
        </w:rPr>
        <w:t>these</w:t>
      </w:r>
      <w:r w:rsidRPr="00C7571E">
        <w:rPr>
          <w:rFonts w:ascii="Calibri" w:hAnsi="Calibri" w:cs="Calibri"/>
          <w:bCs/>
        </w:rPr>
        <w:t xml:space="preserve"> data in determining the consumption portion of Gross Domestic Product (GDP).</w:t>
      </w:r>
    </w:p>
    <w:p w:rsidR="000F64D2" w:rsidRPr="00C7571E" w:rsidP="008932F0" w14:paraId="61E13C0A" w14:textId="77777777">
      <w:pPr>
        <w:pStyle w:val="BodyText"/>
        <w:spacing w:before="0"/>
        <w:ind w:right="312"/>
        <w:rPr>
          <w:rFonts w:ascii="Calibri" w:hAnsi="Calibri" w:cs="Calibri"/>
          <w:bCs/>
        </w:rPr>
      </w:pPr>
    </w:p>
    <w:p w:rsidR="0063343B" w:rsidP="008932F0" w14:paraId="2B14991E" w14:textId="478266DE">
      <w:pPr>
        <w:pStyle w:val="BodyText"/>
        <w:spacing w:before="0"/>
        <w:ind w:right="312"/>
        <w:rPr>
          <w:rFonts w:ascii="Calibri" w:hAnsi="Calibri" w:cs="Calibri"/>
          <w:bCs/>
        </w:rPr>
      </w:pPr>
      <w:r w:rsidRPr="00C7571E">
        <w:rPr>
          <w:rFonts w:ascii="Calibri" w:hAnsi="Calibri" w:cs="Calibri"/>
          <w:bCs/>
        </w:rPr>
        <w:t>The</w:t>
      </w:r>
      <w:r>
        <w:rPr>
          <w:rFonts w:ascii="Calibri" w:hAnsi="Calibri" w:cs="Calibri"/>
          <w:bCs/>
        </w:rPr>
        <w:t xml:space="preserve"> MRS</w:t>
      </w:r>
      <w:r w:rsidRPr="00C7571E">
        <w:rPr>
          <w:rFonts w:ascii="Calibri" w:hAnsi="Calibri" w:cs="Calibri"/>
          <w:bCs/>
        </w:rPr>
        <w:t xml:space="preserve"> estimates of retail sales represent all operating receipts, including receipts from wholesale sales made at retail locations and services rendered as part of the sale of the goods, by businesses that primarily sell at retail. The sales estimates include sales made on credit as well as on a cash </w:t>
      </w:r>
      <w:r w:rsidRPr="00C7571E">
        <w:rPr>
          <w:rFonts w:ascii="Calibri" w:hAnsi="Calibri" w:cs="Calibri"/>
          <w:bCs/>
        </w:rPr>
        <w:t>basis, but</w:t>
      </w:r>
      <w:r w:rsidRPr="00C7571E">
        <w:rPr>
          <w:rFonts w:ascii="Calibri" w:hAnsi="Calibri" w:cs="Calibri"/>
          <w:bCs/>
        </w:rPr>
        <w:t xml:space="preserve"> exclude receipts from sales taxes and interest charges from credit sales. Also excluded is non-operating income from such services as investments and real estate.</w:t>
      </w:r>
    </w:p>
    <w:p w:rsidR="000F64D2" w:rsidRPr="00C7571E" w:rsidP="008932F0" w14:paraId="78B7D8BA" w14:textId="77777777">
      <w:pPr>
        <w:pStyle w:val="BodyText"/>
        <w:spacing w:before="0"/>
        <w:ind w:right="312"/>
        <w:rPr>
          <w:rFonts w:ascii="Calibri" w:hAnsi="Calibri" w:cs="Calibri"/>
          <w:bCs/>
        </w:rPr>
      </w:pPr>
    </w:p>
    <w:p w:rsidR="0063343B" w:rsidP="008932F0" w14:paraId="5042E1F9" w14:textId="4E083EED">
      <w:pPr>
        <w:pStyle w:val="BodyText"/>
        <w:spacing w:before="0"/>
        <w:ind w:right="312"/>
        <w:rPr>
          <w:rFonts w:ascii="Calibri" w:hAnsi="Calibri" w:cs="Calibri"/>
          <w:bCs/>
        </w:rPr>
      </w:pPr>
      <w:r w:rsidRPr="00C7571E">
        <w:rPr>
          <w:rFonts w:ascii="Calibri" w:hAnsi="Calibri" w:cs="Calibri"/>
          <w:bCs/>
        </w:rPr>
        <w:t xml:space="preserve">The estimates of merchandise inventories owned by retailers represent all merchandise located in retail stores, warehouses, offices, or in transit for distribution to retail establishments. The estimates of merchandise inventories exclude fixtures and supplies not held for sale, as well as merchandise held on consignment owned by others. The BEA </w:t>
      </w:r>
      <w:r w:rsidRPr="00C7571E">
        <w:rPr>
          <w:rFonts w:ascii="Calibri" w:hAnsi="Calibri" w:cs="Calibri"/>
          <w:bCs/>
        </w:rPr>
        <w:t>use</w:t>
      </w:r>
      <w:r w:rsidRPr="00C7571E">
        <w:rPr>
          <w:rFonts w:ascii="Calibri" w:hAnsi="Calibri" w:cs="Calibri"/>
          <w:bCs/>
        </w:rPr>
        <w:t xml:space="preserve"> </w:t>
      </w:r>
      <w:r w:rsidRPr="00C7571E">
        <w:rPr>
          <w:rFonts w:ascii="Calibri" w:hAnsi="Calibri" w:cs="Calibri"/>
          <w:bCs/>
        </w:rPr>
        <w:t>inventories</w:t>
      </w:r>
      <w:r w:rsidRPr="00C7571E">
        <w:rPr>
          <w:rFonts w:ascii="Calibri" w:hAnsi="Calibri" w:cs="Calibri"/>
          <w:bCs/>
        </w:rPr>
        <w:t xml:space="preserve"> data to determine the investment portion of the GDP.  We publish retail sales and inventories estimates based on the NAICS. </w:t>
      </w:r>
    </w:p>
    <w:p w:rsidR="000F64D2" w:rsidRPr="00C7571E" w:rsidP="008932F0" w14:paraId="358951B2" w14:textId="77777777">
      <w:pPr>
        <w:pStyle w:val="BodyText"/>
        <w:spacing w:before="0"/>
        <w:ind w:right="312"/>
        <w:rPr>
          <w:rFonts w:ascii="Calibri" w:hAnsi="Calibri" w:cs="Calibri"/>
          <w:bCs/>
        </w:rPr>
      </w:pPr>
    </w:p>
    <w:p w:rsidR="0063343B" w:rsidP="008932F0" w14:paraId="124F2B5D" w14:textId="77777777">
      <w:pPr>
        <w:pStyle w:val="BodyText"/>
        <w:spacing w:before="0"/>
        <w:ind w:right="312"/>
        <w:rPr>
          <w:rFonts w:ascii="Calibri" w:hAnsi="Calibri" w:cs="Calibri"/>
          <w:bCs/>
        </w:rPr>
      </w:pPr>
      <w:r w:rsidRPr="00C7571E">
        <w:rPr>
          <w:rFonts w:ascii="Calibri" w:hAnsi="Calibri" w:cs="Calibri"/>
          <w:bCs/>
        </w:rPr>
        <w:t>Retail e-commerce sales are estimated from the same sample used to estimate preliminary and final U.S. retail sales.  For coverage of the universe of e-commerce retailers, research was conducted to ensure that retail firms selected in the MRTS sample engaged in e-commerce</w:t>
      </w:r>
      <w:r>
        <w:rPr>
          <w:rFonts w:ascii="Calibri" w:hAnsi="Calibri" w:cs="Calibri"/>
          <w:bCs/>
        </w:rPr>
        <w:t>.</w:t>
      </w:r>
    </w:p>
    <w:p w:rsidR="000F64D2" w:rsidP="000F64D2" w14:paraId="2B5CF74F" w14:textId="1CB20553">
      <w:pPr>
        <w:pStyle w:val="BodyText"/>
        <w:spacing w:before="0"/>
        <w:ind w:right="312"/>
        <w:rPr>
          <w:rFonts w:ascii="Calibri" w:hAnsi="Calibri" w:cs="Calibri"/>
          <w:bCs/>
        </w:rPr>
      </w:pPr>
      <w:r w:rsidRPr="008932F0">
        <w:rPr>
          <w:rFonts w:ascii="Calibri" w:hAnsi="Calibri" w:cs="Calibri"/>
          <w:bCs/>
        </w:rPr>
        <w:t>The U.S. Census Bureau conducts these voluntary surveys under the authority of Title 13,</w:t>
      </w:r>
      <w:r w:rsidRPr="008932F0" w:rsidR="0063343B">
        <w:rPr>
          <w:rFonts w:ascii="Calibri" w:hAnsi="Calibri" w:cs="Calibri"/>
          <w:bCs/>
        </w:rPr>
        <w:t xml:space="preserve"> </w:t>
      </w:r>
      <w:r w:rsidRPr="008932F0">
        <w:rPr>
          <w:rFonts w:ascii="Calibri" w:hAnsi="Calibri" w:cs="Calibri"/>
          <w:bCs/>
        </w:rPr>
        <w:t>Sections 131 and 182 of the United States Code.</w:t>
      </w:r>
    </w:p>
    <w:p w:rsidR="000F64D2" w:rsidRPr="008932F0" w:rsidP="008932F0" w14:paraId="12C67380" w14:textId="77777777">
      <w:pPr>
        <w:pStyle w:val="BodyText"/>
        <w:spacing w:before="0"/>
        <w:ind w:right="312"/>
        <w:rPr>
          <w:rFonts w:ascii="Calibri" w:hAnsi="Calibri" w:cs="Calibri"/>
          <w:b/>
        </w:rPr>
      </w:pPr>
    </w:p>
    <w:p w:rsidR="00201347" w:rsidP="008932F0" w14:paraId="100B7680" w14:textId="77777777">
      <w:pPr>
        <w:pStyle w:val="Heading1"/>
        <w:numPr>
          <w:ilvl w:val="0"/>
          <w:numId w:val="7"/>
        </w:numPr>
        <w:tabs>
          <w:tab w:val="left" w:pos="669"/>
        </w:tabs>
        <w:spacing w:before="0"/>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0F64D2" w:rsidRPr="00124446" w:rsidP="000F64D2" w14:paraId="3FE704DA" w14:textId="77777777">
      <w:pPr>
        <w:pStyle w:val="Heading1"/>
        <w:tabs>
          <w:tab w:val="left" w:pos="669"/>
        </w:tabs>
        <w:spacing w:before="0"/>
        <w:ind w:left="360"/>
        <w:rPr>
          <w:rFonts w:ascii="Calibri" w:hAnsi="Calibri" w:cs="Calibri"/>
        </w:rPr>
      </w:pPr>
    </w:p>
    <w:p w:rsidR="00556395" w:rsidP="008932F0" w14:paraId="6E8F0D09" w14:textId="409FDAB1">
      <w:pPr>
        <w:pStyle w:val="BodyText"/>
        <w:spacing w:before="0"/>
        <w:ind w:right="312"/>
        <w:rPr>
          <w:rFonts w:ascii="Calibri" w:hAnsi="Calibri" w:cs="Calibri"/>
          <w:bCs/>
        </w:rPr>
      </w:pPr>
      <w:r w:rsidRPr="00556395">
        <w:rPr>
          <w:rFonts w:ascii="Calibri" w:hAnsi="Calibri" w:cs="Calibri"/>
          <w:bCs/>
        </w:rPr>
        <w:t>Sales data for select industries are released in the press release “Advance Monthly Sales for Retail Trade and Food Services,” approximately 15 days after the close of the reference month, which also includes more detailed estimates for the prior month.  Advance inventory estimates for 3 aggregate levels are released in the “Advance Economic Indicator Report” approximately 27 days after the close of the reference month and the preliminary estimates for inventories data are released in the “Manufacturing and Trade Inventories and Sales” approximately 40 days after the reference month. E-commerce sales estimates are released quarterly as part of the “Quarterly Retail Ecommerce Sales” report, approximately 50 days following the reference period.  Copies of the June 2025 releases mentioned above are included in Attachment 1.</w:t>
      </w:r>
    </w:p>
    <w:p w:rsidR="008932F0" w:rsidP="008932F0" w14:paraId="6E2D776F" w14:textId="77777777">
      <w:pPr>
        <w:pStyle w:val="BodyText"/>
        <w:spacing w:before="0"/>
        <w:ind w:right="312"/>
        <w:rPr>
          <w:rFonts w:ascii="Calibri" w:hAnsi="Calibri" w:cs="Calibri"/>
          <w:bCs/>
        </w:rPr>
      </w:pPr>
      <w:r w:rsidRPr="00556395">
        <w:rPr>
          <w:rFonts w:ascii="Calibri" w:hAnsi="Calibri" w:cs="Calibri"/>
          <w:bCs/>
        </w:rPr>
        <w:t xml:space="preserve">The MRTS and MARTS results are published on the Census Bureau’s website, </w:t>
      </w:r>
      <w:hyperlink r:id="rId8" w:history="1">
        <w:r w:rsidRPr="002479E2">
          <w:rPr>
            <w:rStyle w:val="Hyperlink"/>
            <w:rFonts w:ascii="Calibri" w:hAnsi="Calibri" w:cs="Calibri"/>
            <w:bCs/>
          </w:rPr>
          <w:t>http://www.census.gov/retail</w:t>
        </w:r>
      </w:hyperlink>
      <w:r>
        <w:rPr>
          <w:rFonts w:ascii="Calibri" w:hAnsi="Calibri" w:cs="Calibri"/>
          <w:bCs/>
        </w:rPr>
        <w:t xml:space="preserve"> </w:t>
      </w:r>
    </w:p>
    <w:p w:rsidR="00556395" w:rsidP="008932F0" w14:paraId="3CE76A1E" w14:textId="16B9BA51">
      <w:pPr>
        <w:pStyle w:val="BodyText"/>
        <w:spacing w:before="0"/>
        <w:ind w:right="312"/>
        <w:rPr>
          <w:rFonts w:ascii="Calibri" w:hAnsi="Calibri" w:cs="Calibri"/>
          <w:bCs/>
        </w:rPr>
      </w:pPr>
      <w:r w:rsidRPr="00556395">
        <w:rPr>
          <w:rFonts w:ascii="Calibri" w:hAnsi="Calibri" w:cs="Calibri"/>
          <w:bCs/>
        </w:rPr>
        <w:t xml:space="preserve"> </w:t>
      </w:r>
    </w:p>
    <w:p w:rsidR="000F64D2" w:rsidP="008932F0" w14:paraId="6580166E" w14:textId="77777777">
      <w:pPr>
        <w:pStyle w:val="BodyText"/>
        <w:spacing w:before="0"/>
        <w:ind w:left="403" w:right="317"/>
        <w:rPr>
          <w:rFonts w:ascii="Calibri" w:hAnsi="Calibri" w:cs="Calibri"/>
          <w:bCs/>
        </w:rPr>
      </w:pPr>
      <w:r w:rsidRPr="00556395">
        <w:rPr>
          <w:rFonts w:ascii="Calibri" w:hAnsi="Calibri" w:cs="Calibri"/>
          <w:bCs/>
        </w:rPr>
        <w:t>Below are the retail form numbers along with a description of each form</w:t>
      </w:r>
      <w:r>
        <w:rPr>
          <w:rFonts w:ascii="Calibri" w:hAnsi="Calibri" w:cs="Calibri"/>
          <w:bCs/>
        </w:rPr>
        <w:t>.</w:t>
      </w:r>
    </w:p>
    <w:p w:rsidR="00556395" w:rsidRPr="00556395" w:rsidP="008932F0" w14:paraId="14DEC6BC" w14:textId="3B84821B">
      <w:pPr>
        <w:pStyle w:val="BodyText"/>
        <w:spacing w:before="0"/>
        <w:ind w:left="403" w:right="317"/>
        <w:rPr>
          <w:rFonts w:ascii="Calibri" w:hAnsi="Calibri" w:cs="Calibri"/>
          <w:bCs/>
        </w:rPr>
      </w:pPr>
      <w:r w:rsidRPr="00556395">
        <w:rPr>
          <w:rFonts w:ascii="Calibri" w:hAnsi="Calibri" w:cs="Calibri"/>
          <w:bCs/>
        </w:rPr>
        <w:t xml:space="preserve">  </w:t>
      </w:r>
    </w:p>
    <w:tbl>
      <w:tblPr>
        <w:tblStyle w:val="TableGrid"/>
        <w:tblW w:w="0" w:type="auto"/>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6475"/>
      </w:tblGrid>
      <w:tr w14:paraId="16D6FA87" w14:textId="77777777" w:rsidTr="008932F0">
        <w:tblPrEx>
          <w:tblW w:w="0" w:type="auto"/>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92" w:type="dxa"/>
          </w:tcPr>
          <w:p w:rsidR="00350F54" w:rsidRPr="008932F0" w:rsidP="008932F0" w14:paraId="0D32BE4B" w14:textId="5170CA48">
            <w:pPr>
              <w:pStyle w:val="BodyText"/>
              <w:spacing w:before="0"/>
              <w:ind w:left="0" w:right="317"/>
              <w:rPr>
                <w:rFonts w:ascii="Calibri" w:hAnsi="Calibri" w:cs="Calibri"/>
                <w:b/>
              </w:rPr>
            </w:pPr>
            <w:r w:rsidRPr="00C7571E">
              <w:rPr>
                <w:rFonts w:ascii="Calibri" w:hAnsi="Calibri" w:cs="Calibri"/>
                <w:b/>
              </w:rPr>
              <w:t>MRTS Forms</w:t>
            </w:r>
          </w:p>
        </w:tc>
        <w:tc>
          <w:tcPr>
            <w:tcW w:w="6475" w:type="dxa"/>
          </w:tcPr>
          <w:p w:rsidR="00350F54" w:rsidRPr="008932F0" w:rsidP="008932F0" w14:paraId="6EBAFF09" w14:textId="389E5A3E">
            <w:pPr>
              <w:pStyle w:val="BodyText"/>
              <w:spacing w:before="0"/>
              <w:ind w:left="0" w:right="317"/>
              <w:jc w:val="right"/>
              <w:rPr>
                <w:rFonts w:ascii="Calibri" w:hAnsi="Calibri" w:cs="Calibri"/>
                <w:b/>
              </w:rPr>
            </w:pPr>
          </w:p>
        </w:tc>
      </w:tr>
      <w:tr w14:paraId="6510E1EB" w14:textId="77777777" w:rsidTr="008932F0">
        <w:tblPrEx>
          <w:tblW w:w="0" w:type="auto"/>
          <w:tblInd w:w="403" w:type="dxa"/>
          <w:tblLook w:val="04A0"/>
        </w:tblPrEx>
        <w:tc>
          <w:tcPr>
            <w:tcW w:w="3192" w:type="dxa"/>
          </w:tcPr>
          <w:p w:rsidR="00350F54" w:rsidRPr="00350F54" w:rsidP="008932F0" w14:paraId="6D78AED0" w14:textId="1957CA6B">
            <w:pPr>
              <w:pStyle w:val="BodyText"/>
              <w:spacing w:before="0"/>
              <w:ind w:left="0" w:right="317"/>
              <w:rPr>
                <w:rFonts w:ascii="Calibri" w:hAnsi="Calibri" w:cs="Calibri"/>
                <w:b/>
              </w:rPr>
            </w:pPr>
            <w:r w:rsidRPr="00C7571E">
              <w:rPr>
                <w:rFonts w:ascii="Calibri" w:hAnsi="Calibri" w:cs="Calibri"/>
                <w:b/>
              </w:rPr>
              <w:t>Series</w:t>
            </w:r>
          </w:p>
        </w:tc>
        <w:tc>
          <w:tcPr>
            <w:tcW w:w="6475" w:type="dxa"/>
          </w:tcPr>
          <w:p w:rsidR="00350F54" w:rsidRPr="00350F54" w:rsidP="008932F0" w14:paraId="49D75627" w14:textId="57FD1CB3">
            <w:pPr>
              <w:pStyle w:val="BodyText"/>
              <w:spacing w:before="0"/>
              <w:ind w:left="0" w:right="317"/>
              <w:jc w:val="right"/>
              <w:rPr>
                <w:rFonts w:ascii="Calibri" w:hAnsi="Calibri" w:cs="Calibri"/>
                <w:b/>
              </w:rPr>
            </w:pPr>
            <w:r w:rsidRPr="00C7571E">
              <w:rPr>
                <w:rFonts w:ascii="Calibri" w:hAnsi="Calibri" w:cs="Calibri"/>
                <w:b/>
              </w:rPr>
              <w:t>Description</w:t>
            </w:r>
          </w:p>
        </w:tc>
      </w:tr>
      <w:tr w14:paraId="19DFF696" w14:textId="77777777" w:rsidTr="008932F0">
        <w:tblPrEx>
          <w:tblW w:w="0" w:type="auto"/>
          <w:tblInd w:w="403" w:type="dxa"/>
          <w:tblLook w:val="04A0"/>
        </w:tblPrEx>
        <w:tc>
          <w:tcPr>
            <w:tcW w:w="3192" w:type="dxa"/>
          </w:tcPr>
          <w:p w:rsidR="00350F54" w:rsidP="008932F0" w14:paraId="5055C311" w14:textId="298CCD73">
            <w:pPr>
              <w:pStyle w:val="BodyText"/>
              <w:spacing w:before="0"/>
              <w:ind w:left="0" w:right="317"/>
              <w:rPr>
                <w:rFonts w:ascii="Calibri" w:hAnsi="Calibri" w:cs="Calibri"/>
                <w:bCs/>
              </w:rPr>
            </w:pPr>
            <w:r w:rsidRPr="00556395">
              <w:rPr>
                <w:rFonts w:ascii="Calibri" w:hAnsi="Calibri" w:cs="Calibri"/>
                <w:bCs/>
              </w:rPr>
              <w:t xml:space="preserve">SM-4417S </w:t>
            </w:r>
          </w:p>
        </w:tc>
        <w:tc>
          <w:tcPr>
            <w:tcW w:w="6475" w:type="dxa"/>
          </w:tcPr>
          <w:p w:rsidR="00350F54" w:rsidP="008932F0" w14:paraId="05293B98" w14:textId="2494DD77">
            <w:pPr>
              <w:pStyle w:val="BodyText"/>
              <w:spacing w:before="0"/>
              <w:ind w:left="0" w:right="317"/>
              <w:jc w:val="right"/>
              <w:rPr>
                <w:rFonts w:ascii="Calibri" w:hAnsi="Calibri" w:cs="Calibri"/>
                <w:bCs/>
              </w:rPr>
            </w:pPr>
            <w:r w:rsidRPr="00556395">
              <w:rPr>
                <w:rFonts w:ascii="Calibri" w:hAnsi="Calibri" w:cs="Calibri"/>
                <w:bCs/>
              </w:rPr>
              <w:t>Store/Sales Only/WO E-Commerce</w:t>
            </w:r>
          </w:p>
        </w:tc>
      </w:tr>
      <w:tr w14:paraId="64442FAC" w14:textId="77777777" w:rsidTr="008932F0">
        <w:tblPrEx>
          <w:tblW w:w="0" w:type="auto"/>
          <w:tblInd w:w="403" w:type="dxa"/>
          <w:tblLook w:val="04A0"/>
        </w:tblPrEx>
        <w:tc>
          <w:tcPr>
            <w:tcW w:w="3192" w:type="dxa"/>
          </w:tcPr>
          <w:p w:rsidR="00350F54" w:rsidRPr="00556395" w:rsidP="008932F0" w14:paraId="0E2B036D" w14:textId="6D225E23">
            <w:pPr>
              <w:pStyle w:val="BodyText"/>
              <w:spacing w:before="0"/>
              <w:ind w:left="0" w:right="317"/>
              <w:rPr>
                <w:rFonts w:ascii="Calibri" w:hAnsi="Calibri" w:cs="Calibri"/>
                <w:bCs/>
              </w:rPr>
            </w:pPr>
            <w:r w:rsidRPr="00556395">
              <w:rPr>
                <w:rFonts w:ascii="Calibri" w:hAnsi="Calibri" w:cs="Calibri"/>
                <w:bCs/>
              </w:rPr>
              <w:t xml:space="preserve">SM-4417SE </w:t>
            </w:r>
          </w:p>
        </w:tc>
        <w:tc>
          <w:tcPr>
            <w:tcW w:w="6475" w:type="dxa"/>
          </w:tcPr>
          <w:p w:rsidR="00350F54" w:rsidP="008932F0" w14:paraId="232F2FA9" w14:textId="5CD58A1B">
            <w:pPr>
              <w:pStyle w:val="BodyText"/>
              <w:spacing w:before="0"/>
              <w:ind w:left="0" w:right="317"/>
              <w:jc w:val="right"/>
              <w:rPr>
                <w:rFonts w:ascii="Calibri" w:hAnsi="Calibri" w:cs="Calibri"/>
                <w:bCs/>
              </w:rPr>
            </w:pPr>
            <w:r w:rsidRPr="00556395">
              <w:rPr>
                <w:rFonts w:ascii="Calibri" w:hAnsi="Calibri" w:cs="Calibri"/>
                <w:bCs/>
              </w:rPr>
              <w:t>Store/Sales Only W E-Commerce</w:t>
            </w:r>
          </w:p>
        </w:tc>
      </w:tr>
      <w:tr w14:paraId="2E457311" w14:textId="77777777" w:rsidTr="008932F0">
        <w:tblPrEx>
          <w:tblW w:w="0" w:type="auto"/>
          <w:tblInd w:w="403" w:type="dxa"/>
          <w:tblLook w:val="04A0"/>
        </w:tblPrEx>
        <w:tc>
          <w:tcPr>
            <w:tcW w:w="3192" w:type="dxa"/>
          </w:tcPr>
          <w:p w:rsidR="00350F54" w:rsidRPr="00556395" w:rsidP="008932F0" w14:paraId="228C06D9" w14:textId="66DBF0D2">
            <w:pPr>
              <w:pStyle w:val="BodyText"/>
              <w:spacing w:before="0"/>
              <w:ind w:left="0" w:right="317"/>
              <w:rPr>
                <w:rFonts w:ascii="Calibri" w:hAnsi="Calibri" w:cs="Calibri"/>
                <w:bCs/>
              </w:rPr>
            </w:pPr>
            <w:r w:rsidRPr="00556395">
              <w:rPr>
                <w:rFonts w:ascii="Calibri" w:hAnsi="Calibri" w:cs="Calibri"/>
                <w:bCs/>
              </w:rPr>
              <w:t xml:space="preserve">SM-4417SS </w:t>
            </w:r>
          </w:p>
        </w:tc>
        <w:tc>
          <w:tcPr>
            <w:tcW w:w="6475" w:type="dxa"/>
          </w:tcPr>
          <w:p w:rsidR="00350F54" w:rsidP="008932F0" w14:paraId="70EF7AC3" w14:textId="0BAB4453">
            <w:pPr>
              <w:pStyle w:val="BodyText"/>
              <w:spacing w:before="0"/>
              <w:ind w:left="0" w:right="317"/>
              <w:jc w:val="right"/>
              <w:rPr>
                <w:rFonts w:ascii="Calibri" w:hAnsi="Calibri" w:cs="Calibri"/>
                <w:bCs/>
              </w:rPr>
            </w:pPr>
            <w:r w:rsidRPr="00556395">
              <w:rPr>
                <w:rFonts w:ascii="Calibri" w:hAnsi="Calibri" w:cs="Calibri"/>
                <w:bCs/>
              </w:rPr>
              <w:t>Store/Sales Only/Screener</w:t>
            </w:r>
          </w:p>
        </w:tc>
      </w:tr>
      <w:tr w14:paraId="70E4F6E5" w14:textId="77777777" w:rsidTr="008932F0">
        <w:tblPrEx>
          <w:tblW w:w="0" w:type="auto"/>
          <w:tblInd w:w="403" w:type="dxa"/>
          <w:tblLook w:val="04A0"/>
        </w:tblPrEx>
        <w:tc>
          <w:tcPr>
            <w:tcW w:w="3192" w:type="dxa"/>
          </w:tcPr>
          <w:p w:rsidR="00350F54" w:rsidRPr="00556395" w:rsidP="008932F0" w14:paraId="53E32D40" w14:textId="0B6B9DC0">
            <w:pPr>
              <w:pStyle w:val="BodyText"/>
              <w:spacing w:before="0"/>
              <w:ind w:left="0" w:right="317"/>
              <w:rPr>
                <w:rFonts w:ascii="Calibri" w:hAnsi="Calibri" w:cs="Calibri"/>
                <w:bCs/>
              </w:rPr>
            </w:pPr>
            <w:r w:rsidRPr="00556395">
              <w:rPr>
                <w:rFonts w:ascii="Calibri" w:hAnsi="Calibri" w:cs="Calibri"/>
                <w:bCs/>
              </w:rPr>
              <w:t xml:space="preserve">SM-4417B </w:t>
            </w:r>
          </w:p>
        </w:tc>
        <w:tc>
          <w:tcPr>
            <w:tcW w:w="6475" w:type="dxa"/>
          </w:tcPr>
          <w:p w:rsidR="00350F54" w:rsidP="008932F0" w14:paraId="4D4BD2DB" w14:textId="6582BAA5">
            <w:pPr>
              <w:pStyle w:val="BodyText"/>
              <w:spacing w:before="0"/>
              <w:ind w:left="0" w:right="317"/>
              <w:jc w:val="right"/>
              <w:rPr>
                <w:rFonts w:ascii="Calibri" w:hAnsi="Calibri" w:cs="Calibri"/>
                <w:bCs/>
              </w:rPr>
            </w:pPr>
            <w:r w:rsidRPr="00556395">
              <w:rPr>
                <w:rFonts w:ascii="Calibri" w:hAnsi="Calibri" w:cs="Calibri"/>
                <w:bCs/>
              </w:rPr>
              <w:t>Store/Sales and Inventory/WO E-Commerce</w:t>
            </w:r>
          </w:p>
        </w:tc>
      </w:tr>
      <w:tr w14:paraId="5718AA5E" w14:textId="77777777" w:rsidTr="008932F0">
        <w:tblPrEx>
          <w:tblW w:w="0" w:type="auto"/>
          <w:tblInd w:w="403" w:type="dxa"/>
          <w:tblLook w:val="04A0"/>
        </w:tblPrEx>
        <w:tc>
          <w:tcPr>
            <w:tcW w:w="3192" w:type="dxa"/>
          </w:tcPr>
          <w:p w:rsidR="00350F54" w:rsidRPr="00556395" w:rsidP="008932F0" w14:paraId="13114D0E" w14:textId="20D23C6F">
            <w:pPr>
              <w:pStyle w:val="BodyText"/>
              <w:spacing w:before="0"/>
              <w:ind w:left="0" w:right="317"/>
              <w:rPr>
                <w:rFonts w:ascii="Calibri" w:hAnsi="Calibri" w:cs="Calibri"/>
                <w:bCs/>
              </w:rPr>
            </w:pPr>
            <w:r w:rsidRPr="00556395">
              <w:rPr>
                <w:rFonts w:ascii="Calibri" w:hAnsi="Calibri" w:cs="Calibri"/>
                <w:bCs/>
              </w:rPr>
              <w:t xml:space="preserve">SM-4417BE </w:t>
            </w:r>
          </w:p>
        </w:tc>
        <w:tc>
          <w:tcPr>
            <w:tcW w:w="6475" w:type="dxa"/>
          </w:tcPr>
          <w:p w:rsidR="00350F54" w:rsidP="008932F0" w14:paraId="19C5DF6A" w14:textId="38F1E6F2">
            <w:pPr>
              <w:pStyle w:val="BodyText"/>
              <w:spacing w:before="0"/>
              <w:ind w:left="0" w:right="317"/>
              <w:jc w:val="right"/>
              <w:rPr>
                <w:rFonts w:ascii="Calibri" w:hAnsi="Calibri" w:cs="Calibri"/>
                <w:bCs/>
              </w:rPr>
            </w:pPr>
            <w:r w:rsidRPr="00556395">
              <w:rPr>
                <w:rFonts w:ascii="Calibri" w:hAnsi="Calibri" w:cs="Calibri"/>
                <w:bCs/>
              </w:rPr>
              <w:t>Store/Sales and Inventory/ W E-Commerce</w:t>
            </w:r>
          </w:p>
        </w:tc>
      </w:tr>
      <w:tr w14:paraId="25DC32FE" w14:textId="77777777" w:rsidTr="008932F0">
        <w:tblPrEx>
          <w:tblW w:w="0" w:type="auto"/>
          <w:tblInd w:w="403" w:type="dxa"/>
          <w:tblLook w:val="04A0"/>
        </w:tblPrEx>
        <w:tc>
          <w:tcPr>
            <w:tcW w:w="3192" w:type="dxa"/>
          </w:tcPr>
          <w:p w:rsidR="00350F54" w:rsidRPr="00556395" w:rsidP="008932F0" w14:paraId="05064801" w14:textId="684E8091">
            <w:pPr>
              <w:pStyle w:val="BodyText"/>
              <w:spacing w:before="0"/>
              <w:ind w:left="0" w:right="317"/>
              <w:rPr>
                <w:rFonts w:ascii="Calibri" w:hAnsi="Calibri" w:cs="Calibri"/>
                <w:bCs/>
              </w:rPr>
            </w:pPr>
            <w:r w:rsidRPr="00556395">
              <w:rPr>
                <w:rFonts w:ascii="Calibri" w:hAnsi="Calibri" w:cs="Calibri"/>
                <w:bCs/>
              </w:rPr>
              <w:t xml:space="preserve">SM-4417BS </w:t>
            </w:r>
          </w:p>
        </w:tc>
        <w:tc>
          <w:tcPr>
            <w:tcW w:w="6475" w:type="dxa"/>
          </w:tcPr>
          <w:p w:rsidR="00350F54" w:rsidP="008932F0" w14:paraId="5D050D4D" w14:textId="4EA59024">
            <w:pPr>
              <w:pStyle w:val="BodyText"/>
              <w:spacing w:before="0"/>
              <w:ind w:left="0" w:right="317"/>
              <w:jc w:val="right"/>
              <w:rPr>
                <w:rFonts w:ascii="Calibri" w:hAnsi="Calibri" w:cs="Calibri"/>
                <w:bCs/>
              </w:rPr>
            </w:pPr>
            <w:r w:rsidRPr="00556395">
              <w:rPr>
                <w:rFonts w:ascii="Calibri" w:hAnsi="Calibri" w:cs="Calibri"/>
                <w:bCs/>
              </w:rPr>
              <w:t>Store/Sales and Inventory/Screener</w:t>
            </w:r>
          </w:p>
        </w:tc>
      </w:tr>
      <w:tr w14:paraId="51DF3470" w14:textId="77777777" w:rsidTr="008932F0">
        <w:tblPrEx>
          <w:tblW w:w="0" w:type="auto"/>
          <w:tblInd w:w="403" w:type="dxa"/>
          <w:tblLook w:val="04A0"/>
        </w:tblPrEx>
        <w:tc>
          <w:tcPr>
            <w:tcW w:w="3192" w:type="dxa"/>
          </w:tcPr>
          <w:p w:rsidR="00350F54" w:rsidRPr="00556395" w:rsidP="008932F0" w14:paraId="7A7743D4" w14:textId="597B93D0">
            <w:pPr>
              <w:pStyle w:val="BodyText"/>
              <w:spacing w:before="0"/>
              <w:ind w:left="0" w:right="317"/>
              <w:rPr>
                <w:rFonts w:ascii="Calibri" w:hAnsi="Calibri" w:cs="Calibri"/>
                <w:bCs/>
              </w:rPr>
            </w:pPr>
            <w:r w:rsidRPr="00556395">
              <w:rPr>
                <w:rFonts w:ascii="Calibri" w:hAnsi="Calibri" w:cs="Calibri"/>
                <w:bCs/>
              </w:rPr>
              <w:t xml:space="preserve">SM-7217S </w:t>
            </w:r>
          </w:p>
        </w:tc>
        <w:tc>
          <w:tcPr>
            <w:tcW w:w="6475" w:type="dxa"/>
          </w:tcPr>
          <w:p w:rsidR="00350F54" w:rsidP="008932F0" w14:paraId="4C722416" w14:textId="26C94204">
            <w:pPr>
              <w:pStyle w:val="BodyText"/>
              <w:spacing w:before="0"/>
              <w:ind w:left="0" w:right="317"/>
              <w:jc w:val="right"/>
              <w:rPr>
                <w:rFonts w:ascii="Calibri" w:hAnsi="Calibri" w:cs="Calibri"/>
                <w:bCs/>
              </w:rPr>
            </w:pPr>
            <w:r w:rsidRPr="00556395">
              <w:rPr>
                <w:rFonts w:ascii="Calibri" w:hAnsi="Calibri" w:cs="Calibri"/>
                <w:bCs/>
              </w:rPr>
              <w:t>Food Services/Sales Only/WO E-Commerce</w:t>
            </w:r>
          </w:p>
        </w:tc>
      </w:tr>
      <w:tr w14:paraId="39502F4F" w14:textId="77777777" w:rsidTr="008932F0">
        <w:tblPrEx>
          <w:tblW w:w="0" w:type="auto"/>
          <w:tblInd w:w="403" w:type="dxa"/>
          <w:tblLook w:val="04A0"/>
        </w:tblPrEx>
        <w:tc>
          <w:tcPr>
            <w:tcW w:w="3192" w:type="dxa"/>
          </w:tcPr>
          <w:p w:rsidR="00350F54" w:rsidRPr="00556395" w:rsidP="008932F0" w14:paraId="0ABB20DD" w14:textId="30BFAE71">
            <w:pPr>
              <w:pStyle w:val="BodyText"/>
              <w:spacing w:before="0"/>
              <w:ind w:left="0" w:right="317"/>
              <w:rPr>
                <w:rFonts w:ascii="Calibri" w:hAnsi="Calibri" w:cs="Calibri"/>
                <w:bCs/>
              </w:rPr>
            </w:pPr>
            <w:r w:rsidRPr="00556395">
              <w:rPr>
                <w:rFonts w:ascii="Calibri" w:hAnsi="Calibri" w:cs="Calibri"/>
                <w:bCs/>
              </w:rPr>
              <w:t xml:space="preserve">SM-2017I </w:t>
            </w:r>
          </w:p>
        </w:tc>
        <w:tc>
          <w:tcPr>
            <w:tcW w:w="6475" w:type="dxa"/>
          </w:tcPr>
          <w:p w:rsidR="00350F54" w:rsidP="008932F0" w14:paraId="47E863F9" w14:textId="78712409">
            <w:pPr>
              <w:pStyle w:val="BodyText"/>
              <w:spacing w:before="0"/>
              <w:ind w:left="0" w:right="317"/>
              <w:jc w:val="right"/>
              <w:rPr>
                <w:rFonts w:ascii="Calibri" w:hAnsi="Calibri" w:cs="Calibri"/>
                <w:bCs/>
              </w:rPr>
            </w:pPr>
            <w:r w:rsidRPr="00556395">
              <w:rPr>
                <w:rFonts w:ascii="Calibri" w:hAnsi="Calibri" w:cs="Calibri"/>
                <w:bCs/>
              </w:rPr>
              <w:t>Inventory Only</w:t>
            </w:r>
          </w:p>
        </w:tc>
      </w:tr>
    </w:tbl>
    <w:p w:rsidR="00556395" w:rsidRPr="00556395" w:rsidP="008932F0" w14:paraId="417AD8DD" w14:textId="77777777">
      <w:pPr>
        <w:pStyle w:val="BodyText"/>
        <w:spacing w:before="0"/>
        <w:ind w:left="403" w:right="317"/>
        <w:rPr>
          <w:rFonts w:ascii="Calibri" w:hAnsi="Calibri" w:cs="Calibri"/>
          <w:bCs/>
        </w:rPr>
      </w:pPr>
    </w:p>
    <w:tbl>
      <w:tblPr>
        <w:tblStyle w:val="TableGrid"/>
        <w:tblW w:w="0" w:type="auto"/>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6475"/>
      </w:tblGrid>
      <w:tr w14:paraId="38A95577" w14:textId="77777777" w:rsidTr="00350F54">
        <w:tblPrEx>
          <w:tblW w:w="0" w:type="auto"/>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92" w:type="dxa"/>
          </w:tcPr>
          <w:p w:rsidR="00350F54" w:rsidRPr="00C7571E" w:rsidP="008932F0" w14:paraId="3A0C3686" w14:textId="7458492A">
            <w:pPr>
              <w:pStyle w:val="BodyText"/>
              <w:spacing w:before="0"/>
              <w:ind w:left="0" w:right="317"/>
              <w:rPr>
                <w:rFonts w:ascii="Calibri" w:hAnsi="Calibri" w:cs="Calibri"/>
                <w:b/>
              </w:rPr>
            </w:pPr>
            <w:r w:rsidRPr="00C7571E">
              <w:rPr>
                <w:rFonts w:ascii="Calibri" w:hAnsi="Calibri" w:cs="Calibri"/>
                <w:b/>
              </w:rPr>
              <w:t>M</w:t>
            </w:r>
            <w:r>
              <w:rPr>
                <w:rFonts w:ascii="Calibri" w:hAnsi="Calibri" w:cs="Calibri"/>
                <w:b/>
              </w:rPr>
              <w:t>A</w:t>
            </w:r>
            <w:r w:rsidRPr="00C7571E">
              <w:rPr>
                <w:rFonts w:ascii="Calibri" w:hAnsi="Calibri" w:cs="Calibri"/>
                <w:b/>
              </w:rPr>
              <w:t>RTS Forms</w:t>
            </w:r>
          </w:p>
        </w:tc>
        <w:tc>
          <w:tcPr>
            <w:tcW w:w="6475" w:type="dxa"/>
          </w:tcPr>
          <w:p w:rsidR="00350F54" w:rsidRPr="00C7571E" w:rsidP="008932F0" w14:paraId="01947DC3" w14:textId="77777777">
            <w:pPr>
              <w:pStyle w:val="BodyText"/>
              <w:spacing w:before="0"/>
              <w:ind w:left="0" w:right="317"/>
              <w:jc w:val="right"/>
              <w:rPr>
                <w:rFonts w:ascii="Calibri" w:hAnsi="Calibri" w:cs="Calibri"/>
                <w:b/>
              </w:rPr>
            </w:pPr>
          </w:p>
        </w:tc>
      </w:tr>
      <w:tr w14:paraId="62369ACD" w14:textId="77777777" w:rsidTr="008932F0">
        <w:tblPrEx>
          <w:tblW w:w="0" w:type="auto"/>
          <w:tblInd w:w="403" w:type="dxa"/>
          <w:tblLook w:val="04A0"/>
        </w:tblPrEx>
        <w:tc>
          <w:tcPr>
            <w:tcW w:w="3192" w:type="dxa"/>
          </w:tcPr>
          <w:p w:rsidR="00350F54" w:rsidRPr="00350F54" w:rsidP="008932F0" w14:paraId="534095D7" w14:textId="77777777">
            <w:pPr>
              <w:pStyle w:val="BodyText"/>
              <w:spacing w:before="0"/>
              <w:ind w:left="0" w:right="317"/>
              <w:rPr>
                <w:rFonts w:ascii="Calibri" w:hAnsi="Calibri" w:cs="Calibri"/>
                <w:b/>
              </w:rPr>
            </w:pPr>
            <w:r w:rsidRPr="00C7571E">
              <w:rPr>
                <w:rFonts w:ascii="Calibri" w:hAnsi="Calibri" w:cs="Calibri"/>
                <w:b/>
              </w:rPr>
              <w:t>Series</w:t>
            </w:r>
          </w:p>
        </w:tc>
        <w:tc>
          <w:tcPr>
            <w:tcW w:w="6475" w:type="dxa"/>
          </w:tcPr>
          <w:p w:rsidR="00350F54" w:rsidRPr="00350F54" w:rsidP="008932F0" w14:paraId="6FC135B7" w14:textId="77777777">
            <w:pPr>
              <w:pStyle w:val="BodyText"/>
              <w:spacing w:before="0"/>
              <w:ind w:left="0" w:right="317"/>
              <w:jc w:val="right"/>
              <w:rPr>
                <w:rFonts w:ascii="Calibri" w:hAnsi="Calibri" w:cs="Calibri"/>
                <w:b/>
              </w:rPr>
            </w:pPr>
            <w:r w:rsidRPr="00C7571E">
              <w:rPr>
                <w:rFonts w:ascii="Calibri" w:hAnsi="Calibri" w:cs="Calibri"/>
                <w:b/>
              </w:rPr>
              <w:t>Description</w:t>
            </w:r>
          </w:p>
        </w:tc>
      </w:tr>
      <w:tr w14:paraId="0353CED1" w14:textId="77777777" w:rsidTr="00350F54">
        <w:tblPrEx>
          <w:tblW w:w="0" w:type="auto"/>
          <w:tblInd w:w="403" w:type="dxa"/>
          <w:tblLook w:val="04A0"/>
        </w:tblPrEx>
        <w:tc>
          <w:tcPr>
            <w:tcW w:w="3192" w:type="dxa"/>
          </w:tcPr>
          <w:p w:rsidR="00350F54" w:rsidP="008932F0" w14:paraId="63DD84E9" w14:textId="5D3859F9">
            <w:pPr>
              <w:pStyle w:val="BodyText"/>
              <w:spacing w:before="0"/>
              <w:ind w:left="0" w:right="317"/>
              <w:rPr>
                <w:rFonts w:ascii="Calibri" w:hAnsi="Calibri" w:cs="Calibri"/>
                <w:bCs/>
              </w:rPr>
            </w:pPr>
            <w:r w:rsidRPr="00556395">
              <w:rPr>
                <w:rFonts w:ascii="Calibri" w:hAnsi="Calibri" w:cs="Calibri"/>
                <w:bCs/>
              </w:rPr>
              <w:t xml:space="preserve">SM-4417A </w:t>
            </w:r>
          </w:p>
        </w:tc>
        <w:tc>
          <w:tcPr>
            <w:tcW w:w="6475" w:type="dxa"/>
          </w:tcPr>
          <w:p w:rsidR="00350F54" w:rsidP="008932F0" w14:paraId="4440C1B3" w14:textId="3EB47303">
            <w:pPr>
              <w:pStyle w:val="BodyText"/>
              <w:spacing w:before="0"/>
              <w:ind w:left="0" w:right="317"/>
              <w:jc w:val="right"/>
              <w:rPr>
                <w:rFonts w:ascii="Calibri" w:hAnsi="Calibri" w:cs="Calibri"/>
                <w:bCs/>
              </w:rPr>
            </w:pPr>
            <w:r w:rsidRPr="00556395">
              <w:rPr>
                <w:rFonts w:ascii="Calibri" w:hAnsi="Calibri" w:cs="Calibri"/>
                <w:bCs/>
              </w:rPr>
              <w:t>Store/Sales Only/WO E-Commerce</w:t>
            </w:r>
          </w:p>
        </w:tc>
      </w:tr>
      <w:tr w14:paraId="002C6153" w14:textId="77777777" w:rsidTr="00350F54">
        <w:tblPrEx>
          <w:tblW w:w="0" w:type="auto"/>
          <w:tblInd w:w="403" w:type="dxa"/>
          <w:tblLook w:val="04A0"/>
        </w:tblPrEx>
        <w:tc>
          <w:tcPr>
            <w:tcW w:w="3192" w:type="dxa"/>
          </w:tcPr>
          <w:p w:rsidR="00350F54" w:rsidRPr="00556395" w:rsidP="008932F0" w14:paraId="4131D2C9" w14:textId="064B2A7E">
            <w:pPr>
              <w:pStyle w:val="BodyText"/>
              <w:spacing w:before="0"/>
              <w:ind w:left="0" w:right="317"/>
              <w:rPr>
                <w:rFonts w:ascii="Calibri" w:hAnsi="Calibri" w:cs="Calibri"/>
                <w:bCs/>
              </w:rPr>
            </w:pPr>
            <w:r w:rsidRPr="00556395">
              <w:rPr>
                <w:rFonts w:ascii="Calibri" w:hAnsi="Calibri" w:cs="Calibri"/>
                <w:bCs/>
              </w:rPr>
              <w:t>SM-4417AE</w:t>
            </w:r>
          </w:p>
        </w:tc>
        <w:tc>
          <w:tcPr>
            <w:tcW w:w="6475" w:type="dxa"/>
          </w:tcPr>
          <w:p w:rsidR="00350F54" w:rsidP="008932F0" w14:paraId="2F703EF7" w14:textId="19A4FD77">
            <w:pPr>
              <w:pStyle w:val="BodyText"/>
              <w:spacing w:before="0"/>
              <w:ind w:left="0" w:right="317"/>
              <w:jc w:val="right"/>
              <w:rPr>
                <w:rFonts w:ascii="Calibri" w:hAnsi="Calibri" w:cs="Calibri"/>
                <w:bCs/>
              </w:rPr>
            </w:pPr>
            <w:r w:rsidRPr="00556395">
              <w:rPr>
                <w:rFonts w:ascii="Calibri" w:hAnsi="Calibri" w:cs="Calibri"/>
                <w:bCs/>
              </w:rPr>
              <w:t>Store/Sales Only W E-Commerce</w:t>
            </w:r>
          </w:p>
        </w:tc>
      </w:tr>
      <w:tr w14:paraId="0B39E5C2" w14:textId="77777777" w:rsidTr="00350F54">
        <w:tblPrEx>
          <w:tblW w:w="0" w:type="auto"/>
          <w:tblInd w:w="403" w:type="dxa"/>
          <w:tblLook w:val="04A0"/>
        </w:tblPrEx>
        <w:tc>
          <w:tcPr>
            <w:tcW w:w="3192" w:type="dxa"/>
          </w:tcPr>
          <w:p w:rsidR="00350F54" w:rsidRPr="00556395" w:rsidP="008932F0" w14:paraId="419E6D97" w14:textId="218A8D5E">
            <w:pPr>
              <w:pStyle w:val="BodyText"/>
              <w:spacing w:before="0"/>
              <w:ind w:left="0" w:right="317"/>
              <w:rPr>
                <w:rFonts w:ascii="Calibri" w:hAnsi="Calibri" w:cs="Calibri"/>
                <w:bCs/>
              </w:rPr>
            </w:pPr>
            <w:r w:rsidRPr="00556395">
              <w:rPr>
                <w:rFonts w:ascii="Calibri" w:hAnsi="Calibri" w:cs="Calibri"/>
                <w:bCs/>
              </w:rPr>
              <w:t xml:space="preserve">SM-4417AS </w:t>
            </w:r>
          </w:p>
        </w:tc>
        <w:tc>
          <w:tcPr>
            <w:tcW w:w="6475" w:type="dxa"/>
          </w:tcPr>
          <w:p w:rsidR="00350F54" w:rsidP="008932F0" w14:paraId="75DF1BC9" w14:textId="445BD2B0">
            <w:pPr>
              <w:pStyle w:val="BodyText"/>
              <w:spacing w:before="0"/>
              <w:ind w:left="0" w:right="317"/>
              <w:jc w:val="right"/>
              <w:rPr>
                <w:rFonts w:ascii="Calibri" w:hAnsi="Calibri" w:cs="Calibri"/>
                <w:bCs/>
              </w:rPr>
            </w:pPr>
            <w:r w:rsidRPr="00556395">
              <w:rPr>
                <w:rFonts w:ascii="Calibri" w:hAnsi="Calibri" w:cs="Calibri"/>
                <w:bCs/>
              </w:rPr>
              <w:t>Store/Sales Only/Screener</w:t>
            </w:r>
          </w:p>
        </w:tc>
      </w:tr>
      <w:tr w14:paraId="3D43D795" w14:textId="77777777" w:rsidTr="00350F54">
        <w:tblPrEx>
          <w:tblW w:w="0" w:type="auto"/>
          <w:tblInd w:w="403" w:type="dxa"/>
          <w:tblLook w:val="04A0"/>
        </w:tblPrEx>
        <w:tc>
          <w:tcPr>
            <w:tcW w:w="3192" w:type="dxa"/>
          </w:tcPr>
          <w:p w:rsidR="00350F54" w:rsidRPr="00556395" w:rsidP="008932F0" w14:paraId="47300124" w14:textId="6FD41A2D">
            <w:pPr>
              <w:pStyle w:val="BodyText"/>
              <w:spacing w:before="0"/>
              <w:ind w:left="0" w:right="317"/>
              <w:rPr>
                <w:rFonts w:ascii="Calibri" w:hAnsi="Calibri" w:cs="Calibri"/>
                <w:bCs/>
              </w:rPr>
            </w:pPr>
            <w:r w:rsidRPr="00556395">
              <w:rPr>
                <w:rFonts w:ascii="Calibri" w:hAnsi="Calibri" w:cs="Calibri"/>
                <w:bCs/>
              </w:rPr>
              <w:t xml:space="preserve">SM-7217A </w:t>
            </w:r>
          </w:p>
        </w:tc>
        <w:tc>
          <w:tcPr>
            <w:tcW w:w="6475" w:type="dxa"/>
          </w:tcPr>
          <w:p w:rsidR="00350F54" w:rsidP="008932F0" w14:paraId="17A8AEBA" w14:textId="5DE51F91">
            <w:pPr>
              <w:pStyle w:val="BodyText"/>
              <w:spacing w:before="0"/>
              <w:ind w:left="403" w:right="317"/>
              <w:jc w:val="right"/>
              <w:rPr>
                <w:rFonts w:ascii="Calibri" w:hAnsi="Calibri" w:cs="Calibri"/>
                <w:bCs/>
              </w:rPr>
            </w:pPr>
            <w:r w:rsidRPr="00556395">
              <w:rPr>
                <w:rFonts w:ascii="Calibri" w:hAnsi="Calibri" w:cs="Calibri"/>
                <w:bCs/>
              </w:rPr>
              <w:t>Food Services/Sales Only/ WO E-Commerc</w:t>
            </w:r>
            <w:r>
              <w:rPr>
                <w:rFonts w:ascii="Calibri" w:hAnsi="Calibri" w:cs="Calibri"/>
                <w:bCs/>
              </w:rPr>
              <w:t>e</w:t>
            </w:r>
          </w:p>
        </w:tc>
      </w:tr>
    </w:tbl>
    <w:p w:rsidR="00556395" w:rsidRPr="00556395" w:rsidP="008932F0" w14:paraId="3915F9AB" w14:textId="77777777">
      <w:pPr>
        <w:pStyle w:val="BodyText"/>
        <w:spacing w:before="0"/>
        <w:ind w:left="403" w:right="317"/>
        <w:rPr>
          <w:rFonts w:ascii="Calibri" w:hAnsi="Calibri" w:cs="Calibri"/>
          <w:bCs/>
        </w:rPr>
      </w:pPr>
    </w:p>
    <w:p w:rsidR="00556395" w:rsidP="008932F0" w14:paraId="3C356186" w14:textId="4E2E8DE5">
      <w:pPr>
        <w:pStyle w:val="BodyText"/>
        <w:spacing w:before="0"/>
        <w:ind w:right="312"/>
        <w:rPr>
          <w:rFonts w:ascii="Calibri" w:hAnsi="Calibri" w:cs="Calibri"/>
          <w:bCs/>
        </w:rPr>
      </w:pPr>
      <w:r w:rsidRPr="00556395">
        <w:rPr>
          <w:rFonts w:ascii="Calibri" w:hAnsi="Calibri" w:cs="Calibri"/>
          <w:bCs/>
        </w:rPr>
        <w:t xml:space="preserve">Each MRS form has two </w:t>
      </w:r>
      <w:r w:rsidRPr="00556395">
        <w:rPr>
          <w:rFonts w:ascii="Calibri" w:hAnsi="Calibri" w:cs="Calibri"/>
          <w:bCs/>
        </w:rPr>
        <w:t>versions;</w:t>
      </w:r>
      <w:r w:rsidRPr="00556395">
        <w:rPr>
          <w:rFonts w:ascii="Calibri" w:hAnsi="Calibri" w:cs="Calibri"/>
          <w:bCs/>
        </w:rPr>
        <w:t xml:space="preserve"> one with an “E” suffix and one with an “A” Suffix. The forms are identical, except that those with the “E” suffix are sent to smaller firms (which we refer to internally as “EINs”), while those with the “A” suffix are sent to larger firms, which we refer to internally as “alphas”. Thus, there are a total of 24 variants of forms that can be found at </w:t>
      </w:r>
      <w:hyperlink r:id="rId9" w:history="1">
        <w:r w:rsidRPr="002479E2" w:rsidR="0063343B">
          <w:rPr>
            <w:rStyle w:val="Hyperlink"/>
            <w:rFonts w:ascii="Calibri" w:hAnsi="Calibri" w:cs="Calibri"/>
            <w:bCs/>
          </w:rPr>
          <w:t>https://www.census.gov/retail/get_forms.html</w:t>
        </w:r>
      </w:hyperlink>
      <w:r w:rsidR="006D4C87">
        <w:t xml:space="preserve">. </w:t>
      </w:r>
      <w:r w:rsidRPr="006D4C87" w:rsidR="006D4C87">
        <w:rPr>
          <w:rFonts w:ascii="Calibri" w:hAnsi="Calibri" w:cs="Calibri"/>
          <w:bCs/>
        </w:rPr>
        <w:t xml:space="preserve">Although we have stopped mailing forms, Centurion offers respondents the capability to download the appropriate fillable form. </w:t>
      </w:r>
    </w:p>
    <w:p w:rsidR="000F64D2" w:rsidP="008932F0" w14:paraId="7DD013A8" w14:textId="77777777">
      <w:pPr>
        <w:pStyle w:val="BodyText"/>
        <w:spacing w:before="0"/>
        <w:ind w:right="312"/>
        <w:rPr>
          <w:rFonts w:ascii="Calibri" w:hAnsi="Calibri" w:cs="Calibri"/>
          <w:bCs/>
        </w:rPr>
      </w:pPr>
    </w:p>
    <w:p w:rsidR="0063343B" w:rsidP="008932F0" w14:paraId="2126F82B" w14:textId="22011F1E">
      <w:pPr>
        <w:pStyle w:val="BodyText"/>
        <w:spacing w:before="0"/>
        <w:ind w:right="312"/>
        <w:rPr>
          <w:rFonts w:ascii="Calibri" w:hAnsi="Calibri" w:cs="Calibri"/>
          <w:bCs/>
        </w:rPr>
      </w:pPr>
      <w:r w:rsidRPr="0063343B">
        <w:rPr>
          <w:rFonts w:ascii="Calibri" w:hAnsi="Calibri" w:cs="Calibri"/>
          <w:bCs/>
        </w:rPr>
        <w:t xml:space="preserve">The U.S. Census Bureau tabulates the collected data to provide, with measured reliability, statistics on United States retail sales.  These estimates are especially valued by data users because of their timeliness. </w:t>
      </w:r>
    </w:p>
    <w:p w:rsidR="000F64D2" w:rsidRPr="0063343B" w:rsidP="008932F0" w14:paraId="332834A7" w14:textId="77777777">
      <w:pPr>
        <w:pStyle w:val="BodyText"/>
        <w:spacing w:before="0"/>
        <w:ind w:right="312"/>
        <w:rPr>
          <w:rFonts w:ascii="Calibri" w:hAnsi="Calibri" w:cs="Calibri"/>
          <w:bCs/>
        </w:rPr>
      </w:pPr>
    </w:p>
    <w:p w:rsidR="0063343B" w:rsidP="008932F0" w14:paraId="1CF75C79" w14:textId="0C20989C">
      <w:pPr>
        <w:pStyle w:val="BodyText"/>
        <w:spacing w:before="0"/>
        <w:ind w:right="312"/>
        <w:rPr>
          <w:rFonts w:ascii="Calibri" w:hAnsi="Calibri" w:cs="Calibri"/>
          <w:bCs/>
        </w:rPr>
      </w:pPr>
      <w:r w:rsidRPr="0063343B">
        <w:rPr>
          <w:rFonts w:ascii="Calibri" w:hAnsi="Calibri" w:cs="Calibri"/>
          <w:bCs/>
        </w:rPr>
        <w:t xml:space="preserve">The sales estimates are used by the BEA, Council of Economic Advisers (CEA), Federal Reserve Board (FRB), Bureau of Labor Statistics (BLS), and other government agencies, as well as business users in formulating economic decisions.  </w:t>
      </w:r>
    </w:p>
    <w:p w:rsidR="000F64D2" w:rsidRPr="0063343B" w:rsidP="008932F0" w14:paraId="3A31B6C1" w14:textId="77777777">
      <w:pPr>
        <w:pStyle w:val="BodyText"/>
        <w:spacing w:before="0"/>
        <w:ind w:right="312"/>
        <w:rPr>
          <w:rFonts w:ascii="Calibri" w:hAnsi="Calibri" w:cs="Calibri"/>
          <w:bCs/>
        </w:rPr>
      </w:pPr>
    </w:p>
    <w:p w:rsidR="0063343B" w:rsidP="008932F0" w14:paraId="0B7C40B4" w14:textId="7D1D2FFD">
      <w:pPr>
        <w:pStyle w:val="BodyText"/>
        <w:spacing w:before="0"/>
        <w:ind w:right="312"/>
        <w:rPr>
          <w:rFonts w:ascii="Calibri" w:hAnsi="Calibri" w:cs="Calibri"/>
          <w:bCs/>
        </w:rPr>
      </w:pPr>
      <w:r w:rsidRPr="0063343B">
        <w:rPr>
          <w:rFonts w:ascii="Calibri" w:hAnsi="Calibri" w:cs="Calibri"/>
          <w:bCs/>
        </w:rPr>
        <w:t xml:space="preserve">BEA is the primary Federal user of data collected in the Monthly Retail Surveys. BEA uses the information in its preparation of the National Income and Products Accounts (NIPA), and its benchmark and annual input-output tables.  Data on retail sales are used to prepare monthly estimates of the personal consumption expenditures (PCE) component of gross domestic product for all PCE goods categories, except tobacco, prescription drugs, motor vehicles, and gasoline and other motor fuel.  These estimates are also published each month in the Personal Income and Outlays press release. If the survey were not conducted, BEA would lack comprehensive data from the retail sector. This would adversely affect the reliability of the NIPA and GDP.  Production of the NIPA figures also require inventory figures </w:t>
      </w:r>
      <w:r w:rsidRPr="0063343B">
        <w:rPr>
          <w:rFonts w:ascii="Calibri" w:hAnsi="Calibri" w:cs="Calibri"/>
          <w:bCs/>
        </w:rPr>
        <w:t>in order to</w:t>
      </w:r>
      <w:r w:rsidRPr="0063343B">
        <w:rPr>
          <w:rFonts w:ascii="Calibri" w:hAnsi="Calibri" w:cs="Calibri"/>
          <w:bCs/>
        </w:rPr>
        <w:t xml:space="preserve"> publish the monthly inventory to sales ratios. Additionally, they use MRS inventory figures to measure changes in inventories for estimates of gross output in the annual Input-Output Accounts tables, as well as for computing annual and quarterly GDP-by-industry statistics.</w:t>
      </w:r>
    </w:p>
    <w:p w:rsidR="000F64D2" w:rsidRPr="0063343B" w:rsidP="008932F0" w14:paraId="5BD3AFDF" w14:textId="77777777">
      <w:pPr>
        <w:pStyle w:val="BodyText"/>
        <w:spacing w:before="0"/>
        <w:ind w:right="312"/>
        <w:rPr>
          <w:rFonts w:ascii="Calibri" w:hAnsi="Calibri" w:cs="Calibri"/>
          <w:bCs/>
        </w:rPr>
      </w:pPr>
    </w:p>
    <w:p w:rsidR="0063343B" w:rsidP="008932F0" w14:paraId="5E88B451" w14:textId="0F24CA9E">
      <w:pPr>
        <w:pStyle w:val="BodyText"/>
        <w:spacing w:before="0"/>
        <w:ind w:right="312"/>
        <w:rPr>
          <w:rFonts w:ascii="Calibri" w:hAnsi="Calibri" w:cs="Calibri"/>
          <w:bCs/>
        </w:rPr>
      </w:pPr>
      <w:r w:rsidRPr="0063343B">
        <w:rPr>
          <w:rFonts w:ascii="Calibri" w:hAnsi="Calibri" w:cs="Calibri"/>
          <w:bCs/>
        </w:rPr>
        <w:t xml:space="preserve">The BLS uses the data as input to their Producer Price Indexes and in developing productivity measurements. The data are also used for gauging current economic trends of the economy.  BLS uses the estimates to develop consumer price indexes used in inflation and cost of living calculations. </w:t>
      </w:r>
    </w:p>
    <w:p w:rsidR="000F64D2" w:rsidRPr="0063343B" w:rsidP="008932F0" w14:paraId="4C532E2B" w14:textId="77777777">
      <w:pPr>
        <w:pStyle w:val="BodyText"/>
        <w:spacing w:before="0"/>
        <w:ind w:right="312"/>
        <w:rPr>
          <w:rFonts w:ascii="Calibri" w:hAnsi="Calibri" w:cs="Calibri"/>
          <w:bCs/>
        </w:rPr>
      </w:pPr>
    </w:p>
    <w:p w:rsidR="0063343B" w:rsidRPr="0063343B" w:rsidP="008932F0" w14:paraId="1B53FAFB" w14:textId="6763F9AE">
      <w:pPr>
        <w:pStyle w:val="BodyText"/>
        <w:spacing w:before="0"/>
        <w:ind w:right="312"/>
        <w:rPr>
          <w:rFonts w:ascii="Calibri" w:hAnsi="Calibri" w:cs="Calibri"/>
          <w:bCs/>
        </w:rPr>
      </w:pPr>
      <w:r w:rsidRPr="0063343B">
        <w:rPr>
          <w:rFonts w:ascii="Calibri" w:hAnsi="Calibri" w:cs="Calibri"/>
          <w:bCs/>
        </w:rPr>
        <w:t xml:space="preserve">CEA, other government agencies, and businesses use the survey results to formulate and make decisions.  CEA reports the retail data, one of the principal federal economic indicators, to the President each month for awareness on the current picture on the “state of the economy”.  In addition, CEA’s Macroeconomic Forecaster uses the retail sales data, one of the key monthly data releases each month, to keep track of real economic growth in the current quarter.  </w:t>
      </w:r>
    </w:p>
    <w:p w:rsidR="0063343B" w:rsidP="008932F0" w14:paraId="70BCE8D2" w14:textId="087CAD85">
      <w:pPr>
        <w:pStyle w:val="BodyText"/>
        <w:spacing w:before="0"/>
        <w:ind w:right="312"/>
        <w:rPr>
          <w:rFonts w:ascii="Calibri" w:hAnsi="Calibri" w:cs="Calibri"/>
          <w:bCs/>
        </w:rPr>
      </w:pPr>
      <w:r w:rsidRPr="0063343B">
        <w:rPr>
          <w:rFonts w:ascii="Calibri" w:hAnsi="Calibri" w:cs="Calibri"/>
          <w:bCs/>
        </w:rPr>
        <w:t xml:space="preserve">Policymakers such as the FRB need to have the timeliest estimates </w:t>
      </w:r>
      <w:r w:rsidRPr="0063343B">
        <w:rPr>
          <w:rFonts w:ascii="Calibri" w:hAnsi="Calibri" w:cs="Calibri"/>
          <w:bCs/>
        </w:rPr>
        <w:t>in order to</w:t>
      </w:r>
      <w:r w:rsidRPr="0063343B">
        <w:rPr>
          <w:rFonts w:ascii="Calibri" w:hAnsi="Calibri" w:cs="Calibri"/>
          <w:bCs/>
        </w:rPr>
        <w:t xml:space="preserve"> anticipate economic trends and act accordingly.   </w:t>
      </w:r>
    </w:p>
    <w:p w:rsidR="000F64D2" w:rsidRPr="0063343B" w:rsidP="008932F0" w14:paraId="76234210" w14:textId="77777777">
      <w:pPr>
        <w:pStyle w:val="BodyText"/>
        <w:spacing w:before="0"/>
        <w:ind w:right="312"/>
        <w:rPr>
          <w:rFonts w:ascii="Calibri" w:hAnsi="Calibri" w:cs="Calibri"/>
          <w:bCs/>
        </w:rPr>
      </w:pPr>
    </w:p>
    <w:p w:rsidR="0063343B" w:rsidP="008932F0" w14:paraId="24E89398" w14:textId="50E7A4C6">
      <w:pPr>
        <w:pStyle w:val="BodyText"/>
        <w:spacing w:before="0"/>
        <w:ind w:right="312"/>
        <w:rPr>
          <w:rFonts w:ascii="Calibri" w:hAnsi="Calibri" w:cs="Calibri"/>
          <w:bCs/>
        </w:rPr>
      </w:pPr>
      <w:r w:rsidRPr="0063343B">
        <w:rPr>
          <w:rFonts w:ascii="Calibri" w:hAnsi="Calibri" w:cs="Calibri"/>
          <w:bCs/>
        </w:rPr>
        <w:t xml:space="preserve">Private businesses use the retail sales and inventories data to compute business activity indexes. The private sector also uses retail sales as a reliable indicator of consumer activity. In addition, businesses use </w:t>
      </w:r>
      <w:r w:rsidRPr="0063343B">
        <w:rPr>
          <w:rFonts w:ascii="Calibri" w:hAnsi="Calibri" w:cs="Calibri"/>
          <w:bCs/>
        </w:rPr>
        <w:t>the estimates</w:t>
      </w:r>
      <w:r w:rsidRPr="0063343B">
        <w:rPr>
          <w:rFonts w:ascii="Calibri" w:hAnsi="Calibri" w:cs="Calibri"/>
          <w:bCs/>
        </w:rPr>
        <w:t xml:space="preserve"> to measure how they are performing and predict future demand for their products.   </w:t>
      </w:r>
    </w:p>
    <w:p w:rsidR="000F64D2" w:rsidRPr="0063343B" w:rsidP="008932F0" w14:paraId="3EBF7BF5" w14:textId="77777777">
      <w:pPr>
        <w:pStyle w:val="BodyText"/>
        <w:spacing w:before="0"/>
        <w:ind w:right="312"/>
        <w:rPr>
          <w:rFonts w:ascii="Calibri" w:hAnsi="Calibri" w:cs="Calibri"/>
          <w:bCs/>
        </w:rPr>
      </w:pPr>
    </w:p>
    <w:p w:rsidR="00B82768" w:rsidP="008932F0" w14:paraId="0D0B940D" w14:textId="53395C7F">
      <w:pPr>
        <w:pStyle w:val="BodyText"/>
        <w:spacing w:before="0"/>
        <w:ind w:right="312"/>
        <w:rPr>
          <w:rFonts w:ascii="Calibri" w:hAnsi="Calibri" w:cs="Calibri"/>
          <w:bCs/>
        </w:rPr>
      </w:pPr>
      <w:r w:rsidRPr="0063343B">
        <w:rPr>
          <w:rFonts w:ascii="Calibri" w:hAnsi="Calibri" w:cs="Calibri"/>
          <w:bCs/>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0F64D2" w:rsidRPr="008932F0" w:rsidP="008932F0" w14:paraId="3FE8A54E" w14:textId="77777777">
      <w:pPr>
        <w:pStyle w:val="BodyText"/>
        <w:spacing w:before="0"/>
        <w:ind w:right="312"/>
        <w:rPr>
          <w:rFonts w:ascii="Calibri" w:hAnsi="Calibri" w:cs="Calibri"/>
          <w:bCs/>
        </w:rPr>
      </w:pPr>
    </w:p>
    <w:p w:rsidR="00201347" w:rsidP="008932F0" w14:paraId="0D6FD0C8" w14:textId="77777777">
      <w:pPr>
        <w:pStyle w:val="ListParagraph"/>
        <w:numPr>
          <w:ilvl w:val="0"/>
          <w:numId w:val="7"/>
        </w:numPr>
        <w:tabs>
          <w:tab w:val="left" w:pos="669"/>
        </w:tabs>
        <w:spacing w:before="0"/>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 permitting electronic submission of responses, and the basis for the decision </w:t>
      </w:r>
      <w:r w:rsidRPr="00124446">
        <w:rPr>
          <w:rFonts w:ascii="Calibri" w:hAnsi="Calibri" w:cs="Calibri"/>
          <w:b/>
          <w:sz w:val="24"/>
        </w:rPr>
        <w:t>for adopting</w:t>
      </w:r>
      <w:r w:rsidRPr="00124446">
        <w:rPr>
          <w:rFonts w:ascii="Calibri" w:hAnsi="Calibri" w:cs="Calibri"/>
          <w:b/>
          <w:sz w:val="24"/>
        </w:rPr>
        <w:t xml:space="preserve">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0F64D2" w:rsidRPr="00124446" w:rsidP="000F64D2" w14:paraId="1F0BC084" w14:textId="77777777">
      <w:pPr>
        <w:pStyle w:val="ListParagraph"/>
        <w:tabs>
          <w:tab w:val="left" w:pos="669"/>
        </w:tabs>
        <w:spacing w:before="0"/>
        <w:ind w:left="360" w:firstLine="0"/>
        <w:rPr>
          <w:rFonts w:ascii="Calibri" w:hAnsi="Calibri" w:cs="Calibri"/>
          <w:b/>
          <w:sz w:val="24"/>
        </w:rPr>
      </w:pPr>
    </w:p>
    <w:p w:rsidR="008A6B96" w:rsidP="008932F0" w14:paraId="00FDC692" w14:textId="7E8D7591">
      <w:pPr>
        <w:ind w:left="400"/>
        <w:rPr>
          <w:rFonts w:ascii="Calibri" w:hAnsi="Calibri" w:cs="Calibri"/>
          <w:bCs/>
          <w:sz w:val="24"/>
        </w:rPr>
      </w:pPr>
      <w:r w:rsidRPr="008932F0">
        <w:rPr>
          <w:rFonts w:ascii="Calibri" w:hAnsi="Calibri" w:cs="Calibri"/>
          <w:bCs/>
          <w:sz w:val="24"/>
        </w:rPr>
        <w:t xml:space="preserve">The Census Bureau offers and encourages electronic submission of responses via the Internet by using its Centurion instrument. Responding via the Internet provides companies with a convenient reporting method and reduces respondent burden. This method of data collection also reduces the amount of data that </w:t>
      </w:r>
      <w:r w:rsidRPr="008932F0">
        <w:rPr>
          <w:rFonts w:ascii="Calibri" w:hAnsi="Calibri" w:cs="Calibri"/>
          <w:bCs/>
          <w:sz w:val="24"/>
        </w:rPr>
        <w:t>has to</w:t>
      </w:r>
      <w:r w:rsidRPr="008932F0">
        <w:rPr>
          <w:rFonts w:ascii="Calibri" w:hAnsi="Calibri" w:cs="Calibri"/>
          <w:bCs/>
          <w:sz w:val="24"/>
        </w:rPr>
        <w:t xml:space="preserve"> be keyed; therefore, reducing data capture costs. No additional software is needed by the respondent. In addition, all data submitted through Centurion are encrypted. A letter is</w:t>
      </w:r>
      <w:r w:rsidR="00305BB7">
        <w:rPr>
          <w:rFonts w:ascii="Calibri" w:hAnsi="Calibri" w:cs="Calibri"/>
          <w:bCs/>
          <w:sz w:val="24"/>
        </w:rPr>
        <w:t xml:space="preserve"> </w:t>
      </w:r>
      <w:r w:rsidRPr="008932F0">
        <w:rPr>
          <w:rFonts w:ascii="Calibri" w:hAnsi="Calibri" w:cs="Calibri"/>
          <w:bCs/>
          <w:sz w:val="24"/>
        </w:rPr>
        <w:t>mail</w:t>
      </w:r>
      <w:r w:rsidR="00305BB7">
        <w:rPr>
          <w:rFonts w:ascii="Calibri" w:hAnsi="Calibri" w:cs="Calibri"/>
          <w:bCs/>
          <w:sz w:val="24"/>
        </w:rPr>
        <w:t>ed</w:t>
      </w:r>
      <w:r w:rsidRPr="008932F0">
        <w:rPr>
          <w:rFonts w:ascii="Calibri" w:hAnsi="Calibri" w:cs="Calibri"/>
          <w:bCs/>
          <w:sz w:val="24"/>
        </w:rPr>
        <w:t xml:space="preserve"> with instructions for reporting online (see Attachment </w:t>
      </w:r>
      <w:r w:rsidR="00305BB7">
        <w:rPr>
          <w:rFonts w:ascii="Calibri" w:hAnsi="Calibri" w:cs="Calibri"/>
          <w:bCs/>
          <w:sz w:val="24"/>
        </w:rPr>
        <w:t>4</w:t>
      </w:r>
      <w:r w:rsidRPr="008932F0">
        <w:rPr>
          <w:rFonts w:ascii="Calibri" w:hAnsi="Calibri" w:cs="Calibri"/>
          <w:bCs/>
          <w:sz w:val="24"/>
        </w:rPr>
        <w:t xml:space="preserve">). </w:t>
      </w:r>
    </w:p>
    <w:p w:rsidR="000F64D2" w:rsidRPr="008932F0" w:rsidP="008932F0" w14:paraId="19CEA6F7" w14:textId="77777777">
      <w:pPr>
        <w:ind w:left="400"/>
        <w:rPr>
          <w:rFonts w:ascii="Calibri" w:hAnsi="Calibri" w:cs="Calibri"/>
          <w:bCs/>
          <w:sz w:val="24"/>
        </w:rPr>
      </w:pPr>
    </w:p>
    <w:p w:rsidR="008A6B96" w:rsidP="008932F0" w14:paraId="72E92CB6" w14:textId="669FD15D">
      <w:pPr>
        <w:ind w:left="400"/>
        <w:rPr>
          <w:rFonts w:ascii="Calibri" w:hAnsi="Calibri" w:cs="Calibri"/>
          <w:bCs/>
          <w:sz w:val="24"/>
        </w:rPr>
      </w:pPr>
      <w:r w:rsidRPr="008932F0">
        <w:rPr>
          <w:rFonts w:ascii="Calibri" w:hAnsi="Calibri" w:cs="Calibri"/>
          <w:bCs/>
          <w:sz w:val="24"/>
        </w:rPr>
        <w:t>We continue to use other options such as telephone and email messaging to retrieve data from our respondents as well as other Census Bureau technologies, such as automated check-in to collect and process data. The National Processing Center (NPC) in Jeffersonville, Indiana, performs telephone follow-</w:t>
      </w:r>
      <w:r w:rsidRPr="008932F0">
        <w:rPr>
          <w:rFonts w:ascii="Calibri" w:hAnsi="Calibri" w:cs="Calibri"/>
          <w:bCs/>
          <w:sz w:val="24"/>
        </w:rPr>
        <w:t>up</w:t>
      </w:r>
      <w:r w:rsidRPr="008932F0">
        <w:rPr>
          <w:rFonts w:ascii="Calibri" w:hAnsi="Calibri" w:cs="Calibri"/>
          <w:bCs/>
          <w:sz w:val="24"/>
        </w:rPr>
        <w:t xml:space="preserve"> for all firms that have not responded by the due date, as well as those firms that have reported incomplete or questionable data.  NPC will call from the third working day to the eighth working day of each month for MARTS and will call during the latter 2 weeks of the month for MRTS. Similarly, an email reminder which includes instructions for online reporting is sent to those firms that have not responded by the due date.</w:t>
      </w:r>
    </w:p>
    <w:p w:rsidR="000F64D2" w:rsidRPr="008932F0" w:rsidP="008932F0" w14:paraId="0D7558E6" w14:textId="77777777">
      <w:pPr>
        <w:ind w:left="400"/>
        <w:rPr>
          <w:rFonts w:ascii="Calibri" w:hAnsi="Calibri" w:cs="Calibri"/>
          <w:bCs/>
          <w:sz w:val="24"/>
        </w:rPr>
      </w:pPr>
    </w:p>
    <w:p w:rsidR="008A6B96" w:rsidP="008932F0" w14:paraId="266A5D1B" w14:textId="1CA59A58">
      <w:pPr>
        <w:ind w:left="400"/>
        <w:rPr>
          <w:rFonts w:ascii="Calibri" w:hAnsi="Calibri" w:cs="Calibri"/>
          <w:bCs/>
          <w:sz w:val="24"/>
        </w:rPr>
      </w:pPr>
      <w:r w:rsidRPr="008932F0">
        <w:rPr>
          <w:rFonts w:ascii="Calibri" w:hAnsi="Calibri" w:cs="Calibri"/>
          <w:bCs/>
          <w:sz w:val="24"/>
        </w:rPr>
        <w:t xml:space="preserve">An automated system for check-in of returned questionnaires allows for timely identification of responses and removal from the delinquent workload.  The automated telephone follow-up </w:t>
      </w:r>
      <w:r w:rsidRPr="008932F0">
        <w:rPr>
          <w:rFonts w:ascii="Calibri" w:hAnsi="Calibri" w:cs="Calibri"/>
          <w:bCs/>
          <w:sz w:val="24"/>
        </w:rPr>
        <w:t>call</w:t>
      </w:r>
      <w:r w:rsidRPr="008932F0">
        <w:rPr>
          <w:rFonts w:ascii="Calibri" w:hAnsi="Calibri" w:cs="Calibri"/>
          <w:bCs/>
          <w:sz w:val="24"/>
        </w:rPr>
        <w:t xml:space="preserve"> </w:t>
      </w:r>
      <w:r w:rsidRPr="008932F0">
        <w:rPr>
          <w:rFonts w:ascii="Calibri" w:hAnsi="Calibri" w:cs="Calibri"/>
          <w:bCs/>
          <w:sz w:val="24"/>
        </w:rPr>
        <w:t xml:space="preserve">scheduling system ensures that firms are contacted when the data are likely to be available, based on </w:t>
      </w:r>
      <w:r w:rsidRPr="008932F0">
        <w:rPr>
          <w:rFonts w:ascii="Calibri" w:hAnsi="Calibri" w:cs="Calibri"/>
          <w:bCs/>
          <w:sz w:val="24"/>
        </w:rPr>
        <w:t>past experience</w:t>
      </w:r>
      <w:r w:rsidRPr="008932F0">
        <w:rPr>
          <w:rFonts w:ascii="Calibri" w:hAnsi="Calibri" w:cs="Calibri"/>
          <w:bCs/>
          <w:sz w:val="24"/>
        </w:rPr>
        <w:t xml:space="preserve"> with each firm. The </w:t>
      </w:r>
      <w:r w:rsidRPr="008932F0">
        <w:rPr>
          <w:rFonts w:ascii="Calibri" w:hAnsi="Calibri" w:cs="Calibri"/>
          <w:bCs/>
          <w:sz w:val="24"/>
        </w:rPr>
        <w:t>email follow-up</w:t>
      </w:r>
      <w:r w:rsidRPr="008932F0">
        <w:rPr>
          <w:rFonts w:ascii="Calibri" w:hAnsi="Calibri" w:cs="Calibri"/>
          <w:bCs/>
          <w:sz w:val="24"/>
        </w:rPr>
        <w:t xml:space="preserve"> encourages allows the firms to access the reminder during at their convenience and limits ignored calls. This process decreases the number of phone calls necessary to obtain data from respondents.  Those businesses that historically responded by mail would receive a paper form, but paper forms are no longer included in the mailings as of Fall 2025. Businesses that historically report online will be directed to the electronic instrument for their response. </w:t>
      </w:r>
    </w:p>
    <w:p w:rsidR="000F64D2" w:rsidRPr="008932F0" w:rsidP="008932F0" w14:paraId="59C33803" w14:textId="77777777">
      <w:pPr>
        <w:ind w:left="400"/>
        <w:rPr>
          <w:rFonts w:ascii="Calibri" w:hAnsi="Calibri" w:cs="Calibri"/>
          <w:bCs/>
          <w:sz w:val="24"/>
        </w:rPr>
      </w:pPr>
    </w:p>
    <w:p w:rsidR="008A6B96" w:rsidP="008932F0" w14:paraId="42703E75" w14:textId="0302F1CA">
      <w:pPr>
        <w:ind w:left="400"/>
        <w:rPr>
          <w:rFonts w:ascii="Calibri" w:hAnsi="Calibri" w:cs="Calibri"/>
          <w:bCs/>
          <w:sz w:val="24"/>
        </w:rPr>
      </w:pPr>
      <w:r w:rsidRPr="008932F0">
        <w:rPr>
          <w:rFonts w:ascii="Calibri" w:hAnsi="Calibri" w:cs="Calibri"/>
          <w:bCs/>
          <w:sz w:val="24"/>
        </w:rPr>
        <w:t>Below you will find a table indicating the percentage of response by each method:</w:t>
      </w:r>
    </w:p>
    <w:p w:rsidR="008932F0" w:rsidRPr="008932F0" w:rsidP="008932F0" w14:paraId="31E78555" w14:textId="77777777">
      <w:pPr>
        <w:ind w:left="403"/>
        <w:rPr>
          <w:rFonts w:ascii="Calibri" w:hAnsi="Calibri" w:cs="Calibri"/>
          <w:bCs/>
          <w:sz w:val="24"/>
        </w:rPr>
      </w:pPr>
    </w:p>
    <w:tbl>
      <w:tblPr>
        <w:tblW w:w="8400" w:type="dxa"/>
        <w:jc w:val="center"/>
        <w:tblLook w:val="04A0"/>
      </w:tblPr>
      <w:tblGrid>
        <w:gridCol w:w="1267"/>
        <w:gridCol w:w="1272"/>
        <w:gridCol w:w="1219"/>
        <w:gridCol w:w="1298"/>
        <w:gridCol w:w="2110"/>
        <w:gridCol w:w="1234"/>
      </w:tblGrid>
      <w:tr w14:paraId="00698F8E" w14:textId="77777777" w:rsidTr="008932F0">
        <w:tblPrEx>
          <w:tblW w:w="8400" w:type="dxa"/>
          <w:jc w:val="center"/>
          <w:tblLook w:val="04A0"/>
        </w:tblPrEx>
        <w:trPr>
          <w:trHeight w:val="315"/>
          <w:jc w:val="center"/>
        </w:trPr>
        <w:tc>
          <w:tcPr>
            <w:tcW w:w="1303"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rsidR="008A6B96" w:rsidRPr="006B29C9" w:rsidP="008932F0" w14:paraId="320F5271" w14:textId="77777777">
            <w:pPr>
              <w:jc w:val="center"/>
              <w:rPr>
                <w:rFonts w:ascii="Times New Roman" w:eastAsia="Times New Roman" w:hAnsi="Times New Roman" w:cs="Times New Roman"/>
                <w:b/>
                <w:bCs/>
                <w:color w:val="000000"/>
                <w:sz w:val="24"/>
                <w:szCs w:val="24"/>
              </w:rPr>
            </w:pPr>
            <w:r w:rsidRPr="006B29C9">
              <w:rPr>
                <w:rFonts w:ascii="Times New Roman" w:eastAsia="Times New Roman" w:hAnsi="Times New Roman" w:cs="Times New Roman"/>
                <w:b/>
                <w:bCs/>
                <w:color w:val="000000"/>
                <w:sz w:val="24"/>
                <w:szCs w:val="24"/>
              </w:rPr>
              <w:t>Month</w:t>
            </w:r>
          </w:p>
        </w:tc>
        <w:tc>
          <w:tcPr>
            <w:tcW w:w="1306"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rsidR="008A6B96" w:rsidRPr="006B29C9" w:rsidP="008932F0" w14:paraId="10DA7FF0" w14:textId="77777777">
            <w:pPr>
              <w:jc w:val="center"/>
              <w:rPr>
                <w:rFonts w:ascii="Times New Roman" w:eastAsia="Times New Roman" w:hAnsi="Times New Roman" w:cs="Times New Roman"/>
                <w:b/>
                <w:bCs/>
                <w:color w:val="000000"/>
                <w:sz w:val="24"/>
                <w:szCs w:val="24"/>
              </w:rPr>
            </w:pPr>
            <w:r w:rsidRPr="006B29C9">
              <w:rPr>
                <w:rFonts w:ascii="Times New Roman" w:eastAsia="Times New Roman" w:hAnsi="Times New Roman" w:cs="Times New Roman"/>
                <w:b/>
                <w:bCs/>
                <w:color w:val="000000"/>
                <w:sz w:val="24"/>
                <w:szCs w:val="24"/>
              </w:rPr>
              <w:t>Survey</w:t>
            </w:r>
          </w:p>
        </w:tc>
        <w:tc>
          <w:tcPr>
            <w:tcW w:w="5791" w:type="dxa"/>
            <w:gridSpan w:val="4"/>
            <w:tcBorders>
              <w:top w:val="single" w:sz="8" w:space="0" w:color="auto"/>
              <w:left w:val="nil"/>
              <w:bottom w:val="nil"/>
              <w:right w:val="single" w:sz="8" w:space="0" w:color="000000"/>
            </w:tcBorders>
            <w:shd w:val="clear" w:color="000000" w:fill="A6A6A6"/>
            <w:vAlign w:val="center"/>
            <w:hideMark/>
          </w:tcPr>
          <w:p w:rsidR="008A6B96" w:rsidRPr="006B29C9" w:rsidP="008932F0" w14:paraId="296AC739" w14:textId="77777777">
            <w:pPr>
              <w:jc w:val="center"/>
              <w:rPr>
                <w:rFonts w:ascii="Times New Roman" w:eastAsia="Times New Roman" w:hAnsi="Times New Roman" w:cs="Times New Roman"/>
                <w:b/>
                <w:bCs/>
                <w:color w:val="000000"/>
                <w:sz w:val="24"/>
                <w:szCs w:val="24"/>
              </w:rPr>
            </w:pPr>
            <w:r w:rsidRPr="006B29C9">
              <w:rPr>
                <w:rFonts w:ascii="Times New Roman" w:eastAsia="Times New Roman" w:hAnsi="Times New Roman" w:cs="Times New Roman"/>
                <w:b/>
                <w:bCs/>
                <w:color w:val="000000"/>
                <w:sz w:val="24"/>
                <w:szCs w:val="24"/>
              </w:rPr>
              <w:t>MRTS Check-In (%) by Type of Receipt</w:t>
            </w:r>
          </w:p>
        </w:tc>
      </w:tr>
      <w:tr w14:paraId="479EA0AE" w14:textId="77777777" w:rsidTr="008932F0">
        <w:tblPrEx>
          <w:tblW w:w="8400" w:type="dxa"/>
          <w:jc w:val="center"/>
          <w:tblLook w:val="04A0"/>
        </w:tblPrEx>
        <w:trPr>
          <w:trHeight w:val="300"/>
          <w:jc w:val="center"/>
        </w:trPr>
        <w:tc>
          <w:tcPr>
            <w:tcW w:w="1303" w:type="dxa"/>
            <w:vMerge/>
            <w:tcBorders>
              <w:top w:val="single" w:sz="8" w:space="0" w:color="auto"/>
              <w:left w:val="single" w:sz="8" w:space="0" w:color="auto"/>
              <w:bottom w:val="single" w:sz="8" w:space="0" w:color="000000"/>
              <w:right w:val="single" w:sz="8" w:space="0" w:color="auto"/>
            </w:tcBorders>
            <w:vAlign w:val="center"/>
            <w:hideMark/>
          </w:tcPr>
          <w:p w:rsidR="008A6B96" w:rsidRPr="006B29C9" w:rsidP="008932F0" w14:paraId="6CB4F6C0" w14:textId="77777777">
            <w:pPr>
              <w:rPr>
                <w:rFonts w:ascii="Times New Roman" w:eastAsia="Times New Roman" w:hAnsi="Times New Roman" w:cs="Times New Roman"/>
                <w:b/>
                <w:bCs/>
                <w:color w:val="000000"/>
                <w:sz w:val="24"/>
                <w:szCs w:val="24"/>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rsidR="008A6B96" w:rsidRPr="006B29C9" w:rsidP="008932F0" w14:paraId="756B1E7B" w14:textId="77777777">
            <w:pPr>
              <w:rPr>
                <w:rFonts w:ascii="Times New Roman" w:eastAsia="Times New Roman" w:hAnsi="Times New Roman" w:cs="Times New Roman"/>
                <w:b/>
                <w:bCs/>
                <w:color w:val="000000"/>
                <w:sz w:val="24"/>
                <w:szCs w:val="24"/>
              </w:rPr>
            </w:pPr>
          </w:p>
        </w:tc>
        <w:tc>
          <w:tcPr>
            <w:tcW w:w="5791" w:type="dxa"/>
            <w:gridSpan w:val="4"/>
            <w:tcBorders>
              <w:top w:val="nil"/>
              <w:left w:val="nil"/>
              <w:bottom w:val="single" w:sz="8" w:space="0" w:color="auto"/>
              <w:right w:val="single" w:sz="8" w:space="0" w:color="000000"/>
            </w:tcBorders>
            <w:shd w:val="clear" w:color="000000" w:fill="A6A6A6"/>
            <w:vAlign w:val="center"/>
            <w:hideMark/>
          </w:tcPr>
          <w:p w:rsidR="008A6B96" w:rsidRPr="006B29C9" w:rsidP="008932F0" w14:paraId="297D5124" w14:textId="77777777">
            <w:pPr>
              <w:jc w:val="center"/>
              <w:rPr>
                <w:rFonts w:ascii="Times New Roman" w:eastAsia="Times New Roman" w:hAnsi="Times New Roman" w:cs="Times New Roman"/>
                <w:b/>
                <w:bCs/>
                <w:color w:val="000000"/>
                <w:sz w:val="18"/>
                <w:szCs w:val="18"/>
              </w:rPr>
            </w:pPr>
            <w:r w:rsidRPr="006B29C9">
              <w:rPr>
                <w:rFonts w:ascii="Times New Roman" w:eastAsia="Times New Roman" w:hAnsi="Times New Roman" w:cs="Times New Roman"/>
                <w:b/>
                <w:bCs/>
                <w:color w:val="000000"/>
                <w:sz w:val="18"/>
                <w:szCs w:val="18"/>
              </w:rPr>
              <w:t>(details may not equal total due to rounding)</w:t>
            </w:r>
          </w:p>
        </w:tc>
      </w:tr>
      <w:tr w14:paraId="43318484" w14:textId="77777777" w:rsidTr="008932F0">
        <w:tblPrEx>
          <w:tblW w:w="8400" w:type="dxa"/>
          <w:jc w:val="center"/>
          <w:tblLook w:val="04A0"/>
        </w:tblPrEx>
        <w:trPr>
          <w:trHeight w:val="610"/>
          <w:jc w:val="center"/>
        </w:trPr>
        <w:tc>
          <w:tcPr>
            <w:tcW w:w="1303" w:type="dxa"/>
            <w:vMerge/>
            <w:tcBorders>
              <w:top w:val="single" w:sz="8" w:space="0" w:color="auto"/>
              <w:left w:val="single" w:sz="8" w:space="0" w:color="auto"/>
              <w:bottom w:val="single" w:sz="8" w:space="0" w:color="000000"/>
              <w:right w:val="single" w:sz="8" w:space="0" w:color="auto"/>
            </w:tcBorders>
            <w:vAlign w:val="center"/>
            <w:hideMark/>
          </w:tcPr>
          <w:p w:rsidR="008A6B96" w:rsidRPr="006B29C9" w:rsidP="008932F0" w14:paraId="2B86FB72" w14:textId="77777777">
            <w:pPr>
              <w:rPr>
                <w:rFonts w:ascii="Times New Roman" w:eastAsia="Times New Roman" w:hAnsi="Times New Roman" w:cs="Times New Roman"/>
                <w:b/>
                <w:bCs/>
                <w:color w:val="000000"/>
                <w:sz w:val="24"/>
                <w:szCs w:val="24"/>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rsidR="008A6B96" w:rsidRPr="006B29C9" w:rsidP="008932F0" w14:paraId="7468FBC8" w14:textId="77777777">
            <w:pPr>
              <w:rPr>
                <w:rFonts w:ascii="Times New Roman" w:eastAsia="Times New Roman" w:hAnsi="Times New Roman" w:cs="Times New Roman"/>
                <w:b/>
                <w:bCs/>
                <w:color w:val="000000"/>
                <w:sz w:val="24"/>
                <w:szCs w:val="24"/>
              </w:rPr>
            </w:pPr>
          </w:p>
        </w:tc>
        <w:tc>
          <w:tcPr>
            <w:tcW w:w="1272" w:type="dxa"/>
            <w:tcBorders>
              <w:top w:val="nil"/>
              <w:left w:val="nil"/>
              <w:bottom w:val="nil"/>
              <w:right w:val="single" w:sz="8" w:space="0" w:color="000000"/>
            </w:tcBorders>
            <w:shd w:val="clear" w:color="000000" w:fill="A6A6A6"/>
            <w:vAlign w:val="center"/>
            <w:hideMark/>
          </w:tcPr>
          <w:p w:rsidR="008A6B96" w:rsidRPr="006B29C9" w:rsidP="008932F0" w14:paraId="7A9030C6" w14:textId="77777777">
            <w:pPr>
              <w:jc w:val="center"/>
              <w:rPr>
                <w:rFonts w:ascii="Times New Roman" w:eastAsia="Times New Roman" w:hAnsi="Times New Roman" w:cs="Times New Roman"/>
                <w:b/>
                <w:bCs/>
                <w:color w:val="000000"/>
                <w:sz w:val="24"/>
                <w:szCs w:val="24"/>
              </w:rPr>
            </w:pPr>
            <w:r w:rsidRPr="006B29C9">
              <w:rPr>
                <w:rFonts w:ascii="Times New Roman" w:eastAsia="Times New Roman" w:hAnsi="Times New Roman" w:cs="Times New Roman"/>
                <w:b/>
                <w:bCs/>
                <w:color w:val="000000"/>
                <w:sz w:val="24"/>
                <w:szCs w:val="24"/>
              </w:rPr>
              <w:t>Mail</w:t>
            </w:r>
          </w:p>
        </w:tc>
        <w:tc>
          <w:tcPr>
            <w:tcW w:w="1323" w:type="dxa"/>
            <w:tcBorders>
              <w:top w:val="nil"/>
              <w:left w:val="nil"/>
              <w:bottom w:val="nil"/>
              <w:right w:val="single" w:sz="8" w:space="0" w:color="auto"/>
            </w:tcBorders>
            <w:shd w:val="clear" w:color="000000" w:fill="A6A6A6"/>
            <w:vAlign w:val="center"/>
            <w:hideMark/>
          </w:tcPr>
          <w:p w:rsidR="008A6B96" w:rsidRPr="006B29C9" w:rsidP="008932F0" w14:paraId="08AC055C" w14:textId="77777777">
            <w:pPr>
              <w:jc w:val="center"/>
              <w:rPr>
                <w:rFonts w:ascii="Times New Roman" w:eastAsia="Times New Roman" w:hAnsi="Times New Roman" w:cs="Times New Roman"/>
                <w:b/>
                <w:bCs/>
                <w:color w:val="000000"/>
                <w:sz w:val="24"/>
                <w:szCs w:val="24"/>
              </w:rPr>
            </w:pPr>
            <w:r w:rsidRPr="006B29C9">
              <w:rPr>
                <w:rFonts w:ascii="Times New Roman" w:eastAsia="Times New Roman" w:hAnsi="Times New Roman" w:cs="Times New Roman"/>
                <w:b/>
                <w:bCs/>
                <w:color w:val="000000"/>
                <w:sz w:val="24"/>
                <w:szCs w:val="24"/>
              </w:rPr>
              <w:t>Internet</w:t>
            </w:r>
          </w:p>
        </w:tc>
        <w:tc>
          <w:tcPr>
            <w:tcW w:w="1914" w:type="dxa"/>
            <w:tcBorders>
              <w:top w:val="nil"/>
              <w:left w:val="nil"/>
              <w:bottom w:val="nil"/>
              <w:right w:val="single" w:sz="8" w:space="0" w:color="auto"/>
            </w:tcBorders>
            <w:shd w:val="clear" w:color="000000" w:fill="A6A6A6"/>
            <w:vAlign w:val="center"/>
            <w:hideMark/>
          </w:tcPr>
          <w:p w:rsidR="008A6B96" w:rsidRPr="006B29C9" w:rsidP="008932F0" w14:paraId="4A563D6A" w14:textId="77777777">
            <w:pPr>
              <w:jc w:val="center"/>
              <w:rPr>
                <w:rFonts w:ascii="Times New Roman" w:eastAsia="Times New Roman" w:hAnsi="Times New Roman" w:cs="Times New Roman"/>
                <w:b/>
                <w:bCs/>
                <w:color w:val="000000"/>
                <w:sz w:val="24"/>
                <w:szCs w:val="24"/>
              </w:rPr>
            </w:pPr>
            <w:r w:rsidRPr="006B29C9">
              <w:rPr>
                <w:rFonts w:ascii="Times New Roman" w:eastAsia="Times New Roman" w:hAnsi="Times New Roman" w:cs="Times New Roman"/>
                <w:b/>
                <w:bCs/>
                <w:color w:val="000000"/>
                <w:sz w:val="24"/>
                <w:szCs w:val="24"/>
              </w:rPr>
              <w:t>Clerk/Fax/Analyst</w:t>
            </w:r>
          </w:p>
        </w:tc>
        <w:tc>
          <w:tcPr>
            <w:tcW w:w="1282" w:type="dxa"/>
            <w:tcBorders>
              <w:top w:val="nil"/>
              <w:left w:val="nil"/>
              <w:bottom w:val="nil"/>
              <w:right w:val="single" w:sz="8" w:space="0" w:color="000000"/>
            </w:tcBorders>
            <w:shd w:val="clear" w:color="000000" w:fill="A6A6A6"/>
            <w:vAlign w:val="center"/>
            <w:hideMark/>
          </w:tcPr>
          <w:p w:rsidR="008A6B96" w:rsidRPr="006B29C9" w:rsidP="008932F0" w14:paraId="697EDEAD" w14:textId="77777777">
            <w:pPr>
              <w:jc w:val="center"/>
              <w:rPr>
                <w:rFonts w:ascii="Times New Roman" w:eastAsia="Times New Roman" w:hAnsi="Times New Roman" w:cs="Times New Roman"/>
                <w:b/>
                <w:bCs/>
                <w:color w:val="000000"/>
                <w:sz w:val="24"/>
                <w:szCs w:val="24"/>
              </w:rPr>
            </w:pPr>
            <w:r w:rsidRPr="006B29C9">
              <w:rPr>
                <w:rFonts w:ascii="Times New Roman" w:eastAsia="Times New Roman" w:hAnsi="Times New Roman" w:cs="Times New Roman"/>
                <w:b/>
                <w:bCs/>
                <w:color w:val="000000"/>
                <w:sz w:val="24"/>
                <w:szCs w:val="24"/>
              </w:rPr>
              <w:t>Total %</w:t>
            </w:r>
          </w:p>
        </w:tc>
      </w:tr>
      <w:tr w14:paraId="63013563" w14:textId="77777777" w:rsidTr="008932F0">
        <w:tblPrEx>
          <w:tblW w:w="8400" w:type="dxa"/>
          <w:jc w:val="center"/>
          <w:tblLook w:val="04A0"/>
        </w:tblPrEx>
        <w:trPr>
          <w:trHeight w:val="290"/>
          <w:jc w:val="center"/>
        </w:trPr>
        <w:tc>
          <w:tcPr>
            <w:tcW w:w="1303" w:type="dxa"/>
            <w:tcBorders>
              <w:top w:val="nil"/>
              <w:left w:val="single" w:sz="8" w:space="0" w:color="auto"/>
              <w:bottom w:val="nil"/>
              <w:right w:val="nil"/>
            </w:tcBorders>
            <w:vAlign w:val="center"/>
            <w:hideMark/>
          </w:tcPr>
          <w:p w:rsidR="008A6B96" w:rsidRPr="006B29C9" w:rsidP="008932F0" w14:paraId="5DB5847B" w14:textId="77777777">
            <w:pPr>
              <w:jc w:val="center"/>
              <w:rPr>
                <w:rFonts w:ascii="Calibri" w:eastAsia="Times New Roman" w:hAnsi="Calibri" w:cs="Calibri"/>
                <w:color w:val="000000"/>
              </w:rPr>
            </w:pPr>
            <w:r w:rsidRPr="006B29C9">
              <w:rPr>
                <w:rFonts w:ascii="Calibri" w:eastAsia="Times New Roman" w:hAnsi="Calibri" w:cs="Calibri"/>
                <w:color w:val="000000"/>
              </w:rPr>
              <w:t>Jun-25</w:t>
            </w:r>
          </w:p>
        </w:tc>
        <w:tc>
          <w:tcPr>
            <w:tcW w:w="1306" w:type="dxa"/>
            <w:tcBorders>
              <w:top w:val="nil"/>
              <w:left w:val="single" w:sz="8" w:space="0" w:color="auto"/>
              <w:bottom w:val="nil"/>
              <w:right w:val="single" w:sz="8" w:space="0" w:color="auto"/>
            </w:tcBorders>
            <w:vAlign w:val="center"/>
            <w:hideMark/>
          </w:tcPr>
          <w:p w:rsidR="008A6B96" w:rsidRPr="006B29C9" w:rsidP="008932F0" w14:paraId="17A85C4C" w14:textId="77777777">
            <w:pPr>
              <w:jc w:val="center"/>
              <w:rPr>
                <w:rFonts w:ascii="Calibri" w:eastAsia="Times New Roman" w:hAnsi="Calibri" w:cs="Calibri"/>
                <w:color w:val="000000"/>
              </w:rPr>
            </w:pPr>
            <w:r w:rsidRPr="006B29C9">
              <w:rPr>
                <w:rFonts w:ascii="Calibri" w:eastAsia="Times New Roman" w:hAnsi="Calibri" w:cs="Calibri"/>
                <w:color w:val="000000"/>
              </w:rPr>
              <w:t>MRTS</w:t>
            </w:r>
          </w:p>
        </w:tc>
        <w:tc>
          <w:tcPr>
            <w:tcW w:w="1272" w:type="dxa"/>
            <w:tcBorders>
              <w:top w:val="single" w:sz="8" w:space="0" w:color="auto"/>
              <w:left w:val="nil"/>
              <w:bottom w:val="nil"/>
              <w:right w:val="nil"/>
            </w:tcBorders>
            <w:vAlign w:val="center"/>
            <w:hideMark/>
          </w:tcPr>
          <w:p w:rsidR="008A6B96" w:rsidRPr="006B29C9" w:rsidP="008932F0" w14:paraId="30E97B85" w14:textId="77777777">
            <w:pPr>
              <w:jc w:val="center"/>
              <w:rPr>
                <w:rFonts w:ascii="Calibri" w:eastAsia="Times New Roman" w:hAnsi="Calibri" w:cs="Calibri"/>
                <w:color w:val="000000"/>
              </w:rPr>
            </w:pPr>
            <w:r w:rsidRPr="006B29C9">
              <w:rPr>
                <w:rFonts w:ascii="Calibri" w:eastAsia="Times New Roman" w:hAnsi="Calibri" w:cs="Calibri"/>
                <w:color w:val="000000"/>
              </w:rPr>
              <w:t>3%</w:t>
            </w:r>
          </w:p>
        </w:tc>
        <w:tc>
          <w:tcPr>
            <w:tcW w:w="1323" w:type="dxa"/>
            <w:tcBorders>
              <w:top w:val="single" w:sz="8" w:space="0" w:color="auto"/>
              <w:left w:val="single" w:sz="8" w:space="0" w:color="auto"/>
              <w:bottom w:val="nil"/>
              <w:right w:val="single" w:sz="8" w:space="0" w:color="auto"/>
            </w:tcBorders>
            <w:vAlign w:val="center"/>
            <w:hideMark/>
          </w:tcPr>
          <w:p w:rsidR="008A6B96" w:rsidRPr="006B29C9" w:rsidP="008932F0" w14:paraId="083461BB" w14:textId="77777777">
            <w:pPr>
              <w:jc w:val="center"/>
              <w:rPr>
                <w:rFonts w:ascii="Calibri" w:eastAsia="Times New Roman" w:hAnsi="Calibri" w:cs="Calibri"/>
                <w:color w:val="000000"/>
              </w:rPr>
            </w:pPr>
            <w:r w:rsidRPr="006B29C9">
              <w:rPr>
                <w:rFonts w:ascii="Calibri" w:eastAsia="Times New Roman" w:hAnsi="Calibri" w:cs="Calibri"/>
                <w:color w:val="000000"/>
              </w:rPr>
              <w:t>88%</w:t>
            </w:r>
          </w:p>
        </w:tc>
        <w:tc>
          <w:tcPr>
            <w:tcW w:w="1914" w:type="dxa"/>
            <w:tcBorders>
              <w:top w:val="single" w:sz="8" w:space="0" w:color="auto"/>
              <w:left w:val="nil"/>
              <w:bottom w:val="nil"/>
              <w:right w:val="single" w:sz="8" w:space="0" w:color="auto"/>
            </w:tcBorders>
            <w:vAlign w:val="center"/>
            <w:hideMark/>
          </w:tcPr>
          <w:p w:rsidR="008A6B96" w:rsidRPr="006B29C9" w:rsidP="008932F0" w14:paraId="5C95F030" w14:textId="77777777">
            <w:pPr>
              <w:jc w:val="center"/>
              <w:rPr>
                <w:rFonts w:ascii="Calibri" w:eastAsia="Times New Roman" w:hAnsi="Calibri" w:cs="Calibri"/>
                <w:color w:val="000000"/>
              </w:rPr>
            </w:pPr>
            <w:r w:rsidRPr="006B29C9">
              <w:rPr>
                <w:rFonts w:ascii="Calibri" w:eastAsia="Times New Roman" w:hAnsi="Calibri" w:cs="Calibri"/>
                <w:color w:val="000000"/>
              </w:rPr>
              <w:t>9%</w:t>
            </w:r>
          </w:p>
        </w:tc>
        <w:tc>
          <w:tcPr>
            <w:tcW w:w="1282" w:type="dxa"/>
            <w:tcBorders>
              <w:top w:val="single" w:sz="8" w:space="0" w:color="auto"/>
              <w:left w:val="nil"/>
              <w:bottom w:val="nil"/>
              <w:right w:val="single" w:sz="8" w:space="0" w:color="auto"/>
            </w:tcBorders>
            <w:vAlign w:val="center"/>
            <w:hideMark/>
          </w:tcPr>
          <w:p w:rsidR="008A6B96" w:rsidRPr="006B29C9" w:rsidP="008932F0" w14:paraId="7F2C568C" w14:textId="77777777">
            <w:pPr>
              <w:jc w:val="center"/>
              <w:rPr>
                <w:rFonts w:ascii="Calibri" w:eastAsia="Times New Roman" w:hAnsi="Calibri" w:cs="Calibri"/>
                <w:color w:val="000000"/>
              </w:rPr>
            </w:pPr>
            <w:r w:rsidRPr="006B29C9">
              <w:rPr>
                <w:rFonts w:ascii="Calibri" w:eastAsia="Times New Roman" w:hAnsi="Calibri" w:cs="Calibri"/>
                <w:color w:val="000000"/>
              </w:rPr>
              <w:t>100%</w:t>
            </w:r>
          </w:p>
        </w:tc>
      </w:tr>
      <w:tr w14:paraId="09CF32F3" w14:textId="77777777" w:rsidTr="008932F0">
        <w:tblPrEx>
          <w:tblW w:w="8400" w:type="dxa"/>
          <w:jc w:val="center"/>
          <w:tblLook w:val="04A0"/>
        </w:tblPrEx>
        <w:trPr>
          <w:trHeight w:val="290"/>
          <w:jc w:val="center"/>
        </w:trPr>
        <w:tc>
          <w:tcPr>
            <w:tcW w:w="1303" w:type="dxa"/>
            <w:tcBorders>
              <w:top w:val="nil"/>
              <w:left w:val="single" w:sz="8" w:space="0" w:color="auto"/>
              <w:bottom w:val="nil"/>
              <w:right w:val="nil"/>
            </w:tcBorders>
            <w:vAlign w:val="center"/>
            <w:hideMark/>
          </w:tcPr>
          <w:p w:rsidR="008A6B96" w:rsidRPr="006B29C9" w:rsidP="008932F0" w14:paraId="406A12F9" w14:textId="77777777">
            <w:pPr>
              <w:jc w:val="center"/>
              <w:rPr>
                <w:rFonts w:ascii="Calibri" w:eastAsia="Times New Roman" w:hAnsi="Calibri" w:cs="Calibri"/>
                <w:color w:val="000000"/>
              </w:rPr>
            </w:pPr>
            <w:r w:rsidRPr="006B29C9">
              <w:rPr>
                <w:rFonts w:ascii="Calibri" w:eastAsia="Times New Roman" w:hAnsi="Calibri" w:cs="Calibri"/>
                <w:color w:val="000000"/>
              </w:rPr>
              <w:t>May-25</w:t>
            </w:r>
          </w:p>
        </w:tc>
        <w:tc>
          <w:tcPr>
            <w:tcW w:w="1306" w:type="dxa"/>
            <w:tcBorders>
              <w:top w:val="nil"/>
              <w:left w:val="single" w:sz="8" w:space="0" w:color="auto"/>
              <w:bottom w:val="nil"/>
              <w:right w:val="single" w:sz="8" w:space="0" w:color="auto"/>
            </w:tcBorders>
            <w:vAlign w:val="center"/>
            <w:hideMark/>
          </w:tcPr>
          <w:p w:rsidR="008A6B96" w:rsidRPr="006B29C9" w:rsidP="008932F0" w14:paraId="4066A589" w14:textId="77777777">
            <w:pPr>
              <w:jc w:val="center"/>
              <w:rPr>
                <w:rFonts w:ascii="Calibri" w:eastAsia="Times New Roman" w:hAnsi="Calibri" w:cs="Calibri"/>
                <w:color w:val="000000"/>
              </w:rPr>
            </w:pPr>
            <w:r w:rsidRPr="006B29C9">
              <w:rPr>
                <w:rFonts w:ascii="Calibri" w:eastAsia="Times New Roman" w:hAnsi="Calibri" w:cs="Calibri"/>
                <w:color w:val="000000"/>
              </w:rPr>
              <w:t>MRTS</w:t>
            </w:r>
          </w:p>
        </w:tc>
        <w:tc>
          <w:tcPr>
            <w:tcW w:w="1272" w:type="dxa"/>
            <w:tcBorders>
              <w:top w:val="nil"/>
              <w:left w:val="nil"/>
              <w:bottom w:val="nil"/>
              <w:right w:val="nil"/>
            </w:tcBorders>
            <w:vAlign w:val="center"/>
            <w:hideMark/>
          </w:tcPr>
          <w:p w:rsidR="008A6B96" w:rsidRPr="006B29C9" w:rsidP="008932F0" w14:paraId="3CE952C2" w14:textId="77777777">
            <w:pPr>
              <w:jc w:val="center"/>
              <w:rPr>
                <w:rFonts w:ascii="Calibri" w:eastAsia="Times New Roman" w:hAnsi="Calibri" w:cs="Calibri"/>
                <w:color w:val="000000"/>
              </w:rPr>
            </w:pPr>
            <w:r w:rsidRPr="006B29C9">
              <w:rPr>
                <w:rFonts w:ascii="Calibri" w:eastAsia="Times New Roman" w:hAnsi="Calibri" w:cs="Calibri"/>
                <w:color w:val="000000"/>
              </w:rPr>
              <w:t>3%</w:t>
            </w:r>
          </w:p>
        </w:tc>
        <w:tc>
          <w:tcPr>
            <w:tcW w:w="1323" w:type="dxa"/>
            <w:tcBorders>
              <w:top w:val="nil"/>
              <w:left w:val="single" w:sz="8" w:space="0" w:color="auto"/>
              <w:bottom w:val="nil"/>
              <w:right w:val="single" w:sz="8" w:space="0" w:color="auto"/>
            </w:tcBorders>
            <w:vAlign w:val="center"/>
            <w:hideMark/>
          </w:tcPr>
          <w:p w:rsidR="008A6B96" w:rsidRPr="006B29C9" w:rsidP="008932F0" w14:paraId="5E18BC15" w14:textId="77777777">
            <w:pPr>
              <w:jc w:val="center"/>
              <w:rPr>
                <w:rFonts w:ascii="Calibri" w:eastAsia="Times New Roman" w:hAnsi="Calibri" w:cs="Calibri"/>
                <w:color w:val="000000"/>
              </w:rPr>
            </w:pPr>
            <w:r w:rsidRPr="006B29C9">
              <w:rPr>
                <w:rFonts w:ascii="Calibri" w:eastAsia="Times New Roman" w:hAnsi="Calibri" w:cs="Calibri"/>
                <w:color w:val="000000"/>
              </w:rPr>
              <w:t>88%</w:t>
            </w:r>
          </w:p>
        </w:tc>
        <w:tc>
          <w:tcPr>
            <w:tcW w:w="1914" w:type="dxa"/>
            <w:tcBorders>
              <w:top w:val="nil"/>
              <w:left w:val="nil"/>
              <w:bottom w:val="nil"/>
              <w:right w:val="single" w:sz="8" w:space="0" w:color="auto"/>
            </w:tcBorders>
            <w:vAlign w:val="center"/>
            <w:hideMark/>
          </w:tcPr>
          <w:p w:rsidR="008A6B96" w:rsidRPr="006B29C9" w:rsidP="008932F0" w14:paraId="75F46923" w14:textId="77777777">
            <w:pPr>
              <w:jc w:val="center"/>
              <w:rPr>
                <w:rFonts w:ascii="Calibri" w:eastAsia="Times New Roman" w:hAnsi="Calibri" w:cs="Calibri"/>
                <w:color w:val="000000"/>
              </w:rPr>
            </w:pPr>
            <w:r w:rsidRPr="006B29C9">
              <w:rPr>
                <w:rFonts w:ascii="Calibri" w:eastAsia="Times New Roman" w:hAnsi="Calibri" w:cs="Calibri"/>
                <w:color w:val="000000"/>
              </w:rPr>
              <w:t>10%</w:t>
            </w:r>
          </w:p>
        </w:tc>
        <w:tc>
          <w:tcPr>
            <w:tcW w:w="1282" w:type="dxa"/>
            <w:tcBorders>
              <w:top w:val="nil"/>
              <w:left w:val="nil"/>
              <w:bottom w:val="nil"/>
              <w:right w:val="single" w:sz="8" w:space="0" w:color="auto"/>
            </w:tcBorders>
            <w:vAlign w:val="center"/>
            <w:hideMark/>
          </w:tcPr>
          <w:p w:rsidR="008A6B96" w:rsidRPr="006B29C9" w:rsidP="008932F0" w14:paraId="3C72590E" w14:textId="77777777">
            <w:pPr>
              <w:jc w:val="center"/>
              <w:rPr>
                <w:rFonts w:ascii="Calibri" w:eastAsia="Times New Roman" w:hAnsi="Calibri" w:cs="Calibri"/>
                <w:color w:val="000000"/>
              </w:rPr>
            </w:pPr>
            <w:r w:rsidRPr="006B29C9">
              <w:rPr>
                <w:rFonts w:ascii="Calibri" w:eastAsia="Times New Roman" w:hAnsi="Calibri" w:cs="Calibri"/>
                <w:color w:val="000000"/>
              </w:rPr>
              <w:t>100%</w:t>
            </w:r>
          </w:p>
        </w:tc>
      </w:tr>
      <w:tr w14:paraId="7821CBB1" w14:textId="77777777" w:rsidTr="008932F0">
        <w:tblPrEx>
          <w:tblW w:w="8400" w:type="dxa"/>
          <w:jc w:val="center"/>
          <w:tblLook w:val="04A0"/>
        </w:tblPrEx>
        <w:trPr>
          <w:trHeight w:val="290"/>
          <w:jc w:val="center"/>
        </w:trPr>
        <w:tc>
          <w:tcPr>
            <w:tcW w:w="1303" w:type="dxa"/>
            <w:tcBorders>
              <w:top w:val="nil"/>
              <w:left w:val="single" w:sz="8" w:space="0" w:color="auto"/>
              <w:bottom w:val="nil"/>
              <w:right w:val="nil"/>
            </w:tcBorders>
            <w:vAlign w:val="center"/>
            <w:hideMark/>
          </w:tcPr>
          <w:p w:rsidR="008A6B96" w:rsidRPr="006B29C9" w:rsidP="008932F0" w14:paraId="6CE244FA" w14:textId="77777777">
            <w:pPr>
              <w:jc w:val="center"/>
              <w:rPr>
                <w:rFonts w:ascii="Calibri" w:eastAsia="Times New Roman" w:hAnsi="Calibri" w:cs="Calibri"/>
                <w:color w:val="000000"/>
              </w:rPr>
            </w:pPr>
            <w:r w:rsidRPr="006B29C9">
              <w:rPr>
                <w:rFonts w:ascii="Calibri" w:eastAsia="Times New Roman" w:hAnsi="Calibri" w:cs="Calibri"/>
                <w:color w:val="000000"/>
              </w:rPr>
              <w:t>Apr-25</w:t>
            </w:r>
          </w:p>
        </w:tc>
        <w:tc>
          <w:tcPr>
            <w:tcW w:w="1306" w:type="dxa"/>
            <w:tcBorders>
              <w:top w:val="nil"/>
              <w:left w:val="single" w:sz="8" w:space="0" w:color="auto"/>
              <w:bottom w:val="nil"/>
              <w:right w:val="single" w:sz="8" w:space="0" w:color="auto"/>
            </w:tcBorders>
            <w:vAlign w:val="center"/>
            <w:hideMark/>
          </w:tcPr>
          <w:p w:rsidR="008A6B96" w:rsidRPr="006B29C9" w:rsidP="008932F0" w14:paraId="3F7D2D92" w14:textId="77777777">
            <w:pPr>
              <w:jc w:val="center"/>
              <w:rPr>
                <w:rFonts w:ascii="Calibri" w:eastAsia="Times New Roman" w:hAnsi="Calibri" w:cs="Calibri"/>
                <w:color w:val="000000"/>
              </w:rPr>
            </w:pPr>
            <w:r w:rsidRPr="006B29C9">
              <w:rPr>
                <w:rFonts w:ascii="Calibri" w:eastAsia="Times New Roman" w:hAnsi="Calibri" w:cs="Calibri"/>
                <w:color w:val="000000"/>
              </w:rPr>
              <w:t>MRTS</w:t>
            </w:r>
          </w:p>
        </w:tc>
        <w:tc>
          <w:tcPr>
            <w:tcW w:w="1272" w:type="dxa"/>
            <w:tcBorders>
              <w:top w:val="nil"/>
              <w:left w:val="nil"/>
              <w:bottom w:val="nil"/>
              <w:right w:val="nil"/>
            </w:tcBorders>
            <w:vAlign w:val="center"/>
            <w:hideMark/>
          </w:tcPr>
          <w:p w:rsidR="008A6B96" w:rsidRPr="006B29C9" w:rsidP="008932F0" w14:paraId="404A1288" w14:textId="77777777">
            <w:pPr>
              <w:jc w:val="center"/>
              <w:rPr>
                <w:rFonts w:ascii="Calibri" w:eastAsia="Times New Roman" w:hAnsi="Calibri" w:cs="Calibri"/>
                <w:color w:val="000000"/>
              </w:rPr>
            </w:pPr>
            <w:r w:rsidRPr="006B29C9">
              <w:rPr>
                <w:rFonts w:ascii="Calibri" w:eastAsia="Times New Roman" w:hAnsi="Calibri" w:cs="Calibri"/>
                <w:color w:val="000000"/>
              </w:rPr>
              <w:t>2%</w:t>
            </w:r>
          </w:p>
        </w:tc>
        <w:tc>
          <w:tcPr>
            <w:tcW w:w="1323" w:type="dxa"/>
            <w:tcBorders>
              <w:top w:val="nil"/>
              <w:left w:val="single" w:sz="8" w:space="0" w:color="auto"/>
              <w:bottom w:val="nil"/>
              <w:right w:val="single" w:sz="8" w:space="0" w:color="auto"/>
            </w:tcBorders>
            <w:vAlign w:val="center"/>
            <w:hideMark/>
          </w:tcPr>
          <w:p w:rsidR="008A6B96" w:rsidRPr="006B29C9" w:rsidP="008932F0" w14:paraId="74B5B2BC" w14:textId="77777777">
            <w:pPr>
              <w:jc w:val="center"/>
              <w:rPr>
                <w:rFonts w:ascii="Calibri" w:eastAsia="Times New Roman" w:hAnsi="Calibri" w:cs="Calibri"/>
                <w:color w:val="000000"/>
              </w:rPr>
            </w:pPr>
            <w:r w:rsidRPr="006B29C9">
              <w:rPr>
                <w:rFonts w:ascii="Calibri" w:eastAsia="Times New Roman" w:hAnsi="Calibri" w:cs="Calibri"/>
                <w:color w:val="000000"/>
              </w:rPr>
              <w:t>88%</w:t>
            </w:r>
          </w:p>
        </w:tc>
        <w:tc>
          <w:tcPr>
            <w:tcW w:w="1914" w:type="dxa"/>
            <w:tcBorders>
              <w:top w:val="nil"/>
              <w:left w:val="nil"/>
              <w:bottom w:val="nil"/>
              <w:right w:val="single" w:sz="8" w:space="0" w:color="auto"/>
            </w:tcBorders>
            <w:vAlign w:val="center"/>
            <w:hideMark/>
          </w:tcPr>
          <w:p w:rsidR="008A6B96" w:rsidRPr="006B29C9" w:rsidP="008932F0" w14:paraId="7996D380" w14:textId="77777777">
            <w:pPr>
              <w:jc w:val="center"/>
              <w:rPr>
                <w:rFonts w:ascii="Calibri" w:eastAsia="Times New Roman" w:hAnsi="Calibri" w:cs="Calibri"/>
                <w:color w:val="000000"/>
              </w:rPr>
            </w:pPr>
            <w:r w:rsidRPr="006B29C9">
              <w:rPr>
                <w:rFonts w:ascii="Calibri" w:eastAsia="Times New Roman" w:hAnsi="Calibri" w:cs="Calibri"/>
                <w:color w:val="000000"/>
              </w:rPr>
              <w:t>10%</w:t>
            </w:r>
          </w:p>
        </w:tc>
        <w:tc>
          <w:tcPr>
            <w:tcW w:w="1282" w:type="dxa"/>
            <w:tcBorders>
              <w:top w:val="nil"/>
              <w:left w:val="nil"/>
              <w:bottom w:val="nil"/>
              <w:right w:val="single" w:sz="8" w:space="0" w:color="auto"/>
            </w:tcBorders>
            <w:vAlign w:val="center"/>
            <w:hideMark/>
          </w:tcPr>
          <w:p w:rsidR="008A6B96" w:rsidRPr="006B29C9" w:rsidP="008932F0" w14:paraId="2A3CC36C" w14:textId="77777777">
            <w:pPr>
              <w:jc w:val="center"/>
              <w:rPr>
                <w:rFonts w:ascii="Calibri" w:eastAsia="Times New Roman" w:hAnsi="Calibri" w:cs="Calibri"/>
                <w:color w:val="000000"/>
              </w:rPr>
            </w:pPr>
            <w:r w:rsidRPr="006B29C9">
              <w:rPr>
                <w:rFonts w:ascii="Calibri" w:eastAsia="Times New Roman" w:hAnsi="Calibri" w:cs="Calibri"/>
                <w:color w:val="000000"/>
              </w:rPr>
              <w:t>100%</w:t>
            </w:r>
          </w:p>
        </w:tc>
      </w:tr>
      <w:tr w14:paraId="0D8236B2" w14:textId="77777777" w:rsidTr="008932F0">
        <w:tblPrEx>
          <w:tblW w:w="8400" w:type="dxa"/>
          <w:jc w:val="center"/>
          <w:tblLook w:val="04A0"/>
        </w:tblPrEx>
        <w:trPr>
          <w:trHeight w:val="290"/>
          <w:jc w:val="center"/>
        </w:trPr>
        <w:tc>
          <w:tcPr>
            <w:tcW w:w="1303" w:type="dxa"/>
            <w:tcBorders>
              <w:top w:val="nil"/>
              <w:left w:val="single" w:sz="8" w:space="0" w:color="auto"/>
              <w:bottom w:val="nil"/>
              <w:right w:val="nil"/>
            </w:tcBorders>
            <w:vAlign w:val="center"/>
            <w:hideMark/>
          </w:tcPr>
          <w:p w:rsidR="008A6B96" w:rsidRPr="006B29C9" w:rsidP="008932F0" w14:paraId="43902DC0" w14:textId="77777777">
            <w:pPr>
              <w:jc w:val="center"/>
              <w:rPr>
                <w:rFonts w:ascii="Calibri" w:eastAsia="Times New Roman" w:hAnsi="Calibri" w:cs="Calibri"/>
                <w:color w:val="000000"/>
              </w:rPr>
            </w:pPr>
            <w:r w:rsidRPr="006B29C9">
              <w:rPr>
                <w:rFonts w:ascii="Calibri" w:eastAsia="Times New Roman" w:hAnsi="Calibri" w:cs="Calibri"/>
                <w:color w:val="000000"/>
              </w:rPr>
              <w:t>Mar-25</w:t>
            </w:r>
          </w:p>
        </w:tc>
        <w:tc>
          <w:tcPr>
            <w:tcW w:w="1306" w:type="dxa"/>
            <w:tcBorders>
              <w:top w:val="nil"/>
              <w:left w:val="single" w:sz="8" w:space="0" w:color="auto"/>
              <w:bottom w:val="nil"/>
              <w:right w:val="single" w:sz="8" w:space="0" w:color="auto"/>
            </w:tcBorders>
            <w:vAlign w:val="center"/>
            <w:hideMark/>
          </w:tcPr>
          <w:p w:rsidR="008A6B96" w:rsidRPr="006B29C9" w:rsidP="008932F0" w14:paraId="0D3800AF" w14:textId="77777777">
            <w:pPr>
              <w:jc w:val="center"/>
              <w:rPr>
                <w:rFonts w:ascii="Calibri" w:eastAsia="Times New Roman" w:hAnsi="Calibri" w:cs="Calibri"/>
                <w:color w:val="000000"/>
              </w:rPr>
            </w:pPr>
            <w:r w:rsidRPr="006B29C9">
              <w:rPr>
                <w:rFonts w:ascii="Calibri" w:eastAsia="Times New Roman" w:hAnsi="Calibri" w:cs="Calibri"/>
                <w:color w:val="000000"/>
              </w:rPr>
              <w:t>MRTS</w:t>
            </w:r>
          </w:p>
        </w:tc>
        <w:tc>
          <w:tcPr>
            <w:tcW w:w="1272" w:type="dxa"/>
            <w:tcBorders>
              <w:top w:val="nil"/>
              <w:left w:val="nil"/>
              <w:bottom w:val="nil"/>
              <w:right w:val="nil"/>
            </w:tcBorders>
            <w:vAlign w:val="center"/>
            <w:hideMark/>
          </w:tcPr>
          <w:p w:rsidR="008A6B96" w:rsidRPr="006B29C9" w:rsidP="008932F0" w14:paraId="387EFC90" w14:textId="77777777">
            <w:pPr>
              <w:jc w:val="center"/>
              <w:rPr>
                <w:rFonts w:ascii="Calibri" w:eastAsia="Times New Roman" w:hAnsi="Calibri" w:cs="Calibri"/>
                <w:color w:val="000000"/>
              </w:rPr>
            </w:pPr>
            <w:r w:rsidRPr="006B29C9">
              <w:rPr>
                <w:rFonts w:ascii="Calibri" w:eastAsia="Times New Roman" w:hAnsi="Calibri" w:cs="Calibri"/>
                <w:color w:val="000000"/>
              </w:rPr>
              <w:t>3%</w:t>
            </w:r>
          </w:p>
        </w:tc>
        <w:tc>
          <w:tcPr>
            <w:tcW w:w="1323" w:type="dxa"/>
            <w:tcBorders>
              <w:top w:val="nil"/>
              <w:left w:val="single" w:sz="8" w:space="0" w:color="auto"/>
              <w:bottom w:val="nil"/>
              <w:right w:val="single" w:sz="8" w:space="0" w:color="auto"/>
            </w:tcBorders>
            <w:vAlign w:val="center"/>
            <w:hideMark/>
          </w:tcPr>
          <w:p w:rsidR="008A6B96" w:rsidRPr="006B29C9" w:rsidP="008932F0" w14:paraId="7AABE29F" w14:textId="77777777">
            <w:pPr>
              <w:jc w:val="center"/>
              <w:rPr>
                <w:rFonts w:ascii="Calibri" w:eastAsia="Times New Roman" w:hAnsi="Calibri" w:cs="Calibri"/>
                <w:color w:val="000000"/>
              </w:rPr>
            </w:pPr>
            <w:r w:rsidRPr="006B29C9">
              <w:rPr>
                <w:rFonts w:ascii="Calibri" w:eastAsia="Times New Roman" w:hAnsi="Calibri" w:cs="Calibri"/>
                <w:color w:val="000000"/>
              </w:rPr>
              <w:t>87%</w:t>
            </w:r>
          </w:p>
        </w:tc>
        <w:tc>
          <w:tcPr>
            <w:tcW w:w="1914" w:type="dxa"/>
            <w:tcBorders>
              <w:top w:val="nil"/>
              <w:left w:val="nil"/>
              <w:bottom w:val="nil"/>
              <w:right w:val="single" w:sz="8" w:space="0" w:color="auto"/>
            </w:tcBorders>
            <w:vAlign w:val="center"/>
            <w:hideMark/>
          </w:tcPr>
          <w:p w:rsidR="008A6B96" w:rsidRPr="006B29C9" w:rsidP="008932F0" w14:paraId="2F21E473" w14:textId="77777777">
            <w:pPr>
              <w:jc w:val="center"/>
              <w:rPr>
                <w:rFonts w:ascii="Calibri" w:eastAsia="Times New Roman" w:hAnsi="Calibri" w:cs="Calibri"/>
                <w:color w:val="000000"/>
              </w:rPr>
            </w:pPr>
            <w:r w:rsidRPr="006B29C9">
              <w:rPr>
                <w:rFonts w:ascii="Calibri" w:eastAsia="Times New Roman" w:hAnsi="Calibri" w:cs="Calibri"/>
                <w:color w:val="000000"/>
              </w:rPr>
              <w:t>11%</w:t>
            </w:r>
          </w:p>
        </w:tc>
        <w:tc>
          <w:tcPr>
            <w:tcW w:w="1282" w:type="dxa"/>
            <w:tcBorders>
              <w:top w:val="nil"/>
              <w:left w:val="nil"/>
              <w:bottom w:val="nil"/>
              <w:right w:val="single" w:sz="8" w:space="0" w:color="auto"/>
            </w:tcBorders>
            <w:vAlign w:val="center"/>
            <w:hideMark/>
          </w:tcPr>
          <w:p w:rsidR="008A6B96" w:rsidRPr="006B29C9" w:rsidP="008932F0" w14:paraId="4245DED4" w14:textId="77777777">
            <w:pPr>
              <w:jc w:val="center"/>
              <w:rPr>
                <w:rFonts w:ascii="Calibri" w:eastAsia="Times New Roman" w:hAnsi="Calibri" w:cs="Calibri"/>
                <w:color w:val="000000"/>
              </w:rPr>
            </w:pPr>
            <w:r w:rsidRPr="006B29C9">
              <w:rPr>
                <w:rFonts w:ascii="Calibri" w:eastAsia="Times New Roman" w:hAnsi="Calibri" w:cs="Calibri"/>
                <w:color w:val="000000"/>
              </w:rPr>
              <w:t>100%</w:t>
            </w:r>
          </w:p>
        </w:tc>
      </w:tr>
      <w:tr w14:paraId="1B5991D7" w14:textId="77777777" w:rsidTr="008932F0">
        <w:tblPrEx>
          <w:tblW w:w="8400" w:type="dxa"/>
          <w:jc w:val="center"/>
          <w:tblLook w:val="04A0"/>
        </w:tblPrEx>
        <w:trPr>
          <w:trHeight w:val="290"/>
          <w:jc w:val="center"/>
        </w:trPr>
        <w:tc>
          <w:tcPr>
            <w:tcW w:w="1303" w:type="dxa"/>
            <w:tcBorders>
              <w:top w:val="nil"/>
              <w:left w:val="single" w:sz="8" w:space="0" w:color="auto"/>
              <w:bottom w:val="nil"/>
              <w:right w:val="nil"/>
            </w:tcBorders>
            <w:vAlign w:val="center"/>
            <w:hideMark/>
          </w:tcPr>
          <w:p w:rsidR="008A6B96" w:rsidRPr="006B29C9" w:rsidP="008932F0" w14:paraId="57790FAC" w14:textId="77777777">
            <w:pPr>
              <w:jc w:val="center"/>
              <w:rPr>
                <w:rFonts w:ascii="Calibri" w:eastAsia="Times New Roman" w:hAnsi="Calibri" w:cs="Calibri"/>
                <w:color w:val="000000"/>
              </w:rPr>
            </w:pPr>
            <w:r w:rsidRPr="006B29C9">
              <w:rPr>
                <w:rFonts w:ascii="Calibri" w:eastAsia="Times New Roman" w:hAnsi="Calibri" w:cs="Calibri"/>
                <w:color w:val="000000"/>
              </w:rPr>
              <w:t>Feb-25</w:t>
            </w:r>
          </w:p>
        </w:tc>
        <w:tc>
          <w:tcPr>
            <w:tcW w:w="1306" w:type="dxa"/>
            <w:tcBorders>
              <w:top w:val="nil"/>
              <w:left w:val="single" w:sz="8" w:space="0" w:color="auto"/>
              <w:bottom w:val="nil"/>
              <w:right w:val="single" w:sz="8" w:space="0" w:color="auto"/>
            </w:tcBorders>
            <w:vAlign w:val="center"/>
            <w:hideMark/>
          </w:tcPr>
          <w:p w:rsidR="008A6B96" w:rsidRPr="006B29C9" w:rsidP="008932F0" w14:paraId="5A5B1E7D" w14:textId="77777777">
            <w:pPr>
              <w:jc w:val="center"/>
              <w:rPr>
                <w:rFonts w:ascii="Calibri" w:eastAsia="Times New Roman" w:hAnsi="Calibri" w:cs="Calibri"/>
                <w:color w:val="000000"/>
              </w:rPr>
            </w:pPr>
            <w:r w:rsidRPr="006B29C9">
              <w:rPr>
                <w:rFonts w:ascii="Calibri" w:eastAsia="Times New Roman" w:hAnsi="Calibri" w:cs="Calibri"/>
                <w:color w:val="000000"/>
              </w:rPr>
              <w:t>MRTS</w:t>
            </w:r>
          </w:p>
        </w:tc>
        <w:tc>
          <w:tcPr>
            <w:tcW w:w="1272" w:type="dxa"/>
            <w:tcBorders>
              <w:top w:val="nil"/>
              <w:left w:val="nil"/>
              <w:bottom w:val="nil"/>
              <w:right w:val="nil"/>
            </w:tcBorders>
            <w:vAlign w:val="center"/>
            <w:hideMark/>
          </w:tcPr>
          <w:p w:rsidR="008A6B96" w:rsidRPr="006B29C9" w:rsidP="008932F0" w14:paraId="74AD758D" w14:textId="77777777">
            <w:pPr>
              <w:jc w:val="center"/>
              <w:rPr>
                <w:rFonts w:ascii="Calibri" w:eastAsia="Times New Roman" w:hAnsi="Calibri" w:cs="Calibri"/>
                <w:color w:val="000000"/>
              </w:rPr>
            </w:pPr>
            <w:r w:rsidRPr="006B29C9">
              <w:rPr>
                <w:rFonts w:ascii="Calibri" w:eastAsia="Times New Roman" w:hAnsi="Calibri" w:cs="Calibri"/>
                <w:color w:val="000000"/>
              </w:rPr>
              <w:t>2%</w:t>
            </w:r>
          </w:p>
        </w:tc>
        <w:tc>
          <w:tcPr>
            <w:tcW w:w="1323" w:type="dxa"/>
            <w:tcBorders>
              <w:top w:val="nil"/>
              <w:left w:val="single" w:sz="8" w:space="0" w:color="auto"/>
              <w:bottom w:val="nil"/>
              <w:right w:val="single" w:sz="8" w:space="0" w:color="auto"/>
            </w:tcBorders>
            <w:vAlign w:val="center"/>
            <w:hideMark/>
          </w:tcPr>
          <w:p w:rsidR="008A6B96" w:rsidRPr="006B29C9" w:rsidP="008932F0" w14:paraId="3D83A1C0" w14:textId="77777777">
            <w:pPr>
              <w:jc w:val="center"/>
              <w:rPr>
                <w:rFonts w:ascii="Calibri" w:eastAsia="Times New Roman" w:hAnsi="Calibri" w:cs="Calibri"/>
                <w:color w:val="000000"/>
              </w:rPr>
            </w:pPr>
            <w:r w:rsidRPr="006B29C9">
              <w:rPr>
                <w:rFonts w:ascii="Calibri" w:eastAsia="Times New Roman" w:hAnsi="Calibri" w:cs="Calibri"/>
                <w:color w:val="000000"/>
              </w:rPr>
              <w:t>87%</w:t>
            </w:r>
          </w:p>
        </w:tc>
        <w:tc>
          <w:tcPr>
            <w:tcW w:w="1914" w:type="dxa"/>
            <w:tcBorders>
              <w:top w:val="nil"/>
              <w:left w:val="nil"/>
              <w:bottom w:val="nil"/>
              <w:right w:val="single" w:sz="8" w:space="0" w:color="auto"/>
            </w:tcBorders>
            <w:vAlign w:val="center"/>
            <w:hideMark/>
          </w:tcPr>
          <w:p w:rsidR="008A6B96" w:rsidRPr="006B29C9" w:rsidP="008932F0" w14:paraId="7DE12294" w14:textId="77777777">
            <w:pPr>
              <w:jc w:val="center"/>
              <w:rPr>
                <w:rFonts w:ascii="Calibri" w:eastAsia="Times New Roman" w:hAnsi="Calibri" w:cs="Calibri"/>
                <w:color w:val="000000"/>
              </w:rPr>
            </w:pPr>
            <w:r w:rsidRPr="006B29C9">
              <w:rPr>
                <w:rFonts w:ascii="Calibri" w:eastAsia="Times New Roman" w:hAnsi="Calibri" w:cs="Calibri"/>
                <w:color w:val="000000"/>
              </w:rPr>
              <w:t>11%</w:t>
            </w:r>
          </w:p>
        </w:tc>
        <w:tc>
          <w:tcPr>
            <w:tcW w:w="1282" w:type="dxa"/>
            <w:tcBorders>
              <w:top w:val="nil"/>
              <w:left w:val="nil"/>
              <w:bottom w:val="nil"/>
              <w:right w:val="single" w:sz="8" w:space="0" w:color="auto"/>
            </w:tcBorders>
            <w:vAlign w:val="center"/>
            <w:hideMark/>
          </w:tcPr>
          <w:p w:rsidR="008A6B96" w:rsidRPr="006B29C9" w:rsidP="008932F0" w14:paraId="40F8942E" w14:textId="77777777">
            <w:pPr>
              <w:jc w:val="center"/>
              <w:rPr>
                <w:rFonts w:ascii="Calibri" w:eastAsia="Times New Roman" w:hAnsi="Calibri" w:cs="Calibri"/>
                <w:color w:val="000000"/>
              </w:rPr>
            </w:pPr>
            <w:r w:rsidRPr="006B29C9">
              <w:rPr>
                <w:rFonts w:ascii="Calibri" w:eastAsia="Times New Roman" w:hAnsi="Calibri" w:cs="Calibri"/>
                <w:color w:val="000000"/>
              </w:rPr>
              <w:t>100%</w:t>
            </w:r>
          </w:p>
        </w:tc>
      </w:tr>
      <w:tr w14:paraId="638F3249" w14:textId="77777777" w:rsidTr="008932F0">
        <w:tblPrEx>
          <w:tblW w:w="8400" w:type="dxa"/>
          <w:jc w:val="center"/>
          <w:tblLook w:val="04A0"/>
        </w:tblPrEx>
        <w:trPr>
          <w:trHeight w:val="300"/>
          <w:jc w:val="center"/>
        </w:trPr>
        <w:tc>
          <w:tcPr>
            <w:tcW w:w="1303" w:type="dxa"/>
            <w:tcBorders>
              <w:top w:val="nil"/>
              <w:left w:val="single" w:sz="8" w:space="0" w:color="auto"/>
              <w:bottom w:val="single" w:sz="8" w:space="0" w:color="auto"/>
              <w:right w:val="nil"/>
            </w:tcBorders>
            <w:vAlign w:val="center"/>
            <w:hideMark/>
          </w:tcPr>
          <w:p w:rsidR="008A6B96" w:rsidRPr="006B29C9" w:rsidP="008932F0" w14:paraId="563C9283" w14:textId="77777777">
            <w:pPr>
              <w:jc w:val="center"/>
              <w:rPr>
                <w:rFonts w:ascii="Calibri" w:eastAsia="Times New Roman" w:hAnsi="Calibri" w:cs="Calibri"/>
                <w:color w:val="000000"/>
              </w:rPr>
            </w:pPr>
            <w:r w:rsidRPr="006B29C9">
              <w:rPr>
                <w:rFonts w:ascii="Calibri" w:eastAsia="Times New Roman" w:hAnsi="Calibri" w:cs="Calibri"/>
                <w:color w:val="000000"/>
              </w:rPr>
              <w:t>Jan-25</w:t>
            </w:r>
          </w:p>
        </w:tc>
        <w:tc>
          <w:tcPr>
            <w:tcW w:w="1306" w:type="dxa"/>
            <w:tcBorders>
              <w:top w:val="nil"/>
              <w:left w:val="single" w:sz="8" w:space="0" w:color="auto"/>
              <w:bottom w:val="single" w:sz="8" w:space="0" w:color="auto"/>
              <w:right w:val="single" w:sz="8" w:space="0" w:color="auto"/>
            </w:tcBorders>
            <w:vAlign w:val="center"/>
            <w:hideMark/>
          </w:tcPr>
          <w:p w:rsidR="008A6B96" w:rsidRPr="006B29C9" w:rsidP="008932F0" w14:paraId="6CCD8846" w14:textId="77777777">
            <w:pPr>
              <w:jc w:val="center"/>
              <w:rPr>
                <w:rFonts w:ascii="Calibri" w:eastAsia="Times New Roman" w:hAnsi="Calibri" w:cs="Calibri"/>
                <w:color w:val="000000"/>
              </w:rPr>
            </w:pPr>
            <w:r w:rsidRPr="006B29C9">
              <w:rPr>
                <w:rFonts w:ascii="Calibri" w:eastAsia="Times New Roman" w:hAnsi="Calibri" w:cs="Calibri"/>
                <w:color w:val="000000"/>
              </w:rPr>
              <w:t>MRTS</w:t>
            </w:r>
          </w:p>
        </w:tc>
        <w:tc>
          <w:tcPr>
            <w:tcW w:w="1272" w:type="dxa"/>
            <w:tcBorders>
              <w:top w:val="nil"/>
              <w:left w:val="nil"/>
              <w:bottom w:val="single" w:sz="8" w:space="0" w:color="auto"/>
              <w:right w:val="nil"/>
            </w:tcBorders>
            <w:vAlign w:val="center"/>
            <w:hideMark/>
          </w:tcPr>
          <w:p w:rsidR="008A6B96" w:rsidRPr="006B29C9" w:rsidP="008932F0" w14:paraId="23F1D9B8" w14:textId="77777777">
            <w:pPr>
              <w:jc w:val="center"/>
              <w:rPr>
                <w:rFonts w:ascii="Calibri" w:eastAsia="Times New Roman" w:hAnsi="Calibri" w:cs="Calibri"/>
                <w:color w:val="000000"/>
              </w:rPr>
            </w:pPr>
            <w:r w:rsidRPr="006B29C9">
              <w:rPr>
                <w:rFonts w:ascii="Calibri" w:eastAsia="Times New Roman" w:hAnsi="Calibri" w:cs="Calibri"/>
                <w:color w:val="000000"/>
              </w:rPr>
              <w:t>2%</w:t>
            </w:r>
          </w:p>
        </w:tc>
        <w:tc>
          <w:tcPr>
            <w:tcW w:w="1323" w:type="dxa"/>
            <w:tcBorders>
              <w:top w:val="nil"/>
              <w:left w:val="single" w:sz="8" w:space="0" w:color="auto"/>
              <w:bottom w:val="single" w:sz="8" w:space="0" w:color="auto"/>
              <w:right w:val="single" w:sz="8" w:space="0" w:color="auto"/>
            </w:tcBorders>
            <w:vAlign w:val="center"/>
            <w:hideMark/>
          </w:tcPr>
          <w:p w:rsidR="008A6B96" w:rsidRPr="006B29C9" w:rsidP="008932F0" w14:paraId="103A3E17" w14:textId="77777777">
            <w:pPr>
              <w:jc w:val="center"/>
              <w:rPr>
                <w:rFonts w:ascii="Calibri" w:eastAsia="Times New Roman" w:hAnsi="Calibri" w:cs="Calibri"/>
                <w:color w:val="000000"/>
              </w:rPr>
            </w:pPr>
            <w:r w:rsidRPr="006B29C9">
              <w:rPr>
                <w:rFonts w:ascii="Calibri" w:eastAsia="Times New Roman" w:hAnsi="Calibri" w:cs="Calibri"/>
                <w:color w:val="000000"/>
              </w:rPr>
              <w:t>87%</w:t>
            </w:r>
          </w:p>
        </w:tc>
        <w:tc>
          <w:tcPr>
            <w:tcW w:w="1914" w:type="dxa"/>
            <w:tcBorders>
              <w:top w:val="nil"/>
              <w:left w:val="nil"/>
              <w:bottom w:val="single" w:sz="8" w:space="0" w:color="auto"/>
              <w:right w:val="single" w:sz="8" w:space="0" w:color="auto"/>
            </w:tcBorders>
            <w:vAlign w:val="center"/>
            <w:hideMark/>
          </w:tcPr>
          <w:p w:rsidR="008A6B96" w:rsidRPr="006B29C9" w:rsidP="008932F0" w14:paraId="256CAE75" w14:textId="77777777">
            <w:pPr>
              <w:jc w:val="center"/>
              <w:rPr>
                <w:rFonts w:ascii="Calibri" w:eastAsia="Times New Roman" w:hAnsi="Calibri" w:cs="Calibri"/>
                <w:color w:val="000000"/>
              </w:rPr>
            </w:pPr>
            <w:r w:rsidRPr="006B29C9">
              <w:rPr>
                <w:rFonts w:ascii="Calibri" w:eastAsia="Times New Roman" w:hAnsi="Calibri" w:cs="Calibri"/>
                <w:color w:val="000000"/>
              </w:rPr>
              <w:t>11%</w:t>
            </w:r>
          </w:p>
        </w:tc>
        <w:tc>
          <w:tcPr>
            <w:tcW w:w="1282" w:type="dxa"/>
            <w:tcBorders>
              <w:top w:val="nil"/>
              <w:left w:val="nil"/>
              <w:bottom w:val="single" w:sz="8" w:space="0" w:color="auto"/>
              <w:right w:val="single" w:sz="8" w:space="0" w:color="auto"/>
            </w:tcBorders>
            <w:vAlign w:val="center"/>
            <w:hideMark/>
          </w:tcPr>
          <w:p w:rsidR="008A6B96" w:rsidRPr="006B29C9" w:rsidP="008932F0" w14:paraId="556D7786" w14:textId="77777777">
            <w:pPr>
              <w:jc w:val="center"/>
              <w:rPr>
                <w:rFonts w:ascii="Calibri" w:eastAsia="Times New Roman" w:hAnsi="Calibri" w:cs="Calibri"/>
                <w:color w:val="000000"/>
              </w:rPr>
            </w:pPr>
            <w:r w:rsidRPr="006B29C9">
              <w:rPr>
                <w:rFonts w:ascii="Calibri" w:eastAsia="Times New Roman" w:hAnsi="Calibri" w:cs="Calibri"/>
                <w:color w:val="000000"/>
              </w:rPr>
              <w:t>100%</w:t>
            </w:r>
          </w:p>
        </w:tc>
      </w:tr>
      <w:tr w14:paraId="102B8831" w14:textId="77777777" w:rsidTr="008932F0">
        <w:tblPrEx>
          <w:tblW w:w="8400" w:type="dxa"/>
          <w:jc w:val="center"/>
          <w:tblLook w:val="04A0"/>
        </w:tblPrEx>
        <w:trPr>
          <w:trHeight w:val="300"/>
          <w:jc w:val="center"/>
        </w:trPr>
        <w:tc>
          <w:tcPr>
            <w:tcW w:w="1303" w:type="dxa"/>
            <w:tcBorders>
              <w:top w:val="nil"/>
              <w:left w:val="single" w:sz="8" w:space="0" w:color="auto"/>
              <w:bottom w:val="single" w:sz="8" w:space="0" w:color="auto"/>
              <w:right w:val="single" w:sz="8" w:space="0" w:color="auto"/>
            </w:tcBorders>
            <w:shd w:val="clear" w:color="000000" w:fill="D9D9D9"/>
            <w:vAlign w:val="center"/>
            <w:hideMark/>
          </w:tcPr>
          <w:p w:rsidR="008A6B96" w:rsidRPr="006B29C9" w:rsidP="008932F0" w14:paraId="0788F5DC" w14:textId="77777777">
            <w:pPr>
              <w:jc w:val="center"/>
              <w:rPr>
                <w:rFonts w:ascii="Calibri" w:eastAsia="Times New Roman" w:hAnsi="Calibri" w:cs="Calibri"/>
                <w:b/>
                <w:bCs/>
                <w:color w:val="000000"/>
              </w:rPr>
            </w:pPr>
            <w:r w:rsidRPr="006B29C9">
              <w:rPr>
                <w:rFonts w:ascii="Calibri" w:eastAsia="Times New Roman" w:hAnsi="Calibri" w:cs="Calibri"/>
                <w:b/>
                <w:bCs/>
                <w:color w:val="000000"/>
              </w:rPr>
              <w:t>6 Mos Avg</w:t>
            </w:r>
          </w:p>
        </w:tc>
        <w:tc>
          <w:tcPr>
            <w:tcW w:w="1306" w:type="dxa"/>
            <w:tcBorders>
              <w:top w:val="nil"/>
              <w:left w:val="nil"/>
              <w:bottom w:val="single" w:sz="8" w:space="0" w:color="auto"/>
              <w:right w:val="single" w:sz="8" w:space="0" w:color="auto"/>
            </w:tcBorders>
            <w:shd w:val="clear" w:color="000000" w:fill="D9D9D9"/>
            <w:vAlign w:val="center"/>
            <w:hideMark/>
          </w:tcPr>
          <w:p w:rsidR="008A6B96" w:rsidRPr="006B29C9" w:rsidP="008932F0" w14:paraId="2C4CBC82" w14:textId="77777777">
            <w:pPr>
              <w:jc w:val="center"/>
              <w:rPr>
                <w:rFonts w:ascii="Calibri" w:eastAsia="Times New Roman" w:hAnsi="Calibri" w:cs="Calibri"/>
                <w:b/>
                <w:bCs/>
                <w:color w:val="000000"/>
              </w:rPr>
            </w:pPr>
            <w:r w:rsidRPr="006B29C9">
              <w:rPr>
                <w:rFonts w:ascii="Calibri" w:eastAsia="Times New Roman" w:hAnsi="Calibri" w:cs="Calibri"/>
                <w:b/>
                <w:bCs/>
                <w:color w:val="000000"/>
              </w:rPr>
              <w:t>MRTS</w:t>
            </w:r>
          </w:p>
        </w:tc>
        <w:tc>
          <w:tcPr>
            <w:tcW w:w="1272" w:type="dxa"/>
            <w:tcBorders>
              <w:top w:val="nil"/>
              <w:left w:val="nil"/>
              <w:bottom w:val="single" w:sz="8" w:space="0" w:color="auto"/>
              <w:right w:val="single" w:sz="8" w:space="0" w:color="auto"/>
            </w:tcBorders>
            <w:shd w:val="clear" w:color="000000" w:fill="D9D9D9"/>
            <w:vAlign w:val="center"/>
            <w:hideMark/>
          </w:tcPr>
          <w:p w:rsidR="008A6B96" w:rsidRPr="006B29C9" w:rsidP="008932F0" w14:paraId="16E89AED" w14:textId="77777777">
            <w:pPr>
              <w:jc w:val="center"/>
              <w:rPr>
                <w:rFonts w:ascii="Calibri" w:eastAsia="Times New Roman" w:hAnsi="Calibri" w:cs="Calibri"/>
                <w:b/>
                <w:bCs/>
                <w:color w:val="000000"/>
              </w:rPr>
            </w:pPr>
            <w:r w:rsidRPr="006B29C9">
              <w:rPr>
                <w:rFonts w:ascii="Calibri" w:eastAsia="Times New Roman" w:hAnsi="Calibri" w:cs="Calibri"/>
                <w:b/>
                <w:bCs/>
                <w:color w:val="000000"/>
              </w:rPr>
              <w:t>2%</w:t>
            </w:r>
          </w:p>
        </w:tc>
        <w:tc>
          <w:tcPr>
            <w:tcW w:w="1323" w:type="dxa"/>
            <w:tcBorders>
              <w:top w:val="nil"/>
              <w:left w:val="nil"/>
              <w:bottom w:val="single" w:sz="8" w:space="0" w:color="auto"/>
              <w:right w:val="single" w:sz="8" w:space="0" w:color="auto"/>
            </w:tcBorders>
            <w:shd w:val="clear" w:color="000000" w:fill="D9D9D9"/>
            <w:vAlign w:val="center"/>
            <w:hideMark/>
          </w:tcPr>
          <w:p w:rsidR="008A6B96" w:rsidRPr="006B29C9" w:rsidP="008932F0" w14:paraId="748C2573" w14:textId="77777777">
            <w:pPr>
              <w:jc w:val="center"/>
              <w:rPr>
                <w:rFonts w:ascii="Calibri" w:eastAsia="Times New Roman" w:hAnsi="Calibri" w:cs="Calibri"/>
                <w:b/>
                <w:bCs/>
                <w:color w:val="000000"/>
              </w:rPr>
            </w:pPr>
            <w:r w:rsidRPr="006B29C9">
              <w:rPr>
                <w:rFonts w:ascii="Calibri" w:eastAsia="Times New Roman" w:hAnsi="Calibri" w:cs="Calibri"/>
                <w:b/>
                <w:bCs/>
                <w:color w:val="000000"/>
              </w:rPr>
              <w:t>87%</w:t>
            </w:r>
          </w:p>
        </w:tc>
        <w:tc>
          <w:tcPr>
            <w:tcW w:w="1914" w:type="dxa"/>
            <w:tcBorders>
              <w:top w:val="nil"/>
              <w:left w:val="nil"/>
              <w:bottom w:val="single" w:sz="8" w:space="0" w:color="auto"/>
              <w:right w:val="single" w:sz="8" w:space="0" w:color="auto"/>
            </w:tcBorders>
            <w:shd w:val="clear" w:color="000000" w:fill="D9D9D9"/>
            <w:vAlign w:val="center"/>
            <w:hideMark/>
          </w:tcPr>
          <w:p w:rsidR="008A6B96" w:rsidRPr="006B29C9" w:rsidP="008932F0" w14:paraId="3F85A530" w14:textId="77777777">
            <w:pPr>
              <w:jc w:val="center"/>
              <w:rPr>
                <w:rFonts w:ascii="Calibri" w:eastAsia="Times New Roman" w:hAnsi="Calibri" w:cs="Calibri"/>
                <w:b/>
                <w:bCs/>
                <w:color w:val="000000"/>
              </w:rPr>
            </w:pPr>
            <w:r w:rsidRPr="006B29C9">
              <w:rPr>
                <w:rFonts w:ascii="Calibri" w:eastAsia="Times New Roman" w:hAnsi="Calibri" w:cs="Calibri"/>
                <w:b/>
                <w:bCs/>
                <w:color w:val="000000"/>
              </w:rPr>
              <w:t>10%</w:t>
            </w:r>
          </w:p>
        </w:tc>
        <w:tc>
          <w:tcPr>
            <w:tcW w:w="1282" w:type="dxa"/>
            <w:tcBorders>
              <w:top w:val="nil"/>
              <w:left w:val="nil"/>
              <w:bottom w:val="single" w:sz="8" w:space="0" w:color="auto"/>
              <w:right w:val="single" w:sz="8" w:space="0" w:color="auto"/>
            </w:tcBorders>
            <w:shd w:val="clear" w:color="000000" w:fill="D9D9D9"/>
            <w:vAlign w:val="center"/>
            <w:hideMark/>
          </w:tcPr>
          <w:p w:rsidR="008A6B96" w:rsidRPr="006B29C9" w:rsidP="008932F0" w14:paraId="051EF862" w14:textId="77777777">
            <w:pPr>
              <w:jc w:val="center"/>
              <w:rPr>
                <w:rFonts w:ascii="Calibri" w:eastAsia="Times New Roman" w:hAnsi="Calibri" w:cs="Calibri"/>
                <w:b/>
                <w:bCs/>
                <w:color w:val="000000"/>
              </w:rPr>
            </w:pPr>
            <w:r w:rsidRPr="006B29C9">
              <w:rPr>
                <w:rFonts w:ascii="Calibri" w:eastAsia="Times New Roman" w:hAnsi="Calibri" w:cs="Calibri"/>
                <w:b/>
                <w:bCs/>
                <w:color w:val="000000"/>
              </w:rPr>
              <w:t>100%</w:t>
            </w:r>
          </w:p>
        </w:tc>
      </w:tr>
    </w:tbl>
    <w:p w:rsidR="008A6B96" w:rsidP="008932F0" w14:paraId="3747E573" w14:textId="77777777">
      <w:pPr>
        <w:ind w:left="400"/>
        <w:rPr>
          <w:rFonts w:ascii="Calibri" w:hAnsi="Calibri" w:cs="Calibri"/>
          <w:b/>
          <w:color w:val="0070C0"/>
          <w:sz w:val="24"/>
        </w:rPr>
      </w:pPr>
    </w:p>
    <w:tbl>
      <w:tblPr>
        <w:tblW w:w="8400" w:type="dxa"/>
        <w:jc w:val="center"/>
        <w:tblLook w:val="04A0"/>
      </w:tblPr>
      <w:tblGrid>
        <w:gridCol w:w="1267"/>
        <w:gridCol w:w="1272"/>
        <w:gridCol w:w="1219"/>
        <w:gridCol w:w="1298"/>
        <w:gridCol w:w="2110"/>
        <w:gridCol w:w="1234"/>
      </w:tblGrid>
      <w:tr w14:paraId="51848FE3" w14:textId="77777777" w:rsidTr="008932F0">
        <w:tblPrEx>
          <w:tblW w:w="8400" w:type="dxa"/>
          <w:jc w:val="center"/>
          <w:tblLook w:val="04A0"/>
        </w:tblPrEx>
        <w:trPr>
          <w:trHeight w:val="300"/>
          <w:jc w:val="center"/>
        </w:trPr>
        <w:tc>
          <w:tcPr>
            <w:tcW w:w="1303"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rsidR="008A6B96" w:rsidRPr="006B29C9" w:rsidP="008932F0" w14:paraId="42072B72" w14:textId="77777777">
            <w:pPr>
              <w:jc w:val="center"/>
              <w:rPr>
                <w:rFonts w:ascii="Times New Roman" w:eastAsia="Times New Roman" w:hAnsi="Times New Roman" w:cs="Times New Roman"/>
                <w:b/>
                <w:bCs/>
                <w:color w:val="000000"/>
                <w:sz w:val="24"/>
                <w:szCs w:val="24"/>
              </w:rPr>
            </w:pPr>
            <w:r w:rsidRPr="006B29C9">
              <w:rPr>
                <w:rFonts w:ascii="Times New Roman" w:eastAsia="Times New Roman" w:hAnsi="Times New Roman" w:cs="Times New Roman"/>
                <w:b/>
                <w:bCs/>
                <w:color w:val="000000"/>
                <w:sz w:val="24"/>
                <w:szCs w:val="24"/>
              </w:rPr>
              <w:t>Month</w:t>
            </w:r>
          </w:p>
        </w:tc>
        <w:tc>
          <w:tcPr>
            <w:tcW w:w="1306"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rsidR="008A6B96" w:rsidRPr="006B29C9" w:rsidP="008932F0" w14:paraId="281A83FD" w14:textId="77777777">
            <w:pPr>
              <w:jc w:val="center"/>
              <w:rPr>
                <w:rFonts w:ascii="Times New Roman" w:eastAsia="Times New Roman" w:hAnsi="Times New Roman" w:cs="Times New Roman"/>
                <w:b/>
                <w:bCs/>
                <w:color w:val="000000"/>
                <w:sz w:val="24"/>
                <w:szCs w:val="24"/>
              </w:rPr>
            </w:pPr>
            <w:r w:rsidRPr="006B29C9">
              <w:rPr>
                <w:rFonts w:ascii="Times New Roman" w:eastAsia="Times New Roman" w:hAnsi="Times New Roman" w:cs="Times New Roman"/>
                <w:b/>
                <w:bCs/>
                <w:color w:val="000000"/>
                <w:sz w:val="24"/>
                <w:szCs w:val="24"/>
              </w:rPr>
              <w:t>Survey</w:t>
            </w:r>
          </w:p>
        </w:tc>
        <w:tc>
          <w:tcPr>
            <w:tcW w:w="5791" w:type="dxa"/>
            <w:gridSpan w:val="4"/>
            <w:tcBorders>
              <w:top w:val="single" w:sz="8" w:space="0" w:color="auto"/>
              <w:left w:val="nil"/>
              <w:bottom w:val="nil"/>
              <w:right w:val="single" w:sz="8" w:space="0" w:color="000000"/>
            </w:tcBorders>
            <w:shd w:val="clear" w:color="000000" w:fill="A6A6A6"/>
            <w:vAlign w:val="center"/>
            <w:hideMark/>
          </w:tcPr>
          <w:p w:rsidR="008A6B96" w:rsidRPr="006B29C9" w:rsidP="008932F0" w14:paraId="1C465701" w14:textId="77777777">
            <w:pPr>
              <w:jc w:val="center"/>
              <w:rPr>
                <w:rFonts w:ascii="Times New Roman" w:eastAsia="Times New Roman" w:hAnsi="Times New Roman" w:cs="Times New Roman"/>
                <w:b/>
                <w:bCs/>
                <w:color w:val="000000"/>
                <w:sz w:val="24"/>
                <w:szCs w:val="24"/>
              </w:rPr>
            </w:pPr>
            <w:r w:rsidRPr="006B29C9">
              <w:rPr>
                <w:rFonts w:ascii="Times New Roman" w:eastAsia="Times New Roman" w:hAnsi="Times New Roman" w:cs="Times New Roman"/>
                <w:b/>
                <w:bCs/>
                <w:color w:val="000000"/>
                <w:sz w:val="24"/>
                <w:szCs w:val="24"/>
              </w:rPr>
              <w:t>MARTS Check-In (%) by Type of Receipt</w:t>
            </w:r>
          </w:p>
        </w:tc>
      </w:tr>
      <w:tr w14:paraId="7FA9E76E" w14:textId="77777777" w:rsidTr="008932F0">
        <w:tblPrEx>
          <w:tblW w:w="8400" w:type="dxa"/>
          <w:jc w:val="center"/>
          <w:tblLook w:val="04A0"/>
        </w:tblPrEx>
        <w:trPr>
          <w:trHeight w:val="300"/>
          <w:jc w:val="center"/>
        </w:trPr>
        <w:tc>
          <w:tcPr>
            <w:tcW w:w="1303" w:type="dxa"/>
            <w:vMerge/>
            <w:tcBorders>
              <w:top w:val="single" w:sz="8" w:space="0" w:color="auto"/>
              <w:left w:val="single" w:sz="8" w:space="0" w:color="auto"/>
              <w:bottom w:val="single" w:sz="8" w:space="0" w:color="000000"/>
              <w:right w:val="single" w:sz="8" w:space="0" w:color="auto"/>
            </w:tcBorders>
            <w:vAlign w:val="center"/>
            <w:hideMark/>
          </w:tcPr>
          <w:p w:rsidR="008A6B96" w:rsidRPr="006B29C9" w:rsidP="008932F0" w14:paraId="6590DF17" w14:textId="77777777">
            <w:pPr>
              <w:rPr>
                <w:rFonts w:ascii="Times New Roman" w:eastAsia="Times New Roman" w:hAnsi="Times New Roman" w:cs="Times New Roman"/>
                <w:b/>
                <w:bCs/>
                <w:color w:val="000000"/>
                <w:sz w:val="24"/>
                <w:szCs w:val="24"/>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rsidR="008A6B96" w:rsidRPr="006B29C9" w:rsidP="008932F0" w14:paraId="01CB5737" w14:textId="77777777">
            <w:pPr>
              <w:rPr>
                <w:rFonts w:ascii="Times New Roman" w:eastAsia="Times New Roman" w:hAnsi="Times New Roman" w:cs="Times New Roman"/>
                <w:b/>
                <w:bCs/>
                <w:color w:val="000000"/>
                <w:sz w:val="24"/>
                <w:szCs w:val="24"/>
              </w:rPr>
            </w:pPr>
          </w:p>
        </w:tc>
        <w:tc>
          <w:tcPr>
            <w:tcW w:w="5791" w:type="dxa"/>
            <w:gridSpan w:val="4"/>
            <w:tcBorders>
              <w:top w:val="nil"/>
              <w:left w:val="nil"/>
              <w:bottom w:val="single" w:sz="8" w:space="0" w:color="auto"/>
              <w:right w:val="single" w:sz="8" w:space="0" w:color="000000"/>
            </w:tcBorders>
            <w:shd w:val="clear" w:color="000000" w:fill="A6A6A6"/>
            <w:vAlign w:val="center"/>
            <w:hideMark/>
          </w:tcPr>
          <w:p w:rsidR="008A6B96" w:rsidRPr="006B29C9" w:rsidP="008932F0" w14:paraId="70DD94FF" w14:textId="77777777">
            <w:pPr>
              <w:jc w:val="center"/>
              <w:rPr>
                <w:rFonts w:ascii="Times New Roman" w:eastAsia="Times New Roman" w:hAnsi="Times New Roman" w:cs="Times New Roman"/>
                <w:b/>
                <w:bCs/>
                <w:color w:val="000000"/>
                <w:sz w:val="18"/>
                <w:szCs w:val="18"/>
              </w:rPr>
            </w:pPr>
            <w:r w:rsidRPr="006B29C9">
              <w:rPr>
                <w:rFonts w:ascii="Times New Roman" w:eastAsia="Times New Roman" w:hAnsi="Times New Roman" w:cs="Times New Roman"/>
                <w:b/>
                <w:bCs/>
                <w:color w:val="000000"/>
                <w:sz w:val="18"/>
                <w:szCs w:val="18"/>
              </w:rPr>
              <w:t>(details may not equal total due to rounding)</w:t>
            </w:r>
          </w:p>
        </w:tc>
      </w:tr>
      <w:tr w14:paraId="0E4B9971" w14:textId="77777777" w:rsidTr="008932F0">
        <w:tblPrEx>
          <w:tblW w:w="8400" w:type="dxa"/>
          <w:jc w:val="center"/>
          <w:tblLook w:val="04A0"/>
        </w:tblPrEx>
        <w:trPr>
          <w:trHeight w:val="610"/>
          <w:jc w:val="center"/>
        </w:trPr>
        <w:tc>
          <w:tcPr>
            <w:tcW w:w="1303" w:type="dxa"/>
            <w:vMerge/>
            <w:tcBorders>
              <w:top w:val="single" w:sz="8" w:space="0" w:color="auto"/>
              <w:left w:val="single" w:sz="8" w:space="0" w:color="auto"/>
              <w:bottom w:val="single" w:sz="8" w:space="0" w:color="000000"/>
              <w:right w:val="single" w:sz="8" w:space="0" w:color="auto"/>
            </w:tcBorders>
            <w:vAlign w:val="center"/>
            <w:hideMark/>
          </w:tcPr>
          <w:p w:rsidR="008A6B96" w:rsidRPr="006B29C9" w:rsidP="008932F0" w14:paraId="3420745A" w14:textId="77777777">
            <w:pPr>
              <w:rPr>
                <w:rFonts w:ascii="Times New Roman" w:eastAsia="Times New Roman" w:hAnsi="Times New Roman" w:cs="Times New Roman"/>
                <w:b/>
                <w:bCs/>
                <w:color w:val="000000"/>
                <w:sz w:val="24"/>
                <w:szCs w:val="24"/>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rsidR="008A6B96" w:rsidRPr="006B29C9" w:rsidP="008932F0" w14:paraId="5C1C713E" w14:textId="77777777">
            <w:pPr>
              <w:rPr>
                <w:rFonts w:ascii="Times New Roman" w:eastAsia="Times New Roman" w:hAnsi="Times New Roman" w:cs="Times New Roman"/>
                <w:b/>
                <w:bCs/>
                <w:color w:val="000000"/>
                <w:sz w:val="24"/>
                <w:szCs w:val="24"/>
              </w:rPr>
            </w:pPr>
          </w:p>
        </w:tc>
        <w:tc>
          <w:tcPr>
            <w:tcW w:w="1272" w:type="dxa"/>
            <w:tcBorders>
              <w:top w:val="nil"/>
              <w:left w:val="nil"/>
              <w:bottom w:val="nil"/>
              <w:right w:val="single" w:sz="8" w:space="0" w:color="000000"/>
            </w:tcBorders>
            <w:shd w:val="clear" w:color="000000" w:fill="A6A6A6"/>
            <w:vAlign w:val="center"/>
            <w:hideMark/>
          </w:tcPr>
          <w:p w:rsidR="008A6B96" w:rsidRPr="006B29C9" w:rsidP="008932F0" w14:paraId="4A313B7A" w14:textId="77777777">
            <w:pPr>
              <w:jc w:val="center"/>
              <w:rPr>
                <w:rFonts w:ascii="Times New Roman" w:eastAsia="Times New Roman" w:hAnsi="Times New Roman" w:cs="Times New Roman"/>
                <w:b/>
                <w:bCs/>
                <w:color w:val="000000"/>
                <w:sz w:val="24"/>
                <w:szCs w:val="24"/>
              </w:rPr>
            </w:pPr>
            <w:r w:rsidRPr="006B29C9">
              <w:rPr>
                <w:rFonts w:ascii="Times New Roman" w:eastAsia="Times New Roman" w:hAnsi="Times New Roman" w:cs="Times New Roman"/>
                <w:b/>
                <w:bCs/>
                <w:color w:val="000000"/>
                <w:sz w:val="24"/>
                <w:szCs w:val="24"/>
              </w:rPr>
              <w:t>Mail</w:t>
            </w:r>
          </w:p>
        </w:tc>
        <w:tc>
          <w:tcPr>
            <w:tcW w:w="1323" w:type="dxa"/>
            <w:tcBorders>
              <w:top w:val="nil"/>
              <w:left w:val="nil"/>
              <w:bottom w:val="nil"/>
              <w:right w:val="single" w:sz="8" w:space="0" w:color="auto"/>
            </w:tcBorders>
            <w:shd w:val="clear" w:color="000000" w:fill="A6A6A6"/>
            <w:vAlign w:val="center"/>
            <w:hideMark/>
          </w:tcPr>
          <w:p w:rsidR="008A6B96" w:rsidRPr="006B29C9" w:rsidP="008932F0" w14:paraId="5DC39CFF" w14:textId="77777777">
            <w:pPr>
              <w:jc w:val="center"/>
              <w:rPr>
                <w:rFonts w:ascii="Times New Roman" w:eastAsia="Times New Roman" w:hAnsi="Times New Roman" w:cs="Times New Roman"/>
                <w:b/>
                <w:bCs/>
                <w:color w:val="000000"/>
                <w:sz w:val="24"/>
                <w:szCs w:val="24"/>
              </w:rPr>
            </w:pPr>
            <w:r w:rsidRPr="006B29C9">
              <w:rPr>
                <w:rFonts w:ascii="Times New Roman" w:eastAsia="Times New Roman" w:hAnsi="Times New Roman" w:cs="Times New Roman"/>
                <w:b/>
                <w:bCs/>
                <w:color w:val="000000"/>
                <w:sz w:val="24"/>
                <w:szCs w:val="24"/>
              </w:rPr>
              <w:t>Internet</w:t>
            </w:r>
          </w:p>
        </w:tc>
        <w:tc>
          <w:tcPr>
            <w:tcW w:w="1914" w:type="dxa"/>
            <w:tcBorders>
              <w:top w:val="nil"/>
              <w:left w:val="nil"/>
              <w:bottom w:val="nil"/>
              <w:right w:val="single" w:sz="8" w:space="0" w:color="auto"/>
            </w:tcBorders>
            <w:shd w:val="clear" w:color="000000" w:fill="A6A6A6"/>
            <w:vAlign w:val="center"/>
            <w:hideMark/>
          </w:tcPr>
          <w:p w:rsidR="008A6B96" w:rsidRPr="006B29C9" w:rsidP="008932F0" w14:paraId="346ACF22" w14:textId="77777777">
            <w:pPr>
              <w:jc w:val="center"/>
              <w:rPr>
                <w:rFonts w:ascii="Times New Roman" w:eastAsia="Times New Roman" w:hAnsi="Times New Roman" w:cs="Times New Roman"/>
                <w:b/>
                <w:bCs/>
                <w:color w:val="000000"/>
                <w:sz w:val="24"/>
                <w:szCs w:val="24"/>
              </w:rPr>
            </w:pPr>
            <w:r w:rsidRPr="006B29C9">
              <w:rPr>
                <w:rFonts w:ascii="Times New Roman" w:eastAsia="Times New Roman" w:hAnsi="Times New Roman" w:cs="Times New Roman"/>
                <w:b/>
                <w:bCs/>
                <w:color w:val="000000"/>
                <w:sz w:val="24"/>
                <w:szCs w:val="24"/>
              </w:rPr>
              <w:t>Clerk/Fax/Analyst</w:t>
            </w:r>
          </w:p>
        </w:tc>
        <w:tc>
          <w:tcPr>
            <w:tcW w:w="1282" w:type="dxa"/>
            <w:tcBorders>
              <w:top w:val="nil"/>
              <w:left w:val="nil"/>
              <w:bottom w:val="nil"/>
              <w:right w:val="single" w:sz="8" w:space="0" w:color="000000"/>
            </w:tcBorders>
            <w:shd w:val="clear" w:color="000000" w:fill="A6A6A6"/>
            <w:vAlign w:val="center"/>
            <w:hideMark/>
          </w:tcPr>
          <w:p w:rsidR="008A6B96" w:rsidRPr="006B29C9" w:rsidP="008932F0" w14:paraId="009925CB" w14:textId="77777777">
            <w:pPr>
              <w:jc w:val="center"/>
              <w:rPr>
                <w:rFonts w:ascii="Times New Roman" w:eastAsia="Times New Roman" w:hAnsi="Times New Roman" w:cs="Times New Roman"/>
                <w:b/>
                <w:bCs/>
                <w:color w:val="000000"/>
                <w:sz w:val="24"/>
                <w:szCs w:val="24"/>
              </w:rPr>
            </w:pPr>
            <w:r w:rsidRPr="006B29C9">
              <w:rPr>
                <w:rFonts w:ascii="Times New Roman" w:eastAsia="Times New Roman" w:hAnsi="Times New Roman" w:cs="Times New Roman"/>
                <w:b/>
                <w:bCs/>
                <w:color w:val="000000"/>
                <w:sz w:val="24"/>
                <w:szCs w:val="24"/>
              </w:rPr>
              <w:t>Total %</w:t>
            </w:r>
          </w:p>
        </w:tc>
      </w:tr>
      <w:tr w14:paraId="57DA97D1" w14:textId="77777777" w:rsidTr="008932F0">
        <w:tblPrEx>
          <w:tblW w:w="8400" w:type="dxa"/>
          <w:jc w:val="center"/>
          <w:tblLook w:val="04A0"/>
        </w:tblPrEx>
        <w:trPr>
          <w:trHeight w:val="290"/>
          <w:jc w:val="center"/>
        </w:trPr>
        <w:tc>
          <w:tcPr>
            <w:tcW w:w="1303" w:type="dxa"/>
            <w:tcBorders>
              <w:top w:val="nil"/>
              <w:left w:val="single" w:sz="8" w:space="0" w:color="auto"/>
              <w:bottom w:val="nil"/>
              <w:right w:val="nil"/>
            </w:tcBorders>
            <w:vAlign w:val="center"/>
            <w:hideMark/>
          </w:tcPr>
          <w:p w:rsidR="008A6B96" w:rsidRPr="006B29C9" w:rsidP="008932F0" w14:paraId="054A3C7A" w14:textId="77777777">
            <w:pPr>
              <w:jc w:val="center"/>
              <w:rPr>
                <w:rFonts w:ascii="Calibri" w:eastAsia="Times New Roman" w:hAnsi="Calibri" w:cs="Calibri"/>
                <w:color w:val="000000"/>
              </w:rPr>
            </w:pPr>
            <w:r w:rsidRPr="006B29C9">
              <w:rPr>
                <w:rFonts w:ascii="Calibri" w:eastAsia="Times New Roman" w:hAnsi="Calibri" w:cs="Calibri"/>
                <w:color w:val="000000"/>
              </w:rPr>
              <w:t>Jun-25</w:t>
            </w:r>
          </w:p>
        </w:tc>
        <w:tc>
          <w:tcPr>
            <w:tcW w:w="1306" w:type="dxa"/>
            <w:tcBorders>
              <w:top w:val="nil"/>
              <w:left w:val="single" w:sz="8" w:space="0" w:color="auto"/>
              <w:bottom w:val="nil"/>
              <w:right w:val="single" w:sz="8" w:space="0" w:color="auto"/>
            </w:tcBorders>
            <w:vAlign w:val="center"/>
            <w:hideMark/>
          </w:tcPr>
          <w:p w:rsidR="008A6B96" w:rsidRPr="006B29C9" w:rsidP="008932F0" w14:paraId="0BFECAAF" w14:textId="77777777">
            <w:pPr>
              <w:jc w:val="center"/>
              <w:rPr>
                <w:rFonts w:ascii="Calibri" w:eastAsia="Times New Roman" w:hAnsi="Calibri" w:cs="Calibri"/>
                <w:color w:val="000000"/>
              </w:rPr>
            </w:pPr>
            <w:r w:rsidRPr="006B29C9">
              <w:rPr>
                <w:rFonts w:ascii="Calibri" w:eastAsia="Times New Roman" w:hAnsi="Calibri" w:cs="Calibri"/>
                <w:color w:val="000000"/>
              </w:rPr>
              <w:t>MARTS</w:t>
            </w:r>
          </w:p>
        </w:tc>
        <w:tc>
          <w:tcPr>
            <w:tcW w:w="1272" w:type="dxa"/>
            <w:tcBorders>
              <w:top w:val="single" w:sz="8" w:space="0" w:color="auto"/>
              <w:left w:val="nil"/>
              <w:bottom w:val="nil"/>
              <w:right w:val="nil"/>
            </w:tcBorders>
            <w:vAlign w:val="center"/>
            <w:hideMark/>
          </w:tcPr>
          <w:p w:rsidR="008A6B96" w:rsidRPr="006B29C9" w:rsidP="008932F0" w14:paraId="48B259CD" w14:textId="77777777">
            <w:pPr>
              <w:jc w:val="center"/>
              <w:rPr>
                <w:rFonts w:ascii="Calibri" w:eastAsia="Times New Roman" w:hAnsi="Calibri" w:cs="Calibri"/>
                <w:color w:val="000000"/>
              </w:rPr>
            </w:pPr>
            <w:r w:rsidRPr="006B29C9">
              <w:rPr>
                <w:rFonts w:ascii="Calibri" w:eastAsia="Times New Roman" w:hAnsi="Calibri" w:cs="Calibri"/>
                <w:color w:val="000000"/>
              </w:rPr>
              <w:t>1%</w:t>
            </w:r>
          </w:p>
        </w:tc>
        <w:tc>
          <w:tcPr>
            <w:tcW w:w="1323" w:type="dxa"/>
            <w:tcBorders>
              <w:top w:val="single" w:sz="8" w:space="0" w:color="auto"/>
              <w:left w:val="single" w:sz="8" w:space="0" w:color="auto"/>
              <w:bottom w:val="nil"/>
              <w:right w:val="single" w:sz="8" w:space="0" w:color="auto"/>
            </w:tcBorders>
            <w:vAlign w:val="center"/>
            <w:hideMark/>
          </w:tcPr>
          <w:p w:rsidR="008A6B96" w:rsidRPr="006B29C9" w:rsidP="008932F0" w14:paraId="7D2BF4D5" w14:textId="77777777">
            <w:pPr>
              <w:jc w:val="center"/>
              <w:rPr>
                <w:rFonts w:ascii="Calibri" w:eastAsia="Times New Roman" w:hAnsi="Calibri" w:cs="Calibri"/>
                <w:color w:val="000000"/>
              </w:rPr>
            </w:pPr>
            <w:r w:rsidRPr="006B29C9">
              <w:rPr>
                <w:rFonts w:ascii="Calibri" w:eastAsia="Times New Roman" w:hAnsi="Calibri" w:cs="Calibri"/>
                <w:color w:val="000000"/>
              </w:rPr>
              <w:t>92%</w:t>
            </w:r>
          </w:p>
        </w:tc>
        <w:tc>
          <w:tcPr>
            <w:tcW w:w="1914" w:type="dxa"/>
            <w:tcBorders>
              <w:top w:val="single" w:sz="8" w:space="0" w:color="auto"/>
              <w:left w:val="nil"/>
              <w:bottom w:val="nil"/>
              <w:right w:val="single" w:sz="8" w:space="0" w:color="auto"/>
            </w:tcBorders>
            <w:vAlign w:val="center"/>
            <w:hideMark/>
          </w:tcPr>
          <w:p w:rsidR="008A6B96" w:rsidRPr="006B29C9" w:rsidP="008932F0" w14:paraId="1A5C925B" w14:textId="77777777">
            <w:pPr>
              <w:jc w:val="center"/>
              <w:rPr>
                <w:rFonts w:ascii="Calibri" w:eastAsia="Times New Roman" w:hAnsi="Calibri" w:cs="Calibri"/>
                <w:color w:val="000000"/>
              </w:rPr>
            </w:pPr>
            <w:r w:rsidRPr="006B29C9">
              <w:rPr>
                <w:rFonts w:ascii="Calibri" w:eastAsia="Times New Roman" w:hAnsi="Calibri" w:cs="Calibri"/>
                <w:color w:val="000000"/>
              </w:rPr>
              <w:t>7%</w:t>
            </w:r>
          </w:p>
        </w:tc>
        <w:tc>
          <w:tcPr>
            <w:tcW w:w="1282" w:type="dxa"/>
            <w:tcBorders>
              <w:top w:val="single" w:sz="8" w:space="0" w:color="auto"/>
              <w:left w:val="nil"/>
              <w:bottom w:val="nil"/>
              <w:right w:val="single" w:sz="8" w:space="0" w:color="auto"/>
            </w:tcBorders>
            <w:vAlign w:val="center"/>
            <w:hideMark/>
          </w:tcPr>
          <w:p w:rsidR="008A6B96" w:rsidRPr="006B29C9" w:rsidP="008932F0" w14:paraId="6C677403" w14:textId="77777777">
            <w:pPr>
              <w:jc w:val="center"/>
              <w:rPr>
                <w:rFonts w:ascii="Calibri" w:eastAsia="Times New Roman" w:hAnsi="Calibri" w:cs="Calibri"/>
                <w:color w:val="000000"/>
              </w:rPr>
            </w:pPr>
            <w:r w:rsidRPr="006B29C9">
              <w:rPr>
                <w:rFonts w:ascii="Calibri" w:eastAsia="Times New Roman" w:hAnsi="Calibri" w:cs="Calibri"/>
                <w:color w:val="000000"/>
              </w:rPr>
              <w:t>100%</w:t>
            </w:r>
          </w:p>
        </w:tc>
      </w:tr>
      <w:tr w14:paraId="19747900" w14:textId="77777777" w:rsidTr="008932F0">
        <w:tblPrEx>
          <w:tblW w:w="8400" w:type="dxa"/>
          <w:jc w:val="center"/>
          <w:tblLook w:val="04A0"/>
        </w:tblPrEx>
        <w:trPr>
          <w:trHeight w:val="290"/>
          <w:jc w:val="center"/>
        </w:trPr>
        <w:tc>
          <w:tcPr>
            <w:tcW w:w="1303" w:type="dxa"/>
            <w:tcBorders>
              <w:top w:val="nil"/>
              <w:left w:val="single" w:sz="8" w:space="0" w:color="auto"/>
              <w:bottom w:val="nil"/>
              <w:right w:val="nil"/>
            </w:tcBorders>
            <w:vAlign w:val="center"/>
            <w:hideMark/>
          </w:tcPr>
          <w:p w:rsidR="008A6B96" w:rsidRPr="006B29C9" w:rsidP="008932F0" w14:paraId="77FF0929" w14:textId="77777777">
            <w:pPr>
              <w:jc w:val="center"/>
              <w:rPr>
                <w:rFonts w:ascii="Calibri" w:eastAsia="Times New Roman" w:hAnsi="Calibri" w:cs="Calibri"/>
                <w:color w:val="000000"/>
              </w:rPr>
            </w:pPr>
            <w:r w:rsidRPr="006B29C9">
              <w:rPr>
                <w:rFonts w:ascii="Calibri" w:eastAsia="Times New Roman" w:hAnsi="Calibri" w:cs="Calibri"/>
                <w:color w:val="000000"/>
              </w:rPr>
              <w:t>May-25</w:t>
            </w:r>
          </w:p>
        </w:tc>
        <w:tc>
          <w:tcPr>
            <w:tcW w:w="1306" w:type="dxa"/>
            <w:tcBorders>
              <w:top w:val="nil"/>
              <w:left w:val="single" w:sz="8" w:space="0" w:color="auto"/>
              <w:bottom w:val="nil"/>
              <w:right w:val="single" w:sz="8" w:space="0" w:color="auto"/>
            </w:tcBorders>
            <w:vAlign w:val="center"/>
            <w:hideMark/>
          </w:tcPr>
          <w:p w:rsidR="008A6B96" w:rsidRPr="006B29C9" w:rsidP="008932F0" w14:paraId="0E0F5ABD" w14:textId="77777777">
            <w:pPr>
              <w:jc w:val="center"/>
              <w:rPr>
                <w:rFonts w:ascii="Calibri" w:eastAsia="Times New Roman" w:hAnsi="Calibri" w:cs="Calibri"/>
                <w:color w:val="000000"/>
              </w:rPr>
            </w:pPr>
            <w:r w:rsidRPr="006B29C9">
              <w:rPr>
                <w:rFonts w:ascii="Calibri" w:eastAsia="Times New Roman" w:hAnsi="Calibri" w:cs="Calibri"/>
                <w:color w:val="000000"/>
              </w:rPr>
              <w:t>MARTS</w:t>
            </w:r>
          </w:p>
        </w:tc>
        <w:tc>
          <w:tcPr>
            <w:tcW w:w="1272" w:type="dxa"/>
            <w:tcBorders>
              <w:top w:val="nil"/>
              <w:left w:val="nil"/>
              <w:bottom w:val="nil"/>
              <w:right w:val="nil"/>
            </w:tcBorders>
            <w:vAlign w:val="center"/>
            <w:hideMark/>
          </w:tcPr>
          <w:p w:rsidR="008A6B96" w:rsidRPr="006B29C9" w:rsidP="008932F0" w14:paraId="7E18CD69" w14:textId="77777777">
            <w:pPr>
              <w:jc w:val="center"/>
              <w:rPr>
                <w:rFonts w:ascii="Calibri" w:eastAsia="Times New Roman" w:hAnsi="Calibri" w:cs="Calibri"/>
                <w:color w:val="000000"/>
              </w:rPr>
            </w:pPr>
            <w:r w:rsidRPr="006B29C9">
              <w:rPr>
                <w:rFonts w:ascii="Calibri" w:eastAsia="Times New Roman" w:hAnsi="Calibri" w:cs="Calibri"/>
                <w:color w:val="000000"/>
              </w:rPr>
              <w:t>2%</w:t>
            </w:r>
          </w:p>
        </w:tc>
        <w:tc>
          <w:tcPr>
            <w:tcW w:w="1323" w:type="dxa"/>
            <w:tcBorders>
              <w:top w:val="nil"/>
              <w:left w:val="single" w:sz="8" w:space="0" w:color="auto"/>
              <w:bottom w:val="nil"/>
              <w:right w:val="single" w:sz="8" w:space="0" w:color="auto"/>
            </w:tcBorders>
            <w:vAlign w:val="center"/>
            <w:hideMark/>
          </w:tcPr>
          <w:p w:rsidR="008A6B96" w:rsidRPr="006B29C9" w:rsidP="008932F0" w14:paraId="188D43A9" w14:textId="77777777">
            <w:pPr>
              <w:jc w:val="center"/>
              <w:rPr>
                <w:rFonts w:ascii="Calibri" w:eastAsia="Times New Roman" w:hAnsi="Calibri" w:cs="Calibri"/>
                <w:color w:val="000000"/>
              </w:rPr>
            </w:pPr>
            <w:r w:rsidRPr="006B29C9">
              <w:rPr>
                <w:rFonts w:ascii="Calibri" w:eastAsia="Times New Roman" w:hAnsi="Calibri" w:cs="Calibri"/>
                <w:color w:val="000000"/>
              </w:rPr>
              <w:t>91%</w:t>
            </w:r>
          </w:p>
        </w:tc>
        <w:tc>
          <w:tcPr>
            <w:tcW w:w="1914" w:type="dxa"/>
            <w:tcBorders>
              <w:top w:val="nil"/>
              <w:left w:val="nil"/>
              <w:bottom w:val="nil"/>
              <w:right w:val="single" w:sz="8" w:space="0" w:color="auto"/>
            </w:tcBorders>
            <w:vAlign w:val="center"/>
            <w:hideMark/>
          </w:tcPr>
          <w:p w:rsidR="008A6B96" w:rsidRPr="006B29C9" w:rsidP="008932F0" w14:paraId="7E697073" w14:textId="77777777">
            <w:pPr>
              <w:jc w:val="center"/>
              <w:rPr>
                <w:rFonts w:ascii="Calibri" w:eastAsia="Times New Roman" w:hAnsi="Calibri" w:cs="Calibri"/>
                <w:color w:val="000000"/>
              </w:rPr>
            </w:pPr>
            <w:r w:rsidRPr="006B29C9">
              <w:rPr>
                <w:rFonts w:ascii="Calibri" w:eastAsia="Times New Roman" w:hAnsi="Calibri" w:cs="Calibri"/>
                <w:color w:val="000000"/>
              </w:rPr>
              <w:t>8%</w:t>
            </w:r>
          </w:p>
        </w:tc>
        <w:tc>
          <w:tcPr>
            <w:tcW w:w="1282" w:type="dxa"/>
            <w:tcBorders>
              <w:top w:val="nil"/>
              <w:left w:val="nil"/>
              <w:bottom w:val="nil"/>
              <w:right w:val="single" w:sz="8" w:space="0" w:color="auto"/>
            </w:tcBorders>
            <w:vAlign w:val="center"/>
            <w:hideMark/>
          </w:tcPr>
          <w:p w:rsidR="008A6B96" w:rsidRPr="006B29C9" w:rsidP="008932F0" w14:paraId="2E0BE59D" w14:textId="77777777">
            <w:pPr>
              <w:jc w:val="center"/>
              <w:rPr>
                <w:rFonts w:ascii="Calibri" w:eastAsia="Times New Roman" w:hAnsi="Calibri" w:cs="Calibri"/>
                <w:color w:val="000000"/>
              </w:rPr>
            </w:pPr>
            <w:r w:rsidRPr="006B29C9">
              <w:rPr>
                <w:rFonts w:ascii="Calibri" w:eastAsia="Times New Roman" w:hAnsi="Calibri" w:cs="Calibri"/>
                <w:color w:val="000000"/>
              </w:rPr>
              <w:t>100%</w:t>
            </w:r>
          </w:p>
        </w:tc>
      </w:tr>
      <w:tr w14:paraId="6130024F" w14:textId="77777777" w:rsidTr="008932F0">
        <w:tblPrEx>
          <w:tblW w:w="8400" w:type="dxa"/>
          <w:jc w:val="center"/>
          <w:tblLook w:val="04A0"/>
        </w:tblPrEx>
        <w:trPr>
          <w:trHeight w:val="290"/>
          <w:jc w:val="center"/>
        </w:trPr>
        <w:tc>
          <w:tcPr>
            <w:tcW w:w="1303" w:type="dxa"/>
            <w:tcBorders>
              <w:top w:val="nil"/>
              <w:left w:val="single" w:sz="8" w:space="0" w:color="auto"/>
              <w:bottom w:val="nil"/>
              <w:right w:val="nil"/>
            </w:tcBorders>
            <w:vAlign w:val="center"/>
            <w:hideMark/>
          </w:tcPr>
          <w:p w:rsidR="008A6B96" w:rsidRPr="006B29C9" w:rsidP="008932F0" w14:paraId="2452BAFC" w14:textId="77777777">
            <w:pPr>
              <w:jc w:val="center"/>
              <w:rPr>
                <w:rFonts w:ascii="Calibri" w:eastAsia="Times New Roman" w:hAnsi="Calibri" w:cs="Calibri"/>
                <w:color w:val="000000"/>
              </w:rPr>
            </w:pPr>
            <w:r w:rsidRPr="006B29C9">
              <w:rPr>
                <w:rFonts w:ascii="Calibri" w:eastAsia="Times New Roman" w:hAnsi="Calibri" w:cs="Calibri"/>
                <w:color w:val="000000"/>
              </w:rPr>
              <w:t>Apr-25</w:t>
            </w:r>
          </w:p>
        </w:tc>
        <w:tc>
          <w:tcPr>
            <w:tcW w:w="1306" w:type="dxa"/>
            <w:tcBorders>
              <w:top w:val="nil"/>
              <w:left w:val="single" w:sz="8" w:space="0" w:color="auto"/>
              <w:bottom w:val="nil"/>
              <w:right w:val="single" w:sz="8" w:space="0" w:color="auto"/>
            </w:tcBorders>
            <w:vAlign w:val="center"/>
            <w:hideMark/>
          </w:tcPr>
          <w:p w:rsidR="008A6B96" w:rsidRPr="006B29C9" w:rsidP="008932F0" w14:paraId="14DC220D" w14:textId="77777777">
            <w:pPr>
              <w:jc w:val="center"/>
              <w:rPr>
                <w:rFonts w:ascii="Calibri" w:eastAsia="Times New Roman" w:hAnsi="Calibri" w:cs="Calibri"/>
                <w:color w:val="000000"/>
              </w:rPr>
            </w:pPr>
            <w:r w:rsidRPr="006B29C9">
              <w:rPr>
                <w:rFonts w:ascii="Calibri" w:eastAsia="Times New Roman" w:hAnsi="Calibri" w:cs="Calibri"/>
                <w:color w:val="000000"/>
              </w:rPr>
              <w:t>MARTS</w:t>
            </w:r>
          </w:p>
        </w:tc>
        <w:tc>
          <w:tcPr>
            <w:tcW w:w="1272" w:type="dxa"/>
            <w:tcBorders>
              <w:top w:val="nil"/>
              <w:left w:val="nil"/>
              <w:bottom w:val="nil"/>
              <w:right w:val="nil"/>
            </w:tcBorders>
            <w:vAlign w:val="center"/>
            <w:hideMark/>
          </w:tcPr>
          <w:p w:rsidR="008A6B96" w:rsidRPr="006B29C9" w:rsidP="008932F0" w14:paraId="5C1311A8" w14:textId="77777777">
            <w:pPr>
              <w:jc w:val="center"/>
              <w:rPr>
                <w:rFonts w:ascii="Calibri" w:eastAsia="Times New Roman" w:hAnsi="Calibri" w:cs="Calibri"/>
                <w:color w:val="000000"/>
              </w:rPr>
            </w:pPr>
            <w:r w:rsidRPr="006B29C9">
              <w:rPr>
                <w:rFonts w:ascii="Calibri" w:eastAsia="Times New Roman" w:hAnsi="Calibri" w:cs="Calibri"/>
                <w:color w:val="000000"/>
              </w:rPr>
              <w:t>1%</w:t>
            </w:r>
          </w:p>
        </w:tc>
        <w:tc>
          <w:tcPr>
            <w:tcW w:w="1323" w:type="dxa"/>
            <w:tcBorders>
              <w:top w:val="nil"/>
              <w:left w:val="single" w:sz="8" w:space="0" w:color="auto"/>
              <w:bottom w:val="nil"/>
              <w:right w:val="single" w:sz="8" w:space="0" w:color="auto"/>
            </w:tcBorders>
            <w:vAlign w:val="center"/>
            <w:hideMark/>
          </w:tcPr>
          <w:p w:rsidR="008A6B96" w:rsidRPr="006B29C9" w:rsidP="008932F0" w14:paraId="62993811" w14:textId="77777777">
            <w:pPr>
              <w:jc w:val="center"/>
              <w:rPr>
                <w:rFonts w:ascii="Calibri" w:eastAsia="Times New Roman" w:hAnsi="Calibri" w:cs="Calibri"/>
                <w:color w:val="000000"/>
              </w:rPr>
            </w:pPr>
            <w:r w:rsidRPr="006B29C9">
              <w:rPr>
                <w:rFonts w:ascii="Calibri" w:eastAsia="Times New Roman" w:hAnsi="Calibri" w:cs="Calibri"/>
                <w:color w:val="000000"/>
              </w:rPr>
              <w:t>91%</w:t>
            </w:r>
          </w:p>
        </w:tc>
        <w:tc>
          <w:tcPr>
            <w:tcW w:w="1914" w:type="dxa"/>
            <w:tcBorders>
              <w:top w:val="nil"/>
              <w:left w:val="nil"/>
              <w:bottom w:val="nil"/>
              <w:right w:val="single" w:sz="8" w:space="0" w:color="auto"/>
            </w:tcBorders>
            <w:vAlign w:val="center"/>
            <w:hideMark/>
          </w:tcPr>
          <w:p w:rsidR="008A6B96" w:rsidRPr="006B29C9" w:rsidP="008932F0" w14:paraId="2B08BC71" w14:textId="77777777">
            <w:pPr>
              <w:jc w:val="center"/>
              <w:rPr>
                <w:rFonts w:ascii="Calibri" w:eastAsia="Times New Roman" w:hAnsi="Calibri" w:cs="Calibri"/>
                <w:color w:val="000000"/>
              </w:rPr>
            </w:pPr>
            <w:r w:rsidRPr="006B29C9">
              <w:rPr>
                <w:rFonts w:ascii="Calibri" w:eastAsia="Times New Roman" w:hAnsi="Calibri" w:cs="Calibri"/>
                <w:color w:val="000000"/>
              </w:rPr>
              <w:t>7%</w:t>
            </w:r>
          </w:p>
        </w:tc>
        <w:tc>
          <w:tcPr>
            <w:tcW w:w="1282" w:type="dxa"/>
            <w:tcBorders>
              <w:top w:val="nil"/>
              <w:left w:val="nil"/>
              <w:bottom w:val="nil"/>
              <w:right w:val="single" w:sz="8" w:space="0" w:color="auto"/>
            </w:tcBorders>
            <w:vAlign w:val="center"/>
            <w:hideMark/>
          </w:tcPr>
          <w:p w:rsidR="008A6B96" w:rsidRPr="006B29C9" w:rsidP="008932F0" w14:paraId="093213D8" w14:textId="77777777">
            <w:pPr>
              <w:jc w:val="center"/>
              <w:rPr>
                <w:rFonts w:ascii="Calibri" w:eastAsia="Times New Roman" w:hAnsi="Calibri" w:cs="Calibri"/>
                <w:color w:val="000000"/>
              </w:rPr>
            </w:pPr>
            <w:r w:rsidRPr="006B29C9">
              <w:rPr>
                <w:rFonts w:ascii="Calibri" w:eastAsia="Times New Roman" w:hAnsi="Calibri" w:cs="Calibri"/>
                <w:color w:val="000000"/>
              </w:rPr>
              <w:t>100%</w:t>
            </w:r>
          </w:p>
        </w:tc>
      </w:tr>
      <w:tr w14:paraId="0259B6A6" w14:textId="77777777" w:rsidTr="008932F0">
        <w:tblPrEx>
          <w:tblW w:w="8400" w:type="dxa"/>
          <w:jc w:val="center"/>
          <w:tblLook w:val="04A0"/>
        </w:tblPrEx>
        <w:trPr>
          <w:trHeight w:val="290"/>
          <w:jc w:val="center"/>
        </w:trPr>
        <w:tc>
          <w:tcPr>
            <w:tcW w:w="1303" w:type="dxa"/>
            <w:tcBorders>
              <w:top w:val="nil"/>
              <w:left w:val="single" w:sz="8" w:space="0" w:color="auto"/>
              <w:bottom w:val="nil"/>
              <w:right w:val="nil"/>
            </w:tcBorders>
            <w:vAlign w:val="center"/>
            <w:hideMark/>
          </w:tcPr>
          <w:p w:rsidR="008A6B96" w:rsidRPr="006B29C9" w:rsidP="008932F0" w14:paraId="09D57D6C" w14:textId="77777777">
            <w:pPr>
              <w:jc w:val="center"/>
              <w:rPr>
                <w:rFonts w:ascii="Calibri" w:eastAsia="Times New Roman" w:hAnsi="Calibri" w:cs="Calibri"/>
                <w:color w:val="000000"/>
              </w:rPr>
            </w:pPr>
            <w:r w:rsidRPr="006B29C9">
              <w:rPr>
                <w:rFonts w:ascii="Calibri" w:eastAsia="Times New Roman" w:hAnsi="Calibri" w:cs="Calibri"/>
                <w:color w:val="000000"/>
              </w:rPr>
              <w:t>Mar-25</w:t>
            </w:r>
          </w:p>
        </w:tc>
        <w:tc>
          <w:tcPr>
            <w:tcW w:w="1306" w:type="dxa"/>
            <w:tcBorders>
              <w:top w:val="nil"/>
              <w:left w:val="single" w:sz="8" w:space="0" w:color="auto"/>
              <w:bottom w:val="nil"/>
              <w:right w:val="single" w:sz="8" w:space="0" w:color="auto"/>
            </w:tcBorders>
            <w:vAlign w:val="center"/>
            <w:hideMark/>
          </w:tcPr>
          <w:p w:rsidR="008A6B96" w:rsidRPr="006B29C9" w:rsidP="008932F0" w14:paraId="5E396137" w14:textId="77777777">
            <w:pPr>
              <w:jc w:val="center"/>
              <w:rPr>
                <w:rFonts w:ascii="Calibri" w:eastAsia="Times New Roman" w:hAnsi="Calibri" w:cs="Calibri"/>
                <w:color w:val="000000"/>
              </w:rPr>
            </w:pPr>
            <w:r w:rsidRPr="006B29C9">
              <w:rPr>
                <w:rFonts w:ascii="Calibri" w:eastAsia="Times New Roman" w:hAnsi="Calibri" w:cs="Calibri"/>
                <w:color w:val="000000"/>
              </w:rPr>
              <w:t>MARTS</w:t>
            </w:r>
          </w:p>
        </w:tc>
        <w:tc>
          <w:tcPr>
            <w:tcW w:w="1272" w:type="dxa"/>
            <w:tcBorders>
              <w:top w:val="nil"/>
              <w:left w:val="nil"/>
              <w:bottom w:val="nil"/>
              <w:right w:val="nil"/>
            </w:tcBorders>
            <w:vAlign w:val="center"/>
            <w:hideMark/>
          </w:tcPr>
          <w:p w:rsidR="008A6B96" w:rsidRPr="006B29C9" w:rsidP="008932F0" w14:paraId="5A5351AC" w14:textId="77777777">
            <w:pPr>
              <w:jc w:val="center"/>
              <w:rPr>
                <w:rFonts w:ascii="Calibri" w:eastAsia="Times New Roman" w:hAnsi="Calibri" w:cs="Calibri"/>
                <w:color w:val="000000"/>
              </w:rPr>
            </w:pPr>
            <w:r w:rsidRPr="006B29C9">
              <w:rPr>
                <w:rFonts w:ascii="Calibri" w:eastAsia="Times New Roman" w:hAnsi="Calibri" w:cs="Calibri"/>
                <w:color w:val="000000"/>
              </w:rPr>
              <w:t>1%</w:t>
            </w:r>
          </w:p>
        </w:tc>
        <w:tc>
          <w:tcPr>
            <w:tcW w:w="1323" w:type="dxa"/>
            <w:tcBorders>
              <w:top w:val="nil"/>
              <w:left w:val="single" w:sz="8" w:space="0" w:color="auto"/>
              <w:bottom w:val="nil"/>
              <w:right w:val="single" w:sz="8" w:space="0" w:color="auto"/>
            </w:tcBorders>
            <w:vAlign w:val="center"/>
            <w:hideMark/>
          </w:tcPr>
          <w:p w:rsidR="008A6B96" w:rsidRPr="006B29C9" w:rsidP="008932F0" w14:paraId="49711364" w14:textId="77777777">
            <w:pPr>
              <w:jc w:val="center"/>
              <w:rPr>
                <w:rFonts w:ascii="Calibri" w:eastAsia="Times New Roman" w:hAnsi="Calibri" w:cs="Calibri"/>
                <w:color w:val="000000"/>
              </w:rPr>
            </w:pPr>
            <w:r w:rsidRPr="006B29C9">
              <w:rPr>
                <w:rFonts w:ascii="Calibri" w:eastAsia="Times New Roman" w:hAnsi="Calibri" w:cs="Calibri"/>
                <w:color w:val="000000"/>
              </w:rPr>
              <w:t>92%</w:t>
            </w:r>
          </w:p>
        </w:tc>
        <w:tc>
          <w:tcPr>
            <w:tcW w:w="1914" w:type="dxa"/>
            <w:tcBorders>
              <w:top w:val="nil"/>
              <w:left w:val="nil"/>
              <w:bottom w:val="nil"/>
              <w:right w:val="single" w:sz="8" w:space="0" w:color="auto"/>
            </w:tcBorders>
            <w:vAlign w:val="center"/>
            <w:hideMark/>
          </w:tcPr>
          <w:p w:rsidR="008A6B96" w:rsidRPr="006B29C9" w:rsidP="008932F0" w14:paraId="1201D05A" w14:textId="77777777">
            <w:pPr>
              <w:jc w:val="center"/>
              <w:rPr>
                <w:rFonts w:ascii="Calibri" w:eastAsia="Times New Roman" w:hAnsi="Calibri" w:cs="Calibri"/>
                <w:color w:val="000000"/>
              </w:rPr>
            </w:pPr>
            <w:r w:rsidRPr="006B29C9">
              <w:rPr>
                <w:rFonts w:ascii="Calibri" w:eastAsia="Times New Roman" w:hAnsi="Calibri" w:cs="Calibri"/>
                <w:color w:val="000000"/>
              </w:rPr>
              <w:t>7%</w:t>
            </w:r>
          </w:p>
        </w:tc>
        <w:tc>
          <w:tcPr>
            <w:tcW w:w="1282" w:type="dxa"/>
            <w:tcBorders>
              <w:top w:val="nil"/>
              <w:left w:val="nil"/>
              <w:bottom w:val="nil"/>
              <w:right w:val="single" w:sz="8" w:space="0" w:color="auto"/>
            </w:tcBorders>
            <w:vAlign w:val="center"/>
            <w:hideMark/>
          </w:tcPr>
          <w:p w:rsidR="008A6B96" w:rsidRPr="006B29C9" w:rsidP="008932F0" w14:paraId="6AA2CB2F" w14:textId="77777777">
            <w:pPr>
              <w:jc w:val="center"/>
              <w:rPr>
                <w:rFonts w:ascii="Calibri" w:eastAsia="Times New Roman" w:hAnsi="Calibri" w:cs="Calibri"/>
                <w:color w:val="000000"/>
              </w:rPr>
            </w:pPr>
            <w:r w:rsidRPr="006B29C9">
              <w:rPr>
                <w:rFonts w:ascii="Calibri" w:eastAsia="Times New Roman" w:hAnsi="Calibri" w:cs="Calibri"/>
                <w:color w:val="000000"/>
              </w:rPr>
              <w:t>100%</w:t>
            </w:r>
          </w:p>
        </w:tc>
      </w:tr>
      <w:tr w14:paraId="6413DA87" w14:textId="77777777" w:rsidTr="008932F0">
        <w:tblPrEx>
          <w:tblW w:w="8400" w:type="dxa"/>
          <w:jc w:val="center"/>
          <w:tblLook w:val="04A0"/>
        </w:tblPrEx>
        <w:trPr>
          <w:trHeight w:val="290"/>
          <w:jc w:val="center"/>
        </w:trPr>
        <w:tc>
          <w:tcPr>
            <w:tcW w:w="1303" w:type="dxa"/>
            <w:tcBorders>
              <w:top w:val="nil"/>
              <w:left w:val="single" w:sz="8" w:space="0" w:color="auto"/>
              <w:bottom w:val="nil"/>
              <w:right w:val="nil"/>
            </w:tcBorders>
            <w:vAlign w:val="center"/>
            <w:hideMark/>
          </w:tcPr>
          <w:p w:rsidR="008A6B96" w:rsidRPr="006B29C9" w:rsidP="008932F0" w14:paraId="46C0B959" w14:textId="77777777">
            <w:pPr>
              <w:jc w:val="center"/>
              <w:rPr>
                <w:rFonts w:ascii="Calibri" w:eastAsia="Times New Roman" w:hAnsi="Calibri" w:cs="Calibri"/>
                <w:color w:val="000000"/>
              </w:rPr>
            </w:pPr>
            <w:r w:rsidRPr="006B29C9">
              <w:rPr>
                <w:rFonts w:ascii="Calibri" w:eastAsia="Times New Roman" w:hAnsi="Calibri" w:cs="Calibri"/>
                <w:color w:val="000000"/>
              </w:rPr>
              <w:t>Feb-25</w:t>
            </w:r>
          </w:p>
        </w:tc>
        <w:tc>
          <w:tcPr>
            <w:tcW w:w="1306" w:type="dxa"/>
            <w:tcBorders>
              <w:top w:val="nil"/>
              <w:left w:val="single" w:sz="8" w:space="0" w:color="auto"/>
              <w:bottom w:val="nil"/>
              <w:right w:val="single" w:sz="8" w:space="0" w:color="auto"/>
            </w:tcBorders>
            <w:vAlign w:val="center"/>
            <w:hideMark/>
          </w:tcPr>
          <w:p w:rsidR="008A6B96" w:rsidRPr="006B29C9" w:rsidP="008932F0" w14:paraId="6A936A44" w14:textId="77777777">
            <w:pPr>
              <w:jc w:val="center"/>
              <w:rPr>
                <w:rFonts w:ascii="Calibri" w:eastAsia="Times New Roman" w:hAnsi="Calibri" w:cs="Calibri"/>
                <w:color w:val="000000"/>
              </w:rPr>
            </w:pPr>
            <w:r w:rsidRPr="006B29C9">
              <w:rPr>
                <w:rFonts w:ascii="Calibri" w:eastAsia="Times New Roman" w:hAnsi="Calibri" w:cs="Calibri"/>
                <w:color w:val="000000"/>
              </w:rPr>
              <w:t>MARTS</w:t>
            </w:r>
          </w:p>
        </w:tc>
        <w:tc>
          <w:tcPr>
            <w:tcW w:w="1272" w:type="dxa"/>
            <w:tcBorders>
              <w:top w:val="nil"/>
              <w:left w:val="nil"/>
              <w:bottom w:val="nil"/>
              <w:right w:val="nil"/>
            </w:tcBorders>
            <w:vAlign w:val="center"/>
            <w:hideMark/>
          </w:tcPr>
          <w:p w:rsidR="008A6B96" w:rsidRPr="006B29C9" w:rsidP="008932F0" w14:paraId="3460A8DE" w14:textId="77777777">
            <w:pPr>
              <w:jc w:val="center"/>
              <w:rPr>
                <w:rFonts w:ascii="Calibri" w:eastAsia="Times New Roman" w:hAnsi="Calibri" w:cs="Calibri"/>
                <w:color w:val="000000"/>
              </w:rPr>
            </w:pPr>
            <w:r w:rsidRPr="006B29C9">
              <w:rPr>
                <w:rFonts w:ascii="Calibri" w:eastAsia="Times New Roman" w:hAnsi="Calibri" w:cs="Calibri"/>
                <w:color w:val="000000"/>
              </w:rPr>
              <w:t>1%</w:t>
            </w:r>
          </w:p>
        </w:tc>
        <w:tc>
          <w:tcPr>
            <w:tcW w:w="1323" w:type="dxa"/>
            <w:tcBorders>
              <w:top w:val="nil"/>
              <w:left w:val="single" w:sz="8" w:space="0" w:color="auto"/>
              <w:bottom w:val="nil"/>
              <w:right w:val="single" w:sz="8" w:space="0" w:color="auto"/>
            </w:tcBorders>
            <w:vAlign w:val="center"/>
            <w:hideMark/>
          </w:tcPr>
          <w:p w:rsidR="008A6B96" w:rsidRPr="006B29C9" w:rsidP="008932F0" w14:paraId="7B3B1148" w14:textId="77777777">
            <w:pPr>
              <w:jc w:val="center"/>
              <w:rPr>
                <w:rFonts w:ascii="Calibri" w:eastAsia="Times New Roman" w:hAnsi="Calibri" w:cs="Calibri"/>
                <w:color w:val="000000"/>
              </w:rPr>
            </w:pPr>
            <w:r w:rsidRPr="006B29C9">
              <w:rPr>
                <w:rFonts w:ascii="Calibri" w:eastAsia="Times New Roman" w:hAnsi="Calibri" w:cs="Calibri"/>
                <w:color w:val="000000"/>
              </w:rPr>
              <w:t>92%</w:t>
            </w:r>
          </w:p>
        </w:tc>
        <w:tc>
          <w:tcPr>
            <w:tcW w:w="1914" w:type="dxa"/>
            <w:tcBorders>
              <w:top w:val="nil"/>
              <w:left w:val="nil"/>
              <w:bottom w:val="nil"/>
              <w:right w:val="single" w:sz="8" w:space="0" w:color="auto"/>
            </w:tcBorders>
            <w:vAlign w:val="center"/>
            <w:hideMark/>
          </w:tcPr>
          <w:p w:rsidR="008A6B96" w:rsidRPr="006B29C9" w:rsidP="008932F0" w14:paraId="2412DFAF" w14:textId="77777777">
            <w:pPr>
              <w:jc w:val="center"/>
              <w:rPr>
                <w:rFonts w:ascii="Calibri" w:eastAsia="Times New Roman" w:hAnsi="Calibri" w:cs="Calibri"/>
                <w:color w:val="000000"/>
              </w:rPr>
            </w:pPr>
            <w:r w:rsidRPr="006B29C9">
              <w:rPr>
                <w:rFonts w:ascii="Calibri" w:eastAsia="Times New Roman" w:hAnsi="Calibri" w:cs="Calibri"/>
                <w:color w:val="000000"/>
              </w:rPr>
              <w:t>8%</w:t>
            </w:r>
          </w:p>
        </w:tc>
        <w:tc>
          <w:tcPr>
            <w:tcW w:w="1282" w:type="dxa"/>
            <w:tcBorders>
              <w:top w:val="nil"/>
              <w:left w:val="nil"/>
              <w:bottom w:val="nil"/>
              <w:right w:val="single" w:sz="8" w:space="0" w:color="auto"/>
            </w:tcBorders>
            <w:vAlign w:val="center"/>
            <w:hideMark/>
          </w:tcPr>
          <w:p w:rsidR="008A6B96" w:rsidRPr="006B29C9" w:rsidP="008932F0" w14:paraId="031BFF0A" w14:textId="77777777">
            <w:pPr>
              <w:jc w:val="center"/>
              <w:rPr>
                <w:rFonts w:ascii="Calibri" w:eastAsia="Times New Roman" w:hAnsi="Calibri" w:cs="Calibri"/>
                <w:color w:val="000000"/>
              </w:rPr>
            </w:pPr>
            <w:r w:rsidRPr="006B29C9">
              <w:rPr>
                <w:rFonts w:ascii="Calibri" w:eastAsia="Times New Roman" w:hAnsi="Calibri" w:cs="Calibri"/>
                <w:color w:val="000000"/>
              </w:rPr>
              <w:t>100%</w:t>
            </w:r>
          </w:p>
        </w:tc>
      </w:tr>
      <w:tr w14:paraId="57E27871" w14:textId="77777777" w:rsidTr="008932F0">
        <w:tblPrEx>
          <w:tblW w:w="8400" w:type="dxa"/>
          <w:jc w:val="center"/>
          <w:tblLook w:val="04A0"/>
        </w:tblPrEx>
        <w:trPr>
          <w:trHeight w:val="300"/>
          <w:jc w:val="center"/>
        </w:trPr>
        <w:tc>
          <w:tcPr>
            <w:tcW w:w="1303" w:type="dxa"/>
            <w:tcBorders>
              <w:top w:val="nil"/>
              <w:left w:val="single" w:sz="8" w:space="0" w:color="auto"/>
              <w:bottom w:val="single" w:sz="8" w:space="0" w:color="auto"/>
              <w:right w:val="nil"/>
            </w:tcBorders>
            <w:vAlign w:val="center"/>
            <w:hideMark/>
          </w:tcPr>
          <w:p w:rsidR="008A6B96" w:rsidRPr="006B29C9" w:rsidP="008932F0" w14:paraId="68B35A37" w14:textId="77777777">
            <w:pPr>
              <w:jc w:val="center"/>
              <w:rPr>
                <w:rFonts w:ascii="Calibri" w:eastAsia="Times New Roman" w:hAnsi="Calibri" w:cs="Calibri"/>
                <w:color w:val="000000"/>
              </w:rPr>
            </w:pPr>
            <w:r w:rsidRPr="006B29C9">
              <w:rPr>
                <w:rFonts w:ascii="Calibri" w:eastAsia="Times New Roman" w:hAnsi="Calibri" w:cs="Calibri"/>
                <w:color w:val="000000"/>
              </w:rPr>
              <w:t>Jan-25</w:t>
            </w:r>
          </w:p>
        </w:tc>
        <w:tc>
          <w:tcPr>
            <w:tcW w:w="1306" w:type="dxa"/>
            <w:tcBorders>
              <w:top w:val="nil"/>
              <w:left w:val="single" w:sz="8" w:space="0" w:color="auto"/>
              <w:bottom w:val="single" w:sz="8" w:space="0" w:color="auto"/>
              <w:right w:val="single" w:sz="8" w:space="0" w:color="auto"/>
            </w:tcBorders>
            <w:vAlign w:val="center"/>
            <w:hideMark/>
          </w:tcPr>
          <w:p w:rsidR="008A6B96" w:rsidRPr="006B29C9" w:rsidP="008932F0" w14:paraId="4398D369" w14:textId="77777777">
            <w:pPr>
              <w:jc w:val="center"/>
              <w:rPr>
                <w:rFonts w:ascii="Calibri" w:eastAsia="Times New Roman" w:hAnsi="Calibri" w:cs="Calibri"/>
                <w:color w:val="000000"/>
              </w:rPr>
            </w:pPr>
            <w:r w:rsidRPr="006B29C9">
              <w:rPr>
                <w:rFonts w:ascii="Calibri" w:eastAsia="Times New Roman" w:hAnsi="Calibri" w:cs="Calibri"/>
                <w:color w:val="000000"/>
              </w:rPr>
              <w:t>MARTS</w:t>
            </w:r>
          </w:p>
        </w:tc>
        <w:tc>
          <w:tcPr>
            <w:tcW w:w="1272" w:type="dxa"/>
            <w:tcBorders>
              <w:top w:val="nil"/>
              <w:left w:val="nil"/>
              <w:bottom w:val="single" w:sz="8" w:space="0" w:color="auto"/>
              <w:right w:val="nil"/>
            </w:tcBorders>
            <w:vAlign w:val="center"/>
            <w:hideMark/>
          </w:tcPr>
          <w:p w:rsidR="008A6B96" w:rsidRPr="006B29C9" w:rsidP="008932F0" w14:paraId="58F33E68" w14:textId="77777777">
            <w:pPr>
              <w:jc w:val="center"/>
              <w:rPr>
                <w:rFonts w:ascii="Calibri" w:eastAsia="Times New Roman" w:hAnsi="Calibri" w:cs="Calibri"/>
                <w:color w:val="000000"/>
              </w:rPr>
            </w:pPr>
            <w:r w:rsidRPr="006B29C9">
              <w:rPr>
                <w:rFonts w:ascii="Calibri" w:eastAsia="Times New Roman" w:hAnsi="Calibri" w:cs="Calibri"/>
                <w:color w:val="000000"/>
              </w:rPr>
              <w:t>1%</w:t>
            </w:r>
          </w:p>
        </w:tc>
        <w:tc>
          <w:tcPr>
            <w:tcW w:w="1323" w:type="dxa"/>
            <w:tcBorders>
              <w:top w:val="nil"/>
              <w:left w:val="single" w:sz="8" w:space="0" w:color="auto"/>
              <w:bottom w:val="single" w:sz="8" w:space="0" w:color="auto"/>
              <w:right w:val="single" w:sz="8" w:space="0" w:color="auto"/>
            </w:tcBorders>
            <w:vAlign w:val="center"/>
            <w:hideMark/>
          </w:tcPr>
          <w:p w:rsidR="008A6B96" w:rsidRPr="006B29C9" w:rsidP="008932F0" w14:paraId="06ADFEC4" w14:textId="77777777">
            <w:pPr>
              <w:jc w:val="center"/>
              <w:rPr>
                <w:rFonts w:ascii="Calibri" w:eastAsia="Times New Roman" w:hAnsi="Calibri" w:cs="Calibri"/>
                <w:color w:val="000000"/>
              </w:rPr>
            </w:pPr>
            <w:r w:rsidRPr="006B29C9">
              <w:rPr>
                <w:rFonts w:ascii="Calibri" w:eastAsia="Times New Roman" w:hAnsi="Calibri" w:cs="Calibri"/>
                <w:color w:val="000000"/>
              </w:rPr>
              <w:t>92%</w:t>
            </w:r>
          </w:p>
        </w:tc>
        <w:tc>
          <w:tcPr>
            <w:tcW w:w="1914" w:type="dxa"/>
            <w:tcBorders>
              <w:top w:val="nil"/>
              <w:left w:val="nil"/>
              <w:bottom w:val="single" w:sz="8" w:space="0" w:color="auto"/>
              <w:right w:val="single" w:sz="8" w:space="0" w:color="auto"/>
            </w:tcBorders>
            <w:vAlign w:val="center"/>
            <w:hideMark/>
          </w:tcPr>
          <w:p w:rsidR="008A6B96" w:rsidRPr="006B29C9" w:rsidP="008932F0" w14:paraId="5C1356A8" w14:textId="77777777">
            <w:pPr>
              <w:jc w:val="center"/>
              <w:rPr>
                <w:rFonts w:ascii="Calibri" w:eastAsia="Times New Roman" w:hAnsi="Calibri" w:cs="Calibri"/>
                <w:color w:val="000000"/>
              </w:rPr>
            </w:pPr>
            <w:r w:rsidRPr="006B29C9">
              <w:rPr>
                <w:rFonts w:ascii="Calibri" w:eastAsia="Times New Roman" w:hAnsi="Calibri" w:cs="Calibri"/>
                <w:color w:val="000000"/>
              </w:rPr>
              <w:t>7%</w:t>
            </w:r>
          </w:p>
        </w:tc>
        <w:tc>
          <w:tcPr>
            <w:tcW w:w="1282" w:type="dxa"/>
            <w:tcBorders>
              <w:top w:val="nil"/>
              <w:left w:val="nil"/>
              <w:bottom w:val="single" w:sz="8" w:space="0" w:color="auto"/>
              <w:right w:val="single" w:sz="8" w:space="0" w:color="auto"/>
            </w:tcBorders>
            <w:vAlign w:val="center"/>
            <w:hideMark/>
          </w:tcPr>
          <w:p w:rsidR="008A6B96" w:rsidRPr="006B29C9" w:rsidP="008932F0" w14:paraId="6CF0405F" w14:textId="77777777">
            <w:pPr>
              <w:jc w:val="center"/>
              <w:rPr>
                <w:rFonts w:ascii="Calibri" w:eastAsia="Times New Roman" w:hAnsi="Calibri" w:cs="Calibri"/>
                <w:color w:val="000000"/>
              </w:rPr>
            </w:pPr>
            <w:r w:rsidRPr="006B29C9">
              <w:rPr>
                <w:rFonts w:ascii="Calibri" w:eastAsia="Times New Roman" w:hAnsi="Calibri" w:cs="Calibri"/>
                <w:color w:val="000000"/>
              </w:rPr>
              <w:t>100%</w:t>
            </w:r>
          </w:p>
        </w:tc>
      </w:tr>
      <w:tr w14:paraId="5E2CE11C" w14:textId="77777777" w:rsidTr="008932F0">
        <w:tblPrEx>
          <w:tblW w:w="8400" w:type="dxa"/>
          <w:jc w:val="center"/>
          <w:tblLook w:val="04A0"/>
        </w:tblPrEx>
        <w:trPr>
          <w:trHeight w:val="300"/>
          <w:jc w:val="center"/>
        </w:trPr>
        <w:tc>
          <w:tcPr>
            <w:tcW w:w="1303" w:type="dxa"/>
            <w:tcBorders>
              <w:top w:val="nil"/>
              <w:left w:val="single" w:sz="8" w:space="0" w:color="auto"/>
              <w:bottom w:val="single" w:sz="8" w:space="0" w:color="auto"/>
              <w:right w:val="single" w:sz="8" w:space="0" w:color="auto"/>
            </w:tcBorders>
            <w:shd w:val="clear" w:color="000000" w:fill="D9D9D9"/>
            <w:vAlign w:val="center"/>
            <w:hideMark/>
          </w:tcPr>
          <w:p w:rsidR="008A6B96" w:rsidRPr="006B29C9" w:rsidP="008932F0" w14:paraId="263371AD" w14:textId="77777777">
            <w:pPr>
              <w:jc w:val="center"/>
              <w:rPr>
                <w:rFonts w:ascii="Calibri" w:eastAsia="Times New Roman" w:hAnsi="Calibri" w:cs="Calibri"/>
                <w:b/>
                <w:bCs/>
                <w:color w:val="000000"/>
              </w:rPr>
            </w:pPr>
            <w:r w:rsidRPr="006B29C9">
              <w:rPr>
                <w:rFonts w:ascii="Calibri" w:eastAsia="Times New Roman" w:hAnsi="Calibri" w:cs="Calibri"/>
                <w:b/>
                <w:bCs/>
                <w:color w:val="000000"/>
              </w:rPr>
              <w:t>6 Mos Avg</w:t>
            </w:r>
          </w:p>
        </w:tc>
        <w:tc>
          <w:tcPr>
            <w:tcW w:w="1306" w:type="dxa"/>
            <w:tcBorders>
              <w:top w:val="nil"/>
              <w:left w:val="nil"/>
              <w:bottom w:val="single" w:sz="8" w:space="0" w:color="auto"/>
              <w:right w:val="single" w:sz="8" w:space="0" w:color="auto"/>
            </w:tcBorders>
            <w:shd w:val="clear" w:color="000000" w:fill="D9D9D9"/>
            <w:vAlign w:val="center"/>
            <w:hideMark/>
          </w:tcPr>
          <w:p w:rsidR="008A6B96" w:rsidRPr="006B29C9" w:rsidP="008932F0" w14:paraId="1E9CBF89" w14:textId="77777777">
            <w:pPr>
              <w:jc w:val="center"/>
              <w:rPr>
                <w:rFonts w:ascii="Calibri" w:eastAsia="Times New Roman" w:hAnsi="Calibri" w:cs="Calibri"/>
                <w:b/>
                <w:bCs/>
                <w:color w:val="000000"/>
              </w:rPr>
            </w:pPr>
            <w:r w:rsidRPr="006B29C9">
              <w:rPr>
                <w:rFonts w:ascii="Calibri" w:eastAsia="Times New Roman" w:hAnsi="Calibri" w:cs="Calibri"/>
                <w:b/>
                <w:bCs/>
                <w:color w:val="000000"/>
              </w:rPr>
              <w:t>MARTS</w:t>
            </w:r>
          </w:p>
        </w:tc>
        <w:tc>
          <w:tcPr>
            <w:tcW w:w="1272" w:type="dxa"/>
            <w:tcBorders>
              <w:top w:val="nil"/>
              <w:left w:val="nil"/>
              <w:bottom w:val="single" w:sz="8" w:space="0" w:color="auto"/>
              <w:right w:val="single" w:sz="8" w:space="0" w:color="auto"/>
            </w:tcBorders>
            <w:shd w:val="clear" w:color="000000" w:fill="D9D9D9"/>
            <w:vAlign w:val="center"/>
            <w:hideMark/>
          </w:tcPr>
          <w:p w:rsidR="008A6B96" w:rsidRPr="006B29C9" w:rsidP="008932F0" w14:paraId="7E6C9B65" w14:textId="77777777">
            <w:pPr>
              <w:jc w:val="center"/>
              <w:rPr>
                <w:rFonts w:ascii="Calibri" w:eastAsia="Times New Roman" w:hAnsi="Calibri" w:cs="Calibri"/>
                <w:b/>
                <w:bCs/>
                <w:color w:val="000000"/>
              </w:rPr>
            </w:pPr>
            <w:r w:rsidRPr="006B29C9">
              <w:rPr>
                <w:rFonts w:ascii="Calibri" w:eastAsia="Times New Roman" w:hAnsi="Calibri" w:cs="Calibri"/>
                <w:b/>
                <w:bCs/>
                <w:color w:val="000000"/>
              </w:rPr>
              <w:t>1%</w:t>
            </w:r>
          </w:p>
        </w:tc>
        <w:tc>
          <w:tcPr>
            <w:tcW w:w="1323" w:type="dxa"/>
            <w:tcBorders>
              <w:top w:val="nil"/>
              <w:left w:val="nil"/>
              <w:bottom w:val="single" w:sz="8" w:space="0" w:color="auto"/>
              <w:right w:val="single" w:sz="8" w:space="0" w:color="auto"/>
            </w:tcBorders>
            <w:shd w:val="clear" w:color="000000" w:fill="D9D9D9"/>
            <w:vAlign w:val="center"/>
            <w:hideMark/>
          </w:tcPr>
          <w:p w:rsidR="008A6B96" w:rsidRPr="006B29C9" w:rsidP="008932F0" w14:paraId="27926D7A" w14:textId="77777777">
            <w:pPr>
              <w:jc w:val="center"/>
              <w:rPr>
                <w:rFonts w:ascii="Calibri" w:eastAsia="Times New Roman" w:hAnsi="Calibri" w:cs="Calibri"/>
                <w:b/>
                <w:bCs/>
                <w:color w:val="000000"/>
              </w:rPr>
            </w:pPr>
            <w:r w:rsidRPr="006B29C9">
              <w:rPr>
                <w:rFonts w:ascii="Calibri" w:eastAsia="Times New Roman" w:hAnsi="Calibri" w:cs="Calibri"/>
                <w:b/>
                <w:bCs/>
                <w:color w:val="000000"/>
              </w:rPr>
              <w:t>91%</w:t>
            </w:r>
          </w:p>
        </w:tc>
        <w:tc>
          <w:tcPr>
            <w:tcW w:w="1914" w:type="dxa"/>
            <w:tcBorders>
              <w:top w:val="nil"/>
              <w:left w:val="nil"/>
              <w:bottom w:val="single" w:sz="8" w:space="0" w:color="auto"/>
              <w:right w:val="single" w:sz="8" w:space="0" w:color="auto"/>
            </w:tcBorders>
            <w:shd w:val="clear" w:color="000000" w:fill="D9D9D9"/>
            <w:vAlign w:val="center"/>
            <w:hideMark/>
          </w:tcPr>
          <w:p w:rsidR="008A6B96" w:rsidRPr="006B29C9" w:rsidP="008932F0" w14:paraId="377E977F" w14:textId="77777777">
            <w:pPr>
              <w:jc w:val="center"/>
              <w:rPr>
                <w:rFonts w:ascii="Calibri" w:eastAsia="Times New Roman" w:hAnsi="Calibri" w:cs="Calibri"/>
                <w:b/>
                <w:bCs/>
                <w:color w:val="000000"/>
              </w:rPr>
            </w:pPr>
            <w:r w:rsidRPr="006B29C9">
              <w:rPr>
                <w:rFonts w:ascii="Calibri" w:eastAsia="Times New Roman" w:hAnsi="Calibri" w:cs="Calibri"/>
                <w:b/>
                <w:bCs/>
                <w:color w:val="000000"/>
              </w:rPr>
              <w:t>7%</w:t>
            </w:r>
          </w:p>
        </w:tc>
        <w:tc>
          <w:tcPr>
            <w:tcW w:w="1282" w:type="dxa"/>
            <w:tcBorders>
              <w:top w:val="nil"/>
              <w:left w:val="nil"/>
              <w:bottom w:val="single" w:sz="8" w:space="0" w:color="auto"/>
              <w:right w:val="single" w:sz="8" w:space="0" w:color="auto"/>
            </w:tcBorders>
            <w:shd w:val="clear" w:color="000000" w:fill="D9D9D9"/>
            <w:vAlign w:val="center"/>
            <w:hideMark/>
          </w:tcPr>
          <w:p w:rsidR="008A6B96" w:rsidRPr="006B29C9" w:rsidP="008932F0" w14:paraId="0E86A321" w14:textId="77777777">
            <w:pPr>
              <w:jc w:val="center"/>
              <w:rPr>
                <w:rFonts w:ascii="Calibri" w:eastAsia="Times New Roman" w:hAnsi="Calibri" w:cs="Calibri"/>
                <w:b/>
                <w:bCs/>
                <w:color w:val="000000"/>
              </w:rPr>
            </w:pPr>
            <w:r w:rsidRPr="006B29C9">
              <w:rPr>
                <w:rFonts w:ascii="Calibri" w:eastAsia="Times New Roman" w:hAnsi="Calibri" w:cs="Calibri"/>
                <w:b/>
                <w:bCs/>
                <w:color w:val="000000"/>
              </w:rPr>
              <w:t>100%</w:t>
            </w:r>
          </w:p>
        </w:tc>
      </w:tr>
    </w:tbl>
    <w:p w:rsidR="008A6B96" w:rsidRPr="00B82768" w:rsidP="008932F0" w14:paraId="77058B13" w14:textId="77777777">
      <w:pPr>
        <w:ind w:left="400"/>
        <w:rPr>
          <w:rFonts w:ascii="Calibri" w:hAnsi="Calibri" w:cs="Calibri"/>
          <w:b/>
          <w:color w:val="0070C0"/>
          <w:sz w:val="24"/>
        </w:rPr>
      </w:pPr>
    </w:p>
    <w:p w:rsidR="00201347" w:rsidP="008932F0" w14:paraId="606E298F" w14:textId="77777777">
      <w:pPr>
        <w:pStyle w:val="ListParagraph"/>
        <w:numPr>
          <w:ilvl w:val="0"/>
          <w:numId w:val="7"/>
        </w:numPr>
        <w:spacing w:before="0"/>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8932F0" w:rsidRPr="008932F0" w:rsidP="008932F0" w14:paraId="0F8D918D" w14:textId="77777777">
      <w:pPr>
        <w:rPr>
          <w:rFonts w:ascii="Calibri" w:hAnsi="Calibri" w:cs="Calibri"/>
          <w:b/>
          <w:sz w:val="24"/>
        </w:rPr>
      </w:pPr>
    </w:p>
    <w:p w:rsidR="008A6B96" w:rsidP="008932F0" w14:paraId="1E3DB22F" w14:textId="176A1C6B">
      <w:pPr>
        <w:pStyle w:val="BodyText"/>
        <w:spacing w:before="0"/>
        <w:ind w:left="403"/>
        <w:rPr>
          <w:rFonts w:ascii="Calibri" w:hAnsi="Calibri" w:cs="Calibri"/>
        </w:rPr>
      </w:pPr>
      <w:r w:rsidRPr="008A6B96">
        <w:rPr>
          <w:rFonts w:ascii="Calibri" w:hAnsi="Calibri" w:cs="Calibri"/>
        </w:rPr>
        <w:t>Consultations with other governmental agencies, trade associations (including the International Council of Shopping Centers (ICSC) and the National Retail Federation (NRF)) and government and private sector data users via telephone conversations, meetings, trade journal articles, and written correspondence indicate that these data are not available from other sources on an ongoing timely basis.</w:t>
      </w:r>
    </w:p>
    <w:p w:rsidR="008932F0" w:rsidRPr="008A6B96" w:rsidP="008932F0" w14:paraId="11789E2B" w14:textId="77777777">
      <w:pPr>
        <w:pStyle w:val="BodyText"/>
        <w:spacing w:before="0"/>
        <w:ind w:left="403"/>
        <w:rPr>
          <w:rFonts w:ascii="Calibri" w:hAnsi="Calibri" w:cs="Calibri"/>
        </w:rPr>
      </w:pPr>
    </w:p>
    <w:p w:rsidR="008A6B96" w:rsidP="008932F0" w14:paraId="7B8D162A" w14:textId="0F279DBC">
      <w:pPr>
        <w:pStyle w:val="BodyText"/>
        <w:spacing w:before="0"/>
        <w:ind w:left="403"/>
        <w:rPr>
          <w:rFonts w:ascii="Calibri" w:hAnsi="Calibri" w:cs="Calibri"/>
        </w:rPr>
      </w:pPr>
      <w:r w:rsidRPr="008A6B96">
        <w:rPr>
          <w:rFonts w:ascii="Calibri" w:hAnsi="Calibri" w:cs="Calibri"/>
        </w:rPr>
        <w:t>Annual sales and inventories by retailers are collected in the Annual Integrated Economic Survey AIES (OMB Control Number 0607-1024), and retail sales are collected in the quinquennial Economic Census.  The Annual Retail Trade Survey (ARTS) transitioned to AIES, and the data formerly collected for ARTS will now be collected as part of the AIES, which began data collection in March 2024.  While the annual and quinquennial census data provide levels of sales for retail trade, they do not provide the data, on a timely basis, needed to monitor the current state of the economy.  The latest data available from ARTS is for statistical year 2022. The monthly estimates are the only available data source for use as a trend series for evaluating current business conditions.</w:t>
      </w:r>
    </w:p>
    <w:p w:rsidR="008932F0" w:rsidRPr="008A6B96" w:rsidP="008932F0" w14:paraId="406CA951" w14:textId="77777777">
      <w:pPr>
        <w:pStyle w:val="BodyText"/>
        <w:spacing w:before="0"/>
        <w:rPr>
          <w:rFonts w:ascii="Calibri" w:hAnsi="Calibri" w:cs="Calibri"/>
        </w:rPr>
      </w:pPr>
    </w:p>
    <w:p w:rsidR="00B82768" w:rsidP="008932F0" w14:paraId="60061E4C" w14:textId="6E983587">
      <w:pPr>
        <w:pStyle w:val="BodyText"/>
        <w:spacing w:before="0"/>
        <w:ind w:left="403"/>
        <w:rPr>
          <w:rFonts w:ascii="Calibri" w:hAnsi="Calibri" w:cs="Calibri"/>
        </w:rPr>
      </w:pPr>
      <w:r w:rsidRPr="008A6B96">
        <w:rPr>
          <w:rFonts w:ascii="Calibri" w:hAnsi="Calibri" w:cs="Calibri"/>
        </w:rPr>
        <w:t>The MARTS sales estimates are based on early reporting of sales by a subsample of firms in MRTS.  Rather than burdening the entire MRTS sample to report early enough to produce an advance estimate, we select a subset to produce the MARTS. Firms that report to the MARTS survey are not required to provide sales and ecommerce sales information for MRTS.  Rather, sales and ecommerce data collected for MARTS are transferred into the database used for MRTS. This ensures that respondents do not have to provide duplicate responses. In addition, if companies have their end-of-month inventory estimates available during the MARTS collection, they can provide those figures at the same time.</w:t>
      </w:r>
    </w:p>
    <w:p w:rsidR="008932F0" w:rsidRPr="00124446" w:rsidP="008932F0" w14:paraId="2FD28608" w14:textId="77777777">
      <w:pPr>
        <w:pStyle w:val="BodyText"/>
        <w:spacing w:before="0"/>
        <w:ind w:left="403"/>
        <w:rPr>
          <w:rFonts w:ascii="Calibri" w:hAnsi="Calibri" w:cs="Calibri"/>
        </w:rPr>
      </w:pPr>
    </w:p>
    <w:p w:rsidR="00201347" w:rsidP="008932F0" w14:paraId="6E07D74F" w14:textId="77777777">
      <w:pPr>
        <w:pStyle w:val="Heading1"/>
        <w:numPr>
          <w:ilvl w:val="0"/>
          <w:numId w:val="7"/>
        </w:numPr>
        <w:tabs>
          <w:tab w:val="left" w:pos="669"/>
        </w:tabs>
        <w:spacing w:before="0"/>
        <w:ind w:left="403"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0F64D2" w:rsidRPr="00124446" w:rsidP="000F64D2" w14:paraId="4D7E5284" w14:textId="77777777">
      <w:pPr>
        <w:pStyle w:val="Heading1"/>
        <w:tabs>
          <w:tab w:val="left" w:pos="669"/>
        </w:tabs>
        <w:spacing w:before="0"/>
        <w:ind w:left="403"/>
        <w:rPr>
          <w:rFonts w:ascii="Calibri" w:hAnsi="Calibri" w:cs="Calibri"/>
        </w:rPr>
      </w:pPr>
    </w:p>
    <w:p w:rsidR="008A6B96" w:rsidP="008932F0" w14:paraId="577931E2" w14:textId="77777777">
      <w:pPr>
        <w:pStyle w:val="BodyText"/>
        <w:spacing w:before="0"/>
        <w:ind w:right="580"/>
        <w:rPr>
          <w:rFonts w:ascii="Calibri" w:hAnsi="Calibri" w:cs="Calibri"/>
        </w:rPr>
      </w:pPr>
      <w:r w:rsidRPr="008A6B96">
        <w:rPr>
          <w:rFonts w:ascii="Calibri" w:hAnsi="Calibri" w:cs="Calibri"/>
        </w:rPr>
        <w:t xml:space="preserve">The MARTS is a subsample of approximately 4,800 firms in the MRTS which in total contains approximately 13,000 firms.  Rather than burdening the entire MRTS sample to report early enough to produce an advance estimate, we select a subset to produce the MARTS.  The design used to select the samples for both MARTS and MRTS use the least number of sampling units required to produce national level estimates with the desired level of reliability, thus minimizing respondent burden.  Sales data are collected from the largest firms and from a sample of small and medium-sized firms.  The selection of a new MRTS sample approximately every five- to-seven </w:t>
      </w:r>
      <w:r w:rsidRPr="008A6B96">
        <w:rPr>
          <w:rFonts w:ascii="Calibri" w:hAnsi="Calibri" w:cs="Calibri"/>
        </w:rPr>
        <w:t>years</w:t>
      </w:r>
      <w:r w:rsidRPr="008A6B96">
        <w:rPr>
          <w:rFonts w:ascii="Calibri" w:hAnsi="Calibri" w:cs="Calibri"/>
        </w:rPr>
        <w:t xml:space="preserve"> replaces about 98 percent of the small and medium-sized firms that participate in the survey, thus minimizing respondent burden by redistributing reporting burden.  Typically, the selection of a new MARTS sample occurs approximately every two and one-half to three years replacing a portion of the small and medium-sized firms that participate in the earlier survey, thus redistributing the earlier response date burden. The current sample of retailers was introduced in April 2018 for </w:t>
      </w:r>
      <w:r w:rsidRPr="008A6B96">
        <w:rPr>
          <w:rFonts w:ascii="Calibri" w:hAnsi="Calibri" w:cs="Calibri"/>
        </w:rPr>
        <w:t>MRTS</w:t>
      </w:r>
      <w:r w:rsidRPr="008A6B96">
        <w:rPr>
          <w:rFonts w:ascii="Calibri" w:hAnsi="Calibri" w:cs="Calibri"/>
        </w:rPr>
        <w:t xml:space="preserve"> and the new sample was introduced in November 2022 for MARTS.  Currently, there is not </w:t>
      </w:r>
      <w:r w:rsidRPr="008A6B96">
        <w:rPr>
          <w:rFonts w:ascii="Calibri" w:hAnsi="Calibri" w:cs="Calibri"/>
        </w:rPr>
        <w:t>a scheduled</w:t>
      </w:r>
      <w:r w:rsidRPr="008A6B96">
        <w:rPr>
          <w:rFonts w:ascii="Calibri" w:hAnsi="Calibri" w:cs="Calibri"/>
        </w:rPr>
        <w:t xml:space="preserve"> reselection of the MRTS and MARTS samples, although it is anticipated to be late 2026.</w:t>
      </w:r>
    </w:p>
    <w:p w:rsidR="000F64D2" w:rsidRPr="008A6B96" w:rsidP="008932F0" w14:paraId="18E022AF" w14:textId="77777777">
      <w:pPr>
        <w:pStyle w:val="BodyText"/>
        <w:spacing w:before="0"/>
        <w:ind w:right="580"/>
        <w:rPr>
          <w:rFonts w:ascii="Calibri" w:hAnsi="Calibri" w:cs="Calibri"/>
        </w:rPr>
      </w:pPr>
    </w:p>
    <w:p w:rsidR="008A6B96" w:rsidP="008932F0" w14:paraId="1FCA8D2F" w14:textId="7EB39260">
      <w:pPr>
        <w:pStyle w:val="BodyText"/>
        <w:spacing w:before="0"/>
        <w:ind w:right="580"/>
        <w:rPr>
          <w:rFonts w:ascii="Calibri" w:hAnsi="Calibri" w:cs="Calibri"/>
        </w:rPr>
      </w:pPr>
      <w:r w:rsidRPr="008A6B96">
        <w:rPr>
          <w:rFonts w:ascii="Calibri" w:hAnsi="Calibri" w:cs="Calibri"/>
        </w:rPr>
        <w:t>The Census Bureau accepts data prepared on a company’s own form. This relieves the respondent of the burden of posting data to a report form.</w:t>
      </w:r>
    </w:p>
    <w:p w:rsidR="000F64D2" w:rsidRPr="008A6B96" w:rsidP="008932F0" w14:paraId="21F95DEC" w14:textId="77777777">
      <w:pPr>
        <w:pStyle w:val="BodyText"/>
        <w:spacing w:before="0"/>
        <w:ind w:right="580"/>
        <w:rPr>
          <w:rFonts w:ascii="Calibri" w:hAnsi="Calibri" w:cs="Calibri"/>
        </w:rPr>
      </w:pPr>
    </w:p>
    <w:p w:rsidR="00B82768" w:rsidP="008932F0" w14:paraId="44EAFD9C" w14:textId="38970184">
      <w:pPr>
        <w:pStyle w:val="BodyText"/>
        <w:spacing w:before="0"/>
        <w:ind w:right="580"/>
        <w:rPr>
          <w:rFonts w:ascii="Calibri" w:hAnsi="Calibri" w:cs="Calibri"/>
        </w:rPr>
      </w:pPr>
      <w:r w:rsidRPr="008A6B96">
        <w:rPr>
          <w:rFonts w:ascii="Calibri" w:hAnsi="Calibri" w:cs="Calibri"/>
        </w:rPr>
        <w:t xml:space="preserve">Furthermore, firms are not required to maintain additional records. The data requested are generally maintained in existing company records. Carefully prepared estimates are </w:t>
      </w:r>
      <w:r w:rsidRPr="008A6B96">
        <w:rPr>
          <w:rFonts w:ascii="Calibri" w:hAnsi="Calibri" w:cs="Calibri"/>
        </w:rPr>
        <w:t>acceptable if book figures are not available. Finally, interviewers use computers with online edits of response data to conduct follow-up and delinquent interviews, thus reducing the number of callbacks to respondents.</w:t>
      </w:r>
    </w:p>
    <w:p w:rsidR="000F64D2" w:rsidRPr="00124446" w:rsidP="008932F0" w14:paraId="4841D2C1" w14:textId="77777777">
      <w:pPr>
        <w:pStyle w:val="BodyText"/>
        <w:spacing w:before="0"/>
        <w:ind w:right="580"/>
        <w:rPr>
          <w:rFonts w:ascii="Calibri" w:hAnsi="Calibri" w:cs="Calibri"/>
        </w:rPr>
      </w:pPr>
    </w:p>
    <w:p w:rsidR="00201347" w:rsidP="008932F0" w14:paraId="16040DF1" w14:textId="77777777">
      <w:pPr>
        <w:pStyle w:val="Heading1"/>
        <w:numPr>
          <w:ilvl w:val="0"/>
          <w:numId w:val="7"/>
        </w:numPr>
        <w:tabs>
          <w:tab w:val="left" w:pos="669"/>
        </w:tabs>
        <w:spacing w:before="0"/>
        <w:ind w:left="360" w:hanging="360"/>
        <w:rPr>
          <w:rFonts w:ascii="Calibri" w:hAnsi="Calibri" w:cs="Calibri"/>
        </w:rPr>
      </w:pPr>
      <w:r w:rsidRPr="00124446">
        <w:rPr>
          <w:rFonts w:ascii="Calibri" w:hAnsi="Calibri" w:cs="Calibri"/>
        </w:rPr>
        <w:t xml:space="preserve">Describe the </w:t>
      </w:r>
      <w:r w:rsidRPr="00124446">
        <w:rPr>
          <w:rFonts w:ascii="Calibri" w:hAnsi="Calibri" w:cs="Calibri"/>
        </w:rPr>
        <w:t>consequence</w:t>
      </w:r>
      <w:r w:rsidRPr="00124446">
        <w:rPr>
          <w:rFonts w:ascii="Calibri" w:hAnsi="Calibri" w:cs="Calibri"/>
        </w:rPr>
        <w:t xml:space="preserve"> </w:t>
      </w:r>
      <w:r w:rsidRPr="00124446">
        <w:rPr>
          <w:rFonts w:ascii="Calibri" w:hAnsi="Calibri" w:cs="Calibri"/>
        </w:rPr>
        <w:t>to</w:t>
      </w:r>
      <w:r w:rsidRPr="00124446">
        <w:rPr>
          <w:rFonts w:ascii="Calibri" w:hAnsi="Calibri" w:cs="Calibri"/>
        </w:rPr>
        <w:t xml:space="preserve">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0F64D2" w:rsidRPr="00124446" w:rsidP="000F64D2" w14:paraId="2DBE5C0A" w14:textId="77777777">
      <w:pPr>
        <w:pStyle w:val="Heading1"/>
        <w:tabs>
          <w:tab w:val="left" w:pos="669"/>
        </w:tabs>
        <w:spacing w:before="0"/>
        <w:ind w:left="360"/>
        <w:rPr>
          <w:rFonts w:ascii="Calibri" w:hAnsi="Calibri" w:cs="Calibri"/>
        </w:rPr>
      </w:pPr>
    </w:p>
    <w:p w:rsidR="00B82768" w:rsidP="008932F0" w14:paraId="4B94D5A5" w14:textId="2E138764">
      <w:pPr>
        <w:pStyle w:val="BodyText"/>
        <w:spacing w:before="0"/>
        <w:rPr>
          <w:rFonts w:ascii="Calibri" w:hAnsi="Calibri" w:cs="Calibri"/>
        </w:rPr>
      </w:pPr>
      <w:r w:rsidRPr="008A6B96">
        <w:rPr>
          <w:rFonts w:ascii="Calibri" w:hAnsi="Calibri" w:cs="Calibri"/>
        </w:rPr>
        <w:t>Estimates from the MRTS and MARTS are used extensively by government and private economists and others to evaluate current economic conditions. The monthly retail sales and inventories estimates are important economic indicators and provide timely input for BEA’s computation of the National Income and Product Accounts. Less frequent data collection would create a serious gap in the economic information available to evaluate current economic conditions and to formulate economic policy. Moreover, these statistics provide current-to-previous month and year-to-year trend data that are essential for evaluating current conditions and for formulating economic policy.</w:t>
      </w:r>
    </w:p>
    <w:p w:rsidR="008932F0" w:rsidRPr="00124446" w:rsidP="008932F0" w14:paraId="5F7FEAD4" w14:textId="77777777">
      <w:pPr>
        <w:pStyle w:val="BodyText"/>
        <w:spacing w:before="0"/>
        <w:rPr>
          <w:rFonts w:ascii="Calibri" w:hAnsi="Calibri" w:cs="Calibri"/>
        </w:rPr>
      </w:pPr>
    </w:p>
    <w:p w:rsidR="00201347" w:rsidRPr="00124446" w:rsidP="008932F0" w14:paraId="74BEDF83" w14:textId="77777777">
      <w:pPr>
        <w:pStyle w:val="Heading1"/>
        <w:numPr>
          <w:ilvl w:val="0"/>
          <w:numId w:val="7"/>
        </w:numPr>
        <w:tabs>
          <w:tab w:val="left" w:pos="669"/>
        </w:tabs>
        <w:spacing w:before="0"/>
        <w:ind w:left="360" w:hanging="360"/>
        <w:rPr>
          <w:rFonts w:ascii="Calibri" w:hAnsi="Calibri" w:cs="Calibri"/>
        </w:rPr>
      </w:pPr>
      <w:r w:rsidRPr="00124446">
        <w:rPr>
          <w:rFonts w:ascii="Calibri" w:hAnsi="Calibri" w:cs="Calibri"/>
        </w:rPr>
        <w:t>Explain any special circumstances that would cause an information collection to</w:t>
      </w:r>
      <w:r w:rsidRPr="00124446">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3C66B9" w:rsidP="008932F0" w14:paraId="29B1D7A1" w14:textId="77777777">
      <w:pPr>
        <w:pStyle w:val="ListParagraph"/>
        <w:numPr>
          <w:ilvl w:val="0"/>
          <w:numId w:val="9"/>
        </w:numPr>
        <w:tabs>
          <w:tab w:val="left" w:pos="759"/>
          <w:tab w:val="left" w:pos="760"/>
        </w:tabs>
        <w:spacing w:before="0"/>
        <w:rPr>
          <w:rFonts w:ascii="Calibri" w:hAnsi="Calibri" w:cs="Calibri"/>
          <w:sz w:val="20"/>
        </w:rPr>
      </w:pPr>
      <w:r w:rsidRPr="003C66B9">
        <w:rPr>
          <w:rFonts w:ascii="Calibri" w:hAnsi="Calibri" w:cs="Calibri"/>
          <w:sz w:val="24"/>
        </w:rPr>
        <w:t>requiring respondents to report information to the agency more often than</w:t>
      </w:r>
      <w:r w:rsidRPr="003C66B9">
        <w:rPr>
          <w:rFonts w:ascii="Calibri" w:hAnsi="Calibri" w:cs="Calibri"/>
          <w:spacing w:val="-16"/>
          <w:sz w:val="24"/>
        </w:rPr>
        <w:t xml:space="preserve"> </w:t>
      </w:r>
      <w:r w:rsidRPr="003C66B9">
        <w:rPr>
          <w:rFonts w:ascii="Calibri" w:hAnsi="Calibri" w:cs="Calibri"/>
          <w:sz w:val="24"/>
        </w:rPr>
        <w:t>quarterly;</w:t>
      </w:r>
    </w:p>
    <w:p w:rsidR="00201347" w:rsidRPr="003C66B9" w:rsidP="008932F0" w14:paraId="1CA4CE55" w14:textId="77777777">
      <w:pPr>
        <w:pStyle w:val="ListParagraph"/>
        <w:numPr>
          <w:ilvl w:val="0"/>
          <w:numId w:val="9"/>
        </w:numPr>
        <w:tabs>
          <w:tab w:val="left" w:pos="759"/>
          <w:tab w:val="left" w:pos="760"/>
        </w:tabs>
        <w:spacing w:before="0"/>
        <w:rPr>
          <w:rFonts w:ascii="Calibri" w:hAnsi="Calibri" w:cs="Calibri"/>
          <w:sz w:val="20"/>
        </w:rPr>
      </w:pPr>
      <w:r w:rsidRPr="003C66B9">
        <w:rPr>
          <w:rFonts w:ascii="Calibri" w:hAnsi="Calibri" w:cs="Calibri"/>
          <w:sz w:val="24"/>
        </w:rPr>
        <w:t xml:space="preserve">requiring respondents to prepare a written response to a collection of information in fewer than 30 days after receipt of </w:t>
      </w:r>
      <w:r w:rsidRPr="003C66B9">
        <w:rPr>
          <w:rFonts w:ascii="Calibri" w:hAnsi="Calibri" w:cs="Calibri"/>
          <w:sz w:val="24"/>
        </w:rPr>
        <w:t>it;</w:t>
      </w:r>
    </w:p>
    <w:p w:rsidR="00201347" w:rsidRPr="003C66B9" w:rsidP="008932F0" w14:paraId="10AA5D52" w14:textId="77777777">
      <w:pPr>
        <w:pStyle w:val="ListParagraph"/>
        <w:numPr>
          <w:ilvl w:val="0"/>
          <w:numId w:val="9"/>
        </w:numPr>
        <w:tabs>
          <w:tab w:val="left" w:pos="759"/>
          <w:tab w:val="left" w:pos="760"/>
        </w:tabs>
        <w:spacing w:before="0"/>
        <w:rPr>
          <w:rFonts w:ascii="Calibri" w:hAnsi="Calibri" w:cs="Calibri"/>
          <w:sz w:val="20"/>
        </w:rPr>
      </w:pPr>
      <w:r w:rsidRPr="003C66B9">
        <w:rPr>
          <w:rFonts w:ascii="Calibri" w:hAnsi="Calibri" w:cs="Calibri"/>
          <w:sz w:val="24"/>
        </w:rPr>
        <w:t>requiring respondents to submit more than an original and two copies of any</w:t>
      </w:r>
      <w:r w:rsidRPr="003C66B9">
        <w:rPr>
          <w:rFonts w:ascii="Calibri" w:hAnsi="Calibri" w:cs="Calibri"/>
          <w:spacing w:val="-16"/>
          <w:sz w:val="24"/>
        </w:rPr>
        <w:t xml:space="preserve"> </w:t>
      </w:r>
      <w:r w:rsidRPr="003C66B9">
        <w:rPr>
          <w:rFonts w:ascii="Calibri" w:hAnsi="Calibri" w:cs="Calibri"/>
          <w:sz w:val="24"/>
        </w:rPr>
        <w:t>document;</w:t>
      </w:r>
    </w:p>
    <w:p w:rsidR="00201347" w:rsidRPr="003C66B9" w:rsidP="008932F0" w14:paraId="4F71E0AE" w14:textId="77777777">
      <w:pPr>
        <w:pStyle w:val="ListParagraph"/>
        <w:numPr>
          <w:ilvl w:val="0"/>
          <w:numId w:val="9"/>
        </w:numPr>
        <w:tabs>
          <w:tab w:val="left" w:pos="759"/>
          <w:tab w:val="left" w:pos="760"/>
        </w:tabs>
        <w:spacing w:before="0"/>
        <w:rPr>
          <w:rFonts w:ascii="Calibri" w:hAnsi="Calibri" w:cs="Calibri"/>
          <w:sz w:val="20"/>
        </w:rPr>
      </w:pPr>
      <w:r w:rsidRPr="003C66B9">
        <w:rPr>
          <w:rFonts w:ascii="Calibri" w:hAnsi="Calibri" w:cs="Calibri"/>
          <w:sz w:val="24"/>
        </w:rPr>
        <w:t>requiring respondents to retain records, other than health, medical, government contract, grant-in- aid, or tax records for more than three</w:t>
      </w:r>
      <w:r w:rsidRPr="003C66B9">
        <w:rPr>
          <w:rFonts w:ascii="Calibri" w:hAnsi="Calibri" w:cs="Calibri"/>
          <w:spacing w:val="-4"/>
          <w:sz w:val="24"/>
        </w:rPr>
        <w:t xml:space="preserve"> </w:t>
      </w:r>
      <w:r w:rsidRPr="003C66B9">
        <w:rPr>
          <w:rFonts w:ascii="Calibri" w:hAnsi="Calibri" w:cs="Calibri"/>
          <w:sz w:val="24"/>
        </w:rPr>
        <w:t>years;</w:t>
      </w:r>
    </w:p>
    <w:p w:rsidR="00201347" w:rsidRPr="003C66B9" w:rsidP="008932F0" w14:paraId="6B6C121A" w14:textId="77777777">
      <w:pPr>
        <w:pStyle w:val="ListParagraph"/>
        <w:numPr>
          <w:ilvl w:val="0"/>
          <w:numId w:val="9"/>
        </w:numPr>
        <w:tabs>
          <w:tab w:val="left" w:pos="759"/>
          <w:tab w:val="left" w:pos="760"/>
        </w:tabs>
        <w:spacing w:before="0"/>
        <w:rPr>
          <w:rFonts w:ascii="Calibri" w:hAnsi="Calibri" w:cs="Calibri"/>
          <w:sz w:val="20"/>
        </w:rPr>
      </w:pPr>
      <w:r w:rsidRPr="003C66B9">
        <w:rPr>
          <w:rFonts w:ascii="Calibri" w:hAnsi="Calibri" w:cs="Calibri"/>
          <w:sz w:val="24"/>
        </w:rPr>
        <w:t>in connection with a statistical survey, that is not designed to produce valid and reliable results that can be generalized to the universe of</w:t>
      </w:r>
      <w:r w:rsidRPr="003C66B9">
        <w:rPr>
          <w:rFonts w:ascii="Calibri" w:hAnsi="Calibri" w:cs="Calibri"/>
          <w:spacing w:val="-5"/>
          <w:sz w:val="24"/>
        </w:rPr>
        <w:t xml:space="preserve"> </w:t>
      </w:r>
      <w:r w:rsidRPr="003C66B9">
        <w:rPr>
          <w:rFonts w:ascii="Calibri" w:hAnsi="Calibri" w:cs="Calibri"/>
          <w:sz w:val="24"/>
        </w:rPr>
        <w:t>study;</w:t>
      </w:r>
    </w:p>
    <w:p w:rsidR="00201347" w:rsidRPr="003C66B9" w:rsidP="008932F0" w14:paraId="032EB8FB" w14:textId="77777777">
      <w:pPr>
        <w:pStyle w:val="ListParagraph"/>
        <w:numPr>
          <w:ilvl w:val="0"/>
          <w:numId w:val="9"/>
        </w:numPr>
        <w:tabs>
          <w:tab w:val="left" w:pos="759"/>
          <w:tab w:val="left" w:pos="760"/>
        </w:tabs>
        <w:spacing w:before="0"/>
        <w:rPr>
          <w:rFonts w:ascii="Calibri" w:hAnsi="Calibri" w:cs="Calibri"/>
          <w:sz w:val="20"/>
        </w:rPr>
      </w:pPr>
      <w:r w:rsidRPr="003C66B9">
        <w:rPr>
          <w:rFonts w:ascii="Calibri" w:hAnsi="Calibri" w:cs="Calibri"/>
          <w:sz w:val="24"/>
        </w:rPr>
        <w:t xml:space="preserve">requiring the use of a statistical data classification that has not been reviewed and approved by </w:t>
      </w:r>
      <w:r w:rsidRPr="003C66B9">
        <w:rPr>
          <w:rFonts w:ascii="Calibri" w:hAnsi="Calibri" w:cs="Calibri"/>
          <w:sz w:val="24"/>
        </w:rPr>
        <w:t>OMB;</w:t>
      </w:r>
    </w:p>
    <w:p w:rsidR="00201347" w:rsidRPr="003C66B9" w:rsidP="008932F0" w14:paraId="6D8434DF" w14:textId="77777777">
      <w:pPr>
        <w:pStyle w:val="ListParagraph"/>
        <w:numPr>
          <w:ilvl w:val="0"/>
          <w:numId w:val="9"/>
        </w:numPr>
        <w:tabs>
          <w:tab w:val="left" w:pos="759"/>
          <w:tab w:val="left" w:pos="760"/>
        </w:tabs>
        <w:spacing w:before="0"/>
        <w:rPr>
          <w:rFonts w:ascii="Calibri" w:hAnsi="Calibri" w:cs="Calibri"/>
          <w:sz w:val="20"/>
        </w:rPr>
      </w:pPr>
      <w:r w:rsidRPr="003C66B9">
        <w:rPr>
          <w:rFonts w:ascii="Calibri" w:hAnsi="Calibri" w:cs="Calibri"/>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3C66B9">
        <w:rPr>
          <w:rFonts w:ascii="Calibri" w:hAnsi="Calibri" w:cs="Calibri"/>
          <w:spacing w:val="-6"/>
          <w:sz w:val="24"/>
        </w:rPr>
        <w:t xml:space="preserve"> </w:t>
      </w:r>
      <w:r w:rsidRPr="003C66B9">
        <w:rPr>
          <w:rFonts w:ascii="Calibri" w:hAnsi="Calibri" w:cs="Calibri"/>
          <w:sz w:val="24"/>
        </w:rPr>
        <w:t>or</w:t>
      </w:r>
    </w:p>
    <w:p w:rsidR="00201347" w:rsidRPr="000F64D2" w:rsidP="008932F0" w14:paraId="674B9ECE" w14:textId="77777777">
      <w:pPr>
        <w:pStyle w:val="ListParagraph"/>
        <w:numPr>
          <w:ilvl w:val="0"/>
          <w:numId w:val="9"/>
        </w:numPr>
        <w:tabs>
          <w:tab w:val="left" w:pos="759"/>
          <w:tab w:val="left" w:pos="760"/>
        </w:tabs>
        <w:spacing w:before="0"/>
        <w:rPr>
          <w:rFonts w:ascii="Calibri" w:hAnsi="Calibri" w:cs="Calibri"/>
          <w:sz w:val="20"/>
        </w:rPr>
      </w:pPr>
      <w:r w:rsidRPr="003C66B9">
        <w:rPr>
          <w:rFonts w:ascii="Calibri" w:hAnsi="Calibri" w:cs="Calibri"/>
          <w:sz w:val="24"/>
        </w:rPr>
        <w:t xml:space="preserve">requiring respondents to submit proprietary trade </w:t>
      </w:r>
      <w:r w:rsidRPr="003C66B9">
        <w:rPr>
          <w:rFonts w:ascii="Calibri" w:hAnsi="Calibri" w:cs="Calibri"/>
          <w:sz w:val="24"/>
        </w:rPr>
        <w:t>secret</w:t>
      </w:r>
      <w:r w:rsidRPr="003C66B9">
        <w:rPr>
          <w:rFonts w:ascii="Calibri" w:hAnsi="Calibri" w:cs="Calibri"/>
          <w:sz w:val="24"/>
        </w:rPr>
        <w:t>, or other confidential information unless the agency can demonstrate that it has instituted procedures to protect the information's confidentiality to the extent permitted by</w:t>
      </w:r>
      <w:r w:rsidRPr="003C66B9">
        <w:rPr>
          <w:rFonts w:ascii="Calibri" w:hAnsi="Calibri" w:cs="Calibri"/>
          <w:spacing w:val="-3"/>
          <w:sz w:val="24"/>
        </w:rPr>
        <w:t xml:space="preserve"> </w:t>
      </w:r>
      <w:r w:rsidRPr="003C66B9">
        <w:rPr>
          <w:rFonts w:ascii="Calibri" w:hAnsi="Calibri" w:cs="Calibri"/>
          <w:sz w:val="24"/>
        </w:rPr>
        <w:t>law.</w:t>
      </w:r>
    </w:p>
    <w:p w:rsidR="000F64D2" w:rsidRPr="003C66B9" w:rsidP="000F64D2" w14:paraId="267AE0D3" w14:textId="77777777">
      <w:pPr>
        <w:pStyle w:val="ListParagraph"/>
        <w:tabs>
          <w:tab w:val="left" w:pos="759"/>
          <w:tab w:val="left" w:pos="760"/>
        </w:tabs>
        <w:spacing w:before="0"/>
        <w:ind w:firstLine="0"/>
        <w:rPr>
          <w:rFonts w:ascii="Calibri" w:hAnsi="Calibri" w:cs="Calibri"/>
          <w:sz w:val="20"/>
        </w:rPr>
      </w:pPr>
    </w:p>
    <w:p w:rsidR="00060FAF" w:rsidP="008932F0" w14:paraId="3DEEC669" w14:textId="1D6AB8F3">
      <w:pPr>
        <w:pStyle w:val="BodyText"/>
        <w:spacing w:before="0"/>
        <w:ind w:right="379"/>
        <w:rPr>
          <w:rFonts w:ascii="Calibri" w:hAnsi="Calibri" w:cs="Calibri"/>
        </w:rPr>
      </w:pPr>
      <w:r w:rsidRPr="00252048">
        <w:rPr>
          <w:rFonts w:ascii="Calibri" w:hAnsi="Calibri" w:cs="Calibri"/>
        </w:rPr>
        <w:t>The collection of these data is consistent with each of the Office of Management and Budget (OMB) guidelines above</w:t>
      </w:r>
      <w:r w:rsidRPr="008A6B96" w:rsidR="008A6B96">
        <w:rPr>
          <w:rFonts w:ascii="Calibri" w:hAnsi="Calibri" w:cs="Calibri"/>
        </w:rPr>
        <w:t>.</w:t>
      </w:r>
    </w:p>
    <w:p w:rsidR="000F64D2" w:rsidRPr="00060FAF" w:rsidP="008932F0" w14:paraId="1E8752C3" w14:textId="77777777">
      <w:pPr>
        <w:pStyle w:val="BodyText"/>
        <w:spacing w:before="0"/>
        <w:ind w:right="379"/>
        <w:rPr>
          <w:rFonts w:ascii="Calibri" w:hAnsi="Calibri" w:cs="Calibri"/>
        </w:rPr>
      </w:pPr>
    </w:p>
    <w:p w:rsidR="00201347" w:rsidRPr="00124446" w:rsidP="008932F0" w14:paraId="011B0591" w14:textId="77777777">
      <w:pPr>
        <w:pStyle w:val="Heading1"/>
        <w:numPr>
          <w:ilvl w:val="0"/>
          <w:numId w:val="7"/>
        </w:numPr>
        <w:tabs>
          <w:tab w:val="left" w:pos="669"/>
        </w:tabs>
        <w:spacing w:before="0"/>
        <w:ind w:left="360" w:hanging="360"/>
        <w:rPr>
          <w:rFonts w:ascii="Calibri" w:hAnsi="Calibri" w:cs="Calibri"/>
        </w:rPr>
      </w:pPr>
      <w:r w:rsidRPr="00124446">
        <w:rPr>
          <w:rFonts w:ascii="Calibri" w:hAnsi="Calibri" w:cs="Calibri"/>
        </w:rPr>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w:t>
      </w:r>
      <w:r w:rsidRPr="00124446">
        <w:rPr>
          <w:rFonts w:ascii="Calibri" w:hAnsi="Calibri" w:cs="Calibri"/>
        </w:rPr>
        <w:t>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P="008932F0" w14:paraId="2F54815D" w14:textId="77777777">
      <w:pPr>
        <w:pStyle w:val="BodyText"/>
        <w:spacing w:before="0"/>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F64D2" w:rsidRPr="0056581F" w:rsidP="008932F0" w14:paraId="43D9A86C" w14:textId="77777777">
      <w:pPr>
        <w:pStyle w:val="BodyText"/>
        <w:spacing w:before="0"/>
        <w:rPr>
          <w:rFonts w:ascii="Calibri" w:hAnsi="Calibri" w:cs="Calibri"/>
          <w:b/>
          <w:bCs/>
        </w:rPr>
      </w:pPr>
    </w:p>
    <w:p w:rsidR="008A6B96" w:rsidP="001C2732" w14:paraId="7C9EDF62" w14:textId="28114BD9">
      <w:pPr>
        <w:pStyle w:val="BodyText"/>
        <w:spacing w:before="0"/>
        <w:rPr>
          <w:rFonts w:ascii="Calibri" w:hAnsi="Calibri" w:cs="Calibri"/>
        </w:rPr>
      </w:pPr>
      <w:r w:rsidRPr="008A6B96">
        <w:rPr>
          <w:rFonts w:ascii="Calibri" w:hAnsi="Calibri" w:cs="Calibri"/>
        </w:rPr>
        <w:t xml:space="preserve">A pre-submission notice was placed in the Federal Register on August 5, 2025, Volume 90, Number 148, (pages 37468-37469), inviting the </w:t>
      </w:r>
      <w:r w:rsidRPr="008A6B96">
        <w:rPr>
          <w:rFonts w:ascii="Calibri" w:hAnsi="Calibri" w:cs="Calibri"/>
        </w:rPr>
        <w:t>general public</w:t>
      </w:r>
      <w:r w:rsidRPr="008A6B96">
        <w:rPr>
          <w:rFonts w:ascii="Calibri" w:hAnsi="Calibri" w:cs="Calibri"/>
        </w:rPr>
        <w:t xml:space="preserve"> and other Federal agencies to comment on the information collection.  </w:t>
      </w:r>
    </w:p>
    <w:p w:rsidR="000F64D2" w:rsidRPr="008A6B96" w:rsidP="001C2732" w14:paraId="10387619" w14:textId="77777777">
      <w:pPr>
        <w:pStyle w:val="BodyText"/>
        <w:spacing w:before="0"/>
        <w:rPr>
          <w:rFonts w:ascii="Calibri" w:hAnsi="Calibri" w:cs="Calibri"/>
        </w:rPr>
      </w:pPr>
    </w:p>
    <w:p w:rsidR="00060FAF" w:rsidP="001C2732" w14:paraId="3656B9AB" w14:textId="3492473B">
      <w:pPr>
        <w:pStyle w:val="BodyText"/>
        <w:spacing w:before="0"/>
        <w:rPr>
          <w:rFonts w:ascii="Calibri" w:hAnsi="Calibri" w:cs="Calibri"/>
        </w:rPr>
      </w:pPr>
      <w:r w:rsidRPr="008A6B96">
        <w:rPr>
          <w:rFonts w:ascii="Calibri" w:hAnsi="Calibri" w:cs="Calibri"/>
        </w:rPr>
        <w:t>The Bureau of Economic Analysis (BEA) submitted a letter supporting the MRS. This letter</w:t>
      </w:r>
      <w:r w:rsidR="00FF1F31">
        <w:rPr>
          <w:rFonts w:ascii="Calibri" w:hAnsi="Calibri" w:cs="Calibri"/>
        </w:rPr>
        <w:t xml:space="preserve"> </w:t>
      </w:r>
      <w:r w:rsidRPr="008A6B96">
        <w:rPr>
          <w:rFonts w:ascii="Calibri" w:hAnsi="Calibri" w:cs="Calibri"/>
        </w:rPr>
        <w:t xml:space="preserve">can be found </w:t>
      </w:r>
      <w:r w:rsidRPr="008A6B96">
        <w:rPr>
          <w:rFonts w:ascii="Calibri" w:hAnsi="Calibri" w:cs="Calibri"/>
        </w:rPr>
        <w:t>at</w:t>
      </w:r>
      <w:r w:rsidRPr="008A6B96">
        <w:rPr>
          <w:rFonts w:ascii="Calibri" w:hAnsi="Calibri" w:cs="Calibri"/>
        </w:rPr>
        <w:t xml:space="preserve"> Attachment </w:t>
      </w:r>
      <w:r w:rsidR="00305BB7">
        <w:rPr>
          <w:rFonts w:ascii="Calibri" w:hAnsi="Calibri" w:cs="Calibri"/>
        </w:rPr>
        <w:t>2</w:t>
      </w:r>
      <w:r w:rsidRPr="008A6B96">
        <w:rPr>
          <w:rFonts w:ascii="Calibri" w:hAnsi="Calibri" w:cs="Calibri"/>
        </w:rPr>
        <w:t>.</w:t>
      </w:r>
    </w:p>
    <w:p w:rsidR="001C2732" w:rsidP="001C2732" w14:paraId="69B62768" w14:textId="77777777">
      <w:pPr>
        <w:pStyle w:val="BodyText"/>
        <w:spacing w:before="0"/>
        <w:rPr>
          <w:rFonts w:ascii="Calibri" w:hAnsi="Calibri" w:cs="Calibri"/>
        </w:rPr>
      </w:pPr>
    </w:p>
    <w:p w:rsidR="001C2732" w:rsidRPr="00376271" w:rsidP="005B0717" w14:paraId="4FC404B0" w14:textId="5EFB6341">
      <w:pPr>
        <w:pStyle w:val="BodyText"/>
        <w:spacing w:before="0"/>
        <w:rPr>
          <w:rFonts w:ascii="Calibri" w:hAnsi="Calibri" w:cs="Calibri"/>
        </w:rPr>
      </w:pPr>
      <w:r>
        <w:rPr>
          <w:rFonts w:ascii="Calibri" w:hAnsi="Calibri" w:cs="Calibri"/>
        </w:rPr>
        <w:t>There is an ongoing effort to request feedback from respondents in the online reporting instrument, Centurion</w:t>
      </w:r>
      <w:r w:rsidR="00C40B79">
        <w:rPr>
          <w:rFonts w:ascii="Calibri" w:hAnsi="Calibri" w:cs="Calibri"/>
        </w:rPr>
        <w:t>,</w:t>
      </w:r>
      <w:r>
        <w:rPr>
          <w:rFonts w:ascii="Calibri" w:hAnsi="Calibri" w:cs="Calibri"/>
        </w:rPr>
        <w:t xml:space="preserve"> which is located within the burden statement in Attachment </w:t>
      </w:r>
      <w:r w:rsidR="00C40B79">
        <w:rPr>
          <w:rFonts w:ascii="Calibri" w:hAnsi="Calibri" w:cs="Calibri"/>
        </w:rPr>
        <w:t>5</w:t>
      </w:r>
      <w:r>
        <w:rPr>
          <w:rFonts w:ascii="Calibri" w:hAnsi="Calibri" w:cs="Calibri"/>
        </w:rPr>
        <w:t xml:space="preserve">. </w:t>
      </w:r>
    </w:p>
    <w:p w:rsidR="000F64D2" w:rsidRPr="00060FAF" w:rsidP="001C2732" w14:paraId="586E791E" w14:textId="77777777">
      <w:pPr>
        <w:pStyle w:val="BodyText"/>
        <w:spacing w:before="0"/>
        <w:rPr>
          <w:rFonts w:ascii="Calibri" w:hAnsi="Calibri" w:cs="Calibri"/>
        </w:rPr>
      </w:pPr>
    </w:p>
    <w:p w:rsidR="00201347" w:rsidP="001C2732" w14:paraId="66A4E15B" w14:textId="77777777">
      <w:pPr>
        <w:pStyle w:val="Heading1"/>
        <w:numPr>
          <w:ilvl w:val="0"/>
          <w:numId w:val="7"/>
        </w:numPr>
        <w:tabs>
          <w:tab w:val="left" w:pos="669"/>
        </w:tabs>
        <w:spacing w:before="0"/>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0F64D2" w:rsidRPr="00124446" w:rsidP="000F64D2" w14:paraId="4A4D09AD" w14:textId="77777777">
      <w:pPr>
        <w:pStyle w:val="Heading1"/>
        <w:tabs>
          <w:tab w:val="left" w:pos="669"/>
        </w:tabs>
        <w:spacing w:before="0"/>
        <w:ind w:left="360"/>
        <w:rPr>
          <w:rFonts w:ascii="Calibri" w:hAnsi="Calibri" w:cs="Calibri"/>
        </w:rPr>
      </w:pPr>
    </w:p>
    <w:p w:rsidR="00060FAF" w:rsidP="008932F0" w14:paraId="45FB0818" w14:textId="077B12D4">
      <w:pPr>
        <w:pStyle w:val="BodyText"/>
        <w:spacing w:before="0"/>
        <w:rPr>
          <w:rFonts w:ascii="Calibri" w:hAnsi="Calibri" w:cs="Calibri"/>
        </w:rPr>
      </w:pPr>
      <w:r w:rsidRPr="00FF1F31">
        <w:rPr>
          <w:rFonts w:ascii="Calibri" w:hAnsi="Calibri" w:cs="Calibri"/>
        </w:rPr>
        <w:t>The Census Bureau does not provide any payment or gifts to respondents for participating in either the MARTS or the MRTS.</w:t>
      </w:r>
    </w:p>
    <w:p w:rsidR="000F64D2" w:rsidRPr="00060FAF" w:rsidP="008932F0" w14:paraId="24CE071D" w14:textId="77777777">
      <w:pPr>
        <w:pStyle w:val="BodyText"/>
        <w:spacing w:before="0"/>
        <w:rPr>
          <w:rFonts w:ascii="Calibri" w:hAnsi="Calibri" w:cs="Calibri"/>
        </w:rPr>
      </w:pPr>
    </w:p>
    <w:p w:rsidR="00201347" w:rsidP="008932F0" w14:paraId="0C7002A8"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 xml:space="preserve">for the assurance in statute, regulation, or agency policy. If the collection requires a </w:t>
      </w:r>
      <w:r w:rsidRPr="00124446">
        <w:rPr>
          <w:rFonts w:ascii="Calibri" w:hAnsi="Calibri" w:cs="Calibri"/>
        </w:rPr>
        <w:t>systems</w:t>
      </w:r>
      <w:r w:rsidRPr="00124446">
        <w:rPr>
          <w:rFonts w:ascii="Calibri" w:hAnsi="Calibri" w:cs="Calibri"/>
        </w:rPr>
        <w:t xml:space="preserve">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0F64D2" w:rsidRPr="00124446" w:rsidP="000F64D2" w14:paraId="35DD72C2" w14:textId="77777777">
      <w:pPr>
        <w:pStyle w:val="Heading1"/>
        <w:tabs>
          <w:tab w:val="left" w:pos="804"/>
        </w:tabs>
        <w:spacing w:before="0"/>
        <w:ind w:left="360"/>
        <w:rPr>
          <w:rFonts w:ascii="Calibri" w:hAnsi="Calibri" w:cs="Calibri"/>
        </w:rPr>
      </w:pPr>
    </w:p>
    <w:p w:rsidR="00060FAF" w:rsidP="008932F0" w14:paraId="049F31CB" w14:textId="00A5AC58">
      <w:pPr>
        <w:pStyle w:val="BodyText"/>
        <w:spacing w:before="0"/>
        <w:rPr>
          <w:rFonts w:ascii="Calibri" w:hAnsi="Calibri" w:cs="Calibri"/>
        </w:rPr>
      </w:pPr>
      <w:r w:rsidRPr="003E0D6D">
        <w:rPr>
          <w:rFonts w:ascii="Calibri" w:hAnsi="Calibri" w:cs="Calibri"/>
        </w:rPr>
        <w:t xml:space="preserve">Data collected in these surveys are confidential under Title 13, Section 9 of the United States Code. We inform respondents of the voluntary and confidential nature of this survey in the initial mailing letter that we send to our contacts. This letter is available to respondents on our website at http://www.census.gov/retail/marts/get_forms.html. The initial mailing letter is included in Attachment </w:t>
      </w:r>
      <w:r w:rsidR="00305BB7">
        <w:rPr>
          <w:rFonts w:ascii="Calibri" w:hAnsi="Calibri" w:cs="Calibri"/>
        </w:rPr>
        <w:t>3</w:t>
      </w:r>
      <w:r w:rsidRPr="003E0D6D">
        <w:rPr>
          <w:rFonts w:ascii="Calibri" w:hAnsi="Calibri" w:cs="Calibri"/>
        </w:rPr>
        <w:t xml:space="preserve"> and a monthly letter is included in Attachment </w:t>
      </w:r>
      <w:r w:rsidR="00305BB7">
        <w:rPr>
          <w:rFonts w:ascii="Calibri" w:hAnsi="Calibri" w:cs="Calibri"/>
        </w:rPr>
        <w:t>4</w:t>
      </w:r>
      <w:r w:rsidRPr="003E0D6D">
        <w:rPr>
          <w:rFonts w:ascii="Calibri" w:hAnsi="Calibri" w:cs="Calibri"/>
        </w:rPr>
        <w:t>. On a monthly basis, we inform respondents of the voluntary and confidential nature of this survey on the questionnaires/forms we provide as well as on our website.  Screenshots of our electronic reporting instrument can be found in Attachment 5.  The survey questionnaires/forms are included as Attachments 6 and 7.  As mentioned above in Section 1:  Necessity of Information Collection, please note that since each MRS form has two versions; one with an “E” suffix and one with an “A” suffix, which are identical, we have included only the “A” suffix versions of the form in the attachments.</w:t>
      </w:r>
    </w:p>
    <w:p w:rsidR="000F64D2" w:rsidRPr="00060FAF" w:rsidP="008932F0" w14:paraId="061F8D3A" w14:textId="77777777">
      <w:pPr>
        <w:pStyle w:val="BodyText"/>
        <w:spacing w:before="0"/>
        <w:rPr>
          <w:rFonts w:ascii="Calibri" w:hAnsi="Calibri" w:cs="Calibri"/>
        </w:rPr>
      </w:pPr>
    </w:p>
    <w:p w:rsidR="00201347" w:rsidP="008932F0" w14:paraId="06337390" w14:textId="77777777">
      <w:pPr>
        <w:pStyle w:val="Heading1"/>
        <w:numPr>
          <w:ilvl w:val="0"/>
          <w:numId w:val="7"/>
        </w:numPr>
        <w:tabs>
          <w:tab w:val="left" w:pos="804"/>
        </w:tabs>
        <w:spacing w:before="0"/>
        <w:ind w:left="360" w:hanging="400"/>
        <w:rPr>
          <w:rFonts w:ascii="Calibri" w:hAnsi="Calibri" w:cs="Calibri"/>
        </w:rPr>
      </w:pPr>
      <w:r w:rsidRPr="00124446">
        <w:rPr>
          <w:rFonts w:ascii="Calibri" w:hAnsi="Calibri" w:cs="Calibri"/>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124446">
        <w:rPr>
          <w:rFonts w:ascii="Calibri" w:hAnsi="Calibri" w:cs="Calibri"/>
        </w:rPr>
        <w:t>persons</w:t>
      </w:r>
      <w:r w:rsidRPr="00124446">
        <w:rPr>
          <w:rFonts w:ascii="Calibri" w:hAnsi="Calibri" w:cs="Calibri"/>
        </w:rPr>
        <w:t xml:space="preserve"> from whom the information is requested, and any steps to be taken to obtain their consent.</w:t>
      </w:r>
    </w:p>
    <w:p w:rsidR="000F64D2" w:rsidRPr="00124446" w:rsidP="000F64D2" w14:paraId="69D1EA39" w14:textId="77777777">
      <w:pPr>
        <w:pStyle w:val="Heading1"/>
        <w:tabs>
          <w:tab w:val="left" w:pos="804"/>
        </w:tabs>
        <w:spacing w:before="0"/>
        <w:ind w:left="360"/>
        <w:rPr>
          <w:rFonts w:ascii="Calibri" w:hAnsi="Calibri" w:cs="Calibri"/>
        </w:rPr>
      </w:pPr>
    </w:p>
    <w:p w:rsidR="00060FAF" w:rsidP="008932F0" w14:paraId="53128261" w14:textId="7829DF54">
      <w:pPr>
        <w:pStyle w:val="BodyText"/>
        <w:spacing w:before="0"/>
        <w:ind w:right="368"/>
        <w:rPr>
          <w:rFonts w:ascii="Calibri" w:hAnsi="Calibri" w:cs="Calibri"/>
        </w:rPr>
      </w:pPr>
      <w:r w:rsidRPr="003E0D6D">
        <w:rPr>
          <w:rFonts w:ascii="Calibri" w:hAnsi="Calibri" w:cs="Calibri"/>
        </w:rPr>
        <w:t>The monthly retail surveys request only routine business information that is generally available from existing company records and is not of a sensitive nature.</w:t>
      </w:r>
    </w:p>
    <w:p w:rsidR="000F64D2" w:rsidRPr="00060FAF" w:rsidP="000F64D2" w14:paraId="45548EE4" w14:textId="77777777">
      <w:pPr>
        <w:pStyle w:val="BodyText"/>
        <w:spacing w:before="0"/>
        <w:ind w:left="0" w:right="368"/>
        <w:rPr>
          <w:rFonts w:ascii="Calibri" w:hAnsi="Calibri" w:cs="Calibri"/>
        </w:rPr>
      </w:pPr>
    </w:p>
    <w:p w:rsidR="00201347" w:rsidRPr="00124446" w:rsidP="008932F0" w14:paraId="5B7A8C0D" w14:textId="77777777">
      <w:pPr>
        <w:pStyle w:val="Heading1"/>
        <w:numPr>
          <w:ilvl w:val="0"/>
          <w:numId w:val="7"/>
        </w:numPr>
        <w:tabs>
          <w:tab w:val="left" w:pos="540"/>
        </w:tabs>
        <w:spacing w:before="0"/>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8932F0" w14:paraId="01A1C6D7" w14:textId="77777777">
      <w:pPr>
        <w:pStyle w:val="ListParagraph"/>
        <w:numPr>
          <w:ilvl w:val="0"/>
          <w:numId w:val="10"/>
        </w:numPr>
        <w:tabs>
          <w:tab w:val="left" w:pos="759"/>
          <w:tab w:val="left" w:pos="760"/>
        </w:tabs>
        <w:spacing w:before="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8932F0" w14:paraId="1B16A307" w14:textId="77777777">
      <w:pPr>
        <w:pStyle w:val="ListParagraph"/>
        <w:numPr>
          <w:ilvl w:val="0"/>
          <w:numId w:val="10"/>
        </w:numPr>
        <w:tabs>
          <w:tab w:val="left" w:pos="759"/>
          <w:tab w:val="left" w:pos="760"/>
        </w:tabs>
        <w:spacing w:before="0"/>
        <w:rPr>
          <w:rFonts w:ascii="Calibri" w:hAnsi="Calibri" w:cs="Calibri"/>
          <w:b/>
          <w:sz w:val="24"/>
        </w:rPr>
      </w:pPr>
      <w:r w:rsidRPr="000311EF">
        <w:rPr>
          <w:rFonts w:ascii="Calibri" w:hAnsi="Calibri" w:cs="Calibri"/>
          <w:b/>
          <w:sz w:val="24"/>
        </w:rPr>
        <w:t>If this request for approval covers more than one form, provide separate hour burden estimates for each form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8932F0" w14:paraId="6F1AF403" w14:textId="77777777">
      <w:pPr>
        <w:pStyle w:val="ListParagraph"/>
        <w:numPr>
          <w:ilvl w:val="0"/>
          <w:numId w:val="10"/>
        </w:numPr>
        <w:tabs>
          <w:tab w:val="left" w:pos="759"/>
          <w:tab w:val="left" w:pos="760"/>
        </w:tabs>
        <w:spacing w:before="0"/>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0F64D2" w:rsidP="008932F0" w14:paraId="45E3CE95" w14:textId="77777777">
      <w:pPr>
        <w:pStyle w:val="BodyText"/>
        <w:spacing w:before="0"/>
        <w:rPr>
          <w:rFonts w:ascii="Calibri" w:hAnsi="Calibri" w:cs="Calibri"/>
        </w:rPr>
      </w:pPr>
    </w:p>
    <w:p w:rsidR="003E0D6D" w:rsidP="008932F0" w14:paraId="0B6CB2D3" w14:textId="57FAA6F4">
      <w:pPr>
        <w:pStyle w:val="BodyText"/>
        <w:spacing w:before="0"/>
        <w:rPr>
          <w:rFonts w:ascii="Calibri" w:hAnsi="Calibri" w:cs="Calibri"/>
        </w:rPr>
      </w:pPr>
      <w:r w:rsidRPr="003E0D6D">
        <w:rPr>
          <w:rFonts w:ascii="Calibri" w:hAnsi="Calibri" w:cs="Calibri"/>
        </w:rPr>
        <w:t xml:space="preserve">Approximately 13,000 retail businesses are requested to report </w:t>
      </w:r>
      <w:r w:rsidRPr="003E0D6D">
        <w:rPr>
          <w:rFonts w:ascii="Calibri" w:hAnsi="Calibri" w:cs="Calibri"/>
        </w:rPr>
        <w:t>in</w:t>
      </w:r>
      <w:r w:rsidRPr="003E0D6D">
        <w:rPr>
          <w:rFonts w:ascii="Calibri" w:hAnsi="Calibri" w:cs="Calibri"/>
        </w:rPr>
        <w:t xml:space="preserve"> the MRTS each month, which includes the MARTS subset of approximately 4,800.</w:t>
      </w:r>
    </w:p>
    <w:p w:rsidR="000F64D2" w:rsidRPr="003E0D6D" w:rsidP="008932F0" w14:paraId="72BC3A31" w14:textId="77777777">
      <w:pPr>
        <w:pStyle w:val="BodyText"/>
        <w:spacing w:before="0"/>
        <w:rPr>
          <w:rFonts w:ascii="Calibri" w:hAnsi="Calibri" w:cs="Calibri"/>
        </w:rPr>
      </w:pPr>
    </w:p>
    <w:p w:rsidR="003E0D6D" w:rsidP="008932F0" w14:paraId="1647C910" w14:textId="03E00329">
      <w:pPr>
        <w:pStyle w:val="BodyText"/>
        <w:spacing w:before="0"/>
        <w:rPr>
          <w:rFonts w:ascii="Calibri" w:hAnsi="Calibri" w:cs="Calibri"/>
        </w:rPr>
      </w:pPr>
      <w:r w:rsidRPr="003E0D6D">
        <w:rPr>
          <w:rFonts w:ascii="Calibri" w:hAnsi="Calibri" w:cs="Calibri"/>
        </w:rPr>
        <w:t>According to responses given by a sample of respondents, we computed an average of five minutes per response for MARTS and seven minutes per response for MRTS.  However, it should be noted that to eliminate duplication, firms that report to the MARTS survey are not required to provide sales and ecommerce sales information for MRTS, as previously referenced in Section 5: Minimizing Burden.</w:t>
      </w:r>
    </w:p>
    <w:p w:rsidR="000F64D2" w:rsidRPr="003E0D6D" w:rsidP="008932F0" w14:paraId="46AF960B" w14:textId="77777777">
      <w:pPr>
        <w:pStyle w:val="BodyText"/>
        <w:spacing w:before="0"/>
        <w:rPr>
          <w:rFonts w:ascii="Calibri" w:hAnsi="Calibri" w:cs="Calibri"/>
        </w:rPr>
      </w:pPr>
    </w:p>
    <w:p w:rsidR="00A82C0C" w:rsidP="008932F0" w14:paraId="1FC39945" w14:textId="266334C4">
      <w:pPr>
        <w:pStyle w:val="BodyText"/>
        <w:spacing w:before="0"/>
        <w:rPr>
          <w:rFonts w:ascii="Calibri" w:hAnsi="Calibri" w:cs="Calibri"/>
        </w:rPr>
      </w:pPr>
      <w:r w:rsidRPr="003E0D6D">
        <w:rPr>
          <w:rFonts w:ascii="Calibri" w:hAnsi="Calibri" w:cs="Calibri"/>
        </w:rPr>
        <w:t>This results in an annual burden of 18,200 hours (see chart).</w:t>
      </w:r>
    </w:p>
    <w:p w:rsidR="003E0D6D" w:rsidP="008932F0" w14:paraId="29D972AA" w14:textId="77777777">
      <w:pPr>
        <w:pStyle w:val="BodyText"/>
        <w:spacing w:before="0"/>
        <w:ind w:left="403"/>
        <w:rPr>
          <w:rFonts w:ascii="Calibri" w:hAnsi="Calibri" w:cs="Calibri"/>
        </w:rPr>
      </w:pPr>
    </w:p>
    <w:tbl>
      <w:tblPr>
        <w:tblStyle w:val="TableGrid"/>
        <w:tblW w:w="0" w:type="auto"/>
        <w:jc w:val="center"/>
        <w:tblLook w:val="04A0"/>
      </w:tblPr>
      <w:tblGrid>
        <w:gridCol w:w="1874"/>
        <w:gridCol w:w="1874"/>
        <w:gridCol w:w="1874"/>
        <w:gridCol w:w="1874"/>
        <w:gridCol w:w="1874"/>
      </w:tblGrid>
      <w:tr w14:paraId="4B917148" w14:textId="77777777" w:rsidTr="008932F0">
        <w:tblPrEx>
          <w:tblW w:w="0" w:type="auto"/>
          <w:jc w:val="center"/>
          <w:tblLook w:val="04A0"/>
        </w:tblPrEx>
        <w:trPr>
          <w:jc w:val="center"/>
        </w:trPr>
        <w:tc>
          <w:tcPr>
            <w:tcW w:w="1874" w:type="dxa"/>
          </w:tcPr>
          <w:p w:rsidR="003E0D6D" w:rsidRPr="00BE2B00" w:rsidP="008932F0" w14:paraId="11325507" w14:textId="77777777">
            <w:pPr>
              <w:autoSpaceDE w:val="0"/>
              <w:autoSpaceDN w:val="0"/>
              <w:adjustRightInd w:val="0"/>
              <w:jc w:val="center"/>
              <w:rPr>
                <w:rFonts w:ascii="Times New Roman" w:hAnsi="Times New Roman" w:cs="Times New Roman"/>
                <w:b/>
                <w:sz w:val="24"/>
                <w:szCs w:val="24"/>
              </w:rPr>
            </w:pPr>
            <w:r w:rsidRPr="00BE2B00">
              <w:rPr>
                <w:rFonts w:ascii="Times New Roman" w:hAnsi="Times New Roman" w:cs="Times New Roman"/>
                <w:b/>
                <w:sz w:val="24"/>
                <w:szCs w:val="24"/>
              </w:rPr>
              <w:t>Sample Size</w:t>
            </w:r>
          </w:p>
        </w:tc>
        <w:tc>
          <w:tcPr>
            <w:tcW w:w="1874" w:type="dxa"/>
          </w:tcPr>
          <w:p w:rsidR="003E0D6D" w:rsidRPr="00BE2B00" w:rsidP="008932F0" w14:paraId="52F49DDF" w14:textId="77777777">
            <w:pPr>
              <w:autoSpaceDE w:val="0"/>
              <w:autoSpaceDN w:val="0"/>
              <w:adjustRightInd w:val="0"/>
              <w:jc w:val="center"/>
              <w:rPr>
                <w:rFonts w:ascii="Times New Roman" w:hAnsi="Times New Roman" w:cs="Times New Roman"/>
                <w:b/>
                <w:sz w:val="24"/>
                <w:szCs w:val="24"/>
              </w:rPr>
            </w:pPr>
            <w:r w:rsidRPr="00BE2B00">
              <w:rPr>
                <w:rFonts w:ascii="Times New Roman" w:hAnsi="Times New Roman" w:cs="Times New Roman"/>
                <w:b/>
                <w:sz w:val="24"/>
                <w:szCs w:val="24"/>
              </w:rPr>
              <w:t>Annual Responses</w:t>
            </w:r>
          </w:p>
        </w:tc>
        <w:tc>
          <w:tcPr>
            <w:tcW w:w="1874" w:type="dxa"/>
          </w:tcPr>
          <w:p w:rsidR="003E0D6D" w:rsidRPr="00BE2B00" w:rsidP="008932F0" w14:paraId="0D5953EC" w14:textId="77777777">
            <w:pPr>
              <w:autoSpaceDE w:val="0"/>
              <w:autoSpaceDN w:val="0"/>
              <w:adjustRightInd w:val="0"/>
              <w:jc w:val="center"/>
              <w:rPr>
                <w:rFonts w:ascii="Times New Roman" w:hAnsi="Times New Roman" w:cs="Times New Roman"/>
                <w:b/>
                <w:sz w:val="24"/>
                <w:szCs w:val="24"/>
              </w:rPr>
            </w:pPr>
            <w:r w:rsidRPr="00BE2B00">
              <w:rPr>
                <w:rFonts w:ascii="Times New Roman" w:hAnsi="Times New Roman" w:cs="Times New Roman"/>
                <w:b/>
                <w:sz w:val="24"/>
                <w:szCs w:val="24"/>
              </w:rPr>
              <w:t>Total Responses</w:t>
            </w:r>
          </w:p>
        </w:tc>
        <w:tc>
          <w:tcPr>
            <w:tcW w:w="1874" w:type="dxa"/>
          </w:tcPr>
          <w:p w:rsidR="003E0D6D" w:rsidRPr="00BE2B00" w:rsidP="008932F0" w14:paraId="36F54B65" w14:textId="77777777">
            <w:pPr>
              <w:autoSpaceDE w:val="0"/>
              <w:autoSpaceDN w:val="0"/>
              <w:adjustRightInd w:val="0"/>
              <w:jc w:val="center"/>
              <w:rPr>
                <w:rFonts w:ascii="Times New Roman" w:hAnsi="Times New Roman" w:cs="Times New Roman"/>
                <w:b/>
                <w:sz w:val="24"/>
                <w:szCs w:val="24"/>
              </w:rPr>
            </w:pPr>
            <w:r w:rsidRPr="00BE2B00">
              <w:rPr>
                <w:rFonts w:ascii="Times New Roman" w:hAnsi="Times New Roman" w:cs="Times New Roman"/>
                <w:b/>
                <w:sz w:val="24"/>
                <w:szCs w:val="24"/>
              </w:rPr>
              <w:t>Hours</w:t>
            </w:r>
          </w:p>
        </w:tc>
        <w:tc>
          <w:tcPr>
            <w:tcW w:w="1874" w:type="dxa"/>
          </w:tcPr>
          <w:p w:rsidR="003E0D6D" w:rsidRPr="00BE2B00" w:rsidP="008932F0" w14:paraId="7B5A202E" w14:textId="77777777">
            <w:pPr>
              <w:autoSpaceDE w:val="0"/>
              <w:autoSpaceDN w:val="0"/>
              <w:adjustRightInd w:val="0"/>
              <w:jc w:val="center"/>
              <w:rPr>
                <w:rFonts w:ascii="Times New Roman" w:hAnsi="Times New Roman" w:cs="Times New Roman"/>
                <w:b/>
                <w:sz w:val="24"/>
                <w:szCs w:val="24"/>
              </w:rPr>
            </w:pPr>
            <w:r w:rsidRPr="00BE2B00">
              <w:rPr>
                <w:rFonts w:ascii="Times New Roman" w:hAnsi="Times New Roman" w:cs="Times New Roman"/>
                <w:b/>
                <w:sz w:val="24"/>
                <w:szCs w:val="24"/>
              </w:rPr>
              <w:t>Total Burden Hours</w:t>
            </w:r>
          </w:p>
        </w:tc>
      </w:tr>
      <w:tr w14:paraId="0E09276E" w14:textId="77777777" w:rsidTr="008932F0">
        <w:tblPrEx>
          <w:tblW w:w="0" w:type="auto"/>
          <w:jc w:val="center"/>
          <w:tblLook w:val="04A0"/>
        </w:tblPrEx>
        <w:trPr>
          <w:jc w:val="center"/>
        </w:trPr>
        <w:tc>
          <w:tcPr>
            <w:tcW w:w="1874" w:type="dxa"/>
          </w:tcPr>
          <w:p w:rsidR="003E0D6D" w:rsidP="008932F0" w14:paraId="25B3B8A4" w14:textId="777777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13,000</w:t>
            </w:r>
          </w:p>
        </w:tc>
        <w:tc>
          <w:tcPr>
            <w:tcW w:w="1874" w:type="dxa"/>
          </w:tcPr>
          <w:p w:rsidR="003E0D6D" w:rsidP="008932F0" w14:paraId="7ABF2B1D" w14:textId="777777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1874" w:type="dxa"/>
          </w:tcPr>
          <w:p w:rsidR="003E0D6D" w:rsidP="008932F0" w14:paraId="12E5F8F0" w14:textId="777777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156,000</w:t>
            </w:r>
          </w:p>
        </w:tc>
        <w:tc>
          <w:tcPr>
            <w:tcW w:w="1874" w:type="dxa"/>
          </w:tcPr>
          <w:p w:rsidR="003E0D6D" w:rsidP="008932F0" w14:paraId="1B8BDD57" w14:textId="777777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0.11666 (7 min)</w:t>
            </w:r>
          </w:p>
        </w:tc>
        <w:tc>
          <w:tcPr>
            <w:tcW w:w="1874" w:type="dxa"/>
          </w:tcPr>
          <w:p w:rsidR="003E0D6D" w:rsidP="008932F0" w14:paraId="5FB71763" w14:textId="777777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18,200</w:t>
            </w:r>
          </w:p>
        </w:tc>
      </w:tr>
    </w:tbl>
    <w:p w:rsidR="000F64D2" w:rsidP="008932F0" w14:paraId="240AD3B7" w14:textId="77777777">
      <w:pPr>
        <w:pStyle w:val="BodyText"/>
        <w:spacing w:before="0"/>
        <w:rPr>
          <w:rFonts w:ascii="Calibri" w:hAnsi="Calibri" w:cs="Calibri"/>
        </w:rPr>
      </w:pPr>
    </w:p>
    <w:p w:rsidR="003E0D6D" w:rsidRPr="003E0D6D" w:rsidP="008932F0" w14:paraId="2953B5F4" w14:textId="591C0C25">
      <w:pPr>
        <w:pStyle w:val="BodyText"/>
        <w:spacing w:before="0"/>
        <w:rPr>
          <w:rFonts w:ascii="Calibri" w:hAnsi="Calibri" w:cs="Calibri"/>
        </w:rPr>
      </w:pPr>
      <w:r w:rsidRPr="003E0D6D">
        <w:rPr>
          <w:rFonts w:ascii="Calibri" w:hAnsi="Calibri" w:cs="Calibri"/>
        </w:rPr>
        <w:t xml:space="preserve">We used the MRTS sample size and burden hours to estimate the overall burden for the MRS since the MARTS sample is a subsample of MRTS.  The MRTS survey has the maximum number of questions for any given survey respondent as well as the longest estimated burden (at 7 min).  </w:t>
      </w:r>
    </w:p>
    <w:p w:rsidR="000F64D2" w:rsidP="000F64D2" w14:paraId="275A3783" w14:textId="77777777">
      <w:pPr>
        <w:pStyle w:val="BodyText"/>
        <w:spacing w:before="0"/>
        <w:rPr>
          <w:rFonts w:ascii="Calibri" w:hAnsi="Calibri" w:cs="Calibri"/>
        </w:rPr>
      </w:pPr>
    </w:p>
    <w:p w:rsidR="003E0D6D" w:rsidP="008932F0" w14:paraId="7B1CCE8D" w14:textId="4E68D903">
      <w:pPr>
        <w:pStyle w:val="BodyText"/>
        <w:spacing w:before="0"/>
        <w:rPr>
          <w:rFonts w:ascii="Calibri" w:hAnsi="Calibri" w:cs="Calibri"/>
        </w:rPr>
      </w:pPr>
      <w:r w:rsidRPr="003E0D6D">
        <w:rPr>
          <w:rFonts w:ascii="Calibri" w:hAnsi="Calibri" w:cs="Calibri"/>
        </w:rPr>
        <w:t xml:space="preserve">The annual cost to respondents is estimated to be $714,714 based on the median hourly salary of $39.27 for accountants and auditors. (Occupational Employment Statistics- Bureau of Labor Statistics May 2024 National Occupational Employment and Wage Estimates, $39.27 represents the median hourly wage of the full-time wage and salary earnings of accountants and auditors SOC code 13-2011). </w:t>
      </w:r>
      <w:hyperlink r:id="rId10" w:history="1">
        <w:r w:rsidRPr="002479E2">
          <w:rPr>
            <w:rStyle w:val="Hyperlink"/>
            <w:rFonts w:ascii="Calibri" w:hAnsi="Calibri" w:cs="Calibri"/>
          </w:rPr>
          <w:t>https://www.bls.gov/oes/tables.htm</w:t>
        </w:r>
      </w:hyperlink>
    </w:p>
    <w:p w:rsidR="003E0D6D" w:rsidP="008932F0" w14:paraId="1B758A4C" w14:textId="77777777">
      <w:pPr>
        <w:pStyle w:val="BodyText"/>
        <w:spacing w:before="0"/>
        <w:rPr>
          <w:rFonts w:ascii="Calibri" w:hAnsi="Calibri" w:cs="Calibri"/>
        </w:rPr>
      </w:pPr>
    </w:p>
    <w:p w:rsidR="00201347" w:rsidP="008932F0" w14:paraId="3F30C93F" w14:textId="77777777">
      <w:pPr>
        <w:pStyle w:val="ListParagraph"/>
        <w:numPr>
          <w:ilvl w:val="0"/>
          <w:numId w:val="7"/>
        </w:numPr>
        <w:spacing w:before="0"/>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0F64D2" w:rsidRPr="00A82C0C" w:rsidP="000F64D2" w14:paraId="4C6F0740" w14:textId="77777777">
      <w:pPr>
        <w:pStyle w:val="ListParagraph"/>
        <w:spacing w:before="0"/>
        <w:ind w:left="360" w:firstLine="0"/>
        <w:rPr>
          <w:rFonts w:ascii="Calibri" w:hAnsi="Calibri" w:cs="Calibri"/>
          <w:b/>
          <w:sz w:val="24"/>
          <w:szCs w:val="24"/>
        </w:rPr>
      </w:pPr>
    </w:p>
    <w:p w:rsidR="003E0D6D" w:rsidRPr="008932F0" w:rsidP="008932F0" w14:paraId="5CE3FDE0" w14:textId="77777777">
      <w:pPr>
        <w:pStyle w:val="BodyText"/>
        <w:spacing w:before="0"/>
        <w:rPr>
          <w:rFonts w:ascii="Calibri" w:hAnsi="Calibri" w:cs="Calibri"/>
        </w:rPr>
      </w:pPr>
      <w:r w:rsidRPr="008932F0">
        <w:rPr>
          <w:rFonts w:ascii="Calibri" w:hAnsi="Calibri" w:cs="Calibri"/>
        </w:rPr>
        <w:t>We do not expect respondents to incur any costs other than that of their time to respond.</w:t>
      </w:r>
    </w:p>
    <w:p w:rsidR="00061D50" w:rsidRPr="008932F0" w:rsidP="008932F0" w14:paraId="637805D2" w14:textId="318F66B9">
      <w:pPr>
        <w:pStyle w:val="BodyText"/>
        <w:spacing w:before="0"/>
        <w:rPr>
          <w:rFonts w:ascii="Calibri" w:hAnsi="Calibri" w:cs="Calibri"/>
        </w:rPr>
      </w:pPr>
      <w:r w:rsidRPr="008932F0">
        <w:rPr>
          <w:rFonts w:ascii="Calibri" w:hAnsi="Calibri" w:cs="Calibri"/>
        </w:rPr>
        <w:t xml:space="preserve">The information requested is of the type and scope normally maintained in company records and no special hardware or accounting software or system is necessary to provide answers for this information collection. Therefore, respondents are not expected to incur any capital and start-up costs or system maintenance costs in responding. Furthermore, </w:t>
      </w:r>
      <w:r w:rsidRPr="008932F0">
        <w:rPr>
          <w:rFonts w:ascii="Calibri" w:hAnsi="Calibri" w:cs="Calibri"/>
        </w:rPr>
        <w:t>purchasing of</w:t>
      </w:r>
      <w:r w:rsidRPr="008932F0">
        <w:rPr>
          <w:rFonts w:ascii="Calibri" w:hAnsi="Calibri" w:cs="Calibri"/>
        </w:rPr>
        <w:t xml:space="preserve"> outside accounting or information collection services, if performed by the respondent, is part of usual business practices and not specifically required for this information collection.</w:t>
      </w:r>
    </w:p>
    <w:p w:rsidR="00201347" w:rsidRPr="00124446" w:rsidP="008932F0" w14:paraId="463F29E8" w14:textId="77777777">
      <w:pPr>
        <w:pStyle w:val="BodyText"/>
        <w:spacing w:before="0"/>
        <w:ind w:left="0"/>
        <w:rPr>
          <w:rFonts w:ascii="Calibri" w:hAnsi="Calibri" w:cs="Calibri"/>
          <w:b/>
          <w:sz w:val="16"/>
        </w:rPr>
      </w:pPr>
    </w:p>
    <w:p w:rsidR="00201347" w:rsidP="008932F0"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124446">
        <w:rPr>
          <w:rFonts w:ascii="Calibri" w:hAnsi="Calibri" w:cs="Calibri"/>
        </w:rPr>
        <w:t>expense</w:t>
      </w:r>
      <w:r w:rsidRPr="00124446">
        <w:rPr>
          <w:rFonts w:ascii="Calibri" w:hAnsi="Calibri" w:cs="Calibri"/>
        </w:rPr>
        <w:t xml:space="preserv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0F64D2" w:rsidRPr="00124446" w:rsidP="000F64D2" w14:paraId="7E430E45" w14:textId="77777777">
      <w:pPr>
        <w:pStyle w:val="Heading1"/>
        <w:tabs>
          <w:tab w:val="left" w:pos="804"/>
        </w:tabs>
        <w:spacing w:before="0"/>
        <w:ind w:left="360"/>
        <w:rPr>
          <w:rFonts w:ascii="Calibri" w:hAnsi="Calibri" w:cs="Calibri"/>
        </w:rPr>
      </w:pPr>
    </w:p>
    <w:p w:rsidR="00061D50" w:rsidP="008932F0" w14:paraId="0B4020A7" w14:textId="607003AD">
      <w:pPr>
        <w:pStyle w:val="BodyText"/>
        <w:spacing w:before="0"/>
        <w:rPr>
          <w:rFonts w:ascii="Calibri" w:hAnsi="Calibri" w:cs="Calibri"/>
        </w:rPr>
      </w:pPr>
      <w:r w:rsidRPr="008932F0">
        <w:rPr>
          <w:rFonts w:ascii="Calibri" w:hAnsi="Calibri" w:cs="Calibri"/>
        </w:rPr>
        <w:t>The total cost to the Federal Government for the Monthly Retail Surveys (MARTS and MRTS combined) is expected to be relatively fixed over the upcoming three years at approximately $4.9 million per year, all borne by the Census Bureau. This estimate includes the cost for such things as data collection, processing, review of tabulated data, publication, equipment, overhead, printing, support staff, etc.</w:t>
      </w:r>
    </w:p>
    <w:p w:rsidR="000F64D2" w:rsidRPr="008932F0" w:rsidP="008932F0" w14:paraId="7F2FE51E" w14:textId="77777777">
      <w:pPr>
        <w:pStyle w:val="BodyText"/>
        <w:spacing w:before="0"/>
        <w:rPr>
          <w:rFonts w:ascii="Calibri" w:hAnsi="Calibri" w:cs="Calibri"/>
        </w:rPr>
      </w:pPr>
    </w:p>
    <w:p w:rsidR="00201347" w:rsidP="008932F0" w14:paraId="33D48EDE" w14:textId="77777777">
      <w:pPr>
        <w:pStyle w:val="ListParagraph"/>
        <w:numPr>
          <w:ilvl w:val="0"/>
          <w:numId w:val="7"/>
        </w:numPr>
        <w:tabs>
          <w:tab w:val="left" w:pos="720"/>
        </w:tabs>
        <w:spacing w:before="0"/>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0F64D2" w:rsidRPr="00124446" w:rsidP="000F64D2" w14:paraId="1D2B249C" w14:textId="77777777">
      <w:pPr>
        <w:pStyle w:val="ListParagraph"/>
        <w:tabs>
          <w:tab w:val="left" w:pos="720"/>
        </w:tabs>
        <w:spacing w:before="0"/>
        <w:ind w:left="360" w:firstLine="0"/>
        <w:rPr>
          <w:rFonts w:ascii="Calibri" w:hAnsi="Calibri" w:cs="Calibri"/>
          <w:b/>
          <w:sz w:val="24"/>
        </w:rPr>
      </w:pPr>
    </w:p>
    <w:p w:rsidR="006C4DA0" w:rsidP="008932F0" w14:paraId="1421DE6C" w14:textId="5041D10B">
      <w:pPr>
        <w:pStyle w:val="BodyText"/>
        <w:spacing w:before="0"/>
        <w:rPr>
          <w:rFonts w:ascii="Calibri" w:hAnsi="Calibri" w:cs="Calibri"/>
        </w:rPr>
      </w:pPr>
      <w:r w:rsidRPr="008932F0">
        <w:rPr>
          <w:rFonts w:ascii="Calibri" w:hAnsi="Calibri" w:cs="Calibri"/>
        </w:rPr>
        <w:t xml:space="preserve">There </w:t>
      </w:r>
      <w:r w:rsidRPr="008932F0">
        <w:rPr>
          <w:rFonts w:ascii="Calibri" w:hAnsi="Calibri" w:cs="Calibri"/>
        </w:rPr>
        <w:t>are</w:t>
      </w:r>
      <w:r w:rsidRPr="008932F0">
        <w:rPr>
          <w:rFonts w:ascii="Calibri" w:hAnsi="Calibri" w:cs="Calibri"/>
        </w:rPr>
        <w:t xml:space="preserve"> no changes to the information collection since the last OMB approval.</w:t>
      </w:r>
    </w:p>
    <w:p w:rsidR="000F64D2" w:rsidRPr="008932F0" w:rsidP="008932F0" w14:paraId="6EBB89EC" w14:textId="77777777">
      <w:pPr>
        <w:pStyle w:val="BodyText"/>
        <w:spacing w:before="0"/>
        <w:rPr>
          <w:rFonts w:ascii="Calibri" w:hAnsi="Calibri" w:cs="Calibri"/>
        </w:rPr>
      </w:pPr>
    </w:p>
    <w:p w:rsidR="00201347" w:rsidP="008932F0" w14:paraId="6B0C3B9C" w14:textId="443976DA">
      <w:pPr>
        <w:pStyle w:val="ListParagraph"/>
        <w:numPr>
          <w:ilvl w:val="0"/>
          <w:numId w:val="7"/>
        </w:numPr>
        <w:tabs>
          <w:tab w:val="left" w:pos="804"/>
        </w:tabs>
        <w:spacing w:before="0"/>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r w:rsidR="000F64D2">
        <w:rPr>
          <w:rFonts w:ascii="Calibri" w:hAnsi="Calibri" w:cs="Calibri"/>
          <w:b/>
          <w:sz w:val="24"/>
        </w:rPr>
        <w:t>.</w:t>
      </w:r>
    </w:p>
    <w:p w:rsidR="000F64D2" w:rsidRPr="00124446" w:rsidP="000F64D2" w14:paraId="41EA94F4" w14:textId="77777777">
      <w:pPr>
        <w:pStyle w:val="ListParagraph"/>
        <w:tabs>
          <w:tab w:val="left" w:pos="804"/>
        </w:tabs>
        <w:spacing w:before="0"/>
        <w:ind w:left="360" w:firstLine="0"/>
        <w:rPr>
          <w:rFonts w:ascii="Calibri" w:hAnsi="Calibri" w:cs="Calibri"/>
          <w:b/>
          <w:sz w:val="24"/>
        </w:rPr>
      </w:pPr>
    </w:p>
    <w:p w:rsidR="00AF4C21" w:rsidP="008932F0" w14:paraId="6BA25283" w14:textId="77777777">
      <w:pPr>
        <w:pStyle w:val="BodyText"/>
        <w:spacing w:before="0"/>
        <w:rPr>
          <w:rFonts w:ascii="Calibri" w:hAnsi="Calibri" w:cs="Calibri"/>
        </w:rPr>
      </w:pPr>
      <w:r w:rsidRPr="008932F0">
        <w:rPr>
          <w:rFonts w:ascii="Calibri" w:hAnsi="Calibri" w:cs="Calibri"/>
        </w:rPr>
        <w:t xml:space="preserve">The Census Bureau mails the MARTS letters to the respondents roughly 6 business days prior to the end of the reference month and mails the MRTS forms to the respondents on the last workday of the reference month. The return date requested is the second business day after the </w:t>
      </w:r>
      <w:r w:rsidRPr="008932F0">
        <w:rPr>
          <w:rFonts w:ascii="Calibri" w:hAnsi="Calibri" w:cs="Calibri"/>
        </w:rPr>
        <w:t>close</w:t>
      </w:r>
      <w:r w:rsidRPr="008932F0">
        <w:rPr>
          <w:rFonts w:ascii="Calibri" w:hAnsi="Calibri" w:cs="Calibri"/>
        </w:rPr>
        <w:t xml:space="preserve"> of the reference month for MARTS and the 8th business days following the </w:t>
      </w:r>
      <w:r w:rsidRPr="008932F0">
        <w:rPr>
          <w:rFonts w:ascii="Calibri" w:hAnsi="Calibri" w:cs="Calibri"/>
        </w:rPr>
        <w:t>close</w:t>
      </w:r>
      <w:r w:rsidRPr="008932F0">
        <w:rPr>
          <w:rFonts w:ascii="Calibri" w:hAnsi="Calibri" w:cs="Calibri"/>
        </w:rPr>
        <w:t xml:space="preserve"> of the reference month for MRTS.</w:t>
      </w:r>
    </w:p>
    <w:p w:rsidR="000F64D2" w:rsidRPr="008932F0" w:rsidP="008932F0" w14:paraId="2CFF04D7" w14:textId="77777777">
      <w:pPr>
        <w:pStyle w:val="BodyText"/>
        <w:spacing w:before="0"/>
        <w:rPr>
          <w:rFonts w:ascii="Calibri" w:hAnsi="Calibri" w:cs="Calibri"/>
        </w:rPr>
      </w:pPr>
    </w:p>
    <w:p w:rsidR="00AF4C21" w:rsidP="008932F0" w14:paraId="0574AB66" w14:textId="7B2BE764">
      <w:pPr>
        <w:pStyle w:val="BodyText"/>
        <w:spacing w:before="0"/>
        <w:rPr>
          <w:rFonts w:ascii="Calibri" w:hAnsi="Calibri" w:cs="Calibri"/>
        </w:rPr>
      </w:pPr>
      <w:r w:rsidRPr="008932F0">
        <w:rPr>
          <w:rFonts w:ascii="Calibri" w:hAnsi="Calibri" w:cs="Calibri"/>
        </w:rPr>
        <w:t>An automated system screens the questionnaires for completeness and consistency when the data are keyed. Data are tabulated and edited, summary estimates are analyzed, and data tables are prepared.</w:t>
      </w:r>
    </w:p>
    <w:p w:rsidR="000F64D2" w:rsidRPr="008932F0" w:rsidP="008932F0" w14:paraId="4161254B" w14:textId="77777777">
      <w:pPr>
        <w:pStyle w:val="BodyText"/>
        <w:spacing w:before="0"/>
        <w:rPr>
          <w:rFonts w:ascii="Calibri" w:hAnsi="Calibri" w:cs="Calibri"/>
        </w:rPr>
      </w:pPr>
    </w:p>
    <w:p w:rsidR="00972981" w:rsidP="008932F0" w14:paraId="6D9C8D39" w14:textId="67E01B14">
      <w:pPr>
        <w:pStyle w:val="BodyText"/>
        <w:spacing w:before="0"/>
        <w:rPr>
          <w:rFonts w:ascii="Calibri" w:hAnsi="Calibri" w:cs="Calibri"/>
        </w:rPr>
      </w:pPr>
      <w:r w:rsidRPr="008932F0">
        <w:rPr>
          <w:rFonts w:ascii="Calibri" w:hAnsi="Calibri" w:cs="Calibri"/>
        </w:rPr>
        <w:t xml:space="preserve">Sales data for select industries are released in the press release “Advance Monthly Sales for Retail Trade and Food Services,” approximately 15 days after the close of the reference month, which </w:t>
      </w:r>
      <w:r w:rsidRPr="008932F0">
        <w:rPr>
          <w:rFonts w:ascii="Calibri" w:hAnsi="Calibri" w:cs="Calibri"/>
        </w:rPr>
        <w:t>also includes more detailed estimates for the prior month.  Advance inventory estimates for 3 aggregate levels are released in the “Advance Economic Indicator Report” approximately 27 days after the close of the reference month and the preliminary estimates for inventories data are released in the “Manufacturing and Trade Inventories and Sales” approximately 40 days after the reference month. E-commerce sales estimates are released quarterly as part of the “Quarterly Retail Ecommerce Sales” report, approximately 50 days following the reference period.</w:t>
      </w:r>
    </w:p>
    <w:p w:rsidR="000F64D2" w:rsidRPr="008932F0" w:rsidP="008932F0" w14:paraId="2E530B5B" w14:textId="77777777">
      <w:pPr>
        <w:pStyle w:val="BodyText"/>
        <w:spacing w:before="0"/>
        <w:rPr>
          <w:rFonts w:ascii="Calibri" w:hAnsi="Calibri" w:cs="Calibri"/>
        </w:rPr>
      </w:pPr>
    </w:p>
    <w:p w:rsidR="00201347" w:rsidP="008932F0" w14:paraId="18D08025" w14:textId="77777777">
      <w:pPr>
        <w:pStyle w:val="Heading1"/>
        <w:numPr>
          <w:ilvl w:val="0"/>
          <w:numId w:val="7"/>
        </w:numPr>
        <w:tabs>
          <w:tab w:val="left" w:pos="804"/>
        </w:tabs>
        <w:spacing w:before="0"/>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0F64D2" w:rsidRPr="00124446" w:rsidP="000F64D2" w14:paraId="43E54B1C" w14:textId="77777777">
      <w:pPr>
        <w:pStyle w:val="Heading1"/>
        <w:tabs>
          <w:tab w:val="left" w:pos="804"/>
        </w:tabs>
        <w:spacing w:before="0"/>
        <w:ind w:left="360" w:right="509"/>
        <w:rPr>
          <w:rFonts w:ascii="Calibri" w:hAnsi="Calibri" w:cs="Calibri"/>
        </w:rPr>
      </w:pPr>
    </w:p>
    <w:p w:rsidR="00220406" w:rsidP="008932F0" w14:paraId="675E05EE" w14:textId="3CBDF311">
      <w:pPr>
        <w:ind w:left="400" w:right="402"/>
        <w:rPr>
          <w:rFonts w:ascii="Calibri" w:hAnsi="Calibri" w:cs="Calibri"/>
          <w:sz w:val="24"/>
        </w:rPr>
      </w:pPr>
      <w:r w:rsidRPr="00AF4C21">
        <w:rPr>
          <w:rFonts w:ascii="Calibri" w:hAnsi="Calibri" w:cs="Calibri"/>
          <w:sz w:val="24"/>
        </w:rPr>
        <w:t>We wish to continue to display the expiration date</w:t>
      </w:r>
      <w:r w:rsidR="000D53F7">
        <w:rPr>
          <w:rFonts w:ascii="Calibri" w:hAnsi="Calibri" w:cs="Calibri"/>
          <w:sz w:val="24"/>
        </w:rPr>
        <w:t xml:space="preserve"> </w:t>
      </w:r>
      <w:r w:rsidRPr="008932F0" w:rsidR="000D53F7">
        <w:rPr>
          <w:rFonts w:ascii="Calibri" w:hAnsi="Calibri" w:cs="Calibri"/>
          <w:sz w:val="24"/>
        </w:rPr>
        <w:t>for OMB approval of the information collection</w:t>
      </w:r>
      <w:r w:rsidR="00113448">
        <w:rPr>
          <w:rFonts w:ascii="Calibri" w:hAnsi="Calibri" w:cs="Calibri"/>
          <w:sz w:val="24"/>
        </w:rPr>
        <w:t xml:space="preserve"> on all instruments</w:t>
      </w:r>
      <w:r w:rsidR="000D53F7">
        <w:rPr>
          <w:rFonts w:ascii="Calibri" w:hAnsi="Calibri" w:cs="Calibri"/>
          <w:sz w:val="24"/>
        </w:rPr>
        <w:t>.</w:t>
      </w:r>
    </w:p>
    <w:p w:rsidR="000F64D2" w:rsidRPr="00220406" w:rsidP="008932F0" w14:paraId="028A997E" w14:textId="77777777">
      <w:pPr>
        <w:ind w:left="400" w:right="402"/>
        <w:rPr>
          <w:rFonts w:ascii="Calibri" w:hAnsi="Calibri" w:cs="Calibri"/>
          <w:sz w:val="24"/>
        </w:rPr>
      </w:pPr>
    </w:p>
    <w:p w:rsidR="00201347" w:rsidP="008932F0" w14:paraId="47E11939" w14:textId="77777777">
      <w:pPr>
        <w:pStyle w:val="Heading1"/>
        <w:numPr>
          <w:ilvl w:val="0"/>
          <w:numId w:val="7"/>
        </w:numPr>
        <w:tabs>
          <w:tab w:val="left" w:pos="720"/>
        </w:tabs>
        <w:spacing w:before="0"/>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0F64D2" w:rsidRPr="00551226" w:rsidP="00551226" w14:paraId="43AB2ACC" w14:textId="77777777">
      <w:pPr>
        <w:ind w:right="477"/>
        <w:rPr>
          <w:rFonts w:asciiTheme="minorHAnsi" w:hAnsiTheme="minorHAnsi" w:cstheme="minorHAnsi"/>
          <w:sz w:val="24"/>
          <w:szCs w:val="24"/>
        </w:rPr>
      </w:pPr>
    </w:p>
    <w:p w:rsidR="00AF4C21" w:rsidRPr="00551226" w:rsidP="008932F0" w14:paraId="04384C21" w14:textId="37CFC739">
      <w:pPr>
        <w:ind w:left="400" w:right="477"/>
        <w:rPr>
          <w:rFonts w:asciiTheme="minorHAnsi" w:hAnsiTheme="minorHAnsi" w:cstheme="minorHAnsi"/>
          <w:sz w:val="24"/>
          <w:szCs w:val="24"/>
        </w:rPr>
      </w:pPr>
      <w:r w:rsidRPr="00551226">
        <w:rPr>
          <w:rFonts w:asciiTheme="minorHAnsi" w:hAnsiTheme="minorHAnsi" w:cstheme="minorHAnsi"/>
          <w:sz w:val="24"/>
          <w:szCs w:val="24"/>
        </w:rPr>
        <w:t>The agency certifies compliance with 5 CFR 1320.9 and the related provisions of 5 CFR 1320.8(b)(3).</w:t>
      </w:r>
    </w:p>
    <w:sectPr w:rsidSect="002A1D08">
      <w:footerReference w:type="default" r:id="rId11"/>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6">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1">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3">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4">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728918678">
    <w:abstractNumId w:val="0"/>
  </w:num>
  <w:num w:numId="2" w16cid:durableId="2009365241">
    <w:abstractNumId w:val="5"/>
  </w:num>
  <w:num w:numId="3" w16cid:durableId="360403625">
    <w:abstractNumId w:val="12"/>
  </w:num>
  <w:num w:numId="4" w16cid:durableId="416295233">
    <w:abstractNumId w:val="7"/>
  </w:num>
  <w:num w:numId="5" w16cid:durableId="1302348170">
    <w:abstractNumId w:val="1"/>
  </w:num>
  <w:num w:numId="6" w16cid:durableId="1669479336">
    <w:abstractNumId w:val="6"/>
  </w:num>
  <w:num w:numId="7" w16cid:durableId="876502591">
    <w:abstractNumId w:val="11"/>
  </w:num>
  <w:num w:numId="8" w16cid:durableId="1190559244">
    <w:abstractNumId w:val="3"/>
  </w:num>
  <w:num w:numId="9" w16cid:durableId="1571841779">
    <w:abstractNumId w:val="8"/>
  </w:num>
  <w:num w:numId="10" w16cid:durableId="513962271">
    <w:abstractNumId w:val="13"/>
  </w:num>
  <w:num w:numId="11" w16cid:durableId="491414031">
    <w:abstractNumId w:val="14"/>
  </w:num>
  <w:num w:numId="12" w16cid:durableId="2023509529">
    <w:abstractNumId w:val="9"/>
  </w:num>
  <w:num w:numId="13" w16cid:durableId="1590191681">
    <w:abstractNumId w:val="4"/>
  </w:num>
  <w:num w:numId="14" w16cid:durableId="1488787562">
    <w:abstractNumId w:val="10"/>
  </w:num>
  <w:num w:numId="15" w16cid:durableId="524489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21E6"/>
    <w:rsid w:val="00020E36"/>
    <w:rsid w:val="000311EF"/>
    <w:rsid w:val="00060FAF"/>
    <w:rsid w:val="00061D50"/>
    <w:rsid w:val="00087454"/>
    <w:rsid w:val="000C5C51"/>
    <w:rsid w:val="000D53F7"/>
    <w:rsid w:val="000E21AE"/>
    <w:rsid w:val="000F64D2"/>
    <w:rsid w:val="00113448"/>
    <w:rsid w:val="001235D4"/>
    <w:rsid w:val="00124446"/>
    <w:rsid w:val="00135EBF"/>
    <w:rsid w:val="00147F27"/>
    <w:rsid w:val="00154292"/>
    <w:rsid w:val="00157254"/>
    <w:rsid w:val="001831B3"/>
    <w:rsid w:val="00193E77"/>
    <w:rsid w:val="001C2732"/>
    <w:rsid w:val="001E22D7"/>
    <w:rsid w:val="001F2674"/>
    <w:rsid w:val="001F480E"/>
    <w:rsid w:val="00201347"/>
    <w:rsid w:val="00220406"/>
    <w:rsid w:val="00241D51"/>
    <w:rsid w:val="002479E2"/>
    <w:rsid w:val="00252048"/>
    <w:rsid w:val="00277DE3"/>
    <w:rsid w:val="002A1D08"/>
    <w:rsid w:val="002D0D06"/>
    <w:rsid w:val="002D2382"/>
    <w:rsid w:val="00303DB8"/>
    <w:rsid w:val="00305BB7"/>
    <w:rsid w:val="003156F5"/>
    <w:rsid w:val="00350F54"/>
    <w:rsid w:val="00372B76"/>
    <w:rsid w:val="00376271"/>
    <w:rsid w:val="003B1309"/>
    <w:rsid w:val="003C66B9"/>
    <w:rsid w:val="003E0D6D"/>
    <w:rsid w:val="00426A67"/>
    <w:rsid w:val="00440DB3"/>
    <w:rsid w:val="004A11FA"/>
    <w:rsid w:val="004B4EA2"/>
    <w:rsid w:val="004C6F21"/>
    <w:rsid w:val="005122C5"/>
    <w:rsid w:val="0052213E"/>
    <w:rsid w:val="00545203"/>
    <w:rsid w:val="00545A05"/>
    <w:rsid w:val="00551226"/>
    <w:rsid w:val="00556395"/>
    <w:rsid w:val="0056581F"/>
    <w:rsid w:val="005B0717"/>
    <w:rsid w:val="005E735C"/>
    <w:rsid w:val="0063343B"/>
    <w:rsid w:val="00683754"/>
    <w:rsid w:val="006B29C9"/>
    <w:rsid w:val="006C4DA0"/>
    <w:rsid w:val="006D4922"/>
    <w:rsid w:val="006D4C87"/>
    <w:rsid w:val="006E7E10"/>
    <w:rsid w:val="00710DB3"/>
    <w:rsid w:val="00723E55"/>
    <w:rsid w:val="00793856"/>
    <w:rsid w:val="007C5377"/>
    <w:rsid w:val="007D6F83"/>
    <w:rsid w:val="007F2304"/>
    <w:rsid w:val="00844D2F"/>
    <w:rsid w:val="008932F0"/>
    <w:rsid w:val="008950AA"/>
    <w:rsid w:val="008A6B72"/>
    <w:rsid w:val="008A6B96"/>
    <w:rsid w:val="008C0EF5"/>
    <w:rsid w:val="008D6D12"/>
    <w:rsid w:val="008E6F7F"/>
    <w:rsid w:val="0096082B"/>
    <w:rsid w:val="00972981"/>
    <w:rsid w:val="009E5FCC"/>
    <w:rsid w:val="00A10DFC"/>
    <w:rsid w:val="00A530AE"/>
    <w:rsid w:val="00A82C0C"/>
    <w:rsid w:val="00A93D97"/>
    <w:rsid w:val="00AB1D23"/>
    <w:rsid w:val="00AF4C21"/>
    <w:rsid w:val="00AF553F"/>
    <w:rsid w:val="00B82768"/>
    <w:rsid w:val="00BB53D7"/>
    <w:rsid w:val="00BE2B00"/>
    <w:rsid w:val="00C40B79"/>
    <w:rsid w:val="00C7571E"/>
    <w:rsid w:val="00DB710D"/>
    <w:rsid w:val="00E12A81"/>
    <w:rsid w:val="00E47708"/>
    <w:rsid w:val="00E906CD"/>
    <w:rsid w:val="00EA1D25"/>
    <w:rsid w:val="00EB723C"/>
    <w:rsid w:val="00EC47CC"/>
    <w:rsid w:val="00EE46BC"/>
    <w:rsid w:val="00F148E8"/>
    <w:rsid w:val="00F73AEC"/>
    <w:rsid w:val="00F95DC8"/>
    <w:rsid w:val="00FF1A79"/>
    <w:rsid w:val="00FF1F31"/>
    <w:rsid w:val="00FF2759"/>
    <w:rsid w:val="1274ED89"/>
    <w:rsid w:val="17D98ABF"/>
    <w:rsid w:val="2DDF1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3F4A28"/>
  <w15:docId w15:val="{1C60926A-453A-4E95-80C0-0A62495A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Revision">
    <w:name w:val="Revision"/>
    <w:hidden/>
    <w:uiPriority w:val="99"/>
    <w:semiHidden/>
    <w:rsid w:val="004B4EA2"/>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63343B"/>
    <w:rPr>
      <w:color w:val="0000FF" w:themeColor="hyperlink"/>
      <w:u w:val="single"/>
    </w:rPr>
  </w:style>
  <w:style w:type="character" w:styleId="UnresolvedMention">
    <w:name w:val="Unresolved Mention"/>
    <w:basedOn w:val="DefaultParagraphFont"/>
    <w:uiPriority w:val="99"/>
    <w:semiHidden/>
    <w:unhideWhenUsed/>
    <w:rsid w:val="0063343B"/>
    <w:rPr>
      <w:color w:val="605E5C"/>
      <w:shd w:val="clear" w:color="auto" w:fill="E1DFDD"/>
    </w:rPr>
  </w:style>
  <w:style w:type="table" w:styleId="TableGrid">
    <w:name w:val="Table Grid"/>
    <w:basedOn w:val="TableNormal"/>
    <w:uiPriority w:val="39"/>
    <w:rsid w:val="003E0D6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30AE"/>
    <w:rPr>
      <w:sz w:val="16"/>
      <w:szCs w:val="16"/>
    </w:rPr>
  </w:style>
  <w:style w:type="paragraph" w:styleId="CommentText">
    <w:name w:val="annotation text"/>
    <w:basedOn w:val="Normal"/>
    <w:link w:val="CommentTextChar"/>
    <w:uiPriority w:val="99"/>
    <w:unhideWhenUsed/>
    <w:rsid w:val="00A530AE"/>
    <w:rPr>
      <w:sz w:val="20"/>
      <w:szCs w:val="20"/>
    </w:rPr>
  </w:style>
  <w:style w:type="character" w:customStyle="1" w:styleId="CommentTextChar">
    <w:name w:val="Comment Text Char"/>
    <w:basedOn w:val="DefaultParagraphFont"/>
    <w:link w:val="CommentText"/>
    <w:uiPriority w:val="99"/>
    <w:rsid w:val="00A530AE"/>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530AE"/>
    <w:rPr>
      <w:b/>
      <w:bCs/>
    </w:rPr>
  </w:style>
  <w:style w:type="character" w:customStyle="1" w:styleId="CommentSubjectChar">
    <w:name w:val="Comment Subject Char"/>
    <w:basedOn w:val="CommentTextChar"/>
    <w:link w:val="CommentSubject"/>
    <w:uiPriority w:val="99"/>
    <w:semiHidden/>
    <w:rsid w:val="00A530AE"/>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tables.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ensus.gov/retail" TargetMode="External" /><Relationship Id="rId9" Type="http://schemas.openxmlformats.org/officeDocument/2006/relationships/hyperlink" Target="https://www.census.gov/retail/get_form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RUT7PQCQP6TS-1120628556-265</_dlc_DocId>
    <_dlc_DocIdUrl xmlns="6e791d5b-3bd7-4d87-b80d-5e4c71e4c5f9">
      <Url>https://uscensus.sharepoint.com/sites/pco/PRAintranet/_layouts/15/DocIdRedir.aspx?ID=RUT7PQCQP6TS-1120628556-265</Url>
      <Description>RUT7PQCQP6TS-1120628556-265</Description>
    </_dlc_DocIdUrl>
    <TaxCatchAll xmlns="6e791d5b-3bd7-4d87-b80d-5e4c71e4c5f9" xsi:nil="true"/>
    <lcf76f155ced4ddcb4097134ff3c332f xmlns="558250db-76c6-400c-8e4d-8eb171d738bd">
      <Terms xmlns="http://schemas.microsoft.com/office/infopath/2007/PartnerControls"/>
    </lcf76f155ced4ddcb4097134ff3c332f>
  </documentManagement>
</p:properti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63" ma:contentTypeDescription="Create a new document." ma:contentTypeScope="" ma:versionID="626a61a9ad45f0d2f1540e7a4bca0fdf">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513fa3f5d59720d39d3dfa4685a8bbd3"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71bd96-d305-4845-9d2e-2cf8d190e299}" ma:internalName="TaxCatchAll" ma:showField="CatchAllData" ma:web="6e791d5b-3bd7-4d87-b80d-5e4c71e4c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DA9AB-DD3B-4552-9DAC-0302FF86DDBA}">
  <ds:schemaRefs>
    <ds:schemaRef ds:uri="http://schemas.microsoft.com/office/2006/metadata/properties"/>
    <ds:schemaRef ds:uri="http://schemas.microsoft.com/office/infopath/2007/PartnerControls"/>
    <ds:schemaRef ds:uri="558250db-76c6-400c-8e4d-8eb171d738bd"/>
    <ds:schemaRef ds:uri="http://schemas.microsoft.com/sharepoint/v3"/>
    <ds:schemaRef ds:uri="6e791d5b-3bd7-4d87-b80d-5e4c71e4c5f9"/>
  </ds:schemaRefs>
</ds:datastoreItem>
</file>

<file path=customXml/itemProps2.xml><?xml version="1.0" encoding="utf-8"?>
<ds:datastoreItem xmlns:ds="http://schemas.openxmlformats.org/officeDocument/2006/customXml" ds:itemID="{B17060C2-D641-46B2-9F12-396CCB061865}">
  <ds:schemaRefs>
    <ds:schemaRef ds:uri="http://schemas.microsoft.com/sharepoint/events"/>
    <ds:schemaRef ds:uri=""/>
  </ds:schemaRefs>
</ds:datastoreItem>
</file>

<file path=customXml/itemProps3.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4.xml><?xml version="1.0" encoding="utf-8"?>
<ds:datastoreItem xmlns:ds="http://schemas.openxmlformats.org/officeDocument/2006/customXml" ds:itemID="{187150DD-A576-40D9-9EF9-25A304909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11</Pages>
  <Words>4376</Words>
  <Characters>24948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29266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Evelyn Lewis (CENSUS/EID FED)</cp:lastModifiedBy>
  <cp:revision>5</cp:revision>
  <dcterms:created xsi:type="dcterms:W3CDTF">2025-09-25T11:29:00Z</dcterms:created>
  <dcterms:modified xsi:type="dcterms:W3CDTF">2025-09-26T14:38:00Z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259b9584-25c9-43ba-abe2-dbc64603a980</vt:lpwstr>
  </property>
</Properties>
</file>