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92544" w:rsidRPr="00BD7237" w:rsidP="00892544" w14:paraId="0B6D87C4" w14:textId="77777777">
      <w:pPr>
        <w:pStyle w:val="Heading1"/>
        <w:ind w:left="0"/>
        <w:jc w:val="center"/>
      </w:pPr>
      <w:r w:rsidRPr="00BD7237">
        <w:t>SUPPORTING STATEMENT</w:t>
      </w:r>
    </w:p>
    <w:p w:rsidR="00892544" w:rsidRPr="00BD7237" w:rsidP="00892544" w14:paraId="03FE15AA" w14:textId="77777777">
      <w:pPr>
        <w:spacing w:before="22" w:line="259" w:lineRule="auto"/>
        <w:ind w:firstLine="14"/>
        <w:jc w:val="center"/>
        <w:rPr>
          <w:b/>
        </w:rPr>
      </w:pPr>
      <w:r w:rsidRPr="00BD7237">
        <w:rPr>
          <w:b/>
        </w:rPr>
        <w:t>U.S. Department of Commerce</w:t>
      </w:r>
    </w:p>
    <w:p w:rsidR="00892544" w:rsidRPr="00BD7237" w:rsidP="00892544" w14:paraId="4591DBB8" w14:textId="77777777">
      <w:pPr>
        <w:spacing w:before="22" w:line="259" w:lineRule="auto"/>
        <w:ind w:firstLine="14"/>
        <w:jc w:val="center"/>
        <w:rPr>
          <w:b/>
        </w:rPr>
      </w:pPr>
      <w:r w:rsidRPr="00BD7237">
        <w:rPr>
          <w:b/>
        </w:rPr>
        <w:t>National Oceanic &amp; Atmospheric Administration</w:t>
      </w:r>
    </w:p>
    <w:p w:rsidR="007F1309" w:rsidRPr="007F1309" w:rsidP="007F1309" w14:paraId="07A70E32" w14:textId="2AAC948A">
      <w:pPr>
        <w:autoSpaceDE/>
        <w:autoSpaceDN/>
        <w:spacing w:line="259" w:lineRule="auto"/>
        <w:jc w:val="center"/>
        <w:rPr>
          <w:rFonts w:eastAsia="Times New Roman"/>
          <w:b/>
        </w:rPr>
      </w:pPr>
      <w:r w:rsidRPr="007F1309">
        <w:rPr>
          <w:rFonts w:eastAsia="Times New Roman"/>
          <w:b/>
        </w:rPr>
        <w:t>Alaska Region</w:t>
      </w:r>
      <w:r w:rsidR="0091180D">
        <w:rPr>
          <w:rFonts w:eastAsia="Times New Roman"/>
          <w:b/>
        </w:rPr>
        <w:t xml:space="preserve"> Bering Sea and Aleutian Islands</w:t>
      </w:r>
      <w:r w:rsidRPr="007F1309">
        <w:rPr>
          <w:rFonts w:eastAsia="Times New Roman"/>
          <w:b/>
        </w:rPr>
        <w:t xml:space="preserve"> Crab Economic Data Reports</w:t>
      </w:r>
    </w:p>
    <w:p w:rsidR="00892544" w:rsidRPr="00BD7237" w:rsidP="00892544" w14:paraId="2ED83A4E" w14:textId="77777777">
      <w:pPr>
        <w:spacing w:line="259" w:lineRule="auto"/>
        <w:ind w:hanging="6"/>
        <w:jc w:val="center"/>
        <w:rPr>
          <w:b/>
        </w:rPr>
      </w:pPr>
      <w:r w:rsidRPr="00BD7237">
        <w:rPr>
          <w:b/>
        </w:rPr>
        <w:t>OMB Control No. 0648-</w:t>
      </w:r>
      <w:r w:rsidR="007F1309">
        <w:rPr>
          <w:b/>
        </w:rPr>
        <w:t>0518</w:t>
      </w:r>
    </w:p>
    <w:p w:rsidR="00892544" w:rsidP="00892544" w14:paraId="297AFDB6" w14:textId="00CADAD9">
      <w:pPr>
        <w:pStyle w:val="BodyText"/>
        <w:spacing w:before="0"/>
        <w:ind w:left="0"/>
        <w:rPr>
          <w:b/>
        </w:rPr>
      </w:pPr>
    </w:p>
    <w:p w:rsidR="00CF2D7A" w:rsidRPr="00BD7237" w:rsidP="00892544" w14:paraId="013A6CB6" w14:textId="77777777">
      <w:pPr>
        <w:pStyle w:val="BodyText"/>
        <w:spacing w:before="0"/>
        <w:ind w:left="0"/>
        <w:rPr>
          <w:b/>
        </w:rPr>
      </w:pPr>
    </w:p>
    <w:p w:rsidR="00892544" w:rsidRPr="00BD7237" w:rsidP="00892544" w14:paraId="4CEDABC4" w14:textId="77777777">
      <w:pPr>
        <w:spacing w:before="161"/>
        <w:rPr>
          <w:b/>
        </w:rPr>
      </w:pPr>
      <w:r w:rsidRPr="00BD7237">
        <w:rPr>
          <w:b/>
        </w:rPr>
        <w:t>B. Collections of Information Employing Statistical Methods</w:t>
      </w:r>
    </w:p>
    <w:p w:rsidR="00892544" w:rsidRPr="00BD7237" w:rsidP="00892544" w14:paraId="33EE6A8D" w14:textId="77777777">
      <w:pPr>
        <w:pStyle w:val="Heading1"/>
        <w:numPr>
          <w:ilvl w:val="0"/>
          <w:numId w:val="1"/>
        </w:numPr>
        <w:tabs>
          <w:tab w:val="left" w:pos="360"/>
        </w:tabs>
        <w:spacing w:before="185"/>
        <w:ind w:left="0" w:firstLine="0"/>
      </w:pPr>
      <w:r w:rsidRPr="00BD7237">
        <w:t xml:space="preserve">Describe (including a numerical estimate) the potential respondent universe and any sampling or other respondent selection method to be used. Data on the number of entities (e.g., establishments, State and local government units, households, or persons) in </w:t>
      </w:r>
      <w:r w:rsidRPr="00BD7237">
        <w:rPr>
          <w:spacing w:val="-2"/>
        </w:rPr>
        <w:t xml:space="preserve">the </w:t>
      </w:r>
      <w:r w:rsidRPr="00BD7237">
        <w:t>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w:t>
      </w:r>
      <w:r w:rsidRPr="00BD7237">
        <w:rPr>
          <w:spacing w:val="-43"/>
        </w:rPr>
        <w:t xml:space="preserve"> </w:t>
      </w:r>
      <w:r w:rsidRPr="00BD7237">
        <w:t>collection.</w:t>
      </w:r>
    </w:p>
    <w:p w:rsidR="00222E0D" w:rsidP="00222E0D" w14:paraId="3DE4AA8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rPr>
          <w:rFonts w:eastAsia="Times New Roman"/>
        </w:rPr>
      </w:pPr>
    </w:p>
    <w:p w:rsidR="00222E0D" w:rsidRPr="00222E0D" w:rsidP="00222E0D" w14:paraId="7D62650B" w14:textId="77777777">
      <w:pPr>
        <w:widowControl/>
        <w:autoSpaceDE/>
        <w:autoSpaceDN/>
        <w:rPr>
          <w:rFonts w:eastAsia="Times New Roman"/>
        </w:rPr>
      </w:pPr>
      <w:r w:rsidRPr="00222E0D">
        <w:rPr>
          <w:rFonts w:eastAsia="Times New Roman"/>
        </w:rPr>
        <w:t>The Council developed the following purpose and need statement defining its rationale for considering this action:</w:t>
      </w:r>
    </w:p>
    <w:p w:rsidR="00222E0D" w:rsidRPr="00222E0D" w:rsidP="00222E0D" w14:paraId="42CB56C0" w14:textId="77777777">
      <w:pPr>
        <w:widowControl/>
        <w:autoSpaceDE/>
        <w:autoSpaceDN/>
        <w:rPr>
          <w:rFonts w:eastAsia="Times New Roman"/>
        </w:rPr>
      </w:pPr>
    </w:p>
    <w:p w:rsidR="00222E0D" w:rsidRPr="00222E0D" w:rsidP="00222E0D" w14:paraId="0DCBD20E" w14:textId="77777777">
      <w:pPr>
        <w:widowControl/>
        <w:autoSpaceDE/>
        <w:autoSpaceDN/>
        <w:ind w:left="720" w:right="720"/>
        <w:rPr>
          <w:rFonts w:eastAsia="Times New Roman"/>
          <w:i/>
        </w:rPr>
      </w:pPr>
      <w:r w:rsidRPr="00222E0D">
        <w:rPr>
          <w:rFonts w:eastAsia="Times New Roman"/>
          <w:i/>
        </w:rPr>
        <w:t>As a part of its Bering Sea and Aleutian Island crab rationalization (CR) program, the Council developed a comprehensive economic data collection (EDR) program to provide information to analysts to assess the effects of the CR program and identify problems that may require future amendments to the EDR program.</w:t>
      </w:r>
    </w:p>
    <w:p w:rsidR="00222E0D" w:rsidRPr="00222E0D" w:rsidP="00222E0D" w14:paraId="5F460F71" w14:textId="77777777">
      <w:pPr>
        <w:widowControl/>
        <w:autoSpaceDE/>
        <w:autoSpaceDN/>
        <w:ind w:left="720" w:right="720"/>
        <w:rPr>
          <w:rFonts w:eastAsia="Times New Roman"/>
          <w:i/>
        </w:rPr>
      </w:pPr>
    </w:p>
    <w:p w:rsidR="00222E0D" w:rsidRPr="00222E0D" w:rsidP="00222E0D" w14:paraId="1DCB5046" w14:textId="77777777">
      <w:pPr>
        <w:widowControl/>
        <w:autoSpaceDE/>
        <w:autoSpaceDN/>
        <w:ind w:left="720" w:right="720"/>
        <w:rPr>
          <w:rFonts w:eastAsia="Times New Roman"/>
          <w:i/>
        </w:rPr>
      </w:pPr>
      <w:r w:rsidRPr="00222E0D">
        <w:rPr>
          <w:rFonts w:eastAsia="Times New Roman"/>
          <w:i/>
        </w:rPr>
        <w:t>The Council expressly wants to limit the EDR to the collection of data that have been demonstrated, through the development of the EDR metadata, and other reviews of the data, to be sufficiently accurate. Data collection should be structured and specific elements identified, to minimize costs while maintaining accuracy and providing the greatest information value to the management decision making process.</w:t>
      </w:r>
    </w:p>
    <w:p w:rsidR="00222E0D" w:rsidRPr="00222E0D" w:rsidP="00222E0D" w14:paraId="1BD34853" w14:textId="77777777">
      <w:pPr>
        <w:widowControl/>
        <w:autoSpaceDE/>
        <w:autoSpaceDN/>
        <w:ind w:left="720" w:right="720"/>
        <w:rPr>
          <w:rFonts w:eastAsia="Times New Roman"/>
          <w:i/>
        </w:rPr>
      </w:pPr>
    </w:p>
    <w:p w:rsidR="00222E0D" w:rsidRPr="00222E0D" w:rsidP="00222E0D" w14:paraId="138A6927" w14:textId="5787C1FC">
      <w:pPr>
        <w:widowControl/>
        <w:autoSpaceDE/>
        <w:autoSpaceDN/>
        <w:ind w:left="720" w:right="720"/>
        <w:rPr>
          <w:rFonts w:eastAsia="Times New Roman"/>
          <w:i/>
        </w:rPr>
      </w:pPr>
      <w:r w:rsidRPr="00222E0D">
        <w:rPr>
          <w:rFonts w:eastAsia="Times New Roman"/>
          <w:i/>
        </w:rPr>
        <w:t>As analysts develop, refine, and verify methods for accurately collecting additional informative data elements, the Council will consider expansion of the data collection program to include those elements.</w:t>
      </w:r>
      <w:r w:rsidR="00C06463">
        <w:rPr>
          <w:rFonts w:eastAsia="Times New Roman"/>
          <w:i/>
        </w:rPr>
        <w:t xml:space="preserve"> </w:t>
      </w:r>
      <w:r w:rsidRPr="00222E0D">
        <w:rPr>
          <w:rFonts w:eastAsia="Times New Roman"/>
          <w:i/>
        </w:rPr>
        <w:t>This process can also inform the future Council action regarding other existing and future EDR programs.</w:t>
      </w:r>
    </w:p>
    <w:p w:rsidR="00222E0D" w:rsidP="00222E0D" w14:paraId="43F7DF0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rPr>
          <w:rFonts w:eastAsia="Times New Roman"/>
        </w:rPr>
      </w:pPr>
    </w:p>
    <w:p w:rsidR="00222E0D" w:rsidP="00222E0D" w14:paraId="287E890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rPr>
          <w:rFonts w:eastAsia="Times New Roman"/>
        </w:rPr>
      </w:pPr>
    </w:p>
    <w:p w:rsidR="00222E0D" w:rsidRPr="00222E0D" w:rsidP="00222E0D" w14:paraId="2D942055" w14:textId="0B95584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rPr>
          <w:rFonts w:eastAsia="Times New Roman"/>
        </w:rPr>
      </w:pPr>
      <w:r w:rsidRPr="00222E0D">
        <w:rPr>
          <w:rFonts w:eastAsia="Times New Roman"/>
        </w:rPr>
        <w:t xml:space="preserve">This data collection process is in the form of a census; therefore, all vessel and plant owners are required to fill out the EDRs or certification section, as applicable. The response rate is expected to be 100 percent, as it was in </w:t>
      </w:r>
      <w:r w:rsidR="0091180D">
        <w:rPr>
          <w:rFonts w:eastAsia="Times New Roman"/>
        </w:rPr>
        <w:t>202</w:t>
      </w:r>
      <w:r>
        <w:rPr>
          <w:rFonts w:eastAsia="Times New Roman"/>
        </w:rPr>
        <w:t>4</w:t>
      </w:r>
      <w:r w:rsidR="00407FA0">
        <w:rPr>
          <w:rFonts w:eastAsia="Times New Roman"/>
        </w:rPr>
        <w:t>.</w:t>
      </w:r>
      <w:r w:rsidRPr="00222E0D">
        <w:rPr>
          <w:rFonts w:eastAsia="Times New Roman"/>
        </w:rPr>
        <w:t xml:space="preserve"> </w:t>
      </w:r>
    </w:p>
    <w:p w:rsidR="00222E0D" w:rsidRPr="00222E0D" w:rsidP="00222E0D" w14:paraId="26A919D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rPr>
          <w:rFonts w:eastAsia="Times New Roman"/>
        </w:rPr>
      </w:pPr>
    </w:p>
    <w:p w:rsidR="00222E0D" w:rsidRPr="00222E0D" w:rsidP="00B8558E" w14:paraId="4052544E" w14:textId="77777777">
      <w:pPr>
        <w:keepNext/>
        <w:widowControl/>
        <w:autoSpaceDE/>
        <w:autoSpaceDN/>
        <w:spacing w:after="120"/>
        <w:jc w:val="center"/>
        <w:rPr>
          <w:rFonts w:eastAsia="Times New Roman"/>
          <w:b/>
          <w:sz w:val="22"/>
          <w:szCs w:val="22"/>
        </w:rPr>
      </w:pPr>
      <w:r w:rsidRPr="00222E0D">
        <w:rPr>
          <w:rFonts w:eastAsia="Times New Roman"/>
          <w:b/>
          <w:sz w:val="22"/>
          <w:szCs w:val="22"/>
        </w:rPr>
        <w:t>Information Collection</w:t>
      </w:r>
    </w:p>
    <w:tbl>
      <w:tblPr>
        <w:tblW w:w="9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746"/>
        <w:gridCol w:w="2997"/>
        <w:gridCol w:w="2716"/>
      </w:tblGrid>
      <w:tr w14:paraId="73781E5E" w14:textId="77777777" w:rsidTr="00B8558E">
        <w:tblPrEx>
          <w:tblW w:w="9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743"/>
          <w:jc w:val="center"/>
        </w:trPr>
        <w:tc>
          <w:tcPr>
            <w:tcW w:w="3746" w:type="dxa"/>
            <w:tcBorders>
              <w:top w:val="single" w:sz="4" w:space="0" w:color="000000"/>
            </w:tcBorders>
            <w:shd w:val="clear" w:color="auto" w:fill="DEEAF6"/>
            <w:vAlign w:val="center"/>
          </w:tcPr>
          <w:p w:rsidR="00222E0D" w:rsidRPr="00222E0D" w:rsidP="00222E0D" w14:paraId="31791B70" w14:textId="77777777">
            <w:pPr>
              <w:keepNext/>
              <w:widowControl/>
              <w:autoSpaceDE/>
              <w:autoSpaceDN/>
              <w:jc w:val="center"/>
              <w:rPr>
                <w:rFonts w:eastAsia="Times New Roman"/>
                <w:b/>
                <w:sz w:val="22"/>
                <w:szCs w:val="22"/>
              </w:rPr>
            </w:pPr>
            <w:r w:rsidRPr="00222E0D">
              <w:rPr>
                <w:rFonts w:eastAsia="Times New Roman"/>
                <w:b/>
                <w:sz w:val="22"/>
                <w:szCs w:val="22"/>
              </w:rPr>
              <w:t>Information Collection</w:t>
            </w:r>
          </w:p>
        </w:tc>
        <w:tc>
          <w:tcPr>
            <w:tcW w:w="2997" w:type="dxa"/>
            <w:tcBorders>
              <w:top w:val="single" w:sz="4" w:space="0" w:color="000000"/>
              <w:bottom w:val="single" w:sz="4" w:space="0" w:color="000000"/>
            </w:tcBorders>
            <w:shd w:val="clear" w:color="auto" w:fill="DEEAF6"/>
            <w:vAlign w:val="center"/>
          </w:tcPr>
          <w:p w:rsidR="00222E0D" w:rsidRPr="00222E0D" w:rsidP="00222E0D" w14:paraId="0E1E6F22" w14:textId="77777777">
            <w:pPr>
              <w:keepNext/>
              <w:widowControl/>
              <w:autoSpaceDE/>
              <w:autoSpaceDN/>
              <w:jc w:val="center"/>
              <w:rPr>
                <w:rFonts w:eastAsia="Times New Roman"/>
                <w:b/>
                <w:sz w:val="22"/>
                <w:szCs w:val="22"/>
              </w:rPr>
            </w:pPr>
            <w:r w:rsidRPr="00222E0D">
              <w:rPr>
                <w:rFonts w:eastAsia="Times New Roman"/>
                <w:b/>
                <w:sz w:val="22"/>
                <w:szCs w:val="22"/>
              </w:rPr>
              <w:t>Number of respondents</w:t>
            </w:r>
          </w:p>
        </w:tc>
        <w:tc>
          <w:tcPr>
            <w:tcW w:w="2716" w:type="dxa"/>
            <w:tcBorders>
              <w:top w:val="single" w:sz="4" w:space="0" w:color="000000"/>
              <w:bottom w:val="single" w:sz="4" w:space="0" w:color="000000"/>
            </w:tcBorders>
            <w:shd w:val="clear" w:color="auto" w:fill="DEEAF6"/>
            <w:vAlign w:val="center"/>
          </w:tcPr>
          <w:p w:rsidR="00222E0D" w:rsidRPr="00222E0D" w:rsidP="00222E0D" w14:paraId="409A1DDB" w14:textId="77777777">
            <w:pPr>
              <w:keepNext/>
              <w:widowControl/>
              <w:autoSpaceDE/>
              <w:autoSpaceDN/>
              <w:jc w:val="center"/>
              <w:rPr>
                <w:rFonts w:eastAsia="Times New Roman"/>
                <w:b/>
                <w:sz w:val="22"/>
                <w:szCs w:val="22"/>
              </w:rPr>
            </w:pPr>
            <w:r w:rsidRPr="00222E0D">
              <w:rPr>
                <w:rFonts w:eastAsia="Times New Roman"/>
                <w:b/>
                <w:sz w:val="22"/>
                <w:szCs w:val="22"/>
              </w:rPr>
              <w:t>Total annual responses</w:t>
            </w:r>
          </w:p>
        </w:tc>
      </w:tr>
      <w:tr w14:paraId="7594C97C" w14:textId="77777777" w:rsidTr="00B8558E">
        <w:tblPrEx>
          <w:tblW w:w="9459" w:type="dxa"/>
          <w:jc w:val="center"/>
          <w:tblLayout w:type="fixed"/>
          <w:tblLook w:val="0400"/>
        </w:tblPrEx>
        <w:trPr>
          <w:trHeight w:val="311"/>
          <w:jc w:val="center"/>
        </w:trPr>
        <w:tc>
          <w:tcPr>
            <w:tcW w:w="3746" w:type="dxa"/>
            <w:vMerge w:val="restart"/>
            <w:tcBorders>
              <w:right w:val="single" w:sz="4" w:space="0" w:color="000000"/>
            </w:tcBorders>
            <w:shd w:val="clear" w:color="auto" w:fill="auto"/>
            <w:vAlign w:val="center"/>
          </w:tcPr>
          <w:p w:rsidR="00222E0D" w:rsidRPr="00222E0D" w:rsidP="00222E0D" w14:paraId="6231E4BF" w14:textId="77777777">
            <w:pPr>
              <w:keepNext/>
              <w:widowControl/>
              <w:autoSpaceDE/>
              <w:autoSpaceDN/>
              <w:rPr>
                <w:rFonts w:eastAsia="Times New Roman"/>
                <w:sz w:val="22"/>
                <w:szCs w:val="22"/>
              </w:rPr>
            </w:pPr>
            <w:r w:rsidRPr="00222E0D">
              <w:rPr>
                <w:rFonts w:eastAsia="Times New Roman"/>
                <w:sz w:val="22"/>
                <w:szCs w:val="22"/>
              </w:rPr>
              <w:t xml:space="preserve">Annual Catcher Vessel Crab EDR </w:t>
            </w:r>
          </w:p>
        </w:tc>
        <w:tc>
          <w:tcPr>
            <w:tcW w:w="2997" w:type="dxa"/>
            <w:tcBorders>
              <w:top w:val="single" w:sz="4" w:space="0" w:color="000000"/>
              <w:left w:val="single" w:sz="4" w:space="0" w:color="000000"/>
              <w:bottom w:val="dotted" w:sz="4" w:space="0" w:color="000000"/>
              <w:right w:val="single" w:sz="4" w:space="0" w:color="000000"/>
            </w:tcBorders>
            <w:shd w:val="clear" w:color="auto" w:fill="auto"/>
            <w:vAlign w:val="center"/>
          </w:tcPr>
          <w:p w:rsidR="00222E0D" w:rsidRPr="00222E0D" w:rsidP="00222E0D" w14:paraId="2F21631B" w14:textId="616C08D7">
            <w:pPr>
              <w:keepNext/>
              <w:widowControl/>
              <w:autoSpaceDE/>
              <w:autoSpaceDN/>
              <w:jc w:val="center"/>
              <w:rPr>
                <w:rFonts w:eastAsia="Times New Roman"/>
                <w:sz w:val="22"/>
                <w:szCs w:val="22"/>
              </w:rPr>
            </w:pPr>
            <w:r>
              <w:rPr>
                <w:rFonts w:eastAsia="Times New Roman"/>
                <w:sz w:val="22"/>
                <w:szCs w:val="22"/>
              </w:rPr>
              <w:t>56</w:t>
            </w:r>
            <w:r w:rsidRPr="00222E0D">
              <w:rPr>
                <w:rFonts w:eastAsia="Times New Roman"/>
                <w:sz w:val="22"/>
                <w:szCs w:val="22"/>
              </w:rPr>
              <w:t xml:space="preserve"> – full EDR</w:t>
            </w:r>
          </w:p>
        </w:tc>
        <w:tc>
          <w:tcPr>
            <w:tcW w:w="2716" w:type="dxa"/>
            <w:tcBorders>
              <w:top w:val="single" w:sz="4" w:space="0" w:color="000000"/>
              <w:left w:val="single" w:sz="4" w:space="0" w:color="000000"/>
              <w:bottom w:val="dotted" w:sz="4" w:space="0" w:color="000000"/>
              <w:right w:val="single" w:sz="4" w:space="0" w:color="000000"/>
            </w:tcBorders>
            <w:vAlign w:val="center"/>
          </w:tcPr>
          <w:p w:rsidR="00222E0D" w:rsidRPr="00222E0D" w:rsidP="00222E0D" w14:paraId="2EE3D5FB" w14:textId="22C4A7C6">
            <w:pPr>
              <w:keepNext/>
              <w:widowControl/>
              <w:autoSpaceDE/>
              <w:autoSpaceDN/>
              <w:jc w:val="center"/>
              <w:rPr>
                <w:rFonts w:eastAsia="Times New Roman"/>
                <w:sz w:val="22"/>
                <w:szCs w:val="22"/>
              </w:rPr>
            </w:pPr>
            <w:r>
              <w:rPr>
                <w:rFonts w:eastAsia="Times New Roman"/>
                <w:sz w:val="22"/>
                <w:szCs w:val="22"/>
              </w:rPr>
              <w:t>56</w:t>
            </w:r>
          </w:p>
        </w:tc>
      </w:tr>
      <w:tr w14:paraId="0F9FE004" w14:textId="77777777" w:rsidTr="00B8558E">
        <w:tblPrEx>
          <w:tblW w:w="9459" w:type="dxa"/>
          <w:jc w:val="center"/>
          <w:tblLayout w:type="fixed"/>
          <w:tblLook w:val="0400"/>
        </w:tblPrEx>
        <w:trPr>
          <w:trHeight w:val="311"/>
          <w:jc w:val="center"/>
        </w:trPr>
        <w:tc>
          <w:tcPr>
            <w:tcW w:w="3746" w:type="dxa"/>
            <w:vMerge/>
            <w:tcBorders>
              <w:right w:val="single" w:sz="4" w:space="0" w:color="000000"/>
            </w:tcBorders>
            <w:shd w:val="clear" w:color="auto" w:fill="auto"/>
            <w:vAlign w:val="center"/>
          </w:tcPr>
          <w:p w:rsidR="00222E0D" w:rsidRPr="00222E0D" w:rsidP="00222E0D" w14:paraId="680288F0" w14:textId="77777777">
            <w:pPr>
              <w:pBdr>
                <w:top w:val="nil"/>
                <w:left w:val="nil"/>
                <w:bottom w:val="nil"/>
                <w:right w:val="nil"/>
                <w:between w:val="nil"/>
              </w:pBdr>
              <w:autoSpaceDE/>
              <w:autoSpaceDN/>
              <w:spacing w:line="276" w:lineRule="auto"/>
              <w:rPr>
                <w:rFonts w:eastAsia="Times New Roman"/>
                <w:sz w:val="22"/>
                <w:szCs w:val="22"/>
              </w:rPr>
            </w:pPr>
          </w:p>
        </w:tc>
        <w:tc>
          <w:tcPr>
            <w:tcW w:w="2997" w:type="dxa"/>
            <w:tcBorders>
              <w:top w:val="dotted" w:sz="4" w:space="0" w:color="000000"/>
            </w:tcBorders>
            <w:shd w:val="clear" w:color="auto" w:fill="auto"/>
            <w:vAlign w:val="center"/>
          </w:tcPr>
          <w:p w:rsidR="00222E0D" w:rsidRPr="00222E0D" w:rsidP="00407FA0" w14:paraId="444C58CC" w14:textId="217F0F4D">
            <w:pPr>
              <w:widowControl/>
              <w:autoSpaceDE/>
              <w:autoSpaceDN/>
              <w:jc w:val="center"/>
              <w:rPr>
                <w:rFonts w:eastAsia="Times New Roman"/>
                <w:sz w:val="22"/>
                <w:szCs w:val="22"/>
              </w:rPr>
            </w:pPr>
            <w:r w:rsidRPr="00222E0D">
              <w:rPr>
                <w:rFonts w:eastAsia="Times New Roman"/>
                <w:sz w:val="22"/>
                <w:szCs w:val="22"/>
              </w:rPr>
              <w:t xml:space="preserve">1 – cert. </w:t>
            </w:r>
            <w:r w:rsidRPr="00222E0D" w:rsidR="00407FA0">
              <w:rPr>
                <w:rFonts w:eastAsia="Times New Roman"/>
                <w:sz w:val="22"/>
                <w:szCs w:val="22"/>
              </w:rPr>
              <w:t>only</w:t>
            </w:r>
            <w:r w:rsidRPr="00B8558E" w:rsidR="00407FA0">
              <w:rPr>
                <w:rFonts w:eastAsia="Times New Roman"/>
                <w:sz w:val="22"/>
                <w:szCs w:val="22"/>
              </w:rPr>
              <w:t>*</w:t>
            </w:r>
          </w:p>
        </w:tc>
        <w:tc>
          <w:tcPr>
            <w:tcW w:w="2716" w:type="dxa"/>
            <w:tcBorders>
              <w:top w:val="dotted" w:sz="4" w:space="0" w:color="000000"/>
            </w:tcBorders>
            <w:vAlign w:val="center"/>
          </w:tcPr>
          <w:p w:rsidR="00222E0D" w:rsidRPr="00222E0D" w:rsidP="00222E0D" w14:paraId="3FF75C62" w14:textId="77777777">
            <w:pPr>
              <w:widowControl/>
              <w:autoSpaceDE/>
              <w:autoSpaceDN/>
              <w:jc w:val="center"/>
              <w:rPr>
                <w:rFonts w:eastAsia="Times New Roman"/>
                <w:sz w:val="22"/>
                <w:szCs w:val="22"/>
              </w:rPr>
            </w:pPr>
            <w:r w:rsidRPr="00222E0D">
              <w:rPr>
                <w:rFonts w:eastAsia="Times New Roman"/>
                <w:sz w:val="22"/>
                <w:szCs w:val="22"/>
              </w:rPr>
              <w:t>1</w:t>
            </w:r>
          </w:p>
        </w:tc>
      </w:tr>
      <w:tr w14:paraId="549B8B6B" w14:textId="77777777" w:rsidTr="00B8558E">
        <w:tblPrEx>
          <w:tblW w:w="9459" w:type="dxa"/>
          <w:jc w:val="center"/>
          <w:tblLayout w:type="fixed"/>
          <w:tblLook w:val="0400"/>
        </w:tblPrEx>
        <w:trPr>
          <w:trHeight w:val="311"/>
          <w:jc w:val="center"/>
        </w:trPr>
        <w:tc>
          <w:tcPr>
            <w:tcW w:w="3746" w:type="dxa"/>
            <w:vMerge w:val="restart"/>
            <w:shd w:val="clear" w:color="auto" w:fill="auto"/>
            <w:vAlign w:val="center"/>
          </w:tcPr>
          <w:p w:rsidR="00222E0D" w:rsidRPr="00222E0D" w:rsidP="00222E0D" w14:paraId="0361A6B7" w14:textId="77777777">
            <w:pPr>
              <w:keepNext/>
              <w:widowControl/>
              <w:autoSpaceDE/>
              <w:autoSpaceDN/>
              <w:rPr>
                <w:rFonts w:eastAsia="Times New Roman"/>
                <w:sz w:val="22"/>
                <w:szCs w:val="22"/>
              </w:rPr>
            </w:pPr>
            <w:r w:rsidRPr="00222E0D">
              <w:rPr>
                <w:rFonts w:eastAsia="Times New Roman"/>
                <w:sz w:val="22"/>
                <w:szCs w:val="22"/>
              </w:rPr>
              <w:t>Annual Catcher/Processor Crab EDR</w:t>
            </w:r>
          </w:p>
        </w:tc>
        <w:tc>
          <w:tcPr>
            <w:tcW w:w="2997" w:type="dxa"/>
            <w:tcBorders>
              <w:bottom w:val="dotted" w:sz="4" w:space="0" w:color="000000"/>
            </w:tcBorders>
            <w:shd w:val="clear" w:color="auto" w:fill="auto"/>
            <w:vAlign w:val="center"/>
          </w:tcPr>
          <w:p w:rsidR="00222E0D" w:rsidRPr="00222E0D" w:rsidP="00222E0D" w14:paraId="544562DE" w14:textId="77777777">
            <w:pPr>
              <w:keepNext/>
              <w:widowControl/>
              <w:autoSpaceDE/>
              <w:autoSpaceDN/>
              <w:jc w:val="center"/>
              <w:rPr>
                <w:rFonts w:eastAsia="Times New Roman"/>
                <w:sz w:val="22"/>
                <w:szCs w:val="22"/>
              </w:rPr>
            </w:pPr>
            <w:r w:rsidRPr="00222E0D">
              <w:rPr>
                <w:rFonts w:eastAsia="Times New Roman"/>
                <w:sz w:val="22"/>
                <w:szCs w:val="22"/>
              </w:rPr>
              <w:t>2 – full EDR</w:t>
            </w:r>
          </w:p>
        </w:tc>
        <w:tc>
          <w:tcPr>
            <w:tcW w:w="2716" w:type="dxa"/>
            <w:tcBorders>
              <w:bottom w:val="dotted" w:sz="4" w:space="0" w:color="000000"/>
            </w:tcBorders>
            <w:vAlign w:val="center"/>
          </w:tcPr>
          <w:p w:rsidR="00222E0D" w:rsidRPr="00222E0D" w:rsidP="00222E0D" w14:paraId="04EEB4D2" w14:textId="77777777">
            <w:pPr>
              <w:keepNext/>
              <w:widowControl/>
              <w:autoSpaceDE/>
              <w:autoSpaceDN/>
              <w:jc w:val="center"/>
              <w:rPr>
                <w:rFonts w:eastAsia="Times New Roman"/>
                <w:sz w:val="22"/>
                <w:szCs w:val="22"/>
              </w:rPr>
            </w:pPr>
            <w:r w:rsidRPr="00222E0D">
              <w:rPr>
                <w:rFonts w:eastAsia="Times New Roman"/>
                <w:sz w:val="22"/>
                <w:szCs w:val="22"/>
              </w:rPr>
              <w:t>2</w:t>
            </w:r>
          </w:p>
        </w:tc>
      </w:tr>
      <w:tr w14:paraId="043E9E30" w14:textId="77777777" w:rsidTr="00B8558E">
        <w:tblPrEx>
          <w:tblW w:w="9459" w:type="dxa"/>
          <w:jc w:val="center"/>
          <w:tblLayout w:type="fixed"/>
          <w:tblLook w:val="0400"/>
        </w:tblPrEx>
        <w:trPr>
          <w:trHeight w:val="311"/>
          <w:jc w:val="center"/>
        </w:trPr>
        <w:tc>
          <w:tcPr>
            <w:tcW w:w="3746" w:type="dxa"/>
            <w:vMerge/>
            <w:shd w:val="clear" w:color="auto" w:fill="auto"/>
            <w:vAlign w:val="center"/>
          </w:tcPr>
          <w:p w:rsidR="00222E0D" w:rsidRPr="00222E0D" w:rsidP="00222E0D" w14:paraId="6E406B60" w14:textId="77777777">
            <w:pPr>
              <w:pBdr>
                <w:top w:val="nil"/>
                <w:left w:val="nil"/>
                <w:bottom w:val="nil"/>
                <w:right w:val="nil"/>
                <w:between w:val="nil"/>
              </w:pBdr>
              <w:autoSpaceDE/>
              <w:autoSpaceDN/>
              <w:spacing w:line="276" w:lineRule="auto"/>
              <w:rPr>
                <w:rFonts w:eastAsia="Times New Roman"/>
                <w:sz w:val="22"/>
                <w:szCs w:val="22"/>
              </w:rPr>
            </w:pPr>
          </w:p>
        </w:tc>
        <w:tc>
          <w:tcPr>
            <w:tcW w:w="2997" w:type="dxa"/>
            <w:tcBorders>
              <w:top w:val="dotted" w:sz="4" w:space="0" w:color="000000"/>
            </w:tcBorders>
            <w:shd w:val="clear" w:color="auto" w:fill="auto"/>
            <w:vAlign w:val="center"/>
          </w:tcPr>
          <w:p w:rsidR="00222E0D" w:rsidRPr="00222E0D" w:rsidP="00407FA0" w14:paraId="3864241B" w14:textId="6CB02737">
            <w:pPr>
              <w:widowControl/>
              <w:autoSpaceDE/>
              <w:autoSpaceDN/>
              <w:jc w:val="center"/>
              <w:rPr>
                <w:rFonts w:eastAsia="Times New Roman"/>
                <w:sz w:val="22"/>
                <w:szCs w:val="22"/>
              </w:rPr>
            </w:pPr>
            <w:r w:rsidRPr="00222E0D">
              <w:rPr>
                <w:rFonts w:eastAsia="Times New Roman"/>
                <w:sz w:val="22"/>
                <w:szCs w:val="22"/>
              </w:rPr>
              <w:t xml:space="preserve">0 – cert. </w:t>
            </w:r>
            <w:r w:rsidRPr="00222E0D" w:rsidR="00407FA0">
              <w:rPr>
                <w:rFonts w:eastAsia="Times New Roman"/>
                <w:sz w:val="22"/>
                <w:szCs w:val="22"/>
              </w:rPr>
              <w:t>only</w:t>
            </w:r>
            <w:r w:rsidRPr="00B8558E" w:rsidR="00407FA0">
              <w:rPr>
                <w:rFonts w:eastAsia="Times New Roman"/>
                <w:sz w:val="22"/>
                <w:szCs w:val="22"/>
              </w:rPr>
              <w:t>*</w:t>
            </w:r>
          </w:p>
        </w:tc>
        <w:tc>
          <w:tcPr>
            <w:tcW w:w="2716" w:type="dxa"/>
            <w:tcBorders>
              <w:top w:val="dotted" w:sz="4" w:space="0" w:color="000000"/>
            </w:tcBorders>
            <w:vAlign w:val="center"/>
          </w:tcPr>
          <w:p w:rsidR="00222E0D" w:rsidRPr="00222E0D" w:rsidP="00222E0D" w14:paraId="74C9FEBD" w14:textId="77777777">
            <w:pPr>
              <w:widowControl/>
              <w:autoSpaceDE/>
              <w:autoSpaceDN/>
              <w:jc w:val="center"/>
              <w:rPr>
                <w:rFonts w:eastAsia="Times New Roman"/>
                <w:sz w:val="22"/>
                <w:szCs w:val="22"/>
              </w:rPr>
            </w:pPr>
            <w:r w:rsidRPr="00222E0D">
              <w:rPr>
                <w:rFonts w:eastAsia="Times New Roman"/>
                <w:sz w:val="22"/>
                <w:szCs w:val="22"/>
              </w:rPr>
              <w:t>0</w:t>
            </w:r>
          </w:p>
        </w:tc>
      </w:tr>
      <w:tr w14:paraId="664A2178" w14:textId="77777777" w:rsidTr="00B8558E">
        <w:tblPrEx>
          <w:tblW w:w="9459" w:type="dxa"/>
          <w:jc w:val="center"/>
          <w:tblLayout w:type="fixed"/>
          <w:tblLook w:val="0400"/>
        </w:tblPrEx>
        <w:trPr>
          <w:trHeight w:val="311"/>
          <w:jc w:val="center"/>
        </w:trPr>
        <w:tc>
          <w:tcPr>
            <w:tcW w:w="3746" w:type="dxa"/>
            <w:vMerge w:val="restart"/>
            <w:shd w:val="clear" w:color="auto" w:fill="auto"/>
            <w:vAlign w:val="center"/>
          </w:tcPr>
          <w:p w:rsidR="00222E0D" w:rsidRPr="00222E0D" w:rsidP="00222E0D" w14:paraId="71473EEC" w14:textId="77777777">
            <w:pPr>
              <w:keepNext/>
              <w:widowControl/>
              <w:autoSpaceDE/>
              <w:autoSpaceDN/>
              <w:rPr>
                <w:rFonts w:eastAsia="Times New Roman"/>
                <w:sz w:val="22"/>
                <w:szCs w:val="22"/>
              </w:rPr>
            </w:pPr>
            <w:r w:rsidRPr="00222E0D">
              <w:rPr>
                <w:rFonts w:eastAsia="Times New Roman"/>
                <w:sz w:val="22"/>
                <w:szCs w:val="22"/>
              </w:rPr>
              <w:t>Annual Processor Crab EDR</w:t>
            </w:r>
          </w:p>
        </w:tc>
        <w:tc>
          <w:tcPr>
            <w:tcW w:w="2997" w:type="dxa"/>
            <w:tcBorders>
              <w:bottom w:val="dotted" w:sz="4" w:space="0" w:color="000000"/>
            </w:tcBorders>
            <w:shd w:val="clear" w:color="auto" w:fill="auto"/>
            <w:vAlign w:val="center"/>
          </w:tcPr>
          <w:p w:rsidR="00222E0D" w:rsidRPr="00222E0D" w:rsidP="00222E0D" w14:paraId="5545D95F" w14:textId="77777777">
            <w:pPr>
              <w:keepNext/>
              <w:widowControl/>
              <w:autoSpaceDE/>
              <w:autoSpaceDN/>
              <w:jc w:val="center"/>
              <w:rPr>
                <w:rFonts w:eastAsia="Times New Roman"/>
                <w:sz w:val="22"/>
                <w:szCs w:val="22"/>
              </w:rPr>
            </w:pPr>
            <w:r w:rsidRPr="00222E0D">
              <w:rPr>
                <w:rFonts w:eastAsia="Times New Roman"/>
                <w:sz w:val="22"/>
                <w:szCs w:val="22"/>
              </w:rPr>
              <w:t>18 – full EDR</w:t>
            </w:r>
          </w:p>
        </w:tc>
        <w:tc>
          <w:tcPr>
            <w:tcW w:w="2716" w:type="dxa"/>
            <w:tcBorders>
              <w:bottom w:val="dotted" w:sz="4" w:space="0" w:color="000000"/>
            </w:tcBorders>
            <w:vAlign w:val="center"/>
          </w:tcPr>
          <w:p w:rsidR="00222E0D" w:rsidRPr="00222E0D" w:rsidP="00222E0D" w14:paraId="73B0F23E" w14:textId="77777777">
            <w:pPr>
              <w:keepNext/>
              <w:widowControl/>
              <w:autoSpaceDE/>
              <w:autoSpaceDN/>
              <w:jc w:val="center"/>
              <w:rPr>
                <w:rFonts w:eastAsia="Times New Roman"/>
                <w:sz w:val="22"/>
                <w:szCs w:val="22"/>
              </w:rPr>
            </w:pPr>
            <w:r w:rsidRPr="00222E0D">
              <w:rPr>
                <w:rFonts w:eastAsia="Times New Roman"/>
                <w:sz w:val="22"/>
                <w:szCs w:val="22"/>
              </w:rPr>
              <w:t>18</w:t>
            </w:r>
          </w:p>
        </w:tc>
      </w:tr>
      <w:tr w14:paraId="41809B20" w14:textId="77777777" w:rsidTr="00B8558E">
        <w:tblPrEx>
          <w:tblW w:w="9459" w:type="dxa"/>
          <w:jc w:val="center"/>
          <w:tblLayout w:type="fixed"/>
          <w:tblLook w:val="0400"/>
        </w:tblPrEx>
        <w:trPr>
          <w:trHeight w:val="311"/>
          <w:jc w:val="center"/>
        </w:trPr>
        <w:tc>
          <w:tcPr>
            <w:tcW w:w="3746" w:type="dxa"/>
            <w:vMerge/>
            <w:shd w:val="clear" w:color="auto" w:fill="auto"/>
            <w:vAlign w:val="center"/>
          </w:tcPr>
          <w:p w:rsidR="00222E0D" w:rsidRPr="00222E0D" w:rsidP="00222E0D" w14:paraId="44F2D6A1" w14:textId="77777777">
            <w:pPr>
              <w:pBdr>
                <w:top w:val="nil"/>
                <w:left w:val="nil"/>
                <w:bottom w:val="nil"/>
                <w:right w:val="nil"/>
                <w:between w:val="nil"/>
              </w:pBdr>
              <w:autoSpaceDE/>
              <w:autoSpaceDN/>
              <w:spacing w:line="276" w:lineRule="auto"/>
              <w:rPr>
                <w:rFonts w:eastAsia="Times New Roman"/>
                <w:sz w:val="22"/>
                <w:szCs w:val="22"/>
              </w:rPr>
            </w:pPr>
          </w:p>
        </w:tc>
        <w:tc>
          <w:tcPr>
            <w:tcW w:w="2997" w:type="dxa"/>
            <w:tcBorders>
              <w:top w:val="dotted" w:sz="4" w:space="0" w:color="000000"/>
              <w:left w:val="single" w:sz="4" w:space="0" w:color="000000"/>
              <w:bottom w:val="single" w:sz="4" w:space="0" w:color="000000"/>
              <w:right w:val="single" w:sz="4" w:space="0" w:color="000000"/>
            </w:tcBorders>
            <w:shd w:val="clear" w:color="auto" w:fill="auto"/>
            <w:vAlign w:val="center"/>
          </w:tcPr>
          <w:p w:rsidR="00222E0D" w:rsidRPr="00222E0D" w:rsidP="00407FA0" w14:paraId="3320B6C1" w14:textId="0D054217">
            <w:pPr>
              <w:widowControl/>
              <w:autoSpaceDE/>
              <w:autoSpaceDN/>
              <w:jc w:val="center"/>
              <w:rPr>
                <w:rFonts w:eastAsia="Times New Roman"/>
                <w:sz w:val="22"/>
                <w:szCs w:val="22"/>
              </w:rPr>
            </w:pPr>
            <w:r>
              <w:rPr>
                <w:rFonts w:eastAsia="Times New Roman"/>
                <w:sz w:val="22"/>
                <w:szCs w:val="22"/>
              </w:rPr>
              <w:t>0</w:t>
            </w:r>
            <w:r w:rsidRPr="00222E0D">
              <w:rPr>
                <w:rFonts w:eastAsia="Times New Roman"/>
                <w:sz w:val="22"/>
                <w:szCs w:val="22"/>
              </w:rPr>
              <w:t xml:space="preserve"> – cert. only</w:t>
            </w:r>
            <w:r w:rsidRPr="00B8558E">
              <w:rPr>
                <w:rFonts w:eastAsia="Times New Roman"/>
                <w:sz w:val="22"/>
                <w:szCs w:val="22"/>
              </w:rPr>
              <w:t>*</w:t>
            </w:r>
          </w:p>
        </w:tc>
        <w:tc>
          <w:tcPr>
            <w:tcW w:w="2716" w:type="dxa"/>
            <w:tcBorders>
              <w:top w:val="dotted" w:sz="4" w:space="0" w:color="000000"/>
              <w:left w:val="single" w:sz="4" w:space="0" w:color="000000"/>
              <w:bottom w:val="single" w:sz="4" w:space="0" w:color="000000"/>
              <w:right w:val="single" w:sz="4" w:space="0" w:color="000000"/>
            </w:tcBorders>
            <w:vAlign w:val="center"/>
          </w:tcPr>
          <w:p w:rsidR="00222E0D" w:rsidRPr="00222E0D" w:rsidP="00222E0D" w14:paraId="090FE2E8" w14:textId="2C551D32">
            <w:pPr>
              <w:widowControl/>
              <w:autoSpaceDE/>
              <w:autoSpaceDN/>
              <w:jc w:val="center"/>
              <w:rPr>
                <w:rFonts w:eastAsia="Times New Roman"/>
                <w:sz w:val="22"/>
                <w:szCs w:val="22"/>
              </w:rPr>
            </w:pPr>
            <w:r>
              <w:rPr>
                <w:rFonts w:eastAsia="Times New Roman"/>
                <w:sz w:val="22"/>
                <w:szCs w:val="22"/>
              </w:rPr>
              <w:t>0</w:t>
            </w:r>
          </w:p>
        </w:tc>
      </w:tr>
      <w:tr w14:paraId="21DB0126" w14:textId="77777777" w:rsidTr="00B8558E">
        <w:tblPrEx>
          <w:tblW w:w="9459" w:type="dxa"/>
          <w:jc w:val="center"/>
          <w:tblLayout w:type="fixed"/>
          <w:tblLook w:val="0400"/>
        </w:tblPrEx>
        <w:trPr>
          <w:trHeight w:val="467"/>
          <w:jc w:val="center"/>
        </w:trPr>
        <w:tc>
          <w:tcPr>
            <w:tcW w:w="3746" w:type="dxa"/>
            <w:tcBorders>
              <w:bottom w:val="single" w:sz="4" w:space="0" w:color="000000"/>
            </w:tcBorders>
            <w:shd w:val="clear" w:color="auto" w:fill="DEEAF6"/>
            <w:vAlign w:val="center"/>
          </w:tcPr>
          <w:p w:rsidR="00222E0D" w:rsidRPr="00222E0D" w:rsidP="00222E0D" w14:paraId="2947D832" w14:textId="77777777">
            <w:pPr>
              <w:keepNext/>
              <w:widowControl/>
              <w:autoSpaceDE/>
              <w:autoSpaceDN/>
              <w:jc w:val="right"/>
              <w:rPr>
                <w:rFonts w:eastAsia="Times New Roman"/>
                <w:b/>
                <w:sz w:val="22"/>
                <w:szCs w:val="22"/>
              </w:rPr>
            </w:pPr>
            <w:r w:rsidRPr="00222E0D">
              <w:rPr>
                <w:rFonts w:eastAsia="Times New Roman"/>
                <w:b/>
                <w:sz w:val="22"/>
                <w:szCs w:val="22"/>
              </w:rPr>
              <w:t xml:space="preserve">Total for collection </w:t>
            </w:r>
          </w:p>
        </w:tc>
        <w:tc>
          <w:tcPr>
            <w:tcW w:w="2997" w:type="dxa"/>
            <w:tcBorders>
              <w:bottom w:val="single" w:sz="4" w:space="0" w:color="000000"/>
            </w:tcBorders>
            <w:shd w:val="clear" w:color="auto" w:fill="DEEAF6"/>
            <w:vAlign w:val="center"/>
          </w:tcPr>
          <w:p w:rsidR="00222E0D" w:rsidRPr="00222E0D" w:rsidP="00795CAF" w14:paraId="443DB5A1" w14:textId="4D722F09">
            <w:pPr>
              <w:keepNext/>
              <w:widowControl/>
              <w:autoSpaceDE/>
              <w:autoSpaceDN/>
              <w:jc w:val="center"/>
              <w:rPr>
                <w:rFonts w:eastAsia="Times New Roman"/>
                <w:b/>
                <w:sz w:val="22"/>
                <w:szCs w:val="22"/>
              </w:rPr>
            </w:pPr>
            <w:r>
              <w:rPr>
                <w:rFonts w:eastAsia="Times New Roman"/>
                <w:b/>
                <w:sz w:val="22"/>
                <w:szCs w:val="22"/>
              </w:rPr>
              <w:t>77</w:t>
            </w:r>
          </w:p>
        </w:tc>
        <w:tc>
          <w:tcPr>
            <w:tcW w:w="2716" w:type="dxa"/>
            <w:tcBorders>
              <w:bottom w:val="single" w:sz="4" w:space="0" w:color="000000"/>
            </w:tcBorders>
            <w:shd w:val="clear" w:color="auto" w:fill="DEEAF6"/>
            <w:vAlign w:val="center"/>
          </w:tcPr>
          <w:p w:rsidR="00222E0D" w:rsidRPr="00222E0D" w:rsidP="00222E0D" w14:paraId="0E6DB590" w14:textId="0553C4A6">
            <w:pPr>
              <w:keepNext/>
              <w:widowControl/>
              <w:autoSpaceDE/>
              <w:autoSpaceDN/>
              <w:jc w:val="center"/>
              <w:rPr>
                <w:rFonts w:eastAsia="Times New Roman"/>
                <w:b/>
                <w:sz w:val="22"/>
                <w:szCs w:val="22"/>
              </w:rPr>
            </w:pPr>
            <w:r>
              <w:rPr>
                <w:rFonts w:eastAsia="Times New Roman"/>
                <w:b/>
                <w:sz w:val="22"/>
                <w:szCs w:val="22"/>
              </w:rPr>
              <w:t>77</w:t>
            </w:r>
          </w:p>
        </w:tc>
      </w:tr>
    </w:tbl>
    <w:p w:rsidR="00222E0D" w:rsidRPr="00B8558E" w:rsidP="00222E0D" w14:paraId="69C7CC3E" w14:textId="47C2479C">
      <w:pPr>
        <w:keepNext/>
        <w:widowControl/>
        <w:autoSpaceDE/>
        <w:autoSpaceDN/>
        <w:spacing w:before="120"/>
        <w:rPr>
          <w:rFonts w:eastAsia="Times New Roman" w:asciiTheme="minorHAnsi" w:hAnsiTheme="minorHAnsi" w:cstheme="minorHAnsi"/>
          <w:sz w:val="18"/>
          <w:szCs w:val="18"/>
        </w:rPr>
      </w:pPr>
      <w:r w:rsidRPr="00B8558E">
        <w:rPr>
          <w:rFonts w:eastAsia="Times New Roman" w:asciiTheme="minorHAnsi" w:hAnsiTheme="minorHAnsi" w:cstheme="minorHAnsi"/>
          <w:sz w:val="18"/>
          <w:szCs w:val="18"/>
        </w:rPr>
        <w:t>*</w:t>
      </w:r>
      <w:r w:rsidRPr="00B8558E">
        <w:rPr>
          <w:rFonts w:eastAsia="Times New Roman" w:asciiTheme="minorHAnsi" w:hAnsiTheme="minorHAnsi" w:cstheme="minorHAnsi"/>
          <w:sz w:val="18"/>
          <w:szCs w:val="18"/>
          <w:vertAlign w:val="superscript"/>
        </w:rPr>
        <w:t xml:space="preserve"> </w:t>
      </w:r>
      <w:r w:rsidRPr="00B8558E">
        <w:rPr>
          <w:rFonts w:eastAsia="Times New Roman" w:asciiTheme="minorHAnsi" w:hAnsiTheme="minorHAnsi" w:cstheme="minorHAnsi"/>
          <w:sz w:val="18"/>
          <w:szCs w:val="18"/>
        </w:rPr>
        <w:t>Respondents submit only the certification page indicating that they are not required to complete the full EDR.</w:t>
      </w:r>
    </w:p>
    <w:p w:rsidR="00FE357E" w:rsidRPr="00BD7237" w:rsidP="00892544" w14:paraId="63057602" w14:textId="77777777">
      <w:pPr>
        <w:spacing w:before="161"/>
        <w:rPr>
          <w:b/>
        </w:rPr>
      </w:pPr>
    </w:p>
    <w:p w:rsidR="00892544" w:rsidRPr="00BD7237" w:rsidP="00892544" w14:paraId="638D0F94" w14:textId="77777777">
      <w:pPr>
        <w:pStyle w:val="Heading1"/>
        <w:numPr>
          <w:ilvl w:val="0"/>
          <w:numId w:val="1"/>
        </w:numPr>
        <w:tabs>
          <w:tab w:val="left" w:pos="360"/>
        </w:tabs>
        <w:ind w:left="0" w:firstLine="0"/>
      </w:pPr>
      <w:r w:rsidRPr="00BD7237">
        <w:t>Describe the procedures for the collection of information</w:t>
      </w:r>
      <w:r w:rsidRPr="00BD7237">
        <w:rPr>
          <w:spacing w:val="-36"/>
        </w:rPr>
        <w:t xml:space="preserve"> </w:t>
      </w:r>
      <w:r w:rsidRPr="00BD7237">
        <w:t>including:</w:t>
      </w:r>
    </w:p>
    <w:p w:rsidR="00892544" w:rsidRPr="00694217" w:rsidP="00694217" w14:paraId="359B8D56" w14:textId="77777777">
      <w:pPr>
        <w:pStyle w:val="ListParagraph"/>
        <w:numPr>
          <w:ilvl w:val="1"/>
          <w:numId w:val="1"/>
        </w:numPr>
        <w:tabs>
          <w:tab w:val="left" w:pos="720"/>
        </w:tabs>
        <w:spacing w:before="120"/>
        <w:ind w:left="360" w:firstLine="0"/>
      </w:pPr>
      <w:r w:rsidRPr="00694217">
        <w:t>Statistical methodology for stratification and sample</w:t>
      </w:r>
      <w:r w:rsidRPr="00694217">
        <w:rPr>
          <w:spacing w:val="-32"/>
        </w:rPr>
        <w:t xml:space="preserve"> </w:t>
      </w:r>
      <w:r w:rsidRPr="00694217">
        <w:t>selection,</w:t>
      </w:r>
    </w:p>
    <w:p w:rsidR="00892544" w:rsidRPr="00694217" w:rsidP="00694217" w14:paraId="2B89FDA7" w14:textId="77777777">
      <w:pPr>
        <w:pStyle w:val="ListParagraph"/>
        <w:numPr>
          <w:ilvl w:val="1"/>
          <w:numId w:val="1"/>
        </w:numPr>
        <w:tabs>
          <w:tab w:val="left" w:pos="720"/>
        </w:tabs>
        <w:spacing w:before="120"/>
        <w:ind w:left="360" w:firstLine="0"/>
      </w:pPr>
      <w:r w:rsidRPr="00694217">
        <w:t>Estimation</w:t>
      </w:r>
      <w:r w:rsidRPr="00694217">
        <w:rPr>
          <w:spacing w:val="-2"/>
        </w:rPr>
        <w:t xml:space="preserve"> </w:t>
      </w:r>
      <w:r w:rsidRPr="00694217">
        <w:t>procedure,</w:t>
      </w:r>
    </w:p>
    <w:p w:rsidR="00892544" w:rsidRPr="00694217" w:rsidP="00694217" w14:paraId="67D4A83D" w14:textId="77777777">
      <w:pPr>
        <w:pStyle w:val="ListParagraph"/>
        <w:numPr>
          <w:ilvl w:val="1"/>
          <w:numId w:val="1"/>
        </w:numPr>
        <w:tabs>
          <w:tab w:val="left" w:pos="720"/>
        </w:tabs>
        <w:spacing w:before="120"/>
        <w:ind w:left="360" w:firstLine="0"/>
      </w:pPr>
      <w:r w:rsidRPr="00694217">
        <w:t>Degree of accuracy needed for the purpose described in the</w:t>
      </w:r>
      <w:r w:rsidRPr="00694217">
        <w:rPr>
          <w:spacing w:val="-8"/>
        </w:rPr>
        <w:t xml:space="preserve"> </w:t>
      </w:r>
      <w:r w:rsidRPr="00694217">
        <w:t>justification,</w:t>
      </w:r>
    </w:p>
    <w:p w:rsidR="00892544" w:rsidRPr="00694217" w:rsidP="00694217" w14:paraId="64470B51" w14:textId="77777777">
      <w:pPr>
        <w:pStyle w:val="ListParagraph"/>
        <w:numPr>
          <w:ilvl w:val="1"/>
          <w:numId w:val="1"/>
        </w:numPr>
        <w:tabs>
          <w:tab w:val="left" w:pos="720"/>
        </w:tabs>
        <w:spacing w:before="120"/>
        <w:ind w:left="360" w:firstLine="0"/>
      </w:pPr>
      <w:r w:rsidRPr="00694217">
        <w:t>Unusual problems requiring specialized sampling procedures,</w:t>
      </w:r>
      <w:r w:rsidRPr="00694217">
        <w:rPr>
          <w:spacing w:val="-3"/>
        </w:rPr>
        <w:t xml:space="preserve"> </w:t>
      </w:r>
      <w:r w:rsidRPr="00694217">
        <w:t>and</w:t>
      </w:r>
    </w:p>
    <w:p w:rsidR="00892544" w:rsidRPr="00694217" w:rsidP="00694217" w14:paraId="148A167E" w14:textId="77777777">
      <w:pPr>
        <w:pStyle w:val="ListParagraph"/>
        <w:numPr>
          <w:ilvl w:val="1"/>
          <w:numId w:val="1"/>
        </w:numPr>
        <w:tabs>
          <w:tab w:val="left" w:pos="720"/>
        </w:tabs>
        <w:spacing w:before="120"/>
        <w:ind w:left="360" w:firstLine="0"/>
      </w:pPr>
      <w:r w:rsidRPr="00694217">
        <w:t>Any use of periodic (less frequent than annual) data collection cycles to reduce</w:t>
      </w:r>
      <w:r w:rsidRPr="00694217">
        <w:rPr>
          <w:spacing w:val="-21"/>
        </w:rPr>
        <w:t xml:space="preserve"> </w:t>
      </w:r>
      <w:r w:rsidRPr="00694217">
        <w:t>burden.</w:t>
      </w:r>
    </w:p>
    <w:p w:rsidR="00853D69" w:rsidP="00853D69" w14:paraId="193D892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rPr>
          <w:rFonts w:eastAsia="Times New Roman"/>
        </w:rPr>
      </w:pPr>
    </w:p>
    <w:p w:rsidR="00853D69" w:rsidRPr="00853D69" w:rsidP="007F5378" w14:paraId="4D96948F" w14:textId="2FDEA3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rPr>
          <w:rFonts w:eastAsia="Times New Roman"/>
        </w:rPr>
      </w:pPr>
      <w:r w:rsidRPr="00853D69">
        <w:rPr>
          <w:rFonts w:eastAsia="Times New Roman"/>
        </w:rPr>
        <w:t>Participation in the EDR program is mandatory under Federal fisheries regulations 50 CFR part 680.6 for all active vessel and processing sector participants in the CR Program fisheries.</w:t>
      </w:r>
      <w:r w:rsidR="00C06463">
        <w:rPr>
          <w:rFonts w:eastAsia="Times New Roman"/>
        </w:rPr>
        <w:t xml:space="preserve"> </w:t>
      </w:r>
      <w:r w:rsidRPr="00853D69">
        <w:rPr>
          <w:rFonts w:eastAsia="Times New Roman"/>
        </w:rPr>
        <w:t>EDRs are collected from all vessels</w:t>
      </w:r>
      <w:r w:rsidR="00E75AAD">
        <w:rPr>
          <w:rFonts w:eastAsia="Times New Roman"/>
        </w:rPr>
        <w:t xml:space="preserve">, </w:t>
      </w:r>
      <w:r w:rsidRPr="00853D69">
        <w:rPr>
          <w:rFonts w:eastAsia="Times New Roman"/>
        </w:rPr>
        <w:t>plant owners</w:t>
      </w:r>
      <w:r w:rsidR="00E75AAD">
        <w:rPr>
          <w:rFonts w:eastAsia="Times New Roman"/>
        </w:rPr>
        <w:t>, and registered crab receivers,</w:t>
      </w:r>
      <w:r w:rsidRPr="00853D69">
        <w:rPr>
          <w:rFonts w:eastAsia="Times New Roman"/>
        </w:rPr>
        <w:t xml:space="preserve"> participating in CR </w:t>
      </w:r>
      <w:r w:rsidR="00795CAF">
        <w:rPr>
          <w:rFonts w:eastAsia="Times New Roman"/>
        </w:rPr>
        <w:t>Program</w:t>
      </w:r>
      <w:r w:rsidRPr="00853D69" w:rsidR="00795CAF">
        <w:rPr>
          <w:rFonts w:eastAsia="Times New Roman"/>
        </w:rPr>
        <w:t xml:space="preserve"> </w:t>
      </w:r>
      <w:r w:rsidRPr="00853D69">
        <w:rPr>
          <w:rFonts w:eastAsia="Times New Roman"/>
        </w:rPr>
        <w:t>fisheries during each year. Owners of these vessels</w:t>
      </w:r>
      <w:r w:rsidR="00B93990">
        <w:rPr>
          <w:rFonts w:eastAsia="Times New Roman"/>
        </w:rPr>
        <w:t xml:space="preserve">, </w:t>
      </w:r>
      <w:r w:rsidRPr="00853D69">
        <w:rPr>
          <w:rFonts w:eastAsia="Times New Roman"/>
        </w:rPr>
        <w:t>plants</w:t>
      </w:r>
      <w:r w:rsidR="00B93990">
        <w:rPr>
          <w:rFonts w:eastAsia="Times New Roman"/>
        </w:rPr>
        <w:t>, and receivers</w:t>
      </w:r>
      <w:r w:rsidRPr="00853D69" w:rsidR="00B93990">
        <w:rPr>
          <w:rFonts w:eastAsia="Times New Roman"/>
        </w:rPr>
        <w:t xml:space="preserve"> are</w:t>
      </w:r>
      <w:r w:rsidRPr="00853D69">
        <w:rPr>
          <w:rFonts w:eastAsia="Times New Roman"/>
        </w:rPr>
        <w:t xml:space="preserve"> identified through permits and landings data from previous years and the current year. We are not sampling from these populations, but rather conducting a census to gather the required economic data. </w:t>
      </w:r>
    </w:p>
    <w:p w:rsidR="00853D69" w:rsidRPr="00853D69" w:rsidP="007F5378" w14:paraId="24CE10C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rPr>
          <w:rFonts w:eastAsia="Times New Roman"/>
        </w:rPr>
      </w:pPr>
    </w:p>
    <w:p w:rsidR="00853D69" w:rsidP="007F5378" w14:paraId="7C2EBC77" w14:textId="61D02E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rPr>
          <w:rFonts w:eastAsia="Times New Roman"/>
        </w:rPr>
      </w:pPr>
      <w:r w:rsidRPr="00853D69">
        <w:rPr>
          <w:rFonts w:eastAsia="Times New Roman"/>
        </w:rPr>
        <w:t>With the response (produced from completed and verified data forms), NMFS Alaska Fisheries Science Center analysts will construct statistical models for estimating key variable values for each strata. These data will also be used to develop cost functions from this data and to estimate changes in variable costs of operations, average gross earnings, and changes to net revenues arising from changes in the costs of elements collected.</w:t>
      </w:r>
      <w:r w:rsidR="00C06463">
        <w:rPr>
          <w:rFonts w:eastAsia="Times New Roman"/>
        </w:rPr>
        <w:t xml:space="preserve"> </w:t>
      </w:r>
      <w:r w:rsidRPr="00853D69">
        <w:rPr>
          <w:rFonts w:eastAsia="Times New Roman"/>
        </w:rPr>
        <w:t>Data may be developed to estimate changes in purchases and economic impacts before and after CR Program implementation.</w:t>
      </w:r>
      <w:r w:rsidR="00C06463">
        <w:rPr>
          <w:rFonts w:eastAsia="Times New Roman"/>
        </w:rPr>
        <w:t xml:space="preserve"> </w:t>
      </w:r>
      <w:r w:rsidRPr="00853D69">
        <w:rPr>
          <w:rFonts w:eastAsia="Times New Roman"/>
        </w:rPr>
        <w:t>Several methods are available to estimate these outputs.</w:t>
      </w:r>
      <w:r w:rsidR="00C06463">
        <w:rPr>
          <w:rFonts w:eastAsia="Times New Roman"/>
        </w:rPr>
        <w:t xml:space="preserve"> </w:t>
      </w:r>
      <w:r w:rsidRPr="00853D69">
        <w:rPr>
          <w:rFonts w:eastAsia="Times New Roman"/>
        </w:rPr>
        <w:t>The analysts will select the best methods based on an assessment of the data in this co</w:t>
      </w:r>
      <w:r w:rsidR="007F5378">
        <w:rPr>
          <w:rFonts w:eastAsia="Times New Roman"/>
        </w:rPr>
        <w:t>llection and from other sources.</w:t>
      </w:r>
    </w:p>
    <w:p w:rsidR="007F5378" w:rsidRPr="00853D69" w:rsidP="007F5378" w14:paraId="250C8FC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pPr>
    </w:p>
    <w:p w:rsidR="00892544" w:rsidRPr="00BD7237" w:rsidP="00B8558E" w14:paraId="246A9800" w14:textId="77777777">
      <w:pPr>
        <w:pStyle w:val="Heading1"/>
        <w:keepNext/>
        <w:keepLines/>
        <w:numPr>
          <w:ilvl w:val="0"/>
          <w:numId w:val="1"/>
        </w:numPr>
        <w:tabs>
          <w:tab w:val="left" w:pos="360"/>
        </w:tabs>
        <w:spacing w:before="159"/>
        <w:ind w:left="0" w:firstLine="0"/>
      </w:pPr>
      <w:r w:rsidRPr="00BD7237">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BD7237">
        <w:rPr>
          <w:spacing w:val="-32"/>
        </w:rPr>
        <w:t xml:space="preserve"> </w:t>
      </w:r>
      <w:r w:rsidRPr="00BD7237">
        <w:t>studied.</w:t>
      </w:r>
    </w:p>
    <w:p w:rsidR="00C06463" w:rsidP="00B8558E" w14:paraId="1648D289" w14:textId="7777777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rPr>
          <w:rFonts w:eastAsia="Times New Roman"/>
        </w:rPr>
      </w:pPr>
    </w:p>
    <w:p w:rsidR="002C27F8" w:rsidRPr="002C27F8" w:rsidP="00B8558E" w14:paraId="6F89606C" w14:textId="284FBE6B">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rPr>
          <w:rFonts w:eastAsia="Times New Roman"/>
        </w:rPr>
      </w:pPr>
      <w:r w:rsidRPr="002C27F8">
        <w:rPr>
          <w:rFonts w:eastAsia="Times New Roman"/>
        </w:rPr>
        <w:t xml:space="preserve">Each owner or leaseholder of a vessel or processing plant, or a holder of a registered crab receiver permit that harvested, processed, custom processed, or obtained custom processing for CR </w:t>
      </w:r>
      <w:r w:rsidR="00795CAF">
        <w:rPr>
          <w:rFonts w:eastAsia="Times New Roman"/>
        </w:rPr>
        <w:t xml:space="preserve">Program </w:t>
      </w:r>
      <w:r w:rsidRPr="002C27F8">
        <w:rPr>
          <w:rFonts w:eastAsia="Times New Roman"/>
        </w:rPr>
        <w:t xml:space="preserve">crab is required to submit an annual EDR. Therefore, the response to the mandatory data collection requirements should be very high. Those individuals who do not submit their EDR by the submission date will receive a follow-up phone call from </w:t>
      </w:r>
      <w:r w:rsidR="003B6D56">
        <w:rPr>
          <w:rFonts w:eastAsia="Times New Roman"/>
        </w:rPr>
        <w:t>Pacific States</w:t>
      </w:r>
      <w:r w:rsidRPr="002C27F8">
        <w:rPr>
          <w:rFonts w:eastAsia="Times New Roman"/>
        </w:rPr>
        <w:t>. If a solution cannot be reached at that point, their information will be referred to the NMFS Office of Law Enforcement. In addition, NMFS may withhold issuance of a permit or quota transfer request if respondents do not submit the EDRs. Therefore, we anticipate a 100 percent response rate.</w:t>
      </w:r>
    </w:p>
    <w:p w:rsidR="002C27F8" w:rsidRPr="00BD7237" w:rsidP="007F5378" w14:paraId="14D3A8FD" w14:textId="77777777">
      <w:pPr>
        <w:pStyle w:val="BodyText"/>
        <w:spacing w:before="0"/>
        <w:ind w:left="0"/>
      </w:pPr>
    </w:p>
    <w:p w:rsidR="00892544" w:rsidRPr="00BD7237" w:rsidP="007F5378" w14:paraId="03E1115E" w14:textId="77777777">
      <w:pPr>
        <w:pStyle w:val="Heading1"/>
        <w:numPr>
          <w:ilvl w:val="0"/>
          <w:numId w:val="1"/>
        </w:numPr>
        <w:tabs>
          <w:tab w:val="left" w:pos="360"/>
        </w:tabs>
        <w:spacing w:before="183"/>
        <w:ind w:left="0" w:firstLine="0"/>
      </w:pPr>
      <w:r w:rsidRPr="00BD7237">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BD7237">
        <w:rPr>
          <w:spacing w:val="-4"/>
        </w:rPr>
        <w:t xml:space="preserve"> </w:t>
      </w:r>
      <w:r w:rsidRPr="00BD7237">
        <w:t>information.</w:t>
      </w:r>
    </w:p>
    <w:p w:rsidR="002C27F8" w:rsidP="007F5378" w14:paraId="317D4FD4" w14:textId="77777777">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rPr>
          <w:rFonts w:eastAsia="Times New Roman"/>
          <w:color w:val="000000"/>
        </w:rPr>
      </w:pPr>
    </w:p>
    <w:p w:rsidR="002C27F8" w:rsidP="007F5378" w14:paraId="31133EDE" w14:textId="63F36D6E">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rPr>
          <w:rFonts w:eastAsia="Times New Roman"/>
          <w:color w:val="000000"/>
        </w:rPr>
      </w:pPr>
      <w:r w:rsidRPr="002C27F8">
        <w:rPr>
          <w:rFonts w:eastAsia="Times New Roman"/>
          <w:color w:val="000000"/>
        </w:rPr>
        <w:t xml:space="preserve">Since the </w:t>
      </w:r>
      <w:r w:rsidRPr="00795CAF" w:rsidR="00795CAF">
        <w:rPr>
          <w:rFonts w:eastAsia="Times New Roman"/>
          <w:color w:val="000000"/>
        </w:rPr>
        <w:t>EDR p</w:t>
      </w:r>
      <w:r w:rsidRPr="00795CAF">
        <w:rPr>
          <w:rFonts w:eastAsia="Times New Roman"/>
          <w:color w:val="000000"/>
        </w:rPr>
        <w:t>rogram has</w:t>
      </w:r>
      <w:r w:rsidRPr="002C27F8">
        <w:rPr>
          <w:rFonts w:eastAsia="Times New Roman"/>
          <w:color w:val="000000"/>
        </w:rPr>
        <w:t xml:space="preserve"> been in place, informal testing has taken place by meeting with EDR submitters to discuss ways in which the forms used to request information could be improved. </w:t>
      </w:r>
      <w:r w:rsidR="003B6D56">
        <w:rPr>
          <w:rFonts w:eastAsia="Times New Roman"/>
          <w:color w:val="000000"/>
        </w:rPr>
        <w:t>Pacific States</w:t>
      </w:r>
      <w:r w:rsidRPr="002C27F8">
        <w:rPr>
          <w:rFonts w:eastAsia="Times New Roman"/>
          <w:color w:val="000000"/>
        </w:rPr>
        <w:t xml:space="preserve"> (who administers the data collection</w:t>
      </w:r>
      <w:r w:rsidR="00E42053">
        <w:rPr>
          <w:rFonts w:eastAsia="Times New Roman"/>
          <w:color w:val="000000"/>
        </w:rPr>
        <w:t xml:space="preserve"> as the Data Collection Agent</w:t>
      </w:r>
      <w:r w:rsidRPr="002C27F8">
        <w:rPr>
          <w:rFonts w:eastAsia="Times New Roman"/>
          <w:color w:val="000000"/>
        </w:rPr>
        <w:t>) also</w:t>
      </w:r>
      <w:r w:rsidR="00E42053">
        <w:rPr>
          <w:rFonts w:eastAsia="Times New Roman"/>
          <w:color w:val="000000"/>
        </w:rPr>
        <w:t xml:space="preserve"> conduct</w:t>
      </w:r>
      <w:r w:rsidR="00C06463">
        <w:rPr>
          <w:rFonts w:eastAsia="Times New Roman"/>
          <w:color w:val="000000"/>
        </w:rPr>
        <w:t>s</w:t>
      </w:r>
      <w:r w:rsidR="00E42053">
        <w:rPr>
          <w:rFonts w:eastAsia="Times New Roman"/>
          <w:color w:val="000000"/>
        </w:rPr>
        <w:t xml:space="preserve"> </w:t>
      </w:r>
      <w:r w:rsidR="00AD37DF">
        <w:rPr>
          <w:rFonts w:eastAsia="Times New Roman"/>
          <w:color w:val="000000"/>
        </w:rPr>
        <w:t>data verification</w:t>
      </w:r>
      <w:r w:rsidR="00E42053">
        <w:rPr>
          <w:rFonts w:eastAsia="Times New Roman"/>
          <w:color w:val="000000"/>
        </w:rPr>
        <w:t xml:space="preserve"> procedures, as described in Supporting Statement Part A, that are separate from data verification audits.</w:t>
      </w:r>
      <w:r w:rsidR="00C06463">
        <w:rPr>
          <w:rFonts w:eastAsia="Times New Roman"/>
          <w:color w:val="000000"/>
        </w:rPr>
        <w:t xml:space="preserve"> </w:t>
      </w:r>
      <w:r w:rsidR="00E42053">
        <w:rPr>
          <w:rFonts w:eastAsia="Times New Roman"/>
          <w:color w:val="000000"/>
        </w:rPr>
        <w:t xml:space="preserve">In conducting </w:t>
      </w:r>
      <w:r w:rsidR="00AD37DF">
        <w:rPr>
          <w:rFonts w:eastAsia="Times New Roman"/>
          <w:color w:val="000000"/>
        </w:rPr>
        <w:t>data verification</w:t>
      </w:r>
      <w:r w:rsidR="00E42053">
        <w:rPr>
          <w:rFonts w:eastAsia="Times New Roman"/>
          <w:color w:val="000000"/>
        </w:rPr>
        <w:t xml:space="preserve">, Pacific States </w:t>
      </w:r>
      <w:r w:rsidRPr="002C27F8">
        <w:rPr>
          <w:rFonts w:eastAsia="Times New Roman"/>
          <w:color w:val="000000"/>
        </w:rPr>
        <w:t>document</w:t>
      </w:r>
      <w:r w:rsidR="00E42053">
        <w:rPr>
          <w:rFonts w:eastAsia="Times New Roman"/>
          <w:color w:val="000000"/>
        </w:rPr>
        <w:t>s</w:t>
      </w:r>
      <w:r w:rsidRPr="002C27F8">
        <w:rPr>
          <w:rFonts w:eastAsia="Times New Roman"/>
          <w:color w:val="000000"/>
        </w:rPr>
        <w:t xml:space="preserve"> ways in which the EDRs could be clarified</w:t>
      </w:r>
      <w:r w:rsidR="00795CAF">
        <w:rPr>
          <w:rFonts w:eastAsia="Times New Roman"/>
          <w:color w:val="000000"/>
        </w:rPr>
        <w:t>,</w:t>
      </w:r>
      <w:r w:rsidRPr="002C27F8">
        <w:rPr>
          <w:rFonts w:eastAsia="Times New Roman"/>
          <w:color w:val="000000"/>
        </w:rPr>
        <w:t xml:space="preserve"> and we have used this information to clarify instructions and variable definitions. </w:t>
      </w:r>
    </w:p>
    <w:p w:rsidR="00CF2D7A" w:rsidRPr="002C27F8" w:rsidP="007F5378" w14:paraId="2C63B135" w14:textId="77777777">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rPr>
          <w:rFonts w:eastAsia="Times New Roman"/>
          <w:color w:val="000000"/>
        </w:rPr>
      </w:pPr>
    </w:p>
    <w:p w:rsidR="00892544" w:rsidRPr="00BD7237" w:rsidP="007F5378" w14:paraId="4FF6A0F2" w14:textId="77777777">
      <w:pPr>
        <w:pStyle w:val="Heading1"/>
        <w:numPr>
          <w:ilvl w:val="0"/>
          <w:numId w:val="1"/>
        </w:numPr>
        <w:tabs>
          <w:tab w:val="left" w:pos="360"/>
        </w:tabs>
        <w:spacing w:before="183"/>
        <w:ind w:left="0" w:firstLine="0"/>
      </w:pPr>
      <w:r w:rsidRPr="00BD7237">
        <w:t>Provide the name and telephone number of individuals consulted on statistical aspects of the design and the name of the agency unit, contractor(s), grantee(s), or other person(s) who will actually collect and/or analyze the information for the</w:t>
      </w:r>
      <w:r w:rsidRPr="00BD7237">
        <w:rPr>
          <w:spacing w:val="-6"/>
        </w:rPr>
        <w:t xml:space="preserve"> </w:t>
      </w:r>
      <w:r w:rsidRPr="00BD7237">
        <w:t>agency.</w:t>
      </w:r>
    </w:p>
    <w:p w:rsidR="005261F3" w:rsidP="007F5378" w14:paraId="6EEA5ACE" w14:textId="40A7E03A">
      <w:pPr>
        <w:widowControl/>
        <w:autoSpaceDE/>
        <w:autoSpaceDN/>
        <w:rPr>
          <w:rFonts w:eastAsia="Times New Roman"/>
        </w:rPr>
      </w:pPr>
    </w:p>
    <w:p w:rsidR="00551BF4" w:rsidP="007F5378" w14:paraId="59FFDC38" w14:textId="745A2790">
      <w:pPr>
        <w:rPr>
          <w:rFonts w:eastAsia="Times New Roman"/>
        </w:rPr>
      </w:pPr>
      <w:r>
        <w:rPr>
          <w:rFonts w:eastAsia="Times New Roman"/>
        </w:rPr>
        <w:t>Ron Felthoven</w:t>
      </w:r>
    </w:p>
    <w:p w:rsidR="00551BF4" w:rsidP="007F5378" w14:paraId="47B02FBA" w14:textId="77777777">
      <w:pPr>
        <w:rPr>
          <w:rFonts w:eastAsia="Times New Roman"/>
        </w:rPr>
      </w:pPr>
      <w:r>
        <w:rPr>
          <w:rFonts w:eastAsia="Times New Roman"/>
        </w:rPr>
        <w:t xml:space="preserve">Economist </w:t>
      </w:r>
    </w:p>
    <w:p w:rsidR="00551BF4" w:rsidP="007F5378" w14:paraId="4D23D52D" w14:textId="5AEA6B4A">
      <w:pPr>
        <w:rPr>
          <w:rFonts w:eastAsia="Times New Roman"/>
        </w:rPr>
      </w:pPr>
      <w:r>
        <w:rPr>
          <w:rFonts w:eastAsia="Times New Roman"/>
        </w:rPr>
        <w:t>NMFS</w:t>
      </w:r>
      <w:r w:rsidR="00C06463">
        <w:rPr>
          <w:rFonts w:eastAsia="Times New Roman"/>
        </w:rPr>
        <w:t xml:space="preserve"> </w:t>
      </w:r>
      <w:r>
        <w:rPr>
          <w:rFonts w:eastAsia="Times New Roman"/>
        </w:rPr>
        <w:t>WASC</w:t>
      </w:r>
      <w:r w:rsidR="00C06463">
        <w:rPr>
          <w:rFonts w:eastAsia="Times New Roman"/>
        </w:rPr>
        <w:t xml:space="preserve"> </w:t>
      </w:r>
      <w:r>
        <w:rPr>
          <w:rFonts w:eastAsia="Times New Roman"/>
        </w:rPr>
        <w:t>Route:</w:t>
      </w:r>
      <w:r w:rsidR="00C06463">
        <w:rPr>
          <w:rFonts w:eastAsia="Times New Roman"/>
        </w:rPr>
        <w:t xml:space="preserve"> </w:t>
      </w:r>
      <w:r>
        <w:rPr>
          <w:rFonts w:eastAsia="Times New Roman"/>
        </w:rPr>
        <w:t>F/AKC3</w:t>
      </w:r>
      <w:r w:rsidR="00C06463">
        <w:rPr>
          <w:rFonts w:eastAsia="Times New Roman"/>
        </w:rPr>
        <w:t xml:space="preserve"> </w:t>
      </w:r>
    </w:p>
    <w:p w:rsidR="00551BF4" w:rsidP="007F5378" w14:paraId="72B5FAAF" w14:textId="77777777">
      <w:pPr>
        <w:rPr>
          <w:rFonts w:eastAsia="Times New Roman"/>
        </w:rPr>
      </w:pPr>
      <w:r>
        <w:rPr>
          <w:rFonts w:eastAsia="Times New Roman"/>
        </w:rPr>
        <w:t>PH: (206) 526-4114</w:t>
      </w:r>
    </w:p>
    <w:p w:rsidR="00551BF4" w:rsidP="007F5378" w14:paraId="4A5EF586" w14:textId="77777777">
      <w:pPr>
        <w:rPr>
          <w:rFonts w:eastAsia="Times New Roman"/>
        </w:rPr>
      </w:pPr>
      <w:r>
        <w:rPr>
          <w:rFonts w:eastAsia="Times New Roman"/>
        </w:rPr>
        <w:t xml:space="preserve">Internet Address: </w:t>
      </w:r>
      <w:hyperlink r:id="rId4">
        <w:r>
          <w:rPr>
            <w:rFonts w:eastAsia="Times New Roman"/>
            <w:color w:val="0000FF"/>
            <w:u w:val="single"/>
          </w:rPr>
          <w:t>ron.felthoven@noaa.gov</w:t>
        </w:r>
      </w:hyperlink>
    </w:p>
    <w:p w:rsidR="00551BF4" w:rsidP="007F5378" w14:paraId="37FDE986" w14:textId="77777777">
      <w:pPr>
        <w:rPr>
          <w:rFonts w:eastAsia="Times New Roman"/>
        </w:rPr>
      </w:pPr>
    </w:p>
    <w:p w:rsidR="005261F3" w:rsidRPr="005261F3" w:rsidP="007F5378" w14:paraId="4E729D9C" w14:textId="7E6DEE99">
      <w:pPr>
        <w:widowControl/>
        <w:autoSpaceDE/>
        <w:autoSpaceDN/>
        <w:rPr>
          <w:rFonts w:eastAsia="Times New Roman"/>
        </w:rPr>
      </w:pPr>
      <w:r w:rsidRPr="005261F3">
        <w:rPr>
          <w:rFonts w:eastAsia="Times New Roman"/>
        </w:rPr>
        <w:t>Brian Garber-</w:t>
      </w:r>
      <w:r w:rsidRPr="005261F3">
        <w:rPr>
          <w:rFonts w:eastAsia="Times New Roman"/>
        </w:rPr>
        <w:t>Yonts</w:t>
      </w:r>
      <w:r w:rsidRPr="005261F3">
        <w:rPr>
          <w:rFonts w:eastAsia="Times New Roman"/>
        </w:rPr>
        <w:t>, Ph.D.</w:t>
      </w:r>
      <w:r w:rsidR="00C06463">
        <w:rPr>
          <w:rFonts w:eastAsia="Times New Roman"/>
        </w:rPr>
        <w:t xml:space="preserve"> </w:t>
      </w:r>
      <w:r w:rsidRPr="005261F3">
        <w:rPr>
          <w:rFonts w:eastAsia="Times New Roman"/>
        </w:rPr>
        <w:t>[statistical design and analysis of data]</w:t>
      </w:r>
    </w:p>
    <w:p w:rsidR="005261F3" w:rsidRPr="005261F3" w:rsidP="007F5378" w14:paraId="1E1550B3" w14:textId="77777777">
      <w:pPr>
        <w:widowControl/>
        <w:autoSpaceDE/>
        <w:autoSpaceDN/>
        <w:rPr>
          <w:rFonts w:eastAsia="Times New Roman"/>
        </w:rPr>
      </w:pPr>
      <w:r w:rsidRPr="005261F3">
        <w:rPr>
          <w:rFonts w:eastAsia="Times New Roman"/>
        </w:rPr>
        <w:t>Research Economist</w:t>
      </w:r>
    </w:p>
    <w:p w:rsidR="005261F3" w:rsidRPr="005261F3" w:rsidP="007F5378" w14:paraId="32C5B380" w14:textId="77777777">
      <w:pPr>
        <w:widowControl/>
        <w:autoSpaceDE/>
        <w:autoSpaceDN/>
        <w:rPr>
          <w:rFonts w:eastAsia="Times New Roman"/>
        </w:rPr>
      </w:pPr>
      <w:r w:rsidRPr="005261F3">
        <w:rPr>
          <w:rFonts w:eastAsia="Times New Roman"/>
        </w:rPr>
        <w:t>NOAA Fisheries, Alaska Fisheries Science Center</w:t>
      </w:r>
    </w:p>
    <w:p w:rsidR="005261F3" w:rsidRPr="005261F3" w:rsidP="007F5378" w14:paraId="6584127C" w14:textId="77777777">
      <w:pPr>
        <w:widowControl/>
        <w:autoSpaceDE/>
        <w:autoSpaceDN/>
        <w:rPr>
          <w:rFonts w:eastAsia="Times New Roman"/>
        </w:rPr>
      </w:pPr>
      <w:r w:rsidRPr="005261F3">
        <w:rPr>
          <w:rFonts w:eastAsia="Times New Roman"/>
        </w:rPr>
        <w:t>PH: (206) 526-6301</w:t>
      </w:r>
    </w:p>
    <w:p w:rsidR="005261F3" w:rsidRPr="005261F3" w:rsidP="007F5378" w14:paraId="16C608D9" w14:textId="77777777">
      <w:pPr>
        <w:widowControl/>
        <w:autoSpaceDE/>
        <w:autoSpaceDN/>
        <w:rPr>
          <w:rFonts w:eastAsia="Times New Roman"/>
        </w:rPr>
      </w:pPr>
      <w:r w:rsidRPr="005261F3">
        <w:rPr>
          <w:rFonts w:eastAsia="Times New Roman"/>
        </w:rPr>
        <w:t>fax: (206) 526-6723</w:t>
      </w:r>
    </w:p>
    <w:p w:rsidR="005261F3" w:rsidRPr="005261F3" w:rsidP="007F5378" w14:paraId="464E3297" w14:textId="0DDF72FF">
      <w:pPr>
        <w:widowControl/>
        <w:autoSpaceDE/>
        <w:autoSpaceDN/>
        <w:rPr>
          <w:rFonts w:eastAsia="Times New Roman"/>
        </w:rPr>
      </w:pPr>
      <w:r w:rsidRPr="005261F3">
        <w:rPr>
          <w:rFonts w:eastAsia="Times New Roman"/>
        </w:rPr>
        <w:t>Internet Address:</w:t>
      </w:r>
      <w:r w:rsidR="00C06463">
        <w:rPr>
          <w:rFonts w:eastAsia="Times New Roman"/>
        </w:rPr>
        <w:t xml:space="preserve"> </w:t>
      </w:r>
      <w:hyperlink r:id="rId5">
        <w:r w:rsidRPr="005261F3">
          <w:rPr>
            <w:rFonts w:eastAsia="Times New Roman"/>
            <w:color w:val="0000FF"/>
            <w:u w:val="single"/>
          </w:rPr>
          <w:t>Brian.Garber-Yonts@noaa.gov</w:t>
        </w:r>
      </w:hyperlink>
    </w:p>
    <w:p w:rsidR="005261F3" w:rsidP="007F5378" w14:paraId="40F7A8D1" w14:textId="56CB89F8">
      <w:pPr>
        <w:widowControl/>
        <w:autoSpaceDE/>
        <w:autoSpaceDN/>
        <w:rPr>
          <w:rFonts w:eastAsia="Times New Roman"/>
        </w:rPr>
      </w:pPr>
    </w:p>
    <w:p w:rsidR="005261F3" w:rsidRPr="005261F3" w:rsidP="007F5378" w14:paraId="78142B38" w14:textId="62471A3B">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olor w:val="000000"/>
        </w:rPr>
      </w:pPr>
      <w:r w:rsidRPr="005261F3">
        <w:rPr>
          <w:rFonts w:eastAsia="Times New Roman"/>
          <w:color w:val="000000"/>
        </w:rPr>
        <w:t>Geana</w:t>
      </w:r>
      <w:r w:rsidRPr="005261F3">
        <w:rPr>
          <w:rFonts w:eastAsia="Times New Roman"/>
          <w:color w:val="000000"/>
        </w:rPr>
        <w:t xml:space="preserve"> Tyler</w:t>
      </w:r>
      <w:r w:rsidR="00C06463">
        <w:rPr>
          <w:rFonts w:eastAsia="Times New Roman"/>
          <w:color w:val="000000"/>
        </w:rPr>
        <w:t xml:space="preserve"> </w:t>
      </w:r>
      <w:r w:rsidRPr="005261F3">
        <w:rPr>
          <w:rFonts w:eastAsia="Times New Roman"/>
          <w:color w:val="000000"/>
        </w:rPr>
        <w:t>[collection of data, verification of accuracy of data]</w:t>
      </w:r>
    </w:p>
    <w:p w:rsidR="005261F3" w:rsidRPr="005261F3" w:rsidP="007F5378" w14:paraId="38CB069E" w14:textId="77777777">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olor w:val="000000"/>
        </w:rPr>
      </w:pPr>
      <w:r w:rsidRPr="005261F3">
        <w:rPr>
          <w:rFonts w:eastAsia="Times New Roman"/>
          <w:color w:val="000000"/>
        </w:rPr>
        <w:t>Pacific States Marine Fisheries Commission</w:t>
      </w:r>
    </w:p>
    <w:p w:rsidR="005261F3" w:rsidRPr="005261F3" w:rsidP="007F5378" w14:paraId="5FC9BE3A" w14:textId="77777777">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olor w:val="000000"/>
        </w:rPr>
      </w:pPr>
      <w:r w:rsidRPr="005261F3">
        <w:rPr>
          <w:rFonts w:eastAsia="Times New Roman"/>
          <w:color w:val="000000"/>
        </w:rPr>
        <w:t>PH: (503) 595-3100</w:t>
      </w:r>
    </w:p>
    <w:p w:rsidR="005261F3" w:rsidRPr="005261F3" w:rsidP="007F5378" w14:paraId="5993A750" w14:textId="77777777">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olor w:val="000000"/>
        </w:rPr>
      </w:pPr>
      <w:r w:rsidRPr="005261F3">
        <w:rPr>
          <w:rFonts w:eastAsia="Times New Roman"/>
          <w:color w:val="000000"/>
        </w:rPr>
        <w:t xml:space="preserve">FAX: (503) 595-3232 </w:t>
      </w:r>
    </w:p>
    <w:p w:rsidR="005261F3" w:rsidRPr="005261F3" w:rsidP="007F5378" w14:paraId="108685A7" w14:textId="77777777">
      <w:pPr>
        <w:widowControl/>
        <w:autoSpaceDE/>
        <w:autoSpaceDN/>
        <w:rPr>
          <w:rFonts w:eastAsia="Times New Roman"/>
          <w:b/>
        </w:rPr>
      </w:pPr>
      <w:hyperlink r:id="rId6">
        <w:r w:rsidRPr="005261F3" w:rsidR="0049176B">
          <w:rPr>
            <w:rFonts w:eastAsia="Times New Roman"/>
            <w:color w:val="0000FF"/>
            <w:u w:val="single"/>
          </w:rPr>
          <w:t>gtyler@psmfc.org</w:t>
        </w:r>
      </w:hyperlink>
      <w:r w:rsidRPr="005261F3" w:rsidR="0049176B">
        <w:rPr>
          <w:rFonts w:eastAsia="Times New Roman"/>
        </w:rPr>
        <w:t xml:space="preserve"> </w:t>
      </w:r>
    </w:p>
    <w:p w:rsidR="005652B5" w:rsidP="007F5378" w14:paraId="0454D84E" w14:textId="77777777"/>
    <w:sectPr w:rsidSect="00B8558E">
      <w:footerReference w:type="default" r:id="rId7"/>
      <w:pgSz w:w="12240" w:h="15840" w:code="1"/>
      <w:pgMar w:top="1440" w:right="1440" w:bottom="1440" w:left="1440" w:header="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7055718"/>
      <w:docPartObj>
        <w:docPartGallery w:val="Page Numbers (Bottom of Page)"/>
        <w:docPartUnique/>
      </w:docPartObj>
    </w:sdtPr>
    <w:sdtEndPr>
      <w:rPr>
        <w:noProof/>
      </w:rPr>
    </w:sdtEndPr>
    <w:sdtContent>
      <w:p w:rsidR="007F1309" w14:paraId="48D08D60" w14:textId="023383D4">
        <w:pPr>
          <w:pStyle w:val="Footer"/>
          <w:jc w:val="center"/>
        </w:pPr>
        <w:r>
          <w:fldChar w:fldCharType="begin"/>
        </w:r>
        <w:r>
          <w:instrText xml:space="preserve"> PAGE   \* MERGEFORMAT </w:instrText>
        </w:r>
        <w:r>
          <w:fldChar w:fldCharType="separate"/>
        </w:r>
        <w:r w:rsidR="00F9128B">
          <w:rPr>
            <w:noProof/>
          </w:rPr>
          <w:t>1</w:t>
        </w:r>
        <w:r>
          <w:rPr>
            <w:noProof/>
          </w:rPr>
          <w:fldChar w:fldCharType="end"/>
        </w:r>
      </w:p>
    </w:sdtContent>
  </w:sdt>
  <w:p w:rsidR="007F1309" w14:paraId="03CC6CB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C3D4A50"/>
    <w:multiLevelType w:val="hybridMultilevel"/>
    <w:tmpl w:val="32B0098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544"/>
    <w:rsid w:val="00222E0D"/>
    <w:rsid w:val="00225D13"/>
    <w:rsid w:val="002C27F8"/>
    <w:rsid w:val="003429C6"/>
    <w:rsid w:val="003B6D56"/>
    <w:rsid w:val="00407FA0"/>
    <w:rsid w:val="00451280"/>
    <w:rsid w:val="0049176B"/>
    <w:rsid w:val="005261F3"/>
    <w:rsid w:val="00551BF4"/>
    <w:rsid w:val="005652B5"/>
    <w:rsid w:val="005B0483"/>
    <w:rsid w:val="00694217"/>
    <w:rsid w:val="00795CAF"/>
    <w:rsid w:val="007A7D4C"/>
    <w:rsid w:val="007C1E6F"/>
    <w:rsid w:val="007F1309"/>
    <w:rsid w:val="007F2B02"/>
    <w:rsid w:val="007F5378"/>
    <w:rsid w:val="00853D69"/>
    <w:rsid w:val="00892544"/>
    <w:rsid w:val="008F78C3"/>
    <w:rsid w:val="0091180D"/>
    <w:rsid w:val="00A614A4"/>
    <w:rsid w:val="00A6425C"/>
    <w:rsid w:val="00AD37DF"/>
    <w:rsid w:val="00B048C7"/>
    <w:rsid w:val="00B37475"/>
    <w:rsid w:val="00B8558E"/>
    <w:rsid w:val="00B93990"/>
    <w:rsid w:val="00BD7237"/>
    <w:rsid w:val="00BD7C03"/>
    <w:rsid w:val="00C05921"/>
    <w:rsid w:val="00C06463"/>
    <w:rsid w:val="00C1185D"/>
    <w:rsid w:val="00CF2D7A"/>
    <w:rsid w:val="00CF35DE"/>
    <w:rsid w:val="00D76C78"/>
    <w:rsid w:val="00E268E8"/>
    <w:rsid w:val="00E42053"/>
    <w:rsid w:val="00E75AAD"/>
    <w:rsid w:val="00E822B5"/>
    <w:rsid w:val="00F404FA"/>
    <w:rsid w:val="00F6142C"/>
    <w:rsid w:val="00F9128B"/>
    <w:rsid w:val="00FE35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F4B616"/>
  <w15:chartTrackingRefBased/>
  <w15:docId w15:val="{21BDB04B-C800-44AE-8828-B071CE9DA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892544"/>
    <w:pPr>
      <w:widowControl w:val="0"/>
      <w:autoSpaceDE w:val="0"/>
      <w:autoSpaceDN w:val="0"/>
      <w:spacing w:after="0" w:line="240" w:lineRule="auto"/>
    </w:pPr>
  </w:style>
  <w:style w:type="paragraph" w:styleId="Heading1">
    <w:name w:val="heading 1"/>
    <w:basedOn w:val="Normal"/>
    <w:link w:val="Heading1Char"/>
    <w:uiPriority w:val="1"/>
    <w:qFormat/>
    <w:rsid w:val="00892544"/>
    <w:pPr>
      <w:spacing w:before="80"/>
      <w:ind w:left="4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92544"/>
    <w:rPr>
      <w:rFonts w:ascii="Arial" w:eastAsia="Arial" w:hAnsi="Arial" w:cs="Arial"/>
      <w:b/>
      <w:bCs/>
      <w:sz w:val="24"/>
      <w:szCs w:val="24"/>
      <w:lang w:bidi="en-US"/>
    </w:rPr>
  </w:style>
  <w:style w:type="paragraph" w:styleId="BodyText">
    <w:name w:val="Body Text"/>
    <w:basedOn w:val="Normal"/>
    <w:link w:val="BodyTextChar"/>
    <w:uiPriority w:val="1"/>
    <w:qFormat/>
    <w:rsid w:val="00892544"/>
    <w:pPr>
      <w:spacing w:before="161"/>
      <w:ind w:left="400"/>
    </w:pPr>
  </w:style>
  <w:style w:type="character" w:customStyle="1" w:styleId="BodyTextChar">
    <w:name w:val="Body Text Char"/>
    <w:basedOn w:val="DefaultParagraphFont"/>
    <w:link w:val="BodyText"/>
    <w:uiPriority w:val="1"/>
    <w:rsid w:val="00892544"/>
    <w:rPr>
      <w:rFonts w:ascii="Arial" w:eastAsia="Arial" w:hAnsi="Arial" w:cs="Arial"/>
      <w:sz w:val="24"/>
      <w:szCs w:val="24"/>
      <w:lang w:bidi="en-US"/>
    </w:rPr>
  </w:style>
  <w:style w:type="paragraph" w:styleId="ListParagraph">
    <w:name w:val="List Paragraph"/>
    <w:basedOn w:val="Normal"/>
    <w:uiPriority w:val="1"/>
    <w:qFormat/>
    <w:rsid w:val="00892544"/>
    <w:pPr>
      <w:spacing w:before="161"/>
      <w:ind w:left="1120" w:hanging="360"/>
    </w:pPr>
  </w:style>
  <w:style w:type="character" w:styleId="CommentReference">
    <w:name w:val="annotation reference"/>
    <w:basedOn w:val="DefaultParagraphFont"/>
    <w:uiPriority w:val="99"/>
    <w:semiHidden/>
    <w:unhideWhenUsed/>
    <w:rsid w:val="007F1309"/>
    <w:rPr>
      <w:sz w:val="16"/>
      <w:szCs w:val="16"/>
    </w:rPr>
  </w:style>
  <w:style w:type="paragraph" w:styleId="BalloonText">
    <w:name w:val="Balloon Text"/>
    <w:basedOn w:val="Normal"/>
    <w:link w:val="BalloonTextChar"/>
    <w:uiPriority w:val="99"/>
    <w:semiHidden/>
    <w:unhideWhenUsed/>
    <w:rsid w:val="007F1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309"/>
    <w:rPr>
      <w:rFonts w:ascii="Segoe UI" w:hAnsi="Segoe UI" w:cs="Segoe UI"/>
      <w:sz w:val="18"/>
      <w:szCs w:val="18"/>
    </w:rPr>
  </w:style>
  <w:style w:type="paragraph" w:styleId="CommentText">
    <w:name w:val="annotation text"/>
    <w:basedOn w:val="Normal"/>
    <w:link w:val="CommentTextChar"/>
    <w:uiPriority w:val="99"/>
    <w:semiHidden/>
    <w:unhideWhenUsed/>
    <w:rsid w:val="007F1309"/>
    <w:rPr>
      <w:sz w:val="20"/>
      <w:szCs w:val="20"/>
    </w:rPr>
  </w:style>
  <w:style w:type="character" w:customStyle="1" w:styleId="CommentTextChar">
    <w:name w:val="Comment Text Char"/>
    <w:basedOn w:val="DefaultParagraphFont"/>
    <w:link w:val="CommentText"/>
    <w:uiPriority w:val="99"/>
    <w:semiHidden/>
    <w:rsid w:val="007F1309"/>
    <w:rPr>
      <w:sz w:val="20"/>
      <w:szCs w:val="20"/>
    </w:rPr>
  </w:style>
  <w:style w:type="paragraph" w:styleId="CommentSubject">
    <w:name w:val="annotation subject"/>
    <w:basedOn w:val="CommentText"/>
    <w:next w:val="CommentText"/>
    <w:link w:val="CommentSubjectChar"/>
    <w:uiPriority w:val="99"/>
    <w:semiHidden/>
    <w:unhideWhenUsed/>
    <w:rsid w:val="007F1309"/>
    <w:rPr>
      <w:b/>
      <w:bCs/>
    </w:rPr>
  </w:style>
  <w:style w:type="character" w:customStyle="1" w:styleId="CommentSubjectChar">
    <w:name w:val="Comment Subject Char"/>
    <w:basedOn w:val="CommentTextChar"/>
    <w:link w:val="CommentSubject"/>
    <w:uiPriority w:val="99"/>
    <w:semiHidden/>
    <w:rsid w:val="007F1309"/>
    <w:rPr>
      <w:b/>
      <w:bCs/>
      <w:sz w:val="20"/>
      <w:szCs w:val="20"/>
    </w:rPr>
  </w:style>
  <w:style w:type="paragraph" w:styleId="Header">
    <w:name w:val="header"/>
    <w:basedOn w:val="Normal"/>
    <w:link w:val="HeaderChar"/>
    <w:uiPriority w:val="99"/>
    <w:unhideWhenUsed/>
    <w:rsid w:val="007F1309"/>
    <w:pPr>
      <w:tabs>
        <w:tab w:val="center" w:pos="4680"/>
        <w:tab w:val="right" w:pos="9360"/>
      </w:tabs>
    </w:pPr>
  </w:style>
  <w:style w:type="character" w:customStyle="1" w:styleId="HeaderChar">
    <w:name w:val="Header Char"/>
    <w:basedOn w:val="DefaultParagraphFont"/>
    <w:link w:val="Header"/>
    <w:uiPriority w:val="99"/>
    <w:rsid w:val="007F1309"/>
  </w:style>
  <w:style w:type="paragraph" w:styleId="Footer">
    <w:name w:val="footer"/>
    <w:basedOn w:val="Normal"/>
    <w:link w:val="FooterChar"/>
    <w:uiPriority w:val="99"/>
    <w:unhideWhenUsed/>
    <w:rsid w:val="007F1309"/>
    <w:pPr>
      <w:tabs>
        <w:tab w:val="center" w:pos="4680"/>
        <w:tab w:val="right" w:pos="9360"/>
      </w:tabs>
    </w:pPr>
  </w:style>
  <w:style w:type="character" w:customStyle="1" w:styleId="FooterChar">
    <w:name w:val="Footer Char"/>
    <w:basedOn w:val="DefaultParagraphFont"/>
    <w:link w:val="Footer"/>
    <w:uiPriority w:val="99"/>
    <w:rsid w:val="007F1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ron.felthoven@noaa.gov" TargetMode="External" /><Relationship Id="rId5" Type="http://schemas.openxmlformats.org/officeDocument/2006/relationships/hyperlink" Target="mailto:Brian.Garber-Yonts@noaa.gov" TargetMode="External" /><Relationship Id="rId6" Type="http://schemas.openxmlformats.org/officeDocument/2006/relationships/hyperlink" Target="mailto:gtyler@psmfc.org"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1110</Words>
  <Characters>6330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Thomas</dc:creator>
  <cp:lastModifiedBy>Scott Miller</cp:lastModifiedBy>
  <cp:revision>2</cp:revision>
  <dcterms:created xsi:type="dcterms:W3CDTF">2025-09-29T18:22:00Z</dcterms:created>
  <dcterms:modified xsi:type="dcterms:W3CDTF">2025-09-29T18:22:00Z</dcterms:modified>
</cp:coreProperties>
</file>