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6A8D" w14:paraId="00000001" w14:textId="77777777">
      <w:pPr>
        <w:pStyle w:val="Heading1"/>
        <w:ind w:left="0"/>
        <w:jc w:val="center"/>
      </w:pPr>
      <w:r>
        <w:t>SUPPORTING STATEMENT</w:t>
      </w:r>
    </w:p>
    <w:p w:rsidR="005C6A8D" w14:paraId="00000002" w14:textId="77777777">
      <w:pPr>
        <w:spacing w:before="22" w:line="259" w:lineRule="auto"/>
        <w:ind w:firstLine="14"/>
        <w:jc w:val="center"/>
        <w:rPr>
          <w:b/>
        </w:rPr>
      </w:pPr>
      <w:r>
        <w:rPr>
          <w:b/>
        </w:rPr>
        <w:t>U.S. Department of Commerce</w:t>
      </w:r>
    </w:p>
    <w:p w:rsidR="005C6A8D" w14:paraId="00000003" w14:textId="77777777">
      <w:pPr>
        <w:spacing w:before="22" w:line="259" w:lineRule="auto"/>
        <w:ind w:firstLine="14"/>
        <w:jc w:val="center"/>
        <w:rPr>
          <w:b/>
        </w:rPr>
      </w:pPr>
      <w:r>
        <w:rPr>
          <w:b/>
        </w:rPr>
        <w:t>National Oceanic &amp; Atmospheric Administration</w:t>
      </w:r>
    </w:p>
    <w:p w:rsidR="005C6A8D" w14:paraId="00000004" w14:textId="77777777">
      <w:pPr>
        <w:spacing w:line="259" w:lineRule="auto"/>
        <w:jc w:val="center"/>
        <w:rPr>
          <w:b/>
        </w:rPr>
      </w:pPr>
      <w:r>
        <w:rPr>
          <w:b/>
        </w:rPr>
        <w:t>Alaska Region Bering Sea and Aleutian Islands Crab Economic Data Reports</w:t>
      </w:r>
    </w:p>
    <w:p w:rsidR="005C6A8D" w14:paraId="00000005" w14:textId="77777777">
      <w:pPr>
        <w:spacing w:line="259" w:lineRule="auto"/>
        <w:jc w:val="center"/>
        <w:rPr>
          <w:b/>
        </w:rPr>
      </w:pPr>
      <w:r>
        <w:rPr>
          <w:b/>
        </w:rPr>
        <w:t>OMB Control No. 0648-0518</w:t>
      </w:r>
    </w:p>
    <w:p w:rsidR="005C6A8D" w14:paraId="00000006" w14:textId="77777777">
      <w:pPr>
        <w:pBdr>
          <w:top w:val="nil"/>
          <w:left w:val="nil"/>
          <w:bottom w:val="nil"/>
          <w:right w:val="nil"/>
          <w:between w:val="nil"/>
        </w:pBdr>
        <w:jc w:val="center"/>
        <w:rPr>
          <w:b/>
          <w:color w:val="000000"/>
        </w:rPr>
      </w:pPr>
    </w:p>
    <w:p w:rsidR="005C6A8D" w14:paraId="00000007" w14:textId="77777777">
      <w:pPr>
        <w:pStyle w:val="Heading1"/>
        <w:spacing w:before="0"/>
        <w:ind w:left="0"/>
      </w:pPr>
    </w:p>
    <w:p w:rsidR="005C6A8D" w14:paraId="00000008" w14:textId="77777777">
      <w:pPr>
        <w:pStyle w:val="Heading1"/>
        <w:spacing w:before="0"/>
        <w:ind w:left="0"/>
      </w:pPr>
      <w:r>
        <w:t>Abstract</w:t>
      </w:r>
    </w:p>
    <w:p w:rsidR="005C6A8D" w14:paraId="00000009" w14:textId="77777777">
      <w:pPr>
        <w:pStyle w:val="Heading1"/>
        <w:spacing w:before="0"/>
        <w:ind w:left="0"/>
      </w:pPr>
    </w:p>
    <w:p w:rsidR="005C6A8D" w14:paraId="0000000A" w14:textId="77777777">
      <w:pPr>
        <w:widowControl/>
      </w:pPr>
      <w:r>
        <w:t xml:space="preserve">The National Marine Fisheries Service </w:t>
      </w:r>
      <w:r>
        <w:t>(NMFS) Alaska Region (AKR) requests an extension of this currently approved information collection for the economic data reports (EDRs) for the Bering Sea and Aleutian Islands Crab Rationalization Program (CR Program).</w:t>
      </w:r>
    </w:p>
    <w:p w:rsidR="005C6A8D" w14:paraId="0000000B" w14:textId="77777777"/>
    <w:p w:rsidR="005C6A8D" w14:paraId="0000000C" w14:textId="77777777">
      <w:r>
        <w:t xml:space="preserve">The purpose of the crab EDRs is to gather information about ownership, revenue, cost, vessel operations, and employment to analyze the economic effects of the CR Program and the economic performance of participants in the program, and to estimate impacts of future issues, problems, or proposed revisions to the program. </w:t>
      </w:r>
      <w:sdt>
        <w:sdtPr>
          <w:tag w:val="goog_rdk_0"/>
          <w:id w:val="-796931026"/>
          <w:richText/>
        </w:sdtPr>
        <w:sdtContent/>
      </w:sdt>
      <w:r>
        <w:t xml:space="preserve">The data collected through the EDRs are used to prepare reports, program reviews, and analysis of proposed revisions to the CR Program. </w:t>
      </w:r>
    </w:p>
    <w:p w:rsidR="005C6A8D" w14:paraId="0000000D" w14:textId="77777777"/>
    <w:p w:rsidR="005C6A8D" w14:paraId="0000000E" w14:textId="77777777">
      <w:pPr>
        <w:rPr>
          <w:b/>
          <w:u w:val="single"/>
        </w:rPr>
      </w:pPr>
    </w:p>
    <w:p w:rsidR="005C6A8D" w14:paraId="0000000F" w14:textId="77777777">
      <w:pPr>
        <w:pStyle w:val="Heading1"/>
        <w:spacing w:before="0"/>
        <w:ind w:left="0"/>
      </w:pPr>
      <w:r>
        <w:t>Justification</w:t>
      </w:r>
    </w:p>
    <w:p w:rsidR="005C6A8D" w14:paraId="00000010" w14:textId="77777777">
      <w:pPr>
        <w:pStyle w:val="Heading1"/>
        <w:widowControl/>
        <w:spacing w:before="0"/>
        <w:ind w:left="0"/>
      </w:pPr>
    </w:p>
    <w:p w:rsidR="005C6A8D" w14:paraId="00000011" w14:textId="77777777">
      <w:pPr>
        <w:numPr>
          <w:ilvl w:val="0"/>
          <w:numId w:val="2"/>
        </w:numPr>
        <w:pBdr>
          <w:top w:val="nil"/>
          <w:left w:val="nil"/>
          <w:bottom w:val="nil"/>
          <w:right w:val="nil"/>
          <w:between w:val="nil"/>
        </w:pBdr>
        <w:tabs>
          <w:tab w:val="left" w:pos="360"/>
        </w:tabs>
        <w:ind w:left="0" w:firstLine="0"/>
        <w:rPr>
          <w:b/>
          <w:color w:val="000000"/>
        </w:rPr>
      </w:pPr>
      <w:r>
        <w:rPr>
          <w:b/>
          <w:color w:val="000000"/>
        </w:rPr>
        <w:t xml:space="preserve">Explain the circumstances that make the collection of </w:t>
      </w:r>
      <w:r>
        <w:rPr>
          <w:b/>
          <w:color w:val="000000"/>
        </w:rPr>
        <w:t>information necessary. Identify any legal or administrative requirements that necessitate the collection. Attach a copy of the appropriate section of each statute and regulation mandating or authorizing the collection of information.</w:t>
      </w:r>
    </w:p>
    <w:p w:rsidR="005C6A8D" w14:paraId="00000012" w14:textId="77777777">
      <w:pPr>
        <w:pBdr>
          <w:top w:val="nil"/>
          <w:left w:val="nil"/>
          <w:bottom w:val="nil"/>
          <w:right w:val="nil"/>
          <w:between w:val="nil"/>
        </w:pBdr>
        <w:rPr>
          <w:b/>
          <w:u w:val="single"/>
        </w:rPr>
      </w:pPr>
    </w:p>
    <w:p w:rsidR="005C6A8D" w14:paraId="00000013" w14:textId="2E5D5B87">
      <w:pPr>
        <w:widowControl/>
        <w:pBdr>
          <w:top w:val="nil"/>
          <w:left w:val="nil"/>
          <w:bottom w:val="nil"/>
          <w:right w:val="nil"/>
          <w:between w:val="nil"/>
        </w:pBdr>
      </w:pPr>
      <w:r>
        <w:t xml:space="preserve">The CR Program is one of </w:t>
      </w:r>
      <w:sdt>
        <w:sdtPr>
          <w:tag w:val="goog_rdk_1"/>
          <w:id w:val="1308796645"/>
          <w:richText/>
        </w:sdtPr>
        <w:sdtContent>
          <w:r>
            <w:t xml:space="preserve">eight </w:t>
          </w:r>
        </w:sdtContent>
      </w:sdt>
      <w:r>
        <w:t xml:space="preserve">catch share programs in the federally managed fisheries off Alaska. The CR Program was developed by the North Pacific Fishery Management Council (Council) as Amendments 18 and 19 to the Crab FMP. In January 2004, the United States Congress amended the </w:t>
      </w:r>
      <w:hyperlink r:id="rId7">
        <w:r>
          <w:rPr>
            <w:color w:val="0563C1"/>
            <w:u w:val="single"/>
          </w:rPr>
          <w:t>Magnuson</w:t>
        </w:r>
        <w:r>
          <w:rPr>
            <w:color w:val="0563C1"/>
            <w:u w:val="single"/>
          </w:rPr>
          <w:t>-</w:t>
        </w:r>
        <w:r>
          <w:rPr>
            <w:color w:val="0563C1"/>
            <w:u w:val="single"/>
          </w:rPr>
          <w:t>Stevens Fishery Conservation and Management Act</w:t>
        </w:r>
      </w:hyperlink>
      <w:r>
        <w:rPr>
          <w:rStyle w:val="FootnoteReference"/>
          <w:color w:val="0563C1"/>
          <w:u w:val="single"/>
        </w:rPr>
        <w:footnoteReference w:id="2"/>
      </w:r>
      <w:r>
        <w:t xml:space="preserve"> (16 U.S.C. 1801 </w:t>
      </w:r>
      <w:r>
        <w:rPr>
          <w:i/>
        </w:rPr>
        <w:t>et seq</w:t>
      </w:r>
      <w:r>
        <w:t>.; Magnuson-Stevens Act) by adding section 313(j) mandating NMFS to implement the Council’s CR Program. The Council’s recommended CR Program included an economic data collection component that is the subject of this information collection. Section 313(j)(3) also authorizes the Council to submit and the Secretary of Commerce to approve subsequent changes to or repeal provisions of the CR Program. The final rule implementing the CR Program was effective April 1, 2005 (</w:t>
      </w:r>
      <w:hyperlink r:id="rId8">
        <w:r>
          <w:rPr>
            <w:color w:val="0000FF"/>
            <w:u w:val="single"/>
          </w:rPr>
          <w:t>70 FR 101</w:t>
        </w:r>
        <w:r>
          <w:rPr>
            <w:color w:val="0000FF"/>
            <w:u w:val="single"/>
          </w:rPr>
          <w:t>7</w:t>
        </w:r>
        <w:r>
          <w:rPr>
            <w:color w:val="0000FF"/>
            <w:u w:val="single"/>
          </w:rPr>
          <w:t>4, March 2, 2005</w:t>
        </w:r>
      </w:hyperlink>
      <w:r>
        <w:rPr>
          <w:rStyle w:val="FootnoteReference"/>
          <w:color w:val="0000FF"/>
          <w:u w:val="single"/>
        </w:rPr>
        <w:footnoteReference w:id="3"/>
      </w:r>
      <w:r>
        <w:t>), and fishing under the CR Program started in the fall of 2005.</w:t>
      </w:r>
    </w:p>
    <w:p w:rsidR="005C6A8D" w14:paraId="00000014" w14:textId="77777777">
      <w:pPr>
        <w:pBdr>
          <w:top w:val="nil"/>
          <w:left w:val="nil"/>
          <w:bottom w:val="nil"/>
          <w:right w:val="nil"/>
          <w:between w:val="nil"/>
        </w:pBdr>
      </w:pPr>
    </w:p>
    <w:p w:rsidR="005C6A8D" w14:paraId="00000015" w14:textId="50869D9A">
      <w:pPr>
        <w:pBdr>
          <w:top w:val="nil"/>
          <w:left w:val="nil"/>
          <w:bottom w:val="nil"/>
          <w:right w:val="nil"/>
          <w:between w:val="nil"/>
        </w:pBdr>
      </w:pPr>
      <w:r>
        <w:t xml:space="preserve">The CR Program is a catch share program that allocates </w:t>
      </w:r>
      <w:r w:rsidR="00C539B3">
        <w:t>Bering Sea and Aleutian Islands (</w:t>
      </w:r>
      <w:r>
        <w:t>BSAI</w:t>
      </w:r>
      <w:r w:rsidR="00C539B3">
        <w:t>)</w:t>
      </w:r>
      <w:r>
        <w:t xml:space="preserve"> crab resources among harvesters, processors, and coastal communities. The CR Program components include quota share (QS), processor quota share (PQS), individual fishing quota (IFQ), individual processing quota (IPQ), quota transfers, use caps, crab harvesting cooperatives, protections for Gulf of Alaska groundfish fisheries, arbitration system, monitoring, economic data collection, and cost recovery collection. </w:t>
      </w:r>
      <w:r>
        <w:t>Additional information about the CR Program is available on the NMFS AKR website.</w:t>
      </w:r>
      <w:r>
        <w:rPr>
          <w:vertAlign w:val="superscript"/>
        </w:rPr>
        <w:footnoteReference w:id="4"/>
      </w:r>
    </w:p>
    <w:p w:rsidR="005C6A8D" w14:paraId="00000016" w14:textId="77777777">
      <w:pPr>
        <w:pBdr>
          <w:top w:val="nil"/>
          <w:left w:val="nil"/>
          <w:bottom w:val="nil"/>
          <w:right w:val="nil"/>
          <w:between w:val="nil"/>
        </w:pBdr>
        <w:rPr>
          <w:b/>
          <w:u w:val="single"/>
        </w:rPr>
      </w:pPr>
    </w:p>
    <w:p w:rsidR="005C6A8D" w14:paraId="00000017" w14:textId="77777777">
      <w:pPr>
        <w:widowControl/>
      </w:pPr>
      <w:r>
        <w:t>This information collection covers the economic data collection components of the CR Program, which are known as “Economic Data Reports” (EDRs). The Council recommended implementing economic data collection requirements and provided the following purpose and need for this information collection in its June 2002 motion:</w:t>
      </w:r>
    </w:p>
    <w:p w:rsidR="005C6A8D" w14:paraId="00000018" w14:textId="77777777">
      <w:pPr>
        <w:widowControl/>
      </w:pPr>
      <w:r>
        <w:t xml:space="preserve"> </w:t>
      </w:r>
    </w:p>
    <w:p w:rsidR="005C6A8D" w14:paraId="00000019" w14:textId="77777777">
      <w:pPr>
        <w:widowControl/>
        <w:pBdr>
          <w:top w:val="nil"/>
          <w:left w:val="nil"/>
          <w:bottom w:val="nil"/>
          <w:right w:val="nil"/>
          <w:between w:val="nil"/>
        </w:pBdr>
        <w:ind w:left="720" w:right="720"/>
        <w:rPr>
          <w:i/>
          <w:color w:val="000000"/>
        </w:rPr>
      </w:pPr>
      <w:r>
        <w:rPr>
          <w:i/>
          <w:color w:val="000000"/>
        </w:rPr>
        <w:t>A mandatory data collection program shall be developed and implemented as part of the crab rationalization program and continued through the life of the program. Cost, revenue, ownership and employment data will be collected on a periodic basis (based on scientific requirements) to provide the information necessary to study the impacts of the crab rationalization program as well as collecting data that could be used to analyze the economic and social impacts of future FMP amendments on industry, regions, an</w:t>
      </w:r>
      <w:r>
        <w:rPr>
          <w:i/>
          <w:color w:val="000000"/>
        </w:rPr>
        <w:t xml:space="preserve">d localities. This data collection effort is also required to fulfill the Council problem statement requiring a crab rationalization program that would achieve “equity between the harvesting and processing sectors” and to monitor the “...economic stability for harvesters, processors and coastal communities. Both statutory and regulatory language shall be developed to ensure the confidentiality of these data. </w:t>
      </w:r>
    </w:p>
    <w:p w:rsidR="005C6A8D" w14:paraId="0000001A" w14:textId="77777777">
      <w:pPr>
        <w:widowControl/>
        <w:pBdr>
          <w:top w:val="nil"/>
          <w:left w:val="nil"/>
          <w:bottom w:val="nil"/>
          <w:right w:val="nil"/>
          <w:between w:val="nil"/>
        </w:pBdr>
        <w:ind w:left="720" w:right="720"/>
        <w:rPr>
          <w:i/>
          <w:color w:val="000000"/>
        </w:rPr>
      </w:pPr>
    </w:p>
    <w:p w:rsidR="005C6A8D" w14:paraId="0000001B" w14:textId="77777777">
      <w:pPr>
        <w:widowControl/>
        <w:pBdr>
          <w:top w:val="nil"/>
          <w:left w:val="nil"/>
          <w:bottom w:val="nil"/>
          <w:right w:val="nil"/>
          <w:between w:val="nil"/>
        </w:pBdr>
        <w:ind w:left="720" w:right="720"/>
        <w:rPr>
          <w:i/>
          <w:color w:val="000000"/>
        </w:rPr>
      </w:pPr>
      <w:r>
        <w:rPr>
          <w:i/>
          <w:color w:val="000000"/>
        </w:rPr>
        <w:t>Any mandatory data collection program shall include:</w:t>
      </w:r>
    </w:p>
    <w:p w:rsidR="005C6A8D" w14:paraId="0000001C" w14:textId="77777777">
      <w:pPr>
        <w:widowControl/>
        <w:pBdr>
          <w:top w:val="nil"/>
          <w:left w:val="nil"/>
          <w:bottom w:val="nil"/>
          <w:right w:val="nil"/>
          <w:between w:val="nil"/>
        </w:pBdr>
        <w:ind w:left="720" w:right="720"/>
        <w:rPr>
          <w:i/>
          <w:color w:val="000000"/>
        </w:rPr>
      </w:pPr>
    </w:p>
    <w:p w:rsidR="005C6A8D" w14:paraId="0000001D" w14:textId="77777777">
      <w:pPr>
        <w:widowControl/>
        <w:pBdr>
          <w:top w:val="nil"/>
          <w:left w:val="nil"/>
          <w:bottom w:val="nil"/>
          <w:right w:val="nil"/>
          <w:between w:val="nil"/>
        </w:pBdr>
        <w:ind w:left="720" w:right="720"/>
        <w:rPr>
          <w:i/>
          <w:color w:val="000000"/>
        </w:rPr>
      </w:pPr>
      <w:r>
        <w:rPr>
          <w:i/>
          <w:color w:val="000000"/>
        </w:rPr>
        <w:t xml:space="preserve">A comprehensive discussion of the </w:t>
      </w:r>
      <w:r>
        <w:rPr>
          <w:i/>
          <w:color w:val="000000"/>
        </w:rPr>
        <w:t>enforcement of such a program, including enforcement actions that would be taken if inaccuracies in the data are found. The intent of this action would be to ensure that accurate data are collected without being overly burdensome on industry for unintended errors.”</w:t>
      </w:r>
    </w:p>
    <w:p w:rsidR="005C6A8D" w14:paraId="0000001E" w14:textId="77777777">
      <w:pPr>
        <w:widowControl/>
      </w:pPr>
    </w:p>
    <w:p w:rsidR="005C6A8D" w14:paraId="0000001F" w14:textId="372E1B30">
      <w:pPr>
        <w:widowControl/>
      </w:pPr>
      <w:r>
        <w:t xml:space="preserve">The requirements for the crab EDRs are contained in Chapter 11, Section 14 of the Crab FMP and regulations at </w:t>
      </w:r>
      <w:hyperlink r:id="rId9">
        <w:r>
          <w:rPr>
            <w:color w:val="0000FF"/>
            <w:u w:val="single"/>
          </w:rPr>
          <w:t>50 CFR 680.6</w:t>
        </w:r>
      </w:hyperlink>
      <w:r>
        <w:rPr>
          <w:rStyle w:val="FootnoteReference"/>
          <w:color w:val="0000FF"/>
          <w:u w:val="single"/>
        </w:rPr>
        <w:footnoteReference w:id="5"/>
      </w:r>
      <w:r>
        <w:t xml:space="preserve">. </w:t>
      </w:r>
    </w:p>
    <w:p w:rsidR="005C6A8D" w14:paraId="00000020" w14:textId="77777777">
      <w:pPr>
        <w:pBdr>
          <w:top w:val="nil"/>
          <w:left w:val="nil"/>
          <w:bottom w:val="nil"/>
          <w:right w:val="nil"/>
          <w:between w:val="nil"/>
        </w:pBdr>
        <w:rPr>
          <w:b/>
          <w:u w:val="single"/>
        </w:rPr>
      </w:pPr>
    </w:p>
    <w:p w:rsidR="005C6A8D" w14:paraId="00000021" w14:textId="77777777">
      <w:pPr>
        <w:pBdr>
          <w:top w:val="nil"/>
          <w:left w:val="nil"/>
          <w:bottom w:val="nil"/>
          <w:right w:val="nil"/>
          <w:between w:val="nil"/>
        </w:pBdr>
        <w:rPr>
          <w:b/>
        </w:rPr>
      </w:pPr>
    </w:p>
    <w:p w:rsidR="005C6A8D" w14:paraId="00000022" w14:textId="77777777">
      <w:pPr>
        <w:pStyle w:val="Heading1"/>
        <w:numPr>
          <w:ilvl w:val="0"/>
          <w:numId w:val="2"/>
        </w:numPr>
        <w:tabs>
          <w:tab w:val="left" w:pos="360"/>
        </w:tabs>
        <w:spacing w:before="0"/>
        <w:ind w:left="0" w:firstLine="0"/>
      </w:pPr>
      <w:r>
        <w:t>Indicate how, by whom, and for what purpose the information is to be used. Except for a new collection, indicate the actual use the agency has made of the information received from the current collection.</w:t>
      </w:r>
    </w:p>
    <w:p w:rsidR="005C6A8D" w14:paraId="00000023" w14:textId="77777777">
      <w:pPr>
        <w:widowControl/>
      </w:pPr>
    </w:p>
    <w:p w:rsidR="005C6A8D" w14:paraId="00000024" w14:textId="77777777">
      <w:pPr>
        <w:widowControl/>
      </w:pPr>
      <w:r>
        <w:t xml:space="preserve">This information collection contains three forms: </w:t>
      </w:r>
    </w:p>
    <w:p w:rsidR="005C6A8D" w14:paraId="00000025" w14:textId="77777777">
      <w:pPr>
        <w:widowControl/>
      </w:pPr>
    </w:p>
    <w:p w:rsidR="005C6A8D" w14:paraId="00000026" w14:textId="77777777">
      <w:pPr>
        <w:widowControl/>
      </w:pPr>
      <w:r>
        <w:t xml:space="preserve">1. Annual Catcher Vessel Crab Economic Data Report </w:t>
      </w:r>
    </w:p>
    <w:p w:rsidR="005C6A8D" w14:paraId="00000027" w14:textId="77777777">
      <w:pPr>
        <w:widowControl/>
      </w:pPr>
      <w:r>
        <w:t>2. Annual Catcher/Processor Crab Economic Data Report</w:t>
      </w:r>
    </w:p>
    <w:p w:rsidR="005C6A8D" w14:paraId="00000028" w14:textId="77777777">
      <w:pPr>
        <w:widowControl/>
      </w:pPr>
      <w:r>
        <w:t>3. Annual Processor Crab Economic Data Report</w:t>
      </w:r>
    </w:p>
    <w:p w:rsidR="005C6A8D" w14:paraId="0000002A" w14:textId="77777777">
      <w:pPr>
        <w:widowControl/>
      </w:pPr>
    </w:p>
    <w:p w:rsidR="005C6A8D" w14:paraId="0000002B" w14:textId="77777777">
      <w:pPr>
        <w:keepNext/>
        <w:keepLines/>
        <w:widowControl/>
        <w:spacing w:after="60"/>
        <w:rPr>
          <w:rFonts w:ascii="Calibri" w:eastAsia="Calibri" w:hAnsi="Calibri" w:cs="Calibri"/>
          <w:b/>
          <w:sz w:val="22"/>
          <w:szCs w:val="22"/>
        </w:rPr>
      </w:pPr>
      <w:r>
        <w:rPr>
          <w:rFonts w:ascii="Calibri" w:eastAsia="Calibri" w:hAnsi="Calibri" w:cs="Calibri"/>
          <w:sz w:val="22"/>
          <w:szCs w:val="22"/>
        </w:rPr>
        <w:t>Information Requirements and Needs and Uses of Information Collected</w:t>
      </w:r>
    </w:p>
    <w:tbl>
      <w:tblPr>
        <w:tblStyle w:val="a6"/>
        <w:tblpPr w:leftFromText="180" w:rightFromText="180" w:vertAnchor="text" w:tblpXSpec="center" w:tblpY="9"/>
        <w:tblW w:w="94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27"/>
        <w:gridCol w:w="1219"/>
        <w:gridCol w:w="1219"/>
        <w:gridCol w:w="1625"/>
        <w:gridCol w:w="3351"/>
      </w:tblGrid>
      <w:tr w14:paraId="485C1CFE" w14:textId="77777777" w:rsidTr="00851469">
        <w:tblPrEx>
          <w:tblW w:w="94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715"/>
          <w:jc w:val="center"/>
        </w:trPr>
        <w:tc>
          <w:tcPr>
            <w:tcW w:w="202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5C6A8D" w14:paraId="0000002C" w14:textId="77777777">
            <w:pPr>
              <w:keepNext/>
              <w:keepLines/>
              <w:widowControl/>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2F5496"/>
                <w:sz w:val="20"/>
                <w:szCs w:val="20"/>
              </w:rPr>
              <w:t>Requirement</w:t>
            </w:r>
          </w:p>
        </w:tc>
        <w:tc>
          <w:tcPr>
            <w:tcW w:w="1219"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5C6A8D" w14:paraId="0000002D" w14:textId="77777777">
            <w:pPr>
              <w:keepNext/>
              <w:keepLines/>
              <w:widowControl/>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2F5496"/>
                <w:sz w:val="20"/>
                <w:szCs w:val="20"/>
              </w:rPr>
              <w:t>Statute</w:t>
            </w:r>
          </w:p>
        </w:tc>
        <w:tc>
          <w:tcPr>
            <w:tcW w:w="1219"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5C6A8D" w14:paraId="0000002E" w14:textId="77777777">
            <w:pPr>
              <w:keepNext/>
              <w:keepLines/>
              <w:widowControl/>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2F5496"/>
                <w:sz w:val="20"/>
                <w:szCs w:val="20"/>
              </w:rPr>
              <w:t>Regulation</w:t>
            </w:r>
          </w:p>
        </w:tc>
        <w:tc>
          <w:tcPr>
            <w:tcW w:w="1625"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5C6A8D" w14:paraId="0000002F" w14:textId="77777777">
            <w:pPr>
              <w:keepNext/>
              <w:keepLines/>
              <w:widowControl/>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2F5496"/>
                <w:sz w:val="20"/>
                <w:szCs w:val="20"/>
              </w:rPr>
              <w:t>Submission Method</w:t>
            </w:r>
          </w:p>
        </w:tc>
        <w:tc>
          <w:tcPr>
            <w:tcW w:w="335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5C6A8D" w14:paraId="00000030" w14:textId="77777777">
            <w:pPr>
              <w:keepNext/>
              <w:keepLines/>
              <w:widowControl/>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2F5496"/>
                <w:sz w:val="20"/>
                <w:szCs w:val="20"/>
              </w:rPr>
              <w:t>Needs and Uses</w:t>
            </w:r>
          </w:p>
        </w:tc>
      </w:tr>
      <w:tr w14:paraId="10D1155E" w14:textId="77777777" w:rsidTr="00851469">
        <w:tblPrEx>
          <w:tblW w:w="9441" w:type="dxa"/>
          <w:jc w:val="center"/>
          <w:tblLayout w:type="fixed"/>
          <w:tblLook w:val="0000"/>
        </w:tblPrEx>
        <w:trPr>
          <w:trHeight w:val="712"/>
          <w:jc w:val="center"/>
        </w:trPr>
        <w:tc>
          <w:tcPr>
            <w:tcW w:w="2027" w:type="dxa"/>
            <w:vAlign w:val="center"/>
          </w:tcPr>
          <w:p w:rsidR="005C6A8D" w14:paraId="00000031" w14:textId="77777777">
            <w:pPr>
              <w:keepNext/>
              <w:keepLines/>
              <w:widowControl/>
              <w:pBdr>
                <w:top w:val="nil"/>
                <w:left w:val="nil"/>
                <w:bottom w:val="nil"/>
                <w:right w:val="nil"/>
                <w:between w:val="nil"/>
              </w:pBd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Annual Catcher Vessel Crab Economic Data Report</w:t>
            </w:r>
          </w:p>
        </w:tc>
        <w:tc>
          <w:tcPr>
            <w:tcW w:w="1219" w:type="dxa"/>
            <w:vMerge w:val="restart"/>
            <w:vAlign w:val="center"/>
          </w:tcPr>
          <w:p w:rsidR="005C6A8D" w14:paraId="00000032" w14:textId="77777777">
            <w:pPr>
              <w:keepNext/>
              <w:keepLines/>
              <w:widowControl/>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 xml:space="preserve">16 U.S.C. 1801 </w:t>
            </w:r>
            <w:r>
              <w:rPr>
                <w:rFonts w:ascii="Calibri" w:eastAsia="Calibri" w:hAnsi="Calibri" w:cs="Calibri"/>
                <w:i/>
                <w:sz w:val="20"/>
                <w:szCs w:val="20"/>
              </w:rPr>
              <w:t>et seq.</w:t>
            </w:r>
          </w:p>
          <w:p w:rsidR="005C6A8D" w14:paraId="00000033" w14:textId="77777777">
            <w:pPr>
              <w:keepNext/>
              <w:keepLines/>
              <w:widowControl/>
              <w:pBdr>
                <w:top w:val="nil"/>
                <w:left w:val="nil"/>
                <w:bottom w:val="nil"/>
                <w:right w:val="nil"/>
                <w:between w:val="nil"/>
              </w:pBdr>
              <w:jc w:val="center"/>
              <w:rPr>
                <w:rFonts w:ascii="Calibri" w:eastAsia="Calibri" w:hAnsi="Calibri" w:cs="Calibri"/>
                <w:color w:val="000000"/>
                <w:sz w:val="20"/>
                <w:szCs w:val="20"/>
              </w:rPr>
            </w:pPr>
          </w:p>
        </w:tc>
        <w:tc>
          <w:tcPr>
            <w:tcW w:w="1219" w:type="dxa"/>
            <w:vAlign w:val="center"/>
          </w:tcPr>
          <w:p w:rsidR="005C6A8D" w14:paraId="00000034" w14:textId="77777777">
            <w:pPr>
              <w:keepNext/>
              <w:keepLines/>
              <w:widowControl/>
              <w:pBdr>
                <w:top w:val="nil"/>
                <w:left w:val="nil"/>
                <w:bottom w:val="nil"/>
                <w:right w:val="nil"/>
                <w:between w:val="nil"/>
              </w:pBdr>
              <w:jc w:val="center"/>
              <w:rPr>
                <w:rFonts w:ascii="Calibri" w:eastAsia="Calibri" w:hAnsi="Calibri" w:cs="Calibri"/>
                <w:color w:val="000000"/>
                <w:sz w:val="20"/>
                <w:szCs w:val="20"/>
              </w:rPr>
            </w:pPr>
            <w:hyperlink r:id="rId10" w:anchor="p-680.6(c)">
              <w:r w:rsidR="005472AD">
                <w:rPr>
                  <w:rFonts w:ascii="Calibri" w:eastAsia="Calibri" w:hAnsi="Calibri" w:cs="Calibri"/>
                  <w:color w:val="0000FF"/>
                  <w:sz w:val="20"/>
                  <w:szCs w:val="20"/>
                  <w:u w:val="single"/>
                </w:rPr>
                <w:t>50 CFR 680.6(c)</w:t>
              </w:r>
            </w:hyperlink>
          </w:p>
        </w:tc>
        <w:tc>
          <w:tcPr>
            <w:tcW w:w="1625" w:type="dxa"/>
            <w:vMerge w:val="restart"/>
            <w:vAlign w:val="center"/>
          </w:tcPr>
          <w:p w:rsidR="005C6A8D" w14:paraId="00000035" w14:textId="77777777">
            <w:pPr>
              <w:keepNext/>
              <w:keepLines/>
              <w:widowControl/>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sz w:val="20"/>
                <w:szCs w:val="20"/>
              </w:rPr>
              <w:t>Online, mail, email, or fax</w:t>
            </w:r>
          </w:p>
          <w:p w:rsidR="005C6A8D" w14:paraId="00000036" w14:textId="77777777">
            <w:pPr>
              <w:keepNext/>
              <w:keepLines/>
              <w:widowControl/>
              <w:pBdr>
                <w:top w:val="nil"/>
                <w:left w:val="nil"/>
                <w:bottom w:val="nil"/>
                <w:right w:val="nil"/>
                <w:between w:val="nil"/>
              </w:pBdr>
              <w:jc w:val="center"/>
              <w:rPr>
                <w:rFonts w:ascii="Calibri" w:eastAsia="Calibri" w:hAnsi="Calibri" w:cs="Calibri"/>
                <w:color w:val="000000"/>
                <w:sz w:val="20"/>
                <w:szCs w:val="20"/>
              </w:rPr>
            </w:pPr>
          </w:p>
        </w:tc>
        <w:tc>
          <w:tcPr>
            <w:tcW w:w="3351" w:type="dxa"/>
            <w:vMerge w:val="restart"/>
            <w:vAlign w:val="center"/>
          </w:tcPr>
          <w:p w:rsidR="005C6A8D" w14:paraId="00000037" w14:textId="77777777">
            <w:pPr>
              <w:numPr>
                <w:ilvl w:val="0"/>
                <w:numId w:val="1"/>
              </w:numPr>
              <w:pBdr>
                <w:top w:val="nil"/>
                <w:left w:val="nil"/>
                <w:bottom w:val="nil"/>
                <w:right w:val="nil"/>
                <w:between w:val="nil"/>
              </w:pBdr>
              <w:tabs>
                <w:tab w:val="left" w:pos="469"/>
                <w:tab w:val="left" w:pos="470"/>
              </w:tabs>
              <w:spacing w:before="120" w:after="120"/>
              <w:ind w:left="144" w:hanging="144"/>
              <w:rPr>
                <w:rFonts w:ascii="Calibri" w:eastAsia="Calibri" w:hAnsi="Calibri" w:cs="Calibri"/>
                <w:color w:val="000000"/>
                <w:sz w:val="20"/>
                <w:szCs w:val="20"/>
              </w:rPr>
            </w:pPr>
            <w:sdt>
              <w:sdtPr>
                <w:tag w:val="goog_rdk_3"/>
                <w:id w:val="892812604"/>
                <w:richText/>
              </w:sdtPr>
              <w:sdtContent/>
            </w:sdt>
            <w:r w:rsidR="005472AD">
              <w:rPr>
                <w:rFonts w:ascii="Calibri" w:eastAsia="Calibri" w:hAnsi="Calibri" w:cs="Calibri"/>
                <w:color w:val="000000"/>
                <w:sz w:val="20"/>
                <w:szCs w:val="20"/>
              </w:rPr>
              <w:t>Used by NM</w:t>
            </w:r>
            <w:sdt>
              <w:sdtPr>
                <w:tag w:val="goog_rdk_4"/>
                <w:id w:val="-1568487893"/>
                <w:richText/>
              </w:sdtPr>
              <w:sdtContent>
                <w:r w:rsidR="005472AD">
                  <w:rPr>
                    <w:rFonts w:ascii="Calibri" w:eastAsia="Calibri" w:hAnsi="Calibri" w:cs="Calibri"/>
                    <w:color w:val="000000"/>
                    <w:sz w:val="20"/>
                    <w:szCs w:val="20"/>
                  </w:rPr>
                  <w:t>F</w:t>
                </w:r>
              </w:sdtContent>
            </w:sdt>
            <w:r w:rsidR="005472AD">
              <w:rPr>
                <w:rFonts w:ascii="Calibri" w:eastAsia="Calibri" w:hAnsi="Calibri" w:cs="Calibri"/>
                <w:color w:val="000000"/>
                <w:sz w:val="20"/>
                <w:szCs w:val="20"/>
              </w:rPr>
              <w:t xml:space="preserve">S in annual </w:t>
            </w:r>
            <w:r w:rsidR="005472AD">
              <w:rPr>
                <w:rFonts w:ascii="Calibri" w:eastAsia="Calibri" w:hAnsi="Calibri" w:cs="Calibri"/>
                <w:sz w:val="20"/>
                <w:szCs w:val="20"/>
              </w:rPr>
              <w:t>reports</w:t>
            </w:r>
            <w:r w:rsidR="005472AD">
              <w:rPr>
                <w:rFonts w:ascii="Calibri" w:eastAsia="Calibri" w:hAnsi="Calibri" w:cs="Calibri"/>
                <w:color w:val="000000"/>
                <w:sz w:val="20"/>
                <w:szCs w:val="20"/>
              </w:rPr>
              <w:t xml:space="preserve"> and regulatory analysis.</w:t>
            </w:r>
          </w:p>
          <w:p w:rsidR="005C6A8D" w14:paraId="00000038" w14:textId="27C9D0E6">
            <w:pPr>
              <w:numPr>
                <w:ilvl w:val="0"/>
                <w:numId w:val="1"/>
              </w:numPr>
              <w:pBdr>
                <w:top w:val="nil"/>
                <w:left w:val="nil"/>
                <w:bottom w:val="nil"/>
                <w:right w:val="nil"/>
                <w:between w:val="nil"/>
              </w:pBdr>
              <w:tabs>
                <w:tab w:val="left" w:pos="469"/>
                <w:tab w:val="left" w:pos="470"/>
              </w:tabs>
              <w:spacing w:before="120" w:after="120"/>
              <w:ind w:left="144" w:hanging="144"/>
              <w:rPr>
                <w:rFonts w:ascii="Calibri" w:eastAsia="Calibri" w:hAnsi="Calibri" w:cs="Calibri"/>
                <w:color w:val="000000"/>
                <w:sz w:val="20"/>
                <w:szCs w:val="20"/>
              </w:rPr>
            </w:pPr>
            <w:r>
              <w:rPr>
                <w:rFonts w:ascii="Calibri" w:eastAsia="Calibri" w:hAnsi="Calibri" w:cs="Calibri"/>
                <w:color w:val="000000"/>
                <w:sz w:val="20"/>
                <w:szCs w:val="20"/>
              </w:rPr>
              <w:t xml:space="preserve">Used by Council staff and contractors </w:t>
            </w:r>
            <w:r w:rsidR="00BD7996">
              <w:rPr>
                <w:rFonts w:ascii="Calibri" w:eastAsia="Calibri" w:hAnsi="Calibri" w:cs="Calibri"/>
                <w:color w:val="000000"/>
                <w:sz w:val="20"/>
                <w:szCs w:val="20"/>
              </w:rPr>
              <w:t>for limited</w:t>
            </w:r>
            <w:r>
              <w:rPr>
                <w:rFonts w:ascii="Calibri" w:eastAsia="Calibri" w:hAnsi="Calibri" w:cs="Calibri"/>
                <w:color w:val="000000"/>
                <w:sz w:val="20"/>
                <w:szCs w:val="20"/>
              </w:rPr>
              <w:t xml:space="preserve"> access privilege program evaluation and in regulatory analysis.</w:t>
            </w:r>
          </w:p>
          <w:p w:rsidR="005C6A8D" w14:paraId="00000039" w14:textId="77777777">
            <w:pPr>
              <w:numPr>
                <w:ilvl w:val="0"/>
                <w:numId w:val="1"/>
              </w:numPr>
              <w:pBdr>
                <w:top w:val="nil"/>
                <w:left w:val="nil"/>
                <w:bottom w:val="nil"/>
                <w:right w:val="nil"/>
                <w:between w:val="nil"/>
              </w:pBdr>
              <w:tabs>
                <w:tab w:val="left" w:pos="469"/>
                <w:tab w:val="left" w:pos="470"/>
              </w:tabs>
              <w:spacing w:before="120" w:after="120"/>
              <w:ind w:left="144" w:hanging="144"/>
              <w:rPr>
                <w:rFonts w:ascii="Arial" w:eastAsia="Arial" w:hAnsi="Arial" w:cs="Arial"/>
                <w:color w:val="000000"/>
                <w:sz w:val="18"/>
                <w:szCs w:val="18"/>
              </w:rPr>
            </w:pPr>
            <w:r>
              <w:rPr>
                <w:rFonts w:ascii="Calibri" w:eastAsia="Calibri" w:hAnsi="Calibri" w:cs="Calibri"/>
                <w:color w:val="000000"/>
                <w:sz w:val="20"/>
                <w:szCs w:val="20"/>
              </w:rPr>
              <w:t>Used by partnered researchers to conduct fishery economic research.</w:t>
            </w:r>
          </w:p>
        </w:tc>
      </w:tr>
      <w:tr w14:paraId="29352FBD" w14:textId="77777777" w:rsidTr="00851469">
        <w:tblPrEx>
          <w:tblW w:w="9441" w:type="dxa"/>
          <w:jc w:val="center"/>
          <w:tblLayout w:type="fixed"/>
          <w:tblLook w:val="0000"/>
        </w:tblPrEx>
        <w:trPr>
          <w:trHeight w:val="712"/>
          <w:jc w:val="center"/>
        </w:trPr>
        <w:tc>
          <w:tcPr>
            <w:tcW w:w="2027" w:type="dxa"/>
            <w:vAlign w:val="center"/>
          </w:tcPr>
          <w:p w:rsidR="005C6A8D" w14:paraId="0000003A" w14:textId="77777777">
            <w:pPr>
              <w:keepNext/>
              <w:keepLines/>
              <w:widowControl/>
              <w:pBdr>
                <w:top w:val="nil"/>
                <w:left w:val="nil"/>
                <w:bottom w:val="nil"/>
                <w:right w:val="nil"/>
                <w:between w:val="nil"/>
              </w:pBd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Annual Catcher/Processor Crab Economic Data Report</w:t>
            </w:r>
          </w:p>
        </w:tc>
        <w:tc>
          <w:tcPr>
            <w:tcW w:w="1219" w:type="dxa"/>
            <w:vMerge/>
            <w:vAlign w:val="center"/>
          </w:tcPr>
          <w:p w:rsidR="005C6A8D" w14:paraId="0000003B" w14:textId="77777777">
            <w:pPr>
              <w:pBdr>
                <w:top w:val="nil"/>
                <w:left w:val="nil"/>
                <w:bottom w:val="nil"/>
                <w:right w:val="nil"/>
                <w:between w:val="nil"/>
              </w:pBdr>
              <w:spacing w:line="276" w:lineRule="auto"/>
              <w:rPr>
                <w:rFonts w:ascii="Calibri" w:eastAsia="Calibri" w:hAnsi="Calibri" w:cs="Calibri"/>
                <w:color w:val="000000"/>
                <w:sz w:val="20"/>
                <w:szCs w:val="20"/>
              </w:rPr>
            </w:pPr>
          </w:p>
        </w:tc>
        <w:tc>
          <w:tcPr>
            <w:tcW w:w="1219" w:type="dxa"/>
            <w:vAlign w:val="center"/>
          </w:tcPr>
          <w:p w:rsidR="005C6A8D" w14:paraId="0000003C" w14:textId="77777777">
            <w:pPr>
              <w:keepNext/>
              <w:keepLines/>
              <w:widowControl/>
              <w:pBdr>
                <w:top w:val="nil"/>
                <w:left w:val="nil"/>
                <w:bottom w:val="nil"/>
                <w:right w:val="nil"/>
                <w:between w:val="nil"/>
              </w:pBdr>
              <w:jc w:val="center"/>
              <w:rPr>
                <w:rFonts w:ascii="Calibri" w:eastAsia="Calibri" w:hAnsi="Calibri" w:cs="Calibri"/>
                <w:color w:val="000000"/>
                <w:sz w:val="20"/>
                <w:szCs w:val="20"/>
              </w:rPr>
            </w:pPr>
            <w:hyperlink r:id="rId10" w:anchor="p-680.6(d)">
              <w:r w:rsidR="005472AD">
                <w:rPr>
                  <w:rFonts w:ascii="Calibri" w:eastAsia="Calibri" w:hAnsi="Calibri" w:cs="Calibri"/>
                  <w:color w:val="0000FF"/>
                  <w:sz w:val="20"/>
                  <w:szCs w:val="20"/>
                  <w:u w:val="single"/>
                </w:rPr>
                <w:t>50 CFR 680.6(d)</w:t>
              </w:r>
            </w:hyperlink>
          </w:p>
        </w:tc>
        <w:tc>
          <w:tcPr>
            <w:tcW w:w="1625" w:type="dxa"/>
            <w:vMerge/>
            <w:vAlign w:val="center"/>
          </w:tcPr>
          <w:p w:rsidR="005C6A8D" w14:paraId="0000003D" w14:textId="77777777">
            <w:pPr>
              <w:pBdr>
                <w:top w:val="nil"/>
                <w:left w:val="nil"/>
                <w:bottom w:val="nil"/>
                <w:right w:val="nil"/>
                <w:between w:val="nil"/>
              </w:pBdr>
              <w:spacing w:line="276" w:lineRule="auto"/>
              <w:rPr>
                <w:rFonts w:ascii="Calibri" w:eastAsia="Calibri" w:hAnsi="Calibri" w:cs="Calibri"/>
                <w:color w:val="000000"/>
                <w:sz w:val="20"/>
                <w:szCs w:val="20"/>
              </w:rPr>
            </w:pPr>
          </w:p>
        </w:tc>
        <w:tc>
          <w:tcPr>
            <w:tcW w:w="3351" w:type="dxa"/>
            <w:vMerge/>
            <w:vAlign w:val="center"/>
          </w:tcPr>
          <w:p w:rsidR="005C6A8D" w14:paraId="0000003E" w14:textId="77777777">
            <w:pPr>
              <w:pBdr>
                <w:top w:val="nil"/>
                <w:left w:val="nil"/>
                <w:bottom w:val="nil"/>
                <w:right w:val="nil"/>
                <w:between w:val="nil"/>
              </w:pBdr>
              <w:spacing w:line="276" w:lineRule="auto"/>
              <w:rPr>
                <w:rFonts w:ascii="Calibri" w:eastAsia="Calibri" w:hAnsi="Calibri" w:cs="Calibri"/>
                <w:color w:val="000000"/>
                <w:sz w:val="20"/>
                <w:szCs w:val="20"/>
              </w:rPr>
            </w:pPr>
          </w:p>
        </w:tc>
      </w:tr>
      <w:tr w14:paraId="78753023" w14:textId="77777777" w:rsidTr="00851469">
        <w:tblPrEx>
          <w:tblW w:w="9441" w:type="dxa"/>
          <w:jc w:val="center"/>
          <w:tblLayout w:type="fixed"/>
          <w:tblLook w:val="0000"/>
        </w:tblPrEx>
        <w:trPr>
          <w:trHeight w:val="269"/>
          <w:jc w:val="center"/>
        </w:trPr>
        <w:tc>
          <w:tcPr>
            <w:tcW w:w="2027" w:type="dxa"/>
            <w:vAlign w:val="center"/>
          </w:tcPr>
          <w:p w:rsidR="005C6A8D" w14:paraId="0000003F" w14:textId="77777777">
            <w:pPr>
              <w:keepNext/>
              <w:keepLines/>
              <w:widowControl/>
              <w:pBdr>
                <w:top w:val="nil"/>
                <w:left w:val="nil"/>
                <w:bottom w:val="nil"/>
                <w:right w:val="nil"/>
                <w:between w:val="nil"/>
              </w:pBd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Annual Processor Crab Economic Data Report</w:t>
            </w:r>
          </w:p>
        </w:tc>
        <w:tc>
          <w:tcPr>
            <w:tcW w:w="1219" w:type="dxa"/>
            <w:vMerge/>
            <w:vAlign w:val="center"/>
          </w:tcPr>
          <w:p w:rsidR="005C6A8D" w14:paraId="00000040" w14:textId="77777777">
            <w:pPr>
              <w:pBdr>
                <w:top w:val="nil"/>
                <w:left w:val="nil"/>
                <w:bottom w:val="nil"/>
                <w:right w:val="nil"/>
                <w:between w:val="nil"/>
              </w:pBdr>
              <w:spacing w:line="276" w:lineRule="auto"/>
              <w:rPr>
                <w:rFonts w:ascii="Calibri" w:eastAsia="Calibri" w:hAnsi="Calibri" w:cs="Calibri"/>
                <w:color w:val="000000"/>
                <w:sz w:val="20"/>
                <w:szCs w:val="20"/>
              </w:rPr>
            </w:pPr>
          </w:p>
        </w:tc>
        <w:tc>
          <w:tcPr>
            <w:tcW w:w="1219" w:type="dxa"/>
            <w:vAlign w:val="center"/>
          </w:tcPr>
          <w:p w:rsidR="005C6A8D" w14:paraId="00000041" w14:textId="77777777">
            <w:pPr>
              <w:keepNext/>
              <w:keepLines/>
              <w:widowControl/>
              <w:pBdr>
                <w:top w:val="nil"/>
                <w:left w:val="nil"/>
                <w:bottom w:val="nil"/>
                <w:right w:val="nil"/>
                <w:between w:val="nil"/>
              </w:pBdr>
              <w:jc w:val="center"/>
              <w:rPr>
                <w:rFonts w:ascii="Calibri" w:eastAsia="Calibri" w:hAnsi="Calibri" w:cs="Calibri"/>
                <w:color w:val="000000"/>
                <w:sz w:val="20"/>
                <w:szCs w:val="20"/>
              </w:rPr>
            </w:pPr>
            <w:hyperlink r:id="rId10" w:anchor="p-680.6(e)">
              <w:r w:rsidR="005472AD">
                <w:rPr>
                  <w:rFonts w:ascii="Calibri" w:eastAsia="Calibri" w:hAnsi="Calibri" w:cs="Calibri"/>
                  <w:color w:val="0000FF"/>
                  <w:sz w:val="20"/>
                  <w:szCs w:val="20"/>
                  <w:u w:val="single"/>
                </w:rPr>
                <w:t>50 CFR 680.6(e)</w:t>
              </w:r>
            </w:hyperlink>
          </w:p>
        </w:tc>
        <w:tc>
          <w:tcPr>
            <w:tcW w:w="1625" w:type="dxa"/>
            <w:vMerge/>
            <w:vAlign w:val="center"/>
          </w:tcPr>
          <w:p w:rsidR="005C6A8D" w14:paraId="00000042" w14:textId="77777777">
            <w:pPr>
              <w:pBdr>
                <w:top w:val="nil"/>
                <w:left w:val="nil"/>
                <w:bottom w:val="nil"/>
                <w:right w:val="nil"/>
                <w:between w:val="nil"/>
              </w:pBdr>
              <w:spacing w:line="276" w:lineRule="auto"/>
              <w:rPr>
                <w:rFonts w:ascii="Calibri" w:eastAsia="Calibri" w:hAnsi="Calibri" w:cs="Calibri"/>
                <w:color w:val="000000"/>
                <w:sz w:val="20"/>
                <w:szCs w:val="20"/>
              </w:rPr>
            </w:pPr>
          </w:p>
        </w:tc>
        <w:tc>
          <w:tcPr>
            <w:tcW w:w="3351" w:type="dxa"/>
            <w:vMerge/>
            <w:vAlign w:val="center"/>
          </w:tcPr>
          <w:p w:rsidR="005C6A8D" w14:paraId="00000043" w14:textId="77777777">
            <w:pPr>
              <w:pBdr>
                <w:top w:val="nil"/>
                <w:left w:val="nil"/>
                <w:bottom w:val="nil"/>
                <w:right w:val="nil"/>
                <w:between w:val="nil"/>
              </w:pBdr>
              <w:spacing w:line="276" w:lineRule="auto"/>
              <w:rPr>
                <w:rFonts w:ascii="Calibri" w:eastAsia="Calibri" w:hAnsi="Calibri" w:cs="Calibri"/>
                <w:color w:val="000000"/>
                <w:sz w:val="20"/>
                <w:szCs w:val="20"/>
              </w:rPr>
            </w:pPr>
          </w:p>
        </w:tc>
      </w:tr>
    </w:tbl>
    <w:p w:rsidR="005C6A8D" w14:paraId="00000044" w14:textId="77777777">
      <w:pPr>
        <w:pStyle w:val="Heading1"/>
        <w:spacing w:before="0"/>
        <w:ind w:left="0"/>
        <w:rPr>
          <w:b w:val="0"/>
        </w:rPr>
      </w:pPr>
    </w:p>
    <w:p w:rsidR="005C6A8D" w14:paraId="00000046" w14:textId="25BB59DD">
      <w:pPr>
        <w:widowControl/>
      </w:pPr>
      <w:r>
        <w:t xml:space="preserve">Pacific States Marine Fisheries Commission (Pacific States) has been designated as the </w:t>
      </w:r>
      <w:r w:rsidR="00C539B3">
        <w:t>data collection agent (</w:t>
      </w:r>
      <w:r>
        <w:t>DCA</w:t>
      </w:r>
      <w:r w:rsidR="00C539B3">
        <w:t>)</w:t>
      </w:r>
      <w:r>
        <w:t xml:space="preserve"> for the crab EDR </w:t>
      </w:r>
      <w:r>
        <w:t>program. NMFS provides funding to Pacific States through a grant. Pacific States provides primary administrative support for collection and database management for the crab EDR. NMFS and Pacific States collaborate on development and maintenance of work plans for implementation of the EDRs, including development procedures and requirements for soliciting and selecting bids for required IT application development. NMFS monitors implementation and oversees quality control of Pacific States’ administrative proc</w:t>
      </w:r>
      <w:r>
        <w:t>ess and communication with respondents.</w:t>
      </w:r>
    </w:p>
    <w:p w:rsidR="005C6A8D" w14:paraId="00000047" w14:textId="77777777">
      <w:pPr>
        <w:widowControl/>
      </w:pPr>
    </w:p>
    <w:p w:rsidR="005C6A8D" w14:paraId="00000048" w14:textId="21354669">
      <w:pPr>
        <w:widowControl/>
      </w:pPr>
      <w:r>
        <w:t>Any owner or leaseholder of a vessel or processing plant, or a holder of a Registered Crab Receiver permit who harvested, processed, custom processed, or obtained custom processing for CR Program crab, during a calendar year, must submit a complete EDR by following the instructions on the applicable EDR. A completed EDR or the EDR certification pages must be submitted to Pacific States for each calendar year on or before 1700 hours, A.</w:t>
      </w:r>
      <w:r w:rsidR="00C539B3">
        <w:t>l</w:t>
      </w:r>
      <w:r>
        <w:t xml:space="preserve">.t., July 31 of the following year. </w:t>
      </w:r>
    </w:p>
    <w:p w:rsidR="005C6A8D" w14:paraId="00000049" w14:textId="77777777">
      <w:pPr>
        <w:widowControl/>
      </w:pPr>
    </w:p>
    <w:p w:rsidR="005C6A8D" w14:paraId="0000004A" w14:textId="77777777">
      <w:r>
        <w:t xml:space="preserve">To receive an EDR by mail, respondents may call 1-877-741-8913, or email their request to </w:t>
      </w:r>
      <w:hyperlink r:id="rId11">
        <w:r>
          <w:rPr>
            <w:color w:val="0000FF"/>
            <w:u w:val="single"/>
          </w:rPr>
          <w:t>edr@psmfc.org</w:t>
        </w:r>
      </w:hyperlink>
      <w:hyperlink r:id="rId11">
        <w:r>
          <w:t>.</w:t>
        </w:r>
      </w:hyperlink>
    </w:p>
    <w:p w:rsidR="005C6A8D" w14:paraId="0000004B" w14:textId="77777777"/>
    <w:p w:rsidR="005C6A8D" w14:paraId="0000004C" w14:textId="77777777">
      <w:pPr>
        <w:rPr>
          <w:rFonts w:ascii="Calibri" w:eastAsia="Calibri" w:hAnsi="Calibri" w:cs="Calibri"/>
        </w:rPr>
      </w:pPr>
      <w:r>
        <w:t>An EDR may be submitted online or may be downloaded in fillable PDF format and then faxed or mailed. Submit the completed EDR—</w:t>
      </w:r>
    </w:p>
    <w:p w:rsidR="005C6A8D" w14:paraId="0000004D" w14:textId="77777777"/>
    <w:p w:rsidR="005C6A8D" w14:paraId="0000004E" w14:textId="77777777">
      <w:pPr>
        <w:tabs>
          <w:tab w:val="left" w:pos="2279"/>
        </w:tabs>
        <w:ind w:left="1890" w:hanging="1170"/>
      </w:pPr>
      <w:r>
        <w:t>By mail to:</w:t>
      </w:r>
      <w:r>
        <w:tab/>
      </w:r>
      <w:r>
        <w:tab/>
        <w:t xml:space="preserve">Pacific States Marine Fisheries Commission NMFS Economic Data </w:t>
      </w:r>
    </w:p>
    <w:p w:rsidR="005C6A8D" w14:paraId="0000004F" w14:textId="77777777">
      <w:pPr>
        <w:tabs>
          <w:tab w:val="left" w:pos="2279"/>
        </w:tabs>
        <w:ind w:left="1890" w:hanging="1170"/>
      </w:pPr>
      <w:r>
        <w:tab/>
      </w:r>
      <w:r>
        <w:tab/>
        <w:t>Reports</w:t>
      </w:r>
    </w:p>
    <w:p w:rsidR="005C6A8D" w14:paraId="00000050" w14:textId="77777777">
      <w:pPr>
        <w:ind w:left="1980" w:firstLine="270"/>
      </w:pPr>
      <w:r>
        <w:t>205 SE Spokane, Suite 100</w:t>
      </w:r>
    </w:p>
    <w:p w:rsidR="005C6A8D" w14:paraId="00000051" w14:textId="77777777">
      <w:pPr>
        <w:ind w:left="1530" w:firstLine="720"/>
      </w:pPr>
      <w:r>
        <w:t>Portland, OR 97202</w:t>
      </w:r>
    </w:p>
    <w:p w:rsidR="005C6A8D" w14:paraId="00000052" w14:textId="77777777">
      <w:pPr>
        <w:ind w:left="115" w:firstLine="620"/>
      </w:pPr>
    </w:p>
    <w:p w:rsidR="005C6A8D" w14:paraId="00000053" w14:textId="77777777">
      <w:pPr>
        <w:tabs>
          <w:tab w:val="left" w:pos="2279"/>
        </w:tabs>
        <w:ind w:left="115" w:firstLine="620"/>
      </w:pPr>
      <w:r>
        <w:t>By fax to:</w:t>
      </w:r>
      <w:r>
        <w:tab/>
        <w:t>503-595-3450</w:t>
      </w:r>
    </w:p>
    <w:p w:rsidR="005C6A8D" w14:paraId="00000054" w14:textId="77777777">
      <w:pPr>
        <w:ind w:left="115" w:firstLine="620"/>
      </w:pPr>
    </w:p>
    <w:p w:rsidR="005C6A8D" w14:paraId="00000055" w14:textId="77777777">
      <w:pPr>
        <w:tabs>
          <w:tab w:val="left" w:pos="2279"/>
        </w:tabs>
        <w:ind w:left="115" w:firstLine="620"/>
      </w:pPr>
      <w:r>
        <w:t>Online at:</w:t>
      </w:r>
      <w:r>
        <w:tab/>
      </w:r>
      <w:hyperlink r:id="rId12">
        <w:r>
          <w:rPr>
            <w:color w:val="0000FF"/>
            <w:u w:val="single"/>
          </w:rPr>
          <w:t>https://survey.psmfc.org</w:t>
        </w:r>
      </w:hyperlink>
    </w:p>
    <w:p w:rsidR="005C6A8D" w14:paraId="00000057" w14:textId="77777777">
      <w:pPr>
        <w:widowControl/>
      </w:pPr>
    </w:p>
    <w:p w:rsidR="005C6A8D" w14:paraId="00000058" w14:textId="77777777">
      <w:pPr>
        <w:widowControl/>
      </w:pPr>
      <w:r>
        <w:t xml:space="preserve">The purpose of the crab EDRs is to gather information about ownership, revenue, cost, vessel operations, and employment to analyze the economic effects of the CR Program and the economic performance of participants in the program, and to estimate impacts of future issues, problems, or proposed revisions to the program. </w:t>
      </w:r>
      <w:sdt>
        <w:sdtPr>
          <w:tag w:val="goog_rdk_5"/>
          <w:id w:val="397666265"/>
          <w:richText/>
        </w:sdtPr>
        <w:sdtContent/>
      </w:sdt>
      <w:r>
        <w:t xml:space="preserve">The data collected through the EDRs are used to prepare reports, program reviews, and analysis of proposed revisions to the CR Program. </w:t>
      </w:r>
    </w:p>
    <w:p w:rsidR="005C6A8D" w14:paraId="0000005A" w14:textId="77777777">
      <w:pPr>
        <w:widowControl/>
      </w:pPr>
    </w:p>
    <w:p w:rsidR="005C6A8D" w14:paraId="0000005B" w14:textId="77777777">
      <w:pPr>
        <w:widowControl/>
        <w:pBdr>
          <w:top w:val="nil"/>
          <w:left w:val="nil"/>
          <w:bottom w:val="nil"/>
          <w:right w:val="nil"/>
          <w:between w:val="nil"/>
        </w:pBdr>
        <w:rPr>
          <w:color w:val="000000"/>
        </w:rPr>
      </w:pPr>
      <w:r>
        <w:rPr>
          <w:color w:val="000000"/>
        </w:rPr>
        <w:t xml:space="preserve">An annual summary of crab EDR data is prepared as part of the </w:t>
      </w:r>
      <w:r>
        <w:rPr>
          <w:i/>
          <w:color w:val="000000"/>
        </w:rPr>
        <w:t>Economic Status of the Bering Sea and Aleutian Islands King and Tanner Crab Fisheries off Alaska</w:t>
      </w:r>
      <w:r>
        <w:rPr>
          <w:color w:val="000000"/>
        </w:rPr>
        <w:t xml:space="preserve">. Statistics on harvesting and processing activity; effort; revenue; labor employment and compensation; operational costs; and quota ownership, usage and disposition among participants in the fisheries are provided. </w:t>
      </w:r>
    </w:p>
    <w:p w:rsidR="005C6A8D" w14:paraId="0000005C" w14:textId="77777777">
      <w:pPr>
        <w:widowControl/>
        <w:pBdr>
          <w:top w:val="nil"/>
          <w:left w:val="nil"/>
          <w:bottom w:val="nil"/>
          <w:right w:val="nil"/>
          <w:between w:val="nil"/>
        </w:pBdr>
        <w:rPr>
          <w:color w:val="000000"/>
        </w:rPr>
      </w:pPr>
    </w:p>
    <w:p w:rsidR="005C6A8D" w14:paraId="0000005D" w14:textId="696E5E5E">
      <w:pPr>
        <w:widowControl/>
        <w:pBdr>
          <w:top w:val="nil"/>
          <w:left w:val="nil"/>
          <w:bottom w:val="nil"/>
          <w:right w:val="nil"/>
          <w:between w:val="nil"/>
        </w:pBdr>
        <w:rPr>
          <w:color w:val="000000"/>
        </w:rPr>
      </w:pPr>
      <w:sdt>
        <w:sdtPr>
          <w:tag w:val="goog_rdk_6"/>
          <w:id w:val="-1825134214"/>
          <w:richText/>
        </w:sdtPr>
        <w:sdtContent/>
      </w:sdt>
      <w:r w:rsidR="005472AD">
        <w:rPr>
          <w:color w:val="000000"/>
        </w:rPr>
        <w:t xml:space="preserve">The data collected through the crab EDRs </w:t>
      </w:r>
      <w:r w:rsidR="00851469">
        <w:rPr>
          <w:color w:val="000000"/>
        </w:rPr>
        <w:t>can be used</w:t>
      </w:r>
      <w:r w:rsidR="005472AD">
        <w:rPr>
          <w:color w:val="000000"/>
        </w:rPr>
        <w:t xml:space="preserve"> to conduct the CR Program reviews. The Magnuson-Stevens Act requires periodic program reviews for all catch share programs (also known as limited access privilege programs). Both the 5-year and 10-year CR Program reviews relied on EDR data to document fleet performance with regard to </w:t>
      </w:r>
      <w:sdt>
        <w:sdtPr>
          <w:tag w:val="goog_rdk_7"/>
          <w:id w:val="-1071870222"/>
          <w:richText/>
        </w:sdtPr>
        <w:sdtContent/>
      </w:sdt>
      <w:r w:rsidR="005472AD">
        <w:rPr>
          <w:color w:val="000000"/>
        </w:rPr>
        <w:t>quota usage and leasing, effort levels, vessel operating costs, gross and net earnings, crew participation and crew earnings. This information is also used to document changes in crew employment and compensation and state of residency of crew. Processing labor, employment, and wages are also assessed using EDR data. The 10-year CR Program review Social Impact Assessment used EDR data along with other data sources to provide, within the bounds of data confidentiality constraints, a quantitative participation description by community, including harvest trends by crab fishery, local community fleet participation, catcher vessel crab harvest volume and value by community, community processor participation, processor volume and value by community by share type, and quota share distribution by community for Alaska, Washington, Oregon, and other U.S. states combined. The 10-year program review also summarizes the social impacts of crab rationalization by community, including discussions of vessel participation, catcher vessel owner shareholdings, crew participation, catcher vessel crew shareholdings, locally operating processors, support services, and local governance and revenues.</w:t>
      </w:r>
    </w:p>
    <w:p w:rsidR="005C6A8D" w14:paraId="0000005E" w14:textId="77777777">
      <w:pPr>
        <w:widowControl/>
      </w:pPr>
    </w:p>
    <w:p w:rsidR="005C6A8D" w14:paraId="00000064" w14:textId="77777777">
      <w:pPr>
        <w:pBdr>
          <w:top w:val="nil"/>
          <w:left w:val="nil"/>
          <w:bottom w:val="nil"/>
          <w:right w:val="nil"/>
          <w:between w:val="nil"/>
        </w:pBdr>
      </w:pPr>
    </w:p>
    <w:p w:rsidR="005C6A8D" w14:paraId="00000065" w14:textId="77777777">
      <w:pPr>
        <w:keepNext/>
        <w:widowControl/>
        <w:numPr>
          <w:ilvl w:val="0"/>
          <w:numId w:val="2"/>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C6A8D" w14:paraId="00000066" w14:textId="77777777">
      <w:pPr>
        <w:keepNext/>
        <w:widowControl/>
      </w:pPr>
    </w:p>
    <w:p w:rsidR="005C6A8D" w14:paraId="00000067" w14:textId="77777777">
      <w:pPr>
        <w:keepNext/>
        <w:widowControl/>
      </w:pPr>
      <w:r>
        <w:t xml:space="preserve">Pacific States manages a web portal that allows respondents to submit their EDR forms online. Pacific States sends out certified letters each year to respondents that include a new login and password and instructions about how to use the web portal to submit EDR forms online using an electronic signature. The online system provides the option for the respondent to print out the completed forms for their records. Respondents also have the option of downloading the EDR forms, filling them out, and submitting </w:t>
      </w:r>
      <w:r>
        <w:t>them as attachments to an e-mail</w:t>
      </w:r>
      <w:r>
        <w:rPr>
          <w:vertAlign w:val="superscript"/>
        </w:rPr>
        <w:footnoteReference w:id="6"/>
      </w:r>
      <w:r>
        <w:t xml:space="preserve"> to Pacific States, or submitting the completed forms by mail. Pacific States reports that approximately 99 percent of respondents submit their EDRs online using an electronic signature. </w:t>
      </w:r>
    </w:p>
    <w:p w:rsidR="005C6A8D" w14:paraId="00000068" w14:textId="77777777">
      <w:pPr>
        <w:widowControl/>
      </w:pPr>
    </w:p>
    <w:p w:rsidR="005C6A8D" w14:paraId="00000069" w14:textId="74CF1D68">
      <w:pPr>
        <w:widowControl/>
      </w:pPr>
      <w:r>
        <w:t xml:space="preserve">The annual EDR forms are available on the Pacific States Alaska CR Program website at </w:t>
      </w:r>
      <w:hyperlink r:id="rId13">
        <w:r>
          <w:rPr>
            <w:color w:val="1155CC"/>
            <w:u w:val="single"/>
          </w:rPr>
          <w:t>http://www.psmfc.</w:t>
        </w:r>
        <w:r>
          <w:rPr>
            <w:color w:val="1155CC"/>
            <w:u w:val="single"/>
          </w:rPr>
          <w:t>o</w:t>
        </w:r>
        <w:r>
          <w:rPr>
            <w:color w:val="1155CC"/>
            <w:u w:val="single"/>
          </w:rPr>
          <w:t>rg/alaska_crab/</w:t>
        </w:r>
      </w:hyperlink>
      <w:r>
        <w:t xml:space="preserve">. Links to the Pacific States website are provided on the </w:t>
      </w:r>
      <w:hyperlink r:id="rId14">
        <w:r>
          <w:rPr>
            <w:color w:val="0000FF"/>
            <w:u w:val="single"/>
          </w:rPr>
          <w:t>NOAA Fisheries Alaska Region’s we</w:t>
        </w:r>
        <w:r>
          <w:rPr>
            <w:color w:val="0000FF"/>
            <w:u w:val="single"/>
          </w:rPr>
          <w:t>b</w:t>
        </w:r>
        <w:r>
          <w:rPr>
            <w:color w:val="0000FF"/>
            <w:u w:val="single"/>
          </w:rPr>
          <w:t>page</w:t>
        </w:r>
      </w:hyperlink>
      <w:r>
        <w:rPr>
          <w:rStyle w:val="FootnoteReference"/>
          <w:color w:val="0000FF"/>
          <w:u w:val="single"/>
        </w:rPr>
        <w:footnoteReference w:id="7"/>
      </w:r>
      <w:r>
        <w:t>.</w:t>
      </w:r>
    </w:p>
    <w:p w:rsidR="005C6A8D" w14:paraId="0000006A" w14:textId="77777777"/>
    <w:p w:rsidR="004C3046" w14:paraId="5A4EB405" w14:textId="77777777"/>
    <w:p w:rsidR="005C6A8D" w14:paraId="0000006B" w14:textId="77777777">
      <w:pPr>
        <w:numPr>
          <w:ilvl w:val="0"/>
          <w:numId w:val="2"/>
        </w:numPr>
        <w:pBdr>
          <w:top w:val="nil"/>
          <w:left w:val="nil"/>
          <w:bottom w:val="nil"/>
          <w:right w:val="nil"/>
          <w:between w:val="nil"/>
        </w:pBdr>
        <w:tabs>
          <w:tab w:val="left" w:pos="360"/>
        </w:tabs>
        <w:ind w:left="0" w:firstLine="0"/>
        <w:rPr>
          <w:b/>
          <w:color w:val="000000"/>
        </w:rPr>
      </w:pPr>
      <w:r>
        <w:rPr>
          <w:b/>
          <w:color w:val="000000"/>
        </w:rPr>
        <w:t xml:space="preserve">Describe efforts to identify duplication. Show specifically why any similar information </w:t>
      </w:r>
      <w:r>
        <w:rPr>
          <w:b/>
          <w:color w:val="000000"/>
        </w:rPr>
        <w:t>already available cannot be used or modified for use for the purposes described in Question 2.</w:t>
      </w:r>
    </w:p>
    <w:p w:rsidR="005C6A8D" w14:paraId="0000006C" w14:textId="77777777">
      <w:pPr>
        <w:pBdr>
          <w:top w:val="nil"/>
          <w:left w:val="nil"/>
          <w:bottom w:val="nil"/>
          <w:right w:val="nil"/>
          <w:between w:val="nil"/>
        </w:pBdr>
      </w:pPr>
    </w:p>
    <w:p w:rsidR="005C6A8D" w14:paraId="0000006D" w14:textId="77777777">
      <w:pPr>
        <w:pBdr>
          <w:top w:val="nil"/>
          <w:left w:val="nil"/>
          <w:bottom w:val="nil"/>
          <w:right w:val="nil"/>
          <w:between w:val="nil"/>
        </w:pBdr>
      </w:pPr>
      <w:r>
        <w:t>No duplication exists for this information collection. This collection is the only source of observational cross-section time series data regarding the economic performance of this fleet.</w:t>
      </w:r>
    </w:p>
    <w:p w:rsidR="005C6A8D" w14:paraId="0000006E" w14:textId="77777777">
      <w:pPr>
        <w:pBdr>
          <w:top w:val="nil"/>
          <w:left w:val="nil"/>
          <w:bottom w:val="nil"/>
          <w:right w:val="nil"/>
          <w:between w:val="nil"/>
        </w:pBdr>
      </w:pPr>
    </w:p>
    <w:p w:rsidR="005C6A8D" w14:paraId="0000006F" w14:textId="73AE7406">
      <w:pPr>
        <w:widowControl/>
      </w:pPr>
      <w:r>
        <w:t xml:space="preserve">A recent review of the four Alaska Region/North Pacific EDR programs identified areas where the data collected through the EDRs may duplicate data collected through other information collections. </w:t>
      </w:r>
      <w:r w:rsidR="00851469">
        <w:t xml:space="preserve">Results of this review were incorporated into the analysis supporting Amendment 52 </w:t>
      </w:r>
      <w:r w:rsidR="003711B4">
        <w:t xml:space="preserve">to the Fishery Management Plan for Bering Sea and Aleutian Islands King and Tanner Crabs </w:t>
      </w:r>
      <w:r w:rsidR="00851469">
        <w:t>(88 FR 7586</w:t>
      </w:r>
      <w:r>
        <w:rPr>
          <w:rStyle w:val="FootnoteReference"/>
        </w:rPr>
        <w:footnoteReference w:id="8"/>
      </w:r>
      <w:r w:rsidR="00851469">
        <w:t xml:space="preserve">, February 6, 2023).  In addition, the Council </w:t>
      </w:r>
      <w:r w:rsidR="003711B4">
        <w:t xml:space="preserve">will consider </w:t>
      </w:r>
      <w:r w:rsidR="00851469">
        <w:t>an analysis documenting the potential regulatory impact of eliminating this information collection</w:t>
      </w:r>
      <w:r w:rsidR="003711B4">
        <w:t xml:space="preserve"> at its October 2025 meeting</w:t>
      </w:r>
      <w:r w:rsidR="00851469">
        <w:t xml:space="preserve">. </w:t>
      </w:r>
    </w:p>
    <w:p w:rsidR="00116B16" w14:paraId="1760CF55" w14:textId="77777777">
      <w:pPr>
        <w:widowControl/>
      </w:pPr>
    </w:p>
    <w:p w:rsidR="005C6A8D" w14:paraId="00000070" w14:textId="77777777">
      <w:pPr>
        <w:pBdr>
          <w:top w:val="nil"/>
          <w:left w:val="nil"/>
          <w:bottom w:val="nil"/>
          <w:right w:val="nil"/>
          <w:between w:val="nil"/>
        </w:pBdr>
      </w:pPr>
    </w:p>
    <w:p w:rsidR="005C6A8D" w14:paraId="00000071" w14:textId="77777777">
      <w:pPr>
        <w:numPr>
          <w:ilvl w:val="0"/>
          <w:numId w:val="2"/>
        </w:numPr>
        <w:pBdr>
          <w:top w:val="nil"/>
          <w:left w:val="nil"/>
          <w:bottom w:val="nil"/>
          <w:right w:val="nil"/>
          <w:between w:val="nil"/>
        </w:pBdr>
        <w:tabs>
          <w:tab w:val="left" w:pos="360"/>
        </w:tabs>
        <w:ind w:left="0" w:firstLine="0"/>
        <w:rPr>
          <w:b/>
          <w:color w:val="000000"/>
        </w:rPr>
      </w:pPr>
      <w:r>
        <w:rPr>
          <w:b/>
          <w:color w:val="000000"/>
        </w:rPr>
        <w:t>If the collection of information impacts small businesses or other small entities, describe any methods used to minimize burden.</w:t>
      </w:r>
    </w:p>
    <w:p w:rsidR="005C6A8D" w14:paraId="00000072" w14:textId="77777777">
      <w:pPr>
        <w:pBdr>
          <w:top w:val="nil"/>
          <w:left w:val="nil"/>
          <w:bottom w:val="nil"/>
          <w:right w:val="nil"/>
          <w:between w:val="nil"/>
        </w:pBdr>
      </w:pPr>
    </w:p>
    <w:p w:rsidR="005C6A8D" w14:paraId="00000073" w14:textId="43BDD938">
      <w:pPr>
        <w:pBdr>
          <w:top w:val="nil"/>
          <w:left w:val="nil"/>
          <w:bottom w:val="nil"/>
          <w:right w:val="nil"/>
          <w:between w:val="nil"/>
        </w:pBdr>
      </w:pPr>
      <w:r>
        <w:t xml:space="preserve">All catcher-vessel and catcher-processor crab EDR respondents are cooperative affiliated within </w:t>
      </w:r>
      <w:r w:rsidR="00823353">
        <w:t>nine</w:t>
      </w:r>
      <w:r>
        <w:t xml:space="preserve"> cooperatives. </w:t>
      </w:r>
    </w:p>
    <w:p w:rsidR="005C6A8D" w14:paraId="00000074" w14:textId="65431188">
      <w:pPr>
        <w:pBdr>
          <w:top w:val="nil"/>
          <w:left w:val="nil"/>
          <w:bottom w:val="nil"/>
          <w:right w:val="nil"/>
          <w:between w:val="nil"/>
        </w:pBdr>
      </w:pPr>
    </w:p>
    <w:p w:rsidR="005C6A8D" w14:paraId="00000075" w14:textId="0F0F9967">
      <w:pPr>
        <w:pBdr>
          <w:top w:val="nil"/>
          <w:left w:val="nil"/>
          <w:bottom w:val="nil"/>
          <w:right w:val="nil"/>
          <w:between w:val="nil"/>
        </w:pBdr>
      </w:pPr>
      <w:r>
        <w:t xml:space="preserve">All processor respondents are cooperative affiliated under the American Fisheries Act (AFA) </w:t>
      </w:r>
      <w:r>
        <w:t xml:space="preserve">and considered large entities. 2023 is the latest data for which revenue data is available. In 2023, </w:t>
      </w:r>
      <w:r w:rsidR="00823353">
        <w:t xml:space="preserve">nine </w:t>
      </w:r>
      <w:r>
        <w:t>crab cooperatives were active with four of them having 3-year average revenue falling under the $11 million dollar threshold (note that group revenue represents the total of all known revenue from all sources for member sources, including revenue from non-crab fisheries). Of the vessels active in crab in 2024, six individual vessels are considered directly regulated small entities based on the 2023 reve</w:t>
      </w:r>
      <w:r>
        <w:t>nue data.</w:t>
      </w:r>
    </w:p>
    <w:p w:rsidR="005C6A8D" w14:paraId="00000076" w14:textId="77777777">
      <w:pPr>
        <w:rPr>
          <w:rFonts w:ascii="Arial" w:eastAsia="Arial" w:hAnsi="Arial" w:cs="Arial"/>
        </w:rPr>
      </w:pPr>
    </w:p>
    <w:p w:rsidR="005C6A8D" w14:paraId="00000077" w14:textId="3CFC6AA4">
      <w:pPr>
        <w:pBdr>
          <w:top w:val="nil"/>
          <w:left w:val="nil"/>
          <w:bottom w:val="nil"/>
          <w:right w:val="nil"/>
          <w:between w:val="nil"/>
        </w:pBdr>
      </w:pPr>
      <w:r>
        <w:t xml:space="preserve">In </w:t>
      </w:r>
      <w:sdt>
        <w:sdtPr>
          <w:tag w:val="goog_rdk_11"/>
          <w:id w:val="-399217762"/>
          <w:richText/>
        </w:sdtPr>
        <w:sdtContent>
          <w:r w:rsidR="0016158D">
            <w:t xml:space="preserve">the </w:t>
          </w:r>
        </w:sdtContent>
      </w:sdt>
      <w:r>
        <w:t>202</w:t>
      </w:r>
      <w:r w:rsidR="00BD7996">
        <w:t>3</w:t>
      </w:r>
      <w:r>
        <w:t xml:space="preserve"> </w:t>
      </w:r>
      <w:r w:rsidR="0016158D">
        <w:t>EDR information collection</w:t>
      </w:r>
      <w:r w:rsidR="00BD7996">
        <w:t>, submitted by July 31</w:t>
      </w:r>
      <w:r w:rsidRPr="00BD7996" w:rsidR="00BD7996">
        <w:rPr>
          <w:vertAlign w:val="superscript"/>
        </w:rPr>
        <w:t>st</w:t>
      </w:r>
      <w:r w:rsidR="00BD7996">
        <w:t xml:space="preserve"> of 2024,</w:t>
      </w:r>
      <w:r w:rsidR="0016158D">
        <w:t xml:space="preserve"> </w:t>
      </w:r>
      <w:r>
        <w:t>there were 16 active Registered Crab Receivers (RCRs), one of which reported over 500 employees in their 2023 EDR data. It may be worth noting that some RCRs are "custom-only" buyers, meaning they purchase crab that is then custom-processed for them by other processors. It's unclear whether those receivers are affiliated with cooperatives or AFA/A80 large entities.</w:t>
      </w:r>
    </w:p>
    <w:p w:rsidR="005C6A8D" w14:paraId="00000078" w14:textId="77777777">
      <w:pPr>
        <w:pBdr>
          <w:top w:val="nil"/>
          <w:left w:val="nil"/>
          <w:bottom w:val="nil"/>
          <w:right w:val="nil"/>
          <w:between w:val="nil"/>
        </w:pBdr>
      </w:pPr>
    </w:p>
    <w:p w:rsidR="005C6A8D" w14:paraId="00000079" w14:textId="77777777">
      <w:pPr>
        <w:pBdr>
          <w:top w:val="nil"/>
          <w:left w:val="nil"/>
          <w:bottom w:val="nil"/>
          <w:right w:val="nil"/>
          <w:between w:val="nil"/>
        </w:pBdr>
      </w:pPr>
      <w:r>
        <w:t xml:space="preserve">The 16 RCRs would be considered small entities based on their EDR data submissions regarding number of employees. However, most of these entities are cooperative affiliated and/or ownership affiliated with American Fisheries Act or Amendment 80 large entities. Complete information on ownership structure for these firms is not available at this time. </w:t>
      </w:r>
    </w:p>
    <w:p w:rsidR="005C6A8D" w14:paraId="0000007A" w14:textId="77777777">
      <w:pPr>
        <w:pBdr>
          <w:top w:val="nil"/>
          <w:left w:val="nil"/>
          <w:bottom w:val="nil"/>
          <w:right w:val="nil"/>
          <w:between w:val="nil"/>
        </w:pBdr>
      </w:pPr>
    </w:p>
    <w:p w:rsidR="005C6A8D" w14:paraId="0000007B" w14:textId="77777777">
      <w:pPr>
        <w:pBdr>
          <w:top w:val="nil"/>
          <w:left w:val="nil"/>
          <w:bottom w:val="nil"/>
          <w:right w:val="nil"/>
          <w:between w:val="nil"/>
        </w:pBdr>
        <w:rPr>
          <w:color w:val="000000"/>
        </w:rPr>
      </w:pPr>
      <w:r>
        <w:t xml:space="preserve">In </w:t>
      </w:r>
      <w:r>
        <w:t>addition, six Western Alaska Community Development Quota (CDQ) Program entities were granted allocations and may own harvesting and processing vessels/plants that operate in the crab fisheries or may be permitted as registered crab receivers. Under the Regulatory Flexibility Act (RFA), the CDQ groups are considered to be small entities regardless of their revenue. These entities either directly own crab fishery participating vessels or catcher/processors or have wholly owned subsidiaries that own crab fishe</w:t>
      </w:r>
      <w:r>
        <w:t>ry vessels or plants. They may also own a portion of the fishing company that owns these crab fishery participants. Although they would be considered large via cooperative affiliations, they are specially defined as small under the RFA. Thus, the six CDQ groups are considered small entities for purposes of the RFA and would fall</w:t>
      </w:r>
      <w:r>
        <w:rPr>
          <w:color w:val="000000"/>
        </w:rPr>
        <w:t xml:space="preserve"> under this information collection depending on their annual fishing operations.</w:t>
      </w:r>
    </w:p>
    <w:p w:rsidR="005C6A8D" w14:paraId="0000007C" w14:textId="77777777">
      <w:pPr>
        <w:pBdr>
          <w:top w:val="nil"/>
          <w:left w:val="nil"/>
          <w:bottom w:val="nil"/>
          <w:right w:val="nil"/>
          <w:between w:val="nil"/>
        </w:pBdr>
        <w:rPr>
          <w:color w:val="000000"/>
        </w:rPr>
      </w:pPr>
    </w:p>
    <w:p w:rsidR="005C6A8D" w14:paraId="0000007D" w14:textId="61DC0F32">
      <w:pPr>
        <w:pBdr>
          <w:top w:val="nil"/>
          <w:left w:val="nil"/>
          <w:bottom w:val="nil"/>
          <w:right w:val="nil"/>
          <w:between w:val="nil"/>
        </w:pBdr>
      </w:pPr>
      <w:sdt>
        <w:sdtPr>
          <w:tag w:val="goog_rdk_12"/>
          <w:id w:val="738086727"/>
          <w:richText/>
        </w:sdtPr>
        <w:sdtContent/>
      </w:sdt>
      <w:r w:rsidR="005472AD">
        <w:t xml:space="preserve">Several steps have been taken to reduce the burden of this information collection. Since inception, the collection has shifted from paper to electronic submission and this is now the standard method of responding. </w:t>
      </w:r>
      <w:r w:rsidR="00BD7996">
        <w:t>In addition, changes were made in 2023 to eliminate data verification audits, end use of blind formatting of data, and end the use of a “rule of five” confidentiality policy.</w:t>
      </w:r>
    </w:p>
    <w:p w:rsidR="00116B16" w14:paraId="523FE23B" w14:textId="135E5855">
      <w:pPr>
        <w:pBdr>
          <w:top w:val="nil"/>
          <w:left w:val="nil"/>
          <w:bottom w:val="nil"/>
          <w:right w:val="nil"/>
          <w:between w:val="nil"/>
        </w:pBdr>
      </w:pPr>
    </w:p>
    <w:p w:rsidR="004C3046" w14:paraId="1DAC362F" w14:textId="77777777">
      <w:pPr>
        <w:pBdr>
          <w:top w:val="nil"/>
          <w:left w:val="nil"/>
          <w:bottom w:val="nil"/>
          <w:right w:val="nil"/>
          <w:between w:val="nil"/>
        </w:pBdr>
      </w:pPr>
    </w:p>
    <w:p w:rsidR="005C6A8D" w14:paraId="0000007F" w14:textId="77777777">
      <w:pPr>
        <w:numPr>
          <w:ilvl w:val="0"/>
          <w:numId w:val="2"/>
        </w:numPr>
        <w:pBdr>
          <w:top w:val="nil"/>
          <w:left w:val="nil"/>
          <w:bottom w:val="nil"/>
          <w:right w:val="nil"/>
          <w:between w:val="nil"/>
        </w:pBdr>
        <w:tabs>
          <w:tab w:val="left" w:pos="360"/>
        </w:tabs>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5C6A8D" w14:paraId="00000080" w14:textId="77777777">
      <w:pPr>
        <w:pBdr>
          <w:top w:val="nil"/>
          <w:left w:val="nil"/>
          <w:bottom w:val="nil"/>
          <w:right w:val="nil"/>
          <w:between w:val="nil"/>
        </w:pBdr>
      </w:pPr>
    </w:p>
    <w:p w:rsidR="005C6A8D" w14:paraId="00000081" w14:textId="628E7BCD">
      <w:pPr>
        <w:widowControl/>
      </w:pPr>
      <w:r>
        <w:t xml:space="preserve">The crab EDR data is required by regulation in 50 CFR part 680 and supported by section 313(j) of the Magnuson-Stevens Act. The data collection was designed by the Council to annually collect information for each participant in the CR Program fisheries to achieve the objectives of collecting the data necessary to monitor and evaluate the CR Program, a program that provides significant economic benefits to participants and impacts individuals and communities reliant on the crab fisheries. </w:t>
      </w:r>
    </w:p>
    <w:p w:rsidR="0016158D" w14:paraId="77C14F34" w14:textId="0DA71F69">
      <w:pPr>
        <w:widowControl/>
      </w:pPr>
    </w:p>
    <w:p w:rsidR="0016158D" w:rsidP="00BE7803" w14:paraId="206008D3" w14:textId="77777777">
      <w:pPr>
        <w:widowControl/>
      </w:pPr>
      <w:r>
        <w:t xml:space="preserve">Amendments to the Crab Rationalization program routinely include EDR data in some capacity. For example, Amendment 54 on Crab C Shares participation utilized the Crab EDR data to illustrate the number of crew members participating in the crab fishery, crew compensation and crew residency information. While the number of crew </w:t>
      </w:r>
      <w:r>
        <w:rPr>
          <w:i/>
        </w:rPr>
        <w:t>positions</w:t>
      </w:r>
      <w:r>
        <w:t xml:space="preserve"> by vessel can be gleaned from eLandings, this may be different than the total number of people participating in the crab fisheries in a season,</w:t>
      </w:r>
      <w:sdt>
        <w:sdtPr>
          <w:tag w:val="goog_rdk_14"/>
          <w:id w:val="2066878056"/>
          <w:richText/>
        </w:sdtPr>
        <w:sdtContent/>
      </w:sdt>
      <w:sdt>
        <w:sdtPr>
          <w:tag w:val="goog_rdk_15"/>
          <w:id w:val="-672831612"/>
          <w:richText/>
        </w:sdtPr>
        <w:sdtContent/>
      </w:sdt>
      <w:sdt>
        <w:sdtPr>
          <w:tag w:val="goog_rdk_16"/>
          <w:id w:val="1231988203"/>
          <w:richText/>
        </w:sdtPr>
        <w:sdtContent/>
      </w:sdt>
      <w:r>
        <w:t xml:space="preserve"> which is only available with EDRs. This difference was relevant when considering the pool of people eligible for continuing to hold C shares prior to Amendment 54 and is relevant for the current action considering changing C share transfer requirements.  </w:t>
      </w:r>
    </w:p>
    <w:p w:rsidR="0016158D" w:rsidP="0016158D" w14:paraId="0D568B75" w14:textId="77777777">
      <w:pPr>
        <w:widowControl/>
      </w:pPr>
    </w:p>
    <w:p w:rsidR="0016158D" w:rsidP="00BE7803" w14:paraId="1F3F5CC0" w14:textId="6360A2E8">
      <w:pPr>
        <w:widowControl/>
      </w:pPr>
      <w:r>
        <w:t xml:space="preserve">BSAI Crab Program Review contained payments to crew, captains, and processing workers. The total number of positions, crew residency and estimated crew compensation by community as well. Lease rates and leasing were analyzed but not presented as part of the review.  </w:t>
      </w:r>
    </w:p>
    <w:p w:rsidR="0016158D" w14:paraId="5F6CB877" w14:textId="3E472008">
      <w:pPr>
        <w:widowControl/>
      </w:pPr>
    </w:p>
    <w:p w:rsidR="005C6A8D" w:rsidRPr="00BE7803" w14:paraId="00000084" w14:textId="359044B0">
      <w:pPr>
        <w:rPr>
          <w:color w:val="000000"/>
        </w:rPr>
      </w:pPr>
      <w:r>
        <w:rPr>
          <w:color w:val="000000"/>
        </w:rPr>
        <w:t xml:space="preserve">The </w:t>
      </w:r>
      <w:r>
        <w:rPr>
          <w:color w:val="000000"/>
        </w:rPr>
        <w:t>Alaska Fisheries Science Center</w:t>
      </w:r>
      <w:r w:rsidRPr="00BE7803">
        <w:rPr>
          <w:color w:val="000000"/>
        </w:rPr>
        <w:t xml:space="preserve"> </w:t>
      </w:r>
      <w:r>
        <w:rPr>
          <w:color w:val="000000"/>
        </w:rPr>
        <w:t>(</w:t>
      </w:r>
      <w:r w:rsidRPr="00BE7803">
        <w:rPr>
          <w:color w:val="000000"/>
        </w:rPr>
        <w:t>AFSC</w:t>
      </w:r>
      <w:r>
        <w:rPr>
          <w:color w:val="000000"/>
        </w:rPr>
        <w:t>)</w:t>
      </w:r>
      <w:r w:rsidRPr="00BE7803">
        <w:rPr>
          <w:color w:val="000000"/>
        </w:rPr>
        <w:t xml:space="preserve"> Economics and Social Science Research Program economists analyze EDR data in </w:t>
      </w:r>
      <w:r>
        <w:rPr>
          <w:color w:val="000000"/>
        </w:rPr>
        <w:t xml:space="preserve">two almanacs of data produced for the Council as appendices to the annual </w:t>
      </w:r>
      <w:r w:rsidR="004C3046">
        <w:rPr>
          <w:color w:val="000000"/>
        </w:rPr>
        <w:t>Stock Assessment and Fishery Evaluation (</w:t>
      </w:r>
      <w:r>
        <w:rPr>
          <w:color w:val="000000"/>
        </w:rPr>
        <w:t>SAFE</w:t>
      </w:r>
      <w:r w:rsidR="004C3046">
        <w:rPr>
          <w:color w:val="000000"/>
        </w:rPr>
        <w:t>)</w:t>
      </w:r>
      <w:r>
        <w:rPr>
          <w:color w:val="000000"/>
        </w:rPr>
        <w:t xml:space="preserve"> reports which present the data in tables for public use through </w:t>
      </w:r>
      <w:r w:rsidRPr="00BE7803">
        <w:rPr>
          <w:color w:val="000000"/>
        </w:rPr>
        <w:t>the Economic SAFE documents for crab</w:t>
      </w:r>
      <w:r>
        <w:rPr>
          <w:rStyle w:val="FootnoteReference"/>
          <w:color w:val="000000"/>
        </w:rPr>
        <w:footnoteReference w:id="9"/>
      </w:r>
      <w:r w:rsidRPr="00BE7803">
        <w:rPr>
          <w:color w:val="000000"/>
        </w:rPr>
        <w:t xml:space="preserve"> and groundfish, respectively. AFSC staff also use EDR data in a variety of applications and publications. In recent years, AFSC and </w:t>
      </w:r>
      <w:r>
        <w:rPr>
          <w:color w:val="000000"/>
        </w:rPr>
        <w:t>the Alaska Fisheries Information Network (</w:t>
      </w:r>
      <w:r w:rsidRPr="00BE7803">
        <w:rPr>
          <w:color w:val="000000"/>
        </w:rPr>
        <w:t>AKFIN</w:t>
      </w:r>
      <w:r>
        <w:rPr>
          <w:color w:val="000000"/>
        </w:rPr>
        <w:t>)</w:t>
      </w:r>
      <w:r w:rsidRPr="00BE7803">
        <w:rPr>
          <w:color w:val="000000"/>
        </w:rPr>
        <w:t xml:space="preserve"> have collaborated on development of the</w:t>
      </w:r>
      <w:hyperlink r:id="rId15" w:anchor=":~:text=The%20Human%20Dimensions%20Data%20Explorer%20provides%20access%20to%20data%2C%20data,sociocultural%20dimensions%20of%20Alaska%20fisheries">
        <w:r w:rsidRPr="00BE7803">
          <w:rPr>
            <w:color w:val="000000"/>
          </w:rPr>
          <w:t xml:space="preserve"> </w:t>
        </w:r>
      </w:hyperlink>
      <w:r w:rsidR="00BE7803">
        <w:rPr>
          <w:color w:val="000000"/>
        </w:rPr>
        <w:t xml:space="preserve">Human Dimensions Data Explorer </w:t>
      </w:r>
      <w:r w:rsidRPr="00BE7803">
        <w:rPr>
          <w:color w:val="000000"/>
        </w:rPr>
        <w:t>which provides a platform for public access to AFSC’s fishery management decision support tools and data reports, including the</w:t>
      </w:r>
      <w:r w:rsidR="002D0636">
        <w:rPr>
          <w:color w:val="000000"/>
        </w:rPr>
        <w:t xml:space="preserve"> Crab Economic SAFE</w:t>
      </w:r>
    </w:p>
    <w:p w:rsidR="003F489C" w14:paraId="4F8C82FA" w14:textId="77777777"/>
    <w:p w:rsidR="005C6A8D" w14:paraId="00000085" w14:textId="68A979D5">
      <w:pPr>
        <w:pBdr>
          <w:top w:val="nil"/>
          <w:left w:val="nil"/>
          <w:bottom w:val="nil"/>
          <w:right w:val="nil"/>
          <w:between w:val="nil"/>
        </w:pBdr>
        <w:rPr>
          <w:color w:val="000000"/>
        </w:rPr>
      </w:pPr>
      <w:r>
        <w:rPr>
          <w:color w:val="000000"/>
        </w:rPr>
        <w:t xml:space="preserve">The Magnuson-Stevens Act requires a formal and detailed review of limited access privilege programs 5 years after the implementation of the program, and thereafter to coincide with scheduled Council review of the relevant fishery management plan. </w:t>
      </w:r>
      <w:sdt>
        <w:sdtPr>
          <w:tag w:val="goog_rdk_15"/>
          <w:id w:val="-587936061"/>
          <w:richText/>
        </w:sdtPr>
        <w:sdtContent/>
      </w:sdt>
      <w:r>
        <w:rPr>
          <w:color w:val="000000"/>
        </w:rPr>
        <w:t>The CR Program 10-year review was completed in 2017</w:t>
      </w:r>
      <w:r>
        <w:rPr>
          <w:color w:val="000000"/>
          <w:vertAlign w:val="superscript"/>
        </w:rPr>
        <w:footnoteReference w:id="10"/>
      </w:r>
      <w:r w:rsidR="003F489C">
        <w:rPr>
          <w:color w:val="000000"/>
        </w:rPr>
        <w:t xml:space="preserve"> And the </w:t>
      </w:r>
      <w:r w:rsidR="00BE7803">
        <w:rPr>
          <w:color w:val="000000"/>
        </w:rPr>
        <w:t>17-year</w:t>
      </w:r>
      <w:r w:rsidR="003F489C">
        <w:rPr>
          <w:color w:val="000000"/>
        </w:rPr>
        <w:t xml:space="preserve"> review was completed in 2024. </w:t>
      </w:r>
      <w:r>
        <w:rPr>
          <w:rStyle w:val="FootnoteReference"/>
          <w:color w:val="000000"/>
        </w:rPr>
        <w:footnoteReference w:id="11"/>
      </w:r>
      <w:r>
        <w:rPr>
          <w:color w:val="000000"/>
        </w:rPr>
        <w:t xml:space="preserve"> The review provides an overview of the fishery, stock status, quota holdings, markets and prices, entry opportunities, and social and economic community impacts.</w:t>
      </w:r>
      <w:sdt>
        <w:sdtPr>
          <w:tag w:val="goog_rdk_16"/>
          <w:id w:val="-1028045752"/>
          <w:richText/>
        </w:sdtPr>
        <w:sdtContent/>
      </w:sdt>
      <w:r>
        <w:rPr>
          <w:color w:val="000000"/>
        </w:rPr>
        <w:t xml:space="preserve"> Without this information, these elements of the program reviews would not be available.</w:t>
      </w:r>
    </w:p>
    <w:p w:rsidR="005C6A8D" w14:paraId="00000086" w14:textId="77777777">
      <w:pPr>
        <w:widowControl/>
      </w:pPr>
    </w:p>
    <w:p w:rsidR="005C6A8D" w14:paraId="00000087" w14:textId="768EE0BA">
      <w:pPr>
        <w:widowControl/>
      </w:pPr>
      <w:sdt>
        <w:sdtPr>
          <w:tag w:val="goog_rdk_17"/>
          <w:id w:val="536901151"/>
          <w:richText/>
        </w:sdtPr>
        <w:sdtContent/>
      </w:sdt>
      <w:r w:rsidR="005472AD">
        <w:t>In February 2022, the Council received a Final Review Draft Regulatory Impact Review that was developed following a comprehensive review of the crab EDR, along with the three other Alaska Region/North Pacific EDR programs. One of the issues that was addressed in the review of the EDRs is whether annual submission of data by each respondent continues to be necessary to provide the data needed to monitor and evaluate the CR Program. An option was specifically considered to change the frequency of the information collection from annually to either every other year or every third year. The Council chose to retain annual EDR submission in all remaining EDRs</w:t>
      </w:r>
      <w:r w:rsidR="003F489C">
        <w:t xml:space="preserve"> </w:t>
      </w:r>
      <w:r w:rsidR="003F489C">
        <w:rPr>
          <w:color w:val="000000"/>
        </w:rPr>
        <w:t>(88 FR 7586, February 6, 2023)</w:t>
      </w:r>
      <w:r w:rsidR="005472AD">
        <w:t>. This decision was influenced by the fact that the agency and contractor infrastructure would likely have to be maintained annually, as would industry bookkeeping practices, resulting in little reduction in either recoverable agency costs or industry compliance costs. Concerns about data quality were also raised in that if an anomalous event occurred in a year when data is not collected, the resulting impact to the analyst’s ability to evaluate economic impacts to both fishery participants and fishery dependent communities would be severely constrained. An apt example of this risk specific to the CR Program fisheries is the complete closure of the Bristol Bay red king crab fishery in 2022, and a nearly 90 percent reduction in the Bering Sea snow crab catch in 2022–23. Annual crab EDR data is instrumental in evaluating the overall impacts to participants and communities and in assessing any economic disaster declarations that may occur.</w:t>
      </w:r>
      <w:r w:rsidR="003F489C">
        <w:t xml:space="preserve">  The Council did choose to eliminate costly data verification audits, blind formatting of data, and </w:t>
      </w:r>
      <w:r w:rsidR="00594FA4">
        <w:t>a “rule of five” confidentiality policy.</w:t>
      </w:r>
    </w:p>
    <w:p w:rsidR="005C6A8D" w14:paraId="00000088" w14:textId="77777777">
      <w:pPr>
        <w:pBdr>
          <w:top w:val="nil"/>
          <w:left w:val="nil"/>
          <w:bottom w:val="nil"/>
          <w:right w:val="nil"/>
          <w:between w:val="nil"/>
        </w:pBdr>
      </w:pPr>
    </w:p>
    <w:p w:rsidR="005C6A8D" w14:paraId="00000089" w14:textId="77777777">
      <w:pPr>
        <w:numPr>
          <w:ilvl w:val="0"/>
          <w:numId w:val="2"/>
        </w:numPr>
        <w:pBdr>
          <w:top w:val="nil"/>
          <w:left w:val="nil"/>
          <w:bottom w:val="nil"/>
          <w:right w:val="nil"/>
          <w:between w:val="nil"/>
        </w:pBdr>
        <w:tabs>
          <w:tab w:val="left" w:pos="360"/>
        </w:tabs>
        <w:ind w:left="0" w:firstLine="0"/>
        <w:rPr>
          <w:b/>
          <w:color w:val="000000"/>
        </w:rPr>
      </w:pPr>
      <w:r>
        <w:rPr>
          <w:b/>
          <w:color w:val="000000"/>
        </w:rPr>
        <w:t>Explain any special circumstances that would cause an information collection to be conducted in a manner inconsistent with OMB guidelines.</w:t>
      </w:r>
    </w:p>
    <w:p w:rsidR="005C6A8D" w14:paraId="0000008A" w14:textId="77777777">
      <w:pPr>
        <w:pBdr>
          <w:top w:val="nil"/>
          <w:left w:val="nil"/>
          <w:bottom w:val="nil"/>
          <w:right w:val="nil"/>
          <w:between w:val="nil"/>
        </w:pBdr>
      </w:pPr>
    </w:p>
    <w:p w:rsidR="005C6A8D" w14:paraId="0000008B" w14:textId="77777777">
      <w:pPr>
        <w:widowControl/>
      </w:pPr>
      <w:r>
        <w:t xml:space="preserve">No circumstances require the crab EDR data to be conducted in a manner inconsistent with OMB guidelines. </w:t>
      </w:r>
    </w:p>
    <w:p w:rsidR="005C6A8D" w14:paraId="0000008C" w14:textId="77777777">
      <w:pPr>
        <w:pBdr>
          <w:top w:val="nil"/>
          <w:left w:val="nil"/>
          <w:bottom w:val="nil"/>
          <w:right w:val="nil"/>
          <w:between w:val="nil"/>
        </w:pBdr>
      </w:pPr>
    </w:p>
    <w:p w:rsidR="008E58AC" w14:paraId="4FCC4BD0" w14:textId="77777777">
      <w:pPr>
        <w:pBdr>
          <w:top w:val="nil"/>
          <w:left w:val="nil"/>
          <w:bottom w:val="nil"/>
          <w:right w:val="nil"/>
          <w:between w:val="nil"/>
        </w:pBdr>
      </w:pPr>
    </w:p>
    <w:p w:rsidR="005C6A8D" w14:paraId="0000008D" w14:textId="77777777">
      <w:pPr>
        <w:numPr>
          <w:ilvl w:val="0"/>
          <w:numId w:val="2"/>
        </w:numPr>
        <w:pBdr>
          <w:top w:val="nil"/>
          <w:left w:val="nil"/>
          <w:bottom w:val="nil"/>
          <w:right w:val="nil"/>
          <w:between w:val="nil"/>
        </w:pBdr>
        <w:tabs>
          <w:tab w:val="left" w:pos="360"/>
        </w:tabs>
        <w:ind w:left="0" w:firstLine="0"/>
        <w:rPr>
          <w:b/>
          <w:color w:val="000000"/>
        </w:rPr>
      </w:pPr>
      <w:r>
        <w:rPr>
          <w:b/>
          <w:color w:val="000000"/>
        </w:rPr>
        <w:t xml:space="preserve">If </w:t>
      </w:r>
      <w:r>
        <w:rPr>
          <w:b/>
          <w:color w:val="000000"/>
        </w:rPr>
        <w:t>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C6A8D" w14:paraId="0000008E" w14:textId="77777777"/>
    <w:p w:rsidR="005C6A8D" w14:paraId="0000008F" w14:textId="276A14D7">
      <w:sdt>
        <w:sdtPr>
          <w:tag w:val="goog_rdk_18"/>
          <w:id w:val="696100474"/>
          <w:richText/>
        </w:sdtPr>
        <w:sdtContent/>
      </w:sdt>
      <w:r w:rsidR="005472AD">
        <w:t>A</w:t>
      </w:r>
      <w:r w:rsidR="002D0636">
        <w:t xml:space="preserve"> 60-day</w:t>
      </w:r>
      <w:r w:rsidR="005472AD">
        <w:t xml:space="preserve"> Federal Register notice </w:t>
      </w:r>
      <w:r w:rsidR="002D0636">
        <w:t>published (</w:t>
      </w:r>
      <w:r w:rsidR="005472AD">
        <w:t>90 FR 31165</w:t>
      </w:r>
      <w:r w:rsidR="002D0636">
        <w:t>, July 14, 2025)</w:t>
      </w:r>
      <w:r w:rsidR="005472AD">
        <w:t xml:space="preserve"> </w:t>
      </w:r>
      <w:r w:rsidR="002D0636">
        <w:t xml:space="preserve">to solicit </w:t>
      </w:r>
      <w:r w:rsidR="005472AD">
        <w:t>public comment</w:t>
      </w:r>
      <w:r w:rsidR="003711B4">
        <w:t>.</w:t>
      </w:r>
      <w:r w:rsidR="005472AD">
        <w:t xml:space="preserve"> </w:t>
      </w:r>
      <w:r w:rsidR="007B4576">
        <w:t>The Federal Register notice requested that commenters (a) Evaluate whether the proposed information collection is necessary for the proper functions of the Department, including whether the information will have practical utility; (b) Evaluate the accuracy of our estimate of the time and cost burden for this proposed collection, including the validity of the methodology and assumptions used; (c) Evaluate ways to enhance the quality, utility, and clarity of the information to be collected; and (d) Minimize the reporting burden on those who are to respond, including the use of automated collection techniques or other forms of information technology.</w:t>
      </w:r>
      <w:r w:rsidR="002D0636">
        <w:t xml:space="preserve"> No Comments were received.</w:t>
      </w:r>
    </w:p>
    <w:p w:rsidR="005C6A8D" w14:paraId="00000092" w14:textId="5D36EC5E">
      <w:pPr>
        <w:spacing w:before="161"/>
      </w:pPr>
      <w:r w:rsidRPr="002D0636">
        <w:t>NOAA consulted with</w:t>
      </w:r>
      <w:r w:rsidR="00BA1DAF">
        <w:t xml:space="preserve"> </w:t>
      </w:r>
      <w:r w:rsidRPr="002D0636" w:rsidR="00594FA4">
        <w:t xml:space="preserve">nine past respondents to this information </w:t>
      </w:r>
      <w:r w:rsidRPr="00EE0BE5" w:rsidR="00EE0BE5">
        <w:t>collection</w:t>
      </w:r>
      <w:r w:rsidRPr="002D0636">
        <w:t xml:space="preserve"> to obtain their views on the</w:t>
      </w:r>
      <w:r w:rsidR="007B4576">
        <w:t xml:space="preserve"> accuracy of the burden estimate (time and cost) to comply with program requirements and whether there are paths to minimize the burden of these requirements, or any other aspect of these requirements.</w:t>
      </w:r>
      <w:r w:rsidRPr="002D0636">
        <w:t xml:space="preserve"> </w:t>
      </w:r>
      <w:r w:rsidR="00F6261D">
        <w:t>One comment was received.</w:t>
      </w:r>
    </w:p>
    <w:p w:rsidR="00F6261D" w:rsidRPr="002D0636" w14:paraId="1F16C0AC" w14:textId="6429CEE0">
      <w:pPr>
        <w:spacing w:before="161"/>
      </w:pPr>
      <w:r w:rsidRPr="00C539B3">
        <w:rPr>
          <w:b/>
          <w:bCs/>
        </w:rPr>
        <w:t>Comment</w:t>
      </w:r>
      <w:r>
        <w:t>:  T</w:t>
      </w:r>
      <w:r w:rsidRPr="00F6261D">
        <w:t>he</w:t>
      </w:r>
      <w:r w:rsidRPr="00E02065">
        <w:t xml:space="preserve"> EDR </w:t>
      </w:r>
      <w:r>
        <w:t xml:space="preserve">is </w:t>
      </w:r>
      <w:r w:rsidRPr="00E02065">
        <w:t xml:space="preserve">not pertinent to the program and should be discontinued. The data collected hasn't changed in years and the rates to crew and lease holders has been the same for years as well. the only thing that changes is when the </w:t>
      </w:r>
      <w:r w:rsidRPr="00E02065">
        <w:t>quotas are set lower everyone suffers equally as you know. and if they are up then everyone is rewarded. I believe this could be a useful tool if there was a change to the program like lease rate caps or required ownership in vessels to hold CVO IFQ. then you would be able to compare the data you have collected over the years. But as it stands this is just redundant info.</w:t>
      </w:r>
    </w:p>
    <w:p w:rsidR="005C6A8D" w14:paraId="00000093" w14:textId="77777777"/>
    <w:p w:rsidR="005C6A8D" w14:paraId="00000094" w14:textId="0A6E19F4">
      <w:pPr>
        <w:pBdr>
          <w:top w:val="nil"/>
          <w:left w:val="nil"/>
          <w:bottom w:val="nil"/>
          <w:right w:val="nil"/>
          <w:between w:val="nil"/>
        </w:pBdr>
      </w:pPr>
      <w:r w:rsidRPr="00C539B3">
        <w:rPr>
          <w:b/>
          <w:bCs/>
        </w:rPr>
        <w:t>Response</w:t>
      </w:r>
      <w:r>
        <w:t xml:space="preserve">: </w:t>
      </w:r>
      <w:r w:rsidR="00436432">
        <w:t xml:space="preserve">The Council and NMFS considered whether to revise or remove the EDR collections in 2023. At that time, the Council and NMFS evaluated whether the EDR program is meeting the intended purpose and need.  At that time, the Council and NMFS determined that the Crab EDR has practical utility and chose to retain the information collection. NMFS is aware that the Council is considering making a recommendation to remove the EDR program; however, the regulations implementing the EDR program remain in effect and have not been removed or invalidated. While the regulations remain in effect, NMFS must implement the program and seek renewal of the information collection under the PRA. If the Council recommends removal of the EDR program, NMFS will take the necessary steps to review the Council’s recommendation and revise applicable regulations in compliance with all applicable laws. </w:t>
      </w:r>
      <w:r>
        <w:t xml:space="preserve"> NMFS also acknowledges the challenges with regard to reduced quota in the crab fishery in recent seasons.  </w:t>
      </w:r>
      <w:r>
        <w:t xml:space="preserve">NMFS appreciates suggestions regarding program management changes and recommends that any suggestions be provided to the </w:t>
      </w:r>
      <w:r w:rsidR="00436432">
        <w:t xml:space="preserve">Council, the </w:t>
      </w:r>
      <w:r>
        <w:t>Council’s Pacific Northwest Crab Industry Advisory Committee</w:t>
      </w:r>
      <w:r w:rsidR="00436432">
        <w:t>, and/or the Council’s Advisory Panel</w:t>
      </w:r>
      <w:r>
        <w:t xml:space="preserve">. </w:t>
      </w:r>
    </w:p>
    <w:p w:rsidR="00F6261D" w14:paraId="26F43DA4" w14:textId="77777777">
      <w:pPr>
        <w:pBdr>
          <w:top w:val="nil"/>
          <w:left w:val="nil"/>
          <w:bottom w:val="nil"/>
          <w:right w:val="nil"/>
          <w:between w:val="nil"/>
        </w:pBdr>
      </w:pPr>
    </w:p>
    <w:p w:rsidR="00C539B3" w14:paraId="065E04B1" w14:textId="77777777">
      <w:pPr>
        <w:pBdr>
          <w:top w:val="nil"/>
          <w:left w:val="nil"/>
          <w:bottom w:val="nil"/>
          <w:right w:val="nil"/>
          <w:between w:val="nil"/>
        </w:pBdr>
      </w:pPr>
    </w:p>
    <w:p w:rsidR="005C6A8D" w14:paraId="00000095" w14:textId="77777777">
      <w:pPr>
        <w:numPr>
          <w:ilvl w:val="0"/>
          <w:numId w:val="2"/>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5C6A8D" w14:paraId="00000096" w14:textId="77777777">
      <w:pPr>
        <w:pBdr>
          <w:top w:val="nil"/>
          <w:left w:val="nil"/>
          <w:bottom w:val="nil"/>
          <w:right w:val="nil"/>
          <w:between w:val="nil"/>
        </w:pBdr>
        <w:rPr>
          <w:color w:val="2F5496"/>
        </w:rPr>
      </w:pPr>
    </w:p>
    <w:p w:rsidR="005C6A8D" w14:paraId="00000097" w14:textId="77777777">
      <w:pPr>
        <w:widowControl/>
      </w:pPr>
      <w:r>
        <w:t>No payment or gift will be provided under this information collection.</w:t>
      </w:r>
    </w:p>
    <w:p w:rsidR="005C6A8D" w14:paraId="00000098" w14:textId="77777777">
      <w:pPr>
        <w:pBdr>
          <w:top w:val="nil"/>
          <w:left w:val="nil"/>
          <w:bottom w:val="nil"/>
          <w:right w:val="nil"/>
          <w:between w:val="nil"/>
        </w:pBdr>
        <w:rPr>
          <w:color w:val="000000"/>
        </w:rPr>
      </w:pPr>
    </w:p>
    <w:p w:rsidR="00C539B3" w14:paraId="69F03CD9" w14:textId="77777777">
      <w:pPr>
        <w:pBdr>
          <w:top w:val="nil"/>
          <w:left w:val="nil"/>
          <w:bottom w:val="nil"/>
          <w:right w:val="nil"/>
          <w:between w:val="nil"/>
        </w:pBdr>
        <w:rPr>
          <w:color w:val="000000"/>
        </w:rPr>
      </w:pPr>
    </w:p>
    <w:p w:rsidR="005C6A8D" w14:paraId="00000099" w14:textId="77777777">
      <w:pPr>
        <w:numPr>
          <w:ilvl w:val="0"/>
          <w:numId w:val="2"/>
        </w:numPr>
        <w:pBdr>
          <w:top w:val="nil"/>
          <w:left w:val="nil"/>
          <w:bottom w:val="nil"/>
          <w:right w:val="nil"/>
          <w:between w:val="nil"/>
        </w:pBdr>
        <w:tabs>
          <w:tab w:val="left" w:pos="360"/>
        </w:tabs>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5C6A8D" w14:paraId="0000009A" w14:textId="77777777">
      <w:pPr>
        <w:pBdr>
          <w:top w:val="nil"/>
          <w:left w:val="nil"/>
          <w:bottom w:val="nil"/>
          <w:right w:val="nil"/>
          <w:between w:val="nil"/>
        </w:pBdr>
      </w:pPr>
    </w:p>
    <w:p w:rsidR="005C6A8D" w14:paraId="0000009B" w14:textId="77777777">
      <w:pPr>
        <w:widowControl/>
      </w:pPr>
      <w:r>
        <w:t xml:space="preserve">EDR data records are considered confidential information and are protected from public disclosure consistent with section 402(b) of the Magnuson-Stevens Act, 50 CFR 600.402–425, and </w:t>
      </w:r>
      <w:hyperlink r:id="rId16">
        <w:r>
          <w:rPr>
            <w:color w:val="0000FF"/>
            <w:u w:val="single"/>
          </w:rPr>
          <w:t>NOAA Administrative Order 216-100</w:t>
        </w:r>
      </w:hyperlink>
      <w:r>
        <w:t xml:space="preserve">. Access to confidential EDR records is limited to agency personnel, Pacific States staff, contractors, and Council staff that are authorized to access confidential fishery data. </w:t>
      </w:r>
      <w:r>
        <w:rPr>
          <w:color w:val="000000"/>
        </w:rPr>
        <w:t>All staff and contractors with access to the crab EDR data sign a confidentiality agreement attesting that they have read and understand the confidentiality requirements and penalties for disclosing confidential information, and agreeing not to disclose confidential information.</w:t>
      </w:r>
    </w:p>
    <w:p w:rsidR="005C6A8D" w14:paraId="0000009C" w14:textId="724D79D4">
      <w:pPr>
        <w:widowControl/>
      </w:pPr>
    </w:p>
    <w:p w:rsidR="005C6A8D" w14:paraId="0000009E" w14:textId="77777777">
      <w:pPr>
        <w:pBdr>
          <w:top w:val="nil"/>
          <w:left w:val="nil"/>
          <w:bottom w:val="nil"/>
          <w:right w:val="nil"/>
          <w:between w:val="nil"/>
        </w:pBdr>
        <w:rPr>
          <w:color w:val="0000FF"/>
          <w:u w:val="single"/>
        </w:rPr>
      </w:pPr>
      <w:r>
        <w:t xml:space="preserve">This information collection also is covered by the Privacy Act System of Records Notice </w:t>
      </w:r>
      <w:hyperlink r:id="rId17">
        <w:r>
          <w:rPr>
            <w:color w:val="1155CC"/>
            <w:u w:val="single"/>
          </w:rPr>
          <w:t>COMMERCE/NOAA #16, Economic Data Reports for Alaska Federally Regulated Fisheries off the Coast of Alaska</w:t>
        </w:r>
      </w:hyperlink>
      <w:r>
        <w:rPr>
          <w:color w:val="0000FF"/>
          <w:u w:val="single"/>
        </w:rPr>
        <w:t>.</w:t>
      </w:r>
    </w:p>
    <w:p w:rsidR="005C6A8D" w14:paraId="0000009F" w14:textId="77777777">
      <w:pPr>
        <w:widowControl/>
      </w:pPr>
    </w:p>
    <w:p w:rsidR="005C6A8D" w14:paraId="000000A0" w14:textId="3313559D">
      <w:pPr>
        <w:widowControl/>
        <w:pBdr>
          <w:top w:val="nil"/>
          <w:left w:val="nil"/>
          <w:bottom w:val="nil"/>
          <w:right w:val="nil"/>
          <w:between w:val="nil"/>
        </w:pBdr>
        <w:rPr>
          <w:color w:val="000000"/>
        </w:rPr>
      </w:pPr>
      <w:r>
        <w:rPr>
          <w:color w:val="000000"/>
        </w:rPr>
        <w:t xml:space="preserve">The Privacy Impact Assessment that covers this information collection is </w:t>
      </w:r>
      <w:hyperlink r:id="rId18">
        <w:r>
          <w:rPr>
            <w:color w:val="1155CC"/>
            <w:u w:val="single"/>
          </w:rPr>
          <w:t>NOAA NMFS Alaska Region Local Area Network (NOAA4700)</w:t>
        </w:r>
      </w:hyperlink>
      <w:r>
        <w:rPr>
          <w:color w:val="000000"/>
        </w:rPr>
        <w:t>.</w:t>
      </w:r>
    </w:p>
    <w:p w:rsidR="00116B16" w14:paraId="07C834B1" w14:textId="77777777">
      <w:pPr>
        <w:widowControl/>
        <w:pBdr>
          <w:top w:val="nil"/>
          <w:left w:val="nil"/>
          <w:bottom w:val="nil"/>
          <w:right w:val="nil"/>
          <w:between w:val="nil"/>
        </w:pBdr>
        <w:rPr>
          <w:color w:val="000000"/>
        </w:rPr>
      </w:pPr>
    </w:p>
    <w:p w:rsidR="005C6A8D" w14:paraId="000000A1" w14:textId="77777777">
      <w:pPr>
        <w:pBdr>
          <w:top w:val="nil"/>
          <w:left w:val="nil"/>
          <w:bottom w:val="nil"/>
          <w:right w:val="nil"/>
          <w:between w:val="nil"/>
        </w:pBdr>
      </w:pPr>
    </w:p>
    <w:p w:rsidR="005C6A8D" w14:paraId="000000A2" w14:textId="77777777">
      <w:pPr>
        <w:numPr>
          <w:ilvl w:val="0"/>
          <w:numId w:val="2"/>
        </w:numPr>
        <w:pBdr>
          <w:top w:val="nil"/>
          <w:left w:val="nil"/>
          <w:bottom w:val="nil"/>
          <w:right w:val="nil"/>
          <w:between w:val="nil"/>
        </w:pBdr>
        <w:tabs>
          <w:tab w:val="left" w:pos="360"/>
        </w:tabs>
        <w:ind w:left="0" w:firstLine="0"/>
        <w:rPr>
          <w:b/>
          <w:color w:val="000000"/>
        </w:rPr>
      </w:pPr>
      <w:r>
        <w:rPr>
          <w:b/>
          <w:color w:val="000000"/>
        </w:rPr>
        <w:t xml:space="preserve">Provide additional justification for any questions of a sensitive nature, such as sexual behavior or attitudes, religious beliefs, and other matters that are commonly considered private. This </w:t>
      </w:r>
      <w:r>
        <w:rPr>
          <w:b/>
          <w:color w:val="000000"/>
        </w:rPr>
        <w:t>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C6A8D" w14:paraId="000000A3" w14:textId="77777777">
      <w:pPr>
        <w:widowControl/>
      </w:pPr>
    </w:p>
    <w:p w:rsidR="005C6A8D" w14:paraId="000000A4" w14:textId="77777777">
      <w:pPr>
        <w:widowControl/>
      </w:pPr>
      <w:r>
        <w:t>This information collection does not involve the collection of information of a sensitive nature as described in this question.</w:t>
      </w:r>
    </w:p>
    <w:p w:rsidR="005C6A8D" w14:paraId="000000A5" w14:textId="77777777">
      <w:pPr>
        <w:sectPr>
          <w:headerReference w:type="default" r:id="rId19"/>
          <w:footerReference w:type="default" r:id="rId20"/>
          <w:pgSz w:w="12240" w:h="15840"/>
          <w:pgMar w:top="1440" w:right="1440" w:bottom="1440" w:left="1440" w:header="0" w:footer="1014" w:gutter="0"/>
          <w:pgNumType w:start="1"/>
          <w:cols w:space="720"/>
        </w:sectPr>
      </w:pPr>
    </w:p>
    <w:p w:rsidR="005C6A8D" w14:paraId="000000A6" w14:textId="77777777"/>
    <w:p w:rsidR="005C6A8D" w14:paraId="000000A7" w14:textId="77777777">
      <w:pPr>
        <w:numPr>
          <w:ilvl w:val="0"/>
          <w:numId w:val="2"/>
        </w:numPr>
        <w:pBdr>
          <w:top w:val="nil"/>
          <w:left w:val="nil"/>
          <w:bottom w:val="nil"/>
          <w:right w:val="nil"/>
          <w:between w:val="nil"/>
        </w:pBdr>
        <w:tabs>
          <w:tab w:val="left" w:pos="360"/>
        </w:tabs>
        <w:ind w:left="0" w:firstLine="0"/>
        <w:rPr>
          <w:b/>
          <w:color w:val="000000"/>
        </w:rPr>
      </w:pPr>
      <w:r>
        <w:rPr>
          <w:b/>
          <w:color w:val="000000"/>
        </w:rPr>
        <w:t xml:space="preserve">Provide estimates of the hour burden of the collection of </w:t>
      </w:r>
      <w:r>
        <w:rPr>
          <w:b/>
          <w:color w:val="000000"/>
        </w:rPr>
        <w:t>information.</w:t>
      </w:r>
    </w:p>
    <w:p w:rsidR="005C6A8D" w14:paraId="000000A8" w14:textId="77777777">
      <w:pPr>
        <w:ind w:hanging="43"/>
      </w:pPr>
    </w:p>
    <w:p w:rsidR="005C6A8D" w14:paraId="000000A9" w14:textId="77777777">
      <w:pPr>
        <w:widowControl/>
      </w:pPr>
    </w:p>
    <w:p w:rsidR="005C6A8D" w14:paraId="000000AA" w14:textId="77777777">
      <w:pPr>
        <w:ind w:hanging="43"/>
      </w:pPr>
    </w:p>
    <w:tbl>
      <w:tblPr>
        <w:tblStyle w:val="a7"/>
        <w:tblW w:w="13021" w:type="dxa"/>
        <w:jc w:val="center"/>
        <w:tblLayout w:type="fixed"/>
        <w:tblLook w:val="0400"/>
      </w:tblPr>
      <w:tblGrid>
        <w:gridCol w:w="2064"/>
        <w:gridCol w:w="2091"/>
        <w:gridCol w:w="1616"/>
        <w:gridCol w:w="1176"/>
        <w:gridCol w:w="1107"/>
        <w:gridCol w:w="1092"/>
        <w:gridCol w:w="1356"/>
        <w:gridCol w:w="1277"/>
        <w:gridCol w:w="1242"/>
      </w:tblGrid>
      <w:tr w14:paraId="541F8879" w14:textId="77777777">
        <w:tblPrEx>
          <w:tblW w:w="13021" w:type="dxa"/>
          <w:jc w:val="center"/>
          <w:tblLayout w:type="fixed"/>
          <w:tblLook w:val="0400"/>
        </w:tblPrEx>
        <w:trPr>
          <w:trHeight w:val="1360"/>
          <w:jc w:val="center"/>
        </w:trPr>
        <w:tc>
          <w:tcPr>
            <w:tcW w:w="2064"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5C6A8D" w14:paraId="000000AB"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Information Collection</w:t>
            </w:r>
          </w:p>
        </w:tc>
        <w:tc>
          <w:tcPr>
            <w:tcW w:w="2091" w:type="dxa"/>
            <w:tcBorders>
              <w:top w:val="single" w:sz="8" w:space="0" w:color="000000"/>
              <w:left w:val="nil"/>
              <w:bottom w:val="single" w:sz="8" w:space="0" w:color="000000"/>
              <w:right w:val="single" w:sz="8" w:space="0" w:color="000000"/>
            </w:tcBorders>
            <w:shd w:val="clear" w:color="auto" w:fill="BDD7EE"/>
            <w:vAlign w:val="center"/>
          </w:tcPr>
          <w:p w:rsidR="005C6A8D" w14:paraId="000000AC"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Type of Respondent (e.g., Occupational Title)</w:t>
            </w:r>
          </w:p>
        </w:tc>
        <w:tc>
          <w:tcPr>
            <w:tcW w:w="1616" w:type="dxa"/>
            <w:tcBorders>
              <w:top w:val="single" w:sz="8" w:space="0" w:color="000000"/>
              <w:left w:val="nil"/>
              <w:bottom w:val="single" w:sz="8" w:space="0" w:color="000000"/>
              <w:right w:val="single" w:sz="8" w:space="0" w:color="000000"/>
            </w:tcBorders>
            <w:shd w:val="clear" w:color="auto" w:fill="BDD7EE"/>
            <w:vAlign w:val="center"/>
          </w:tcPr>
          <w:p w:rsidR="005C6A8D" w14:paraId="000000AD"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 of Respondents/year</w:t>
            </w:r>
            <w:r>
              <w:rPr>
                <w:rFonts w:ascii="Calibri" w:eastAsia="Calibri" w:hAnsi="Calibri" w:cs="Calibri"/>
                <w:b/>
                <w:color w:val="000000"/>
                <w:sz w:val="18"/>
                <w:szCs w:val="18"/>
              </w:rPr>
              <w:br/>
              <w:t>(a)</w:t>
            </w:r>
          </w:p>
        </w:tc>
        <w:tc>
          <w:tcPr>
            <w:tcW w:w="1176" w:type="dxa"/>
            <w:tcBorders>
              <w:top w:val="single" w:sz="8" w:space="0" w:color="000000"/>
              <w:left w:val="nil"/>
              <w:bottom w:val="single" w:sz="8" w:space="0" w:color="000000"/>
              <w:right w:val="single" w:sz="8" w:space="0" w:color="000000"/>
            </w:tcBorders>
            <w:shd w:val="clear" w:color="auto" w:fill="BDD7EE"/>
            <w:vAlign w:val="center"/>
          </w:tcPr>
          <w:p w:rsidR="005C6A8D" w14:paraId="000000AE"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Annual # of Responses / Respondent</w:t>
            </w:r>
            <w:r>
              <w:rPr>
                <w:rFonts w:ascii="Calibri" w:eastAsia="Calibri" w:hAnsi="Calibri" w:cs="Calibri"/>
                <w:b/>
                <w:color w:val="000000"/>
                <w:sz w:val="18"/>
                <w:szCs w:val="18"/>
              </w:rPr>
              <w:br/>
              <w:t>(b)</w:t>
            </w:r>
          </w:p>
        </w:tc>
        <w:tc>
          <w:tcPr>
            <w:tcW w:w="1107" w:type="dxa"/>
            <w:tcBorders>
              <w:top w:val="single" w:sz="8" w:space="0" w:color="000000"/>
              <w:left w:val="nil"/>
              <w:bottom w:val="single" w:sz="8" w:space="0" w:color="000000"/>
              <w:right w:val="single" w:sz="8" w:space="0" w:color="000000"/>
            </w:tcBorders>
            <w:shd w:val="clear" w:color="auto" w:fill="BDD7EE"/>
            <w:vAlign w:val="center"/>
          </w:tcPr>
          <w:p w:rsidR="005C6A8D" w14:paraId="000000AF"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 Total # of Annual Responses</w:t>
            </w:r>
            <w:r>
              <w:rPr>
                <w:rFonts w:ascii="Calibri" w:eastAsia="Calibri" w:hAnsi="Calibri" w:cs="Calibri"/>
                <w:b/>
                <w:color w:val="000000"/>
                <w:sz w:val="18"/>
                <w:szCs w:val="18"/>
              </w:rPr>
              <w:br/>
              <w:t>(c) = (a) x (b)</w:t>
            </w:r>
          </w:p>
        </w:tc>
        <w:tc>
          <w:tcPr>
            <w:tcW w:w="1092" w:type="dxa"/>
            <w:tcBorders>
              <w:top w:val="single" w:sz="8" w:space="0" w:color="000000"/>
              <w:left w:val="nil"/>
              <w:bottom w:val="single" w:sz="8" w:space="0" w:color="000000"/>
              <w:right w:val="single" w:sz="8" w:space="0" w:color="000000"/>
            </w:tcBorders>
            <w:shd w:val="clear" w:color="auto" w:fill="BDD7EE"/>
            <w:vAlign w:val="center"/>
          </w:tcPr>
          <w:p w:rsidR="005C6A8D" w14:paraId="000000B0"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Burden Hrs / Response</w:t>
            </w:r>
            <w:r>
              <w:rPr>
                <w:rFonts w:ascii="Calibri" w:eastAsia="Calibri" w:hAnsi="Calibri" w:cs="Calibri"/>
                <w:b/>
                <w:color w:val="000000"/>
                <w:sz w:val="18"/>
                <w:szCs w:val="18"/>
              </w:rPr>
              <w:br/>
              <w:t>(d)</w:t>
            </w:r>
          </w:p>
        </w:tc>
        <w:tc>
          <w:tcPr>
            <w:tcW w:w="1356" w:type="dxa"/>
            <w:tcBorders>
              <w:top w:val="single" w:sz="8" w:space="0" w:color="000000"/>
              <w:left w:val="nil"/>
              <w:bottom w:val="single" w:sz="8" w:space="0" w:color="000000"/>
              <w:right w:val="single" w:sz="8" w:space="0" w:color="000000"/>
            </w:tcBorders>
            <w:shd w:val="clear" w:color="auto" w:fill="BDD7EE"/>
            <w:vAlign w:val="center"/>
          </w:tcPr>
          <w:p w:rsidR="005C6A8D" w14:paraId="000000B1"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Total Annual Burden Hrs</w:t>
            </w:r>
            <w:r>
              <w:rPr>
                <w:rFonts w:ascii="Calibri" w:eastAsia="Calibri" w:hAnsi="Calibri" w:cs="Calibri"/>
                <w:b/>
                <w:color w:val="000000"/>
                <w:sz w:val="18"/>
                <w:szCs w:val="18"/>
              </w:rPr>
              <w:br/>
              <w:t xml:space="preserve">(e) = </w:t>
            </w:r>
            <w:r>
              <w:rPr>
                <w:rFonts w:ascii="Calibri" w:eastAsia="Calibri" w:hAnsi="Calibri" w:cs="Calibri"/>
                <w:b/>
                <w:color w:val="000000"/>
                <w:sz w:val="18"/>
                <w:szCs w:val="18"/>
              </w:rPr>
              <w:t>(c) x (d)</w:t>
            </w:r>
          </w:p>
        </w:tc>
        <w:tc>
          <w:tcPr>
            <w:tcW w:w="1277" w:type="dxa"/>
            <w:tcBorders>
              <w:top w:val="single" w:sz="8" w:space="0" w:color="000000"/>
              <w:left w:val="nil"/>
              <w:bottom w:val="single" w:sz="8" w:space="0" w:color="000000"/>
              <w:right w:val="single" w:sz="8" w:space="0" w:color="000000"/>
            </w:tcBorders>
            <w:shd w:val="clear" w:color="auto" w:fill="BDD7EE"/>
            <w:vAlign w:val="center"/>
          </w:tcPr>
          <w:p w:rsidR="005C6A8D" w14:paraId="000000B2"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Hourly Wage Rate (for Type of Respondent)</w:t>
            </w:r>
            <w:r>
              <w:rPr>
                <w:rFonts w:ascii="Calibri" w:eastAsia="Calibri" w:hAnsi="Calibri" w:cs="Calibri"/>
                <w:b/>
                <w:color w:val="000000"/>
                <w:sz w:val="18"/>
                <w:szCs w:val="18"/>
              </w:rPr>
              <w:br/>
              <w:t>(f)</w:t>
            </w:r>
          </w:p>
        </w:tc>
        <w:tc>
          <w:tcPr>
            <w:tcW w:w="1242" w:type="dxa"/>
            <w:tcBorders>
              <w:top w:val="single" w:sz="8" w:space="0" w:color="000000"/>
              <w:left w:val="nil"/>
              <w:bottom w:val="single" w:sz="8" w:space="0" w:color="000000"/>
              <w:right w:val="single" w:sz="8" w:space="0" w:color="000000"/>
            </w:tcBorders>
            <w:shd w:val="clear" w:color="auto" w:fill="BDD7EE"/>
            <w:vAlign w:val="center"/>
          </w:tcPr>
          <w:p w:rsidR="005C6A8D" w14:paraId="000000B3"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Total Annual Wage Burden Costs</w:t>
            </w:r>
            <w:r>
              <w:rPr>
                <w:rFonts w:ascii="Calibri" w:eastAsia="Calibri" w:hAnsi="Calibri" w:cs="Calibri"/>
                <w:b/>
                <w:color w:val="000000"/>
                <w:sz w:val="18"/>
                <w:szCs w:val="18"/>
              </w:rPr>
              <w:br/>
              <w:t>(g) = (e) x (f)</w:t>
            </w:r>
          </w:p>
        </w:tc>
      </w:tr>
      <w:tr w14:paraId="58C3600C" w14:textId="77777777">
        <w:tblPrEx>
          <w:tblW w:w="13021" w:type="dxa"/>
          <w:jc w:val="center"/>
          <w:tblLayout w:type="fixed"/>
          <w:tblLook w:val="0400"/>
        </w:tblPrEx>
        <w:trPr>
          <w:trHeight w:val="375"/>
          <w:jc w:val="center"/>
        </w:trPr>
        <w:tc>
          <w:tcPr>
            <w:tcW w:w="2064" w:type="dxa"/>
            <w:vMerge w:val="restart"/>
            <w:tcBorders>
              <w:top w:val="nil"/>
              <w:left w:val="single" w:sz="8" w:space="0" w:color="000000"/>
              <w:right w:val="single" w:sz="4" w:space="0" w:color="000000"/>
            </w:tcBorders>
            <w:shd w:val="clear" w:color="auto" w:fill="auto"/>
            <w:vAlign w:val="center"/>
          </w:tcPr>
          <w:p w:rsidR="005C6A8D" w14:paraId="000000B4" w14:textId="77777777">
            <w:pPr>
              <w:keepNext/>
              <w:keepLines/>
              <w:widowControl/>
              <w:spacing w:before="40" w:after="40"/>
              <w:rPr>
                <w:rFonts w:ascii="Calibri" w:eastAsia="Calibri" w:hAnsi="Calibri" w:cs="Calibri"/>
                <w:sz w:val="18"/>
                <w:szCs w:val="18"/>
              </w:rPr>
            </w:pPr>
            <w:r>
              <w:rPr>
                <w:rFonts w:ascii="Calibri" w:eastAsia="Calibri" w:hAnsi="Calibri" w:cs="Calibri"/>
                <w:sz w:val="18"/>
                <w:szCs w:val="18"/>
              </w:rPr>
              <w:t>Annual Catcher Vessel Crab EDR</w:t>
            </w:r>
          </w:p>
        </w:tc>
        <w:tc>
          <w:tcPr>
            <w:tcW w:w="2091" w:type="dxa"/>
            <w:vMerge w:val="restart"/>
            <w:tcBorders>
              <w:top w:val="nil"/>
              <w:left w:val="nil"/>
              <w:right w:val="single" w:sz="4" w:space="0" w:color="000000"/>
            </w:tcBorders>
            <w:shd w:val="clear" w:color="auto" w:fill="auto"/>
            <w:vAlign w:val="center"/>
          </w:tcPr>
          <w:p w:rsidR="005C6A8D" w14:paraId="000000B5"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color w:val="000000"/>
                <w:sz w:val="18"/>
                <w:szCs w:val="18"/>
              </w:rPr>
              <w:t>Accountant/</w:t>
            </w:r>
          </w:p>
          <w:p w:rsidR="005C6A8D" w14:paraId="000000B6"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color w:val="000000"/>
                <w:sz w:val="18"/>
                <w:szCs w:val="18"/>
              </w:rPr>
              <w:t>Manager</w:t>
            </w:r>
          </w:p>
        </w:tc>
        <w:tc>
          <w:tcPr>
            <w:tcW w:w="1616" w:type="dxa"/>
            <w:tcBorders>
              <w:top w:val="nil"/>
              <w:left w:val="nil"/>
              <w:bottom w:val="dotted" w:sz="4" w:space="0" w:color="000000"/>
              <w:right w:val="single" w:sz="4" w:space="0" w:color="000000"/>
            </w:tcBorders>
            <w:shd w:val="clear" w:color="auto" w:fill="auto"/>
            <w:vAlign w:val="center"/>
          </w:tcPr>
          <w:p w:rsidR="005C6A8D" w14:paraId="000000B7"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sz w:val="18"/>
                <w:szCs w:val="18"/>
              </w:rPr>
              <w:t>56 – full EDR</w:t>
            </w:r>
          </w:p>
        </w:tc>
        <w:tc>
          <w:tcPr>
            <w:tcW w:w="1176" w:type="dxa"/>
            <w:tcBorders>
              <w:top w:val="nil"/>
              <w:left w:val="nil"/>
              <w:bottom w:val="dotted" w:sz="4" w:space="0" w:color="000000"/>
              <w:right w:val="single" w:sz="4" w:space="0" w:color="000000"/>
            </w:tcBorders>
            <w:shd w:val="clear" w:color="auto" w:fill="auto"/>
            <w:vAlign w:val="center"/>
          </w:tcPr>
          <w:p w:rsidR="005C6A8D" w14:paraId="000000B8"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107" w:type="dxa"/>
            <w:tcBorders>
              <w:top w:val="nil"/>
              <w:left w:val="nil"/>
              <w:bottom w:val="dotted" w:sz="4" w:space="0" w:color="000000"/>
              <w:right w:val="single" w:sz="4" w:space="0" w:color="000000"/>
            </w:tcBorders>
            <w:shd w:val="clear" w:color="auto" w:fill="auto"/>
            <w:vAlign w:val="center"/>
          </w:tcPr>
          <w:p w:rsidR="005C6A8D" w14:paraId="000000B9"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sz w:val="18"/>
                <w:szCs w:val="18"/>
              </w:rPr>
              <w:t>56</w:t>
            </w:r>
          </w:p>
        </w:tc>
        <w:tc>
          <w:tcPr>
            <w:tcW w:w="1092" w:type="dxa"/>
            <w:tcBorders>
              <w:top w:val="nil"/>
              <w:left w:val="nil"/>
              <w:bottom w:val="dotted" w:sz="4" w:space="0" w:color="000000"/>
              <w:right w:val="single" w:sz="4" w:space="0" w:color="000000"/>
            </w:tcBorders>
            <w:shd w:val="clear" w:color="auto" w:fill="auto"/>
            <w:vAlign w:val="center"/>
          </w:tcPr>
          <w:p w:rsidR="005C6A8D" w14:paraId="000000BA"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sz w:val="18"/>
                <w:szCs w:val="18"/>
              </w:rPr>
              <w:t>20 hr</w:t>
            </w:r>
          </w:p>
        </w:tc>
        <w:tc>
          <w:tcPr>
            <w:tcW w:w="1356" w:type="dxa"/>
            <w:tcBorders>
              <w:top w:val="nil"/>
              <w:left w:val="nil"/>
              <w:bottom w:val="dotted" w:sz="4" w:space="0" w:color="000000"/>
              <w:right w:val="single" w:sz="4" w:space="0" w:color="000000"/>
            </w:tcBorders>
            <w:shd w:val="clear" w:color="auto" w:fill="auto"/>
            <w:vAlign w:val="center"/>
          </w:tcPr>
          <w:p w:rsidR="005C6A8D" w14:paraId="000000BB"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sz w:val="18"/>
                <w:szCs w:val="18"/>
              </w:rPr>
              <w:t>1,120</w:t>
            </w:r>
          </w:p>
        </w:tc>
        <w:tc>
          <w:tcPr>
            <w:tcW w:w="1277" w:type="dxa"/>
            <w:tcBorders>
              <w:top w:val="nil"/>
              <w:left w:val="nil"/>
              <w:bottom w:val="dotted" w:sz="4" w:space="0" w:color="000000"/>
              <w:right w:val="single" w:sz="4" w:space="0" w:color="000000"/>
            </w:tcBorders>
            <w:shd w:val="clear" w:color="auto" w:fill="auto"/>
            <w:vAlign w:val="center"/>
          </w:tcPr>
          <w:p w:rsidR="005C6A8D" w14:paraId="000000BC"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43.07</w:t>
            </w:r>
          </w:p>
        </w:tc>
        <w:tc>
          <w:tcPr>
            <w:tcW w:w="1242" w:type="dxa"/>
            <w:tcBorders>
              <w:top w:val="nil"/>
              <w:left w:val="nil"/>
              <w:bottom w:val="dotted" w:sz="4" w:space="0" w:color="000000"/>
              <w:right w:val="single" w:sz="8" w:space="0" w:color="000000"/>
            </w:tcBorders>
            <w:shd w:val="clear" w:color="auto" w:fill="auto"/>
            <w:vAlign w:val="center"/>
          </w:tcPr>
          <w:p w:rsidR="005C6A8D" w14:paraId="000000BD"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48,238</w:t>
            </w:r>
          </w:p>
        </w:tc>
      </w:tr>
      <w:tr w14:paraId="5A48A13F" w14:textId="77777777">
        <w:tblPrEx>
          <w:tblW w:w="13021" w:type="dxa"/>
          <w:jc w:val="center"/>
          <w:tblLayout w:type="fixed"/>
          <w:tblLook w:val="0400"/>
        </w:tblPrEx>
        <w:trPr>
          <w:trHeight w:val="375"/>
          <w:jc w:val="center"/>
        </w:trPr>
        <w:tc>
          <w:tcPr>
            <w:tcW w:w="2064" w:type="dxa"/>
            <w:vMerge/>
            <w:tcBorders>
              <w:top w:val="nil"/>
              <w:left w:val="single" w:sz="8" w:space="0" w:color="000000"/>
              <w:right w:val="single" w:sz="4" w:space="0" w:color="000000"/>
            </w:tcBorders>
            <w:shd w:val="clear" w:color="auto" w:fill="auto"/>
            <w:vAlign w:val="center"/>
          </w:tcPr>
          <w:p w:rsidR="005C6A8D" w14:paraId="000000BE" w14:textId="77777777">
            <w:pPr>
              <w:pBdr>
                <w:top w:val="nil"/>
                <w:left w:val="nil"/>
                <w:bottom w:val="nil"/>
                <w:right w:val="nil"/>
                <w:between w:val="nil"/>
              </w:pBdr>
              <w:spacing w:line="276" w:lineRule="auto"/>
              <w:rPr>
                <w:rFonts w:ascii="Calibri" w:eastAsia="Calibri" w:hAnsi="Calibri" w:cs="Calibri"/>
                <w:color w:val="000000"/>
                <w:sz w:val="18"/>
                <w:szCs w:val="18"/>
              </w:rPr>
            </w:pPr>
          </w:p>
        </w:tc>
        <w:tc>
          <w:tcPr>
            <w:tcW w:w="2091" w:type="dxa"/>
            <w:vMerge/>
            <w:tcBorders>
              <w:top w:val="nil"/>
              <w:left w:val="nil"/>
              <w:right w:val="single" w:sz="4" w:space="0" w:color="000000"/>
            </w:tcBorders>
            <w:shd w:val="clear" w:color="auto" w:fill="auto"/>
            <w:vAlign w:val="center"/>
          </w:tcPr>
          <w:p w:rsidR="005C6A8D" w14:paraId="000000BF" w14:textId="77777777">
            <w:pPr>
              <w:pBdr>
                <w:top w:val="nil"/>
                <w:left w:val="nil"/>
                <w:bottom w:val="nil"/>
                <w:right w:val="nil"/>
                <w:between w:val="nil"/>
              </w:pBdr>
              <w:spacing w:line="276" w:lineRule="auto"/>
              <w:rPr>
                <w:rFonts w:ascii="Calibri" w:eastAsia="Calibri" w:hAnsi="Calibri" w:cs="Calibri"/>
                <w:color w:val="000000"/>
                <w:sz w:val="18"/>
                <w:szCs w:val="18"/>
              </w:rPr>
            </w:pPr>
          </w:p>
        </w:tc>
        <w:tc>
          <w:tcPr>
            <w:tcW w:w="1616" w:type="dxa"/>
            <w:tcBorders>
              <w:top w:val="dotted" w:sz="4" w:space="0" w:color="000000"/>
              <w:left w:val="nil"/>
              <w:bottom w:val="single" w:sz="8" w:space="0" w:color="000000"/>
              <w:right w:val="single" w:sz="4" w:space="0" w:color="000000"/>
            </w:tcBorders>
            <w:shd w:val="clear" w:color="auto" w:fill="auto"/>
            <w:vAlign w:val="center"/>
          </w:tcPr>
          <w:p w:rsidR="005C6A8D" w14:paraId="000000C0"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sz w:val="18"/>
                <w:szCs w:val="18"/>
              </w:rPr>
              <w:t>1 – cert. only</w:t>
            </w:r>
            <w:r>
              <w:rPr>
                <w:rFonts w:ascii="Calibri" w:eastAsia="Calibri" w:hAnsi="Calibri" w:cs="Calibri"/>
                <w:sz w:val="18"/>
                <w:szCs w:val="18"/>
                <w:vertAlign w:val="superscript"/>
              </w:rPr>
              <w:t>2</w:t>
            </w:r>
          </w:p>
        </w:tc>
        <w:tc>
          <w:tcPr>
            <w:tcW w:w="1176" w:type="dxa"/>
            <w:tcBorders>
              <w:top w:val="dotted" w:sz="4" w:space="0" w:color="000000"/>
              <w:left w:val="nil"/>
              <w:bottom w:val="single" w:sz="8" w:space="0" w:color="000000"/>
              <w:right w:val="single" w:sz="4" w:space="0" w:color="000000"/>
            </w:tcBorders>
            <w:shd w:val="clear" w:color="auto" w:fill="auto"/>
            <w:vAlign w:val="center"/>
          </w:tcPr>
          <w:p w:rsidR="005C6A8D" w14:paraId="000000C1"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107" w:type="dxa"/>
            <w:tcBorders>
              <w:top w:val="dotted" w:sz="4" w:space="0" w:color="000000"/>
              <w:left w:val="nil"/>
              <w:bottom w:val="single" w:sz="8" w:space="0" w:color="000000"/>
              <w:right w:val="single" w:sz="4" w:space="0" w:color="000000"/>
            </w:tcBorders>
            <w:shd w:val="clear" w:color="auto" w:fill="auto"/>
            <w:vAlign w:val="center"/>
          </w:tcPr>
          <w:p w:rsidR="005C6A8D" w14:paraId="000000C2"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sz w:val="18"/>
                <w:szCs w:val="18"/>
              </w:rPr>
              <w:t>1</w:t>
            </w:r>
          </w:p>
        </w:tc>
        <w:tc>
          <w:tcPr>
            <w:tcW w:w="1092" w:type="dxa"/>
            <w:tcBorders>
              <w:top w:val="dotted" w:sz="4" w:space="0" w:color="000000"/>
              <w:left w:val="nil"/>
              <w:bottom w:val="single" w:sz="8" w:space="0" w:color="000000"/>
              <w:right w:val="single" w:sz="4" w:space="0" w:color="000000"/>
            </w:tcBorders>
            <w:shd w:val="clear" w:color="auto" w:fill="auto"/>
            <w:vAlign w:val="center"/>
          </w:tcPr>
          <w:p w:rsidR="005C6A8D" w14:paraId="000000C3"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sz w:val="18"/>
                <w:szCs w:val="18"/>
              </w:rPr>
              <w:t>1 hr</w:t>
            </w:r>
          </w:p>
        </w:tc>
        <w:tc>
          <w:tcPr>
            <w:tcW w:w="1356" w:type="dxa"/>
            <w:tcBorders>
              <w:top w:val="dotted" w:sz="4" w:space="0" w:color="000000"/>
              <w:left w:val="nil"/>
              <w:bottom w:val="single" w:sz="8" w:space="0" w:color="000000"/>
              <w:right w:val="single" w:sz="4" w:space="0" w:color="000000"/>
            </w:tcBorders>
            <w:shd w:val="clear" w:color="auto" w:fill="auto"/>
            <w:vAlign w:val="center"/>
          </w:tcPr>
          <w:p w:rsidR="005C6A8D" w14:paraId="000000C4"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sz w:val="18"/>
                <w:szCs w:val="18"/>
              </w:rPr>
              <w:t>1</w:t>
            </w:r>
          </w:p>
        </w:tc>
        <w:tc>
          <w:tcPr>
            <w:tcW w:w="1277" w:type="dxa"/>
            <w:tcBorders>
              <w:top w:val="dotted" w:sz="4" w:space="0" w:color="000000"/>
              <w:left w:val="nil"/>
              <w:bottom w:val="single" w:sz="8" w:space="0" w:color="000000"/>
              <w:right w:val="single" w:sz="4" w:space="0" w:color="000000"/>
            </w:tcBorders>
            <w:shd w:val="clear" w:color="auto" w:fill="auto"/>
            <w:vAlign w:val="center"/>
          </w:tcPr>
          <w:p w:rsidR="005C6A8D" w14:paraId="000000C5"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43.07</w:t>
            </w:r>
          </w:p>
        </w:tc>
        <w:tc>
          <w:tcPr>
            <w:tcW w:w="1242" w:type="dxa"/>
            <w:tcBorders>
              <w:top w:val="dotted" w:sz="4" w:space="0" w:color="000000"/>
              <w:left w:val="nil"/>
              <w:bottom w:val="single" w:sz="8" w:space="0" w:color="000000"/>
              <w:right w:val="single" w:sz="8" w:space="0" w:color="000000"/>
            </w:tcBorders>
            <w:shd w:val="clear" w:color="auto" w:fill="auto"/>
            <w:vAlign w:val="center"/>
          </w:tcPr>
          <w:p w:rsidR="005C6A8D" w14:paraId="000000C6"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43</w:t>
            </w:r>
          </w:p>
        </w:tc>
      </w:tr>
      <w:tr w14:paraId="2F5ED584" w14:textId="77777777">
        <w:tblPrEx>
          <w:tblW w:w="13021" w:type="dxa"/>
          <w:jc w:val="center"/>
          <w:tblLayout w:type="fixed"/>
          <w:tblLook w:val="0400"/>
        </w:tblPrEx>
        <w:trPr>
          <w:trHeight w:val="375"/>
          <w:jc w:val="center"/>
        </w:trPr>
        <w:tc>
          <w:tcPr>
            <w:tcW w:w="2064" w:type="dxa"/>
            <w:vMerge w:val="restart"/>
            <w:tcBorders>
              <w:top w:val="nil"/>
              <w:left w:val="single" w:sz="8" w:space="0" w:color="000000"/>
              <w:right w:val="single" w:sz="4" w:space="0" w:color="000000"/>
            </w:tcBorders>
            <w:shd w:val="clear" w:color="auto" w:fill="auto"/>
            <w:vAlign w:val="center"/>
          </w:tcPr>
          <w:p w:rsidR="005C6A8D" w14:paraId="000000C7" w14:textId="77777777">
            <w:pPr>
              <w:keepNext/>
              <w:keepLines/>
              <w:widowControl/>
              <w:spacing w:before="40" w:after="40"/>
              <w:rPr>
                <w:rFonts w:ascii="Calibri" w:eastAsia="Calibri" w:hAnsi="Calibri" w:cs="Calibri"/>
                <w:sz w:val="18"/>
                <w:szCs w:val="18"/>
              </w:rPr>
            </w:pPr>
            <w:r>
              <w:rPr>
                <w:rFonts w:ascii="Calibri" w:eastAsia="Calibri" w:hAnsi="Calibri" w:cs="Calibri"/>
                <w:sz w:val="18"/>
                <w:szCs w:val="18"/>
              </w:rPr>
              <w:t xml:space="preserve">Annual </w:t>
            </w:r>
            <w:r>
              <w:rPr>
                <w:rFonts w:ascii="Calibri" w:eastAsia="Calibri" w:hAnsi="Calibri" w:cs="Calibri"/>
                <w:sz w:val="18"/>
                <w:szCs w:val="18"/>
              </w:rPr>
              <w:t>Catcher/Processor Crab EDR</w:t>
            </w:r>
          </w:p>
        </w:tc>
        <w:tc>
          <w:tcPr>
            <w:tcW w:w="2091" w:type="dxa"/>
            <w:vMerge w:val="restart"/>
            <w:tcBorders>
              <w:top w:val="nil"/>
              <w:left w:val="nil"/>
              <w:right w:val="single" w:sz="4" w:space="0" w:color="000000"/>
            </w:tcBorders>
            <w:shd w:val="clear" w:color="auto" w:fill="auto"/>
            <w:vAlign w:val="center"/>
          </w:tcPr>
          <w:p w:rsidR="005C6A8D" w14:paraId="000000C8"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color w:val="000000"/>
                <w:sz w:val="18"/>
                <w:szCs w:val="18"/>
              </w:rPr>
              <w:t>Accountant/</w:t>
            </w:r>
          </w:p>
          <w:p w:rsidR="005C6A8D" w14:paraId="000000C9"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color w:val="000000"/>
                <w:sz w:val="18"/>
                <w:szCs w:val="18"/>
              </w:rPr>
              <w:t>Manager</w:t>
            </w:r>
          </w:p>
        </w:tc>
        <w:tc>
          <w:tcPr>
            <w:tcW w:w="1616" w:type="dxa"/>
            <w:tcBorders>
              <w:top w:val="nil"/>
              <w:left w:val="nil"/>
              <w:bottom w:val="dotted" w:sz="4" w:space="0" w:color="000000"/>
              <w:right w:val="single" w:sz="4" w:space="0" w:color="000000"/>
            </w:tcBorders>
            <w:shd w:val="clear" w:color="auto" w:fill="auto"/>
            <w:vAlign w:val="center"/>
          </w:tcPr>
          <w:p w:rsidR="005C6A8D" w14:paraId="000000CA"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sz w:val="18"/>
                <w:szCs w:val="18"/>
              </w:rPr>
              <w:t>2 – full EDR</w:t>
            </w:r>
          </w:p>
        </w:tc>
        <w:tc>
          <w:tcPr>
            <w:tcW w:w="1176" w:type="dxa"/>
            <w:tcBorders>
              <w:top w:val="nil"/>
              <w:left w:val="nil"/>
              <w:bottom w:val="dotted" w:sz="4" w:space="0" w:color="000000"/>
              <w:right w:val="single" w:sz="4" w:space="0" w:color="000000"/>
            </w:tcBorders>
            <w:shd w:val="clear" w:color="auto" w:fill="auto"/>
            <w:vAlign w:val="center"/>
          </w:tcPr>
          <w:p w:rsidR="005C6A8D" w14:paraId="000000CB"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107" w:type="dxa"/>
            <w:tcBorders>
              <w:top w:val="nil"/>
              <w:left w:val="nil"/>
              <w:bottom w:val="dotted" w:sz="4" w:space="0" w:color="000000"/>
              <w:right w:val="single" w:sz="4" w:space="0" w:color="000000"/>
            </w:tcBorders>
            <w:shd w:val="clear" w:color="auto" w:fill="auto"/>
            <w:vAlign w:val="center"/>
          </w:tcPr>
          <w:p w:rsidR="005C6A8D" w14:paraId="000000CC"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sz w:val="18"/>
                <w:szCs w:val="18"/>
              </w:rPr>
              <w:t>2</w:t>
            </w:r>
          </w:p>
        </w:tc>
        <w:tc>
          <w:tcPr>
            <w:tcW w:w="1092" w:type="dxa"/>
            <w:tcBorders>
              <w:top w:val="nil"/>
              <w:left w:val="nil"/>
              <w:bottom w:val="dotted" w:sz="4" w:space="0" w:color="000000"/>
              <w:right w:val="single" w:sz="4" w:space="0" w:color="000000"/>
            </w:tcBorders>
            <w:shd w:val="clear" w:color="auto" w:fill="auto"/>
            <w:vAlign w:val="center"/>
          </w:tcPr>
          <w:p w:rsidR="005C6A8D" w14:paraId="000000CD"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sz w:val="18"/>
                <w:szCs w:val="18"/>
              </w:rPr>
              <w:t>20 hr</w:t>
            </w:r>
          </w:p>
        </w:tc>
        <w:tc>
          <w:tcPr>
            <w:tcW w:w="1356" w:type="dxa"/>
            <w:tcBorders>
              <w:top w:val="nil"/>
              <w:left w:val="nil"/>
              <w:bottom w:val="dotted" w:sz="4" w:space="0" w:color="000000"/>
              <w:right w:val="single" w:sz="4" w:space="0" w:color="000000"/>
            </w:tcBorders>
            <w:shd w:val="clear" w:color="auto" w:fill="auto"/>
            <w:vAlign w:val="center"/>
          </w:tcPr>
          <w:p w:rsidR="005C6A8D" w14:paraId="000000CE"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sz w:val="18"/>
                <w:szCs w:val="18"/>
              </w:rPr>
              <w:t>40</w:t>
            </w:r>
          </w:p>
        </w:tc>
        <w:tc>
          <w:tcPr>
            <w:tcW w:w="1277" w:type="dxa"/>
            <w:tcBorders>
              <w:top w:val="nil"/>
              <w:left w:val="nil"/>
              <w:bottom w:val="dotted" w:sz="4" w:space="0" w:color="000000"/>
              <w:right w:val="single" w:sz="4" w:space="0" w:color="000000"/>
            </w:tcBorders>
            <w:shd w:val="clear" w:color="auto" w:fill="auto"/>
            <w:vAlign w:val="center"/>
          </w:tcPr>
          <w:p w:rsidR="005C6A8D" w14:paraId="000000CF"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43.07</w:t>
            </w:r>
          </w:p>
        </w:tc>
        <w:tc>
          <w:tcPr>
            <w:tcW w:w="1242" w:type="dxa"/>
            <w:tcBorders>
              <w:top w:val="nil"/>
              <w:left w:val="nil"/>
              <w:bottom w:val="dotted" w:sz="4" w:space="0" w:color="000000"/>
              <w:right w:val="single" w:sz="8" w:space="0" w:color="000000"/>
            </w:tcBorders>
            <w:shd w:val="clear" w:color="auto" w:fill="auto"/>
            <w:vAlign w:val="center"/>
          </w:tcPr>
          <w:p w:rsidR="005C6A8D" w14:paraId="000000D0"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1,723</w:t>
            </w:r>
          </w:p>
        </w:tc>
      </w:tr>
      <w:tr w14:paraId="6431E472" w14:textId="77777777">
        <w:tblPrEx>
          <w:tblW w:w="13021" w:type="dxa"/>
          <w:jc w:val="center"/>
          <w:tblLayout w:type="fixed"/>
          <w:tblLook w:val="0400"/>
        </w:tblPrEx>
        <w:trPr>
          <w:trHeight w:val="375"/>
          <w:jc w:val="center"/>
        </w:trPr>
        <w:tc>
          <w:tcPr>
            <w:tcW w:w="2064" w:type="dxa"/>
            <w:vMerge/>
            <w:tcBorders>
              <w:top w:val="nil"/>
              <w:left w:val="single" w:sz="8" w:space="0" w:color="000000"/>
              <w:right w:val="single" w:sz="4" w:space="0" w:color="000000"/>
            </w:tcBorders>
            <w:shd w:val="clear" w:color="auto" w:fill="auto"/>
            <w:vAlign w:val="center"/>
          </w:tcPr>
          <w:p w:rsidR="005C6A8D" w14:paraId="000000D1" w14:textId="77777777">
            <w:pPr>
              <w:pBdr>
                <w:top w:val="nil"/>
                <w:left w:val="nil"/>
                <w:bottom w:val="nil"/>
                <w:right w:val="nil"/>
                <w:between w:val="nil"/>
              </w:pBdr>
              <w:spacing w:line="276" w:lineRule="auto"/>
              <w:rPr>
                <w:rFonts w:ascii="Calibri" w:eastAsia="Calibri" w:hAnsi="Calibri" w:cs="Calibri"/>
                <w:color w:val="000000"/>
                <w:sz w:val="18"/>
                <w:szCs w:val="18"/>
              </w:rPr>
            </w:pPr>
          </w:p>
        </w:tc>
        <w:tc>
          <w:tcPr>
            <w:tcW w:w="2091" w:type="dxa"/>
            <w:vMerge/>
            <w:tcBorders>
              <w:top w:val="nil"/>
              <w:left w:val="nil"/>
              <w:right w:val="single" w:sz="4" w:space="0" w:color="000000"/>
            </w:tcBorders>
            <w:shd w:val="clear" w:color="auto" w:fill="auto"/>
            <w:vAlign w:val="center"/>
          </w:tcPr>
          <w:p w:rsidR="005C6A8D" w14:paraId="000000D2" w14:textId="77777777">
            <w:pPr>
              <w:pBdr>
                <w:top w:val="nil"/>
                <w:left w:val="nil"/>
                <w:bottom w:val="nil"/>
                <w:right w:val="nil"/>
                <w:between w:val="nil"/>
              </w:pBdr>
              <w:spacing w:line="276" w:lineRule="auto"/>
              <w:rPr>
                <w:rFonts w:ascii="Calibri" w:eastAsia="Calibri" w:hAnsi="Calibri" w:cs="Calibri"/>
                <w:color w:val="000000"/>
                <w:sz w:val="18"/>
                <w:szCs w:val="18"/>
              </w:rPr>
            </w:pPr>
          </w:p>
        </w:tc>
        <w:tc>
          <w:tcPr>
            <w:tcW w:w="1616" w:type="dxa"/>
            <w:tcBorders>
              <w:top w:val="dotted" w:sz="4" w:space="0" w:color="000000"/>
              <w:left w:val="nil"/>
              <w:bottom w:val="single" w:sz="8" w:space="0" w:color="000000"/>
              <w:right w:val="single" w:sz="4" w:space="0" w:color="000000"/>
            </w:tcBorders>
            <w:shd w:val="clear" w:color="auto" w:fill="auto"/>
            <w:vAlign w:val="center"/>
          </w:tcPr>
          <w:p w:rsidR="005C6A8D" w14:paraId="000000D3"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sz w:val="18"/>
                <w:szCs w:val="18"/>
              </w:rPr>
              <w:t>0 – cert. only</w:t>
            </w:r>
            <w:r>
              <w:rPr>
                <w:rFonts w:ascii="Calibri" w:eastAsia="Calibri" w:hAnsi="Calibri" w:cs="Calibri"/>
                <w:sz w:val="18"/>
                <w:szCs w:val="18"/>
                <w:vertAlign w:val="superscript"/>
              </w:rPr>
              <w:t>2</w:t>
            </w:r>
          </w:p>
        </w:tc>
        <w:tc>
          <w:tcPr>
            <w:tcW w:w="1176" w:type="dxa"/>
            <w:tcBorders>
              <w:top w:val="dotted" w:sz="4" w:space="0" w:color="000000"/>
              <w:left w:val="nil"/>
              <w:bottom w:val="single" w:sz="8" w:space="0" w:color="000000"/>
              <w:right w:val="single" w:sz="4" w:space="0" w:color="000000"/>
            </w:tcBorders>
            <w:shd w:val="clear" w:color="auto" w:fill="auto"/>
            <w:vAlign w:val="center"/>
          </w:tcPr>
          <w:p w:rsidR="005C6A8D" w14:paraId="000000D4"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107" w:type="dxa"/>
            <w:tcBorders>
              <w:top w:val="dotted" w:sz="4" w:space="0" w:color="000000"/>
              <w:left w:val="nil"/>
              <w:bottom w:val="single" w:sz="8" w:space="0" w:color="000000"/>
              <w:right w:val="single" w:sz="4" w:space="0" w:color="000000"/>
            </w:tcBorders>
            <w:shd w:val="clear" w:color="auto" w:fill="auto"/>
            <w:vAlign w:val="center"/>
          </w:tcPr>
          <w:p w:rsidR="005C6A8D" w14:paraId="000000D5"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sz w:val="18"/>
                <w:szCs w:val="18"/>
              </w:rPr>
              <w:t>0</w:t>
            </w:r>
          </w:p>
        </w:tc>
        <w:tc>
          <w:tcPr>
            <w:tcW w:w="1092" w:type="dxa"/>
            <w:tcBorders>
              <w:top w:val="dotted" w:sz="4" w:space="0" w:color="000000"/>
              <w:left w:val="nil"/>
              <w:bottom w:val="single" w:sz="8" w:space="0" w:color="000000"/>
              <w:right w:val="single" w:sz="4" w:space="0" w:color="000000"/>
            </w:tcBorders>
            <w:shd w:val="clear" w:color="auto" w:fill="auto"/>
            <w:vAlign w:val="center"/>
          </w:tcPr>
          <w:p w:rsidR="005C6A8D" w14:paraId="000000D6"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sz w:val="18"/>
                <w:szCs w:val="18"/>
              </w:rPr>
              <w:t>1 hr</w:t>
            </w:r>
          </w:p>
        </w:tc>
        <w:tc>
          <w:tcPr>
            <w:tcW w:w="1356" w:type="dxa"/>
            <w:tcBorders>
              <w:top w:val="dotted" w:sz="4" w:space="0" w:color="000000"/>
              <w:left w:val="nil"/>
              <w:bottom w:val="single" w:sz="8" w:space="0" w:color="000000"/>
              <w:right w:val="single" w:sz="4" w:space="0" w:color="000000"/>
            </w:tcBorders>
            <w:shd w:val="clear" w:color="auto" w:fill="auto"/>
            <w:vAlign w:val="center"/>
          </w:tcPr>
          <w:p w:rsidR="005C6A8D" w14:paraId="000000D7"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sz w:val="18"/>
                <w:szCs w:val="18"/>
              </w:rPr>
              <w:t>0</w:t>
            </w:r>
          </w:p>
        </w:tc>
        <w:tc>
          <w:tcPr>
            <w:tcW w:w="1277" w:type="dxa"/>
            <w:tcBorders>
              <w:top w:val="dotted" w:sz="4" w:space="0" w:color="000000"/>
              <w:left w:val="nil"/>
              <w:bottom w:val="single" w:sz="8" w:space="0" w:color="000000"/>
              <w:right w:val="single" w:sz="4" w:space="0" w:color="000000"/>
            </w:tcBorders>
            <w:shd w:val="clear" w:color="auto" w:fill="auto"/>
            <w:vAlign w:val="center"/>
          </w:tcPr>
          <w:p w:rsidR="005C6A8D" w14:paraId="000000D8"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43.07</w:t>
            </w:r>
          </w:p>
        </w:tc>
        <w:tc>
          <w:tcPr>
            <w:tcW w:w="1242" w:type="dxa"/>
            <w:tcBorders>
              <w:top w:val="dotted" w:sz="4" w:space="0" w:color="000000"/>
              <w:left w:val="nil"/>
              <w:bottom w:val="single" w:sz="8" w:space="0" w:color="000000"/>
              <w:right w:val="single" w:sz="8" w:space="0" w:color="000000"/>
            </w:tcBorders>
            <w:shd w:val="clear" w:color="auto" w:fill="auto"/>
            <w:vAlign w:val="center"/>
          </w:tcPr>
          <w:p w:rsidR="005C6A8D" w14:paraId="000000D9"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color w:val="000000"/>
                <w:sz w:val="18"/>
                <w:szCs w:val="18"/>
              </w:rPr>
              <w:t>0</w:t>
            </w:r>
          </w:p>
        </w:tc>
      </w:tr>
      <w:tr w14:paraId="6915CBCB" w14:textId="77777777">
        <w:tblPrEx>
          <w:tblW w:w="13021" w:type="dxa"/>
          <w:jc w:val="center"/>
          <w:tblLayout w:type="fixed"/>
          <w:tblLook w:val="0400"/>
        </w:tblPrEx>
        <w:trPr>
          <w:trHeight w:val="375"/>
          <w:jc w:val="center"/>
        </w:trPr>
        <w:tc>
          <w:tcPr>
            <w:tcW w:w="2064" w:type="dxa"/>
            <w:vMerge w:val="restart"/>
            <w:tcBorders>
              <w:top w:val="nil"/>
              <w:left w:val="single" w:sz="8" w:space="0" w:color="000000"/>
              <w:right w:val="single" w:sz="4" w:space="0" w:color="000000"/>
            </w:tcBorders>
            <w:shd w:val="clear" w:color="auto" w:fill="auto"/>
            <w:vAlign w:val="center"/>
          </w:tcPr>
          <w:p w:rsidR="005C6A8D" w14:paraId="000000DA" w14:textId="77777777">
            <w:pPr>
              <w:keepNext/>
              <w:keepLines/>
              <w:widowControl/>
              <w:spacing w:before="40" w:after="40"/>
              <w:rPr>
                <w:rFonts w:ascii="Calibri" w:eastAsia="Calibri" w:hAnsi="Calibri" w:cs="Calibri"/>
                <w:sz w:val="18"/>
                <w:szCs w:val="18"/>
              </w:rPr>
            </w:pPr>
            <w:r>
              <w:rPr>
                <w:rFonts w:ascii="Calibri" w:eastAsia="Calibri" w:hAnsi="Calibri" w:cs="Calibri"/>
                <w:sz w:val="18"/>
                <w:szCs w:val="18"/>
              </w:rPr>
              <w:t>Annual Processor Crab EDR</w:t>
            </w:r>
          </w:p>
        </w:tc>
        <w:tc>
          <w:tcPr>
            <w:tcW w:w="2091" w:type="dxa"/>
            <w:vMerge w:val="restart"/>
            <w:tcBorders>
              <w:top w:val="nil"/>
              <w:left w:val="nil"/>
              <w:right w:val="single" w:sz="4" w:space="0" w:color="000000"/>
            </w:tcBorders>
            <w:shd w:val="clear" w:color="auto" w:fill="auto"/>
            <w:vAlign w:val="center"/>
          </w:tcPr>
          <w:p w:rsidR="005C6A8D" w14:paraId="000000DB"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color w:val="000000"/>
                <w:sz w:val="18"/>
                <w:szCs w:val="18"/>
              </w:rPr>
              <w:t>Accountant/</w:t>
            </w:r>
          </w:p>
          <w:p w:rsidR="005C6A8D" w14:paraId="000000DC"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color w:val="000000"/>
                <w:sz w:val="18"/>
                <w:szCs w:val="18"/>
              </w:rPr>
              <w:t>Manager</w:t>
            </w:r>
          </w:p>
        </w:tc>
        <w:tc>
          <w:tcPr>
            <w:tcW w:w="1616" w:type="dxa"/>
            <w:tcBorders>
              <w:top w:val="nil"/>
              <w:left w:val="nil"/>
              <w:bottom w:val="dotted" w:sz="4" w:space="0" w:color="000000"/>
              <w:right w:val="single" w:sz="4" w:space="0" w:color="000000"/>
            </w:tcBorders>
            <w:shd w:val="clear" w:color="auto" w:fill="auto"/>
            <w:vAlign w:val="center"/>
          </w:tcPr>
          <w:p w:rsidR="005C6A8D" w14:paraId="000000DD"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sz w:val="18"/>
                <w:szCs w:val="18"/>
              </w:rPr>
              <w:t>18 – full EDR</w:t>
            </w:r>
          </w:p>
        </w:tc>
        <w:tc>
          <w:tcPr>
            <w:tcW w:w="1176" w:type="dxa"/>
            <w:tcBorders>
              <w:top w:val="nil"/>
              <w:left w:val="nil"/>
              <w:bottom w:val="dotted" w:sz="4" w:space="0" w:color="000000"/>
              <w:right w:val="single" w:sz="4" w:space="0" w:color="000000"/>
            </w:tcBorders>
            <w:shd w:val="clear" w:color="auto" w:fill="auto"/>
            <w:vAlign w:val="center"/>
          </w:tcPr>
          <w:p w:rsidR="005C6A8D" w14:paraId="000000DE"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107" w:type="dxa"/>
            <w:tcBorders>
              <w:top w:val="nil"/>
              <w:left w:val="nil"/>
              <w:bottom w:val="dotted" w:sz="4" w:space="0" w:color="000000"/>
              <w:right w:val="single" w:sz="4" w:space="0" w:color="000000"/>
            </w:tcBorders>
            <w:shd w:val="clear" w:color="auto" w:fill="auto"/>
            <w:vAlign w:val="center"/>
          </w:tcPr>
          <w:p w:rsidR="005C6A8D" w14:paraId="000000DF"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sz w:val="18"/>
                <w:szCs w:val="18"/>
              </w:rPr>
              <w:t>18</w:t>
            </w:r>
          </w:p>
        </w:tc>
        <w:tc>
          <w:tcPr>
            <w:tcW w:w="1092" w:type="dxa"/>
            <w:tcBorders>
              <w:top w:val="nil"/>
              <w:left w:val="nil"/>
              <w:bottom w:val="dotted" w:sz="4" w:space="0" w:color="000000"/>
              <w:right w:val="single" w:sz="4" w:space="0" w:color="000000"/>
            </w:tcBorders>
            <w:shd w:val="clear" w:color="auto" w:fill="auto"/>
            <w:vAlign w:val="center"/>
          </w:tcPr>
          <w:p w:rsidR="005C6A8D" w14:paraId="000000E0"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sz w:val="18"/>
                <w:szCs w:val="18"/>
              </w:rPr>
              <w:t>16 hr</w:t>
            </w:r>
          </w:p>
        </w:tc>
        <w:tc>
          <w:tcPr>
            <w:tcW w:w="1356" w:type="dxa"/>
            <w:tcBorders>
              <w:top w:val="nil"/>
              <w:left w:val="nil"/>
              <w:bottom w:val="dotted" w:sz="4" w:space="0" w:color="000000"/>
              <w:right w:val="single" w:sz="4" w:space="0" w:color="000000"/>
            </w:tcBorders>
            <w:shd w:val="clear" w:color="auto" w:fill="auto"/>
            <w:vAlign w:val="center"/>
          </w:tcPr>
          <w:p w:rsidR="005C6A8D" w14:paraId="000000E1"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sz w:val="18"/>
                <w:szCs w:val="18"/>
              </w:rPr>
              <w:t>288</w:t>
            </w:r>
          </w:p>
        </w:tc>
        <w:tc>
          <w:tcPr>
            <w:tcW w:w="1277" w:type="dxa"/>
            <w:tcBorders>
              <w:top w:val="nil"/>
              <w:left w:val="nil"/>
              <w:bottom w:val="dotted" w:sz="4" w:space="0" w:color="000000"/>
              <w:right w:val="single" w:sz="4" w:space="0" w:color="000000"/>
            </w:tcBorders>
            <w:shd w:val="clear" w:color="auto" w:fill="auto"/>
            <w:vAlign w:val="center"/>
          </w:tcPr>
          <w:p w:rsidR="005C6A8D" w14:paraId="000000E2"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43.07</w:t>
            </w:r>
          </w:p>
        </w:tc>
        <w:tc>
          <w:tcPr>
            <w:tcW w:w="1242" w:type="dxa"/>
            <w:tcBorders>
              <w:top w:val="nil"/>
              <w:left w:val="nil"/>
              <w:bottom w:val="dotted" w:sz="4" w:space="0" w:color="000000"/>
              <w:right w:val="single" w:sz="8" w:space="0" w:color="000000"/>
            </w:tcBorders>
            <w:shd w:val="clear" w:color="auto" w:fill="auto"/>
            <w:vAlign w:val="center"/>
          </w:tcPr>
          <w:p w:rsidR="005C6A8D" w14:paraId="000000E3"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12,404</w:t>
            </w:r>
          </w:p>
        </w:tc>
      </w:tr>
      <w:tr w14:paraId="0438178C" w14:textId="77777777">
        <w:tblPrEx>
          <w:tblW w:w="13021" w:type="dxa"/>
          <w:jc w:val="center"/>
          <w:tblLayout w:type="fixed"/>
          <w:tblLook w:val="0400"/>
        </w:tblPrEx>
        <w:trPr>
          <w:trHeight w:val="375"/>
          <w:jc w:val="center"/>
        </w:trPr>
        <w:tc>
          <w:tcPr>
            <w:tcW w:w="2064" w:type="dxa"/>
            <w:vMerge/>
            <w:tcBorders>
              <w:top w:val="nil"/>
              <w:left w:val="single" w:sz="8" w:space="0" w:color="000000"/>
              <w:right w:val="single" w:sz="4" w:space="0" w:color="000000"/>
            </w:tcBorders>
            <w:shd w:val="clear" w:color="auto" w:fill="auto"/>
            <w:vAlign w:val="center"/>
          </w:tcPr>
          <w:p w:rsidR="005C6A8D" w14:paraId="000000E4" w14:textId="77777777">
            <w:pPr>
              <w:pBdr>
                <w:top w:val="nil"/>
                <w:left w:val="nil"/>
                <w:bottom w:val="nil"/>
                <w:right w:val="nil"/>
                <w:between w:val="nil"/>
              </w:pBdr>
              <w:spacing w:line="276" w:lineRule="auto"/>
              <w:rPr>
                <w:rFonts w:ascii="Calibri" w:eastAsia="Calibri" w:hAnsi="Calibri" w:cs="Calibri"/>
                <w:color w:val="000000"/>
                <w:sz w:val="18"/>
                <w:szCs w:val="18"/>
              </w:rPr>
            </w:pPr>
          </w:p>
        </w:tc>
        <w:tc>
          <w:tcPr>
            <w:tcW w:w="2091" w:type="dxa"/>
            <w:vMerge/>
            <w:tcBorders>
              <w:top w:val="nil"/>
              <w:left w:val="nil"/>
              <w:right w:val="single" w:sz="4" w:space="0" w:color="000000"/>
            </w:tcBorders>
            <w:shd w:val="clear" w:color="auto" w:fill="auto"/>
            <w:vAlign w:val="center"/>
          </w:tcPr>
          <w:p w:rsidR="005C6A8D" w14:paraId="000000E5" w14:textId="77777777">
            <w:pPr>
              <w:pBdr>
                <w:top w:val="nil"/>
                <w:left w:val="nil"/>
                <w:bottom w:val="nil"/>
                <w:right w:val="nil"/>
                <w:between w:val="nil"/>
              </w:pBdr>
              <w:spacing w:line="276" w:lineRule="auto"/>
              <w:rPr>
                <w:rFonts w:ascii="Calibri" w:eastAsia="Calibri" w:hAnsi="Calibri" w:cs="Calibri"/>
                <w:color w:val="000000"/>
                <w:sz w:val="18"/>
                <w:szCs w:val="18"/>
              </w:rPr>
            </w:pPr>
          </w:p>
        </w:tc>
        <w:tc>
          <w:tcPr>
            <w:tcW w:w="1616" w:type="dxa"/>
            <w:tcBorders>
              <w:top w:val="dotted" w:sz="4" w:space="0" w:color="000000"/>
              <w:left w:val="nil"/>
              <w:bottom w:val="single" w:sz="8" w:space="0" w:color="000000"/>
              <w:right w:val="single" w:sz="4" w:space="0" w:color="000000"/>
            </w:tcBorders>
            <w:shd w:val="clear" w:color="auto" w:fill="auto"/>
            <w:vAlign w:val="center"/>
          </w:tcPr>
          <w:p w:rsidR="005C6A8D" w14:paraId="000000E6"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sz w:val="18"/>
                <w:szCs w:val="18"/>
              </w:rPr>
              <w:t>0 – cert. only</w:t>
            </w:r>
            <w:r>
              <w:rPr>
                <w:rFonts w:ascii="Calibri" w:eastAsia="Calibri" w:hAnsi="Calibri" w:cs="Calibri"/>
                <w:sz w:val="18"/>
                <w:szCs w:val="18"/>
                <w:vertAlign w:val="superscript"/>
              </w:rPr>
              <w:t>2</w:t>
            </w:r>
          </w:p>
        </w:tc>
        <w:tc>
          <w:tcPr>
            <w:tcW w:w="1176" w:type="dxa"/>
            <w:tcBorders>
              <w:top w:val="dotted" w:sz="4" w:space="0" w:color="000000"/>
              <w:left w:val="nil"/>
              <w:bottom w:val="single" w:sz="8" w:space="0" w:color="000000"/>
              <w:right w:val="single" w:sz="4" w:space="0" w:color="000000"/>
            </w:tcBorders>
            <w:shd w:val="clear" w:color="auto" w:fill="auto"/>
            <w:vAlign w:val="center"/>
          </w:tcPr>
          <w:p w:rsidR="005C6A8D" w14:paraId="000000E7"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107" w:type="dxa"/>
            <w:tcBorders>
              <w:top w:val="dotted" w:sz="4" w:space="0" w:color="000000"/>
              <w:left w:val="nil"/>
              <w:bottom w:val="single" w:sz="8" w:space="0" w:color="000000"/>
              <w:right w:val="single" w:sz="4" w:space="0" w:color="000000"/>
            </w:tcBorders>
            <w:shd w:val="clear" w:color="auto" w:fill="auto"/>
            <w:vAlign w:val="center"/>
          </w:tcPr>
          <w:p w:rsidR="005C6A8D" w14:paraId="000000E8"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sz w:val="18"/>
                <w:szCs w:val="18"/>
              </w:rPr>
              <w:t>0</w:t>
            </w:r>
          </w:p>
        </w:tc>
        <w:tc>
          <w:tcPr>
            <w:tcW w:w="1092" w:type="dxa"/>
            <w:tcBorders>
              <w:top w:val="dotted" w:sz="4" w:space="0" w:color="000000"/>
              <w:left w:val="nil"/>
              <w:bottom w:val="single" w:sz="8" w:space="0" w:color="000000"/>
              <w:right w:val="single" w:sz="4" w:space="0" w:color="000000"/>
            </w:tcBorders>
            <w:shd w:val="clear" w:color="auto" w:fill="auto"/>
            <w:vAlign w:val="center"/>
          </w:tcPr>
          <w:p w:rsidR="005C6A8D" w14:paraId="000000E9"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sz w:val="18"/>
                <w:szCs w:val="18"/>
              </w:rPr>
              <w:t>1 hr</w:t>
            </w:r>
          </w:p>
        </w:tc>
        <w:tc>
          <w:tcPr>
            <w:tcW w:w="1356" w:type="dxa"/>
            <w:tcBorders>
              <w:top w:val="dotted" w:sz="4" w:space="0" w:color="000000"/>
              <w:left w:val="nil"/>
              <w:bottom w:val="single" w:sz="8" w:space="0" w:color="000000"/>
              <w:right w:val="single" w:sz="4" w:space="0" w:color="000000"/>
            </w:tcBorders>
            <w:shd w:val="clear" w:color="auto" w:fill="auto"/>
            <w:vAlign w:val="center"/>
          </w:tcPr>
          <w:p w:rsidR="005C6A8D" w14:paraId="000000EA"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sz w:val="18"/>
                <w:szCs w:val="18"/>
              </w:rPr>
              <w:t>0</w:t>
            </w:r>
          </w:p>
        </w:tc>
        <w:tc>
          <w:tcPr>
            <w:tcW w:w="1277" w:type="dxa"/>
            <w:tcBorders>
              <w:top w:val="dotted" w:sz="4" w:space="0" w:color="000000"/>
              <w:left w:val="nil"/>
              <w:bottom w:val="single" w:sz="8" w:space="0" w:color="000000"/>
              <w:right w:val="single" w:sz="4" w:space="0" w:color="000000"/>
            </w:tcBorders>
            <w:shd w:val="clear" w:color="auto" w:fill="auto"/>
            <w:vAlign w:val="center"/>
          </w:tcPr>
          <w:p w:rsidR="005C6A8D" w14:paraId="000000EB"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43.07</w:t>
            </w:r>
          </w:p>
        </w:tc>
        <w:tc>
          <w:tcPr>
            <w:tcW w:w="1242" w:type="dxa"/>
            <w:tcBorders>
              <w:top w:val="dotted" w:sz="4" w:space="0" w:color="000000"/>
              <w:left w:val="nil"/>
              <w:bottom w:val="single" w:sz="8" w:space="0" w:color="000000"/>
              <w:right w:val="single" w:sz="8" w:space="0" w:color="000000"/>
            </w:tcBorders>
            <w:shd w:val="clear" w:color="auto" w:fill="auto"/>
            <w:vAlign w:val="center"/>
          </w:tcPr>
          <w:p w:rsidR="005C6A8D" w14:paraId="000000EC" w14:textId="77777777">
            <w:pPr>
              <w:keepNext/>
              <w:keepLines/>
              <w:widowControl/>
              <w:spacing w:before="40" w:after="40"/>
              <w:jc w:val="center"/>
              <w:rPr>
                <w:rFonts w:ascii="Calibri" w:eastAsia="Calibri" w:hAnsi="Calibri" w:cs="Calibri"/>
                <w:color w:val="000000"/>
                <w:sz w:val="18"/>
                <w:szCs w:val="18"/>
              </w:rPr>
            </w:pPr>
            <w:r>
              <w:rPr>
                <w:rFonts w:ascii="Calibri" w:eastAsia="Calibri" w:hAnsi="Calibri" w:cs="Calibri"/>
                <w:color w:val="000000"/>
                <w:sz w:val="18"/>
                <w:szCs w:val="18"/>
              </w:rPr>
              <w:t>0</w:t>
            </w:r>
          </w:p>
        </w:tc>
      </w:tr>
      <w:tr w14:paraId="76EBFF71" w14:textId="77777777">
        <w:tblPrEx>
          <w:tblW w:w="13021" w:type="dxa"/>
          <w:jc w:val="center"/>
          <w:tblLayout w:type="fixed"/>
          <w:tblLook w:val="0400"/>
        </w:tblPrEx>
        <w:trPr>
          <w:trHeight w:val="612"/>
          <w:jc w:val="center"/>
        </w:trPr>
        <w:tc>
          <w:tcPr>
            <w:tcW w:w="2064"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5C6A8D" w14:paraId="000000ED" w14:textId="77777777">
            <w:pPr>
              <w:keepNext/>
              <w:keepLines/>
              <w:widowControl/>
              <w:rPr>
                <w:rFonts w:ascii="Calibri" w:eastAsia="Calibri" w:hAnsi="Calibri" w:cs="Calibri"/>
                <w:b/>
                <w:color w:val="000000"/>
              </w:rPr>
            </w:pPr>
            <w:r>
              <w:rPr>
                <w:rFonts w:ascii="Calibri" w:eastAsia="Calibri" w:hAnsi="Calibri" w:cs="Calibri"/>
                <w:b/>
                <w:color w:val="000000"/>
              </w:rPr>
              <w:t>Totals</w:t>
            </w:r>
          </w:p>
        </w:tc>
        <w:tc>
          <w:tcPr>
            <w:tcW w:w="2091" w:type="dxa"/>
            <w:tcBorders>
              <w:top w:val="single" w:sz="8" w:space="0" w:color="000000"/>
              <w:left w:val="nil"/>
              <w:bottom w:val="single" w:sz="8" w:space="0" w:color="000000"/>
              <w:right w:val="single" w:sz="8" w:space="0" w:color="000000"/>
            </w:tcBorders>
            <w:shd w:val="clear" w:color="auto" w:fill="000000"/>
            <w:vAlign w:val="center"/>
          </w:tcPr>
          <w:p w:rsidR="005C6A8D" w14:paraId="000000EE" w14:textId="77777777">
            <w:pPr>
              <w:keepNext/>
              <w:keepLines/>
              <w:widowControl/>
              <w:rPr>
                <w:rFonts w:ascii="Calibri" w:eastAsia="Calibri" w:hAnsi="Calibri" w:cs="Calibri"/>
                <w:b/>
                <w:color w:val="000000"/>
              </w:rPr>
            </w:pPr>
          </w:p>
        </w:tc>
        <w:tc>
          <w:tcPr>
            <w:tcW w:w="1616" w:type="dxa"/>
            <w:tcBorders>
              <w:top w:val="single" w:sz="8" w:space="0" w:color="000000"/>
              <w:left w:val="nil"/>
              <w:bottom w:val="single" w:sz="8" w:space="0" w:color="000000"/>
              <w:right w:val="single" w:sz="8" w:space="0" w:color="000000"/>
            </w:tcBorders>
            <w:shd w:val="clear" w:color="auto" w:fill="000000"/>
            <w:vAlign w:val="center"/>
          </w:tcPr>
          <w:p w:rsidR="005C6A8D" w14:paraId="000000EF" w14:textId="77777777">
            <w:pPr>
              <w:keepNext/>
              <w:keepLines/>
              <w:widowControl/>
              <w:rPr>
                <w:rFonts w:ascii="Calibri" w:eastAsia="Calibri" w:hAnsi="Calibri" w:cs="Calibri"/>
                <w:b/>
                <w:color w:val="000000"/>
              </w:rPr>
            </w:pPr>
          </w:p>
        </w:tc>
        <w:tc>
          <w:tcPr>
            <w:tcW w:w="1176" w:type="dxa"/>
            <w:tcBorders>
              <w:top w:val="single" w:sz="8" w:space="0" w:color="000000"/>
              <w:left w:val="nil"/>
              <w:bottom w:val="single" w:sz="8" w:space="0" w:color="000000"/>
              <w:right w:val="single" w:sz="8" w:space="0" w:color="000000"/>
            </w:tcBorders>
            <w:shd w:val="clear" w:color="auto" w:fill="000000"/>
            <w:vAlign w:val="center"/>
          </w:tcPr>
          <w:p w:rsidR="005C6A8D" w14:paraId="000000F0" w14:textId="77777777">
            <w:pPr>
              <w:keepNext/>
              <w:keepLines/>
              <w:widowControl/>
              <w:rPr>
                <w:rFonts w:ascii="Calibri" w:eastAsia="Calibri" w:hAnsi="Calibri" w:cs="Calibri"/>
                <w:b/>
                <w:color w:val="000000"/>
              </w:rPr>
            </w:pPr>
          </w:p>
        </w:tc>
        <w:tc>
          <w:tcPr>
            <w:tcW w:w="1107" w:type="dxa"/>
            <w:tcBorders>
              <w:top w:val="single" w:sz="8" w:space="0" w:color="000000"/>
              <w:left w:val="nil"/>
              <w:bottom w:val="single" w:sz="8" w:space="0" w:color="000000"/>
              <w:right w:val="single" w:sz="8" w:space="0" w:color="000000"/>
            </w:tcBorders>
            <w:shd w:val="clear" w:color="auto" w:fill="DDEBF7"/>
            <w:vAlign w:val="center"/>
          </w:tcPr>
          <w:p w:rsidR="005C6A8D" w14:paraId="000000F1" w14:textId="77777777">
            <w:pPr>
              <w:jc w:val="center"/>
              <w:rPr>
                <w:rFonts w:ascii="Calibri" w:eastAsia="Calibri" w:hAnsi="Calibri" w:cs="Calibri"/>
                <w:b/>
                <w:color w:val="000000"/>
              </w:rPr>
            </w:pPr>
            <w:r>
              <w:rPr>
                <w:rFonts w:ascii="Calibri" w:eastAsia="Calibri" w:hAnsi="Calibri" w:cs="Calibri"/>
                <w:color w:val="000000"/>
                <w:sz w:val="22"/>
                <w:szCs w:val="22"/>
              </w:rPr>
              <w:t>77</w:t>
            </w:r>
          </w:p>
        </w:tc>
        <w:tc>
          <w:tcPr>
            <w:tcW w:w="1092" w:type="dxa"/>
            <w:tcBorders>
              <w:top w:val="single" w:sz="8" w:space="0" w:color="000000"/>
              <w:left w:val="nil"/>
              <w:bottom w:val="single" w:sz="8" w:space="0" w:color="000000"/>
              <w:right w:val="single" w:sz="8" w:space="0" w:color="000000"/>
            </w:tcBorders>
            <w:shd w:val="clear" w:color="auto" w:fill="000000"/>
            <w:vAlign w:val="center"/>
          </w:tcPr>
          <w:p w:rsidR="005C6A8D" w14:paraId="000000F2" w14:textId="77777777">
            <w:pPr>
              <w:keepNext/>
              <w:keepLines/>
              <w:widowControl/>
              <w:jc w:val="center"/>
              <w:rPr>
                <w:rFonts w:ascii="Calibri" w:eastAsia="Calibri" w:hAnsi="Calibri" w:cs="Calibri"/>
                <w:b/>
                <w:color w:val="000000"/>
              </w:rPr>
            </w:pPr>
          </w:p>
        </w:tc>
        <w:tc>
          <w:tcPr>
            <w:tcW w:w="1356" w:type="dxa"/>
            <w:tcBorders>
              <w:top w:val="single" w:sz="8" w:space="0" w:color="000000"/>
              <w:left w:val="nil"/>
              <w:bottom w:val="single" w:sz="8" w:space="0" w:color="000000"/>
              <w:right w:val="single" w:sz="8" w:space="0" w:color="000000"/>
            </w:tcBorders>
            <w:shd w:val="clear" w:color="auto" w:fill="DDEBF7"/>
            <w:vAlign w:val="center"/>
          </w:tcPr>
          <w:p w:rsidR="005C6A8D" w14:paraId="000000F3" w14:textId="77777777">
            <w:pPr>
              <w:jc w:val="center"/>
              <w:rPr>
                <w:rFonts w:ascii="Calibri" w:eastAsia="Calibri" w:hAnsi="Calibri" w:cs="Calibri"/>
                <w:b/>
                <w:color w:val="000000"/>
              </w:rPr>
            </w:pPr>
            <w:r>
              <w:rPr>
                <w:rFonts w:ascii="Calibri" w:eastAsia="Calibri" w:hAnsi="Calibri" w:cs="Calibri"/>
                <w:color w:val="000000"/>
                <w:sz w:val="22"/>
                <w:szCs w:val="22"/>
              </w:rPr>
              <w:t>1,449</w:t>
            </w:r>
          </w:p>
        </w:tc>
        <w:tc>
          <w:tcPr>
            <w:tcW w:w="1277" w:type="dxa"/>
            <w:tcBorders>
              <w:top w:val="single" w:sz="8" w:space="0" w:color="000000"/>
              <w:left w:val="nil"/>
              <w:bottom w:val="single" w:sz="8" w:space="0" w:color="000000"/>
              <w:right w:val="single" w:sz="8" w:space="0" w:color="000000"/>
            </w:tcBorders>
            <w:shd w:val="clear" w:color="auto" w:fill="000000"/>
            <w:vAlign w:val="center"/>
          </w:tcPr>
          <w:p w:rsidR="005C6A8D" w14:paraId="000000F4" w14:textId="77777777">
            <w:pPr>
              <w:keepNext/>
              <w:keepLines/>
              <w:widowControl/>
              <w:jc w:val="center"/>
              <w:rPr>
                <w:rFonts w:ascii="Calibri" w:eastAsia="Calibri" w:hAnsi="Calibri" w:cs="Calibri"/>
                <w:b/>
                <w:color w:val="000000"/>
              </w:rPr>
            </w:pPr>
          </w:p>
        </w:tc>
        <w:tc>
          <w:tcPr>
            <w:tcW w:w="1242" w:type="dxa"/>
            <w:tcBorders>
              <w:top w:val="single" w:sz="8" w:space="0" w:color="000000"/>
              <w:left w:val="nil"/>
              <w:bottom w:val="single" w:sz="8" w:space="0" w:color="000000"/>
              <w:right w:val="single" w:sz="8" w:space="0" w:color="000000"/>
            </w:tcBorders>
            <w:shd w:val="clear" w:color="auto" w:fill="DDEBF7"/>
            <w:vAlign w:val="center"/>
          </w:tcPr>
          <w:p w:rsidR="005C6A8D" w14:paraId="000000F5" w14:textId="77777777">
            <w:pPr>
              <w:jc w:val="center"/>
              <w:rPr>
                <w:rFonts w:ascii="Calibri" w:eastAsia="Calibri" w:hAnsi="Calibri" w:cs="Calibri"/>
                <w:b/>
                <w:color w:val="000000"/>
                <w:sz w:val="22"/>
                <w:szCs w:val="22"/>
              </w:rPr>
            </w:pPr>
            <w:r>
              <w:rPr>
                <w:rFonts w:ascii="Calibri" w:eastAsia="Calibri" w:hAnsi="Calibri" w:cs="Calibri"/>
                <w:color w:val="000000"/>
                <w:sz w:val="22"/>
                <w:szCs w:val="22"/>
              </w:rPr>
              <w:t>$</w:t>
            </w:r>
            <w:r>
              <w:rPr>
                <w:rFonts w:ascii="Calibri" w:eastAsia="Calibri" w:hAnsi="Calibri" w:cs="Calibri"/>
                <w:sz w:val="22"/>
                <w:szCs w:val="22"/>
              </w:rPr>
              <w:t>62,408</w:t>
            </w:r>
          </w:p>
        </w:tc>
      </w:tr>
    </w:tbl>
    <w:p w:rsidR="005C6A8D" w14:paraId="000000F6" w14:textId="77777777">
      <w:pPr>
        <w:widowControl/>
        <w:spacing w:before="120" w:after="120"/>
        <w:rPr>
          <w:rFonts w:ascii="Calibri" w:eastAsia="Calibri" w:hAnsi="Calibri" w:cs="Calibri"/>
          <w:sz w:val="18"/>
          <w:szCs w:val="18"/>
          <w:vertAlign w:val="superscript"/>
        </w:rPr>
      </w:pPr>
      <w:r>
        <w:rPr>
          <w:rFonts w:ascii="Calibri" w:eastAsia="Calibri" w:hAnsi="Calibri" w:cs="Calibri"/>
          <w:sz w:val="18"/>
          <w:szCs w:val="18"/>
          <w:vertAlign w:val="superscript"/>
        </w:rPr>
        <w:t xml:space="preserve">1 </w:t>
      </w:r>
      <w:r>
        <w:rPr>
          <w:rFonts w:ascii="Calibri" w:eastAsia="Calibri" w:hAnsi="Calibri" w:cs="Calibri"/>
          <w:sz w:val="18"/>
          <w:szCs w:val="18"/>
        </w:rPr>
        <w:t xml:space="preserve">The Bureau of Labor Statistics occupation code 13-2011 (Accountants and Auditors) mean average wage rate of $43.07 for Alaska is now used to estimate burden hour respondent costs. </w:t>
      </w:r>
      <w:r>
        <w:rPr>
          <w:rFonts w:ascii="Calibri" w:eastAsia="Calibri" w:hAnsi="Calibri" w:cs="Calibri"/>
          <w:sz w:val="18"/>
          <w:szCs w:val="18"/>
        </w:rPr>
        <w:t>https://data.bls.gov/oes/#/area/0200000</w:t>
      </w:r>
    </w:p>
    <w:p w:rsidR="005C6A8D" w14:paraId="000000F7" w14:textId="77777777">
      <w:pPr>
        <w:widowControl/>
        <w:spacing w:before="120" w:after="120"/>
        <w:rPr>
          <w:rFonts w:ascii="Calibri" w:eastAsia="Calibri" w:hAnsi="Calibri" w:cs="Calibri"/>
          <w:sz w:val="18"/>
          <w:szCs w:val="18"/>
        </w:rPr>
      </w:pPr>
      <w:r>
        <w:rPr>
          <w:rFonts w:ascii="Calibri" w:eastAsia="Calibri" w:hAnsi="Calibri" w:cs="Calibri"/>
          <w:sz w:val="18"/>
          <w:szCs w:val="18"/>
          <w:vertAlign w:val="superscript"/>
        </w:rPr>
        <w:t xml:space="preserve">2 </w:t>
      </w:r>
      <w:r>
        <w:rPr>
          <w:rFonts w:ascii="Calibri" w:eastAsia="Calibri" w:hAnsi="Calibri" w:cs="Calibri"/>
          <w:sz w:val="18"/>
          <w:szCs w:val="18"/>
        </w:rPr>
        <w:t>Respondents submit only the certification page indicating that they are not required to complete the full EDR.</w:t>
      </w:r>
    </w:p>
    <w:p w:rsidR="005C6A8D" w14:paraId="000000F8" w14:textId="77777777">
      <w:pPr>
        <w:widowControl/>
        <w:spacing w:before="120" w:after="120"/>
        <w:rPr>
          <w:sz w:val="20"/>
          <w:szCs w:val="20"/>
        </w:rPr>
      </w:pPr>
    </w:p>
    <w:p w:rsidR="005C6A8D" w14:paraId="000000F9" w14:textId="77777777">
      <w:pPr>
        <w:rPr>
          <w:b/>
          <w:color w:val="FF0000"/>
        </w:rPr>
      </w:pPr>
      <w:r>
        <w:br w:type="page"/>
      </w:r>
    </w:p>
    <w:p w:rsidR="005C6A8D" w14:paraId="000000FA" w14:textId="77777777">
      <w:pPr>
        <w:numPr>
          <w:ilvl w:val="0"/>
          <w:numId w:val="2"/>
        </w:numPr>
        <w:pBdr>
          <w:top w:val="nil"/>
          <w:left w:val="nil"/>
          <w:bottom w:val="nil"/>
          <w:right w:val="nil"/>
          <w:between w:val="nil"/>
        </w:pBdr>
        <w:tabs>
          <w:tab w:val="left" w:pos="360"/>
        </w:tabs>
        <w:ind w:left="0" w:firstLine="0"/>
        <w:rPr>
          <w:b/>
          <w:color w:val="000000"/>
        </w:rPr>
      </w:pPr>
      <w:r>
        <w:rPr>
          <w:b/>
          <w:color w:val="000000"/>
        </w:rPr>
        <w:t xml:space="preserve">Provide an estimate for the total annual cost burden to respondents or record keepers </w:t>
      </w:r>
      <w:r>
        <w:rPr>
          <w:b/>
          <w:color w:val="000000"/>
        </w:rPr>
        <w:t>resulting from the collection of information. (Do not include the cost of any hour burden already reflected on the burden worksheet).</w:t>
      </w:r>
    </w:p>
    <w:p w:rsidR="005C6A8D" w14:paraId="000000FB" w14:textId="77777777">
      <w:pPr>
        <w:pBdr>
          <w:top w:val="nil"/>
          <w:left w:val="nil"/>
          <w:bottom w:val="nil"/>
          <w:right w:val="nil"/>
          <w:between w:val="nil"/>
        </w:pBdr>
        <w:rPr>
          <w:b/>
          <w:color w:val="000000"/>
        </w:rPr>
      </w:pPr>
    </w:p>
    <w:p w:rsidR="005C6A8D" w14:paraId="000000FC" w14:textId="77777777">
      <w:pPr>
        <w:keepNext/>
        <w:widowControl/>
        <w:pBdr>
          <w:top w:val="nil"/>
          <w:left w:val="nil"/>
          <w:bottom w:val="nil"/>
          <w:right w:val="nil"/>
          <w:between w:val="nil"/>
        </w:pBdr>
        <w:rPr>
          <w:color w:val="000000"/>
        </w:rPr>
      </w:pPr>
      <w:r>
        <w:rPr>
          <w:color w:val="000000"/>
        </w:rPr>
        <w:t xml:space="preserve">There are no capital/start-up or ongoing operation/maintenance costs associated with this information collection, as it is a renewal of an existing collection, and equipment used is customary business equipment. </w:t>
      </w:r>
    </w:p>
    <w:p w:rsidR="005C6A8D" w14:paraId="000000FD" w14:textId="77777777">
      <w:pPr>
        <w:widowControl/>
        <w:pBdr>
          <w:top w:val="nil"/>
          <w:left w:val="nil"/>
          <w:bottom w:val="nil"/>
          <w:right w:val="nil"/>
          <w:between w:val="nil"/>
        </w:pBdr>
        <w:rPr>
          <w:color w:val="000000"/>
        </w:rPr>
      </w:pPr>
    </w:p>
    <w:p w:rsidR="005C6A8D" w14:paraId="000000FE" w14:textId="77777777">
      <w:pPr>
        <w:widowControl/>
      </w:pPr>
      <w:r>
        <w:t xml:space="preserve">This collection does not require additional recordkeeping burden or additional recordkeepers as records already customarily maintained are used to complete the forms. This collection may involve the use of photocopying, faxes, mail, and online access estimated to be approximately $5 per respondent. </w:t>
      </w:r>
    </w:p>
    <w:p w:rsidR="005C6A8D" w14:paraId="000000FF" w14:textId="77777777">
      <w:pPr>
        <w:widowControl/>
      </w:pPr>
    </w:p>
    <w:tbl>
      <w:tblPr>
        <w:tblStyle w:val="a8"/>
        <w:tblW w:w="12950" w:type="dxa"/>
        <w:jc w:val="center"/>
        <w:tblLayout w:type="fixed"/>
        <w:tblLook w:val="0400"/>
      </w:tblPr>
      <w:tblGrid>
        <w:gridCol w:w="2960"/>
        <w:gridCol w:w="1620"/>
        <w:gridCol w:w="1710"/>
        <w:gridCol w:w="1620"/>
        <w:gridCol w:w="2700"/>
        <w:gridCol w:w="2340"/>
      </w:tblGrid>
      <w:tr w14:paraId="56B38AFC" w14:textId="77777777">
        <w:tblPrEx>
          <w:tblW w:w="12950" w:type="dxa"/>
          <w:jc w:val="center"/>
          <w:tblLayout w:type="fixed"/>
          <w:tblLook w:val="0400"/>
        </w:tblPrEx>
        <w:trPr>
          <w:trHeight w:val="925"/>
          <w:jc w:val="center"/>
        </w:trPr>
        <w:tc>
          <w:tcPr>
            <w:tcW w:w="296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5C6A8D" w14:paraId="00000100"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Information Collection</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5C6A8D" w14:paraId="00000101"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of Respondents/year</w:t>
            </w:r>
            <w:r>
              <w:rPr>
                <w:rFonts w:ascii="Calibri" w:eastAsia="Calibri" w:hAnsi="Calibri" w:cs="Calibri"/>
                <w:b/>
                <w:color w:val="000000"/>
                <w:sz w:val="18"/>
                <w:szCs w:val="18"/>
              </w:rPr>
              <w:br/>
              <w:t>(a)</w:t>
            </w:r>
          </w:p>
        </w:tc>
        <w:tc>
          <w:tcPr>
            <w:tcW w:w="1710" w:type="dxa"/>
            <w:tcBorders>
              <w:top w:val="single" w:sz="8" w:space="0" w:color="000000"/>
              <w:left w:val="nil"/>
              <w:bottom w:val="single" w:sz="8" w:space="0" w:color="000000"/>
              <w:right w:val="single" w:sz="8" w:space="0" w:color="000000"/>
            </w:tcBorders>
            <w:shd w:val="clear" w:color="auto" w:fill="BDD7EE"/>
            <w:vAlign w:val="center"/>
          </w:tcPr>
          <w:p w:rsidR="005C6A8D" w14:paraId="00000102"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Annual # of Responses / Respondent</w:t>
            </w:r>
            <w:r>
              <w:rPr>
                <w:rFonts w:ascii="Calibri" w:eastAsia="Calibri" w:hAnsi="Calibri" w:cs="Calibri"/>
                <w:b/>
                <w:color w:val="000000"/>
                <w:sz w:val="18"/>
                <w:szCs w:val="18"/>
              </w:rPr>
              <w:br/>
              <w:t>(b)</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5C6A8D" w14:paraId="00000103"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Total # of Annual Responses</w:t>
            </w:r>
            <w:r>
              <w:rPr>
                <w:rFonts w:ascii="Calibri" w:eastAsia="Calibri" w:hAnsi="Calibri" w:cs="Calibri"/>
                <w:b/>
                <w:color w:val="000000"/>
                <w:sz w:val="18"/>
                <w:szCs w:val="18"/>
              </w:rPr>
              <w:br/>
              <w:t>(c) = (a) x (b)</w:t>
            </w:r>
          </w:p>
        </w:tc>
        <w:tc>
          <w:tcPr>
            <w:tcW w:w="2700" w:type="dxa"/>
            <w:tcBorders>
              <w:top w:val="single" w:sz="8" w:space="0" w:color="000000"/>
              <w:left w:val="nil"/>
              <w:bottom w:val="single" w:sz="8" w:space="0" w:color="000000"/>
              <w:right w:val="single" w:sz="8" w:space="0" w:color="000000"/>
            </w:tcBorders>
            <w:shd w:val="clear" w:color="auto" w:fill="BDD7EE"/>
            <w:vAlign w:val="center"/>
          </w:tcPr>
          <w:p w:rsidR="005C6A8D" w14:paraId="00000104"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Cost Burden / Respondent</w:t>
            </w:r>
          </w:p>
          <w:p w:rsidR="005C6A8D" w14:paraId="00000105"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(h)</w:t>
            </w:r>
          </w:p>
        </w:tc>
        <w:tc>
          <w:tcPr>
            <w:tcW w:w="2340" w:type="dxa"/>
            <w:tcBorders>
              <w:top w:val="single" w:sz="8" w:space="0" w:color="000000"/>
              <w:left w:val="nil"/>
              <w:bottom w:val="single" w:sz="8" w:space="0" w:color="000000"/>
              <w:right w:val="single" w:sz="8" w:space="0" w:color="000000"/>
            </w:tcBorders>
            <w:shd w:val="clear" w:color="auto" w:fill="BDD7EE"/>
            <w:vAlign w:val="center"/>
          </w:tcPr>
          <w:p w:rsidR="005C6A8D" w14:paraId="00000106"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Total Annual Cost Burden</w:t>
            </w:r>
          </w:p>
          <w:p w:rsidR="005C6A8D" w14:paraId="00000107"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(i) = (c) x (h)</w:t>
            </w:r>
          </w:p>
        </w:tc>
      </w:tr>
      <w:tr w14:paraId="40E7C5FB" w14:textId="77777777">
        <w:tblPrEx>
          <w:tblW w:w="12950" w:type="dxa"/>
          <w:jc w:val="center"/>
          <w:tblLayout w:type="fixed"/>
          <w:tblLook w:val="0400"/>
        </w:tblPrEx>
        <w:trPr>
          <w:trHeight w:val="367"/>
          <w:jc w:val="center"/>
        </w:trPr>
        <w:tc>
          <w:tcPr>
            <w:tcW w:w="2960" w:type="dxa"/>
            <w:vMerge w:val="restart"/>
            <w:tcBorders>
              <w:top w:val="nil"/>
              <w:left w:val="single" w:sz="8" w:space="0" w:color="000000"/>
              <w:right w:val="single" w:sz="4" w:space="0" w:color="000000"/>
            </w:tcBorders>
            <w:shd w:val="clear" w:color="auto" w:fill="auto"/>
            <w:vAlign w:val="center"/>
          </w:tcPr>
          <w:p w:rsidR="005C6A8D" w14:paraId="00000108" w14:textId="77777777">
            <w:pPr>
              <w:widowControl/>
              <w:spacing w:before="60" w:after="60"/>
              <w:rPr>
                <w:rFonts w:ascii="Calibri" w:eastAsia="Calibri" w:hAnsi="Calibri" w:cs="Calibri"/>
                <w:sz w:val="20"/>
                <w:szCs w:val="20"/>
              </w:rPr>
            </w:pPr>
            <w:r>
              <w:rPr>
                <w:rFonts w:ascii="Calibri" w:eastAsia="Calibri" w:hAnsi="Calibri" w:cs="Calibri"/>
                <w:sz w:val="20"/>
                <w:szCs w:val="20"/>
              </w:rPr>
              <w:t>Annual Catcher Vessel Crab EDR</w:t>
            </w:r>
          </w:p>
        </w:tc>
        <w:tc>
          <w:tcPr>
            <w:tcW w:w="1620" w:type="dxa"/>
            <w:tcBorders>
              <w:top w:val="nil"/>
              <w:left w:val="nil"/>
              <w:bottom w:val="dotted" w:sz="4" w:space="0" w:color="000000"/>
              <w:right w:val="single" w:sz="4" w:space="0" w:color="000000"/>
            </w:tcBorders>
            <w:shd w:val="clear" w:color="auto" w:fill="auto"/>
            <w:vAlign w:val="center"/>
          </w:tcPr>
          <w:p w:rsidR="005C6A8D" w14:paraId="00000109" w14:textId="77777777">
            <w:pPr>
              <w:widowControl/>
              <w:spacing w:before="60" w:after="60"/>
              <w:jc w:val="center"/>
              <w:rPr>
                <w:rFonts w:ascii="Calibri" w:eastAsia="Calibri" w:hAnsi="Calibri" w:cs="Calibri"/>
                <w:color w:val="000000"/>
                <w:sz w:val="20"/>
                <w:szCs w:val="20"/>
              </w:rPr>
            </w:pPr>
            <w:r>
              <w:rPr>
                <w:rFonts w:ascii="Calibri" w:eastAsia="Calibri" w:hAnsi="Calibri" w:cs="Calibri"/>
                <w:sz w:val="20"/>
                <w:szCs w:val="20"/>
              </w:rPr>
              <w:t>56 – full EDR</w:t>
            </w:r>
          </w:p>
        </w:tc>
        <w:tc>
          <w:tcPr>
            <w:tcW w:w="1710" w:type="dxa"/>
            <w:tcBorders>
              <w:top w:val="nil"/>
              <w:left w:val="nil"/>
              <w:bottom w:val="dotted" w:sz="4" w:space="0" w:color="000000"/>
              <w:right w:val="single" w:sz="4" w:space="0" w:color="000000"/>
            </w:tcBorders>
            <w:shd w:val="clear" w:color="auto" w:fill="auto"/>
            <w:vAlign w:val="center"/>
          </w:tcPr>
          <w:p w:rsidR="005C6A8D" w14:paraId="0000010A" w14:textId="77777777">
            <w:pPr>
              <w:widowControl/>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1620" w:type="dxa"/>
            <w:tcBorders>
              <w:top w:val="nil"/>
              <w:left w:val="nil"/>
              <w:bottom w:val="dotted" w:sz="4" w:space="0" w:color="000000"/>
              <w:right w:val="single" w:sz="4" w:space="0" w:color="000000"/>
            </w:tcBorders>
            <w:shd w:val="clear" w:color="auto" w:fill="auto"/>
            <w:vAlign w:val="center"/>
          </w:tcPr>
          <w:p w:rsidR="005C6A8D" w14:paraId="0000010B" w14:textId="77777777">
            <w:pPr>
              <w:widowControl/>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56</w:t>
            </w:r>
          </w:p>
        </w:tc>
        <w:tc>
          <w:tcPr>
            <w:tcW w:w="2700" w:type="dxa"/>
            <w:tcBorders>
              <w:top w:val="nil"/>
              <w:left w:val="nil"/>
              <w:bottom w:val="dotted" w:sz="4" w:space="0" w:color="000000"/>
              <w:right w:val="single" w:sz="4" w:space="0" w:color="000000"/>
            </w:tcBorders>
            <w:shd w:val="clear" w:color="auto" w:fill="auto"/>
            <w:vAlign w:val="center"/>
          </w:tcPr>
          <w:p w:rsidR="005C6A8D" w14:paraId="0000010C" w14:textId="77777777">
            <w:pPr>
              <w:widowControl/>
              <w:jc w:val="center"/>
              <w:rPr>
                <w:rFonts w:ascii="Calibri" w:eastAsia="Calibri" w:hAnsi="Calibri" w:cs="Calibri"/>
                <w:color w:val="000000"/>
                <w:sz w:val="20"/>
                <w:szCs w:val="20"/>
              </w:rPr>
            </w:pPr>
            <w:r>
              <w:rPr>
                <w:rFonts w:ascii="Calibri" w:eastAsia="Calibri" w:hAnsi="Calibri" w:cs="Calibri"/>
                <w:sz w:val="20"/>
                <w:szCs w:val="20"/>
              </w:rPr>
              <w:t>operating costs: $5</w:t>
            </w:r>
          </w:p>
        </w:tc>
        <w:tc>
          <w:tcPr>
            <w:tcW w:w="2340" w:type="dxa"/>
            <w:tcBorders>
              <w:top w:val="nil"/>
              <w:left w:val="nil"/>
              <w:bottom w:val="dotted" w:sz="4" w:space="0" w:color="000000"/>
              <w:right w:val="single" w:sz="4" w:space="0" w:color="000000"/>
            </w:tcBorders>
            <w:shd w:val="clear" w:color="auto" w:fill="auto"/>
            <w:vAlign w:val="center"/>
          </w:tcPr>
          <w:p w:rsidR="005C6A8D" w14:paraId="0000010D" w14:textId="77777777">
            <w:pPr>
              <w:widowControl/>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280</w:t>
            </w:r>
          </w:p>
        </w:tc>
      </w:tr>
      <w:tr w14:paraId="16A2FF42" w14:textId="77777777">
        <w:tblPrEx>
          <w:tblW w:w="12950" w:type="dxa"/>
          <w:jc w:val="center"/>
          <w:tblLayout w:type="fixed"/>
          <w:tblLook w:val="0400"/>
        </w:tblPrEx>
        <w:trPr>
          <w:trHeight w:val="367"/>
          <w:jc w:val="center"/>
        </w:trPr>
        <w:tc>
          <w:tcPr>
            <w:tcW w:w="2960" w:type="dxa"/>
            <w:vMerge/>
            <w:tcBorders>
              <w:top w:val="nil"/>
              <w:left w:val="single" w:sz="8" w:space="0" w:color="000000"/>
              <w:right w:val="single" w:sz="4" w:space="0" w:color="000000"/>
            </w:tcBorders>
            <w:shd w:val="clear" w:color="auto" w:fill="auto"/>
            <w:vAlign w:val="center"/>
          </w:tcPr>
          <w:p w:rsidR="005C6A8D" w14:paraId="0000010E" w14:textId="77777777">
            <w:pPr>
              <w:pBdr>
                <w:top w:val="nil"/>
                <w:left w:val="nil"/>
                <w:bottom w:val="nil"/>
                <w:right w:val="nil"/>
                <w:between w:val="nil"/>
              </w:pBdr>
              <w:spacing w:line="276" w:lineRule="auto"/>
              <w:rPr>
                <w:rFonts w:ascii="Calibri" w:eastAsia="Calibri" w:hAnsi="Calibri" w:cs="Calibri"/>
                <w:color w:val="000000"/>
                <w:sz w:val="20"/>
                <w:szCs w:val="20"/>
              </w:rPr>
            </w:pPr>
          </w:p>
        </w:tc>
        <w:tc>
          <w:tcPr>
            <w:tcW w:w="1620" w:type="dxa"/>
            <w:tcBorders>
              <w:top w:val="dotted" w:sz="4" w:space="0" w:color="000000"/>
              <w:left w:val="nil"/>
              <w:bottom w:val="single" w:sz="8" w:space="0" w:color="000000"/>
              <w:right w:val="single" w:sz="4" w:space="0" w:color="000000"/>
            </w:tcBorders>
            <w:shd w:val="clear" w:color="auto" w:fill="auto"/>
            <w:vAlign w:val="center"/>
          </w:tcPr>
          <w:p w:rsidR="005C6A8D" w14:paraId="0000010F" w14:textId="77777777">
            <w:pPr>
              <w:widowControl/>
              <w:spacing w:before="60" w:after="60"/>
              <w:jc w:val="center"/>
              <w:rPr>
                <w:rFonts w:ascii="Calibri" w:eastAsia="Calibri" w:hAnsi="Calibri" w:cs="Calibri"/>
                <w:color w:val="000000"/>
                <w:sz w:val="20"/>
                <w:szCs w:val="20"/>
              </w:rPr>
            </w:pPr>
            <w:r>
              <w:rPr>
                <w:rFonts w:ascii="Calibri" w:eastAsia="Calibri" w:hAnsi="Calibri" w:cs="Calibri"/>
                <w:sz w:val="20"/>
                <w:szCs w:val="20"/>
              </w:rPr>
              <w:t>1– cert. only*</w:t>
            </w:r>
          </w:p>
        </w:tc>
        <w:tc>
          <w:tcPr>
            <w:tcW w:w="1710" w:type="dxa"/>
            <w:tcBorders>
              <w:top w:val="dotted" w:sz="4" w:space="0" w:color="000000"/>
              <w:left w:val="nil"/>
              <w:bottom w:val="single" w:sz="8" w:space="0" w:color="000000"/>
              <w:right w:val="single" w:sz="4" w:space="0" w:color="000000"/>
            </w:tcBorders>
            <w:shd w:val="clear" w:color="auto" w:fill="auto"/>
            <w:vAlign w:val="center"/>
          </w:tcPr>
          <w:p w:rsidR="005C6A8D" w14:paraId="00000110" w14:textId="77777777">
            <w:pPr>
              <w:widowControl/>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1620" w:type="dxa"/>
            <w:tcBorders>
              <w:top w:val="dotted" w:sz="4" w:space="0" w:color="000000"/>
              <w:left w:val="nil"/>
              <w:bottom w:val="single" w:sz="8" w:space="0" w:color="000000"/>
              <w:right w:val="single" w:sz="4" w:space="0" w:color="000000"/>
            </w:tcBorders>
            <w:shd w:val="clear" w:color="auto" w:fill="auto"/>
            <w:vAlign w:val="center"/>
          </w:tcPr>
          <w:p w:rsidR="005C6A8D" w14:paraId="00000111" w14:textId="77777777">
            <w:pPr>
              <w:widowControl/>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2700" w:type="dxa"/>
            <w:tcBorders>
              <w:top w:val="dotted" w:sz="4" w:space="0" w:color="000000"/>
              <w:left w:val="nil"/>
              <w:bottom w:val="single" w:sz="8" w:space="0" w:color="000000"/>
              <w:right w:val="single" w:sz="4" w:space="0" w:color="000000"/>
            </w:tcBorders>
            <w:shd w:val="clear" w:color="auto" w:fill="auto"/>
            <w:vAlign w:val="center"/>
          </w:tcPr>
          <w:p w:rsidR="005C6A8D" w14:paraId="00000112" w14:textId="77777777">
            <w:pPr>
              <w:widowControl/>
              <w:jc w:val="center"/>
              <w:rPr>
                <w:rFonts w:ascii="Calibri" w:eastAsia="Calibri" w:hAnsi="Calibri" w:cs="Calibri"/>
                <w:color w:val="000000"/>
                <w:sz w:val="20"/>
                <w:szCs w:val="20"/>
              </w:rPr>
            </w:pPr>
            <w:r>
              <w:rPr>
                <w:rFonts w:ascii="Calibri" w:eastAsia="Calibri" w:hAnsi="Calibri" w:cs="Calibri"/>
                <w:sz w:val="20"/>
                <w:szCs w:val="20"/>
              </w:rPr>
              <w:t>operating costs: $5</w:t>
            </w:r>
          </w:p>
        </w:tc>
        <w:tc>
          <w:tcPr>
            <w:tcW w:w="2340" w:type="dxa"/>
            <w:tcBorders>
              <w:top w:val="dotted" w:sz="4" w:space="0" w:color="000000"/>
              <w:left w:val="nil"/>
              <w:bottom w:val="single" w:sz="8" w:space="0" w:color="000000"/>
              <w:right w:val="single" w:sz="4" w:space="0" w:color="000000"/>
            </w:tcBorders>
            <w:shd w:val="clear" w:color="auto" w:fill="auto"/>
            <w:vAlign w:val="center"/>
          </w:tcPr>
          <w:p w:rsidR="005C6A8D" w14:paraId="00000113" w14:textId="77777777">
            <w:pPr>
              <w:widowControl/>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5</w:t>
            </w:r>
          </w:p>
        </w:tc>
      </w:tr>
      <w:tr w14:paraId="06274EFD" w14:textId="77777777">
        <w:tblPrEx>
          <w:tblW w:w="12950" w:type="dxa"/>
          <w:jc w:val="center"/>
          <w:tblLayout w:type="fixed"/>
          <w:tblLook w:val="0400"/>
        </w:tblPrEx>
        <w:trPr>
          <w:trHeight w:val="367"/>
          <w:jc w:val="center"/>
        </w:trPr>
        <w:tc>
          <w:tcPr>
            <w:tcW w:w="2960" w:type="dxa"/>
            <w:vMerge w:val="restart"/>
            <w:tcBorders>
              <w:top w:val="nil"/>
              <w:left w:val="single" w:sz="8" w:space="0" w:color="000000"/>
              <w:right w:val="single" w:sz="4" w:space="0" w:color="000000"/>
            </w:tcBorders>
            <w:shd w:val="clear" w:color="auto" w:fill="auto"/>
            <w:vAlign w:val="center"/>
          </w:tcPr>
          <w:p w:rsidR="005C6A8D" w14:paraId="00000114" w14:textId="77777777">
            <w:pPr>
              <w:widowControl/>
              <w:spacing w:before="60" w:after="60"/>
              <w:rPr>
                <w:rFonts w:ascii="Calibri" w:eastAsia="Calibri" w:hAnsi="Calibri" w:cs="Calibri"/>
                <w:sz w:val="20"/>
                <w:szCs w:val="20"/>
              </w:rPr>
            </w:pPr>
            <w:r>
              <w:rPr>
                <w:rFonts w:ascii="Calibri" w:eastAsia="Calibri" w:hAnsi="Calibri" w:cs="Calibri"/>
                <w:sz w:val="20"/>
                <w:szCs w:val="20"/>
              </w:rPr>
              <w:t>Annual Catcher/Processor Crab EDR</w:t>
            </w:r>
          </w:p>
        </w:tc>
        <w:tc>
          <w:tcPr>
            <w:tcW w:w="1620" w:type="dxa"/>
            <w:tcBorders>
              <w:top w:val="nil"/>
              <w:left w:val="nil"/>
              <w:bottom w:val="dotted" w:sz="4" w:space="0" w:color="000000"/>
              <w:right w:val="single" w:sz="4" w:space="0" w:color="000000"/>
            </w:tcBorders>
            <w:shd w:val="clear" w:color="auto" w:fill="auto"/>
            <w:vAlign w:val="center"/>
          </w:tcPr>
          <w:p w:rsidR="005C6A8D" w14:paraId="00000115" w14:textId="77777777">
            <w:pPr>
              <w:widowControl/>
              <w:spacing w:before="60" w:after="60"/>
              <w:jc w:val="center"/>
              <w:rPr>
                <w:rFonts w:ascii="Calibri" w:eastAsia="Calibri" w:hAnsi="Calibri" w:cs="Calibri"/>
                <w:color w:val="000000"/>
                <w:sz w:val="20"/>
                <w:szCs w:val="20"/>
              </w:rPr>
            </w:pPr>
            <w:r>
              <w:rPr>
                <w:rFonts w:ascii="Calibri" w:eastAsia="Calibri" w:hAnsi="Calibri" w:cs="Calibri"/>
                <w:sz w:val="20"/>
                <w:szCs w:val="20"/>
              </w:rPr>
              <w:t>2– full EDR</w:t>
            </w:r>
          </w:p>
        </w:tc>
        <w:tc>
          <w:tcPr>
            <w:tcW w:w="1710" w:type="dxa"/>
            <w:tcBorders>
              <w:top w:val="nil"/>
              <w:left w:val="nil"/>
              <w:bottom w:val="dotted" w:sz="4" w:space="0" w:color="000000"/>
              <w:right w:val="single" w:sz="4" w:space="0" w:color="000000"/>
            </w:tcBorders>
            <w:shd w:val="clear" w:color="auto" w:fill="auto"/>
            <w:vAlign w:val="center"/>
          </w:tcPr>
          <w:p w:rsidR="005C6A8D" w14:paraId="00000116" w14:textId="77777777">
            <w:pPr>
              <w:widowControl/>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1620" w:type="dxa"/>
            <w:tcBorders>
              <w:top w:val="nil"/>
              <w:left w:val="nil"/>
              <w:bottom w:val="dotted" w:sz="4" w:space="0" w:color="000000"/>
              <w:right w:val="single" w:sz="4" w:space="0" w:color="000000"/>
            </w:tcBorders>
            <w:shd w:val="clear" w:color="auto" w:fill="auto"/>
            <w:vAlign w:val="center"/>
          </w:tcPr>
          <w:p w:rsidR="005C6A8D" w14:paraId="00000117" w14:textId="77777777">
            <w:pPr>
              <w:widowControl/>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2</w:t>
            </w:r>
          </w:p>
        </w:tc>
        <w:tc>
          <w:tcPr>
            <w:tcW w:w="2700" w:type="dxa"/>
            <w:tcBorders>
              <w:top w:val="nil"/>
              <w:left w:val="nil"/>
              <w:bottom w:val="dotted" w:sz="4" w:space="0" w:color="000000"/>
              <w:right w:val="single" w:sz="4" w:space="0" w:color="000000"/>
            </w:tcBorders>
            <w:shd w:val="clear" w:color="auto" w:fill="auto"/>
            <w:vAlign w:val="center"/>
          </w:tcPr>
          <w:p w:rsidR="005C6A8D" w14:paraId="00000118" w14:textId="77777777">
            <w:pPr>
              <w:widowControl/>
              <w:jc w:val="center"/>
              <w:rPr>
                <w:rFonts w:ascii="Calibri" w:eastAsia="Calibri" w:hAnsi="Calibri" w:cs="Calibri"/>
                <w:color w:val="000000"/>
                <w:sz w:val="20"/>
                <w:szCs w:val="20"/>
              </w:rPr>
            </w:pPr>
            <w:r>
              <w:rPr>
                <w:rFonts w:ascii="Calibri" w:eastAsia="Calibri" w:hAnsi="Calibri" w:cs="Calibri"/>
                <w:sz w:val="20"/>
                <w:szCs w:val="20"/>
              </w:rPr>
              <w:t>operating costs: $5</w:t>
            </w:r>
          </w:p>
        </w:tc>
        <w:tc>
          <w:tcPr>
            <w:tcW w:w="2340" w:type="dxa"/>
            <w:tcBorders>
              <w:top w:val="nil"/>
              <w:left w:val="nil"/>
              <w:bottom w:val="dotted" w:sz="4" w:space="0" w:color="000000"/>
              <w:right w:val="single" w:sz="4" w:space="0" w:color="000000"/>
            </w:tcBorders>
            <w:shd w:val="clear" w:color="auto" w:fill="auto"/>
            <w:vAlign w:val="center"/>
          </w:tcPr>
          <w:p w:rsidR="005C6A8D" w14:paraId="00000119" w14:textId="77777777">
            <w:pPr>
              <w:widowControl/>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10</w:t>
            </w:r>
          </w:p>
        </w:tc>
      </w:tr>
      <w:tr w14:paraId="2D0DE261" w14:textId="77777777">
        <w:tblPrEx>
          <w:tblW w:w="12950" w:type="dxa"/>
          <w:jc w:val="center"/>
          <w:tblLayout w:type="fixed"/>
          <w:tblLook w:val="0400"/>
        </w:tblPrEx>
        <w:trPr>
          <w:trHeight w:val="367"/>
          <w:jc w:val="center"/>
        </w:trPr>
        <w:tc>
          <w:tcPr>
            <w:tcW w:w="2960" w:type="dxa"/>
            <w:vMerge/>
            <w:tcBorders>
              <w:top w:val="nil"/>
              <w:left w:val="single" w:sz="8" w:space="0" w:color="000000"/>
              <w:right w:val="single" w:sz="4" w:space="0" w:color="000000"/>
            </w:tcBorders>
            <w:shd w:val="clear" w:color="auto" w:fill="auto"/>
            <w:vAlign w:val="center"/>
          </w:tcPr>
          <w:p w:rsidR="005C6A8D" w14:paraId="0000011A" w14:textId="77777777">
            <w:pPr>
              <w:pBdr>
                <w:top w:val="nil"/>
                <w:left w:val="nil"/>
                <w:bottom w:val="nil"/>
                <w:right w:val="nil"/>
                <w:between w:val="nil"/>
              </w:pBdr>
              <w:spacing w:line="276" w:lineRule="auto"/>
              <w:rPr>
                <w:rFonts w:ascii="Calibri" w:eastAsia="Calibri" w:hAnsi="Calibri" w:cs="Calibri"/>
                <w:color w:val="000000"/>
                <w:sz w:val="20"/>
                <w:szCs w:val="20"/>
              </w:rPr>
            </w:pPr>
          </w:p>
        </w:tc>
        <w:tc>
          <w:tcPr>
            <w:tcW w:w="1620" w:type="dxa"/>
            <w:tcBorders>
              <w:top w:val="dotted" w:sz="4" w:space="0" w:color="000000"/>
              <w:left w:val="nil"/>
              <w:bottom w:val="single" w:sz="8" w:space="0" w:color="000000"/>
              <w:right w:val="single" w:sz="4" w:space="0" w:color="000000"/>
            </w:tcBorders>
            <w:shd w:val="clear" w:color="auto" w:fill="auto"/>
            <w:vAlign w:val="center"/>
          </w:tcPr>
          <w:p w:rsidR="005C6A8D" w14:paraId="0000011B" w14:textId="77777777">
            <w:pPr>
              <w:widowControl/>
              <w:spacing w:before="60" w:after="60"/>
              <w:jc w:val="center"/>
              <w:rPr>
                <w:rFonts w:ascii="Calibri" w:eastAsia="Calibri" w:hAnsi="Calibri" w:cs="Calibri"/>
                <w:color w:val="000000"/>
                <w:sz w:val="20"/>
                <w:szCs w:val="20"/>
              </w:rPr>
            </w:pPr>
            <w:r>
              <w:rPr>
                <w:rFonts w:ascii="Calibri" w:eastAsia="Calibri" w:hAnsi="Calibri" w:cs="Calibri"/>
                <w:sz w:val="20"/>
                <w:szCs w:val="20"/>
              </w:rPr>
              <w:t>0– cert. only*</w:t>
            </w:r>
          </w:p>
        </w:tc>
        <w:tc>
          <w:tcPr>
            <w:tcW w:w="1710" w:type="dxa"/>
            <w:tcBorders>
              <w:top w:val="dotted" w:sz="4" w:space="0" w:color="000000"/>
              <w:left w:val="nil"/>
              <w:bottom w:val="single" w:sz="8" w:space="0" w:color="000000"/>
              <w:right w:val="single" w:sz="4" w:space="0" w:color="000000"/>
            </w:tcBorders>
            <w:shd w:val="clear" w:color="auto" w:fill="auto"/>
            <w:vAlign w:val="center"/>
          </w:tcPr>
          <w:p w:rsidR="005C6A8D" w14:paraId="0000011C" w14:textId="77777777">
            <w:pPr>
              <w:widowControl/>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1620" w:type="dxa"/>
            <w:tcBorders>
              <w:top w:val="dotted" w:sz="4" w:space="0" w:color="000000"/>
              <w:left w:val="nil"/>
              <w:bottom w:val="single" w:sz="8" w:space="0" w:color="000000"/>
              <w:right w:val="single" w:sz="4" w:space="0" w:color="000000"/>
            </w:tcBorders>
            <w:shd w:val="clear" w:color="auto" w:fill="auto"/>
            <w:vAlign w:val="center"/>
          </w:tcPr>
          <w:p w:rsidR="005C6A8D" w14:paraId="0000011D" w14:textId="77777777">
            <w:pPr>
              <w:widowControl/>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2700" w:type="dxa"/>
            <w:tcBorders>
              <w:top w:val="dotted" w:sz="4" w:space="0" w:color="000000"/>
              <w:left w:val="nil"/>
              <w:bottom w:val="single" w:sz="8" w:space="0" w:color="000000"/>
              <w:right w:val="single" w:sz="4" w:space="0" w:color="000000"/>
            </w:tcBorders>
            <w:shd w:val="clear" w:color="auto" w:fill="auto"/>
            <w:vAlign w:val="center"/>
          </w:tcPr>
          <w:p w:rsidR="005C6A8D" w14:paraId="0000011E" w14:textId="77777777">
            <w:pPr>
              <w:widowControl/>
              <w:jc w:val="center"/>
              <w:rPr>
                <w:rFonts w:ascii="Calibri" w:eastAsia="Calibri" w:hAnsi="Calibri" w:cs="Calibri"/>
                <w:color w:val="000000"/>
                <w:sz w:val="20"/>
                <w:szCs w:val="20"/>
              </w:rPr>
            </w:pPr>
            <w:r>
              <w:rPr>
                <w:rFonts w:ascii="Calibri" w:eastAsia="Calibri" w:hAnsi="Calibri" w:cs="Calibri"/>
                <w:sz w:val="20"/>
                <w:szCs w:val="20"/>
              </w:rPr>
              <w:t>operating costs: $5</w:t>
            </w:r>
          </w:p>
        </w:tc>
        <w:tc>
          <w:tcPr>
            <w:tcW w:w="2340" w:type="dxa"/>
            <w:tcBorders>
              <w:top w:val="dotted" w:sz="4" w:space="0" w:color="000000"/>
              <w:left w:val="nil"/>
              <w:bottom w:val="single" w:sz="8" w:space="0" w:color="000000"/>
              <w:right w:val="single" w:sz="4" w:space="0" w:color="000000"/>
            </w:tcBorders>
            <w:shd w:val="clear" w:color="auto" w:fill="auto"/>
            <w:vAlign w:val="center"/>
          </w:tcPr>
          <w:p w:rsidR="005C6A8D" w14:paraId="0000011F" w14:textId="77777777">
            <w:pPr>
              <w:widowControl/>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0</w:t>
            </w:r>
          </w:p>
        </w:tc>
      </w:tr>
      <w:tr w14:paraId="08B26BFF" w14:textId="77777777">
        <w:tblPrEx>
          <w:tblW w:w="12950" w:type="dxa"/>
          <w:jc w:val="center"/>
          <w:tblLayout w:type="fixed"/>
          <w:tblLook w:val="0400"/>
        </w:tblPrEx>
        <w:trPr>
          <w:trHeight w:val="367"/>
          <w:jc w:val="center"/>
        </w:trPr>
        <w:tc>
          <w:tcPr>
            <w:tcW w:w="2960" w:type="dxa"/>
            <w:vMerge w:val="restart"/>
            <w:tcBorders>
              <w:top w:val="nil"/>
              <w:left w:val="single" w:sz="8" w:space="0" w:color="000000"/>
              <w:right w:val="single" w:sz="4" w:space="0" w:color="000000"/>
            </w:tcBorders>
            <w:shd w:val="clear" w:color="auto" w:fill="auto"/>
            <w:vAlign w:val="center"/>
          </w:tcPr>
          <w:p w:rsidR="005C6A8D" w14:paraId="00000120" w14:textId="77777777">
            <w:pPr>
              <w:widowControl/>
              <w:spacing w:before="60" w:after="60"/>
              <w:rPr>
                <w:rFonts w:ascii="Calibri" w:eastAsia="Calibri" w:hAnsi="Calibri" w:cs="Calibri"/>
                <w:sz w:val="20"/>
                <w:szCs w:val="20"/>
              </w:rPr>
            </w:pPr>
            <w:r>
              <w:rPr>
                <w:rFonts w:ascii="Calibri" w:eastAsia="Calibri" w:hAnsi="Calibri" w:cs="Calibri"/>
                <w:sz w:val="20"/>
                <w:szCs w:val="20"/>
              </w:rPr>
              <w:t xml:space="preserve">Annual </w:t>
            </w:r>
            <w:r>
              <w:rPr>
                <w:rFonts w:ascii="Calibri" w:eastAsia="Calibri" w:hAnsi="Calibri" w:cs="Calibri"/>
                <w:sz w:val="20"/>
                <w:szCs w:val="20"/>
              </w:rPr>
              <w:t>Processor Crab EDR</w:t>
            </w:r>
          </w:p>
        </w:tc>
        <w:tc>
          <w:tcPr>
            <w:tcW w:w="1620" w:type="dxa"/>
            <w:tcBorders>
              <w:top w:val="nil"/>
              <w:left w:val="nil"/>
              <w:bottom w:val="dotted" w:sz="4" w:space="0" w:color="000000"/>
              <w:right w:val="single" w:sz="4" w:space="0" w:color="000000"/>
            </w:tcBorders>
            <w:shd w:val="clear" w:color="auto" w:fill="auto"/>
            <w:vAlign w:val="center"/>
          </w:tcPr>
          <w:p w:rsidR="005C6A8D" w14:paraId="00000121" w14:textId="77777777">
            <w:pPr>
              <w:widowControl/>
              <w:spacing w:before="60" w:after="60"/>
              <w:jc w:val="center"/>
              <w:rPr>
                <w:rFonts w:ascii="Calibri" w:eastAsia="Calibri" w:hAnsi="Calibri" w:cs="Calibri"/>
                <w:color w:val="000000"/>
                <w:sz w:val="20"/>
                <w:szCs w:val="20"/>
              </w:rPr>
            </w:pPr>
            <w:r>
              <w:rPr>
                <w:rFonts w:ascii="Calibri" w:eastAsia="Calibri" w:hAnsi="Calibri" w:cs="Calibri"/>
                <w:sz w:val="20"/>
                <w:szCs w:val="20"/>
              </w:rPr>
              <w:t>18– full EDR</w:t>
            </w:r>
          </w:p>
        </w:tc>
        <w:tc>
          <w:tcPr>
            <w:tcW w:w="1710" w:type="dxa"/>
            <w:tcBorders>
              <w:top w:val="nil"/>
              <w:left w:val="nil"/>
              <w:bottom w:val="dotted" w:sz="4" w:space="0" w:color="000000"/>
              <w:right w:val="single" w:sz="4" w:space="0" w:color="000000"/>
            </w:tcBorders>
            <w:shd w:val="clear" w:color="auto" w:fill="auto"/>
            <w:vAlign w:val="center"/>
          </w:tcPr>
          <w:p w:rsidR="005C6A8D" w14:paraId="00000122" w14:textId="77777777">
            <w:pPr>
              <w:widowControl/>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1620" w:type="dxa"/>
            <w:tcBorders>
              <w:top w:val="nil"/>
              <w:left w:val="nil"/>
              <w:bottom w:val="dotted" w:sz="4" w:space="0" w:color="000000"/>
              <w:right w:val="single" w:sz="4" w:space="0" w:color="000000"/>
            </w:tcBorders>
            <w:shd w:val="clear" w:color="auto" w:fill="auto"/>
            <w:vAlign w:val="center"/>
          </w:tcPr>
          <w:p w:rsidR="005C6A8D" w14:paraId="00000123" w14:textId="77777777">
            <w:pPr>
              <w:widowControl/>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18</w:t>
            </w:r>
          </w:p>
        </w:tc>
        <w:tc>
          <w:tcPr>
            <w:tcW w:w="2700" w:type="dxa"/>
            <w:tcBorders>
              <w:top w:val="nil"/>
              <w:left w:val="nil"/>
              <w:bottom w:val="dotted" w:sz="4" w:space="0" w:color="000000"/>
              <w:right w:val="single" w:sz="4" w:space="0" w:color="000000"/>
            </w:tcBorders>
            <w:shd w:val="clear" w:color="auto" w:fill="auto"/>
            <w:vAlign w:val="center"/>
          </w:tcPr>
          <w:p w:rsidR="005C6A8D" w14:paraId="00000124" w14:textId="77777777">
            <w:pPr>
              <w:widowControl/>
              <w:jc w:val="center"/>
              <w:rPr>
                <w:rFonts w:ascii="Calibri" w:eastAsia="Calibri" w:hAnsi="Calibri" w:cs="Calibri"/>
                <w:color w:val="000000"/>
                <w:sz w:val="20"/>
                <w:szCs w:val="20"/>
              </w:rPr>
            </w:pPr>
            <w:r>
              <w:rPr>
                <w:rFonts w:ascii="Calibri" w:eastAsia="Calibri" w:hAnsi="Calibri" w:cs="Calibri"/>
                <w:sz w:val="20"/>
                <w:szCs w:val="20"/>
              </w:rPr>
              <w:t>operating costs: $5</w:t>
            </w:r>
          </w:p>
        </w:tc>
        <w:tc>
          <w:tcPr>
            <w:tcW w:w="2340" w:type="dxa"/>
            <w:tcBorders>
              <w:top w:val="nil"/>
              <w:left w:val="nil"/>
              <w:bottom w:val="dotted" w:sz="4" w:space="0" w:color="000000"/>
              <w:right w:val="single" w:sz="4" w:space="0" w:color="000000"/>
            </w:tcBorders>
            <w:shd w:val="clear" w:color="auto" w:fill="auto"/>
            <w:vAlign w:val="center"/>
          </w:tcPr>
          <w:p w:rsidR="005C6A8D" w14:paraId="00000125" w14:textId="77777777">
            <w:pPr>
              <w:widowControl/>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90</w:t>
            </w:r>
          </w:p>
        </w:tc>
      </w:tr>
      <w:tr w14:paraId="3FE5D76D" w14:textId="77777777">
        <w:tblPrEx>
          <w:tblW w:w="12950" w:type="dxa"/>
          <w:jc w:val="center"/>
          <w:tblLayout w:type="fixed"/>
          <w:tblLook w:val="0400"/>
        </w:tblPrEx>
        <w:trPr>
          <w:trHeight w:val="367"/>
          <w:jc w:val="center"/>
        </w:trPr>
        <w:tc>
          <w:tcPr>
            <w:tcW w:w="2960" w:type="dxa"/>
            <w:vMerge/>
            <w:tcBorders>
              <w:top w:val="nil"/>
              <w:left w:val="single" w:sz="8" w:space="0" w:color="000000"/>
              <w:right w:val="single" w:sz="4" w:space="0" w:color="000000"/>
            </w:tcBorders>
            <w:shd w:val="clear" w:color="auto" w:fill="auto"/>
            <w:vAlign w:val="center"/>
          </w:tcPr>
          <w:p w:rsidR="005C6A8D" w14:paraId="00000126" w14:textId="77777777">
            <w:pPr>
              <w:pBdr>
                <w:top w:val="nil"/>
                <w:left w:val="nil"/>
                <w:bottom w:val="nil"/>
                <w:right w:val="nil"/>
                <w:between w:val="nil"/>
              </w:pBdr>
              <w:spacing w:line="276" w:lineRule="auto"/>
              <w:rPr>
                <w:rFonts w:ascii="Calibri" w:eastAsia="Calibri" w:hAnsi="Calibri" w:cs="Calibri"/>
                <w:color w:val="000000"/>
                <w:sz w:val="20"/>
                <w:szCs w:val="20"/>
              </w:rPr>
            </w:pPr>
          </w:p>
        </w:tc>
        <w:tc>
          <w:tcPr>
            <w:tcW w:w="1620" w:type="dxa"/>
            <w:tcBorders>
              <w:top w:val="dotted" w:sz="4" w:space="0" w:color="000000"/>
              <w:left w:val="nil"/>
              <w:bottom w:val="single" w:sz="8" w:space="0" w:color="000000"/>
              <w:right w:val="single" w:sz="4" w:space="0" w:color="000000"/>
            </w:tcBorders>
            <w:shd w:val="clear" w:color="auto" w:fill="auto"/>
            <w:vAlign w:val="center"/>
          </w:tcPr>
          <w:p w:rsidR="005C6A8D" w14:paraId="00000127" w14:textId="77777777">
            <w:pPr>
              <w:widowControl/>
              <w:spacing w:before="60" w:after="60"/>
              <w:jc w:val="center"/>
              <w:rPr>
                <w:rFonts w:ascii="Calibri" w:eastAsia="Calibri" w:hAnsi="Calibri" w:cs="Calibri"/>
                <w:color w:val="000000"/>
                <w:sz w:val="20"/>
                <w:szCs w:val="20"/>
              </w:rPr>
            </w:pPr>
            <w:r>
              <w:rPr>
                <w:rFonts w:ascii="Calibri" w:eastAsia="Calibri" w:hAnsi="Calibri" w:cs="Calibri"/>
                <w:sz w:val="20"/>
                <w:szCs w:val="20"/>
              </w:rPr>
              <w:t>0– cert. only*</w:t>
            </w:r>
          </w:p>
        </w:tc>
        <w:tc>
          <w:tcPr>
            <w:tcW w:w="1710" w:type="dxa"/>
            <w:tcBorders>
              <w:top w:val="dotted" w:sz="4" w:space="0" w:color="000000"/>
              <w:left w:val="nil"/>
              <w:bottom w:val="single" w:sz="8" w:space="0" w:color="000000"/>
              <w:right w:val="single" w:sz="4" w:space="0" w:color="000000"/>
            </w:tcBorders>
            <w:shd w:val="clear" w:color="auto" w:fill="auto"/>
            <w:vAlign w:val="center"/>
          </w:tcPr>
          <w:p w:rsidR="005C6A8D" w14:paraId="00000128" w14:textId="77777777">
            <w:pPr>
              <w:widowControl/>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1620" w:type="dxa"/>
            <w:tcBorders>
              <w:top w:val="dotted" w:sz="4" w:space="0" w:color="000000"/>
              <w:left w:val="nil"/>
              <w:bottom w:val="single" w:sz="8" w:space="0" w:color="000000"/>
              <w:right w:val="single" w:sz="4" w:space="0" w:color="000000"/>
            </w:tcBorders>
            <w:shd w:val="clear" w:color="auto" w:fill="auto"/>
            <w:vAlign w:val="center"/>
          </w:tcPr>
          <w:p w:rsidR="005C6A8D" w14:paraId="00000129" w14:textId="77777777">
            <w:pPr>
              <w:widowControl/>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2700" w:type="dxa"/>
            <w:tcBorders>
              <w:top w:val="dotted" w:sz="4" w:space="0" w:color="000000"/>
              <w:left w:val="nil"/>
              <w:bottom w:val="single" w:sz="8" w:space="0" w:color="000000"/>
              <w:right w:val="single" w:sz="4" w:space="0" w:color="000000"/>
            </w:tcBorders>
            <w:shd w:val="clear" w:color="auto" w:fill="auto"/>
            <w:vAlign w:val="center"/>
          </w:tcPr>
          <w:p w:rsidR="005C6A8D" w14:paraId="0000012A" w14:textId="77777777">
            <w:pPr>
              <w:widowControl/>
              <w:jc w:val="center"/>
              <w:rPr>
                <w:rFonts w:ascii="Calibri" w:eastAsia="Calibri" w:hAnsi="Calibri" w:cs="Calibri"/>
                <w:color w:val="000000"/>
                <w:sz w:val="20"/>
                <w:szCs w:val="20"/>
              </w:rPr>
            </w:pPr>
            <w:r>
              <w:rPr>
                <w:rFonts w:ascii="Calibri" w:eastAsia="Calibri" w:hAnsi="Calibri" w:cs="Calibri"/>
                <w:sz w:val="20"/>
                <w:szCs w:val="20"/>
              </w:rPr>
              <w:t>operating costs: $5</w:t>
            </w:r>
          </w:p>
        </w:tc>
        <w:tc>
          <w:tcPr>
            <w:tcW w:w="2340" w:type="dxa"/>
            <w:tcBorders>
              <w:top w:val="dotted" w:sz="4" w:space="0" w:color="000000"/>
              <w:left w:val="nil"/>
              <w:bottom w:val="single" w:sz="8" w:space="0" w:color="000000"/>
              <w:right w:val="single" w:sz="4" w:space="0" w:color="000000"/>
            </w:tcBorders>
            <w:shd w:val="clear" w:color="auto" w:fill="auto"/>
            <w:vAlign w:val="center"/>
          </w:tcPr>
          <w:p w:rsidR="005C6A8D" w14:paraId="0000012B" w14:textId="77777777">
            <w:pPr>
              <w:widowControl/>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0</w:t>
            </w:r>
          </w:p>
        </w:tc>
      </w:tr>
      <w:tr w14:paraId="6F863681" w14:textId="77777777">
        <w:tblPrEx>
          <w:tblW w:w="12950" w:type="dxa"/>
          <w:jc w:val="center"/>
          <w:tblLayout w:type="fixed"/>
          <w:tblLook w:val="0400"/>
        </w:tblPrEx>
        <w:trPr>
          <w:trHeight w:val="394"/>
          <w:jc w:val="center"/>
        </w:trPr>
        <w:tc>
          <w:tcPr>
            <w:tcW w:w="2960"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5C6A8D" w14:paraId="0000012C" w14:textId="77777777">
            <w:pPr>
              <w:widowControl/>
              <w:rPr>
                <w:rFonts w:ascii="Calibri" w:eastAsia="Calibri" w:hAnsi="Calibri" w:cs="Calibri"/>
                <w:b/>
                <w:color w:val="000000"/>
              </w:rPr>
            </w:pPr>
            <w:r>
              <w:rPr>
                <w:rFonts w:ascii="Calibri" w:eastAsia="Calibri" w:hAnsi="Calibri" w:cs="Calibri"/>
                <w:b/>
                <w:color w:val="000000"/>
              </w:rPr>
              <w:t>Totals</w:t>
            </w:r>
          </w:p>
        </w:tc>
        <w:tc>
          <w:tcPr>
            <w:tcW w:w="1620" w:type="dxa"/>
            <w:tcBorders>
              <w:top w:val="single" w:sz="8" w:space="0" w:color="000000"/>
              <w:left w:val="nil"/>
              <w:bottom w:val="single" w:sz="8" w:space="0" w:color="000000"/>
              <w:right w:val="single" w:sz="8" w:space="0" w:color="000000"/>
            </w:tcBorders>
            <w:shd w:val="clear" w:color="auto" w:fill="DBE5F1"/>
            <w:vAlign w:val="center"/>
          </w:tcPr>
          <w:p w:rsidR="005C6A8D" w14:paraId="0000012D" w14:textId="77777777">
            <w:pPr>
              <w:widowControl/>
              <w:spacing w:before="60" w:after="60"/>
              <w:jc w:val="center"/>
              <w:rPr>
                <w:rFonts w:ascii="Calibri" w:eastAsia="Calibri" w:hAnsi="Calibri" w:cs="Calibri"/>
                <w:b/>
                <w:color w:val="000000"/>
              </w:rPr>
            </w:pPr>
            <w:r>
              <w:rPr>
                <w:rFonts w:ascii="Calibri" w:eastAsia="Calibri" w:hAnsi="Calibri" w:cs="Calibri"/>
                <w:b/>
                <w:color w:val="000000"/>
              </w:rPr>
              <w:t>77</w:t>
            </w:r>
          </w:p>
        </w:tc>
        <w:tc>
          <w:tcPr>
            <w:tcW w:w="1710" w:type="dxa"/>
            <w:tcBorders>
              <w:top w:val="single" w:sz="8" w:space="0" w:color="000000"/>
              <w:left w:val="nil"/>
              <w:bottom w:val="single" w:sz="8" w:space="0" w:color="000000"/>
              <w:right w:val="single" w:sz="8" w:space="0" w:color="000000"/>
            </w:tcBorders>
            <w:shd w:val="clear" w:color="auto" w:fill="000000"/>
            <w:vAlign w:val="center"/>
          </w:tcPr>
          <w:p w:rsidR="005C6A8D" w14:paraId="0000012E" w14:textId="77777777">
            <w:pPr>
              <w:widowControl/>
              <w:spacing w:before="60" w:after="60"/>
              <w:jc w:val="center"/>
              <w:rPr>
                <w:rFonts w:ascii="Calibri" w:eastAsia="Calibri" w:hAnsi="Calibri" w:cs="Calibri"/>
                <w:b/>
                <w:color w:val="000000"/>
              </w:rPr>
            </w:pPr>
          </w:p>
        </w:tc>
        <w:tc>
          <w:tcPr>
            <w:tcW w:w="1620" w:type="dxa"/>
            <w:tcBorders>
              <w:top w:val="single" w:sz="8" w:space="0" w:color="000000"/>
              <w:left w:val="nil"/>
              <w:bottom w:val="single" w:sz="8" w:space="0" w:color="000000"/>
              <w:right w:val="single" w:sz="8" w:space="0" w:color="000000"/>
            </w:tcBorders>
            <w:shd w:val="clear" w:color="auto" w:fill="DBE5F1"/>
            <w:vAlign w:val="center"/>
          </w:tcPr>
          <w:p w:rsidR="005C6A8D" w14:paraId="0000012F" w14:textId="77777777">
            <w:pPr>
              <w:widowControl/>
              <w:spacing w:before="60" w:after="60"/>
              <w:jc w:val="center"/>
              <w:rPr>
                <w:rFonts w:ascii="Calibri" w:eastAsia="Calibri" w:hAnsi="Calibri" w:cs="Calibri"/>
                <w:b/>
                <w:color w:val="000000"/>
              </w:rPr>
            </w:pPr>
            <w:r>
              <w:rPr>
                <w:rFonts w:ascii="Calibri" w:eastAsia="Calibri" w:hAnsi="Calibri" w:cs="Calibri"/>
                <w:b/>
                <w:color w:val="000000"/>
              </w:rPr>
              <w:t>77</w:t>
            </w:r>
          </w:p>
        </w:tc>
        <w:tc>
          <w:tcPr>
            <w:tcW w:w="2700" w:type="dxa"/>
            <w:tcBorders>
              <w:top w:val="single" w:sz="8" w:space="0" w:color="000000"/>
              <w:left w:val="nil"/>
              <w:bottom w:val="single" w:sz="8" w:space="0" w:color="000000"/>
              <w:right w:val="single" w:sz="8" w:space="0" w:color="000000"/>
            </w:tcBorders>
            <w:shd w:val="clear" w:color="auto" w:fill="000000"/>
            <w:vAlign w:val="center"/>
          </w:tcPr>
          <w:p w:rsidR="005C6A8D" w14:paraId="00000130" w14:textId="77777777">
            <w:pPr>
              <w:widowControl/>
              <w:spacing w:before="60" w:after="60"/>
              <w:jc w:val="center"/>
              <w:rPr>
                <w:rFonts w:ascii="Calibri" w:eastAsia="Calibri" w:hAnsi="Calibri" w:cs="Calibri"/>
                <w:b/>
                <w:color w:val="000000"/>
              </w:rPr>
            </w:pPr>
          </w:p>
        </w:tc>
        <w:tc>
          <w:tcPr>
            <w:tcW w:w="2340" w:type="dxa"/>
            <w:tcBorders>
              <w:top w:val="single" w:sz="8" w:space="0" w:color="000000"/>
              <w:left w:val="nil"/>
              <w:bottom w:val="single" w:sz="8" w:space="0" w:color="000000"/>
              <w:right w:val="single" w:sz="8" w:space="0" w:color="000000"/>
            </w:tcBorders>
            <w:shd w:val="clear" w:color="auto" w:fill="DBE5F1"/>
            <w:vAlign w:val="center"/>
          </w:tcPr>
          <w:p w:rsidR="005C6A8D" w14:paraId="00000131" w14:textId="77777777">
            <w:pPr>
              <w:widowControl/>
              <w:spacing w:before="60" w:after="60"/>
              <w:jc w:val="center"/>
              <w:rPr>
                <w:rFonts w:ascii="Calibri" w:eastAsia="Calibri" w:hAnsi="Calibri" w:cs="Calibri"/>
                <w:b/>
                <w:color w:val="000000"/>
              </w:rPr>
            </w:pPr>
            <w:r>
              <w:rPr>
                <w:rFonts w:ascii="Calibri" w:eastAsia="Calibri" w:hAnsi="Calibri" w:cs="Calibri"/>
                <w:b/>
                <w:color w:val="000000"/>
              </w:rPr>
              <w:t>385</w:t>
            </w:r>
          </w:p>
        </w:tc>
      </w:tr>
    </w:tbl>
    <w:p w:rsidR="005C6A8D" w14:paraId="00000132" w14:textId="77777777">
      <w:pPr>
        <w:widowControl/>
        <w:spacing w:before="120" w:after="12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sz w:val="18"/>
          <w:szCs w:val="18"/>
          <w:vertAlign w:val="superscript"/>
        </w:rPr>
        <w:t xml:space="preserve"> </w:t>
      </w:r>
      <w:r>
        <w:rPr>
          <w:rFonts w:ascii="Calibri" w:eastAsia="Calibri" w:hAnsi="Calibri" w:cs="Calibri"/>
          <w:sz w:val="18"/>
          <w:szCs w:val="18"/>
        </w:rPr>
        <w:t>Respondents submit only the certification page indicating that they are not required to complete the full EDR.</w:t>
      </w:r>
    </w:p>
    <w:p w:rsidR="005C6A8D" w14:paraId="00000133" w14:textId="77777777">
      <w:pPr>
        <w:pBdr>
          <w:top w:val="nil"/>
          <w:left w:val="nil"/>
          <w:bottom w:val="nil"/>
          <w:right w:val="nil"/>
          <w:between w:val="nil"/>
        </w:pBdr>
        <w:rPr>
          <w:b/>
          <w:color w:val="000000"/>
        </w:rPr>
      </w:pPr>
    </w:p>
    <w:p w:rsidR="005C6A8D" w14:paraId="00000134" w14:textId="77777777">
      <w:pPr>
        <w:pBdr>
          <w:top w:val="nil"/>
          <w:left w:val="nil"/>
          <w:bottom w:val="nil"/>
          <w:right w:val="nil"/>
          <w:between w:val="nil"/>
        </w:pBdr>
        <w:rPr>
          <w:b/>
          <w:color w:val="000000"/>
        </w:rPr>
        <w:sectPr>
          <w:pgSz w:w="15840" w:h="12240" w:orient="landscape"/>
          <w:pgMar w:top="1440" w:right="1440" w:bottom="1440" w:left="1440" w:header="0" w:footer="1014" w:gutter="0"/>
          <w:cols w:space="720"/>
        </w:sectPr>
      </w:pPr>
    </w:p>
    <w:p w:rsidR="005C6A8D" w14:paraId="00000135" w14:textId="77777777">
      <w:pPr>
        <w:numPr>
          <w:ilvl w:val="0"/>
          <w:numId w:val="2"/>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C6A8D" w14:paraId="00000136" w14:textId="77777777">
      <w:pPr>
        <w:pBdr>
          <w:top w:val="nil"/>
          <w:left w:val="nil"/>
          <w:bottom w:val="nil"/>
          <w:right w:val="nil"/>
          <w:between w:val="nil"/>
        </w:pBdr>
        <w:rPr>
          <w:b/>
          <w:color w:val="000000"/>
        </w:rPr>
      </w:pPr>
    </w:p>
    <w:p w:rsidR="005C6A8D" w14:paraId="00000137" w14:textId="77777777">
      <w:pPr>
        <w:widowControl/>
        <w:pBdr>
          <w:top w:val="nil"/>
          <w:left w:val="nil"/>
          <w:bottom w:val="nil"/>
          <w:right w:val="nil"/>
          <w:between w:val="nil"/>
        </w:pBdr>
        <w:rPr>
          <w:color w:val="000000"/>
        </w:rPr>
      </w:pPr>
      <w:r>
        <w:rPr>
          <w:color w:val="000000"/>
        </w:rPr>
        <w:t xml:space="preserve">The cost of the crab EDR program to the Federal government includes the costs of Pacific States and their subcontractors in their role as NMFS’s data collection agent. Pacific States provides administrative support for the data collections, software development, web services, and database administration. Costs also include NMFS staff at the Alaska Fisheries Science Center for oversight of Pacific States’ work; performing additional data quality evaluations; form development and refinement; collaboration on </w:t>
      </w:r>
      <w:r>
        <w:rPr>
          <w:color w:val="000000"/>
        </w:rPr>
        <w:t>PRA clearance and publication of authorizing regulations; and associated public outreach (meetings, consultations, and user support). Alaska Fisheries Science Center also provides office space, computer equipment, and other administrative services. The estimated annual costs to the Federal government in 202</w:t>
      </w:r>
      <w:r>
        <w:t>3 was $145,209</w:t>
      </w:r>
      <w:r>
        <w:rPr>
          <w:color w:val="000000"/>
        </w:rPr>
        <w:t xml:space="preserve">. </w:t>
      </w:r>
    </w:p>
    <w:p w:rsidR="005C6A8D" w14:paraId="00000138" w14:textId="77777777">
      <w:pPr>
        <w:widowControl/>
        <w:pBdr>
          <w:top w:val="nil"/>
          <w:left w:val="nil"/>
          <w:bottom w:val="nil"/>
          <w:right w:val="nil"/>
          <w:between w:val="nil"/>
        </w:pBdr>
        <w:rPr>
          <w:color w:val="000000"/>
        </w:rPr>
      </w:pPr>
    </w:p>
    <w:p w:rsidR="005C6A8D" w14:paraId="00000139" w14:textId="77777777">
      <w:pPr>
        <w:widowControl/>
        <w:pBdr>
          <w:top w:val="nil"/>
          <w:left w:val="nil"/>
          <w:bottom w:val="nil"/>
          <w:right w:val="nil"/>
          <w:between w:val="nil"/>
        </w:pBdr>
        <w:rPr>
          <w:color w:val="000000"/>
        </w:rPr>
      </w:pPr>
      <w:r>
        <w:rPr>
          <w:color w:val="000000"/>
        </w:rPr>
        <w:t xml:space="preserve">Section 303A(c)(9)(e) of the Magnuson-Stevens Act authorizes NMFS to implement a fee on the permit holders in the CR Program to recover the costs of management, data collection and analyses, and enforcement activities for the program. The crab EDRs fall under the category of costs that are recovered from participants in the CR Program. Under this program, all Federal and contractor costs for the crab EDRs are recovered and deposited into the U.S. Treasury. Therefore, the costs to the Federal government for </w:t>
      </w:r>
      <w:r>
        <w:rPr>
          <w:color w:val="000000"/>
        </w:rPr>
        <w:t xml:space="preserve">this information collection program are zero. </w:t>
      </w:r>
    </w:p>
    <w:p w:rsidR="005C6A8D" w14:paraId="0000013A" w14:textId="77777777">
      <w:pPr>
        <w:pBdr>
          <w:top w:val="nil"/>
          <w:left w:val="nil"/>
          <w:bottom w:val="nil"/>
          <w:right w:val="nil"/>
          <w:between w:val="nil"/>
        </w:pBdr>
        <w:rPr>
          <w:b/>
          <w:color w:val="000000"/>
        </w:rPr>
      </w:pPr>
    </w:p>
    <w:tbl>
      <w:tblPr>
        <w:tblStyle w:val="a9"/>
        <w:tblW w:w="8520" w:type="dxa"/>
        <w:jc w:val="center"/>
        <w:tblLayout w:type="fixed"/>
        <w:tblLook w:val="0400"/>
      </w:tblPr>
      <w:tblGrid>
        <w:gridCol w:w="2330"/>
        <w:gridCol w:w="1170"/>
        <w:gridCol w:w="1320"/>
        <w:gridCol w:w="1120"/>
        <w:gridCol w:w="1280"/>
        <w:gridCol w:w="1300"/>
      </w:tblGrid>
      <w:tr w14:paraId="0AE5DEC3" w14:textId="77777777">
        <w:tblPrEx>
          <w:tblW w:w="8520" w:type="dxa"/>
          <w:jc w:val="center"/>
          <w:tblLayout w:type="fixed"/>
          <w:tblLook w:val="0400"/>
        </w:tblPrEx>
        <w:trPr>
          <w:trHeight w:val="450"/>
          <w:jc w:val="center"/>
        </w:trPr>
        <w:tc>
          <w:tcPr>
            <w:tcW w:w="2330" w:type="dxa"/>
            <w:tcBorders>
              <w:top w:val="single" w:sz="8" w:space="0" w:color="000000"/>
              <w:left w:val="single" w:sz="8" w:space="0" w:color="000000"/>
              <w:bottom w:val="nil"/>
              <w:right w:val="single" w:sz="8" w:space="0" w:color="000000"/>
            </w:tcBorders>
            <w:shd w:val="clear" w:color="auto" w:fill="BDD7EE"/>
            <w:vAlign w:val="center"/>
          </w:tcPr>
          <w:p w:rsidR="005C6A8D" w14:paraId="0000013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70" w:type="dxa"/>
            <w:tcBorders>
              <w:top w:val="single" w:sz="8" w:space="0" w:color="000000"/>
              <w:left w:val="nil"/>
              <w:bottom w:val="nil"/>
              <w:right w:val="single" w:sz="8" w:space="0" w:color="000000"/>
            </w:tcBorders>
            <w:shd w:val="clear" w:color="auto" w:fill="BDD7EE"/>
            <w:vAlign w:val="center"/>
          </w:tcPr>
          <w:p w:rsidR="005C6A8D" w14:paraId="0000013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320" w:type="dxa"/>
            <w:tcBorders>
              <w:top w:val="single" w:sz="8" w:space="0" w:color="000000"/>
              <w:left w:val="nil"/>
              <w:bottom w:val="nil"/>
              <w:right w:val="single" w:sz="8" w:space="0" w:color="000000"/>
            </w:tcBorders>
            <w:shd w:val="clear" w:color="auto" w:fill="BDD7EE"/>
            <w:vAlign w:val="center"/>
          </w:tcPr>
          <w:p w:rsidR="005C6A8D" w14:paraId="0000013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5C6A8D" w14:paraId="0000013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5C6A8D" w14:paraId="0000013F"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5C6A8D" w14:paraId="0000014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2F9FA7E5" w14:textId="77777777">
        <w:tblPrEx>
          <w:tblW w:w="8520" w:type="dxa"/>
          <w:jc w:val="center"/>
          <w:tblLayout w:type="fixed"/>
          <w:tblLook w:val="0400"/>
        </w:tblPrEx>
        <w:trPr>
          <w:trHeight w:val="465"/>
          <w:jc w:val="center"/>
        </w:trPr>
        <w:tc>
          <w:tcPr>
            <w:tcW w:w="2330" w:type="dxa"/>
            <w:tcBorders>
              <w:top w:val="single" w:sz="4" w:space="0" w:color="000000"/>
              <w:left w:val="single" w:sz="8" w:space="0" w:color="000000"/>
              <w:bottom w:val="single" w:sz="4" w:space="0" w:color="000000"/>
              <w:right w:val="single" w:sz="8" w:space="0" w:color="000000"/>
            </w:tcBorders>
            <w:shd w:val="clear" w:color="auto" w:fill="auto"/>
            <w:vAlign w:val="center"/>
          </w:tcPr>
          <w:p w:rsidR="005C6A8D" w14:paraId="00000141" w14:textId="77777777">
            <w:pPr>
              <w:widowControl/>
              <w:rPr>
                <w:rFonts w:ascii="Calibri" w:eastAsia="Calibri" w:hAnsi="Calibri" w:cs="Calibri"/>
                <w:b/>
                <w:color w:val="000000"/>
                <w:sz w:val="18"/>
                <w:szCs w:val="18"/>
              </w:rPr>
            </w:pPr>
            <w:r>
              <w:rPr>
                <w:rFonts w:ascii="Calibri" w:eastAsia="Calibri" w:hAnsi="Calibri" w:cs="Calibri"/>
                <w:b/>
                <w:color w:val="000000"/>
                <w:sz w:val="18"/>
                <w:szCs w:val="18"/>
              </w:rPr>
              <w:t>Federal Oversight</w:t>
            </w:r>
          </w:p>
        </w:tc>
        <w:tc>
          <w:tcPr>
            <w:tcW w:w="1170" w:type="dxa"/>
            <w:tcBorders>
              <w:top w:val="single" w:sz="4" w:space="0" w:color="000000"/>
              <w:left w:val="nil"/>
              <w:bottom w:val="single" w:sz="4" w:space="0" w:color="000000"/>
              <w:right w:val="single" w:sz="4" w:space="0" w:color="000000"/>
            </w:tcBorders>
            <w:shd w:val="clear" w:color="auto" w:fill="auto"/>
            <w:vAlign w:val="center"/>
          </w:tcPr>
          <w:p w:rsidR="005C6A8D" w14:paraId="00000142" w14:textId="77777777">
            <w:pPr>
              <w:widowControl/>
              <w:jc w:val="center"/>
              <w:rPr>
                <w:rFonts w:ascii="Calibri" w:eastAsia="Calibri" w:hAnsi="Calibri" w:cs="Calibri"/>
                <w:color w:val="000000"/>
                <w:sz w:val="18"/>
                <w:szCs w:val="18"/>
              </w:rPr>
            </w:pPr>
            <w:r>
              <w:rPr>
                <w:rFonts w:ascii="Calibri" w:eastAsia="Calibri" w:hAnsi="Calibri" w:cs="Calibri"/>
                <w:color w:val="000000"/>
                <w:sz w:val="16"/>
                <w:szCs w:val="16"/>
              </w:rPr>
              <w:t>ZP III/03</w:t>
            </w:r>
          </w:p>
        </w:tc>
        <w:tc>
          <w:tcPr>
            <w:tcW w:w="1320" w:type="dxa"/>
            <w:tcBorders>
              <w:top w:val="single" w:sz="4" w:space="0" w:color="000000"/>
              <w:left w:val="nil"/>
              <w:bottom w:val="single" w:sz="4" w:space="0" w:color="000000"/>
              <w:right w:val="single" w:sz="4" w:space="0" w:color="000000"/>
            </w:tcBorders>
            <w:shd w:val="clear" w:color="auto" w:fill="auto"/>
            <w:vAlign w:val="center"/>
          </w:tcPr>
          <w:p w:rsidR="005C6A8D" w14:paraId="00000143" w14:textId="77777777">
            <w:pPr>
              <w:widowControl/>
              <w:jc w:val="center"/>
              <w:rPr>
                <w:rFonts w:ascii="Calibri" w:eastAsia="Calibri" w:hAnsi="Calibri" w:cs="Calibri"/>
                <w:color w:val="000000"/>
                <w:sz w:val="18"/>
                <w:szCs w:val="18"/>
              </w:rPr>
            </w:pPr>
            <w:r>
              <w:rPr>
                <w:rFonts w:ascii="Calibri" w:eastAsia="Calibri" w:hAnsi="Calibri" w:cs="Calibri"/>
                <w:color w:val="000000"/>
                <w:sz w:val="16"/>
                <w:szCs w:val="16"/>
              </w:rPr>
              <w:t>$</w:t>
            </w:r>
            <w:r>
              <w:rPr>
                <w:rFonts w:ascii="Calibri" w:eastAsia="Calibri" w:hAnsi="Calibri" w:cs="Calibri"/>
                <w:sz w:val="16"/>
                <w:szCs w:val="16"/>
              </w:rPr>
              <w:t>191,547</w:t>
            </w:r>
          </w:p>
        </w:tc>
        <w:tc>
          <w:tcPr>
            <w:tcW w:w="1120" w:type="dxa"/>
            <w:tcBorders>
              <w:top w:val="single" w:sz="4" w:space="0" w:color="000000"/>
              <w:left w:val="nil"/>
              <w:bottom w:val="single" w:sz="4" w:space="0" w:color="000000"/>
              <w:right w:val="single" w:sz="4" w:space="0" w:color="000000"/>
            </w:tcBorders>
            <w:shd w:val="clear" w:color="auto" w:fill="auto"/>
            <w:vAlign w:val="center"/>
          </w:tcPr>
          <w:p w:rsidR="005C6A8D" w14:paraId="00000144"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45</w:t>
            </w:r>
          </w:p>
        </w:tc>
        <w:tc>
          <w:tcPr>
            <w:tcW w:w="1280" w:type="dxa"/>
            <w:tcBorders>
              <w:top w:val="single" w:sz="4" w:space="0" w:color="000000"/>
              <w:left w:val="nil"/>
              <w:bottom w:val="single" w:sz="4" w:space="0" w:color="000000"/>
              <w:right w:val="single" w:sz="4" w:space="0" w:color="000000"/>
            </w:tcBorders>
            <w:shd w:val="clear" w:color="auto" w:fill="808080"/>
            <w:vAlign w:val="center"/>
          </w:tcPr>
          <w:p w:rsidR="005C6A8D" w14:paraId="00000145" w14:textId="77777777">
            <w:pPr>
              <w:widowControl/>
              <w:rPr>
                <w:rFonts w:ascii="Calibri" w:eastAsia="Calibri" w:hAnsi="Calibri" w:cs="Calibri"/>
                <w:color w:val="000000"/>
                <w:sz w:val="18"/>
                <w:szCs w:val="18"/>
              </w:rPr>
            </w:pPr>
          </w:p>
        </w:tc>
        <w:tc>
          <w:tcPr>
            <w:tcW w:w="1300" w:type="dxa"/>
            <w:tcBorders>
              <w:top w:val="single" w:sz="4" w:space="0" w:color="000000"/>
              <w:left w:val="nil"/>
              <w:bottom w:val="single" w:sz="4" w:space="0" w:color="000000"/>
              <w:right w:val="single" w:sz="8" w:space="0" w:color="000000"/>
            </w:tcBorders>
            <w:shd w:val="clear" w:color="auto" w:fill="auto"/>
            <w:vAlign w:val="center"/>
          </w:tcPr>
          <w:p w:rsidR="005C6A8D" w14:paraId="00000146"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86,196</w:t>
            </w:r>
          </w:p>
        </w:tc>
      </w:tr>
      <w:tr w14:paraId="1AF8D9DB" w14:textId="77777777">
        <w:tblPrEx>
          <w:tblW w:w="8520" w:type="dxa"/>
          <w:jc w:val="center"/>
          <w:tblLayout w:type="fixed"/>
          <w:tblLook w:val="0400"/>
        </w:tblPrEx>
        <w:trPr>
          <w:trHeight w:val="300"/>
          <w:jc w:val="center"/>
        </w:trPr>
        <w:tc>
          <w:tcPr>
            <w:tcW w:w="2330" w:type="dxa"/>
            <w:tcBorders>
              <w:top w:val="nil"/>
              <w:left w:val="single" w:sz="8" w:space="0" w:color="000000"/>
              <w:bottom w:val="single" w:sz="4" w:space="0" w:color="000000"/>
              <w:right w:val="single" w:sz="8" w:space="0" w:color="000000"/>
            </w:tcBorders>
            <w:shd w:val="clear" w:color="auto" w:fill="auto"/>
            <w:vAlign w:val="center"/>
          </w:tcPr>
          <w:p w:rsidR="005C6A8D" w14:paraId="00000147" w14:textId="77777777">
            <w:pPr>
              <w:widowControl/>
              <w:rPr>
                <w:rFonts w:ascii="Calibri" w:eastAsia="Calibri" w:hAnsi="Calibri" w:cs="Calibri"/>
                <w:color w:val="000000"/>
                <w:sz w:val="18"/>
                <w:szCs w:val="18"/>
              </w:rPr>
            </w:pPr>
            <w:r>
              <w:rPr>
                <w:rFonts w:ascii="Calibri" w:eastAsia="Calibri" w:hAnsi="Calibri" w:cs="Calibri"/>
                <w:color w:val="000000"/>
                <w:sz w:val="18"/>
                <w:szCs w:val="18"/>
              </w:rPr>
              <w:t>Other Federal Positions</w:t>
            </w:r>
          </w:p>
        </w:tc>
        <w:tc>
          <w:tcPr>
            <w:tcW w:w="1170" w:type="dxa"/>
            <w:tcBorders>
              <w:top w:val="nil"/>
              <w:left w:val="nil"/>
              <w:bottom w:val="single" w:sz="4" w:space="0" w:color="000000"/>
              <w:right w:val="single" w:sz="4" w:space="0" w:color="000000"/>
            </w:tcBorders>
            <w:shd w:val="clear" w:color="auto" w:fill="auto"/>
            <w:vAlign w:val="center"/>
          </w:tcPr>
          <w:p w:rsidR="005C6A8D" w14:paraId="00000148" w14:textId="77777777">
            <w:pPr>
              <w:widowControl/>
              <w:rPr>
                <w:rFonts w:ascii="Calibri" w:eastAsia="Calibri" w:hAnsi="Calibri" w:cs="Calibri"/>
                <w:color w:val="000000"/>
                <w:sz w:val="18"/>
                <w:szCs w:val="18"/>
              </w:rPr>
            </w:pPr>
          </w:p>
        </w:tc>
        <w:tc>
          <w:tcPr>
            <w:tcW w:w="1320" w:type="dxa"/>
            <w:tcBorders>
              <w:top w:val="nil"/>
              <w:left w:val="nil"/>
              <w:bottom w:val="single" w:sz="4" w:space="0" w:color="000000"/>
              <w:right w:val="single" w:sz="4" w:space="0" w:color="000000"/>
            </w:tcBorders>
            <w:shd w:val="clear" w:color="auto" w:fill="auto"/>
            <w:vAlign w:val="center"/>
          </w:tcPr>
          <w:p w:rsidR="005C6A8D" w14:paraId="00000149" w14:textId="77777777">
            <w:pPr>
              <w:widowControl/>
              <w:rPr>
                <w:rFonts w:ascii="Calibri" w:eastAsia="Calibri" w:hAnsi="Calibri" w:cs="Calibri"/>
                <w:color w:val="000000"/>
                <w:sz w:val="18"/>
                <w:szCs w:val="18"/>
              </w:rPr>
            </w:pPr>
          </w:p>
        </w:tc>
        <w:tc>
          <w:tcPr>
            <w:tcW w:w="1120" w:type="dxa"/>
            <w:tcBorders>
              <w:top w:val="nil"/>
              <w:left w:val="nil"/>
              <w:bottom w:val="single" w:sz="4" w:space="0" w:color="000000"/>
              <w:right w:val="single" w:sz="4" w:space="0" w:color="000000"/>
            </w:tcBorders>
            <w:shd w:val="clear" w:color="auto" w:fill="auto"/>
            <w:vAlign w:val="center"/>
          </w:tcPr>
          <w:p w:rsidR="005C6A8D" w14:paraId="0000014A" w14:textId="77777777">
            <w:pPr>
              <w:widowControl/>
              <w:rPr>
                <w:rFonts w:ascii="Calibri" w:eastAsia="Calibri" w:hAnsi="Calibri" w:cs="Calibri"/>
                <w:color w:val="000000"/>
                <w:sz w:val="18"/>
                <w:szCs w:val="18"/>
              </w:rPr>
            </w:pPr>
          </w:p>
        </w:tc>
        <w:tc>
          <w:tcPr>
            <w:tcW w:w="1280" w:type="dxa"/>
            <w:tcBorders>
              <w:top w:val="nil"/>
              <w:left w:val="nil"/>
              <w:bottom w:val="single" w:sz="4" w:space="0" w:color="000000"/>
              <w:right w:val="single" w:sz="4" w:space="0" w:color="000000"/>
            </w:tcBorders>
            <w:shd w:val="clear" w:color="auto" w:fill="808080"/>
            <w:vAlign w:val="center"/>
          </w:tcPr>
          <w:p w:rsidR="005C6A8D" w14:paraId="0000014B" w14:textId="77777777">
            <w:pPr>
              <w:widowControl/>
              <w:rPr>
                <w:rFonts w:ascii="Calibri" w:eastAsia="Calibri" w:hAnsi="Calibri" w:cs="Calibri"/>
                <w:color w:val="000000"/>
                <w:sz w:val="18"/>
                <w:szCs w:val="18"/>
              </w:rPr>
            </w:pPr>
          </w:p>
        </w:tc>
        <w:tc>
          <w:tcPr>
            <w:tcW w:w="1300" w:type="dxa"/>
            <w:tcBorders>
              <w:top w:val="nil"/>
              <w:left w:val="nil"/>
              <w:bottom w:val="single" w:sz="4" w:space="0" w:color="000000"/>
              <w:right w:val="single" w:sz="8" w:space="0" w:color="000000"/>
            </w:tcBorders>
            <w:shd w:val="clear" w:color="auto" w:fill="auto"/>
            <w:vAlign w:val="center"/>
          </w:tcPr>
          <w:p w:rsidR="005C6A8D" w14:paraId="0000014C" w14:textId="77777777">
            <w:pPr>
              <w:widowControl/>
              <w:jc w:val="center"/>
              <w:rPr>
                <w:rFonts w:ascii="Calibri" w:eastAsia="Calibri" w:hAnsi="Calibri" w:cs="Calibri"/>
                <w:color w:val="000000"/>
                <w:sz w:val="18"/>
                <w:szCs w:val="18"/>
              </w:rPr>
            </w:pPr>
          </w:p>
        </w:tc>
      </w:tr>
      <w:tr w14:paraId="57CA5BFB" w14:textId="77777777">
        <w:tblPrEx>
          <w:tblW w:w="8520" w:type="dxa"/>
          <w:jc w:val="center"/>
          <w:tblLayout w:type="fixed"/>
          <w:tblLook w:val="0400"/>
        </w:tblPrEx>
        <w:trPr>
          <w:trHeight w:val="465"/>
          <w:jc w:val="center"/>
        </w:trPr>
        <w:tc>
          <w:tcPr>
            <w:tcW w:w="2330" w:type="dxa"/>
            <w:tcBorders>
              <w:top w:val="nil"/>
              <w:left w:val="single" w:sz="8" w:space="0" w:color="000000"/>
              <w:bottom w:val="single" w:sz="4" w:space="0" w:color="000000"/>
              <w:right w:val="single" w:sz="8" w:space="0" w:color="000000"/>
            </w:tcBorders>
            <w:shd w:val="clear" w:color="auto" w:fill="auto"/>
            <w:vAlign w:val="center"/>
          </w:tcPr>
          <w:p w:rsidR="005C6A8D" w14:paraId="0000014D" w14:textId="77777777">
            <w:pPr>
              <w:widowControl/>
              <w:rPr>
                <w:rFonts w:ascii="Calibri" w:eastAsia="Calibri" w:hAnsi="Calibri" w:cs="Calibri"/>
                <w:b/>
                <w:color w:val="000000"/>
                <w:sz w:val="18"/>
                <w:szCs w:val="18"/>
              </w:rPr>
            </w:pPr>
            <w:r>
              <w:rPr>
                <w:rFonts w:ascii="Calibri" w:eastAsia="Calibri" w:hAnsi="Calibri" w:cs="Calibri"/>
                <w:b/>
                <w:color w:val="000000"/>
                <w:sz w:val="18"/>
                <w:szCs w:val="18"/>
              </w:rPr>
              <w:t>Contractor Cost</w:t>
            </w:r>
          </w:p>
        </w:tc>
        <w:tc>
          <w:tcPr>
            <w:tcW w:w="1170" w:type="dxa"/>
            <w:tcBorders>
              <w:top w:val="nil"/>
              <w:left w:val="nil"/>
              <w:bottom w:val="single" w:sz="4" w:space="0" w:color="000000"/>
              <w:right w:val="single" w:sz="4" w:space="0" w:color="000000"/>
            </w:tcBorders>
            <w:shd w:val="clear" w:color="auto" w:fill="808080"/>
            <w:vAlign w:val="center"/>
          </w:tcPr>
          <w:p w:rsidR="005C6A8D" w14:paraId="0000014E" w14:textId="77777777">
            <w:pPr>
              <w:widowControl/>
              <w:rPr>
                <w:rFonts w:ascii="Calibri" w:eastAsia="Calibri" w:hAnsi="Calibri" w:cs="Calibri"/>
                <w:color w:val="000000"/>
                <w:sz w:val="18"/>
                <w:szCs w:val="18"/>
              </w:rPr>
            </w:pPr>
          </w:p>
        </w:tc>
        <w:tc>
          <w:tcPr>
            <w:tcW w:w="1320" w:type="dxa"/>
            <w:tcBorders>
              <w:top w:val="nil"/>
              <w:left w:val="nil"/>
              <w:bottom w:val="single" w:sz="4" w:space="0" w:color="000000"/>
              <w:right w:val="single" w:sz="4" w:space="0" w:color="000000"/>
            </w:tcBorders>
            <w:shd w:val="clear" w:color="auto" w:fill="auto"/>
            <w:vAlign w:val="center"/>
          </w:tcPr>
          <w:p w:rsidR="005C6A8D" w14:paraId="0000014F" w14:textId="77777777">
            <w:pPr>
              <w:widowControl/>
              <w:rPr>
                <w:rFonts w:ascii="Calibri" w:eastAsia="Calibri" w:hAnsi="Calibri" w:cs="Calibri"/>
                <w:color w:val="000000"/>
                <w:sz w:val="18"/>
                <w:szCs w:val="18"/>
              </w:rPr>
            </w:pPr>
          </w:p>
        </w:tc>
        <w:tc>
          <w:tcPr>
            <w:tcW w:w="1120" w:type="dxa"/>
            <w:tcBorders>
              <w:top w:val="nil"/>
              <w:left w:val="nil"/>
              <w:bottom w:val="single" w:sz="4" w:space="0" w:color="000000"/>
              <w:right w:val="single" w:sz="4" w:space="0" w:color="000000"/>
            </w:tcBorders>
            <w:shd w:val="clear" w:color="auto" w:fill="auto"/>
            <w:vAlign w:val="center"/>
          </w:tcPr>
          <w:p w:rsidR="005C6A8D" w14:paraId="00000150" w14:textId="77777777">
            <w:pPr>
              <w:widowControl/>
              <w:rPr>
                <w:rFonts w:ascii="Calibri" w:eastAsia="Calibri" w:hAnsi="Calibri" w:cs="Calibri"/>
                <w:color w:val="000000"/>
                <w:sz w:val="18"/>
                <w:szCs w:val="18"/>
              </w:rPr>
            </w:pPr>
          </w:p>
        </w:tc>
        <w:tc>
          <w:tcPr>
            <w:tcW w:w="1280" w:type="dxa"/>
            <w:tcBorders>
              <w:top w:val="nil"/>
              <w:left w:val="nil"/>
              <w:bottom w:val="single" w:sz="4" w:space="0" w:color="000000"/>
              <w:right w:val="single" w:sz="4" w:space="0" w:color="000000"/>
            </w:tcBorders>
            <w:shd w:val="clear" w:color="auto" w:fill="auto"/>
            <w:vAlign w:val="center"/>
          </w:tcPr>
          <w:p w:rsidR="005C6A8D" w14:paraId="00000151" w14:textId="77777777">
            <w:pPr>
              <w:widowControl/>
              <w:rPr>
                <w:rFonts w:ascii="Calibri" w:eastAsia="Calibri" w:hAnsi="Calibri" w:cs="Calibri"/>
                <w:color w:val="000000"/>
                <w:sz w:val="18"/>
                <w:szCs w:val="18"/>
              </w:rPr>
            </w:pPr>
          </w:p>
        </w:tc>
        <w:tc>
          <w:tcPr>
            <w:tcW w:w="1300" w:type="dxa"/>
            <w:tcBorders>
              <w:top w:val="nil"/>
              <w:left w:val="nil"/>
              <w:bottom w:val="single" w:sz="4" w:space="0" w:color="000000"/>
              <w:right w:val="single" w:sz="8" w:space="0" w:color="000000"/>
            </w:tcBorders>
            <w:shd w:val="clear" w:color="auto" w:fill="auto"/>
            <w:vAlign w:val="center"/>
          </w:tcPr>
          <w:p w:rsidR="005C6A8D" w14:paraId="00000152"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145,209</w:t>
            </w:r>
          </w:p>
        </w:tc>
      </w:tr>
      <w:tr w14:paraId="09379995" w14:textId="77777777">
        <w:tblPrEx>
          <w:tblW w:w="8520" w:type="dxa"/>
          <w:jc w:val="center"/>
          <w:tblLayout w:type="fixed"/>
          <w:tblLook w:val="0400"/>
        </w:tblPrEx>
        <w:trPr>
          <w:trHeight w:val="300"/>
          <w:jc w:val="center"/>
        </w:trPr>
        <w:tc>
          <w:tcPr>
            <w:tcW w:w="2330" w:type="dxa"/>
            <w:tcBorders>
              <w:top w:val="nil"/>
              <w:left w:val="single" w:sz="8" w:space="0" w:color="000000"/>
              <w:bottom w:val="single" w:sz="4" w:space="0" w:color="000000"/>
              <w:right w:val="single" w:sz="8" w:space="0" w:color="000000"/>
            </w:tcBorders>
            <w:shd w:val="clear" w:color="auto" w:fill="auto"/>
            <w:vAlign w:val="center"/>
          </w:tcPr>
          <w:p w:rsidR="005C6A8D" w14:paraId="00000153" w14:textId="77777777">
            <w:pPr>
              <w:widowControl/>
              <w:rPr>
                <w:rFonts w:ascii="Calibri" w:eastAsia="Calibri" w:hAnsi="Calibri" w:cs="Calibri"/>
                <w:b/>
                <w:color w:val="000000"/>
                <w:sz w:val="18"/>
                <w:szCs w:val="18"/>
              </w:rPr>
            </w:pPr>
            <w:r>
              <w:rPr>
                <w:rFonts w:ascii="Calibri" w:eastAsia="Calibri" w:hAnsi="Calibri" w:cs="Calibri"/>
                <w:b/>
                <w:color w:val="000000"/>
                <w:sz w:val="18"/>
                <w:szCs w:val="18"/>
              </w:rPr>
              <w:t>Travel</w:t>
            </w:r>
          </w:p>
        </w:tc>
        <w:tc>
          <w:tcPr>
            <w:tcW w:w="1170" w:type="dxa"/>
            <w:tcBorders>
              <w:top w:val="nil"/>
              <w:left w:val="nil"/>
              <w:bottom w:val="single" w:sz="4" w:space="0" w:color="000000"/>
              <w:right w:val="single" w:sz="4" w:space="0" w:color="000000"/>
            </w:tcBorders>
            <w:shd w:val="clear" w:color="auto" w:fill="808080"/>
            <w:vAlign w:val="center"/>
          </w:tcPr>
          <w:p w:rsidR="005C6A8D" w14:paraId="00000154" w14:textId="77777777">
            <w:pPr>
              <w:widowControl/>
              <w:rPr>
                <w:rFonts w:ascii="Calibri" w:eastAsia="Calibri" w:hAnsi="Calibri" w:cs="Calibri"/>
                <w:color w:val="000000"/>
                <w:sz w:val="18"/>
                <w:szCs w:val="18"/>
              </w:rPr>
            </w:pPr>
          </w:p>
        </w:tc>
        <w:tc>
          <w:tcPr>
            <w:tcW w:w="1320" w:type="dxa"/>
            <w:tcBorders>
              <w:top w:val="nil"/>
              <w:left w:val="nil"/>
              <w:bottom w:val="single" w:sz="4" w:space="0" w:color="000000"/>
              <w:right w:val="single" w:sz="4" w:space="0" w:color="000000"/>
            </w:tcBorders>
            <w:shd w:val="clear" w:color="auto" w:fill="808080"/>
            <w:vAlign w:val="center"/>
          </w:tcPr>
          <w:p w:rsidR="005C6A8D" w14:paraId="00000155" w14:textId="77777777">
            <w:pPr>
              <w:widowControl/>
              <w:rPr>
                <w:rFonts w:ascii="Calibri" w:eastAsia="Calibri" w:hAnsi="Calibri" w:cs="Calibri"/>
                <w:color w:val="000000"/>
                <w:sz w:val="18"/>
                <w:szCs w:val="18"/>
              </w:rPr>
            </w:pPr>
          </w:p>
        </w:tc>
        <w:tc>
          <w:tcPr>
            <w:tcW w:w="1120" w:type="dxa"/>
            <w:tcBorders>
              <w:top w:val="nil"/>
              <w:left w:val="nil"/>
              <w:bottom w:val="single" w:sz="4" w:space="0" w:color="000000"/>
              <w:right w:val="single" w:sz="4" w:space="0" w:color="000000"/>
            </w:tcBorders>
            <w:shd w:val="clear" w:color="auto" w:fill="808080"/>
            <w:vAlign w:val="center"/>
          </w:tcPr>
          <w:p w:rsidR="005C6A8D" w14:paraId="00000156" w14:textId="77777777">
            <w:pPr>
              <w:widowControl/>
              <w:rPr>
                <w:rFonts w:ascii="Calibri" w:eastAsia="Calibri" w:hAnsi="Calibri" w:cs="Calibri"/>
                <w:color w:val="000000"/>
                <w:sz w:val="18"/>
                <w:szCs w:val="18"/>
              </w:rPr>
            </w:pPr>
          </w:p>
        </w:tc>
        <w:tc>
          <w:tcPr>
            <w:tcW w:w="1280" w:type="dxa"/>
            <w:tcBorders>
              <w:top w:val="nil"/>
              <w:left w:val="nil"/>
              <w:bottom w:val="single" w:sz="4" w:space="0" w:color="000000"/>
              <w:right w:val="single" w:sz="4" w:space="0" w:color="000000"/>
            </w:tcBorders>
            <w:shd w:val="clear" w:color="auto" w:fill="808080"/>
            <w:vAlign w:val="center"/>
          </w:tcPr>
          <w:p w:rsidR="005C6A8D" w14:paraId="00000157" w14:textId="77777777">
            <w:pPr>
              <w:widowControl/>
              <w:rPr>
                <w:rFonts w:ascii="Calibri" w:eastAsia="Calibri" w:hAnsi="Calibri" w:cs="Calibri"/>
                <w:color w:val="000000"/>
                <w:sz w:val="18"/>
                <w:szCs w:val="18"/>
              </w:rPr>
            </w:pPr>
          </w:p>
        </w:tc>
        <w:tc>
          <w:tcPr>
            <w:tcW w:w="1300" w:type="dxa"/>
            <w:tcBorders>
              <w:top w:val="nil"/>
              <w:left w:val="nil"/>
              <w:bottom w:val="single" w:sz="4" w:space="0" w:color="000000"/>
              <w:right w:val="single" w:sz="8" w:space="0" w:color="000000"/>
            </w:tcBorders>
            <w:shd w:val="clear" w:color="auto" w:fill="auto"/>
            <w:vAlign w:val="center"/>
          </w:tcPr>
          <w:p w:rsidR="005C6A8D" w14:paraId="00000158" w14:textId="77777777">
            <w:pPr>
              <w:widowControl/>
              <w:jc w:val="center"/>
              <w:rPr>
                <w:rFonts w:ascii="Calibri" w:eastAsia="Calibri" w:hAnsi="Calibri" w:cs="Calibri"/>
                <w:color w:val="000000"/>
                <w:sz w:val="18"/>
                <w:szCs w:val="18"/>
              </w:rPr>
            </w:pPr>
          </w:p>
        </w:tc>
      </w:tr>
      <w:tr w14:paraId="350BA419" w14:textId="77777777">
        <w:tblPrEx>
          <w:tblW w:w="8520" w:type="dxa"/>
          <w:jc w:val="center"/>
          <w:tblLayout w:type="fixed"/>
          <w:tblLook w:val="0400"/>
        </w:tblPrEx>
        <w:trPr>
          <w:trHeight w:val="525"/>
          <w:jc w:val="center"/>
        </w:trPr>
        <w:tc>
          <w:tcPr>
            <w:tcW w:w="2330" w:type="dxa"/>
            <w:tcBorders>
              <w:top w:val="nil"/>
              <w:left w:val="single" w:sz="8" w:space="0" w:color="000000"/>
              <w:bottom w:val="nil"/>
              <w:right w:val="single" w:sz="8" w:space="0" w:color="000000"/>
            </w:tcBorders>
            <w:shd w:val="clear" w:color="auto" w:fill="auto"/>
            <w:vAlign w:val="center"/>
          </w:tcPr>
          <w:p w:rsidR="005C6A8D" w14:paraId="00000159" w14:textId="77777777">
            <w:pPr>
              <w:widowControl/>
              <w:rPr>
                <w:rFonts w:ascii="Calibri" w:eastAsia="Calibri" w:hAnsi="Calibri" w:cs="Calibri"/>
                <w:b/>
                <w:color w:val="000000"/>
                <w:sz w:val="18"/>
                <w:szCs w:val="18"/>
              </w:rPr>
            </w:pPr>
            <w:r>
              <w:rPr>
                <w:rFonts w:ascii="Calibri" w:eastAsia="Calibri" w:hAnsi="Calibri" w:cs="Calibri"/>
                <w:b/>
                <w:color w:val="000000"/>
                <w:sz w:val="18"/>
                <w:szCs w:val="18"/>
              </w:rPr>
              <w:t xml:space="preserve">Other Costs: </w:t>
            </w:r>
          </w:p>
        </w:tc>
        <w:tc>
          <w:tcPr>
            <w:tcW w:w="1170" w:type="dxa"/>
            <w:tcBorders>
              <w:top w:val="nil"/>
              <w:left w:val="nil"/>
              <w:bottom w:val="single" w:sz="4" w:space="0" w:color="000000"/>
              <w:right w:val="single" w:sz="4" w:space="0" w:color="000000"/>
            </w:tcBorders>
            <w:shd w:val="clear" w:color="auto" w:fill="808080"/>
            <w:vAlign w:val="center"/>
          </w:tcPr>
          <w:p w:rsidR="005C6A8D" w14:paraId="0000015A" w14:textId="77777777">
            <w:pPr>
              <w:widowControl/>
              <w:rPr>
                <w:rFonts w:ascii="Calibri" w:eastAsia="Calibri" w:hAnsi="Calibri" w:cs="Calibri"/>
                <w:color w:val="000000"/>
                <w:sz w:val="18"/>
                <w:szCs w:val="18"/>
              </w:rPr>
            </w:pPr>
          </w:p>
        </w:tc>
        <w:tc>
          <w:tcPr>
            <w:tcW w:w="1320" w:type="dxa"/>
            <w:tcBorders>
              <w:top w:val="nil"/>
              <w:left w:val="nil"/>
              <w:bottom w:val="single" w:sz="4" w:space="0" w:color="000000"/>
              <w:right w:val="single" w:sz="4" w:space="0" w:color="000000"/>
            </w:tcBorders>
            <w:shd w:val="clear" w:color="auto" w:fill="808080"/>
            <w:vAlign w:val="center"/>
          </w:tcPr>
          <w:p w:rsidR="005C6A8D" w14:paraId="0000015B" w14:textId="77777777">
            <w:pPr>
              <w:widowControl/>
              <w:rPr>
                <w:rFonts w:ascii="Calibri" w:eastAsia="Calibri" w:hAnsi="Calibri" w:cs="Calibri"/>
                <w:color w:val="000000"/>
                <w:sz w:val="18"/>
                <w:szCs w:val="18"/>
              </w:rPr>
            </w:pPr>
          </w:p>
        </w:tc>
        <w:tc>
          <w:tcPr>
            <w:tcW w:w="1120" w:type="dxa"/>
            <w:tcBorders>
              <w:top w:val="nil"/>
              <w:left w:val="nil"/>
              <w:bottom w:val="single" w:sz="4" w:space="0" w:color="000000"/>
              <w:right w:val="single" w:sz="4" w:space="0" w:color="000000"/>
            </w:tcBorders>
            <w:shd w:val="clear" w:color="auto" w:fill="808080"/>
            <w:vAlign w:val="center"/>
          </w:tcPr>
          <w:p w:rsidR="005C6A8D" w14:paraId="0000015C" w14:textId="77777777">
            <w:pPr>
              <w:widowControl/>
              <w:rPr>
                <w:rFonts w:ascii="Calibri" w:eastAsia="Calibri" w:hAnsi="Calibri" w:cs="Calibri"/>
                <w:color w:val="000000"/>
                <w:sz w:val="18"/>
                <w:szCs w:val="18"/>
              </w:rPr>
            </w:pPr>
          </w:p>
        </w:tc>
        <w:tc>
          <w:tcPr>
            <w:tcW w:w="1280" w:type="dxa"/>
            <w:tcBorders>
              <w:top w:val="nil"/>
              <w:left w:val="nil"/>
              <w:bottom w:val="single" w:sz="4" w:space="0" w:color="000000"/>
              <w:right w:val="single" w:sz="4" w:space="0" w:color="000000"/>
            </w:tcBorders>
            <w:shd w:val="clear" w:color="auto" w:fill="808080"/>
            <w:vAlign w:val="center"/>
          </w:tcPr>
          <w:p w:rsidR="005C6A8D" w14:paraId="0000015D" w14:textId="77777777">
            <w:pPr>
              <w:widowControl/>
              <w:rPr>
                <w:rFonts w:ascii="Calibri" w:eastAsia="Calibri" w:hAnsi="Calibri" w:cs="Calibri"/>
                <w:color w:val="000000"/>
                <w:sz w:val="18"/>
                <w:szCs w:val="18"/>
              </w:rPr>
            </w:pPr>
          </w:p>
        </w:tc>
        <w:tc>
          <w:tcPr>
            <w:tcW w:w="1300" w:type="dxa"/>
            <w:tcBorders>
              <w:top w:val="nil"/>
              <w:left w:val="nil"/>
              <w:bottom w:val="single" w:sz="4" w:space="0" w:color="000000"/>
              <w:right w:val="single" w:sz="8" w:space="0" w:color="000000"/>
            </w:tcBorders>
            <w:shd w:val="clear" w:color="auto" w:fill="auto"/>
            <w:vAlign w:val="center"/>
          </w:tcPr>
          <w:p w:rsidR="005C6A8D" w14:paraId="0000015E" w14:textId="77777777">
            <w:pPr>
              <w:widowControl/>
              <w:jc w:val="center"/>
              <w:rPr>
                <w:rFonts w:ascii="Calibri" w:eastAsia="Calibri" w:hAnsi="Calibri" w:cs="Calibri"/>
                <w:color w:val="000000"/>
                <w:sz w:val="18"/>
                <w:szCs w:val="18"/>
              </w:rPr>
            </w:pPr>
          </w:p>
        </w:tc>
      </w:tr>
      <w:tr w14:paraId="00B74EA5" w14:textId="77777777">
        <w:tblPrEx>
          <w:tblW w:w="8520" w:type="dxa"/>
          <w:jc w:val="center"/>
          <w:tblLayout w:type="fixed"/>
          <w:tblLook w:val="0400"/>
        </w:tblPrEx>
        <w:trPr>
          <w:trHeight w:val="315"/>
          <w:jc w:val="center"/>
        </w:trPr>
        <w:tc>
          <w:tcPr>
            <w:tcW w:w="2330"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5C6A8D" w14:paraId="0000015F" w14:textId="77777777">
            <w:pPr>
              <w:widowControl/>
              <w:rPr>
                <w:rFonts w:ascii="Calibri" w:eastAsia="Calibri" w:hAnsi="Calibri" w:cs="Calibri"/>
                <w:b/>
                <w:color w:val="000000"/>
                <w:sz w:val="18"/>
                <w:szCs w:val="18"/>
              </w:rPr>
            </w:pPr>
            <w:r>
              <w:rPr>
                <w:rFonts w:ascii="Calibri" w:eastAsia="Calibri" w:hAnsi="Calibri" w:cs="Calibri"/>
                <w:b/>
                <w:color w:val="000000"/>
                <w:sz w:val="18"/>
                <w:szCs w:val="18"/>
              </w:rPr>
              <w:t>TOTAL</w:t>
            </w:r>
          </w:p>
        </w:tc>
        <w:tc>
          <w:tcPr>
            <w:tcW w:w="1170" w:type="dxa"/>
            <w:tcBorders>
              <w:top w:val="single" w:sz="8" w:space="0" w:color="000000"/>
              <w:left w:val="nil"/>
              <w:bottom w:val="single" w:sz="8" w:space="0" w:color="000000"/>
              <w:right w:val="single" w:sz="8" w:space="0" w:color="000000"/>
            </w:tcBorders>
            <w:shd w:val="clear" w:color="auto" w:fill="808080"/>
            <w:vAlign w:val="center"/>
          </w:tcPr>
          <w:p w:rsidR="005C6A8D" w14:paraId="00000160" w14:textId="77777777">
            <w:pPr>
              <w:widowControl/>
              <w:rPr>
                <w:rFonts w:ascii="Calibri" w:eastAsia="Calibri" w:hAnsi="Calibri" w:cs="Calibri"/>
                <w:color w:val="000000"/>
                <w:sz w:val="18"/>
                <w:szCs w:val="18"/>
              </w:rPr>
            </w:pPr>
          </w:p>
        </w:tc>
        <w:tc>
          <w:tcPr>
            <w:tcW w:w="1320" w:type="dxa"/>
            <w:tcBorders>
              <w:top w:val="single" w:sz="8" w:space="0" w:color="000000"/>
              <w:left w:val="nil"/>
              <w:bottom w:val="single" w:sz="8" w:space="0" w:color="000000"/>
              <w:right w:val="single" w:sz="8" w:space="0" w:color="000000"/>
            </w:tcBorders>
            <w:shd w:val="clear" w:color="auto" w:fill="808080"/>
            <w:vAlign w:val="center"/>
          </w:tcPr>
          <w:p w:rsidR="005C6A8D" w14:paraId="00000161" w14:textId="77777777">
            <w:pPr>
              <w:widowControl/>
              <w:rPr>
                <w:rFonts w:ascii="Calibri" w:eastAsia="Calibri" w:hAnsi="Calibri" w:cs="Calibri"/>
                <w:color w:val="000000"/>
                <w:sz w:val="18"/>
                <w:szCs w:val="18"/>
              </w:rPr>
            </w:pPr>
          </w:p>
        </w:tc>
        <w:tc>
          <w:tcPr>
            <w:tcW w:w="1120" w:type="dxa"/>
            <w:tcBorders>
              <w:top w:val="single" w:sz="8" w:space="0" w:color="000000"/>
              <w:left w:val="nil"/>
              <w:bottom w:val="single" w:sz="8" w:space="0" w:color="000000"/>
              <w:right w:val="single" w:sz="8" w:space="0" w:color="000000"/>
            </w:tcBorders>
            <w:shd w:val="clear" w:color="auto" w:fill="757171"/>
            <w:vAlign w:val="center"/>
          </w:tcPr>
          <w:p w:rsidR="005C6A8D" w14:paraId="00000162" w14:textId="77777777">
            <w:pPr>
              <w:widowControl/>
              <w:rPr>
                <w:rFonts w:ascii="Calibri" w:eastAsia="Calibri" w:hAnsi="Calibri" w:cs="Calibri"/>
                <w:color w:val="000000"/>
                <w:sz w:val="18"/>
                <w:szCs w:val="18"/>
              </w:rPr>
            </w:pPr>
          </w:p>
        </w:tc>
        <w:tc>
          <w:tcPr>
            <w:tcW w:w="1280" w:type="dxa"/>
            <w:tcBorders>
              <w:top w:val="single" w:sz="8" w:space="0" w:color="000000"/>
              <w:left w:val="nil"/>
              <w:bottom w:val="single" w:sz="8" w:space="0" w:color="000000"/>
              <w:right w:val="single" w:sz="8" w:space="0" w:color="000000"/>
            </w:tcBorders>
            <w:shd w:val="clear" w:color="auto" w:fill="DDEBF7"/>
            <w:vAlign w:val="center"/>
          </w:tcPr>
          <w:p w:rsidR="005C6A8D" w14:paraId="00000163" w14:textId="77777777">
            <w:pPr>
              <w:widowControl/>
              <w:rPr>
                <w:rFonts w:ascii="Calibri" w:eastAsia="Calibri" w:hAnsi="Calibri" w:cs="Calibri"/>
                <w:color w:val="000000"/>
                <w:sz w:val="18"/>
                <w:szCs w:val="18"/>
              </w:rPr>
            </w:pPr>
          </w:p>
        </w:tc>
        <w:tc>
          <w:tcPr>
            <w:tcW w:w="1300" w:type="dxa"/>
            <w:tcBorders>
              <w:top w:val="single" w:sz="8" w:space="0" w:color="000000"/>
              <w:left w:val="nil"/>
              <w:bottom w:val="single" w:sz="8" w:space="0" w:color="000000"/>
              <w:right w:val="single" w:sz="8" w:space="0" w:color="000000"/>
            </w:tcBorders>
            <w:shd w:val="clear" w:color="auto" w:fill="DDEBF7"/>
            <w:vAlign w:val="center"/>
          </w:tcPr>
          <w:p w:rsidR="005C6A8D" w14:paraId="00000164"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0</w:t>
            </w:r>
            <w:r>
              <w:rPr>
                <w:rFonts w:ascii="Calibri" w:eastAsia="Calibri" w:hAnsi="Calibri" w:cs="Calibri"/>
                <w:color w:val="000000"/>
                <w:sz w:val="18"/>
                <w:szCs w:val="18"/>
                <w:vertAlign w:val="superscript"/>
              </w:rPr>
              <w:footnoteReference w:id="12"/>
            </w:r>
          </w:p>
        </w:tc>
      </w:tr>
    </w:tbl>
    <w:p w:rsidR="005C6A8D" w14:paraId="00000165" w14:textId="77777777">
      <w:pPr>
        <w:pBdr>
          <w:top w:val="nil"/>
          <w:left w:val="nil"/>
          <w:bottom w:val="nil"/>
          <w:right w:val="nil"/>
          <w:between w:val="nil"/>
        </w:pBdr>
        <w:rPr>
          <w:b/>
          <w:color w:val="000000"/>
        </w:rPr>
      </w:pPr>
    </w:p>
    <w:p w:rsidR="005C6A8D" w14:paraId="00000166" w14:textId="77777777">
      <w:pPr>
        <w:pBdr>
          <w:top w:val="nil"/>
          <w:left w:val="nil"/>
          <w:bottom w:val="nil"/>
          <w:right w:val="nil"/>
          <w:between w:val="nil"/>
        </w:pBdr>
      </w:pPr>
      <w:r>
        <w:t xml:space="preserve">The Commerce Alternative Personnel System (CAPS) pay tables at </w:t>
      </w:r>
      <w:hyperlink r:id="rId21">
        <w:r>
          <w:rPr>
            <w:color w:val="1155CC"/>
            <w:u w:val="single"/>
          </w:rPr>
          <w:t>https://www.commerce.gov/sites/default/files/2024-01/CAPS_rpStandard_2024.pdf</w:t>
        </w:r>
      </w:hyperlink>
      <w:r>
        <w:t xml:space="preserve"> were used to determine the base salary for a ZP-III Interval 3.  A multiplier of 1.5 was used to calculate the loaded salary.</w:t>
      </w:r>
    </w:p>
    <w:p w:rsidR="005C6A8D" w14:paraId="00000167" w14:textId="77777777">
      <w:pPr>
        <w:pBdr>
          <w:top w:val="nil"/>
          <w:left w:val="nil"/>
          <w:bottom w:val="nil"/>
          <w:right w:val="nil"/>
          <w:between w:val="nil"/>
        </w:pBdr>
      </w:pPr>
    </w:p>
    <w:p w:rsidR="002D0636" w14:paraId="3840A0FE" w14:textId="77777777">
      <w:pPr>
        <w:pBdr>
          <w:top w:val="nil"/>
          <w:left w:val="nil"/>
          <w:bottom w:val="nil"/>
          <w:right w:val="nil"/>
          <w:between w:val="nil"/>
        </w:pBdr>
      </w:pPr>
    </w:p>
    <w:p w:rsidR="005C6A8D" w:rsidP="002D0636" w14:paraId="00000169" w14:textId="77777777">
      <w:pPr>
        <w:numPr>
          <w:ilvl w:val="0"/>
          <w:numId w:val="2"/>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5C6A8D" w14:paraId="0000016A" w14:textId="77777777">
      <w:pPr>
        <w:pBdr>
          <w:top w:val="nil"/>
          <w:left w:val="nil"/>
          <w:bottom w:val="nil"/>
          <w:right w:val="nil"/>
          <w:between w:val="nil"/>
        </w:pBdr>
        <w:rPr>
          <w:b/>
          <w:color w:val="000000"/>
        </w:rPr>
      </w:pPr>
    </w:p>
    <w:p w:rsidR="005C6A8D" w14:paraId="0000016B" w14:textId="2F34B403">
      <w:pPr>
        <w:pBdr>
          <w:top w:val="nil"/>
          <w:left w:val="nil"/>
          <w:bottom w:val="nil"/>
          <w:right w:val="nil"/>
          <w:between w:val="nil"/>
        </w:pBdr>
        <w:rPr>
          <w:b/>
          <w:color w:val="000000"/>
        </w:rPr>
      </w:pPr>
      <w:r>
        <w:t>There are no changes to this information collection.</w:t>
      </w:r>
    </w:p>
    <w:p w:rsidR="004721B0" w:rsidRPr="002D0636" w14:paraId="01D2AF5A" w14:textId="77777777">
      <w:pPr>
        <w:pBdr>
          <w:top w:val="nil"/>
          <w:left w:val="nil"/>
          <w:bottom w:val="nil"/>
          <w:right w:val="nil"/>
          <w:between w:val="nil"/>
        </w:pBdr>
        <w:rPr>
          <w:bCs/>
          <w:color w:val="000000"/>
        </w:rPr>
      </w:pPr>
    </w:p>
    <w:p w:rsidR="005C6A8D" w14:paraId="0000016D" w14:textId="77777777">
      <w:pPr>
        <w:pBdr>
          <w:top w:val="nil"/>
          <w:left w:val="nil"/>
          <w:bottom w:val="nil"/>
          <w:right w:val="nil"/>
          <w:between w:val="nil"/>
        </w:pBdr>
        <w:rPr>
          <w:b/>
          <w:color w:val="000000"/>
        </w:rPr>
      </w:pPr>
    </w:p>
    <w:p w:rsidR="005C6A8D" w14:paraId="0000016E" w14:textId="77777777">
      <w:pPr>
        <w:numPr>
          <w:ilvl w:val="0"/>
          <w:numId w:val="2"/>
        </w:numPr>
        <w:pBdr>
          <w:top w:val="nil"/>
          <w:left w:val="nil"/>
          <w:bottom w:val="nil"/>
          <w:right w:val="nil"/>
          <w:between w:val="nil"/>
        </w:pBdr>
        <w:tabs>
          <w:tab w:val="left" w:pos="360"/>
        </w:tabs>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C6A8D" w14:paraId="0000016F" w14:textId="77777777">
      <w:pPr>
        <w:widowControl/>
        <w:pBdr>
          <w:top w:val="nil"/>
          <w:left w:val="nil"/>
          <w:bottom w:val="nil"/>
          <w:right w:val="nil"/>
          <w:between w:val="nil"/>
        </w:pBdr>
        <w:rPr>
          <w:color w:val="000000"/>
        </w:rPr>
      </w:pPr>
    </w:p>
    <w:p w:rsidR="005C6A8D" w14:paraId="00000170" w14:textId="77777777">
      <w:pPr>
        <w:widowControl/>
        <w:pBdr>
          <w:top w:val="nil"/>
          <w:left w:val="nil"/>
          <w:bottom w:val="nil"/>
          <w:right w:val="nil"/>
          <w:between w:val="nil"/>
        </w:pBdr>
        <w:rPr>
          <w:color w:val="000000"/>
        </w:rPr>
      </w:pPr>
      <w:r>
        <w:rPr>
          <w:color w:val="000000"/>
        </w:rPr>
        <w:t xml:space="preserve">An annual summary of crab EDR data is prepared as part of the </w:t>
      </w:r>
      <w:r>
        <w:rPr>
          <w:i/>
        </w:rPr>
        <w:t>Economic Status of the Bering Sea and Aleutian Islands King and Tanner Crab Fisheries off Alaska</w:t>
      </w:r>
      <w:r>
        <w:t xml:space="preserve">, which </w:t>
      </w:r>
      <w:r>
        <w:rPr>
          <w:color w:val="000000"/>
        </w:rPr>
        <w:t>is an annual publication of the NMFS Alaska Fisheries Science Center that is provided to the public via the NMFS website</w:t>
      </w:r>
      <w:r>
        <w:rPr>
          <w:color w:val="000000"/>
          <w:vertAlign w:val="superscript"/>
        </w:rPr>
        <w:footnoteReference w:id="13"/>
      </w:r>
      <w:r>
        <w:rPr>
          <w:color w:val="000000"/>
        </w:rPr>
        <w:t xml:space="preserve"> and is presented to the Council’s Crab Plan Team and Scientific and Statistical Committee. Statistics on harvesting and processing activity; effort; revenue; labor employment and compensation; operational costs; and quota ownership, usage, and disposition among participants in the fisheries are provided. </w:t>
      </w:r>
    </w:p>
    <w:p w:rsidR="005C6A8D" w14:paraId="00000171" w14:textId="77777777">
      <w:pPr>
        <w:pBdr>
          <w:top w:val="nil"/>
          <w:left w:val="nil"/>
          <w:bottom w:val="nil"/>
          <w:right w:val="nil"/>
          <w:between w:val="nil"/>
        </w:pBdr>
      </w:pPr>
    </w:p>
    <w:p w:rsidR="004C3046" w:rsidP="004C3046" w14:paraId="163C4C67" w14:textId="736495AE">
      <w:pPr>
        <w:widowControl/>
      </w:pPr>
      <w:hyperlink r:id="rId22" w:anchor="III">
        <w:r>
          <w:rPr>
            <w:color w:val="0000FF"/>
            <w:u w:val="single"/>
          </w:rPr>
          <w:t>Section 515 of Public Law 106-554</w:t>
        </w:r>
      </w:hyperlink>
      <w:r>
        <w:t xml:space="preserve"> (the Information Quality Act) requires NMFS to ensure the quality, objectivity, utility, and integrity of information it publicly disseminates. Data collected through the CR EDRs will continue to be disseminated to the public in aggregated and non-confidential form in summary reports, program reviews, or analyses of the impacts of proposed changes to the CR Program. Public dissemination of these data is governed by </w:t>
      </w:r>
      <w:r w:rsidRPr="004C3046">
        <w:t>NOAA's information quality guidelines</w:t>
      </w:r>
      <w:r>
        <w:t xml:space="preserve">. Reports and analyses prepared with EDR data generally fall under NOAA's information quality category “synthesized products.” These products have been developed through analysis of original data by applying methods that require some scientific evaluation and judgment; however, these methods of analysis generally are well documented and relatively routine. Therefore, peer review is generally not required for reports and analyses prepared using EDR data. However, peer review will be conducted if the report will be published in a journal that requires peer review. Reports and analyses undergo internal agency review by people familiar with the underlying data and fisheries being described. In addition, analyses presented to the Council are reviewed by its Scientific and Statistical Committee. </w:t>
      </w:r>
    </w:p>
    <w:p w:rsidR="004C3046" w14:paraId="5D22AC63" w14:textId="77777777">
      <w:pPr>
        <w:pBdr>
          <w:top w:val="nil"/>
          <w:left w:val="nil"/>
          <w:bottom w:val="nil"/>
          <w:right w:val="nil"/>
          <w:between w:val="nil"/>
        </w:pBdr>
      </w:pPr>
    </w:p>
    <w:p w:rsidR="00C539B3" w14:paraId="308B729F" w14:textId="77777777">
      <w:pPr>
        <w:pBdr>
          <w:top w:val="nil"/>
          <w:left w:val="nil"/>
          <w:bottom w:val="nil"/>
          <w:right w:val="nil"/>
          <w:between w:val="nil"/>
        </w:pBdr>
      </w:pPr>
    </w:p>
    <w:p w:rsidR="005C6A8D" w14:paraId="00000172" w14:textId="77777777">
      <w:pPr>
        <w:numPr>
          <w:ilvl w:val="0"/>
          <w:numId w:val="2"/>
        </w:numPr>
        <w:pBdr>
          <w:top w:val="nil"/>
          <w:left w:val="nil"/>
          <w:bottom w:val="nil"/>
          <w:right w:val="nil"/>
          <w:between w:val="nil"/>
        </w:pBdr>
        <w:tabs>
          <w:tab w:val="left" w:pos="360"/>
        </w:tabs>
        <w:ind w:left="0" w:firstLine="0"/>
        <w:rPr>
          <w:b/>
          <w:color w:val="000000"/>
        </w:rPr>
      </w:pPr>
      <w:r>
        <w:rPr>
          <w:b/>
          <w:color w:val="000000"/>
        </w:rPr>
        <w:t>If seeking approval to not display the expiration date for OMB approval of the information collection, explain the reasons that display would be inappropriate.</w:t>
      </w:r>
    </w:p>
    <w:p w:rsidR="005C6A8D" w14:paraId="00000173" w14:textId="77777777"/>
    <w:p w:rsidR="005C6A8D" w14:paraId="00000174" w14:textId="77777777">
      <w:r>
        <w:t>The agency plans to display the expiration date for OMB approval of the information collection on all instruments.</w:t>
      </w:r>
    </w:p>
    <w:p w:rsidR="005C6A8D" w14:paraId="00000175" w14:textId="77777777"/>
    <w:p w:rsidR="00C539B3" w14:paraId="045028B6" w14:textId="77777777"/>
    <w:p w:rsidR="005C6A8D" w14:paraId="00000176" w14:textId="77777777">
      <w:pPr>
        <w:numPr>
          <w:ilvl w:val="0"/>
          <w:numId w:val="2"/>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5C6A8D" w14:paraId="00000177" w14:textId="77777777">
      <w:pPr>
        <w:jc w:val="both"/>
      </w:pPr>
    </w:p>
    <w:p w:rsidR="005C6A8D" w14:paraId="00000178" w14:textId="77777777">
      <w:r>
        <w:t xml:space="preserve">The agency certifies compliance with </w:t>
      </w:r>
      <w:hyperlink r:id="rId23">
        <w:r>
          <w:rPr>
            <w:color w:val="0563C1"/>
            <w:u w:val="single"/>
          </w:rPr>
          <w:t>5 CFR 1320.9</w:t>
        </w:r>
      </w:hyperlink>
      <w:hyperlink r:id="rId23">
        <w:r>
          <w:rPr>
            <w:color w:val="0563C1"/>
          </w:rPr>
          <w:t xml:space="preserve"> </w:t>
        </w:r>
      </w:hyperlink>
      <w:r>
        <w:t xml:space="preserve">and the related provisions of </w:t>
      </w:r>
      <w:hyperlink r:id="rId24">
        <w:r>
          <w:rPr>
            <w:color w:val="0563C1"/>
            <w:u w:val="single"/>
          </w:rPr>
          <w:t>5 CFR</w:t>
        </w:r>
      </w:hyperlink>
      <w:r>
        <w:rPr>
          <w:color w:val="0563C1"/>
        </w:rPr>
        <w:t xml:space="preserve"> </w:t>
      </w:r>
      <w:hyperlink r:id="rId24">
        <w:r>
          <w:rPr>
            <w:color w:val="0563C1"/>
            <w:u w:val="single"/>
          </w:rPr>
          <w:t>1320.8(b)(3)</w:t>
        </w:r>
      </w:hyperlink>
      <w:r>
        <w:t>.</w:t>
      </w:r>
    </w:p>
    <w:p w:rsidR="005C6A8D" w14:paraId="00000179" w14:textId="77777777">
      <w:pPr>
        <w:jc w:val="both"/>
      </w:pPr>
    </w:p>
    <w:p w:rsidR="005C6A8D" w14:paraId="0000017A" w14:textId="77777777">
      <w:pPr>
        <w:jc w:val="both"/>
      </w:pPr>
      <w:bookmarkStart w:id="0" w:name="_heading=h.7efuf8eiwxg6" w:colFirst="0" w:colLast="0"/>
      <w:bookmarkEnd w:id="0"/>
    </w:p>
    <w:sectPr>
      <w:pgSz w:w="12240" w:h="15840"/>
      <w:pgMar w:top="1440" w:right="1440" w:bottom="1440" w:left="144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A8D" w14:paraId="00000181" w14:textId="1DB6C729">
    <w:pPr>
      <w:pBdr>
        <w:top w:val="nil"/>
        <w:left w:val="nil"/>
        <w:bottom w:val="nil"/>
        <w:right w:val="nil"/>
        <w:between w:val="nil"/>
      </w:pBdr>
      <w:tabs>
        <w:tab w:val="center" w:pos="4680"/>
        <w:tab w:val="right" w:pos="9360"/>
      </w:tabs>
      <w:jc w:val="center"/>
      <w:rPr>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314055">
      <w:rPr>
        <w:rFonts w:ascii="Calibri" w:eastAsia="Calibri" w:hAnsi="Calibri" w:cs="Calibri"/>
        <w:noProof/>
        <w:color w:val="000000"/>
        <w:sz w:val="20"/>
        <w:szCs w:val="20"/>
      </w:rPr>
      <w:t>14</w:t>
    </w:r>
    <w:r>
      <w:rPr>
        <w:rFonts w:ascii="Calibri" w:eastAsia="Calibri" w:hAnsi="Calibri" w:cs="Calibri"/>
        <w:color w:val="000000"/>
        <w:sz w:val="20"/>
        <w:szCs w:val="20"/>
      </w:rPr>
      <w:fldChar w:fldCharType="end"/>
    </w:r>
  </w:p>
  <w:p w:rsidR="005C6A8D" w14:paraId="00000182"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6FA2" w14:paraId="7B5509B2" w14:textId="77777777">
      <w:r>
        <w:separator/>
      </w:r>
    </w:p>
  </w:footnote>
  <w:footnote w:type="continuationSeparator" w:id="1">
    <w:p w:rsidR="00486FA2" w14:paraId="31CA94E9" w14:textId="77777777">
      <w:r>
        <w:continuationSeparator/>
      </w:r>
    </w:p>
  </w:footnote>
  <w:footnote w:id="2">
    <w:p w:rsidR="00C539B3" w14:paraId="496ABD09" w14:textId="6CEF2B4F">
      <w:pPr>
        <w:pStyle w:val="FootnoteText"/>
      </w:pPr>
      <w:r>
        <w:rPr>
          <w:rStyle w:val="FootnoteReference"/>
        </w:rPr>
        <w:footnoteRef/>
      </w:r>
      <w:r>
        <w:t xml:space="preserve"> </w:t>
      </w:r>
      <w:r w:rsidRPr="00C539B3">
        <w:t>https://www.fisheries.noaa.gov/s3//dam-migration/msa-amended-2007.pdf</w:t>
      </w:r>
    </w:p>
  </w:footnote>
  <w:footnote w:id="3">
    <w:p w:rsidR="00C539B3" w14:paraId="4E8D1E30" w14:textId="03A04859">
      <w:pPr>
        <w:pStyle w:val="FootnoteText"/>
      </w:pPr>
      <w:r>
        <w:rPr>
          <w:rStyle w:val="FootnoteReference"/>
        </w:rPr>
        <w:footnoteRef/>
      </w:r>
      <w:r>
        <w:t xml:space="preserve"> </w:t>
      </w:r>
      <w:r w:rsidRPr="00C539B3">
        <w:t>https://www.federalregister.gov/documents/2005/03/02/05-3486/fisheries-of-the-exclusive-economic-zone-off-alaska-allocating-bering-sea-and-aleutian-islands-king</w:t>
      </w:r>
    </w:p>
  </w:footnote>
  <w:footnote w:id="4">
    <w:p w:rsidR="005C6A8D" w14:paraId="0000017B" w14:textId="77777777">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1">
        <w:r>
          <w:rPr>
            <w:color w:val="0000FF"/>
            <w:sz w:val="20"/>
            <w:szCs w:val="20"/>
            <w:u w:val="single"/>
          </w:rPr>
          <w:t>https://www.fisheries.noaa.gov/alaska/sustainable-fisheries/bering-sea-and-aleutian-islands-crab-rationalization-program</w:t>
        </w:r>
      </w:hyperlink>
    </w:p>
  </w:footnote>
  <w:footnote w:id="5">
    <w:p w:rsidR="00C539B3" w14:paraId="7ED5BFF9" w14:textId="23DD330A">
      <w:pPr>
        <w:pStyle w:val="FootnoteText"/>
      </w:pPr>
      <w:r>
        <w:rPr>
          <w:rStyle w:val="FootnoteReference"/>
        </w:rPr>
        <w:footnoteRef/>
      </w:r>
      <w:r>
        <w:t xml:space="preserve"> </w:t>
      </w:r>
      <w:r w:rsidRPr="00C539B3">
        <w:t>https://www.ecfr.gov/current/title-50/chapter-VI/part-680/subpart-A/section-680.6</w:t>
      </w:r>
    </w:p>
  </w:footnote>
  <w:footnote w:id="6">
    <w:p w:rsidR="005C6A8D" w14:paraId="0000017C" w14:textId="77777777">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The EDR forms require a respondent signature and can be submitted as an electronically signed PDF document or as scanned from an original form containing a manual signature. </w:t>
      </w:r>
    </w:p>
  </w:footnote>
  <w:footnote w:id="7">
    <w:p w:rsidR="004C3046" w14:paraId="48A81FE2" w14:textId="666926CD">
      <w:pPr>
        <w:pStyle w:val="FootnoteText"/>
      </w:pPr>
      <w:r>
        <w:rPr>
          <w:rStyle w:val="FootnoteReference"/>
        </w:rPr>
        <w:footnoteRef/>
      </w:r>
      <w:r>
        <w:t xml:space="preserve"> </w:t>
      </w:r>
      <w:r w:rsidRPr="004C3046">
        <w:t>https://www.fisheries.noaa.gov/permit/bering-sea-and-aleutian-islands-crab-rationalization-applications-and-reporting-forms</w:t>
      </w:r>
    </w:p>
  </w:footnote>
  <w:footnote w:id="8">
    <w:p w:rsidR="008E58AC" w14:paraId="06A5FD33" w14:textId="7E087609">
      <w:pPr>
        <w:pStyle w:val="FootnoteText"/>
      </w:pPr>
      <w:r>
        <w:rPr>
          <w:rStyle w:val="FootnoteReference"/>
        </w:rPr>
        <w:footnoteRef/>
      </w:r>
      <w:r>
        <w:t xml:space="preserve"> </w:t>
      </w:r>
      <w:r w:rsidRPr="008E58AC">
        <w:t>https://www.federalregister.gov/documents/2023/02/06/2023-02117/fisheries-of-the-exclusive-economic-zone-off-alaska-revisions-to-the-economic-data-reports</w:t>
      </w:r>
    </w:p>
  </w:footnote>
  <w:footnote w:id="9">
    <w:p w:rsidR="002D0636" w:rsidP="002D0636" w14:paraId="372D1F64" w14:textId="77777777">
      <w:pPr>
        <w:pStyle w:val="FootnoteText"/>
      </w:pPr>
      <w:r>
        <w:rPr>
          <w:rStyle w:val="FootnoteReference"/>
        </w:rPr>
        <w:footnoteRef/>
      </w:r>
      <w:r>
        <w:t xml:space="preserve"> </w:t>
      </w:r>
      <w:r w:rsidRPr="003F489C">
        <w:t>https://files.npfmc.org/resources/SAFE/CrabSAFE/CrabEconSAFE.pdf</w:t>
      </w:r>
    </w:p>
    <w:p w:rsidR="002D0636" w14:paraId="2663F971" w14:textId="591A0E87">
      <w:pPr>
        <w:pStyle w:val="FootnoteText"/>
      </w:pPr>
    </w:p>
  </w:footnote>
  <w:footnote w:id="10">
    <w:p w:rsidR="005C6A8D" w14:paraId="0000017E" w14:textId="77777777">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2">
        <w:r>
          <w:rPr>
            <w:color w:val="0000FF"/>
            <w:sz w:val="20"/>
            <w:szCs w:val="20"/>
            <w:u w:val="single"/>
          </w:rPr>
          <w:t>https://www.npfmc.org/wp-content/PDFdocuments/catch_shares/Crab/Crab10yrReview_Final2017.pdf</w:t>
        </w:r>
      </w:hyperlink>
    </w:p>
  </w:footnote>
  <w:footnote w:id="11">
    <w:p w:rsidR="003F489C" w14:paraId="59A3D315" w14:textId="75CF0AB0">
      <w:pPr>
        <w:pStyle w:val="FootnoteText"/>
      </w:pPr>
      <w:r>
        <w:rPr>
          <w:rStyle w:val="FootnoteReference"/>
        </w:rPr>
        <w:footnoteRef/>
      </w:r>
      <w:r>
        <w:t xml:space="preserve"> </w:t>
      </w:r>
      <w:r w:rsidRPr="003F489C">
        <w:t>https://files.npfmc.org/Publications/CrabProgramReviewFinal.pdf</w:t>
      </w:r>
    </w:p>
  </w:footnote>
  <w:footnote w:id="12">
    <w:p w:rsidR="005C6A8D" w14:paraId="0000017F" w14:textId="77777777">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As indicated above the crab EDR is subject to full cost recovery. These costs are the program costs estimated over the next three years. These costs are recovered annually from industry; thus, the actual cost to the Federal government is zero, as indicated in the total. </w:t>
      </w:r>
    </w:p>
  </w:footnote>
  <w:footnote w:id="13">
    <w:p w:rsidR="005C6A8D" w14:paraId="00000180" w14:textId="77777777">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3">
        <w:r>
          <w:rPr>
            <w:color w:val="0000FF"/>
            <w:sz w:val="20"/>
            <w:szCs w:val="20"/>
            <w:u w:val="single"/>
          </w:rPr>
          <w:t>https://www.fisheries.noaa.gov/alaska/sustainable-fisheries/alaska-crab-stock-assessment-and-fishery-evaluation-reports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A8D" w14:paraId="0000018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4633F"/>
    <w:multiLevelType w:val="multilevel"/>
    <w:tmpl w:val="43FC9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9585ACE"/>
    <w:multiLevelType w:val="multilevel"/>
    <w:tmpl w:val="A446BF9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nsid w:val="7CEB05B4"/>
    <w:multiLevelType w:val="multilevel"/>
    <w:tmpl w:val="E022F38E"/>
    <w:lvl w:ilvl="0">
      <w:start w:val="0"/>
      <w:numFmt w:val="bullet"/>
      <w:lvlText w:val="●"/>
      <w:lvlJc w:val="left"/>
      <w:pPr>
        <w:ind w:left="469" w:hanging="360"/>
      </w:pPr>
      <w:rPr>
        <w:rFonts w:ascii="Noto Sans Symbols" w:eastAsia="Noto Sans Symbols" w:hAnsi="Noto Sans Symbols" w:cs="Noto Sans Symbols"/>
        <w:color w:val="2F5496"/>
        <w:sz w:val="20"/>
        <w:szCs w:val="20"/>
      </w:rPr>
    </w:lvl>
    <w:lvl w:ilvl="1">
      <w:start w:val="0"/>
      <w:numFmt w:val="bullet"/>
      <w:lvlText w:val="•"/>
      <w:lvlJc w:val="left"/>
      <w:pPr>
        <w:ind w:left="713" w:hanging="360"/>
      </w:pPr>
    </w:lvl>
    <w:lvl w:ilvl="2">
      <w:start w:val="0"/>
      <w:numFmt w:val="bullet"/>
      <w:lvlText w:val="•"/>
      <w:lvlJc w:val="left"/>
      <w:pPr>
        <w:ind w:left="966" w:hanging="360"/>
      </w:pPr>
    </w:lvl>
    <w:lvl w:ilvl="3">
      <w:start w:val="0"/>
      <w:numFmt w:val="bullet"/>
      <w:lvlText w:val="•"/>
      <w:lvlJc w:val="left"/>
      <w:pPr>
        <w:ind w:left="1219" w:hanging="360"/>
      </w:pPr>
    </w:lvl>
    <w:lvl w:ilvl="4">
      <w:start w:val="0"/>
      <w:numFmt w:val="bullet"/>
      <w:lvlText w:val="•"/>
      <w:lvlJc w:val="left"/>
      <w:pPr>
        <w:ind w:left="1472" w:hanging="360"/>
      </w:pPr>
    </w:lvl>
    <w:lvl w:ilvl="5">
      <w:start w:val="0"/>
      <w:numFmt w:val="bullet"/>
      <w:lvlText w:val="•"/>
      <w:lvlJc w:val="left"/>
      <w:pPr>
        <w:ind w:left="1725" w:hanging="360"/>
      </w:pPr>
    </w:lvl>
    <w:lvl w:ilvl="6">
      <w:start w:val="0"/>
      <w:numFmt w:val="bullet"/>
      <w:lvlText w:val="•"/>
      <w:lvlJc w:val="left"/>
      <w:pPr>
        <w:ind w:left="1978" w:hanging="360"/>
      </w:pPr>
    </w:lvl>
    <w:lvl w:ilvl="7">
      <w:start w:val="0"/>
      <w:numFmt w:val="bullet"/>
      <w:lvlText w:val="•"/>
      <w:lvlJc w:val="left"/>
      <w:pPr>
        <w:ind w:left="2231" w:hanging="360"/>
      </w:pPr>
    </w:lvl>
    <w:lvl w:ilvl="8">
      <w:start w:val="0"/>
      <w:numFmt w:val="bullet"/>
      <w:lvlText w:val="•"/>
      <w:lvlJc w:val="left"/>
      <w:pPr>
        <w:ind w:left="2484" w:hanging="360"/>
      </w:pPr>
    </w:lvl>
  </w:abstractNum>
  <w:num w:numId="1" w16cid:durableId="1797210953">
    <w:abstractNumId w:val="2"/>
  </w:num>
  <w:num w:numId="2" w16cid:durableId="1620647876">
    <w:abstractNumId w:val="1"/>
  </w:num>
  <w:num w:numId="3" w16cid:durableId="1082028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A8D"/>
    <w:rsid w:val="00116B16"/>
    <w:rsid w:val="0016158D"/>
    <w:rsid w:val="001C0460"/>
    <w:rsid w:val="0023401C"/>
    <w:rsid w:val="002C5747"/>
    <w:rsid w:val="002D0636"/>
    <w:rsid w:val="00314055"/>
    <w:rsid w:val="003711B4"/>
    <w:rsid w:val="003F489C"/>
    <w:rsid w:val="00436432"/>
    <w:rsid w:val="004721B0"/>
    <w:rsid w:val="00486FA2"/>
    <w:rsid w:val="004C3046"/>
    <w:rsid w:val="005472AD"/>
    <w:rsid w:val="0057445F"/>
    <w:rsid w:val="00594FA4"/>
    <w:rsid w:val="005C6A8D"/>
    <w:rsid w:val="00640287"/>
    <w:rsid w:val="007B4576"/>
    <w:rsid w:val="00822C35"/>
    <w:rsid w:val="00823353"/>
    <w:rsid w:val="00851469"/>
    <w:rsid w:val="008E58AC"/>
    <w:rsid w:val="009F43EF"/>
    <w:rsid w:val="00A917CD"/>
    <w:rsid w:val="00A94361"/>
    <w:rsid w:val="00BA1DAF"/>
    <w:rsid w:val="00BD7996"/>
    <w:rsid w:val="00BE7803"/>
    <w:rsid w:val="00C12273"/>
    <w:rsid w:val="00C539B3"/>
    <w:rsid w:val="00E02065"/>
    <w:rsid w:val="00E73DD2"/>
    <w:rsid w:val="00EE0BE5"/>
    <w:rsid w:val="00F6261D"/>
    <w:rsid w:val="00FC66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A3FBE1"/>
  <w15:docId w15:val="{815CD2E4-837A-4A14-AD4F-C8DD6F4F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362A3"/>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362A3"/>
    <w:rPr>
      <w:rFonts w:ascii="Arial" w:eastAsia="Arial" w:hAnsi="Arial" w:cs="Arial"/>
      <w:b/>
      <w:bCs/>
      <w:color w:val="2E5395"/>
      <w:sz w:val="20"/>
      <w:szCs w:val="20"/>
    </w:rPr>
  </w:style>
  <w:style w:type="paragraph" w:styleId="FootnoteText">
    <w:name w:val="footnote text"/>
    <w:basedOn w:val="Normal"/>
    <w:link w:val="FootnoteTextChar"/>
    <w:uiPriority w:val="99"/>
    <w:semiHidden/>
    <w:unhideWhenUsed/>
    <w:rsid w:val="0010331E"/>
    <w:rPr>
      <w:sz w:val="20"/>
      <w:szCs w:val="20"/>
    </w:rPr>
  </w:style>
  <w:style w:type="character" w:customStyle="1" w:styleId="FootnoteTextChar">
    <w:name w:val="Footnote Text Char"/>
    <w:basedOn w:val="DefaultParagraphFont"/>
    <w:link w:val="FootnoteText"/>
    <w:uiPriority w:val="99"/>
    <w:semiHidden/>
    <w:rsid w:val="0010331E"/>
    <w:rPr>
      <w:sz w:val="20"/>
      <w:szCs w:val="20"/>
    </w:rPr>
  </w:style>
  <w:style w:type="character" w:styleId="FootnoteReference">
    <w:name w:val="footnote reference"/>
    <w:basedOn w:val="DefaultParagraphFont"/>
    <w:uiPriority w:val="99"/>
    <w:semiHidden/>
    <w:unhideWhenUsed/>
    <w:rsid w:val="0010331E"/>
    <w:rPr>
      <w:vertAlign w:val="superscript"/>
    </w:rPr>
  </w:style>
  <w:style w:type="paragraph" w:styleId="Revision">
    <w:name w:val="Revision"/>
    <w:hidden/>
    <w:uiPriority w:val="99"/>
    <w:semiHidden/>
    <w:rsid w:val="00A06B36"/>
    <w:pPr>
      <w:widowControl/>
    </w:pPr>
  </w:style>
  <w:style w:type="table" w:customStyle="1" w:styleId="a6">
    <w:name w:val="a6"/>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left w:w="115" w:type="dxa"/>
        <w:right w:w="115" w:type="dxa"/>
      </w:tblCellMar>
    </w:tblPr>
  </w:style>
  <w:style w:type="table" w:customStyle="1" w:styleId="a8">
    <w:name w:val="a8"/>
    <w:basedOn w:val="TableNormal"/>
    <w:tblPr>
      <w:tblStyleRowBandSize w:val="1"/>
      <w:tblStyleColBandSize w:val="1"/>
      <w:tblCellMar>
        <w:left w:w="115" w:type="dxa"/>
        <w:right w:w="115" w:type="dxa"/>
      </w:tblCellMar>
    </w:tblPr>
  </w:style>
  <w:style w:type="table" w:customStyle="1" w:styleId="a9">
    <w:name w:val="a9"/>
    <w:basedOn w:val="TableNormal"/>
    <w:tblPr>
      <w:tblStyleRowBandSize w:val="1"/>
      <w:tblStyleColBandSize w:val="1"/>
      <w:tblCellMar>
        <w:left w:w="115" w:type="dxa"/>
        <w:right w:w="115" w:type="dxa"/>
      </w:tblCellMar>
    </w:tblPr>
  </w:style>
  <w:style w:type="paragraph" w:styleId="EndnoteText">
    <w:name w:val="endnote text"/>
    <w:basedOn w:val="Normal"/>
    <w:link w:val="EndnoteTextChar"/>
    <w:uiPriority w:val="99"/>
    <w:semiHidden/>
    <w:unhideWhenUsed/>
    <w:rsid w:val="003F489C"/>
    <w:rPr>
      <w:sz w:val="20"/>
      <w:szCs w:val="20"/>
    </w:rPr>
  </w:style>
  <w:style w:type="character" w:customStyle="1" w:styleId="EndnoteTextChar">
    <w:name w:val="Endnote Text Char"/>
    <w:basedOn w:val="DefaultParagraphFont"/>
    <w:link w:val="EndnoteText"/>
    <w:uiPriority w:val="99"/>
    <w:semiHidden/>
    <w:rsid w:val="003F489C"/>
    <w:rPr>
      <w:sz w:val="20"/>
      <w:szCs w:val="20"/>
    </w:rPr>
  </w:style>
  <w:style w:type="character" w:styleId="EndnoteReference">
    <w:name w:val="endnote reference"/>
    <w:basedOn w:val="DefaultParagraphFont"/>
    <w:uiPriority w:val="99"/>
    <w:semiHidden/>
    <w:unhideWhenUsed/>
    <w:rsid w:val="003F48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50/part-680" TargetMode="External" /><Relationship Id="rId11" Type="http://schemas.openxmlformats.org/officeDocument/2006/relationships/hyperlink" Target="mailto:am80edr@psmfc.org" TargetMode="External" /><Relationship Id="rId12" Type="http://schemas.openxmlformats.org/officeDocument/2006/relationships/hyperlink" Target="https://survey.psmfc.org/" TargetMode="External" /><Relationship Id="rId13" Type="http://schemas.openxmlformats.org/officeDocument/2006/relationships/hyperlink" Target="http://www.psmfc.org/alaska_crab/" TargetMode="External" /><Relationship Id="rId14" Type="http://schemas.openxmlformats.org/officeDocument/2006/relationships/hyperlink" Target="https://www.fisheries.noaa.gov/permit/bering-sea-and-aleutian-islands-crab-rationalization-applications-and-reporting-forms" TargetMode="External" /><Relationship Id="rId15" Type="http://schemas.openxmlformats.org/officeDocument/2006/relationships/hyperlink" Target="https://reports.psmfc.org/akfin/f?p=501:2000" TargetMode="External" /><Relationship Id="rId16" Type="http://schemas.openxmlformats.org/officeDocument/2006/relationships/hyperlink" Target="https://www.noaa.gov/organization/administration/nao-216-100-protection-of-confidential-fisheries-statistics" TargetMode="External" /><Relationship Id="rId17" Type="http://schemas.openxmlformats.org/officeDocument/2006/relationships/hyperlink" Target="https://www.commerce.gov/node/4990" TargetMode="External" /><Relationship Id="rId18" Type="http://schemas.openxmlformats.org/officeDocument/2006/relationships/hyperlink" Target="https://www.commerce.gov/sites/default/files/2025-03/NOAA4700%20PIA%20FY25%20SAOP_Approved.pdf" TargetMode="External"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hyperlink" Target="https://www.commerce.gov/sites/default/files/2024-01/CAPS_rpStandard_2024.pdf" TargetMode="External" /><Relationship Id="rId22" Type="http://schemas.openxmlformats.org/officeDocument/2006/relationships/hyperlink" Target="https://www.noaa.gov/organization/information-technology/policy-oversight/information-quality/information-quality-guidelines" TargetMode="External" /><Relationship Id="rId23" Type="http://schemas.openxmlformats.org/officeDocument/2006/relationships/hyperlink" Target="http://www.gpo.gov/fdsys/pkg/CFR-2014-title5-vol3/pdf/CFR-2014-title5-vol3-sec1320-9.pdf" TargetMode="External" /><Relationship Id="rId24" Type="http://schemas.openxmlformats.org/officeDocument/2006/relationships/hyperlink" Target="http://www.gpo.gov/fdsys/pkg/CFR-2014-title5-vol3/pdf/CFR-2014-title5-vol3-sec1320-8.pdf"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fisheries.noaa.gov/resource/document/magnuson-stevens-fishery-conservation-and-management-act" TargetMode="External" /><Relationship Id="rId8" Type="http://schemas.openxmlformats.org/officeDocument/2006/relationships/hyperlink" Target="https://www.federalregister.gov/documents/2005/03/02/05-3486/fisheries-of-the-exclusive-economic-zone-off-alaska-allocating-bering-sea-and-aleutian-islands-king" TargetMode="External" /><Relationship Id="rId9" Type="http://schemas.openxmlformats.org/officeDocument/2006/relationships/hyperlink" Target="https://www.ecfr.gov/current/title-50/chapter-VI/part-680/subpart-A/section-680.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isheries.noaa.gov/alaska/sustainable-fisheries/bering-sea-and-aleutian-islands-crab-rationalization-program" TargetMode="External" /><Relationship Id="rId2" Type="http://schemas.openxmlformats.org/officeDocument/2006/relationships/hyperlink" Target="https://www.npfmc.org/wp-content/PDFdocuments/catch_shares/Crab/Crab10yrReview_Final2017.pdf" TargetMode="External" /><Relationship Id="rId3" Type="http://schemas.openxmlformats.org/officeDocument/2006/relationships/hyperlink" Target="https://www.fisheries.noaa.gov/alaska/sustainable-fisheries/alaska-crab-stock-assessment-and-fishery-evaluation-repo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0e4ZvuaK2ZnPQ8cK1XoOSIHfqg==">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</go:docsCustomData>
</go:gDocsCustomXmlDataStorage>
</file>

<file path=customXml/itemProps1.xml><?xml version="1.0" encoding="utf-8"?>
<ds:datastoreItem xmlns:ds="http://schemas.openxmlformats.org/officeDocument/2006/customXml" ds:itemID="{21F28DDF-F619-4BD7-8DB1-DA58FB19852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5264</Words>
  <Characters>30006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3</cp:revision>
  <dcterms:created xsi:type="dcterms:W3CDTF">2025-12-17T19:29:00Z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