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82B3E3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BD5F62" w:rsidP="00BD5F62" w14:paraId="462CE404" w14:textId="77777777">
      <w:pPr>
        <w:jc w:val="center"/>
        <w:rPr>
          <w:rFonts w:asciiTheme="majorHAnsi" w:hAnsiTheme="majorHAnsi"/>
          <w:sz w:val="24"/>
        </w:rPr>
      </w:pPr>
      <w:bookmarkStart w:id="0" w:name="_Hlk136936435"/>
      <w:r>
        <w:rPr>
          <w:rFonts w:asciiTheme="majorHAnsi" w:hAnsiTheme="majorHAnsi"/>
          <w:sz w:val="24"/>
        </w:rPr>
        <w:t>DoD-wide Data Collection and Analysis for Department of Defense Qualitative Data Collection in Support of the Independent Review Commission on Sexual Assault Recommendations (OMB Control Number 0704-0644)</w:t>
      </w:r>
    </w:p>
    <w:p w:rsidR="00BD5F62" w:rsidRPr="007E26C3" w:rsidP="00BD5F62" w14:paraId="43343F80" w14:textId="77777777">
      <w:pPr>
        <w:jc w:val="center"/>
        <w:rPr>
          <w:rFonts w:asciiTheme="majorHAnsi" w:hAnsiTheme="majorHAnsi"/>
          <w:i/>
          <w:iCs/>
          <w:sz w:val="24"/>
        </w:rPr>
      </w:pPr>
      <w:r>
        <w:rPr>
          <w:rFonts w:asciiTheme="majorHAnsi" w:hAnsiTheme="majorHAnsi"/>
          <w:sz w:val="24"/>
        </w:rPr>
        <w:t xml:space="preserve">Title of Collection: </w:t>
      </w:r>
      <w:r w:rsidRPr="007E26C3">
        <w:rPr>
          <w:rFonts w:asciiTheme="majorHAnsi" w:hAnsiTheme="majorHAnsi"/>
          <w:i/>
          <w:iCs/>
          <w:sz w:val="24"/>
        </w:rPr>
        <w:t>Prevention Workforce Evaluation</w:t>
      </w:r>
    </w:p>
    <w:p w:rsidR="00BD5F62" w:rsidP="00BD5F62" w14:paraId="4674E75E" w14:textId="6D5BB31C">
      <w:pPr>
        <w:jc w:val="center"/>
        <w:rPr>
          <w:rFonts w:asciiTheme="majorHAnsi" w:hAnsiTheme="majorHAnsi"/>
          <w:sz w:val="24"/>
        </w:rPr>
      </w:pPr>
      <w:r>
        <w:rPr>
          <w:rFonts w:asciiTheme="majorHAnsi" w:hAnsiTheme="majorHAnsi"/>
          <w:sz w:val="24"/>
        </w:rPr>
        <w:t xml:space="preserve">Expected Fielding Date: </w:t>
      </w:r>
      <w:r w:rsidR="00385B09">
        <w:rPr>
          <w:rFonts w:asciiTheme="majorHAnsi" w:hAnsiTheme="majorHAnsi"/>
          <w:sz w:val="24"/>
        </w:rPr>
        <w:t>1 September</w:t>
      </w:r>
      <w:r w:rsidRPr="00385B09">
        <w:rPr>
          <w:rFonts w:asciiTheme="majorHAnsi" w:hAnsiTheme="majorHAnsi"/>
          <w:sz w:val="24"/>
        </w:rPr>
        <w:t xml:space="preserve"> 2023</w:t>
      </w:r>
      <w:r w:rsidR="002D7CBE">
        <w:rPr>
          <w:rFonts w:asciiTheme="majorHAnsi" w:hAnsiTheme="majorHAnsi"/>
          <w:sz w:val="24"/>
        </w:rPr>
        <w:t xml:space="preserve"> – 1 September 2029</w:t>
      </w:r>
    </w:p>
    <w:bookmarkEnd w:id="0"/>
    <w:p w:rsidR="00340D9B" w:rsidP="006E563D" w14:paraId="65ADD7C5" w14:textId="77777777">
      <w:pPr>
        <w:spacing w:after="0" w:line="240" w:lineRule="auto"/>
        <w:rPr>
          <w:rFonts w:asciiTheme="majorHAnsi" w:hAnsiTheme="majorHAnsi"/>
          <w:sz w:val="24"/>
        </w:rPr>
      </w:pPr>
    </w:p>
    <w:p w:rsidR="005C7428" w:rsidRPr="0085688C" w:rsidP="006E563D" w14:paraId="593BA018" w14:textId="20D1D48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14:paraId="2F2A4036" w14:textId="41090E63">
      <w:pPr>
        <w:spacing w:after="0" w:line="240" w:lineRule="auto"/>
        <w:rPr>
          <w:rFonts w:asciiTheme="majorHAnsi" w:hAnsiTheme="majorHAnsi"/>
          <w:sz w:val="24"/>
        </w:rPr>
      </w:pPr>
    </w:p>
    <w:p w:rsidR="00E15E04" w:rsidP="00117325" w14:paraId="7C672164" w14:textId="474ADE78">
      <w:pPr>
        <w:spacing w:after="0" w:line="240" w:lineRule="auto"/>
        <w:ind w:firstLine="720"/>
        <w:rPr>
          <w:rFonts w:asciiTheme="majorHAnsi" w:hAnsiTheme="majorHAnsi"/>
          <w:sz w:val="24"/>
        </w:rPr>
      </w:pPr>
      <w:r>
        <w:rPr>
          <w:rFonts w:asciiTheme="majorHAnsi" w:hAnsiTheme="majorHAnsi"/>
          <w:sz w:val="24"/>
        </w:rPr>
        <w:t>Harmful behaviors (suicide, domestic violence, harassment, sexual assault, child abuse)</w:t>
      </w:r>
      <w:r w:rsidRPr="00F57B1D" w:rsidR="00117325">
        <w:rPr>
          <w:rFonts w:asciiTheme="majorHAnsi" w:hAnsiTheme="majorHAnsi"/>
          <w:sz w:val="24"/>
        </w:rPr>
        <w:t xml:space="preserve"> can have detrimental and long-lasting impacts on </w:t>
      </w:r>
      <w:r w:rsidR="00117325">
        <w:rPr>
          <w:rFonts w:asciiTheme="majorHAnsi" w:hAnsiTheme="majorHAnsi"/>
          <w:sz w:val="24"/>
        </w:rPr>
        <w:t xml:space="preserve">U.S. </w:t>
      </w:r>
      <w:r w:rsidRPr="00F57B1D" w:rsidR="00117325">
        <w:rPr>
          <w:rFonts w:asciiTheme="majorHAnsi" w:hAnsiTheme="majorHAnsi"/>
          <w:sz w:val="24"/>
        </w:rPr>
        <w:t xml:space="preserve">service members’ physical and mental health, affecting their quality of life and their military careers. Moreover, reducing rates of </w:t>
      </w:r>
      <w:r>
        <w:rPr>
          <w:rFonts w:asciiTheme="majorHAnsi" w:hAnsiTheme="majorHAnsi"/>
          <w:sz w:val="24"/>
        </w:rPr>
        <w:t>these harmful behaviors</w:t>
      </w:r>
      <w:r w:rsidRPr="00F57B1D" w:rsidR="00117325">
        <w:rPr>
          <w:rFonts w:asciiTheme="majorHAnsi" w:hAnsiTheme="majorHAnsi"/>
          <w:sz w:val="24"/>
        </w:rPr>
        <w:t xml:space="preserve"> can improve force readiness. </w:t>
      </w:r>
    </w:p>
    <w:p w:rsidR="00F57B1D" w:rsidP="00903778" w14:paraId="55005009" w14:textId="3F681CB7">
      <w:pPr>
        <w:spacing w:after="0" w:line="240" w:lineRule="auto"/>
        <w:ind w:firstLine="720"/>
        <w:rPr>
          <w:rFonts w:asciiTheme="majorHAnsi" w:hAnsiTheme="majorHAnsi"/>
          <w:sz w:val="24"/>
        </w:rPr>
      </w:pPr>
      <w:r>
        <w:rPr>
          <w:rFonts w:asciiTheme="majorHAnsi" w:hAnsiTheme="majorHAnsi"/>
          <w:sz w:val="24"/>
        </w:rPr>
        <w:t>To augment efforts focused on integrated primary prevention (</w:t>
      </w:r>
      <w:r w:rsidR="00C16C0D">
        <w:rPr>
          <w:rFonts w:asciiTheme="majorHAnsi" w:hAnsiTheme="majorHAnsi"/>
          <w:sz w:val="24"/>
        </w:rPr>
        <w:t xml:space="preserve">IPP, </w:t>
      </w:r>
      <w:r>
        <w:rPr>
          <w:rFonts w:asciiTheme="majorHAnsi" w:hAnsiTheme="majorHAnsi"/>
          <w:sz w:val="24"/>
        </w:rPr>
        <w:t xml:space="preserve">addressing two or more of these harmful behaviors through primary prevention) </w:t>
      </w:r>
      <w:r w:rsidR="00117325">
        <w:rPr>
          <w:rFonts w:asciiTheme="majorHAnsi" w:hAnsiTheme="majorHAnsi"/>
          <w:sz w:val="24"/>
        </w:rPr>
        <w:t xml:space="preserve">DoD </w:t>
      </w:r>
      <w:r w:rsidRPr="00F57B1D">
        <w:rPr>
          <w:rFonts w:asciiTheme="majorHAnsi" w:hAnsiTheme="majorHAnsi"/>
          <w:sz w:val="24"/>
        </w:rPr>
        <w:t>is hiring</w:t>
      </w:r>
      <w:r w:rsidR="000D6BB8">
        <w:rPr>
          <w:rFonts w:asciiTheme="majorHAnsi" w:hAnsiTheme="majorHAnsi"/>
          <w:sz w:val="24"/>
        </w:rPr>
        <w:t xml:space="preserve"> </w:t>
      </w:r>
      <w:r w:rsidR="004B2CBB">
        <w:rPr>
          <w:rFonts w:asciiTheme="majorHAnsi" w:hAnsiTheme="majorHAnsi"/>
          <w:sz w:val="24"/>
        </w:rPr>
        <w:t xml:space="preserve">about </w:t>
      </w:r>
      <w:r w:rsidR="000D6BB8">
        <w:rPr>
          <w:rFonts w:asciiTheme="majorHAnsi" w:hAnsiTheme="majorHAnsi"/>
          <w:sz w:val="24"/>
        </w:rPr>
        <w:t>2,500 Integrated Primary P</w:t>
      </w:r>
      <w:r w:rsidRPr="00F57B1D">
        <w:rPr>
          <w:rFonts w:asciiTheme="majorHAnsi" w:hAnsiTheme="majorHAnsi"/>
          <w:sz w:val="24"/>
        </w:rPr>
        <w:t>revention personnel</w:t>
      </w:r>
      <w:r w:rsidR="000D6BB8">
        <w:rPr>
          <w:rFonts w:asciiTheme="majorHAnsi" w:hAnsiTheme="majorHAnsi"/>
          <w:sz w:val="24"/>
        </w:rPr>
        <w:t>, comprised of full-time personnel (</w:t>
      </w:r>
      <w:r w:rsidRPr="00F57B1D">
        <w:rPr>
          <w:rFonts w:asciiTheme="majorHAnsi" w:hAnsiTheme="majorHAnsi"/>
          <w:sz w:val="24"/>
        </w:rPr>
        <w:t xml:space="preserve">herein called </w:t>
      </w:r>
      <w:r w:rsidR="000D6BB8">
        <w:rPr>
          <w:rFonts w:asciiTheme="majorHAnsi" w:hAnsiTheme="majorHAnsi"/>
          <w:sz w:val="24"/>
        </w:rPr>
        <w:t>the Integrated Primary Prevention Workforce or IPPW</w:t>
      </w:r>
      <w:r>
        <w:rPr>
          <w:rFonts w:asciiTheme="majorHAnsi" w:hAnsiTheme="majorHAnsi"/>
          <w:sz w:val="24"/>
        </w:rPr>
        <w:t>)</w:t>
      </w:r>
      <w:r w:rsidR="000D6BB8">
        <w:rPr>
          <w:rFonts w:asciiTheme="majorHAnsi" w:hAnsiTheme="majorHAnsi"/>
          <w:sz w:val="24"/>
        </w:rPr>
        <w:t xml:space="preserve"> and part-time or support personnel</w:t>
      </w:r>
      <w:r w:rsidRPr="00F57B1D">
        <w:rPr>
          <w:rFonts w:asciiTheme="majorHAnsi" w:hAnsiTheme="majorHAnsi"/>
          <w:sz w:val="24"/>
        </w:rPr>
        <w:t xml:space="preserve">. As this significant investment in prevention unfolds, a DoD- sponsored evaluation will be necessary to track the progress and impact of </w:t>
      </w:r>
      <w:r w:rsidR="00257E32">
        <w:rPr>
          <w:rFonts w:asciiTheme="majorHAnsi" w:hAnsiTheme="majorHAnsi"/>
          <w:sz w:val="24"/>
        </w:rPr>
        <w:t>these</w:t>
      </w:r>
      <w:r w:rsidRPr="00F57B1D" w:rsidR="00257E32">
        <w:rPr>
          <w:rFonts w:asciiTheme="majorHAnsi" w:hAnsiTheme="majorHAnsi"/>
          <w:sz w:val="24"/>
        </w:rPr>
        <w:t xml:space="preserve"> </w:t>
      </w:r>
      <w:r w:rsidRPr="00F57B1D">
        <w:rPr>
          <w:rFonts w:asciiTheme="majorHAnsi" w:hAnsiTheme="majorHAnsi"/>
          <w:sz w:val="24"/>
        </w:rPr>
        <w:t xml:space="preserve">new </w:t>
      </w:r>
      <w:r w:rsidR="00257E32">
        <w:rPr>
          <w:rFonts w:asciiTheme="majorHAnsi" w:hAnsiTheme="majorHAnsi"/>
          <w:sz w:val="24"/>
        </w:rPr>
        <w:t>personnel</w:t>
      </w:r>
      <w:r w:rsidRPr="00F57B1D">
        <w:rPr>
          <w:rFonts w:asciiTheme="majorHAnsi" w:hAnsiTheme="majorHAnsi"/>
          <w:sz w:val="24"/>
        </w:rPr>
        <w:t xml:space="preserve">, as well as identify any mid-course corrections that should be made to the hiring, orientation, or integration process to maximize the impacts of this investment. Hiring </w:t>
      </w:r>
      <w:r w:rsidR="00257E32">
        <w:rPr>
          <w:rFonts w:asciiTheme="majorHAnsi" w:hAnsiTheme="majorHAnsi"/>
          <w:sz w:val="24"/>
        </w:rPr>
        <w:t>these</w:t>
      </w:r>
      <w:r w:rsidRPr="00F57B1D">
        <w:rPr>
          <w:rFonts w:asciiTheme="majorHAnsi" w:hAnsiTheme="majorHAnsi"/>
          <w:sz w:val="24"/>
        </w:rPr>
        <w:t xml:space="preserve"> new </w:t>
      </w:r>
      <w:r w:rsidR="00257E32">
        <w:rPr>
          <w:rFonts w:asciiTheme="majorHAnsi" w:hAnsiTheme="majorHAnsi"/>
          <w:sz w:val="24"/>
        </w:rPr>
        <w:t>personnel</w:t>
      </w:r>
      <w:r w:rsidRPr="00F57B1D" w:rsidR="00257E32">
        <w:rPr>
          <w:rFonts w:asciiTheme="majorHAnsi" w:hAnsiTheme="majorHAnsi"/>
          <w:sz w:val="24"/>
        </w:rPr>
        <w:t xml:space="preserve"> </w:t>
      </w:r>
      <w:r w:rsidRPr="00F57B1D">
        <w:rPr>
          <w:rFonts w:asciiTheme="majorHAnsi" w:hAnsiTheme="majorHAnsi"/>
          <w:sz w:val="24"/>
        </w:rPr>
        <w:t xml:space="preserve">was recommended by the Independent Review Committee (IRC) </w:t>
      </w:r>
      <w:r w:rsidRPr="00EC2525" w:rsidR="00EC2525">
        <w:rPr>
          <w:rFonts w:asciiTheme="majorHAnsi" w:hAnsiTheme="majorHAnsi"/>
          <w:sz w:val="24"/>
        </w:rPr>
        <w:t>on Sexual Assault in the Military</w:t>
      </w:r>
      <w:r w:rsidR="00EC2525">
        <w:rPr>
          <w:rFonts w:asciiTheme="majorHAnsi" w:hAnsiTheme="majorHAnsi"/>
          <w:sz w:val="24"/>
        </w:rPr>
        <w:t xml:space="preserve"> </w:t>
      </w:r>
      <w:r w:rsidRPr="00F57B1D">
        <w:rPr>
          <w:rFonts w:asciiTheme="majorHAnsi" w:hAnsiTheme="majorHAnsi"/>
          <w:sz w:val="24"/>
        </w:rPr>
        <w:t>and endorsed by Secretary of Defense as a priority for DoD</w:t>
      </w:r>
      <w:r w:rsidR="00903778">
        <w:rPr>
          <w:rFonts w:asciiTheme="majorHAnsi" w:hAnsiTheme="majorHAnsi"/>
          <w:sz w:val="24"/>
        </w:rPr>
        <w:t xml:space="preserve"> (Recommendation 2.2: </w:t>
      </w:r>
      <w:r w:rsidRPr="00903778" w:rsidR="00903778">
        <w:rPr>
          <w:rFonts w:asciiTheme="majorHAnsi" w:hAnsiTheme="majorHAnsi"/>
          <w:sz w:val="24"/>
        </w:rPr>
        <w:t>Establish a dedicated primary prevention workforce</w:t>
      </w:r>
      <w:r w:rsidR="00903778">
        <w:rPr>
          <w:rFonts w:asciiTheme="majorHAnsi" w:hAnsiTheme="majorHAnsi"/>
          <w:sz w:val="24"/>
        </w:rPr>
        <w:t>)</w:t>
      </w:r>
      <w:r w:rsidRPr="00F57B1D">
        <w:rPr>
          <w:rFonts w:asciiTheme="majorHAnsi" w:hAnsiTheme="majorHAnsi"/>
          <w:sz w:val="24"/>
        </w:rPr>
        <w:t xml:space="preserve">. Thus, this project will provide support to decision makers and leaders within the DoD and external to DoD (e.g., IRC members) as well as the service branches and installations that hire and integrate the new </w:t>
      </w:r>
      <w:r w:rsidR="002767D7">
        <w:rPr>
          <w:rFonts w:asciiTheme="majorHAnsi" w:hAnsiTheme="majorHAnsi"/>
          <w:sz w:val="24"/>
        </w:rPr>
        <w:t>personnel</w:t>
      </w:r>
      <w:r w:rsidRPr="00F57B1D">
        <w:rPr>
          <w:rFonts w:asciiTheme="majorHAnsi" w:hAnsiTheme="majorHAnsi"/>
          <w:sz w:val="24"/>
        </w:rPr>
        <w:t>.</w:t>
      </w:r>
    </w:p>
    <w:p w:rsidR="009D45AC" w:rsidRPr="00F57B1D" w:rsidP="00F57B1D" w14:paraId="078DEE2E" w14:textId="3F2FC876">
      <w:pPr>
        <w:spacing w:after="0" w:line="240" w:lineRule="auto"/>
        <w:ind w:firstLine="720"/>
        <w:rPr>
          <w:rFonts w:asciiTheme="majorHAnsi" w:hAnsiTheme="majorHAnsi"/>
          <w:sz w:val="24"/>
        </w:rPr>
      </w:pPr>
      <w:r w:rsidRPr="009D45AC">
        <w:rPr>
          <w:rFonts w:asciiTheme="majorHAnsi" w:hAnsiTheme="majorHAnsi"/>
          <w:sz w:val="24"/>
        </w:rPr>
        <w:t xml:space="preserve">This </w:t>
      </w:r>
      <w:r w:rsidR="00BF271A">
        <w:rPr>
          <w:rFonts w:asciiTheme="majorHAnsi" w:hAnsiTheme="majorHAnsi"/>
          <w:sz w:val="24"/>
        </w:rPr>
        <w:t xml:space="preserve">evaluation will be six years and </w:t>
      </w:r>
      <w:r>
        <w:rPr>
          <w:rFonts w:asciiTheme="majorHAnsi" w:hAnsiTheme="majorHAnsi"/>
          <w:sz w:val="24"/>
        </w:rPr>
        <w:t>i</w:t>
      </w:r>
      <w:r w:rsidRPr="009D45AC">
        <w:rPr>
          <w:rFonts w:asciiTheme="majorHAnsi" w:hAnsiTheme="majorHAnsi"/>
          <w:sz w:val="24"/>
        </w:rPr>
        <w:t xml:space="preserve">s sponsored by the </w:t>
      </w:r>
      <w:r w:rsidR="00740442">
        <w:rPr>
          <w:rFonts w:asciiTheme="majorHAnsi" w:hAnsiTheme="majorHAnsi"/>
          <w:sz w:val="24"/>
        </w:rPr>
        <w:t xml:space="preserve">Office of Force Resiliency, </w:t>
      </w:r>
      <w:r w:rsidR="005E53F5">
        <w:rPr>
          <w:rFonts w:asciiTheme="majorHAnsi" w:hAnsiTheme="majorHAnsi"/>
          <w:sz w:val="24"/>
        </w:rPr>
        <w:t xml:space="preserve">Violence Prevention Cell </w:t>
      </w:r>
      <w:r w:rsidR="00740442">
        <w:rPr>
          <w:rFonts w:asciiTheme="majorHAnsi" w:hAnsiTheme="majorHAnsi"/>
          <w:sz w:val="24"/>
        </w:rPr>
        <w:t xml:space="preserve">(VPC) </w:t>
      </w:r>
      <w:r w:rsidRPr="009D45AC">
        <w:rPr>
          <w:rFonts w:asciiTheme="majorHAnsi" w:hAnsiTheme="majorHAnsi"/>
          <w:sz w:val="24"/>
        </w:rPr>
        <w:t>and conducted within the Forces and Resources Policy Center of the RAND National Security Research Division (NSRD), which operates the National Defense Research Institute (NDRI), a federally funded research and development center sponsored by the Office of the Secretary of Defense, the Joint Staff, the Unified Combatant Commands, the Navy, the Marine Corps, the defense agencies, and the defense intelligence enterprise.</w:t>
      </w:r>
    </w:p>
    <w:p w:rsidR="00F57B1D" w:rsidP="006E563D" w14:paraId="0898910B" w14:textId="77777777">
      <w:pPr>
        <w:spacing w:after="0" w:line="240" w:lineRule="auto"/>
        <w:rPr>
          <w:rFonts w:asciiTheme="majorHAnsi" w:hAnsiTheme="majorHAnsi"/>
          <w:sz w:val="24"/>
        </w:rPr>
      </w:pPr>
    </w:p>
    <w:p w:rsidR="00C07477" w:rsidP="005E3F47" w14:paraId="6E600AD4" w14:textId="2CD296B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3F47" w:rsidRPr="005E3F47" w:rsidP="005E3F47" w14:paraId="230A056D" w14:textId="77777777">
      <w:pPr>
        <w:spacing w:after="0" w:line="240" w:lineRule="auto"/>
        <w:rPr>
          <w:rFonts w:asciiTheme="majorHAnsi" w:hAnsiTheme="majorHAnsi"/>
          <w:sz w:val="24"/>
        </w:rPr>
      </w:pPr>
    </w:p>
    <w:p w:rsidR="00BF271A" w:rsidRPr="00BF271A" w:rsidP="00BF271A" w14:paraId="6EC6C709" w14:textId="225199BF">
      <w:pPr>
        <w:spacing w:after="0" w:line="240" w:lineRule="auto"/>
        <w:rPr>
          <w:rFonts w:asciiTheme="majorHAnsi" w:hAnsiTheme="majorHAnsi"/>
          <w:iCs/>
          <w:sz w:val="24"/>
        </w:rPr>
      </w:pPr>
      <w:r>
        <w:rPr>
          <w:rFonts w:asciiTheme="majorHAnsi" w:hAnsiTheme="majorHAnsi"/>
          <w:iCs/>
          <w:sz w:val="24"/>
        </w:rPr>
        <w:t>T</w:t>
      </w:r>
      <w:r w:rsidRPr="00BF271A">
        <w:rPr>
          <w:rFonts w:asciiTheme="majorHAnsi" w:hAnsiTheme="majorHAnsi"/>
          <w:iCs/>
          <w:sz w:val="24"/>
        </w:rPr>
        <w:t>his evaluation will answer the following six questions:</w:t>
      </w:r>
    </w:p>
    <w:p w:rsidR="00BF271A" w:rsidRPr="00BF271A" w:rsidP="00BF271A" w14:paraId="5ACEA705" w14:textId="7279D9EB">
      <w:pPr>
        <w:spacing w:after="0" w:line="240" w:lineRule="auto"/>
        <w:rPr>
          <w:rFonts w:asciiTheme="majorHAnsi" w:hAnsiTheme="majorHAnsi"/>
          <w:iCs/>
          <w:sz w:val="24"/>
        </w:rPr>
      </w:pPr>
      <w:r w:rsidRPr="00BF271A">
        <w:rPr>
          <w:rFonts w:asciiTheme="majorHAnsi" w:hAnsiTheme="majorHAnsi"/>
          <w:iCs/>
          <w:sz w:val="24"/>
        </w:rPr>
        <w:t>1.</w:t>
      </w:r>
      <w:r>
        <w:rPr>
          <w:rFonts w:asciiTheme="majorHAnsi" w:hAnsiTheme="majorHAnsi"/>
          <w:iCs/>
          <w:sz w:val="24"/>
        </w:rPr>
        <w:t xml:space="preserve"> </w:t>
      </w:r>
      <w:r w:rsidRPr="00BF271A">
        <w:rPr>
          <w:rFonts w:asciiTheme="majorHAnsi" w:hAnsiTheme="majorHAnsi"/>
          <w:iCs/>
          <w:sz w:val="24"/>
        </w:rPr>
        <w:t xml:space="preserve">Are the DoD components (i.e., Military Departments, Services, and the National Guard Bureau) hiring the right people across strategic, operational, and tactical levels and putting supports in place to ensure their success? </w:t>
      </w:r>
    </w:p>
    <w:p w:rsidR="00BF271A" w:rsidRPr="00BF271A" w:rsidP="00BF271A" w14:paraId="44EA434F" w14:textId="0A1C2464">
      <w:pPr>
        <w:spacing w:after="0" w:line="240" w:lineRule="auto"/>
        <w:rPr>
          <w:rFonts w:asciiTheme="majorHAnsi" w:hAnsiTheme="majorHAnsi"/>
          <w:iCs/>
          <w:sz w:val="24"/>
        </w:rPr>
      </w:pPr>
      <w:r w:rsidRPr="00BF271A">
        <w:rPr>
          <w:rFonts w:asciiTheme="majorHAnsi" w:hAnsiTheme="majorHAnsi"/>
          <w:iCs/>
          <w:sz w:val="24"/>
        </w:rPr>
        <w:t>2.</w:t>
      </w:r>
      <w:r>
        <w:rPr>
          <w:rFonts w:asciiTheme="majorHAnsi" w:hAnsiTheme="majorHAnsi"/>
          <w:iCs/>
          <w:sz w:val="24"/>
        </w:rPr>
        <w:t xml:space="preserve"> </w:t>
      </w:r>
      <w:r w:rsidRPr="00BF271A">
        <w:rPr>
          <w:rFonts w:asciiTheme="majorHAnsi" w:hAnsiTheme="majorHAnsi"/>
          <w:iCs/>
          <w:sz w:val="24"/>
        </w:rPr>
        <w:t xml:space="preserve">Are </w:t>
      </w:r>
      <w:r w:rsidR="002767D7">
        <w:rPr>
          <w:rFonts w:asciiTheme="majorHAnsi" w:hAnsiTheme="majorHAnsi"/>
          <w:iCs/>
          <w:sz w:val="24"/>
        </w:rPr>
        <w:t xml:space="preserve">the </w:t>
      </w:r>
      <w:r w:rsidR="00C16C0D">
        <w:rPr>
          <w:rFonts w:asciiTheme="majorHAnsi" w:hAnsiTheme="majorHAnsi"/>
          <w:iCs/>
          <w:sz w:val="24"/>
        </w:rPr>
        <w:t>IPP</w:t>
      </w:r>
      <w:r w:rsidR="002767D7">
        <w:rPr>
          <w:rFonts w:asciiTheme="majorHAnsi" w:hAnsiTheme="majorHAnsi"/>
          <w:iCs/>
          <w:sz w:val="24"/>
        </w:rPr>
        <w:t xml:space="preserve"> personnel</w:t>
      </w:r>
      <w:r w:rsidRPr="00BF271A" w:rsidR="002767D7">
        <w:rPr>
          <w:rFonts w:asciiTheme="majorHAnsi" w:hAnsiTheme="majorHAnsi"/>
          <w:iCs/>
          <w:sz w:val="24"/>
        </w:rPr>
        <w:t xml:space="preserve"> </w:t>
      </w:r>
      <w:r w:rsidRPr="00BF271A">
        <w:rPr>
          <w:rFonts w:asciiTheme="majorHAnsi" w:hAnsiTheme="majorHAnsi"/>
          <w:iCs/>
          <w:sz w:val="24"/>
        </w:rPr>
        <w:t xml:space="preserve">improving their prevention infrastructure and implementing data-informed prevention processes across the strategic, </w:t>
      </w:r>
      <w:r w:rsidRPr="00BF271A">
        <w:rPr>
          <w:rFonts w:asciiTheme="majorHAnsi" w:hAnsiTheme="majorHAnsi"/>
          <w:iCs/>
          <w:sz w:val="24"/>
        </w:rPr>
        <w:t>operational</w:t>
      </w:r>
      <w:r w:rsidRPr="00BF271A">
        <w:rPr>
          <w:rFonts w:asciiTheme="majorHAnsi" w:hAnsiTheme="majorHAnsi"/>
          <w:iCs/>
          <w:sz w:val="24"/>
        </w:rPr>
        <w:t xml:space="preserve"> and tactical levels?</w:t>
      </w:r>
    </w:p>
    <w:p w:rsidR="00BF271A" w:rsidRPr="00BF271A" w:rsidP="00BF271A" w14:paraId="6A24F507" w14:textId="74ACD6C2">
      <w:pPr>
        <w:spacing w:after="0" w:line="240" w:lineRule="auto"/>
        <w:rPr>
          <w:rFonts w:asciiTheme="majorHAnsi" w:hAnsiTheme="majorHAnsi"/>
          <w:iCs/>
          <w:sz w:val="24"/>
        </w:rPr>
      </w:pPr>
      <w:r w:rsidRPr="00BF271A">
        <w:rPr>
          <w:rFonts w:asciiTheme="majorHAnsi" w:hAnsiTheme="majorHAnsi"/>
          <w:iCs/>
          <w:sz w:val="24"/>
        </w:rPr>
        <w:t>3.</w:t>
      </w:r>
      <w:r>
        <w:rPr>
          <w:rFonts w:asciiTheme="majorHAnsi" w:hAnsiTheme="majorHAnsi"/>
          <w:iCs/>
          <w:sz w:val="24"/>
        </w:rPr>
        <w:t xml:space="preserve"> </w:t>
      </w:r>
      <w:r w:rsidRPr="00BF271A">
        <w:rPr>
          <w:rFonts w:asciiTheme="majorHAnsi" w:hAnsiTheme="majorHAnsi"/>
          <w:iCs/>
          <w:sz w:val="24"/>
        </w:rPr>
        <w:t xml:space="preserve">Does the hiring of </w:t>
      </w:r>
      <w:r w:rsidR="00C16C0D">
        <w:rPr>
          <w:rFonts w:asciiTheme="majorHAnsi" w:hAnsiTheme="majorHAnsi"/>
          <w:iCs/>
          <w:sz w:val="24"/>
        </w:rPr>
        <w:t>IPP</w:t>
      </w:r>
      <w:r w:rsidR="002767D7">
        <w:rPr>
          <w:rFonts w:asciiTheme="majorHAnsi" w:hAnsiTheme="majorHAnsi"/>
          <w:iCs/>
          <w:sz w:val="24"/>
        </w:rPr>
        <w:t xml:space="preserve"> personnel</w:t>
      </w:r>
      <w:r w:rsidRPr="00BF271A" w:rsidR="002767D7">
        <w:rPr>
          <w:rFonts w:asciiTheme="majorHAnsi" w:hAnsiTheme="majorHAnsi"/>
          <w:iCs/>
          <w:sz w:val="24"/>
        </w:rPr>
        <w:t xml:space="preserve"> </w:t>
      </w:r>
      <w:r w:rsidRPr="00BF271A">
        <w:rPr>
          <w:rFonts w:asciiTheme="majorHAnsi" w:hAnsiTheme="majorHAnsi"/>
          <w:iCs/>
          <w:sz w:val="24"/>
        </w:rPr>
        <w:t>reduce the prevalence of Service members harming themselves and others and their contributing factors?</w:t>
      </w:r>
    </w:p>
    <w:p w:rsidR="00BF271A" w:rsidRPr="00BF271A" w:rsidP="00BF271A" w14:paraId="26D90AC0" w14:textId="25B7C6CA">
      <w:pPr>
        <w:spacing w:after="0" w:line="240" w:lineRule="auto"/>
        <w:rPr>
          <w:rFonts w:asciiTheme="majorHAnsi" w:hAnsiTheme="majorHAnsi"/>
          <w:iCs/>
          <w:sz w:val="24"/>
        </w:rPr>
      </w:pPr>
      <w:r w:rsidRPr="00BF271A">
        <w:rPr>
          <w:rFonts w:asciiTheme="majorHAnsi" w:hAnsiTheme="majorHAnsi"/>
          <w:iCs/>
          <w:sz w:val="24"/>
        </w:rPr>
        <w:t>4.</w:t>
      </w:r>
      <w:r>
        <w:rPr>
          <w:rFonts w:asciiTheme="majorHAnsi" w:hAnsiTheme="majorHAnsi"/>
          <w:iCs/>
          <w:sz w:val="24"/>
        </w:rPr>
        <w:t xml:space="preserve"> </w:t>
      </w:r>
      <w:r w:rsidRPr="00BF271A">
        <w:rPr>
          <w:rFonts w:asciiTheme="majorHAnsi" w:hAnsiTheme="majorHAnsi"/>
          <w:iCs/>
          <w:sz w:val="24"/>
        </w:rPr>
        <w:t xml:space="preserve">What is the return on investment? How might that change as </w:t>
      </w:r>
      <w:r w:rsidR="00C16C0D">
        <w:rPr>
          <w:rFonts w:asciiTheme="majorHAnsi" w:hAnsiTheme="majorHAnsi"/>
          <w:iCs/>
          <w:sz w:val="24"/>
        </w:rPr>
        <w:t>IPP</w:t>
      </w:r>
      <w:r w:rsidR="002767D7">
        <w:rPr>
          <w:rFonts w:asciiTheme="majorHAnsi" w:hAnsiTheme="majorHAnsi"/>
          <w:iCs/>
          <w:sz w:val="24"/>
        </w:rPr>
        <w:t xml:space="preserve"> </w:t>
      </w:r>
      <w:r w:rsidRPr="00BF271A">
        <w:rPr>
          <w:rFonts w:asciiTheme="majorHAnsi" w:hAnsiTheme="majorHAnsi"/>
          <w:iCs/>
          <w:sz w:val="24"/>
        </w:rPr>
        <w:t>staffing levels change?</w:t>
      </w:r>
    </w:p>
    <w:p w:rsidR="00BF271A" w:rsidRPr="00BF271A" w:rsidP="00BF271A" w14:paraId="6F7E2F3B" w14:textId="16520608">
      <w:pPr>
        <w:spacing w:after="0" w:line="240" w:lineRule="auto"/>
        <w:rPr>
          <w:rFonts w:asciiTheme="majorHAnsi" w:hAnsiTheme="majorHAnsi"/>
          <w:iCs/>
          <w:sz w:val="24"/>
        </w:rPr>
      </w:pPr>
      <w:r w:rsidRPr="00BF271A">
        <w:rPr>
          <w:rFonts w:asciiTheme="majorHAnsi" w:hAnsiTheme="majorHAnsi"/>
          <w:iCs/>
          <w:sz w:val="24"/>
        </w:rPr>
        <w:t>5.</w:t>
      </w:r>
      <w:r>
        <w:rPr>
          <w:rFonts w:asciiTheme="majorHAnsi" w:hAnsiTheme="majorHAnsi"/>
          <w:iCs/>
          <w:sz w:val="24"/>
        </w:rPr>
        <w:t xml:space="preserve"> </w:t>
      </w:r>
      <w:r w:rsidRPr="00BF271A">
        <w:rPr>
          <w:rFonts w:asciiTheme="majorHAnsi" w:hAnsiTheme="majorHAnsi"/>
          <w:iCs/>
          <w:sz w:val="24"/>
        </w:rPr>
        <w:t xml:space="preserve">Are the DoD components' approaches to </w:t>
      </w:r>
      <w:r w:rsidR="00C16C0D">
        <w:rPr>
          <w:rFonts w:asciiTheme="majorHAnsi" w:hAnsiTheme="majorHAnsi"/>
          <w:iCs/>
          <w:sz w:val="24"/>
        </w:rPr>
        <w:t>IPP</w:t>
      </w:r>
      <w:r w:rsidR="002767D7">
        <w:rPr>
          <w:rFonts w:asciiTheme="majorHAnsi" w:hAnsiTheme="majorHAnsi"/>
          <w:iCs/>
          <w:sz w:val="24"/>
        </w:rPr>
        <w:t xml:space="preserve"> </w:t>
      </w:r>
      <w:r w:rsidRPr="00BF271A">
        <w:rPr>
          <w:rFonts w:asciiTheme="majorHAnsi" w:hAnsiTheme="majorHAnsi"/>
          <w:iCs/>
          <w:sz w:val="24"/>
        </w:rPr>
        <w:t>meeting the requirements set forth by DoD?</w:t>
      </w:r>
    </w:p>
    <w:p w:rsidR="00BF271A" w:rsidP="00BF271A" w14:paraId="41BD2D8B" w14:textId="63BE21CB">
      <w:pPr>
        <w:spacing w:after="0" w:line="240" w:lineRule="auto"/>
        <w:rPr>
          <w:rFonts w:asciiTheme="majorHAnsi" w:hAnsiTheme="majorHAnsi"/>
          <w:iCs/>
          <w:sz w:val="24"/>
        </w:rPr>
      </w:pPr>
      <w:r w:rsidRPr="00BF271A">
        <w:rPr>
          <w:rFonts w:asciiTheme="majorHAnsi" w:hAnsiTheme="majorHAnsi"/>
          <w:iCs/>
          <w:sz w:val="24"/>
        </w:rPr>
        <w:t>6.</w:t>
      </w:r>
      <w:r>
        <w:rPr>
          <w:rFonts w:asciiTheme="majorHAnsi" w:hAnsiTheme="majorHAnsi"/>
          <w:iCs/>
          <w:sz w:val="24"/>
        </w:rPr>
        <w:t xml:space="preserve"> </w:t>
      </w:r>
      <w:r w:rsidRPr="00BF271A">
        <w:rPr>
          <w:rFonts w:asciiTheme="majorHAnsi" w:hAnsiTheme="majorHAnsi"/>
          <w:iCs/>
          <w:sz w:val="24"/>
        </w:rPr>
        <w:t xml:space="preserve">Are </w:t>
      </w:r>
      <w:r w:rsidR="00C16C0D">
        <w:rPr>
          <w:rFonts w:asciiTheme="majorHAnsi" w:hAnsiTheme="majorHAnsi"/>
          <w:iCs/>
          <w:sz w:val="24"/>
        </w:rPr>
        <w:t>IPP</w:t>
      </w:r>
      <w:r w:rsidR="002767D7">
        <w:rPr>
          <w:rFonts w:asciiTheme="majorHAnsi" w:hAnsiTheme="majorHAnsi"/>
          <w:iCs/>
          <w:sz w:val="24"/>
        </w:rPr>
        <w:t xml:space="preserve"> personnel’s</w:t>
      </w:r>
      <w:r w:rsidRPr="00BF271A">
        <w:rPr>
          <w:rFonts w:asciiTheme="majorHAnsi" w:hAnsiTheme="majorHAnsi"/>
          <w:iCs/>
          <w:sz w:val="24"/>
        </w:rPr>
        <w:t xml:space="preserve"> reports of their competencies, prevention activities and perceptions of installation climate consistent across multiple evaluation data sources?</w:t>
      </w:r>
    </w:p>
    <w:p w:rsidR="00BF271A" w:rsidP="00BF271A" w14:paraId="506CC59B" w14:textId="77777777">
      <w:pPr>
        <w:spacing w:after="0" w:line="240" w:lineRule="auto"/>
        <w:rPr>
          <w:rFonts w:asciiTheme="majorHAnsi" w:hAnsiTheme="majorHAnsi"/>
          <w:iCs/>
          <w:sz w:val="24"/>
        </w:rPr>
      </w:pPr>
    </w:p>
    <w:p w:rsidR="00C07477" w:rsidP="00BF271A" w14:paraId="758C62B8" w14:textId="4BDEDF97">
      <w:pPr>
        <w:spacing w:after="0" w:line="240" w:lineRule="auto"/>
        <w:rPr>
          <w:rFonts w:asciiTheme="majorHAnsi" w:hAnsiTheme="majorHAnsi"/>
          <w:iCs/>
          <w:sz w:val="24"/>
        </w:rPr>
      </w:pPr>
      <w:r>
        <w:rPr>
          <w:rFonts w:asciiTheme="majorHAnsi" w:hAnsiTheme="majorHAnsi"/>
          <w:iCs/>
          <w:sz w:val="24"/>
        </w:rPr>
        <w:t>To answer these questions, t</w:t>
      </w:r>
      <w:r w:rsidR="00F57B1D">
        <w:rPr>
          <w:rFonts w:asciiTheme="majorHAnsi" w:hAnsiTheme="majorHAnsi"/>
          <w:iCs/>
          <w:sz w:val="24"/>
        </w:rPr>
        <w:t xml:space="preserve">his evaluation </w:t>
      </w:r>
      <w:r>
        <w:rPr>
          <w:rFonts w:asciiTheme="majorHAnsi" w:hAnsiTheme="majorHAnsi"/>
          <w:iCs/>
          <w:sz w:val="24"/>
        </w:rPr>
        <w:t xml:space="preserve">will employ </w:t>
      </w:r>
      <w:r w:rsidR="00954A8F">
        <w:rPr>
          <w:rFonts w:asciiTheme="majorHAnsi" w:hAnsiTheme="majorHAnsi"/>
          <w:iCs/>
          <w:sz w:val="24"/>
        </w:rPr>
        <w:t>multiple</w:t>
      </w:r>
      <w:r w:rsidR="00F57B1D">
        <w:rPr>
          <w:rFonts w:asciiTheme="majorHAnsi" w:hAnsiTheme="majorHAnsi"/>
          <w:iCs/>
          <w:sz w:val="24"/>
        </w:rPr>
        <w:t xml:space="preserve"> methods, which we describe below in turn. </w:t>
      </w:r>
    </w:p>
    <w:p w:rsidR="00F57B1D" w:rsidP="00C07477" w14:paraId="503680A2" w14:textId="7906591A">
      <w:pPr>
        <w:spacing w:after="0" w:line="240" w:lineRule="auto"/>
        <w:rPr>
          <w:rFonts w:asciiTheme="majorHAnsi" w:hAnsiTheme="majorHAnsi"/>
          <w:iCs/>
          <w:sz w:val="24"/>
        </w:rPr>
      </w:pPr>
    </w:p>
    <w:p w:rsidR="00BF271A" w:rsidP="00BF271A" w14:paraId="177C380E" w14:textId="3DA0A119">
      <w:pPr>
        <w:spacing w:after="0" w:line="240" w:lineRule="auto"/>
        <w:rPr>
          <w:rFonts w:asciiTheme="majorHAnsi" w:hAnsiTheme="majorHAnsi"/>
          <w:iCs/>
          <w:sz w:val="24"/>
        </w:rPr>
      </w:pPr>
      <w:r w:rsidRPr="00B97983">
        <w:rPr>
          <w:rFonts w:asciiTheme="majorHAnsi" w:hAnsiTheme="majorHAnsi"/>
          <w:i/>
          <w:sz w:val="24"/>
        </w:rPr>
        <w:t>LEADER AND SUPERVISOR INTERVIEWS</w:t>
      </w:r>
      <w:r>
        <w:rPr>
          <w:rFonts w:asciiTheme="majorHAnsi" w:hAnsiTheme="majorHAnsi"/>
          <w:iCs/>
          <w:sz w:val="24"/>
        </w:rPr>
        <w:t xml:space="preserve">. </w:t>
      </w:r>
      <w:r w:rsidRPr="00B97983" w:rsidR="00B97983">
        <w:rPr>
          <w:rFonts w:asciiTheme="majorHAnsi" w:hAnsiTheme="majorHAnsi"/>
          <w:iCs/>
          <w:sz w:val="24"/>
        </w:rPr>
        <w:t xml:space="preserve">Qualitative interviews to assess strategic and operational </w:t>
      </w:r>
      <w:r w:rsidR="00C16C0D">
        <w:rPr>
          <w:rFonts w:asciiTheme="majorHAnsi" w:hAnsiTheme="majorHAnsi"/>
          <w:iCs/>
          <w:sz w:val="24"/>
        </w:rPr>
        <w:t>IPP</w:t>
      </w:r>
      <w:r w:rsidR="002767D7">
        <w:rPr>
          <w:rFonts w:asciiTheme="majorHAnsi" w:hAnsiTheme="majorHAnsi"/>
          <w:iCs/>
          <w:sz w:val="24"/>
        </w:rPr>
        <w:t xml:space="preserve"> personnel</w:t>
      </w:r>
      <w:r w:rsidRPr="00BF271A" w:rsidR="002767D7">
        <w:rPr>
          <w:rFonts w:asciiTheme="majorHAnsi" w:hAnsiTheme="majorHAnsi"/>
          <w:iCs/>
          <w:sz w:val="24"/>
        </w:rPr>
        <w:t xml:space="preserve"> </w:t>
      </w:r>
      <w:r w:rsidRPr="00B97983" w:rsidR="00B97983">
        <w:rPr>
          <w:rFonts w:asciiTheme="majorHAnsi" w:hAnsiTheme="majorHAnsi"/>
          <w:iCs/>
          <w:sz w:val="24"/>
        </w:rPr>
        <w:t xml:space="preserve">and DoD component leaders’ perceptions of progress hiring and integrating tactical-level </w:t>
      </w:r>
      <w:r w:rsidR="00C16C0D">
        <w:rPr>
          <w:rFonts w:asciiTheme="majorHAnsi" w:hAnsiTheme="majorHAnsi"/>
          <w:iCs/>
          <w:sz w:val="24"/>
        </w:rPr>
        <w:t>IPP personnel</w:t>
      </w:r>
      <w:r w:rsidR="00B97983">
        <w:rPr>
          <w:rFonts w:asciiTheme="majorHAnsi" w:hAnsiTheme="majorHAnsi"/>
          <w:iCs/>
          <w:sz w:val="24"/>
        </w:rPr>
        <w:t xml:space="preserve">. </w:t>
      </w:r>
    </w:p>
    <w:p w:rsidR="00BF271A" w:rsidP="00BF271A" w14:paraId="117F04E8" w14:textId="77777777">
      <w:pPr>
        <w:spacing w:after="0" w:line="240" w:lineRule="auto"/>
        <w:rPr>
          <w:rFonts w:asciiTheme="majorHAnsi" w:hAnsiTheme="majorHAnsi"/>
          <w:iCs/>
          <w:sz w:val="24"/>
        </w:rPr>
      </w:pPr>
    </w:p>
    <w:p w:rsidR="00C16C0D" w:rsidP="00BF271A" w14:paraId="317980BB" w14:textId="6DBF9068">
      <w:pPr>
        <w:spacing w:after="0" w:line="240" w:lineRule="auto"/>
        <w:rPr>
          <w:rFonts w:asciiTheme="majorHAnsi" w:hAnsiTheme="majorHAnsi"/>
          <w:iCs/>
          <w:sz w:val="24"/>
        </w:rPr>
      </w:pPr>
      <w:r w:rsidRPr="00BF271A">
        <w:rPr>
          <w:rFonts w:asciiTheme="majorHAnsi" w:hAnsiTheme="majorHAnsi"/>
          <w:iCs/>
          <w:sz w:val="24"/>
        </w:rPr>
        <w:t xml:space="preserve">To identify who we will interview, we will start with </w:t>
      </w:r>
      <w:r>
        <w:rPr>
          <w:rFonts w:asciiTheme="majorHAnsi" w:hAnsiTheme="majorHAnsi"/>
          <w:iCs/>
          <w:sz w:val="24"/>
        </w:rPr>
        <w:t>IPP personnel</w:t>
      </w:r>
      <w:r w:rsidRPr="00BF271A">
        <w:rPr>
          <w:rFonts w:asciiTheme="majorHAnsi" w:hAnsiTheme="majorHAnsi"/>
          <w:iCs/>
          <w:sz w:val="24"/>
        </w:rPr>
        <w:t xml:space="preserve"> </w:t>
      </w:r>
      <w:r w:rsidRPr="00BF271A">
        <w:rPr>
          <w:rFonts w:asciiTheme="majorHAnsi" w:hAnsiTheme="majorHAnsi"/>
          <w:iCs/>
          <w:sz w:val="24"/>
        </w:rPr>
        <w:t>at the strategic- and operational-levels to ask who their direct supervisors are until we get to a non-</w:t>
      </w:r>
      <w:r>
        <w:rPr>
          <w:rFonts w:asciiTheme="majorHAnsi" w:hAnsiTheme="majorHAnsi"/>
          <w:iCs/>
          <w:sz w:val="24"/>
        </w:rPr>
        <w:t>IPP personnel</w:t>
      </w:r>
      <w:r w:rsidRPr="00BF271A">
        <w:rPr>
          <w:rFonts w:asciiTheme="majorHAnsi" w:hAnsiTheme="majorHAnsi"/>
          <w:iCs/>
          <w:sz w:val="24"/>
        </w:rPr>
        <w:t xml:space="preserve"> </w:t>
      </w:r>
      <w:r w:rsidRPr="00BF271A">
        <w:rPr>
          <w:rFonts w:asciiTheme="majorHAnsi" w:hAnsiTheme="majorHAnsi"/>
          <w:iCs/>
          <w:sz w:val="24"/>
        </w:rPr>
        <w:t xml:space="preserve">and interview that person. </w:t>
      </w:r>
      <w:r w:rsidR="00903778">
        <w:rPr>
          <w:rFonts w:asciiTheme="majorHAnsi" w:hAnsiTheme="majorHAnsi"/>
          <w:iCs/>
          <w:sz w:val="24"/>
        </w:rPr>
        <w:t xml:space="preserve">Our sponsor will be creating a list of all IPP personnel and their email addresses. We will obtain that list from VPC  and use it to determine who to target for interviews. To create the sample, we will look for representation across all services and different IPP types. </w:t>
      </w:r>
      <w:r w:rsidRPr="00BF271A">
        <w:rPr>
          <w:rFonts w:asciiTheme="majorHAnsi" w:hAnsiTheme="majorHAnsi"/>
          <w:iCs/>
          <w:sz w:val="24"/>
        </w:rPr>
        <w:t>We will refer to this non-</w:t>
      </w:r>
      <w:r>
        <w:rPr>
          <w:rFonts w:asciiTheme="majorHAnsi" w:hAnsiTheme="majorHAnsi"/>
          <w:iCs/>
          <w:sz w:val="24"/>
        </w:rPr>
        <w:t>IPP personnel</w:t>
      </w:r>
      <w:r w:rsidRPr="00BF271A">
        <w:rPr>
          <w:rFonts w:asciiTheme="majorHAnsi" w:hAnsiTheme="majorHAnsi"/>
          <w:iCs/>
          <w:sz w:val="24"/>
        </w:rPr>
        <w:t xml:space="preserve"> </w:t>
      </w:r>
      <w:r w:rsidRPr="00BF271A">
        <w:rPr>
          <w:rFonts w:asciiTheme="majorHAnsi" w:hAnsiTheme="majorHAnsi"/>
          <w:iCs/>
          <w:sz w:val="24"/>
        </w:rPr>
        <w:t xml:space="preserve">as a DoD component leader. We will also interview members of the </w:t>
      </w:r>
      <w:r>
        <w:rPr>
          <w:rFonts w:asciiTheme="majorHAnsi" w:hAnsiTheme="majorHAnsi"/>
          <w:iCs/>
          <w:sz w:val="24"/>
        </w:rPr>
        <w:t>P</w:t>
      </w:r>
      <w:r w:rsidRPr="00BF271A">
        <w:rPr>
          <w:rFonts w:asciiTheme="majorHAnsi" w:hAnsiTheme="majorHAnsi"/>
          <w:iCs/>
          <w:sz w:val="24"/>
        </w:rPr>
        <w:t xml:space="preserve">revention </w:t>
      </w:r>
      <w:r>
        <w:rPr>
          <w:rFonts w:asciiTheme="majorHAnsi" w:hAnsiTheme="majorHAnsi"/>
          <w:iCs/>
          <w:sz w:val="24"/>
        </w:rPr>
        <w:t>C</w:t>
      </w:r>
      <w:r w:rsidRPr="00BF271A">
        <w:rPr>
          <w:rFonts w:asciiTheme="majorHAnsi" w:hAnsiTheme="majorHAnsi"/>
          <w:iCs/>
          <w:sz w:val="24"/>
        </w:rPr>
        <w:t xml:space="preserve">ollaboration </w:t>
      </w:r>
      <w:r>
        <w:rPr>
          <w:rFonts w:asciiTheme="majorHAnsi" w:hAnsiTheme="majorHAnsi"/>
          <w:iCs/>
          <w:sz w:val="24"/>
        </w:rPr>
        <w:t>F</w:t>
      </w:r>
      <w:r w:rsidRPr="00BF271A">
        <w:rPr>
          <w:rFonts w:asciiTheme="majorHAnsi" w:hAnsiTheme="majorHAnsi"/>
          <w:iCs/>
          <w:sz w:val="24"/>
        </w:rPr>
        <w:t>orum</w:t>
      </w:r>
      <w:r>
        <w:rPr>
          <w:rFonts w:asciiTheme="majorHAnsi" w:hAnsiTheme="majorHAnsi"/>
          <w:iCs/>
          <w:sz w:val="24"/>
        </w:rPr>
        <w:t>,</w:t>
      </w:r>
      <w:r w:rsidR="008C4AA5">
        <w:rPr>
          <w:rFonts w:asciiTheme="majorHAnsi" w:hAnsiTheme="majorHAnsi"/>
          <w:iCs/>
          <w:sz w:val="24"/>
        </w:rPr>
        <w:t xml:space="preserve"> </w:t>
      </w:r>
      <w:r w:rsidRPr="00BF271A">
        <w:rPr>
          <w:rFonts w:asciiTheme="majorHAnsi" w:hAnsiTheme="majorHAnsi"/>
          <w:iCs/>
          <w:sz w:val="24"/>
        </w:rPr>
        <w:t>a governance body to oversee the implementation of the integrated prevention policy (DODI 6400.09)</w:t>
      </w:r>
      <w:r>
        <w:rPr>
          <w:rFonts w:asciiTheme="majorHAnsi" w:hAnsiTheme="majorHAnsi"/>
          <w:iCs/>
          <w:sz w:val="24"/>
        </w:rPr>
        <w:t xml:space="preserve">. </w:t>
      </w:r>
    </w:p>
    <w:p w:rsidR="00BF271A" w:rsidRPr="00BF271A" w:rsidP="00BF271A" w14:paraId="1C825577" w14:textId="6755A39B">
      <w:pPr>
        <w:spacing w:after="0" w:line="240" w:lineRule="auto"/>
        <w:rPr>
          <w:rFonts w:asciiTheme="majorHAnsi" w:hAnsiTheme="majorHAnsi"/>
          <w:iCs/>
          <w:sz w:val="24"/>
        </w:rPr>
      </w:pPr>
      <w:r w:rsidRPr="00BF271A">
        <w:rPr>
          <w:rFonts w:asciiTheme="majorHAnsi" w:hAnsiTheme="majorHAnsi"/>
          <w:iCs/>
          <w:sz w:val="24"/>
        </w:rPr>
        <w:t xml:space="preserve">  </w:t>
      </w:r>
    </w:p>
    <w:p w:rsidR="00BF271A" w:rsidRPr="00BF271A" w:rsidP="00BF271A" w14:paraId="4F156E5A" w14:textId="4D23C6AC">
      <w:pPr>
        <w:spacing w:after="0" w:line="240" w:lineRule="auto"/>
        <w:rPr>
          <w:rFonts w:asciiTheme="majorHAnsi" w:hAnsiTheme="majorHAnsi"/>
          <w:iCs/>
          <w:sz w:val="24"/>
        </w:rPr>
      </w:pPr>
      <w:r w:rsidRPr="00BF271A">
        <w:rPr>
          <w:rFonts w:asciiTheme="majorHAnsi" w:hAnsiTheme="majorHAnsi"/>
          <w:iCs/>
          <w:sz w:val="24"/>
        </w:rPr>
        <w:t xml:space="preserve">We will conduct semi-structured interviews with these DoD component leaders and strategic- and operational-level </w:t>
      </w:r>
      <w:r w:rsidR="00C16C0D">
        <w:rPr>
          <w:rFonts w:asciiTheme="majorHAnsi" w:hAnsiTheme="majorHAnsi"/>
          <w:iCs/>
          <w:sz w:val="24"/>
        </w:rPr>
        <w:t>IPP personnel</w:t>
      </w:r>
      <w:r w:rsidRPr="00BF271A" w:rsidR="00C16C0D">
        <w:rPr>
          <w:rFonts w:asciiTheme="majorHAnsi" w:hAnsiTheme="majorHAnsi"/>
          <w:iCs/>
          <w:sz w:val="24"/>
        </w:rPr>
        <w:t xml:space="preserve"> </w:t>
      </w:r>
      <w:r w:rsidRPr="00BF271A">
        <w:rPr>
          <w:rFonts w:asciiTheme="majorHAnsi" w:hAnsiTheme="majorHAnsi"/>
          <w:iCs/>
          <w:sz w:val="24"/>
        </w:rPr>
        <w:t>to capture progress and barriers both early in the initiative (Year 2) as well as after the initiative has matured (Years 4 and 6). In Year 2, we will sample through ‘snowball’ referrals—i.e., using DoD stakeholders to guide us to the most appropriate individuals with whom to interview. We will ask the sponsor for points of contact in Office of the Under Secretary of Defense for Personnel and Readiness, the DoD components, and potentially the Joint Staff. Once identified, we will ask the following as part of the snowball sampling:</w:t>
      </w:r>
    </w:p>
    <w:p w:rsidR="00BF271A" w:rsidRPr="00BF271A" w:rsidP="00BF271A" w14:paraId="0437656A" w14:textId="155FA5E3">
      <w:pPr>
        <w:spacing w:after="0" w:line="240" w:lineRule="auto"/>
        <w:rPr>
          <w:rFonts w:asciiTheme="majorHAnsi" w:hAnsiTheme="majorHAnsi"/>
          <w:iCs/>
          <w:sz w:val="24"/>
        </w:rPr>
      </w:pPr>
      <w:r w:rsidRPr="00BF271A">
        <w:rPr>
          <w:rFonts w:asciiTheme="majorHAnsi" w:hAnsiTheme="majorHAnsi"/>
          <w:iCs/>
          <w:sz w:val="24"/>
        </w:rPr>
        <w:t>•</w:t>
      </w:r>
      <w:r w:rsidRPr="00BF271A">
        <w:rPr>
          <w:rFonts w:asciiTheme="majorHAnsi" w:hAnsiTheme="majorHAnsi"/>
          <w:iCs/>
          <w:sz w:val="24"/>
        </w:rPr>
        <w:tab/>
        <w:t xml:space="preserve">Who in your organization will have responsibility for the hiring, supervision, and management of these new </w:t>
      </w:r>
      <w:r w:rsidR="00C16C0D">
        <w:rPr>
          <w:rFonts w:asciiTheme="majorHAnsi" w:hAnsiTheme="majorHAnsi"/>
          <w:iCs/>
          <w:sz w:val="24"/>
        </w:rPr>
        <w:t>IPP personnel</w:t>
      </w:r>
      <w:r w:rsidRPr="00BF271A">
        <w:rPr>
          <w:rFonts w:asciiTheme="majorHAnsi" w:hAnsiTheme="majorHAnsi"/>
          <w:iCs/>
          <w:sz w:val="24"/>
        </w:rPr>
        <w:t xml:space="preserve">? Who will the new </w:t>
      </w:r>
      <w:r w:rsidR="00C16C0D">
        <w:rPr>
          <w:rFonts w:asciiTheme="majorHAnsi" w:hAnsiTheme="majorHAnsi"/>
          <w:iCs/>
          <w:sz w:val="24"/>
        </w:rPr>
        <w:t>IPP personnel</w:t>
      </w:r>
      <w:r w:rsidRPr="00BF271A" w:rsidR="00C16C0D">
        <w:rPr>
          <w:rFonts w:asciiTheme="majorHAnsi" w:hAnsiTheme="majorHAnsi"/>
          <w:iCs/>
          <w:sz w:val="24"/>
        </w:rPr>
        <w:t xml:space="preserve"> </w:t>
      </w:r>
      <w:r w:rsidRPr="00BF271A">
        <w:rPr>
          <w:rFonts w:asciiTheme="majorHAnsi" w:hAnsiTheme="majorHAnsi"/>
          <w:iCs/>
          <w:sz w:val="24"/>
        </w:rPr>
        <w:t>report to?</w:t>
      </w:r>
    </w:p>
    <w:p w:rsidR="00BF271A" w:rsidRPr="00BF271A" w:rsidP="00BF271A" w14:paraId="5C3A4A81" w14:textId="116BBD19">
      <w:pPr>
        <w:spacing w:after="0" w:line="240" w:lineRule="auto"/>
        <w:rPr>
          <w:rFonts w:asciiTheme="majorHAnsi" w:hAnsiTheme="majorHAnsi"/>
          <w:iCs/>
          <w:sz w:val="24"/>
        </w:rPr>
      </w:pPr>
      <w:r w:rsidRPr="00BF271A">
        <w:rPr>
          <w:rFonts w:asciiTheme="majorHAnsi" w:hAnsiTheme="majorHAnsi"/>
          <w:iCs/>
          <w:sz w:val="24"/>
        </w:rPr>
        <w:t>•</w:t>
      </w:r>
      <w:r w:rsidRPr="00BF271A">
        <w:rPr>
          <w:rFonts w:asciiTheme="majorHAnsi" w:hAnsiTheme="majorHAnsi"/>
          <w:iCs/>
          <w:sz w:val="24"/>
        </w:rPr>
        <w:tab/>
        <w:t xml:space="preserve">Who in your organization will have oversight for policy and resource allocation decision-making for the </w:t>
      </w:r>
      <w:r w:rsidR="00C16C0D">
        <w:rPr>
          <w:rFonts w:asciiTheme="majorHAnsi" w:hAnsiTheme="majorHAnsi"/>
          <w:iCs/>
          <w:sz w:val="24"/>
        </w:rPr>
        <w:t>IPP personnel</w:t>
      </w:r>
      <w:r w:rsidRPr="00BF271A">
        <w:rPr>
          <w:rFonts w:asciiTheme="majorHAnsi" w:hAnsiTheme="majorHAnsi"/>
          <w:iCs/>
          <w:sz w:val="24"/>
        </w:rPr>
        <w:t xml:space="preserve">? </w:t>
      </w:r>
    </w:p>
    <w:p w:rsidR="00BF271A" w:rsidP="00BF271A" w14:paraId="30711053" w14:textId="77777777">
      <w:pPr>
        <w:spacing w:after="0" w:line="240" w:lineRule="auto"/>
        <w:rPr>
          <w:rFonts w:asciiTheme="majorHAnsi" w:hAnsiTheme="majorHAnsi"/>
          <w:iCs/>
          <w:sz w:val="24"/>
        </w:rPr>
      </w:pPr>
    </w:p>
    <w:p w:rsidR="00B97983" w:rsidP="00BF271A" w14:paraId="03952898" w14:textId="26AE2CDC">
      <w:pPr>
        <w:spacing w:after="0" w:line="240" w:lineRule="auto"/>
        <w:rPr>
          <w:rFonts w:asciiTheme="majorHAnsi" w:hAnsiTheme="majorHAnsi"/>
          <w:iCs/>
          <w:sz w:val="24"/>
        </w:rPr>
      </w:pPr>
      <w:r w:rsidRPr="00BF271A">
        <w:rPr>
          <w:rFonts w:asciiTheme="majorHAnsi" w:hAnsiTheme="majorHAnsi"/>
          <w:iCs/>
          <w:sz w:val="24"/>
        </w:rPr>
        <w:t xml:space="preserve">We will interview personnel across the DoD components. We anticipate interviewing about 20 personnel (to include both uniformed and civilian, as relevant) in each DoD component (Table </w:t>
      </w:r>
      <w:r>
        <w:rPr>
          <w:rFonts w:asciiTheme="majorHAnsi" w:hAnsiTheme="majorHAnsi"/>
          <w:iCs/>
          <w:sz w:val="24"/>
        </w:rPr>
        <w:t>1</w:t>
      </w:r>
      <w:r w:rsidRPr="00BF271A">
        <w:rPr>
          <w:rFonts w:asciiTheme="majorHAnsi" w:hAnsiTheme="majorHAnsi"/>
          <w:iCs/>
          <w:sz w:val="24"/>
        </w:rPr>
        <w:t>), depending on the snowball sampling.</w:t>
      </w:r>
    </w:p>
    <w:p w:rsidR="00B97983" w:rsidP="00C07477" w14:paraId="01E2374E" w14:textId="4C385868">
      <w:pPr>
        <w:spacing w:after="0" w:line="240" w:lineRule="auto"/>
        <w:rPr>
          <w:rFonts w:asciiTheme="majorHAnsi" w:hAnsiTheme="majorHAnsi"/>
          <w:iCs/>
          <w:sz w:val="24"/>
        </w:rPr>
      </w:pPr>
    </w:p>
    <w:p w:rsidR="00BF271A" w:rsidRPr="00302C5F" w:rsidP="00BF271A" w14:paraId="4772A190" w14:textId="38013291">
      <w:pPr>
        <w:pStyle w:val="Heading9"/>
      </w:pPr>
      <w:bookmarkStart w:id="1" w:name="_Toc114584092"/>
      <w:r w:rsidRPr="00302C5F">
        <w:t xml:space="preserve">Table </w:t>
      </w:r>
      <w:r>
        <w:t>1.</w:t>
      </w:r>
      <w:r w:rsidRPr="00302C5F">
        <w:t xml:space="preserve"> Proposed DoD Components</w:t>
      </w:r>
      <w:bookmarkEnd w:id="1"/>
    </w:p>
    <w:tbl>
      <w:tblPr>
        <w:tblStyle w:val="TableGrid"/>
        <w:tblW w:w="5040" w:type="dxa"/>
        <w:tblLayout w:type="fixed"/>
        <w:tblLook w:val="04A0"/>
      </w:tblPr>
      <w:tblGrid>
        <w:gridCol w:w="5040"/>
      </w:tblGrid>
      <w:tr w14:paraId="69AC8106" w14:textId="77777777" w:rsidTr="002A0B9A">
        <w:tblPrEx>
          <w:tblW w:w="5040" w:type="dxa"/>
          <w:tblLayout w:type="fixed"/>
          <w:tblLook w:val="04A0"/>
        </w:tblPrEx>
        <w:trPr>
          <w:trHeight w:val="282"/>
        </w:trPr>
        <w:tc>
          <w:tcPr>
            <w:tcW w:w="5040" w:type="dxa"/>
          </w:tcPr>
          <w:p w:rsidR="00BF271A" w:rsidRPr="00302C5F" w:rsidP="002A0B9A" w14:paraId="13ACDD25" w14:textId="77777777">
            <w:pPr>
              <w:pStyle w:val="TableColHeading"/>
              <w:rPr>
                <w:rFonts w:eastAsia="Calibri"/>
              </w:rPr>
            </w:pPr>
            <w:r w:rsidRPr="00302C5F">
              <w:rPr>
                <w:rFonts w:eastAsia="Calibri"/>
              </w:rPr>
              <w:t xml:space="preserve">Proposed Organizations for DoD Component Leaders </w:t>
            </w:r>
          </w:p>
        </w:tc>
      </w:tr>
      <w:tr w14:paraId="0CAAB573" w14:textId="77777777" w:rsidTr="002A0B9A">
        <w:tblPrEx>
          <w:tblW w:w="5040" w:type="dxa"/>
          <w:tblLayout w:type="fixed"/>
          <w:tblLook w:val="04A0"/>
        </w:tblPrEx>
        <w:trPr>
          <w:trHeight w:val="239"/>
        </w:trPr>
        <w:tc>
          <w:tcPr>
            <w:tcW w:w="5040" w:type="dxa"/>
          </w:tcPr>
          <w:p w:rsidR="00BF271A" w:rsidRPr="00302C5F" w:rsidP="002A0B9A" w14:paraId="19DE9FF2" w14:textId="77777777">
            <w:pPr>
              <w:pStyle w:val="TableBody"/>
              <w:rPr>
                <w:rFonts w:eastAsiaTheme="minorEastAsia"/>
                <w:color w:val="000000" w:themeColor="text1"/>
              </w:rPr>
            </w:pPr>
            <w:r w:rsidRPr="00302C5F">
              <w:rPr>
                <w:rFonts w:eastAsia="Calibri"/>
              </w:rPr>
              <w:t>U.S. Air Force</w:t>
            </w:r>
            <w:r>
              <w:rPr>
                <w:rFonts w:eastAsia="Calibri"/>
              </w:rPr>
              <w:t xml:space="preserve">: </w:t>
            </w:r>
            <w:r w:rsidRPr="00302C5F">
              <w:rPr>
                <w:rFonts w:eastAsia="Calibri"/>
              </w:rPr>
              <w:t>Active HQ</w:t>
            </w:r>
            <w:r>
              <w:rPr>
                <w:rFonts w:eastAsia="Calibri"/>
              </w:rPr>
              <w:t xml:space="preserve">; </w:t>
            </w:r>
            <w:r w:rsidRPr="00302C5F">
              <w:rPr>
                <w:rFonts w:eastAsia="Calibri"/>
              </w:rPr>
              <w:t>Reserve HQ</w:t>
            </w:r>
            <w:r>
              <w:rPr>
                <w:rFonts w:eastAsia="Calibri"/>
              </w:rPr>
              <w:t xml:space="preserve">; </w:t>
            </w:r>
            <w:r w:rsidRPr="00302C5F">
              <w:rPr>
                <w:rFonts w:eastAsia="Calibri"/>
              </w:rPr>
              <w:t>National Guard HQ</w:t>
            </w:r>
          </w:p>
        </w:tc>
      </w:tr>
      <w:tr w14:paraId="69F16C9A" w14:textId="77777777" w:rsidTr="002A0B9A">
        <w:tblPrEx>
          <w:tblW w:w="5040" w:type="dxa"/>
          <w:tblLayout w:type="fixed"/>
          <w:tblLook w:val="04A0"/>
        </w:tblPrEx>
        <w:trPr>
          <w:trHeight w:val="257"/>
        </w:trPr>
        <w:tc>
          <w:tcPr>
            <w:tcW w:w="5040" w:type="dxa"/>
          </w:tcPr>
          <w:p w:rsidR="00BF271A" w:rsidRPr="00302C5F" w:rsidP="002A0B9A" w14:paraId="0BFFA88A" w14:textId="77777777">
            <w:pPr>
              <w:pStyle w:val="TableBody"/>
              <w:rPr>
                <w:rFonts w:eastAsiaTheme="minorEastAsia"/>
                <w:color w:val="000000" w:themeColor="text1"/>
                <w:u w:val="single"/>
              </w:rPr>
            </w:pPr>
            <w:r w:rsidRPr="00302C5F">
              <w:rPr>
                <w:rFonts w:eastAsia="Calibri"/>
              </w:rPr>
              <w:t>U.S. Space Force</w:t>
            </w:r>
            <w:r>
              <w:rPr>
                <w:rFonts w:eastAsia="Calibri"/>
              </w:rPr>
              <w:t xml:space="preserve">: </w:t>
            </w:r>
            <w:r w:rsidRPr="00302C5F">
              <w:rPr>
                <w:rFonts w:eastAsia="Calibri"/>
              </w:rPr>
              <w:t>Active HQ</w:t>
            </w:r>
          </w:p>
        </w:tc>
      </w:tr>
      <w:tr w14:paraId="51BD2FFC" w14:textId="77777777" w:rsidTr="002A0B9A">
        <w:tblPrEx>
          <w:tblW w:w="5040" w:type="dxa"/>
          <w:tblLayout w:type="fixed"/>
          <w:tblLook w:val="04A0"/>
        </w:tblPrEx>
        <w:trPr>
          <w:trHeight w:val="239"/>
        </w:trPr>
        <w:tc>
          <w:tcPr>
            <w:tcW w:w="5040" w:type="dxa"/>
          </w:tcPr>
          <w:p w:rsidR="00BF271A" w:rsidRPr="00302C5F" w:rsidP="002A0B9A" w14:paraId="6DE0522B" w14:textId="77777777">
            <w:pPr>
              <w:pStyle w:val="TableBody"/>
              <w:rPr>
                <w:color w:val="000000" w:themeColor="text1"/>
              </w:rPr>
            </w:pPr>
            <w:r w:rsidRPr="00302C5F">
              <w:rPr>
                <w:rFonts w:eastAsia="Calibri"/>
              </w:rPr>
              <w:t>U.S. Army</w:t>
            </w:r>
            <w:r>
              <w:rPr>
                <w:rFonts w:eastAsia="Calibri"/>
              </w:rPr>
              <w:t xml:space="preserve">: </w:t>
            </w:r>
            <w:r w:rsidRPr="00302C5F">
              <w:rPr>
                <w:rFonts w:eastAsia="Calibri"/>
              </w:rPr>
              <w:t>Active HQ</w:t>
            </w:r>
            <w:r>
              <w:rPr>
                <w:rFonts w:eastAsia="Calibri"/>
              </w:rPr>
              <w:t xml:space="preserve">; </w:t>
            </w:r>
            <w:r w:rsidRPr="00302C5F">
              <w:rPr>
                <w:rFonts w:eastAsia="Calibri"/>
              </w:rPr>
              <w:t>Reserve HQ</w:t>
            </w:r>
            <w:r>
              <w:rPr>
                <w:rFonts w:eastAsia="Calibri"/>
              </w:rPr>
              <w:t xml:space="preserve">; </w:t>
            </w:r>
            <w:r w:rsidRPr="00302C5F">
              <w:rPr>
                <w:rFonts w:eastAsia="Calibri"/>
              </w:rPr>
              <w:t>National Guard HQ</w:t>
            </w:r>
          </w:p>
        </w:tc>
      </w:tr>
      <w:tr w14:paraId="6A8DD1AF" w14:textId="77777777" w:rsidTr="002A0B9A">
        <w:tblPrEx>
          <w:tblW w:w="5040" w:type="dxa"/>
          <w:tblLayout w:type="fixed"/>
          <w:tblLook w:val="04A0"/>
        </w:tblPrEx>
        <w:trPr>
          <w:trHeight w:val="239"/>
        </w:trPr>
        <w:tc>
          <w:tcPr>
            <w:tcW w:w="5040" w:type="dxa"/>
          </w:tcPr>
          <w:p w:rsidR="00BF271A" w:rsidRPr="00302C5F" w:rsidP="002A0B9A" w14:paraId="61E6B3D5" w14:textId="77777777">
            <w:pPr>
              <w:pStyle w:val="TableBody"/>
              <w:rPr>
                <w:color w:val="000000" w:themeColor="text1"/>
                <w:u w:val="single"/>
              </w:rPr>
            </w:pPr>
            <w:r w:rsidRPr="00302C5F">
              <w:rPr>
                <w:rFonts w:eastAsia="Calibri"/>
              </w:rPr>
              <w:t>U.S. Navy</w:t>
            </w:r>
            <w:r>
              <w:rPr>
                <w:rFonts w:eastAsia="Calibri"/>
              </w:rPr>
              <w:t xml:space="preserve">: </w:t>
            </w:r>
            <w:r w:rsidRPr="00302C5F">
              <w:rPr>
                <w:rFonts w:eastAsia="Calibri"/>
              </w:rPr>
              <w:t>Active HQ</w:t>
            </w:r>
            <w:r>
              <w:rPr>
                <w:rFonts w:eastAsia="Calibri"/>
              </w:rPr>
              <w:t xml:space="preserve">; </w:t>
            </w:r>
            <w:r w:rsidRPr="00302C5F">
              <w:rPr>
                <w:rFonts w:eastAsia="Calibri"/>
              </w:rPr>
              <w:t>Reserve HQ</w:t>
            </w:r>
          </w:p>
        </w:tc>
      </w:tr>
      <w:tr w14:paraId="16CB6EDD" w14:textId="77777777" w:rsidTr="002A0B9A">
        <w:tblPrEx>
          <w:tblW w:w="5040" w:type="dxa"/>
          <w:tblLayout w:type="fixed"/>
          <w:tblLook w:val="04A0"/>
        </w:tblPrEx>
        <w:trPr>
          <w:trHeight w:val="257"/>
        </w:trPr>
        <w:tc>
          <w:tcPr>
            <w:tcW w:w="5040" w:type="dxa"/>
          </w:tcPr>
          <w:p w:rsidR="00BF271A" w:rsidRPr="00302C5F" w:rsidP="002A0B9A" w14:paraId="5DB22893" w14:textId="77777777">
            <w:pPr>
              <w:pStyle w:val="TableBody"/>
              <w:rPr>
                <w:color w:val="000000" w:themeColor="text1"/>
                <w:u w:val="single"/>
              </w:rPr>
            </w:pPr>
            <w:r w:rsidRPr="00302C5F">
              <w:rPr>
                <w:rFonts w:eastAsia="Calibri"/>
              </w:rPr>
              <w:t>U.S. Marine Corps</w:t>
            </w:r>
            <w:r>
              <w:rPr>
                <w:rFonts w:eastAsia="Calibri"/>
              </w:rPr>
              <w:t xml:space="preserve">: </w:t>
            </w:r>
            <w:r w:rsidRPr="00302C5F">
              <w:rPr>
                <w:rFonts w:eastAsia="Calibri"/>
              </w:rPr>
              <w:t>Active HQ</w:t>
            </w:r>
            <w:r>
              <w:rPr>
                <w:rFonts w:eastAsia="Calibri"/>
              </w:rPr>
              <w:t xml:space="preserve">; </w:t>
            </w:r>
            <w:r w:rsidRPr="00302C5F">
              <w:rPr>
                <w:rFonts w:eastAsia="Calibri"/>
              </w:rPr>
              <w:t>Reserve HQ</w:t>
            </w:r>
          </w:p>
        </w:tc>
      </w:tr>
      <w:tr w14:paraId="721FFA5A" w14:textId="77777777" w:rsidTr="002A0B9A">
        <w:tblPrEx>
          <w:tblW w:w="5040" w:type="dxa"/>
          <w:tblLayout w:type="fixed"/>
          <w:tblLook w:val="04A0"/>
        </w:tblPrEx>
        <w:trPr>
          <w:trHeight w:val="365"/>
        </w:trPr>
        <w:tc>
          <w:tcPr>
            <w:tcW w:w="5040" w:type="dxa"/>
          </w:tcPr>
          <w:p w:rsidR="00BF271A" w:rsidRPr="00302C5F" w:rsidP="002A0B9A" w14:paraId="1568D780" w14:textId="77777777">
            <w:pPr>
              <w:pStyle w:val="TableBody"/>
              <w:rPr>
                <w:rFonts w:eastAsia="Calibri"/>
              </w:rPr>
            </w:pPr>
            <w:r w:rsidRPr="00302C5F">
              <w:rPr>
                <w:rFonts w:eastAsia="Calibri"/>
              </w:rPr>
              <w:t>U.S. National Guard Bureau</w:t>
            </w:r>
          </w:p>
        </w:tc>
      </w:tr>
    </w:tbl>
    <w:p w:rsidR="00BF271A" w:rsidRPr="00302C5F" w:rsidP="00BF271A" w14:paraId="4FD43905" w14:textId="367D5738">
      <w:pPr>
        <w:pStyle w:val="TableNote"/>
      </w:pPr>
      <w:r w:rsidRPr="00302C5F">
        <w:t xml:space="preserve">*Contingent upon where the </w:t>
      </w:r>
      <w:r w:rsidR="007E7133">
        <w:t>IPPW</w:t>
      </w:r>
      <w:r w:rsidRPr="00302C5F" w:rsidR="007E7133">
        <w:t xml:space="preserve"> </w:t>
      </w:r>
      <w:r w:rsidRPr="00302C5F">
        <w:t>are placed (e.g., whether any are assigned to reserve installations)</w:t>
      </w:r>
    </w:p>
    <w:p w:rsidR="00BF271A" w:rsidP="00C07477" w14:paraId="28A4703D" w14:textId="4262D58A">
      <w:pPr>
        <w:spacing w:after="0" w:line="240" w:lineRule="auto"/>
        <w:rPr>
          <w:rFonts w:asciiTheme="majorHAnsi" w:hAnsiTheme="majorHAnsi"/>
          <w:iCs/>
          <w:sz w:val="24"/>
        </w:rPr>
      </w:pPr>
    </w:p>
    <w:p w:rsidR="00BF271A" w:rsidP="00C07477" w14:paraId="64A6D9FC" w14:textId="2A4161B0">
      <w:pPr>
        <w:spacing w:after="0" w:line="240" w:lineRule="auto"/>
        <w:rPr>
          <w:rFonts w:asciiTheme="majorHAnsi" w:hAnsiTheme="majorHAnsi"/>
          <w:iCs/>
          <w:sz w:val="24"/>
        </w:rPr>
      </w:pPr>
      <w:r w:rsidRPr="00BF271A">
        <w:rPr>
          <w:rFonts w:asciiTheme="majorHAnsi" w:hAnsiTheme="majorHAnsi"/>
          <w:iCs/>
          <w:sz w:val="24"/>
        </w:rPr>
        <w:t xml:space="preserve">It is also anticipated that we </w:t>
      </w:r>
      <w:r>
        <w:rPr>
          <w:rFonts w:asciiTheme="majorHAnsi" w:hAnsiTheme="majorHAnsi"/>
          <w:iCs/>
          <w:sz w:val="24"/>
        </w:rPr>
        <w:t>will</w:t>
      </w:r>
      <w:r w:rsidRPr="00BF271A">
        <w:rPr>
          <w:rFonts w:asciiTheme="majorHAnsi" w:hAnsiTheme="majorHAnsi"/>
          <w:iCs/>
          <w:sz w:val="24"/>
        </w:rPr>
        <w:t xml:space="preserve"> interview leaders at OSD Personnel and Readiness organizations with a role in recruiting or coordinating with the </w:t>
      </w:r>
      <w:r w:rsidR="00C16C0D">
        <w:rPr>
          <w:rFonts w:asciiTheme="majorHAnsi" w:hAnsiTheme="majorHAnsi"/>
          <w:iCs/>
          <w:sz w:val="24"/>
        </w:rPr>
        <w:t>IPP personnel</w:t>
      </w:r>
      <w:r w:rsidRPr="00BF271A" w:rsidR="00C16C0D">
        <w:rPr>
          <w:rFonts w:asciiTheme="majorHAnsi" w:hAnsiTheme="majorHAnsi"/>
          <w:iCs/>
          <w:sz w:val="24"/>
        </w:rPr>
        <w:t xml:space="preserve"> </w:t>
      </w:r>
      <w:r w:rsidRPr="00BF271A">
        <w:rPr>
          <w:rFonts w:asciiTheme="majorHAnsi" w:hAnsiTheme="majorHAnsi"/>
          <w:iCs/>
          <w:sz w:val="24"/>
        </w:rPr>
        <w:t>and monitoring outcomes of prevention activities, as well as members of the Prevention Collaboration Forum. In Years 4 and 6 we will follow up with the same personnel from Year 2, or different ones</w:t>
      </w:r>
      <w:r>
        <w:rPr>
          <w:rFonts w:asciiTheme="majorHAnsi" w:hAnsiTheme="majorHAnsi"/>
          <w:iCs/>
          <w:sz w:val="24"/>
        </w:rPr>
        <w:t xml:space="preserve"> </w:t>
      </w:r>
      <w:r w:rsidRPr="00BF271A">
        <w:rPr>
          <w:rFonts w:asciiTheme="majorHAnsi" w:hAnsiTheme="majorHAnsi"/>
          <w:iCs/>
          <w:sz w:val="24"/>
        </w:rPr>
        <w:t>if the personnel have changed positions or position responsibilities have changed.</w:t>
      </w:r>
    </w:p>
    <w:p w:rsidR="001D4C6B" w:rsidP="00C07477" w14:paraId="10B7874A" w14:textId="6BCDD655">
      <w:pPr>
        <w:spacing w:after="0" w:line="240" w:lineRule="auto"/>
        <w:rPr>
          <w:rFonts w:asciiTheme="majorHAnsi" w:hAnsiTheme="majorHAnsi"/>
          <w:iCs/>
          <w:sz w:val="24"/>
        </w:rPr>
      </w:pPr>
    </w:p>
    <w:p w:rsidR="001D4C6B" w:rsidP="00C07477" w14:paraId="52A45A69" w14:textId="45511F14">
      <w:pPr>
        <w:spacing w:after="0" w:line="240" w:lineRule="auto"/>
        <w:rPr>
          <w:rFonts w:asciiTheme="majorHAnsi" w:hAnsiTheme="majorHAnsi"/>
          <w:iCs/>
          <w:sz w:val="24"/>
        </w:rPr>
      </w:pPr>
      <w:r>
        <w:rPr>
          <w:rFonts w:asciiTheme="majorHAnsi" w:hAnsiTheme="majorHAnsi"/>
          <w:iCs/>
          <w:sz w:val="24"/>
        </w:rPr>
        <w:t xml:space="preserve">All </w:t>
      </w:r>
      <w:r w:rsidRPr="001D4C6B">
        <w:rPr>
          <w:rFonts w:asciiTheme="majorHAnsi" w:hAnsiTheme="majorHAnsi"/>
          <w:iCs/>
          <w:sz w:val="24"/>
        </w:rPr>
        <w:t>interviews will be conducted by Zoom.gov video calls.</w:t>
      </w:r>
      <w:r>
        <w:rPr>
          <w:rFonts w:asciiTheme="majorHAnsi" w:hAnsiTheme="majorHAnsi"/>
          <w:iCs/>
          <w:sz w:val="24"/>
        </w:rPr>
        <w:t xml:space="preserve"> RAND will take detailed notes. </w:t>
      </w:r>
      <w:r w:rsidRPr="001D4C6B">
        <w:rPr>
          <w:rFonts w:asciiTheme="majorHAnsi" w:hAnsiTheme="majorHAnsi"/>
          <w:iCs/>
          <w:sz w:val="24"/>
        </w:rPr>
        <w:t xml:space="preserve">After </w:t>
      </w:r>
      <w:r>
        <w:rPr>
          <w:rFonts w:asciiTheme="majorHAnsi" w:hAnsiTheme="majorHAnsi"/>
          <w:iCs/>
          <w:sz w:val="24"/>
        </w:rPr>
        <w:t xml:space="preserve">each </w:t>
      </w:r>
      <w:r w:rsidRPr="001D4C6B">
        <w:rPr>
          <w:rFonts w:asciiTheme="majorHAnsi" w:hAnsiTheme="majorHAnsi"/>
          <w:iCs/>
          <w:sz w:val="24"/>
        </w:rPr>
        <w:t>interview,</w:t>
      </w:r>
      <w:r>
        <w:rPr>
          <w:rFonts w:asciiTheme="majorHAnsi" w:hAnsiTheme="majorHAnsi"/>
          <w:iCs/>
          <w:sz w:val="24"/>
        </w:rPr>
        <w:t xml:space="preserve"> the resulting notes </w:t>
      </w:r>
      <w:r w:rsidRPr="001D4C6B">
        <w:rPr>
          <w:rFonts w:asciiTheme="majorHAnsi" w:hAnsiTheme="majorHAnsi"/>
          <w:iCs/>
          <w:sz w:val="24"/>
        </w:rPr>
        <w:t>will be de-identified via a link file and thus will not contain service member names or respondent names and contact information but will contain some demographic information that might support identification by inference for individuals in certain demographic subgroups (e.g., location, pay grade, gender, installation group combinations). These data will be stored on secure RAND servers for analysis.</w:t>
      </w:r>
      <w:r w:rsidRPr="001D4C6B">
        <w:t xml:space="preserve"> </w:t>
      </w:r>
      <w:r w:rsidRPr="001D4C6B">
        <w:rPr>
          <w:rFonts w:asciiTheme="majorHAnsi" w:hAnsiTheme="majorHAnsi"/>
          <w:iCs/>
          <w:sz w:val="24"/>
        </w:rPr>
        <w:t xml:space="preserve">The link file will be encrypted and stored in </w:t>
      </w:r>
      <w:r>
        <w:rPr>
          <w:rFonts w:asciiTheme="majorHAnsi" w:hAnsiTheme="majorHAnsi"/>
          <w:iCs/>
          <w:sz w:val="24"/>
        </w:rPr>
        <w:t>one of RAND’s “</w:t>
      </w:r>
      <w:r w:rsidRPr="001D4C6B">
        <w:rPr>
          <w:rFonts w:asciiTheme="majorHAnsi" w:hAnsiTheme="majorHAnsi"/>
          <w:iCs/>
          <w:sz w:val="24"/>
        </w:rPr>
        <w:t>cold room</w:t>
      </w:r>
      <w:r>
        <w:rPr>
          <w:rFonts w:asciiTheme="majorHAnsi" w:hAnsiTheme="majorHAnsi"/>
          <w:iCs/>
          <w:sz w:val="24"/>
        </w:rPr>
        <w:t>s” (</w:t>
      </w:r>
      <w:r w:rsidRPr="001D4C6B">
        <w:rPr>
          <w:rFonts w:asciiTheme="majorHAnsi" w:hAnsiTheme="majorHAnsi"/>
          <w:iCs/>
          <w:sz w:val="24"/>
        </w:rPr>
        <w:t xml:space="preserve">Cold Rooms house computers in an air-gapped environment, preventing unauthorized access to </w:t>
      </w:r>
      <w:r>
        <w:rPr>
          <w:rFonts w:asciiTheme="majorHAnsi" w:hAnsiTheme="majorHAnsi"/>
          <w:iCs/>
          <w:sz w:val="24"/>
        </w:rPr>
        <w:t>personally identifiable information</w:t>
      </w:r>
      <w:r w:rsidRPr="001D4C6B">
        <w:rPr>
          <w:rFonts w:asciiTheme="majorHAnsi" w:hAnsiTheme="majorHAnsi"/>
          <w:iCs/>
          <w:sz w:val="24"/>
        </w:rPr>
        <w:t xml:space="preserve"> data. Entry to Cold Rooms is limited and tracked to provide physical protection, and the data are password-protected with file and directory permissions. All Cold Room computers provide encryption software to further protect data from unauthorized access</w:t>
      </w:r>
      <w:r>
        <w:rPr>
          <w:rFonts w:asciiTheme="majorHAnsi" w:hAnsiTheme="majorHAnsi"/>
          <w:iCs/>
          <w:sz w:val="24"/>
        </w:rPr>
        <w:t>).</w:t>
      </w:r>
    </w:p>
    <w:p w:rsidR="00BF271A" w:rsidP="00C07477" w14:paraId="1EA5933F" w14:textId="7339804D">
      <w:pPr>
        <w:spacing w:after="0" w:line="240" w:lineRule="auto"/>
        <w:rPr>
          <w:rFonts w:asciiTheme="majorHAnsi" w:hAnsiTheme="majorHAnsi"/>
          <w:iCs/>
          <w:sz w:val="24"/>
        </w:rPr>
      </w:pPr>
    </w:p>
    <w:p w:rsidR="001D4C6B" w:rsidP="00C07477" w14:paraId="7FFBF797" w14:textId="3EA9CB48">
      <w:pPr>
        <w:spacing w:after="0" w:line="240" w:lineRule="auto"/>
        <w:rPr>
          <w:rFonts w:asciiTheme="majorHAnsi" w:hAnsiTheme="majorHAnsi"/>
          <w:iCs/>
          <w:sz w:val="24"/>
        </w:rPr>
      </w:pPr>
      <w:r>
        <w:rPr>
          <w:rFonts w:asciiTheme="majorHAnsi" w:hAnsiTheme="majorHAnsi"/>
          <w:iCs/>
          <w:sz w:val="24"/>
        </w:rPr>
        <w:t>The end result</w:t>
      </w:r>
      <w:r>
        <w:rPr>
          <w:rFonts w:asciiTheme="majorHAnsi" w:hAnsiTheme="majorHAnsi"/>
          <w:iCs/>
          <w:sz w:val="24"/>
        </w:rPr>
        <w:t xml:space="preserve"> of the </w:t>
      </w:r>
      <w:r w:rsidRPr="001D4C6B">
        <w:rPr>
          <w:rFonts w:asciiTheme="majorHAnsi" w:hAnsiTheme="majorHAnsi"/>
          <w:iCs/>
          <w:sz w:val="24"/>
        </w:rPr>
        <w:t xml:space="preserve">Leader and Supervisor Interviews </w:t>
      </w:r>
      <w:r>
        <w:rPr>
          <w:rFonts w:asciiTheme="majorHAnsi" w:hAnsiTheme="majorHAnsi"/>
          <w:iCs/>
          <w:sz w:val="24"/>
        </w:rPr>
        <w:t xml:space="preserve">is that RAND </w:t>
      </w:r>
      <w:r w:rsidRPr="001D4C6B">
        <w:rPr>
          <w:rFonts w:asciiTheme="majorHAnsi" w:hAnsiTheme="majorHAnsi"/>
          <w:iCs/>
          <w:sz w:val="24"/>
        </w:rPr>
        <w:t xml:space="preserve">will have an understanding of the </w:t>
      </w:r>
      <w:r>
        <w:rPr>
          <w:rFonts w:asciiTheme="majorHAnsi" w:hAnsiTheme="majorHAnsi"/>
          <w:iCs/>
          <w:sz w:val="24"/>
        </w:rPr>
        <w:t xml:space="preserve">barriers and facilitator that exist at each level of the hiring and deployment of </w:t>
      </w:r>
      <w:r w:rsidR="00163EEC">
        <w:rPr>
          <w:rFonts w:asciiTheme="majorHAnsi" w:hAnsiTheme="majorHAnsi"/>
          <w:iCs/>
          <w:sz w:val="24"/>
        </w:rPr>
        <w:t>IPP personnel</w:t>
      </w:r>
      <w:r>
        <w:rPr>
          <w:rFonts w:asciiTheme="majorHAnsi" w:hAnsiTheme="majorHAnsi"/>
          <w:iCs/>
          <w:sz w:val="24"/>
        </w:rPr>
        <w:t xml:space="preserve">. If </w:t>
      </w:r>
      <w:r w:rsidR="00163EEC">
        <w:rPr>
          <w:rFonts w:asciiTheme="majorHAnsi" w:hAnsiTheme="majorHAnsi"/>
          <w:iCs/>
          <w:sz w:val="24"/>
        </w:rPr>
        <w:t>IPP personnel</w:t>
      </w:r>
      <w:r>
        <w:rPr>
          <w:rFonts w:asciiTheme="majorHAnsi" w:hAnsiTheme="majorHAnsi"/>
          <w:iCs/>
          <w:sz w:val="24"/>
        </w:rPr>
        <w:t xml:space="preserve"> face a great deal of barriers, that could help to explain the outcomes achieved by the entire initiative. </w:t>
      </w:r>
    </w:p>
    <w:p w:rsidR="001D4C6B" w:rsidP="00C07477" w14:paraId="797F2DF4" w14:textId="77777777">
      <w:pPr>
        <w:spacing w:after="0" w:line="240" w:lineRule="auto"/>
        <w:rPr>
          <w:rFonts w:asciiTheme="majorHAnsi" w:hAnsiTheme="majorHAnsi"/>
          <w:iCs/>
          <w:sz w:val="24"/>
        </w:rPr>
      </w:pPr>
    </w:p>
    <w:p w:rsidR="00117325" w:rsidP="00C07477" w14:paraId="7EA4B4CD" w14:textId="04D116B4">
      <w:pPr>
        <w:spacing w:after="0" w:line="240" w:lineRule="auto"/>
        <w:rPr>
          <w:rFonts w:asciiTheme="majorHAnsi" w:hAnsiTheme="majorHAnsi"/>
          <w:iCs/>
          <w:sz w:val="24"/>
        </w:rPr>
      </w:pPr>
      <w:r w:rsidRPr="004E2720">
        <w:rPr>
          <w:rFonts w:asciiTheme="majorHAnsi" w:hAnsiTheme="majorHAnsi"/>
          <w:i/>
          <w:sz w:val="24"/>
        </w:rPr>
        <w:t>IPP PERSONNEL</w:t>
      </w:r>
      <w:r w:rsidRPr="00BF271A">
        <w:rPr>
          <w:rFonts w:asciiTheme="majorHAnsi" w:hAnsiTheme="majorHAnsi"/>
          <w:iCs/>
          <w:sz w:val="24"/>
        </w:rPr>
        <w:t xml:space="preserve"> </w:t>
      </w:r>
      <w:r w:rsidRPr="00117325" w:rsidR="001D4C6B">
        <w:rPr>
          <w:rFonts w:asciiTheme="majorHAnsi" w:hAnsiTheme="majorHAnsi"/>
          <w:i/>
          <w:sz w:val="24"/>
        </w:rPr>
        <w:t>SURVEY</w:t>
      </w:r>
      <w:r w:rsidRPr="00117325" w:rsidR="001D4C6B">
        <w:rPr>
          <w:rFonts w:asciiTheme="majorHAnsi" w:hAnsiTheme="majorHAnsi"/>
          <w:iCs/>
          <w:sz w:val="24"/>
        </w:rPr>
        <w:t>:</w:t>
      </w:r>
      <w:r w:rsidRPr="00117325">
        <w:rPr>
          <w:rFonts w:asciiTheme="majorHAnsi" w:hAnsiTheme="majorHAnsi"/>
          <w:iCs/>
          <w:sz w:val="24"/>
        </w:rPr>
        <w:t xml:space="preserve"> Online survey to assess competencies of </w:t>
      </w:r>
      <w:r>
        <w:rPr>
          <w:rFonts w:asciiTheme="majorHAnsi" w:hAnsiTheme="majorHAnsi"/>
          <w:iCs/>
          <w:sz w:val="24"/>
        </w:rPr>
        <w:t xml:space="preserve">all </w:t>
      </w:r>
      <w:r w:rsidR="00163EEC">
        <w:rPr>
          <w:rFonts w:asciiTheme="majorHAnsi" w:hAnsiTheme="majorHAnsi"/>
          <w:iCs/>
          <w:sz w:val="24"/>
        </w:rPr>
        <w:t>IPP personnel</w:t>
      </w:r>
      <w:r w:rsidRPr="00BF271A" w:rsidR="00163EEC">
        <w:rPr>
          <w:rFonts w:asciiTheme="majorHAnsi" w:hAnsiTheme="majorHAnsi"/>
          <w:iCs/>
          <w:sz w:val="24"/>
        </w:rPr>
        <w:t xml:space="preserve"> </w:t>
      </w:r>
      <w:r>
        <w:rPr>
          <w:rFonts w:asciiTheme="majorHAnsi" w:hAnsiTheme="majorHAnsi"/>
          <w:iCs/>
          <w:sz w:val="24"/>
        </w:rPr>
        <w:t xml:space="preserve">(~n=2500) </w:t>
      </w:r>
      <w:r w:rsidRPr="00117325">
        <w:rPr>
          <w:rFonts w:asciiTheme="majorHAnsi" w:hAnsiTheme="majorHAnsi"/>
          <w:iCs/>
          <w:sz w:val="24"/>
        </w:rPr>
        <w:t>across strategic, operational, and tactical levels and perceptions of whether a supportive climate for prevention exists</w:t>
      </w:r>
      <w:r>
        <w:rPr>
          <w:rFonts w:asciiTheme="majorHAnsi" w:hAnsiTheme="majorHAnsi"/>
          <w:iCs/>
          <w:sz w:val="24"/>
        </w:rPr>
        <w:t xml:space="preserve">. The </w:t>
      </w:r>
      <w:r w:rsidR="00163EEC">
        <w:rPr>
          <w:rFonts w:asciiTheme="majorHAnsi" w:hAnsiTheme="majorHAnsi"/>
          <w:iCs/>
          <w:sz w:val="24"/>
        </w:rPr>
        <w:t>IPP personnel</w:t>
      </w:r>
      <w:r>
        <w:rPr>
          <w:rFonts w:asciiTheme="majorHAnsi" w:hAnsiTheme="majorHAnsi"/>
          <w:iCs/>
          <w:sz w:val="24"/>
        </w:rPr>
        <w:t xml:space="preserve"> will be hired over the course of five years, according to the schedule in Table 1. </w:t>
      </w:r>
    </w:p>
    <w:p w:rsidR="00117325" w:rsidP="00C07477" w14:paraId="4A3BC127" w14:textId="77777777">
      <w:pPr>
        <w:spacing w:after="0" w:line="240" w:lineRule="auto"/>
        <w:rPr>
          <w:rFonts w:asciiTheme="majorHAnsi" w:hAnsiTheme="majorHAnsi"/>
          <w:iCs/>
          <w:sz w:val="24"/>
        </w:rPr>
      </w:pPr>
    </w:p>
    <w:p w:rsidR="00117325" w:rsidRPr="00302C5F" w:rsidP="00117325" w14:paraId="20C77CA6" w14:textId="5B7F8FF7">
      <w:pPr>
        <w:pStyle w:val="Heading9"/>
      </w:pPr>
      <w:bookmarkStart w:id="2" w:name="_Toc114584087"/>
      <w:r w:rsidRPr="00302C5F">
        <w:t xml:space="preserve">Table 1. Estimated unique number of new </w:t>
      </w:r>
      <w:r w:rsidR="00163EEC">
        <w:rPr>
          <w:iCs w:val="0"/>
          <w:sz w:val="24"/>
        </w:rPr>
        <w:t>IPP personnel</w:t>
      </w:r>
      <w:r w:rsidRPr="00BF271A" w:rsidR="00163EEC">
        <w:rPr>
          <w:sz w:val="24"/>
        </w:rPr>
        <w:t xml:space="preserve"> </w:t>
      </w:r>
      <w:r w:rsidRPr="00302C5F">
        <w:t>hires by FY</w:t>
      </w:r>
      <w:bookmarkEnd w:id="2"/>
    </w:p>
    <w:tbl>
      <w:tblPr>
        <w:tblW w:w="9360" w:type="dxa"/>
        <w:tblCellMar>
          <w:left w:w="0" w:type="dxa"/>
          <w:right w:w="0" w:type="dxa"/>
        </w:tblCellMar>
        <w:tblLook w:val="0420"/>
      </w:tblPr>
      <w:tblGrid>
        <w:gridCol w:w="1546"/>
        <w:gridCol w:w="1178"/>
        <w:gridCol w:w="1419"/>
        <w:gridCol w:w="1499"/>
        <w:gridCol w:w="1259"/>
        <w:gridCol w:w="1259"/>
        <w:gridCol w:w="1200"/>
      </w:tblGrid>
      <w:tr w14:paraId="3DD15EE9" w14:textId="305B4BD6" w:rsidTr="00D01DB6">
        <w:tblPrEx>
          <w:tblW w:w="9360" w:type="dxa"/>
          <w:tblCellMar>
            <w:left w:w="0" w:type="dxa"/>
            <w:right w:w="0" w:type="dxa"/>
          </w:tblCellMar>
          <w:tblLook w:val="0420"/>
        </w:tblPrEx>
        <w:trPr>
          <w:trHeight w:val="351"/>
        </w:trPr>
        <w:tc>
          <w:tcPr>
            <w:tcW w:w="1546"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2005BD14" w14:textId="77777777">
            <w:pPr>
              <w:pStyle w:val="TableColHeading"/>
            </w:pPr>
          </w:p>
        </w:tc>
        <w:tc>
          <w:tcPr>
            <w:tcW w:w="1178"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17337AC4" w14:textId="77777777">
            <w:pPr>
              <w:pStyle w:val="TableColHeading"/>
            </w:pPr>
            <w:r w:rsidRPr="00302C5F">
              <w:rPr>
                <w:bCs/>
              </w:rPr>
              <w:t>FY 22-23</w:t>
            </w:r>
          </w:p>
        </w:tc>
        <w:tc>
          <w:tcPr>
            <w:tcW w:w="1419"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2CF96428" w14:textId="77777777">
            <w:pPr>
              <w:pStyle w:val="TableColHeading"/>
            </w:pPr>
            <w:r w:rsidRPr="00302C5F">
              <w:rPr>
                <w:bCs/>
              </w:rPr>
              <w:t>FY24</w:t>
            </w:r>
          </w:p>
        </w:tc>
        <w:tc>
          <w:tcPr>
            <w:tcW w:w="1499"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768419C9" w14:textId="77777777">
            <w:pPr>
              <w:pStyle w:val="TableColHeading"/>
            </w:pPr>
            <w:r w:rsidRPr="00302C5F">
              <w:rPr>
                <w:bCs/>
              </w:rPr>
              <w:t>FY25</w:t>
            </w:r>
          </w:p>
        </w:tc>
        <w:tc>
          <w:tcPr>
            <w:tcW w:w="1259"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44DE2A42" w14:textId="77777777">
            <w:pPr>
              <w:pStyle w:val="TableColHeading"/>
            </w:pPr>
            <w:r w:rsidRPr="00302C5F">
              <w:rPr>
                <w:bCs/>
              </w:rPr>
              <w:t>FY26</w:t>
            </w:r>
          </w:p>
        </w:tc>
        <w:tc>
          <w:tcPr>
            <w:tcW w:w="1259" w:type="dxa"/>
            <w:tcBorders>
              <w:top w:val="single" w:sz="4" w:space="0" w:color="auto"/>
            </w:tcBorders>
            <w:shd w:val="clear" w:color="auto" w:fill="auto"/>
            <w:tcMar>
              <w:top w:w="17" w:type="dxa"/>
              <w:left w:w="17" w:type="dxa"/>
              <w:bottom w:w="0" w:type="dxa"/>
              <w:right w:w="17" w:type="dxa"/>
            </w:tcMar>
            <w:vAlign w:val="center"/>
            <w:hideMark/>
          </w:tcPr>
          <w:p w:rsidR="008E75CA" w:rsidRPr="00302C5F" w:rsidP="002A0B9A" w14:paraId="1A07F1BB" w14:textId="77777777">
            <w:pPr>
              <w:pStyle w:val="TableColHeading"/>
            </w:pPr>
            <w:r w:rsidRPr="00302C5F">
              <w:rPr>
                <w:bCs/>
              </w:rPr>
              <w:t>FY27</w:t>
            </w:r>
          </w:p>
        </w:tc>
        <w:tc>
          <w:tcPr>
            <w:tcW w:w="1200" w:type="dxa"/>
            <w:tcBorders>
              <w:top w:val="single" w:sz="4" w:space="0" w:color="auto"/>
            </w:tcBorders>
            <w:vAlign w:val="center"/>
          </w:tcPr>
          <w:p w:rsidR="008E75CA" w:rsidRPr="00302C5F" w:rsidP="00AB4D8F" w14:paraId="39791215" w14:textId="235B2F16">
            <w:pPr>
              <w:pStyle w:val="TableColHeading"/>
              <w:rPr>
                <w:bCs/>
              </w:rPr>
            </w:pPr>
            <w:r>
              <w:rPr>
                <w:bCs/>
              </w:rPr>
              <w:t>FY 28</w:t>
            </w:r>
          </w:p>
        </w:tc>
      </w:tr>
      <w:tr w14:paraId="675B3CDF" w14:textId="7D24065A" w:rsidTr="00D01DB6">
        <w:tblPrEx>
          <w:tblW w:w="9360" w:type="dxa"/>
          <w:tblCellMar>
            <w:left w:w="0" w:type="dxa"/>
            <w:right w:w="0" w:type="dxa"/>
          </w:tblCellMar>
          <w:tblLook w:val="0420"/>
        </w:tblPrEx>
        <w:trPr>
          <w:trHeight w:val="333"/>
        </w:trPr>
        <w:tc>
          <w:tcPr>
            <w:tcW w:w="1546"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2432F187" w14:textId="77777777">
            <w:pPr>
              <w:pStyle w:val="TableColHeading"/>
            </w:pPr>
            <w:r w:rsidRPr="00302C5F">
              <w:t>DoD component</w:t>
            </w:r>
          </w:p>
        </w:tc>
        <w:tc>
          <w:tcPr>
            <w:tcW w:w="1178"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51689C90" w14:textId="77777777">
            <w:pPr>
              <w:pStyle w:val="TableColHeading"/>
            </w:pPr>
            <w:r w:rsidRPr="00302C5F">
              <w:t>Study Y1</w:t>
            </w:r>
          </w:p>
        </w:tc>
        <w:tc>
          <w:tcPr>
            <w:tcW w:w="1419"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354B15F5" w14:textId="77777777">
            <w:pPr>
              <w:pStyle w:val="TableColHeading"/>
            </w:pPr>
            <w:r w:rsidRPr="00302C5F">
              <w:t>Study Y2</w:t>
            </w:r>
          </w:p>
        </w:tc>
        <w:tc>
          <w:tcPr>
            <w:tcW w:w="1499"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1C962316" w14:textId="77777777">
            <w:pPr>
              <w:pStyle w:val="TableColHeading"/>
            </w:pPr>
            <w:r w:rsidRPr="00302C5F">
              <w:t>Study Y3</w:t>
            </w:r>
          </w:p>
        </w:tc>
        <w:tc>
          <w:tcPr>
            <w:tcW w:w="1259"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46CCB69E" w14:textId="77777777">
            <w:pPr>
              <w:pStyle w:val="TableColHeading"/>
            </w:pPr>
            <w:r w:rsidRPr="00302C5F">
              <w:t>Study Y4</w:t>
            </w:r>
          </w:p>
        </w:tc>
        <w:tc>
          <w:tcPr>
            <w:tcW w:w="1259" w:type="dxa"/>
            <w:tcBorders>
              <w:bottom w:val="single" w:sz="4" w:space="0" w:color="auto"/>
            </w:tcBorders>
            <w:shd w:val="clear" w:color="auto" w:fill="auto"/>
            <w:tcMar>
              <w:top w:w="17" w:type="dxa"/>
              <w:left w:w="17" w:type="dxa"/>
              <w:bottom w:w="0" w:type="dxa"/>
              <w:right w:w="17" w:type="dxa"/>
            </w:tcMar>
            <w:vAlign w:val="center"/>
            <w:hideMark/>
          </w:tcPr>
          <w:p w:rsidR="008E75CA" w:rsidRPr="00302C5F" w:rsidP="008E75CA" w14:paraId="3686AB02" w14:textId="77777777">
            <w:pPr>
              <w:pStyle w:val="TableColHeading"/>
            </w:pPr>
            <w:r w:rsidRPr="00302C5F">
              <w:t>Study Y5</w:t>
            </w:r>
          </w:p>
        </w:tc>
        <w:tc>
          <w:tcPr>
            <w:tcW w:w="1200" w:type="dxa"/>
            <w:tcBorders>
              <w:bottom w:val="single" w:sz="4" w:space="0" w:color="auto"/>
            </w:tcBorders>
            <w:vAlign w:val="center"/>
          </w:tcPr>
          <w:p w:rsidR="008E75CA" w:rsidRPr="00302C5F" w:rsidP="008E75CA" w14:paraId="6A14AB6B" w14:textId="08B6F334">
            <w:pPr>
              <w:pStyle w:val="TableColHeading"/>
            </w:pPr>
            <w:r w:rsidRPr="00302C5F">
              <w:t>Study Y</w:t>
            </w:r>
            <w:r w:rsidR="00380538">
              <w:t>6</w:t>
            </w:r>
          </w:p>
        </w:tc>
      </w:tr>
      <w:tr w14:paraId="7D4A4638" w14:textId="254D474C" w:rsidTr="00D01DB6">
        <w:tblPrEx>
          <w:tblW w:w="9360" w:type="dxa"/>
          <w:tblCellMar>
            <w:left w:w="0" w:type="dxa"/>
            <w:right w:w="0" w:type="dxa"/>
          </w:tblCellMar>
          <w:tblLook w:val="0420"/>
        </w:tblPrEx>
        <w:trPr>
          <w:trHeight w:val="333"/>
        </w:trPr>
        <w:tc>
          <w:tcPr>
            <w:tcW w:w="1546" w:type="dxa"/>
            <w:tcBorders>
              <w:top w:val="single" w:sz="4" w:space="0" w:color="auto"/>
            </w:tcBorders>
            <w:shd w:val="clear" w:color="auto" w:fill="auto"/>
            <w:tcMar>
              <w:top w:w="17" w:type="dxa"/>
              <w:left w:w="17" w:type="dxa"/>
              <w:bottom w:w="0" w:type="dxa"/>
              <w:right w:w="17" w:type="dxa"/>
            </w:tcMar>
            <w:vAlign w:val="center"/>
            <w:hideMark/>
          </w:tcPr>
          <w:p w:rsidR="00380538" w:rsidRPr="00302C5F" w:rsidP="00380538" w14:paraId="323B2C5A" w14:textId="77777777">
            <w:pPr>
              <w:pStyle w:val="TableBody"/>
            </w:pPr>
            <w:r w:rsidRPr="00302C5F">
              <w:t>Army</w:t>
            </w:r>
          </w:p>
        </w:tc>
        <w:tc>
          <w:tcPr>
            <w:tcW w:w="1178" w:type="dxa"/>
            <w:tcBorders>
              <w:top w:val="single" w:sz="4" w:space="0" w:color="auto"/>
            </w:tcBorders>
            <w:shd w:val="clear" w:color="auto" w:fill="auto"/>
            <w:tcMar>
              <w:top w:w="17" w:type="dxa"/>
              <w:left w:w="17" w:type="dxa"/>
              <w:bottom w:w="0" w:type="dxa"/>
              <w:right w:w="17" w:type="dxa"/>
            </w:tcMar>
            <w:vAlign w:val="bottom"/>
            <w:hideMark/>
          </w:tcPr>
          <w:p w:rsidR="00380538" w:rsidRPr="00302C5F" w:rsidP="00380538" w14:paraId="23213D68" w14:textId="77777777">
            <w:pPr>
              <w:pStyle w:val="TableBody"/>
              <w:jc w:val="center"/>
            </w:pPr>
            <w:r w:rsidRPr="00302C5F">
              <w:t>338</w:t>
            </w:r>
          </w:p>
        </w:tc>
        <w:tc>
          <w:tcPr>
            <w:tcW w:w="1419" w:type="dxa"/>
            <w:tcBorders>
              <w:top w:val="single" w:sz="4" w:space="0" w:color="auto"/>
            </w:tcBorders>
            <w:shd w:val="clear" w:color="auto" w:fill="auto"/>
            <w:tcMar>
              <w:top w:w="17" w:type="dxa"/>
              <w:left w:w="17" w:type="dxa"/>
              <w:bottom w:w="0" w:type="dxa"/>
              <w:right w:w="17" w:type="dxa"/>
            </w:tcMar>
            <w:vAlign w:val="bottom"/>
            <w:hideMark/>
          </w:tcPr>
          <w:p w:rsidR="00380538" w:rsidRPr="00302C5F" w:rsidP="00380538" w14:paraId="4D3D87E9" w14:textId="77777777">
            <w:pPr>
              <w:pStyle w:val="TableBody"/>
              <w:jc w:val="center"/>
            </w:pPr>
            <w:r w:rsidRPr="00302C5F">
              <w:t>120</w:t>
            </w:r>
          </w:p>
        </w:tc>
        <w:tc>
          <w:tcPr>
            <w:tcW w:w="1499" w:type="dxa"/>
            <w:tcBorders>
              <w:top w:val="single" w:sz="4" w:space="0" w:color="auto"/>
            </w:tcBorders>
            <w:shd w:val="clear" w:color="auto" w:fill="auto"/>
            <w:tcMar>
              <w:top w:w="17" w:type="dxa"/>
              <w:left w:w="17" w:type="dxa"/>
              <w:bottom w:w="0" w:type="dxa"/>
              <w:right w:w="17" w:type="dxa"/>
            </w:tcMar>
            <w:vAlign w:val="bottom"/>
            <w:hideMark/>
          </w:tcPr>
          <w:p w:rsidR="00380538" w:rsidRPr="00302C5F" w:rsidP="00380538" w14:paraId="4C93DA46" w14:textId="77777777">
            <w:pPr>
              <w:pStyle w:val="TableBody"/>
              <w:jc w:val="center"/>
            </w:pPr>
            <w:r w:rsidRPr="00302C5F">
              <w:t>214</w:t>
            </w:r>
          </w:p>
        </w:tc>
        <w:tc>
          <w:tcPr>
            <w:tcW w:w="1259" w:type="dxa"/>
            <w:tcBorders>
              <w:top w:val="single" w:sz="4" w:space="0" w:color="auto"/>
            </w:tcBorders>
            <w:shd w:val="clear" w:color="auto" w:fill="auto"/>
            <w:tcMar>
              <w:top w:w="17" w:type="dxa"/>
              <w:left w:w="17" w:type="dxa"/>
              <w:bottom w:w="0" w:type="dxa"/>
              <w:right w:w="17" w:type="dxa"/>
            </w:tcMar>
            <w:vAlign w:val="bottom"/>
            <w:hideMark/>
          </w:tcPr>
          <w:p w:rsidR="00380538" w:rsidRPr="00302C5F" w:rsidP="00380538" w14:paraId="5F298718" w14:textId="77777777">
            <w:pPr>
              <w:pStyle w:val="TableBody"/>
              <w:jc w:val="center"/>
            </w:pPr>
            <w:r w:rsidRPr="00302C5F">
              <w:t>214</w:t>
            </w:r>
          </w:p>
        </w:tc>
        <w:tc>
          <w:tcPr>
            <w:tcW w:w="1259" w:type="dxa"/>
            <w:tcBorders>
              <w:top w:val="single" w:sz="4" w:space="0" w:color="auto"/>
            </w:tcBorders>
            <w:shd w:val="clear" w:color="auto" w:fill="auto"/>
            <w:tcMar>
              <w:top w:w="17" w:type="dxa"/>
              <w:left w:w="17" w:type="dxa"/>
              <w:bottom w:w="0" w:type="dxa"/>
              <w:right w:w="17" w:type="dxa"/>
            </w:tcMar>
            <w:vAlign w:val="bottom"/>
            <w:hideMark/>
          </w:tcPr>
          <w:p w:rsidR="00380538" w:rsidRPr="00302C5F" w:rsidP="00380538" w14:paraId="5730917D" w14:textId="77777777">
            <w:pPr>
              <w:pStyle w:val="TableBody"/>
              <w:jc w:val="center"/>
            </w:pPr>
            <w:r w:rsidRPr="00302C5F">
              <w:t>94</w:t>
            </w:r>
          </w:p>
        </w:tc>
        <w:tc>
          <w:tcPr>
            <w:tcW w:w="1200" w:type="dxa"/>
            <w:tcBorders>
              <w:top w:val="single" w:sz="4" w:space="0" w:color="auto"/>
            </w:tcBorders>
            <w:vAlign w:val="bottom"/>
          </w:tcPr>
          <w:p w:rsidR="00380538" w:rsidRPr="00302C5F" w:rsidP="00380538" w14:paraId="20B4E276" w14:textId="2DCBBBB8">
            <w:pPr>
              <w:pStyle w:val="TableBody"/>
              <w:jc w:val="center"/>
            </w:pPr>
            <w:r w:rsidRPr="00302C5F">
              <w:t>--</w:t>
            </w:r>
          </w:p>
        </w:tc>
      </w:tr>
      <w:tr w14:paraId="3E1E7AE0" w14:textId="3AF6670B" w:rsidTr="00D01DB6">
        <w:tblPrEx>
          <w:tblW w:w="9360" w:type="dxa"/>
          <w:tblCellMar>
            <w:left w:w="0" w:type="dxa"/>
            <w:right w:w="0" w:type="dxa"/>
          </w:tblCellMar>
          <w:tblLook w:val="0420"/>
        </w:tblPrEx>
        <w:trPr>
          <w:trHeight w:val="342"/>
        </w:trPr>
        <w:tc>
          <w:tcPr>
            <w:tcW w:w="1546" w:type="dxa"/>
            <w:shd w:val="clear" w:color="auto" w:fill="auto"/>
            <w:tcMar>
              <w:top w:w="17" w:type="dxa"/>
              <w:left w:w="17" w:type="dxa"/>
              <w:bottom w:w="0" w:type="dxa"/>
              <w:right w:w="17" w:type="dxa"/>
            </w:tcMar>
            <w:vAlign w:val="center"/>
            <w:hideMark/>
          </w:tcPr>
          <w:p w:rsidR="00380538" w:rsidRPr="00302C5F" w:rsidP="00380538" w14:paraId="2574BC12" w14:textId="77777777">
            <w:pPr>
              <w:pStyle w:val="TableBody"/>
            </w:pPr>
            <w:r w:rsidRPr="00302C5F">
              <w:t>Navy</w:t>
            </w:r>
          </w:p>
        </w:tc>
        <w:tc>
          <w:tcPr>
            <w:tcW w:w="1178" w:type="dxa"/>
            <w:shd w:val="clear" w:color="auto" w:fill="auto"/>
            <w:tcMar>
              <w:top w:w="17" w:type="dxa"/>
              <w:left w:w="17" w:type="dxa"/>
              <w:bottom w:w="0" w:type="dxa"/>
              <w:right w:w="17" w:type="dxa"/>
            </w:tcMar>
            <w:vAlign w:val="bottom"/>
            <w:hideMark/>
          </w:tcPr>
          <w:p w:rsidR="00380538" w:rsidRPr="00302C5F" w:rsidP="00380538" w14:paraId="0A5FBD68" w14:textId="77777777">
            <w:pPr>
              <w:pStyle w:val="TableBody"/>
              <w:jc w:val="center"/>
            </w:pPr>
            <w:r w:rsidRPr="00302C5F">
              <w:t>88</w:t>
            </w:r>
          </w:p>
        </w:tc>
        <w:tc>
          <w:tcPr>
            <w:tcW w:w="1419" w:type="dxa"/>
            <w:shd w:val="clear" w:color="auto" w:fill="auto"/>
            <w:tcMar>
              <w:top w:w="17" w:type="dxa"/>
              <w:left w:w="17" w:type="dxa"/>
              <w:bottom w:w="0" w:type="dxa"/>
              <w:right w:w="17" w:type="dxa"/>
            </w:tcMar>
            <w:vAlign w:val="bottom"/>
            <w:hideMark/>
          </w:tcPr>
          <w:p w:rsidR="00380538" w:rsidRPr="00302C5F" w:rsidP="00380538" w14:paraId="15F20178" w14:textId="77777777">
            <w:pPr>
              <w:pStyle w:val="TableBody"/>
              <w:jc w:val="center"/>
            </w:pPr>
            <w:r w:rsidRPr="00302C5F">
              <w:t>11</w:t>
            </w:r>
          </w:p>
        </w:tc>
        <w:tc>
          <w:tcPr>
            <w:tcW w:w="1499" w:type="dxa"/>
            <w:shd w:val="clear" w:color="auto" w:fill="auto"/>
            <w:tcMar>
              <w:top w:w="17" w:type="dxa"/>
              <w:left w:w="17" w:type="dxa"/>
              <w:bottom w:w="0" w:type="dxa"/>
              <w:right w:w="17" w:type="dxa"/>
            </w:tcMar>
            <w:vAlign w:val="bottom"/>
            <w:hideMark/>
          </w:tcPr>
          <w:p w:rsidR="00380538" w:rsidRPr="00302C5F" w:rsidP="00380538" w14:paraId="002F2566" w14:textId="77777777">
            <w:pPr>
              <w:pStyle w:val="TableBody"/>
              <w:jc w:val="center"/>
            </w:pPr>
            <w:r w:rsidRPr="00302C5F">
              <w:t>29</w:t>
            </w:r>
          </w:p>
        </w:tc>
        <w:tc>
          <w:tcPr>
            <w:tcW w:w="1259" w:type="dxa"/>
            <w:shd w:val="clear" w:color="auto" w:fill="auto"/>
            <w:tcMar>
              <w:top w:w="17" w:type="dxa"/>
              <w:left w:w="17" w:type="dxa"/>
              <w:bottom w:w="0" w:type="dxa"/>
              <w:right w:w="17" w:type="dxa"/>
            </w:tcMar>
            <w:vAlign w:val="bottom"/>
            <w:hideMark/>
          </w:tcPr>
          <w:p w:rsidR="00380538" w:rsidRPr="00302C5F" w:rsidP="00380538" w14:paraId="2BBA7480"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2B14200E" w14:textId="77777777">
            <w:pPr>
              <w:pStyle w:val="TableBody"/>
              <w:jc w:val="center"/>
            </w:pPr>
            <w:r w:rsidRPr="00302C5F">
              <w:t>--</w:t>
            </w:r>
          </w:p>
        </w:tc>
        <w:tc>
          <w:tcPr>
            <w:tcW w:w="1200" w:type="dxa"/>
            <w:vAlign w:val="bottom"/>
          </w:tcPr>
          <w:p w:rsidR="00380538" w:rsidRPr="00302C5F" w:rsidP="00380538" w14:paraId="19DBF182" w14:textId="7BED5C34">
            <w:pPr>
              <w:pStyle w:val="TableBody"/>
              <w:jc w:val="center"/>
            </w:pPr>
            <w:r w:rsidRPr="00302C5F">
              <w:t>--</w:t>
            </w:r>
          </w:p>
        </w:tc>
      </w:tr>
      <w:tr w14:paraId="321401D4" w14:textId="62D9E3D3" w:rsidTr="00D01DB6">
        <w:tblPrEx>
          <w:tblW w:w="9360" w:type="dxa"/>
          <w:tblCellMar>
            <w:left w:w="0" w:type="dxa"/>
            <w:right w:w="0" w:type="dxa"/>
          </w:tblCellMar>
          <w:tblLook w:val="0420"/>
        </w:tblPrEx>
        <w:trPr>
          <w:trHeight w:val="414"/>
        </w:trPr>
        <w:tc>
          <w:tcPr>
            <w:tcW w:w="1546" w:type="dxa"/>
            <w:shd w:val="clear" w:color="auto" w:fill="auto"/>
            <w:tcMar>
              <w:top w:w="17" w:type="dxa"/>
              <w:left w:w="17" w:type="dxa"/>
              <w:bottom w:w="0" w:type="dxa"/>
              <w:right w:w="17" w:type="dxa"/>
            </w:tcMar>
            <w:vAlign w:val="center"/>
            <w:hideMark/>
          </w:tcPr>
          <w:p w:rsidR="00380538" w:rsidRPr="00302C5F" w:rsidP="00380538" w14:paraId="325CA949" w14:textId="77777777">
            <w:pPr>
              <w:pStyle w:val="TableBody"/>
            </w:pPr>
            <w:r w:rsidRPr="00302C5F">
              <w:t>Marine Corps</w:t>
            </w:r>
          </w:p>
        </w:tc>
        <w:tc>
          <w:tcPr>
            <w:tcW w:w="1178" w:type="dxa"/>
            <w:shd w:val="clear" w:color="auto" w:fill="auto"/>
            <w:tcMar>
              <w:top w:w="17" w:type="dxa"/>
              <w:left w:w="17" w:type="dxa"/>
              <w:bottom w:w="0" w:type="dxa"/>
              <w:right w:w="17" w:type="dxa"/>
            </w:tcMar>
            <w:vAlign w:val="bottom"/>
            <w:hideMark/>
          </w:tcPr>
          <w:p w:rsidR="00380538" w:rsidRPr="00302C5F" w:rsidP="00380538" w14:paraId="27D71B0E" w14:textId="77777777">
            <w:pPr>
              <w:pStyle w:val="TableBody"/>
              <w:jc w:val="center"/>
            </w:pPr>
            <w:r w:rsidRPr="00302C5F">
              <w:t>31</w:t>
            </w:r>
          </w:p>
        </w:tc>
        <w:tc>
          <w:tcPr>
            <w:tcW w:w="1419" w:type="dxa"/>
            <w:shd w:val="clear" w:color="auto" w:fill="auto"/>
            <w:tcMar>
              <w:top w:w="17" w:type="dxa"/>
              <w:left w:w="17" w:type="dxa"/>
              <w:bottom w:w="0" w:type="dxa"/>
              <w:right w:w="17" w:type="dxa"/>
            </w:tcMar>
            <w:vAlign w:val="bottom"/>
            <w:hideMark/>
          </w:tcPr>
          <w:p w:rsidR="00380538" w:rsidRPr="00302C5F" w:rsidP="00380538" w14:paraId="0235B125" w14:textId="77777777">
            <w:pPr>
              <w:pStyle w:val="TableBody"/>
              <w:jc w:val="center"/>
            </w:pPr>
            <w:r w:rsidRPr="00302C5F">
              <w:t>12</w:t>
            </w:r>
          </w:p>
        </w:tc>
        <w:tc>
          <w:tcPr>
            <w:tcW w:w="1499" w:type="dxa"/>
            <w:shd w:val="clear" w:color="auto" w:fill="auto"/>
            <w:tcMar>
              <w:top w:w="17" w:type="dxa"/>
              <w:left w:w="17" w:type="dxa"/>
              <w:bottom w:w="0" w:type="dxa"/>
              <w:right w:w="17" w:type="dxa"/>
            </w:tcMar>
            <w:vAlign w:val="bottom"/>
            <w:hideMark/>
          </w:tcPr>
          <w:p w:rsidR="00380538" w:rsidRPr="00302C5F" w:rsidP="00380538" w14:paraId="60D98FBD"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156C2174"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704C16CF" w14:textId="77777777">
            <w:pPr>
              <w:pStyle w:val="TableBody"/>
              <w:jc w:val="center"/>
            </w:pPr>
            <w:r w:rsidRPr="00302C5F">
              <w:t>--</w:t>
            </w:r>
          </w:p>
        </w:tc>
        <w:tc>
          <w:tcPr>
            <w:tcW w:w="1200" w:type="dxa"/>
            <w:vAlign w:val="bottom"/>
          </w:tcPr>
          <w:p w:rsidR="00380538" w:rsidRPr="00302C5F" w:rsidP="00380538" w14:paraId="5C06013F" w14:textId="5BF73957">
            <w:pPr>
              <w:pStyle w:val="TableBody"/>
              <w:jc w:val="center"/>
            </w:pPr>
            <w:r w:rsidRPr="00302C5F">
              <w:t>--</w:t>
            </w:r>
          </w:p>
        </w:tc>
      </w:tr>
      <w:tr w14:paraId="264DDEFC" w14:textId="1FE59945" w:rsidTr="00D01DB6">
        <w:tblPrEx>
          <w:tblW w:w="9360" w:type="dxa"/>
          <w:tblCellMar>
            <w:left w:w="0" w:type="dxa"/>
            <w:right w:w="0" w:type="dxa"/>
          </w:tblCellMar>
          <w:tblLook w:val="0420"/>
        </w:tblPrEx>
        <w:trPr>
          <w:trHeight w:val="432"/>
        </w:trPr>
        <w:tc>
          <w:tcPr>
            <w:tcW w:w="1546" w:type="dxa"/>
            <w:shd w:val="clear" w:color="auto" w:fill="auto"/>
            <w:tcMar>
              <w:top w:w="17" w:type="dxa"/>
              <w:left w:w="17" w:type="dxa"/>
              <w:bottom w:w="0" w:type="dxa"/>
              <w:right w:w="17" w:type="dxa"/>
            </w:tcMar>
            <w:vAlign w:val="center"/>
            <w:hideMark/>
          </w:tcPr>
          <w:p w:rsidR="00380538" w:rsidRPr="00302C5F" w:rsidP="00380538" w14:paraId="4496FAF5" w14:textId="77777777">
            <w:pPr>
              <w:pStyle w:val="TableBody"/>
            </w:pPr>
            <w:r w:rsidRPr="00302C5F">
              <w:t>Air/Space Force</w:t>
            </w:r>
          </w:p>
        </w:tc>
        <w:tc>
          <w:tcPr>
            <w:tcW w:w="1178" w:type="dxa"/>
            <w:shd w:val="clear" w:color="auto" w:fill="auto"/>
            <w:tcMar>
              <w:top w:w="17" w:type="dxa"/>
              <w:left w:w="17" w:type="dxa"/>
              <w:bottom w:w="0" w:type="dxa"/>
              <w:right w:w="17" w:type="dxa"/>
            </w:tcMar>
            <w:vAlign w:val="bottom"/>
            <w:hideMark/>
          </w:tcPr>
          <w:p w:rsidR="00380538" w:rsidRPr="00302C5F" w:rsidP="00380538" w14:paraId="6F2653C8" w14:textId="77777777">
            <w:pPr>
              <w:pStyle w:val="TableBody"/>
              <w:jc w:val="center"/>
            </w:pPr>
            <w:r w:rsidRPr="00302C5F">
              <w:t>227</w:t>
            </w:r>
          </w:p>
        </w:tc>
        <w:tc>
          <w:tcPr>
            <w:tcW w:w="1419" w:type="dxa"/>
            <w:shd w:val="clear" w:color="auto" w:fill="auto"/>
            <w:tcMar>
              <w:top w:w="17" w:type="dxa"/>
              <w:left w:w="17" w:type="dxa"/>
              <w:bottom w:w="0" w:type="dxa"/>
              <w:right w:w="17" w:type="dxa"/>
            </w:tcMar>
            <w:vAlign w:val="bottom"/>
            <w:hideMark/>
          </w:tcPr>
          <w:p w:rsidR="00380538" w:rsidRPr="00302C5F" w:rsidP="00380538" w14:paraId="2C690423" w14:textId="77777777">
            <w:pPr>
              <w:pStyle w:val="TableBody"/>
              <w:jc w:val="center"/>
            </w:pPr>
            <w:r w:rsidRPr="00302C5F">
              <w:t>91</w:t>
            </w:r>
          </w:p>
        </w:tc>
        <w:tc>
          <w:tcPr>
            <w:tcW w:w="1499" w:type="dxa"/>
            <w:shd w:val="clear" w:color="auto" w:fill="auto"/>
            <w:tcMar>
              <w:top w:w="17" w:type="dxa"/>
              <w:left w:w="17" w:type="dxa"/>
              <w:bottom w:w="0" w:type="dxa"/>
              <w:right w:w="17" w:type="dxa"/>
            </w:tcMar>
            <w:vAlign w:val="bottom"/>
            <w:hideMark/>
          </w:tcPr>
          <w:p w:rsidR="00380538" w:rsidRPr="00302C5F" w:rsidP="00380538" w14:paraId="53D07C85" w14:textId="77777777">
            <w:pPr>
              <w:pStyle w:val="TableBody"/>
              <w:jc w:val="center"/>
            </w:pPr>
            <w:r w:rsidRPr="00302C5F">
              <w:t>88</w:t>
            </w:r>
          </w:p>
        </w:tc>
        <w:tc>
          <w:tcPr>
            <w:tcW w:w="1259" w:type="dxa"/>
            <w:shd w:val="clear" w:color="auto" w:fill="auto"/>
            <w:tcMar>
              <w:top w:w="17" w:type="dxa"/>
              <w:left w:w="17" w:type="dxa"/>
              <w:bottom w:w="0" w:type="dxa"/>
              <w:right w:w="17" w:type="dxa"/>
            </w:tcMar>
            <w:vAlign w:val="bottom"/>
            <w:hideMark/>
          </w:tcPr>
          <w:p w:rsidR="00380538" w:rsidRPr="00302C5F" w:rsidP="00380538" w14:paraId="0045D0F0" w14:textId="77777777">
            <w:pPr>
              <w:pStyle w:val="TableBody"/>
              <w:jc w:val="center"/>
            </w:pPr>
            <w:r w:rsidRPr="00302C5F">
              <w:t>11</w:t>
            </w:r>
          </w:p>
        </w:tc>
        <w:tc>
          <w:tcPr>
            <w:tcW w:w="1259" w:type="dxa"/>
            <w:shd w:val="clear" w:color="auto" w:fill="auto"/>
            <w:tcMar>
              <w:top w:w="17" w:type="dxa"/>
              <w:left w:w="17" w:type="dxa"/>
              <w:bottom w:w="0" w:type="dxa"/>
              <w:right w:w="17" w:type="dxa"/>
            </w:tcMar>
            <w:vAlign w:val="bottom"/>
            <w:hideMark/>
          </w:tcPr>
          <w:p w:rsidR="00380538" w:rsidRPr="00302C5F" w:rsidP="00380538" w14:paraId="116D39C4" w14:textId="77777777">
            <w:pPr>
              <w:pStyle w:val="TableBody"/>
              <w:jc w:val="center"/>
            </w:pPr>
            <w:r w:rsidRPr="00302C5F">
              <w:t>--</w:t>
            </w:r>
          </w:p>
        </w:tc>
        <w:tc>
          <w:tcPr>
            <w:tcW w:w="1200" w:type="dxa"/>
            <w:vAlign w:val="bottom"/>
          </w:tcPr>
          <w:p w:rsidR="00380538" w:rsidRPr="00302C5F" w:rsidP="00380538" w14:paraId="4635A8C2" w14:textId="17C8ED64">
            <w:pPr>
              <w:pStyle w:val="TableBody"/>
              <w:jc w:val="center"/>
            </w:pPr>
            <w:r w:rsidRPr="00302C5F">
              <w:t>--</w:t>
            </w:r>
          </w:p>
        </w:tc>
      </w:tr>
      <w:tr w14:paraId="66DFD21B" w14:textId="33197A42" w:rsidTr="00D01DB6">
        <w:tblPrEx>
          <w:tblW w:w="9360" w:type="dxa"/>
          <w:tblCellMar>
            <w:left w:w="0" w:type="dxa"/>
            <w:right w:w="0" w:type="dxa"/>
          </w:tblCellMar>
          <w:tblLook w:val="0420"/>
        </w:tblPrEx>
        <w:trPr>
          <w:trHeight w:val="414"/>
        </w:trPr>
        <w:tc>
          <w:tcPr>
            <w:tcW w:w="1546" w:type="dxa"/>
            <w:shd w:val="clear" w:color="auto" w:fill="auto"/>
            <w:tcMar>
              <w:top w:w="17" w:type="dxa"/>
              <w:left w:w="17" w:type="dxa"/>
              <w:bottom w:w="0" w:type="dxa"/>
              <w:right w:w="17" w:type="dxa"/>
            </w:tcMar>
            <w:vAlign w:val="center"/>
            <w:hideMark/>
          </w:tcPr>
          <w:p w:rsidR="00380538" w:rsidRPr="00302C5F" w:rsidP="00380538" w14:paraId="14703608" w14:textId="77777777">
            <w:pPr>
              <w:pStyle w:val="TableBody"/>
            </w:pPr>
            <w:r w:rsidRPr="00302C5F">
              <w:t>ARNG</w:t>
            </w:r>
          </w:p>
        </w:tc>
        <w:tc>
          <w:tcPr>
            <w:tcW w:w="1178" w:type="dxa"/>
            <w:shd w:val="clear" w:color="auto" w:fill="auto"/>
            <w:tcMar>
              <w:top w:w="17" w:type="dxa"/>
              <w:left w:w="17" w:type="dxa"/>
              <w:bottom w:w="0" w:type="dxa"/>
              <w:right w:w="17" w:type="dxa"/>
            </w:tcMar>
            <w:vAlign w:val="bottom"/>
            <w:hideMark/>
          </w:tcPr>
          <w:p w:rsidR="00380538" w:rsidRPr="00302C5F" w:rsidP="00380538" w14:paraId="2FD59DB6" w14:textId="77777777">
            <w:pPr>
              <w:pStyle w:val="TableBody"/>
              <w:jc w:val="center"/>
            </w:pPr>
            <w:r w:rsidRPr="00302C5F">
              <w:t>170</w:t>
            </w:r>
          </w:p>
        </w:tc>
        <w:tc>
          <w:tcPr>
            <w:tcW w:w="1419" w:type="dxa"/>
            <w:shd w:val="clear" w:color="auto" w:fill="auto"/>
            <w:tcMar>
              <w:top w:w="17" w:type="dxa"/>
              <w:left w:w="17" w:type="dxa"/>
              <w:bottom w:w="0" w:type="dxa"/>
              <w:right w:w="17" w:type="dxa"/>
            </w:tcMar>
            <w:vAlign w:val="bottom"/>
            <w:hideMark/>
          </w:tcPr>
          <w:p w:rsidR="00380538" w:rsidRPr="00302C5F" w:rsidP="00380538" w14:paraId="31100990" w14:textId="77777777">
            <w:pPr>
              <w:pStyle w:val="TableBody"/>
              <w:jc w:val="center"/>
            </w:pPr>
            <w:r w:rsidRPr="00302C5F">
              <w:t>155</w:t>
            </w:r>
          </w:p>
        </w:tc>
        <w:tc>
          <w:tcPr>
            <w:tcW w:w="1499" w:type="dxa"/>
            <w:shd w:val="clear" w:color="auto" w:fill="auto"/>
            <w:tcMar>
              <w:top w:w="17" w:type="dxa"/>
              <w:left w:w="17" w:type="dxa"/>
              <w:bottom w:w="0" w:type="dxa"/>
              <w:right w:w="17" w:type="dxa"/>
            </w:tcMar>
            <w:vAlign w:val="bottom"/>
            <w:hideMark/>
          </w:tcPr>
          <w:p w:rsidR="00380538" w:rsidRPr="00302C5F" w:rsidP="00380538" w14:paraId="4F4BA6DD"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244D460D"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43852B6D" w14:textId="77777777">
            <w:pPr>
              <w:pStyle w:val="TableBody"/>
              <w:jc w:val="center"/>
            </w:pPr>
            <w:r w:rsidRPr="00302C5F">
              <w:t>--</w:t>
            </w:r>
          </w:p>
        </w:tc>
        <w:tc>
          <w:tcPr>
            <w:tcW w:w="1200" w:type="dxa"/>
            <w:vAlign w:val="bottom"/>
          </w:tcPr>
          <w:p w:rsidR="00380538" w:rsidRPr="00302C5F" w:rsidP="00380538" w14:paraId="7373F690" w14:textId="1247E042">
            <w:pPr>
              <w:pStyle w:val="TableBody"/>
              <w:jc w:val="center"/>
            </w:pPr>
            <w:r w:rsidRPr="00302C5F">
              <w:t>--</w:t>
            </w:r>
          </w:p>
        </w:tc>
      </w:tr>
      <w:tr w14:paraId="6103A5B2" w14:textId="419D1E39" w:rsidTr="00D01DB6">
        <w:tblPrEx>
          <w:tblW w:w="9360" w:type="dxa"/>
          <w:tblCellMar>
            <w:left w:w="0" w:type="dxa"/>
            <w:right w:w="0" w:type="dxa"/>
          </w:tblCellMar>
          <w:tblLook w:val="0420"/>
        </w:tblPrEx>
        <w:trPr>
          <w:trHeight w:val="423"/>
        </w:trPr>
        <w:tc>
          <w:tcPr>
            <w:tcW w:w="1546" w:type="dxa"/>
            <w:shd w:val="clear" w:color="auto" w:fill="auto"/>
            <w:tcMar>
              <w:top w:w="17" w:type="dxa"/>
              <w:left w:w="17" w:type="dxa"/>
              <w:bottom w:w="0" w:type="dxa"/>
              <w:right w:w="17" w:type="dxa"/>
            </w:tcMar>
            <w:vAlign w:val="center"/>
            <w:hideMark/>
          </w:tcPr>
          <w:p w:rsidR="00380538" w:rsidRPr="00302C5F" w:rsidP="00380538" w14:paraId="338C4A06" w14:textId="77777777">
            <w:pPr>
              <w:pStyle w:val="TableBody"/>
            </w:pPr>
            <w:r w:rsidRPr="00302C5F">
              <w:t>ANG</w:t>
            </w:r>
          </w:p>
        </w:tc>
        <w:tc>
          <w:tcPr>
            <w:tcW w:w="1178" w:type="dxa"/>
            <w:shd w:val="clear" w:color="auto" w:fill="auto"/>
            <w:tcMar>
              <w:top w:w="17" w:type="dxa"/>
              <w:left w:w="17" w:type="dxa"/>
              <w:bottom w:w="0" w:type="dxa"/>
              <w:right w:w="17" w:type="dxa"/>
            </w:tcMar>
            <w:vAlign w:val="bottom"/>
            <w:hideMark/>
          </w:tcPr>
          <w:p w:rsidR="00380538" w:rsidRPr="00302C5F" w:rsidP="00380538" w14:paraId="28009775" w14:textId="77777777">
            <w:pPr>
              <w:pStyle w:val="TableBody"/>
              <w:jc w:val="center"/>
            </w:pPr>
            <w:r w:rsidRPr="00302C5F">
              <w:t>71</w:t>
            </w:r>
          </w:p>
        </w:tc>
        <w:tc>
          <w:tcPr>
            <w:tcW w:w="1419" w:type="dxa"/>
            <w:shd w:val="clear" w:color="auto" w:fill="auto"/>
            <w:tcMar>
              <w:top w:w="17" w:type="dxa"/>
              <w:left w:w="17" w:type="dxa"/>
              <w:bottom w:w="0" w:type="dxa"/>
              <w:right w:w="17" w:type="dxa"/>
            </w:tcMar>
            <w:vAlign w:val="bottom"/>
            <w:hideMark/>
          </w:tcPr>
          <w:p w:rsidR="00380538" w:rsidRPr="00302C5F" w:rsidP="00380538" w14:paraId="39BF1DB9" w14:textId="77777777">
            <w:pPr>
              <w:pStyle w:val="TableBody"/>
              <w:jc w:val="center"/>
            </w:pPr>
            <w:r w:rsidRPr="00302C5F">
              <w:t>65</w:t>
            </w:r>
          </w:p>
        </w:tc>
        <w:tc>
          <w:tcPr>
            <w:tcW w:w="1499" w:type="dxa"/>
            <w:shd w:val="clear" w:color="auto" w:fill="auto"/>
            <w:tcMar>
              <w:top w:w="17" w:type="dxa"/>
              <w:left w:w="17" w:type="dxa"/>
              <w:bottom w:w="0" w:type="dxa"/>
              <w:right w:w="17" w:type="dxa"/>
            </w:tcMar>
            <w:vAlign w:val="bottom"/>
            <w:hideMark/>
          </w:tcPr>
          <w:p w:rsidR="00380538" w:rsidRPr="00302C5F" w:rsidP="00380538" w14:paraId="73E42137"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11DB211C" w14:textId="77777777">
            <w:pPr>
              <w:pStyle w:val="TableBody"/>
              <w:jc w:val="center"/>
            </w:pPr>
            <w:r w:rsidRPr="00302C5F">
              <w:t>--</w:t>
            </w:r>
          </w:p>
        </w:tc>
        <w:tc>
          <w:tcPr>
            <w:tcW w:w="1259" w:type="dxa"/>
            <w:shd w:val="clear" w:color="auto" w:fill="auto"/>
            <w:tcMar>
              <w:top w:w="17" w:type="dxa"/>
              <w:left w:w="17" w:type="dxa"/>
              <w:bottom w:w="0" w:type="dxa"/>
              <w:right w:w="17" w:type="dxa"/>
            </w:tcMar>
            <w:vAlign w:val="bottom"/>
            <w:hideMark/>
          </w:tcPr>
          <w:p w:rsidR="00380538" w:rsidRPr="00302C5F" w:rsidP="00380538" w14:paraId="1E91F8D4" w14:textId="77777777">
            <w:pPr>
              <w:pStyle w:val="TableBody"/>
              <w:jc w:val="center"/>
            </w:pPr>
            <w:r w:rsidRPr="00302C5F">
              <w:t>--</w:t>
            </w:r>
          </w:p>
        </w:tc>
        <w:tc>
          <w:tcPr>
            <w:tcW w:w="1200" w:type="dxa"/>
            <w:vAlign w:val="bottom"/>
          </w:tcPr>
          <w:p w:rsidR="00380538" w:rsidRPr="00302C5F" w:rsidP="00380538" w14:paraId="439D35DE" w14:textId="6A731007">
            <w:pPr>
              <w:pStyle w:val="TableBody"/>
              <w:jc w:val="center"/>
            </w:pPr>
            <w:r w:rsidRPr="00302C5F">
              <w:t>--</w:t>
            </w:r>
          </w:p>
        </w:tc>
      </w:tr>
      <w:tr w14:paraId="502612FB" w14:textId="7D9A985E" w:rsidTr="00D01DB6">
        <w:tblPrEx>
          <w:tblW w:w="9360" w:type="dxa"/>
          <w:tblCellMar>
            <w:left w:w="0" w:type="dxa"/>
            <w:right w:w="0" w:type="dxa"/>
          </w:tblCellMar>
          <w:tblLook w:val="0420"/>
        </w:tblPrEx>
        <w:trPr>
          <w:trHeight w:val="423"/>
        </w:trPr>
        <w:tc>
          <w:tcPr>
            <w:tcW w:w="1546" w:type="dxa"/>
            <w:shd w:val="clear" w:color="auto" w:fill="auto"/>
            <w:tcMar>
              <w:top w:w="17" w:type="dxa"/>
              <w:left w:w="17" w:type="dxa"/>
              <w:bottom w:w="0" w:type="dxa"/>
              <w:right w:w="17" w:type="dxa"/>
            </w:tcMar>
            <w:vAlign w:val="center"/>
            <w:hideMark/>
          </w:tcPr>
          <w:p w:rsidR="00380538" w:rsidRPr="00302C5F" w:rsidP="00380538" w14:paraId="63F87ED8" w14:textId="77777777">
            <w:pPr>
              <w:pStyle w:val="TableBody"/>
            </w:pPr>
            <w:r w:rsidRPr="00302C5F">
              <w:t>Totals</w:t>
            </w:r>
          </w:p>
        </w:tc>
        <w:tc>
          <w:tcPr>
            <w:tcW w:w="1178" w:type="dxa"/>
            <w:shd w:val="clear" w:color="auto" w:fill="auto"/>
            <w:tcMar>
              <w:top w:w="17" w:type="dxa"/>
              <w:left w:w="17" w:type="dxa"/>
              <w:bottom w:w="0" w:type="dxa"/>
              <w:right w:w="17" w:type="dxa"/>
            </w:tcMar>
            <w:vAlign w:val="bottom"/>
            <w:hideMark/>
          </w:tcPr>
          <w:p w:rsidR="00380538" w:rsidRPr="00302C5F" w:rsidP="00380538" w14:paraId="4F2714DC" w14:textId="77777777">
            <w:pPr>
              <w:pStyle w:val="TableBody"/>
              <w:jc w:val="center"/>
            </w:pPr>
            <w:r w:rsidRPr="00302C5F">
              <w:t>925</w:t>
            </w:r>
          </w:p>
        </w:tc>
        <w:tc>
          <w:tcPr>
            <w:tcW w:w="1419" w:type="dxa"/>
            <w:shd w:val="clear" w:color="auto" w:fill="auto"/>
            <w:tcMar>
              <w:top w:w="17" w:type="dxa"/>
              <w:left w:w="17" w:type="dxa"/>
              <w:bottom w:w="0" w:type="dxa"/>
              <w:right w:w="17" w:type="dxa"/>
            </w:tcMar>
            <w:vAlign w:val="bottom"/>
            <w:hideMark/>
          </w:tcPr>
          <w:p w:rsidR="00380538" w:rsidRPr="00302C5F" w:rsidP="00380538" w14:paraId="29582772" w14:textId="77777777">
            <w:pPr>
              <w:pStyle w:val="TableBody"/>
              <w:jc w:val="center"/>
            </w:pPr>
            <w:r w:rsidRPr="00302C5F">
              <w:t>454</w:t>
            </w:r>
          </w:p>
        </w:tc>
        <w:tc>
          <w:tcPr>
            <w:tcW w:w="1499" w:type="dxa"/>
            <w:shd w:val="clear" w:color="auto" w:fill="auto"/>
            <w:tcMar>
              <w:top w:w="17" w:type="dxa"/>
              <w:left w:w="17" w:type="dxa"/>
              <w:bottom w:w="0" w:type="dxa"/>
              <w:right w:w="17" w:type="dxa"/>
            </w:tcMar>
            <w:vAlign w:val="bottom"/>
            <w:hideMark/>
          </w:tcPr>
          <w:p w:rsidR="00380538" w:rsidRPr="00302C5F" w:rsidP="00380538" w14:paraId="35EE0CFE" w14:textId="77777777">
            <w:pPr>
              <w:pStyle w:val="TableBody"/>
              <w:jc w:val="center"/>
            </w:pPr>
            <w:r w:rsidRPr="00302C5F">
              <w:t>331</w:t>
            </w:r>
          </w:p>
        </w:tc>
        <w:tc>
          <w:tcPr>
            <w:tcW w:w="1259" w:type="dxa"/>
            <w:shd w:val="clear" w:color="auto" w:fill="auto"/>
            <w:tcMar>
              <w:top w:w="17" w:type="dxa"/>
              <w:left w:w="17" w:type="dxa"/>
              <w:bottom w:w="0" w:type="dxa"/>
              <w:right w:w="17" w:type="dxa"/>
            </w:tcMar>
            <w:vAlign w:val="bottom"/>
            <w:hideMark/>
          </w:tcPr>
          <w:p w:rsidR="00380538" w:rsidRPr="00302C5F" w:rsidP="00380538" w14:paraId="0875382E" w14:textId="77777777">
            <w:pPr>
              <w:pStyle w:val="TableBody"/>
              <w:jc w:val="center"/>
            </w:pPr>
            <w:r w:rsidRPr="00302C5F">
              <w:t>225</w:t>
            </w:r>
          </w:p>
        </w:tc>
        <w:tc>
          <w:tcPr>
            <w:tcW w:w="1259" w:type="dxa"/>
            <w:shd w:val="clear" w:color="auto" w:fill="auto"/>
            <w:tcMar>
              <w:top w:w="17" w:type="dxa"/>
              <w:left w:w="17" w:type="dxa"/>
              <w:bottom w:w="0" w:type="dxa"/>
              <w:right w:w="17" w:type="dxa"/>
            </w:tcMar>
            <w:vAlign w:val="bottom"/>
            <w:hideMark/>
          </w:tcPr>
          <w:p w:rsidR="00380538" w:rsidRPr="00302C5F" w:rsidP="00380538" w14:paraId="13F8F044" w14:textId="77777777">
            <w:pPr>
              <w:pStyle w:val="TableBody"/>
              <w:jc w:val="center"/>
            </w:pPr>
            <w:r w:rsidRPr="00302C5F">
              <w:t>94</w:t>
            </w:r>
          </w:p>
        </w:tc>
        <w:tc>
          <w:tcPr>
            <w:tcW w:w="1200" w:type="dxa"/>
          </w:tcPr>
          <w:p w:rsidR="00380538" w:rsidP="00380538" w14:paraId="3144CE42" w14:textId="77777777">
            <w:pPr>
              <w:pStyle w:val="TableBody"/>
              <w:jc w:val="center"/>
            </w:pPr>
          </w:p>
          <w:p w:rsidR="00380538" w:rsidRPr="00302C5F" w:rsidP="00380538" w14:paraId="2ED458A7" w14:textId="59A886B6">
            <w:pPr>
              <w:pStyle w:val="TableBody"/>
              <w:jc w:val="center"/>
            </w:pPr>
            <w:r w:rsidRPr="00302C5F">
              <w:t>--</w:t>
            </w:r>
          </w:p>
        </w:tc>
      </w:tr>
    </w:tbl>
    <w:p w:rsidR="008723A7" w:rsidP="00C07477" w14:paraId="3908353D" w14:textId="77777777">
      <w:pPr>
        <w:spacing w:after="0" w:line="240" w:lineRule="auto"/>
        <w:rPr>
          <w:rFonts w:asciiTheme="majorHAnsi" w:hAnsiTheme="majorHAnsi"/>
          <w:iCs/>
          <w:sz w:val="24"/>
        </w:rPr>
      </w:pPr>
    </w:p>
    <w:p w:rsidR="00F57B1D" w:rsidP="00C07477" w14:paraId="34A555D5" w14:textId="77AAB941">
      <w:pPr>
        <w:spacing w:after="0" w:line="240" w:lineRule="auto"/>
        <w:rPr>
          <w:rFonts w:asciiTheme="majorHAnsi" w:hAnsiTheme="majorHAnsi"/>
          <w:iCs/>
          <w:sz w:val="24"/>
        </w:rPr>
      </w:pPr>
      <w:r>
        <w:rPr>
          <w:rFonts w:asciiTheme="majorHAnsi" w:hAnsiTheme="majorHAnsi"/>
          <w:iCs/>
          <w:sz w:val="24"/>
        </w:rPr>
        <w:t xml:space="preserve">We are asking </w:t>
      </w:r>
      <w:r w:rsidR="0063730D">
        <w:rPr>
          <w:rFonts w:asciiTheme="majorHAnsi" w:hAnsiTheme="majorHAnsi"/>
          <w:iCs/>
          <w:sz w:val="24"/>
        </w:rPr>
        <w:t>IPP personnel</w:t>
      </w:r>
      <w:r>
        <w:rPr>
          <w:rFonts w:asciiTheme="majorHAnsi" w:hAnsiTheme="majorHAnsi"/>
          <w:iCs/>
          <w:sz w:val="24"/>
        </w:rPr>
        <w:t xml:space="preserve"> competency and climate questions because in order for this initiative to succeed, these personnel must have the knowledge and skills (i.e., the competencies) to perform their job. Further, the climate with which they operate must be receptive and supportive to prevention work. </w:t>
      </w:r>
    </w:p>
    <w:p w:rsidR="00117325" w:rsidP="00C07477" w14:paraId="0560FE69" w14:textId="1AAC5462">
      <w:pPr>
        <w:spacing w:after="0" w:line="240" w:lineRule="auto"/>
        <w:rPr>
          <w:rFonts w:asciiTheme="majorHAnsi" w:hAnsiTheme="majorHAnsi"/>
          <w:iCs/>
          <w:sz w:val="24"/>
        </w:rPr>
      </w:pPr>
    </w:p>
    <w:p w:rsidR="006A05E4" w:rsidP="009D45AC" w14:paraId="191182F2" w14:textId="2F5E5169">
      <w:pPr>
        <w:spacing w:after="0" w:line="240" w:lineRule="auto"/>
        <w:rPr>
          <w:rFonts w:asciiTheme="majorHAnsi" w:hAnsiTheme="majorHAnsi"/>
          <w:iCs/>
          <w:sz w:val="24"/>
        </w:rPr>
      </w:pPr>
      <w:r>
        <w:rPr>
          <w:rFonts w:asciiTheme="majorHAnsi" w:hAnsiTheme="majorHAnsi"/>
          <w:iCs/>
          <w:sz w:val="24"/>
        </w:rPr>
        <w:t>RAND will administer the survey</w:t>
      </w:r>
      <w:r w:rsidR="00677838">
        <w:rPr>
          <w:rFonts w:asciiTheme="majorHAnsi" w:hAnsiTheme="majorHAnsi"/>
          <w:iCs/>
          <w:sz w:val="24"/>
        </w:rPr>
        <w:t xml:space="preserve"> annually for each year of the evaluation period. Given that hiring will be rolling across the </w:t>
      </w:r>
      <w:r>
        <w:rPr>
          <w:rFonts w:asciiTheme="majorHAnsi" w:hAnsiTheme="majorHAnsi"/>
          <w:iCs/>
          <w:sz w:val="24"/>
        </w:rPr>
        <w:t xml:space="preserve">evaluation period, </w:t>
      </w:r>
      <w:r w:rsidR="0063730D">
        <w:rPr>
          <w:rFonts w:asciiTheme="majorHAnsi" w:hAnsiTheme="majorHAnsi"/>
          <w:iCs/>
          <w:sz w:val="24"/>
        </w:rPr>
        <w:t>IPP personnel</w:t>
      </w:r>
      <w:r w:rsidRPr="00BF271A" w:rsidR="0063730D">
        <w:rPr>
          <w:rFonts w:asciiTheme="majorHAnsi" w:hAnsiTheme="majorHAnsi"/>
          <w:iCs/>
          <w:sz w:val="24"/>
        </w:rPr>
        <w:t xml:space="preserve"> </w:t>
      </w:r>
      <w:r>
        <w:rPr>
          <w:rFonts w:asciiTheme="majorHAnsi" w:hAnsiTheme="majorHAnsi"/>
          <w:iCs/>
          <w:sz w:val="24"/>
        </w:rPr>
        <w:t xml:space="preserve">will take the survey a different number of times depending on when they are hired. </w:t>
      </w:r>
    </w:p>
    <w:p w:rsidR="006A05E4" w:rsidP="009D45AC" w14:paraId="5DE6315B" w14:textId="77777777">
      <w:pPr>
        <w:spacing w:after="0" w:line="240" w:lineRule="auto"/>
        <w:rPr>
          <w:rFonts w:asciiTheme="majorHAnsi" w:hAnsiTheme="majorHAnsi"/>
          <w:iCs/>
          <w:sz w:val="24"/>
        </w:rPr>
      </w:pPr>
    </w:p>
    <w:p w:rsidR="009D45AC" w:rsidP="009D45AC" w14:paraId="0193FE82" w14:textId="1B66D589">
      <w:pPr>
        <w:spacing w:after="0" w:line="240" w:lineRule="auto"/>
        <w:rPr>
          <w:rFonts w:asciiTheme="majorHAnsi" w:hAnsiTheme="majorHAnsi"/>
          <w:iCs/>
          <w:sz w:val="24"/>
        </w:rPr>
      </w:pPr>
      <w:r>
        <w:rPr>
          <w:rFonts w:asciiTheme="majorHAnsi" w:hAnsiTheme="majorHAnsi"/>
          <w:iCs/>
          <w:sz w:val="24"/>
        </w:rPr>
        <w:t xml:space="preserve">RAND will obtain email addresses of the </w:t>
      </w:r>
      <w:r w:rsidR="0063730D">
        <w:rPr>
          <w:rFonts w:asciiTheme="majorHAnsi" w:hAnsiTheme="majorHAnsi"/>
          <w:iCs/>
          <w:sz w:val="24"/>
        </w:rPr>
        <w:t>IPP personnel</w:t>
      </w:r>
      <w:r>
        <w:rPr>
          <w:rFonts w:asciiTheme="majorHAnsi" w:hAnsiTheme="majorHAnsi"/>
          <w:iCs/>
          <w:sz w:val="24"/>
        </w:rPr>
        <w:t xml:space="preserve"> from our sponsor</w:t>
      </w:r>
      <w:r w:rsidR="00903778">
        <w:rPr>
          <w:rFonts w:asciiTheme="majorHAnsi" w:hAnsiTheme="majorHAnsi"/>
          <w:iCs/>
          <w:sz w:val="24"/>
        </w:rPr>
        <w:t xml:space="preserve">, </w:t>
      </w:r>
      <w:r w:rsidR="00740442">
        <w:rPr>
          <w:rFonts w:asciiTheme="majorHAnsi" w:hAnsiTheme="majorHAnsi"/>
          <w:iCs/>
          <w:sz w:val="24"/>
        </w:rPr>
        <w:t>VPC</w:t>
      </w:r>
      <w:r w:rsidR="00903778">
        <w:rPr>
          <w:rFonts w:asciiTheme="majorHAnsi" w:hAnsiTheme="majorHAnsi"/>
          <w:iCs/>
          <w:sz w:val="24"/>
        </w:rPr>
        <w:t xml:space="preserve">, </w:t>
      </w:r>
      <w:r>
        <w:rPr>
          <w:rFonts w:asciiTheme="majorHAnsi" w:hAnsiTheme="majorHAnsi"/>
          <w:iCs/>
          <w:sz w:val="24"/>
        </w:rPr>
        <w:t xml:space="preserve">and send them an email containing a link to an online survey. </w:t>
      </w:r>
      <w:r w:rsidRPr="008723A7" w:rsidR="008723A7">
        <w:rPr>
          <w:rFonts w:asciiTheme="majorHAnsi" w:hAnsiTheme="majorHAnsi"/>
          <w:iCs/>
          <w:sz w:val="24"/>
        </w:rPr>
        <w:t xml:space="preserve">The survey will be conducted via secure online survey platform (e.g., Qualtrics). Data will be downloaded from the survey’s secure platform </w:t>
      </w:r>
      <w:r w:rsidR="008723A7">
        <w:rPr>
          <w:rFonts w:asciiTheme="majorHAnsi" w:hAnsiTheme="majorHAnsi"/>
          <w:iCs/>
          <w:sz w:val="24"/>
        </w:rPr>
        <w:t xml:space="preserve">and </w:t>
      </w:r>
      <w:r w:rsidRPr="008723A7" w:rsidR="008723A7">
        <w:rPr>
          <w:rFonts w:asciiTheme="majorHAnsi" w:hAnsiTheme="majorHAnsi"/>
          <w:iCs/>
          <w:sz w:val="24"/>
        </w:rPr>
        <w:t xml:space="preserve">designated </w:t>
      </w:r>
      <w:r w:rsidR="008723A7">
        <w:rPr>
          <w:rFonts w:asciiTheme="majorHAnsi" w:hAnsiTheme="majorHAnsi"/>
          <w:iCs/>
          <w:sz w:val="24"/>
        </w:rPr>
        <w:t xml:space="preserve">RAND </w:t>
      </w:r>
      <w:r w:rsidRPr="008723A7" w:rsidR="008723A7">
        <w:rPr>
          <w:rFonts w:asciiTheme="majorHAnsi" w:hAnsiTheme="majorHAnsi"/>
          <w:iCs/>
          <w:sz w:val="24"/>
        </w:rPr>
        <w:t xml:space="preserve">team member(s) will download the data onto an encrypted USB thumb drive. Within one working day, all transmitted data files will be checked for the presence of unwanted identifying information. This check will be carried out in </w:t>
      </w:r>
      <w:r w:rsidR="008723A7">
        <w:rPr>
          <w:rFonts w:asciiTheme="majorHAnsi" w:hAnsiTheme="majorHAnsi"/>
          <w:iCs/>
          <w:sz w:val="24"/>
        </w:rPr>
        <w:t xml:space="preserve">one of RAND’s </w:t>
      </w:r>
      <w:r w:rsidRPr="008723A7" w:rsidR="008723A7">
        <w:rPr>
          <w:rFonts w:asciiTheme="majorHAnsi" w:hAnsiTheme="majorHAnsi"/>
          <w:iCs/>
          <w:sz w:val="24"/>
        </w:rPr>
        <w:t>cold room</w:t>
      </w:r>
      <w:r w:rsidR="008723A7">
        <w:rPr>
          <w:rFonts w:asciiTheme="majorHAnsi" w:hAnsiTheme="majorHAnsi"/>
          <w:iCs/>
          <w:sz w:val="24"/>
        </w:rPr>
        <w:t>s</w:t>
      </w:r>
      <w:r w:rsidRPr="008723A7" w:rsidR="008723A7">
        <w:rPr>
          <w:rFonts w:asciiTheme="majorHAnsi" w:hAnsiTheme="majorHAnsi"/>
          <w:iCs/>
          <w:sz w:val="24"/>
        </w:rPr>
        <w:t xml:space="preserve"> so that any unwanted identifying information can be removed prior to placing the data on a secure RAND server. Once the source file is checked for unwanted identifying information and uploaded onto a secure RAND server, the file will be deleted from the encrypted thumb drive. A link file will be created (e.g., linking the data to individual installations). The link file will be encrypted and stored in </w:t>
      </w:r>
      <w:r w:rsidR="008723A7">
        <w:rPr>
          <w:rFonts w:asciiTheme="majorHAnsi" w:hAnsiTheme="majorHAnsi"/>
          <w:iCs/>
          <w:sz w:val="24"/>
        </w:rPr>
        <w:t>a RAND</w:t>
      </w:r>
      <w:r w:rsidRPr="008723A7" w:rsidR="008723A7">
        <w:rPr>
          <w:rFonts w:asciiTheme="majorHAnsi" w:hAnsiTheme="majorHAnsi"/>
          <w:iCs/>
          <w:sz w:val="24"/>
        </w:rPr>
        <w:t xml:space="preserve"> cold room. </w:t>
      </w:r>
      <w:r>
        <w:rPr>
          <w:rFonts w:asciiTheme="majorHAnsi" w:hAnsiTheme="majorHAnsi"/>
          <w:iCs/>
          <w:sz w:val="24"/>
        </w:rPr>
        <w:t xml:space="preserve">The </w:t>
      </w:r>
      <w:r w:rsidR="00432B98">
        <w:rPr>
          <w:rFonts w:asciiTheme="majorHAnsi" w:hAnsiTheme="majorHAnsi"/>
          <w:iCs/>
          <w:sz w:val="24"/>
        </w:rPr>
        <w:t xml:space="preserve">IPP Personnel </w:t>
      </w:r>
      <w:r>
        <w:rPr>
          <w:rFonts w:asciiTheme="majorHAnsi" w:hAnsiTheme="majorHAnsi"/>
          <w:iCs/>
          <w:sz w:val="24"/>
        </w:rPr>
        <w:t xml:space="preserve">Survey and email invitation are attached. </w:t>
      </w:r>
    </w:p>
    <w:p w:rsidR="008723A7" w:rsidP="00C07477" w14:paraId="13E3FC1F" w14:textId="77777777">
      <w:pPr>
        <w:spacing w:after="0" w:line="240" w:lineRule="auto"/>
        <w:rPr>
          <w:rFonts w:asciiTheme="majorHAnsi" w:hAnsiTheme="majorHAnsi"/>
          <w:iCs/>
          <w:sz w:val="24"/>
        </w:rPr>
      </w:pPr>
    </w:p>
    <w:p w:rsidR="009D45AC" w:rsidP="00C07477" w14:paraId="30CDE9B1" w14:textId="0580DBDF">
      <w:pPr>
        <w:spacing w:after="0" w:line="240" w:lineRule="auto"/>
        <w:rPr>
          <w:rFonts w:asciiTheme="majorHAnsi" w:hAnsiTheme="majorHAnsi"/>
          <w:iCs/>
          <w:sz w:val="24"/>
        </w:rPr>
      </w:pPr>
      <w:r>
        <w:rPr>
          <w:rFonts w:asciiTheme="majorHAnsi" w:hAnsiTheme="majorHAnsi"/>
          <w:iCs/>
          <w:sz w:val="24"/>
        </w:rPr>
        <w:t>The end result</w:t>
      </w:r>
      <w:r>
        <w:rPr>
          <w:rFonts w:asciiTheme="majorHAnsi" w:hAnsiTheme="majorHAnsi"/>
          <w:iCs/>
          <w:sz w:val="24"/>
        </w:rPr>
        <w:t xml:space="preserve"> of the </w:t>
      </w:r>
      <w:r w:rsidR="005C2F1F">
        <w:rPr>
          <w:rFonts w:asciiTheme="majorHAnsi" w:hAnsiTheme="majorHAnsi"/>
          <w:iCs/>
          <w:sz w:val="24"/>
        </w:rPr>
        <w:t>IPP P</w:t>
      </w:r>
      <w:r w:rsidR="00FA29F4">
        <w:rPr>
          <w:rFonts w:asciiTheme="majorHAnsi" w:hAnsiTheme="majorHAnsi"/>
          <w:iCs/>
          <w:sz w:val="24"/>
        </w:rPr>
        <w:t>ersonnel</w:t>
      </w:r>
      <w:r w:rsidR="005C2F1F">
        <w:rPr>
          <w:rFonts w:asciiTheme="majorHAnsi" w:hAnsiTheme="majorHAnsi"/>
          <w:iCs/>
          <w:sz w:val="24"/>
        </w:rPr>
        <w:t xml:space="preserve"> </w:t>
      </w:r>
      <w:r>
        <w:rPr>
          <w:rFonts w:asciiTheme="majorHAnsi" w:hAnsiTheme="majorHAnsi"/>
          <w:iCs/>
          <w:sz w:val="24"/>
        </w:rPr>
        <w:t xml:space="preserve">Survey is that RAND will have an understanding of the level of competency of the new </w:t>
      </w:r>
      <w:r w:rsidR="005C2F1F">
        <w:rPr>
          <w:rFonts w:asciiTheme="majorHAnsi" w:hAnsiTheme="majorHAnsi"/>
          <w:iCs/>
          <w:sz w:val="24"/>
        </w:rPr>
        <w:t>IPP personnel</w:t>
      </w:r>
      <w:r w:rsidRPr="00BF271A" w:rsidR="005C2F1F">
        <w:rPr>
          <w:rFonts w:asciiTheme="majorHAnsi" w:hAnsiTheme="majorHAnsi"/>
          <w:iCs/>
          <w:sz w:val="24"/>
        </w:rPr>
        <w:t xml:space="preserve"> </w:t>
      </w:r>
      <w:r>
        <w:rPr>
          <w:rFonts w:asciiTheme="majorHAnsi" w:hAnsiTheme="majorHAnsi"/>
          <w:iCs/>
          <w:sz w:val="24"/>
        </w:rPr>
        <w:t xml:space="preserve">and the degree of the support they received. This data will be used to contextualize the ultimate outcomes of the </w:t>
      </w:r>
      <w:r w:rsidR="00B97983">
        <w:rPr>
          <w:rFonts w:asciiTheme="majorHAnsi" w:hAnsiTheme="majorHAnsi"/>
          <w:iCs/>
          <w:sz w:val="24"/>
        </w:rPr>
        <w:t xml:space="preserve">evaluation—namely the level of competency of the </w:t>
      </w:r>
      <w:r w:rsidR="005C2F1F">
        <w:rPr>
          <w:rFonts w:asciiTheme="majorHAnsi" w:hAnsiTheme="majorHAnsi"/>
          <w:iCs/>
          <w:sz w:val="24"/>
        </w:rPr>
        <w:t>IPP personnel</w:t>
      </w:r>
      <w:r w:rsidRPr="00BF271A" w:rsidR="005C2F1F">
        <w:rPr>
          <w:rFonts w:asciiTheme="majorHAnsi" w:hAnsiTheme="majorHAnsi"/>
          <w:iCs/>
          <w:sz w:val="24"/>
        </w:rPr>
        <w:t xml:space="preserve"> </w:t>
      </w:r>
      <w:r w:rsidR="00B97983">
        <w:rPr>
          <w:rFonts w:asciiTheme="majorHAnsi" w:hAnsiTheme="majorHAnsi"/>
          <w:iCs/>
          <w:sz w:val="24"/>
        </w:rPr>
        <w:t xml:space="preserve">could help explain why or why not DoD was able to reduce harmful behaviors. </w:t>
      </w:r>
    </w:p>
    <w:p w:rsidR="00B97983" w:rsidP="00C07477" w14:paraId="587925DF" w14:textId="3AAEC92F">
      <w:pPr>
        <w:spacing w:after="0" w:line="240" w:lineRule="auto"/>
        <w:rPr>
          <w:rFonts w:asciiTheme="majorHAnsi" w:hAnsiTheme="majorHAnsi"/>
          <w:iCs/>
          <w:sz w:val="24"/>
        </w:rPr>
      </w:pPr>
    </w:p>
    <w:p w:rsidR="00265A47" w:rsidP="00C07477" w14:paraId="5C6EB947" w14:textId="3CF0B06D">
      <w:pPr>
        <w:spacing w:after="0" w:line="240" w:lineRule="auto"/>
        <w:rPr>
          <w:rFonts w:asciiTheme="majorHAnsi" w:hAnsiTheme="majorHAnsi"/>
          <w:iCs/>
          <w:sz w:val="24"/>
        </w:rPr>
      </w:pPr>
      <w:r>
        <w:rPr>
          <w:rFonts w:asciiTheme="majorHAnsi" w:hAnsiTheme="majorHAnsi"/>
          <w:iCs/>
          <w:sz w:val="24"/>
        </w:rPr>
        <w:t xml:space="preserve">The below data collection </w:t>
      </w:r>
      <w:r w:rsidR="00FE42C4">
        <w:rPr>
          <w:rFonts w:asciiTheme="majorHAnsi" w:hAnsiTheme="majorHAnsi"/>
          <w:iCs/>
          <w:sz w:val="24"/>
        </w:rPr>
        <w:t>activities are summarized here. Full details can be found in Supporting Statement Part B for this OMB submission:</w:t>
      </w:r>
    </w:p>
    <w:p w:rsidR="00265A47" w:rsidP="00C07477" w14:paraId="378C5CCB" w14:textId="77777777">
      <w:pPr>
        <w:spacing w:after="0" w:line="240" w:lineRule="auto"/>
        <w:rPr>
          <w:rFonts w:asciiTheme="majorHAnsi" w:hAnsiTheme="majorHAnsi"/>
          <w:iCs/>
          <w:sz w:val="24"/>
        </w:rPr>
      </w:pPr>
    </w:p>
    <w:p w:rsidR="00117325" w:rsidP="006E563D" w14:paraId="50D043FD" w14:textId="19B2E0DB">
      <w:pPr>
        <w:spacing w:after="0" w:line="240" w:lineRule="auto"/>
        <w:rPr>
          <w:rFonts w:asciiTheme="majorHAnsi" w:hAnsiTheme="majorHAnsi"/>
          <w:sz w:val="24"/>
        </w:rPr>
      </w:pPr>
      <w:r w:rsidRPr="00A821F1">
        <w:rPr>
          <w:rFonts w:asciiTheme="majorHAnsi" w:hAnsiTheme="majorHAnsi"/>
          <w:i/>
          <w:sz w:val="24"/>
        </w:rPr>
        <w:t>TRACKING PREVENTION BILLETS, TRAININGS, AND PROFESSIONAL DEVELOPMENT ACTIVITIES</w:t>
      </w:r>
      <w:r w:rsidR="00B54A08">
        <w:rPr>
          <w:rFonts w:asciiTheme="majorHAnsi" w:hAnsiTheme="majorHAnsi"/>
          <w:iCs/>
          <w:sz w:val="24"/>
        </w:rPr>
        <w:t xml:space="preserve">: </w:t>
      </w:r>
      <w:r w:rsidRPr="00761299">
        <w:rPr>
          <w:rFonts w:asciiTheme="majorHAnsi" w:hAnsiTheme="majorHAnsi"/>
          <w:iCs/>
          <w:sz w:val="24"/>
        </w:rPr>
        <w:t xml:space="preserve">Tracking the progress of filling </w:t>
      </w:r>
      <w:r w:rsidR="005C2F1F">
        <w:rPr>
          <w:rFonts w:asciiTheme="majorHAnsi" w:hAnsiTheme="majorHAnsi"/>
          <w:iCs/>
          <w:sz w:val="24"/>
        </w:rPr>
        <w:t>IPP personnel</w:t>
      </w:r>
      <w:r w:rsidRPr="00BF271A" w:rsidR="005C2F1F">
        <w:rPr>
          <w:rFonts w:asciiTheme="majorHAnsi" w:hAnsiTheme="majorHAnsi"/>
          <w:iCs/>
          <w:sz w:val="24"/>
        </w:rPr>
        <w:t xml:space="preserve"> </w:t>
      </w:r>
      <w:r w:rsidRPr="00761299">
        <w:rPr>
          <w:rFonts w:asciiTheme="majorHAnsi" w:hAnsiTheme="majorHAnsi"/>
          <w:iCs/>
          <w:sz w:val="24"/>
        </w:rPr>
        <w:t xml:space="preserve">billets, retaining </w:t>
      </w:r>
      <w:r w:rsidR="005C2F1F">
        <w:rPr>
          <w:rFonts w:asciiTheme="majorHAnsi" w:hAnsiTheme="majorHAnsi"/>
          <w:iCs/>
          <w:sz w:val="24"/>
        </w:rPr>
        <w:t>IPP personnel</w:t>
      </w:r>
      <w:r w:rsidRPr="00761299">
        <w:rPr>
          <w:rFonts w:asciiTheme="majorHAnsi" w:hAnsiTheme="majorHAnsi"/>
          <w:iCs/>
          <w:sz w:val="24"/>
        </w:rPr>
        <w:t xml:space="preserve">, and providing sufficient coverage across DoD and the completion of required prevention training, credentialing and for full-time </w:t>
      </w:r>
      <w:r w:rsidR="005C2F1F">
        <w:rPr>
          <w:rFonts w:asciiTheme="majorHAnsi" w:hAnsiTheme="majorHAnsi"/>
          <w:iCs/>
          <w:sz w:val="24"/>
        </w:rPr>
        <w:t>IPPW</w:t>
      </w:r>
      <w:r w:rsidRPr="00761299" w:rsidR="005C2F1F">
        <w:rPr>
          <w:rFonts w:asciiTheme="majorHAnsi" w:hAnsiTheme="majorHAnsi"/>
          <w:iCs/>
          <w:sz w:val="24"/>
        </w:rPr>
        <w:t xml:space="preserve"> </w:t>
      </w:r>
      <w:r w:rsidRPr="00761299">
        <w:rPr>
          <w:rFonts w:asciiTheme="majorHAnsi" w:hAnsiTheme="majorHAnsi"/>
          <w:iCs/>
          <w:sz w:val="24"/>
        </w:rPr>
        <w:t>annual professional development requirements</w:t>
      </w:r>
      <w:r>
        <w:rPr>
          <w:rFonts w:asciiTheme="majorHAnsi" w:hAnsiTheme="majorHAnsi"/>
          <w:iCs/>
          <w:sz w:val="24"/>
        </w:rPr>
        <w:t xml:space="preserve">. </w:t>
      </w:r>
      <w:r w:rsidRPr="000734E2" w:rsidR="000734E2">
        <w:rPr>
          <w:rFonts w:asciiTheme="majorHAnsi" w:hAnsiTheme="majorHAnsi"/>
          <w:sz w:val="24"/>
        </w:rPr>
        <w:t xml:space="preserve">This method will assess how well DoD has filled the </w:t>
      </w:r>
      <w:r w:rsidR="005C2F1F">
        <w:rPr>
          <w:rFonts w:asciiTheme="majorHAnsi" w:hAnsiTheme="majorHAnsi"/>
          <w:iCs/>
          <w:sz w:val="24"/>
        </w:rPr>
        <w:t>IPP personnel</w:t>
      </w:r>
      <w:r w:rsidRPr="00BF271A" w:rsidR="005C2F1F">
        <w:rPr>
          <w:rFonts w:asciiTheme="majorHAnsi" w:hAnsiTheme="majorHAnsi"/>
          <w:iCs/>
          <w:sz w:val="24"/>
        </w:rPr>
        <w:t xml:space="preserve"> </w:t>
      </w:r>
      <w:r w:rsidRPr="000734E2" w:rsidR="000734E2">
        <w:rPr>
          <w:rFonts w:asciiTheme="majorHAnsi" w:hAnsiTheme="majorHAnsi"/>
          <w:sz w:val="24"/>
        </w:rPr>
        <w:t xml:space="preserve">billets in </w:t>
      </w:r>
      <w:r w:rsidR="00FD176C">
        <w:rPr>
          <w:rFonts w:asciiTheme="majorHAnsi" w:hAnsiTheme="majorHAnsi"/>
          <w:sz w:val="24"/>
        </w:rPr>
        <w:t xml:space="preserve">a </w:t>
      </w:r>
      <w:r w:rsidRPr="000734E2" w:rsidR="000734E2">
        <w:rPr>
          <w:rFonts w:asciiTheme="majorHAnsi" w:hAnsiTheme="majorHAnsi"/>
          <w:sz w:val="24"/>
        </w:rPr>
        <w:t xml:space="preserve">timely manner, hired and retained a sufficient number of </w:t>
      </w:r>
      <w:r w:rsidR="005C2F1F">
        <w:rPr>
          <w:rFonts w:asciiTheme="majorHAnsi" w:hAnsiTheme="majorHAnsi"/>
          <w:iCs/>
          <w:sz w:val="24"/>
        </w:rPr>
        <w:t>IPP personnel</w:t>
      </w:r>
      <w:r w:rsidRPr="000734E2" w:rsidR="000734E2">
        <w:rPr>
          <w:rFonts w:asciiTheme="majorHAnsi" w:hAnsiTheme="majorHAnsi"/>
          <w:sz w:val="24"/>
        </w:rPr>
        <w:t xml:space="preserve">, and adequately trained </w:t>
      </w:r>
      <w:r w:rsidR="005C2F1F">
        <w:rPr>
          <w:rFonts w:asciiTheme="majorHAnsi" w:hAnsiTheme="majorHAnsi"/>
          <w:iCs/>
          <w:sz w:val="24"/>
        </w:rPr>
        <w:t>IPP personnel</w:t>
      </w:r>
      <w:r w:rsidRPr="00BF271A" w:rsidR="005C2F1F">
        <w:rPr>
          <w:rFonts w:asciiTheme="majorHAnsi" w:hAnsiTheme="majorHAnsi"/>
          <w:iCs/>
          <w:sz w:val="24"/>
        </w:rPr>
        <w:t xml:space="preserve"> </w:t>
      </w:r>
      <w:r w:rsidRPr="000734E2" w:rsidR="000734E2">
        <w:rPr>
          <w:rFonts w:asciiTheme="majorHAnsi" w:hAnsiTheme="majorHAnsi"/>
          <w:sz w:val="24"/>
        </w:rPr>
        <w:t xml:space="preserve">for their roles and to retain their professional credentials. The </w:t>
      </w:r>
      <w:r w:rsidRPr="000734E2" w:rsidR="000734E2">
        <w:rPr>
          <w:rFonts w:asciiTheme="majorHAnsi" w:hAnsiTheme="majorHAnsi"/>
          <w:sz w:val="24"/>
        </w:rPr>
        <w:t xml:space="preserve">research question addresses the logic model component of whether there is a </w:t>
      </w:r>
      <w:r w:rsidR="000734E2">
        <w:rPr>
          <w:rFonts w:asciiTheme="majorHAnsi" w:hAnsiTheme="majorHAnsi"/>
          <w:sz w:val="24"/>
        </w:rPr>
        <w:t>f</w:t>
      </w:r>
      <w:r w:rsidRPr="000734E2" w:rsidR="000734E2">
        <w:rPr>
          <w:rFonts w:asciiTheme="majorHAnsi" w:hAnsiTheme="majorHAnsi"/>
          <w:sz w:val="24"/>
        </w:rPr>
        <w:t xml:space="preserve">ully </w:t>
      </w:r>
      <w:r w:rsidR="000734E2">
        <w:rPr>
          <w:rFonts w:asciiTheme="majorHAnsi" w:hAnsiTheme="majorHAnsi"/>
          <w:sz w:val="24"/>
        </w:rPr>
        <w:t>i</w:t>
      </w:r>
      <w:r w:rsidRPr="000734E2" w:rsidR="000734E2">
        <w:rPr>
          <w:rFonts w:asciiTheme="majorHAnsi" w:hAnsiTheme="majorHAnsi"/>
          <w:sz w:val="24"/>
        </w:rPr>
        <w:t xml:space="preserve">mplemented </w:t>
      </w:r>
      <w:r w:rsidR="00982037">
        <w:rPr>
          <w:rFonts w:asciiTheme="majorHAnsi" w:hAnsiTheme="majorHAnsi"/>
          <w:sz w:val="24"/>
        </w:rPr>
        <w:t>w</w:t>
      </w:r>
      <w:r w:rsidRPr="000734E2" w:rsidR="000734E2">
        <w:rPr>
          <w:rFonts w:asciiTheme="majorHAnsi" w:hAnsiTheme="majorHAnsi"/>
          <w:sz w:val="24"/>
        </w:rPr>
        <w:t>orkforce.</w:t>
      </w:r>
    </w:p>
    <w:p w:rsidR="003A594E" w:rsidP="00BB78FB" w14:paraId="61BBA350" w14:textId="76751158">
      <w:pPr>
        <w:spacing w:after="0" w:line="240" w:lineRule="auto"/>
        <w:rPr>
          <w:rFonts w:asciiTheme="majorHAnsi" w:hAnsiTheme="majorHAnsi"/>
          <w:iCs/>
          <w:sz w:val="24"/>
        </w:rPr>
      </w:pPr>
    </w:p>
    <w:p w:rsidR="00383E88" w:rsidP="00FE42C4" w14:paraId="4D2A0EF3" w14:textId="4EE2753A">
      <w:pPr>
        <w:spacing w:after="0" w:line="240" w:lineRule="auto"/>
        <w:rPr>
          <w:rFonts w:asciiTheme="majorHAnsi" w:hAnsiTheme="majorHAnsi"/>
          <w:sz w:val="24"/>
        </w:rPr>
      </w:pPr>
      <w:r>
        <w:rPr>
          <w:rFonts w:asciiTheme="majorHAnsi" w:hAnsiTheme="majorHAnsi"/>
          <w:i/>
          <w:iCs/>
          <w:sz w:val="24"/>
        </w:rPr>
        <w:t xml:space="preserve">INTEGRATED PRIMARY </w:t>
      </w:r>
      <w:r w:rsidRPr="00383E88">
        <w:rPr>
          <w:rFonts w:asciiTheme="majorHAnsi" w:hAnsiTheme="majorHAnsi"/>
          <w:i/>
          <w:iCs/>
          <w:sz w:val="24"/>
        </w:rPr>
        <w:t>PREVENTION ACTIVITY TRACKER</w:t>
      </w:r>
      <w:r w:rsidRPr="00383E88" w:rsidR="003A594E">
        <w:rPr>
          <w:rFonts w:asciiTheme="majorHAnsi" w:hAnsiTheme="majorHAnsi"/>
          <w:i/>
          <w:iCs/>
          <w:sz w:val="24"/>
        </w:rPr>
        <w:t xml:space="preserve"> (</w:t>
      </w:r>
      <w:r w:rsidR="00C85EB8">
        <w:rPr>
          <w:rFonts w:asciiTheme="majorHAnsi" w:hAnsiTheme="majorHAnsi"/>
          <w:i/>
          <w:iCs/>
          <w:sz w:val="24"/>
        </w:rPr>
        <w:t>I-PACT</w:t>
      </w:r>
      <w:r w:rsidRPr="00383E88" w:rsidR="003A594E">
        <w:rPr>
          <w:rFonts w:asciiTheme="majorHAnsi" w:hAnsiTheme="majorHAnsi"/>
          <w:i/>
          <w:iCs/>
          <w:sz w:val="24"/>
        </w:rPr>
        <w:t>):</w:t>
      </w:r>
      <w:r w:rsidR="003A594E">
        <w:rPr>
          <w:rFonts w:asciiTheme="majorHAnsi" w:hAnsiTheme="majorHAnsi"/>
          <w:sz w:val="24"/>
        </w:rPr>
        <w:t xml:space="preserve"> </w:t>
      </w:r>
      <w:r w:rsidRPr="003A594E" w:rsidR="003A594E">
        <w:rPr>
          <w:rFonts w:asciiTheme="majorHAnsi" w:hAnsiTheme="majorHAnsi"/>
          <w:sz w:val="24"/>
        </w:rPr>
        <w:t>Documentation of the type and scope of prevention activities implemented</w:t>
      </w:r>
      <w:r>
        <w:rPr>
          <w:rFonts w:asciiTheme="majorHAnsi" w:hAnsiTheme="majorHAnsi"/>
          <w:sz w:val="24"/>
        </w:rPr>
        <w:t xml:space="preserve"> by all </w:t>
      </w:r>
      <w:r w:rsidR="00C51C21">
        <w:rPr>
          <w:rFonts w:asciiTheme="majorHAnsi" w:hAnsiTheme="majorHAnsi"/>
          <w:iCs/>
          <w:sz w:val="24"/>
        </w:rPr>
        <w:t>IPP personnel</w:t>
      </w:r>
      <w:r>
        <w:rPr>
          <w:rFonts w:asciiTheme="majorHAnsi" w:hAnsiTheme="majorHAnsi"/>
          <w:sz w:val="24"/>
        </w:rPr>
        <w:t xml:space="preserve">. </w:t>
      </w:r>
      <w:r w:rsidRPr="00921061" w:rsidR="00921061">
        <w:rPr>
          <w:rFonts w:asciiTheme="majorHAnsi" w:hAnsiTheme="majorHAnsi"/>
          <w:sz w:val="24"/>
        </w:rPr>
        <w:t xml:space="preserve">The </w:t>
      </w:r>
      <w:r w:rsidR="00F0714E">
        <w:rPr>
          <w:rFonts w:asciiTheme="majorHAnsi" w:hAnsiTheme="majorHAnsi"/>
          <w:sz w:val="24"/>
        </w:rPr>
        <w:t>Integrated Primary</w:t>
      </w:r>
      <w:r w:rsidRPr="00921061" w:rsidR="00921061">
        <w:rPr>
          <w:rFonts w:asciiTheme="majorHAnsi" w:hAnsiTheme="majorHAnsi"/>
          <w:sz w:val="24"/>
        </w:rPr>
        <w:t xml:space="preserve"> Prevention Activity Tracker (</w:t>
      </w:r>
      <w:r w:rsidR="00C85EB8">
        <w:rPr>
          <w:rFonts w:asciiTheme="majorHAnsi" w:hAnsiTheme="majorHAnsi"/>
          <w:sz w:val="24"/>
        </w:rPr>
        <w:t>I-PACT</w:t>
      </w:r>
      <w:r w:rsidRPr="00921061" w:rsidR="00921061">
        <w:rPr>
          <w:rFonts w:asciiTheme="majorHAnsi" w:hAnsiTheme="majorHAnsi"/>
          <w:sz w:val="24"/>
        </w:rPr>
        <w:t xml:space="preserve">) will assess </w:t>
      </w:r>
      <w:r w:rsidR="00C51C21">
        <w:rPr>
          <w:rFonts w:asciiTheme="majorHAnsi" w:hAnsiTheme="majorHAnsi"/>
          <w:sz w:val="24"/>
        </w:rPr>
        <w:t>IPP</w:t>
      </w:r>
      <w:r w:rsidRPr="00921061" w:rsidR="00C51C21">
        <w:rPr>
          <w:rFonts w:asciiTheme="majorHAnsi" w:hAnsiTheme="majorHAnsi"/>
          <w:sz w:val="24"/>
        </w:rPr>
        <w:t xml:space="preserve"> </w:t>
      </w:r>
      <w:r w:rsidRPr="00921061" w:rsidR="00921061">
        <w:rPr>
          <w:rFonts w:asciiTheme="majorHAnsi" w:hAnsiTheme="majorHAnsi"/>
          <w:sz w:val="24"/>
        </w:rPr>
        <w:t xml:space="preserve">activities implemented in all installations that have hired </w:t>
      </w:r>
      <w:r w:rsidR="00693AE9">
        <w:rPr>
          <w:rFonts w:asciiTheme="majorHAnsi" w:hAnsiTheme="majorHAnsi"/>
          <w:sz w:val="24"/>
        </w:rPr>
        <w:t>IPP Personnel</w:t>
      </w:r>
      <w:r w:rsidRPr="00921061" w:rsidR="00693AE9">
        <w:rPr>
          <w:rFonts w:asciiTheme="majorHAnsi" w:hAnsiTheme="majorHAnsi"/>
          <w:sz w:val="24"/>
        </w:rPr>
        <w:t xml:space="preserve"> </w:t>
      </w:r>
      <w:r w:rsidRPr="00921061" w:rsidR="00921061">
        <w:rPr>
          <w:rFonts w:asciiTheme="majorHAnsi" w:hAnsiTheme="majorHAnsi"/>
          <w:sz w:val="24"/>
        </w:rPr>
        <w:t xml:space="preserve">and addresses the </w:t>
      </w:r>
      <w:r w:rsidR="008B4530">
        <w:rPr>
          <w:rFonts w:asciiTheme="majorHAnsi" w:hAnsiTheme="majorHAnsi"/>
          <w:sz w:val="24"/>
        </w:rPr>
        <w:t xml:space="preserve">degree to which there </w:t>
      </w:r>
      <w:r w:rsidRPr="00921061" w:rsidR="00921061">
        <w:rPr>
          <w:rFonts w:asciiTheme="majorHAnsi" w:hAnsiTheme="majorHAnsi"/>
          <w:sz w:val="24"/>
        </w:rPr>
        <w:t>Fully Implemented Process component in the logic model.</w:t>
      </w:r>
    </w:p>
    <w:p w:rsidR="00E51FD5" w:rsidP="00C62649" w14:paraId="2F1BE3D9" w14:textId="4BD50692">
      <w:pPr>
        <w:spacing w:after="0" w:line="240" w:lineRule="auto"/>
        <w:rPr>
          <w:rFonts w:asciiTheme="majorHAnsi" w:hAnsiTheme="majorHAnsi"/>
          <w:sz w:val="24"/>
        </w:rPr>
      </w:pPr>
      <w:r w:rsidRPr="00E311ED">
        <w:rPr>
          <w:rFonts w:asciiTheme="majorHAnsi" w:hAnsiTheme="majorHAnsi"/>
          <w:i/>
          <w:iCs/>
          <w:sz w:val="24"/>
        </w:rPr>
        <w:t>COHORT STUDY:</w:t>
      </w:r>
      <w:r>
        <w:rPr>
          <w:rFonts w:asciiTheme="majorHAnsi" w:hAnsiTheme="majorHAnsi"/>
          <w:sz w:val="24"/>
        </w:rPr>
        <w:t xml:space="preserve"> </w:t>
      </w:r>
      <w:r w:rsidR="003D610C">
        <w:rPr>
          <w:rFonts w:asciiTheme="majorHAnsi" w:hAnsiTheme="majorHAnsi"/>
          <w:sz w:val="24"/>
        </w:rPr>
        <w:t>C</w:t>
      </w:r>
      <w:r w:rsidRPr="003D610C" w:rsidR="003D610C">
        <w:rPr>
          <w:rFonts w:asciiTheme="majorHAnsi" w:hAnsiTheme="majorHAnsi"/>
          <w:sz w:val="24"/>
        </w:rPr>
        <w:t xml:space="preserve">onducting a quasi-experimental study across DoD components to compare a sub-group of installations that have and have not hired </w:t>
      </w:r>
      <w:r w:rsidR="00BD128F">
        <w:rPr>
          <w:rFonts w:asciiTheme="majorHAnsi" w:hAnsiTheme="majorHAnsi"/>
          <w:iCs/>
          <w:sz w:val="24"/>
        </w:rPr>
        <w:t>IPP personnel</w:t>
      </w:r>
      <w:r w:rsidRPr="00BF271A" w:rsidR="00BD128F">
        <w:rPr>
          <w:rFonts w:asciiTheme="majorHAnsi" w:hAnsiTheme="majorHAnsi"/>
          <w:iCs/>
          <w:sz w:val="24"/>
        </w:rPr>
        <w:t xml:space="preserve"> </w:t>
      </w:r>
      <w:r w:rsidRPr="003D610C" w:rsidR="003D610C">
        <w:rPr>
          <w:rFonts w:asciiTheme="majorHAnsi" w:hAnsiTheme="majorHAnsi"/>
          <w:sz w:val="24"/>
        </w:rPr>
        <w:t xml:space="preserve">on barriers to hiring, prevention activities, and support for </w:t>
      </w:r>
      <w:r w:rsidR="00BD128F">
        <w:rPr>
          <w:rFonts w:asciiTheme="majorHAnsi" w:hAnsiTheme="majorHAnsi"/>
          <w:sz w:val="24"/>
        </w:rPr>
        <w:t>IPP</w:t>
      </w:r>
      <w:r w:rsidRPr="003D610C" w:rsidR="003D610C">
        <w:rPr>
          <w:rFonts w:asciiTheme="majorHAnsi" w:hAnsiTheme="majorHAnsi"/>
          <w:sz w:val="24"/>
        </w:rPr>
        <w:t xml:space="preserve">, at local organizational and DoD component levels, and provide context to the findings from </w:t>
      </w:r>
      <w:r w:rsidR="00061C28">
        <w:rPr>
          <w:rFonts w:asciiTheme="majorHAnsi" w:hAnsiTheme="majorHAnsi"/>
          <w:sz w:val="24"/>
        </w:rPr>
        <w:t xml:space="preserve">the other </w:t>
      </w:r>
      <w:r w:rsidRPr="003D610C" w:rsidR="003D610C">
        <w:rPr>
          <w:rFonts w:asciiTheme="majorHAnsi" w:hAnsiTheme="majorHAnsi"/>
          <w:sz w:val="24"/>
        </w:rPr>
        <w:t xml:space="preserve">methods. This method will provide a bottom-up perspective on the hiring, integration, and effectiveness of the </w:t>
      </w:r>
      <w:r w:rsidR="00BD128F">
        <w:rPr>
          <w:rFonts w:asciiTheme="majorHAnsi" w:hAnsiTheme="majorHAnsi"/>
          <w:iCs/>
          <w:sz w:val="24"/>
        </w:rPr>
        <w:t>IPP personnel</w:t>
      </w:r>
      <w:r w:rsidRPr="003D610C" w:rsidR="003D610C">
        <w:rPr>
          <w:rFonts w:asciiTheme="majorHAnsi" w:hAnsiTheme="majorHAnsi"/>
          <w:sz w:val="24"/>
        </w:rPr>
        <w:t xml:space="preserve">, as well as critical context to the overall evaluation findings, including a clearer understanding of barriers and facilitators that </w:t>
      </w:r>
      <w:r w:rsidR="0021554F">
        <w:rPr>
          <w:rFonts w:asciiTheme="majorHAnsi" w:hAnsiTheme="majorHAnsi"/>
          <w:iCs/>
          <w:sz w:val="24"/>
        </w:rPr>
        <w:t>IPP personnel</w:t>
      </w:r>
      <w:r w:rsidRPr="00BF271A" w:rsidR="0021554F">
        <w:rPr>
          <w:rFonts w:asciiTheme="majorHAnsi" w:hAnsiTheme="majorHAnsi"/>
          <w:iCs/>
          <w:sz w:val="24"/>
        </w:rPr>
        <w:t xml:space="preserve"> </w:t>
      </w:r>
      <w:r w:rsidRPr="003D610C" w:rsidR="003D610C">
        <w:rPr>
          <w:rFonts w:asciiTheme="majorHAnsi" w:hAnsiTheme="majorHAnsi"/>
          <w:sz w:val="24"/>
        </w:rPr>
        <w:t>face.</w:t>
      </w:r>
      <w:r w:rsidR="00FE42C4">
        <w:rPr>
          <w:rFonts w:asciiTheme="majorHAnsi" w:hAnsiTheme="majorHAnsi"/>
          <w:sz w:val="24"/>
        </w:rPr>
        <w:t xml:space="preserve"> </w:t>
      </w:r>
      <w:r w:rsidRPr="00E311ED" w:rsidR="00FE42C4">
        <w:rPr>
          <w:rFonts w:asciiTheme="majorHAnsi" w:hAnsiTheme="majorHAnsi"/>
          <w:sz w:val="24"/>
        </w:rPr>
        <w:t xml:space="preserve">This method will be a two-phase cohort study, recruiting a sample of installations that have hired </w:t>
      </w:r>
      <w:r w:rsidR="00FE42C4">
        <w:rPr>
          <w:rFonts w:asciiTheme="majorHAnsi" w:hAnsiTheme="majorHAnsi"/>
          <w:iCs/>
          <w:sz w:val="24"/>
        </w:rPr>
        <w:t>IPP personnel</w:t>
      </w:r>
      <w:r w:rsidRPr="00BF271A" w:rsidR="00FE42C4">
        <w:rPr>
          <w:rFonts w:asciiTheme="majorHAnsi" w:hAnsiTheme="majorHAnsi"/>
          <w:iCs/>
          <w:sz w:val="24"/>
        </w:rPr>
        <w:t xml:space="preserve"> </w:t>
      </w:r>
      <w:r w:rsidRPr="00E311ED" w:rsidR="00FE42C4">
        <w:rPr>
          <w:rFonts w:asciiTheme="majorHAnsi" w:hAnsiTheme="majorHAnsi"/>
          <w:sz w:val="24"/>
        </w:rPr>
        <w:t xml:space="preserve">and a sample that have not. These installations will be recruited in two cohorts. Cohort A will comprise </w:t>
      </w:r>
      <w:r w:rsidR="00FE42C4">
        <w:rPr>
          <w:rFonts w:asciiTheme="majorHAnsi" w:hAnsiTheme="majorHAnsi"/>
          <w:sz w:val="24"/>
        </w:rPr>
        <w:t>16</w:t>
      </w:r>
      <w:r w:rsidRPr="00E311ED" w:rsidR="00FE42C4">
        <w:rPr>
          <w:rFonts w:asciiTheme="majorHAnsi" w:hAnsiTheme="majorHAnsi"/>
          <w:sz w:val="24"/>
        </w:rPr>
        <w:t xml:space="preserve"> installations (</w:t>
      </w:r>
      <w:r w:rsidR="00FE42C4">
        <w:rPr>
          <w:rFonts w:asciiTheme="majorHAnsi" w:hAnsiTheme="majorHAnsi"/>
          <w:sz w:val="24"/>
        </w:rPr>
        <w:t>8</w:t>
      </w:r>
      <w:r w:rsidRPr="00E311ED" w:rsidR="00FE42C4">
        <w:rPr>
          <w:rFonts w:asciiTheme="majorHAnsi" w:hAnsiTheme="majorHAnsi"/>
          <w:sz w:val="24"/>
        </w:rPr>
        <w:t xml:space="preserve"> with their full complement of </w:t>
      </w:r>
      <w:r w:rsidR="00FE42C4">
        <w:rPr>
          <w:rFonts w:asciiTheme="majorHAnsi" w:hAnsiTheme="majorHAnsi"/>
          <w:sz w:val="24"/>
        </w:rPr>
        <w:t xml:space="preserve">IPP </w:t>
      </w:r>
      <w:r w:rsidRPr="00E311ED" w:rsidR="00FE42C4">
        <w:rPr>
          <w:rFonts w:asciiTheme="majorHAnsi" w:hAnsiTheme="majorHAnsi"/>
          <w:sz w:val="24"/>
        </w:rPr>
        <w:t>P</w:t>
      </w:r>
      <w:r w:rsidR="00FE42C4">
        <w:rPr>
          <w:rFonts w:asciiTheme="majorHAnsi" w:hAnsiTheme="majorHAnsi"/>
          <w:sz w:val="24"/>
        </w:rPr>
        <w:t>ersonnel</w:t>
      </w:r>
      <w:r w:rsidRPr="00E311ED" w:rsidR="00FE42C4">
        <w:rPr>
          <w:rFonts w:asciiTheme="majorHAnsi" w:hAnsiTheme="majorHAnsi"/>
          <w:sz w:val="24"/>
        </w:rPr>
        <w:t xml:space="preserve"> and </w:t>
      </w:r>
      <w:r w:rsidR="00FE42C4">
        <w:rPr>
          <w:rFonts w:asciiTheme="majorHAnsi" w:hAnsiTheme="majorHAnsi"/>
          <w:sz w:val="24"/>
        </w:rPr>
        <w:t>8</w:t>
      </w:r>
      <w:r w:rsidRPr="00E311ED" w:rsidR="00FE42C4">
        <w:rPr>
          <w:rFonts w:asciiTheme="majorHAnsi" w:hAnsiTheme="majorHAnsi"/>
          <w:sz w:val="24"/>
        </w:rPr>
        <w:t xml:space="preserve"> without); Cohort B will comprise </w:t>
      </w:r>
      <w:r w:rsidR="00FE42C4">
        <w:rPr>
          <w:rFonts w:asciiTheme="majorHAnsi" w:hAnsiTheme="majorHAnsi"/>
          <w:sz w:val="24"/>
        </w:rPr>
        <w:t>1</w:t>
      </w:r>
      <w:r w:rsidRPr="00E311ED" w:rsidR="00FE42C4">
        <w:rPr>
          <w:rFonts w:asciiTheme="majorHAnsi" w:hAnsiTheme="majorHAnsi"/>
          <w:sz w:val="24"/>
        </w:rPr>
        <w:t xml:space="preserve">0 installations, all with their full complement of </w:t>
      </w:r>
      <w:r w:rsidR="00FE42C4">
        <w:rPr>
          <w:rFonts w:asciiTheme="majorHAnsi" w:hAnsiTheme="majorHAnsi"/>
          <w:iCs/>
          <w:sz w:val="24"/>
        </w:rPr>
        <w:t>IPP personnel</w:t>
      </w:r>
      <w:r w:rsidRPr="00E311ED" w:rsidR="00FE42C4">
        <w:rPr>
          <w:rFonts w:asciiTheme="majorHAnsi" w:hAnsiTheme="majorHAnsi"/>
          <w:sz w:val="24"/>
        </w:rPr>
        <w:t xml:space="preserve">. </w:t>
      </w:r>
      <w:r w:rsidR="00FE42C4">
        <w:rPr>
          <w:rFonts w:asciiTheme="majorHAnsi" w:hAnsiTheme="majorHAnsi"/>
          <w:sz w:val="24"/>
        </w:rPr>
        <w:t xml:space="preserve">The primary data collection method will be interviews. </w:t>
      </w:r>
      <w:r w:rsidRPr="004539F0" w:rsidR="00FE42C4">
        <w:rPr>
          <w:rFonts w:asciiTheme="majorHAnsi" w:hAnsiTheme="majorHAnsi"/>
          <w:sz w:val="24"/>
        </w:rPr>
        <w:t>These interviews will follow closely the protocol for the Leader</w:t>
      </w:r>
      <w:r w:rsidR="00FE42C4">
        <w:rPr>
          <w:rFonts w:asciiTheme="majorHAnsi" w:hAnsiTheme="majorHAnsi"/>
          <w:sz w:val="24"/>
        </w:rPr>
        <w:t>/Supervisor</w:t>
      </w:r>
      <w:r w:rsidRPr="004539F0" w:rsidR="00FE42C4">
        <w:rPr>
          <w:rFonts w:asciiTheme="majorHAnsi" w:hAnsiTheme="majorHAnsi"/>
          <w:sz w:val="24"/>
        </w:rPr>
        <w:t xml:space="preserve"> Interviews described above, adapted for the tactical/installation instead of the strategic or operational levels.</w:t>
      </w:r>
    </w:p>
    <w:p w:rsidR="005B207F" w:rsidP="00E311ED" w14:paraId="0C1BA88D" w14:textId="1C1DD416">
      <w:pPr>
        <w:spacing w:after="0" w:line="240" w:lineRule="auto"/>
        <w:rPr>
          <w:rFonts w:asciiTheme="majorHAnsi" w:hAnsiTheme="majorHAnsi"/>
          <w:sz w:val="24"/>
        </w:rPr>
      </w:pPr>
    </w:p>
    <w:p w:rsidR="00A56FFD" w:rsidP="00FE42C4" w14:paraId="7BD42541" w14:textId="44646264">
      <w:pPr>
        <w:spacing w:after="0" w:line="240" w:lineRule="auto"/>
        <w:rPr>
          <w:rFonts w:asciiTheme="majorHAnsi" w:hAnsiTheme="majorHAnsi"/>
          <w:sz w:val="24"/>
        </w:rPr>
      </w:pPr>
      <w:r w:rsidRPr="00AF5C97">
        <w:rPr>
          <w:rFonts w:asciiTheme="majorHAnsi" w:hAnsiTheme="majorHAnsi"/>
          <w:i/>
          <w:iCs/>
          <w:sz w:val="24"/>
        </w:rPr>
        <w:t>IPP</w:t>
      </w:r>
      <w:r w:rsidRPr="00AF5C97" w:rsidR="00E03A22">
        <w:rPr>
          <w:rFonts w:asciiTheme="majorHAnsi" w:hAnsiTheme="majorHAnsi"/>
          <w:i/>
          <w:iCs/>
          <w:sz w:val="24"/>
        </w:rPr>
        <w:t xml:space="preserve">W </w:t>
      </w:r>
      <w:r w:rsidRPr="00AF5C97" w:rsidR="003E1C06">
        <w:rPr>
          <w:rFonts w:asciiTheme="majorHAnsi" w:hAnsiTheme="majorHAnsi"/>
          <w:i/>
          <w:iCs/>
          <w:sz w:val="24"/>
        </w:rPr>
        <w:t>RESUME REVIEW</w:t>
      </w:r>
      <w:r w:rsidR="003E1C06">
        <w:rPr>
          <w:rFonts w:asciiTheme="majorHAnsi" w:hAnsiTheme="majorHAnsi"/>
          <w:sz w:val="24"/>
        </w:rPr>
        <w:t xml:space="preserve">: </w:t>
      </w:r>
      <w:r w:rsidRPr="006953A3" w:rsidR="006953A3">
        <w:rPr>
          <w:rFonts w:asciiTheme="majorHAnsi" w:hAnsiTheme="majorHAnsi"/>
          <w:sz w:val="24"/>
        </w:rPr>
        <w:t xml:space="preserve">Using the required </w:t>
      </w:r>
      <w:r w:rsidR="00E03A22">
        <w:rPr>
          <w:rFonts w:asciiTheme="majorHAnsi" w:hAnsiTheme="majorHAnsi"/>
          <w:sz w:val="24"/>
        </w:rPr>
        <w:t>IPPW</w:t>
      </w:r>
      <w:r w:rsidRPr="006953A3" w:rsidR="00E03A22">
        <w:rPr>
          <w:rFonts w:asciiTheme="majorHAnsi" w:hAnsiTheme="majorHAnsi"/>
          <w:sz w:val="24"/>
        </w:rPr>
        <w:t xml:space="preserve"> </w:t>
      </w:r>
      <w:r w:rsidRPr="006953A3" w:rsidR="006953A3">
        <w:rPr>
          <w:rFonts w:asciiTheme="majorHAnsi" w:hAnsiTheme="majorHAnsi"/>
          <w:sz w:val="24"/>
        </w:rPr>
        <w:t xml:space="preserve">skills and competencies from DoD components’ PDs and the DoD’s Prevention Workforce Model, </w:t>
      </w:r>
      <w:r w:rsidR="0066717B">
        <w:rPr>
          <w:rFonts w:asciiTheme="majorHAnsi" w:hAnsiTheme="majorHAnsi"/>
          <w:sz w:val="24"/>
        </w:rPr>
        <w:t>RAND</w:t>
      </w:r>
      <w:r w:rsidRPr="006953A3" w:rsidR="006953A3">
        <w:rPr>
          <w:rFonts w:asciiTheme="majorHAnsi" w:hAnsiTheme="majorHAnsi"/>
          <w:sz w:val="24"/>
        </w:rPr>
        <w:t xml:space="preserve"> will rate the alignment of a sub-set </w:t>
      </w:r>
      <w:r w:rsidR="00FE42C4">
        <w:rPr>
          <w:rFonts w:asciiTheme="majorHAnsi" w:hAnsiTheme="majorHAnsi"/>
          <w:sz w:val="24"/>
        </w:rPr>
        <w:t xml:space="preserve">(10%) </w:t>
      </w:r>
      <w:r w:rsidRPr="006953A3" w:rsidR="006953A3">
        <w:rPr>
          <w:rFonts w:asciiTheme="majorHAnsi" w:hAnsiTheme="majorHAnsi"/>
          <w:sz w:val="24"/>
        </w:rPr>
        <w:t xml:space="preserve">of </w:t>
      </w:r>
      <w:r w:rsidR="00E03A22">
        <w:rPr>
          <w:rFonts w:asciiTheme="majorHAnsi" w:hAnsiTheme="majorHAnsi"/>
          <w:sz w:val="24"/>
        </w:rPr>
        <w:t>full-time IPPW</w:t>
      </w:r>
      <w:r w:rsidRPr="006953A3" w:rsidR="00E03A22">
        <w:rPr>
          <w:rFonts w:asciiTheme="majorHAnsi" w:hAnsiTheme="majorHAnsi"/>
          <w:sz w:val="24"/>
        </w:rPr>
        <w:t xml:space="preserve"> </w:t>
      </w:r>
      <w:r w:rsidRPr="006953A3" w:rsidR="006953A3">
        <w:rPr>
          <w:rFonts w:asciiTheme="majorHAnsi" w:hAnsiTheme="majorHAnsi"/>
          <w:sz w:val="24"/>
        </w:rPr>
        <w:t xml:space="preserve">resumes with these requirements. </w:t>
      </w:r>
      <w:r w:rsidRPr="00A56FFD">
        <w:rPr>
          <w:rFonts w:asciiTheme="majorHAnsi" w:hAnsiTheme="majorHAnsi"/>
          <w:sz w:val="24"/>
        </w:rPr>
        <w:t xml:space="preserve">We will purposefully select </w:t>
      </w:r>
      <w:r w:rsidR="00095903">
        <w:rPr>
          <w:rFonts w:asciiTheme="majorHAnsi" w:hAnsiTheme="majorHAnsi"/>
          <w:sz w:val="24"/>
        </w:rPr>
        <w:t>IPPW</w:t>
      </w:r>
      <w:r w:rsidRPr="00A56FFD" w:rsidR="00095903">
        <w:rPr>
          <w:rFonts w:asciiTheme="majorHAnsi" w:hAnsiTheme="majorHAnsi"/>
          <w:sz w:val="24"/>
        </w:rPr>
        <w:t xml:space="preserve"> </w:t>
      </w:r>
      <w:r w:rsidRPr="00A56FFD">
        <w:rPr>
          <w:rFonts w:asciiTheme="majorHAnsi" w:hAnsiTheme="majorHAnsi"/>
          <w:sz w:val="24"/>
        </w:rPr>
        <w:t>across DoD components, with estimated numbers and types based off the DoD component’s final hiring plans</w:t>
      </w:r>
      <w:r w:rsidR="000C78C5">
        <w:rPr>
          <w:rFonts w:asciiTheme="majorHAnsi" w:hAnsiTheme="majorHAnsi"/>
          <w:sz w:val="24"/>
        </w:rPr>
        <w:t>.</w:t>
      </w:r>
    </w:p>
    <w:p w:rsidR="001D746A" w:rsidP="00E311ED" w14:paraId="6512CB29" w14:textId="1D08C168">
      <w:pPr>
        <w:spacing w:after="0" w:line="240" w:lineRule="auto"/>
        <w:rPr>
          <w:rFonts w:asciiTheme="majorHAnsi" w:hAnsiTheme="majorHAnsi"/>
          <w:sz w:val="24"/>
        </w:rPr>
      </w:pPr>
    </w:p>
    <w:p w:rsidR="00EC0993" w:rsidP="00E311ED" w14:paraId="0877B962" w14:textId="0AF79D5E">
      <w:pPr>
        <w:spacing w:after="0" w:line="240" w:lineRule="auto"/>
        <w:rPr>
          <w:rFonts w:asciiTheme="majorHAnsi" w:hAnsiTheme="majorHAnsi"/>
          <w:sz w:val="24"/>
        </w:rPr>
      </w:pPr>
      <w:r>
        <w:rPr>
          <w:rFonts w:asciiTheme="majorHAnsi" w:hAnsiTheme="majorHAnsi"/>
          <w:i/>
          <w:iCs/>
          <w:sz w:val="24"/>
        </w:rPr>
        <w:t>IPP</w:t>
      </w:r>
      <w:r w:rsidRPr="00EC0993">
        <w:rPr>
          <w:rFonts w:asciiTheme="majorHAnsi" w:hAnsiTheme="majorHAnsi"/>
          <w:i/>
          <w:iCs/>
          <w:sz w:val="24"/>
        </w:rPr>
        <w:t xml:space="preserve"> PLAN REVIEW</w:t>
      </w:r>
      <w:r>
        <w:rPr>
          <w:rFonts w:asciiTheme="majorHAnsi" w:hAnsiTheme="majorHAnsi"/>
          <w:sz w:val="24"/>
        </w:rPr>
        <w:t xml:space="preserve">: </w:t>
      </w:r>
      <w:r w:rsidRPr="00EC0993">
        <w:rPr>
          <w:rFonts w:asciiTheme="majorHAnsi" w:hAnsiTheme="majorHAnsi"/>
          <w:sz w:val="24"/>
        </w:rPr>
        <w:t xml:space="preserve">Using the Plan Quality Index to rate the quality and comprehensiveness of a sub-set of installations’ </w:t>
      </w:r>
      <w:r>
        <w:rPr>
          <w:rFonts w:asciiTheme="majorHAnsi" w:hAnsiTheme="majorHAnsi"/>
          <w:sz w:val="24"/>
        </w:rPr>
        <w:t>IPP</w:t>
      </w:r>
      <w:r w:rsidRPr="00EC0993">
        <w:rPr>
          <w:rFonts w:asciiTheme="majorHAnsi" w:hAnsiTheme="majorHAnsi"/>
          <w:sz w:val="24"/>
        </w:rPr>
        <w:t xml:space="preserve"> </w:t>
      </w:r>
      <w:r w:rsidRPr="00EC0993">
        <w:rPr>
          <w:rFonts w:asciiTheme="majorHAnsi" w:hAnsiTheme="majorHAnsi"/>
          <w:sz w:val="24"/>
        </w:rPr>
        <w:t>plans</w:t>
      </w:r>
      <w:r w:rsidR="00503739">
        <w:rPr>
          <w:rFonts w:asciiTheme="majorHAnsi" w:hAnsiTheme="majorHAnsi"/>
          <w:sz w:val="24"/>
        </w:rPr>
        <w:t>, t</w:t>
      </w:r>
      <w:r w:rsidRPr="00EC0993">
        <w:rPr>
          <w:rFonts w:asciiTheme="majorHAnsi" w:hAnsiTheme="majorHAnsi"/>
          <w:sz w:val="24"/>
        </w:rPr>
        <w:t xml:space="preserve">his method will provide an in-depth review of </w:t>
      </w:r>
      <w:r>
        <w:rPr>
          <w:rFonts w:asciiTheme="majorHAnsi" w:hAnsiTheme="majorHAnsi"/>
          <w:sz w:val="24"/>
        </w:rPr>
        <w:t>IPP</w:t>
      </w:r>
      <w:r w:rsidRPr="00EC0993">
        <w:rPr>
          <w:rFonts w:asciiTheme="majorHAnsi" w:hAnsiTheme="majorHAnsi"/>
          <w:sz w:val="24"/>
        </w:rPr>
        <w:t xml:space="preserve"> </w:t>
      </w:r>
      <w:r w:rsidRPr="00EC0993">
        <w:rPr>
          <w:rFonts w:asciiTheme="majorHAnsi" w:hAnsiTheme="majorHAnsi"/>
          <w:sz w:val="24"/>
        </w:rPr>
        <w:t xml:space="preserve">teams, including their implementation and evaluation of </w:t>
      </w:r>
      <w:r>
        <w:rPr>
          <w:rFonts w:asciiTheme="majorHAnsi" w:hAnsiTheme="majorHAnsi"/>
          <w:sz w:val="24"/>
        </w:rPr>
        <w:t>IPP</w:t>
      </w:r>
      <w:r w:rsidRPr="00EC0993">
        <w:rPr>
          <w:rFonts w:asciiTheme="majorHAnsi" w:hAnsiTheme="majorHAnsi"/>
          <w:sz w:val="24"/>
        </w:rPr>
        <w:t xml:space="preserve"> </w:t>
      </w:r>
      <w:r w:rsidRPr="00EC0993">
        <w:rPr>
          <w:rFonts w:asciiTheme="majorHAnsi" w:hAnsiTheme="majorHAnsi"/>
          <w:sz w:val="24"/>
        </w:rPr>
        <w:t xml:space="preserve">processes, and will provide context to findings from the analysis of </w:t>
      </w:r>
      <w:r w:rsidR="00C85EB8">
        <w:rPr>
          <w:rFonts w:asciiTheme="majorHAnsi" w:hAnsiTheme="majorHAnsi"/>
          <w:sz w:val="24"/>
        </w:rPr>
        <w:t>I-PACT</w:t>
      </w:r>
      <w:r w:rsidR="00503739">
        <w:rPr>
          <w:rFonts w:asciiTheme="majorHAnsi" w:hAnsiTheme="majorHAnsi"/>
          <w:sz w:val="24"/>
        </w:rPr>
        <w:t xml:space="preserve"> </w:t>
      </w:r>
      <w:r w:rsidRPr="00EC0993">
        <w:rPr>
          <w:rFonts w:asciiTheme="majorHAnsi" w:hAnsiTheme="majorHAnsi"/>
          <w:sz w:val="24"/>
        </w:rPr>
        <w:t>data.</w:t>
      </w:r>
    </w:p>
    <w:p w:rsidR="00A804C3" w:rsidP="00E311ED" w14:paraId="6A397567" w14:textId="3959D99E">
      <w:pPr>
        <w:spacing w:after="0" w:line="240" w:lineRule="auto"/>
        <w:rPr>
          <w:rFonts w:asciiTheme="majorHAnsi" w:hAnsiTheme="majorHAnsi"/>
          <w:sz w:val="24"/>
        </w:rPr>
      </w:pPr>
    </w:p>
    <w:p w:rsidR="001D0B70" w:rsidP="001D0B70" w14:paraId="1210CEA3" w14:textId="0395C531">
      <w:pPr>
        <w:spacing w:after="0" w:line="240" w:lineRule="auto"/>
        <w:rPr>
          <w:rFonts w:asciiTheme="majorHAnsi" w:hAnsiTheme="majorHAnsi"/>
          <w:sz w:val="24"/>
          <w:szCs w:val="24"/>
        </w:rPr>
      </w:pPr>
      <w:r w:rsidRPr="0049342A">
        <w:rPr>
          <w:rFonts w:asciiTheme="majorHAnsi" w:hAnsiTheme="majorHAnsi"/>
          <w:i/>
          <w:iCs/>
          <w:sz w:val="24"/>
        </w:rPr>
        <w:t>DOD SECONDARY DATA</w:t>
      </w:r>
      <w:r>
        <w:rPr>
          <w:rFonts w:asciiTheme="majorHAnsi" w:hAnsiTheme="majorHAnsi"/>
          <w:sz w:val="24"/>
        </w:rPr>
        <w:t xml:space="preserve">: </w:t>
      </w:r>
      <w:r w:rsidR="00204424">
        <w:rPr>
          <w:rFonts w:asciiTheme="majorHAnsi" w:hAnsiTheme="majorHAnsi"/>
          <w:sz w:val="24"/>
        </w:rPr>
        <w:t>D</w:t>
      </w:r>
      <w:r w:rsidRPr="005A209C" w:rsidR="005A209C">
        <w:rPr>
          <w:rFonts w:asciiTheme="majorHAnsi" w:hAnsiTheme="majorHAnsi"/>
          <w:sz w:val="24"/>
        </w:rPr>
        <w:t xml:space="preserve">ata that DoD already collects </w:t>
      </w:r>
      <w:r w:rsidR="00204424">
        <w:rPr>
          <w:rFonts w:asciiTheme="majorHAnsi" w:hAnsiTheme="majorHAnsi"/>
          <w:sz w:val="24"/>
        </w:rPr>
        <w:t xml:space="preserve">from service members </w:t>
      </w:r>
      <w:r w:rsidRPr="005A209C" w:rsidR="005A209C">
        <w:rPr>
          <w:rFonts w:asciiTheme="majorHAnsi" w:hAnsiTheme="majorHAnsi"/>
          <w:sz w:val="24"/>
        </w:rPr>
        <w:t>such as the Workplace and Gender Relations Survey of Active Duty Service members, the Defense Organizational Climate Survey, incidents of sexual assault</w:t>
      </w:r>
      <w:r w:rsidR="00D05929">
        <w:rPr>
          <w:rFonts w:asciiTheme="majorHAnsi" w:hAnsiTheme="majorHAnsi"/>
          <w:sz w:val="24"/>
        </w:rPr>
        <w:t>, etc. will be gathered by RAND</w:t>
      </w:r>
      <w:r w:rsidR="00756BA0">
        <w:rPr>
          <w:rFonts w:asciiTheme="majorHAnsi" w:hAnsiTheme="majorHAnsi"/>
          <w:sz w:val="24"/>
        </w:rPr>
        <w:t>,</w:t>
      </w:r>
      <w:r w:rsidR="00D05929">
        <w:rPr>
          <w:rFonts w:asciiTheme="majorHAnsi" w:hAnsiTheme="majorHAnsi"/>
          <w:sz w:val="24"/>
        </w:rPr>
        <w:t xml:space="preserve"> </w:t>
      </w:r>
      <w:r w:rsidR="0005272A">
        <w:rPr>
          <w:rFonts w:asciiTheme="majorHAnsi" w:hAnsiTheme="majorHAnsi"/>
          <w:sz w:val="24"/>
        </w:rPr>
        <w:t xml:space="preserve">each </w:t>
      </w:r>
      <w:r w:rsidR="00756BA0">
        <w:rPr>
          <w:rFonts w:asciiTheme="majorHAnsi" w:hAnsiTheme="majorHAnsi"/>
          <w:sz w:val="24"/>
        </w:rPr>
        <w:t xml:space="preserve">year </w:t>
      </w:r>
      <w:r w:rsidR="0005272A">
        <w:rPr>
          <w:rFonts w:asciiTheme="majorHAnsi" w:hAnsiTheme="majorHAnsi"/>
          <w:sz w:val="24"/>
        </w:rPr>
        <w:t xml:space="preserve">of the </w:t>
      </w:r>
      <w:r w:rsidR="00756BA0">
        <w:rPr>
          <w:rFonts w:asciiTheme="majorHAnsi" w:hAnsiTheme="majorHAnsi"/>
          <w:sz w:val="24"/>
        </w:rPr>
        <w:t xml:space="preserve">evaluation period, </w:t>
      </w:r>
      <w:r w:rsidR="00D05929">
        <w:rPr>
          <w:rFonts w:asciiTheme="majorHAnsi" w:hAnsiTheme="majorHAnsi"/>
          <w:sz w:val="24"/>
        </w:rPr>
        <w:t xml:space="preserve">to conduct </w:t>
      </w:r>
      <w:r w:rsidR="003C1739">
        <w:rPr>
          <w:rFonts w:asciiTheme="majorHAnsi" w:hAnsiTheme="majorHAnsi"/>
          <w:sz w:val="24"/>
        </w:rPr>
        <w:t xml:space="preserve">three types of analyses: 1) </w:t>
      </w:r>
      <w:r w:rsidR="00D05929">
        <w:rPr>
          <w:rFonts w:asciiTheme="majorHAnsi" w:hAnsiTheme="majorHAnsi"/>
          <w:sz w:val="24"/>
        </w:rPr>
        <w:t xml:space="preserve">statistical modeling to determine the ultimate impact of the </w:t>
      </w:r>
      <w:r w:rsidR="000E0295">
        <w:rPr>
          <w:rFonts w:asciiTheme="majorHAnsi" w:hAnsiTheme="majorHAnsi"/>
          <w:sz w:val="24"/>
        </w:rPr>
        <w:t xml:space="preserve">IPP personnel </w:t>
      </w:r>
      <w:r w:rsidR="00FD366E">
        <w:rPr>
          <w:rFonts w:asciiTheme="majorHAnsi" w:hAnsiTheme="majorHAnsi"/>
          <w:sz w:val="24"/>
        </w:rPr>
        <w:t>on harmful behaviors and their risk factors</w:t>
      </w:r>
      <w:r w:rsidR="00D05BE2">
        <w:rPr>
          <w:rFonts w:asciiTheme="majorHAnsi" w:hAnsiTheme="majorHAnsi"/>
          <w:sz w:val="24"/>
        </w:rPr>
        <w:t xml:space="preserve">; 2) </w:t>
      </w:r>
      <w:r w:rsidR="00D81F3E">
        <w:rPr>
          <w:rFonts w:asciiTheme="majorHAnsi" w:hAnsiTheme="majorHAnsi"/>
          <w:sz w:val="24"/>
        </w:rPr>
        <w:t xml:space="preserve">determine the degree to which the </w:t>
      </w:r>
      <w:r w:rsidR="000E0295">
        <w:rPr>
          <w:rFonts w:asciiTheme="majorHAnsi" w:hAnsiTheme="majorHAnsi"/>
          <w:sz w:val="24"/>
        </w:rPr>
        <w:t xml:space="preserve">IPP personnel </w:t>
      </w:r>
      <w:r w:rsidR="00D81F3E">
        <w:rPr>
          <w:rFonts w:asciiTheme="majorHAnsi" w:hAnsiTheme="majorHAnsi"/>
          <w:sz w:val="24"/>
        </w:rPr>
        <w:t xml:space="preserve">work is cost-effective (i.e., do the </w:t>
      </w:r>
      <w:r w:rsidR="00AC20CB">
        <w:rPr>
          <w:rFonts w:asciiTheme="majorHAnsi" w:hAnsiTheme="majorHAnsi"/>
          <w:sz w:val="24"/>
        </w:rPr>
        <w:t xml:space="preserve">cost savings </w:t>
      </w:r>
      <w:r w:rsidR="00295D81">
        <w:rPr>
          <w:rFonts w:asciiTheme="majorHAnsi" w:hAnsiTheme="majorHAnsi"/>
          <w:sz w:val="24"/>
        </w:rPr>
        <w:t>that accrue from harmful behaviors av</w:t>
      </w:r>
      <w:r w:rsidR="00AC20CB">
        <w:rPr>
          <w:rFonts w:asciiTheme="majorHAnsi" w:hAnsiTheme="majorHAnsi"/>
          <w:sz w:val="24"/>
        </w:rPr>
        <w:t xml:space="preserve">oided outweigh the cost of the new </w:t>
      </w:r>
      <w:r w:rsidR="000E0295">
        <w:rPr>
          <w:rFonts w:asciiTheme="majorHAnsi" w:hAnsiTheme="majorHAnsi"/>
          <w:sz w:val="24"/>
        </w:rPr>
        <w:t>IPP personnel</w:t>
      </w:r>
      <w:r w:rsidR="003C1739">
        <w:rPr>
          <w:rFonts w:asciiTheme="majorHAnsi" w:hAnsiTheme="majorHAnsi"/>
          <w:sz w:val="24"/>
        </w:rPr>
        <w:t>)</w:t>
      </w:r>
      <w:r w:rsidR="00D05BE2">
        <w:rPr>
          <w:rFonts w:asciiTheme="majorHAnsi" w:hAnsiTheme="majorHAnsi"/>
          <w:sz w:val="24"/>
        </w:rPr>
        <w:t>;</w:t>
      </w:r>
      <w:r w:rsidR="003C1739">
        <w:rPr>
          <w:rFonts w:asciiTheme="majorHAnsi" w:hAnsiTheme="majorHAnsi"/>
          <w:sz w:val="24"/>
        </w:rPr>
        <w:t xml:space="preserve"> and </w:t>
      </w:r>
      <w:r w:rsidR="00D05BE2">
        <w:rPr>
          <w:rFonts w:asciiTheme="majorHAnsi" w:hAnsiTheme="majorHAnsi"/>
          <w:sz w:val="24"/>
        </w:rPr>
        <w:t xml:space="preserve">3) conduct simulation modeling that </w:t>
      </w:r>
      <w:r w:rsidR="00EB388A">
        <w:rPr>
          <w:rFonts w:asciiTheme="majorHAnsi" w:hAnsiTheme="majorHAnsi"/>
          <w:sz w:val="24"/>
        </w:rPr>
        <w:t>is able to make predictions about future outcomes based on the current relationship between</w:t>
      </w:r>
      <w:r w:rsidR="009B4993">
        <w:rPr>
          <w:rFonts w:asciiTheme="majorHAnsi" w:hAnsiTheme="majorHAnsi"/>
          <w:sz w:val="24"/>
        </w:rPr>
        <w:t xml:space="preserve"> the </w:t>
      </w:r>
      <w:r w:rsidR="000E0295">
        <w:rPr>
          <w:rFonts w:asciiTheme="majorHAnsi" w:hAnsiTheme="majorHAnsi"/>
          <w:sz w:val="24"/>
        </w:rPr>
        <w:t xml:space="preserve">IPP personnel </w:t>
      </w:r>
      <w:r w:rsidR="009B4993">
        <w:rPr>
          <w:rFonts w:asciiTheme="majorHAnsi" w:hAnsiTheme="majorHAnsi"/>
          <w:sz w:val="24"/>
        </w:rPr>
        <w:t xml:space="preserve">work and impacts on harmful behaviors. </w:t>
      </w:r>
    </w:p>
    <w:p w:rsidR="00444B49" w:rsidP="001D0B70" w14:paraId="5DEE3667" w14:textId="16A9EAB5">
      <w:pPr>
        <w:spacing w:after="0" w:line="240" w:lineRule="auto"/>
        <w:rPr>
          <w:rFonts w:asciiTheme="majorHAnsi" w:hAnsiTheme="majorHAnsi"/>
          <w:sz w:val="24"/>
          <w:szCs w:val="24"/>
        </w:rPr>
      </w:pPr>
    </w:p>
    <w:p w:rsidR="005C7428" w:rsidRPr="0085688C" w:rsidP="006E563D" w14:paraId="0B8FFE5A" w14:textId="25ED686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0D458001" w14:textId="509E5608">
      <w:pPr>
        <w:spacing w:after="0" w:line="240" w:lineRule="auto"/>
        <w:rPr>
          <w:rFonts w:asciiTheme="majorHAnsi" w:hAnsiTheme="majorHAnsi"/>
          <w:i/>
          <w:sz w:val="24"/>
        </w:rPr>
      </w:pPr>
    </w:p>
    <w:p w:rsidR="00B41769" w:rsidRPr="00B41769" w:rsidP="006E563D" w14:paraId="65575B3A" w14:textId="2E63DDB3">
      <w:pPr>
        <w:spacing w:after="0" w:line="240" w:lineRule="auto"/>
        <w:rPr>
          <w:rFonts w:asciiTheme="majorHAnsi" w:hAnsiTheme="majorHAnsi"/>
          <w:iCs/>
          <w:sz w:val="24"/>
        </w:rPr>
      </w:pPr>
      <w:r>
        <w:rPr>
          <w:rFonts w:asciiTheme="majorHAnsi" w:hAnsiTheme="majorHAnsi"/>
          <w:iCs/>
          <w:sz w:val="24"/>
        </w:rPr>
        <w:t xml:space="preserve">About </w:t>
      </w:r>
      <w:r w:rsidR="009B7F00">
        <w:rPr>
          <w:rFonts w:asciiTheme="majorHAnsi" w:hAnsiTheme="majorHAnsi"/>
          <w:iCs/>
          <w:sz w:val="24"/>
        </w:rPr>
        <w:t>9</w:t>
      </w:r>
      <w:r>
        <w:rPr>
          <w:rFonts w:asciiTheme="majorHAnsi" w:hAnsiTheme="majorHAnsi"/>
          <w:iCs/>
          <w:sz w:val="24"/>
        </w:rPr>
        <w:t>0% of the</w:t>
      </w:r>
      <w:r w:rsidR="009B7F00">
        <w:rPr>
          <w:rFonts w:asciiTheme="majorHAnsi" w:hAnsiTheme="majorHAnsi"/>
          <w:iCs/>
          <w:sz w:val="24"/>
        </w:rPr>
        <w:t xml:space="preserve"> of responses in this project will </w:t>
      </w:r>
      <w:r w:rsidR="00F83727">
        <w:rPr>
          <w:rFonts w:asciiTheme="majorHAnsi" w:hAnsiTheme="majorHAnsi"/>
          <w:iCs/>
          <w:sz w:val="24"/>
        </w:rPr>
        <w:t xml:space="preserve">be collected electronically. The only responses not collected electronically will be interview data collected from senior leaders and </w:t>
      </w:r>
      <w:r w:rsidR="00CA1803">
        <w:rPr>
          <w:rFonts w:asciiTheme="majorHAnsi" w:hAnsiTheme="majorHAnsi"/>
          <w:iCs/>
          <w:sz w:val="24"/>
        </w:rPr>
        <w:t>IPP personnel supervisors</w:t>
      </w:r>
      <w:r w:rsidR="00F83727">
        <w:rPr>
          <w:rFonts w:asciiTheme="majorHAnsi" w:hAnsiTheme="majorHAnsi"/>
          <w:iCs/>
          <w:sz w:val="24"/>
        </w:rPr>
        <w:t xml:space="preserve"> and </w:t>
      </w:r>
      <w:r w:rsidR="00CA7692">
        <w:rPr>
          <w:rFonts w:asciiTheme="majorHAnsi" w:hAnsiTheme="majorHAnsi"/>
          <w:iCs/>
          <w:sz w:val="24"/>
        </w:rPr>
        <w:t xml:space="preserve">from </w:t>
      </w:r>
      <w:r w:rsidR="00CA1803">
        <w:rPr>
          <w:rFonts w:asciiTheme="majorHAnsi" w:hAnsiTheme="majorHAnsi"/>
          <w:iCs/>
          <w:sz w:val="24"/>
        </w:rPr>
        <w:t>IPP personnel</w:t>
      </w:r>
      <w:r w:rsidRPr="00BF271A" w:rsidR="00CA1803">
        <w:rPr>
          <w:rFonts w:asciiTheme="majorHAnsi" w:hAnsiTheme="majorHAnsi"/>
          <w:iCs/>
          <w:sz w:val="24"/>
        </w:rPr>
        <w:t xml:space="preserve"> </w:t>
      </w:r>
      <w:r w:rsidR="00CA7692">
        <w:rPr>
          <w:rFonts w:asciiTheme="majorHAnsi" w:hAnsiTheme="majorHAnsi"/>
          <w:iCs/>
          <w:sz w:val="24"/>
        </w:rPr>
        <w:t xml:space="preserve">during site visits. </w:t>
      </w:r>
    </w:p>
    <w:p w:rsidR="00B41769" w:rsidRPr="00B41769" w:rsidP="006E563D" w14:paraId="1D913FC9" w14:textId="6848D5F0">
      <w:pPr>
        <w:spacing w:after="0" w:line="240" w:lineRule="auto"/>
        <w:rPr>
          <w:rFonts w:asciiTheme="majorHAnsi" w:hAnsiTheme="majorHAnsi"/>
          <w:iCs/>
          <w:sz w:val="24"/>
        </w:rPr>
      </w:pPr>
    </w:p>
    <w:p w:rsidR="00B41769" w:rsidRPr="00B41769" w:rsidP="006E563D" w14:paraId="4D4442CF" w14:textId="77777777">
      <w:pPr>
        <w:spacing w:after="0" w:line="240" w:lineRule="auto"/>
        <w:rPr>
          <w:rFonts w:asciiTheme="majorHAnsi" w:hAnsiTheme="majorHAnsi"/>
          <w:iCs/>
          <w:sz w:val="24"/>
        </w:rPr>
      </w:pPr>
    </w:p>
    <w:p w:rsidR="008635C4" w:rsidRPr="0085688C" w:rsidP="006E563D" w14:paraId="3E4C60F5" w14:textId="6B993D4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A5797C" w:rsidP="006E563D" w14:paraId="778A54BF" w14:textId="0EA4FBB8">
      <w:pPr>
        <w:spacing w:after="0" w:line="240" w:lineRule="auto"/>
        <w:rPr>
          <w:rFonts w:asciiTheme="majorHAnsi" w:hAnsiTheme="majorHAnsi"/>
          <w:iCs/>
          <w:sz w:val="24"/>
        </w:rPr>
      </w:pPr>
    </w:p>
    <w:p w:rsidR="004F1D84" w:rsidRPr="005E7F87" w:rsidP="006E563D" w14:paraId="6A5983EE" w14:textId="79C35737">
      <w:pPr>
        <w:spacing w:after="0" w:line="240" w:lineRule="auto"/>
        <w:rPr>
          <w:rFonts w:asciiTheme="majorHAnsi" w:hAnsiTheme="majorHAnsi"/>
          <w:iCs/>
          <w:sz w:val="24"/>
        </w:rPr>
      </w:pPr>
      <w:r>
        <w:rPr>
          <w:rFonts w:asciiTheme="majorHAnsi" w:hAnsiTheme="majorHAnsi"/>
          <w:iCs/>
          <w:sz w:val="24"/>
        </w:rPr>
        <w:t xml:space="preserve">As detailed above, this project makes </w:t>
      </w:r>
      <w:r w:rsidR="005B2021">
        <w:rPr>
          <w:rFonts w:asciiTheme="majorHAnsi" w:hAnsiTheme="majorHAnsi"/>
          <w:iCs/>
          <w:sz w:val="24"/>
        </w:rPr>
        <w:t xml:space="preserve">use of several existing data sources, including </w:t>
      </w:r>
      <w:r w:rsidR="00E80C21">
        <w:rPr>
          <w:rFonts w:asciiTheme="majorHAnsi" w:hAnsiTheme="majorHAnsi"/>
          <w:iCs/>
          <w:sz w:val="24"/>
        </w:rPr>
        <w:t xml:space="preserve">hiring data of the </w:t>
      </w:r>
      <w:r w:rsidR="00CA1803">
        <w:rPr>
          <w:rFonts w:asciiTheme="majorHAnsi" w:hAnsiTheme="majorHAnsi"/>
          <w:iCs/>
          <w:sz w:val="24"/>
        </w:rPr>
        <w:t>IPP personnel</w:t>
      </w:r>
      <w:r w:rsidRPr="00BF271A" w:rsidR="00CA1803">
        <w:rPr>
          <w:rFonts w:asciiTheme="majorHAnsi" w:hAnsiTheme="majorHAnsi"/>
          <w:iCs/>
          <w:sz w:val="24"/>
        </w:rPr>
        <w:t xml:space="preserve"> </w:t>
      </w:r>
      <w:r w:rsidR="00484A2A">
        <w:rPr>
          <w:rFonts w:asciiTheme="majorHAnsi" w:hAnsiTheme="majorHAnsi"/>
          <w:iCs/>
          <w:sz w:val="24"/>
        </w:rPr>
        <w:t xml:space="preserve">billets, </w:t>
      </w:r>
      <w:r w:rsidR="00CA1803">
        <w:rPr>
          <w:rFonts w:asciiTheme="majorHAnsi" w:hAnsiTheme="majorHAnsi"/>
          <w:iCs/>
          <w:sz w:val="24"/>
        </w:rPr>
        <w:t xml:space="preserve">IPPW </w:t>
      </w:r>
      <w:r w:rsidR="00DB5DA6">
        <w:rPr>
          <w:rFonts w:asciiTheme="majorHAnsi" w:hAnsiTheme="majorHAnsi"/>
          <w:iCs/>
          <w:sz w:val="24"/>
        </w:rPr>
        <w:t xml:space="preserve">resumes, </w:t>
      </w:r>
      <w:r w:rsidR="00A80B4B">
        <w:rPr>
          <w:rFonts w:asciiTheme="majorHAnsi" w:hAnsiTheme="majorHAnsi"/>
          <w:iCs/>
          <w:sz w:val="24"/>
        </w:rPr>
        <w:t xml:space="preserve">DoD-required </w:t>
      </w:r>
      <w:r w:rsidR="00DB5DA6">
        <w:rPr>
          <w:rFonts w:asciiTheme="majorHAnsi" w:hAnsiTheme="majorHAnsi"/>
          <w:iCs/>
          <w:sz w:val="24"/>
        </w:rPr>
        <w:t xml:space="preserve">installation </w:t>
      </w:r>
      <w:r w:rsidR="00CA1803">
        <w:rPr>
          <w:rFonts w:asciiTheme="majorHAnsi" w:hAnsiTheme="majorHAnsi"/>
          <w:iCs/>
          <w:sz w:val="24"/>
        </w:rPr>
        <w:t xml:space="preserve">IPP </w:t>
      </w:r>
      <w:r w:rsidR="00DB5DA6">
        <w:rPr>
          <w:rFonts w:asciiTheme="majorHAnsi" w:hAnsiTheme="majorHAnsi"/>
          <w:iCs/>
          <w:sz w:val="24"/>
        </w:rPr>
        <w:t>plans</w:t>
      </w:r>
      <w:r w:rsidR="00A80B4B">
        <w:rPr>
          <w:rFonts w:asciiTheme="majorHAnsi" w:hAnsiTheme="majorHAnsi"/>
          <w:iCs/>
          <w:sz w:val="24"/>
        </w:rPr>
        <w:t xml:space="preserve">, and several secondary data </w:t>
      </w:r>
      <w:r w:rsidR="003535CE">
        <w:rPr>
          <w:rFonts w:asciiTheme="majorHAnsi" w:hAnsiTheme="majorHAnsi"/>
          <w:iCs/>
          <w:sz w:val="24"/>
        </w:rPr>
        <w:t xml:space="preserve">collections </w:t>
      </w:r>
      <w:r w:rsidR="00A80B4B">
        <w:rPr>
          <w:rFonts w:asciiTheme="majorHAnsi" w:hAnsiTheme="majorHAnsi"/>
          <w:iCs/>
          <w:sz w:val="24"/>
        </w:rPr>
        <w:t xml:space="preserve">that DoD already </w:t>
      </w:r>
      <w:r w:rsidR="003535CE">
        <w:rPr>
          <w:rFonts w:asciiTheme="majorHAnsi" w:hAnsiTheme="majorHAnsi"/>
          <w:iCs/>
          <w:sz w:val="24"/>
        </w:rPr>
        <w:t>conducts (</w:t>
      </w:r>
      <w:r w:rsidR="00122410">
        <w:rPr>
          <w:rFonts w:asciiTheme="majorHAnsi" w:hAnsiTheme="majorHAnsi"/>
          <w:iCs/>
          <w:sz w:val="24"/>
        </w:rPr>
        <w:t xml:space="preserve">i.e., sources listed in Table 2). </w:t>
      </w:r>
      <w:r w:rsidR="004C4728">
        <w:rPr>
          <w:rFonts w:asciiTheme="majorHAnsi" w:hAnsiTheme="majorHAnsi"/>
          <w:iCs/>
          <w:sz w:val="24"/>
        </w:rPr>
        <w:t xml:space="preserve">Although the evaluation will use existing data and documents, </w:t>
      </w:r>
      <w:r w:rsidR="00971420">
        <w:rPr>
          <w:rFonts w:asciiTheme="majorHAnsi" w:hAnsiTheme="majorHAnsi"/>
          <w:iCs/>
          <w:sz w:val="24"/>
        </w:rPr>
        <w:t xml:space="preserve">doing so will not add burden to respondents. The evaluation will be </w:t>
      </w:r>
      <w:r w:rsidR="00332420">
        <w:rPr>
          <w:rFonts w:asciiTheme="majorHAnsi" w:hAnsiTheme="majorHAnsi"/>
          <w:iCs/>
          <w:sz w:val="24"/>
        </w:rPr>
        <w:t xml:space="preserve">analyzing these sources in different ways. Other data from the evaluation will be </w:t>
      </w:r>
      <w:r w:rsidR="00C16D8D">
        <w:rPr>
          <w:rFonts w:asciiTheme="majorHAnsi" w:hAnsiTheme="majorHAnsi"/>
          <w:iCs/>
          <w:sz w:val="24"/>
        </w:rPr>
        <w:t xml:space="preserve">unique, including the </w:t>
      </w:r>
      <w:r w:rsidR="00CA1803">
        <w:rPr>
          <w:rFonts w:asciiTheme="majorHAnsi" w:hAnsiTheme="majorHAnsi"/>
          <w:iCs/>
          <w:sz w:val="24"/>
        </w:rPr>
        <w:t>IPP Personnel</w:t>
      </w:r>
      <w:r w:rsidRPr="00BF271A" w:rsidR="00CA1803">
        <w:rPr>
          <w:rFonts w:asciiTheme="majorHAnsi" w:hAnsiTheme="majorHAnsi"/>
          <w:iCs/>
          <w:sz w:val="24"/>
        </w:rPr>
        <w:t xml:space="preserve"> </w:t>
      </w:r>
      <w:r w:rsidR="00C16D8D">
        <w:rPr>
          <w:rFonts w:asciiTheme="majorHAnsi" w:hAnsiTheme="majorHAnsi"/>
          <w:iCs/>
          <w:sz w:val="24"/>
        </w:rPr>
        <w:t xml:space="preserve">Survey, the site visits from the Cohort Study, the </w:t>
      </w:r>
      <w:r w:rsidR="00CA1803">
        <w:rPr>
          <w:rFonts w:asciiTheme="majorHAnsi" w:hAnsiTheme="majorHAnsi"/>
          <w:iCs/>
          <w:sz w:val="24"/>
        </w:rPr>
        <w:t xml:space="preserve">Integrated Primary </w:t>
      </w:r>
      <w:r w:rsidR="00C16D8D">
        <w:rPr>
          <w:rFonts w:asciiTheme="majorHAnsi" w:hAnsiTheme="majorHAnsi"/>
          <w:iCs/>
          <w:sz w:val="24"/>
        </w:rPr>
        <w:t xml:space="preserve">Prevention Activity Tracker, and the interviews conducted  with senior leaders. </w:t>
      </w:r>
      <w:r w:rsidR="001D7EBF">
        <w:rPr>
          <w:rFonts w:asciiTheme="majorHAnsi" w:hAnsiTheme="majorHAnsi"/>
          <w:iCs/>
          <w:sz w:val="24"/>
        </w:rPr>
        <w:t xml:space="preserve">These data are not available anywhere else and are required to assess the progress of the new </w:t>
      </w:r>
      <w:r w:rsidR="00CA1803">
        <w:rPr>
          <w:rFonts w:asciiTheme="majorHAnsi" w:hAnsiTheme="majorHAnsi"/>
          <w:iCs/>
          <w:sz w:val="24"/>
        </w:rPr>
        <w:t>IPP personnel</w:t>
      </w:r>
      <w:r w:rsidRPr="00BF271A" w:rsidR="00CA1803">
        <w:rPr>
          <w:rFonts w:asciiTheme="majorHAnsi" w:hAnsiTheme="majorHAnsi"/>
          <w:iCs/>
          <w:sz w:val="24"/>
        </w:rPr>
        <w:t xml:space="preserve"> </w:t>
      </w:r>
      <w:r w:rsidR="001D7EBF">
        <w:rPr>
          <w:rFonts w:asciiTheme="majorHAnsi" w:hAnsiTheme="majorHAnsi"/>
          <w:iCs/>
          <w:sz w:val="24"/>
        </w:rPr>
        <w:t>hiring</w:t>
      </w:r>
      <w:r w:rsidR="00E80C21">
        <w:rPr>
          <w:rFonts w:asciiTheme="majorHAnsi" w:hAnsiTheme="majorHAnsi"/>
          <w:iCs/>
          <w:sz w:val="24"/>
        </w:rPr>
        <w:t>, activities, and impact</w:t>
      </w:r>
      <w:r w:rsidR="001D7EBF">
        <w:rPr>
          <w:rFonts w:asciiTheme="majorHAnsi" w:hAnsiTheme="majorHAnsi"/>
          <w:iCs/>
          <w:sz w:val="24"/>
        </w:rPr>
        <w:t xml:space="preserve">. </w:t>
      </w:r>
      <w:r w:rsidR="003535CE">
        <w:rPr>
          <w:rFonts w:asciiTheme="majorHAnsi" w:hAnsiTheme="majorHAnsi"/>
          <w:iCs/>
          <w:sz w:val="24"/>
        </w:rPr>
        <w:t xml:space="preserve"> </w:t>
      </w:r>
    </w:p>
    <w:p w:rsidR="00CA15B1" w:rsidRPr="005E7F87" w:rsidP="006E563D" w14:paraId="2119D929" w14:textId="77777777">
      <w:pPr>
        <w:spacing w:after="0" w:line="240" w:lineRule="auto"/>
        <w:rPr>
          <w:rFonts w:asciiTheme="majorHAnsi" w:hAnsiTheme="majorHAnsi"/>
          <w:iCs/>
          <w:sz w:val="24"/>
        </w:rPr>
      </w:pPr>
    </w:p>
    <w:p w:rsidR="00CA15B1" w:rsidP="006E563D" w14:paraId="77ACCCFD" w14:textId="019586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484A2A" w:rsidP="006E563D" w14:paraId="3EFDFF66" w14:textId="77777777">
      <w:pPr>
        <w:spacing w:after="0" w:line="240" w:lineRule="auto"/>
        <w:rPr>
          <w:rFonts w:asciiTheme="majorHAnsi" w:hAnsiTheme="majorHAnsi"/>
          <w:sz w:val="24"/>
        </w:rPr>
      </w:pPr>
    </w:p>
    <w:p w:rsidR="00484A2A" w:rsidP="006E563D" w14:paraId="3E2DAADA" w14:textId="5C90EDC1">
      <w:pPr>
        <w:spacing w:after="0" w:line="240" w:lineRule="auto"/>
        <w:rPr>
          <w:rFonts w:asciiTheme="majorHAnsi" w:hAnsiTheme="majorHAnsi"/>
          <w:sz w:val="24"/>
          <w:highlight w:val="cyan"/>
        </w:rPr>
      </w:pPr>
      <w:r w:rsidRPr="00484A2A">
        <w:rPr>
          <w:rFonts w:asciiTheme="majorHAnsi" w:hAnsiTheme="majorHAnsi"/>
          <w:sz w:val="24"/>
        </w:rPr>
        <w:t>This information collection does not impose a significant economic impact on a substantial number of small businesses or entities.</w:t>
      </w:r>
    </w:p>
    <w:p w:rsidR="002567F9" w:rsidRPr="00484A2A" w:rsidP="006E563D" w14:paraId="7E9217F8" w14:textId="77777777">
      <w:pPr>
        <w:spacing w:after="0" w:line="240" w:lineRule="auto"/>
        <w:rPr>
          <w:rFonts w:asciiTheme="majorHAnsi" w:hAnsiTheme="majorHAnsi"/>
          <w:sz w:val="24"/>
        </w:rPr>
      </w:pPr>
    </w:p>
    <w:p w:rsidR="002567F9" w:rsidRPr="0085688C" w:rsidP="006E563D" w14:paraId="45AE8479" w14:textId="70D3B6CA">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14:paraId="16F1C4C0" w14:textId="51A53677">
      <w:pPr>
        <w:spacing w:after="0" w:line="240" w:lineRule="auto"/>
        <w:rPr>
          <w:rFonts w:asciiTheme="majorHAnsi" w:hAnsiTheme="majorHAnsi"/>
          <w:i/>
          <w:sz w:val="24"/>
        </w:rPr>
      </w:pPr>
    </w:p>
    <w:p w:rsidR="0005272A" w:rsidRPr="0005272A" w:rsidP="006E563D" w14:paraId="4A274AD2" w14:textId="05E8198D">
      <w:pPr>
        <w:spacing w:after="0" w:line="240" w:lineRule="auto"/>
        <w:rPr>
          <w:rFonts w:asciiTheme="majorHAnsi" w:hAnsiTheme="majorHAnsi"/>
          <w:iCs/>
          <w:sz w:val="24"/>
        </w:rPr>
      </w:pPr>
      <w:r>
        <w:rPr>
          <w:rFonts w:asciiTheme="majorHAnsi" w:hAnsiTheme="majorHAnsi"/>
          <w:iCs/>
          <w:sz w:val="24"/>
        </w:rPr>
        <w:t>The timeframes for data collection are the most infrequent as possible</w:t>
      </w:r>
      <w:r w:rsidR="00C45651">
        <w:rPr>
          <w:rFonts w:asciiTheme="majorHAnsi" w:hAnsiTheme="majorHAnsi"/>
          <w:iCs/>
          <w:sz w:val="24"/>
        </w:rPr>
        <w:t xml:space="preserve"> to minimize burden, while still yielding information needed for the evaluation. Some data collection will </w:t>
      </w:r>
      <w:r w:rsidR="0065305F">
        <w:rPr>
          <w:rFonts w:asciiTheme="majorHAnsi" w:hAnsiTheme="majorHAnsi"/>
          <w:iCs/>
          <w:sz w:val="24"/>
        </w:rPr>
        <w:t xml:space="preserve">follow the schedule of the </w:t>
      </w:r>
      <w:r w:rsidR="00E017A6">
        <w:rPr>
          <w:rFonts w:asciiTheme="majorHAnsi" w:hAnsiTheme="majorHAnsi"/>
          <w:iCs/>
          <w:sz w:val="24"/>
        </w:rPr>
        <w:t>IPP personnel</w:t>
      </w:r>
      <w:r w:rsidRPr="00BF271A" w:rsidR="00E017A6">
        <w:rPr>
          <w:rFonts w:asciiTheme="majorHAnsi" w:hAnsiTheme="majorHAnsi"/>
          <w:iCs/>
          <w:sz w:val="24"/>
        </w:rPr>
        <w:t xml:space="preserve"> </w:t>
      </w:r>
      <w:r w:rsidR="0065305F">
        <w:rPr>
          <w:rFonts w:asciiTheme="majorHAnsi" w:hAnsiTheme="majorHAnsi"/>
          <w:iCs/>
          <w:sz w:val="24"/>
        </w:rPr>
        <w:t>hiring (i.e., tracking of the billets</w:t>
      </w:r>
      <w:r w:rsidR="001B02B4">
        <w:rPr>
          <w:rFonts w:asciiTheme="majorHAnsi" w:hAnsiTheme="majorHAnsi"/>
          <w:iCs/>
          <w:sz w:val="24"/>
        </w:rPr>
        <w:t xml:space="preserve">, resume review of </w:t>
      </w:r>
      <w:r w:rsidR="00244DF1">
        <w:rPr>
          <w:rFonts w:asciiTheme="majorHAnsi" w:hAnsiTheme="majorHAnsi"/>
          <w:iCs/>
          <w:sz w:val="24"/>
        </w:rPr>
        <w:t xml:space="preserve">IPP </w:t>
      </w:r>
      <w:r w:rsidR="00CE2031">
        <w:rPr>
          <w:rFonts w:asciiTheme="majorHAnsi" w:hAnsiTheme="majorHAnsi"/>
          <w:iCs/>
          <w:sz w:val="24"/>
        </w:rPr>
        <w:t>p</w:t>
      </w:r>
      <w:r w:rsidR="00244DF1">
        <w:rPr>
          <w:rFonts w:asciiTheme="majorHAnsi" w:hAnsiTheme="majorHAnsi"/>
          <w:iCs/>
          <w:sz w:val="24"/>
        </w:rPr>
        <w:t>ersonnel</w:t>
      </w:r>
      <w:r w:rsidR="001B02B4">
        <w:rPr>
          <w:rFonts w:asciiTheme="majorHAnsi" w:hAnsiTheme="majorHAnsi"/>
          <w:iCs/>
          <w:sz w:val="24"/>
        </w:rPr>
        <w:t xml:space="preserve">). Other data collection follows the schedule </w:t>
      </w:r>
      <w:r w:rsidR="0041536F">
        <w:rPr>
          <w:rFonts w:asciiTheme="majorHAnsi" w:hAnsiTheme="majorHAnsi"/>
          <w:iCs/>
          <w:sz w:val="24"/>
        </w:rPr>
        <w:t xml:space="preserve">of work performed by the </w:t>
      </w:r>
      <w:r w:rsidR="00E017A6">
        <w:rPr>
          <w:rFonts w:asciiTheme="majorHAnsi" w:hAnsiTheme="majorHAnsi"/>
          <w:iCs/>
          <w:sz w:val="24"/>
        </w:rPr>
        <w:t>IPP personnel</w:t>
      </w:r>
      <w:r w:rsidRPr="00BF271A" w:rsidR="00E017A6">
        <w:rPr>
          <w:rFonts w:asciiTheme="majorHAnsi" w:hAnsiTheme="majorHAnsi"/>
          <w:iCs/>
          <w:sz w:val="24"/>
        </w:rPr>
        <w:t xml:space="preserve"> </w:t>
      </w:r>
      <w:r w:rsidR="0041536F">
        <w:rPr>
          <w:rFonts w:asciiTheme="majorHAnsi" w:hAnsiTheme="majorHAnsi"/>
          <w:iCs/>
          <w:sz w:val="24"/>
        </w:rPr>
        <w:t>(Plan Quality Review</w:t>
      </w:r>
      <w:r w:rsidR="00200961">
        <w:rPr>
          <w:rFonts w:asciiTheme="majorHAnsi" w:hAnsiTheme="majorHAnsi"/>
          <w:iCs/>
          <w:sz w:val="24"/>
        </w:rPr>
        <w:t>, Prevention Activity Tracker)</w:t>
      </w:r>
      <w:r w:rsidR="0088001C">
        <w:rPr>
          <w:rFonts w:asciiTheme="majorHAnsi" w:hAnsiTheme="majorHAnsi"/>
          <w:iCs/>
          <w:sz w:val="24"/>
        </w:rPr>
        <w:t xml:space="preserve">. Other data collection—The </w:t>
      </w:r>
      <w:r w:rsidR="00E017A6">
        <w:rPr>
          <w:rFonts w:asciiTheme="majorHAnsi" w:hAnsiTheme="majorHAnsi"/>
          <w:iCs/>
          <w:sz w:val="24"/>
        </w:rPr>
        <w:t>IPP Personnel</w:t>
      </w:r>
      <w:r w:rsidRPr="00BF271A" w:rsidR="00E017A6">
        <w:rPr>
          <w:rFonts w:asciiTheme="majorHAnsi" w:hAnsiTheme="majorHAnsi"/>
          <w:iCs/>
          <w:sz w:val="24"/>
        </w:rPr>
        <w:t xml:space="preserve"> </w:t>
      </w:r>
      <w:r w:rsidR="0088001C">
        <w:rPr>
          <w:rFonts w:asciiTheme="majorHAnsi" w:hAnsiTheme="majorHAnsi"/>
          <w:iCs/>
          <w:sz w:val="24"/>
        </w:rPr>
        <w:t>Survey</w:t>
      </w:r>
      <w:r w:rsidR="00CD49A8">
        <w:rPr>
          <w:rFonts w:asciiTheme="majorHAnsi" w:hAnsiTheme="majorHAnsi"/>
          <w:iCs/>
          <w:sz w:val="24"/>
        </w:rPr>
        <w:t xml:space="preserve"> (annually)</w:t>
      </w:r>
      <w:r w:rsidR="0088001C">
        <w:rPr>
          <w:rFonts w:asciiTheme="majorHAnsi" w:hAnsiTheme="majorHAnsi"/>
          <w:iCs/>
          <w:sz w:val="24"/>
        </w:rPr>
        <w:t>, the Cohort Study</w:t>
      </w:r>
      <w:r w:rsidR="00CD49A8">
        <w:rPr>
          <w:rFonts w:asciiTheme="majorHAnsi" w:hAnsiTheme="majorHAnsi"/>
          <w:iCs/>
          <w:sz w:val="24"/>
        </w:rPr>
        <w:t xml:space="preserve"> (site visits </w:t>
      </w:r>
      <w:r w:rsidR="0005066B">
        <w:rPr>
          <w:rFonts w:asciiTheme="majorHAnsi" w:hAnsiTheme="majorHAnsi"/>
          <w:iCs/>
          <w:sz w:val="24"/>
        </w:rPr>
        <w:t>in Years 2-5)</w:t>
      </w:r>
      <w:r w:rsidR="0088001C">
        <w:rPr>
          <w:rFonts w:asciiTheme="majorHAnsi" w:hAnsiTheme="majorHAnsi"/>
          <w:iCs/>
          <w:sz w:val="24"/>
        </w:rPr>
        <w:t xml:space="preserve">, and the </w:t>
      </w:r>
      <w:r w:rsidR="00E017A6">
        <w:rPr>
          <w:rFonts w:asciiTheme="majorHAnsi" w:hAnsiTheme="majorHAnsi"/>
          <w:iCs/>
          <w:sz w:val="24"/>
        </w:rPr>
        <w:t>Supervisor/</w:t>
      </w:r>
      <w:r w:rsidR="00CD49A8">
        <w:rPr>
          <w:rFonts w:asciiTheme="majorHAnsi" w:hAnsiTheme="majorHAnsi"/>
          <w:iCs/>
          <w:sz w:val="24"/>
        </w:rPr>
        <w:t>Leader Interviews</w:t>
      </w:r>
      <w:r w:rsidR="0005066B">
        <w:rPr>
          <w:rFonts w:asciiTheme="majorHAnsi" w:hAnsiTheme="majorHAnsi"/>
          <w:iCs/>
          <w:sz w:val="24"/>
        </w:rPr>
        <w:t xml:space="preserve"> (Years 2, 4</w:t>
      </w:r>
      <w:r w:rsidR="00A35A65">
        <w:rPr>
          <w:rFonts w:asciiTheme="majorHAnsi" w:hAnsiTheme="majorHAnsi"/>
          <w:iCs/>
          <w:sz w:val="24"/>
        </w:rPr>
        <w:t>, 6</w:t>
      </w:r>
      <w:r w:rsidR="002C37BC">
        <w:rPr>
          <w:rFonts w:asciiTheme="majorHAnsi" w:hAnsiTheme="majorHAnsi"/>
          <w:iCs/>
          <w:sz w:val="24"/>
        </w:rPr>
        <w:t>)</w:t>
      </w:r>
      <w:r w:rsidR="00CD49A8">
        <w:rPr>
          <w:rFonts w:asciiTheme="majorHAnsi" w:hAnsiTheme="majorHAnsi"/>
          <w:iCs/>
          <w:sz w:val="24"/>
        </w:rPr>
        <w:t xml:space="preserve">—have time </w:t>
      </w:r>
      <w:r w:rsidR="002C37BC">
        <w:rPr>
          <w:rFonts w:asciiTheme="majorHAnsi" w:hAnsiTheme="majorHAnsi"/>
          <w:iCs/>
          <w:sz w:val="24"/>
        </w:rPr>
        <w:t>frames that allow</w:t>
      </w:r>
      <w:r w:rsidR="00DD67AF">
        <w:rPr>
          <w:rFonts w:asciiTheme="majorHAnsi" w:hAnsiTheme="majorHAnsi"/>
          <w:iCs/>
          <w:sz w:val="24"/>
        </w:rPr>
        <w:t xml:space="preserve"> for repeated measurement, which will be critical to tracking the progress of the </w:t>
      </w:r>
      <w:r w:rsidR="00E017A6">
        <w:rPr>
          <w:rFonts w:asciiTheme="majorHAnsi" w:hAnsiTheme="majorHAnsi"/>
          <w:iCs/>
          <w:sz w:val="24"/>
        </w:rPr>
        <w:t>IPP personnel</w:t>
      </w:r>
      <w:r w:rsidR="00C72FC3">
        <w:rPr>
          <w:rFonts w:asciiTheme="majorHAnsi" w:hAnsiTheme="majorHAnsi"/>
          <w:iCs/>
          <w:sz w:val="24"/>
        </w:rPr>
        <w:t xml:space="preserve">. For example, the </w:t>
      </w:r>
      <w:r w:rsidR="00E017A6">
        <w:rPr>
          <w:rFonts w:asciiTheme="majorHAnsi" w:hAnsiTheme="majorHAnsi"/>
          <w:iCs/>
          <w:sz w:val="24"/>
        </w:rPr>
        <w:t>IPP Personnel</w:t>
      </w:r>
      <w:r w:rsidRPr="00BF271A" w:rsidR="00E017A6">
        <w:rPr>
          <w:rFonts w:asciiTheme="majorHAnsi" w:hAnsiTheme="majorHAnsi"/>
          <w:iCs/>
          <w:sz w:val="24"/>
        </w:rPr>
        <w:t xml:space="preserve"> </w:t>
      </w:r>
      <w:r w:rsidR="00C72FC3">
        <w:rPr>
          <w:rFonts w:asciiTheme="majorHAnsi" w:hAnsiTheme="majorHAnsi"/>
          <w:iCs/>
          <w:sz w:val="24"/>
        </w:rPr>
        <w:t>Survey</w:t>
      </w:r>
      <w:r w:rsidR="000359A6">
        <w:rPr>
          <w:rFonts w:asciiTheme="majorHAnsi" w:hAnsiTheme="majorHAnsi"/>
          <w:iCs/>
          <w:sz w:val="24"/>
        </w:rPr>
        <w:t xml:space="preserve"> will be administered annually which will be important to track the newly hired </w:t>
      </w:r>
      <w:r w:rsidR="00E017A6">
        <w:rPr>
          <w:rFonts w:asciiTheme="majorHAnsi" w:hAnsiTheme="majorHAnsi"/>
          <w:iCs/>
          <w:sz w:val="24"/>
        </w:rPr>
        <w:t>IPP personnel</w:t>
      </w:r>
      <w:r w:rsidRPr="00BF271A" w:rsidR="00E017A6">
        <w:rPr>
          <w:rFonts w:asciiTheme="majorHAnsi" w:hAnsiTheme="majorHAnsi"/>
          <w:iCs/>
          <w:sz w:val="24"/>
        </w:rPr>
        <w:t xml:space="preserve"> </w:t>
      </w:r>
      <w:r w:rsidR="000359A6">
        <w:rPr>
          <w:rFonts w:asciiTheme="majorHAnsi" w:hAnsiTheme="majorHAnsi"/>
          <w:iCs/>
          <w:sz w:val="24"/>
        </w:rPr>
        <w:t xml:space="preserve">across the evaluation period and assess how the </w:t>
      </w:r>
      <w:r w:rsidR="008754A2">
        <w:rPr>
          <w:rFonts w:asciiTheme="majorHAnsi" w:hAnsiTheme="majorHAnsi"/>
          <w:iCs/>
          <w:sz w:val="24"/>
        </w:rPr>
        <w:t xml:space="preserve">support and </w:t>
      </w:r>
      <w:r w:rsidR="00E017A6">
        <w:rPr>
          <w:rFonts w:asciiTheme="majorHAnsi" w:hAnsiTheme="majorHAnsi"/>
          <w:iCs/>
          <w:sz w:val="24"/>
        </w:rPr>
        <w:t xml:space="preserve">IPP </w:t>
      </w:r>
      <w:r w:rsidR="008754A2">
        <w:rPr>
          <w:rFonts w:asciiTheme="majorHAnsi" w:hAnsiTheme="majorHAnsi"/>
          <w:iCs/>
          <w:sz w:val="24"/>
        </w:rPr>
        <w:t xml:space="preserve">competencies change over time. The </w:t>
      </w:r>
      <w:r w:rsidR="00E017A6">
        <w:rPr>
          <w:rFonts w:asciiTheme="majorHAnsi" w:hAnsiTheme="majorHAnsi"/>
          <w:iCs/>
          <w:sz w:val="24"/>
        </w:rPr>
        <w:t>Supervisor/</w:t>
      </w:r>
      <w:r w:rsidR="008754A2">
        <w:rPr>
          <w:rFonts w:asciiTheme="majorHAnsi" w:hAnsiTheme="majorHAnsi"/>
          <w:iCs/>
          <w:sz w:val="24"/>
        </w:rPr>
        <w:t xml:space="preserve">Leader Interviews and Cohort Study also allow </w:t>
      </w:r>
      <w:r w:rsidR="00236E6D">
        <w:rPr>
          <w:rFonts w:asciiTheme="majorHAnsi" w:hAnsiTheme="majorHAnsi"/>
          <w:iCs/>
          <w:sz w:val="24"/>
        </w:rPr>
        <w:t xml:space="preserve">for repeated measurement. </w:t>
      </w:r>
    </w:p>
    <w:p w:rsidR="0005272A" w:rsidP="006E563D" w14:paraId="00C3F14A" w14:textId="77777777">
      <w:pPr>
        <w:spacing w:after="0" w:line="240" w:lineRule="auto"/>
        <w:rPr>
          <w:rFonts w:asciiTheme="majorHAnsi" w:hAnsiTheme="majorHAnsi"/>
          <w:i/>
          <w:sz w:val="24"/>
        </w:rPr>
      </w:pPr>
    </w:p>
    <w:p w:rsidR="00F86C35" w:rsidP="006E563D" w14:paraId="5415C3DA" w14:textId="0518489D">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BA4BBF" w:rsidP="006E563D" w14:paraId="1CCA830F" w14:textId="77777777">
      <w:pPr>
        <w:spacing w:after="0" w:line="240" w:lineRule="auto"/>
        <w:rPr>
          <w:rFonts w:asciiTheme="majorHAnsi" w:hAnsiTheme="majorHAnsi"/>
          <w:sz w:val="24"/>
          <w:u w:val="single"/>
        </w:rPr>
      </w:pPr>
    </w:p>
    <w:p w:rsidR="00BA4BBF" w:rsidRPr="00BA4BBF" w:rsidP="006E563D" w14:paraId="70B4019B" w14:textId="0CE087E8">
      <w:pPr>
        <w:spacing w:after="0" w:line="240" w:lineRule="auto"/>
        <w:rPr>
          <w:rFonts w:asciiTheme="majorHAnsi" w:hAnsiTheme="majorHAnsi"/>
          <w:sz w:val="24"/>
        </w:rPr>
      </w:pPr>
      <w:r w:rsidRPr="00BA4BBF">
        <w:rPr>
          <w:rFonts w:asciiTheme="majorHAnsi" w:hAnsiTheme="majorHAnsi"/>
          <w:sz w:val="24"/>
        </w:rPr>
        <w:t>This collection of information does not require collection to be conducted in a manner inconsistent with the guidelines delineated in 5 CFR 1320.5(d)(2).</w:t>
      </w:r>
    </w:p>
    <w:p w:rsidR="00200261" w:rsidP="00200261" w14:paraId="279D702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7D7B64" w:rsidP="00200261" w14:paraId="740A617F"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7D7B64" w:rsidP="00200261" w14:paraId="59B0435F" w14:textId="77777777">
      <w:pPr>
        <w:pStyle w:val="NormalWeb"/>
        <w:spacing w:line="288" w:lineRule="atLeast"/>
        <w:rPr>
          <w:rFonts w:asciiTheme="majorHAnsi" w:eastAsiaTheme="minorHAnsi" w:hAnsiTheme="majorHAnsi" w:cstheme="minorBidi"/>
          <w:szCs w:val="22"/>
        </w:rPr>
      </w:pPr>
    </w:p>
    <w:p w:rsidR="00502FF3" w:rsidP="00200261" w14:paraId="022CE7DF" w14:textId="0BA7273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7D7B64">
        <w:rPr>
          <w:rFonts w:asciiTheme="majorHAnsi" w:eastAsiaTheme="minorHAnsi" w:hAnsiTheme="majorHAnsi" w:cstheme="minorBidi"/>
          <w:szCs w:val="22"/>
        </w:rPr>
        <w:t xml:space="preserve"> Wednesday, June 22, 2023</w:t>
      </w:r>
      <w:r>
        <w:rPr>
          <w:rFonts w:asciiTheme="majorHAnsi" w:eastAsiaTheme="minorHAnsi" w:hAnsiTheme="majorHAnsi" w:cstheme="minorBidi"/>
          <w:szCs w:val="22"/>
        </w:rPr>
        <w:t xml:space="preserve">.  The 30-Day FRN citation is </w:t>
      </w:r>
      <w:r w:rsidR="007D7B64">
        <w:rPr>
          <w:rFonts w:asciiTheme="majorHAnsi" w:eastAsiaTheme="minorHAnsi" w:hAnsiTheme="majorHAnsi" w:cstheme="minorBidi"/>
          <w:szCs w:val="22"/>
        </w:rPr>
        <w:t>88 FR 40791.</w:t>
      </w:r>
    </w:p>
    <w:p w:rsidR="00200261" w:rsidP="00200261" w14:paraId="0FC7FA81" w14:textId="0FA671C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FF0261" w:rsidP="00200261" w14:paraId="7F6BCF39" w14:textId="40D7B4B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We have </w:t>
      </w:r>
      <w:r w:rsidR="007A3614">
        <w:rPr>
          <w:rFonts w:asciiTheme="majorHAnsi" w:eastAsiaTheme="minorHAnsi" w:hAnsiTheme="majorHAnsi" w:cstheme="minorBidi"/>
          <w:szCs w:val="22"/>
        </w:rPr>
        <w:t xml:space="preserve">consulted with representatives from each </w:t>
      </w:r>
      <w:r w:rsidR="00EA7005">
        <w:rPr>
          <w:rFonts w:asciiTheme="majorHAnsi" w:eastAsiaTheme="minorHAnsi" w:hAnsiTheme="majorHAnsi" w:cstheme="minorBidi"/>
          <w:szCs w:val="22"/>
        </w:rPr>
        <w:t xml:space="preserve">DoD </w:t>
      </w:r>
      <w:r w:rsidR="007A3614">
        <w:rPr>
          <w:rFonts w:asciiTheme="majorHAnsi" w:eastAsiaTheme="minorHAnsi" w:hAnsiTheme="majorHAnsi" w:cstheme="minorBidi"/>
          <w:szCs w:val="22"/>
        </w:rPr>
        <w:t xml:space="preserve">component (Army, Navy, </w:t>
      </w:r>
      <w:r w:rsidR="007A3614">
        <w:rPr>
          <w:rFonts w:asciiTheme="majorHAnsi" w:eastAsiaTheme="minorHAnsi" w:hAnsiTheme="majorHAnsi" w:cstheme="minorBidi"/>
          <w:szCs w:val="22"/>
        </w:rPr>
        <w:t>etc</w:t>
      </w:r>
      <w:r w:rsidR="007A3614">
        <w:rPr>
          <w:rFonts w:asciiTheme="majorHAnsi" w:eastAsiaTheme="minorHAnsi" w:hAnsiTheme="majorHAnsi" w:cstheme="minorBidi"/>
          <w:szCs w:val="22"/>
        </w:rPr>
        <w:t>) and with the offices responsible for managing the secondary data on harmful behaviors</w:t>
      </w:r>
      <w:r w:rsidR="00963CEA">
        <w:rPr>
          <w:rFonts w:asciiTheme="majorHAnsi" w:eastAsiaTheme="minorHAnsi" w:hAnsiTheme="majorHAnsi" w:cstheme="minorBidi"/>
          <w:szCs w:val="22"/>
        </w:rPr>
        <w:t xml:space="preserve"> listed in Table 2. </w:t>
      </w:r>
    </w:p>
    <w:p w:rsidR="00571698" w:rsidP="006E563D" w14:paraId="355E1362" w14:textId="7F6872E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C120A9" w:rsidP="006E563D" w14:paraId="3DD27A16" w14:textId="4EA2762F">
      <w:pPr>
        <w:spacing w:after="0" w:line="240" w:lineRule="auto"/>
        <w:rPr>
          <w:rFonts w:asciiTheme="majorHAnsi" w:hAnsiTheme="majorHAnsi"/>
          <w:sz w:val="24"/>
        </w:rPr>
      </w:pPr>
    </w:p>
    <w:p w:rsidR="00C120A9" w:rsidRPr="0085688C" w:rsidP="006E563D" w14:paraId="499CBAE5" w14:textId="4788F2CB">
      <w:pPr>
        <w:spacing w:after="0" w:line="240" w:lineRule="auto"/>
        <w:rPr>
          <w:rFonts w:asciiTheme="majorHAnsi" w:hAnsiTheme="majorHAnsi"/>
          <w:sz w:val="24"/>
        </w:rPr>
      </w:pPr>
      <w:r>
        <w:rPr>
          <w:rFonts w:asciiTheme="majorHAnsi" w:hAnsiTheme="majorHAnsi"/>
          <w:sz w:val="24"/>
        </w:rPr>
        <w:t xml:space="preserve">We will offer </w:t>
      </w:r>
      <w:r w:rsidR="00B07B7D">
        <w:rPr>
          <w:rFonts w:asciiTheme="majorHAnsi" w:hAnsiTheme="majorHAnsi"/>
          <w:sz w:val="24"/>
        </w:rPr>
        <w:t>$</w:t>
      </w:r>
      <w:r w:rsidR="000B5770">
        <w:rPr>
          <w:rFonts w:asciiTheme="majorHAnsi" w:hAnsiTheme="majorHAnsi"/>
          <w:sz w:val="24"/>
        </w:rPr>
        <w:t>4</w:t>
      </w:r>
      <w:r w:rsidR="00B07B7D">
        <w:rPr>
          <w:rFonts w:asciiTheme="majorHAnsi" w:hAnsiTheme="majorHAnsi"/>
          <w:sz w:val="24"/>
        </w:rPr>
        <w:t xml:space="preserve">0 Amazon Gift Cards to each </w:t>
      </w:r>
      <w:r w:rsidR="00EA7005">
        <w:rPr>
          <w:rFonts w:asciiTheme="majorHAnsi" w:hAnsiTheme="majorHAnsi"/>
          <w:iCs/>
          <w:sz w:val="24"/>
        </w:rPr>
        <w:t>IPP personnel</w:t>
      </w:r>
      <w:r w:rsidRPr="00BF271A" w:rsidR="00EA7005">
        <w:rPr>
          <w:rFonts w:asciiTheme="majorHAnsi" w:hAnsiTheme="majorHAnsi"/>
          <w:iCs/>
          <w:sz w:val="24"/>
        </w:rPr>
        <w:t xml:space="preserve"> </w:t>
      </w:r>
      <w:r w:rsidR="00B07B7D">
        <w:rPr>
          <w:rFonts w:asciiTheme="majorHAnsi" w:hAnsiTheme="majorHAnsi"/>
          <w:sz w:val="24"/>
        </w:rPr>
        <w:t>who completes</w:t>
      </w:r>
      <w:r w:rsidR="00B44CBE">
        <w:rPr>
          <w:rFonts w:asciiTheme="majorHAnsi" w:hAnsiTheme="majorHAnsi"/>
          <w:sz w:val="24"/>
        </w:rPr>
        <w:t xml:space="preserve"> a </w:t>
      </w:r>
      <w:r w:rsidR="00EA7005">
        <w:rPr>
          <w:rFonts w:asciiTheme="majorHAnsi" w:hAnsiTheme="majorHAnsi"/>
          <w:iCs/>
          <w:sz w:val="24"/>
        </w:rPr>
        <w:t>IPP Personnel</w:t>
      </w:r>
      <w:r w:rsidRPr="00BF271A" w:rsidR="00EA7005">
        <w:rPr>
          <w:rFonts w:asciiTheme="majorHAnsi" w:hAnsiTheme="majorHAnsi"/>
          <w:iCs/>
          <w:sz w:val="24"/>
        </w:rPr>
        <w:t xml:space="preserve"> </w:t>
      </w:r>
      <w:r w:rsidR="00B44CBE">
        <w:rPr>
          <w:rFonts w:asciiTheme="majorHAnsi" w:hAnsiTheme="majorHAnsi"/>
          <w:sz w:val="24"/>
        </w:rPr>
        <w:t>Survey each year</w:t>
      </w:r>
      <w:r w:rsidR="00DA6E88">
        <w:rPr>
          <w:rFonts w:asciiTheme="majorHAnsi" w:hAnsiTheme="majorHAnsi"/>
          <w:sz w:val="24"/>
        </w:rPr>
        <w:t xml:space="preserve">. </w:t>
      </w:r>
      <w:r w:rsidR="00AC709D">
        <w:rPr>
          <w:rFonts w:asciiTheme="majorHAnsi" w:hAnsiTheme="majorHAnsi"/>
          <w:sz w:val="24"/>
        </w:rPr>
        <w:t xml:space="preserve">These individuals will receive an email with a link to their Gift Card. </w:t>
      </w:r>
      <w:r w:rsidR="00931500">
        <w:rPr>
          <w:rFonts w:asciiTheme="majorHAnsi" w:hAnsiTheme="majorHAnsi"/>
          <w:sz w:val="24"/>
        </w:rPr>
        <w:t xml:space="preserve">There will be no </w:t>
      </w:r>
      <w:r w:rsidR="00F279B9">
        <w:rPr>
          <w:rFonts w:asciiTheme="majorHAnsi" w:hAnsiTheme="majorHAnsi"/>
          <w:sz w:val="24"/>
        </w:rPr>
        <w:t xml:space="preserve">requirements about the level of completion for each data collection. Once the survey is submitted online, the individual will be eligible for the </w:t>
      </w:r>
      <w:r w:rsidR="007E36D7">
        <w:rPr>
          <w:rFonts w:asciiTheme="majorHAnsi" w:hAnsiTheme="majorHAnsi"/>
          <w:sz w:val="24"/>
        </w:rPr>
        <w:t>Gift Card</w:t>
      </w:r>
      <w:r w:rsidR="004B6A06">
        <w:rPr>
          <w:rFonts w:asciiTheme="majorHAnsi" w:hAnsiTheme="majorHAnsi"/>
          <w:sz w:val="24"/>
        </w:rPr>
        <w:t xml:space="preserve">. </w:t>
      </w:r>
      <w:r w:rsidR="000B4FE4">
        <w:rPr>
          <w:rFonts w:asciiTheme="majorHAnsi" w:hAnsiTheme="majorHAnsi"/>
          <w:sz w:val="24"/>
        </w:rPr>
        <w:t xml:space="preserve">These </w:t>
      </w:r>
      <w:r w:rsidR="007E36D7">
        <w:rPr>
          <w:rFonts w:asciiTheme="majorHAnsi" w:hAnsiTheme="majorHAnsi"/>
          <w:sz w:val="24"/>
        </w:rPr>
        <w:t xml:space="preserve">payments </w:t>
      </w:r>
      <w:r w:rsidR="000B4FE4">
        <w:rPr>
          <w:rFonts w:asciiTheme="majorHAnsi" w:hAnsiTheme="majorHAnsi"/>
          <w:sz w:val="24"/>
        </w:rPr>
        <w:t>are being offered to compensate the participating individuals for their time</w:t>
      </w:r>
      <w:r w:rsidR="00265A47">
        <w:rPr>
          <w:rFonts w:asciiTheme="majorHAnsi" w:hAnsiTheme="majorHAnsi"/>
          <w:sz w:val="24"/>
        </w:rPr>
        <w:t xml:space="preserve"> and </w:t>
      </w:r>
      <w:r w:rsidRPr="00265A47" w:rsidR="00265A47">
        <w:rPr>
          <w:rFonts w:asciiTheme="majorHAnsi" w:hAnsiTheme="majorHAnsi"/>
          <w:sz w:val="24"/>
        </w:rPr>
        <w:t>can be used by respondents to purchase necessary products to improve quality of life.</w:t>
      </w:r>
    </w:p>
    <w:p w:rsidR="006A13FA" w:rsidP="006A13FA" w14:paraId="3B24895E" w14:textId="77777777">
      <w:pPr>
        <w:spacing w:after="0" w:line="240" w:lineRule="auto"/>
        <w:rPr>
          <w:rFonts w:asciiTheme="majorHAnsi" w:hAnsiTheme="majorHAnsi"/>
          <w:i/>
          <w:sz w:val="24"/>
        </w:rPr>
      </w:pPr>
    </w:p>
    <w:p w:rsidR="00F97482" w:rsidP="006A13FA" w14:paraId="03B6C194" w14:textId="0995C323">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3091" w:rsidP="009B6A38" w14:paraId="7C069B99" w14:textId="77777777">
      <w:pPr>
        <w:spacing w:after="0" w:line="240" w:lineRule="auto"/>
        <w:rPr>
          <w:rFonts w:asciiTheme="majorHAnsi" w:hAnsiTheme="majorHAnsi"/>
          <w:iCs/>
          <w:sz w:val="24"/>
        </w:rPr>
      </w:pPr>
    </w:p>
    <w:p w:rsidR="00C75133" w:rsidP="009B6A38" w14:paraId="4C7DED9E" w14:textId="69756498">
      <w:pPr>
        <w:spacing w:after="0" w:line="240" w:lineRule="auto"/>
        <w:rPr>
          <w:rFonts w:asciiTheme="majorHAnsi" w:hAnsiTheme="majorHAnsi"/>
          <w:iCs/>
          <w:sz w:val="24"/>
        </w:rPr>
      </w:pPr>
      <w:r w:rsidRPr="00E93091">
        <w:rPr>
          <w:rFonts w:asciiTheme="majorHAnsi" w:hAnsiTheme="majorHAnsi"/>
          <w:iCs/>
          <w:sz w:val="24"/>
        </w:rPr>
        <w:t xml:space="preserve">A Privacy Act Statement </w:t>
      </w:r>
      <w:r w:rsidRPr="00C75133">
        <w:rPr>
          <w:rFonts w:asciiTheme="majorHAnsi" w:hAnsiTheme="majorHAnsi"/>
          <w:iCs/>
          <w:sz w:val="24"/>
        </w:rPr>
        <w:t>has been provided with this package for OMB’s review</w:t>
      </w:r>
      <w:r>
        <w:rPr>
          <w:rFonts w:asciiTheme="majorHAnsi" w:hAnsiTheme="majorHAnsi"/>
          <w:iCs/>
          <w:sz w:val="24"/>
        </w:rPr>
        <w:t>.</w:t>
      </w:r>
    </w:p>
    <w:p w:rsidR="00C75133" w:rsidP="009B6A38" w14:paraId="57A11AAC" w14:textId="77777777">
      <w:pPr>
        <w:spacing w:after="0" w:line="240" w:lineRule="auto"/>
        <w:rPr>
          <w:rFonts w:asciiTheme="majorHAnsi" w:hAnsiTheme="majorHAnsi"/>
          <w:iCs/>
          <w:sz w:val="24"/>
        </w:rPr>
      </w:pPr>
    </w:p>
    <w:p w:rsidR="00B52393" w:rsidP="009B6A38" w14:paraId="7330B1FC" w14:textId="77777777">
      <w:pPr>
        <w:spacing w:after="0" w:line="240" w:lineRule="auto"/>
        <w:rPr>
          <w:rFonts w:asciiTheme="majorHAnsi" w:hAnsiTheme="majorHAnsi"/>
          <w:iCs/>
          <w:sz w:val="24"/>
        </w:rPr>
      </w:pPr>
      <w:r w:rsidRPr="009B6A38">
        <w:rPr>
          <w:rFonts w:asciiTheme="majorHAnsi" w:hAnsiTheme="majorHAnsi"/>
          <w:iCs/>
          <w:sz w:val="24"/>
        </w:rPr>
        <w:t xml:space="preserve">A System of Record Notice (SORN) is not required for this collection because records are not retrievable by PII. </w:t>
      </w:r>
    </w:p>
    <w:p w:rsidR="00B52393" w:rsidP="009B6A38" w14:paraId="2CE19868" w14:textId="77777777">
      <w:pPr>
        <w:spacing w:after="0" w:line="240" w:lineRule="auto"/>
        <w:rPr>
          <w:rFonts w:asciiTheme="majorHAnsi" w:hAnsiTheme="majorHAnsi"/>
          <w:iCs/>
          <w:sz w:val="24"/>
        </w:rPr>
      </w:pPr>
    </w:p>
    <w:p w:rsidR="009B6A38" w:rsidRPr="009B6A38" w:rsidP="009B6A38" w14:paraId="7310B9EC" w14:textId="72841B15">
      <w:pPr>
        <w:spacing w:after="0" w:line="240" w:lineRule="auto"/>
        <w:rPr>
          <w:rFonts w:asciiTheme="majorHAnsi" w:hAnsiTheme="majorHAnsi"/>
          <w:iCs/>
          <w:sz w:val="24"/>
        </w:rPr>
      </w:pPr>
      <w:r w:rsidRPr="000E3E93">
        <w:rPr>
          <w:rFonts w:asciiTheme="majorHAnsi" w:hAnsiTheme="majorHAnsi"/>
          <w:iCs/>
          <w:sz w:val="24"/>
        </w:rPr>
        <w:t>A draft copy of the PIA has been provided with this package for OMB’s review.</w:t>
      </w:r>
    </w:p>
    <w:p w:rsidR="009B6A38" w:rsidRPr="00E93091" w:rsidP="009B6A38" w14:paraId="053319D3" w14:textId="77777777">
      <w:pPr>
        <w:spacing w:after="0" w:line="240" w:lineRule="auto"/>
        <w:rPr>
          <w:rFonts w:asciiTheme="majorHAnsi" w:hAnsiTheme="majorHAnsi"/>
          <w:iCs/>
          <w:sz w:val="24"/>
        </w:rPr>
      </w:pPr>
    </w:p>
    <w:p w:rsidR="00B52F4E" w:rsidRPr="00187013" w:rsidP="00683CA6" w14:paraId="58F5326D" w14:textId="39E1AAC2">
      <w:pPr>
        <w:spacing w:after="0" w:line="240" w:lineRule="auto"/>
        <w:rPr>
          <w:rFonts w:asciiTheme="majorHAnsi" w:hAnsiTheme="majorHAnsi"/>
          <w:iCs/>
          <w:sz w:val="24"/>
        </w:rPr>
      </w:pPr>
      <w:r w:rsidRPr="00187013">
        <w:rPr>
          <w:rFonts w:asciiTheme="majorHAnsi" w:hAnsiTheme="majorHAnsi"/>
          <w:iCs/>
          <w:sz w:val="24"/>
        </w:rPr>
        <w:t>Records Retention and Disposition Schedule.</w:t>
      </w:r>
      <w:r w:rsidR="00683CA6">
        <w:rPr>
          <w:rFonts w:asciiTheme="majorHAnsi" w:hAnsiTheme="majorHAnsi"/>
          <w:iCs/>
          <w:sz w:val="24"/>
        </w:rPr>
        <w:t xml:space="preserve"> RAND</w:t>
      </w:r>
      <w:r w:rsidRPr="00683CA6" w:rsidR="00683CA6">
        <w:rPr>
          <w:rFonts w:asciiTheme="majorHAnsi" w:hAnsiTheme="majorHAnsi"/>
          <w:iCs/>
          <w:sz w:val="24"/>
        </w:rPr>
        <w:t xml:space="preserve"> will</w:t>
      </w:r>
      <w:r w:rsidR="00683CA6">
        <w:rPr>
          <w:rFonts w:asciiTheme="majorHAnsi" w:hAnsiTheme="majorHAnsi"/>
          <w:iCs/>
          <w:sz w:val="24"/>
        </w:rPr>
        <w:t xml:space="preserve"> </w:t>
      </w:r>
      <w:r w:rsidRPr="00683CA6" w:rsidR="00683CA6">
        <w:rPr>
          <w:rFonts w:asciiTheme="majorHAnsi" w:hAnsiTheme="majorHAnsi"/>
          <w:iCs/>
          <w:sz w:val="24"/>
        </w:rPr>
        <w:t>either maintain records on behalf of the Government in accordance with</w:t>
      </w:r>
      <w:r w:rsidR="00683CA6">
        <w:rPr>
          <w:rFonts w:asciiTheme="majorHAnsi" w:hAnsiTheme="majorHAnsi"/>
          <w:iCs/>
          <w:sz w:val="24"/>
        </w:rPr>
        <w:t xml:space="preserve"> </w:t>
      </w:r>
      <w:r w:rsidRPr="00683CA6" w:rsidR="00683CA6">
        <w:rPr>
          <w:rFonts w:asciiTheme="majorHAnsi" w:hAnsiTheme="majorHAnsi"/>
          <w:iCs/>
          <w:sz w:val="24"/>
        </w:rPr>
        <w:t xml:space="preserve">appropriate retentions schedule </w:t>
      </w:r>
      <w:r w:rsidR="001E1DD4">
        <w:rPr>
          <w:rFonts w:asciiTheme="majorHAnsi" w:hAnsiTheme="majorHAnsi"/>
          <w:iCs/>
          <w:sz w:val="24"/>
        </w:rPr>
        <w:t xml:space="preserve">(maintain for 5 years in accordance with OSD 1807-02) </w:t>
      </w:r>
      <w:r w:rsidRPr="00683CA6" w:rsidR="00683CA6">
        <w:rPr>
          <w:rFonts w:asciiTheme="majorHAnsi" w:hAnsiTheme="majorHAnsi"/>
          <w:iCs/>
          <w:sz w:val="24"/>
        </w:rPr>
        <w:t>or transfer all records to the Government</w:t>
      </w:r>
      <w:r w:rsidR="00683CA6">
        <w:rPr>
          <w:rFonts w:asciiTheme="majorHAnsi" w:hAnsiTheme="majorHAnsi"/>
          <w:iCs/>
          <w:sz w:val="24"/>
        </w:rPr>
        <w:t xml:space="preserve"> </w:t>
      </w:r>
      <w:r w:rsidRPr="00683CA6" w:rsidR="00683CA6">
        <w:rPr>
          <w:rFonts w:asciiTheme="majorHAnsi" w:hAnsiTheme="majorHAnsi"/>
          <w:iCs/>
          <w:sz w:val="24"/>
        </w:rPr>
        <w:t>upon termination of contract.</w:t>
      </w:r>
      <w:r w:rsidR="00683CA6">
        <w:rPr>
          <w:rFonts w:asciiTheme="majorHAnsi" w:hAnsiTheme="majorHAnsi"/>
          <w:iCs/>
          <w:sz w:val="24"/>
        </w:rPr>
        <w:t xml:space="preserve"> </w:t>
      </w:r>
    </w:p>
    <w:p w:rsidR="00996894" w:rsidP="00996894" w14:paraId="519C5444" w14:textId="77777777">
      <w:pPr>
        <w:spacing w:after="0" w:line="240" w:lineRule="auto"/>
        <w:rPr>
          <w:rFonts w:asciiTheme="majorHAnsi" w:hAnsiTheme="majorHAnsi"/>
          <w:i/>
          <w:sz w:val="24"/>
        </w:rPr>
      </w:pPr>
    </w:p>
    <w:p w:rsidR="00996894" w:rsidP="00996894" w14:paraId="75599848" w14:textId="5765ADC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14:paraId="3B7D25EE" w14:textId="12C33FFD">
      <w:pPr>
        <w:spacing w:after="0" w:line="240" w:lineRule="auto"/>
        <w:rPr>
          <w:rFonts w:asciiTheme="majorHAnsi" w:hAnsiTheme="majorHAnsi"/>
          <w:sz w:val="24"/>
        </w:rPr>
      </w:pPr>
    </w:p>
    <w:p w:rsidR="009C3D58" w:rsidP="00337EF1" w14:paraId="677A992F" w14:textId="7718F4E7">
      <w:pPr>
        <w:spacing w:after="0" w:line="240" w:lineRule="auto"/>
        <w:rPr>
          <w:rFonts w:asciiTheme="majorHAnsi" w:hAnsiTheme="majorHAnsi"/>
          <w:sz w:val="24"/>
        </w:rPr>
      </w:pPr>
      <w:r>
        <w:rPr>
          <w:rFonts w:asciiTheme="majorHAnsi" w:hAnsiTheme="majorHAnsi"/>
          <w:sz w:val="24"/>
        </w:rPr>
        <w:t xml:space="preserve">The only sensitive questions that will be asked will be about Race/Ethnicity of the </w:t>
      </w:r>
      <w:r w:rsidR="002555C5">
        <w:rPr>
          <w:rFonts w:asciiTheme="majorHAnsi" w:hAnsiTheme="majorHAnsi"/>
          <w:iCs/>
          <w:sz w:val="24"/>
        </w:rPr>
        <w:t>IPP personnel</w:t>
      </w:r>
      <w:r w:rsidRPr="00BF271A" w:rsidR="002555C5">
        <w:rPr>
          <w:rFonts w:asciiTheme="majorHAnsi" w:hAnsiTheme="majorHAnsi"/>
          <w:iCs/>
          <w:sz w:val="24"/>
        </w:rPr>
        <w:t xml:space="preserve"> </w:t>
      </w:r>
      <w:r w:rsidR="00AC7204">
        <w:rPr>
          <w:rFonts w:asciiTheme="majorHAnsi" w:hAnsiTheme="majorHAnsi"/>
          <w:sz w:val="24"/>
        </w:rPr>
        <w:t xml:space="preserve">on the </w:t>
      </w:r>
      <w:r w:rsidR="002555C5">
        <w:rPr>
          <w:rFonts w:asciiTheme="majorHAnsi" w:hAnsiTheme="majorHAnsi"/>
          <w:iCs/>
          <w:sz w:val="24"/>
        </w:rPr>
        <w:t>IPP Personnel</w:t>
      </w:r>
      <w:r w:rsidRPr="00BF271A" w:rsidR="002555C5">
        <w:rPr>
          <w:rFonts w:asciiTheme="majorHAnsi" w:hAnsiTheme="majorHAnsi"/>
          <w:iCs/>
          <w:sz w:val="24"/>
        </w:rPr>
        <w:t xml:space="preserve"> </w:t>
      </w:r>
      <w:r w:rsidR="00AC7204">
        <w:rPr>
          <w:rFonts w:asciiTheme="majorHAnsi" w:hAnsiTheme="majorHAnsi"/>
          <w:sz w:val="24"/>
        </w:rPr>
        <w:t xml:space="preserve">Survey. This will be asked to characterize the sample of </w:t>
      </w:r>
      <w:r w:rsidR="002555C5">
        <w:rPr>
          <w:rFonts w:asciiTheme="majorHAnsi" w:hAnsiTheme="majorHAnsi"/>
          <w:iCs/>
          <w:sz w:val="24"/>
        </w:rPr>
        <w:t>IPP personnel</w:t>
      </w:r>
      <w:r w:rsidR="00AC7204">
        <w:rPr>
          <w:rFonts w:asciiTheme="majorHAnsi" w:hAnsiTheme="majorHAnsi"/>
          <w:sz w:val="24"/>
        </w:rPr>
        <w:t xml:space="preserve">. </w:t>
      </w:r>
    </w:p>
    <w:p w:rsidR="009C3D58" w:rsidP="00337EF1" w14:paraId="53B45B6A" w14:textId="77777777">
      <w:pPr>
        <w:spacing w:after="0" w:line="240" w:lineRule="auto"/>
        <w:rPr>
          <w:rFonts w:asciiTheme="majorHAnsi" w:hAnsiTheme="majorHAnsi"/>
          <w:sz w:val="24"/>
        </w:rPr>
      </w:pPr>
    </w:p>
    <w:p w:rsidR="00D21AA6" w:rsidP="00337EF1" w14:paraId="4B24ED0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2A72ADE"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w:t>
      </w:r>
      <w:bookmarkStart w:id="3" w:name="_Hlk127457118"/>
      <w:r>
        <w:rPr>
          <w:rFonts w:asciiTheme="majorHAnsi" w:eastAsiaTheme="minorHAnsi" w:hAnsiTheme="majorHAnsi" w:cstheme="minorBidi"/>
          <w:szCs w:val="22"/>
        </w:rPr>
        <w:t>ESTIMATION OF RESPONDENT BURDEN</w:t>
      </w:r>
      <w:bookmarkEnd w:id="3"/>
    </w:p>
    <w:p w:rsidR="00B55E9F" w:rsidP="00235D71" w14:paraId="073602FA" w14:textId="67350F42">
      <w:pPr>
        <w:spacing w:after="0" w:line="240" w:lineRule="auto"/>
        <w:rPr>
          <w:rFonts w:asciiTheme="majorHAnsi" w:hAnsiTheme="majorHAnsi"/>
          <w:i/>
          <w:sz w:val="24"/>
        </w:rPr>
      </w:pPr>
    </w:p>
    <w:p w:rsidR="008E1EC8" w:rsidRPr="008E1EC8" w:rsidP="008E1EC8" w14:paraId="40904AE8" w14:textId="07BD71BB">
      <w:pPr>
        <w:spacing w:after="0" w:line="240" w:lineRule="auto"/>
        <w:rPr>
          <w:rFonts w:asciiTheme="majorHAnsi" w:hAnsiTheme="majorHAnsi"/>
          <w:iCs/>
          <w:sz w:val="24"/>
        </w:rPr>
      </w:pPr>
      <w:r w:rsidRPr="00897AFD">
        <w:rPr>
          <w:rFonts w:asciiTheme="majorHAnsi" w:hAnsiTheme="majorHAnsi"/>
          <w:iCs/>
          <w:sz w:val="24"/>
        </w:rPr>
        <w:t xml:space="preserve">Below is </w:t>
      </w:r>
      <w:r w:rsidRPr="00897AFD" w:rsidR="00D645D3">
        <w:rPr>
          <w:rFonts w:asciiTheme="majorHAnsi" w:hAnsiTheme="majorHAnsi"/>
          <w:iCs/>
          <w:sz w:val="24"/>
        </w:rPr>
        <w:t>an estimate of burden for data collection that directly involves respondents</w:t>
      </w:r>
      <w:r w:rsidRPr="00897AFD" w:rsidR="00897AFD">
        <w:rPr>
          <w:rFonts w:asciiTheme="majorHAnsi" w:hAnsiTheme="majorHAnsi"/>
          <w:iCs/>
          <w:sz w:val="24"/>
        </w:rPr>
        <w:t>—</w:t>
      </w:r>
      <w:r>
        <w:rPr>
          <w:rFonts w:asciiTheme="majorHAnsi" w:hAnsiTheme="majorHAnsi"/>
          <w:iCs/>
          <w:sz w:val="24"/>
        </w:rPr>
        <w:t xml:space="preserve"> four collection instruments combined (</w:t>
      </w:r>
      <w:r w:rsidR="00370463">
        <w:rPr>
          <w:rFonts w:asciiTheme="majorHAnsi" w:hAnsiTheme="majorHAnsi"/>
          <w:iCs/>
          <w:sz w:val="24"/>
        </w:rPr>
        <w:t>IPP Personnel</w:t>
      </w:r>
      <w:r w:rsidRPr="00BF271A" w:rsidR="00370463">
        <w:rPr>
          <w:rFonts w:asciiTheme="majorHAnsi" w:hAnsiTheme="majorHAnsi"/>
          <w:iCs/>
          <w:sz w:val="24"/>
        </w:rPr>
        <w:t xml:space="preserve"> </w:t>
      </w:r>
      <w:r w:rsidRPr="00897AFD" w:rsidR="00897AFD">
        <w:rPr>
          <w:rFonts w:asciiTheme="majorHAnsi" w:hAnsiTheme="majorHAnsi"/>
          <w:iCs/>
          <w:sz w:val="24"/>
        </w:rPr>
        <w:t xml:space="preserve">Survey, Cohort Study, </w:t>
      </w:r>
      <w:r w:rsidR="00370463">
        <w:rPr>
          <w:rFonts w:asciiTheme="majorHAnsi" w:hAnsiTheme="majorHAnsi"/>
          <w:iCs/>
          <w:sz w:val="24"/>
        </w:rPr>
        <w:t>Supervisor/</w:t>
      </w:r>
      <w:r w:rsidRPr="00897AFD" w:rsidR="00897AFD">
        <w:rPr>
          <w:rFonts w:asciiTheme="majorHAnsi" w:hAnsiTheme="majorHAnsi"/>
          <w:iCs/>
          <w:sz w:val="24"/>
        </w:rPr>
        <w:t xml:space="preserve">Leader Interviews, and </w:t>
      </w:r>
      <w:r w:rsidR="00370463">
        <w:rPr>
          <w:rFonts w:asciiTheme="majorHAnsi" w:hAnsiTheme="majorHAnsi"/>
          <w:iCs/>
          <w:sz w:val="24"/>
        </w:rPr>
        <w:t>Integrated Pr</w:t>
      </w:r>
      <w:r w:rsidR="00FF6786">
        <w:rPr>
          <w:rFonts w:asciiTheme="majorHAnsi" w:hAnsiTheme="majorHAnsi"/>
          <w:iCs/>
          <w:sz w:val="24"/>
        </w:rPr>
        <w:t>imary Prevention Tracker).</w:t>
      </w:r>
      <w:r w:rsidRPr="00897AFD" w:rsidR="00897AFD">
        <w:rPr>
          <w:rFonts w:asciiTheme="majorHAnsi" w:hAnsiTheme="majorHAnsi"/>
          <w:iCs/>
          <w:sz w:val="24"/>
        </w:rPr>
        <w:t xml:space="preserve"> </w:t>
      </w:r>
    </w:p>
    <w:p w:rsidR="008E1EC8" w:rsidP="00235D71" w14:paraId="718307D5" w14:textId="4AD06F63">
      <w:pPr>
        <w:spacing w:after="0" w:line="240" w:lineRule="auto"/>
        <w:rPr>
          <w:rFonts w:asciiTheme="majorHAnsi" w:hAnsiTheme="majorHAnsi"/>
          <w:iCs/>
          <w:sz w:val="24"/>
        </w:rPr>
      </w:pPr>
    </w:p>
    <w:p w:rsidR="00075C9A" w:rsidP="00075C9A" w14:paraId="23FA6D8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075C9A" w:rsidP="00075C9A" w14:paraId="5948BBBE" w14:textId="69C7C27F">
      <w:pPr>
        <w:pStyle w:val="ListParagraph"/>
        <w:spacing w:after="0" w:line="240" w:lineRule="auto"/>
        <w:rPr>
          <w:rFonts w:asciiTheme="majorHAnsi" w:hAnsiTheme="majorHAnsi"/>
          <w:sz w:val="24"/>
        </w:rPr>
      </w:pPr>
      <w:r w:rsidRPr="00235D71">
        <w:rPr>
          <w:rFonts w:asciiTheme="majorHAnsi" w:hAnsiTheme="majorHAnsi"/>
          <w:sz w:val="24"/>
        </w:rPr>
        <w:t>[</w:t>
      </w:r>
      <w:r w:rsidRPr="00075C9A">
        <w:rPr>
          <w:rFonts w:asciiTheme="majorHAnsi" w:hAnsiTheme="majorHAnsi"/>
          <w:sz w:val="24"/>
        </w:rPr>
        <w:t>IPP Personnel Survey</w:t>
      </w:r>
      <w:r w:rsidRPr="00235D71">
        <w:rPr>
          <w:rFonts w:asciiTheme="majorHAnsi" w:hAnsiTheme="majorHAnsi"/>
          <w:sz w:val="24"/>
        </w:rPr>
        <w:t xml:space="preserve">] </w:t>
      </w:r>
    </w:p>
    <w:p w:rsidR="00075C9A" w:rsidP="00075C9A" w14:paraId="565750D9" w14:textId="16A801B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0341D">
        <w:rPr>
          <w:rFonts w:asciiTheme="majorHAnsi" w:hAnsiTheme="majorHAnsi"/>
          <w:sz w:val="24"/>
        </w:rPr>
        <w:t>1472</w:t>
      </w:r>
    </w:p>
    <w:p w:rsidR="00075C9A" w:rsidP="00075C9A" w14:paraId="6EC57317" w14:textId="4657234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Responses Per Respondent: </w:t>
      </w:r>
      <w:r w:rsidR="0050341D">
        <w:rPr>
          <w:rFonts w:asciiTheme="majorHAnsi" w:hAnsiTheme="majorHAnsi"/>
          <w:sz w:val="24"/>
        </w:rPr>
        <w:t>1</w:t>
      </w:r>
    </w:p>
    <w:p w:rsidR="00075C9A" w:rsidP="00075C9A" w14:paraId="27DD2687" w14:textId="7983C41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50341D">
        <w:rPr>
          <w:rFonts w:asciiTheme="majorHAnsi" w:hAnsiTheme="majorHAnsi"/>
          <w:sz w:val="24"/>
        </w:rPr>
        <w:t>1472</w:t>
      </w:r>
    </w:p>
    <w:p w:rsidR="00075C9A" w:rsidP="00075C9A" w14:paraId="6A1BD58B" w14:textId="2636E58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345A45">
        <w:rPr>
          <w:rFonts w:asciiTheme="majorHAnsi" w:hAnsiTheme="majorHAnsi"/>
          <w:sz w:val="24"/>
        </w:rPr>
        <w:t>.5 hour</w:t>
      </w:r>
    </w:p>
    <w:p w:rsidR="00075C9A" w:rsidP="00075C9A" w14:paraId="48DC20CB" w14:textId="1D1D2609">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50341D">
        <w:rPr>
          <w:rFonts w:asciiTheme="majorHAnsi" w:hAnsiTheme="majorHAnsi"/>
          <w:sz w:val="24"/>
        </w:rPr>
        <w:t>736</w:t>
      </w:r>
      <w:r>
        <w:rPr>
          <w:rFonts w:asciiTheme="majorHAnsi" w:hAnsiTheme="majorHAnsi"/>
          <w:sz w:val="24"/>
        </w:rPr>
        <w:t xml:space="preserve"> hours </w:t>
      </w:r>
    </w:p>
    <w:p w:rsidR="00F26548" w:rsidP="00075C9A" w14:paraId="6155E6A8" w14:textId="77777777">
      <w:pPr>
        <w:pStyle w:val="ListParagraph"/>
        <w:spacing w:after="0" w:line="240" w:lineRule="auto"/>
        <w:rPr>
          <w:rFonts w:asciiTheme="majorHAnsi" w:hAnsiTheme="majorHAnsi"/>
          <w:sz w:val="24"/>
        </w:rPr>
      </w:pPr>
    </w:p>
    <w:p w:rsidR="00075C9A" w:rsidP="00075C9A" w14:paraId="0C856B59" w14:textId="4F0080B1">
      <w:pPr>
        <w:pStyle w:val="ListParagraph"/>
        <w:spacing w:after="0" w:line="240" w:lineRule="auto"/>
        <w:rPr>
          <w:rFonts w:asciiTheme="majorHAnsi" w:hAnsiTheme="majorHAnsi"/>
          <w:sz w:val="24"/>
        </w:rPr>
      </w:pPr>
      <w:r w:rsidRPr="00235D71">
        <w:rPr>
          <w:rFonts w:asciiTheme="majorHAnsi" w:hAnsiTheme="majorHAnsi"/>
          <w:sz w:val="24"/>
        </w:rPr>
        <w:t>[</w:t>
      </w:r>
      <w:r w:rsidRPr="00075C9A">
        <w:rPr>
          <w:rFonts w:asciiTheme="majorHAnsi" w:hAnsiTheme="majorHAnsi"/>
          <w:sz w:val="24"/>
        </w:rPr>
        <w:t>Cohort Study</w:t>
      </w:r>
      <w:r w:rsidRPr="00235D71">
        <w:rPr>
          <w:rFonts w:asciiTheme="majorHAnsi" w:hAnsiTheme="majorHAnsi"/>
          <w:sz w:val="24"/>
        </w:rPr>
        <w:t xml:space="preserve">] </w:t>
      </w:r>
    </w:p>
    <w:p w:rsidR="00075C9A" w:rsidP="00075C9A" w14:paraId="7573F6D1" w14:textId="4EA847A3">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Number of Respondents: </w:t>
      </w:r>
      <w:r w:rsidR="0050341D">
        <w:rPr>
          <w:rFonts w:asciiTheme="majorHAnsi" w:hAnsiTheme="majorHAnsi"/>
          <w:sz w:val="24"/>
        </w:rPr>
        <w:t>80</w:t>
      </w:r>
    </w:p>
    <w:p w:rsidR="00075C9A" w:rsidP="00075C9A" w14:paraId="7CD0A6AF" w14:textId="7871EBF6">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Number of Responses Per Respondent: </w:t>
      </w:r>
      <w:r w:rsidR="0050341D">
        <w:rPr>
          <w:rFonts w:asciiTheme="majorHAnsi" w:hAnsiTheme="majorHAnsi"/>
          <w:sz w:val="24"/>
        </w:rPr>
        <w:t>1</w:t>
      </w:r>
    </w:p>
    <w:p w:rsidR="00075C9A" w:rsidP="00075C9A" w14:paraId="6B978407" w14:textId="6CC3C316">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Number of Total Annual Responses: </w:t>
      </w:r>
      <w:r w:rsidR="0050341D">
        <w:rPr>
          <w:rFonts w:asciiTheme="majorHAnsi" w:hAnsiTheme="majorHAnsi"/>
          <w:sz w:val="24"/>
        </w:rPr>
        <w:t>80</w:t>
      </w:r>
    </w:p>
    <w:p w:rsidR="00075C9A" w:rsidP="00075C9A" w14:paraId="2EB0F582" w14:textId="49D84679">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Response Time: </w:t>
      </w:r>
      <w:r w:rsidR="0050341D">
        <w:rPr>
          <w:rFonts w:asciiTheme="majorHAnsi" w:hAnsiTheme="majorHAnsi"/>
          <w:sz w:val="24"/>
        </w:rPr>
        <w:t>1</w:t>
      </w:r>
    </w:p>
    <w:p w:rsidR="00075C9A" w:rsidP="00075C9A" w14:paraId="55C74488" w14:textId="03625A90">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Respondent Burden Hours: </w:t>
      </w:r>
      <w:r w:rsidR="0050341D">
        <w:rPr>
          <w:rFonts w:asciiTheme="majorHAnsi" w:hAnsiTheme="majorHAnsi"/>
          <w:sz w:val="24"/>
        </w:rPr>
        <w:t>80</w:t>
      </w:r>
      <w:r>
        <w:rPr>
          <w:rFonts w:asciiTheme="majorHAnsi" w:hAnsiTheme="majorHAnsi"/>
          <w:sz w:val="24"/>
        </w:rPr>
        <w:t xml:space="preserve"> hours </w:t>
      </w:r>
    </w:p>
    <w:p w:rsidR="00F26548" w:rsidP="00075C9A" w14:paraId="118619A1" w14:textId="77777777">
      <w:pPr>
        <w:pStyle w:val="ListParagraph"/>
        <w:spacing w:after="0" w:line="240" w:lineRule="auto"/>
        <w:rPr>
          <w:rFonts w:asciiTheme="majorHAnsi" w:hAnsiTheme="majorHAnsi"/>
          <w:sz w:val="24"/>
        </w:rPr>
      </w:pPr>
    </w:p>
    <w:p w:rsidR="00075C9A" w:rsidP="00075C9A" w14:paraId="5FCAA7ED" w14:textId="377EAB80">
      <w:pPr>
        <w:pStyle w:val="ListParagraph"/>
        <w:spacing w:after="0" w:line="240" w:lineRule="auto"/>
        <w:rPr>
          <w:rFonts w:asciiTheme="majorHAnsi" w:hAnsiTheme="majorHAnsi"/>
          <w:sz w:val="24"/>
        </w:rPr>
      </w:pPr>
      <w:r w:rsidRPr="00235D71">
        <w:rPr>
          <w:rFonts w:asciiTheme="majorHAnsi" w:hAnsiTheme="majorHAnsi"/>
          <w:sz w:val="24"/>
        </w:rPr>
        <w:t>[</w:t>
      </w:r>
      <w:r w:rsidRPr="00075C9A">
        <w:rPr>
          <w:rFonts w:asciiTheme="majorHAnsi" w:hAnsiTheme="majorHAnsi"/>
          <w:sz w:val="24"/>
        </w:rPr>
        <w:t>Supervisor/Leader Interviews</w:t>
      </w:r>
      <w:r w:rsidRPr="00235D71">
        <w:rPr>
          <w:rFonts w:asciiTheme="majorHAnsi" w:hAnsiTheme="majorHAnsi"/>
          <w:sz w:val="24"/>
        </w:rPr>
        <w:t xml:space="preserve">] </w:t>
      </w:r>
    </w:p>
    <w:p w:rsidR="00075C9A" w:rsidP="00075C9A" w14:paraId="7C99245B" w14:textId="369F6B2F">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Number of Respondents: </w:t>
      </w:r>
      <w:r w:rsidR="0050341D">
        <w:rPr>
          <w:rFonts w:asciiTheme="majorHAnsi" w:hAnsiTheme="majorHAnsi"/>
          <w:sz w:val="24"/>
        </w:rPr>
        <w:t>80</w:t>
      </w:r>
    </w:p>
    <w:p w:rsidR="00075C9A" w:rsidP="00075C9A" w14:paraId="1A14C187" w14:textId="4BBCE419">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Number of Responses Per Respondent: </w:t>
      </w:r>
      <w:r w:rsidR="0050341D">
        <w:rPr>
          <w:rFonts w:asciiTheme="majorHAnsi" w:hAnsiTheme="majorHAnsi"/>
          <w:sz w:val="24"/>
        </w:rPr>
        <w:t>1</w:t>
      </w:r>
    </w:p>
    <w:p w:rsidR="00075C9A" w:rsidP="00075C9A" w14:paraId="2951254C" w14:textId="1F0275B5">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Number of Total Annual Responses: </w:t>
      </w:r>
      <w:r w:rsidR="0050341D">
        <w:rPr>
          <w:rFonts w:asciiTheme="majorHAnsi" w:hAnsiTheme="majorHAnsi"/>
          <w:sz w:val="24"/>
        </w:rPr>
        <w:t>80</w:t>
      </w:r>
    </w:p>
    <w:p w:rsidR="00075C9A" w:rsidP="00075C9A" w14:paraId="29109280" w14:textId="58ED65CF">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Response Time: </w:t>
      </w:r>
      <w:r w:rsidR="0050341D">
        <w:rPr>
          <w:rFonts w:asciiTheme="majorHAnsi" w:hAnsiTheme="majorHAnsi"/>
          <w:sz w:val="24"/>
        </w:rPr>
        <w:t>.5</w:t>
      </w:r>
    </w:p>
    <w:p w:rsidR="00075C9A" w:rsidP="00075C9A" w14:paraId="7BD113AF" w14:textId="7840A04A">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Respondent Burden Hours: </w:t>
      </w:r>
      <w:r w:rsidR="0050341D">
        <w:rPr>
          <w:rFonts w:asciiTheme="majorHAnsi" w:hAnsiTheme="majorHAnsi"/>
          <w:sz w:val="24"/>
        </w:rPr>
        <w:t>40</w:t>
      </w:r>
      <w:r>
        <w:rPr>
          <w:rFonts w:asciiTheme="majorHAnsi" w:hAnsiTheme="majorHAnsi"/>
          <w:sz w:val="24"/>
        </w:rPr>
        <w:t xml:space="preserve"> hours </w:t>
      </w:r>
    </w:p>
    <w:p w:rsidR="00F26548" w:rsidP="00075C9A" w14:paraId="5BC7F931" w14:textId="77777777">
      <w:pPr>
        <w:pStyle w:val="ListParagraph"/>
        <w:spacing w:after="0" w:line="240" w:lineRule="auto"/>
        <w:rPr>
          <w:rFonts w:asciiTheme="majorHAnsi" w:hAnsiTheme="majorHAnsi"/>
          <w:sz w:val="24"/>
        </w:rPr>
      </w:pPr>
    </w:p>
    <w:p w:rsidR="0050341D" w:rsidP="00075C9A" w14:paraId="28A04B42" w14:textId="77777777">
      <w:pPr>
        <w:pStyle w:val="ListParagraph"/>
        <w:spacing w:after="0" w:line="240" w:lineRule="auto"/>
        <w:rPr>
          <w:rFonts w:asciiTheme="majorHAnsi" w:hAnsiTheme="majorHAnsi"/>
          <w:sz w:val="24"/>
        </w:rPr>
      </w:pPr>
    </w:p>
    <w:p w:rsidR="00075C9A" w:rsidP="00075C9A" w14:paraId="4CAFBE10" w14:textId="3F047243">
      <w:pPr>
        <w:pStyle w:val="ListParagraph"/>
        <w:spacing w:after="0" w:line="240" w:lineRule="auto"/>
        <w:rPr>
          <w:rFonts w:asciiTheme="majorHAnsi" w:hAnsiTheme="majorHAnsi"/>
          <w:sz w:val="24"/>
        </w:rPr>
      </w:pPr>
      <w:r w:rsidRPr="00235D71">
        <w:rPr>
          <w:rFonts w:asciiTheme="majorHAnsi" w:hAnsiTheme="majorHAnsi"/>
          <w:sz w:val="24"/>
        </w:rPr>
        <w:t>[</w:t>
      </w:r>
      <w:r w:rsidRPr="0018152C" w:rsidR="0018152C">
        <w:rPr>
          <w:rFonts w:asciiTheme="majorHAnsi" w:hAnsiTheme="majorHAnsi"/>
          <w:sz w:val="24"/>
        </w:rPr>
        <w:t>Integrated Primary Prevention Activity Tracking</w:t>
      </w:r>
      <w:r w:rsidRPr="00235D71">
        <w:rPr>
          <w:rFonts w:asciiTheme="majorHAnsi" w:hAnsiTheme="majorHAnsi"/>
          <w:sz w:val="24"/>
        </w:rPr>
        <w:t xml:space="preserve">] </w:t>
      </w:r>
    </w:p>
    <w:p w:rsidR="00075C9A" w:rsidP="00075C9A" w14:paraId="0D1B5457" w14:textId="178BD3D3">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Number of Respondents: </w:t>
      </w:r>
      <w:r w:rsidR="0050341D">
        <w:rPr>
          <w:rFonts w:asciiTheme="majorHAnsi" w:hAnsiTheme="majorHAnsi"/>
          <w:sz w:val="24"/>
        </w:rPr>
        <w:t>1472</w:t>
      </w:r>
    </w:p>
    <w:p w:rsidR="00075C9A" w:rsidP="00075C9A" w14:paraId="6C7F4FFD" w14:textId="598DB772">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Number of Responses Per Respondent: </w:t>
      </w:r>
      <w:r w:rsidR="0050341D">
        <w:rPr>
          <w:rFonts w:asciiTheme="majorHAnsi" w:hAnsiTheme="majorHAnsi"/>
          <w:sz w:val="24"/>
        </w:rPr>
        <w:t>2</w:t>
      </w:r>
    </w:p>
    <w:p w:rsidR="00075C9A" w:rsidP="00075C9A" w14:paraId="6B2C9A90" w14:textId="081AA561">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Number of Total Annual Responses: </w:t>
      </w:r>
      <w:r w:rsidR="0050341D">
        <w:rPr>
          <w:rFonts w:asciiTheme="majorHAnsi" w:hAnsiTheme="majorHAnsi"/>
          <w:sz w:val="24"/>
        </w:rPr>
        <w:t>2944</w:t>
      </w:r>
    </w:p>
    <w:p w:rsidR="00075C9A" w:rsidP="00075C9A" w14:paraId="293277AE" w14:textId="2CD36FAD">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Response Time: </w:t>
      </w:r>
      <w:r w:rsidR="0050341D">
        <w:rPr>
          <w:rFonts w:asciiTheme="majorHAnsi" w:hAnsiTheme="majorHAnsi"/>
          <w:sz w:val="24"/>
        </w:rPr>
        <w:t>1 hour</w:t>
      </w:r>
    </w:p>
    <w:p w:rsidR="00075C9A" w:rsidRPr="001131BF" w:rsidP="001131BF" w14:paraId="71887007" w14:textId="1F1C624E">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Respondent Burden Hours: </w:t>
      </w:r>
      <w:r w:rsidR="001131BF">
        <w:rPr>
          <w:rFonts w:asciiTheme="majorHAnsi" w:hAnsiTheme="majorHAnsi"/>
          <w:sz w:val="24"/>
        </w:rPr>
        <w:t>2944</w:t>
      </w:r>
      <w:r>
        <w:rPr>
          <w:rFonts w:asciiTheme="majorHAnsi" w:hAnsiTheme="majorHAnsi"/>
          <w:sz w:val="24"/>
        </w:rPr>
        <w:t xml:space="preserve"> hours </w:t>
      </w:r>
    </w:p>
    <w:p w:rsidR="00075C9A" w:rsidP="00075C9A" w14:paraId="3FE2E9C8" w14:textId="77777777">
      <w:pPr>
        <w:pStyle w:val="ListParagraph"/>
        <w:spacing w:after="0" w:line="240" w:lineRule="auto"/>
        <w:ind w:left="1440"/>
        <w:rPr>
          <w:rFonts w:asciiTheme="majorHAnsi" w:hAnsiTheme="majorHAnsi"/>
          <w:sz w:val="24"/>
        </w:rPr>
      </w:pPr>
    </w:p>
    <w:p w:rsidR="00075C9A" w:rsidP="00075C9A" w14:paraId="7F2F75E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075C9A" w:rsidP="00075C9A" w14:paraId="5ACBB786" w14:textId="045DECB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FF6786">
        <w:rPr>
          <w:rFonts w:asciiTheme="majorHAnsi" w:hAnsiTheme="majorHAnsi"/>
          <w:sz w:val="24"/>
        </w:rPr>
        <w:t>1632</w:t>
      </w:r>
    </w:p>
    <w:p w:rsidR="00075C9A" w:rsidP="00075C9A" w14:paraId="544C72F5" w14:textId="56A0655D">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FF6786">
        <w:rPr>
          <w:rFonts w:asciiTheme="majorHAnsi" w:hAnsiTheme="majorHAnsi"/>
          <w:sz w:val="24"/>
        </w:rPr>
        <w:t>4576</w:t>
      </w:r>
    </w:p>
    <w:p w:rsidR="00272D36" w:rsidP="00337EF1" w14:paraId="0C5477EB" w14:textId="77777777">
      <w:pPr>
        <w:spacing w:after="0" w:line="240" w:lineRule="auto"/>
        <w:rPr>
          <w:rFonts w:asciiTheme="majorHAnsi" w:hAnsiTheme="majorHAnsi"/>
          <w:sz w:val="24"/>
        </w:rPr>
      </w:pPr>
    </w:p>
    <w:p w:rsidR="00272D36" w:rsidP="00337EF1" w14:paraId="38E55B96" w14:textId="77777777">
      <w:pPr>
        <w:spacing w:after="0" w:line="240" w:lineRule="auto"/>
        <w:rPr>
          <w:rFonts w:asciiTheme="majorHAnsi" w:hAnsiTheme="majorHAnsi"/>
          <w:sz w:val="24"/>
        </w:rPr>
      </w:pPr>
    </w:p>
    <w:p w:rsidR="00FF6786" w:rsidP="00337EF1" w14:paraId="42F022AC" w14:textId="77777777">
      <w:pPr>
        <w:spacing w:after="0" w:line="240" w:lineRule="auto"/>
        <w:rPr>
          <w:rFonts w:asciiTheme="majorHAnsi" w:hAnsiTheme="majorHAnsi"/>
          <w:sz w:val="24"/>
        </w:rPr>
      </w:pPr>
    </w:p>
    <w:p w:rsidR="00FF6786" w:rsidP="00337EF1" w14:paraId="67B188E7" w14:textId="77777777">
      <w:pPr>
        <w:spacing w:after="0" w:line="240" w:lineRule="auto"/>
        <w:rPr>
          <w:rFonts w:asciiTheme="majorHAnsi" w:hAnsiTheme="majorHAnsi"/>
          <w:sz w:val="24"/>
        </w:rPr>
      </w:pPr>
    </w:p>
    <w:p w:rsidR="00105F45" w:rsidP="00337EF1" w14:paraId="44C7B053" w14:textId="116EEE1D">
      <w:pPr>
        <w:spacing w:after="0" w:line="240" w:lineRule="auto"/>
        <w:rPr>
          <w:rFonts w:asciiTheme="majorHAnsi" w:hAnsiTheme="majorHAnsi"/>
          <w:sz w:val="24"/>
        </w:rPr>
      </w:pPr>
      <w:r>
        <w:rPr>
          <w:rFonts w:asciiTheme="majorHAnsi" w:hAnsiTheme="majorHAnsi"/>
          <w:sz w:val="24"/>
        </w:rPr>
        <w:t>Part B: LABOR COST OF RESPONDENT BURDEN</w:t>
      </w:r>
    </w:p>
    <w:p w:rsidR="00897AFD" w:rsidP="00897AFD" w14:paraId="28720C09" w14:textId="77777777">
      <w:pPr>
        <w:spacing w:after="0" w:line="240" w:lineRule="auto"/>
        <w:rPr>
          <w:rFonts w:asciiTheme="majorHAnsi" w:hAnsiTheme="majorHAnsi"/>
          <w:iCs/>
          <w:sz w:val="24"/>
        </w:rPr>
      </w:pPr>
    </w:p>
    <w:p w:rsidR="00897AFD" w:rsidP="00897AFD" w14:paraId="47486275" w14:textId="447F3391">
      <w:pPr>
        <w:spacing w:after="0" w:line="240" w:lineRule="auto"/>
        <w:rPr>
          <w:rFonts w:asciiTheme="majorHAnsi" w:hAnsiTheme="majorHAnsi"/>
          <w:iCs/>
          <w:sz w:val="24"/>
        </w:rPr>
      </w:pPr>
      <w:r w:rsidRPr="00897AFD">
        <w:rPr>
          <w:rFonts w:asciiTheme="majorHAnsi" w:hAnsiTheme="majorHAnsi"/>
          <w:iCs/>
          <w:sz w:val="24"/>
        </w:rPr>
        <w:t xml:space="preserve">Below is an estimate of </w:t>
      </w:r>
      <w:r w:rsidR="00EA5E22">
        <w:rPr>
          <w:rFonts w:asciiTheme="majorHAnsi" w:hAnsiTheme="majorHAnsi"/>
          <w:iCs/>
          <w:sz w:val="24"/>
        </w:rPr>
        <w:t>labor cost</w:t>
      </w:r>
      <w:r w:rsidRPr="00897AFD">
        <w:rPr>
          <w:rFonts w:asciiTheme="majorHAnsi" w:hAnsiTheme="majorHAnsi"/>
          <w:iCs/>
          <w:sz w:val="24"/>
        </w:rPr>
        <w:t xml:space="preserve"> burden for data collection that directly involves respondents—</w:t>
      </w:r>
      <w:r w:rsidR="00EA5E22">
        <w:rPr>
          <w:rFonts w:asciiTheme="majorHAnsi" w:hAnsiTheme="majorHAnsi"/>
          <w:iCs/>
          <w:sz w:val="24"/>
        </w:rPr>
        <w:t>IPP Personnel</w:t>
      </w:r>
      <w:r w:rsidRPr="00BF271A" w:rsidR="00EA5E22">
        <w:rPr>
          <w:rFonts w:asciiTheme="majorHAnsi" w:hAnsiTheme="majorHAnsi"/>
          <w:iCs/>
          <w:sz w:val="24"/>
        </w:rPr>
        <w:t xml:space="preserve"> </w:t>
      </w:r>
      <w:r w:rsidRPr="00897AFD">
        <w:rPr>
          <w:rFonts w:asciiTheme="majorHAnsi" w:hAnsiTheme="majorHAnsi"/>
          <w:iCs/>
          <w:sz w:val="24"/>
        </w:rPr>
        <w:t xml:space="preserve">Survey, Cohort Study, </w:t>
      </w:r>
      <w:r w:rsidR="00EA5E22">
        <w:rPr>
          <w:rFonts w:asciiTheme="majorHAnsi" w:hAnsiTheme="majorHAnsi"/>
          <w:iCs/>
          <w:sz w:val="24"/>
        </w:rPr>
        <w:t>Supervisor/</w:t>
      </w:r>
      <w:r w:rsidRPr="00897AFD">
        <w:rPr>
          <w:rFonts w:asciiTheme="majorHAnsi" w:hAnsiTheme="majorHAnsi"/>
          <w:iCs/>
          <w:sz w:val="24"/>
        </w:rPr>
        <w:t xml:space="preserve">Leader Interviews, and </w:t>
      </w:r>
      <w:r w:rsidR="00EA5E22">
        <w:rPr>
          <w:rFonts w:asciiTheme="majorHAnsi" w:hAnsiTheme="majorHAnsi"/>
          <w:iCs/>
          <w:sz w:val="24"/>
        </w:rPr>
        <w:t xml:space="preserve">Integrated Primary </w:t>
      </w:r>
      <w:r w:rsidRPr="00897AFD">
        <w:rPr>
          <w:rFonts w:asciiTheme="majorHAnsi" w:hAnsiTheme="majorHAnsi"/>
          <w:iCs/>
          <w:sz w:val="24"/>
        </w:rPr>
        <w:t xml:space="preserve">Prevention </w:t>
      </w:r>
      <w:r w:rsidR="00EA5E22">
        <w:rPr>
          <w:rFonts w:asciiTheme="majorHAnsi" w:hAnsiTheme="majorHAnsi"/>
          <w:iCs/>
          <w:sz w:val="24"/>
        </w:rPr>
        <w:t xml:space="preserve">Activity </w:t>
      </w:r>
      <w:r w:rsidRPr="00897AFD">
        <w:rPr>
          <w:rFonts w:asciiTheme="majorHAnsi" w:hAnsiTheme="majorHAnsi"/>
          <w:iCs/>
          <w:sz w:val="24"/>
        </w:rPr>
        <w:t xml:space="preserve">Tracking. </w:t>
      </w:r>
      <w:r w:rsidR="00D470ED">
        <w:rPr>
          <w:rFonts w:asciiTheme="majorHAnsi" w:hAnsiTheme="majorHAnsi"/>
          <w:iCs/>
          <w:sz w:val="24"/>
        </w:rPr>
        <w:t xml:space="preserve">Wage rate is an average across the </w:t>
      </w:r>
      <w:r w:rsidR="00D470ED">
        <w:rPr>
          <w:rFonts w:asciiTheme="majorHAnsi" w:hAnsiTheme="majorHAnsi"/>
          <w:iCs/>
          <w:sz w:val="24"/>
        </w:rPr>
        <w:t xml:space="preserve">various </w:t>
      </w:r>
      <w:r w:rsidR="00EA5E22">
        <w:rPr>
          <w:rFonts w:asciiTheme="majorHAnsi" w:hAnsiTheme="majorHAnsi"/>
          <w:iCs/>
          <w:sz w:val="24"/>
        </w:rPr>
        <w:t>IPP personnel</w:t>
      </w:r>
      <w:r w:rsidRPr="00BF271A" w:rsidR="00EA5E22">
        <w:rPr>
          <w:rFonts w:asciiTheme="majorHAnsi" w:hAnsiTheme="majorHAnsi"/>
          <w:iCs/>
          <w:sz w:val="24"/>
        </w:rPr>
        <w:t xml:space="preserve"> </w:t>
      </w:r>
      <w:r w:rsidR="00D470ED">
        <w:rPr>
          <w:rFonts w:asciiTheme="majorHAnsi" w:hAnsiTheme="majorHAnsi"/>
          <w:iCs/>
          <w:sz w:val="24"/>
        </w:rPr>
        <w:t xml:space="preserve">that will be hired. </w:t>
      </w:r>
      <w:r w:rsidR="002E4D8D">
        <w:rPr>
          <w:rFonts w:asciiTheme="majorHAnsi" w:hAnsiTheme="majorHAnsi"/>
          <w:iCs/>
          <w:sz w:val="24"/>
        </w:rPr>
        <w:t xml:space="preserve">Salaries were taken from USA Jobs </w:t>
      </w:r>
      <w:r w:rsidR="00EA5E22">
        <w:rPr>
          <w:rFonts w:asciiTheme="majorHAnsi" w:hAnsiTheme="majorHAnsi"/>
          <w:iCs/>
          <w:sz w:val="24"/>
        </w:rPr>
        <w:t>IPP personnel</w:t>
      </w:r>
      <w:r w:rsidRPr="00BF271A" w:rsidR="00EA5E22">
        <w:rPr>
          <w:rFonts w:asciiTheme="majorHAnsi" w:hAnsiTheme="majorHAnsi"/>
          <w:iCs/>
          <w:sz w:val="24"/>
        </w:rPr>
        <w:t xml:space="preserve"> </w:t>
      </w:r>
      <w:r w:rsidR="002E4D8D">
        <w:rPr>
          <w:rFonts w:asciiTheme="majorHAnsi" w:hAnsiTheme="majorHAnsi"/>
          <w:iCs/>
          <w:sz w:val="24"/>
        </w:rPr>
        <w:t xml:space="preserve">job postings. </w:t>
      </w:r>
    </w:p>
    <w:p w:rsidR="00235D71" w:rsidRPr="00897AFD" w:rsidP="00897AFD" w14:paraId="22657FDA" w14:textId="77777777">
      <w:pPr>
        <w:spacing w:after="0" w:line="240" w:lineRule="auto"/>
        <w:rPr>
          <w:rFonts w:asciiTheme="majorHAnsi" w:hAnsiTheme="majorHAnsi"/>
          <w:sz w:val="24"/>
        </w:rPr>
      </w:pPr>
    </w:p>
    <w:p w:rsidR="0018152C" w:rsidP="00235D71" w14:paraId="722B24F3" w14:textId="77777777">
      <w:pPr>
        <w:pStyle w:val="ListParagraph"/>
        <w:numPr>
          <w:ilvl w:val="0"/>
          <w:numId w:val="16"/>
        </w:numPr>
        <w:spacing w:after="0" w:line="240" w:lineRule="auto"/>
        <w:rPr>
          <w:rFonts w:asciiTheme="majorHAnsi" w:hAnsiTheme="majorHAnsi"/>
          <w:sz w:val="24"/>
        </w:rPr>
      </w:pPr>
      <w:r w:rsidRPr="00754EA8">
        <w:rPr>
          <w:rFonts w:asciiTheme="majorHAnsi" w:hAnsiTheme="majorHAnsi"/>
          <w:sz w:val="24"/>
        </w:rPr>
        <w:t>Collection Instrument(s)</w:t>
      </w:r>
      <w:r w:rsidRPr="00754EA8" w:rsidR="00656BC0">
        <w:rPr>
          <w:rFonts w:asciiTheme="majorHAnsi" w:hAnsiTheme="majorHAnsi"/>
          <w:sz w:val="24"/>
        </w:rPr>
        <w:t xml:space="preserve"> </w:t>
      </w:r>
    </w:p>
    <w:p w:rsidR="00235D71" w:rsidRPr="00754EA8" w:rsidP="0018152C" w14:paraId="685CD167" w14:textId="0E87288B">
      <w:pPr>
        <w:pStyle w:val="ListParagraph"/>
        <w:spacing w:after="0" w:line="240" w:lineRule="auto"/>
        <w:rPr>
          <w:rFonts w:asciiTheme="majorHAnsi" w:hAnsiTheme="majorHAnsi"/>
          <w:sz w:val="24"/>
        </w:rPr>
      </w:pPr>
      <w:r w:rsidRPr="00754EA8">
        <w:rPr>
          <w:rFonts w:asciiTheme="majorHAnsi" w:hAnsiTheme="majorHAnsi"/>
          <w:sz w:val="24"/>
        </w:rPr>
        <w:t>[</w:t>
      </w:r>
      <w:r w:rsidRPr="002A7D83" w:rsidR="00EA5E22">
        <w:rPr>
          <w:rFonts w:asciiTheme="majorHAnsi" w:hAnsiTheme="majorHAnsi"/>
          <w:b/>
          <w:bCs/>
          <w:iCs/>
          <w:sz w:val="24"/>
        </w:rPr>
        <w:t>IPP Personnel</w:t>
      </w:r>
      <w:r w:rsidRPr="00BF271A" w:rsidR="00EA5E22">
        <w:rPr>
          <w:rFonts w:asciiTheme="majorHAnsi" w:hAnsiTheme="majorHAnsi"/>
          <w:iCs/>
          <w:sz w:val="24"/>
        </w:rPr>
        <w:t xml:space="preserve"> </w:t>
      </w:r>
      <w:r w:rsidRPr="002568F6" w:rsidR="00754EA8">
        <w:rPr>
          <w:rFonts w:asciiTheme="majorHAnsi" w:hAnsiTheme="majorHAnsi"/>
          <w:b/>
          <w:bCs/>
          <w:sz w:val="24"/>
        </w:rPr>
        <w:t>Survey</w:t>
      </w:r>
      <w:r w:rsidRPr="00754EA8">
        <w:rPr>
          <w:rFonts w:asciiTheme="majorHAnsi" w:hAnsiTheme="majorHAnsi"/>
          <w:sz w:val="24"/>
        </w:rPr>
        <w:t xml:space="preserve">] </w:t>
      </w:r>
    </w:p>
    <w:p w:rsidR="00632046" w:rsidP="00D01DB6" w14:paraId="24F6AAE1" w14:textId="62468EE0">
      <w:pPr>
        <w:pStyle w:val="ListParagraph"/>
        <w:numPr>
          <w:ilvl w:val="1"/>
          <w:numId w:val="16"/>
        </w:numPr>
        <w:spacing w:after="0" w:line="240" w:lineRule="auto"/>
        <w:rPr>
          <w:rFonts w:asciiTheme="majorHAnsi" w:hAnsiTheme="majorHAnsi"/>
          <w:sz w:val="24"/>
        </w:rPr>
      </w:pPr>
      <w:r>
        <w:rPr>
          <w:rFonts w:asciiTheme="majorHAnsi" w:hAnsiTheme="majorHAnsi"/>
          <w:sz w:val="24"/>
        </w:rPr>
        <w:t>Number of Total Annual Responses:</w:t>
      </w:r>
      <w:r w:rsidR="00754EA8">
        <w:rPr>
          <w:rFonts w:asciiTheme="majorHAnsi" w:hAnsiTheme="majorHAnsi"/>
          <w:sz w:val="24"/>
        </w:rPr>
        <w:t xml:space="preserve"> </w:t>
      </w:r>
      <w:r w:rsidR="0044167F">
        <w:rPr>
          <w:rFonts w:asciiTheme="majorHAnsi" w:hAnsiTheme="majorHAnsi"/>
          <w:sz w:val="24"/>
        </w:rPr>
        <w:t>1472</w:t>
      </w:r>
    </w:p>
    <w:p w:rsidR="00235D71" w:rsidP="00D01DB6" w14:paraId="126539D8" w14:textId="47E96D20">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Response Time: </w:t>
      </w:r>
      <w:r w:rsidR="00141D84">
        <w:rPr>
          <w:rFonts w:asciiTheme="majorHAnsi" w:hAnsiTheme="majorHAnsi"/>
          <w:sz w:val="24"/>
        </w:rPr>
        <w:t>.5 hour</w:t>
      </w:r>
    </w:p>
    <w:p w:rsidR="00235D71" w:rsidP="00D01DB6" w14:paraId="5068C5D2" w14:textId="3DD03256">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Respondent Hourly Wage: </w:t>
      </w:r>
      <w:r w:rsidR="00A00A13">
        <w:rPr>
          <w:rFonts w:asciiTheme="majorHAnsi" w:hAnsiTheme="majorHAnsi"/>
          <w:sz w:val="24"/>
        </w:rPr>
        <w:t>$</w:t>
      </w:r>
      <w:r w:rsidR="006F644B">
        <w:rPr>
          <w:rFonts w:asciiTheme="majorHAnsi" w:hAnsiTheme="majorHAnsi"/>
          <w:sz w:val="24"/>
        </w:rPr>
        <w:t>39.</w:t>
      </w:r>
      <w:r w:rsidR="001B36C1">
        <w:rPr>
          <w:rFonts w:asciiTheme="majorHAnsi" w:hAnsiTheme="majorHAnsi"/>
          <w:sz w:val="24"/>
        </w:rPr>
        <w:t>75</w:t>
      </w:r>
    </w:p>
    <w:p w:rsidR="00235D71" w:rsidP="00D01DB6" w14:paraId="5E79E586" w14:textId="33ED4422">
      <w:pPr>
        <w:pStyle w:val="ListParagraph"/>
        <w:numPr>
          <w:ilvl w:val="0"/>
          <w:numId w:val="39"/>
        </w:numPr>
        <w:spacing w:after="0" w:line="240" w:lineRule="auto"/>
        <w:rPr>
          <w:rFonts w:asciiTheme="majorHAnsi" w:hAnsiTheme="majorHAnsi"/>
          <w:sz w:val="24"/>
        </w:rPr>
      </w:pPr>
      <w:r>
        <w:rPr>
          <w:rFonts w:asciiTheme="majorHAnsi" w:hAnsiTheme="majorHAnsi"/>
          <w:sz w:val="24"/>
        </w:rPr>
        <w:t>Labor Burden per Response</w:t>
      </w:r>
      <w:r>
        <w:rPr>
          <w:rFonts w:asciiTheme="majorHAnsi" w:hAnsiTheme="majorHAnsi"/>
          <w:sz w:val="24"/>
        </w:rPr>
        <w:t xml:space="preserve">: </w:t>
      </w:r>
      <w:r w:rsidR="00A00A13">
        <w:rPr>
          <w:rFonts w:asciiTheme="majorHAnsi" w:hAnsiTheme="majorHAnsi"/>
          <w:sz w:val="24"/>
        </w:rPr>
        <w:t>$19.88</w:t>
      </w:r>
    </w:p>
    <w:p w:rsidR="00B55E9F" w:rsidP="00D01DB6" w14:paraId="63A37B49" w14:textId="51A3C1AF">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Total Labor Burden: </w:t>
      </w:r>
      <w:r w:rsidR="0044167F">
        <w:rPr>
          <w:rFonts w:asciiTheme="majorHAnsi" w:hAnsiTheme="majorHAnsi"/>
          <w:sz w:val="24"/>
        </w:rPr>
        <w:t>$</w:t>
      </w:r>
      <w:r w:rsidR="0017650B">
        <w:rPr>
          <w:rFonts w:asciiTheme="majorHAnsi" w:hAnsiTheme="majorHAnsi"/>
          <w:sz w:val="24"/>
        </w:rPr>
        <w:t>29</w:t>
      </w:r>
      <w:r w:rsidR="0044167F">
        <w:rPr>
          <w:rFonts w:asciiTheme="majorHAnsi" w:hAnsiTheme="majorHAnsi"/>
          <w:sz w:val="24"/>
        </w:rPr>
        <w:t>,</w:t>
      </w:r>
      <w:r w:rsidR="0017650B">
        <w:rPr>
          <w:rFonts w:asciiTheme="majorHAnsi" w:hAnsiTheme="majorHAnsi"/>
          <w:sz w:val="24"/>
        </w:rPr>
        <w:t>263</w:t>
      </w:r>
    </w:p>
    <w:p w:rsidR="00520B36" w:rsidP="006F2DF8" w14:paraId="1D020B6A" w14:textId="6ADD0D74">
      <w:pPr>
        <w:spacing w:after="0" w:line="240" w:lineRule="auto"/>
        <w:rPr>
          <w:rFonts w:asciiTheme="majorHAnsi" w:hAnsiTheme="majorHAnsi"/>
          <w:sz w:val="24"/>
        </w:rPr>
      </w:pPr>
    </w:p>
    <w:p w:rsidR="00656BC0" w:rsidRPr="0018152C" w:rsidP="0018152C" w14:paraId="6A9ECAB6" w14:textId="7C3570EA">
      <w:pPr>
        <w:spacing w:after="0" w:line="240" w:lineRule="auto"/>
        <w:rPr>
          <w:rFonts w:asciiTheme="majorHAnsi" w:hAnsiTheme="majorHAnsi"/>
          <w:sz w:val="24"/>
        </w:rPr>
      </w:pPr>
      <w:r w:rsidRPr="0018152C">
        <w:rPr>
          <w:rFonts w:asciiTheme="majorHAnsi" w:hAnsiTheme="majorHAnsi"/>
          <w:sz w:val="24"/>
        </w:rPr>
        <w:t xml:space="preserve"> </w:t>
      </w:r>
      <w:r>
        <w:rPr>
          <w:rFonts w:asciiTheme="majorHAnsi" w:hAnsiTheme="majorHAnsi"/>
          <w:sz w:val="24"/>
        </w:rPr>
        <w:tab/>
      </w:r>
      <w:r w:rsidRPr="0018152C" w:rsidR="00C32627">
        <w:rPr>
          <w:rFonts w:asciiTheme="majorHAnsi" w:hAnsiTheme="majorHAnsi"/>
          <w:sz w:val="24"/>
        </w:rPr>
        <w:t>[</w:t>
      </w:r>
      <w:r w:rsidRPr="0018152C" w:rsidR="00C32627">
        <w:rPr>
          <w:rFonts w:asciiTheme="majorHAnsi" w:hAnsiTheme="majorHAnsi"/>
          <w:b/>
          <w:bCs/>
          <w:sz w:val="24"/>
        </w:rPr>
        <w:t>Cohort Study</w:t>
      </w:r>
      <w:r w:rsidRPr="0018152C" w:rsidR="00C32627">
        <w:rPr>
          <w:rFonts w:asciiTheme="majorHAnsi" w:hAnsiTheme="majorHAnsi"/>
          <w:sz w:val="24"/>
        </w:rPr>
        <w:t>]</w:t>
      </w:r>
      <w:r w:rsidRPr="0018152C">
        <w:rPr>
          <w:rFonts w:asciiTheme="majorHAnsi" w:hAnsiTheme="majorHAnsi"/>
          <w:sz w:val="24"/>
        </w:rPr>
        <w:t xml:space="preserve"> </w:t>
      </w:r>
    </w:p>
    <w:p w:rsidR="00080BC1" w:rsidP="00D01DB6" w14:paraId="611C8EE1" w14:textId="20B01075">
      <w:pPr>
        <w:pStyle w:val="ListParagraph"/>
        <w:numPr>
          <w:ilvl w:val="1"/>
          <w:numId w:val="26"/>
        </w:numPr>
        <w:spacing w:after="0" w:line="240" w:lineRule="auto"/>
        <w:rPr>
          <w:rFonts w:asciiTheme="majorHAnsi" w:hAnsiTheme="majorHAnsi"/>
          <w:sz w:val="24"/>
        </w:rPr>
      </w:pPr>
      <w:r>
        <w:rPr>
          <w:rFonts w:asciiTheme="majorHAnsi" w:hAnsiTheme="majorHAnsi"/>
          <w:sz w:val="24"/>
        </w:rPr>
        <w:t>Number of Total Annual Responses:</w:t>
      </w:r>
      <w:r>
        <w:rPr>
          <w:rFonts w:asciiTheme="majorHAnsi" w:hAnsiTheme="majorHAnsi"/>
          <w:sz w:val="24"/>
        </w:rPr>
        <w:t xml:space="preserve"> </w:t>
      </w:r>
      <w:r w:rsidR="00F27B8D">
        <w:rPr>
          <w:rFonts w:asciiTheme="majorHAnsi" w:hAnsiTheme="majorHAnsi"/>
          <w:sz w:val="24"/>
        </w:rPr>
        <w:t>80</w:t>
      </w:r>
    </w:p>
    <w:p w:rsidR="00656BC0" w:rsidP="00D01DB6" w14:paraId="1AAB0670" w14:textId="7A26976E">
      <w:pPr>
        <w:pStyle w:val="ListParagraph"/>
        <w:numPr>
          <w:ilvl w:val="0"/>
          <w:numId w:val="42"/>
        </w:numPr>
        <w:spacing w:after="0" w:line="240" w:lineRule="auto"/>
        <w:rPr>
          <w:rFonts w:asciiTheme="majorHAnsi" w:hAnsiTheme="majorHAnsi"/>
          <w:sz w:val="24"/>
        </w:rPr>
      </w:pPr>
      <w:r>
        <w:rPr>
          <w:rFonts w:asciiTheme="majorHAnsi" w:hAnsiTheme="majorHAnsi"/>
          <w:sz w:val="24"/>
        </w:rPr>
        <w:t xml:space="preserve">Response Time: </w:t>
      </w:r>
      <w:r w:rsidR="00934078">
        <w:rPr>
          <w:rFonts w:asciiTheme="majorHAnsi" w:hAnsiTheme="majorHAnsi"/>
          <w:sz w:val="24"/>
        </w:rPr>
        <w:t>1 hour</w:t>
      </w:r>
    </w:p>
    <w:p w:rsidR="00656BC0" w:rsidP="00D01DB6" w14:paraId="2E22BBC6" w14:textId="61E28D6B">
      <w:pPr>
        <w:pStyle w:val="ListParagraph"/>
        <w:numPr>
          <w:ilvl w:val="0"/>
          <w:numId w:val="42"/>
        </w:numPr>
        <w:spacing w:after="0" w:line="240" w:lineRule="auto"/>
        <w:rPr>
          <w:rFonts w:asciiTheme="majorHAnsi" w:hAnsiTheme="majorHAnsi"/>
          <w:sz w:val="24"/>
        </w:rPr>
      </w:pPr>
      <w:r>
        <w:rPr>
          <w:rFonts w:asciiTheme="majorHAnsi" w:hAnsiTheme="majorHAnsi"/>
          <w:sz w:val="24"/>
        </w:rPr>
        <w:t xml:space="preserve">Respondent Hourly Wage: </w:t>
      </w:r>
      <w:r w:rsidR="00934078">
        <w:rPr>
          <w:rFonts w:asciiTheme="majorHAnsi" w:hAnsiTheme="majorHAnsi"/>
          <w:sz w:val="24"/>
        </w:rPr>
        <w:t>$39.75</w:t>
      </w:r>
    </w:p>
    <w:p w:rsidR="00656BC0" w:rsidP="00D01DB6" w14:paraId="058A608B" w14:textId="43ECC5B3">
      <w:pPr>
        <w:pStyle w:val="ListParagraph"/>
        <w:numPr>
          <w:ilvl w:val="0"/>
          <w:numId w:val="42"/>
        </w:numPr>
        <w:spacing w:after="0" w:line="240" w:lineRule="auto"/>
        <w:rPr>
          <w:rFonts w:asciiTheme="majorHAnsi" w:hAnsiTheme="majorHAnsi"/>
          <w:sz w:val="24"/>
        </w:rPr>
      </w:pPr>
      <w:r>
        <w:rPr>
          <w:rFonts w:asciiTheme="majorHAnsi" w:hAnsiTheme="majorHAnsi"/>
          <w:sz w:val="24"/>
        </w:rPr>
        <w:t>Labor Burden per Response</w:t>
      </w:r>
      <w:r>
        <w:rPr>
          <w:rFonts w:asciiTheme="majorHAnsi" w:hAnsiTheme="majorHAnsi"/>
          <w:sz w:val="24"/>
        </w:rPr>
        <w:t xml:space="preserve">: </w:t>
      </w:r>
      <w:r w:rsidR="00934078">
        <w:rPr>
          <w:rFonts w:asciiTheme="majorHAnsi" w:hAnsiTheme="majorHAnsi"/>
          <w:sz w:val="24"/>
        </w:rPr>
        <w:t>$39.75</w:t>
      </w:r>
    </w:p>
    <w:p w:rsidR="00656BC0" w:rsidP="00D01DB6" w14:paraId="1176FE13" w14:textId="1FF6CCBF">
      <w:pPr>
        <w:pStyle w:val="ListParagraph"/>
        <w:numPr>
          <w:ilvl w:val="0"/>
          <w:numId w:val="42"/>
        </w:numPr>
        <w:spacing w:after="0" w:line="240" w:lineRule="auto"/>
        <w:rPr>
          <w:rFonts w:asciiTheme="majorHAnsi" w:hAnsiTheme="majorHAnsi"/>
          <w:sz w:val="24"/>
        </w:rPr>
      </w:pPr>
      <w:r>
        <w:rPr>
          <w:rFonts w:asciiTheme="majorHAnsi" w:hAnsiTheme="majorHAnsi"/>
          <w:sz w:val="24"/>
        </w:rPr>
        <w:t xml:space="preserve">Total Labor Burden: </w:t>
      </w:r>
      <w:r w:rsidR="00F27B8D">
        <w:rPr>
          <w:rFonts w:asciiTheme="majorHAnsi" w:hAnsiTheme="majorHAnsi"/>
          <w:sz w:val="24"/>
        </w:rPr>
        <w:t>$3,180</w:t>
      </w:r>
    </w:p>
    <w:p w:rsidR="00656BC0" w:rsidP="006F2DF8" w14:paraId="3D5A0025" w14:textId="766A5272">
      <w:pPr>
        <w:spacing w:after="0" w:line="240" w:lineRule="auto"/>
        <w:rPr>
          <w:rFonts w:asciiTheme="majorHAnsi" w:hAnsiTheme="majorHAnsi"/>
          <w:sz w:val="24"/>
        </w:rPr>
      </w:pPr>
    </w:p>
    <w:p w:rsidR="00B20AC7" w:rsidRPr="006A4669" w:rsidP="00075C9A" w14:paraId="5E2E206E" w14:textId="5D081EAF">
      <w:pPr>
        <w:pStyle w:val="ListParagraph"/>
        <w:spacing w:after="0" w:line="240" w:lineRule="auto"/>
        <w:rPr>
          <w:rFonts w:asciiTheme="majorHAnsi" w:hAnsiTheme="majorHAnsi"/>
          <w:b/>
          <w:bCs/>
          <w:sz w:val="24"/>
        </w:rPr>
      </w:pPr>
      <w:r w:rsidRPr="006A4669">
        <w:rPr>
          <w:rFonts w:asciiTheme="majorHAnsi" w:hAnsiTheme="majorHAnsi"/>
          <w:b/>
          <w:bCs/>
          <w:sz w:val="24"/>
        </w:rPr>
        <w:t>[</w:t>
      </w:r>
      <w:r w:rsidR="002A2E79">
        <w:rPr>
          <w:rFonts w:asciiTheme="majorHAnsi" w:hAnsiTheme="majorHAnsi"/>
          <w:b/>
          <w:bCs/>
          <w:sz w:val="24"/>
        </w:rPr>
        <w:t>Supervisor/</w:t>
      </w:r>
      <w:r w:rsidRPr="006A4669" w:rsidR="00B36349">
        <w:rPr>
          <w:rFonts w:asciiTheme="majorHAnsi" w:hAnsiTheme="majorHAnsi"/>
          <w:b/>
          <w:bCs/>
          <w:sz w:val="24"/>
        </w:rPr>
        <w:t>Leader Interviews</w:t>
      </w:r>
      <w:r>
        <w:rPr>
          <w:rFonts w:asciiTheme="majorHAnsi" w:hAnsiTheme="majorHAnsi"/>
          <w:b/>
          <w:bCs/>
          <w:sz w:val="24"/>
        </w:rPr>
        <w:t>]</w:t>
      </w:r>
    </w:p>
    <w:p w:rsidR="00B20AC7" w:rsidP="00D01DB6" w14:paraId="2A9EFCD8" w14:textId="355FE840">
      <w:pPr>
        <w:pStyle w:val="ListParagraph"/>
        <w:numPr>
          <w:ilvl w:val="1"/>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F27B8D">
        <w:rPr>
          <w:rFonts w:asciiTheme="majorHAnsi" w:hAnsiTheme="majorHAnsi"/>
          <w:sz w:val="24"/>
        </w:rPr>
        <w:t>80</w:t>
      </w:r>
    </w:p>
    <w:p w:rsidR="00B20AC7" w:rsidP="00D01DB6" w14:paraId="3056BEFD" w14:textId="3F5DC739">
      <w:pPr>
        <w:pStyle w:val="ListParagraph"/>
        <w:numPr>
          <w:ilvl w:val="0"/>
          <w:numId w:val="40"/>
        </w:numPr>
        <w:spacing w:after="0" w:line="240" w:lineRule="auto"/>
        <w:rPr>
          <w:rFonts w:asciiTheme="majorHAnsi" w:hAnsiTheme="majorHAnsi"/>
          <w:sz w:val="24"/>
        </w:rPr>
      </w:pPr>
      <w:r>
        <w:rPr>
          <w:rFonts w:asciiTheme="majorHAnsi" w:hAnsiTheme="majorHAnsi"/>
          <w:sz w:val="24"/>
        </w:rPr>
        <w:t xml:space="preserve">Response Time: </w:t>
      </w:r>
      <w:r w:rsidR="001B04E6">
        <w:rPr>
          <w:rFonts w:asciiTheme="majorHAnsi" w:hAnsiTheme="majorHAnsi"/>
          <w:sz w:val="24"/>
        </w:rPr>
        <w:t>.5 hour</w:t>
      </w:r>
    </w:p>
    <w:p w:rsidR="00B20AC7" w:rsidP="00D01DB6" w14:paraId="0AE9C58F" w14:textId="62DEC1EE">
      <w:pPr>
        <w:pStyle w:val="ListParagraph"/>
        <w:numPr>
          <w:ilvl w:val="0"/>
          <w:numId w:val="40"/>
        </w:numPr>
        <w:spacing w:after="0" w:line="240" w:lineRule="auto"/>
        <w:rPr>
          <w:rFonts w:asciiTheme="majorHAnsi" w:hAnsiTheme="majorHAnsi"/>
          <w:sz w:val="24"/>
        </w:rPr>
      </w:pPr>
      <w:r>
        <w:rPr>
          <w:rFonts w:asciiTheme="majorHAnsi" w:hAnsiTheme="majorHAnsi"/>
          <w:sz w:val="24"/>
        </w:rPr>
        <w:t xml:space="preserve">Respondent Hourly Wage: </w:t>
      </w:r>
      <w:r w:rsidR="00141D84">
        <w:rPr>
          <w:rFonts w:asciiTheme="majorHAnsi" w:hAnsiTheme="majorHAnsi"/>
          <w:sz w:val="24"/>
        </w:rPr>
        <w:t>$39.75</w:t>
      </w:r>
    </w:p>
    <w:p w:rsidR="00B20AC7" w:rsidP="00D01DB6" w14:paraId="454CA3AA" w14:textId="7683B4E1">
      <w:pPr>
        <w:pStyle w:val="ListParagraph"/>
        <w:numPr>
          <w:ilvl w:val="0"/>
          <w:numId w:val="40"/>
        </w:numPr>
        <w:spacing w:after="0" w:line="240" w:lineRule="auto"/>
        <w:rPr>
          <w:rFonts w:asciiTheme="majorHAnsi" w:hAnsiTheme="majorHAnsi"/>
          <w:sz w:val="24"/>
        </w:rPr>
      </w:pPr>
      <w:r>
        <w:rPr>
          <w:rFonts w:asciiTheme="majorHAnsi" w:hAnsiTheme="majorHAnsi"/>
          <w:sz w:val="24"/>
        </w:rPr>
        <w:t xml:space="preserve">Labor Burden per Response: </w:t>
      </w:r>
      <w:r w:rsidR="00AD4C98">
        <w:rPr>
          <w:rFonts w:asciiTheme="majorHAnsi" w:hAnsiTheme="majorHAnsi"/>
          <w:sz w:val="24"/>
        </w:rPr>
        <w:t>$19.88</w:t>
      </w:r>
    </w:p>
    <w:p w:rsidR="00AD4C98" w:rsidP="00D01DB6" w14:paraId="51EADA29" w14:textId="213B3E6E">
      <w:pPr>
        <w:pStyle w:val="ListParagraph"/>
        <w:numPr>
          <w:ilvl w:val="0"/>
          <w:numId w:val="40"/>
        </w:numPr>
        <w:spacing w:after="0" w:line="240" w:lineRule="auto"/>
        <w:rPr>
          <w:rFonts w:asciiTheme="majorHAnsi" w:hAnsiTheme="majorHAnsi"/>
          <w:sz w:val="24"/>
        </w:rPr>
      </w:pPr>
      <w:r>
        <w:rPr>
          <w:rFonts w:asciiTheme="majorHAnsi" w:hAnsiTheme="majorHAnsi"/>
          <w:sz w:val="24"/>
        </w:rPr>
        <w:t>Total Labor</w:t>
      </w:r>
      <w:r w:rsidR="00B20AC7">
        <w:rPr>
          <w:rFonts w:asciiTheme="majorHAnsi" w:hAnsiTheme="majorHAnsi"/>
          <w:sz w:val="24"/>
        </w:rPr>
        <w:t xml:space="preserve">: </w:t>
      </w:r>
      <w:r w:rsidR="00F27B8D">
        <w:rPr>
          <w:rFonts w:asciiTheme="majorHAnsi" w:hAnsiTheme="majorHAnsi"/>
          <w:sz w:val="24"/>
        </w:rPr>
        <w:t>$</w:t>
      </w:r>
      <w:r w:rsidR="0017650B">
        <w:rPr>
          <w:rFonts w:asciiTheme="majorHAnsi" w:hAnsiTheme="majorHAnsi"/>
          <w:sz w:val="24"/>
        </w:rPr>
        <w:t>1590</w:t>
      </w:r>
    </w:p>
    <w:p w:rsidR="00B20AC7" w:rsidP="006F2DF8" w14:paraId="1D9E3E1F" w14:textId="77777777">
      <w:pPr>
        <w:spacing w:after="0" w:line="240" w:lineRule="auto"/>
        <w:rPr>
          <w:rFonts w:asciiTheme="majorHAnsi" w:hAnsiTheme="majorHAnsi"/>
          <w:sz w:val="24"/>
        </w:rPr>
      </w:pPr>
    </w:p>
    <w:p w:rsidR="005102FE" w:rsidRPr="00754EA8" w:rsidP="00075C9A" w14:paraId="779E780A" w14:textId="39E2BC18">
      <w:pPr>
        <w:pStyle w:val="ListParagraph"/>
        <w:spacing w:after="0" w:line="240" w:lineRule="auto"/>
        <w:rPr>
          <w:rFonts w:asciiTheme="majorHAnsi" w:hAnsiTheme="majorHAnsi"/>
          <w:sz w:val="24"/>
        </w:rPr>
      </w:pPr>
      <w:r w:rsidRPr="00754EA8">
        <w:rPr>
          <w:rFonts w:asciiTheme="majorHAnsi" w:hAnsiTheme="majorHAnsi"/>
          <w:sz w:val="24"/>
        </w:rPr>
        <w:t xml:space="preserve"> </w:t>
      </w:r>
      <w:r w:rsidRPr="00754EA8">
        <w:rPr>
          <w:rFonts w:asciiTheme="majorHAnsi" w:hAnsiTheme="majorHAnsi"/>
          <w:sz w:val="24"/>
        </w:rPr>
        <w:t>[</w:t>
      </w:r>
      <w:r w:rsidRPr="00D877B6" w:rsidR="002A2E79">
        <w:rPr>
          <w:rFonts w:asciiTheme="majorHAnsi" w:hAnsiTheme="majorHAnsi"/>
          <w:b/>
          <w:bCs/>
          <w:sz w:val="24"/>
        </w:rPr>
        <w:t>Integrated Primary</w:t>
      </w:r>
      <w:r w:rsidR="002A2E79">
        <w:rPr>
          <w:rFonts w:asciiTheme="majorHAnsi" w:hAnsiTheme="majorHAnsi"/>
          <w:sz w:val="24"/>
        </w:rPr>
        <w:t xml:space="preserve"> </w:t>
      </w:r>
      <w:r w:rsidRPr="002568F6">
        <w:rPr>
          <w:rFonts w:asciiTheme="majorHAnsi" w:hAnsiTheme="majorHAnsi"/>
          <w:b/>
          <w:bCs/>
          <w:sz w:val="24"/>
        </w:rPr>
        <w:t>Prevention</w:t>
      </w:r>
      <w:r w:rsidR="00E02E24">
        <w:rPr>
          <w:rFonts w:asciiTheme="majorHAnsi" w:hAnsiTheme="majorHAnsi"/>
          <w:b/>
          <w:bCs/>
          <w:sz w:val="24"/>
        </w:rPr>
        <w:t xml:space="preserve"> Activity Tracker</w:t>
      </w:r>
      <w:r w:rsidRPr="00754EA8">
        <w:rPr>
          <w:rFonts w:asciiTheme="majorHAnsi" w:hAnsiTheme="majorHAnsi"/>
          <w:sz w:val="24"/>
        </w:rPr>
        <w:t xml:space="preserve">] </w:t>
      </w:r>
    </w:p>
    <w:p w:rsidR="005102FE" w:rsidP="00D01DB6" w14:paraId="2977E54A" w14:textId="22BD16A3">
      <w:pPr>
        <w:pStyle w:val="ListParagraph"/>
        <w:numPr>
          <w:ilvl w:val="1"/>
          <w:numId w:val="37"/>
        </w:numPr>
        <w:spacing w:after="0" w:line="240" w:lineRule="auto"/>
        <w:rPr>
          <w:rFonts w:asciiTheme="majorHAnsi" w:hAnsiTheme="majorHAnsi"/>
          <w:sz w:val="24"/>
        </w:rPr>
      </w:pPr>
      <w:r>
        <w:rPr>
          <w:rFonts w:asciiTheme="majorHAnsi" w:hAnsiTheme="majorHAnsi"/>
          <w:sz w:val="24"/>
        </w:rPr>
        <w:t xml:space="preserve">Number of Total Annual Responses: </w:t>
      </w:r>
      <w:r w:rsidR="00F27B8D">
        <w:rPr>
          <w:rFonts w:asciiTheme="majorHAnsi" w:hAnsiTheme="majorHAnsi"/>
          <w:sz w:val="24"/>
        </w:rPr>
        <w:t>2</w:t>
      </w:r>
      <w:r w:rsidR="006D1C46">
        <w:rPr>
          <w:rFonts w:asciiTheme="majorHAnsi" w:hAnsiTheme="majorHAnsi"/>
          <w:sz w:val="24"/>
        </w:rPr>
        <w:t>94</w:t>
      </w:r>
      <w:r w:rsidR="0050341D">
        <w:rPr>
          <w:rFonts w:asciiTheme="majorHAnsi" w:hAnsiTheme="majorHAnsi"/>
          <w:sz w:val="24"/>
        </w:rPr>
        <w:t>4</w:t>
      </w:r>
    </w:p>
    <w:p w:rsidR="005102FE" w:rsidP="00D01DB6" w14:paraId="77A40279" w14:textId="1BDEE340">
      <w:pPr>
        <w:pStyle w:val="ListParagraph"/>
        <w:numPr>
          <w:ilvl w:val="0"/>
          <w:numId w:val="41"/>
        </w:numPr>
        <w:spacing w:after="0" w:line="240" w:lineRule="auto"/>
        <w:rPr>
          <w:rFonts w:asciiTheme="majorHAnsi" w:hAnsiTheme="majorHAnsi"/>
          <w:sz w:val="24"/>
        </w:rPr>
      </w:pPr>
      <w:r>
        <w:rPr>
          <w:rFonts w:asciiTheme="majorHAnsi" w:hAnsiTheme="majorHAnsi"/>
          <w:sz w:val="24"/>
        </w:rPr>
        <w:t>Response Time</w:t>
      </w:r>
      <w:r w:rsidR="00C75133">
        <w:rPr>
          <w:rFonts w:asciiTheme="majorHAnsi" w:hAnsiTheme="majorHAnsi"/>
          <w:sz w:val="24"/>
        </w:rPr>
        <w:t xml:space="preserve">: </w:t>
      </w:r>
      <w:r w:rsidR="00AE4D8B">
        <w:rPr>
          <w:rFonts w:asciiTheme="majorHAnsi" w:hAnsiTheme="majorHAnsi"/>
          <w:sz w:val="24"/>
        </w:rPr>
        <w:t>1</w:t>
      </w:r>
      <w:r>
        <w:rPr>
          <w:rFonts w:asciiTheme="majorHAnsi" w:hAnsiTheme="majorHAnsi"/>
          <w:sz w:val="24"/>
        </w:rPr>
        <w:t xml:space="preserve"> hour</w:t>
      </w:r>
    </w:p>
    <w:p w:rsidR="005102FE" w:rsidP="00D01DB6" w14:paraId="69FFDDCE"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Respondent Hourly Wage: $39.75</w:t>
      </w:r>
    </w:p>
    <w:p w:rsidR="005102FE" w:rsidP="00D01DB6" w14:paraId="17ED1FCD" w14:textId="0D1436E9">
      <w:pPr>
        <w:pStyle w:val="ListParagraph"/>
        <w:numPr>
          <w:ilvl w:val="0"/>
          <w:numId w:val="41"/>
        </w:numPr>
        <w:spacing w:after="0" w:line="240" w:lineRule="auto"/>
        <w:rPr>
          <w:rFonts w:asciiTheme="majorHAnsi" w:hAnsiTheme="majorHAnsi"/>
          <w:sz w:val="24"/>
        </w:rPr>
      </w:pPr>
      <w:r>
        <w:rPr>
          <w:rFonts w:asciiTheme="majorHAnsi" w:hAnsiTheme="majorHAnsi"/>
          <w:sz w:val="24"/>
        </w:rPr>
        <w:t>Labor Burden per Response: $</w:t>
      </w:r>
      <w:r w:rsidR="001230CC">
        <w:rPr>
          <w:rFonts w:asciiTheme="majorHAnsi" w:hAnsiTheme="majorHAnsi"/>
          <w:sz w:val="24"/>
        </w:rPr>
        <w:t>39</w:t>
      </w:r>
      <w:r>
        <w:rPr>
          <w:rFonts w:asciiTheme="majorHAnsi" w:hAnsiTheme="majorHAnsi"/>
          <w:sz w:val="24"/>
        </w:rPr>
        <w:t>.</w:t>
      </w:r>
      <w:r w:rsidR="001230CC">
        <w:rPr>
          <w:rFonts w:asciiTheme="majorHAnsi" w:hAnsiTheme="majorHAnsi"/>
          <w:sz w:val="24"/>
        </w:rPr>
        <w:t>75</w:t>
      </w:r>
    </w:p>
    <w:p w:rsidR="005102FE" w:rsidP="00D01DB6" w14:paraId="1817D070" w14:textId="7A6C1525">
      <w:pPr>
        <w:pStyle w:val="ListParagraph"/>
        <w:numPr>
          <w:ilvl w:val="0"/>
          <w:numId w:val="41"/>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Pr>
          <w:rFonts w:asciiTheme="majorHAnsi" w:hAnsiTheme="majorHAnsi"/>
          <w:sz w:val="24"/>
        </w:rPr>
        <w:t xml:space="preserve"> </w:t>
      </w:r>
      <w:r w:rsidR="00F27B8D">
        <w:rPr>
          <w:rFonts w:asciiTheme="majorHAnsi" w:hAnsiTheme="majorHAnsi"/>
          <w:sz w:val="24"/>
        </w:rPr>
        <w:t>$</w:t>
      </w:r>
      <w:r w:rsidR="009221A9">
        <w:rPr>
          <w:rFonts w:asciiTheme="majorHAnsi" w:hAnsiTheme="majorHAnsi"/>
          <w:sz w:val="24"/>
        </w:rPr>
        <w:t>11</w:t>
      </w:r>
      <w:r w:rsidR="0050341D">
        <w:rPr>
          <w:rFonts w:asciiTheme="majorHAnsi" w:hAnsiTheme="majorHAnsi"/>
          <w:sz w:val="24"/>
        </w:rPr>
        <w:t>7</w:t>
      </w:r>
      <w:r w:rsidR="00F27B8D">
        <w:rPr>
          <w:rFonts w:asciiTheme="majorHAnsi" w:hAnsiTheme="majorHAnsi"/>
          <w:sz w:val="24"/>
        </w:rPr>
        <w:t>,</w:t>
      </w:r>
      <w:r w:rsidR="0050341D">
        <w:rPr>
          <w:rFonts w:asciiTheme="majorHAnsi" w:hAnsiTheme="majorHAnsi"/>
          <w:sz w:val="24"/>
        </w:rPr>
        <w:t>02</w:t>
      </w:r>
      <w:r w:rsidR="009221A9">
        <w:rPr>
          <w:rFonts w:asciiTheme="majorHAnsi" w:hAnsiTheme="majorHAnsi"/>
          <w:sz w:val="24"/>
        </w:rPr>
        <w:t>4</w:t>
      </w:r>
    </w:p>
    <w:p w:rsidR="0018152C" w:rsidP="0018152C" w14:paraId="7C9CE855" w14:textId="77777777">
      <w:pPr>
        <w:pStyle w:val="ListParagraph"/>
        <w:spacing w:after="0" w:line="240" w:lineRule="auto"/>
        <w:ind w:left="1440"/>
        <w:rPr>
          <w:rFonts w:asciiTheme="majorHAnsi" w:hAnsiTheme="majorHAnsi"/>
          <w:sz w:val="24"/>
        </w:rPr>
      </w:pPr>
    </w:p>
    <w:p w:rsidR="005102FE" w:rsidP="00E6339C" w14:paraId="64A4160D"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Overall Labor Burden </w:t>
      </w:r>
    </w:p>
    <w:p w:rsidR="005102FE" w:rsidP="00E6339C" w14:paraId="05EEE7DD" w14:textId="45934ADB">
      <w:pPr>
        <w:pStyle w:val="ListParagraph"/>
        <w:numPr>
          <w:ilvl w:val="1"/>
          <w:numId w:val="37"/>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D358AE">
        <w:rPr>
          <w:rFonts w:asciiTheme="majorHAnsi" w:hAnsiTheme="majorHAnsi"/>
          <w:sz w:val="24"/>
        </w:rPr>
        <w:t>457</w:t>
      </w:r>
      <w:r w:rsidR="00BE0234">
        <w:rPr>
          <w:rFonts w:asciiTheme="majorHAnsi" w:hAnsiTheme="majorHAnsi"/>
          <w:sz w:val="24"/>
        </w:rPr>
        <w:t>6</w:t>
      </w:r>
    </w:p>
    <w:p w:rsidR="005102FE" w:rsidP="00E6339C" w14:paraId="3941B56B" w14:textId="7CFB8283">
      <w:pPr>
        <w:pStyle w:val="ListParagraph"/>
        <w:numPr>
          <w:ilvl w:val="1"/>
          <w:numId w:val="37"/>
        </w:numPr>
        <w:spacing w:after="0" w:line="240" w:lineRule="auto"/>
        <w:rPr>
          <w:rFonts w:asciiTheme="majorHAnsi" w:hAnsiTheme="majorHAnsi"/>
          <w:sz w:val="24"/>
        </w:rPr>
      </w:pPr>
      <w:r>
        <w:rPr>
          <w:rFonts w:asciiTheme="majorHAnsi" w:hAnsiTheme="majorHAnsi"/>
          <w:sz w:val="24"/>
        </w:rPr>
        <w:t>Total Labor Burden: $</w:t>
      </w:r>
      <w:r w:rsidR="0018152C">
        <w:rPr>
          <w:rFonts w:asciiTheme="majorHAnsi" w:hAnsiTheme="majorHAnsi"/>
          <w:sz w:val="24"/>
        </w:rPr>
        <w:t>150,978</w:t>
      </w:r>
    </w:p>
    <w:p w:rsidR="00B20AC7" w:rsidP="006F2DF8" w14:paraId="6A3BD826" w14:textId="77777777">
      <w:pPr>
        <w:spacing w:after="0" w:line="240" w:lineRule="auto"/>
        <w:rPr>
          <w:rFonts w:asciiTheme="majorHAnsi" w:hAnsiTheme="majorHAnsi"/>
          <w:sz w:val="24"/>
        </w:rPr>
      </w:pPr>
    </w:p>
    <w:p w:rsidR="006F2DF8" w:rsidP="00337EF1" w14:paraId="316C2DB6" w14:textId="77777777">
      <w:pPr>
        <w:spacing w:after="0" w:line="240" w:lineRule="auto"/>
        <w:rPr>
          <w:rFonts w:asciiTheme="majorHAnsi" w:hAnsiTheme="majorHAnsi"/>
          <w:sz w:val="24"/>
        </w:rPr>
      </w:pPr>
    </w:p>
    <w:p w:rsidR="0019309D" w:rsidP="00337EF1" w14:paraId="1E226314" w14:textId="490163D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90491" w:rsidP="0019309D" w14:paraId="6D846E14" w14:textId="77777777">
      <w:pPr>
        <w:spacing w:after="0" w:line="240" w:lineRule="auto"/>
        <w:rPr>
          <w:rFonts w:asciiTheme="majorHAnsi" w:hAnsiTheme="majorHAnsi"/>
          <w:sz w:val="24"/>
        </w:rPr>
      </w:pPr>
    </w:p>
    <w:p w:rsidR="0019309D" w:rsidP="0019309D" w14:paraId="4F15BB12" w14:textId="0C7FF014">
      <w:pPr>
        <w:spacing w:after="0" w:line="240" w:lineRule="auto"/>
        <w:rPr>
          <w:rFonts w:asciiTheme="majorHAnsi" w:hAnsiTheme="majorHAnsi"/>
          <w:sz w:val="24"/>
        </w:rPr>
      </w:pPr>
      <w:r w:rsidRPr="00B90491">
        <w:rPr>
          <w:rFonts w:asciiTheme="majorHAnsi" w:hAnsiTheme="majorHAnsi"/>
          <w:sz w:val="24"/>
        </w:rPr>
        <w:t>There are no annualized costs to respondents other than the labor burden costs addressed in Section 12 of this document to complete this collection.</w:t>
      </w:r>
    </w:p>
    <w:p w:rsidR="00B90491" w:rsidP="0019309D" w14:paraId="2329D7A7" w14:textId="77777777">
      <w:pPr>
        <w:spacing w:after="0" w:line="240" w:lineRule="auto"/>
        <w:rPr>
          <w:rFonts w:asciiTheme="majorHAnsi" w:hAnsiTheme="majorHAnsi"/>
          <w:sz w:val="24"/>
        </w:rPr>
      </w:pPr>
    </w:p>
    <w:p w:rsidR="00F25499" w:rsidP="0019309D" w14:paraId="0FB6770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6015169" w14:textId="77777777">
      <w:pPr>
        <w:spacing w:after="0" w:line="240" w:lineRule="auto"/>
        <w:rPr>
          <w:rFonts w:asciiTheme="majorHAnsi" w:hAnsiTheme="majorHAnsi"/>
          <w:sz w:val="24"/>
        </w:rPr>
      </w:pPr>
    </w:p>
    <w:p w:rsidR="00235D71" w:rsidP="00722FDB" w14:paraId="5B9D0B6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AE18C5" w:rsidP="00235D71" w14:paraId="2AB1F2AE" w14:textId="77777777">
      <w:pPr>
        <w:pStyle w:val="ListParagraph"/>
        <w:spacing w:after="0" w:line="240" w:lineRule="auto"/>
        <w:rPr>
          <w:rFonts w:asciiTheme="majorHAnsi" w:hAnsiTheme="majorHAnsi"/>
          <w:sz w:val="24"/>
        </w:rPr>
      </w:pPr>
    </w:p>
    <w:p w:rsidR="00075C9A" w:rsidP="002A0B9A" w14:paraId="3C11FDDE" w14:textId="0970AA3F">
      <w:pPr>
        <w:pStyle w:val="ListParagraph"/>
        <w:numPr>
          <w:ilvl w:val="0"/>
          <w:numId w:val="18"/>
        </w:numPr>
        <w:spacing w:after="0" w:line="240" w:lineRule="auto"/>
        <w:rPr>
          <w:rFonts w:asciiTheme="majorHAnsi" w:hAnsiTheme="majorHAnsi"/>
          <w:sz w:val="24"/>
        </w:rPr>
      </w:pPr>
      <w:r w:rsidRPr="00024B97">
        <w:rPr>
          <w:rFonts w:asciiTheme="majorHAnsi" w:hAnsiTheme="majorHAnsi"/>
          <w:sz w:val="24"/>
        </w:rPr>
        <w:t>Collection Instrument(s)</w:t>
      </w:r>
      <w:r w:rsidR="00024B97">
        <w:rPr>
          <w:rFonts w:asciiTheme="majorHAnsi" w:hAnsiTheme="majorHAnsi"/>
          <w:sz w:val="24"/>
        </w:rPr>
        <w:t xml:space="preserve"> </w:t>
      </w:r>
    </w:p>
    <w:p w:rsidR="00235D71" w:rsidRPr="00024B97" w:rsidP="00075C9A" w14:paraId="7B955BC2" w14:textId="248FCF57">
      <w:pPr>
        <w:pStyle w:val="ListParagraph"/>
        <w:spacing w:after="0" w:line="240" w:lineRule="auto"/>
        <w:rPr>
          <w:rFonts w:asciiTheme="majorHAnsi" w:hAnsiTheme="majorHAnsi"/>
          <w:sz w:val="24"/>
        </w:rPr>
      </w:pPr>
      <w:r w:rsidRPr="00024B97">
        <w:rPr>
          <w:rFonts w:asciiTheme="majorHAnsi" w:hAnsiTheme="majorHAnsi"/>
          <w:sz w:val="24"/>
        </w:rPr>
        <w:t>[</w:t>
      </w:r>
      <w:r w:rsidRPr="0079680A" w:rsidR="00C35C3A">
        <w:rPr>
          <w:rFonts w:asciiTheme="majorHAnsi" w:hAnsiTheme="majorHAnsi"/>
          <w:b/>
          <w:bCs/>
          <w:iCs/>
          <w:sz w:val="24"/>
        </w:rPr>
        <w:t>IPP Personnel</w:t>
      </w:r>
      <w:r w:rsidRPr="00BF271A" w:rsidR="00C35C3A">
        <w:rPr>
          <w:rFonts w:asciiTheme="majorHAnsi" w:hAnsiTheme="majorHAnsi"/>
          <w:iCs/>
          <w:sz w:val="24"/>
        </w:rPr>
        <w:t xml:space="preserve"> </w:t>
      </w:r>
      <w:r w:rsidRPr="00907D7C" w:rsidR="00024B97">
        <w:rPr>
          <w:rFonts w:asciiTheme="majorHAnsi" w:hAnsiTheme="majorHAnsi"/>
          <w:b/>
          <w:bCs/>
          <w:sz w:val="24"/>
        </w:rPr>
        <w:t>Survey</w:t>
      </w:r>
      <w:r w:rsidRPr="00907D7C" w:rsidR="00B0265B">
        <w:rPr>
          <w:rFonts w:asciiTheme="majorHAnsi" w:hAnsiTheme="majorHAnsi"/>
          <w:b/>
          <w:bCs/>
          <w:sz w:val="24"/>
        </w:rPr>
        <w:t xml:space="preserve">, </w:t>
      </w:r>
      <w:r w:rsidR="00C35C3A">
        <w:rPr>
          <w:rFonts w:asciiTheme="majorHAnsi" w:hAnsiTheme="majorHAnsi"/>
          <w:b/>
          <w:bCs/>
          <w:sz w:val="24"/>
        </w:rPr>
        <w:t>Supervisor/</w:t>
      </w:r>
      <w:r w:rsidRPr="00907D7C" w:rsidR="00B0265B">
        <w:rPr>
          <w:rFonts w:asciiTheme="majorHAnsi" w:hAnsiTheme="majorHAnsi"/>
          <w:b/>
          <w:bCs/>
          <w:sz w:val="24"/>
        </w:rPr>
        <w:t xml:space="preserve">Leader Interviews, </w:t>
      </w:r>
      <w:r w:rsidR="00C35C3A">
        <w:rPr>
          <w:rFonts w:asciiTheme="majorHAnsi" w:hAnsiTheme="majorHAnsi"/>
          <w:b/>
          <w:bCs/>
          <w:sz w:val="24"/>
        </w:rPr>
        <w:t xml:space="preserve">Integrated Primary </w:t>
      </w:r>
      <w:r w:rsidRPr="00907D7C" w:rsidR="00B0265B">
        <w:rPr>
          <w:rFonts w:asciiTheme="majorHAnsi" w:hAnsiTheme="majorHAnsi"/>
          <w:b/>
          <w:bCs/>
          <w:sz w:val="24"/>
        </w:rPr>
        <w:t>Prevention Activity Tracker</w:t>
      </w:r>
      <w:r w:rsidRPr="00907D7C">
        <w:rPr>
          <w:rFonts w:asciiTheme="majorHAnsi" w:hAnsiTheme="majorHAnsi"/>
          <w:b/>
          <w:bCs/>
          <w:sz w:val="24"/>
        </w:rPr>
        <w:t>]</w:t>
      </w:r>
      <w:r w:rsidRPr="00024B97">
        <w:rPr>
          <w:rFonts w:asciiTheme="majorHAnsi" w:hAnsiTheme="majorHAnsi"/>
          <w:sz w:val="24"/>
        </w:rPr>
        <w:t xml:space="preserve"> </w:t>
      </w:r>
      <w:r w:rsidR="001902C6">
        <w:rPr>
          <w:rFonts w:asciiTheme="majorHAnsi" w:hAnsiTheme="majorHAnsi"/>
          <w:sz w:val="24"/>
        </w:rPr>
        <w:t>– No Labor cost to the Federal Government</w:t>
      </w:r>
      <w:r w:rsidR="00907D7C">
        <w:rPr>
          <w:rFonts w:asciiTheme="majorHAnsi" w:hAnsiTheme="majorHAnsi"/>
          <w:sz w:val="24"/>
        </w:rPr>
        <w:t xml:space="preserve">. RAND will collect this information from respondents, so there is only respondent burden for these data collections, as outlined below. </w:t>
      </w:r>
    </w:p>
    <w:p w:rsidR="00235D71" w:rsidP="00235D71" w14:paraId="2BEE0DD3" w14:textId="78BE571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D2F0C">
        <w:rPr>
          <w:rFonts w:asciiTheme="majorHAnsi" w:hAnsiTheme="majorHAnsi"/>
          <w:sz w:val="24"/>
        </w:rPr>
        <w:t>0</w:t>
      </w:r>
    </w:p>
    <w:p w:rsidR="00235D71" w:rsidP="00235D71" w14:paraId="66952FB1" w14:textId="611466B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5F1EE0">
        <w:rPr>
          <w:rFonts w:asciiTheme="majorHAnsi" w:hAnsiTheme="majorHAnsi"/>
          <w:sz w:val="24"/>
        </w:rPr>
        <w:t xml:space="preserve">0 </w:t>
      </w:r>
      <w:r>
        <w:rPr>
          <w:rFonts w:asciiTheme="majorHAnsi" w:hAnsiTheme="majorHAnsi"/>
          <w:sz w:val="24"/>
        </w:rPr>
        <w:t>hours</w:t>
      </w:r>
    </w:p>
    <w:p w:rsidR="00235D71" w:rsidP="00235D71" w14:paraId="0453838E" w14:textId="5473E3C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r w:rsidR="00ED2F0C">
        <w:rPr>
          <w:rFonts w:asciiTheme="majorHAnsi" w:hAnsiTheme="majorHAnsi"/>
          <w:sz w:val="24"/>
        </w:rPr>
        <w:t xml:space="preserve"> 0</w:t>
      </w:r>
      <w:r w:rsidRPr="00722FDB">
        <w:rPr>
          <w:rFonts w:asciiTheme="majorHAnsi" w:hAnsiTheme="majorHAnsi"/>
          <w:sz w:val="24"/>
        </w:rPr>
        <w:t xml:space="preserve"> </w:t>
      </w:r>
    </w:p>
    <w:p w:rsidR="00235D71" w:rsidP="00235D71" w14:paraId="12EA816E" w14:textId="5EC5B67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 xml:space="preserve">: </w:t>
      </w:r>
      <w:r w:rsidR="005F1EE0">
        <w:rPr>
          <w:rFonts w:asciiTheme="majorHAnsi" w:hAnsiTheme="majorHAnsi"/>
          <w:sz w:val="24"/>
        </w:rPr>
        <w:t>0</w:t>
      </w:r>
    </w:p>
    <w:p w:rsidR="00235D71" w:rsidP="00235D71" w14:paraId="49741E32" w14:textId="2132AE3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sidR="005F1EE0">
        <w:rPr>
          <w:rFonts w:asciiTheme="majorHAnsi" w:hAnsiTheme="majorHAnsi"/>
          <w:sz w:val="24"/>
        </w:rPr>
        <w:t xml:space="preserve"> 0 </w:t>
      </w:r>
      <w:r w:rsidRPr="00722FDB">
        <w:rPr>
          <w:rFonts w:asciiTheme="majorHAnsi" w:hAnsiTheme="majorHAnsi"/>
          <w:sz w:val="24"/>
        </w:rPr>
        <w:t xml:space="preserve"> </w:t>
      </w:r>
    </w:p>
    <w:p w:rsidR="00B55E9F" w:rsidP="00B55E9F" w14:paraId="06B737B7" w14:textId="77777777">
      <w:pPr>
        <w:pStyle w:val="ListParagraph"/>
        <w:spacing w:after="0" w:line="240" w:lineRule="auto"/>
        <w:ind w:left="1440"/>
        <w:rPr>
          <w:rFonts w:asciiTheme="majorHAnsi" w:hAnsiTheme="majorHAnsi"/>
          <w:sz w:val="24"/>
        </w:rPr>
      </w:pPr>
    </w:p>
    <w:p w:rsidR="00235D71" w:rsidP="00235D71" w14:paraId="3DE108E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7D1F39D7" w14:textId="670D86F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17650B">
        <w:rPr>
          <w:rFonts w:asciiTheme="majorHAnsi" w:hAnsiTheme="majorHAnsi"/>
          <w:sz w:val="24"/>
        </w:rPr>
        <w:t>0</w:t>
      </w:r>
    </w:p>
    <w:p w:rsidR="00B0265B" w:rsidRPr="00DC3EBA" w:rsidP="002A0B9A" w14:paraId="068226A8" w14:textId="27A4C979">
      <w:pPr>
        <w:pStyle w:val="ListParagraph"/>
        <w:numPr>
          <w:ilvl w:val="1"/>
          <w:numId w:val="18"/>
        </w:numPr>
        <w:spacing w:after="0" w:line="240" w:lineRule="auto"/>
        <w:rPr>
          <w:rFonts w:asciiTheme="majorHAnsi" w:hAnsiTheme="majorHAnsi"/>
          <w:sz w:val="24"/>
        </w:rPr>
      </w:pPr>
      <w:r w:rsidRPr="005023E7">
        <w:rPr>
          <w:rFonts w:asciiTheme="majorHAnsi" w:hAnsiTheme="majorHAnsi"/>
          <w:sz w:val="24"/>
        </w:rPr>
        <w:t>Total Labor Burden</w:t>
      </w:r>
      <w:r w:rsidRPr="005023E7">
        <w:rPr>
          <w:rFonts w:asciiTheme="majorHAnsi" w:hAnsiTheme="majorHAnsi"/>
          <w:i/>
          <w:sz w:val="24"/>
        </w:rPr>
        <w:t xml:space="preserve">: </w:t>
      </w:r>
      <w:r w:rsidRPr="00EE76A1" w:rsidR="00EE76A1">
        <w:rPr>
          <w:rFonts w:asciiTheme="majorHAnsi" w:hAnsiTheme="majorHAnsi"/>
          <w:iCs/>
          <w:sz w:val="24"/>
        </w:rPr>
        <w:t>0</w:t>
      </w:r>
    </w:p>
    <w:p w:rsidR="00DC3EBA" w:rsidRPr="00B0265B" w:rsidP="00DC3EBA" w14:paraId="7CA47A55" w14:textId="77777777">
      <w:pPr>
        <w:pStyle w:val="ListParagraph"/>
        <w:spacing w:after="0" w:line="240" w:lineRule="auto"/>
        <w:ind w:left="1440"/>
        <w:rPr>
          <w:rFonts w:asciiTheme="majorHAnsi" w:hAnsiTheme="majorHAnsi"/>
          <w:sz w:val="24"/>
        </w:rPr>
      </w:pPr>
    </w:p>
    <w:p w:rsidR="00075C9A" w:rsidP="00CB3592" w14:paraId="2B43A3FB" w14:textId="77777777">
      <w:pPr>
        <w:pStyle w:val="ListParagraph"/>
        <w:numPr>
          <w:ilvl w:val="0"/>
          <w:numId w:val="35"/>
        </w:numPr>
        <w:spacing w:after="0" w:line="240" w:lineRule="auto"/>
        <w:rPr>
          <w:rFonts w:asciiTheme="majorHAnsi" w:hAnsiTheme="majorHAnsi"/>
          <w:sz w:val="24"/>
        </w:rPr>
      </w:pPr>
      <w:r w:rsidRPr="00024B97">
        <w:rPr>
          <w:rFonts w:asciiTheme="majorHAnsi" w:hAnsiTheme="majorHAnsi"/>
          <w:sz w:val="24"/>
        </w:rPr>
        <w:t>Collection Instrument(s)</w:t>
      </w:r>
    </w:p>
    <w:p w:rsidR="005F1EE0" w:rsidRPr="00024B97" w:rsidP="00075C9A" w14:paraId="22B8D494" w14:textId="0A77A6B8">
      <w:pPr>
        <w:pStyle w:val="ListParagraph"/>
        <w:spacing w:after="0" w:line="240" w:lineRule="auto"/>
        <w:rPr>
          <w:rFonts w:asciiTheme="majorHAnsi" w:hAnsiTheme="majorHAnsi"/>
          <w:sz w:val="24"/>
        </w:rPr>
      </w:pPr>
      <w:r w:rsidRPr="00024B97">
        <w:rPr>
          <w:rFonts w:asciiTheme="majorHAnsi" w:hAnsiTheme="majorHAnsi"/>
          <w:sz w:val="24"/>
        </w:rPr>
        <w:t>[</w:t>
      </w:r>
      <w:r w:rsidR="00EE76A1">
        <w:rPr>
          <w:rFonts w:asciiTheme="majorHAnsi" w:hAnsiTheme="majorHAnsi"/>
          <w:b/>
          <w:bCs/>
          <w:sz w:val="24"/>
        </w:rPr>
        <w:t>Cohort Study</w:t>
      </w:r>
      <w:r w:rsidRPr="00907D7C">
        <w:rPr>
          <w:rFonts w:asciiTheme="majorHAnsi" w:hAnsiTheme="majorHAnsi"/>
          <w:b/>
          <w:bCs/>
          <w:sz w:val="24"/>
        </w:rPr>
        <w:t>]</w:t>
      </w:r>
      <w:r w:rsidR="00CB3592">
        <w:rPr>
          <w:rFonts w:asciiTheme="majorHAnsi" w:hAnsiTheme="majorHAnsi"/>
          <w:sz w:val="24"/>
        </w:rPr>
        <w:t xml:space="preserve"> </w:t>
      </w:r>
      <w:r w:rsidR="0014401A">
        <w:rPr>
          <w:rFonts w:asciiTheme="majorHAnsi" w:hAnsiTheme="majorHAnsi"/>
          <w:sz w:val="24"/>
        </w:rPr>
        <w:t xml:space="preserve">- This cost is from the time it takes for DoD personnel to arrange the site visits that make up the Cohort Study. </w:t>
      </w:r>
    </w:p>
    <w:p w:rsidR="00A60BB7" w:rsidP="00D01DB6" w14:paraId="28B3B928" w14:textId="72594183">
      <w:pPr>
        <w:pStyle w:val="ListParagraph"/>
        <w:numPr>
          <w:ilvl w:val="1"/>
          <w:numId w:val="35"/>
        </w:numPr>
        <w:spacing w:after="0" w:line="240" w:lineRule="auto"/>
        <w:rPr>
          <w:rFonts w:asciiTheme="majorHAnsi" w:hAnsiTheme="majorHAnsi"/>
          <w:sz w:val="24"/>
        </w:rPr>
      </w:pPr>
      <w:r>
        <w:rPr>
          <w:rFonts w:asciiTheme="majorHAnsi" w:hAnsiTheme="majorHAnsi"/>
          <w:sz w:val="24"/>
        </w:rPr>
        <w:t>Number of Total Annual Responses:</w:t>
      </w:r>
      <w:r w:rsidR="002F20E0">
        <w:rPr>
          <w:rFonts w:asciiTheme="majorHAnsi" w:hAnsiTheme="majorHAnsi"/>
          <w:sz w:val="24"/>
        </w:rPr>
        <w:t xml:space="preserve"> </w:t>
      </w:r>
      <w:r w:rsidR="003C2923">
        <w:rPr>
          <w:rFonts w:asciiTheme="majorHAnsi" w:hAnsiTheme="majorHAnsi"/>
          <w:sz w:val="24"/>
        </w:rPr>
        <w:t>260</w:t>
      </w:r>
    </w:p>
    <w:p w:rsidR="005F1EE0" w:rsidP="00D01DB6" w14:paraId="0B6503AF" w14:textId="451A0952">
      <w:pPr>
        <w:pStyle w:val="ListParagraph"/>
        <w:numPr>
          <w:ilvl w:val="0"/>
          <w:numId w:val="43"/>
        </w:numPr>
        <w:spacing w:after="0" w:line="240" w:lineRule="auto"/>
        <w:rPr>
          <w:rFonts w:asciiTheme="majorHAnsi" w:hAnsiTheme="majorHAnsi"/>
          <w:sz w:val="24"/>
        </w:rPr>
      </w:pPr>
      <w:r>
        <w:rPr>
          <w:rFonts w:asciiTheme="majorHAnsi" w:hAnsiTheme="majorHAnsi"/>
          <w:sz w:val="24"/>
        </w:rPr>
        <w:t xml:space="preserve">Processing Time per Response:  </w:t>
      </w:r>
      <w:r w:rsidR="00D70FE8">
        <w:rPr>
          <w:rFonts w:asciiTheme="majorHAnsi" w:hAnsiTheme="majorHAnsi"/>
          <w:sz w:val="24"/>
        </w:rPr>
        <w:t xml:space="preserve">1 </w:t>
      </w:r>
      <w:r>
        <w:rPr>
          <w:rFonts w:asciiTheme="majorHAnsi" w:hAnsiTheme="majorHAnsi"/>
          <w:sz w:val="24"/>
        </w:rPr>
        <w:t>hour</w:t>
      </w:r>
    </w:p>
    <w:p w:rsidR="005F1EE0" w:rsidP="00D01DB6" w14:paraId="3D4B1775" w14:textId="653333ED">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486E29">
        <w:rPr>
          <w:rFonts w:asciiTheme="majorHAnsi" w:hAnsiTheme="majorHAnsi"/>
          <w:sz w:val="24"/>
        </w:rPr>
        <w:t>39.75</w:t>
      </w:r>
    </w:p>
    <w:p w:rsidR="005F1EE0" w:rsidP="00D01DB6" w14:paraId="04CFB6E7" w14:textId="53FB829A">
      <w:pPr>
        <w:pStyle w:val="ListParagraph"/>
        <w:numPr>
          <w:ilvl w:val="0"/>
          <w:numId w:val="43"/>
        </w:numPr>
        <w:spacing w:after="0" w:line="240" w:lineRule="auto"/>
        <w:rPr>
          <w:rFonts w:asciiTheme="majorHAnsi" w:hAnsiTheme="majorHAnsi"/>
          <w:sz w:val="24"/>
        </w:rPr>
      </w:pPr>
      <w:r>
        <w:rPr>
          <w:rFonts w:asciiTheme="majorHAnsi" w:hAnsiTheme="majorHAnsi"/>
          <w:sz w:val="24"/>
        </w:rPr>
        <w:t>Cost to Process Each Response: $</w:t>
      </w:r>
      <w:r w:rsidR="00486E29">
        <w:rPr>
          <w:rFonts w:asciiTheme="majorHAnsi" w:hAnsiTheme="majorHAnsi"/>
          <w:sz w:val="24"/>
        </w:rPr>
        <w:t>39.75</w:t>
      </w:r>
    </w:p>
    <w:p w:rsidR="005F1EE0" w:rsidP="00D01DB6" w14:paraId="2FA875C4" w14:textId="785BF651">
      <w:pPr>
        <w:pStyle w:val="ListParagraph"/>
        <w:numPr>
          <w:ilvl w:val="0"/>
          <w:numId w:val="43"/>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3C2923">
        <w:rPr>
          <w:rFonts w:asciiTheme="majorHAnsi" w:hAnsiTheme="majorHAnsi"/>
          <w:sz w:val="24"/>
        </w:rPr>
        <w:t>10</w:t>
      </w:r>
      <w:r w:rsidR="00CB0978">
        <w:rPr>
          <w:rFonts w:asciiTheme="majorHAnsi" w:hAnsiTheme="majorHAnsi"/>
          <w:sz w:val="24"/>
        </w:rPr>
        <w:t>,</w:t>
      </w:r>
      <w:r w:rsidR="003C2923">
        <w:rPr>
          <w:rFonts w:asciiTheme="majorHAnsi" w:hAnsiTheme="majorHAnsi"/>
          <w:sz w:val="24"/>
        </w:rPr>
        <w:t>335</w:t>
      </w:r>
    </w:p>
    <w:p w:rsidR="005F1EE0" w:rsidP="005F1EE0" w14:paraId="6CBA9C5E" w14:textId="77777777">
      <w:pPr>
        <w:pStyle w:val="ListParagraph"/>
        <w:spacing w:after="0" w:line="240" w:lineRule="auto"/>
        <w:ind w:left="1440"/>
        <w:rPr>
          <w:rFonts w:asciiTheme="majorHAnsi" w:hAnsiTheme="majorHAnsi"/>
          <w:sz w:val="24"/>
        </w:rPr>
      </w:pPr>
    </w:p>
    <w:p w:rsidR="005F1EE0" w:rsidP="00CB3592" w14:paraId="4E0DBCE1"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Overall Labor Burden to the Federal Government</w:t>
      </w:r>
    </w:p>
    <w:p w:rsidR="005F1EE0" w:rsidP="00CB3592" w14:paraId="0013F1F6" w14:textId="7B057EDA">
      <w:pPr>
        <w:pStyle w:val="ListParagraph"/>
        <w:numPr>
          <w:ilvl w:val="1"/>
          <w:numId w:val="35"/>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3C2923">
        <w:rPr>
          <w:rFonts w:asciiTheme="majorHAnsi" w:hAnsiTheme="majorHAnsi"/>
          <w:sz w:val="24"/>
        </w:rPr>
        <w:t>260</w:t>
      </w:r>
    </w:p>
    <w:p w:rsidR="005F1EE0" w:rsidRPr="00B0265B" w:rsidP="00CB3592" w14:paraId="18362543" w14:textId="1CE07419">
      <w:pPr>
        <w:pStyle w:val="ListParagraph"/>
        <w:numPr>
          <w:ilvl w:val="1"/>
          <w:numId w:val="35"/>
        </w:numPr>
        <w:spacing w:after="0" w:line="240" w:lineRule="auto"/>
        <w:rPr>
          <w:rFonts w:asciiTheme="majorHAnsi" w:hAnsiTheme="majorHAnsi"/>
          <w:sz w:val="24"/>
        </w:rPr>
      </w:pPr>
      <w:r w:rsidRPr="005023E7">
        <w:rPr>
          <w:rFonts w:asciiTheme="majorHAnsi" w:hAnsiTheme="majorHAnsi"/>
          <w:sz w:val="24"/>
        </w:rPr>
        <w:t>Total Labor Burden</w:t>
      </w:r>
      <w:r w:rsidRPr="005023E7">
        <w:rPr>
          <w:rFonts w:asciiTheme="majorHAnsi" w:hAnsiTheme="majorHAnsi"/>
          <w:i/>
          <w:sz w:val="24"/>
        </w:rPr>
        <w:t xml:space="preserve">: </w:t>
      </w:r>
      <w:r w:rsidRPr="00810D11" w:rsidR="00810D11">
        <w:rPr>
          <w:rFonts w:asciiTheme="majorHAnsi" w:hAnsiTheme="majorHAnsi"/>
          <w:iCs/>
          <w:sz w:val="24"/>
        </w:rPr>
        <w:t>$</w:t>
      </w:r>
      <w:r w:rsidR="003C2923">
        <w:rPr>
          <w:rFonts w:asciiTheme="majorHAnsi" w:hAnsiTheme="majorHAnsi"/>
          <w:iCs/>
          <w:sz w:val="24"/>
        </w:rPr>
        <w:t>10,335</w:t>
      </w:r>
    </w:p>
    <w:p w:rsidR="00B0265B" w:rsidRPr="00B0265B" w:rsidP="00B0265B" w14:paraId="24BC5341" w14:textId="77777777">
      <w:pPr>
        <w:spacing w:after="0" w:line="240" w:lineRule="auto"/>
        <w:rPr>
          <w:rFonts w:asciiTheme="majorHAnsi" w:hAnsiTheme="majorHAnsi"/>
          <w:sz w:val="24"/>
        </w:rPr>
      </w:pPr>
    </w:p>
    <w:p w:rsidR="00B0265B" w:rsidP="00B0265B" w14:paraId="5B81D1B8" w14:textId="77777777">
      <w:pPr>
        <w:spacing w:after="0" w:line="240" w:lineRule="auto"/>
        <w:rPr>
          <w:rFonts w:asciiTheme="majorHAnsi" w:hAnsiTheme="majorHAnsi"/>
          <w:sz w:val="24"/>
        </w:rPr>
      </w:pPr>
    </w:p>
    <w:p w:rsidR="00722FDB" w:rsidRPr="00B0265B" w:rsidP="00B0265B" w14:paraId="4AA923CA" w14:textId="701AC08F">
      <w:pPr>
        <w:spacing w:after="0" w:line="240" w:lineRule="auto"/>
        <w:rPr>
          <w:rFonts w:asciiTheme="majorHAnsi" w:hAnsiTheme="majorHAnsi"/>
          <w:sz w:val="24"/>
        </w:rPr>
      </w:pPr>
      <w:r>
        <w:rPr>
          <w:rFonts w:asciiTheme="majorHAnsi" w:hAnsiTheme="majorHAnsi"/>
          <w:sz w:val="24"/>
        </w:rPr>
        <w:t xml:space="preserve">Part B: </w:t>
      </w:r>
      <w:r w:rsidRPr="00B0265B" w:rsidR="005C446E">
        <w:rPr>
          <w:rFonts w:asciiTheme="majorHAnsi" w:hAnsiTheme="majorHAnsi"/>
          <w:sz w:val="24"/>
        </w:rPr>
        <w:t>OPE</w:t>
      </w:r>
      <w:r w:rsidRPr="00B0265B" w:rsidR="00235D71">
        <w:rPr>
          <w:rFonts w:asciiTheme="majorHAnsi" w:hAnsiTheme="majorHAnsi"/>
          <w:sz w:val="24"/>
        </w:rPr>
        <w:t>RATIONAL AND MAINTENANCE COSTS</w:t>
      </w:r>
    </w:p>
    <w:p w:rsidR="00235D71" w:rsidP="00722FDB" w14:paraId="75E9AC54" w14:textId="5D520A82">
      <w:pPr>
        <w:spacing w:after="0" w:line="240" w:lineRule="auto"/>
        <w:rPr>
          <w:rFonts w:asciiTheme="majorHAnsi" w:hAnsiTheme="majorHAnsi"/>
          <w:sz w:val="24"/>
        </w:rPr>
      </w:pPr>
    </w:p>
    <w:p w:rsidR="00C27743" w:rsidP="00722FDB" w14:paraId="2F6A00CF" w14:textId="147FE1FE">
      <w:pPr>
        <w:spacing w:after="0" w:line="240" w:lineRule="auto"/>
        <w:rPr>
          <w:rFonts w:asciiTheme="majorHAnsi" w:hAnsiTheme="majorHAnsi"/>
          <w:sz w:val="24"/>
        </w:rPr>
      </w:pPr>
      <w:r>
        <w:rPr>
          <w:rFonts w:asciiTheme="majorHAnsi" w:hAnsiTheme="majorHAnsi"/>
          <w:sz w:val="24"/>
        </w:rPr>
        <w:t>The below costs are the funds DoD is providing to RAND to carry out the evaluation</w:t>
      </w:r>
      <w:r w:rsidR="0074188F">
        <w:rPr>
          <w:rFonts w:asciiTheme="majorHAnsi" w:hAnsiTheme="majorHAnsi"/>
          <w:sz w:val="24"/>
        </w:rPr>
        <w:t xml:space="preserve">. </w:t>
      </w:r>
    </w:p>
    <w:p w:rsidR="00C27743" w:rsidRPr="00235D71" w:rsidP="00722FDB" w14:paraId="32AE21C3" w14:textId="77777777">
      <w:pPr>
        <w:spacing w:after="0" w:line="240" w:lineRule="auto"/>
        <w:rPr>
          <w:rFonts w:asciiTheme="majorHAnsi" w:hAnsiTheme="majorHAnsi"/>
          <w:sz w:val="24"/>
        </w:rPr>
      </w:pPr>
    </w:p>
    <w:p w:rsidR="00235D71" w:rsidRPr="00235D71" w:rsidP="00235D71" w14:paraId="208517D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CEF65CC" w14:textId="07D771FD">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04454">
        <w:rPr>
          <w:rFonts w:asciiTheme="majorHAnsi" w:hAnsiTheme="majorHAnsi"/>
          <w:sz w:val="24"/>
        </w:rPr>
        <w:t>0</w:t>
      </w:r>
    </w:p>
    <w:p w:rsidR="00235D71" w:rsidRPr="00235D71" w:rsidP="00235D71" w14:paraId="772117C6" w14:textId="260850B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55C8F">
        <w:rPr>
          <w:rFonts w:asciiTheme="majorHAnsi" w:hAnsiTheme="majorHAnsi"/>
          <w:sz w:val="24"/>
        </w:rPr>
        <w:t>0</w:t>
      </w:r>
    </w:p>
    <w:p w:rsidR="00235D71" w:rsidRPr="00235D71" w:rsidP="00235D71" w14:paraId="4B9A10DF" w14:textId="280D2026">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55C8F">
        <w:rPr>
          <w:rFonts w:asciiTheme="majorHAnsi" w:hAnsiTheme="majorHAnsi"/>
          <w:sz w:val="24"/>
        </w:rPr>
        <w:t>0</w:t>
      </w:r>
    </w:p>
    <w:p w:rsidR="00235D71" w:rsidRPr="00235D71" w:rsidP="00235D71" w14:paraId="70862449" w14:textId="1A9716F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55C8F">
        <w:rPr>
          <w:rFonts w:asciiTheme="majorHAnsi" w:hAnsiTheme="majorHAnsi"/>
          <w:sz w:val="24"/>
        </w:rPr>
        <w:t>0</w:t>
      </w:r>
    </w:p>
    <w:p w:rsidR="00235D71" w:rsidRPr="00235D71" w:rsidP="00235D71" w14:paraId="652AE639" w14:textId="3158CE4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55C8F">
        <w:rPr>
          <w:rFonts w:asciiTheme="majorHAnsi" w:hAnsiTheme="majorHAnsi"/>
          <w:sz w:val="24"/>
        </w:rPr>
        <w:t>0</w:t>
      </w:r>
    </w:p>
    <w:p w:rsidR="00235D71" w:rsidRPr="00AA48A7" w:rsidP="00235D71" w14:paraId="39CF1384" w14:textId="2F968B0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p>
    <w:p w:rsidR="00AA48A7" w:rsidRPr="00887195" w:rsidP="00AA48A7" w14:paraId="31FC786F" w14:textId="50C9A7E5">
      <w:pPr>
        <w:pStyle w:val="ListParagraph"/>
        <w:numPr>
          <w:ilvl w:val="2"/>
          <w:numId w:val="20"/>
        </w:numPr>
        <w:spacing w:after="0" w:line="240" w:lineRule="auto"/>
        <w:rPr>
          <w:rFonts w:asciiTheme="majorHAnsi" w:hAnsiTheme="majorHAnsi"/>
          <w:i/>
          <w:sz w:val="24"/>
        </w:rPr>
      </w:pPr>
      <w:r>
        <w:rPr>
          <w:rFonts w:asciiTheme="majorHAnsi" w:hAnsiTheme="majorHAnsi"/>
          <w:sz w:val="24"/>
        </w:rPr>
        <w:t>Labor – $1</w:t>
      </w:r>
      <w:r w:rsidR="00D26D24">
        <w:rPr>
          <w:rFonts w:asciiTheme="majorHAnsi" w:hAnsiTheme="majorHAnsi"/>
          <w:sz w:val="24"/>
        </w:rPr>
        <w:t>4</w:t>
      </w:r>
      <w:r>
        <w:rPr>
          <w:rFonts w:asciiTheme="majorHAnsi" w:hAnsiTheme="majorHAnsi"/>
          <w:sz w:val="24"/>
        </w:rPr>
        <w:t>,</w:t>
      </w:r>
      <w:r w:rsidR="00275BFD">
        <w:rPr>
          <w:rFonts w:asciiTheme="majorHAnsi" w:hAnsiTheme="majorHAnsi"/>
          <w:sz w:val="24"/>
        </w:rPr>
        <w:t>00</w:t>
      </w:r>
      <w:r>
        <w:rPr>
          <w:rFonts w:asciiTheme="majorHAnsi" w:hAnsiTheme="majorHAnsi"/>
          <w:sz w:val="24"/>
        </w:rPr>
        <w:t>0</w:t>
      </w:r>
      <w:r w:rsidR="00275BFD">
        <w:rPr>
          <w:rFonts w:asciiTheme="majorHAnsi" w:hAnsiTheme="majorHAnsi"/>
          <w:sz w:val="24"/>
        </w:rPr>
        <w:t>,000</w:t>
      </w:r>
    </w:p>
    <w:p w:rsidR="00887195" w:rsidRPr="005C36A3" w:rsidP="00AA48A7" w14:paraId="2BCFDFF3" w14:textId="62DB8675">
      <w:pPr>
        <w:pStyle w:val="ListParagraph"/>
        <w:numPr>
          <w:ilvl w:val="2"/>
          <w:numId w:val="20"/>
        </w:numPr>
        <w:spacing w:after="0" w:line="240" w:lineRule="auto"/>
        <w:rPr>
          <w:rFonts w:asciiTheme="majorHAnsi" w:hAnsiTheme="majorHAnsi"/>
          <w:i/>
          <w:sz w:val="24"/>
        </w:rPr>
      </w:pPr>
      <w:r>
        <w:rPr>
          <w:rFonts w:asciiTheme="majorHAnsi" w:hAnsiTheme="majorHAnsi"/>
          <w:sz w:val="24"/>
        </w:rPr>
        <w:t xml:space="preserve">IPP </w:t>
      </w:r>
      <w:r w:rsidR="00E00687">
        <w:rPr>
          <w:rFonts w:asciiTheme="majorHAnsi" w:hAnsiTheme="majorHAnsi"/>
          <w:sz w:val="24"/>
        </w:rPr>
        <w:t xml:space="preserve">Personnel </w:t>
      </w:r>
      <w:r>
        <w:rPr>
          <w:rFonts w:asciiTheme="majorHAnsi" w:hAnsiTheme="majorHAnsi"/>
          <w:sz w:val="24"/>
        </w:rPr>
        <w:t xml:space="preserve">Survey </w:t>
      </w:r>
      <w:r w:rsidR="00982682">
        <w:rPr>
          <w:rFonts w:asciiTheme="majorHAnsi" w:hAnsiTheme="majorHAnsi"/>
          <w:sz w:val="24"/>
        </w:rPr>
        <w:t>programming</w:t>
      </w:r>
      <w:r>
        <w:rPr>
          <w:rFonts w:asciiTheme="majorHAnsi" w:hAnsiTheme="majorHAnsi"/>
          <w:sz w:val="24"/>
        </w:rPr>
        <w:t xml:space="preserve">- </w:t>
      </w:r>
      <w:r w:rsidR="00982682">
        <w:rPr>
          <w:rFonts w:asciiTheme="majorHAnsi" w:hAnsiTheme="majorHAnsi"/>
          <w:sz w:val="24"/>
        </w:rPr>
        <w:t>$</w:t>
      </w:r>
      <w:r w:rsidR="00275BFD">
        <w:rPr>
          <w:rFonts w:asciiTheme="majorHAnsi" w:hAnsiTheme="majorHAnsi"/>
          <w:sz w:val="24"/>
        </w:rPr>
        <w:t>7</w:t>
      </w:r>
      <w:r w:rsidR="00AB2B3C">
        <w:rPr>
          <w:rFonts w:asciiTheme="majorHAnsi" w:hAnsiTheme="majorHAnsi"/>
          <w:sz w:val="24"/>
        </w:rPr>
        <w:t>00</w:t>
      </w:r>
      <w:r w:rsidR="00982682">
        <w:rPr>
          <w:rFonts w:asciiTheme="majorHAnsi" w:hAnsiTheme="majorHAnsi"/>
          <w:sz w:val="24"/>
        </w:rPr>
        <w:t>,000</w:t>
      </w:r>
    </w:p>
    <w:p w:rsidR="005C36A3" w:rsidRPr="00303238" w:rsidP="00AA48A7" w14:paraId="02076146" w14:textId="0294055B">
      <w:pPr>
        <w:pStyle w:val="ListParagraph"/>
        <w:numPr>
          <w:ilvl w:val="2"/>
          <w:numId w:val="20"/>
        </w:numPr>
        <w:spacing w:after="0" w:line="240" w:lineRule="auto"/>
        <w:rPr>
          <w:rFonts w:asciiTheme="majorHAnsi" w:hAnsiTheme="majorHAnsi"/>
          <w:i/>
          <w:sz w:val="24"/>
        </w:rPr>
      </w:pPr>
      <w:r>
        <w:rPr>
          <w:rFonts w:asciiTheme="majorHAnsi" w:hAnsiTheme="majorHAnsi"/>
          <w:sz w:val="24"/>
        </w:rPr>
        <w:t>Computing - $</w:t>
      </w:r>
      <w:r w:rsidR="00AB2B3C">
        <w:rPr>
          <w:rFonts w:asciiTheme="majorHAnsi" w:hAnsiTheme="majorHAnsi"/>
          <w:sz w:val="24"/>
        </w:rPr>
        <w:t>600</w:t>
      </w:r>
      <w:r>
        <w:rPr>
          <w:rFonts w:asciiTheme="majorHAnsi" w:hAnsiTheme="majorHAnsi"/>
          <w:sz w:val="24"/>
        </w:rPr>
        <w:t>,556</w:t>
      </w:r>
    </w:p>
    <w:p w:rsidR="00E030D4" w:rsidRPr="00303238" w:rsidP="00AA48A7" w14:paraId="039E2DFB" w14:textId="1C4D476A">
      <w:pPr>
        <w:pStyle w:val="ListParagraph"/>
        <w:numPr>
          <w:ilvl w:val="2"/>
          <w:numId w:val="20"/>
        </w:numPr>
        <w:spacing w:after="0" w:line="240" w:lineRule="auto"/>
        <w:rPr>
          <w:rFonts w:asciiTheme="majorHAnsi" w:hAnsiTheme="majorHAnsi"/>
          <w:i/>
          <w:sz w:val="24"/>
        </w:rPr>
      </w:pPr>
      <w:r>
        <w:rPr>
          <w:rFonts w:asciiTheme="majorHAnsi" w:hAnsiTheme="majorHAnsi"/>
          <w:sz w:val="24"/>
        </w:rPr>
        <w:t>Gift Cards</w:t>
      </w:r>
      <w:r w:rsidR="002B7717">
        <w:rPr>
          <w:rFonts w:asciiTheme="majorHAnsi" w:hAnsiTheme="majorHAnsi"/>
          <w:sz w:val="24"/>
        </w:rPr>
        <w:t xml:space="preserve"> </w:t>
      </w:r>
      <w:r w:rsidR="00927DBC">
        <w:rPr>
          <w:rFonts w:asciiTheme="majorHAnsi" w:hAnsiTheme="majorHAnsi"/>
          <w:sz w:val="24"/>
        </w:rPr>
        <w:t xml:space="preserve">(IPP Personnel Surveys) </w:t>
      </w:r>
      <w:r w:rsidR="002B7717">
        <w:rPr>
          <w:rFonts w:asciiTheme="majorHAnsi" w:hAnsiTheme="majorHAnsi"/>
          <w:sz w:val="24"/>
        </w:rPr>
        <w:t xml:space="preserve">- </w:t>
      </w:r>
      <w:r w:rsidR="003D23D0">
        <w:rPr>
          <w:rFonts w:asciiTheme="majorHAnsi" w:hAnsiTheme="majorHAnsi"/>
          <w:sz w:val="24"/>
        </w:rPr>
        <w:t>$1</w:t>
      </w:r>
      <w:r w:rsidR="001155B5">
        <w:rPr>
          <w:rFonts w:asciiTheme="majorHAnsi" w:hAnsiTheme="majorHAnsi"/>
          <w:sz w:val="24"/>
        </w:rPr>
        <w:t>40,098</w:t>
      </w:r>
    </w:p>
    <w:p w:rsidR="00B55E9F" w:rsidRPr="00235D71" w:rsidP="00303238" w14:paraId="582C7DA0" w14:textId="77777777">
      <w:pPr>
        <w:rPr>
          <w:i/>
        </w:rPr>
      </w:pPr>
    </w:p>
    <w:p w:rsidR="00235D71" w:rsidRPr="00B55E9F" w:rsidP="00B55E9F" w14:paraId="3DDC58B0" w14:textId="6812D335">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06DC1">
        <w:rPr>
          <w:rFonts w:asciiTheme="majorHAnsi" w:hAnsiTheme="majorHAnsi"/>
          <w:sz w:val="24"/>
        </w:rPr>
        <w:t>1,4</w:t>
      </w:r>
      <w:r w:rsidR="00760CB5">
        <w:rPr>
          <w:rFonts w:asciiTheme="majorHAnsi" w:hAnsiTheme="majorHAnsi"/>
          <w:sz w:val="24"/>
        </w:rPr>
        <w:t>4</w:t>
      </w:r>
      <w:r w:rsidR="001015A6">
        <w:rPr>
          <w:rFonts w:asciiTheme="majorHAnsi" w:hAnsiTheme="majorHAnsi"/>
          <w:sz w:val="24"/>
        </w:rPr>
        <w:t>0</w:t>
      </w:r>
      <w:r w:rsidR="00006DC1">
        <w:rPr>
          <w:rFonts w:asciiTheme="majorHAnsi" w:hAnsiTheme="majorHAnsi"/>
          <w:sz w:val="24"/>
        </w:rPr>
        <w:t>,</w:t>
      </w:r>
      <w:r w:rsidR="001015A6">
        <w:rPr>
          <w:rFonts w:asciiTheme="majorHAnsi" w:hAnsiTheme="majorHAnsi"/>
          <w:sz w:val="24"/>
        </w:rPr>
        <w:t>6</w:t>
      </w:r>
      <w:r w:rsidR="009430A1">
        <w:rPr>
          <w:rFonts w:asciiTheme="majorHAnsi" w:hAnsiTheme="majorHAnsi"/>
          <w:sz w:val="24"/>
        </w:rPr>
        <w:t>54</w:t>
      </w:r>
    </w:p>
    <w:p w:rsidR="00B55E9F" w:rsidP="00B55E9F" w14:paraId="4943318D" w14:textId="77777777">
      <w:pPr>
        <w:spacing w:after="0" w:line="240" w:lineRule="auto"/>
        <w:rPr>
          <w:rFonts w:asciiTheme="majorHAnsi" w:hAnsiTheme="majorHAnsi"/>
          <w:i/>
          <w:sz w:val="24"/>
        </w:rPr>
      </w:pPr>
    </w:p>
    <w:p w:rsidR="00B55E9F" w:rsidP="00B55E9F" w14:paraId="31D0D15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2FC4F73" w14:textId="77777777">
      <w:pPr>
        <w:spacing w:after="0" w:line="240" w:lineRule="auto"/>
        <w:rPr>
          <w:rFonts w:asciiTheme="majorHAnsi" w:hAnsiTheme="majorHAnsi"/>
          <w:sz w:val="24"/>
        </w:rPr>
      </w:pPr>
    </w:p>
    <w:p w:rsidR="00486235" w:rsidP="00B55E9F" w14:paraId="1480BBE2" w14:textId="7576233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D49C3">
        <w:rPr>
          <w:rFonts w:asciiTheme="majorHAnsi" w:hAnsiTheme="majorHAnsi"/>
          <w:iCs/>
          <w:sz w:val="24"/>
        </w:rPr>
        <w:t>1</w:t>
      </w:r>
      <w:r w:rsidR="00DE3C06">
        <w:rPr>
          <w:rFonts w:asciiTheme="majorHAnsi" w:hAnsiTheme="majorHAnsi"/>
          <w:iCs/>
          <w:sz w:val="24"/>
        </w:rPr>
        <w:t>4</w:t>
      </w:r>
      <w:r w:rsidR="005D49C3">
        <w:rPr>
          <w:rFonts w:asciiTheme="majorHAnsi" w:hAnsiTheme="majorHAnsi"/>
          <w:iCs/>
          <w:sz w:val="24"/>
        </w:rPr>
        <w:t>,</w:t>
      </w:r>
      <w:r w:rsidR="00DE3C06">
        <w:rPr>
          <w:rFonts w:asciiTheme="majorHAnsi" w:hAnsiTheme="majorHAnsi"/>
          <w:iCs/>
          <w:sz w:val="24"/>
        </w:rPr>
        <w:t>000,000</w:t>
      </w:r>
    </w:p>
    <w:p w:rsidR="00B55E9F" w:rsidP="00B55E9F" w14:paraId="29B47D0F" w14:textId="77777777">
      <w:pPr>
        <w:pStyle w:val="ListParagraph"/>
        <w:spacing w:after="0" w:line="240" w:lineRule="auto"/>
        <w:rPr>
          <w:rFonts w:asciiTheme="majorHAnsi" w:hAnsiTheme="majorHAnsi"/>
          <w:sz w:val="24"/>
        </w:rPr>
      </w:pPr>
    </w:p>
    <w:p w:rsidR="00B55E9F" w:rsidP="00B55E9F" w14:paraId="0C2E6585" w14:textId="1280C84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9430A1">
        <w:rPr>
          <w:rFonts w:asciiTheme="majorHAnsi" w:hAnsiTheme="majorHAnsi"/>
          <w:sz w:val="24"/>
        </w:rPr>
        <w:t>$1,44</w:t>
      </w:r>
      <w:r w:rsidR="00F67278">
        <w:rPr>
          <w:rFonts w:asciiTheme="majorHAnsi" w:hAnsiTheme="majorHAnsi"/>
          <w:sz w:val="24"/>
        </w:rPr>
        <w:t>0</w:t>
      </w:r>
      <w:r w:rsidR="009430A1">
        <w:rPr>
          <w:rFonts w:asciiTheme="majorHAnsi" w:hAnsiTheme="majorHAnsi"/>
          <w:sz w:val="24"/>
        </w:rPr>
        <w:t>,</w:t>
      </w:r>
      <w:r w:rsidR="00F67278">
        <w:rPr>
          <w:rFonts w:asciiTheme="majorHAnsi" w:hAnsiTheme="majorHAnsi"/>
          <w:sz w:val="24"/>
        </w:rPr>
        <w:t>6</w:t>
      </w:r>
      <w:r w:rsidR="009430A1">
        <w:rPr>
          <w:rFonts w:asciiTheme="majorHAnsi" w:hAnsiTheme="majorHAnsi"/>
          <w:sz w:val="24"/>
        </w:rPr>
        <w:t>54</w:t>
      </w:r>
    </w:p>
    <w:p w:rsidR="00B55E9F" w:rsidRPr="00B55E9F" w:rsidP="00B55E9F" w14:paraId="6AF95437" w14:textId="77777777">
      <w:pPr>
        <w:spacing w:after="0" w:line="240" w:lineRule="auto"/>
        <w:rPr>
          <w:rFonts w:asciiTheme="majorHAnsi" w:hAnsiTheme="majorHAnsi"/>
          <w:sz w:val="24"/>
        </w:rPr>
      </w:pPr>
    </w:p>
    <w:p w:rsidR="00B55E9F" w:rsidRPr="00B55E9F" w:rsidP="00B55E9F" w14:paraId="7A20A4F5" w14:textId="4E3C4175">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65315C">
        <w:rPr>
          <w:rFonts w:asciiTheme="majorHAnsi" w:hAnsiTheme="majorHAnsi"/>
          <w:sz w:val="24"/>
        </w:rPr>
        <w:t xml:space="preserve">Cost to the Federal Government: </w:t>
      </w:r>
      <w:r>
        <w:rPr>
          <w:rFonts w:asciiTheme="majorHAnsi" w:hAnsiTheme="majorHAnsi"/>
          <w:sz w:val="24"/>
        </w:rPr>
        <w:t>$</w:t>
      </w:r>
      <w:r w:rsidR="00A020A2">
        <w:rPr>
          <w:rFonts w:asciiTheme="majorHAnsi" w:hAnsiTheme="majorHAnsi"/>
          <w:sz w:val="24"/>
        </w:rPr>
        <w:t>1</w:t>
      </w:r>
      <w:r w:rsidR="00594AAA">
        <w:rPr>
          <w:rFonts w:asciiTheme="majorHAnsi" w:hAnsiTheme="majorHAnsi"/>
          <w:sz w:val="24"/>
        </w:rPr>
        <w:t>5</w:t>
      </w:r>
      <w:r w:rsidR="00A020A2">
        <w:rPr>
          <w:rFonts w:asciiTheme="majorHAnsi" w:hAnsiTheme="majorHAnsi"/>
          <w:sz w:val="24"/>
        </w:rPr>
        <w:t>,</w:t>
      </w:r>
      <w:r w:rsidR="00BC538A">
        <w:rPr>
          <w:rFonts w:asciiTheme="majorHAnsi" w:hAnsiTheme="majorHAnsi"/>
          <w:sz w:val="24"/>
        </w:rPr>
        <w:t>44</w:t>
      </w:r>
      <w:r w:rsidR="003770AF">
        <w:rPr>
          <w:rFonts w:asciiTheme="majorHAnsi" w:hAnsiTheme="majorHAnsi"/>
          <w:sz w:val="24"/>
        </w:rPr>
        <w:t>0</w:t>
      </w:r>
      <w:r w:rsidR="005D49C3">
        <w:rPr>
          <w:rFonts w:asciiTheme="majorHAnsi" w:hAnsiTheme="majorHAnsi"/>
          <w:sz w:val="24"/>
        </w:rPr>
        <w:t>,</w:t>
      </w:r>
      <w:r w:rsidR="003770AF">
        <w:rPr>
          <w:rFonts w:asciiTheme="majorHAnsi" w:hAnsiTheme="majorHAnsi"/>
          <w:sz w:val="24"/>
        </w:rPr>
        <w:t>6</w:t>
      </w:r>
      <w:r w:rsidR="004D1EB5">
        <w:rPr>
          <w:rFonts w:asciiTheme="majorHAnsi" w:hAnsiTheme="majorHAnsi"/>
          <w:sz w:val="24"/>
        </w:rPr>
        <w:t>5</w:t>
      </w:r>
      <w:r w:rsidR="00BC538A">
        <w:rPr>
          <w:rFonts w:asciiTheme="majorHAnsi" w:hAnsiTheme="majorHAnsi"/>
          <w:sz w:val="24"/>
        </w:rPr>
        <w:t>4</w:t>
      </w:r>
    </w:p>
    <w:p w:rsidR="00486235" w:rsidP="00486235" w14:paraId="51654942" w14:textId="77777777">
      <w:pPr>
        <w:spacing w:after="0" w:line="240" w:lineRule="auto"/>
        <w:rPr>
          <w:rFonts w:asciiTheme="majorHAnsi" w:hAnsiTheme="majorHAnsi"/>
          <w:sz w:val="24"/>
        </w:rPr>
      </w:pPr>
    </w:p>
    <w:p w:rsidR="00D5143B" w:rsidP="00486235" w14:paraId="67BC9C21" w14:textId="77777777">
      <w:pPr>
        <w:spacing w:after="0" w:line="240" w:lineRule="auto"/>
        <w:rPr>
          <w:rFonts w:asciiTheme="majorHAnsi" w:hAnsiTheme="majorHAnsi"/>
          <w:sz w:val="24"/>
        </w:rPr>
      </w:pPr>
    </w:p>
    <w:p w:rsidR="00DA2B37" w:rsidP="00486235" w14:paraId="35B8455D" w14:textId="442985E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64264A06" w14:textId="11369DED">
      <w:pPr>
        <w:spacing w:after="0" w:line="240" w:lineRule="auto"/>
        <w:rPr>
          <w:rFonts w:asciiTheme="majorHAnsi" w:hAnsiTheme="majorHAnsi"/>
          <w:sz w:val="24"/>
        </w:rPr>
      </w:pPr>
    </w:p>
    <w:p w:rsidR="00877E9B" w:rsidP="00486235" w14:paraId="7755388E" w14:textId="2F6124B1">
      <w:pPr>
        <w:spacing w:after="0" w:line="240" w:lineRule="auto"/>
        <w:rPr>
          <w:rFonts w:asciiTheme="majorHAnsi" w:hAnsiTheme="majorHAnsi"/>
          <w:sz w:val="24"/>
        </w:rPr>
      </w:pPr>
      <w:r w:rsidRPr="00877E9B">
        <w:rPr>
          <w:rFonts w:asciiTheme="majorHAnsi" w:hAnsiTheme="majorHAnsi"/>
          <w:sz w:val="24"/>
        </w:rPr>
        <w:t>This is a new collection with a new associated burden.</w:t>
      </w:r>
    </w:p>
    <w:p w:rsidR="00877E9B" w:rsidP="00486235" w14:paraId="3CC95BCA" w14:textId="77777777">
      <w:pPr>
        <w:spacing w:after="0" w:line="240" w:lineRule="auto"/>
        <w:rPr>
          <w:rFonts w:asciiTheme="majorHAnsi" w:hAnsiTheme="majorHAnsi"/>
          <w:sz w:val="24"/>
        </w:rPr>
      </w:pPr>
    </w:p>
    <w:p w:rsidR="00D5143B" w:rsidP="00486235" w14:paraId="2E40CC93" w14:textId="77777777">
      <w:pPr>
        <w:spacing w:after="0" w:line="240" w:lineRule="auto"/>
        <w:rPr>
          <w:rFonts w:asciiTheme="majorHAnsi" w:hAnsiTheme="majorHAnsi"/>
          <w:sz w:val="24"/>
        </w:rPr>
      </w:pPr>
    </w:p>
    <w:p w:rsidR="00DA2B37" w:rsidP="00486235" w14:paraId="2BF2C011" w14:textId="080333C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14F65" w:rsidP="00486235" w14:paraId="361079A8" w14:textId="77777777">
      <w:pPr>
        <w:spacing w:after="0" w:line="240" w:lineRule="auto"/>
        <w:rPr>
          <w:rFonts w:asciiTheme="majorHAnsi" w:hAnsiTheme="majorHAnsi"/>
          <w:sz w:val="24"/>
        </w:rPr>
      </w:pPr>
    </w:p>
    <w:p w:rsidR="005C3A95" w:rsidP="00486235" w14:paraId="6297D67F" w14:textId="095FAA2F">
      <w:pPr>
        <w:spacing w:after="0" w:line="240" w:lineRule="auto"/>
        <w:rPr>
          <w:rFonts w:asciiTheme="majorHAnsi" w:hAnsiTheme="majorHAnsi"/>
          <w:sz w:val="24"/>
        </w:rPr>
      </w:pPr>
      <w:r>
        <w:rPr>
          <w:rFonts w:asciiTheme="majorHAnsi" w:hAnsiTheme="majorHAnsi"/>
          <w:sz w:val="24"/>
        </w:rPr>
        <w:t>T</w:t>
      </w:r>
      <w:r w:rsidRPr="00F14F65">
        <w:rPr>
          <w:rFonts w:asciiTheme="majorHAnsi" w:hAnsiTheme="majorHAnsi"/>
          <w:sz w:val="24"/>
        </w:rPr>
        <w:t>he results of this information collection will not be published.</w:t>
      </w:r>
    </w:p>
    <w:p w:rsidR="00F14F65" w:rsidP="00486235" w14:paraId="383091F7" w14:textId="77777777">
      <w:pPr>
        <w:spacing w:after="0" w:line="240" w:lineRule="auto"/>
        <w:rPr>
          <w:rFonts w:asciiTheme="majorHAnsi" w:hAnsiTheme="majorHAnsi"/>
          <w:sz w:val="24"/>
        </w:rPr>
      </w:pPr>
    </w:p>
    <w:p w:rsidR="00D5143B" w:rsidP="00486235" w14:paraId="7ACD1CEE" w14:textId="77777777">
      <w:pPr>
        <w:spacing w:after="0" w:line="240" w:lineRule="auto"/>
        <w:rPr>
          <w:rFonts w:asciiTheme="majorHAnsi" w:hAnsiTheme="majorHAnsi"/>
          <w:sz w:val="24"/>
        </w:rPr>
      </w:pPr>
    </w:p>
    <w:p w:rsidR="005C3A95" w:rsidP="00486235" w14:paraId="760CB3C1" w14:textId="7DE5537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026E14" w:rsidP="00486235" w14:paraId="48825453" w14:textId="77777777">
      <w:pPr>
        <w:spacing w:after="0" w:line="240" w:lineRule="auto"/>
        <w:rPr>
          <w:rFonts w:asciiTheme="majorHAnsi" w:hAnsiTheme="majorHAnsi"/>
          <w:sz w:val="24"/>
        </w:rPr>
      </w:pPr>
    </w:p>
    <w:p w:rsidR="00026E14" w:rsidRPr="0085688C" w:rsidP="00486235" w14:paraId="3813F793" w14:textId="76B2E82F">
      <w:pPr>
        <w:spacing w:after="0" w:line="240" w:lineRule="auto"/>
        <w:rPr>
          <w:rFonts w:asciiTheme="majorHAnsi" w:hAnsiTheme="majorHAnsi"/>
          <w:sz w:val="24"/>
        </w:rPr>
      </w:pPr>
      <w:r w:rsidRPr="00026E14">
        <w:rPr>
          <w:rFonts w:asciiTheme="majorHAnsi" w:hAnsiTheme="majorHAnsi"/>
          <w:sz w:val="24"/>
        </w:rPr>
        <w:t>We are not seeking approval to omit the display of the expiration date of the OMB approval on the collection instrument.</w:t>
      </w:r>
    </w:p>
    <w:p w:rsidR="00026E14" w:rsidP="00486235" w14:paraId="285CC8E5" w14:textId="77777777">
      <w:pPr>
        <w:spacing w:after="0" w:line="240" w:lineRule="auto"/>
        <w:rPr>
          <w:rFonts w:asciiTheme="majorHAnsi" w:hAnsiTheme="majorHAnsi"/>
          <w:sz w:val="24"/>
        </w:rPr>
      </w:pPr>
    </w:p>
    <w:p w:rsidR="00D5143B" w:rsidP="00486235" w14:paraId="736D9691" w14:textId="77777777">
      <w:pPr>
        <w:spacing w:after="0" w:line="240" w:lineRule="auto"/>
        <w:rPr>
          <w:rFonts w:asciiTheme="majorHAnsi" w:hAnsiTheme="majorHAnsi"/>
          <w:sz w:val="24"/>
        </w:rPr>
      </w:pPr>
    </w:p>
    <w:p w:rsidR="00C62D17" w:rsidP="00486235" w14:paraId="44967F0C" w14:textId="61C0130F">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026E14" w:rsidP="00486235" w14:paraId="58E4756E" w14:textId="4F79E0C4">
      <w:pPr>
        <w:spacing w:after="0" w:line="240" w:lineRule="auto"/>
        <w:rPr>
          <w:rFonts w:asciiTheme="majorHAnsi" w:hAnsiTheme="majorHAnsi"/>
          <w:sz w:val="24"/>
        </w:rPr>
      </w:pPr>
    </w:p>
    <w:p w:rsidR="00026E14" w:rsidRPr="0085688C" w:rsidP="00486235" w14:paraId="11B096F3" w14:textId="72327A34">
      <w:pPr>
        <w:spacing w:after="0" w:line="240" w:lineRule="auto"/>
        <w:rPr>
          <w:rFonts w:asciiTheme="majorHAnsi" w:hAnsiTheme="majorHAnsi"/>
          <w:sz w:val="24"/>
        </w:rPr>
      </w:pPr>
      <w:r w:rsidRPr="00026E14">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E570A"/>
    <w:multiLevelType w:val="hybridMultilevel"/>
    <w:tmpl w:val="B54EE272"/>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0E0261"/>
    <w:multiLevelType w:val="hybridMultilevel"/>
    <w:tmpl w:val="F260DE4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1013B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6D649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F6E7E"/>
    <w:multiLevelType w:val="hybridMultilevel"/>
    <w:tmpl w:val="51C8B8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EC0A6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0535962"/>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80D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B636E6"/>
    <w:multiLevelType w:val="hybridMultilevel"/>
    <w:tmpl w:val="C6BEE36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023686"/>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54A68D5"/>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516EF8"/>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0C2E9B"/>
    <w:multiLevelType w:val="hybridMultilevel"/>
    <w:tmpl w:val="7F5A44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C1933"/>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2D66AE"/>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6851D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2640F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9E673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A2D7F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D96583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516D05"/>
    <w:multiLevelType w:val="hybridMultilevel"/>
    <w:tmpl w:val="34448ED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8F2F4D"/>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9E1723"/>
    <w:multiLevelType w:val="hybridMultilevel"/>
    <w:tmpl w:val="7BE2108C"/>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87066">
    <w:abstractNumId w:val="27"/>
  </w:num>
  <w:num w:numId="2" w16cid:durableId="941451051">
    <w:abstractNumId w:val="0"/>
  </w:num>
  <w:num w:numId="3" w16cid:durableId="2101564453">
    <w:abstractNumId w:val="22"/>
  </w:num>
  <w:num w:numId="4" w16cid:durableId="522131583">
    <w:abstractNumId w:val="20"/>
  </w:num>
  <w:num w:numId="5" w16cid:durableId="93677309">
    <w:abstractNumId w:val="31"/>
  </w:num>
  <w:num w:numId="6" w16cid:durableId="1334410628">
    <w:abstractNumId w:val="2"/>
  </w:num>
  <w:num w:numId="7" w16cid:durableId="1574898358">
    <w:abstractNumId w:val="32"/>
  </w:num>
  <w:num w:numId="8" w16cid:durableId="150028690">
    <w:abstractNumId w:val="29"/>
  </w:num>
  <w:num w:numId="9" w16cid:durableId="1301763118">
    <w:abstractNumId w:val="34"/>
  </w:num>
  <w:num w:numId="10" w16cid:durableId="1857115044">
    <w:abstractNumId w:val="8"/>
  </w:num>
  <w:num w:numId="11" w16cid:durableId="841314508">
    <w:abstractNumId w:val="28"/>
  </w:num>
  <w:num w:numId="12" w16cid:durableId="1288242398">
    <w:abstractNumId w:val="30"/>
  </w:num>
  <w:num w:numId="13" w16cid:durableId="69086435">
    <w:abstractNumId w:val="44"/>
  </w:num>
  <w:num w:numId="14" w16cid:durableId="852186987">
    <w:abstractNumId w:val="46"/>
  </w:num>
  <w:num w:numId="15" w16cid:durableId="2021544152">
    <w:abstractNumId w:val="19"/>
  </w:num>
  <w:num w:numId="16" w16cid:durableId="755397531">
    <w:abstractNumId w:val="18"/>
  </w:num>
  <w:num w:numId="17" w16cid:durableId="980112911">
    <w:abstractNumId w:val="23"/>
  </w:num>
  <w:num w:numId="18" w16cid:durableId="191916350">
    <w:abstractNumId w:val="15"/>
  </w:num>
  <w:num w:numId="19" w16cid:durableId="1040085005">
    <w:abstractNumId w:val="14"/>
  </w:num>
  <w:num w:numId="20" w16cid:durableId="796141018">
    <w:abstractNumId w:val="10"/>
  </w:num>
  <w:num w:numId="21" w16cid:durableId="1437099613">
    <w:abstractNumId w:val="25"/>
  </w:num>
  <w:num w:numId="22" w16cid:durableId="278607453">
    <w:abstractNumId w:val="4"/>
  </w:num>
  <w:num w:numId="23" w16cid:durableId="1319262954">
    <w:abstractNumId w:val="9"/>
  </w:num>
  <w:num w:numId="24" w16cid:durableId="134303347">
    <w:abstractNumId w:val="35"/>
  </w:num>
  <w:num w:numId="25" w16cid:durableId="1856535035">
    <w:abstractNumId w:val="38"/>
  </w:num>
  <w:num w:numId="26" w16cid:durableId="2118602475">
    <w:abstractNumId w:val="6"/>
  </w:num>
  <w:num w:numId="27" w16cid:durableId="1478917041">
    <w:abstractNumId w:val="7"/>
  </w:num>
  <w:num w:numId="28" w16cid:durableId="460196241">
    <w:abstractNumId w:val="39"/>
  </w:num>
  <w:num w:numId="29" w16cid:durableId="1473399875">
    <w:abstractNumId w:val="5"/>
  </w:num>
  <w:num w:numId="30" w16cid:durableId="643773353">
    <w:abstractNumId w:val="41"/>
  </w:num>
  <w:num w:numId="31" w16cid:durableId="1036613739">
    <w:abstractNumId w:val="36"/>
  </w:num>
  <w:num w:numId="32" w16cid:durableId="1860967094">
    <w:abstractNumId w:val="17"/>
  </w:num>
  <w:num w:numId="33" w16cid:durableId="1078091968">
    <w:abstractNumId w:val="21"/>
  </w:num>
  <w:num w:numId="34" w16cid:durableId="1952391974">
    <w:abstractNumId w:val="37"/>
  </w:num>
  <w:num w:numId="35" w16cid:durableId="1675835821">
    <w:abstractNumId w:val="24"/>
  </w:num>
  <w:num w:numId="36" w16cid:durableId="1379667126">
    <w:abstractNumId w:val="40"/>
  </w:num>
  <w:num w:numId="37" w16cid:durableId="1720008014">
    <w:abstractNumId w:val="12"/>
  </w:num>
  <w:num w:numId="38" w16cid:durableId="647824190">
    <w:abstractNumId w:val="26"/>
  </w:num>
  <w:num w:numId="39" w16cid:durableId="1744833766">
    <w:abstractNumId w:val="1"/>
  </w:num>
  <w:num w:numId="40" w16cid:durableId="573583699">
    <w:abstractNumId w:val="16"/>
  </w:num>
  <w:num w:numId="41" w16cid:durableId="1135834425">
    <w:abstractNumId w:val="42"/>
  </w:num>
  <w:num w:numId="42" w16cid:durableId="735398051">
    <w:abstractNumId w:val="3"/>
  </w:num>
  <w:num w:numId="43" w16cid:durableId="452360001">
    <w:abstractNumId w:val="45"/>
  </w:num>
  <w:num w:numId="44" w16cid:durableId="1303848051">
    <w:abstractNumId w:val="33"/>
  </w:num>
  <w:num w:numId="45" w16cid:durableId="1057438245">
    <w:abstractNumId w:val="43"/>
  </w:num>
  <w:num w:numId="46" w16cid:durableId="761335989">
    <w:abstractNumId w:val="11"/>
  </w:num>
  <w:num w:numId="47" w16cid:durableId="577524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910"/>
    <w:rsid w:val="00001900"/>
    <w:rsid w:val="00006DC1"/>
    <w:rsid w:val="000125F0"/>
    <w:rsid w:val="00012F85"/>
    <w:rsid w:val="00024B97"/>
    <w:rsid w:val="00026E14"/>
    <w:rsid w:val="0002711D"/>
    <w:rsid w:val="000359A6"/>
    <w:rsid w:val="0004357C"/>
    <w:rsid w:val="0005066B"/>
    <w:rsid w:val="0005272A"/>
    <w:rsid w:val="00052A2B"/>
    <w:rsid w:val="00054903"/>
    <w:rsid w:val="000614A4"/>
    <w:rsid w:val="0006156E"/>
    <w:rsid w:val="00061C28"/>
    <w:rsid w:val="00072906"/>
    <w:rsid w:val="000734E2"/>
    <w:rsid w:val="00075C9A"/>
    <w:rsid w:val="00080539"/>
    <w:rsid w:val="00080BC1"/>
    <w:rsid w:val="00085AB9"/>
    <w:rsid w:val="00087FB1"/>
    <w:rsid w:val="00095903"/>
    <w:rsid w:val="000A3659"/>
    <w:rsid w:val="000A404F"/>
    <w:rsid w:val="000A5554"/>
    <w:rsid w:val="000B0E70"/>
    <w:rsid w:val="000B3FAD"/>
    <w:rsid w:val="000B4FE4"/>
    <w:rsid w:val="000B5467"/>
    <w:rsid w:val="000B5770"/>
    <w:rsid w:val="000C78C5"/>
    <w:rsid w:val="000D1C53"/>
    <w:rsid w:val="000D6208"/>
    <w:rsid w:val="000D6BB8"/>
    <w:rsid w:val="000E0295"/>
    <w:rsid w:val="000E3E93"/>
    <w:rsid w:val="000E4CF8"/>
    <w:rsid w:val="000F4420"/>
    <w:rsid w:val="00100EDA"/>
    <w:rsid w:val="001015A6"/>
    <w:rsid w:val="001017A0"/>
    <w:rsid w:val="00105F45"/>
    <w:rsid w:val="00112745"/>
    <w:rsid w:val="001131BF"/>
    <w:rsid w:val="001155B5"/>
    <w:rsid w:val="00117325"/>
    <w:rsid w:val="00122410"/>
    <w:rsid w:val="001230CC"/>
    <w:rsid w:val="00127B46"/>
    <w:rsid w:val="00132898"/>
    <w:rsid w:val="00141D84"/>
    <w:rsid w:val="0014401A"/>
    <w:rsid w:val="00145B1D"/>
    <w:rsid w:val="0015609B"/>
    <w:rsid w:val="001622FB"/>
    <w:rsid w:val="00163EEC"/>
    <w:rsid w:val="0016655A"/>
    <w:rsid w:val="001677B8"/>
    <w:rsid w:val="0017650B"/>
    <w:rsid w:val="0018152C"/>
    <w:rsid w:val="00187013"/>
    <w:rsid w:val="001902C6"/>
    <w:rsid w:val="00190A76"/>
    <w:rsid w:val="0019309D"/>
    <w:rsid w:val="001A7214"/>
    <w:rsid w:val="001B02B4"/>
    <w:rsid w:val="001B04E6"/>
    <w:rsid w:val="001B36C1"/>
    <w:rsid w:val="001B7ABC"/>
    <w:rsid w:val="001C010F"/>
    <w:rsid w:val="001C2F8F"/>
    <w:rsid w:val="001C5373"/>
    <w:rsid w:val="001D087D"/>
    <w:rsid w:val="001D0B70"/>
    <w:rsid w:val="001D4C6B"/>
    <w:rsid w:val="001D746A"/>
    <w:rsid w:val="001D7EBF"/>
    <w:rsid w:val="001E1ACE"/>
    <w:rsid w:val="001E1DD4"/>
    <w:rsid w:val="001E40E2"/>
    <w:rsid w:val="001F526C"/>
    <w:rsid w:val="00200261"/>
    <w:rsid w:val="00200961"/>
    <w:rsid w:val="00203BC2"/>
    <w:rsid w:val="00203DC7"/>
    <w:rsid w:val="00204424"/>
    <w:rsid w:val="00204770"/>
    <w:rsid w:val="002067B3"/>
    <w:rsid w:val="00211832"/>
    <w:rsid w:val="0021554F"/>
    <w:rsid w:val="00222D1B"/>
    <w:rsid w:val="00225425"/>
    <w:rsid w:val="00227A55"/>
    <w:rsid w:val="00227E81"/>
    <w:rsid w:val="00232970"/>
    <w:rsid w:val="00235D71"/>
    <w:rsid w:val="00236E6D"/>
    <w:rsid w:val="002409B1"/>
    <w:rsid w:val="00242B4D"/>
    <w:rsid w:val="0024335E"/>
    <w:rsid w:val="00244830"/>
    <w:rsid w:val="00244A68"/>
    <w:rsid w:val="00244DF1"/>
    <w:rsid w:val="0025073B"/>
    <w:rsid w:val="00251DE3"/>
    <w:rsid w:val="00254DCF"/>
    <w:rsid w:val="002555C5"/>
    <w:rsid w:val="002567F9"/>
    <w:rsid w:val="002568F6"/>
    <w:rsid w:val="00257E32"/>
    <w:rsid w:val="00265A47"/>
    <w:rsid w:val="0026722E"/>
    <w:rsid w:val="00267A25"/>
    <w:rsid w:val="00272D36"/>
    <w:rsid w:val="002745ED"/>
    <w:rsid w:val="00275BFD"/>
    <w:rsid w:val="002767D7"/>
    <w:rsid w:val="00276E17"/>
    <w:rsid w:val="0027743E"/>
    <w:rsid w:val="00291614"/>
    <w:rsid w:val="00294E92"/>
    <w:rsid w:val="00295D81"/>
    <w:rsid w:val="00296E3A"/>
    <w:rsid w:val="002A0B9A"/>
    <w:rsid w:val="002A2CA0"/>
    <w:rsid w:val="002A2E79"/>
    <w:rsid w:val="002A4640"/>
    <w:rsid w:val="002A63B6"/>
    <w:rsid w:val="002A7D83"/>
    <w:rsid w:val="002B7717"/>
    <w:rsid w:val="002C37BC"/>
    <w:rsid w:val="002D2C01"/>
    <w:rsid w:val="002D7713"/>
    <w:rsid w:val="002D7CBE"/>
    <w:rsid w:val="002D7D5A"/>
    <w:rsid w:val="002E3745"/>
    <w:rsid w:val="002E4D8D"/>
    <w:rsid w:val="002F20E0"/>
    <w:rsid w:val="00302C5F"/>
    <w:rsid w:val="00303238"/>
    <w:rsid w:val="00306148"/>
    <w:rsid w:val="0030736D"/>
    <w:rsid w:val="00311D0A"/>
    <w:rsid w:val="003132E7"/>
    <w:rsid w:val="003141A7"/>
    <w:rsid w:val="00314501"/>
    <w:rsid w:val="00315291"/>
    <w:rsid w:val="0031777D"/>
    <w:rsid w:val="00331D7E"/>
    <w:rsid w:val="00332420"/>
    <w:rsid w:val="0033564A"/>
    <w:rsid w:val="003357B0"/>
    <w:rsid w:val="00337EF1"/>
    <w:rsid w:val="00340D9B"/>
    <w:rsid w:val="003420BD"/>
    <w:rsid w:val="00345A45"/>
    <w:rsid w:val="0035327D"/>
    <w:rsid w:val="003535CE"/>
    <w:rsid w:val="00363F3D"/>
    <w:rsid w:val="00370463"/>
    <w:rsid w:val="00373B75"/>
    <w:rsid w:val="003770AF"/>
    <w:rsid w:val="00380538"/>
    <w:rsid w:val="00382A63"/>
    <w:rsid w:val="00383E88"/>
    <w:rsid w:val="00385B09"/>
    <w:rsid w:val="00394A8A"/>
    <w:rsid w:val="003A10C4"/>
    <w:rsid w:val="003A594E"/>
    <w:rsid w:val="003A63E2"/>
    <w:rsid w:val="003B0AE1"/>
    <w:rsid w:val="003B3D02"/>
    <w:rsid w:val="003B53D8"/>
    <w:rsid w:val="003C0540"/>
    <w:rsid w:val="003C1739"/>
    <w:rsid w:val="003C2923"/>
    <w:rsid w:val="003D23D0"/>
    <w:rsid w:val="003D288C"/>
    <w:rsid w:val="003D610C"/>
    <w:rsid w:val="003E1C06"/>
    <w:rsid w:val="003F1E8E"/>
    <w:rsid w:val="00402B44"/>
    <w:rsid w:val="0040655B"/>
    <w:rsid w:val="004118D9"/>
    <w:rsid w:val="0041258F"/>
    <w:rsid w:val="0041536F"/>
    <w:rsid w:val="00417E0E"/>
    <w:rsid w:val="00420AE9"/>
    <w:rsid w:val="00426113"/>
    <w:rsid w:val="00426BB8"/>
    <w:rsid w:val="00432B98"/>
    <w:rsid w:val="00440197"/>
    <w:rsid w:val="0044167F"/>
    <w:rsid w:val="00444AC5"/>
    <w:rsid w:val="00444B49"/>
    <w:rsid w:val="00446BB2"/>
    <w:rsid w:val="00446E02"/>
    <w:rsid w:val="004539F0"/>
    <w:rsid w:val="00457954"/>
    <w:rsid w:val="00461CBC"/>
    <w:rsid w:val="00476CEB"/>
    <w:rsid w:val="00480AFF"/>
    <w:rsid w:val="00484A2A"/>
    <w:rsid w:val="004852B2"/>
    <w:rsid w:val="00486235"/>
    <w:rsid w:val="00486E29"/>
    <w:rsid w:val="00490797"/>
    <w:rsid w:val="0049249A"/>
    <w:rsid w:val="0049342A"/>
    <w:rsid w:val="004B0194"/>
    <w:rsid w:val="004B2CBB"/>
    <w:rsid w:val="004B310C"/>
    <w:rsid w:val="004B6A06"/>
    <w:rsid w:val="004C0319"/>
    <w:rsid w:val="004C35F3"/>
    <w:rsid w:val="004C4728"/>
    <w:rsid w:val="004C6594"/>
    <w:rsid w:val="004C74D6"/>
    <w:rsid w:val="004D1EB5"/>
    <w:rsid w:val="004D5FDB"/>
    <w:rsid w:val="004E2720"/>
    <w:rsid w:val="004E27B8"/>
    <w:rsid w:val="004E700C"/>
    <w:rsid w:val="004E784E"/>
    <w:rsid w:val="004F1D84"/>
    <w:rsid w:val="004F213B"/>
    <w:rsid w:val="004F3990"/>
    <w:rsid w:val="004F4F5D"/>
    <w:rsid w:val="005023E7"/>
    <w:rsid w:val="0050270F"/>
    <w:rsid w:val="00502FF3"/>
    <w:rsid w:val="0050341D"/>
    <w:rsid w:val="00503739"/>
    <w:rsid w:val="005102FE"/>
    <w:rsid w:val="00510F0C"/>
    <w:rsid w:val="005127FD"/>
    <w:rsid w:val="00520B36"/>
    <w:rsid w:val="00527FA4"/>
    <w:rsid w:val="00530298"/>
    <w:rsid w:val="005364C1"/>
    <w:rsid w:val="00544086"/>
    <w:rsid w:val="0055280A"/>
    <w:rsid w:val="00554668"/>
    <w:rsid w:val="005620DD"/>
    <w:rsid w:val="00571698"/>
    <w:rsid w:val="00576EDB"/>
    <w:rsid w:val="00581A42"/>
    <w:rsid w:val="00583D89"/>
    <w:rsid w:val="005876D6"/>
    <w:rsid w:val="00592F24"/>
    <w:rsid w:val="00594AAA"/>
    <w:rsid w:val="00594B6B"/>
    <w:rsid w:val="005964E5"/>
    <w:rsid w:val="00596BBA"/>
    <w:rsid w:val="005A209C"/>
    <w:rsid w:val="005B15CD"/>
    <w:rsid w:val="005B2021"/>
    <w:rsid w:val="005B207F"/>
    <w:rsid w:val="005B371E"/>
    <w:rsid w:val="005C0233"/>
    <w:rsid w:val="005C2F1F"/>
    <w:rsid w:val="005C36A3"/>
    <w:rsid w:val="005C3A95"/>
    <w:rsid w:val="005C446E"/>
    <w:rsid w:val="005C7428"/>
    <w:rsid w:val="005D49C3"/>
    <w:rsid w:val="005D5C81"/>
    <w:rsid w:val="005D7E51"/>
    <w:rsid w:val="005E3F47"/>
    <w:rsid w:val="005E4B6D"/>
    <w:rsid w:val="005E53F5"/>
    <w:rsid w:val="005E5CFF"/>
    <w:rsid w:val="005E7F87"/>
    <w:rsid w:val="005F1C5F"/>
    <w:rsid w:val="005F1EE0"/>
    <w:rsid w:val="005F6CA9"/>
    <w:rsid w:val="005F7822"/>
    <w:rsid w:val="00603C35"/>
    <w:rsid w:val="00617A64"/>
    <w:rsid w:val="006265DE"/>
    <w:rsid w:val="0062687B"/>
    <w:rsid w:val="00632046"/>
    <w:rsid w:val="006326CA"/>
    <w:rsid w:val="00636C84"/>
    <w:rsid w:val="0063730D"/>
    <w:rsid w:val="00642741"/>
    <w:rsid w:val="0065216A"/>
    <w:rsid w:val="0065305F"/>
    <w:rsid w:val="0065315C"/>
    <w:rsid w:val="0065530D"/>
    <w:rsid w:val="00656BC0"/>
    <w:rsid w:val="0066717B"/>
    <w:rsid w:val="00671366"/>
    <w:rsid w:val="0067638E"/>
    <w:rsid w:val="00677838"/>
    <w:rsid w:val="00683CA6"/>
    <w:rsid w:val="00693AE9"/>
    <w:rsid w:val="006953A3"/>
    <w:rsid w:val="0069584F"/>
    <w:rsid w:val="00695D85"/>
    <w:rsid w:val="006A05E4"/>
    <w:rsid w:val="006A13FA"/>
    <w:rsid w:val="006A341B"/>
    <w:rsid w:val="006A4669"/>
    <w:rsid w:val="006A6C96"/>
    <w:rsid w:val="006C6EDE"/>
    <w:rsid w:val="006D1C46"/>
    <w:rsid w:val="006D2835"/>
    <w:rsid w:val="006E135A"/>
    <w:rsid w:val="006E563D"/>
    <w:rsid w:val="006F2DF8"/>
    <w:rsid w:val="006F643A"/>
    <w:rsid w:val="006F644B"/>
    <w:rsid w:val="00700402"/>
    <w:rsid w:val="00701AC7"/>
    <w:rsid w:val="00702816"/>
    <w:rsid w:val="00702FBA"/>
    <w:rsid w:val="00704E0E"/>
    <w:rsid w:val="00722FDB"/>
    <w:rsid w:val="00725DA7"/>
    <w:rsid w:val="00733979"/>
    <w:rsid w:val="00740442"/>
    <w:rsid w:val="00741212"/>
    <w:rsid w:val="0074188F"/>
    <w:rsid w:val="007466B0"/>
    <w:rsid w:val="00753115"/>
    <w:rsid w:val="00754EA8"/>
    <w:rsid w:val="00756BA0"/>
    <w:rsid w:val="00760CB5"/>
    <w:rsid w:val="00761299"/>
    <w:rsid w:val="00770930"/>
    <w:rsid w:val="0077261C"/>
    <w:rsid w:val="0077402C"/>
    <w:rsid w:val="00790839"/>
    <w:rsid w:val="0079680A"/>
    <w:rsid w:val="007A0B58"/>
    <w:rsid w:val="007A1EE7"/>
    <w:rsid w:val="007A1F57"/>
    <w:rsid w:val="007A3614"/>
    <w:rsid w:val="007C0972"/>
    <w:rsid w:val="007C791A"/>
    <w:rsid w:val="007D1929"/>
    <w:rsid w:val="007D5EF1"/>
    <w:rsid w:val="007D7B64"/>
    <w:rsid w:val="007D7E9D"/>
    <w:rsid w:val="007E26C3"/>
    <w:rsid w:val="007E3080"/>
    <w:rsid w:val="007E36D7"/>
    <w:rsid w:val="007E7133"/>
    <w:rsid w:val="007F3848"/>
    <w:rsid w:val="007F5CF3"/>
    <w:rsid w:val="00807D98"/>
    <w:rsid w:val="00810D11"/>
    <w:rsid w:val="00811636"/>
    <w:rsid w:val="008148B9"/>
    <w:rsid w:val="008170A8"/>
    <w:rsid w:val="00822263"/>
    <w:rsid w:val="00825C12"/>
    <w:rsid w:val="00834C10"/>
    <w:rsid w:val="00836C30"/>
    <w:rsid w:val="008433B6"/>
    <w:rsid w:val="00844657"/>
    <w:rsid w:val="00851366"/>
    <w:rsid w:val="00853E68"/>
    <w:rsid w:val="0085688C"/>
    <w:rsid w:val="00857364"/>
    <w:rsid w:val="008635C4"/>
    <w:rsid w:val="008723A7"/>
    <w:rsid w:val="008754A2"/>
    <w:rsid w:val="00876109"/>
    <w:rsid w:val="00877E9B"/>
    <w:rsid w:val="0088001C"/>
    <w:rsid w:val="00887195"/>
    <w:rsid w:val="0089261B"/>
    <w:rsid w:val="00892F7B"/>
    <w:rsid w:val="00897AFD"/>
    <w:rsid w:val="008A016A"/>
    <w:rsid w:val="008A06EF"/>
    <w:rsid w:val="008A0C5B"/>
    <w:rsid w:val="008A7688"/>
    <w:rsid w:val="008B1C86"/>
    <w:rsid w:val="008B425C"/>
    <w:rsid w:val="008B43E1"/>
    <w:rsid w:val="008B4530"/>
    <w:rsid w:val="008C4AA5"/>
    <w:rsid w:val="008C52EE"/>
    <w:rsid w:val="008D1294"/>
    <w:rsid w:val="008E1EC8"/>
    <w:rsid w:val="008E3029"/>
    <w:rsid w:val="008E75CA"/>
    <w:rsid w:val="008F3122"/>
    <w:rsid w:val="00903778"/>
    <w:rsid w:val="00907BBC"/>
    <w:rsid w:val="00907D7C"/>
    <w:rsid w:val="00921061"/>
    <w:rsid w:val="009221A9"/>
    <w:rsid w:val="00927DBC"/>
    <w:rsid w:val="00931500"/>
    <w:rsid w:val="00934078"/>
    <w:rsid w:val="00934DB1"/>
    <w:rsid w:val="00941B04"/>
    <w:rsid w:val="009430A1"/>
    <w:rsid w:val="00943919"/>
    <w:rsid w:val="00954A8F"/>
    <w:rsid w:val="009562DD"/>
    <w:rsid w:val="00963CEA"/>
    <w:rsid w:val="00971420"/>
    <w:rsid w:val="00971DDF"/>
    <w:rsid w:val="00973286"/>
    <w:rsid w:val="0098078F"/>
    <w:rsid w:val="00982037"/>
    <w:rsid w:val="00982682"/>
    <w:rsid w:val="009852C1"/>
    <w:rsid w:val="0098628F"/>
    <w:rsid w:val="00986577"/>
    <w:rsid w:val="00994F2B"/>
    <w:rsid w:val="00996894"/>
    <w:rsid w:val="009A1D83"/>
    <w:rsid w:val="009A558B"/>
    <w:rsid w:val="009A6246"/>
    <w:rsid w:val="009A687B"/>
    <w:rsid w:val="009B440D"/>
    <w:rsid w:val="009B4993"/>
    <w:rsid w:val="009B6A38"/>
    <w:rsid w:val="009B7F00"/>
    <w:rsid w:val="009C069C"/>
    <w:rsid w:val="009C1EB3"/>
    <w:rsid w:val="009C3D58"/>
    <w:rsid w:val="009D45AC"/>
    <w:rsid w:val="009E1E6A"/>
    <w:rsid w:val="009F2544"/>
    <w:rsid w:val="009F5DAB"/>
    <w:rsid w:val="00A00A13"/>
    <w:rsid w:val="00A020A2"/>
    <w:rsid w:val="00A1385A"/>
    <w:rsid w:val="00A1455F"/>
    <w:rsid w:val="00A22B73"/>
    <w:rsid w:val="00A249C3"/>
    <w:rsid w:val="00A30850"/>
    <w:rsid w:val="00A35A65"/>
    <w:rsid w:val="00A42ACE"/>
    <w:rsid w:val="00A465AD"/>
    <w:rsid w:val="00A50A0F"/>
    <w:rsid w:val="00A56922"/>
    <w:rsid w:val="00A56FFD"/>
    <w:rsid w:val="00A5797C"/>
    <w:rsid w:val="00A60BB7"/>
    <w:rsid w:val="00A64F11"/>
    <w:rsid w:val="00A72549"/>
    <w:rsid w:val="00A725F4"/>
    <w:rsid w:val="00A75550"/>
    <w:rsid w:val="00A76456"/>
    <w:rsid w:val="00A76F7E"/>
    <w:rsid w:val="00A77157"/>
    <w:rsid w:val="00A804C3"/>
    <w:rsid w:val="00A80B4B"/>
    <w:rsid w:val="00A821F1"/>
    <w:rsid w:val="00A83449"/>
    <w:rsid w:val="00A93EF1"/>
    <w:rsid w:val="00A95604"/>
    <w:rsid w:val="00A97291"/>
    <w:rsid w:val="00AA48A7"/>
    <w:rsid w:val="00AB2B3C"/>
    <w:rsid w:val="00AB4D8F"/>
    <w:rsid w:val="00AC1CAF"/>
    <w:rsid w:val="00AC20CB"/>
    <w:rsid w:val="00AC709D"/>
    <w:rsid w:val="00AC7204"/>
    <w:rsid w:val="00AD4C98"/>
    <w:rsid w:val="00AD5FC9"/>
    <w:rsid w:val="00AE0B6F"/>
    <w:rsid w:val="00AE18C5"/>
    <w:rsid w:val="00AE3CC4"/>
    <w:rsid w:val="00AE4D8B"/>
    <w:rsid w:val="00AF5C97"/>
    <w:rsid w:val="00B0093D"/>
    <w:rsid w:val="00B0265B"/>
    <w:rsid w:val="00B03E7C"/>
    <w:rsid w:val="00B0616B"/>
    <w:rsid w:val="00B07B7D"/>
    <w:rsid w:val="00B15BCA"/>
    <w:rsid w:val="00B20AC7"/>
    <w:rsid w:val="00B23177"/>
    <w:rsid w:val="00B3250A"/>
    <w:rsid w:val="00B36349"/>
    <w:rsid w:val="00B41769"/>
    <w:rsid w:val="00B429D9"/>
    <w:rsid w:val="00B44CBE"/>
    <w:rsid w:val="00B52393"/>
    <w:rsid w:val="00B52F4E"/>
    <w:rsid w:val="00B53092"/>
    <w:rsid w:val="00B54A08"/>
    <w:rsid w:val="00B55E9F"/>
    <w:rsid w:val="00B75D64"/>
    <w:rsid w:val="00B840FF"/>
    <w:rsid w:val="00B90491"/>
    <w:rsid w:val="00B92C27"/>
    <w:rsid w:val="00B933B0"/>
    <w:rsid w:val="00B97983"/>
    <w:rsid w:val="00BA0718"/>
    <w:rsid w:val="00BA23FD"/>
    <w:rsid w:val="00BA4BBF"/>
    <w:rsid w:val="00BA632F"/>
    <w:rsid w:val="00BB78FB"/>
    <w:rsid w:val="00BC4C90"/>
    <w:rsid w:val="00BC538A"/>
    <w:rsid w:val="00BC7363"/>
    <w:rsid w:val="00BD128F"/>
    <w:rsid w:val="00BD3982"/>
    <w:rsid w:val="00BD5F62"/>
    <w:rsid w:val="00BD7755"/>
    <w:rsid w:val="00BE0234"/>
    <w:rsid w:val="00BE2997"/>
    <w:rsid w:val="00BE519E"/>
    <w:rsid w:val="00BF271A"/>
    <w:rsid w:val="00BF5B12"/>
    <w:rsid w:val="00C01250"/>
    <w:rsid w:val="00C04454"/>
    <w:rsid w:val="00C05500"/>
    <w:rsid w:val="00C05810"/>
    <w:rsid w:val="00C07477"/>
    <w:rsid w:val="00C120A9"/>
    <w:rsid w:val="00C16C0D"/>
    <w:rsid w:val="00C16D8D"/>
    <w:rsid w:val="00C20377"/>
    <w:rsid w:val="00C274E7"/>
    <w:rsid w:val="00C27743"/>
    <w:rsid w:val="00C32627"/>
    <w:rsid w:val="00C33684"/>
    <w:rsid w:val="00C34E8D"/>
    <w:rsid w:val="00C35C3A"/>
    <w:rsid w:val="00C36EA1"/>
    <w:rsid w:val="00C45651"/>
    <w:rsid w:val="00C50BFF"/>
    <w:rsid w:val="00C51C21"/>
    <w:rsid w:val="00C62649"/>
    <w:rsid w:val="00C62D17"/>
    <w:rsid w:val="00C72FC3"/>
    <w:rsid w:val="00C75133"/>
    <w:rsid w:val="00C779A1"/>
    <w:rsid w:val="00C808F4"/>
    <w:rsid w:val="00C84E56"/>
    <w:rsid w:val="00C85EB8"/>
    <w:rsid w:val="00C91267"/>
    <w:rsid w:val="00CA15B1"/>
    <w:rsid w:val="00CA1803"/>
    <w:rsid w:val="00CA1DC1"/>
    <w:rsid w:val="00CA7692"/>
    <w:rsid w:val="00CB01F8"/>
    <w:rsid w:val="00CB0978"/>
    <w:rsid w:val="00CB26C6"/>
    <w:rsid w:val="00CB3592"/>
    <w:rsid w:val="00CC24D5"/>
    <w:rsid w:val="00CC2835"/>
    <w:rsid w:val="00CC42E3"/>
    <w:rsid w:val="00CD49A8"/>
    <w:rsid w:val="00CE2031"/>
    <w:rsid w:val="00CE2263"/>
    <w:rsid w:val="00CE5E1C"/>
    <w:rsid w:val="00D01DB6"/>
    <w:rsid w:val="00D02180"/>
    <w:rsid w:val="00D05929"/>
    <w:rsid w:val="00D05BE2"/>
    <w:rsid w:val="00D10E65"/>
    <w:rsid w:val="00D21AA6"/>
    <w:rsid w:val="00D26D24"/>
    <w:rsid w:val="00D358AE"/>
    <w:rsid w:val="00D462F7"/>
    <w:rsid w:val="00D470ED"/>
    <w:rsid w:val="00D5143B"/>
    <w:rsid w:val="00D570CD"/>
    <w:rsid w:val="00D645D3"/>
    <w:rsid w:val="00D64748"/>
    <w:rsid w:val="00D66AFD"/>
    <w:rsid w:val="00D70FE8"/>
    <w:rsid w:val="00D734A2"/>
    <w:rsid w:val="00D81F3E"/>
    <w:rsid w:val="00D835AD"/>
    <w:rsid w:val="00D86159"/>
    <w:rsid w:val="00D877B6"/>
    <w:rsid w:val="00DA2B37"/>
    <w:rsid w:val="00DA6E88"/>
    <w:rsid w:val="00DB0BF8"/>
    <w:rsid w:val="00DB1D19"/>
    <w:rsid w:val="00DB4518"/>
    <w:rsid w:val="00DB5DA6"/>
    <w:rsid w:val="00DC0ADA"/>
    <w:rsid w:val="00DC3EBA"/>
    <w:rsid w:val="00DC6D07"/>
    <w:rsid w:val="00DD2451"/>
    <w:rsid w:val="00DD67AF"/>
    <w:rsid w:val="00DE3C06"/>
    <w:rsid w:val="00DE5CBB"/>
    <w:rsid w:val="00DF2398"/>
    <w:rsid w:val="00E00687"/>
    <w:rsid w:val="00E017A6"/>
    <w:rsid w:val="00E02E24"/>
    <w:rsid w:val="00E030D4"/>
    <w:rsid w:val="00E03A22"/>
    <w:rsid w:val="00E07A69"/>
    <w:rsid w:val="00E122ED"/>
    <w:rsid w:val="00E15E04"/>
    <w:rsid w:val="00E25AB6"/>
    <w:rsid w:val="00E261CA"/>
    <w:rsid w:val="00E311ED"/>
    <w:rsid w:val="00E40BDF"/>
    <w:rsid w:val="00E4501D"/>
    <w:rsid w:val="00E462A5"/>
    <w:rsid w:val="00E51B3F"/>
    <w:rsid w:val="00E51FD5"/>
    <w:rsid w:val="00E5409A"/>
    <w:rsid w:val="00E6339C"/>
    <w:rsid w:val="00E65D41"/>
    <w:rsid w:val="00E67BAE"/>
    <w:rsid w:val="00E67BDE"/>
    <w:rsid w:val="00E7145A"/>
    <w:rsid w:val="00E74A28"/>
    <w:rsid w:val="00E80C21"/>
    <w:rsid w:val="00E821D4"/>
    <w:rsid w:val="00E91B03"/>
    <w:rsid w:val="00E93091"/>
    <w:rsid w:val="00E95FFB"/>
    <w:rsid w:val="00EA2A24"/>
    <w:rsid w:val="00EA2F12"/>
    <w:rsid w:val="00EA5E22"/>
    <w:rsid w:val="00EA6C04"/>
    <w:rsid w:val="00EA7005"/>
    <w:rsid w:val="00EA76F4"/>
    <w:rsid w:val="00EB388A"/>
    <w:rsid w:val="00EC0993"/>
    <w:rsid w:val="00EC2525"/>
    <w:rsid w:val="00EC5683"/>
    <w:rsid w:val="00ED2F0C"/>
    <w:rsid w:val="00ED6AD5"/>
    <w:rsid w:val="00ED750A"/>
    <w:rsid w:val="00EE57F4"/>
    <w:rsid w:val="00EE76A1"/>
    <w:rsid w:val="00EF58F4"/>
    <w:rsid w:val="00EF7FA2"/>
    <w:rsid w:val="00F06A2A"/>
    <w:rsid w:val="00F0714E"/>
    <w:rsid w:val="00F14F65"/>
    <w:rsid w:val="00F17902"/>
    <w:rsid w:val="00F25499"/>
    <w:rsid w:val="00F26548"/>
    <w:rsid w:val="00F26AE5"/>
    <w:rsid w:val="00F279B9"/>
    <w:rsid w:val="00F27B8D"/>
    <w:rsid w:val="00F33C6E"/>
    <w:rsid w:val="00F33DC7"/>
    <w:rsid w:val="00F42A40"/>
    <w:rsid w:val="00F43C94"/>
    <w:rsid w:val="00F4727B"/>
    <w:rsid w:val="00F52B20"/>
    <w:rsid w:val="00F552C4"/>
    <w:rsid w:val="00F55C8F"/>
    <w:rsid w:val="00F57B1D"/>
    <w:rsid w:val="00F638CD"/>
    <w:rsid w:val="00F67278"/>
    <w:rsid w:val="00F83727"/>
    <w:rsid w:val="00F83A86"/>
    <w:rsid w:val="00F8652D"/>
    <w:rsid w:val="00F86C35"/>
    <w:rsid w:val="00F9204F"/>
    <w:rsid w:val="00F97482"/>
    <w:rsid w:val="00F9750A"/>
    <w:rsid w:val="00FA29F4"/>
    <w:rsid w:val="00FA57E1"/>
    <w:rsid w:val="00FA766E"/>
    <w:rsid w:val="00FB2C8B"/>
    <w:rsid w:val="00FB569C"/>
    <w:rsid w:val="00FD176C"/>
    <w:rsid w:val="00FD366E"/>
    <w:rsid w:val="00FD3D8A"/>
    <w:rsid w:val="00FD4DEE"/>
    <w:rsid w:val="00FE42C4"/>
    <w:rsid w:val="00FE7B98"/>
    <w:rsid w:val="00FF0261"/>
    <w:rsid w:val="00FF11EA"/>
    <w:rsid w:val="00FF6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E86BD"/>
  <w15:docId w15:val="{D26FE2C9-B336-439E-B13B-CECDE0D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F1790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1173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117325"/>
    <w:rPr>
      <w:rFonts w:asciiTheme="majorHAnsi" w:eastAsiaTheme="majorEastAsia" w:hAnsiTheme="majorHAnsi" w:cstheme="majorBidi"/>
      <w:i/>
      <w:iCs/>
      <w:color w:val="272727" w:themeColor="text1" w:themeTint="D8"/>
      <w:sz w:val="21"/>
      <w:szCs w:val="21"/>
    </w:rPr>
  </w:style>
  <w:style w:type="paragraph" w:customStyle="1" w:styleId="TableBody">
    <w:name w:val="Table Body"/>
    <w:basedOn w:val="Normal"/>
    <w:uiPriority w:val="4"/>
    <w:qFormat/>
    <w:rsid w:val="00117325"/>
    <w:pPr>
      <w:spacing w:after="0" w:line="240" w:lineRule="auto"/>
    </w:pPr>
    <w:rPr>
      <w:rFonts w:ascii="Arial" w:eastAsia="Times New Roman" w:hAnsi="Arial" w:cs="Times New Roman"/>
      <w:sz w:val="18"/>
      <w:szCs w:val="20"/>
    </w:rPr>
  </w:style>
  <w:style w:type="paragraph" w:customStyle="1" w:styleId="TableColHeading">
    <w:name w:val="Table Col Heading"/>
    <w:basedOn w:val="TableBody"/>
    <w:uiPriority w:val="4"/>
    <w:qFormat/>
    <w:rsid w:val="00117325"/>
    <w:pPr>
      <w:jc w:val="center"/>
    </w:pPr>
    <w:rPr>
      <w:b/>
    </w:rPr>
  </w:style>
  <w:style w:type="character" w:styleId="CommentReference">
    <w:name w:val="annotation reference"/>
    <w:basedOn w:val="DefaultParagraphFont"/>
    <w:uiPriority w:val="99"/>
    <w:semiHidden/>
    <w:unhideWhenUsed/>
    <w:rsid w:val="00B97983"/>
    <w:rPr>
      <w:sz w:val="16"/>
      <w:szCs w:val="16"/>
    </w:rPr>
  </w:style>
  <w:style w:type="paragraph" w:styleId="CommentText">
    <w:name w:val="annotation text"/>
    <w:basedOn w:val="Normal"/>
    <w:link w:val="CommentTextChar"/>
    <w:uiPriority w:val="99"/>
    <w:unhideWhenUsed/>
    <w:rsid w:val="00B97983"/>
    <w:pPr>
      <w:spacing w:line="240" w:lineRule="auto"/>
    </w:pPr>
    <w:rPr>
      <w:sz w:val="20"/>
      <w:szCs w:val="20"/>
    </w:rPr>
  </w:style>
  <w:style w:type="character" w:customStyle="1" w:styleId="CommentTextChar">
    <w:name w:val="Comment Text Char"/>
    <w:basedOn w:val="DefaultParagraphFont"/>
    <w:link w:val="CommentText"/>
    <w:uiPriority w:val="99"/>
    <w:rsid w:val="00B97983"/>
    <w:rPr>
      <w:sz w:val="20"/>
      <w:szCs w:val="20"/>
    </w:rPr>
  </w:style>
  <w:style w:type="paragraph" w:styleId="CommentSubject">
    <w:name w:val="annotation subject"/>
    <w:basedOn w:val="CommentText"/>
    <w:next w:val="CommentText"/>
    <w:link w:val="CommentSubjectChar"/>
    <w:uiPriority w:val="99"/>
    <w:semiHidden/>
    <w:unhideWhenUsed/>
    <w:rsid w:val="00B97983"/>
    <w:rPr>
      <w:b/>
      <w:bCs/>
    </w:rPr>
  </w:style>
  <w:style w:type="character" w:customStyle="1" w:styleId="CommentSubjectChar">
    <w:name w:val="Comment Subject Char"/>
    <w:basedOn w:val="CommentTextChar"/>
    <w:link w:val="CommentSubject"/>
    <w:uiPriority w:val="99"/>
    <w:semiHidden/>
    <w:rsid w:val="00B97983"/>
    <w:rPr>
      <w:b/>
      <w:bCs/>
      <w:sz w:val="20"/>
      <w:szCs w:val="20"/>
    </w:rPr>
  </w:style>
  <w:style w:type="paragraph" w:customStyle="1" w:styleId="TableNote">
    <w:name w:val="Table Note"/>
    <w:basedOn w:val="TableBody"/>
    <w:uiPriority w:val="4"/>
    <w:qFormat/>
    <w:rsid w:val="00BF271A"/>
    <w:pPr>
      <w:contextualSpacing/>
    </w:pPr>
  </w:style>
  <w:style w:type="character" w:customStyle="1" w:styleId="Heading7Char">
    <w:name w:val="Heading 7 Char"/>
    <w:basedOn w:val="DefaultParagraphFont"/>
    <w:link w:val="Heading7"/>
    <w:uiPriority w:val="9"/>
    <w:semiHidden/>
    <w:rsid w:val="00F1790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4E700C"/>
    <w:rPr>
      <w:color w:val="605E5C"/>
      <w:shd w:val="clear" w:color="auto" w:fill="E1DFDD"/>
    </w:rPr>
  </w:style>
  <w:style w:type="paragraph" w:styleId="Revision">
    <w:name w:val="Revision"/>
    <w:hidden/>
    <w:uiPriority w:val="99"/>
    <w:semiHidden/>
    <w:rsid w:val="00251DE3"/>
    <w:pPr>
      <w:spacing w:after="0" w:line="240" w:lineRule="auto"/>
    </w:pPr>
  </w:style>
  <w:style w:type="character" w:styleId="UnresolvedMention">
    <w:name w:val="Unresolved Mention"/>
    <w:basedOn w:val="DefaultParagraphFont"/>
    <w:uiPriority w:val="99"/>
    <w:semiHidden/>
    <w:unhideWhenUsed/>
    <w:rsid w:val="00C8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1A639-8B5B-4CFC-A585-7FE012FE0557}">
  <ds:schemaRefs>
    <ds:schemaRef ds:uri="http://schemas.microsoft.com/sharepoint/v3/contenttype/forms"/>
  </ds:schemaRefs>
</ds:datastoreItem>
</file>

<file path=customXml/itemProps2.xml><?xml version="1.0" encoding="utf-8"?>
<ds:datastoreItem xmlns:ds="http://schemas.openxmlformats.org/officeDocument/2006/customXml" ds:itemID="{4168859D-32E2-4104-851C-127349FE9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312586-D917-4EA5-B43F-9E46386622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2016-09-20T22:55:00Z</cp:lastPrinted>
  <dcterms:created xsi:type="dcterms:W3CDTF">2023-06-22T11:05:00Z</dcterms:created>
  <dcterms:modified xsi:type="dcterms:W3CDTF">2023-06-22T11:05:00Z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