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RPr="00AD2809" w:rsidP="00EE2985" w14:paraId="7F6EC0DF" w14:textId="77777777">
      <w:pPr>
        <w:pStyle w:val="NormalWeb"/>
        <w:spacing w:line="288" w:lineRule="atLeast"/>
        <w:ind w:firstLine="480"/>
        <w:jc w:val="center"/>
        <w:rPr>
          <w:rFonts w:ascii="Cambria" w:hAnsi="Cambria" w:cs="Calibri Light"/>
          <w:sz w:val="28"/>
          <w:szCs w:val="28"/>
          <w:u w:val="single"/>
        </w:rPr>
      </w:pPr>
      <w:bookmarkStart w:id="0" w:name="cs31d"/>
      <w:r w:rsidRPr="00AD2809">
        <w:rPr>
          <w:rFonts w:ascii="Cambria" w:hAnsi="Cambria" w:cs="Calibri Light"/>
          <w:sz w:val="28"/>
          <w:szCs w:val="28"/>
          <w:u w:val="single"/>
        </w:rPr>
        <w:t>SUPPORTING STATEMENT</w:t>
      </w:r>
      <w:r w:rsidRPr="00AD2809" w:rsidR="006F3F40">
        <w:rPr>
          <w:rFonts w:ascii="Cambria" w:hAnsi="Cambria" w:cs="Calibri Light"/>
          <w:sz w:val="28"/>
          <w:szCs w:val="28"/>
          <w:u w:val="single"/>
        </w:rPr>
        <w:t xml:space="preserve"> – PART B</w:t>
      </w:r>
    </w:p>
    <w:p w:rsidR="005E0A0F" w:rsidRPr="00AD2809" w:rsidP="00EE2985" w14:paraId="56EA26DE" w14:textId="77777777">
      <w:pPr>
        <w:pStyle w:val="NormalWeb"/>
        <w:spacing w:line="288" w:lineRule="atLeast"/>
        <w:rPr>
          <w:rFonts w:ascii="Cambria" w:hAnsi="Cambria" w:cs="Calibri Light"/>
          <w:u w:val="single"/>
        </w:rPr>
      </w:pPr>
      <w:bookmarkStart w:id="1" w:name="cs32"/>
      <w:bookmarkEnd w:id="0"/>
      <w:r w:rsidRPr="00AD2809">
        <w:rPr>
          <w:rFonts w:ascii="Cambria" w:hAnsi="Cambria" w:cs="Calibri Light"/>
        </w:rPr>
        <w:t xml:space="preserve">B.  </w:t>
      </w:r>
      <w:r w:rsidRPr="00AD2809">
        <w:rPr>
          <w:rFonts w:ascii="Cambria" w:hAnsi="Cambria" w:cs="Calibri Light"/>
          <w:u w:val="single"/>
        </w:rPr>
        <w:t>COLLECTIONS OF INFORMATION EMPLOYING STATISTICAL METHODS</w:t>
      </w:r>
    </w:p>
    <w:bookmarkEnd w:id="1"/>
    <w:p w:rsidR="005E0A0F" w:rsidRPr="00AD2809" w:rsidP="00B91B89" w14:paraId="6FE1F63A" w14:textId="42306A57">
      <w:pPr>
        <w:pStyle w:val="NormalWeb"/>
        <w:spacing w:before="0" w:beforeAutospacing="0" w:after="0" w:afterAutospacing="0" w:line="288" w:lineRule="atLeast"/>
        <w:rPr>
          <w:rFonts w:ascii="Cambria" w:hAnsi="Cambria" w:cs="Calibri Light"/>
        </w:rPr>
      </w:pPr>
      <w:r w:rsidRPr="00AD2809">
        <w:rPr>
          <w:rFonts w:ascii="Cambria" w:hAnsi="Cambria" w:cs="Calibri Light"/>
        </w:rPr>
        <w:t xml:space="preserve">1.  </w:t>
      </w:r>
      <w:r w:rsidRPr="00AD2809">
        <w:rPr>
          <w:rFonts w:ascii="Cambria" w:hAnsi="Cambria" w:cs="Calibri Light"/>
          <w:u w:val="single"/>
        </w:rPr>
        <w:t>Description of the Activity</w:t>
      </w:r>
      <w:r w:rsidRPr="00AD2809" w:rsidR="00076309">
        <w:rPr>
          <w:rFonts w:ascii="Cambria" w:hAnsi="Cambria" w:cs="Calibri Light"/>
        </w:rPr>
        <w:t xml:space="preserve"> </w:t>
      </w:r>
    </w:p>
    <w:p w:rsidR="00375B70" w:rsidRPr="00AD2809" w:rsidP="00B91B89" w14:paraId="38441C77" w14:textId="2804C591">
      <w:pPr>
        <w:pStyle w:val="NormalWeb"/>
        <w:spacing w:before="0" w:beforeAutospacing="0" w:after="0" w:afterAutospacing="0" w:line="288" w:lineRule="atLeast"/>
        <w:rPr>
          <w:rFonts w:ascii="Cambria" w:hAnsi="Cambria" w:cs="Calibri Light"/>
          <w:i/>
        </w:rPr>
      </w:pPr>
    </w:p>
    <w:p w:rsidR="003A4E2C" w:rsidRPr="00AD2809" w:rsidP="003A4E2C" w14:paraId="7A1D50F2" w14:textId="77777777">
      <w:pPr>
        <w:rPr>
          <w:rFonts w:ascii="Cambria" w:hAnsi="Cambria"/>
          <w:b/>
          <w:bCs/>
        </w:rPr>
      </w:pPr>
      <w:r w:rsidRPr="00AD2809">
        <w:rPr>
          <w:rFonts w:ascii="Cambria" w:hAnsi="Cambria"/>
          <w:b/>
          <w:bCs/>
        </w:rPr>
        <w:t>This study’s objectives/research questions directly support Recommendation 2.3 from the Independent Revision Commission on Sexual Assault in the Military (IRC): “Implement community-level prevention strategies unique to Service members’ environments.” This study will be the first empirical research to provide critical findings on prevention gaps and needs at the community level (as well as the installation and unit levels) that are unique to Army Soldiers’ specific environments.</w:t>
      </w:r>
    </w:p>
    <w:p w:rsidR="003A4E2C" w:rsidRPr="00AD2809" w:rsidP="003A4E2C" w14:paraId="51B73E89" w14:textId="77777777">
      <w:pPr>
        <w:rPr>
          <w:rFonts w:ascii="Cambria" w:hAnsi="Cambria"/>
        </w:rPr>
      </w:pPr>
    </w:p>
    <w:p w:rsidR="003A4E2C" w:rsidRPr="00AD2809" w:rsidP="003A4E2C" w14:paraId="7DE6F9E3" w14:textId="77777777">
      <w:pPr>
        <w:rPr>
          <w:rFonts w:ascii="Cambria" w:hAnsi="Cambria"/>
          <w:b/>
          <w:bCs/>
        </w:rPr>
      </w:pPr>
      <w:r w:rsidRPr="00AD2809">
        <w:rPr>
          <w:rFonts w:ascii="Cambria" w:hAnsi="Cambria"/>
          <w:b/>
          <w:bCs/>
        </w:rPr>
        <w:t>Correspondingly, this study will also directly support the related IRC Recommendation 2.3a, “The Services and the National Guard Burau should resource and implement prevention strategies at organizational and community levels,” under POAM milestones 7-15.</w:t>
      </w:r>
    </w:p>
    <w:p w:rsidR="003A4E2C" w:rsidRPr="00AD2809" w:rsidP="003A4E2C" w14:paraId="210D7DCA" w14:textId="77777777">
      <w:pPr>
        <w:rPr>
          <w:rFonts w:ascii="Cambria" w:hAnsi="Cambria"/>
        </w:rPr>
      </w:pPr>
    </w:p>
    <w:p w:rsidR="003A4E2C" w:rsidRPr="00AD2809" w:rsidP="003A4E2C" w14:paraId="1D9F7FD5" w14:textId="77777777">
      <w:pPr>
        <w:rPr>
          <w:rFonts w:ascii="Cambria" w:hAnsi="Cambria"/>
          <w:b/>
          <w:bCs/>
        </w:rPr>
      </w:pPr>
      <w:r w:rsidRPr="00AD2809">
        <w:rPr>
          <w:rFonts w:ascii="Cambria" w:hAnsi="Cambria"/>
          <w:b/>
          <w:bCs/>
        </w:rPr>
        <w:t xml:space="preserve">The study’s objectives/research questions are also likely to </w:t>
      </w:r>
      <w:r w:rsidRPr="00AD2809">
        <w:rPr>
          <w:rFonts w:ascii="Cambria" w:hAnsi="Cambria"/>
          <w:b/>
          <w:bCs/>
        </w:rPr>
        <w:t>also directly influence a number of additional IRC recommendations</w:t>
      </w:r>
      <w:r w:rsidRPr="00AD2809">
        <w:rPr>
          <w:rFonts w:ascii="Cambria" w:hAnsi="Cambria"/>
          <w:b/>
          <w:bCs/>
        </w:rPr>
        <w:t>, including 2.1c / 2.3a / 2.4 / 3.2 / 3.5 / 3.5a / 3.5b / 3.6 / 4.4c / 4.4d.</w:t>
      </w:r>
    </w:p>
    <w:p w:rsidR="003A4E2C" w:rsidRPr="00AD2809" w:rsidP="00B91B89" w14:paraId="14A33AE9" w14:textId="77777777">
      <w:pPr>
        <w:pStyle w:val="NormalWeb"/>
        <w:spacing w:before="0" w:beforeAutospacing="0" w:after="0" w:afterAutospacing="0" w:line="288" w:lineRule="atLeast"/>
        <w:rPr>
          <w:rFonts w:ascii="Cambria" w:hAnsi="Cambria" w:cs="Calibri Light"/>
          <w:iCs/>
        </w:rPr>
      </w:pPr>
    </w:p>
    <w:p w:rsidR="00375B70" w:rsidRPr="00AD2809" w:rsidP="00B91B89" w14:paraId="5A1C1853" w14:textId="731542BE">
      <w:pPr>
        <w:pStyle w:val="NormalWeb"/>
        <w:spacing w:before="0" w:beforeAutospacing="0" w:after="0" w:afterAutospacing="0" w:line="288" w:lineRule="atLeast"/>
        <w:rPr>
          <w:rFonts w:ascii="Cambria" w:hAnsi="Cambria" w:cs="Calibri Light"/>
          <w:iCs/>
        </w:rPr>
      </w:pPr>
      <w:r w:rsidRPr="00AD2809">
        <w:rPr>
          <w:rFonts w:ascii="Cambria" w:hAnsi="Cambria" w:cs="Calibri Light"/>
          <w:iCs/>
        </w:rPr>
        <w:t xml:space="preserve">The purpose of this project is to better understand </w:t>
      </w:r>
      <w:r w:rsidRPr="00AD2809" w:rsidR="003856F2">
        <w:rPr>
          <w:rFonts w:ascii="Cambria" w:hAnsi="Cambria" w:cs="Calibri Light"/>
          <w:iCs/>
        </w:rPr>
        <w:t>S</w:t>
      </w:r>
      <w:r w:rsidRPr="00AD2809">
        <w:rPr>
          <w:rFonts w:ascii="Cambria" w:hAnsi="Cambria" w:cs="Calibri Light"/>
          <w:iCs/>
        </w:rPr>
        <w:t>oldiers</w:t>
      </w:r>
      <w:r w:rsidRPr="00AD2809" w:rsidR="003856F2">
        <w:rPr>
          <w:rFonts w:ascii="Cambria" w:hAnsi="Cambria" w:cs="Calibri Light"/>
          <w:iCs/>
        </w:rPr>
        <w:t>’</w:t>
      </w:r>
      <w:r w:rsidRPr="00AD2809">
        <w:rPr>
          <w:rFonts w:ascii="Cambria" w:hAnsi="Cambria" w:cs="Calibri Light"/>
          <w:iCs/>
        </w:rPr>
        <w:t xml:space="preserve"> experiences with sexual harassment (SH) and gender discrimination (GD) to provide the Army with a more nuanced picture of the environment in which SH and GD events occur than can be identified through survey data. The results will be used to update existing sexual harassment and gender discrimination prevention programming. As such, we will be</w:t>
      </w:r>
      <w:r w:rsidRPr="00AD2809" w:rsidR="003856F2">
        <w:rPr>
          <w:rFonts w:ascii="Cambria" w:hAnsi="Cambria" w:cs="Calibri Light"/>
          <w:iCs/>
        </w:rPr>
        <w:t xml:space="preserve"> systematically</w:t>
      </w:r>
      <w:r w:rsidRPr="00AD2809">
        <w:rPr>
          <w:rFonts w:ascii="Cambria" w:hAnsi="Cambria" w:cs="Calibri Light"/>
          <w:iCs/>
        </w:rPr>
        <w:t xml:space="preserve"> collecting qualitative data via focus group</w:t>
      </w:r>
      <w:r w:rsidRPr="00AD2809" w:rsidR="00697C86">
        <w:rPr>
          <w:rFonts w:ascii="Cambria" w:hAnsi="Cambria" w:cs="Calibri Light"/>
          <w:iCs/>
        </w:rPr>
        <w:t xml:space="preserve"> discussions</w:t>
      </w:r>
      <w:r w:rsidRPr="00AD2809">
        <w:rPr>
          <w:rFonts w:ascii="Cambria" w:hAnsi="Cambria" w:cs="Calibri Light"/>
          <w:iCs/>
        </w:rPr>
        <w:t xml:space="preserve"> from active-duty </w:t>
      </w:r>
      <w:r w:rsidRPr="00AD2809" w:rsidR="00697C86">
        <w:rPr>
          <w:rFonts w:ascii="Cambria" w:hAnsi="Cambria" w:cs="Calibri Light"/>
          <w:iCs/>
        </w:rPr>
        <w:t>S</w:t>
      </w:r>
      <w:r w:rsidRPr="00AD2809">
        <w:rPr>
          <w:rFonts w:ascii="Cambria" w:hAnsi="Cambria" w:cs="Calibri Light"/>
          <w:iCs/>
        </w:rPr>
        <w:t>oldiers (under the rank of flag officer) across six CONUS installations. These focus group</w:t>
      </w:r>
      <w:r w:rsidRPr="00AD2809" w:rsidR="00697C86">
        <w:rPr>
          <w:rFonts w:ascii="Cambria" w:hAnsi="Cambria" w:cs="Calibri Light"/>
          <w:iCs/>
        </w:rPr>
        <w:t xml:space="preserve"> discussions</w:t>
      </w:r>
      <w:r w:rsidRPr="00AD2809">
        <w:rPr>
          <w:rFonts w:ascii="Cambria" w:hAnsi="Cambria" w:cs="Calibri Light"/>
          <w:iCs/>
        </w:rPr>
        <w:t xml:space="preserve"> cover </w:t>
      </w:r>
      <w:r w:rsidRPr="00AD2809">
        <w:rPr>
          <w:rFonts w:ascii="Cambria" w:hAnsi="Cambria" w:cs="Calibri Light"/>
          <w:iCs/>
        </w:rPr>
        <w:t>a number of</w:t>
      </w:r>
      <w:r w:rsidRPr="00AD2809">
        <w:rPr>
          <w:rFonts w:ascii="Cambria" w:hAnsi="Cambria" w:cs="Calibri Light"/>
          <w:iCs/>
        </w:rPr>
        <w:t xml:space="preserve"> topics including unit members’ understanding of what behaviors constitute SH and GD; factors that contribute to the climate for SH and GD (i.e., risk and protective factors); reporting and intervention by unit members and leaders; and recommendations for what information prevention training should include.</w:t>
      </w:r>
    </w:p>
    <w:p w:rsidR="00375B70" w:rsidRPr="00AD2809" w:rsidP="00B91B89" w14:paraId="7CA8344E" w14:textId="5BEB9955">
      <w:pPr>
        <w:pStyle w:val="NormalWeb"/>
        <w:spacing w:before="0" w:beforeAutospacing="0" w:after="0" w:afterAutospacing="0" w:line="288" w:lineRule="atLeast"/>
        <w:rPr>
          <w:rFonts w:ascii="Cambria" w:hAnsi="Cambria" w:cs="Calibri Light"/>
          <w:iCs/>
        </w:rPr>
      </w:pPr>
    </w:p>
    <w:p w:rsidR="00375B70" w:rsidRPr="00AD2809" w:rsidP="00375B70" w14:paraId="09277A3A" w14:textId="4211C64F">
      <w:pPr>
        <w:rPr>
          <w:rFonts w:ascii="Cambria" w:hAnsi="Cambria" w:cs="Arial"/>
        </w:rPr>
      </w:pPr>
      <w:r w:rsidRPr="00AD2809">
        <w:rPr>
          <w:rFonts w:ascii="Cambria" w:hAnsi="Cambria" w:cs="Arial"/>
        </w:rPr>
        <w:t>Below is the proposed sample size by pay grade and gender. We plan to oversample females in each pay grade category. As these are focus groups, response rates do not apply.</w:t>
      </w:r>
    </w:p>
    <w:p w:rsidR="00375B70" w:rsidRPr="00AD2809" w:rsidP="00375B70" w14:paraId="4A88C7EE" w14:textId="77777777">
      <w:pPr>
        <w:ind w:left="2160"/>
        <w:rPr>
          <w:rFonts w:ascii="Cambria" w:hAnsi="Cambria" w:cs="Arial"/>
        </w:rPr>
      </w:pPr>
    </w:p>
    <w:tbl>
      <w:tblPr>
        <w:tblStyle w:val="TableGrid1"/>
        <w:tblW w:w="0" w:type="auto"/>
        <w:jc w:val="center"/>
        <w:tblLook w:val="04A0"/>
      </w:tblPr>
      <w:tblGrid>
        <w:gridCol w:w="1885"/>
        <w:gridCol w:w="1404"/>
        <w:gridCol w:w="1404"/>
      </w:tblGrid>
      <w:tr w14:paraId="34A9B879" w14:textId="77777777" w:rsidTr="00804DC7">
        <w:tblPrEx>
          <w:tblW w:w="0" w:type="auto"/>
          <w:jc w:val="center"/>
          <w:tblLook w:val="04A0"/>
        </w:tblPrEx>
        <w:trPr>
          <w:trHeight w:val="315"/>
          <w:jc w:val="center"/>
        </w:trPr>
        <w:tc>
          <w:tcPr>
            <w:tcW w:w="1885" w:type="dxa"/>
            <w:noWrap/>
          </w:tcPr>
          <w:p w:rsidR="00375B70" w:rsidRPr="00AD2809" w:rsidP="00804DC7" w14:paraId="7C6ACC86" w14:textId="77777777">
            <w:pPr>
              <w:rPr>
                <w:rFonts w:ascii="Cambria" w:hAnsi="Cambria"/>
                <w:b/>
                <w:bCs/>
              </w:rPr>
            </w:pPr>
            <w:r w:rsidRPr="00AD2809">
              <w:rPr>
                <w:rFonts w:ascii="Cambria" w:hAnsi="Cambria"/>
                <w:b/>
                <w:bCs/>
              </w:rPr>
              <w:t>Pay Grade</w:t>
            </w:r>
          </w:p>
        </w:tc>
        <w:tc>
          <w:tcPr>
            <w:tcW w:w="1404" w:type="dxa"/>
          </w:tcPr>
          <w:p w:rsidR="00375B70" w:rsidRPr="00AD2809" w:rsidP="00804DC7" w14:paraId="2835336E" w14:textId="77777777">
            <w:pPr>
              <w:rPr>
                <w:rFonts w:ascii="Cambria" w:hAnsi="Cambria"/>
                <w:b/>
                <w:bCs/>
              </w:rPr>
            </w:pPr>
            <w:r w:rsidRPr="00AD2809">
              <w:rPr>
                <w:rFonts w:ascii="Cambria" w:hAnsi="Cambria"/>
                <w:b/>
                <w:bCs/>
              </w:rPr>
              <w:t>Gender</w:t>
            </w:r>
          </w:p>
        </w:tc>
        <w:tc>
          <w:tcPr>
            <w:tcW w:w="1404" w:type="dxa"/>
          </w:tcPr>
          <w:p w:rsidR="00375B70" w:rsidRPr="00AD2809" w:rsidP="00375B70" w14:paraId="1C02DB74" w14:textId="77777777">
            <w:pPr>
              <w:jc w:val="center"/>
              <w:rPr>
                <w:rFonts w:ascii="Cambria" w:hAnsi="Cambria"/>
                <w:b/>
                <w:bCs/>
              </w:rPr>
            </w:pPr>
            <w:r w:rsidRPr="00AD2809">
              <w:rPr>
                <w:rFonts w:ascii="Cambria" w:hAnsi="Cambria"/>
                <w:b/>
                <w:bCs/>
              </w:rPr>
              <w:t>Number</w:t>
            </w:r>
          </w:p>
        </w:tc>
      </w:tr>
      <w:tr w14:paraId="6F53F64A" w14:textId="77777777" w:rsidTr="00804DC7">
        <w:tblPrEx>
          <w:tblW w:w="0" w:type="auto"/>
          <w:jc w:val="center"/>
          <w:tblLook w:val="04A0"/>
        </w:tblPrEx>
        <w:trPr>
          <w:trHeight w:val="315"/>
          <w:jc w:val="center"/>
        </w:trPr>
        <w:tc>
          <w:tcPr>
            <w:tcW w:w="1885" w:type="dxa"/>
            <w:noWrap/>
            <w:hideMark/>
          </w:tcPr>
          <w:p w:rsidR="00375B70" w:rsidRPr="00AD2809" w:rsidP="00804DC7" w14:paraId="6E16D0CC" w14:textId="77777777">
            <w:pPr>
              <w:rPr>
                <w:rFonts w:ascii="Cambria" w:hAnsi="Cambria"/>
              </w:rPr>
            </w:pPr>
            <w:r w:rsidRPr="00AD2809">
              <w:rPr>
                <w:rFonts w:ascii="Cambria" w:hAnsi="Cambria"/>
              </w:rPr>
              <w:t>E1-E4</w:t>
            </w:r>
          </w:p>
        </w:tc>
        <w:tc>
          <w:tcPr>
            <w:tcW w:w="1404" w:type="dxa"/>
          </w:tcPr>
          <w:p w:rsidR="00375B70" w:rsidRPr="00AD2809" w:rsidP="00804DC7" w14:paraId="7C550FF3" w14:textId="77777777">
            <w:pPr>
              <w:rPr>
                <w:rFonts w:ascii="Cambria" w:hAnsi="Cambria"/>
              </w:rPr>
            </w:pPr>
            <w:r w:rsidRPr="00AD2809">
              <w:rPr>
                <w:rFonts w:ascii="Cambria" w:hAnsi="Cambria"/>
              </w:rPr>
              <w:t>Male</w:t>
            </w:r>
          </w:p>
        </w:tc>
        <w:tc>
          <w:tcPr>
            <w:tcW w:w="1404" w:type="dxa"/>
          </w:tcPr>
          <w:p w:rsidR="00375B70" w:rsidRPr="00AD2809" w:rsidP="00375B70" w14:paraId="6651E891" w14:textId="77777777">
            <w:pPr>
              <w:jc w:val="center"/>
              <w:rPr>
                <w:rFonts w:ascii="Cambria" w:hAnsi="Cambria"/>
              </w:rPr>
            </w:pPr>
            <w:r w:rsidRPr="00AD2809">
              <w:rPr>
                <w:rFonts w:ascii="Cambria" w:hAnsi="Cambria"/>
              </w:rPr>
              <w:t>85</w:t>
            </w:r>
          </w:p>
        </w:tc>
      </w:tr>
      <w:tr w14:paraId="38B2C442" w14:textId="77777777" w:rsidTr="00804DC7">
        <w:tblPrEx>
          <w:tblW w:w="0" w:type="auto"/>
          <w:jc w:val="center"/>
          <w:tblLook w:val="04A0"/>
        </w:tblPrEx>
        <w:trPr>
          <w:trHeight w:val="315"/>
          <w:jc w:val="center"/>
        </w:trPr>
        <w:tc>
          <w:tcPr>
            <w:tcW w:w="1885" w:type="dxa"/>
            <w:noWrap/>
          </w:tcPr>
          <w:p w:rsidR="00375B70" w:rsidRPr="00AD2809" w:rsidP="00804DC7" w14:paraId="031C5924" w14:textId="77777777">
            <w:pPr>
              <w:rPr>
                <w:rFonts w:ascii="Cambria" w:hAnsi="Cambria"/>
              </w:rPr>
            </w:pPr>
            <w:r w:rsidRPr="00AD2809">
              <w:rPr>
                <w:rFonts w:ascii="Cambria" w:hAnsi="Cambria"/>
              </w:rPr>
              <w:t>E1-E4</w:t>
            </w:r>
          </w:p>
        </w:tc>
        <w:tc>
          <w:tcPr>
            <w:tcW w:w="1404" w:type="dxa"/>
          </w:tcPr>
          <w:p w:rsidR="00375B70" w:rsidRPr="00AD2809" w:rsidP="00804DC7" w14:paraId="71946F0D" w14:textId="77777777">
            <w:pPr>
              <w:rPr>
                <w:rFonts w:ascii="Cambria" w:hAnsi="Cambria"/>
              </w:rPr>
            </w:pPr>
            <w:r w:rsidRPr="00AD2809">
              <w:rPr>
                <w:rFonts w:ascii="Cambria" w:hAnsi="Cambria"/>
              </w:rPr>
              <w:t>Female</w:t>
            </w:r>
          </w:p>
        </w:tc>
        <w:tc>
          <w:tcPr>
            <w:tcW w:w="1404" w:type="dxa"/>
          </w:tcPr>
          <w:p w:rsidR="00375B70" w:rsidRPr="00AD2809" w:rsidP="00375B70" w14:paraId="66752FAC" w14:textId="77777777">
            <w:pPr>
              <w:jc w:val="center"/>
              <w:rPr>
                <w:rFonts w:ascii="Cambria" w:hAnsi="Cambria"/>
              </w:rPr>
            </w:pPr>
            <w:r w:rsidRPr="00AD2809">
              <w:rPr>
                <w:rFonts w:ascii="Cambria" w:hAnsi="Cambria"/>
              </w:rPr>
              <w:t>165</w:t>
            </w:r>
          </w:p>
        </w:tc>
      </w:tr>
      <w:tr w14:paraId="063D3BDB" w14:textId="77777777" w:rsidTr="00804DC7">
        <w:tblPrEx>
          <w:tblW w:w="0" w:type="auto"/>
          <w:jc w:val="center"/>
          <w:tblLook w:val="04A0"/>
        </w:tblPrEx>
        <w:trPr>
          <w:trHeight w:val="315"/>
          <w:jc w:val="center"/>
        </w:trPr>
        <w:tc>
          <w:tcPr>
            <w:tcW w:w="1885" w:type="dxa"/>
            <w:noWrap/>
          </w:tcPr>
          <w:p w:rsidR="00375B70" w:rsidRPr="00AD2809" w:rsidP="00804DC7" w14:paraId="3D1FEB99" w14:textId="77777777">
            <w:pPr>
              <w:rPr>
                <w:rFonts w:ascii="Cambria" w:hAnsi="Cambria"/>
              </w:rPr>
            </w:pPr>
            <w:r w:rsidRPr="00AD2809">
              <w:rPr>
                <w:rFonts w:ascii="Cambria" w:hAnsi="Cambria"/>
              </w:rPr>
              <w:t>O1-O2</w:t>
            </w:r>
          </w:p>
        </w:tc>
        <w:tc>
          <w:tcPr>
            <w:tcW w:w="1404" w:type="dxa"/>
          </w:tcPr>
          <w:p w:rsidR="00375B70" w:rsidRPr="00AD2809" w:rsidP="00804DC7" w14:paraId="0C9E1B56" w14:textId="77777777">
            <w:pPr>
              <w:rPr>
                <w:rFonts w:ascii="Cambria" w:hAnsi="Cambria"/>
              </w:rPr>
            </w:pPr>
            <w:r w:rsidRPr="00AD2809">
              <w:rPr>
                <w:rFonts w:ascii="Cambria" w:hAnsi="Cambria"/>
              </w:rPr>
              <w:t>Male</w:t>
            </w:r>
          </w:p>
        </w:tc>
        <w:tc>
          <w:tcPr>
            <w:tcW w:w="1404" w:type="dxa"/>
          </w:tcPr>
          <w:p w:rsidR="00375B70" w:rsidRPr="00AD2809" w:rsidP="00375B70" w14:paraId="288B620C" w14:textId="77777777">
            <w:pPr>
              <w:jc w:val="center"/>
              <w:rPr>
                <w:rFonts w:ascii="Cambria" w:hAnsi="Cambria"/>
              </w:rPr>
            </w:pPr>
            <w:r w:rsidRPr="00AD2809">
              <w:rPr>
                <w:rFonts w:ascii="Cambria" w:hAnsi="Cambria"/>
              </w:rPr>
              <w:t>85</w:t>
            </w:r>
          </w:p>
        </w:tc>
      </w:tr>
      <w:tr w14:paraId="449C51CE" w14:textId="77777777" w:rsidTr="00804DC7">
        <w:tblPrEx>
          <w:tblW w:w="0" w:type="auto"/>
          <w:jc w:val="center"/>
          <w:tblLook w:val="04A0"/>
        </w:tblPrEx>
        <w:trPr>
          <w:trHeight w:val="315"/>
          <w:jc w:val="center"/>
        </w:trPr>
        <w:tc>
          <w:tcPr>
            <w:tcW w:w="1885" w:type="dxa"/>
            <w:noWrap/>
          </w:tcPr>
          <w:p w:rsidR="00375B70" w:rsidRPr="00AD2809" w:rsidP="00804DC7" w14:paraId="762DFDB2" w14:textId="77777777">
            <w:pPr>
              <w:rPr>
                <w:rFonts w:ascii="Cambria" w:hAnsi="Cambria"/>
              </w:rPr>
            </w:pPr>
            <w:r w:rsidRPr="00AD2809">
              <w:rPr>
                <w:rFonts w:ascii="Cambria" w:hAnsi="Cambria"/>
              </w:rPr>
              <w:t>O1-O2</w:t>
            </w:r>
          </w:p>
        </w:tc>
        <w:tc>
          <w:tcPr>
            <w:tcW w:w="1404" w:type="dxa"/>
          </w:tcPr>
          <w:p w:rsidR="00375B70" w:rsidRPr="00AD2809" w:rsidP="00804DC7" w14:paraId="5D6A9E42" w14:textId="77777777">
            <w:pPr>
              <w:rPr>
                <w:rFonts w:ascii="Cambria" w:hAnsi="Cambria"/>
              </w:rPr>
            </w:pPr>
            <w:r w:rsidRPr="00AD2809">
              <w:rPr>
                <w:rFonts w:ascii="Cambria" w:hAnsi="Cambria"/>
              </w:rPr>
              <w:t>Female</w:t>
            </w:r>
          </w:p>
        </w:tc>
        <w:tc>
          <w:tcPr>
            <w:tcW w:w="1404" w:type="dxa"/>
          </w:tcPr>
          <w:p w:rsidR="00375B70" w:rsidRPr="00AD2809" w:rsidP="00375B70" w14:paraId="5E4628E9" w14:textId="77777777">
            <w:pPr>
              <w:jc w:val="center"/>
              <w:rPr>
                <w:rFonts w:ascii="Cambria" w:hAnsi="Cambria"/>
              </w:rPr>
            </w:pPr>
            <w:r w:rsidRPr="00AD2809">
              <w:rPr>
                <w:rFonts w:ascii="Cambria" w:hAnsi="Cambria"/>
              </w:rPr>
              <w:t>165</w:t>
            </w:r>
          </w:p>
        </w:tc>
      </w:tr>
      <w:tr w14:paraId="4AD05F21" w14:textId="77777777" w:rsidTr="00804DC7">
        <w:tblPrEx>
          <w:tblW w:w="0" w:type="auto"/>
          <w:jc w:val="center"/>
          <w:tblLook w:val="04A0"/>
        </w:tblPrEx>
        <w:trPr>
          <w:trHeight w:val="315"/>
          <w:jc w:val="center"/>
        </w:trPr>
        <w:tc>
          <w:tcPr>
            <w:tcW w:w="1885" w:type="dxa"/>
            <w:noWrap/>
            <w:hideMark/>
          </w:tcPr>
          <w:p w:rsidR="00375B70" w:rsidRPr="00AD2809" w:rsidP="00804DC7" w14:paraId="3BFB198A" w14:textId="77777777">
            <w:pPr>
              <w:rPr>
                <w:rFonts w:ascii="Cambria" w:hAnsi="Cambria"/>
              </w:rPr>
            </w:pPr>
            <w:r w:rsidRPr="00AD2809">
              <w:rPr>
                <w:rFonts w:ascii="Cambria" w:hAnsi="Cambria"/>
              </w:rPr>
              <w:t>E5-E6</w:t>
            </w:r>
          </w:p>
        </w:tc>
        <w:tc>
          <w:tcPr>
            <w:tcW w:w="1404" w:type="dxa"/>
          </w:tcPr>
          <w:p w:rsidR="00375B70" w:rsidRPr="00AD2809" w:rsidP="00804DC7" w14:paraId="2B0F8479" w14:textId="77777777">
            <w:pPr>
              <w:rPr>
                <w:rFonts w:ascii="Cambria" w:hAnsi="Cambria"/>
              </w:rPr>
            </w:pPr>
            <w:r w:rsidRPr="00AD2809">
              <w:rPr>
                <w:rFonts w:ascii="Cambria" w:hAnsi="Cambria"/>
              </w:rPr>
              <w:t>Male</w:t>
            </w:r>
          </w:p>
        </w:tc>
        <w:tc>
          <w:tcPr>
            <w:tcW w:w="1404" w:type="dxa"/>
          </w:tcPr>
          <w:p w:rsidR="00375B70" w:rsidRPr="00AD2809" w:rsidP="00375B70" w14:paraId="0D59D86C" w14:textId="77777777">
            <w:pPr>
              <w:jc w:val="center"/>
              <w:rPr>
                <w:rFonts w:ascii="Cambria" w:hAnsi="Cambria"/>
              </w:rPr>
            </w:pPr>
            <w:r w:rsidRPr="00AD2809">
              <w:rPr>
                <w:rFonts w:ascii="Cambria" w:hAnsi="Cambria"/>
              </w:rPr>
              <w:t>85</w:t>
            </w:r>
          </w:p>
        </w:tc>
      </w:tr>
      <w:tr w14:paraId="51BF3A0E" w14:textId="77777777" w:rsidTr="00804DC7">
        <w:tblPrEx>
          <w:tblW w:w="0" w:type="auto"/>
          <w:jc w:val="center"/>
          <w:tblLook w:val="04A0"/>
        </w:tblPrEx>
        <w:trPr>
          <w:trHeight w:val="315"/>
          <w:jc w:val="center"/>
        </w:trPr>
        <w:tc>
          <w:tcPr>
            <w:tcW w:w="1885" w:type="dxa"/>
            <w:noWrap/>
          </w:tcPr>
          <w:p w:rsidR="00375B70" w:rsidRPr="00AD2809" w:rsidP="00804DC7" w14:paraId="36DE6229" w14:textId="77777777">
            <w:pPr>
              <w:rPr>
                <w:rFonts w:ascii="Cambria" w:hAnsi="Cambria"/>
              </w:rPr>
            </w:pPr>
            <w:r w:rsidRPr="00AD2809">
              <w:rPr>
                <w:rFonts w:ascii="Cambria" w:hAnsi="Cambria"/>
              </w:rPr>
              <w:t>E5-E6</w:t>
            </w:r>
          </w:p>
        </w:tc>
        <w:tc>
          <w:tcPr>
            <w:tcW w:w="1404" w:type="dxa"/>
          </w:tcPr>
          <w:p w:rsidR="00375B70" w:rsidRPr="00AD2809" w:rsidP="00804DC7" w14:paraId="0C688B53" w14:textId="77777777">
            <w:pPr>
              <w:rPr>
                <w:rFonts w:ascii="Cambria" w:hAnsi="Cambria"/>
              </w:rPr>
            </w:pPr>
            <w:r w:rsidRPr="00AD2809">
              <w:rPr>
                <w:rFonts w:ascii="Cambria" w:hAnsi="Cambria"/>
              </w:rPr>
              <w:t>Female</w:t>
            </w:r>
          </w:p>
        </w:tc>
        <w:tc>
          <w:tcPr>
            <w:tcW w:w="1404" w:type="dxa"/>
          </w:tcPr>
          <w:p w:rsidR="00375B70" w:rsidRPr="00AD2809" w:rsidP="00375B70" w14:paraId="21B5AD1F" w14:textId="77777777">
            <w:pPr>
              <w:jc w:val="center"/>
              <w:rPr>
                <w:rFonts w:ascii="Cambria" w:hAnsi="Cambria"/>
              </w:rPr>
            </w:pPr>
            <w:r w:rsidRPr="00AD2809">
              <w:rPr>
                <w:rFonts w:ascii="Cambria" w:hAnsi="Cambria"/>
              </w:rPr>
              <w:t>165</w:t>
            </w:r>
          </w:p>
        </w:tc>
      </w:tr>
      <w:tr w14:paraId="784C56F4" w14:textId="77777777" w:rsidTr="00804DC7">
        <w:tblPrEx>
          <w:tblW w:w="0" w:type="auto"/>
          <w:jc w:val="center"/>
          <w:tblLook w:val="04A0"/>
        </w:tblPrEx>
        <w:trPr>
          <w:trHeight w:val="315"/>
          <w:jc w:val="center"/>
        </w:trPr>
        <w:tc>
          <w:tcPr>
            <w:tcW w:w="1885" w:type="dxa"/>
            <w:noWrap/>
          </w:tcPr>
          <w:p w:rsidR="00375B70" w:rsidRPr="00AD2809" w:rsidP="00804DC7" w14:paraId="302302FA" w14:textId="77777777">
            <w:pPr>
              <w:rPr>
                <w:rFonts w:ascii="Cambria" w:hAnsi="Cambria"/>
              </w:rPr>
            </w:pPr>
            <w:r w:rsidRPr="00AD2809">
              <w:rPr>
                <w:rFonts w:ascii="Cambria" w:hAnsi="Cambria"/>
              </w:rPr>
              <w:t>O3-O4</w:t>
            </w:r>
          </w:p>
        </w:tc>
        <w:tc>
          <w:tcPr>
            <w:tcW w:w="1404" w:type="dxa"/>
          </w:tcPr>
          <w:p w:rsidR="00375B70" w:rsidRPr="00AD2809" w:rsidP="00804DC7" w14:paraId="4A360D22" w14:textId="77777777">
            <w:pPr>
              <w:rPr>
                <w:rFonts w:ascii="Cambria" w:hAnsi="Cambria"/>
              </w:rPr>
            </w:pPr>
            <w:r w:rsidRPr="00AD2809">
              <w:rPr>
                <w:rFonts w:ascii="Cambria" w:hAnsi="Cambria"/>
              </w:rPr>
              <w:t>Male</w:t>
            </w:r>
          </w:p>
        </w:tc>
        <w:tc>
          <w:tcPr>
            <w:tcW w:w="1404" w:type="dxa"/>
          </w:tcPr>
          <w:p w:rsidR="00375B70" w:rsidRPr="00AD2809" w:rsidP="00375B70" w14:paraId="16A2A2CD" w14:textId="77777777">
            <w:pPr>
              <w:jc w:val="center"/>
              <w:rPr>
                <w:rFonts w:ascii="Cambria" w:hAnsi="Cambria"/>
              </w:rPr>
            </w:pPr>
            <w:r w:rsidRPr="00AD2809">
              <w:rPr>
                <w:rFonts w:ascii="Cambria" w:hAnsi="Cambria"/>
              </w:rPr>
              <w:t>85</w:t>
            </w:r>
          </w:p>
        </w:tc>
      </w:tr>
      <w:tr w14:paraId="558391BC" w14:textId="77777777" w:rsidTr="00804DC7">
        <w:tblPrEx>
          <w:tblW w:w="0" w:type="auto"/>
          <w:jc w:val="center"/>
          <w:tblLook w:val="04A0"/>
        </w:tblPrEx>
        <w:trPr>
          <w:trHeight w:val="315"/>
          <w:jc w:val="center"/>
        </w:trPr>
        <w:tc>
          <w:tcPr>
            <w:tcW w:w="1885" w:type="dxa"/>
            <w:noWrap/>
          </w:tcPr>
          <w:p w:rsidR="00375B70" w:rsidRPr="00AD2809" w:rsidP="00804DC7" w14:paraId="23B0CF98" w14:textId="77777777">
            <w:pPr>
              <w:rPr>
                <w:rFonts w:ascii="Cambria" w:hAnsi="Cambria"/>
              </w:rPr>
            </w:pPr>
            <w:r w:rsidRPr="00AD2809">
              <w:rPr>
                <w:rFonts w:ascii="Cambria" w:hAnsi="Cambria"/>
              </w:rPr>
              <w:t>O3-O4</w:t>
            </w:r>
          </w:p>
        </w:tc>
        <w:tc>
          <w:tcPr>
            <w:tcW w:w="1404" w:type="dxa"/>
          </w:tcPr>
          <w:p w:rsidR="00375B70" w:rsidRPr="00AD2809" w:rsidP="00804DC7" w14:paraId="5118C4EC" w14:textId="77777777">
            <w:pPr>
              <w:rPr>
                <w:rFonts w:ascii="Cambria" w:hAnsi="Cambria"/>
              </w:rPr>
            </w:pPr>
            <w:r w:rsidRPr="00AD2809">
              <w:rPr>
                <w:rFonts w:ascii="Cambria" w:hAnsi="Cambria"/>
              </w:rPr>
              <w:t>Female</w:t>
            </w:r>
          </w:p>
        </w:tc>
        <w:tc>
          <w:tcPr>
            <w:tcW w:w="1404" w:type="dxa"/>
          </w:tcPr>
          <w:p w:rsidR="00375B70" w:rsidRPr="00AD2809" w:rsidP="00375B70" w14:paraId="3E476F3F" w14:textId="77777777">
            <w:pPr>
              <w:jc w:val="center"/>
              <w:rPr>
                <w:rFonts w:ascii="Cambria" w:hAnsi="Cambria"/>
              </w:rPr>
            </w:pPr>
            <w:r w:rsidRPr="00AD2809">
              <w:rPr>
                <w:rFonts w:ascii="Cambria" w:hAnsi="Cambria"/>
              </w:rPr>
              <w:t>165</w:t>
            </w:r>
          </w:p>
        </w:tc>
      </w:tr>
      <w:tr w14:paraId="44F74E83" w14:textId="77777777" w:rsidTr="00804DC7">
        <w:tblPrEx>
          <w:tblW w:w="0" w:type="auto"/>
          <w:jc w:val="center"/>
          <w:tblLook w:val="04A0"/>
        </w:tblPrEx>
        <w:trPr>
          <w:trHeight w:val="315"/>
          <w:jc w:val="center"/>
        </w:trPr>
        <w:tc>
          <w:tcPr>
            <w:tcW w:w="1885" w:type="dxa"/>
            <w:noWrap/>
            <w:hideMark/>
          </w:tcPr>
          <w:p w:rsidR="00375B70" w:rsidRPr="00AD2809" w:rsidP="00804DC7" w14:paraId="337ACEEF" w14:textId="77777777">
            <w:pPr>
              <w:rPr>
                <w:rFonts w:ascii="Cambria" w:hAnsi="Cambria"/>
              </w:rPr>
            </w:pPr>
            <w:r w:rsidRPr="00AD2809">
              <w:rPr>
                <w:rFonts w:ascii="Cambria" w:hAnsi="Cambria"/>
              </w:rPr>
              <w:t>E7-E9</w:t>
            </w:r>
          </w:p>
        </w:tc>
        <w:tc>
          <w:tcPr>
            <w:tcW w:w="1404" w:type="dxa"/>
          </w:tcPr>
          <w:p w:rsidR="00375B70" w:rsidRPr="00AD2809" w:rsidP="00804DC7" w14:paraId="09618769" w14:textId="77777777">
            <w:pPr>
              <w:rPr>
                <w:rFonts w:ascii="Cambria" w:hAnsi="Cambria"/>
              </w:rPr>
            </w:pPr>
            <w:r w:rsidRPr="00AD2809">
              <w:rPr>
                <w:rFonts w:ascii="Cambria" w:hAnsi="Cambria"/>
              </w:rPr>
              <w:t>Male</w:t>
            </w:r>
          </w:p>
        </w:tc>
        <w:tc>
          <w:tcPr>
            <w:tcW w:w="1404" w:type="dxa"/>
          </w:tcPr>
          <w:p w:rsidR="00375B70" w:rsidRPr="00AD2809" w:rsidP="00375B70" w14:paraId="7D947FC9" w14:textId="77777777">
            <w:pPr>
              <w:jc w:val="center"/>
              <w:rPr>
                <w:rFonts w:ascii="Cambria" w:hAnsi="Cambria"/>
              </w:rPr>
            </w:pPr>
            <w:r w:rsidRPr="00AD2809">
              <w:rPr>
                <w:rFonts w:ascii="Cambria" w:hAnsi="Cambria"/>
              </w:rPr>
              <w:t>50</w:t>
            </w:r>
          </w:p>
        </w:tc>
      </w:tr>
      <w:tr w14:paraId="67CC96F3" w14:textId="77777777" w:rsidTr="00804DC7">
        <w:tblPrEx>
          <w:tblW w:w="0" w:type="auto"/>
          <w:jc w:val="center"/>
          <w:tblLook w:val="04A0"/>
        </w:tblPrEx>
        <w:trPr>
          <w:trHeight w:val="315"/>
          <w:jc w:val="center"/>
        </w:trPr>
        <w:tc>
          <w:tcPr>
            <w:tcW w:w="1885" w:type="dxa"/>
            <w:noWrap/>
          </w:tcPr>
          <w:p w:rsidR="00375B70" w:rsidRPr="00AD2809" w:rsidP="00804DC7" w14:paraId="5E8BC13E" w14:textId="77777777">
            <w:pPr>
              <w:rPr>
                <w:rFonts w:ascii="Cambria" w:hAnsi="Cambria"/>
              </w:rPr>
            </w:pPr>
            <w:r w:rsidRPr="00AD2809">
              <w:rPr>
                <w:rFonts w:ascii="Cambria" w:hAnsi="Cambria"/>
              </w:rPr>
              <w:t>E7-E9</w:t>
            </w:r>
          </w:p>
        </w:tc>
        <w:tc>
          <w:tcPr>
            <w:tcW w:w="1404" w:type="dxa"/>
          </w:tcPr>
          <w:p w:rsidR="00375B70" w:rsidRPr="00AD2809" w:rsidP="00804DC7" w14:paraId="32815691" w14:textId="77777777">
            <w:pPr>
              <w:rPr>
                <w:rFonts w:ascii="Cambria" w:hAnsi="Cambria"/>
              </w:rPr>
            </w:pPr>
            <w:r w:rsidRPr="00AD2809">
              <w:rPr>
                <w:rFonts w:ascii="Cambria" w:hAnsi="Cambria"/>
              </w:rPr>
              <w:t>Female</w:t>
            </w:r>
          </w:p>
        </w:tc>
        <w:tc>
          <w:tcPr>
            <w:tcW w:w="1404" w:type="dxa"/>
          </w:tcPr>
          <w:p w:rsidR="00375B70" w:rsidRPr="00AD2809" w:rsidP="00375B70" w14:paraId="26E2D9DC" w14:textId="77777777">
            <w:pPr>
              <w:jc w:val="center"/>
              <w:rPr>
                <w:rFonts w:ascii="Cambria" w:hAnsi="Cambria"/>
              </w:rPr>
            </w:pPr>
            <w:r w:rsidRPr="00AD2809">
              <w:rPr>
                <w:rFonts w:ascii="Cambria" w:hAnsi="Cambria"/>
              </w:rPr>
              <w:t>110</w:t>
            </w:r>
          </w:p>
        </w:tc>
      </w:tr>
      <w:tr w14:paraId="40CF660A" w14:textId="77777777" w:rsidTr="00804DC7">
        <w:tblPrEx>
          <w:tblW w:w="0" w:type="auto"/>
          <w:jc w:val="center"/>
          <w:tblLook w:val="04A0"/>
        </w:tblPrEx>
        <w:trPr>
          <w:trHeight w:val="315"/>
          <w:jc w:val="center"/>
        </w:trPr>
        <w:tc>
          <w:tcPr>
            <w:tcW w:w="1885" w:type="dxa"/>
            <w:noWrap/>
          </w:tcPr>
          <w:p w:rsidR="00375B70" w:rsidRPr="00AD2809" w:rsidP="00804DC7" w14:paraId="2EC7D3CD" w14:textId="77777777">
            <w:pPr>
              <w:rPr>
                <w:rFonts w:ascii="Cambria" w:hAnsi="Cambria"/>
              </w:rPr>
            </w:pPr>
            <w:r w:rsidRPr="00AD2809">
              <w:rPr>
                <w:rFonts w:ascii="Cambria" w:hAnsi="Cambria"/>
              </w:rPr>
              <w:t>O5-O6</w:t>
            </w:r>
          </w:p>
        </w:tc>
        <w:tc>
          <w:tcPr>
            <w:tcW w:w="1404" w:type="dxa"/>
          </w:tcPr>
          <w:p w:rsidR="00375B70" w:rsidRPr="00AD2809" w:rsidP="00804DC7" w14:paraId="43152C0D" w14:textId="77777777">
            <w:pPr>
              <w:rPr>
                <w:rFonts w:ascii="Cambria" w:hAnsi="Cambria"/>
              </w:rPr>
            </w:pPr>
            <w:r w:rsidRPr="00AD2809">
              <w:rPr>
                <w:rFonts w:ascii="Cambria" w:hAnsi="Cambria"/>
              </w:rPr>
              <w:t>Male</w:t>
            </w:r>
          </w:p>
        </w:tc>
        <w:tc>
          <w:tcPr>
            <w:tcW w:w="1404" w:type="dxa"/>
          </w:tcPr>
          <w:p w:rsidR="00375B70" w:rsidRPr="00AD2809" w:rsidP="00375B70" w14:paraId="1E47BAA1" w14:textId="77777777">
            <w:pPr>
              <w:jc w:val="center"/>
              <w:rPr>
                <w:rFonts w:ascii="Cambria" w:hAnsi="Cambria"/>
              </w:rPr>
            </w:pPr>
            <w:r w:rsidRPr="00AD2809">
              <w:rPr>
                <w:rFonts w:ascii="Cambria" w:hAnsi="Cambria"/>
              </w:rPr>
              <w:t>50</w:t>
            </w:r>
          </w:p>
        </w:tc>
      </w:tr>
      <w:tr w14:paraId="64B38575" w14:textId="77777777" w:rsidTr="00804DC7">
        <w:tblPrEx>
          <w:tblW w:w="0" w:type="auto"/>
          <w:jc w:val="center"/>
          <w:tblLook w:val="04A0"/>
        </w:tblPrEx>
        <w:trPr>
          <w:trHeight w:val="315"/>
          <w:jc w:val="center"/>
        </w:trPr>
        <w:tc>
          <w:tcPr>
            <w:tcW w:w="1885" w:type="dxa"/>
            <w:noWrap/>
          </w:tcPr>
          <w:p w:rsidR="00375B70" w:rsidRPr="00AD2809" w:rsidP="00804DC7" w14:paraId="6F8A6645" w14:textId="77777777">
            <w:pPr>
              <w:rPr>
                <w:rFonts w:ascii="Cambria" w:hAnsi="Cambria"/>
              </w:rPr>
            </w:pPr>
            <w:r w:rsidRPr="00AD2809">
              <w:rPr>
                <w:rFonts w:ascii="Cambria" w:hAnsi="Cambria"/>
              </w:rPr>
              <w:t>O5-O6</w:t>
            </w:r>
          </w:p>
        </w:tc>
        <w:tc>
          <w:tcPr>
            <w:tcW w:w="1404" w:type="dxa"/>
          </w:tcPr>
          <w:p w:rsidR="00375B70" w:rsidRPr="00AD2809" w:rsidP="00804DC7" w14:paraId="2B8260B3" w14:textId="77777777">
            <w:pPr>
              <w:rPr>
                <w:rFonts w:ascii="Cambria" w:hAnsi="Cambria"/>
              </w:rPr>
            </w:pPr>
            <w:r w:rsidRPr="00AD2809">
              <w:rPr>
                <w:rFonts w:ascii="Cambria" w:hAnsi="Cambria"/>
              </w:rPr>
              <w:t>Female</w:t>
            </w:r>
          </w:p>
        </w:tc>
        <w:tc>
          <w:tcPr>
            <w:tcW w:w="1404" w:type="dxa"/>
          </w:tcPr>
          <w:p w:rsidR="00375B70" w:rsidRPr="00AD2809" w:rsidP="00375B70" w14:paraId="43C481C7" w14:textId="77777777">
            <w:pPr>
              <w:jc w:val="center"/>
              <w:rPr>
                <w:rFonts w:ascii="Cambria" w:hAnsi="Cambria"/>
              </w:rPr>
            </w:pPr>
            <w:r w:rsidRPr="00AD2809">
              <w:rPr>
                <w:rFonts w:ascii="Cambria" w:hAnsi="Cambria"/>
              </w:rPr>
              <w:t>110</w:t>
            </w:r>
          </w:p>
        </w:tc>
      </w:tr>
      <w:tr w14:paraId="338AB860" w14:textId="77777777" w:rsidTr="00804DC7">
        <w:tblPrEx>
          <w:tblW w:w="0" w:type="auto"/>
          <w:jc w:val="center"/>
          <w:tblLook w:val="04A0"/>
        </w:tblPrEx>
        <w:trPr>
          <w:trHeight w:val="300"/>
          <w:jc w:val="center"/>
        </w:trPr>
        <w:tc>
          <w:tcPr>
            <w:tcW w:w="1885" w:type="dxa"/>
            <w:noWrap/>
            <w:hideMark/>
          </w:tcPr>
          <w:p w:rsidR="00375B70" w:rsidRPr="00AD2809" w:rsidP="00804DC7" w14:paraId="5613D55C" w14:textId="77777777">
            <w:pPr>
              <w:rPr>
                <w:rFonts w:ascii="Cambria" w:hAnsi="Cambria"/>
              </w:rPr>
            </w:pPr>
            <w:r w:rsidRPr="00AD2809">
              <w:rPr>
                <w:rFonts w:ascii="Cambria" w:hAnsi="Cambria"/>
              </w:rPr>
              <w:t>Installation Commander (O6)</w:t>
            </w:r>
          </w:p>
        </w:tc>
        <w:tc>
          <w:tcPr>
            <w:tcW w:w="1404" w:type="dxa"/>
          </w:tcPr>
          <w:p w:rsidR="00375B70" w:rsidRPr="00AD2809" w:rsidP="00804DC7" w14:paraId="51ED0DED" w14:textId="77777777">
            <w:pPr>
              <w:rPr>
                <w:rFonts w:ascii="Cambria" w:hAnsi="Cambria"/>
              </w:rPr>
            </w:pPr>
            <w:r w:rsidRPr="00AD2809">
              <w:rPr>
                <w:rFonts w:ascii="Cambria" w:hAnsi="Cambria"/>
              </w:rPr>
              <w:t>Male</w:t>
            </w:r>
          </w:p>
        </w:tc>
        <w:tc>
          <w:tcPr>
            <w:tcW w:w="1404" w:type="dxa"/>
          </w:tcPr>
          <w:p w:rsidR="00375B70" w:rsidRPr="00AD2809" w:rsidP="00375B70" w14:paraId="0E3C1F55" w14:textId="77777777">
            <w:pPr>
              <w:jc w:val="center"/>
              <w:rPr>
                <w:rFonts w:ascii="Cambria" w:hAnsi="Cambria"/>
              </w:rPr>
            </w:pPr>
            <w:r w:rsidRPr="00AD2809">
              <w:rPr>
                <w:rFonts w:ascii="Cambria" w:hAnsi="Cambria"/>
              </w:rPr>
              <w:t>6</w:t>
            </w:r>
          </w:p>
        </w:tc>
      </w:tr>
      <w:tr w14:paraId="28FBD1F7" w14:textId="77777777" w:rsidTr="00804DC7">
        <w:tblPrEx>
          <w:tblW w:w="0" w:type="auto"/>
          <w:jc w:val="center"/>
          <w:tblLook w:val="04A0"/>
        </w:tblPrEx>
        <w:trPr>
          <w:trHeight w:val="300"/>
          <w:jc w:val="center"/>
        </w:trPr>
        <w:tc>
          <w:tcPr>
            <w:tcW w:w="3289" w:type="dxa"/>
            <w:gridSpan w:val="2"/>
            <w:noWrap/>
          </w:tcPr>
          <w:p w:rsidR="00375B70" w:rsidRPr="00AD2809" w:rsidP="00804DC7" w14:paraId="6BD01310" w14:textId="77777777">
            <w:pPr>
              <w:rPr>
                <w:rFonts w:ascii="Cambria" w:hAnsi="Cambria"/>
                <w:b/>
                <w:bCs/>
              </w:rPr>
            </w:pPr>
            <w:r w:rsidRPr="00AD2809">
              <w:rPr>
                <w:rFonts w:ascii="Cambria" w:hAnsi="Cambria"/>
                <w:b/>
                <w:bCs/>
              </w:rPr>
              <w:t>Total</w:t>
            </w:r>
          </w:p>
        </w:tc>
        <w:tc>
          <w:tcPr>
            <w:tcW w:w="1404" w:type="dxa"/>
          </w:tcPr>
          <w:p w:rsidR="00375B70" w:rsidRPr="00AD2809" w:rsidP="00375B70" w14:paraId="28784500" w14:textId="77777777">
            <w:pPr>
              <w:jc w:val="center"/>
              <w:rPr>
                <w:rFonts w:ascii="Cambria" w:hAnsi="Cambria"/>
                <w:b/>
                <w:bCs/>
              </w:rPr>
            </w:pPr>
            <w:r w:rsidRPr="00AD2809">
              <w:rPr>
                <w:rFonts w:ascii="Cambria" w:hAnsi="Cambria"/>
                <w:b/>
                <w:bCs/>
              </w:rPr>
              <w:t>1326</w:t>
            </w:r>
          </w:p>
        </w:tc>
      </w:tr>
    </w:tbl>
    <w:p w:rsidR="005E0A0F" w:rsidRPr="00AD2809" w:rsidP="00B91B89" w14:paraId="22862468" w14:textId="1C59F59E">
      <w:pPr>
        <w:pStyle w:val="NormalWeb"/>
        <w:spacing w:after="0" w:afterAutospacing="0" w:line="288" w:lineRule="atLeast"/>
        <w:rPr>
          <w:rFonts w:ascii="Cambria" w:hAnsi="Cambria" w:cs="Calibri Light"/>
        </w:rPr>
      </w:pPr>
      <w:r w:rsidRPr="00AD2809">
        <w:rPr>
          <w:rFonts w:ascii="Cambria" w:hAnsi="Cambria" w:cs="Calibri Light"/>
        </w:rPr>
        <w:t xml:space="preserve">2.  </w:t>
      </w:r>
      <w:r w:rsidRPr="00AD2809">
        <w:rPr>
          <w:rFonts w:ascii="Cambria" w:hAnsi="Cambria" w:cs="Calibri Light"/>
          <w:u w:val="single"/>
        </w:rPr>
        <w:t>Procedures for the Collection of Information</w:t>
      </w:r>
    </w:p>
    <w:p w:rsidR="006A2ECB" w:rsidRPr="00AD2809" w:rsidP="006A2ECB" w14:paraId="7E99EA1B" w14:textId="77777777">
      <w:pPr>
        <w:pStyle w:val="NormalWeb"/>
        <w:spacing w:line="288" w:lineRule="atLeast"/>
        <w:rPr>
          <w:rFonts w:ascii="Cambria" w:hAnsi="Cambria" w:cs="Calibri Light"/>
          <w:iCs/>
        </w:rPr>
      </w:pPr>
      <w:r w:rsidRPr="00AD2809">
        <w:rPr>
          <w:rFonts w:ascii="Cambria" w:hAnsi="Cambria" w:cs="Calibri Light"/>
          <w:iCs/>
        </w:rPr>
        <w:t>Focus groups will be conducted separately for men and women, officers and enlisted, and by rank (junior, mid-level, and senior). There are a total of six focus group protocols: junior enlisted/officer (E1-E4/O1-O2), mid-level enlisted/officer (E5-E6/O3-O4), and senior enlisted/officer (E7-E9/O5-O6). These focus groups are intended to be 60 minutes. A 30-minute discussion protocol tailored to installation commanders (generally at the O6 level) is also included. In total, we anticipate including:</w:t>
      </w:r>
    </w:p>
    <w:p w:rsidR="006A2ECB" w:rsidRPr="00AD2809" w:rsidP="006A2ECB" w14:paraId="71B71BB8" w14:textId="684A1EC2">
      <w:pPr>
        <w:pStyle w:val="NormalWeb"/>
        <w:numPr>
          <w:ilvl w:val="0"/>
          <w:numId w:val="5"/>
        </w:numPr>
        <w:spacing w:before="0" w:beforeAutospacing="0" w:after="0" w:afterAutospacing="0"/>
        <w:ind w:hanging="360"/>
        <w:rPr>
          <w:rFonts w:ascii="Cambria" w:hAnsi="Cambria" w:cs="Calibri Light"/>
          <w:iCs/>
        </w:rPr>
      </w:pPr>
      <w:r w:rsidRPr="00AD2809">
        <w:rPr>
          <w:rFonts w:ascii="Cambria" w:hAnsi="Cambria" w:cs="Calibri Light"/>
          <w:iCs/>
        </w:rPr>
        <w:t>Jr. Enlisted (E1-E4)/Jr. Officers (O1-O2): up to 500 individuals</w:t>
      </w:r>
    </w:p>
    <w:p w:rsidR="006A2ECB" w:rsidRPr="00AD2809" w:rsidP="006A2ECB" w14:paraId="18AF633F" w14:textId="73697F55">
      <w:pPr>
        <w:pStyle w:val="NormalWeb"/>
        <w:numPr>
          <w:ilvl w:val="0"/>
          <w:numId w:val="5"/>
        </w:numPr>
        <w:spacing w:before="0" w:beforeAutospacing="0" w:after="0" w:afterAutospacing="0"/>
        <w:ind w:hanging="360"/>
        <w:rPr>
          <w:rFonts w:ascii="Cambria" w:hAnsi="Cambria" w:cs="Calibri Light"/>
          <w:iCs/>
        </w:rPr>
      </w:pPr>
      <w:r w:rsidRPr="00AD2809">
        <w:rPr>
          <w:rFonts w:ascii="Cambria" w:hAnsi="Cambria" w:cs="Calibri Light"/>
          <w:iCs/>
        </w:rPr>
        <w:t>Mid-Level Leaders (E5-E6/O3-O4): up to 500 individuals</w:t>
      </w:r>
    </w:p>
    <w:p w:rsidR="006A2ECB" w:rsidRPr="00AD2809" w:rsidP="006A2ECB" w14:paraId="1B7F360A" w14:textId="3146DCC9">
      <w:pPr>
        <w:pStyle w:val="NormalWeb"/>
        <w:numPr>
          <w:ilvl w:val="0"/>
          <w:numId w:val="5"/>
        </w:numPr>
        <w:spacing w:before="0" w:beforeAutospacing="0" w:after="0" w:afterAutospacing="0"/>
        <w:ind w:hanging="360"/>
        <w:rPr>
          <w:rFonts w:ascii="Cambria" w:hAnsi="Cambria" w:cs="Calibri Light"/>
          <w:iCs/>
        </w:rPr>
      </w:pPr>
      <w:r w:rsidRPr="00AD2809">
        <w:rPr>
          <w:rFonts w:ascii="Cambria" w:hAnsi="Cambria" w:cs="Calibri Light"/>
          <w:iCs/>
        </w:rPr>
        <w:t xml:space="preserve">Senior Level Leaders (E7-E9; O5-O6): up to 320 individuals </w:t>
      </w:r>
    </w:p>
    <w:p w:rsidR="006A2ECB" w:rsidRPr="00AD2809" w:rsidP="006A2ECB" w14:paraId="7A48E26A" w14:textId="0690DD12">
      <w:pPr>
        <w:pStyle w:val="NormalWeb"/>
        <w:numPr>
          <w:ilvl w:val="0"/>
          <w:numId w:val="5"/>
        </w:numPr>
        <w:spacing w:before="0" w:beforeAutospacing="0" w:after="0" w:afterAutospacing="0"/>
        <w:ind w:hanging="360"/>
        <w:rPr>
          <w:rFonts w:ascii="Cambria" w:hAnsi="Cambria" w:cs="Calibri Light"/>
          <w:iCs/>
        </w:rPr>
      </w:pPr>
      <w:r w:rsidRPr="00AD2809">
        <w:rPr>
          <w:rFonts w:ascii="Cambria" w:hAnsi="Cambria" w:cs="Calibri Light"/>
          <w:iCs/>
        </w:rPr>
        <w:t>Installation Commanders: up to 6 individuals</w:t>
      </w:r>
    </w:p>
    <w:p w:rsidR="006A2ECB" w:rsidRPr="00AD2809" w:rsidP="006A2ECB" w14:paraId="2CCFF4AE" w14:textId="0AC4C45B">
      <w:pPr>
        <w:pStyle w:val="NormalWeb"/>
        <w:spacing w:line="288" w:lineRule="atLeast"/>
        <w:rPr>
          <w:rFonts w:ascii="Cambria" w:hAnsi="Cambria" w:cs="Calibri Light"/>
          <w:iCs/>
        </w:rPr>
      </w:pPr>
      <w:r w:rsidRPr="00AD2809">
        <w:rPr>
          <w:rFonts w:ascii="Cambria" w:hAnsi="Cambria" w:cs="Calibri Light"/>
          <w:iCs/>
        </w:rPr>
        <w:t xml:space="preserve">These installations vary in their risk of experiencing sexual harassment (identified from a prior </w:t>
      </w:r>
      <w:r w:rsidRPr="00AD2809" w:rsidR="001D0281">
        <w:rPr>
          <w:rFonts w:ascii="Cambria" w:hAnsi="Cambria" w:cs="Calibri Light"/>
          <w:iCs/>
        </w:rPr>
        <w:t xml:space="preserve">Army sponsored </w:t>
      </w:r>
      <w:r w:rsidRPr="00AD2809">
        <w:rPr>
          <w:rFonts w:ascii="Cambria" w:hAnsi="Cambria" w:cs="Calibri Light"/>
          <w:iCs/>
        </w:rPr>
        <w:t>RAND study, Organizational Characteristics Associated with Risk of Sexual Assault and Sexual Harassment in the U.S. Army;</w:t>
      </w:r>
      <w:r w:rsidRPr="00AD2809" w:rsidR="0092788B">
        <w:rPr>
          <w:rFonts w:ascii="Cambria" w:hAnsi="Cambria" w:cs="Calibri Light"/>
          <w:iCs/>
        </w:rPr>
        <w:t xml:space="preserve"> research report available here: </w:t>
      </w:r>
      <w:hyperlink r:id="rId7" w:history="1">
        <w:r w:rsidRPr="00AD2809" w:rsidR="004E7EBC">
          <w:rPr>
            <w:rStyle w:val="Hyperlink"/>
            <w:rFonts w:ascii="Cambria" w:hAnsi="Cambria" w:cs="Calibri Light"/>
            <w:iCs/>
          </w:rPr>
          <w:t>https://www.rand.org/pubs/research_reports/RRA1013-1.html</w:t>
        </w:r>
      </w:hyperlink>
      <w:r w:rsidRPr="00AD2809">
        <w:rPr>
          <w:rFonts w:ascii="Cambria" w:hAnsi="Cambria" w:cs="Calibri Light"/>
          <w:iCs/>
        </w:rPr>
        <w:t xml:space="preserve">): two installations are high-risk for both men and women, one is high-risk for women only, one is high-risk for men only, and two are non-high-risk for both men and women. Within installations, </w:t>
      </w:r>
      <w:r w:rsidRPr="00AD2809" w:rsidR="004E7EBC">
        <w:rPr>
          <w:rFonts w:ascii="Cambria" w:hAnsi="Cambria"/>
          <w:iCs/>
        </w:rPr>
        <w:t xml:space="preserve">climate data from the Defense Organizational Climate Survey (DEOCS) (for additional information, see: </w:t>
      </w:r>
      <w:hyperlink r:id="rId8" w:history="1">
        <w:r w:rsidRPr="00AD2809" w:rsidR="004E7EBC">
          <w:rPr>
            <w:rStyle w:val="Hyperlink"/>
            <w:rFonts w:ascii="Cambria" w:hAnsi="Cambria"/>
            <w:iCs/>
          </w:rPr>
          <w:t>https://www.opa.mil/research-analysis/opa-surveys/defense-organizational-climate-survey</w:t>
        </w:r>
      </w:hyperlink>
      <w:r w:rsidRPr="00AD2809" w:rsidR="004E7EBC">
        <w:rPr>
          <w:rFonts w:ascii="Cambria" w:hAnsi="Cambria"/>
          <w:iCs/>
        </w:rPr>
        <w:t xml:space="preserve">) </w:t>
      </w:r>
      <w:r w:rsidRPr="00AD2809">
        <w:rPr>
          <w:rFonts w:ascii="Cambria" w:hAnsi="Cambria" w:cs="Calibri Light"/>
          <w:iCs/>
        </w:rPr>
        <w:t xml:space="preserve">will be used to identify units that are in the “top” and “bottom” quartiles in terms of a composite measure of culture and climate characteristics associated with sexual harassment. This composite measure was based on a </w:t>
      </w:r>
      <w:r w:rsidRPr="00AD2809" w:rsidR="001D0281">
        <w:rPr>
          <w:rFonts w:ascii="Cambria" w:hAnsi="Cambria" w:cs="Calibri Light"/>
          <w:iCs/>
        </w:rPr>
        <w:t>nearing-completion Army-sponsored</w:t>
      </w:r>
      <w:r w:rsidRPr="00AD2809">
        <w:rPr>
          <w:rFonts w:ascii="Cambria" w:hAnsi="Cambria" w:cs="Calibri Light"/>
          <w:iCs/>
        </w:rPr>
        <w:t xml:space="preserve"> RAND study (</w:t>
      </w:r>
      <w:r w:rsidRPr="00AD2809">
        <w:rPr>
          <w:rFonts w:ascii="Cambria" w:hAnsi="Cambria" w:cs="Calibri Light"/>
          <w:i/>
        </w:rPr>
        <w:t>Determining the Climate Predictive of Sexual Harassment and Sexual Assault in the U.S. Army: Identifying and Developing Measures of Unit-Level Climate</w:t>
      </w:r>
      <w:r w:rsidRPr="00AD2809">
        <w:rPr>
          <w:rFonts w:ascii="Cambria" w:hAnsi="Cambria" w:cs="Calibri Light"/>
          <w:iCs/>
        </w:rPr>
        <w:t xml:space="preserve">; note this </w:t>
      </w:r>
      <w:r w:rsidRPr="00AD2809" w:rsidR="00EB4A0C">
        <w:rPr>
          <w:rFonts w:ascii="Cambria" w:hAnsi="Cambria" w:cs="Calibri Light"/>
          <w:iCs/>
        </w:rPr>
        <w:t>research report is undergoing final stages of peer review and</w:t>
      </w:r>
      <w:r w:rsidRPr="00AD2809">
        <w:rPr>
          <w:rFonts w:ascii="Cambria" w:hAnsi="Cambria" w:cs="Calibri Light"/>
          <w:iCs/>
        </w:rPr>
        <w:t xml:space="preserve"> has not been cleared for public release). These climate/culture characteristics include cohesion, fairness, inclusion, leadership support (immediate supervisor), transformational leadership (organizational leader/senior NCO), and workplace hostility.</w:t>
      </w:r>
    </w:p>
    <w:p w:rsidR="006A2ECB" w:rsidP="006A2ECB" w14:paraId="5BD5D6CE" w14:textId="2EC7E7EF">
      <w:pPr>
        <w:pStyle w:val="NormalWeb"/>
        <w:spacing w:before="0" w:beforeAutospacing="0" w:after="0" w:afterAutospacing="0" w:line="288" w:lineRule="atLeast"/>
        <w:rPr>
          <w:rFonts w:ascii="Cambria" w:hAnsi="Cambria" w:cs="Calibri Light"/>
          <w:iCs/>
        </w:rPr>
      </w:pPr>
      <w:r w:rsidRPr="00AD2809">
        <w:rPr>
          <w:rFonts w:ascii="Cambria" w:hAnsi="Cambria" w:cs="Calibri Light"/>
          <w:iCs/>
        </w:rPr>
        <w:t xml:space="preserve">At </w:t>
      </w:r>
      <w:r w:rsidRPr="00AD2809" w:rsidR="00CB169B">
        <w:rPr>
          <w:rFonts w:ascii="Cambria" w:hAnsi="Cambria" w:cs="Calibri Light"/>
          <w:iCs/>
        </w:rPr>
        <w:t>each</w:t>
      </w:r>
      <w:r w:rsidRPr="00AD2809">
        <w:rPr>
          <w:rFonts w:ascii="Cambria" w:hAnsi="Cambria" w:cs="Calibri Light"/>
          <w:iCs/>
        </w:rPr>
        <w:t xml:space="preserve"> installation, </w:t>
      </w:r>
      <w:r w:rsidRPr="00AD2809" w:rsidR="00EB4A0C">
        <w:rPr>
          <w:rFonts w:ascii="Cambria" w:hAnsi="Cambria" w:cs="Calibri Light"/>
          <w:iCs/>
        </w:rPr>
        <w:t>S</w:t>
      </w:r>
      <w:r w:rsidRPr="00AD2809">
        <w:rPr>
          <w:rFonts w:ascii="Cambria" w:hAnsi="Cambria" w:cs="Calibri Light"/>
          <w:iCs/>
        </w:rPr>
        <w:t>oldiers will be randomly selected with the help of an installation POC based on their 1) gender, 2) officer/enlisted status, 3) pay grade, and 4) unit membership. The analysis strategy will rely on variation across these different groups, as well as across the different installations (selected based on risk) to better understand soldiers’ experiences and the environments in which SH and GD events do or do not occur.</w:t>
      </w:r>
    </w:p>
    <w:p w:rsidR="007D5D39" w:rsidP="006A2ECB" w14:paraId="46197C6A" w14:textId="3E964744">
      <w:pPr>
        <w:pStyle w:val="NormalWeb"/>
        <w:spacing w:before="0" w:beforeAutospacing="0" w:after="0" w:afterAutospacing="0" w:line="288" w:lineRule="atLeast"/>
        <w:rPr>
          <w:rFonts w:ascii="Cambria" w:hAnsi="Cambria" w:cs="Calibri Light"/>
          <w:iCs/>
        </w:rPr>
      </w:pPr>
    </w:p>
    <w:p w:rsidR="007D5D39" w:rsidRPr="00AD2809" w:rsidP="006A2ECB" w14:paraId="2638D279" w14:textId="00C35C02">
      <w:pPr>
        <w:pStyle w:val="NormalWeb"/>
        <w:spacing w:before="0" w:beforeAutospacing="0" w:after="0" w:afterAutospacing="0" w:line="288" w:lineRule="atLeast"/>
        <w:rPr>
          <w:rFonts w:ascii="Cambria" w:hAnsi="Cambria" w:cs="Calibri Light"/>
          <w:iCs/>
        </w:rPr>
      </w:pPr>
      <w:r w:rsidRPr="007D5D39">
        <w:rPr>
          <w:rFonts w:ascii="Cambria" w:hAnsi="Cambria" w:cs="Calibri Light"/>
          <w:iCs/>
        </w:rPr>
        <w:t>Site visits will occur over two days. A total of 32 focus group discussions are possible; if there are no Soldiers who meet the eligibility criteria for a particular focus group discussion, then that discussion will be eliminated (e.g., if there are no female senior officers in the selected units). Each focus group will have 6-8 participants. One discussion will be held with the installation commander; they may choose to include members of their support staff if they wish. A mock schedule i</w:t>
      </w:r>
      <w:r w:rsidR="00D35BDC">
        <w:rPr>
          <w:rFonts w:ascii="Cambria" w:hAnsi="Cambria" w:cs="Calibri Light"/>
          <w:iCs/>
        </w:rPr>
        <w:t>s</w:t>
      </w:r>
      <w:r w:rsidRPr="007D5D39">
        <w:rPr>
          <w:rFonts w:ascii="Cambria" w:hAnsi="Cambria" w:cs="Calibri Light"/>
          <w:iCs/>
        </w:rPr>
        <w:t xml:space="preserve"> included with this information collection request.</w:t>
      </w:r>
    </w:p>
    <w:p w:rsidR="006A2ECB" w:rsidRPr="00AD2809" w:rsidP="006A2ECB" w14:paraId="50BC6F2D" w14:textId="77777777">
      <w:pPr>
        <w:pStyle w:val="NormalWeb"/>
        <w:spacing w:before="0" w:beforeAutospacing="0" w:after="0" w:afterAutospacing="0" w:line="288" w:lineRule="atLeast"/>
        <w:rPr>
          <w:rFonts w:ascii="Cambria" w:hAnsi="Cambria" w:cs="Calibri Light"/>
          <w:i/>
        </w:rPr>
      </w:pPr>
    </w:p>
    <w:p w:rsidR="005E0A0F" w:rsidRPr="00AD2809" w:rsidP="00B91B89" w14:paraId="504BEA70" w14:textId="19488365">
      <w:pPr>
        <w:pStyle w:val="NormalWeb"/>
        <w:spacing w:before="0" w:beforeAutospacing="0" w:after="0" w:afterAutospacing="0" w:line="288" w:lineRule="atLeast"/>
        <w:rPr>
          <w:rFonts w:ascii="Cambria" w:hAnsi="Cambria"/>
        </w:rPr>
      </w:pPr>
      <w:r w:rsidRPr="00AD2809">
        <w:rPr>
          <w:rFonts w:ascii="Cambria" w:hAnsi="Cambria" w:cs="Calibri Light"/>
        </w:rPr>
        <w:t xml:space="preserve">3.  </w:t>
      </w:r>
      <w:r w:rsidRPr="00AD2809">
        <w:rPr>
          <w:rFonts w:ascii="Cambria" w:hAnsi="Cambria" w:cs="Calibri Light"/>
          <w:u w:val="single"/>
        </w:rPr>
        <w:t>Maximization of Response Rates, Non-response, and Reliability</w:t>
      </w:r>
      <w:r w:rsidRPr="00AD2809" w:rsidR="00076309">
        <w:rPr>
          <w:rFonts w:ascii="Cambria" w:hAnsi="Cambria"/>
        </w:rPr>
        <w:t xml:space="preserve"> </w:t>
      </w:r>
    </w:p>
    <w:p w:rsidR="00375B70" w:rsidRPr="00AD2809" w:rsidP="00B91B89" w14:paraId="57AC36AC" w14:textId="6963EA03">
      <w:pPr>
        <w:pStyle w:val="NormalWeb"/>
        <w:spacing w:before="0" w:beforeAutospacing="0" w:after="0" w:afterAutospacing="0" w:line="288" w:lineRule="atLeast"/>
        <w:rPr>
          <w:rFonts w:ascii="Cambria" w:hAnsi="Cambria" w:cs="Calibri Light"/>
          <w:i/>
        </w:rPr>
      </w:pPr>
    </w:p>
    <w:p w:rsidR="00375B70" w:rsidRPr="00AD2809" w:rsidP="00B91B89" w14:paraId="391559DF" w14:textId="2ED03F5F">
      <w:pPr>
        <w:pStyle w:val="NormalWeb"/>
        <w:spacing w:before="0" w:beforeAutospacing="0" w:after="0" w:afterAutospacing="0" w:line="288" w:lineRule="atLeast"/>
        <w:rPr>
          <w:rFonts w:ascii="Cambria" w:hAnsi="Cambria" w:cs="Calibri Light"/>
          <w:iCs/>
        </w:rPr>
      </w:pPr>
      <w:r w:rsidRPr="00AD2809">
        <w:rPr>
          <w:rFonts w:ascii="Cambria" w:hAnsi="Cambria" w:cs="Calibri Light"/>
          <w:iCs/>
        </w:rPr>
        <w:t>Qualitative data from the focus groups will be analyzed using a COTS software designed for qualitative dat</w:t>
      </w:r>
      <w:r w:rsidRPr="00AD2809" w:rsidR="008C710F">
        <w:rPr>
          <w:rFonts w:ascii="Cambria" w:hAnsi="Cambria" w:cs="Calibri Light"/>
          <w:iCs/>
        </w:rPr>
        <w:t>a</w:t>
      </w:r>
      <w:r w:rsidRPr="00AD2809">
        <w:rPr>
          <w:rFonts w:ascii="Cambria" w:hAnsi="Cambria" w:cs="Calibri Light"/>
          <w:iCs/>
        </w:rPr>
        <w:t xml:space="preserve"> (e.g., NVivo).</w:t>
      </w:r>
      <w:r w:rsidRPr="00AD2809" w:rsidR="00C814D3">
        <w:rPr>
          <w:rFonts w:ascii="Cambria" w:hAnsi="Cambria" w:cs="Calibri Light"/>
          <w:iCs/>
        </w:rPr>
        <w:t xml:space="preserve"> We will upload transcribed notes from the focus groups and interviews into the qualitative software program for coding. A codebook will be developed using an iterative process to further refine the codebook for coding of the interview data using a thematic analysis. A preliminary set of transcripts will be coded to identify any emerging themes and explore the need for creating new codes. Following refinement of the codebook, we will code the remainder of the transcripts, using a joint coding approach in which each coder independently codes each transcript once inter-rater reliability is established. We will use a thematic analysis to identify emerging themes and patterns across the data.</w:t>
      </w:r>
      <w:r w:rsidRPr="00AD2809" w:rsidR="00CC0BCC">
        <w:rPr>
          <w:rFonts w:ascii="Cambria" w:hAnsi="Cambria" w:cs="Calibri Light"/>
          <w:iCs/>
        </w:rPr>
        <w:t xml:space="preserve"> </w:t>
      </w:r>
      <w:r w:rsidRPr="00AD2809" w:rsidR="0092091E">
        <w:rPr>
          <w:rFonts w:ascii="Cambria" w:hAnsi="Cambria" w:cs="Calibri Light"/>
          <w:iCs/>
        </w:rPr>
        <w:t xml:space="preserve"> </w:t>
      </w:r>
      <w:r w:rsidRPr="00AD2809">
        <w:rPr>
          <w:rFonts w:ascii="Cambria" w:hAnsi="Cambria" w:cs="Calibri Light"/>
          <w:iCs/>
        </w:rPr>
        <w:t>We do not anticipate reporting numbers (e.g., percentages) that could be interpreted as prevalence rates</w:t>
      </w:r>
      <w:r w:rsidRPr="00AD2809" w:rsidR="00343185">
        <w:rPr>
          <w:rFonts w:ascii="Cambria" w:hAnsi="Cambria" w:cs="Calibri Light"/>
          <w:iCs/>
        </w:rPr>
        <w:t>,</w:t>
      </w:r>
      <w:r w:rsidRPr="00AD2809" w:rsidR="00C814D3">
        <w:rPr>
          <w:rFonts w:ascii="Cambria" w:hAnsi="Cambria" w:cs="Calibri Light"/>
          <w:iCs/>
        </w:rPr>
        <w:t xml:space="preserve"> but we will use frequencies to identify the most-commonly mentioned themes</w:t>
      </w:r>
      <w:r w:rsidRPr="00AD2809" w:rsidR="00F7704B">
        <w:rPr>
          <w:rFonts w:ascii="Cambria" w:hAnsi="Cambria" w:cs="Calibri Light"/>
          <w:iCs/>
        </w:rPr>
        <w:t xml:space="preserve"> to present in the final report</w:t>
      </w:r>
      <w:r w:rsidRPr="00AD2809">
        <w:rPr>
          <w:rFonts w:ascii="Cambria" w:hAnsi="Cambria" w:cs="Calibri Light"/>
          <w:iCs/>
        </w:rPr>
        <w:t xml:space="preserve">. </w:t>
      </w:r>
    </w:p>
    <w:p w:rsidR="00B91B89" w:rsidRPr="00AD2809" w:rsidP="00B91B89" w14:paraId="06BB32D3" w14:textId="77777777">
      <w:pPr>
        <w:pStyle w:val="NormalWeb"/>
        <w:spacing w:before="0" w:beforeAutospacing="0" w:after="0" w:afterAutospacing="0" w:line="288" w:lineRule="atLeast"/>
        <w:rPr>
          <w:rFonts w:ascii="Cambria" w:hAnsi="Cambria" w:cs="Calibri Light"/>
          <w:i/>
        </w:rPr>
      </w:pPr>
    </w:p>
    <w:p w:rsidR="005E0A0F" w:rsidRPr="00AD2809" w:rsidP="00B91B89" w14:paraId="56997D2D" w14:textId="3A346745">
      <w:pPr>
        <w:pStyle w:val="NormalWeb"/>
        <w:spacing w:before="0" w:beforeAutospacing="0" w:after="0" w:afterAutospacing="0" w:line="288" w:lineRule="atLeast"/>
        <w:rPr>
          <w:rFonts w:ascii="Cambria" w:hAnsi="Cambria" w:cs="Calibri Light"/>
        </w:rPr>
      </w:pPr>
      <w:r w:rsidRPr="00AD2809">
        <w:rPr>
          <w:rFonts w:ascii="Cambria" w:hAnsi="Cambria" w:cs="Calibri Light"/>
        </w:rPr>
        <w:t xml:space="preserve">4.  </w:t>
      </w:r>
      <w:r w:rsidRPr="00AD2809">
        <w:rPr>
          <w:rFonts w:ascii="Cambria" w:hAnsi="Cambria" w:cs="Calibri Light"/>
          <w:u w:val="single"/>
        </w:rPr>
        <w:t>Tests of Procedures</w:t>
      </w:r>
      <w:r w:rsidRPr="00AD2809" w:rsidR="00076309">
        <w:rPr>
          <w:rFonts w:ascii="Cambria" w:hAnsi="Cambria" w:cs="Calibri Light"/>
        </w:rPr>
        <w:t xml:space="preserve"> </w:t>
      </w:r>
    </w:p>
    <w:p w:rsidR="00375B70" w:rsidRPr="00AD2809" w:rsidP="00B91B89" w14:paraId="59B1126B" w14:textId="791C83B6">
      <w:pPr>
        <w:pStyle w:val="NormalWeb"/>
        <w:spacing w:before="0" w:beforeAutospacing="0" w:after="0" w:afterAutospacing="0" w:line="288" w:lineRule="atLeast"/>
        <w:rPr>
          <w:rFonts w:ascii="Cambria" w:hAnsi="Cambria" w:cs="Calibri Light"/>
          <w:i/>
        </w:rPr>
      </w:pPr>
    </w:p>
    <w:p w:rsidR="00375B70" w:rsidRPr="00AD2809" w:rsidP="00B91B89" w14:paraId="55F5CC16" w14:textId="74F911B5">
      <w:pPr>
        <w:pStyle w:val="NormalWeb"/>
        <w:spacing w:before="0" w:beforeAutospacing="0" w:after="0" w:afterAutospacing="0" w:line="288" w:lineRule="atLeast"/>
        <w:rPr>
          <w:rFonts w:ascii="Cambria" w:hAnsi="Cambria" w:cs="Calibri Light"/>
          <w:iCs/>
        </w:rPr>
      </w:pPr>
      <w:r w:rsidRPr="00AD2809">
        <w:rPr>
          <w:rFonts w:ascii="Cambria" w:hAnsi="Cambria" w:cs="Calibri Light"/>
          <w:iCs/>
        </w:rPr>
        <w:t>Focus group protocols and study procedures were reviewed by roughly six Army and Air Force fellows at RAND. These fellows are active-duty service members who spend a year at RAND and are generally between the ranks of O3 and O6. In addition to written feedback, we also held a group discussion with the full research team and the fellows.</w:t>
      </w:r>
    </w:p>
    <w:p w:rsidR="005E0A0F" w:rsidRPr="00AD2809" w:rsidP="00B91B89" w14:paraId="6E742A40" w14:textId="2807A918">
      <w:pPr>
        <w:pStyle w:val="NormalWeb"/>
        <w:spacing w:after="0" w:afterAutospacing="0" w:line="288" w:lineRule="atLeast"/>
        <w:rPr>
          <w:rFonts w:ascii="Cambria" w:hAnsi="Cambria"/>
        </w:rPr>
      </w:pPr>
      <w:r w:rsidRPr="00AD2809">
        <w:rPr>
          <w:rFonts w:ascii="Cambria" w:hAnsi="Cambria" w:cs="Calibri Light"/>
        </w:rPr>
        <w:t xml:space="preserve">5.  </w:t>
      </w:r>
      <w:r w:rsidRPr="00AD2809">
        <w:rPr>
          <w:rFonts w:ascii="Cambria" w:hAnsi="Cambria" w:cs="Calibri Light"/>
          <w:u w:val="single"/>
        </w:rPr>
        <w:t>Statistical Consultation and Information Analysis</w:t>
      </w:r>
      <w:r w:rsidRPr="00AD2809" w:rsidR="00076309">
        <w:rPr>
          <w:rFonts w:ascii="Cambria" w:hAnsi="Cambria" w:cs="Calibri Light"/>
        </w:rPr>
        <w:t xml:space="preserve"> </w:t>
      </w:r>
    </w:p>
    <w:p w:rsidR="00076309" w:rsidRPr="00AD2809" w:rsidP="00076309" w14:paraId="3B100A7C" w14:textId="6D12E2D4">
      <w:pPr>
        <w:pStyle w:val="NormalWeb"/>
        <w:spacing w:line="288" w:lineRule="atLeast"/>
        <w:rPr>
          <w:rFonts w:ascii="Cambria" w:eastAsia="Calibri" w:hAnsi="Cambria"/>
          <w:szCs w:val="22"/>
        </w:rPr>
      </w:pPr>
      <w:r w:rsidRPr="00AD2809">
        <w:rPr>
          <w:rFonts w:ascii="Cambria" w:eastAsia="Calibri" w:hAnsi="Cambria"/>
          <w:szCs w:val="22"/>
        </w:rPr>
        <w:t xml:space="preserve">No additional consultation apart from soliciting public comments through the Federal Register was conducted for this submission. </w:t>
      </w:r>
    </w:p>
    <w:p w:rsidR="00076309" w:rsidRPr="00AD2809" w:rsidP="00C45E29" w14:paraId="716EFD07" w14:textId="78EFF223">
      <w:pPr>
        <w:pStyle w:val="NormalWeb"/>
        <w:spacing w:before="0" w:beforeAutospacing="0" w:after="0" w:afterAutospacing="0" w:line="288" w:lineRule="atLeast"/>
        <w:rPr>
          <w:rFonts w:ascii="Cambria" w:hAnsi="Cambria" w:cs="Calibri Light"/>
          <w:i/>
        </w:rPr>
      </w:pPr>
      <w:r>
        <w:rPr>
          <w:rFonts w:ascii="Cambria" w:hAnsi="Cambria"/>
          <w:iCs/>
        </w:rPr>
        <w:t xml:space="preserve">RAND Arroyo Center researchers will collect and analyze the information. </w:t>
      </w:r>
    </w:p>
    <w:p w:rsidR="00F1447C" w:rsidRPr="00AD2809" w:rsidP="001A7BBD" w14:paraId="49EDE868" w14:textId="77777777">
      <w:pPr>
        <w:pStyle w:val="NormalWeb"/>
        <w:spacing w:line="288" w:lineRule="atLeast"/>
        <w:ind w:left="432" w:firstLine="720"/>
        <w:rPr>
          <w:rFonts w:ascii="Cambria" w:hAnsi="Cambria" w:cs="Calibri Light"/>
        </w:rPr>
      </w:pP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rsidP="00EE2985" w14:paraId="689CB704"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C5F565F"/>
    <w:multiLevelType w:val="hybridMultilevel"/>
    <w:tmpl w:val="F906EF46"/>
    <w:lvl w:ilvl="0">
      <w:start w:val="4"/>
      <w:numFmt w:val="bullet"/>
      <w:lvlText w:val="•"/>
      <w:lvlJc w:val="left"/>
      <w:pPr>
        <w:ind w:left="1080" w:hanging="720"/>
      </w:pPr>
      <w:rPr>
        <w:rFonts w:ascii="Cambria" w:eastAsia="Times New Roman" w:hAnsi="Cambria"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792E73"/>
    <w:multiLevelType w:val="hybridMultilevel"/>
    <w:tmpl w:val="647E8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5C59"/>
    <w:rsid w:val="00025B1C"/>
    <w:rsid w:val="00076309"/>
    <w:rsid w:val="000B0B75"/>
    <w:rsid w:val="000B7687"/>
    <w:rsid w:val="000D01E5"/>
    <w:rsid w:val="00102704"/>
    <w:rsid w:val="0011279F"/>
    <w:rsid w:val="00123481"/>
    <w:rsid w:val="00134861"/>
    <w:rsid w:val="00146F7E"/>
    <w:rsid w:val="001A7BBD"/>
    <w:rsid w:val="001D0281"/>
    <w:rsid w:val="002C006C"/>
    <w:rsid w:val="0030008B"/>
    <w:rsid w:val="00343185"/>
    <w:rsid w:val="00375B70"/>
    <w:rsid w:val="003856F2"/>
    <w:rsid w:val="003A4E2C"/>
    <w:rsid w:val="003C053A"/>
    <w:rsid w:val="00426DB6"/>
    <w:rsid w:val="00440E7A"/>
    <w:rsid w:val="004B1797"/>
    <w:rsid w:val="004E7EBC"/>
    <w:rsid w:val="0052128F"/>
    <w:rsid w:val="00545407"/>
    <w:rsid w:val="0057504F"/>
    <w:rsid w:val="0058679B"/>
    <w:rsid w:val="005E0A0F"/>
    <w:rsid w:val="00661ADD"/>
    <w:rsid w:val="00697C86"/>
    <w:rsid w:val="006A2ECB"/>
    <w:rsid w:val="006B2B17"/>
    <w:rsid w:val="006E1F6B"/>
    <w:rsid w:val="006F3F40"/>
    <w:rsid w:val="0072632F"/>
    <w:rsid w:val="00742BD0"/>
    <w:rsid w:val="00764C11"/>
    <w:rsid w:val="007C51AB"/>
    <w:rsid w:val="007D5D39"/>
    <w:rsid w:val="00804DC7"/>
    <w:rsid w:val="00821454"/>
    <w:rsid w:val="00856766"/>
    <w:rsid w:val="008C710F"/>
    <w:rsid w:val="0092091E"/>
    <w:rsid w:val="0092788B"/>
    <w:rsid w:val="00977A74"/>
    <w:rsid w:val="0099528C"/>
    <w:rsid w:val="009C6D36"/>
    <w:rsid w:val="009F0B30"/>
    <w:rsid w:val="009F28DB"/>
    <w:rsid w:val="00A93CBF"/>
    <w:rsid w:val="00AA430B"/>
    <w:rsid w:val="00AD2809"/>
    <w:rsid w:val="00B74856"/>
    <w:rsid w:val="00B91B89"/>
    <w:rsid w:val="00BD66B1"/>
    <w:rsid w:val="00C27E84"/>
    <w:rsid w:val="00C34D08"/>
    <w:rsid w:val="00C45E29"/>
    <w:rsid w:val="00C53FA6"/>
    <w:rsid w:val="00C66D8C"/>
    <w:rsid w:val="00C74FA7"/>
    <w:rsid w:val="00C814D3"/>
    <w:rsid w:val="00CB169B"/>
    <w:rsid w:val="00CC0BCC"/>
    <w:rsid w:val="00D051C7"/>
    <w:rsid w:val="00D35BDC"/>
    <w:rsid w:val="00D46148"/>
    <w:rsid w:val="00DE6FFE"/>
    <w:rsid w:val="00E75F1D"/>
    <w:rsid w:val="00EB4A0C"/>
    <w:rsid w:val="00EE2985"/>
    <w:rsid w:val="00F035AB"/>
    <w:rsid w:val="00F1447C"/>
    <w:rsid w:val="00F434B6"/>
    <w:rsid w:val="00F7704B"/>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DAD63"/>
  <w15:chartTrackingRefBased/>
  <w15:docId w15:val="{4E7E591A-34BC-417B-BA1C-0AB5268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 w:type="table" w:customStyle="1" w:styleId="TableGrid1">
    <w:name w:val="Table Grid1"/>
    <w:basedOn w:val="TableNormal"/>
    <w:next w:val="TableGrid"/>
    <w:uiPriority w:val="39"/>
    <w:rsid w:val="00375B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75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ECB"/>
    <w:rPr>
      <w:color w:val="0563C1" w:themeColor="hyperlink"/>
      <w:u w:val="single"/>
    </w:rPr>
  </w:style>
  <w:style w:type="character" w:styleId="UnresolvedMention">
    <w:name w:val="Unresolved Mention"/>
    <w:basedOn w:val="DefaultParagraphFont"/>
    <w:uiPriority w:val="99"/>
    <w:semiHidden/>
    <w:unhideWhenUsed/>
    <w:rsid w:val="006A2ECB"/>
    <w:rPr>
      <w:color w:val="605E5C"/>
      <w:shd w:val="clear" w:color="auto" w:fill="E1DFDD"/>
    </w:rPr>
  </w:style>
  <w:style w:type="paragraph" w:styleId="Revision">
    <w:name w:val="Revision"/>
    <w:hidden/>
    <w:uiPriority w:val="99"/>
    <w:semiHidden/>
    <w:rsid w:val="00C814D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and.org/pubs/research_reports/RRA1013-1.html" TargetMode="External" /><Relationship Id="rId8" Type="http://schemas.openxmlformats.org/officeDocument/2006/relationships/hyperlink" Target="https://www.opa.mil/research-analysis/opa-surveys/defense-organizational-climate-surve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0DCC2712D2D47BD2458DFB8B1D13C" ma:contentTypeVersion="4" ma:contentTypeDescription="Create a new document." ma:contentTypeScope="" ma:versionID="22ef85a956f48c19ddcced1ab34f3cb4">
  <xsd:schema xmlns:xsd="http://www.w3.org/2001/XMLSchema" xmlns:xs="http://www.w3.org/2001/XMLSchema" xmlns:p="http://schemas.microsoft.com/office/2006/metadata/properties" xmlns:ns2="ba1ae95e-e4f2-4b0c-8560-8cb8f4598475" xmlns:ns3="ee2af655-27c7-414c-b935-24caf7b63239" targetNamespace="http://schemas.microsoft.com/office/2006/metadata/properties" ma:root="true" ma:fieldsID="a65a8ee6575ac8e62d5fae98ce8e50df" ns2:_="" ns3:_="">
    <xsd:import namespace="ba1ae95e-e4f2-4b0c-8560-8cb8f4598475"/>
    <xsd:import namespace="ee2af655-27c7-414c-b935-24caf7b632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e95e-e4f2-4b0c-8560-8cb8f4598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af655-27c7-414c-b935-24caf7b632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48A59-1819-437E-8202-1A2717675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593AC-6ECF-4736-9FD3-FCCC1E609483}">
  <ds:schemaRefs>
    <ds:schemaRef ds:uri="http://schemas.microsoft.com/sharepoint/v3/contenttype/forms"/>
  </ds:schemaRefs>
</ds:datastoreItem>
</file>

<file path=customXml/itemProps3.xml><?xml version="1.0" encoding="utf-8"?>
<ds:datastoreItem xmlns:ds="http://schemas.openxmlformats.org/officeDocument/2006/customXml" ds:itemID="{584FD7FD-825B-44B9-98D0-2506BEBC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e95e-e4f2-4b0c-8560-8cb8f4598475"/>
    <ds:schemaRef ds:uri="ee2af655-27c7-414c-b935-24caf7b63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2023-04-07T15:03:00Z</dcterms:created>
  <dcterms:modified xsi:type="dcterms:W3CDTF">2023-04-07T15:03:00Z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0x0101007FF0DCC2712D2D47BD2458DFB8B1D13C</vt:lpwstr>
  </property>
</Properties>
</file>