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6C04" w:rsidP="00EA6C04" w14:paraId="05DA39C3" w14:textId="77777777">
      <w:pPr>
        <w:jc w:val="center"/>
        <w:rPr>
          <w:rFonts w:asciiTheme="majorHAnsi" w:hAnsiTheme="majorHAnsi"/>
          <w:sz w:val="28"/>
          <w:u w:val="single"/>
        </w:rPr>
      </w:pPr>
    </w:p>
    <w:p w:rsidR="00EA6C04" w:rsidP="00EA6C04" w14:paraId="1FE69A59" w14:textId="77777777">
      <w:pPr>
        <w:jc w:val="center"/>
        <w:rPr>
          <w:rFonts w:asciiTheme="majorHAnsi" w:hAnsiTheme="majorHAnsi"/>
          <w:sz w:val="28"/>
          <w:u w:val="single"/>
        </w:rPr>
      </w:pPr>
    </w:p>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1B2260" w:rsidP="001B2260" w14:paraId="3DDFD695" w14:textId="2DFE5FB2">
      <w:pPr>
        <w:jc w:val="center"/>
        <w:rPr>
          <w:rFonts w:asciiTheme="majorHAnsi" w:hAnsiTheme="majorHAnsi"/>
          <w:sz w:val="24"/>
        </w:rPr>
      </w:pPr>
      <w:r>
        <w:rPr>
          <w:rFonts w:asciiTheme="majorHAnsi" w:hAnsiTheme="majorHAnsi"/>
          <w:sz w:val="24"/>
        </w:rPr>
        <w:t>Qualitative Research to Better Understand the Experiences of Racial/Ethnic Minority Service Members  (OMB Control Number 0704-0644)</w:t>
      </w:r>
    </w:p>
    <w:p w:rsidR="001B2260" w:rsidRPr="007E26C3" w:rsidP="001B2260" w14:paraId="4F37F914" w14:textId="6375D359">
      <w:pPr>
        <w:jc w:val="center"/>
        <w:rPr>
          <w:rFonts w:asciiTheme="majorHAnsi" w:hAnsiTheme="majorHAnsi"/>
          <w:i/>
          <w:iCs/>
          <w:sz w:val="24"/>
        </w:rPr>
      </w:pPr>
      <w:r>
        <w:rPr>
          <w:rFonts w:asciiTheme="majorHAnsi" w:hAnsiTheme="majorHAnsi"/>
          <w:sz w:val="24"/>
        </w:rPr>
        <w:t xml:space="preserve">Title of Collection: </w:t>
      </w:r>
      <w:r w:rsidR="005E79C8">
        <w:rPr>
          <w:rFonts w:asciiTheme="majorHAnsi" w:hAnsiTheme="majorHAnsi"/>
          <w:i/>
          <w:iCs/>
          <w:sz w:val="24"/>
        </w:rPr>
        <w:t>Qualitative Research to Better Understand the Experiences of Racial/Ethnic Minority Service Members</w:t>
      </w:r>
    </w:p>
    <w:p w:rsidR="001B2260" w:rsidP="001B2260" w14:paraId="315B6423" w14:textId="74C4AD28">
      <w:pPr>
        <w:jc w:val="center"/>
        <w:rPr>
          <w:rFonts w:asciiTheme="majorHAnsi" w:hAnsiTheme="majorHAnsi"/>
          <w:sz w:val="24"/>
        </w:rPr>
      </w:pPr>
      <w:r>
        <w:rPr>
          <w:rFonts w:asciiTheme="majorHAnsi" w:hAnsiTheme="majorHAnsi"/>
          <w:sz w:val="24"/>
        </w:rPr>
        <w:t xml:space="preserve">Expected Fielding Dates: </w:t>
      </w:r>
      <w:r w:rsidR="001044B2">
        <w:rPr>
          <w:rFonts w:asciiTheme="majorHAnsi" w:hAnsiTheme="majorHAnsi"/>
          <w:sz w:val="24"/>
        </w:rPr>
        <w:t>1</w:t>
      </w:r>
      <w:r>
        <w:rPr>
          <w:rFonts w:asciiTheme="majorHAnsi" w:hAnsiTheme="majorHAnsi"/>
          <w:sz w:val="24"/>
        </w:rPr>
        <w:t xml:space="preserve"> </w:t>
      </w:r>
      <w:r w:rsidR="001044B2">
        <w:rPr>
          <w:rFonts w:asciiTheme="majorHAnsi" w:hAnsiTheme="majorHAnsi"/>
          <w:sz w:val="24"/>
        </w:rPr>
        <w:t>June</w:t>
      </w:r>
      <w:r>
        <w:rPr>
          <w:rFonts w:asciiTheme="majorHAnsi" w:hAnsiTheme="majorHAnsi"/>
          <w:sz w:val="24"/>
        </w:rPr>
        <w:t xml:space="preserve"> </w:t>
      </w:r>
      <w:r w:rsidR="005E79C8">
        <w:rPr>
          <w:rFonts w:asciiTheme="majorHAnsi" w:hAnsiTheme="majorHAnsi"/>
          <w:sz w:val="24"/>
        </w:rPr>
        <w:t>2024</w:t>
      </w:r>
      <w:r>
        <w:rPr>
          <w:rFonts w:asciiTheme="majorHAnsi" w:hAnsiTheme="majorHAnsi"/>
          <w:sz w:val="24"/>
        </w:rPr>
        <w:t xml:space="preserve"> – </w:t>
      </w:r>
      <w:r w:rsidR="001044B2">
        <w:rPr>
          <w:rFonts w:asciiTheme="majorHAnsi" w:hAnsiTheme="majorHAnsi"/>
          <w:sz w:val="24"/>
        </w:rPr>
        <w:t>31 July</w:t>
      </w:r>
      <w:r>
        <w:rPr>
          <w:rFonts w:asciiTheme="majorHAnsi" w:hAnsiTheme="majorHAnsi"/>
          <w:sz w:val="24"/>
        </w:rPr>
        <w:t xml:space="preserve"> </w:t>
      </w:r>
      <w:r w:rsidR="001044B2">
        <w:rPr>
          <w:rFonts w:asciiTheme="majorHAnsi" w:hAnsiTheme="majorHAnsi"/>
          <w:sz w:val="24"/>
        </w:rPr>
        <w:t>2024</w:t>
      </w:r>
    </w:p>
    <w:p w:rsidR="00340D9B" w:rsidRPr="001B2260" w:rsidP="001B2260" w14:paraId="393ADEE9" w14:textId="77777777">
      <w:pPr>
        <w:spacing w:after="0" w:line="240" w:lineRule="auto"/>
        <w:rPr>
          <w:rFonts w:asciiTheme="majorHAnsi" w:hAnsiTheme="majorHAnsi"/>
          <w:sz w:val="24"/>
        </w:rPr>
      </w:pPr>
    </w:p>
    <w:p w:rsidR="00340D9B" w:rsidP="006E563D" w14:paraId="2286762D" w14:textId="77777777">
      <w:pPr>
        <w:spacing w:after="0" w:line="240" w:lineRule="auto"/>
        <w:rPr>
          <w:rFonts w:asciiTheme="majorHAnsi" w:hAnsiTheme="majorHAnsi"/>
          <w:sz w:val="24"/>
        </w:rPr>
      </w:pPr>
    </w:p>
    <w:p w:rsidR="005C7428" w:rsidRPr="0085688C" w:rsidP="006E563D" w14:paraId="1B70548C" w14:textId="267F4973">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E79C8" w:rsidRPr="0042040B" w:rsidP="005E79C8" w14:paraId="6871009B" w14:textId="2E75C1FA">
      <w:pPr>
        <w:spacing w:after="0" w:line="240" w:lineRule="auto"/>
        <w:rPr>
          <w:rFonts w:ascii="Times New Roman" w:hAnsi="Times New Roman" w:cs="Times New Roman"/>
          <w:iCs/>
          <w:sz w:val="24"/>
        </w:rPr>
      </w:pPr>
      <w:r w:rsidRPr="0042040B">
        <w:rPr>
          <w:rFonts w:ascii="Times New Roman" w:hAnsi="Times New Roman" w:cs="Times New Roman"/>
          <w:iCs/>
          <w:sz w:val="24"/>
        </w:rPr>
        <w:t xml:space="preserve">In 2021, at the direction of President Biden, Secretary of Defense Lloyd Austin ordered an Independent Review </w:t>
      </w:r>
      <w:r w:rsidRPr="0042040B">
        <w:rPr>
          <w:rFonts w:ascii="Times New Roman" w:hAnsi="Times New Roman" w:cs="Times New Roman"/>
          <w:iCs/>
          <w:sz w:val="24"/>
        </w:rPr>
        <w:t>Commission (IRC) to review sexual assault in the military and provide recommendations to remedy the issue within the Department of Defense</w:t>
      </w:r>
      <w:r w:rsidR="00990FF1">
        <w:rPr>
          <w:rFonts w:ascii="Times New Roman" w:hAnsi="Times New Roman" w:cs="Times New Roman"/>
          <w:iCs/>
          <w:sz w:val="24"/>
        </w:rPr>
        <w:t>,</w:t>
      </w:r>
      <w:r w:rsidRPr="00990FF1" w:rsidR="00990FF1">
        <w:t xml:space="preserve"> </w:t>
      </w:r>
      <w:hyperlink r:id="rId4" w:history="1">
        <w:r w:rsidRPr="00D51263" w:rsidR="00990FF1">
          <w:rPr>
            <w:rStyle w:val="Hyperlink"/>
            <w:rFonts w:ascii="Times New Roman" w:hAnsi="Times New Roman" w:cs="Times New Roman"/>
            <w:iCs/>
            <w:sz w:val="24"/>
          </w:rPr>
          <w:t>https://media.defense.gov/2021/Feb/26/2002590163/-1/-1/0/APPROVAL-OF-MEMO-DIRECTING-IMMEDIATE-ACTIONS-TO-COUNTER-SEXUAL-ASSAULT-AND-HARASSMENT.PDF</w:t>
        </w:r>
      </w:hyperlink>
      <w:r w:rsidR="00990FF1">
        <w:rPr>
          <w:rFonts w:ascii="Times New Roman" w:hAnsi="Times New Roman" w:cs="Times New Roman"/>
          <w:iCs/>
          <w:sz w:val="24"/>
        </w:rPr>
        <w:t xml:space="preserve">.  </w:t>
      </w:r>
      <w:r w:rsidRPr="0042040B">
        <w:rPr>
          <w:rFonts w:ascii="Times New Roman" w:hAnsi="Times New Roman" w:cs="Times New Roman"/>
          <w:iCs/>
          <w:sz w:val="24"/>
        </w:rPr>
        <w:t>In issuing their report, a</w:t>
      </w:r>
      <w:r w:rsidRPr="0042040B">
        <w:rPr>
          <w:rFonts w:ascii="Times New Roman" w:hAnsi="Times New Roman" w:cs="Times New Roman"/>
          <w:iCs/>
          <w:sz w:val="24"/>
        </w:rPr>
        <w:t>mong other recommendations, the IRC advised “the Department should commission qualitative research to better understand the experiences of racial/ethnic minority service members and their perceptions of climate, attitudes, and experiences with sexual assau</w:t>
      </w:r>
      <w:r w:rsidRPr="0042040B">
        <w:rPr>
          <w:rFonts w:ascii="Times New Roman" w:hAnsi="Times New Roman" w:cs="Times New Roman"/>
          <w:iCs/>
          <w:sz w:val="24"/>
        </w:rPr>
        <w:t xml:space="preserve">lt and sexual harassment, and gender and racial discrimination,” (Recommendation c7.1).  This proposed </w:t>
      </w:r>
      <w:r w:rsidR="00D409B8">
        <w:rPr>
          <w:rFonts w:ascii="Times New Roman" w:hAnsi="Times New Roman" w:cs="Times New Roman"/>
          <w:iCs/>
          <w:sz w:val="24"/>
        </w:rPr>
        <w:t xml:space="preserve">project </w:t>
      </w:r>
      <w:r w:rsidRPr="0042040B">
        <w:rPr>
          <w:rFonts w:ascii="Times New Roman" w:hAnsi="Times New Roman" w:cs="Times New Roman"/>
          <w:iCs/>
          <w:sz w:val="24"/>
        </w:rPr>
        <w:t>is in response to that specific recommendation by the IRC to better understand the intersection of gender, race, and ethnicity and experiences of</w:t>
      </w:r>
      <w:r w:rsidRPr="0042040B">
        <w:rPr>
          <w:rFonts w:ascii="Times New Roman" w:hAnsi="Times New Roman" w:cs="Times New Roman"/>
          <w:iCs/>
          <w:sz w:val="24"/>
        </w:rPr>
        <w:t xml:space="preserve"> sexual assault, sexual harassment, gender discrimination, and racial discrimination.</w:t>
      </w:r>
    </w:p>
    <w:p w:rsidR="005764BA" w:rsidRPr="0042040B" w:rsidP="005E79C8" w14:paraId="455FA344" w14:textId="4479D320">
      <w:pPr>
        <w:spacing w:after="0" w:line="240" w:lineRule="auto"/>
        <w:rPr>
          <w:rFonts w:ascii="Times New Roman" w:hAnsi="Times New Roman" w:cs="Times New Roman"/>
          <w:iCs/>
          <w:sz w:val="24"/>
        </w:rPr>
      </w:pPr>
      <w:r w:rsidRPr="0042040B">
        <w:rPr>
          <w:rFonts w:ascii="Times New Roman" w:hAnsi="Times New Roman" w:cs="Times New Roman"/>
          <w:iCs/>
          <w:sz w:val="24"/>
        </w:rPr>
        <w:t xml:space="preserve">Furthermore, this </w:t>
      </w:r>
      <w:r w:rsidR="00D409B8">
        <w:rPr>
          <w:rFonts w:ascii="Times New Roman" w:hAnsi="Times New Roman" w:cs="Times New Roman"/>
          <w:iCs/>
          <w:sz w:val="24"/>
        </w:rPr>
        <w:t xml:space="preserve">project </w:t>
      </w:r>
      <w:r w:rsidRPr="0042040B">
        <w:rPr>
          <w:rFonts w:ascii="Times New Roman" w:hAnsi="Times New Roman" w:cs="Times New Roman"/>
          <w:iCs/>
          <w:sz w:val="24"/>
        </w:rPr>
        <w:t>will address a critical knowledge gap that exists within the DoD.  The DoD is committed to diversity, equity, and inclusion, and has conducted p</w:t>
      </w:r>
      <w:r w:rsidRPr="0042040B">
        <w:rPr>
          <w:rFonts w:ascii="Times New Roman" w:hAnsi="Times New Roman" w:cs="Times New Roman"/>
          <w:iCs/>
          <w:sz w:val="24"/>
        </w:rPr>
        <w:t xml:space="preserve">ast </w:t>
      </w:r>
      <w:r w:rsidR="00D409B8">
        <w:rPr>
          <w:rFonts w:ascii="Times New Roman" w:hAnsi="Times New Roman" w:cs="Times New Roman"/>
          <w:iCs/>
          <w:sz w:val="24"/>
        </w:rPr>
        <w:t xml:space="preserve">studies </w:t>
      </w:r>
      <w:r w:rsidRPr="0042040B">
        <w:rPr>
          <w:rFonts w:ascii="Times New Roman" w:hAnsi="Times New Roman" w:cs="Times New Roman"/>
          <w:iCs/>
          <w:sz w:val="24"/>
        </w:rPr>
        <w:t xml:space="preserve">in this area; however, there are limited data on how racial/ethnic minority Service members perceive and experience sexual assault, sexual harassment, gender discrimination, and racial discrimination.  This gap persists despite </w:t>
      </w:r>
      <w:r w:rsidR="00D409B8">
        <w:rPr>
          <w:rFonts w:ascii="Times New Roman" w:hAnsi="Times New Roman" w:cs="Times New Roman"/>
          <w:iCs/>
          <w:sz w:val="24"/>
        </w:rPr>
        <w:t xml:space="preserve">data </w:t>
      </w:r>
      <w:r w:rsidRPr="0042040B">
        <w:rPr>
          <w:rFonts w:ascii="Times New Roman" w:hAnsi="Times New Roman" w:cs="Times New Roman"/>
          <w:iCs/>
          <w:sz w:val="24"/>
        </w:rPr>
        <w:t>that indica</w:t>
      </w:r>
      <w:r w:rsidRPr="0042040B">
        <w:rPr>
          <w:rFonts w:ascii="Times New Roman" w:hAnsi="Times New Roman" w:cs="Times New Roman"/>
          <w:iCs/>
          <w:sz w:val="24"/>
        </w:rPr>
        <w:t xml:space="preserve">tes racial/ethnic minority Service members are at an increased risk for these unwanted experiences (Breslin et al., 2022; Daniel et al., 2019).  Using data from the 2017 Workplace and Equal Opportunity Survey of Active Duty Members, </w:t>
      </w:r>
      <w:r w:rsidR="00D409B8">
        <w:rPr>
          <w:rFonts w:ascii="Times New Roman" w:hAnsi="Times New Roman" w:cs="Times New Roman"/>
          <w:iCs/>
          <w:sz w:val="24"/>
        </w:rPr>
        <w:t xml:space="preserve">it was </w:t>
      </w:r>
      <w:r w:rsidRPr="0042040B">
        <w:rPr>
          <w:rFonts w:ascii="Times New Roman" w:hAnsi="Times New Roman" w:cs="Times New Roman"/>
          <w:iCs/>
          <w:sz w:val="24"/>
        </w:rPr>
        <w:t>found</w:t>
      </w:r>
      <w:r w:rsidR="00D409B8">
        <w:rPr>
          <w:rFonts w:ascii="Times New Roman" w:hAnsi="Times New Roman" w:cs="Times New Roman"/>
          <w:iCs/>
          <w:sz w:val="24"/>
        </w:rPr>
        <w:t xml:space="preserve"> that</w:t>
      </w:r>
      <w:r w:rsidRPr="0042040B">
        <w:rPr>
          <w:rFonts w:ascii="Times New Roman" w:hAnsi="Times New Roman" w:cs="Times New Roman"/>
          <w:iCs/>
          <w:sz w:val="24"/>
        </w:rPr>
        <w:t xml:space="preserve"> Activ</w:t>
      </w:r>
      <w:r w:rsidRPr="0042040B">
        <w:rPr>
          <w:rFonts w:ascii="Times New Roman" w:hAnsi="Times New Roman" w:cs="Times New Roman"/>
          <w:iCs/>
          <w:sz w:val="24"/>
        </w:rPr>
        <w:t>e duty Service members who reported an unhealthy diversity and inclusion climate (e.g., experienced racial/ethnic harassment and discrimination, hazing/bullying) were more likely to identify as racial/ethnic minority members, female, and/or not heterosexua</w:t>
      </w:r>
      <w:r w:rsidRPr="0042040B">
        <w:rPr>
          <w:rFonts w:ascii="Times New Roman" w:hAnsi="Times New Roman" w:cs="Times New Roman"/>
          <w:iCs/>
          <w:sz w:val="24"/>
        </w:rPr>
        <w:t>l (Daniel et al., 2022).  As experiences of sexual assault, sexual harassment, gender discrimination, and racial discrimination are associated with decreased health (e.g., overall wellbeing, increased depression, anxiety), they threaten not only the health</w:t>
      </w:r>
      <w:r w:rsidRPr="0042040B">
        <w:rPr>
          <w:rFonts w:ascii="Times New Roman" w:hAnsi="Times New Roman" w:cs="Times New Roman"/>
          <w:iCs/>
          <w:sz w:val="24"/>
        </w:rPr>
        <w:t xml:space="preserve"> and wellbeing of individual Service members but the overall health and readiness of the military (Daniel et al., 2022). With the DoD already facing significant recruiting shortfalls the past few years, these systemic risks for racial/ethnic Service member</w:t>
      </w:r>
      <w:r w:rsidRPr="0042040B">
        <w:rPr>
          <w:rFonts w:ascii="Times New Roman" w:hAnsi="Times New Roman" w:cs="Times New Roman"/>
          <w:iCs/>
          <w:sz w:val="24"/>
        </w:rPr>
        <w:t>s further threaten recruitment and retention in the military.</w:t>
      </w:r>
      <w:r w:rsidRPr="0042040B" w:rsidR="00105F45">
        <w:rPr>
          <w:rFonts w:ascii="Times New Roman" w:hAnsi="Times New Roman" w:cs="Times New Roman"/>
          <w:iCs/>
          <w:sz w:val="24"/>
        </w:rPr>
        <w:t xml:space="preserve"> </w:t>
      </w:r>
      <w:r w:rsidRPr="0042040B" w:rsidR="00222D1B">
        <w:rPr>
          <w:rFonts w:ascii="Times New Roman" w:hAnsi="Times New Roman" w:cs="Times New Roman"/>
          <w:iCs/>
          <w:sz w:val="24"/>
        </w:rPr>
        <w:t xml:space="preserve"> </w:t>
      </w:r>
    </w:p>
    <w:p w:rsidR="00510F0C" w:rsidRPr="005E79C8" w:rsidP="006E563D" w14:paraId="04985F36" w14:textId="77777777">
      <w:pPr>
        <w:spacing w:after="0" w:line="240" w:lineRule="auto"/>
        <w:rPr>
          <w:rFonts w:asciiTheme="majorHAnsi" w:hAnsiTheme="majorHAnsi"/>
          <w:i/>
          <w:sz w:val="24"/>
        </w:rPr>
      </w:pPr>
    </w:p>
    <w:p w:rsidR="005C7428" w:rsidRPr="0085688C" w:rsidP="006E563D" w14:paraId="64894673" w14:textId="2386A13A">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42040B" w:rsidRPr="004204FB" w:rsidP="0042040B" w14:paraId="035A89FB"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This data collection will provide greater insight into the lived experiences of racial and/or ethnic minority Service members and their perceptions and experiences with sexual assault, sexual harassment and gender and racial discrimination.   By better und</w:t>
      </w:r>
      <w:r w:rsidRPr="004204FB">
        <w:rPr>
          <w:rFonts w:ascii="Times New Roman" w:hAnsi="Times New Roman" w:cs="Times New Roman"/>
          <w:iCs/>
          <w:sz w:val="24"/>
        </w:rPr>
        <w:t>erstanding the perspectives, attitudes, and lived experiences of Service members from racial/ethnic minority groups, we may provide tailored recommendations for military violence preventions, mitigation, and response that addresses the needs of each minori</w:t>
      </w:r>
      <w:r w:rsidRPr="004204FB">
        <w:rPr>
          <w:rFonts w:ascii="Times New Roman" w:hAnsi="Times New Roman" w:cs="Times New Roman"/>
          <w:iCs/>
          <w:sz w:val="24"/>
        </w:rPr>
        <w:t>ty group.  Findings may also be leveraged to better understand survey findings and inform future surveys that evaluate and impact policies, programs, and procedures in this mission space.  As this group faces an increased risk for experiencing these harmfu</w:t>
      </w:r>
      <w:r w:rsidRPr="004204FB">
        <w:rPr>
          <w:rFonts w:ascii="Times New Roman" w:hAnsi="Times New Roman" w:cs="Times New Roman"/>
          <w:iCs/>
          <w:sz w:val="24"/>
        </w:rPr>
        <w:t xml:space="preserve">l behaviors, it is important to understand how the intersection of gender and race/ethnicity influences the lives of Service members (Breslin et al., 2022; Daniel et al., 2019; Daniel et al., 2022).  </w:t>
      </w:r>
    </w:p>
    <w:p w:rsidR="002D486C" w:rsidP="0042040B" w14:paraId="7B94CD8E" w14:textId="436C15BC">
      <w:pPr>
        <w:spacing w:after="0" w:line="240" w:lineRule="auto"/>
        <w:rPr>
          <w:rFonts w:ascii="Times New Roman" w:hAnsi="Times New Roman" w:cs="Times New Roman"/>
          <w:iCs/>
          <w:sz w:val="24"/>
        </w:rPr>
      </w:pPr>
      <w:r w:rsidRPr="004204FB">
        <w:rPr>
          <w:rFonts w:ascii="Times New Roman" w:hAnsi="Times New Roman" w:cs="Times New Roman"/>
          <w:iCs/>
          <w:sz w:val="24"/>
        </w:rPr>
        <w:t>Focus groups will occur in-person and will be comprised</w:t>
      </w:r>
      <w:r w:rsidRPr="004204FB">
        <w:rPr>
          <w:rFonts w:ascii="Times New Roman" w:hAnsi="Times New Roman" w:cs="Times New Roman"/>
          <w:iCs/>
          <w:sz w:val="24"/>
        </w:rPr>
        <w:t xml:space="preserve"> of racial and/or ethnic minority Service members, segmented by gender (female or male), rank (Junior Enlisted E1-E4, Senior Enlisted E5-E9, and Officer), and racial/ethnic identity, to better illuminate the nuances of race/ethnicity in perceptions of sexu</w:t>
      </w:r>
      <w:r w:rsidRPr="004204FB">
        <w:rPr>
          <w:rFonts w:ascii="Times New Roman" w:hAnsi="Times New Roman" w:cs="Times New Roman"/>
          <w:iCs/>
          <w:sz w:val="24"/>
        </w:rPr>
        <w:t>al assault, sexual harassment and gender and racial discrimination.  See tables A2.1 and A2.2 for participant segmentation of focus groups.</w:t>
      </w:r>
    </w:p>
    <w:p w:rsidR="00197193" w:rsidRPr="00197193" w:rsidP="0042040B" w14:paraId="064633B4" w14:textId="77777777">
      <w:pPr>
        <w:spacing w:after="0" w:line="240" w:lineRule="auto"/>
        <w:rPr>
          <w:rFonts w:ascii="Times New Roman" w:hAnsi="Times New Roman" w:cs="Times New Roman"/>
          <w:b/>
          <w:bCs/>
          <w:i/>
          <w:sz w:val="24"/>
        </w:rPr>
      </w:pPr>
    </w:p>
    <w:p w:rsidR="00197193" w:rsidRPr="00197193" w:rsidP="0042040B" w14:paraId="280D3288" w14:textId="45B579CD">
      <w:pPr>
        <w:spacing w:after="0" w:line="240" w:lineRule="auto"/>
        <w:rPr>
          <w:rFonts w:ascii="Times New Roman" w:hAnsi="Times New Roman" w:cs="Times New Roman"/>
          <w:b/>
          <w:bCs/>
          <w:i/>
          <w:sz w:val="24"/>
        </w:rPr>
      </w:pPr>
      <w:r w:rsidRPr="00197193">
        <w:rPr>
          <w:rFonts w:ascii="Times New Roman" w:hAnsi="Times New Roman" w:cs="Times New Roman"/>
          <w:b/>
          <w:bCs/>
          <w:i/>
          <w:sz w:val="24"/>
        </w:rPr>
        <w:t>Table A2.1 Female Focus Groups</w:t>
      </w:r>
    </w:p>
    <w:tbl>
      <w:tblPr>
        <w:tblW w:w="0" w:type="dxa"/>
        <w:tblBorders>
          <w:top w:val="outset" w:sz="6" w:space="0" w:color="auto"/>
          <w:left w:val="outset" w:sz="6" w:space="0" w:color="auto"/>
          <w:bottom w:val="outset" w:sz="6" w:space="0" w:color="auto"/>
          <w:right w:val="outset" w:sz="6" w:space="0" w:color="auto"/>
        </w:tblBorders>
        <w:shd w:val="clear" w:color="auto" w:fill="548DD4"/>
        <w:tblCellMar>
          <w:left w:w="0" w:type="dxa"/>
          <w:right w:w="0" w:type="dxa"/>
        </w:tblCellMar>
        <w:tblLook w:val="04A0"/>
      </w:tblPr>
      <w:tblGrid>
        <w:gridCol w:w="1863"/>
        <w:gridCol w:w="1878"/>
        <w:gridCol w:w="1878"/>
        <w:gridCol w:w="1878"/>
        <w:gridCol w:w="1853"/>
      </w:tblGrid>
      <w:tr w14:paraId="38AF6C61" w14:textId="77777777" w:rsidTr="00E32A40">
        <w:tblPrEx>
          <w:tblW w:w="0" w:type="dxa"/>
          <w:tblBorders>
            <w:top w:val="outset" w:sz="6" w:space="0" w:color="auto"/>
            <w:left w:val="outset" w:sz="6" w:space="0" w:color="auto"/>
            <w:bottom w:val="outset" w:sz="6" w:space="0" w:color="auto"/>
            <w:right w:val="outset" w:sz="6" w:space="0" w:color="auto"/>
          </w:tblBorders>
          <w:shd w:val="clear" w:color="auto" w:fill="548DD4"/>
          <w:tblCellMar>
            <w:left w:w="0" w:type="dxa"/>
            <w:right w:w="0" w:type="dxa"/>
          </w:tblCellMar>
          <w:tblLook w:val="04A0"/>
        </w:tblPrEx>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197193" w:rsidRPr="004204FB" w:rsidP="00E32A40" w14:paraId="1F32004A"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Rank &amp; Gender </w:t>
            </w:r>
          </w:p>
        </w:tc>
        <w:tc>
          <w:tcPr>
            <w:tcW w:w="198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197193" w:rsidRPr="004204FB" w:rsidP="00E32A40" w14:paraId="5C41DDC3"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Female Officer </w:t>
            </w:r>
          </w:p>
        </w:tc>
        <w:tc>
          <w:tcPr>
            <w:tcW w:w="198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197193" w:rsidRPr="004204FB" w:rsidP="00E32A40" w14:paraId="65E57B99"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Female, Junior Enlisted (E1–E4) </w:t>
            </w:r>
          </w:p>
        </w:tc>
        <w:tc>
          <w:tcPr>
            <w:tcW w:w="198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197193" w:rsidRPr="004204FB" w:rsidP="00E32A40" w14:paraId="2FC37CCB"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xml:space="preserve">Female, Senior </w:t>
            </w:r>
            <w:r w:rsidRPr="004204FB">
              <w:rPr>
                <w:rFonts w:ascii="Times New Roman" w:hAnsi="Times New Roman" w:cs="Times New Roman"/>
                <w:iCs/>
                <w:sz w:val="24"/>
              </w:rPr>
              <w:t>Enlisted (E5–E9)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197193" w:rsidRPr="004204FB" w:rsidP="00E32A40" w14:paraId="799733E9"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4B1430F9" w14:textId="77777777" w:rsidTr="00E32A40">
        <w:tblPrEx>
          <w:tblW w:w="0" w:type="dxa"/>
          <w:shd w:val="clear" w:color="auto" w:fill="548DD4"/>
          <w:tblCellMar>
            <w:left w:w="0" w:type="dxa"/>
            <w:right w:w="0" w:type="dxa"/>
          </w:tblCellMar>
          <w:tblLook w:val="04A0"/>
        </w:tblPrEx>
        <w:trPr>
          <w:trHeight w:val="300"/>
        </w:trPr>
        <w:tc>
          <w:tcPr>
            <w:tcW w:w="1980" w:type="dxa"/>
            <w:tcBorders>
              <w:top w:val="single" w:sz="4"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3CDD8D18"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Minority Group </w:t>
            </w:r>
          </w:p>
        </w:tc>
        <w:tc>
          <w:tcPr>
            <w:tcW w:w="198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1A7AB2FA"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Black or African American </w:t>
            </w:r>
          </w:p>
        </w:tc>
        <w:tc>
          <w:tcPr>
            <w:tcW w:w="198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7030F1D1"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Black or African American </w:t>
            </w:r>
          </w:p>
        </w:tc>
        <w:tc>
          <w:tcPr>
            <w:tcW w:w="198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20B9C654"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Black or African American </w:t>
            </w:r>
          </w:p>
        </w:tc>
        <w:tc>
          <w:tcPr>
            <w:tcW w:w="1980" w:type="dxa"/>
            <w:tcBorders>
              <w:top w:val="single" w:sz="4"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11FA5178"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688FD12B" w14:textId="77777777" w:rsidTr="00E32A40">
        <w:tblPrEx>
          <w:tblW w:w="0" w:type="dxa"/>
          <w:shd w:val="clear" w:color="auto" w:fill="548DD4"/>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97193" w:rsidRPr="004204FB" w:rsidP="00E32A40" w14:paraId="60A7AC21"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1B834881"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Hispanic or Latino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16814087"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Hispanic or Latino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77952F57"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Hispanic or Latino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31461491"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53B92E34" w14:textId="77777777" w:rsidTr="00E32A40">
        <w:tblPrEx>
          <w:tblW w:w="0" w:type="dxa"/>
          <w:shd w:val="clear" w:color="auto" w:fill="548DD4"/>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97193" w:rsidRPr="004204FB" w:rsidP="00E32A40" w14:paraId="70585E4C"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0926773C"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Asian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23B8E262"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Asian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06D19C2D"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Asian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32612445"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1E53B07C" w14:textId="77777777" w:rsidTr="00E32A40">
        <w:tblPrEx>
          <w:tblW w:w="0" w:type="dxa"/>
          <w:shd w:val="clear" w:color="auto" w:fill="548DD4"/>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97193" w:rsidRPr="004204FB" w:rsidP="00E32A40" w14:paraId="022E5125"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45EB9A29"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Other; Multi-racial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7A85E6B1"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xml:space="preserve">Other; </w:t>
            </w:r>
            <w:r w:rsidRPr="004204FB">
              <w:rPr>
                <w:rFonts w:ascii="Times New Roman" w:hAnsi="Times New Roman" w:cs="Times New Roman"/>
                <w:iCs/>
                <w:sz w:val="24"/>
              </w:rPr>
              <w:t>Multi-racial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7DF0164C"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Other; Multi-racial </w:t>
            </w:r>
          </w:p>
        </w:tc>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197193" w:rsidRPr="004204FB" w:rsidP="00E32A40" w14:paraId="7E946781"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4DE034FB" w14:textId="77777777" w:rsidTr="00E32A40">
        <w:tblPrEx>
          <w:tblW w:w="0" w:type="dxa"/>
          <w:shd w:val="clear" w:color="auto" w:fill="548DD4"/>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rsidR="00197193" w:rsidRPr="004204FB" w:rsidP="00E32A40" w14:paraId="0BA638D3"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c>
          <w:tcPr>
            <w:tcW w:w="1980" w:type="dxa"/>
            <w:tcBorders>
              <w:top w:val="single" w:sz="6" w:space="0" w:color="auto"/>
              <w:left w:val="single" w:sz="6" w:space="0" w:color="auto"/>
              <w:bottom w:val="single" w:sz="6" w:space="0" w:color="auto"/>
              <w:right w:val="single" w:sz="6" w:space="0" w:color="auto"/>
            </w:tcBorders>
            <w:shd w:val="clear" w:color="auto" w:fill="B8CCE4"/>
            <w:hideMark/>
          </w:tcPr>
          <w:p w:rsidR="00197193" w:rsidRPr="004204FB" w:rsidP="00E32A40" w14:paraId="02DEBDD7"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8 Focus Groups </w:t>
            </w:r>
          </w:p>
        </w:tc>
        <w:tc>
          <w:tcPr>
            <w:tcW w:w="1980" w:type="dxa"/>
            <w:tcBorders>
              <w:top w:val="single" w:sz="6" w:space="0" w:color="auto"/>
              <w:left w:val="single" w:sz="6" w:space="0" w:color="auto"/>
              <w:bottom w:val="single" w:sz="6" w:space="0" w:color="auto"/>
              <w:right w:val="single" w:sz="6" w:space="0" w:color="auto"/>
            </w:tcBorders>
            <w:shd w:val="clear" w:color="auto" w:fill="B8CCE4"/>
            <w:hideMark/>
          </w:tcPr>
          <w:p w:rsidR="00197193" w:rsidRPr="004204FB" w:rsidP="00E32A40" w14:paraId="362583A6"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8 Focus Groups </w:t>
            </w:r>
          </w:p>
        </w:tc>
        <w:tc>
          <w:tcPr>
            <w:tcW w:w="1980" w:type="dxa"/>
            <w:tcBorders>
              <w:top w:val="single" w:sz="6" w:space="0" w:color="auto"/>
              <w:left w:val="single" w:sz="6" w:space="0" w:color="auto"/>
              <w:bottom w:val="single" w:sz="6" w:space="0" w:color="auto"/>
              <w:right w:val="single" w:sz="6" w:space="0" w:color="auto"/>
            </w:tcBorders>
            <w:shd w:val="clear" w:color="auto" w:fill="B8CCE4"/>
            <w:hideMark/>
          </w:tcPr>
          <w:p w:rsidR="00197193" w:rsidRPr="004204FB" w:rsidP="00E32A40" w14:paraId="58384708"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8 Focus Groups </w:t>
            </w:r>
          </w:p>
        </w:tc>
        <w:tc>
          <w:tcPr>
            <w:tcW w:w="1980" w:type="dxa"/>
            <w:tcBorders>
              <w:top w:val="single" w:sz="6" w:space="0" w:color="auto"/>
              <w:left w:val="single" w:sz="6" w:space="0" w:color="auto"/>
              <w:bottom w:val="single" w:sz="6" w:space="0" w:color="auto"/>
              <w:right w:val="single" w:sz="6" w:space="0" w:color="auto"/>
            </w:tcBorders>
            <w:shd w:val="clear" w:color="auto" w:fill="548DD4"/>
            <w:hideMark/>
          </w:tcPr>
          <w:p w:rsidR="00197193" w:rsidRPr="004204FB" w:rsidP="00E32A40" w14:paraId="0209D294"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24 Total Focus Groups </w:t>
            </w:r>
          </w:p>
        </w:tc>
      </w:tr>
    </w:tbl>
    <w:p w:rsidR="00197193" w:rsidP="0042040B" w14:paraId="6CFCCA28" w14:textId="77777777">
      <w:pPr>
        <w:spacing w:after="0" w:line="240" w:lineRule="auto"/>
        <w:rPr>
          <w:rFonts w:ascii="Times New Roman" w:hAnsi="Times New Roman" w:cs="Times New Roman"/>
          <w:iCs/>
          <w:sz w:val="24"/>
        </w:rPr>
      </w:pPr>
    </w:p>
    <w:p w:rsidR="00197193" w:rsidRPr="00197193" w:rsidP="0042040B" w14:paraId="60E6991E" w14:textId="3D9DB077">
      <w:pPr>
        <w:spacing w:after="0" w:line="240" w:lineRule="auto"/>
        <w:rPr>
          <w:rFonts w:ascii="Times New Roman" w:hAnsi="Times New Roman" w:cs="Times New Roman"/>
          <w:b/>
          <w:bCs/>
          <w:i/>
          <w:sz w:val="24"/>
        </w:rPr>
      </w:pPr>
      <w:r w:rsidRPr="00197193">
        <w:rPr>
          <w:rFonts w:ascii="Times New Roman" w:hAnsi="Times New Roman" w:cs="Times New Roman"/>
          <w:b/>
          <w:bCs/>
          <w:i/>
          <w:sz w:val="24"/>
        </w:rPr>
        <w:t>Table A2.2 Male Focus Groups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62"/>
        <w:gridCol w:w="1877"/>
        <w:gridCol w:w="1877"/>
        <w:gridCol w:w="1877"/>
        <w:gridCol w:w="1851"/>
      </w:tblGrid>
      <w:tr w14:paraId="13C2EEC3" w14:textId="77777777" w:rsidTr="00E32A4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0749FBF4"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Rank &amp; Gender </w:t>
            </w:r>
          </w:p>
        </w:tc>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3C537883"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Male Officer </w:t>
            </w:r>
          </w:p>
        </w:tc>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69430E42"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Male, Junior Enlisted (E1–E4) </w:t>
            </w:r>
          </w:p>
        </w:tc>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4C86DD8E"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Male, Senior Enlisted (E5–E9)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6CEE79C8"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6BCA477D" w14:textId="77777777" w:rsidTr="00E32A40">
        <w:tblPrEx>
          <w:tblW w:w="0"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384E611E"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xml:space="preserve">Minority </w:t>
            </w:r>
            <w:r w:rsidRPr="004204FB">
              <w:rPr>
                <w:rFonts w:ascii="Times New Roman" w:hAnsi="Times New Roman" w:cs="Times New Roman"/>
                <w:iCs/>
                <w:sz w:val="24"/>
              </w:rPr>
              <w:t>Group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31F0912B"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Black or African American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74FDED38"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Black or African American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4C826BF0"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Black or African American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4273B3EC"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69129E38" w14:textId="77777777" w:rsidTr="00E32A40">
        <w:tblPrEx>
          <w:tblW w:w="0"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4A256FAF"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193A6E5C"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Hispanic or Latino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71A87478"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Hispanic or Latino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66891082"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Hispanic or Latino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334B413D"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401071E3" w14:textId="77777777" w:rsidTr="00E32A40">
        <w:tblPrEx>
          <w:tblW w:w="0"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0A4CBB1D"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3CB3092C"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Other; Multi-racial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3B73BB52"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Other; Multi-racial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61E60690"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Other; Multi-racial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5096B0FB"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r>
      <w:tr w14:paraId="4600CE3A" w14:textId="77777777" w:rsidTr="00E32A40">
        <w:tblPrEx>
          <w:tblW w:w="0" w:type="dxa"/>
          <w:tblCellMar>
            <w:left w:w="0" w:type="dxa"/>
            <w:right w:w="0" w:type="dxa"/>
          </w:tblCellMar>
          <w:tblLook w:val="04A0"/>
        </w:tblPrEx>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7193" w:rsidRPr="004204FB" w:rsidP="00E32A40" w14:paraId="51EDF019"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w:t>
            </w:r>
          </w:p>
        </w:tc>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3020D8BB"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3 Focus Groups </w:t>
            </w:r>
          </w:p>
        </w:tc>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77275C1E"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xml:space="preserve">3 Focus </w:t>
            </w:r>
            <w:r w:rsidRPr="004204FB">
              <w:rPr>
                <w:rFonts w:ascii="Times New Roman" w:hAnsi="Times New Roman" w:cs="Times New Roman"/>
                <w:iCs/>
                <w:sz w:val="24"/>
              </w:rPr>
              <w:t>Groups </w:t>
            </w:r>
          </w:p>
        </w:tc>
        <w:tc>
          <w:tcPr>
            <w:tcW w:w="1980" w:type="dxa"/>
            <w:tcBorders>
              <w:top w:val="single" w:sz="6" w:space="0" w:color="auto"/>
              <w:left w:val="single" w:sz="6" w:space="0" w:color="auto"/>
              <w:bottom w:val="single" w:sz="6" w:space="0" w:color="auto"/>
              <w:right w:val="single" w:sz="6" w:space="0" w:color="auto"/>
            </w:tcBorders>
            <w:shd w:val="clear" w:color="auto" w:fill="B8CCE4"/>
            <w:vAlign w:val="center"/>
            <w:hideMark/>
          </w:tcPr>
          <w:p w:rsidR="00197193" w:rsidRPr="004204FB" w:rsidP="00E32A40" w14:paraId="3C05D11A"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3 Focus Groups  </w:t>
            </w:r>
          </w:p>
        </w:tc>
        <w:tc>
          <w:tcPr>
            <w:tcW w:w="1980" w:type="dxa"/>
            <w:tcBorders>
              <w:top w:val="single" w:sz="6" w:space="0" w:color="auto"/>
              <w:left w:val="single" w:sz="6" w:space="0" w:color="auto"/>
              <w:bottom w:val="single" w:sz="6" w:space="0" w:color="auto"/>
              <w:right w:val="single" w:sz="6" w:space="0" w:color="auto"/>
            </w:tcBorders>
            <w:shd w:val="clear" w:color="auto" w:fill="548DD4"/>
            <w:vAlign w:val="center"/>
            <w:hideMark/>
          </w:tcPr>
          <w:p w:rsidR="00197193" w:rsidRPr="004204FB" w:rsidP="00E32A40" w14:paraId="4633A2FE"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9 Total Focus Groups </w:t>
            </w:r>
          </w:p>
        </w:tc>
      </w:tr>
    </w:tbl>
    <w:p w:rsidR="00197193" w:rsidP="0042040B" w14:paraId="207535A0" w14:textId="77777777">
      <w:pPr>
        <w:spacing w:after="0" w:line="240" w:lineRule="auto"/>
        <w:rPr>
          <w:rFonts w:ascii="Times New Roman" w:hAnsi="Times New Roman" w:cs="Times New Roman"/>
          <w:iCs/>
          <w:sz w:val="24"/>
        </w:rPr>
      </w:pPr>
    </w:p>
    <w:p w:rsidR="0042040B" w:rsidRPr="002D486C" w:rsidP="0042040B" w14:paraId="2BBBD57D" w14:textId="77777777">
      <w:pPr>
        <w:spacing w:after="0" w:line="240" w:lineRule="auto"/>
        <w:rPr>
          <w:rFonts w:asciiTheme="majorHAnsi" w:hAnsiTheme="majorHAnsi"/>
          <w:sz w:val="24"/>
        </w:rPr>
      </w:pPr>
    </w:p>
    <w:p w:rsidR="005C7428" w:rsidRPr="0085688C" w:rsidP="006E563D" w14:paraId="5FC36D2B" w14:textId="41AB568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D06EE7" w:rsidRPr="004204FB" w:rsidP="00D06EE7" w14:paraId="3986B4AA" w14:textId="1D6D79FC">
      <w:pPr>
        <w:spacing w:after="0" w:line="240" w:lineRule="auto"/>
        <w:rPr>
          <w:rFonts w:ascii="Times New Roman" w:hAnsi="Times New Roman" w:cs="Times New Roman"/>
          <w:iCs/>
          <w:sz w:val="24"/>
        </w:rPr>
      </w:pPr>
      <w:r w:rsidRPr="004204FB">
        <w:rPr>
          <w:rFonts w:ascii="Times New Roman" w:hAnsi="Times New Roman" w:cs="Times New Roman"/>
          <w:iCs/>
          <w:sz w:val="24"/>
        </w:rPr>
        <w:t xml:space="preserve">We expect to conduct </w:t>
      </w:r>
      <w:r w:rsidR="00197193">
        <w:rPr>
          <w:rFonts w:ascii="Times New Roman" w:hAnsi="Times New Roman" w:cs="Times New Roman"/>
          <w:iCs/>
          <w:sz w:val="24"/>
        </w:rPr>
        <w:t xml:space="preserve">all of </w:t>
      </w:r>
      <w:r w:rsidRPr="004204FB">
        <w:rPr>
          <w:rFonts w:ascii="Times New Roman" w:hAnsi="Times New Roman" w:cs="Times New Roman"/>
          <w:iCs/>
          <w:sz w:val="24"/>
        </w:rPr>
        <w:t>the individual interviews virtually, to increase the global reach of this</w:t>
      </w:r>
      <w:r w:rsidR="00D409B8">
        <w:rPr>
          <w:rFonts w:ascii="Times New Roman" w:hAnsi="Times New Roman" w:cs="Times New Roman"/>
          <w:iCs/>
          <w:sz w:val="24"/>
        </w:rPr>
        <w:t xml:space="preserve"> </w:t>
      </w:r>
      <w:r w:rsidR="00197193">
        <w:rPr>
          <w:rFonts w:ascii="Times New Roman" w:hAnsi="Times New Roman" w:cs="Times New Roman"/>
          <w:iCs/>
          <w:sz w:val="24"/>
        </w:rPr>
        <w:t>project</w:t>
      </w:r>
      <w:r w:rsidRPr="004204FB">
        <w:rPr>
          <w:rFonts w:ascii="Times New Roman" w:hAnsi="Times New Roman" w:cs="Times New Roman"/>
          <w:iCs/>
          <w:sz w:val="24"/>
        </w:rPr>
        <w:t xml:space="preserve">.  </w:t>
      </w:r>
      <w:r w:rsidR="00197193">
        <w:rPr>
          <w:rFonts w:ascii="Times New Roman" w:hAnsi="Times New Roman" w:cs="Times New Roman"/>
          <w:iCs/>
          <w:sz w:val="24"/>
        </w:rPr>
        <w:t>However, if a participant is stationed at an installation that is being visited by the project team for focus group data collection and that participant would prefer to participate in their interview in-person, that option will be made available to them.</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BC646C0" w14:textId="4746EFDF">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007D1032">
        <w:rPr>
          <w:rFonts w:asciiTheme="majorHAnsi" w:hAnsiTheme="majorHAnsi"/>
          <w:sz w:val="24"/>
          <w:u w:val="single"/>
        </w:rPr>
        <w:t>Efforts to Identify Duplication</w:t>
      </w:r>
      <w:r w:rsidR="0085688C">
        <w:rPr>
          <w:rFonts w:asciiTheme="majorHAnsi" w:hAnsiTheme="majorHAnsi"/>
          <w:sz w:val="24"/>
          <w:u w:val="single"/>
        </w:rPr>
        <w:t xml:space="preserve"> </w:t>
      </w:r>
    </w:p>
    <w:p w:rsidR="00D06EE7" w:rsidRPr="004204FB" w:rsidP="00D06EE7" w14:paraId="312DF509"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The information obtained through this collection is unique and is not already available for use or adaptation from another legitimate source.</w:t>
      </w:r>
    </w:p>
    <w:p w:rsidR="00B55E9F" w:rsidP="006E563D" w14:paraId="708E4056" w14:textId="77777777">
      <w:pPr>
        <w:spacing w:after="0" w:line="240" w:lineRule="auto"/>
        <w:rPr>
          <w:rFonts w:asciiTheme="majorHAnsi" w:hAnsiTheme="majorHAnsi"/>
          <w:i/>
          <w:sz w:val="24"/>
        </w:rPr>
      </w:pPr>
    </w:p>
    <w:p w:rsidR="00CA15B1" w:rsidP="006E563D" w14:paraId="2D9B2ECF" w14:textId="076D1408">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0648C8" w:rsidRPr="004204FB" w:rsidP="000648C8" w14:paraId="30C22042"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This information collection does not impose a significant economic i</w:t>
      </w:r>
      <w:r w:rsidRPr="004204FB">
        <w:rPr>
          <w:rFonts w:ascii="Times New Roman" w:hAnsi="Times New Roman" w:cs="Times New Roman"/>
          <w:iCs/>
          <w:sz w:val="24"/>
        </w:rPr>
        <w:t>mpact on a substantial number of small businesses or entities.</w:t>
      </w:r>
    </w:p>
    <w:p w:rsidR="00B55E9F" w:rsidP="006E563D" w14:paraId="29E92BBA" w14:textId="77777777">
      <w:pPr>
        <w:spacing w:after="0" w:line="240" w:lineRule="auto"/>
        <w:rPr>
          <w:rFonts w:asciiTheme="majorHAnsi" w:hAnsiTheme="majorHAnsi"/>
          <w:i/>
          <w:sz w:val="24"/>
        </w:rPr>
      </w:pPr>
    </w:p>
    <w:p w:rsidR="002567F9" w:rsidRPr="0085688C" w:rsidP="006E563D" w14:paraId="3F9E7A07" w14:textId="4AB7209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00D661F4">
        <w:rPr>
          <w:rFonts w:asciiTheme="majorHAnsi" w:hAnsiTheme="majorHAnsi"/>
          <w:sz w:val="24"/>
        </w:rPr>
        <w:t xml:space="preserve">Consequences of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9403A7" w:rsidRPr="004204FB" w:rsidP="009403A7" w14:paraId="0EEF4A7F"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This is a one-time qualitative data collection, without current plans to replicate soon in the future.   Failure to investigate the unique experiences of multiply marginalized groups qualitatively may result in overlooking factors that may contribute to, o</w:t>
      </w:r>
      <w:r w:rsidRPr="004204FB">
        <w:rPr>
          <w:rFonts w:ascii="Times New Roman" w:hAnsi="Times New Roman" w:cs="Times New Roman"/>
          <w:iCs/>
          <w:sz w:val="24"/>
        </w:rPr>
        <w:t>r better improve understanding of, Service member victimization, prevention, and response. These groups are often invisible in large scale surveys due to their small size, so their concerns may not be heard or addressed.  Also, without this collection, the</w:t>
      </w:r>
      <w:r w:rsidRPr="004204FB">
        <w:rPr>
          <w:rFonts w:ascii="Times New Roman" w:hAnsi="Times New Roman" w:cs="Times New Roman"/>
          <w:iCs/>
          <w:sz w:val="24"/>
        </w:rPr>
        <w:t xml:space="preserve"> IRC recommendation could not be fulfilled.  </w:t>
      </w:r>
    </w:p>
    <w:p w:rsidR="001017A0" w:rsidP="006E563D" w14:paraId="797571A4" w14:textId="77777777">
      <w:pPr>
        <w:spacing w:after="0" w:line="240" w:lineRule="auto"/>
        <w:rPr>
          <w:rFonts w:asciiTheme="majorHAnsi" w:hAnsiTheme="majorHAnsi"/>
          <w:i/>
          <w:sz w:val="24"/>
        </w:rPr>
      </w:pPr>
    </w:p>
    <w:p w:rsidR="00F86C35" w:rsidP="006E563D" w14:paraId="2995935F" w14:textId="269994CE">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 xml:space="preserve">Paperwork Reduction Act </w:t>
      </w:r>
      <w:r w:rsidR="00D661F4">
        <w:rPr>
          <w:rFonts w:asciiTheme="majorHAnsi" w:hAnsiTheme="majorHAnsi"/>
          <w:sz w:val="24"/>
          <w:u w:val="single"/>
        </w:rPr>
        <w:t>Certification</w:t>
      </w:r>
    </w:p>
    <w:p w:rsidR="00945E1B" w:rsidP="006E563D" w14:paraId="4D9EC1E3" w14:textId="6E0CC168">
      <w:pPr>
        <w:spacing w:after="0" w:line="240" w:lineRule="auto"/>
        <w:rPr>
          <w:rFonts w:asciiTheme="majorHAnsi" w:hAnsiTheme="majorHAnsi"/>
          <w:sz w:val="24"/>
          <w:u w:val="single"/>
        </w:rPr>
      </w:pPr>
      <w:r w:rsidRPr="004649AB">
        <w:rPr>
          <w:rFonts w:ascii="Times New Roman" w:hAnsi="Times New Roman" w:cs="Times New Roman"/>
          <w:iCs/>
          <w:sz w:val="24"/>
          <w:szCs w:val="24"/>
        </w:rPr>
        <w:t>This collection of information does not require collection to be conducted in a manner inconsistent with the guidelines delineated in 5 CFR 1320.5(d)(2).</w:t>
      </w:r>
    </w:p>
    <w:p w:rsidR="00945E1B" w:rsidRPr="009A78C4" w:rsidP="00945E1B" w14:paraId="44498AC9" w14:textId="0E7B82F2">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00D661F4">
        <w:rPr>
          <w:rFonts w:asciiTheme="majorHAnsi" w:eastAsiaTheme="minorHAnsi" w:hAnsiTheme="majorHAnsi" w:cstheme="minorBidi"/>
          <w:szCs w:val="22"/>
          <w:u w:val="single"/>
        </w:rPr>
        <w:t>Solicitation of Comments</w:t>
      </w:r>
    </w:p>
    <w:p w:rsidR="007A364E" w:rsidRPr="003D144D" w:rsidP="007A364E" w14:paraId="132A823F" w14:textId="00912181">
      <w:pPr>
        <w:spacing w:before="100" w:beforeAutospacing="1" w:after="100" w:afterAutospacing="1" w:line="288" w:lineRule="atLeast"/>
        <w:rPr>
          <w:rFonts w:ascii="Cambria" w:eastAsia="Calibri" w:hAnsi="Cambria" w:cs="Times New Roman"/>
          <w:sz w:val="24"/>
        </w:rPr>
      </w:pPr>
      <w:r w:rsidRPr="003D144D">
        <w:rPr>
          <w:rFonts w:ascii="Cambria" w:eastAsia="Calibri" w:hAnsi="Cambria" w:cs="Times New Roman"/>
          <w:sz w:val="24"/>
        </w:rPr>
        <w:t xml:space="preserve">A 30-Day Federal Register Notice for the collection published on </w:t>
      </w:r>
      <w:r>
        <w:rPr>
          <w:rFonts w:ascii="Cambria" w:eastAsia="Calibri" w:hAnsi="Cambria" w:cs="Times New Roman"/>
          <w:sz w:val="24"/>
        </w:rPr>
        <w:t>Monday</w:t>
      </w:r>
      <w:r w:rsidRPr="006D1E71">
        <w:rPr>
          <w:rFonts w:ascii="Cambria" w:eastAsia="Calibri" w:hAnsi="Cambria" w:cs="Times New Roman"/>
          <w:sz w:val="24"/>
        </w:rPr>
        <w:t xml:space="preserve">, </w:t>
      </w:r>
      <w:r>
        <w:rPr>
          <w:rFonts w:ascii="Cambria" w:eastAsia="Calibri" w:hAnsi="Cambria" w:cs="Times New Roman"/>
          <w:sz w:val="24"/>
        </w:rPr>
        <w:t>March</w:t>
      </w:r>
      <w:r w:rsidRPr="006D1E71">
        <w:rPr>
          <w:rFonts w:ascii="Cambria" w:eastAsia="Calibri" w:hAnsi="Cambria" w:cs="Times New Roman"/>
          <w:sz w:val="24"/>
        </w:rPr>
        <w:t xml:space="preserve"> </w:t>
      </w:r>
      <w:r>
        <w:rPr>
          <w:rFonts w:ascii="Cambria" w:eastAsia="Calibri" w:hAnsi="Cambria" w:cs="Times New Roman"/>
          <w:sz w:val="24"/>
        </w:rPr>
        <w:t>11</w:t>
      </w:r>
      <w:r w:rsidRPr="006D1E71">
        <w:rPr>
          <w:rFonts w:ascii="Cambria" w:eastAsia="Calibri" w:hAnsi="Cambria" w:cs="Times New Roman"/>
          <w:sz w:val="24"/>
        </w:rPr>
        <w:t>, 2024</w:t>
      </w:r>
      <w:r w:rsidRPr="003D144D">
        <w:rPr>
          <w:rFonts w:ascii="Cambria" w:eastAsia="Calibri" w:hAnsi="Cambria" w:cs="Times New Roman"/>
          <w:sz w:val="24"/>
        </w:rPr>
        <w:t xml:space="preserve">.  The 30-Day FRN citation is </w:t>
      </w:r>
      <w:r w:rsidRPr="00726044">
        <w:rPr>
          <w:rFonts w:asciiTheme="majorHAnsi" w:hAnsiTheme="majorHAnsi"/>
          <w:sz w:val="24"/>
          <w:szCs w:val="24"/>
        </w:rPr>
        <w:t>89 FR 1744</w:t>
      </w:r>
      <w:r>
        <w:rPr>
          <w:rFonts w:asciiTheme="majorHAnsi" w:hAnsiTheme="majorHAnsi"/>
          <w:sz w:val="24"/>
          <w:szCs w:val="24"/>
        </w:rPr>
        <w:t>3</w:t>
      </w:r>
      <w:r>
        <w:rPr>
          <w:rFonts w:asciiTheme="majorHAnsi" w:hAnsiTheme="majorHAnsi"/>
          <w:sz w:val="24"/>
          <w:szCs w:val="24"/>
        </w:rPr>
        <w:t>.</w:t>
      </w:r>
    </w:p>
    <w:p w:rsidR="00945E1B" w:rsidRPr="004204FB" w:rsidP="00945E1B" w14:paraId="283C4BE5" w14:textId="0BED7B63">
      <w:pPr>
        <w:pStyle w:val="NormalWeb"/>
        <w:spacing w:before="0" w:beforeAutospacing="0" w:after="0" w:afterAutospacing="0" w:line="288" w:lineRule="atLeast"/>
        <w:rPr>
          <w:rFonts w:eastAsiaTheme="minorHAnsi"/>
          <w:iCs/>
          <w:szCs w:val="22"/>
        </w:rPr>
      </w:pPr>
      <w:r w:rsidRPr="004204FB">
        <w:rPr>
          <w:rFonts w:eastAsiaTheme="minorHAnsi"/>
          <w:iCs/>
          <w:szCs w:val="22"/>
        </w:rPr>
        <w:t>Subject matter experts within the DoD consulted on the study design and the protocols content.  DoD policy offices including the DoD Sexual Assault Prevention and Response Office (SAPRO) and the Office for Diversity Equity and Inclusion (ODEI) were also co</w:t>
      </w:r>
      <w:r w:rsidRPr="004204FB">
        <w:rPr>
          <w:rFonts w:eastAsiaTheme="minorHAnsi"/>
          <w:iCs/>
          <w:szCs w:val="22"/>
        </w:rPr>
        <w:t xml:space="preserve">nsulted in developing the </w:t>
      </w:r>
      <w:r w:rsidR="00197193">
        <w:rPr>
          <w:rFonts w:eastAsiaTheme="minorHAnsi"/>
          <w:iCs/>
          <w:szCs w:val="22"/>
        </w:rPr>
        <w:t xml:space="preserve">study </w:t>
      </w:r>
      <w:r w:rsidRPr="004204FB">
        <w:rPr>
          <w:rFonts w:eastAsiaTheme="minorHAnsi"/>
          <w:iCs/>
          <w:szCs w:val="22"/>
        </w:rPr>
        <w:t>protocols.</w:t>
      </w:r>
    </w:p>
    <w:p w:rsidR="00945E1B" w:rsidRPr="004204FB" w:rsidP="00945E1B" w14:paraId="2C384B50" w14:textId="77777777">
      <w:pPr>
        <w:pStyle w:val="NormalWeb"/>
        <w:spacing w:before="0" w:beforeAutospacing="0" w:after="0" w:afterAutospacing="0" w:line="288" w:lineRule="atLeast"/>
        <w:rPr>
          <w:rFonts w:eastAsiaTheme="minorHAnsi"/>
          <w:i/>
          <w:szCs w:val="22"/>
        </w:rPr>
      </w:pPr>
    </w:p>
    <w:p w:rsidR="00571698" w:rsidRPr="0085688C" w:rsidP="006E563D" w14:paraId="0A1449AC" w14:textId="11BA247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671AD" w:rsidRPr="004204FB" w:rsidP="00B671AD" w14:paraId="15FDA7ED"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No payments or gifts are being offered to respondents as an incentive to participate in the collection.</w:t>
      </w:r>
    </w:p>
    <w:p w:rsidR="00B671AD" w:rsidRPr="004204FB" w:rsidP="00B671AD" w14:paraId="3F1FF6CE" w14:textId="77777777">
      <w:pPr>
        <w:spacing w:after="0" w:line="240" w:lineRule="auto"/>
        <w:rPr>
          <w:rFonts w:ascii="Times New Roman" w:hAnsi="Times New Roman" w:cs="Times New Roman"/>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671AD" w:rsidRPr="004204FB" w:rsidP="00B671AD" w14:paraId="504E4B7D" w14:textId="77777777">
      <w:pPr>
        <w:spacing w:after="0" w:line="240" w:lineRule="auto"/>
        <w:rPr>
          <w:rFonts w:ascii="Times New Roman" w:hAnsi="Times New Roman" w:cs="Times New Roman"/>
          <w:sz w:val="24"/>
        </w:rPr>
      </w:pPr>
      <w:r w:rsidRPr="004204FB">
        <w:rPr>
          <w:rFonts w:ascii="Times New Roman" w:hAnsi="Times New Roman" w:cs="Times New Roman"/>
          <w:sz w:val="24"/>
        </w:rPr>
        <w:t xml:space="preserve">A Privacy Act Statement is not required for this </w:t>
      </w:r>
      <w:r w:rsidRPr="004204FB">
        <w:rPr>
          <w:rFonts w:ascii="Times New Roman" w:hAnsi="Times New Roman" w:cs="Times New Roman"/>
          <w:sz w:val="24"/>
        </w:rPr>
        <w:t>collection because we are not requesting individuals to furnish personal information for a system of records.</w:t>
      </w:r>
    </w:p>
    <w:p w:rsidR="00B671AD" w:rsidRPr="004204FB" w:rsidP="00B671AD" w14:paraId="66B2D299" w14:textId="77777777">
      <w:pPr>
        <w:spacing w:after="0" w:line="240" w:lineRule="auto"/>
        <w:rPr>
          <w:rFonts w:ascii="Times New Roman" w:hAnsi="Times New Roman" w:cs="Times New Roman"/>
          <w:sz w:val="24"/>
        </w:rPr>
      </w:pPr>
    </w:p>
    <w:p w:rsidR="00B671AD" w:rsidRPr="004204FB" w:rsidP="00B671AD" w14:paraId="75462FC4" w14:textId="77777777">
      <w:pPr>
        <w:spacing w:after="0" w:line="240" w:lineRule="auto"/>
        <w:rPr>
          <w:rFonts w:ascii="Times New Roman" w:hAnsi="Times New Roman" w:cs="Times New Roman"/>
          <w:sz w:val="24"/>
        </w:rPr>
      </w:pPr>
      <w:r w:rsidRPr="004204FB">
        <w:rPr>
          <w:rFonts w:ascii="Times New Roman" w:hAnsi="Times New Roman" w:cs="Times New Roman"/>
          <w:sz w:val="24"/>
        </w:rPr>
        <w:t xml:space="preserve">A System of Record Notice (SORN) is not required for this collection because records are not retrievable by PII. </w:t>
      </w:r>
    </w:p>
    <w:p w:rsidR="00B671AD" w:rsidRPr="004204FB" w:rsidP="00B671AD" w14:paraId="20A35988" w14:textId="77777777">
      <w:pPr>
        <w:spacing w:after="0" w:line="240" w:lineRule="auto"/>
        <w:rPr>
          <w:rFonts w:ascii="Times New Roman" w:hAnsi="Times New Roman" w:cs="Times New Roman"/>
          <w:sz w:val="24"/>
        </w:rPr>
      </w:pPr>
    </w:p>
    <w:p w:rsidR="00B671AD" w:rsidRPr="004204FB" w:rsidP="00B671AD" w14:paraId="35AE7C77" w14:textId="77777777">
      <w:pPr>
        <w:spacing w:after="0" w:line="240" w:lineRule="auto"/>
        <w:rPr>
          <w:rFonts w:ascii="Times New Roman" w:hAnsi="Times New Roman" w:cs="Times New Roman"/>
          <w:sz w:val="24"/>
        </w:rPr>
      </w:pPr>
      <w:r w:rsidRPr="004204FB">
        <w:rPr>
          <w:rFonts w:ascii="Times New Roman" w:eastAsia="Calibri" w:hAnsi="Times New Roman" w:cs="Times New Roman"/>
          <w:sz w:val="24"/>
        </w:rPr>
        <w:t>The data collection are covere</w:t>
      </w:r>
      <w:r w:rsidRPr="004204FB">
        <w:rPr>
          <w:rFonts w:ascii="Times New Roman" w:eastAsia="Calibri" w:hAnsi="Times New Roman" w:cs="Times New Roman"/>
          <w:sz w:val="24"/>
        </w:rPr>
        <w:t xml:space="preserve">d by a PIA (Survey Database, [December 18, 2020], DHRA/OPA). </w:t>
      </w:r>
      <w:r w:rsidRPr="004204FB">
        <w:rPr>
          <w:rFonts w:ascii="Times New Roman" w:hAnsi="Times New Roman" w:cs="Times New Roman"/>
          <w:sz w:val="24"/>
        </w:rPr>
        <w:t>PIA is published at:</w:t>
      </w:r>
    </w:p>
    <w:p w:rsidR="00B671AD" w:rsidRPr="004204FB" w:rsidP="00B671AD" w14:paraId="7DC61E33" w14:textId="521CD571">
      <w:pPr>
        <w:spacing w:after="0" w:line="240" w:lineRule="auto"/>
        <w:rPr>
          <w:rFonts w:ascii="Times New Roman" w:hAnsi="Times New Roman" w:cs="Times New Roman"/>
          <w:sz w:val="24"/>
        </w:rPr>
      </w:pPr>
      <w:hyperlink r:id="rId5" w:history="1">
        <w:r w:rsidRPr="009D6EA3" w:rsidR="004A02D4">
          <w:rPr>
            <w:rStyle w:val="Hyperlink"/>
            <w:rFonts w:ascii="Times New Roman" w:hAnsi="Times New Roman" w:cs="Times New Roman"/>
            <w:sz w:val="24"/>
          </w:rPr>
          <w:t>https://www.dhra.mil/Portals/52/Documents/Privacy/PIA/OPA%20-%20Survey%20Database.pdf</w:t>
        </w:r>
      </w:hyperlink>
      <w:r w:rsidR="004A02D4">
        <w:rPr>
          <w:rFonts w:ascii="Times New Roman" w:hAnsi="Times New Roman" w:cs="Times New Roman"/>
          <w:sz w:val="24"/>
        </w:rPr>
        <w:br/>
        <w:t xml:space="preserve">  </w:t>
      </w:r>
    </w:p>
    <w:p w:rsidR="00B671AD" w:rsidRPr="004204FB" w:rsidP="00B671AD" w14:paraId="34818F4E" w14:textId="77777777">
      <w:pPr>
        <w:spacing w:after="0" w:line="240" w:lineRule="auto"/>
        <w:rPr>
          <w:rFonts w:ascii="Times New Roman" w:hAnsi="Times New Roman" w:cs="Times New Roman"/>
          <w:sz w:val="24"/>
        </w:rPr>
      </w:pPr>
      <w:r w:rsidRPr="004204FB">
        <w:rPr>
          <w:rFonts w:ascii="Times New Roman" w:hAnsi="Times New Roman" w:cs="Times New Roman"/>
          <w:sz w:val="24"/>
        </w:rPr>
        <w:t>The current approved disposition authority for all survey records is DAA-0330-2021-0008 that has a temporary retention of 30 years for confidential data, permanent retention of 30 years for public use data</w:t>
      </w:r>
      <w:r w:rsidRPr="004204FB">
        <w:rPr>
          <w:rFonts w:ascii="Times New Roman" w:hAnsi="Times New Roman" w:cs="Times New Roman"/>
          <w:sz w:val="24"/>
        </w:rPr>
        <w:t>, and permanent retention of 30 years for reports.</w:t>
      </w:r>
    </w:p>
    <w:p w:rsidR="00996894" w:rsidP="00996894" w14:paraId="06A90102" w14:textId="77777777">
      <w:pPr>
        <w:spacing w:after="0" w:line="240" w:lineRule="auto"/>
        <w:rPr>
          <w:rFonts w:asciiTheme="majorHAnsi" w:hAnsiTheme="majorHAnsi"/>
          <w:i/>
          <w:sz w:val="24"/>
        </w:rPr>
      </w:pPr>
    </w:p>
    <w:p w:rsidR="00996894" w:rsidP="00996894" w14:paraId="1C986B84" w14:textId="63B312B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2E50F6" w:rsidRPr="004204FB" w:rsidP="002E50F6" w14:paraId="715126AF" w14:textId="707105C1">
      <w:pPr>
        <w:spacing w:after="0" w:line="240" w:lineRule="auto"/>
        <w:rPr>
          <w:rFonts w:ascii="Times New Roman" w:hAnsi="Times New Roman" w:cs="Times New Roman"/>
          <w:sz w:val="24"/>
        </w:rPr>
      </w:pPr>
      <w:r w:rsidRPr="004204FB">
        <w:rPr>
          <w:rFonts w:ascii="Times New Roman" w:hAnsi="Times New Roman" w:cs="Times New Roman"/>
          <w:sz w:val="24"/>
        </w:rPr>
        <w:t xml:space="preserve">The purpose of this </w:t>
      </w:r>
      <w:r w:rsidR="00D409B8">
        <w:rPr>
          <w:rFonts w:ascii="Times New Roman" w:hAnsi="Times New Roman" w:cs="Times New Roman"/>
          <w:sz w:val="24"/>
        </w:rPr>
        <w:t xml:space="preserve">project </w:t>
      </w:r>
      <w:r w:rsidRPr="004204FB">
        <w:rPr>
          <w:rFonts w:ascii="Times New Roman" w:hAnsi="Times New Roman" w:cs="Times New Roman"/>
          <w:sz w:val="24"/>
        </w:rPr>
        <w:t xml:space="preserve">is to learn about the experiences of racial and ethnic minority Service members and their perceptions of sexual assault, sexual and racial </w:t>
      </w:r>
      <w:r w:rsidRPr="004204FB">
        <w:rPr>
          <w:rFonts w:ascii="Times New Roman" w:hAnsi="Times New Roman" w:cs="Times New Roman"/>
          <w:sz w:val="24"/>
        </w:rPr>
        <w:t>harassment, and gender and racial discrimination.  The individual interviews will also be conducted with Service members who have experienced unwanted sexual contact, sexual assault, and/or sexual harassment while in the military.  As such, some of the que</w:t>
      </w:r>
      <w:r w:rsidRPr="004204FB">
        <w:rPr>
          <w:rFonts w:ascii="Times New Roman" w:hAnsi="Times New Roman" w:cs="Times New Roman"/>
          <w:sz w:val="24"/>
        </w:rPr>
        <w:t>stions may be upsetting in nature because they ask participants about their experiences with these unwanted behaviors.  These questions are necessary given that purpose of the study is to inform and improve military policy, procedures, and practices relate</w:t>
      </w:r>
      <w:r w:rsidRPr="004204FB">
        <w:rPr>
          <w:rFonts w:ascii="Times New Roman" w:hAnsi="Times New Roman" w:cs="Times New Roman"/>
          <w:sz w:val="24"/>
        </w:rPr>
        <w:t>d to the sexual assault response and accountability systems.  Obtaining some level of detail regarding Service member’s experiences will be necessary to better inform improvements.  Resources to obtain support, namely the DoD Safe HelpLine, Military Crisis</w:t>
      </w:r>
      <w:r w:rsidRPr="004204FB">
        <w:rPr>
          <w:rFonts w:ascii="Times New Roman" w:hAnsi="Times New Roman" w:cs="Times New Roman"/>
          <w:sz w:val="24"/>
        </w:rPr>
        <w:t xml:space="preserve"> Line, and both Service-level and installation-level SHARP/SAPR offices and MEO offices, will be presented at the start of the focus groups and interviews.</w:t>
      </w:r>
      <w:r w:rsidRPr="004204FB" w:rsidR="00291BF9">
        <w:rPr>
          <w:rFonts w:ascii="Times New Roman" w:hAnsi="Times New Roman" w:cs="Times New Roman"/>
          <w:sz w:val="24"/>
        </w:rPr>
        <w:t xml:space="preserve"> </w:t>
      </w:r>
    </w:p>
    <w:p w:rsidR="00D21AA6" w:rsidP="00337EF1" w14:paraId="3C584F1D" w14:textId="77777777">
      <w:pPr>
        <w:spacing w:after="0" w:line="240" w:lineRule="auto"/>
        <w:rPr>
          <w:rFonts w:asciiTheme="majorHAnsi" w:hAnsiTheme="majorHAnsi"/>
          <w:sz w:val="24"/>
        </w:rPr>
      </w:pPr>
    </w:p>
    <w:p w:rsidR="002E50F6" w:rsidP="00337EF1" w14:paraId="1341EB59"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32D1D04"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E50F6" w:rsidRPr="004204FB" w:rsidP="002E50F6" w14:paraId="5F4E1C38" w14:textId="77777777">
      <w:pPr>
        <w:numPr>
          <w:ilvl w:val="0"/>
          <w:numId w:val="14"/>
        </w:numPr>
        <w:spacing w:after="0" w:line="240" w:lineRule="auto"/>
        <w:rPr>
          <w:rFonts w:ascii="Times New Roman" w:hAnsi="Times New Roman" w:cs="Times New Roman"/>
          <w:sz w:val="24"/>
        </w:rPr>
      </w:pPr>
      <w:r w:rsidRPr="00220A2C">
        <w:rPr>
          <w:rFonts w:ascii="Times New Roman" w:hAnsi="Times New Roman" w:cs="Times New Roman"/>
          <w:sz w:val="24"/>
        </w:rPr>
        <w:t>Collection Instrument(s)</w:t>
      </w:r>
    </w:p>
    <w:p w:rsidR="002E50F6" w:rsidRPr="00220A2C" w:rsidP="002E50F6" w14:paraId="529D792B" w14:textId="77777777">
      <w:pPr>
        <w:spacing w:after="0" w:line="240" w:lineRule="auto"/>
        <w:ind w:left="720"/>
        <w:rPr>
          <w:rFonts w:ascii="Times New Roman" w:hAnsi="Times New Roman" w:cs="Times New Roman"/>
          <w:sz w:val="24"/>
        </w:rPr>
      </w:pPr>
    </w:p>
    <w:p w:rsidR="002E50F6" w:rsidRPr="00220A2C" w:rsidP="002E50F6" w14:paraId="7E3E44E1" w14:textId="77777777">
      <w:pPr>
        <w:spacing w:after="0" w:line="240" w:lineRule="auto"/>
        <w:rPr>
          <w:rFonts w:ascii="Times New Roman" w:hAnsi="Times New Roman" w:cs="Times New Roman"/>
          <w:sz w:val="24"/>
        </w:rPr>
      </w:pPr>
      <w:r w:rsidRPr="00220A2C">
        <w:rPr>
          <w:rFonts w:ascii="Times New Roman" w:hAnsi="Times New Roman" w:cs="Times New Roman"/>
          <w:sz w:val="24"/>
        </w:rPr>
        <w:t>Focus Groups</w:t>
      </w:r>
    </w:p>
    <w:p w:rsidR="002E50F6" w:rsidRPr="00220A2C" w:rsidP="002E50F6" w14:paraId="35E558E9" w14:textId="77777777">
      <w:pPr>
        <w:numPr>
          <w:ilvl w:val="0"/>
          <w:numId w:val="15"/>
        </w:numPr>
        <w:spacing w:after="0" w:line="240" w:lineRule="auto"/>
        <w:rPr>
          <w:rFonts w:ascii="Times New Roman" w:hAnsi="Times New Roman" w:cs="Times New Roman"/>
          <w:sz w:val="24"/>
        </w:rPr>
      </w:pPr>
      <w:r w:rsidRPr="00220A2C">
        <w:rPr>
          <w:rFonts w:ascii="Times New Roman" w:hAnsi="Times New Roman" w:cs="Times New Roman"/>
          <w:sz w:val="24"/>
        </w:rPr>
        <w:t>Number of Respondents: 264</w:t>
      </w:r>
    </w:p>
    <w:p w:rsidR="002E50F6" w:rsidRPr="00220A2C" w:rsidP="002E50F6" w14:paraId="3A90AF26" w14:textId="77777777">
      <w:pPr>
        <w:numPr>
          <w:ilvl w:val="0"/>
          <w:numId w:val="15"/>
        </w:numPr>
        <w:spacing w:after="0" w:line="240" w:lineRule="auto"/>
        <w:rPr>
          <w:rFonts w:ascii="Times New Roman" w:hAnsi="Times New Roman" w:cs="Times New Roman"/>
          <w:sz w:val="24"/>
        </w:rPr>
      </w:pPr>
      <w:r w:rsidRPr="00220A2C">
        <w:rPr>
          <w:rFonts w:ascii="Times New Roman" w:hAnsi="Times New Roman" w:cs="Times New Roman"/>
          <w:sz w:val="24"/>
        </w:rPr>
        <w:t>Number of Responses Per Respondent: 1</w:t>
      </w:r>
    </w:p>
    <w:p w:rsidR="002E50F6" w:rsidRPr="00220A2C" w:rsidP="002E50F6" w14:paraId="5B9C09BD" w14:textId="77777777">
      <w:pPr>
        <w:numPr>
          <w:ilvl w:val="0"/>
          <w:numId w:val="15"/>
        </w:numPr>
        <w:spacing w:after="0" w:line="240" w:lineRule="auto"/>
        <w:rPr>
          <w:rFonts w:ascii="Times New Roman" w:hAnsi="Times New Roman" w:cs="Times New Roman"/>
          <w:sz w:val="24"/>
        </w:rPr>
      </w:pPr>
      <w:r w:rsidRPr="00220A2C">
        <w:rPr>
          <w:rFonts w:ascii="Times New Roman" w:hAnsi="Times New Roman" w:cs="Times New Roman"/>
          <w:sz w:val="24"/>
        </w:rPr>
        <w:t>Number of Total Annual Responses: 264</w:t>
      </w:r>
    </w:p>
    <w:p w:rsidR="002E50F6" w:rsidRPr="00220A2C" w:rsidP="002E50F6" w14:paraId="0C2E75B3" w14:textId="77777777">
      <w:pPr>
        <w:numPr>
          <w:ilvl w:val="0"/>
          <w:numId w:val="15"/>
        </w:numPr>
        <w:spacing w:after="0" w:line="240" w:lineRule="auto"/>
        <w:rPr>
          <w:rFonts w:ascii="Times New Roman" w:hAnsi="Times New Roman" w:cs="Times New Roman"/>
          <w:sz w:val="24"/>
        </w:rPr>
      </w:pPr>
      <w:r w:rsidRPr="00220A2C">
        <w:rPr>
          <w:rFonts w:ascii="Times New Roman" w:hAnsi="Times New Roman" w:cs="Times New Roman"/>
          <w:sz w:val="24"/>
        </w:rPr>
        <w:t>Response Time: 1.5 hours</w:t>
      </w:r>
    </w:p>
    <w:p w:rsidR="002E50F6" w:rsidRPr="00220A2C" w:rsidP="002E50F6" w14:paraId="6D6605ED" w14:textId="77777777">
      <w:pPr>
        <w:numPr>
          <w:ilvl w:val="0"/>
          <w:numId w:val="15"/>
        </w:numPr>
        <w:spacing w:after="0" w:line="240" w:lineRule="auto"/>
        <w:rPr>
          <w:rFonts w:ascii="Times New Roman" w:hAnsi="Times New Roman" w:cs="Times New Roman"/>
          <w:sz w:val="24"/>
        </w:rPr>
      </w:pPr>
      <w:r w:rsidRPr="00220A2C">
        <w:rPr>
          <w:rFonts w:ascii="Times New Roman" w:hAnsi="Times New Roman" w:cs="Times New Roman"/>
          <w:sz w:val="24"/>
        </w:rPr>
        <w:t xml:space="preserve">Respondent Burden Hours: 396 hours </w:t>
      </w:r>
    </w:p>
    <w:p w:rsidR="002E50F6" w:rsidRPr="00220A2C" w:rsidP="002E50F6" w14:paraId="7DFE543F" w14:textId="77777777">
      <w:pPr>
        <w:spacing w:after="0" w:line="240" w:lineRule="auto"/>
        <w:rPr>
          <w:rFonts w:ascii="Times New Roman" w:hAnsi="Times New Roman" w:cs="Times New Roman"/>
          <w:sz w:val="24"/>
        </w:rPr>
      </w:pPr>
    </w:p>
    <w:p w:rsidR="002E50F6" w:rsidRPr="00220A2C" w:rsidP="002E50F6" w14:paraId="20F2FE88" w14:textId="77777777">
      <w:pPr>
        <w:spacing w:after="0" w:line="240" w:lineRule="auto"/>
        <w:rPr>
          <w:rFonts w:ascii="Times New Roman" w:hAnsi="Times New Roman" w:cs="Times New Roman"/>
          <w:sz w:val="24"/>
        </w:rPr>
      </w:pPr>
      <w:r w:rsidRPr="00220A2C">
        <w:rPr>
          <w:rFonts w:ascii="Times New Roman" w:hAnsi="Times New Roman" w:cs="Times New Roman"/>
          <w:sz w:val="24"/>
        </w:rPr>
        <w:t>Interviews</w:t>
      </w:r>
    </w:p>
    <w:p w:rsidR="002E50F6" w:rsidRPr="00220A2C" w:rsidP="002E50F6" w14:paraId="251B74CF" w14:textId="77777777">
      <w:pPr>
        <w:numPr>
          <w:ilvl w:val="0"/>
          <w:numId w:val="25"/>
        </w:numPr>
        <w:spacing w:after="0" w:line="240" w:lineRule="auto"/>
        <w:rPr>
          <w:rFonts w:ascii="Times New Roman" w:hAnsi="Times New Roman" w:cs="Times New Roman"/>
          <w:sz w:val="24"/>
        </w:rPr>
      </w:pPr>
      <w:r w:rsidRPr="00220A2C">
        <w:rPr>
          <w:rFonts w:ascii="Times New Roman" w:hAnsi="Times New Roman" w:cs="Times New Roman"/>
          <w:sz w:val="24"/>
        </w:rPr>
        <w:t>Number of Respondents: 50</w:t>
      </w:r>
    </w:p>
    <w:p w:rsidR="002E50F6" w:rsidRPr="00220A2C" w:rsidP="002E50F6" w14:paraId="295CF507" w14:textId="77777777">
      <w:pPr>
        <w:numPr>
          <w:ilvl w:val="0"/>
          <w:numId w:val="25"/>
        </w:numPr>
        <w:spacing w:after="0" w:line="240" w:lineRule="auto"/>
        <w:rPr>
          <w:rFonts w:ascii="Times New Roman" w:hAnsi="Times New Roman" w:cs="Times New Roman"/>
          <w:sz w:val="24"/>
        </w:rPr>
      </w:pPr>
      <w:r w:rsidRPr="00220A2C">
        <w:rPr>
          <w:rFonts w:ascii="Times New Roman" w:hAnsi="Times New Roman" w:cs="Times New Roman"/>
          <w:sz w:val="24"/>
        </w:rPr>
        <w:t>Number of Respo</w:t>
      </w:r>
      <w:r w:rsidRPr="00220A2C">
        <w:rPr>
          <w:rFonts w:ascii="Times New Roman" w:hAnsi="Times New Roman" w:cs="Times New Roman"/>
          <w:sz w:val="24"/>
        </w:rPr>
        <w:t>nses Per Respondent: 1</w:t>
      </w:r>
    </w:p>
    <w:p w:rsidR="002E50F6" w:rsidRPr="00220A2C" w:rsidP="002E50F6" w14:paraId="6E30E07C" w14:textId="77777777">
      <w:pPr>
        <w:numPr>
          <w:ilvl w:val="0"/>
          <w:numId w:val="25"/>
        </w:numPr>
        <w:spacing w:after="0" w:line="240" w:lineRule="auto"/>
        <w:rPr>
          <w:rFonts w:ascii="Times New Roman" w:hAnsi="Times New Roman" w:cs="Times New Roman"/>
          <w:sz w:val="24"/>
        </w:rPr>
      </w:pPr>
      <w:r w:rsidRPr="00220A2C">
        <w:rPr>
          <w:rFonts w:ascii="Times New Roman" w:hAnsi="Times New Roman" w:cs="Times New Roman"/>
          <w:sz w:val="24"/>
        </w:rPr>
        <w:t>Number of Total Annual Responses: 50</w:t>
      </w:r>
    </w:p>
    <w:p w:rsidR="002E50F6" w:rsidRPr="00220A2C" w:rsidP="002E50F6" w14:paraId="6420F82B" w14:textId="77777777">
      <w:pPr>
        <w:numPr>
          <w:ilvl w:val="0"/>
          <w:numId w:val="25"/>
        </w:numPr>
        <w:spacing w:after="0" w:line="240" w:lineRule="auto"/>
        <w:rPr>
          <w:rFonts w:ascii="Times New Roman" w:hAnsi="Times New Roman" w:cs="Times New Roman"/>
          <w:sz w:val="24"/>
        </w:rPr>
      </w:pPr>
      <w:r w:rsidRPr="00220A2C">
        <w:rPr>
          <w:rFonts w:ascii="Times New Roman" w:hAnsi="Times New Roman" w:cs="Times New Roman"/>
          <w:sz w:val="24"/>
        </w:rPr>
        <w:t>Response Time: 1 hours</w:t>
      </w:r>
    </w:p>
    <w:p w:rsidR="002E50F6" w:rsidRPr="004204FB" w:rsidP="002E50F6" w14:paraId="5FDD8507" w14:textId="77777777">
      <w:pPr>
        <w:numPr>
          <w:ilvl w:val="0"/>
          <w:numId w:val="25"/>
        </w:numPr>
        <w:spacing w:after="0" w:line="240" w:lineRule="auto"/>
        <w:rPr>
          <w:rFonts w:ascii="Times New Roman" w:hAnsi="Times New Roman" w:cs="Times New Roman"/>
          <w:sz w:val="24"/>
        </w:rPr>
      </w:pPr>
      <w:r w:rsidRPr="00220A2C">
        <w:rPr>
          <w:rFonts w:ascii="Times New Roman" w:hAnsi="Times New Roman" w:cs="Times New Roman"/>
          <w:sz w:val="24"/>
        </w:rPr>
        <w:t xml:space="preserve">Respondent Burden Hours: 50 hours </w:t>
      </w:r>
    </w:p>
    <w:p w:rsidR="002E50F6" w:rsidRPr="00220A2C" w:rsidP="002E50F6" w14:paraId="50453D9A" w14:textId="77777777">
      <w:pPr>
        <w:spacing w:after="0" w:line="240" w:lineRule="auto"/>
        <w:ind w:left="1440"/>
        <w:rPr>
          <w:rFonts w:ascii="Times New Roman" w:hAnsi="Times New Roman" w:cs="Times New Roman"/>
          <w:sz w:val="24"/>
        </w:rPr>
      </w:pPr>
    </w:p>
    <w:p w:rsidR="002E50F6" w:rsidRPr="004204FB" w:rsidP="002E50F6" w14:paraId="0B59118B" w14:textId="77777777">
      <w:pPr>
        <w:pStyle w:val="ListParagraph"/>
        <w:numPr>
          <w:ilvl w:val="0"/>
          <w:numId w:val="14"/>
        </w:numPr>
        <w:spacing w:after="0" w:line="240" w:lineRule="auto"/>
        <w:rPr>
          <w:rFonts w:ascii="Times New Roman" w:hAnsi="Times New Roman" w:cs="Times New Roman"/>
          <w:sz w:val="24"/>
        </w:rPr>
      </w:pPr>
      <w:r w:rsidRPr="004204FB">
        <w:rPr>
          <w:rFonts w:ascii="Times New Roman" w:hAnsi="Times New Roman" w:cs="Times New Roman"/>
          <w:sz w:val="24"/>
        </w:rPr>
        <w:t>Total Submission Burden (Summation or average based on collection)</w:t>
      </w:r>
    </w:p>
    <w:p w:rsidR="002E50F6" w:rsidRPr="004204FB" w:rsidP="002E50F6" w14:paraId="7302B7BE" w14:textId="77777777">
      <w:pPr>
        <w:pStyle w:val="ListParagraph"/>
        <w:numPr>
          <w:ilvl w:val="1"/>
          <w:numId w:val="14"/>
        </w:numPr>
        <w:spacing w:after="0" w:line="240" w:lineRule="auto"/>
        <w:rPr>
          <w:rFonts w:ascii="Times New Roman" w:hAnsi="Times New Roman" w:cs="Times New Roman"/>
          <w:sz w:val="24"/>
        </w:rPr>
      </w:pPr>
      <w:r w:rsidRPr="004204FB">
        <w:rPr>
          <w:rFonts w:ascii="Times New Roman" w:hAnsi="Times New Roman" w:cs="Times New Roman"/>
          <w:sz w:val="24"/>
        </w:rPr>
        <w:t>Total Number of Respondents: 314</w:t>
      </w:r>
    </w:p>
    <w:p w:rsidR="002E50F6" w:rsidRPr="004204FB" w:rsidP="002E50F6" w14:paraId="4A4FE158" w14:textId="77777777">
      <w:pPr>
        <w:pStyle w:val="ListParagraph"/>
        <w:numPr>
          <w:ilvl w:val="1"/>
          <w:numId w:val="14"/>
        </w:numPr>
        <w:spacing w:after="0" w:line="240" w:lineRule="auto"/>
        <w:rPr>
          <w:rFonts w:ascii="Times New Roman" w:hAnsi="Times New Roman" w:cs="Times New Roman"/>
          <w:sz w:val="24"/>
        </w:rPr>
      </w:pPr>
      <w:r w:rsidRPr="004204FB">
        <w:rPr>
          <w:rFonts w:ascii="Times New Roman" w:hAnsi="Times New Roman" w:cs="Times New Roman"/>
          <w:sz w:val="24"/>
        </w:rPr>
        <w:t xml:space="preserve">Total Number of Annual </w:t>
      </w:r>
      <w:r w:rsidRPr="004204FB">
        <w:rPr>
          <w:rFonts w:ascii="Times New Roman" w:hAnsi="Times New Roman" w:cs="Times New Roman"/>
          <w:sz w:val="24"/>
        </w:rPr>
        <w:t>Responses: 314</w:t>
      </w:r>
    </w:p>
    <w:p w:rsidR="002E50F6" w:rsidRPr="004204FB" w:rsidP="002E50F6" w14:paraId="7584C767" w14:textId="77777777">
      <w:pPr>
        <w:pStyle w:val="ListParagraph"/>
        <w:numPr>
          <w:ilvl w:val="1"/>
          <w:numId w:val="14"/>
        </w:numPr>
        <w:spacing w:after="0" w:line="240" w:lineRule="auto"/>
        <w:rPr>
          <w:rFonts w:ascii="Times New Roman" w:hAnsi="Times New Roman" w:cs="Times New Roman"/>
          <w:sz w:val="24"/>
        </w:rPr>
      </w:pPr>
      <w:r w:rsidRPr="004204FB">
        <w:rPr>
          <w:rFonts w:ascii="Times New Roman" w:hAnsi="Times New Roman" w:cs="Times New Roman"/>
          <w:sz w:val="24"/>
        </w:rPr>
        <w:t>Total Respondent Burden Hours: 446 hours</w:t>
      </w:r>
    </w:p>
    <w:p w:rsidR="002E50F6" w:rsidRPr="004204FB" w:rsidP="002E50F6" w14:paraId="01E2C3D7" w14:textId="77777777">
      <w:pPr>
        <w:spacing w:after="0" w:line="240" w:lineRule="auto"/>
        <w:rPr>
          <w:rFonts w:ascii="Times New Roman" w:hAnsi="Times New Roman" w:cs="Times New Roman"/>
          <w:sz w:val="24"/>
        </w:rPr>
      </w:pPr>
    </w:p>
    <w:p w:rsidR="002E50F6" w:rsidRPr="004204FB" w:rsidP="002E50F6" w14:paraId="737FC7AC" w14:textId="77777777">
      <w:pPr>
        <w:rPr>
          <w:rFonts w:ascii="Times New Roman" w:hAnsi="Times New Roman" w:cs="Times New Roman"/>
          <w:sz w:val="24"/>
        </w:rPr>
      </w:pPr>
      <w:r w:rsidRPr="004204FB">
        <w:rPr>
          <w:rFonts w:ascii="Times New Roman" w:hAnsi="Times New Roman" w:cs="Times New Roman"/>
          <w:sz w:val="24"/>
        </w:rPr>
        <w:t>Part B: LABOR COST OF RESPONDENT BURDEN</w:t>
      </w:r>
    </w:p>
    <w:p w:rsidR="002E50F6" w:rsidRPr="004204FB" w:rsidP="002E50F6" w14:paraId="081C1703" w14:textId="77777777">
      <w:pPr>
        <w:pStyle w:val="ListParagraph"/>
        <w:numPr>
          <w:ilvl w:val="0"/>
          <w:numId w:val="26"/>
        </w:numPr>
        <w:rPr>
          <w:rFonts w:ascii="Times New Roman" w:hAnsi="Times New Roman" w:cs="Times New Roman"/>
          <w:sz w:val="24"/>
        </w:rPr>
      </w:pPr>
      <w:r w:rsidRPr="004204FB">
        <w:rPr>
          <w:rFonts w:ascii="Times New Roman" w:hAnsi="Times New Roman" w:cs="Times New Roman"/>
          <w:sz w:val="24"/>
        </w:rPr>
        <w:t>Collection Instruments</w:t>
      </w:r>
    </w:p>
    <w:p w:rsidR="002E50F6" w:rsidRPr="00220A2C" w:rsidP="002E50F6" w14:paraId="38AB8C82" w14:textId="77777777">
      <w:pPr>
        <w:spacing w:after="0" w:line="240" w:lineRule="auto"/>
        <w:rPr>
          <w:rFonts w:ascii="Times New Roman" w:hAnsi="Times New Roman" w:cs="Times New Roman"/>
          <w:sz w:val="24"/>
        </w:rPr>
      </w:pPr>
      <w:r w:rsidRPr="00220A2C">
        <w:rPr>
          <w:rFonts w:ascii="Times New Roman" w:hAnsi="Times New Roman" w:cs="Times New Roman"/>
          <w:sz w:val="24"/>
        </w:rPr>
        <w:t>Focus Groups</w:t>
      </w:r>
    </w:p>
    <w:p w:rsidR="002E50F6" w:rsidRPr="004204FB" w:rsidP="002E50F6" w14:paraId="283A1678" w14:textId="77777777">
      <w:pPr>
        <w:numPr>
          <w:ilvl w:val="0"/>
          <w:numId w:val="27"/>
        </w:numPr>
        <w:spacing w:after="0" w:line="240" w:lineRule="auto"/>
        <w:rPr>
          <w:rFonts w:ascii="Times New Roman" w:hAnsi="Times New Roman" w:cs="Times New Roman"/>
          <w:sz w:val="24"/>
        </w:rPr>
      </w:pPr>
      <w:r w:rsidRPr="00220A2C">
        <w:rPr>
          <w:rFonts w:ascii="Times New Roman" w:hAnsi="Times New Roman" w:cs="Times New Roman"/>
          <w:sz w:val="24"/>
        </w:rPr>
        <w:t xml:space="preserve">Number of </w:t>
      </w:r>
      <w:r w:rsidRPr="004204FB">
        <w:rPr>
          <w:rFonts w:ascii="Times New Roman" w:hAnsi="Times New Roman" w:cs="Times New Roman"/>
          <w:sz w:val="24"/>
        </w:rPr>
        <w:t xml:space="preserve">Total Annual </w:t>
      </w:r>
      <w:r w:rsidRPr="00220A2C">
        <w:rPr>
          <w:rFonts w:ascii="Times New Roman" w:hAnsi="Times New Roman" w:cs="Times New Roman"/>
          <w:sz w:val="24"/>
        </w:rPr>
        <w:t>Respondents: 264</w:t>
      </w:r>
    </w:p>
    <w:p w:rsidR="002E50F6" w:rsidRPr="004204FB" w:rsidP="002E50F6" w14:paraId="577CB8C2" w14:textId="77777777">
      <w:pPr>
        <w:numPr>
          <w:ilvl w:val="0"/>
          <w:numId w:val="27"/>
        </w:numPr>
        <w:spacing w:after="0" w:line="240" w:lineRule="auto"/>
        <w:rPr>
          <w:rFonts w:ascii="Times New Roman" w:hAnsi="Times New Roman" w:cs="Times New Roman"/>
          <w:sz w:val="24"/>
        </w:rPr>
      </w:pPr>
      <w:r w:rsidRPr="004204FB">
        <w:rPr>
          <w:rFonts w:ascii="Times New Roman" w:hAnsi="Times New Roman" w:cs="Times New Roman"/>
          <w:sz w:val="24"/>
        </w:rPr>
        <w:t>Response Time: 1.5 hours</w:t>
      </w:r>
    </w:p>
    <w:p w:rsidR="002E50F6" w:rsidRPr="004204FB" w:rsidP="002E50F6" w14:paraId="66C8C909" w14:textId="77777777">
      <w:pPr>
        <w:numPr>
          <w:ilvl w:val="0"/>
          <w:numId w:val="27"/>
        </w:numPr>
        <w:spacing w:after="0" w:line="240" w:lineRule="auto"/>
        <w:rPr>
          <w:rFonts w:ascii="Times New Roman" w:hAnsi="Times New Roman" w:cs="Times New Roman"/>
          <w:sz w:val="24"/>
        </w:rPr>
      </w:pPr>
      <w:r w:rsidRPr="004204FB">
        <w:rPr>
          <w:rFonts w:ascii="Times New Roman" w:hAnsi="Times New Roman" w:cs="Times New Roman"/>
          <w:sz w:val="24"/>
        </w:rPr>
        <w:t>Respondent Hourly Wage: $27</w:t>
      </w:r>
    </w:p>
    <w:p w:rsidR="002E50F6" w:rsidRPr="004204FB" w:rsidP="002E50F6" w14:paraId="3FD540F3" w14:textId="77777777">
      <w:pPr>
        <w:numPr>
          <w:ilvl w:val="0"/>
          <w:numId w:val="27"/>
        </w:numPr>
        <w:spacing w:after="0" w:line="240" w:lineRule="auto"/>
        <w:rPr>
          <w:rFonts w:ascii="Times New Roman" w:hAnsi="Times New Roman" w:cs="Times New Roman"/>
          <w:sz w:val="24"/>
        </w:rPr>
      </w:pPr>
      <w:r w:rsidRPr="004204FB">
        <w:rPr>
          <w:rFonts w:ascii="Times New Roman" w:hAnsi="Times New Roman" w:cs="Times New Roman"/>
          <w:sz w:val="24"/>
        </w:rPr>
        <w:t xml:space="preserve">Labor Burden per </w:t>
      </w:r>
      <w:r w:rsidRPr="004204FB">
        <w:rPr>
          <w:rFonts w:ascii="Times New Roman" w:hAnsi="Times New Roman" w:cs="Times New Roman"/>
          <w:sz w:val="24"/>
        </w:rPr>
        <w:t>Response: $40.50</w:t>
      </w:r>
    </w:p>
    <w:p w:rsidR="002E50F6" w:rsidRPr="004204FB" w:rsidP="002E50F6" w14:paraId="73298C95" w14:textId="77777777">
      <w:pPr>
        <w:numPr>
          <w:ilvl w:val="0"/>
          <w:numId w:val="27"/>
        </w:numPr>
        <w:spacing w:after="0" w:line="240" w:lineRule="auto"/>
        <w:rPr>
          <w:rFonts w:ascii="Times New Roman" w:hAnsi="Times New Roman" w:cs="Times New Roman"/>
          <w:sz w:val="24"/>
        </w:rPr>
      </w:pPr>
      <w:r w:rsidRPr="004204FB">
        <w:rPr>
          <w:rFonts w:ascii="Times New Roman" w:hAnsi="Times New Roman" w:cs="Times New Roman"/>
          <w:sz w:val="24"/>
        </w:rPr>
        <w:t>Total Labor Burden: $10, 692</w:t>
      </w:r>
    </w:p>
    <w:p w:rsidR="002E50F6" w:rsidRPr="004204FB" w:rsidP="002E50F6" w14:paraId="1C0315F5" w14:textId="77777777">
      <w:pPr>
        <w:spacing w:after="0" w:line="240" w:lineRule="auto"/>
        <w:ind w:left="1440"/>
        <w:rPr>
          <w:rFonts w:ascii="Times New Roman" w:hAnsi="Times New Roman" w:cs="Times New Roman"/>
          <w:sz w:val="24"/>
        </w:rPr>
      </w:pPr>
    </w:p>
    <w:p w:rsidR="002E50F6" w:rsidRPr="004204FB" w:rsidP="002E50F6" w14:paraId="3D6E2C26" w14:textId="77777777">
      <w:pPr>
        <w:spacing w:after="0" w:line="240" w:lineRule="auto"/>
        <w:rPr>
          <w:rFonts w:ascii="Times New Roman" w:hAnsi="Times New Roman" w:cs="Times New Roman"/>
          <w:sz w:val="24"/>
        </w:rPr>
      </w:pPr>
      <w:r w:rsidRPr="004204FB">
        <w:rPr>
          <w:rFonts w:ascii="Times New Roman" w:hAnsi="Times New Roman" w:cs="Times New Roman"/>
          <w:sz w:val="24"/>
        </w:rPr>
        <w:t>Interviews</w:t>
      </w:r>
    </w:p>
    <w:p w:rsidR="002E50F6" w:rsidRPr="004204FB" w:rsidP="002E50F6" w14:paraId="46A086F8" w14:textId="77777777">
      <w:pPr>
        <w:pStyle w:val="ListParagraph"/>
        <w:numPr>
          <w:ilvl w:val="0"/>
          <w:numId w:val="28"/>
        </w:numPr>
        <w:spacing w:after="0" w:line="240" w:lineRule="auto"/>
        <w:rPr>
          <w:rFonts w:ascii="Times New Roman" w:hAnsi="Times New Roman" w:cs="Times New Roman"/>
          <w:sz w:val="24"/>
        </w:rPr>
      </w:pPr>
      <w:r w:rsidRPr="004204FB">
        <w:rPr>
          <w:rFonts w:ascii="Times New Roman" w:hAnsi="Times New Roman" w:cs="Times New Roman"/>
          <w:sz w:val="24"/>
        </w:rPr>
        <w:t>Number of Total Annual Respondents: 50</w:t>
      </w:r>
    </w:p>
    <w:p w:rsidR="002E50F6" w:rsidRPr="004204FB" w:rsidP="002E50F6" w14:paraId="1766B7C8" w14:textId="77777777">
      <w:pPr>
        <w:pStyle w:val="ListParagraph"/>
        <w:numPr>
          <w:ilvl w:val="0"/>
          <w:numId w:val="28"/>
        </w:numPr>
        <w:spacing w:after="0" w:line="240" w:lineRule="auto"/>
        <w:rPr>
          <w:rFonts w:ascii="Times New Roman" w:hAnsi="Times New Roman" w:cs="Times New Roman"/>
          <w:sz w:val="24"/>
        </w:rPr>
      </w:pPr>
      <w:r w:rsidRPr="004204FB">
        <w:rPr>
          <w:rFonts w:ascii="Times New Roman" w:hAnsi="Times New Roman" w:cs="Times New Roman"/>
          <w:sz w:val="24"/>
        </w:rPr>
        <w:t>Response Time: 1 hour</w:t>
      </w:r>
    </w:p>
    <w:p w:rsidR="002E50F6" w:rsidRPr="004204FB" w:rsidP="002E50F6" w14:paraId="5AA52568" w14:textId="77777777">
      <w:pPr>
        <w:pStyle w:val="ListParagraph"/>
        <w:numPr>
          <w:ilvl w:val="0"/>
          <w:numId w:val="28"/>
        </w:numPr>
        <w:spacing w:after="0" w:line="240" w:lineRule="auto"/>
        <w:rPr>
          <w:rFonts w:ascii="Times New Roman" w:hAnsi="Times New Roman" w:cs="Times New Roman"/>
          <w:sz w:val="24"/>
        </w:rPr>
      </w:pPr>
      <w:r w:rsidRPr="004204FB">
        <w:rPr>
          <w:rFonts w:ascii="Times New Roman" w:hAnsi="Times New Roman" w:cs="Times New Roman"/>
          <w:sz w:val="24"/>
        </w:rPr>
        <w:t>Respondent Hourly Wage: $27</w:t>
      </w:r>
    </w:p>
    <w:p w:rsidR="002E50F6" w:rsidRPr="004204FB" w:rsidP="002E50F6" w14:paraId="0C98F800" w14:textId="77777777">
      <w:pPr>
        <w:pStyle w:val="ListParagraph"/>
        <w:numPr>
          <w:ilvl w:val="0"/>
          <w:numId w:val="28"/>
        </w:numPr>
        <w:spacing w:after="0" w:line="240" w:lineRule="auto"/>
        <w:rPr>
          <w:rFonts w:ascii="Times New Roman" w:hAnsi="Times New Roman" w:cs="Times New Roman"/>
          <w:sz w:val="24"/>
        </w:rPr>
      </w:pPr>
      <w:r w:rsidRPr="004204FB">
        <w:rPr>
          <w:rFonts w:ascii="Times New Roman" w:hAnsi="Times New Roman" w:cs="Times New Roman"/>
          <w:sz w:val="24"/>
        </w:rPr>
        <w:t>Labor Burden per Response: $27</w:t>
      </w:r>
      <w:r w:rsidRPr="004204FB">
        <w:rPr>
          <w:rFonts w:ascii="Times New Roman" w:hAnsi="Times New Roman" w:cs="Times New Roman"/>
          <w:sz w:val="24"/>
        </w:rPr>
        <w:tab/>
      </w:r>
    </w:p>
    <w:p w:rsidR="002E50F6" w:rsidP="002E50F6" w14:paraId="636EDD15" w14:textId="77777777">
      <w:pPr>
        <w:pStyle w:val="ListParagraph"/>
        <w:numPr>
          <w:ilvl w:val="0"/>
          <w:numId w:val="28"/>
        </w:numPr>
        <w:spacing w:after="0" w:line="240" w:lineRule="auto"/>
        <w:rPr>
          <w:rFonts w:ascii="Times New Roman" w:hAnsi="Times New Roman" w:cs="Times New Roman"/>
          <w:sz w:val="24"/>
        </w:rPr>
      </w:pPr>
      <w:r w:rsidRPr="004204FB">
        <w:rPr>
          <w:rFonts w:ascii="Times New Roman" w:hAnsi="Times New Roman" w:cs="Times New Roman"/>
          <w:sz w:val="24"/>
        </w:rPr>
        <w:t>Total Labor Burden: $1,350</w:t>
      </w:r>
    </w:p>
    <w:p w:rsidR="002E50F6" w:rsidRPr="004204FB" w:rsidP="002E50F6" w14:paraId="2F245A9A" w14:textId="77777777">
      <w:pPr>
        <w:pStyle w:val="ListParagraph"/>
        <w:spacing w:after="0" w:line="240" w:lineRule="auto"/>
        <w:ind w:left="1440"/>
        <w:rPr>
          <w:rFonts w:ascii="Times New Roman" w:hAnsi="Times New Roman" w:cs="Times New Roman"/>
          <w:sz w:val="24"/>
        </w:rPr>
      </w:pPr>
    </w:p>
    <w:p w:rsidR="002E50F6" w:rsidRPr="004204FB" w:rsidP="002E50F6" w14:paraId="20B495F9" w14:textId="77777777">
      <w:pPr>
        <w:pStyle w:val="ListParagraph"/>
        <w:numPr>
          <w:ilvl w:val="0"/>
          <w:numId w:val="26"/>
        </w:numPr>
        <w:spacing w:after="0" w:line="240" w:lineRule="auto"/>
        <w:rPr>
          <w:rFonts w:ascii="Times New Roman" w:hAnsi="Times New Roman" w:cs="Times New Roman"/>
          <w:sz w:val="24"/>
        </w:rPr>
      </w:pPr>
      <w:r w:rsidRPr="004204FB">
        <w:rPr>
          <w:rFonts w:ascii="Times New Roman" w:hAnsi="Times New Roman" w:cs="Times New Roman"/>
          <w:sz w:val="24"/>
        </w:rPr>
        <w:t>Overall Labor Burden</w:t>
      </w:r>
    </w:p>
    <w:p w:rsidR="002E50F6" w:rsidRPr="004204FB" w:rsidP="002E50F6" w14:paraId="4AEA24A2" w14:textId="77777777">
      <w:pPr>
        <w:pStyle w:val="ListParagraph"/>
        <w:numPr>
          <w:ilvl w:val="0"/>
          <w:numId w:val="29"/>
        </w:numPr>
        <w:spacing w:after="0" w:line="240" w:lineRule="auto"/>
        <w:rPr>
          <w:rFonts w:ascii="Times New Roman" w:hAnsi="Times New Roman" w:cs="Times New Roman"/>
          <w:sz w:val="24"/>
        </w:rPr>
      </w:pPr>
      <w:r w:rsidRPr="004204FB">
        <w:rPr>
          <w:rFonts w:ascii="Times New Roman" w:hAnsi="Times New Roman" w:cs="Times New Roman"/>
          <w:sz w:val="24"/>
        </w:rPr>
        <w:t xml:space="preserve">Total Number of Annual </w:t>
      </w:r>
      <w:r w:rsidRPr="004204FB">
        <w:rPr>
          <w:rFonts w:ascii="Times New Roman" w:hAnsi="Times New Roman" w:cs="Times New Roman"/>
          <w:sz w:val="24"/>
        </w:rPr>
        <w:t>Respondents: 314</w:t>
      </w:r>
    </w:p>
    <w:p w:rsidR="002E50F6" w:rsidRPr="004204FB" w:rsidP="002E50F6" w14:paraId="138C3704" w14:textId="77777777">
      <w:pPr>
        <w:pStyle w:val="ListParagraph"/>
        <w:numPr>
          <w:ilvl w:val="0"/>
          <w:numId w:val="29"/>
        </w:numPr>
        <w:spacing w:after="0" w:line="240" w:lineRule="auto"/>
        <w:rPr>
          <w:rFonts w:ascii="Times New Roman" w:hAnsi="Times New Roman" w:cs="Times New Roman"/>
          <w:sz w:val="24"/>
        </w:rPr>
      </w:pPr>
      <w:r w:rsidRPr="004204FB">
        <w:rPr>
          <w:rFonts w:ascii="Times New Roman" w:hAnsi="Times New Roman" w:cs="Times New Roman"/>
          <w:sz w:val="24"/>
        </w:rPr>
        <w:t>Total Labor Burden: $12,042</w:t>
      </w:r>
    </w:p>
    <w:p w:rsidR="002E50F6" w:rsidRPr="004204FB" w:rsidP="002E50F6" w14:paraId="052757F8" w14:textId="77777777">
      <w:pPr>
        <w:rPr>
          <w:rFonts w:ascii="Times New Roman" w:hAnsi="Times New Roman" w:cs="Times New Roman"/>
          <w:sz w:val="24"/>
        </w:rPr>
      </w:pPr>
    </w:p>
    <w:p w:rsidR="002E50F6" w:rsidRPr="004204FB" w:rsidP="002E50F6" w14:paraId="51666B75" w14:textId="77777777">
      <w:pPr>
        <w:rPr>
          <w:rFonts w:ascii="Times New Roman" w:eastAsia="Calibri" w:hAnsi="Times New Roman" w:cs="Times New Roman"/>
        </w:rPr>
      </w:pPr>
      <w:r w:rsidRPr="004204FB">
        <w:rPr>
          <w:rFonts w:ascii="Times New Roman" w:hAnsi="Times New Roman" w:cs="Times New Roman"/>
          <w:sz w:val="24"/>
        </w:rPr>
        <w:t xml:space="preserve">The Respondent hourly wage was determined by using the </w:t>
      </w:r>
      <w:r w:rsidRPr="004204FB">
        <w:rPr>
          <w:rFonts w:ascii="Times New Roman" w:eastAsia="Times New Roman" w:hAnsi="Times New Roman" w:cs="Times New Roman"/>
          <w:sz w:val="24"/>
          <w:szCs w:val="24"/>
        </w:rPr>
        <w:t xml:space="preserve">Hourly Rate Based on 2023 pay: https://militarypay.defense.gov/Portals/3/Documents/2023%20Basic%20Pay%20Table.pdf </w:t>
      </w:r>
    </w:p>
    <w:p w:rsidR="0019309D" w:rsidP="00337EF1" w14:paraId="1C5F249F" w14:textId="46C57DE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w:t>
      </w:r>
      <w:r w:rsidRPr="0019309D">
        <w:rPr>
          <w:rFonts w:asciiTheme="majorHAnsi" w:hAnsiTheme="majorHAnsi"/>
          <w:sz w:val="24"/>
          <w:u w:val="single"/>
        </w:rPr>
        <w:t>our Costs</w:t>
      </w:r>
    </w:p>
    <w:p w:rsidR="008879CE" w:rsidRPr="004204FB" w:rsidP="008879CE" w14:paraId="7373DB63" w14:textId="77777777">
      <w:pPr>
        <w:spacing w:after="0" w:line="240" w:lineRule="auto"/>
        <w:rPr>
          <w:rFonts w:ascii="Times New Roman" w:hAnsi="Times New Roman" w:cs="Times New Roman"/>
          <w:sz w:val="24"/>
        </w:rPr>
      </w:pPr>
      <w:r w:rsidRPr="004204FB">
        <w:rPr>
          <w:rFonts w:ascii="Times New Roman" w:hAnsi="Times New Roman" w:cs="Times New Roman"/>
          <w:sz w:val="24"/>
        </w:rPr>
        <w:t xml:space="preserve">There are no annualized costs to respondents other than the labor burden costs addressed in Section 12 of this document to complete this collection.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4649AB" w:rsidP="00352EEF" w14:paraId="021F774C" w14:textId="77777777">
      <w:pPr>
        <w:spacing w:after="0" w:line="240" w:lineRule="auto"/>
        <w:rPr>
          <w:rFonts w:ascii="Times New Roman" w:hAnsi="Times New Roman" w:cs="Times New Roman"/>
          <w:sz w:val="24"/>
        </w:rPr>
      </w:pPr>
    </w:p>
    <w:p w:rsidR="004649AB" w:rsidP="004649AB" w14:paraId="3239E4D1"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Collection Instrument(s)</w:t>
      </w:r>
    </w:p>
    <w:p w:rsidR="004649AB" w:rsidP="004649AB" w14:paraId="720BE862" w14:textId="0343414A">
      <w:pPr>
        <w:pStyle w:val="ListParagraph"/>
        <w:spacing w:after="0" w:line="240" w:lineRule="auto"/>
        <w:rPr>
          <w:rFonts w:asciiTheme="majorHAnsi" w:hAnsiTheme="majorHAnsi"/>
          <w:sz w:val="24"/>
        </w:rPr>
      </w:pPr>
      <w:r>
        <w:rPr>
          <w:rFonts w:asciiTheme="majorHAnsi" w:hAnsiTheme="majorHAnsi"/>
          <w:sz w:val="24"/>
        </w:rPr>
        <w:t xml:space="preserve">Focus Groups </w:t>
      </w:r>
    </w:p>
    <w:p w:rsidR="004649AB" w:rsidP="004649AB" w14:paraId="4DDEFC39" w14:textId="462C603E">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Number of Total Annual Responses: </w:t>
      </w:r>
      <w:r w:rsidR="004630DE">
        <w:rPr>
          <w:rFonts w:asciiTheme="majorHAnsi" w:hAnsiTheme="majorHAnsi"/>
          <w:sz w:val="24"/>
        </w:rPr>
        <w:t>264</w:t>
      </w:r>
    </w:p>
    <w:p w:rsidR="004649AB" w:rsidP="004649AB" w14:paraId="7E7F0406" w14:textId="4914D2FD">
      <w:pPr>
        <w:pStyle w:val="ListParagraph"/>
        <w:numPr>
          <w:ilvl w:val="0"/>
          <w:numId w:val="32"/>
        </w:numPr>
        <w:spacing w:after="0" w:line="240" w:lineRule="auto"/>
        <w:rPr>
          <w:rFonts w:asciiTheme="majorHAnsi" w:hAnsiTheme="majorHAnsi"/>
          <w:sz w:val="24"/>
        </w:rPr>
      </w:pPr>
      <w:r>
        <w:rPr>
          <w:rFonts w:asciiTheme="majorHAnsi" w:hAnsiTheme="majorHAnsi"/>
          <w:sz w:val="24"/>
        </w:rPr>
        <w:t xml:space="preserve">Processing Time per Response: </w:t>
      </w:r>
      <w:r w:rsidR="004630DE">
        <w:rPr>
          <w:rFonts w:asciiTheme="majorHAnsi" w:hAnsiTheme="majorHAnsi"/>
          <w:sz w:val="24"/>
        </w:rPr>
        <w:t>1</w:t>
      </w:r>
      <w:r w:rsidR="0095511E">
        <w:rPr>
          <w:rFonts w:asciiTheme="majorHAnsi" w:hAnsiTheme="majorHAnsi"/>
          <w:sz w:val="24"/>
        </w:rPr>
        <w:t xml:space="preserve"> </w:t>
      </w:r>
      <w:r>
        <w:rPr>
          <w:rFonts w:asciiTheme="majorHAnsi" w:hAnsiTheme="majorHAnsi"/>
          <w:sz w:val="24"/>
        </w:rPr>
        <w:t>hour</w:t>
      </w:r>
    </w:p>
    <w:p w:rsidR="004649AB" w:rsidP="004649AB" w14:paraId="69CA5AE7" w14:textId="3EEF1864">
      <w:pPr>
        <w:pStyle w:val="ListParagraph"/>
        <w:numPr>
          <w:ilvl w:val="0"/>
          <w:numId w:val="32"/>
        </w:numPr>
        <w:spacing w:after="0" w:line="240" w:lineRule="auto"/>
        <w:rPr>
          <w:rFonts w:asciiTheme="majorHAnsi" w:hAnsiTheme="majorHAnsi"/>
          <w:sz w:val="24"/>
        </w:rPr>
      </w:pPr>
      <w:r>
        <w:rPr>
          <w:rFonts w:asciiTheme="majorHAnsi" w:hAnsiTheme="majorHAnsi"/>
          <w:sz w:val="24"/>
        </w:rPr>
        <w:t>Hourly Wage of Worker(s) Processing Responses: $</w:t>
      </w:r>
      <w:r w:rsidR="0095511E">
        <w:rPr>
          <w:rFonts w:asciiTheme="majorHAnsi" w:hAnsiTheme="majorHAnsi"/>
          <w:sz w:val="24"/>
        </w:rPr>
        <w:t>89.92</w:t>
      </w:r>
    </w:p>
    <w:p w:rsidR="004649AB" w:rsidP="004649AB" w14:paraId="130E5285" w14:textId="200F9DBD">
      <w:pPr>
        <w:pStyle w:val="ListParagraph"/>
        <w:numPr>
          <w:ilvl w:val="0"/>
          <w:numId w:val="32"/>
        </w:numPr>
        <w:spacing w:after="0" w:line="240" w:lineRule="auto"/>
        <w:rPr>
          <w:rFonts w:asciiTheme="majorHAnsi" w:hAnsiTheme="majorHAnsi"/>
          <w:sz w:val="24"/>
        </w:rPr>
      </w:pPr>
      <w:r>
        <w:rPr>
          <w:rFonts w:asciiTheme="majorHAnsi" w:hAnsiTheme="majorHAnsi"/>
          <w:sz w:val="24"/>
        </w:rPr>
        <w:t>Cost to Process Each Response: $</w:t>
      </w:r>
      <w:r w:rsidR="004630DE">
        <w:rPr>
          <w:rFonts w:asciiTheme="majorHAnsi" w:hAnsiTheme="majorHAnsi"/>
          <w:sz w:val="24"/>
        </w:rPr>
        <w:t>89.</w:t>
      </w:r>
      <w:r w:rsidR="0007182D">
        <w:rPr>
          <w:rFonts w:asciiTheme="majorHAnsi" w:hAnsiTheme="majorHAnsi"/>
          <w:sz w:val="24"/>
        </w:rPr>
        <w:t>92</w:t>
      </w:r>
    </w:p>
    <w:p w:rsidR="004649AB" w:rsidP="004649AB" w14:paraId="278082CC" w14:textId="0B2A639F">
      <w:pPr>
        <w:pStyle w:val="ListParagraph"/>
        <w:numPr>
          <w:ilvl w:val="0"/>
          <w:numId w:val="32"/>
        </w:numPr>
        <w:spacing w:after="0" w:line="240" w:lineRule="auto"/>
        <w:rPr>
          <w:rFonts w:asciiTheme="majorHAnsi" w:hAnsiTheme="majorHAnsi"/>
          <w:sz w:val="24"/>
        </w:rPr>
      </w:pPr>
      <w:r>
        <w:rPr>
          <w:rFonts w:asciiTheme="majorHAnsi" w:hAnsiTheme="majorHAnsi"/>
          <w:sz w:val="24"/>
        </w:rPr>
        <w:t>Total Cost to Process Responses: $</w:t>
      </w:r>
      <w:r w:rsidR="004630DE">
        <w:rPr>
          <w:rFonts w:asciiTheme="majorHAnsi" w:hAnsiTheme="majorHAnsi"/>
          <w:sz w:val="24"/>
        </w:rPr>
        <w:t>23,738.88</w:t>
      </w:r>
    </w:p>
    <w:p w:rsidR="007E68CC" w:rsidP="002A7540" w14:paraId="518F620B" w14:textId="475C644C">
      <w:pPr>
        <w:spacing w:after="0" w:line="240" w:lineRule="auto"/>
        <w:ind w:firstLine="360"/>
        <w:rPr>
          <w:rFonts w:asciiTheme="majorHAnsi" w:hAnsiTheme="majorHAnsi"/>
          <w:sz w:val="24"/>
        </w:rPr>
      </w:pPr>
      <w:r>
        <w:rPr>
          <w:rFonts w:asciiTheme="majorHAnsi" w:hAnsiTheme="majorHAnsi"/>
          <w:sz w:val="24"/>
        </w:rPr>
        <w:t>2) Individual Interviews</w:t>
      </w:r>
    </w:p>
    <w:p w:rsidR="007E68CC" w:rsidP="007E68CC" w14:paraId="4D271999" w14:textId="09EB6F53">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 Number of Total Ann</w:t>
      </w:r>
      <w:r>
        <w:rPr>
          <w:rFonts w:asciiTheme="majorHAnsi" w:hAnsiTheme="majorHAnsi"/>
          <w:sz w:val="24"/>
        </w:rPr>
        <w:t>ual Responses: 50</w:t>
      </w:r>
    </w:p>
    <w:p w:rsidR="007E68CC" w:rsidP="007E68CC" w14:paraId="700DD287" w14:textId="3FD9D875">
      <w:pPr>
        <w:pStyle w:val="ListParagraph"/>
        <w:numPr>
          <w:ilvl w:val="0"/>
          <w:numId w:val="35"/>
        </w:numPr>
        <w:spacing w:after="0" w:line="240" w:lineRule="auto"/>
        <w:rPr>
          <w:rFonts w:asciiTheme="majorHAnsi" w:hAnsiTheme="majorHAnsi"/>
          <w:sz w:val="24"/>
        </w:rPr>
      </w:pPr>
      <w:r>
        <w:rPr>
          <w:rFonts w:asciiTheme="majorHAnsi" w:hAnsiTheme="majorHAnsi"/>
          <w:sz w:val="24"/>
        </w:rPr>
        <w:t xml:space="preserve">Processing Time per Response: </w:t>
      </w:r>
      <w:r w:rsidR="00A43B08">
        <w:rPr>
          <w:rFonts w:asciiTheme="majorHAnsi" w:hAnsiTheme="majorHAnsi"/>
          <w:sz w:val="24"/>
        </w:rPr>
        <w:t>5</w:t>
      </w:r>
      <w:r>
        <w:rPr>
          <w:rFonts w:asciiTheme="majorHAnsi" w:hAnsiTheme="majorHAnsi"/>
          <w:sz w:val="24"/>
        </w:rPr>
        <w:t xml:space="preserve"> hours</w:t>
      </w:r>
    </w:p>
    <w:p w:rsidR="007E68CC" w:rsidP="007E68CC" w14:paraId="5D527DFA" w14:textId="77777777">
      <w:pPr>
        <w:pStyle w:val="ListParagraph"/>
        <w:numPr>
          <w:ilvl w:val="0"/>
          <w:numId w:val="35"/>
        </w:numPr>
        <w:spacing w:after="0" w:line="240" w:lineRule="auto"/>
        <w:rPr>
          <w:rFonts w:asciiTheme="majorHAnsi" w:hAnsiTheme="majorHAnsi"/>
          <w:sz w:val="24"/>
        </w:rPr>
      </w:pPr>
      <w:r>
        <w:rPr>
          <w:rFonts w:asciiTheme="majorHAnsi" w:hAnsiTheme="majorHAnsi"/>
          <w:sz w:val="24"/>
        </w:rPr>
        <w:t>Hourly Wage of Worker(s) Processing Responses: $89.92</w:t>
      </w:r>
    </w:p>
    <w:p w:rsidR="007E68CC" w:rsidP="007E68CC" w14:paraId="40B7C041" w14:textId="743C7338">
      <w:pPr>
        <w:pStyle w:val="ListParagraph"/>
        <w:numPr>
          <w:ilvl w:val="0"/>
          <w:numId w:val="35"/>
        </w:numPr>
        <w:spacing w:after="0" w:line="240" w:lineRule="auto"/>
        <w:rPr>
          <w:rFonts w:asciiTheme="majorHAnsi" w:hAnsiTheme="majorHAnsi"/>
          <w:sz w:val="24"/>
        </w:rPr>
      </w:pPr>
      <w:r>
        <w:rPr>
          <w:rFonts w:asciiTheme="majorHAnsi" w:hAnsiTheme="majorHAnsi"/>
          <w:sz w:val="24"/>
        </w:rPr>
        <w:t>Cost to Process Each Response: $</w:t>
      </w:r>
      <w:r w:rsidR="00A43B08">
        <w:rPr>
          <w:rFonts w:asciiTheme="majorHAnsi" w:hAnsiTheme="majorHAnsi"/>
          <w:sz w:val="24"/>
        </w:rPr>
        <w:t>449.60</w:t>
      </w:r>
    </w:p>
    <w:p w:rsidR="007E68CC" w:rsidP="007E68CC" w14:paraId="64574EAF" w14:textId="4E1D2ED8">
      <w:pPr>
        <w:pStyle w:val="ListParagraph"/>
        <w:numPr>
          <w:ilvl w:val="0"/>
          <w:numId w:val="35"/>
        </w:numPr>
        <w:spacing w:after="0" w:line="240" w:lineRule="auto"/>
        <w:rPr>
          <w:rFonts w:asciiTheme="majorHAnsi" w:hAnsiTheme="majorHAnsi"/>
          <w:sz w:val="24"/>
        </w:rPr>
      </w:pPr>
      <w:r>
        <w:rPr>
          <w:rFonts w:asciiTheme="majorHAnsi" w:hAnsiTheme="majorHAnsi"/>
          <w:sz w:val="24"/>
        </w:rPr>
        <w:t>Total Cost to Process Responses: $</w:t>
      </w:r>
      <w:r w:rsidR="00A43B08">
        <w:rPr>
          <w:rFonts w:asciiTheme="majorHAnsi" w:hAnsiTheme="majorHAnsi"/>
          <w:sz w:val="24"/>
        </w:rPr>
        <w:t>22,480</w:t>
      </w:r>
    </w:p>
    <w:p w:rsidR="007E68CC" w:rsidRPr="002A7540" w:rsidP="002A7540" w14:paraId="33D776DC" w14:textId="04727DF3">
      <w:pPr>
        <w:spacing w:after="0" w:line="240" w:lineRule="auto"/>
        <w:rPr>
          <w:rFonts w:asciiTheme="majorHAnsi" w:hAnsiTheme="majorHAnsi"/>
          <w:sz w:val="24"/>
        </w:rPr>
      </w:pPr>
    </w:p>
    <w:p w:rsidR="004649AB" w:rsidP="004649AB" w14:paraId="082694B8" w14:textId="77777777">
      <w:pPr>
        <w:pStyle w:val="ListParagraph"/>
        <w:spacing w:after="0" w:line="240" w:lineRule="auto"/>
        <w:ind w:left="1440"/>
        <w:rPr>
          <w:rFonts w:asciiTheme="majorHAnsi" w:hAnsiTheme="majorHAnsi"/>
          <w:sz w:val="24"/>
        </w:rPr>
      </w:pPr>
    </w:p>
    <w:p w:rsidR="004649AB" w:rsidP="004649AB" w14:paraId="4B240AB2" w14:textId="77777777">
      <w:pPr>
        <w:pStyle w:val="ListParagraph"/>
        <w:numPr>
          <w:ilvl w:val="0"/>
          <w:numId w:val="31"/>
        </w:numPr>
        <w:spacing w:after="0" w:line="240" w:lineRule="auto"/>
        <w:rPr>
          <w:rFonts w:asciiTheme="majorHAnsi" w:hAnsiTheme="majorHAnsi"/>
          <w:sz w:val="24"/>
        </w:rPr>
      </w:pPr>
      <w:r>
        <w:rPr>
          <w:rFonts w:asciiTheme="majorHAnsi" w:hAnsiTheme="majorHAnsi"/>
          <w:sz w:val="24"/>
        </w:rPr>
        <w:t>Overall Labor Burden to the Federal Government</w:t>
      </w:r>
    </w:p>
    <w:p w:rsidR="004649AB" w:rsidP="004649AB" w14:paraId="40BB1CD1" w14:textId="1EF175DB">
      <w:pPr>
        <w:pStyle w:val="ListParagraph"/>
        <w:numPr>
          <w:ilvl w:val="1"/>
          <w:numId w:val="31"/>
        </w:numPr>
        <w:spacing w:after="0" w:line="240" w:lineRule="auto"/>
        <w:rPr>
          <w:rFonts w:asciiTheme="majorHAnsi" w:hAnsiTheme="majorHAnsi"/>
          <w:sz w:val="24"/>
        </w:rPr>
      </w:pPr>
      <w:r>
        <w:rPr>
          <w:rFonts w:asciiTheme="majorHAnsi" w:hAnsiTheme="majorHAnsi"/>
          <w:sz w:val="24"/>
        </w:rPr>
        <w:t>Total Number of A</w:t>
      </w:r>
      <w:r>
        <w:rPr>
          <w:rFonts w:asciiTheme="majorHAnsi" w:hAnsiTheme="majorHAnsi"/>
          <w:sz w:val="24"/>
        </w:rPr>
        <w:t>nnual Responses: 314</w:t>
      </w:r>
    </w:p>
    <w:p w:rsidR="004649AB" w:rsidRPr="004649AB" w:rsidP="000058F0" w14:paraId="361758AA" w14:textId="5E443682">
      <w:pPr>
        <w:pStyle w:val="ListParagraph"/>
        <w:numPr>
          <w:ilvl w:val="1"/>
          <w:numId w:val="31"/>
        </w:numPr>
        <w:spacing w:after="0" w:line="240" w:lineRule="auto"/>
        <w:rPr>
          <w:rFonts w:ascii="Times New Roman" w:hAnsi="Times New Roman" w:cs="Times New Roman"/>
          <w:sz w:val="24"/>
        </w:rPr>
      </w:pPr>
      <w:r w:rsidRPr="004649AB">
        <w:rPr>
          <w:rFonts w:asciiTheme="majorHAnsi" w:hAnsiTheme="majorHAnsi"/>
          <w:sz w:val="24"/>
        </w:rPr>
        <w:t>Total Labor Burden</w:t>
      </w:r>
      <w:r w:rsidRPr="004649AB">
        <w:rPr>
          <w:rFonts w:asciiTheme="majorHAnsi" w:hAnsiTheme="majorHAnsi"/>
          <w:iCs/>
          <w:sz w:val="24"/>
        </w:rPr>
        <w:t xml:space="preserve">: </w:t>
      </w:r>
      <w:r w:rsidR="00895785">
        <w:rPr>
          <w:rFonts w:asciiTheme="majorHAnsi" w:hAnsiTheme="majorHAnsi"/>
          <w:iCs/>
          <w:sz w:val="24"/>
        </w:rPr>
        <w:t>$46,218.88</w:t>
      </w:r>
    </w:p>
    <w:p w:rsidR="004649AB" w:rsidP="004649AB" w14:paraId="62A9B1E3" w14:textId="77777777">
      <w:pPr>
        <w:pStyle w:val="ListParagraph"/>
        <w:spacing w:after="0" w:line="240" w:lineRule="auto"/>
        <w:ind w:left="1440"/>
        <w:rPr>
          <w:rFonts w:asciiTheme="majorHAnsi" w:hAnsiTheme="majorHAnsi"/>
          <w:i/>
          <w:sz w:val="24"/>
        </w:rPr>
      </w:pPr>
    </w:p>
    <w:p w:rsidR="004649AB" w:rsidRPr="004649AB" w:rsidP="004649AB" w14:paraId="67BF3446" w14:textId="77777777">
      <w:pPr>
        <w:spacing w:after="0" w:line="240" w:lineRule="auto"/>
        <w:rPr>
          <w:rFonts w:ascii="Cambria" w:eastAsia="Calibri" w:hAnsi="Cambria" w:cs="Times New Roman"/>
          <w:sz w:val="24"/>
        </w:rPr>
      </w:pPr>
      <w:r w:rsidRPr="004649AB">
        <w:rPr>
          <w:rFonts w:ascii="Cambria" w:eastAsia="Calibri" w:hAnsi="Cambria" w:cs="Times New Roman"/>
          <w:sz w:val="24"/>
        </w:rPr>
        <w:t>Part B: OPERATIONAL AND MAINTENANCE COSTS</w:t>
      </w:r>
    </w:p>
    <w:p w:rsidR="004649AB" w:rsidRPr="004649AB" w:rsidP="004649AB" w14:paraId="0F4DE9F2" w14:textId="77777777">
      <w:pPr>
        <w:spacing w:after="0" w:line="240" w:lineRule="auto"/>
        <w:rPr>
          <w:rFonts w:ascii="Cambria" w:eastAsia="Calibri" w:hAnsi="Cambria" w:cs="Times New Roman"/>
          <w:sz w:val="24"/>
        </w:rPr>
      </w:pPr>
    </w:p>
    <w:p w:rsidR="004649AB" w:rsidRPr="004649AB" w:rsidP="004649AB" w14:paraId="3B14A921" w14:textId="77777777">
      <w:pPr>
        <w:numPr>
          <w:ilvl w:val="0"/>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Cost Categories</w:t>
      </w:r>
    </w:p>
    <w:p w:rsidR="004649AB" w:rsidRPr="004649AB" w:rsidP="004649AB" w14:paraId="22A92404" w14:textId="66809B2F">
      <w:pPr>
        <w:numPr>
          <w:ilvl w:val="1"/>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Equipment: $</w:t>
      </w:r>
      <w:r w:rsidR="00B06801">
        <w:rPr>
          <w:rFonts w:ascii="Cambria" w:eastAsia="Calibri" w:hAnsi="Cambria" w:cs="Times New Roman"/>
          <w:sz w:val="24"/>
        </w:rPr>
        <w:t>0</w:t>
      </w:r>
    </w:p>
    <w:p w:rsidR="004649AB" w:rsidRPr="004649AB" w:rsidP="004649AB" w14:paraId="4DD77CCD" w14:textId="6B39CE9D">
      <w:pPr>
        <w:numPr>
          <w:ilvl w:val="1"/>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Printing: $</w:t>
      </w:r>
      <w:r w:rsidR="00B06801">
        <w:rPr>
          <w:rFonts w:ascii="Cambria" w:eastAsia="Calibri" w:hAnsi="Cambria" w:cs="Times New Roman"/>
          <w:sz w:val="24"/>
        </w:rPr>
        <w:t>0</w:t>
      </w:r>
    </w:p>
    <w:p w:rsidR="004649AB" w:rsidRPr="004649AB" w:rsidP="004649AB" w14:paraId="5EDBAC06" w14:textId="0DE55BDB">
      <w:pPr>
        <w:numPr>
          <w:ilvl w:val="1"/>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Postage: $</w:t>
      </w:r>
      <w:r w:rsidR="00B06801">
        <w:rPr>
          <w:rFonts w:ascii="Cambria" w:eastAsia="Calibri" w:hAnsi="Cambria" w:cs="Times New Roman"/>
          <w:sz w:val="24"/>
        </w:rPr>
        <w:t>0</w:t>
      </w:r>
    </w:p>
    <w:p w:rsidR="004649AB" w:rsidRPr="004649AB" w:rsidP="004649AB" w14:paraId="2C633D12" w14:textId="2156C855">
      <w:pPr>
        <w:numPr>
          <w:ilvl w:val="1"/>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Software</w:t>
      </w:r>
      <w:r>
        <w:rPr>
          <w:rFonts w:ascii="Cambria" w:eastAsia="Calibri" w:hAnsi="Cambria" w:cs="Times New Roman"/>
          <w:sz w:val="24"/>
        </w:rPr>
        <w:t xml:space="preserve"> </w:t>
      </w:r>
      <w:r w:rsidRPr="004649AB">
        <w:rPr>
          <w:rFonts w:ascii="Cambria" w:eastAsia="Calibri" w:hAnsi="Cambria" w:cs="Times New Roman"/>
          <w:sz w:val="24"/>
        </w:rPr>
        <w:t>: $</w:t>
      </w:r>
      <w:r w:rsidR="00B06801">
        <w:rPr>
          <w:rFonts w:ascii="Cambria" w:eastAsia="Calibri" w:hAnsi="Cambria" w:cs="Times New Roman"/>
          <w:sz w:val="24"/>
        </w:rPr>
        <w:t>0</w:t>
      </w:r>
    </w:p>
    <w:p w:rsidR="004649AB" w:rsidRPr="004649AB" w:rsidP="004649AB" w14:paraId="762A9BAD" w14:textId="1381D4D1">
      <w:pPr>
        <w:numPr>
          <w:ilvl w:val="1"/>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Licensing Costs: $</w:t>
      </w:r>
      <w:r w:rsidR="00DA3E9D">
        <w:rPr>
          <w:rFonts w:ascii="Cambria" w:eastAsia="Calibri" w:hAnsi="Cambria" w:cs="Times New Roman"/>
          <w:sz w:val="24"/>
        </w:rPr>
        <w:t>2,000</w:t>
      </w:r>
    </w:p>
    <w:p w:rsidR="004649AB" w:rsidRPr="004649AB" w:rsidP="004649AB" w14:paraId="5BA32844" w14:textId="6420C721">
      <w:pPr>
        <w:numPr>
          <w:ilvl w:val="1"/>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Other</w:t>
      </w:r>
      <w:r w:rsidR="00DA3E9D">
        <w:rPr>
          <w:rFonts w:ascii="Cambria" w:eastAsia="Calibri" w:hAnsi="Cambria" w:cs="Times New Roman"/>
          <w:sz w:val="24"/>
        </w:rPr>
        <w:t xml:space="preserve"> (Travel)</w:t>
      </w:r>
      <w:r w:rsidRPr="004649AB">
        <w:rPr>
          <w:rFonts w:ascii="Cambria" w:eastAsia="Calibri" w:hAnsi="Cambria" w:cs="Times New Roman"/>
          <w:sz w:val="24"/>
        </w:rPr>
        <w:t>: $</w:t>
      </w:r>
      <w:r w:rsidR="00DA3E9D">
        <w:rPr>
          <w:rFonts w:ascii="Cambria" w:eastAsia="Calibri" w:hAnsi="Cambria" w:cs="Times New Roman"/>
          <w:sz w:val="24"/>
        </w:rPr>
        <w:t>85,129</w:t>
      </w:r>
    </w:p>
    <w:p w:rsidR="004649AB" w:rsidRPr="004649AB" w:rsidP="004649AB" w14:paraId="1D4CB29D" w14:textId="77777777">
      <w:pPr>
        <w:spacing w:after="0" w:line="240" w:lineRule="auto"/>
        <w:ind w:left="1440"/>
        <w:contextualSpacing/>
        <w:rPr>
          <w:rFonts w:ascii="Cambria" w:eastAsia="Calibri" w:hAnsi="Cambria" w:cs="Times New Roman"/>
          <w:i/>
          <w:sz w:val="24"/>
        </w:rPr>
      </w:pPr>
    </w:p>
    <w:p w:rsidR="004649AB" w:rsidRPr="004649AB" w:rsidP="004649AB" w14:paraId="226CF8D2" w14:textId="509AE5EA">
      <w:pPr>
        <w:numPr>
          <w:ilvl w:val="0"/>
          <w:numId w:val="33"/>
        </w:numPr>
        <w:spacing w:after="0" w:line="240" w:lineRule="auto"/>
        <w:contextualSpacing/>
        <w:rPr>
          <w:rFonts w:ascii="Cambria" w:eastAsia="Calibri" w:hAnsi="Cambria" w:cs="Times New Roman"/>
          <w:i/>
          <w:sz w:val="24"/>
        </w:rPr>
      </w:pPr>
      <w:r w:rsidRPr="004649AB">
        <w:rPr>
          <w:rFonts w:ascii="Cambria" w:eastAsia="Calibri" w:hAnsi="Cambria" w:cs="Times New Roman"/>
          <w:sz w:val="24"/>
        </w:rPr>
        <w:t xml:space="preserve">Total Operational and </w:t>
      </w:r>
      <w:r w:rsidRPr="004649AB">
        <w:rPr>
          <w:rFonts w:ascii="Cambria" w:eastAsia="Calibri" w:hAnsi="Cambria" w:cs="Times New Roman"/>
          <w:sz w:val="24"/>
        </w:rPr>
        <w:t>Maintenance Cost: $</w:t>
      </w:r>
      <w:r w:rsidR="004F0DE9">
        <w:rPr>
          <w:rFonts w:ascii="Cambria" w:eastAsia="Calibri" w:hAnsi="Cambria" w:cs="Times New Roman"/>
          <w:sz w:val="24"/>
        </w:rPr>
        <w:t>87,129</w:t>
      </w:r>
    </w:p>
    <w:p w:rsidR="004649AB" w:rsidRPr="004649AB" w:rsidP="004649AB" w14:paraId="49924437" w14:textId="77777777">
      <w:pPr>
        <w:spacing w:after="0" w:line="240" w:lineRule="auto"/>
        <w:rPr>
          <w:rFonts w:ascii="Cambria" w:eastAsia="Calibri" w:hAnsi="Cambria" w:cs="Times New Roman"/>
          <w:i/>
          <w:sz w:val="24"/>
        </w:rPr>
      </w:pPr>
    </w:p>
    <w:p w:rsidR="004649AB" w:rsidRPr="004649AB" w:rsidP="004649AB" w14:paraId="0B4FC71A" w14:textId="77777777">
      <w:pPr>
        <w:spacing w:after="0" w:line="240" w:lineRule="auto"/>
        <w:rPr>
          <w:rFonts w:ascii="Cambria" w:eastAsia="Calibri" w:hAnsi="Cambria" w:cs="Times New Roman"/>
          <w:sz w:val="24"/>
        </w:rPr>
      </w:pPr>
      <w:r w:rsidRPr="004649AB">
        <w:rPr>
          <w:rFonts w:ascii="Cambria" w:eastAsia="Calibri" w:hAnsi="Cambria" w:cs="Times New Roman"/>
          <w:sz w:val="24"/>
        </w:rPr>
        <w:t>Part C: TOTAL COST TO THE FEDERAL GOVERNMENT</w:t>
      </w:r>
    </w:p>
    <w:p w:rsidR="004649AB" w:rsidRPr="004649AB" w:rsidP="004649AB" w14:paraId="0E95F11D" w14:textId="77777777">
      <w:pPr>
        <w:spacing w:after="0" w:line="240" w:lineRule="auto"/>
        <w:rPr>
          <w:rFonts w:ascii="Cambria" w:eastAsia="Calibri" w:hAnsi="Cambria" w:cs="Times New Roman"/>
          <w:sz w:val="24"/>
        </w:rPr>
      </w:pPr>
    </w:p>
    <w:p w:rsidR="004649AB" w:rsidRPr="004649AB" w:rsidP="004649AB" w14:paraId="294F8FA6" w14:textId="50D469C4">
      <w:pPr>
        <w:numPr>
          <w:ilvl w:val="0"/>
          <w:numId w:val="34"/>
        </w:numPr>
        <w:spacing w:after="0" w:line="240" w:lineRule="auto"/>
        <w:contextualSpacing/>
        <w:rPr>
          <w:rFonts w:ascii="Cambria" w:eastAsia="Calibri" w:hAnsi="Cambria" w:cs="Times New Roman"/>
          <w:sz w:val="24"/>
        </w:rPr>
      </w:pPr>
      <w:r w:rsidRPr="004649AB">
        <w:rPr>
          <w:rFonts w:ascii="Cambria" w:eastAsia="Calibri" w:hAnsi="Cambria" w:cs="Times New Roman"/>
          <w:sz w:val="24"/>
        </w:rPr>
        <w:t>Total Labor Cost to the Federal Government: $</w:t>
      </w:r>
      <w:r w:rsidR="008312C6">
        <w:rPr>
          <w:rFonts w:asciiTheme="majorHAnsi" w:hAnsiTheme="majorHAnsi"/>
          <w:iCs/>
          <w:sz w:val="24"/>
        </w:rPr>
        <w:t>46,218.88</w:t>
      </w:r>
    </w:p>
    <w:p w:rsidR="004649AB" w:rsidRPr="004649AB" w:rsidP="004649AB" w14:paraId="6C4689ED" w14:textId="77777777">
      <w:pPr>
        <w:spacing w:after="0" w:line="240" w:lineRule="auto"/>
        <w:ind w:left="720"/>
        <w:contextualSpacing/>
        <w:rPr>
          <w:rFonts w:ascii="Cambria" w:eastAsia="Calibri" w:hAnsi="Cambria" w:cs="Times New Roman"/>
          <w:sz w:val="24"/>
        </w:rPr>
      </w:pPr>
    </w:p>
    <w:p w:rsidR="004649AB" w:rsidRPr="004649AB" w:rsidP="004649AB" w14:paraId="692632E5" w14:textId="636E5BAE">
      <w:pPr>
        <w:numPr>
          <w:ilvl w:val="0"/>
          <w:numId w:val="34"/>
        </w:numPr>
        <w:spacing w:after="0" w:line="240" w:lineRule="auto"/>
        <w:contextualSpacing/>
        <w:rPr>
          <w:rFonts w:ascii="Cambria" w:eastAsia="Calibri" w:hAnsi="Cambria" w:cs="Times New Roman"/>
          <w:sz w:val="24"/>
        </w:rPr>
      </w:pPr>
      <w:r w:rsidRPr="004649AB">
        <w:rPr>
          <w:rFonts w:ascii="Cambria" w:eastAsia="Calibri" w:hAnsi="Cambria" w:cs="Times New Roman"/>
          <w:sz w:val="24"/>
        </w:rPr>
        <w:t>Total Operational and Maintenance Costs: $</w:t>
      </w:r>
      <w:r w:rsidR="008312C6">
        <w:rPr>
          <w:rFonts w:ascii="Cambria" w:eastAsia="Calibri" w:hAnsi="Cambria" w:cs="Times New Roman"/>
          <w:sz w:val="24"/>
        </w:rPr>
        <w:t>87,129</w:t>
      </w:r>
    </w:p>
    <w:p w:rsidR="004649AB" w:rsidRPr="004649AB" w:rsidP="004649AB" w14:paraId="797B674F" w14:textId="77777777">
      <w:pPr>
        <w:spacing w:after="0" w:line="240" w:lineRule="auto"/>
        <w:rPr>
          <w:rFonts w:ascii="Cambria" w:eastAsia="Calibri" w:hAnsi="Cambria" w:cs="Times New Roman"/>
          <w:sz w:val="24"/>
        </w:rPr>
      </w:pPr>
    </w:p>
    <w:p w:rsidR="004649AB" w:rsidRPr="004649AB" w:rsidP="00291BF9" w14:paraId="40F1AB05" w14:textId="02A89E3D">
      <w:pPr>
        <w:numPr>
          <w:ilvl w:val="0"/>
          <w:numId w:val="34"/>
        </w:numPr>
        <w:spacing w:after="0" w:line="240" w:lineRule="auto"/>
        <w:contextualSpacing/>
        <w:rPr>
          <w:rFonts w:ascii="Times New Roman" w:hAnsi="Times New Roman" w:cs="Times New Roman"/>
          <w:sz w:val="24"/>
        </w:rPr>
      </w:pPr>
      <w:r w:rsidRPr="004649AB">
        <w:rPr>
          <w:rFonts w:ascii="Cambria" w:eastAsia="Calibri" w:hAnsi="Cambria" w:cs="Times New Roman"/>
          <w:sz w:val="24"/>
        </w:rPr>
        <w:t>Total Cost to the Federal Government: $</w:t>
      </w:r>
      <w:r w:rsidR="008312C6">
        <w:rPr>
          <w:rFonts w:ascii="Cambria" w:eastAsia="Calibri" w:hAnsi="Cambria" w:cs="Times New Roman"/>
          <w:sz w:val="24"/>
        </w:rPr>
        <w:t>133,347.90</w:t>
      </w:r>
    </w:p>
    <w:p w:rsidR="00486235" w:rsidP="00486235" w14:paraId="236E62A7" w14:textId="77777777">
      <w:pPr>
        <w:spacing w:after="0" w:line="240" w:lineRule="auto"/>
        <w:rPr>
          <w:rFonts w:asciiTheme="majorHAnsi" w:hAnsiTheme="majorHAnsi"/>
          <w:sz w:val="24"/>
        </w:rPr>
      </w:pPr>
    </w:p>
    <w:p w:rsidR="00686E35" w:rsidP="00F51BE3" w14:paraId="253BBE74" w14:textId="7777777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 xml:space="preserve">Reasons for </w:t>
      </w:r>
      <w:r w:rsidRPr="00DA2B37">
        <w:rPr>
          <w:rFonts w:asciiTheme="majorHAnsi" w:hAnsiTheme="majorHAnsi"/>
          <w:sz w:val="24"/>
          <w:u w:val="single"/>
        </w:rPr>
        <w:t>Change in Burden</w:t>
      </w:r>
      <w:r w:rsidR="0085688C">
        <w:rPr>
          <w:rFonts w:asciiTheme="majorHAnsi" w:hAnsiTheme="majorHAnsi"/>
          <w:sz w:val="24"/>
          <w:u w:val="single"/>
        </w:rPr>
        <w:t xml:space="preserve"> </w:t>
      </w:r>
    </w:p>
    <w:p w:rsidR="00F51BE3" w:rsidRPr="004204FB" w:rsidP="00F51BE3" w14:paraId="3F0FBA03" w14:textId="06FFFA8E">
      <w:pPr>
        <w:spacing w:after="0" w:line="240" w:lineRule="auto"/>
        <w:rPr>
          <w:rFonts w:ascii="Times New Roman" w:hAnsi="Times New Roman" w:cs="Times New Roman"/>
          <w:sz w:val="24"/>
        </w:rPr>
      </w:pPr>
      <w:r w:rsidRPr="004204FB">
        <w:rPr>
          <w:rFonts w:ascii="Times New Roman" w:hAnsi="Times New Roman" w:cs="Times New Roman"/>
          <w:sz w:val="24"/>
        </w:rPr>
        <w:t xml:space="preserve">This is a new collection with a new associated burden. </w:t>
      </w:r>
    </w:p>
    <w:p w:rsidR="00F51BE3" w:rsidRPr="004204FB" w:rsidP="00F51BE3" w14:paraId="595FD5B6" w14:textId="77777777">
      <w:pPr>
        <w:spacing w:after="0" w:line="240" w:lineRule="auto"/>
        <w:rPr>
          <w:rFonts w:ascii="Times New Roman" w:hAnsi="Times New Roman" w:cs="Times New Roman"/>
          <w:sz w:val="24"/>
        </w:rPr>
      </w:pPr>
    </w:p>
    <w:p w:rsidR="00DA2B37" w:rsidP="00486235" w14:paraId="19FA7D19" w14:textId="19CB3FBD">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51BE3" w:rsidRPr="004204FB" w:rsidP="00F51BE3" w14:paraId="39FD056F" w14:textId="77777777">
      <w:pPr>
        <w:spacing w:after="0" w:line="240" w:lineRule="auto"/>
        <w:rPr>
          <w:rFonts w:ascii="Times New Roman" w:hAnsi="Times New Roman" w:cs="Times New Roman"/>
          <w:sz w:val="24"/>
        </w:rPr>
      </w:pPr>
      <w:r w:rsidRPr="004204FB">
        <w:rPr>
          <w:rFonts w:ascii="Times New Roman" w:hAnsi="Times New Roman" w:cs="Times New Roman"/>
          <w:sz w:val="24"/>
        </w:rPr>
        <w:t xml:space="preserve">A report summarizing the findings from the project will be developed following data collection providing recommendations to policymakers to improve the </w:t>
      </w:r>
      <w:r w:rsidRPr="004204FB">
        <w:rPr>
          <w:rFonts w:ascii="Times New Roman" w:hAnsi="Times New Roman" w:cs="Times New Roman"/>
          <w:sz w:val="24"/>
        </w:rPr>
        <w:t xml:space="preserve">experiences of racial/ethnic minority Service members and their perceptions of climate, attitudes, and experiences with sexual assault, sexual and racial harassment, and gender and racial discrimination.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09D258CB">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86D16" w:rsidRPr="004204FB" w:rsidP="00A86D16" w14:paraId="12C802C2" w14:textId="77777777">
      <w:pPr>
        <w:spacing w:after="0" w:line="240" w:lineRule="auto"/>
        <w:rPr>
          <w:rFonts w:ascii="Times New Roman" w:hAnsi="Times New Roman" w:cs="Times New Roman"/>
          <w:iCs/>
          <w:sz w:val="24"/>
        </w:rPr>
      </w:pPr>
      <w:r w:rsidRPr="004204FB">
        <w:rPr>
          <w:rFonts w:ascii="Times New Roman" w:hAnsi="Times New Roman" w:cs="Times New Roman"/>
          <w:iCs/>
          <w:sz w:val="24"/>
        </w:rPr>
        <w:t xml:space="preserve">We are </w:t>
      </w:r>
      <w:r w:rsidRPr="004204FB">
        <w:rPr>
          <w:rFonts w:ascii="Times New Roman" w:hAnsi="Times New Roman" w:cs="Times New Roman"/>
          <w:iCs/>
          <w:sz w:val="24"/>
        </w:rPr>
        <w:t>not seeking approval to omit the display of the expiration date of the OMB approval on the collection instrument.</w:t>
      </w:r>
    </w:p>
    <w:p w:rsidR="00B55E9F" w:rsidP="00486235" w14:paraId="7A285F90" w14:textId="77777777">
      <w:pPr>
        <w:spacing w:after="0" w:line="240" w:lineRule="auto"/>
        <w:rPr>
          <w:rFonts w:asciiTheme="majorHAnsi" w:hAnsiTheme="majorHAnsi"/>
          <w:i/>
          <w:sz w:val="24"/>
        </w:rPr>
      </w:pPr>
    </w:p>
    <w:p w:rsidR="00C62D17" w:rsidP="00486235" w14:paraId="61795DB2" w14:textId="2558E445">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352EEF" w:rsidRPr="0085688C" w:rsidP="00486235" w14:paraId="6D349499" w14:textId="1FA54030">
      <w:pPr>
        <w:spacing w:after="0" w:line="240" w:lineRule="auto"/>
        <w:rPr>
          <w:rFonts w:asciiTheme="majorHAnsi" w:hAnsiTheme="majorHAnsi"/>
          <w:sz w:val="24"/>
        </w:rPr>
      </w:pPr>
      <w:r w:rsidRPr="004204FB">
        <w:rPr>
          <w:rFonts w:ascii="Times New Roman" w:hAnsi="Times New Roman" w:cs="Times New Roman"/>
          <w:iCs/>
          <w:sz w:val="24"/>
        </w:rPr>
        <w:t>We are not requesting any exemptions to the provisions stated in 5 CF</w:t>
      </w:r>
      <w:r w:rsidRPr="004204FB">
        <w:rPr>
          <w:rFonts w:ascii="Times New Roman" w:hAnsi="Times New Roman" w:cs="Times New Roman"/>
          <w:iCs/>
          <w:sz w:val="24"/>
        </w:rPr>
        <w:t xml:space="preserve">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23607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04D4594"/>
    <w:multiLevelType w:val="hybridMultilevel"/>
    <w:tmpl w:val="C332CC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3726E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E8B139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5D242AF"/>
    <w:multiLevelType w:val="hybridMultilevel"/>
    <w:tmpl w:val="7B4470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213ED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A216FC"/>
    <w:multiLevelType w:val="hybridMultilevel"/>
    <w:tmpl w:val="1ED4118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702505">
    <w:abstractNumId w:val="19"/>
  </w:num>
  <w:num w:numId="2" w16cid:durableId="1540358924">
    <w:abstractNumId w:val="0"/>
  </w:num>
  <w:num w:numId="3" w16cid:durableId="599068087">
    <w:abstractNumId w:val="16"/>
  </w:num>
  <w:num w:numId="4" w16cid:durableId="484050476">
    <w:abstractNumId w:val="13"/>
  </w:num>
  <w:num w:numId="5" w16cid:durableId="1366060449">
    <w:abstractNumId w:val="23"/>
  </w:num>
  <w:num w:numId="6" w16cid:durableId="1458715776">
    <w:abstractNumId w:val="1"/>
  </w:num>
  <w:num w:numId="7" w16cid:durableId="1958176349">
    <w:abstractNumId w:val="24"/>
  </w:num>
  <w:num w:numId="8" w16cid:durableId="242877712">
    <w:abstractNumId w:val="21"/>
  </w:num>
  <w:num w:numId="9" w16cid:durableId="399640788">
    <w:abstractNumId w:val="25"/>
  </w:num>
  <w:num w:numId="10" w16cid:durableId="1704209146">
    <w:abstractNumId w:val="3"/>
  </w:num>
  <w:num w:numId="11" w16cid:durableId="401489633">
    <w:abstractNumId w:val="20"/>
  </w:num>
  <w:num w:numId="12" w16cid:durableId="1206871848">
    <w:abstractNumId w:val="22"/>
  </w:num>
  <w:num w:numId="13" w16cid:durableId="1226180373">
    <w:abstractNumId w:val="28"/>
  </w:num>
  <w:num w:numId="14" w16cid:durableId="1801267763">
    <w:abstractNumId w:val="30"/>
  </w:num>
  <w:num w:numId="15" w16cid:durableId="1851066714">
    <w:abstractNumId w:val="10"/>
  </w:num>
  <w:num w:numId="16" w16cid:durableId="256796399">
    <w:abstractNumId w:val="9"/>
  </w:num>
  <w:num w:numId="17" w16cid:durableId="1919747822">
    <w:abstractNumId w:val="17"/>
  </w:num>
  <w:num w:numId="18" w16cid:durableId="772361857">
    <w:abstractNumId w:val="8"/>
  </w:num>
  <w:num w:numId="19" w16cid:durableId="184636046">
    <w:abstractNumId w:val="7"/>
  </w:num>
  <w:num w:numId="20" w16cid:durableId="177084687">
    <w:abstractNumId w:val="5"/>
  </w:num>
  <w:num w:numId="21" w16cid:durableId="517741251">
    <w:abstractNumId w:val="18"/>
  </w:num>
  <w:num w:numId="22" w16cid:durableId="1527793491">
    <w:abstractNumId w:val="2"/>
  </w:num>
  <w:num w:numId="23" w16cid:durableId="1929537528">
    <w:abstractNumId w:val="4"/>
  </w:num>
  <w:num w:numId="24" w16cid:durableId="493301823">
    <w:abstractNumId w:val="26"/>
  </w:num>
  <w:num w:numId="25" w16cid:durableId="1959023762">
    <w:abstractNumId w:val="14"/>
  </w:num>
  <w:num w:numId="26" w16cid:durableId="1916746216">
    <w:abstractNumId w:val="15"/>
  </w:num>
  <w:num w:numId="27" w16cid:durableId="1502576134">
    <w:abstractNumId w:val="27"/>
  </w:num>
  <w:num w:numId="28" w16cid:durableId="841238921">
    <w:abstractNumId w:val="11"/>
  </w:num>
  <w:num w:numId="29" w16cid:durableId="940575550">
    <w:abstractNumId w:val="29"/>
  </w:num>
  <w:num w:numId="30" w16cid:durableId="501362077">
    <w:abstractNumId w:val="12"/>
  </w:num>
  <w:num w:numId="31" w16cid:durableId="1279873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5872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4059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9106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0408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58F0"/>
    <w:rsid w:val="0002199B"/>
    <w:rsid w:val="000648C8"/>
    <w:rsid w:val="0007182D"/>
    <w:rsid w:val="000B0E70"/>
    <w:rsid w:val="001017A0"/>
    <w:rsid w:val="001044B2"/>
    <w:rsid w:val="00105F45"/>
    <w:rsid w:val="00113094"/>
    <w:rsid w:val="00127B46"/>
    <w:rsid w:val="0019309D"/>
    <w:rsid w:val="00197193"/>
    <w:rsid w:val="001B0BE1"/>
    <w:rsid w:val="001B2260"/>
    <w:rsid w:val="001F0299"/>
    <w:rsid w:val="001F4E23"/>
    <w:rsid w:val="001F526C"/>
    <w:rsid w:val="00200261"/>
    <w:rsid w:val="00203BC2"/>
    <w:rsid w:val="00211832"/>
    <w:rsid w:val="00212B62"/>
    <w:rsid w:val="00220A2C"/>
    <w:rsid w:val="00222D1B"/>
    <w:rsid w:val="00235D71"/>
    <w:rsid w:val="0024335E"/>
    <w:rsid w:val="00254DCF"/>
    <w:rsid w:val="002567F9"/>
    <w:rsid w:val="0027743E"/>
    <w:rsid w:val="00291BF9"/>
    <w:rsid w:val="00294E92"/>
    <w:rsid w:val="002A7540"/>
    <w:rsid w:val="002D486C"/>
    <w:rsid w:val="002D7713"/>
    <w:rsid w:val="002E27E8"/>
    <w:rsid w:val="002E50F6"/>
    <w:rsid w:val="002F7D27"/>
    <w:rsid w:val="003132E7"/>
    <w:rsid w:val="00331D7E"/>
    <w:rsid w:val="00337EF1"/>
    <w:rsid w:val="00340D9B"/>
    <w:rsid w:val="00352EEF"/>
    <w:rsid w:val="00362F72"/>
    <w:rsid w:val="00394A8A"/>
    <w:rsid w:val="003C0540"/>
    <w:rsid w:val="003D144D"/>
    <w:rsid w:val="0042040B"/>
    <w:rsid w:val="004204FB"/>
    <w:rsid w:val="00420AE9"/>
    <w:rsid w:val="004259B9"/>
    <w:rsid w:val="00450129"/>
    <w:rsid w:val="004630DE"/>
    <w:rsid w:val="004649AB"/>
    <w:rsid w:val="00467AFC"/>
    <w:rsid w:val="00480AFF"/>
    <w:rsid w:val="00486235"/>
    <w:rsid w:val="00490797"/>
    <w:rsid w:val="004A02D4"/>
    <w:rsid w:val="004B5156"/>
    <w:rsid w:val="004C74D6"/>
    <w:rsid w:val="004D6559"/>
    <w:rsid w:val="004F0DE9"/>
    <w:rsid w:val="004F4F5D"/>
    <w:rsid w:val="00502FF3"/>
    <w:rsid w:val="00510F0C"/>
    <w:rsid w:val="00520B36"/>
    <w:rsid w:val="005270F3"/>
    <w:rsid w:val="00544116"/>
    <w:rsid w:val="00571698"/>
    <w:rsid w:val="005764BA"/>
    <w:rsid w:val="00576EDB"/>
    <w:rsid w:val="00594B6B"/>
    <w:rsid w:val="00596BBA"/>
    <w:rsid w:val="005C3A95"/>
    <w:rsid w:val="005C7428"/>
    <w:rsid w:val="005D5C81"/>
    <w:rsid w:val="005E4B6D"/>
    <w:rsid w:val="005E79C8"/>
    <w:rsid w:val="006357E5"/>
    <w:rsid w:val="00642741"/>
    <w:rsid w:val="0065530D"/>
    <w:rsid w:val="00686E35"/>
    <w:rsid w:val="006A13FA"/>
    <w:rsid w:val="006D1E71"/>
    <w:rsid w:val="006E563D"/>
    <w:rsid w:val="006F2B50"/>
    <w:rsid w:val="006F2DF8"/>
    <w:rsid w:val="00722FDB"/>
    <w:rsid w:val="00726044"/>
    <w:rsid w:val="00755072"/>
    <w:rsid w:val="0077261C"/>
    <w:rsid w:val="00785AC1"/>
    <w:rsid w:val="007A364E"/>
    <w:rsid w:val="007D1032"/>
    <w:rsid w:val="007E26C3"/>
    <w:rsid w:val="007E4F33"/>
    <w:rsid w:val="007E68CC"/>
    <w:rsid w:val="007E7785"/>
    <w:rsid w:val="008166C1"/>
    <w:rsid w:val="008312C6"/>
    <w:rsid w:val="0085688C"/>
    <w:rsid w:val="008635C4"/>
    <w:rsid w:val="008879CE"/>
    <w:rsid w:val="00895785"/>
    <w:rsid w:val="008A06EF"/>
    <w:rsid w:val="008A2ACB"/>
    <w:rsid w:val="008D1294"/>
    <w:rsid w:val="008E3029"/>
    <w:rsid w:val="009403A7"/>
    <w:rsid w:val="00945E1B"/>
    <w:rsid w:val="0095511E"/>
    <w:rsid w:val="00960B6D"/>
    <w:rsid w:val="0098628F"/>
    <w:rsid w:val="00990FF1"/>
    <w:rsid w:val="00994F2B"/>
    <w:rsid w:val="00996894"/>
    <w:rsid w:val="009A6246"/>
    <w:rsid w:val="009A78C4"/>
    <w:rsid w:val="009D6EA3"/>
    <w:rsid w:val="009F2544"/>
    <w:rsid w:val="00A15F71"/>
    <w:rsid w:val="00A247A4"/>
    <w:rsid w:val="00A43B08"/>
    <w:rsid w:val="00A47F0A"/>
    <w:rsid w:val="00A50A0F"/>
    <w:rsid w:val="00A723D5"/>
    <w:rsid w:val="00A76F7E"/>
    <w:rsid w:val="00A77157"/>
    <w:rsid w:val="00A86D16"/>
    <w:rsid w:val="00AC30D5"/>
    <w:rsid w:val="00AE6794"/>
    <w:rsid w:val="00B06801"/>
    <w:rsid w:val="00B245CB"/>
    <w:rsid w:val="00B429D9"/>
    <w:rsid w:val="00B52F4E"/>
    <w:rsid w:val="00B55AD7"/>
    <w:rsid w:val="00B55E9F"/>
    <w:rsid w:val="00B671AD"/>
    <w:rsid w:val="00B804E6"/>
    <w:rsid w:val="00B933B0"/>
    <w:rsid w:val="00BC1107"/>
    <w:rsid w:val="00BC2FE9"/>
    <w:rsid w:val="00BC6667"/>
    <w:rsid w:val="00BD7755"/>
    <w:rsid w:val="00C07477"/>
    <w:rsid w:val="00C33684"/>
    <w:rsid w:val="00C62D17"/>
    <w:rsid w:val="00C808F4"/>
    <w:rsid w:val="00C9367E"/>
    <w:rsid w:val="00CA15B1"/>
    <w:rsid w:val="00CC24D5"/>
    <w:rsid w:val="00CC2835"/>
    <w:rsid w:val="00D06EE7"/>
    <w:rsid w:val="00D21AA6"/>
    <w:rsid w:val="00D409B8"/>
    <w:rsid w:val="00D462F7"/>
    <w:rsid w:val="00D51263"/>
    <w:rsid w:val="00D60FDB"/>
    <w:rsid w:val="00D661F4"/>
    <w:rsid w:val="00D734A2"/>
    <w:rsid w:val="00D75744"/>
    <w:rsid w:val="00DA2B37"/>
    <w:rsid w:val="00DA3E9D"/>
    <w:rsid w:val="00E04664"/>
    <w:rsid w:val="00E32A40"/>
    <w:rsid w:val="00E51198"/>
    <w:rsid w:val="00E5409A"/>
    <w:rsid w:val="00E65D41"/>
    <w:rsid w:val="00E95FFB"/>
    <w:rsid w:val="00EA6C04"/>
    <w:rsid w:val="00F04D47"/>
    <w:rsid w:val="00F101DD"/>
    <w:rsid w:val="00F25499"/>
    <w:rsid w:val="00F462F8"/>
    <w:rsid w:val="00F51BE3"/>
    <w:rsid w:val="00F61F6A"/>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character" w:customStyle="1" w:styleId="ListParagraphChar">
    <w:name w:val="List Paragraph Char"/>
    <w:link w:val="ListParagraph"/>
    <w:uiPriority w:val="34"/>
    <w:locked/>
    <w:rsid w:val="002E50F6"/>
  </w:style>
  <w:style w:type="paragraph" w:customStyle="1" w:styleId="DocReferenceList">
    <w:name w:val="Doc_Reference List"/>
    <w:basedOn w:val="Normal"/>
    <w:rsid w:val="00352EEF"/>
    <w:pPr>
      <w:keepLines/>
      <w:spacing w:after="240" w:line="240" w:lineRule="auto"/>
      <w:ind w:left="288" w:hanging="288"/>
    </w:pPr>
    <w:rPr>
      <w:rFonts w:ascii="Times New Roman" w:eastAsia="Times New Roman" w:hAnsi="Times New Roman" w:cs="Times New Roman"/>
      <w:sz w:val="24"/>
      <w:szCs w:val="24"/>
    </w:rPr>
  </w:style>
  <w:style w:type="paragraph" w:styleId="Revision">
    <w:name w:val="Revision"/>
    <w:hidden/>
    <w:uiPriority w:val="99"/>
    <w:semiHidden/>
    <w:rsid w:val="00197193"/>
    <w:pPr>
      <w:spacing w:after="0" w:line="240" w:lineRule="auto"/>
    </w:pPr>
  </w:style>
  <w:style w:type="character" w:styleId="UnresolvedMention">
    <w:name w:val="Unresolved Mention"/>
    <w:basedOn w:val="DefaultParagraphFont"/>
    <w:uiPriority w:val="99"/>
    <w:semiHidden/>
    <w:unhideWhenUsed/>
    <w:rsid w:val="004A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edia.defense.gov/2021/Feb/26/2002590163/-1/-1/0/APPROVAL-OF-MEMO-DIRECTING-IMMEDIATE-ACTIONS-TO-COUNTER-SEXUAL-ASSAULT-AND-HARASSMENT.PDF" TargetMode="External" /><Relationship Id="rId5" Type="http://schemas.openxmlformats.org/officeDocument/2006/relationships/hyperlink" Target="https://www.dhra.mil/Portals/52/Documents/Privacy/PIA/OPA%20-%20Survey%20Database.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(USA)</cp:lastModifiedBy>
  <cp:revision>2</cp:revision>
  <cp:lastPrinted>2016-09-20T19:55:00Z</cp:lastPrinted>
  <dcterms:created xsi:type="dcterms:W3CDTF">2024-03-11T14:48:00Z</dcterms:created>
  <dcterms:modified xsi:type="dcterms:W3CDTF">2024-03-11T14:48:00Z</dcterms:modified>
</cp:coreProperties>
</file>