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B903426" w:rsidRPr="00C80435" w:rsidP="00B415E6" w14:paraId="682252AB" w14:textId="55BA50D1">
      <w:pPr>
        <w:pStyle w:val="NormalWeb"/>
        <w:jc w:val="center"/>
        <w:rPr>
          <w:rFonts w:ascii="Cambria" w:hAnsi="Cambria"/>
        </w:rPr>
      </w:pPr>
      <w:bookmarkStart w:id="0" w:name="cs31d"/>
      <w:r w:rsidRPr="00C80435">
        <w:rPr>
          <w:rFonts w:ascii="Cambria" w:hAnsi="Cambria"/>
          <w:u w:val="single"/>
        </w:rPr>
        <w:t>SUPPORTING STATEMENT</w:t>
      </w:r>
      <w:r w:rsidRPr="00C80435" w:rsidR="006F3F40">
        <w:rPr>
          <w:rFonts w:ascii="Cambria" w:hAnsi="Cambria"/>
          <w:u w:val="single"/>
        </w:rPr>
        <w:t xml:space="preserve"> – PART B</w:t>
      </w:r>
    </w:p>
    <w:p w:rsidR="21F49AEC" w:rsidRPr="00C80435" w:rsidP="005C0A99" w14:paraId="108A0A1C" w14:textId="7FEEEC76">
      <w:pPr>
        <w:pStyle w:val="NormalWeb"/>
        <w:rPr>
          <w:rFonts w:ascii="Cambria" w:hAnsi="Cambria"/>
        </w:rPr>
      </w:pPr>
      <w:bookmarkStart w:id="1" w:name="cs32"/>
      <w:bookmarkEnd w:id="0"/>
      <w:r w:rsidRPr="00C80435">
        <w:rPr>
          <w:rFonts w:ascii="Cambria" w:hAnsi="Cambria"/>
        </w:rPr>
        <w:t xml:space="preserve">B.  </w:t>
      </w:r>
      <w:r w:rsidRPr="00C80435">
        <w:rPr>
          <w:rFonts w:ascii="Cambria" w:hAnsi="Cambria"/>
          <w:u w:val="single"/>
        </w:rPr>
        <w:t>COLLECTIONS OF INFORMATION EMPLOYING STATISTICAL METHODS</w:t>
      </w:r>
      <w:bookmarkEnd w:id="1"/>
    </w:p>
    <w:p w:rsidR="21F49AEC" w:rsidRPr="00C80435" w:rsidP="005C0A99" w14:paraId="131B1333" w14:textId="48B690B8">
      <w:pPr>
        <w:pStyle w:val="NormalWeb"/>
        <w:rPr>
          <w:rFonts w:ascii="Cambria" w:hAnsi="Cambria"/>
          <w:u w:val="single"/>
        </w:rPr>
      </w:pPr>
      <w:r w:rsidRPr="00C80435">
        <w:rPr>
          <w:rFonts w:ascii="Cambria" w:hAnsi="Cambria"/>
        </w:rPr>
        <w:t xml:space="preserve">1.  </w:t>
      </w:r>
      <w:r w:rsidRPr="00C80435">
        <w:rPr>
          <w:rFonts w:ascii="Cambria" w:hAnsi="Cambria"/>
          <w:u w:val="single"/>
        </w:rPr>
        <w:t>Description of the Activity</w:t>
      </w:r>
    </w:p>
    <w:p w:rsidR="22FA58E5" w:rsidRPr="00C80435" w:rsidP="005C0A99" w14:paraId="34C8458E" w14:textId="2B7967A3">
      <w:pPr>
        <w:pStyle w:val="NormalWeb"/>
        <w:rPr>
          <w:rFonts w:ascii="Cambria" w:hAnsi="Cambria"/>
        </w:rPr>
      </w:pPr>
      <w:r w:rsidRPr="00C80435">
        <w:rPr>
          <w:rFonts w:ascii="Cambria" w:hAnsi="Cambria"/>
        </w:rPr>
        <w:t xml:space="preserve">The respondent universe </w:t>
      </w:r>
      <w:r w:rsidRPr="00C80435" w:rsidR="00FD7BF4">
        <w:rPr>
          <w:rFonts w:ascii="Cambria" w:hAnsi="Cambria"/>
        </w:rPr>
        <w:t>includes Marine</w:t>
      </w:r>
      <w:r w:rsidRPr="00C80435" w:rsidR="7C25075A">
        <w:rPr>
          <w:rFonts w:ascii="Cambria" w:hAnsi="Cambria"/>
        </w:rPr>
        <w:t xml:space="preserve"> </w:t>
      </w:r>
      <w:r w:rsidRPr="00C80435" w:rsidR="003D3046">
        <w:rPr>
          <w:rFonts w:ascii="Cambria" w:hAnsi="Cambria"/>
        </w:rPr>
        <w:t>Service</w:t>
      </w:r>
      <w:r w:rsidRPr="00C80435" w:rsidR="00E10558">
        <w:rPr>
          <w:rFonts w:ascii="Cambria" w:hAnsi="Cambria"/>
        </w:rPr>
        <w:t xml:space="preserve"> </w:t>
      </w:r>
      <w:r w:rsidRPr="00C80435" w:rsidR="196A1941">
        <w:rPr>
          <w:rFonts w:ascii="Cambria" w:hAnsi="Cambria"/>
        </w:rPr>
        <w:t>members</w:t>
      </w:r>
      <w:r w:rsidRPr="00C80435" w:rsidR="004A5542">
        <w:rPr>
          <w:rFonts w:ascii="Cambria" w:hAnsi="Cambria"/>
        </w:rPr>
        <w:t xml:space="preserve"> (</w:t>
      </w:r>
      <w:r w:rsidRPr="00C80435" w:rsidR="00D6069F">
        <w:rPr>
          <w:rFonts w:ascii="Cambria" w:hAnsi="Cambria"/>
        </w:rPr>
        <w:t>E-1–E-3</w:t>
      </w:r>
      <w:r w:rsidRPr="00C80435" w:rsidR="004A5542">
        <w:rPr>
          <w:rFonts w:ascii="Cambria" w:hAnsi="Cambria"/>
        </w:rPr>
        <w:t>)</w:t>
      </w:r>
      <w:r w:rsidRPr="00C80435" w:rsidR="00FD7BF4">
        <w:rPr>
          <w:rFonts w:ascii="Cambria" w:hAnsi="Cambria"/>
        </w:rPr>
        <w:t xml:space="preserve"> </w:t>
      </w:r>
      <w:bookmarkStart w:id="2" w:name="OLE_LINK26"/>
      <w:r w:rsidRPr="00C80435" w:rsidR="00FD7BF4">
        <w:rPr>
          <w:rFonts w:ascii="Cambria" w:hAnsi="Cambria"/>
        </w:rPr>
        <w:t xml:space="preserve">in </w:t>
      </w:r>
      <w:bookmarkStart w:id="3" w:name="OLE_LINK32"/>
      <w:r w:rsidRPr="00C80435" w:rsidR="00FD7BF4">
        <w:rPr>
          <w:rFonts w:ascii="Cambria" w:hAnsi="Cambria"/>
        </w:rPr>
        <w:t>student status during the School of Infantry – Marines Awaiting Training (SOI-MAT) holding period</w:t>
      </w:r>
      <w:r w:rsidRPr="00C80435" w:rsidR="00701DF4">
        <w:rPr>
          <w:rFonts w:ascii="Cambria" w:hAnsi="Cambria"/>
        </w:rPr>
        <w:t xml:space="preserve">. Marine </w:t>
      </w:r>
      <w:r w:rsidRPr="00C80435" w:rsidR="003D3046">
        <w:rPr>
          <w:rFonts w:ascii="Cambria" w:hAnsi="Cambria"/>
        </w:rPr>
        <w:t>Service</w:t>
      </w:r>
      <w:r w:rsidRPr="00C80435" w:rsidR="00701DF4">
        <w:rPr>
          <w:rFonts w:ascii="Cambria" w:hAnsi="Cambria"/>
        </w:rPr>
        <w:t xml:space="preserve"> members will be recruited from Marine Corps Base Camp Lejeune in North Carolina.</w:t>
      </w:r>
      <w:r w:rsidRPr="00C80435" w:rsidR="001366C8">
        <w:rPr>
          <w:rFonts w:ascii="Cambria" w:hAnsi="Cambria"/>
        </w:rPr>
        <w:t xml:space="preserve"> </w:t>
      </w:r>
      <w:bookmarkEnd w:id="2"/>
      <w:bookmarkEnd w:id="3"/>
      <w:r w:rsidRPr="00C80435" w:rsidR="00D6069F">
        <w:rPr>
          <w:rFonts w:ascii="Cambria" w:hAnsi="Cambria"/>
        </w:rPr>
        <w:t>The respondent universe</w:t>
      </w:r>
      <w:r w:rsidRPr="00C80435" w:rsidR="00FD7BF4">
        <w:rPr>
          <w:rFonts w:ascii="Cambria" w:hAnsi="Cambria"/>
        </w:rPr>
        <w:t xml:space="preserve"> also includes the </w:t>
      </w:r>
      <w:r w:rsidRPr="00C80435" w:rsidR="00D6069F">
        <w:rPr>
          <w:rFonts w:ascii="Cambria" w:hAnsi="Cambria"/>
        </w:rPr>
        <w:t xml:space="preserve">Department of Defense </w:t>
      </w:r>
      <w:r w:rsidRPr="00C80435" w:rsidR="00FD7BF4">
        <w:rPr>
          <w:rFonts w:ascii="Cambria" w:hAnsi="Cambria"/>
        </w:rPr>
        <w:t>Prime for Life 4.5 (PFL 4.5)</w:t>
      </w:r>
      <w:r w:rsidRPr="00C80435" w:rsidR="007C5B3B">
        <w:rPr>
          <w:rFonts w:ascii="Cambria" w:hAnsi="Cambria"/>
        </w:rPr>
        <w:t xml:space="preserve"> </w:t>
      </w:r>
      <w:r w:rsidRPr="00C80435" w:rsidR="00FD7BF4">
        <w:rPr>
          <w:rFonts w:ascii="Cambria" w:hAnsi="Cambria"/>
        </w:rPr>
        <w:t xml:space="preserve">instructors </w:t>
      </w:r>
      <w:r w:rsidRPr="00C80435" w:rsidR="00701DF4">
        <w:rPr>
          <w:rFonts w:ascii="Cambria" w:hAnsi="Cambria"/>
        </w:rPr>
        <w:t xml:space="preserve">from Camp Lejeune </w:t>
      </w:r>
      <w:r w:rsidRPr="00C80435" w:rsidR="0065380D">
        <w:rPr>
          <w:rFonts w:ascii="Cambria" w:hAnsi="Cambria"/>
        </w:rPr>
        <w:t xml:space="preserve">who </w:t>
      </w:r>
      <w:r w:rsidRPr="00C80435" w:rsidR="00FD7BF4">
        <w:rPr>
          <w:rFonts w:ascii="Cambria" w:hAnsi="Cambria"/>
        </w:rPr>
        <w:t xml:space="preserve">will administer the </w:t>
      </w:r>
      <w:r w:rsidRPr="00C80435" w:rsidR="004A5542">
        <w:rPr>
          <w:rFonts w:ascii="Cambria" w:hAnsi="Cambria"/>
        </w:rPr>
        <w:t>training</w:t>
      </w:r>
      <w:r w:rsidRPr="00C80435" w:rsidR="00FD7BF4">
        <w:rPr>
          <w:rFonts w:ascii="Cambria" w:hAnsi="Cambria"/>
        </w:rPr>
        <w:t xml:space="preserve"> to </w:t>
      </w:r>
      <w:r w:rsidRPr="00C80435" w:rsidR="000A1D36">
        <w:rPr>
          <w:rFonts w:ascii="Cambria" w:hAnsi="Cambria"/>
        </w:rPr>
        <w:t xml:space="preserve">Marine </w:t>
      </w:r>
      <w:r w:rsidRPr="00C80435" w:rsidR="003D3046">
        <w:rPr>
          <w:rFonts w:ascii="Cambria" w:hAnsi="Cambria"/>
        </w:rPr>
        <w:t>Service</w:t>
      </w:r>
      <w:r w:rsidRPr="00C80435" w:rsidR="000A1D36">
        <w:rPr>
          <w:rFonts w:ascii="Cambria" w:hAnsi="Cambria"/>
        </w:rPr>
        <w:t xml:space="preserve"> members</w:t>
      </w:r>
      <w:r w:rsidRPr="00C80435" w:rsidR="00FD7BF4">
        <w:rPr>
          <w:rFonts w:ascii="Cambria" w:hAnsi="Cambria"/>
        </w:rPr>
        <w:t xml:space="preserve"> in the intervention condition.</w:t>
      </w:r>
      <w:r w:rsidRPr="00C80435">
        <w:rPr>
          <w:rFonts w:ascii="Cambria" w:hAnsi="Cambria"/>
        </w:rPr>
        <w:t xml:space="preserve"> This is a new data collection and evaluation effort.</w:t>
      </w:r>
      <w:r w:rsidRPr="00C80435" w:rsidR="001366C8">
        <w:rPr>
          <w:rFonts w:ascii="Cambria" w:hAnsi="Cambria"/>
        </w:rPr>
        <w:t xml:space="preserve"> </w:t>
      </w:r>
      <w:r w:rsidRPr="00C80435" w:rsidR="007F2D11">
        <w:rPr>
          <w:rFonts w:ascii="Cambria" w:hAnsi="Cambria"/>
        </w:rPr>
        <w:t>The evaluation will use a quasi-experimental design (QED). QEDs involve statistically matching intervention participants</w:t>
      </w:r>
      <w:r w:rsidRPr="00C80435" w:rsidR="00D6069F">
        <w:rPr>
          <w:rFonts w:ascii="Cambria" w:hAnsi="Cambria"/>
        </w:rPr>
        <w:t xml:space="preserve"> (personnel who receive PFL 4.5)</w:t>
      </w:r>
      <w:r w:rsidRPr="00C80435" w:rsidR="007F2D11">
        <w:rPr>
          <w:rFonts w:ascii="Cambria" w:hAnsi="Cambria"/>
        </w:rPr>
        <w:t xml:space="preserve"> at the time of analysis to similar individuals who do not receive the </w:t>
      </w:r>
      <w:r w:rsidRPr="00C80435" w:rsidR="004A5542">
        <w:rPr>
          <w:rFonts w:ascii="Cambria" w:hAnsi="Cambria"/>
        </w:rPr>
        <w:t>training</w:t>
      </w:r>
      <w:r w:rsidRPr="00C80435" w:rsidR="007F2D11">
        <w:rPr>
          <w:rFonts w:ascii="Cambria" w:hAnsi="Cambria"/>
        </w:rPr>
        <w:t xml:space="preserve">. This QED will produce methodologically rigorous evidence of the effects of </w:t>
      </w:r>
      <w:r w:rsidRPr="00C80435" w:rsidR="007B6D36">
        <w:rPr>
          <w:rFonts w:ascii="Cambria" w:hAnsi="Cambria"/>
        </w:rPr>
        <w:t>PFL 4.5</w:t>
      </w:r>
      <w:r w:rsidRPr="00C80435" w:rsidR="007F2D11">
        <w:rPr>
          <w:rFonts w:ascii="Cambria" w:hAnsi="Cambria"/>
        </w:rPr>
        <w:t xml:space="preserve"> on key outcomes, yielding the necessary information for </w:t>
      </w:r>
      <w:r w:rsidRPr="00C80435" w:rsidR="001A4C9B">
        <w:rPr>
          <w:rFonts w:ascii="Cambria" w:hAnsi="Cambria"/>
        </w:rPr>
        <w:t>U</w:t>
      </w:r>
      <w:r w:rsidRPr="00C80435" w:rsidR="00521BD3">
        <w:rPr>
          <w:rFonts w:ascii="Cambria" w:hAnsi="Cambria"/>
        </w:rPr>
        <w:t>.S.</w:t>
      </w:r>
      <w:r w:rsidRPr="00C80435" w:rsidR="001A4C9B">
        <w:rPr>
          <w:rFonts w:ascii="Cambria" w:hAnsi="Cambria"/>
        </w:rPr>
        <w:t xml:space="preserve"> Marine Corps (USMC)</w:t>
      </w:r>
      <w:r w:rsidRPr="00C80435" w:rsidR="007F2D11">
        <w:rPr>
          <w:rFonts w:ascii="Cambria" w:hAnsi="Cambria"/>
        </w:rPr>
        <w:t xml:space="preserve"> leadership to make informed decisions and policies regarding the potential universal implementation of PFL 4.5. Marine</w:t>
      </w:r>
      <w:r w:rsidRPr="00C80435" w:rsidR="6506CE1E">
        <w:rPr>
          <w:rFonts w:ascii="Cambria" w:hAnsi="Cambria"/>
        </w:rPr>
        <w:t xml:space="preserve"> </w:t>
      </w:r>
      <w:r w:rsidRPr="00C80435" w:rsidR="003D3046">
        <w:rPr>
          <w:rFonts w:ascii="Cambria" w:hAnsi="Cambria"/>
        </w:rPr>
        <w:t>Service</w:t>
      </w:r>
      <w:r w:rsidRPr="00C80435" w:rsidR="00E10558">
        <w:rPr>
          <w:rFonts w:ascii="Cambria" w:hAnsi="Cambria"/>
        </w:rPr>
        <w:t xml:space="preserve"> </w:t>
      </w:r>
      <w:r w:rsidRPr="00C80435" w:rsidR="5738A3EC">
        <w:rPr>
          <w:rFonts w:ascii="Cambria" w:hAnsi="Cambria"/>
        </w:rPr>
        <w:t>members</w:t>
      </w:r>
      <w:r w:rsidRPr="00C80435" w:rsidR="00E10558">
        <w:rPr>
          <w:rFonts w:ascii="Cambria" w:hAnsi="Cambria"/>
        </w:rPr>
        <w:t xml:space="preserve"> </w:t>
      </w:r>
      <w:r w:rsidRPr="00C80435" w:rsidR="007F2D11">
        <w:rPr>
          <w:rFonts w:ascii="Cambria" w:hAnsi="Cambria"/>
        </w:rPr>
        <w:t xml:space="preserve">in student status awaiting training will be assigned to either the intervention condition (in which they will receive </w:t>
      </w:r>
      <w:r w:rsidRPr="00C80435" w:rsidR="007B6D36">
        <w:rPr>
          <w:rFonts w:ascii="Cambria" w:hAnsi="Cambria"/>
        </w:rPr>
        <w:t>PFL 4.5</w:t>
      </w:r>
      <w:r w:rsidRPr="00C80435" w:rsidR="007F2D11">
        <w:rPr>
          <w:rFonts w:ascii="Cambria" w:hAnsi="Cambria"/>
        </w:rPr>
        <w:t xml:space="preserve">) or the comparison condition (in which they will not receive </w:t>
      </w:r>
      <w:r w:rsidRPr="00C80435" w:rsidR="007B6D36">
        <w:rPr>
          <w:rFonts w:ascii="Cambria" w:hAnsi="Cambria"/>
        </w:rPr>
        <w:t>PFL 4.5</w:t>
      </w:r>
      <w:r w:rsidRPr="00C80435" w:rsidR="007F2D11">
        <w:rPr>
          <w:rFonts w:ascii="Cambria" w:hAnsi="Cambria"/>
        </w:rPr>
        <w:t xml:space="preserve">). In addition to looking for differences between intervention and comparison conditions, the evaluation will assess potential differences between </w:t>
      </w:r>
      <w:r w:rsidRPr="00C80435" w:rsidR="000A1D36">
        <w:rPr>
          <w:rFonts w:ascii="Cambria" w:hAnsi="Cambria"/>
        </w:rPr>
        <w:t xml:space="preserve">Marine </w:t>
      </w:r>
      <w:r w:rsidRPr="00C80435" w:rsidR="003D3046">
        <w:rPr>
          <w:rFonts w:ascii="Cambria" w:hAnsi="Cambria"/>
        </w:rPr>
        <w:t>Service</w:t>
      </w:r>
      <w:r w:rsidRPr="00C80435" w:rsidR="000A1D36">
        <w:rPr>
          <w:rFonts w:ascii="Cambria" w:hAnsi="Cambria"/>
        </w:rPr>
        <w:t xml:space="preserve"> members</w:t>
      </w:r>
      <w:r w:rsidRPr="00C80435" w:rsidR="007F2D11">
        <w:rPr>
          <w:rFonts w:ascii="Cambria" w:hAnsi="Cambria"/>
        </w:rPr>
        <w:t xml:space="preserve"> assigned to infantry and non-infantry Military Occupational Specialties (MOS). The evaluation design, therefore, is a 2 (intervention vs. comparison) x2 (Marine</w:t>
      </w:r>
      <w:r w:rsidRPr="00C80435" w:rsidR="56E1380D">
        <w:rPr>
          <w:rFonts w:ascii="Cambria" w:hAnsi="Cambria"/>
        </w:rPr>
        <w:t xml:space="preserve"> </w:t>
      </w:r>
      <w:r w:rsidRPr="00C80435" w:rsidR="003D3046">
        <w:rPr>
          <w:rFonts w:ascii="Cambria" w:hAnsi="Cambria"/>
        </w:rPr>
        <w:t>Service</w:t>
      </w:r>
      <w:r w:rsidRPr="00C80435" w:rsidR="00DD2F9C">
        <w:rPr>
          <w:rFonts w:ascii="Cambria" w:hAnsi="Cambria"/>
        </w:rPr>
        <w:t xml:space="preserve"> </w:t>
      </w:r>
      <w:r w:rsidRPr="00C80435" w:rsidR="504804D8">
        <w:rPr>
          <w:rFonts w:ascii="Cambria" w:hAnsi="Cambria"/>
        </w:rPr>
        <w:t>members</w:t>
      </w:r>
      <w:r w:rsidRPr="00C80435" w:rsidR="007F2D11">
        <w:rPr>
          <w:rFonts w:ascii="Cambria" w:hAnsi="Cambria"/>
        </w:rPr>
        <w:t xml:space="preserve"> assigned to infantry MOS vs. non-infantry MOS) </w:t>
      </w:r>
      <w:r w:rsidRPr="00C80435" w:rsidR="4B9F5A3E">
        <w:rPr>
          <w:rFonts w:ascii="Cambria" w:hAnsi="Cambria"/>
        </w:rPr>
        <w:t>QED</w:t>
      </w:r>
      <w:r w:rsidRPr="00C80435" w:rsidR="007F2D11">
        <w:rPr>
          <w:rFonts w:ascii="Cambria" w:hAnsi="Cambria"/>
        </w:rPr>
        <w:t xml:space="preserve"> within a single site (Camp Lejeune) to evaluate the outcomes of interest.</w:t>
      </w:r>
    </w:p>
    <w:p w:rsidR="00FD7BF4" w:rsidRPr="00C80435" w:rsidP="005C0A99" w14:paraId="3659334F" w14:textId="68A1B9CC">
      <w:pPr>
        <w:pStyle w:val="NormalWeb"/>
        <w:rPr>
          <w:rFonts w:ascii="Cambria" w:hAnsi="Cambria"/>
        </w:rPr>
      </w:pPr>
      <w:bookmarkStart w:id="4" w:name="OLE_LINK1"/>
      <w:r w:rsidRPr="00C80435">
        <w:rPr>
          <w:rFonts w:ascii="Cambria" w:hAnsi="Cambria"/>
        </w:rPr>
        <w:t>At baseline, t</w:t>
      </w:r>
      <w:r w:rsidRPr="00C80435" w:rsidR="00681920">
        <w:rPr>
          <w:rFonts w:ascii="Cambria" w:hAnsi="Cambria"/>
        </w:rPr>
        <w:t xml:space="preserve">he evaluation will enroll </w:t>
      </w:r>
      <w:r w:rsidRPr="00C80435" w:rsidR="00AF2827">
        <w:rPr>
          <w:rFonts w:ascii="Cambria" w:hAnsi="Cambria"/>
        </w:rPr>
        <w:t xml:space="preserve">1,200 </w:t>
      </w:r>
      <w:r w:rsidRPr="00C80435" w:rsidR="005A5C39">
        <w:rPr>
          <w:rFonts w:ascii="Cambria" w:hAnsi="Cambria"/>
        </w:rPr>
        <w:t>Marine</w:t>
      </w:r>
      <w:r w:rsidRPr="00C80435" w:rsidR="7F615EC1">
        <w:rPr>
          <w:rFonts w:ascii="Cambria" w:hAnsi="Cambria"/>
        </w:rPr>
        <w:t xml:space="preserve"> </w:t>
      </w:r>
      <w:r w:rsidRPr="00C80435" w:rsidR="003D3046">
        <w:rPr>
          <w:rFonts w:ascii="Cambria" w:hAnsi="Cambria"/>
        </w:rPr>
        <w:t>Service</w:t>
      </w:r>
      <w:r w:rsidRPr="00C80435" w:rsidR="00E8627E">
        <w:rPr>
          <w:rFonts w:ascii="Cambria" w:hAnsi="Cambria"/>
        </w:rPr>
        <w:t xml:space="preserve"> </w:t>
      </w:r>
      <w:r w:rsidRPr="00C80435" w:rsidR="19080E6B">
        <w:rPr>
          <w:rFonts w:ascii="Cambria" w:hAnsi="Cambria"/>
        </w:rPr>
        <w:t>members</w:t>
      </w:r>
      <w:r w:rsidRPr="00C80435" w:rsidR="005A5C39">
        <w:rPr>
          <w:rFonts w:ascii="Cambria" w:hAnsi="Cambria"/>
        </w:rPr>
        <w:t xml:space="preserve"> as </w:t>
      </w:r>
      <w:r w:rsidRPr="00C80435" w:rsidR="00AF2827">
        <w:rPr>
          <w:rFonts w:ascii="Cambria" w:hAnsi="Cambria"/>
        </w:rPr>
        <w:t xml:space="preserve">participants. </w:t>
      </w:r>
      <w:bookmarkEnd w:id="4"/>
      <w:r w:rsidRPr="00C80435" w:rsidR="00AF2827">
        <w:rPr>
          <w:rFonts w:ascii="Cambria" w:hAnsi="Cambria"/>
        </w:rPr>
        <w:t xml:space="preserve">Response rates and data quality will be monitored throughout the data collection period to ensure the evaluation meets the target sample sizes. </w:t>
      </w:r>
      <w:r w:rsidRPr="00C80435">
        <w:rPr>
          <w:rFonts w:ascii="Cambria" w:hAnsi="Cambria"/>
        </w:rPr>
        <w:t>The evaluation will collect up to 1,200 surveys at</w:t>
      </w:r>
      <w:r w:rsidRPr="00C80435" w:rsidR="007070D3">
        <w:rPr>
          <w:rFonts w:ascii="Cambria" w:hAnsi="Cambria"/>
        </w:rPr>
        <w:t xml:space="preserve"> 90-day </w:t>
      </w:r>
      <w:r w:rsidRPr="00C80435">
        <w:rPr>
          <w:rFonts w:ascii="Cambria" w:hAnsi="Cambria"/>
        </w:rPr>
        <w:t xml:space="preserve">follow-up. After accounting for </w:t>
      </w:r>
      <w:r w:rsidRPr="00C80435" w:rsidR="00E02B99">
        <w:rPr>
          <w:rFonts w:ascii="Cambria" w:hAnsi="Cambria"/>
        </w:rPr>
        <w:t xml:space="preserve">possible </w:t>
      </w:r>
      <w:r w:rsidRPr="00C80435">
        <w:rPr>
          <w:rFonts w:ascii="Cambria" w:hAnsi="Cambria"/>
        </w:rPr>
        <w:t xml:space="preserve">attrition, </w:t>
      </w:r>
      <w:r w:rsidRPr="00C80435" w:rsidR="00370AA4">
        <w:rPr>
          <w:rFonts w:ascii="Cambria" w:hAnsi="Cambria"/>
        </w:rPr>
        <w:t>if we achieve</w:t>
      </w:r>
      <w:r w:rsidRPr="00C80435" w:rsidR="00A7296D">
        <w:rPr>
          <w:rFonts w:ascii="Cambria" w:hAnsi="Cambria"/>
        </w:rPr>
        <w:t xml:space="preserve"> </w:t>
      </w:r>
      <w:r w:rsidRPr="00C80435" w:rsidR="00AF2827">
        <w:rPr>
          <w:rFonts w:ascii="Cambria" w:hAnsi="Cambria"/>
        </w:rPr>
        <w:t>a</w:t>
      </w:r>
      <w:r w:rsidRPr="00C80435" w:rsidR="005E55A8">
        <w:rPr>
          <w:rFonts w:ascii="Cambria" w:hAnsi="Cambria"/>
        </w:rPr>
        <w:t xml:space="preserve"> </w:t>
      </w:r>
      <w:r w:rsidRPr="00C80435" w:rsidR="00AF2827">
        <w:rPr>
          <w:rFonts w:ascii="Cambria" w:hAnsi="Cambria"/>
        </w:rPr>
        <w:t xml:space="preserve">30% retention rate at follow-up, </w:t>
      </w:r>
      <w:r w:rsidRPr="00C80435" w:rsidR="00A7296D">
        <w:rPr>
          <w:rFonts w:ascii="Cambria" w:hAnsi="Cambria"/>
        </w:rPr>
        <w:t>we expect</w:t>
      </w:r>
      <w:r w:rsidRPr="00C80435" w:rsidR="00AF2827">
        <w:rPr>
          <w:rFonts w:ascii="Cambria" w:hAnsi="Cambria"/>
        </w:rPr>
        <w:t xml:space="preserve"> a </w:t>
      </w:r>
      <w:r w:rsidRPr="00C80435" w:rsidR="005E55A8">
        <w:rPr>
          <w:rFonts w:ascii="Cambria" w:hAnsi="Cambria"/>
        </w:rPr>
        <w:t>minimum</w:t>
      </w:r>
      <w:r w:rsidRPr="00C80435" w:rsidR="00AF2827">
        <w:rPr>
          <w:rFonts w:ascii="Cambria" w:hAnsi="Cambria"/>
        </w:rPr>
        <w:t xml:space="preserve"> of 360 participants with completed baseline and follow-up surveys.</w:t>
      </w:r>
      <w:r w:rsidRPr="00C80435" w:rsidR="003E7806">
        <w:rPr>
          <w:rFonts w:ascii="Cambria" w:hAnsi="Cambria"/>
        </w:rPr>
        <w:t xml:space="preserve"> </w:t>
      </w:r>
      <w:r w:rsidRPr="00C80435" w:rsidR="001E17CC">
        <w:rPr>
          <w:rFonts w:ascii="Cambria" w:hAnsi="Cambria"/>
        </w:rPr>
        <w:t>P</w:t>
      </w:r>
      <w:r w:rsidRPr="00C80435" w:rsidR="00867154">
        <w:rPr>
          <w:rFonts w:ascii="Cambria" w:hAnsi="Cambria"/>
        </w:rPr>
        <w:t xml:space="preserve">articipants who are in the intervention </w:t>
      </w:r>
      <w:r w:rsidRPr="00C80435" w:rsidR="00C753D0">
        <w:rPr>
          <w:rFonts w:ascii="Cambria" w:hAnsi="Cambria"/>
        </w:rPr>
        <w:t>condition</w:t>
      </w:r>
      <w:r w:rsidRPr="00C80435" w:rsidR="001A4C9B">
        <w:rPr>
          <w:rFonts w:ascii="Cambria" w:hAnsi="Cambria"/>
        </w:rPr>
        <w:t xml:space="preserve"> </w:t>
      </w:r>
      <w:r w:rsidRPr="00C80435" w:rsidR="00867154">
        <w:rPr>
          <w:rFonts w:ascii="Cambria" w:hAnsi="Cambria"/>
        </w:rPr>
        <w:t>will be asked to complete a participant feedback form</w:t>
      </w:r>
      <w:r w:rsidRPr="00C80435" w:rsidR="001E17CC">
        <w:rPr>
          <w:rFonts w:ascii="Cambria" w:hAnsi="Cambria"/>
        </w:rPr>
        <w:t xml:space="preserve"> at the conclusion of their PFL 4.5 session</w:t>
      </w:r>
      <w:r w:rsidRPr="00C80435" w:rsidR="00867154">
        <w:rPr>
          <w:rFonts w:ascii="Cambria" w:hAnsi="Cambria"/>
        </w:rPr>
        <w:t xml:space="preserve">. </w:t>
      </w:r>
      <w:r w:rsidRPr="00C80435">
        <w:rPr>
          <w:rFonts w:ascii="Cambria" w:hAnsi="Cambria"/>
        </w:rPr>
        <w:t xml:space="preserve">While up to 800 feedback forms will be collected, </w:t>
      </w:r>
      <w:r w:rsidRPr="00C80435" w:rsidR="00370AA4">
        <w:rPr>
          <w:rFonts w:ascii="Cambria" w:hAnsi="Cambria"/>
        </w:rPr>
        <w:t>if we achieve</w:t>
      </w:r>
      <w:r w:rsidRPr="00C80435" w:rsidR="00C753D0">
        <w:rPr>
          <w:rFonts w:ascii="Cambria" w:hAnsi="Cambria"/>
        </w:rPr>
        <w:t xml:space="preserve"> </w:t>
      </w:r>
      <w:r w:rsidRPr="00C80435" w:rsidR="00370AA4">
        <w:rPr>
          <w:rFonts w:ascii="Cambria" w:hAnsi="Cambria"/>
        </w:rPr>
        <w:t xml:space="preserve">a </w:t>
      </w:r>
      <w:r w:rsidRPr="00C80435" w:rsidR="00867154">
        <w:rPr>
          <w:rFonts w:ascii="Cambria" w:hAnsi="Cambria"/>
        </w:rPr>
        <w:t xml:space="preserve">75% </w:t>
      </w:r>
      <w:r w:rsidRPr="00C80435" w:rsidR="00370AA4">
        <w:rPr>
          <w:rFonts w:ascii="Cambria" w:hAnsi="Cambria"/>
        </w:rPr>
        <w:t xml:space="preserve">response rate, we expect </w:t>
      </w:r>
      <w:r w:rsidRPr="00C80435" w:rsidR="00867154">
        <w:rPr>
          <w:rFonts w:ascii="Cambria" w:hAnsi="Cambria"/>
        </w:rPr>
        <w:t xml:space="preserve">a </w:t>
      </w:r>
      <w:r w:rsidRPr="00C80435" w:rsidR="005E55A8">
        <w:rPr>
          <w:rFonts w:ascii="Cambria" w:hAnsi="Cambria"/>
        </w:rPr>
        <w:t>minimum</w:t>
      </w:r>
      <w:r w:rsidRPr="00C80435" w:rsidR="00C753D0">
        <w:rPr>
          <w:rFonts w:ascii="Cambria" w:hAnsi="Cambria"/>
        </w:rPr>
        <w:t xml:space="preserve"> </w:t>
      </w:r>
      <w:r w:rsidRPr="00C80435" w:rsidR="00867154">
        <w:rPr>
          <w:rFonts w:ascii="Cambria" w:hAnsi="Cambria"/>
        </w:rPr>
        <w:t>sample of 600</w:t>
      </w:r>
      <w:r w:rsidRPr="00C80435" w:rsidR="00370AA4">
        <w:rPr>
          <w:rFonts w:ascii="Cambria" w:hAnsi="Cambria"/>
        </w:rPr>
        <w:t xml:space="preserve"> participants with completed participant feedback forms</w:t>
      </w:r>
      <w:r w:rsidRPr="00C80435" w:rsidR="00C753D0">
        <w:rPr>
          <w:rFonts w:ascii="Cambria" w:hAnsi="Cambria"/>
        </w:rPr>
        <w:t xml:space="preserve">. </w:t>
      </w:r>
    </w:p>
    <w:p w:rsidR="22FA58E5" w:rsidRPr="00C80435" w:rsidP="00B415E6" w14:paraId="4301A78B" w14:textId="16B7A4DC">
      <w:pPr>
        <w:pStyle w:val="NormalWeb"/>
        <w:rPr>
          <w:rFonts w:ascii="Cambria" w:hAnsi="Cambria"/>
        </w:rPr>
      </w:pPr>
      <w:r w:rsidRPr="00C80435">
        <w:rPr>
          <w:rFonts w:ascii="Cambria" w:hAnsi="Cambria"/>
        </w:rPr>
        <w:t xml:space="preserve">The evaluation will enroll 15 </w:t>
      </w:r>
      <w:r w:rsidRPr="00C80435" w:rsidR="005A5C39">
        <w:rPr>
          <w:rFonts w:ascii="Cambria" w:hAnsi="Cambria"/>
        </w:rPr>
        <w:t xml:space="preserve">PFL 4.5 </w:t>
      </w:r>
      <w:r w:rsidRPr="00C80435">
        <w:rPr>
          <w:rFonts w:ascii="Cambria" w:hAnsi="Cambria"/>
        </w:rPr>
        <w:t xml:space="preserve">instructors as participants. </w:t>
      </w:r>
      <w:r w:rsidRPr="00C80435" w:rsidR="007F2D11">
        <w:rPr>
          <w:rFonts w:ascii="Cambria" w:hAnsi="Cambria"/>
        </w:rPr>
        <w:t xml:space="preserve">Trained PFL 4.5 instructors </w:t>
      </w:r>
      <w:r w:rsidRPr="00C80435" w:rsidR="003D260E">
        <w:rPr>
          <w:rFonts w:ascii="Cambria" w:hAnsi="Cambria"/>
        </w:rPr>
        <w:t xml:space="preserve">at USMC </w:t>
      </w:r>
      <w:r w:rsidRPr="00C80435" w:rsidR="007F2D11">
        <w:rPr>
          <w:rFonts w:ascii="Cambria" w:hAnsi="Cambria"/>
        </w:rPr>
        <w:t xml:space="preserve">will administer </w:t>
      </w:r>
      <w:r w:rsidRPr="00C80435" w:rsidR="006D3A08">
        <w:rPr>
          <w:rFonts w:ascii="Cambria" w:hAnsi="Cambria"/>
        </w:rPr>
        <w:t xml:space="preserve">the </w:t>
      </w:r>
      <w:r w:rsidRPr="00C80435" w:rsidR="004A5542">
        <w:rPr>
          <w:rFonts w:ascii="Cambria" w:hAnsi="Cambria"/>
        </w:rPr>
        <w:t>training</w:t>
      </w:r>
      <w:r w:rsidRPr="00C80435" w:rsidR="007F2D11">
        <w:rPr>
          <w:rFonts w:ascii="Cambria" w:hAnsi="Cambria"/>
        </w:rPr>
        <w:t>.</w:t>
      </w:r>
      <w:r w:rsidRPr="00C80435" w:rsidR="00701DF4">
        <w:rPr>
          <w:rFonts w:ascii="Cambria" w:hAnsi="Cambria"/>
        </w:rPr>
        <w:t xml:space="preserve"> Prior to facilitating PFL 4.5 sessions, instructors will be provided guidance to complete an instructor fidelity worksheet after each PFL 4.5 session.</w:t>
      </w:r>
      <w:r w:rsidRPr="00C80435" w:rsidR="00701DF4">
        <w:rPr>
          <w:rFonts w:ascii="Cambria" w:hAnsi="Cambria"/>
        </w:rPr>
        <w:t xml:space="preserve"> </w:t>
      </w:r>
      <w:r w:rsidRPr="00C80435" w:rsidR="00386880">
        <w:rPr>
          <w:rFonts w:ascii="Cambria" w:hAnsi="Cambria"/>
        </w:rPr>
        <w:t xml:space="preserve">A high response rate is </w:t>
      </w:r>
      <w:r w:rsidRPr="00C80435" w:rsidR="00045A4A">
        <w:rPr>
          <w:rFonts w:ascii="Cambria" w:hAnsi="Cambria"/>
        </w:rPr>
        <w:t>expected</w:t>
      </w:r>
      <w:r w:rsidRPr="00C80435" w:rsidR="00386880">
        <w:rPr>
          <w:rFonts w:ascii="Cambria" w:hAnsi="Cambria"/>
        </w:rPr>
        <w:t xml:space="preserve"> because </w:t>
      </w:r>
      <w:r w:rsidRPr="00C80435" w:rsidR="00045A4A">
        <w:rPr>
          <w:rFonts w:ascii="Cambria" w:hAnsi="Cambria"/>
        </w:rPr>
        <w:t>we anticipate that instructors will view completion of the fidelity worksheet as part of their responsibilities as a PFL instructor</w:t>
      </w:r>
      <w:r w:rsidRPr="00C80435" w:rsidR="00386880">
        <w:rPr>
          <w:rFonts w:ascii="Cambria" w:hAnsi="Cambria"/>
        </w:rPr>
        <w:t xml:space="preserve">. However, the </w:t>
      </w:r>
      <w:r w:rsidRPr="00C80435" w:rsidR="005E55A8">
        <w:rPr>
          <w:rFonts w:ascii="Cambria" w:hAnsi="Cambria"/>
        </w:rPr>
        <w:t xml:space="preserve">minimum </w:t>
      </w:r>
      <w:r w:rsidRPr="00C80435" w:rsidR="00386880">
        <w:rPr>
          <w:rFonts w:ascii="Cambria" w:hAnsi="Cambria"/>
        </w:rPr>
        <w:t xml:space="preserve">expected response rate is </w:t>
      </w:r>
      <w:r w:rsidRPr="00C80435" w:rsidR="00045A4A">
        <w:rPr>
          <w:rFonts w:ascii="Cambria" w:hAnsi="Cambria"/>
        </w:rPr>
        <w:t>90</w:t>
      </w:r>
      <w:r w:rsidRPr="00C80435" w:rsidR="00386880">
        <w:rPr>
          <w:rFonts w:ascii="Cambria" w:hAnsi="Cambria"/>
        </w:rPr>
        <w:t xml:space="preserve">% </w:t>
      </w:r>
      <w:r w:rsidRPr="00C80435" w:rsidR="00045A4A">
        <w:rPr>
          <w:rFonts w:ascii="Cambria" w:hAnsi="Cambria"/>
        </w:rPr>
        <w:t>because of</w:t>
      </w:r>
      <w:r w:rsidRPr="00C80435" w:rsidR="00386880">
        <w:rPr>
          <w:rFonts w:ascii="Cambria" w:hAnsi="Cambria"/>
        </w:rPr>
        <w:t xml:space="preserve"> the possibility that an instructor may </w:t>
      </w:r>
      <w:r w:rsidRPr="00C80435" w:rsidR="00045A4A">
        <w:rPr>
          <w:rFonts w:ascii="Cambria" w:hAnsi="Cambria"/>
        </w:rPr>
        <w:t xml:space="preserve">forget to complete the worksheet or encounter technical difficulties on </w:t>
      </w:r>
      <w:r w:rsidRPr="00C80435" w:rsidR="00402ED5">
        <w:rPr>
          <w:rFonts w:ascii="Cambria" w:hAnsi="Cambria"/>
        </w:rPr>
        <w:t>site</w:t>
      </w:r>
      <w:r w:rsidRPr="00C80435" w:rsidR="00045A4A">
        <w:rPr>
          <w:rFonts w:ascii="Cambria" w:hAnsi="Cambria"/>
        </w:rPr>
        <w:t xml:space="preserve"> that make them unable to access it. </w:t>
      </w:r>
      <w:r w:rsidRPr="00C80435" w:rsidR="00FD7BF4">
        <w:rPr>
          <w:rFonts w:ascii="Cambria" w:hAnsi="Cambria"/>
        </w:rPr>
        <w:t xml:space="preserve">If </w:t>
      </w:r>
      <w:r w:rsidRPr="00C80435" w:rsidR="00733B58">
        <w:rPr>
          <w:rFonts w:ascii="Cambria" w:hAnsi="Cambria"/>
        </w:rPr>
        <w:t>the expected number of</w:t>
      </w:r>
      <w:r w:rsidRPr="00C80435" w:rsidR="00FD7BF4">
        <w:rPr>
          <w:rFonts w:ascii="Cambria" w:hAnsi="Cambria"/>
        </w:rPr>
        <w:t xml:space="preserve"> worksheets are completed,</w:t>
      </w:r>
      <w:r w:rsidRPr="00C80435" w:rsidR="00E7103E">
        <w:rPr>
          <w:rFonts w:ascii="Cambria" w:hAnsi="Cambria"/>
        </w:rPr>
        <w:t xml:space="preserve"> approximately 3 worksheets per PFL 4.5 instructor,</w:t>
      </w:r>
      <w:r w:rsidRPr="00C80435" w:rsidR="00FD7BF4">
        <w:rPr>
          <w:rFonts w:ascii="Cambria" w:hAnsi="Cambria"/>
        </w:rPr>
        <w:t xml:space="preserve"> there will </w:t>
      </w:r>
      <w:r w:rsidRPr="00C80435" w:rsidR="00FD7BF4">
        <w:rPr>
          <w:rFonts w:ascii="Cambria" w:hAnsi="Cambria"/>
        </w:rPr>
        <w:t>be</w:t>
      </w:r>
      <w:r w:rsidRPr="00C80435" w:rsidR="005041DB">
        <w:rPr>
          <w:rFonts w:ascii="Cambria" w:hAnsi="Cambria"/>
        </w:rPr>
        <w:t xml:space="preserve"> up to</w:t>
      </w:r>
      <w:r w:rsidRPr="00C80435" w:rsidR="00FD7BF4">
        <w:rPr>
          <w:rFonts w:ascii="Cambria" w:hAnsi="Cambria"/>
        </w:rPr>
        <w:t xml:space="preserve"> </w:t>
      </w:r>
      <w:r w:rsidRPr="00C80435" w:rsidR="00A719B1">
        <w:rPr>
          <w:rFonts w:ascii="Cambria" w:hAnsi="Cambria"/>
        </w:rPr>
        <w:t>4</w:t>
      </w:r>
      <w:r w:rsidRPr="00C80435" w:rsidR="00FD7BF4">
        <w:rPr>
          <w:rFonts w:ascii="Cambria" w:hAnsi="Cambria"/>
        </w:rPr>
        <w:t xml:space="preserve">5 worksheets collected. Lastly, </w:t>
      </w:r>
      <w:r w:rsidRPr="00C80435" w:rsidR="008F4419">
        <w:rPr>
          <w:rFonts w:ascii="Cambria" w:hAnsi="Cambria"/>
        </w:rPr>
        <w:t xml:space="preserve">instructor </w:t>
      </w:r>
      <w:r w:rsidRPr="00C80435" w:rsidR="007C5B3B">
        <w:rPr>
          <w:rFonts w:ascii="Cambria" w:hAnsi="Cambria"/>
        </w:rPr>
        <w:t>interviews</w:t>
      </w:r>
      <w:r w:rsidRPr="00C80435" w:rsidR="00733B58">
        <w:rPr>
          <w:rFonts w:ascii="Cambria" w:hAnsi="Cambria"/>
        </w:rPr>
        <w:t xml:space="preserve"> will be held with instructors of </w:t>
      </w:r>
      <w:r w:rsidRPr="00C80435" w:rsidR="007B6D36">
        <w:rPr>
          <w:rFonts w:ascii="Cambria" w:hAnsi="Cambria"/>
        </w:rPr>
        <w:t xml:space="preserve">PFL </w:t>
      </w:r>
      <w:r w:rsidRPr="00C80435" w:rsidR="00733B58">
        <w:rPr>
          <w:rFonts w:ascii="Cambria" w:hAnsi="Cambria"/>
        </w:rPr>
        <w:t xml:space="preserve">4.5. </w:t>
      </w:r>
      <w:r w:rsidRPr="00C80435" w:rsidR="005041DB">
        <w:rPr>
          <w:rFonts w:ascii="Cambria" w:hAnsi="Cambria"/>
        </w:rPr>
        <w:t>The expected response rate</w:t>
      </w:r>
      <w:r w:rsidRPr="00C80435" w:rsidR="0014600A">
        <w:rPr>
          <w:rFonts w:ascii="Cambria" w:hAnsi="Cambria"/>
        </w:rPr>
        <w:t xml:space="preserve"> for th</w:t>
      </w:r>
      <w:r w:rsidRPr="00C80435" w:rsidR="006D3A08">
        <w:rPr>
          <w:rFonts w:ascii="Cambria" w:hAnsi="Cambria"/>
        </w:rPr>
        <w:t xml:space="preserve">ese </w:t>
      </w:r>
      <w:r w:rsidRPr="00C80435" w:rsidR="007C5B3B">
        <w:rPr>
          <w:rFonts w:ascii="Cambria" w:hAnsi="Cambria"/>
        </w:rPr>
        <w:t>interviews</w:t>
      </w:r>
      <w:r w:rsidRPr="00C80435" w:rsidR="0014600A">
        <w:rPr>
          <w:rFonts w:ascii="Cambria" w:hAnsi="Cambria"/>
        </w:rPr>
        <w:t xml:space="preserve"> is 100% and </w:t>
      </w:r>
      <w:r w:rsidRPr="00C80435" w:rsidR="00733B58">
        <w:rPr>
          <w:rFonts w:ascii="Cambria" w:hAnsi="Cambria"/>
        </w:rPr>
        <w:t xml:space="preserve">15 </w:t>
      </w:r>
      <w:r w:rsidRPr="00C80435" w:rsidR="250258A6">
        <w:rPr>
          <w:rFonts w:ascii="Cambria" w:hAnsi="Cambria"/>
        </w:rPr>
        <w:t xml:space="preserve">instructor </w:t>
      </w:r>
      <w:r w:rsidRPr="00C80435" w:rsidR="007C5B3B">
        <w:rPr>
          <w:rFonts w:ascii="Cambria" w:hAnsi="Cambria"/>
        </w:rPr>
        <w:t>interviews</w:t>
      </w:r>
      <w:r w:rsidRPr="00C80435" w:rsidR="482EA099">
        <w:rPr>
          <w:rFonts w:ascii="Cambria" w:hAnsi="Cambria"/>
        </w:rPr>
        <w:t xml:space="preserve"> </w:t>
      </w:r>
      <w:r w:rsidRPr="00C80435" w:rsidR="00733B58">
        <w:rPr>
          <w:rFonts w:ascii="Cambria" w:hAnsi="Cambria"/>
        </w:rPr>
        <w:t xml:space="preserve">will be held during the data collection period. </w:t>
      </w:r>
      <w:bookmarkStart w:id="5" w:name="OLE_LINK64"/>
    </w:p>
    <w:tbl>
      <w:tblPr>
        <w:tblStyle w:val="TableGrid"/>
        <w:tblW w:w="0" w:type="auto"/>
        <w:jc w:val="center"/>
        <w:tblInd w:w="0" w:type="dxa"/>
        <w:tblLook w:val="04A0"/>
      </w:tblPr>
      <w:tblGrid>
        <w:gridCol w:w="1500"/>
        <w:gridCol w:w="1125"/>
        <w:gridCol w:w="1530"/>
        <w:gridCol w:w="1350"/>
        <w:gridCol w:w="1427"/>
        <w:gridCol w:w="2127"/>
      </w:tblGrid>
      <w:tr w14:paraId="39F55CE0" w14:textId="5995AAAD" w:rsidTr="00B415E6">
        <w:tblPrEx>
          <w:tblW w:w="0" w:type="auto"/>
          <w:jc w:val="center"/>
          <w:tblInd w:w="0" w:type="dxa"/>
          <w:tblLook w:val="04A0"/>
        </w:tblPrEx>
        <w:trPr>
          <w:jc w:val="center"/>
        </w:trPr>
        <w:tc>
          <w:tcPr>
            <w:tcW w:w="1390" w:type="dxa"/>
            <w:tcBorders>
              <w:top w:val="single" w:sz="4" w:space="0" w:color="auto"/>
              <w:left w:val="single" w:sz="4" w:space="0" w:color="auto"/>
              <w:bottom w:val="single" w:sz="4" w:space="0" w:color="auto"/>
              <w:right w:val="single" w:sz="4" w:space="0" w:color="auto"/>
            </w:tcBorders>
          </w:tcPr>
          <w:p w:rsidR="007C5B3B" w:rsidRPr="00C80435" w:rsidP="005C0A99" w14:paraId="5BC82ACC" w14:textId="77777777">
            <w:pPr>
              <w:spacing w:after="120"/>
              <w:rPr>
                <w:rFonts w:ascii="Cambria" w:eastAsia="Calibri" w:hAnsi="Cambria"/>
              </w:rPr>
            </w:pPr>
            <w:bookmarkStart w:id="6" w:name="OLE_LINK16"/>
            <w:bookmarkEnd w:id="5"/>
          </w:p>
        </w:tc>
        <w:tc>
          <w:tcPr>
            <w:tcW w:w="1125" w:type="dxa"/>
            <w:tcBorders>
              <w:top w:val="single" w:sz="4" w:space="0" w:color="auto"/>
              <w:left w:val="single" w:sz="4" w:space="0" w:color="auto"/>
              <w:bottom w:val="single" w:sz="4" w:space="0" w:color="auto"/>
              <w:right w:val="single" w:sz="4" w:space="0" w:color="auto"/>
            </w:tcBorders>
            <w:hideMark/>
          </w:tcPr>
          <w:p w:rsidR="007C5B3B" w:rsidRPr="00C80435" w:rsidP="005C0A99" w14:paraId="291EBB83" w14:textId="77777777">
            <w:pPr>
              <w:spacing w:after="120"/>
              <w:rPr>
                <w:rFonts w:ascii="Cambria" w:eastAsia="Calibri" w:hAnsi="Cambria"/>
              </w:rPr>
            </w:pPr>
            <w:r w:rsidRPr="00C80435">
              <w:rPr>
                <w:rFonts w:ascii="Cambria" w:eastAsia="Calibri" w:hAnsi="Cambria"/>
              </w:rPr>
              <w:t>Baseline Surveys</w:t>
            </w:r>
          </w:p>
        </w:tc>
        <w:tc>
          <w:tcPr>
            <w:tcW w:w="1530" w:type="dxa"/>
            <w:tcBorders>
              <w:top w:val="single" w:sz="4" w:space="0" w:color="auto"/>
              <w:left w:val="single" w:sz="4" w:space="0" w:color="auto"/>
              <w:bottom w:val="single" w:sz="4" w:space="0" w:color="auto"/>
              <w:right w:val="single" w:sz="4" w:space="0" w:color="auto"/>
            </w:tcBorders>
          </w:tcPr>
          <w:p w:rsidR="007C5B3B" w:rsidRPr="00C80435" w:rsidP="005C0A99" w14:paraId="3BF08EFD" w14:textId="57035949">
            <w:pPr>
              <w:spacing w:after="120"/>
              <w:rPr>
                <w:rFonts w:ascii="Cambria" w:eastAsia="Calibri" w:hAnsi="Cambria"/>
              </w:rPr>
            </w:pPr>
            <w:r w:rsidRPr="00C80435">
              <w:rPr>
                <w:rFonts w:ascii="Cambria" w:eastAsia="Calibri" w:hAnsi="Cambria"/>
              </w:rPr>
              <w:t>Participant Feedback Forms</w:t>
            </w:r>
          </w:p>
        </w:tc>
        <w:tc>
          <w:tcPr>
            <w:tcW w:w="1350" w:type="dxa"/>
            <w:tcBorders>
              <w:top w:val="single" w:sz="4" w:space="0" w:color="auto"/>
              <w:left w:val="single" w:sz="4" w:space="0" w:color="auto"/>
              <w:bottom w:val="single" w:sz="4" w:space="0" w:color="auto"/>
              <w:right w:val="single" w:sz="4" w:space="0" w:color="auto"/>
            </w:tcBorders>
            <w:hideMark/>
          </w:tcPr>
          <w:p w:rsidR="007C5B3B" w:rsidRPr="00C80435" w:rsidP="005C0A99" w14:paraId="1B0C5D8B" w14:textId="183B747D">
            <w:pPr>
              <w:spacing w:after="120"/>
              <w:rPr>
                <w:rFonts w:ascii="Cambria" w:eastAsia="Calibri" w:hAnsi="Cambria"/>
              </w:rPr>
            </w:pPr>
            <w:r w:rsidRPr="00C80435">
              <w:rPr>
                <w:rFonts w:ascii="Cambria" w:eastAsia="Calibri" w:hAnsi="Cambria"/>
              </w:rPr>
              <w:t>Follow-Up Surveys</w:t>
            </w:r>
          </w:p>
        </w:tc>
        <w:tc>
          <w:tcPr>
            <w:tcW w:w="1330" w:type="dxa"/>
            <w:tcBorders>
              <w:top w:val="single" w:sz="4" w:space="0" w:color="auto"/>
              <w:left w:val="single" w:sz="4" w:space="0" w:color="auto"/>
              <w:bottom w:val="single" w:sz="4" w:space="0" w:color="auto"/>
              <w:right w:val="single" w:sz="4" w:space="0" w:color="auto"/>
            </w:tcBorders>
            <w:hideMark/>
          </w:tcPr>
          <w:p w:rsidR="007C5B3B" w:rsidRPr="00C80435" w:rsidP="005C0A99" w14:paraId="33EA2E0C" w14:textId="3EF6C5BB">
            <w:pPr>
              <w:spacing w:after="120"/>
              <w:rPr>
                <w:rFonts w:ascii="Cambria" w:eastAsia="Calibri" w:hAnsi="Cambria"/>
              </w:rPr>
            </w:pPr>
            <w:r w:rsidRPr="00C80435">
              <w:rPr>
                <w:rFonts w:ascii="Cambria" w:eastAsia="Calibri" w:hAnsi="Cambria"/>
              </w:rPr>
              <w:t>Instructor Fidelity Worksheets</w:t>
            </w:r>
          </w:p>
        </w:tc>
        <w:tc>
          <w:tcPr>
            <w:tcW w:w="2127" w:type="dxa"/>
            <w:tcBorders>
              <w:top w:val="single" w:sz="4" w:space="0" w:color="auto"/>
              <w:left w:val="single" w:sz="4" w:space="0" w:color="auto"/>
              <w:bottom w:val="single" w:sz="4" w:space="0" w:color="auto"/>
              <w:right w:val="single" w:sz="4" w:space="0" w:color="auto"/>
            </w:tcBorders>
          </w:tcPr>
          <w:p w:rsidR="007C5B3B" w:rsidRPr="00C80435" w:rsidP="005C0A99" w14:paraId="5DC18B9B" w14:textId="5FA108DA">
            <w:pPr>
              <w:spacing w:after="120"/>
              <w:rPr>
                <w:rFonts w:ascii="Cambria" w:eastAsia="Calibri" w:hAnsi="Cambria"/>
              </w:rPr>
            </w:pPr>
            <w:r w:rsidRPr="00C80435">
              <w:rPr>
                <w:rFonts w:ascii="Cambria" w:eastAsia="Calibri" w:hAnsi="Cambria"/>
              </w:rPr>
              <w:t>Instructor Interviews</w:t>
            </w:r>
          </w:p>
        </w:tc>
      </w:tr>
      <w:tr w14:paraId="314AB076" w14:textId="77777777" w:rsidTr="00B415E6">
        <w:tblPrEx>
          <w:tblW w:w="0" w:type="auto"/>
          <w:jc w:val="center"/>
          <w:tblInd w:w="0" w:type="dxa"/>
          <w:tblLook w:val="04A0"/>
        </w:tblPrEx>
        <w:trPr>
          <w:jc w:val="center"/>
        </w:trPr>
        <w:tc>
          <w:tcPr>
            <w:tcW w:w="1390" w:type="dxa"/>
            <w:tcBorders>
              <w:top w:val="single" w:sz="4" w:space="0" w:color="auto"/>
              <w:left w:val="single" w:sz="4" w:space="0" w:color="auto"/>
              <w:bottom w:val="single" w:sz="4" w:space="0" w:color="auto"/>
              <w:right w:val="single" w:sz="4" w:space="0" w:color="auto"/>
            </w:tcBorders>
          </w:tcPr>
          <w:p w:rsidR="007C5B3B" w:rsidRPr="00C80435" w:rsidP="005C0A99" w14:paraId="7D50C54F" w14:textId="6A7AF719">
            <w:pPr>
              <w:spacing w:after="120"/>
              <w:rPr>
                <w:rFonts w:ascii="Cambria" w:eastAsia="Calibri" w:hAnsi="Cambria"/>
              </w:rPr>
            </w:pPr>
            <w:r w:rsidRPr="00C80435">
              <w:rPr>
                <w:rFonts w:ascii="Cambria" w:eastAsia="Calibri" w:hAnsi="Cambria"/>
              </w:rPr>
              <w:t>Overall</w:t>
            </w:r>
          </w:p>
        </w:tc>
        <w:tc>
          <w:tcPr>
            <w:tcW w:w="1125" w:type="dxa"/>
            <w:tcBorders>
              <w:top w:val="single" w:sz="4" w:space="0" w:color="auto"/>
              <w:left w:val="single" w:sz="4" w:space="0" w:color="auto"/>
              <w:bottom w:val="single" w:sz="4" w:space="0" w:color="auto"/>
              <w:right w:val="single" w:sz="4" w:space="0" w:color="auto"/>
            </w:tcBorders>
          </w:tcPr>
          <w:p w:rsidR="007C5B3B" w:rsidRPr="00C80435" w:rsidP="005C0A99" w14:paraId="1EAE51CD" w14:textId="54EFF215">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1,200</w:t>
            </w:r>
          </w:p>
        </w:tc>
        <w:tc>
          <w:tcPr>
            <w:tcW w:w="1530" w:type="dxa"/>
            <w:tcBorders>
              <w:top w:val="single" w:sz="4" w:space="0" w:color="auto"/>
              <w:left w:val="single" w:sz="4" w:space="0" w:color="auto"/>
              <w:bottom w:val="single" w:sz="4" w:space="0" w:color="auto"/>
              <w:right w:val="single" w:sz="4" w:space="0" w:color="auto"/>
            </w:tcBorders>
          </w:tcPr>
          <w:p w:rsidR="007C5B3B" w:rsidRPr="00C80435" w:rsidP="007C5B3B" w14:paraId="7C9D79D0" w14:textId="7EF6964B">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w:t>
            </w:r>
            <w:r w:rsidRPr="00C80435" w:rsidR="005E55A8">
              <w:rPr>
                <w:rFonts w:ascii="Cambria" w:eastAsia="Calibri" w:hAnsi="Cambria"/>
              </w:rPr>
              <w:t>8</w:t>
            </w:r>
            <w:r w:rsidRPr="00C80435">
              <w:rPr>
                <w:rFonts w:ascii="Cambria" w:eastAsia="Calibri" w:hAnsi="Cambria"/>
              </w:rPr>
              <w:t>00</w:t>
            </w:r>
          </w:p>
          <w:p w:rsidR="007C5B3B" w:rsidRPr="00C80435" w:rsidP="005C0A99" w14:paraId="2238F5CB" w14:textId="77777777">
            <w:pPr>
              <w:spacing w:after="120"/>
              <w:rPr>
                <w:rFonts w:ascii="Cambria" w:eastAsia="Calibri" w:hAnsi="Cambria"/>
              </w:rPr>
            </w:pPr>
          </w:p>
        </w:tc>
        <w:tc>
          <w:tcPr>
            <w:tcW w:w="1350" w:type="dxa"/>
            <w:tcBorders>
              <w:top w:val="single" w:sz="4" w:space="0" w:color="auto"/>
              <w:left w:val="single" w:sz="4" w:space="0" w:color="auto"/>
              <w:bottom w:val="single" w:sz="4" w:space="0" w:color="auto"/>
              <w:right w:val="single" w:sz="4" w:space="0" w:color="auto"/>
            </w:tcBorders>
          </w:tcPr>
          <w:p w:rsidR="007C5B3B" w:rsidRPr="00C80435" w:rsidP="005C0A99" w14:paraId="2084E0BE" w14:textId="6B370A70">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w:t>
            </w:r>
            <w:r w:rsidRPr="00C80435" w:rsidR="005E55A8">
              <w:rPr>
                <w:rFonts w:ascii="Cambria" w:eastAsia="Calibri" w:hAnsi="Cambria"/>
              </w:rPr>
              <w:t>1,200</w:t>
            </w:r>
          </w:p>
        </w:tc>
        <w:tc>
          <w:tcPr>
            <w:tcW w:w="1330" w:type="dxa"/>
            <w:tcBorders>
              <w:top w:val="single" w:sz="4" w:space="0" w:color="auto"/>
              <w:left w:val="single" w:sz="4" w:space="0" w:color="auto"/>
              <w:bottom w:val="single" w:sz="4" w:space="0" w:color="auto"/>
              <w:right w:val="single" w:sz="4" w:space="0" w:color="auto"/>
            </w:tcBorders>
          </w:tcPr>
          <w:p w:rsidR="007C5B3B" w:rsidRPr="00C80435" w:rsidP="005C0A99" w14:paraId="5B364F4B" w14:textId="5922F9CA">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45</w:t>
            </w:r>
          </w:p>
        </w:tc>
        <w:tc>
          <w:tcPr>
            <w:tcW w:w="2127" w:type="dxa"/>
            <w:tcBorders>
              <w:top w:val="single" w:sz="4" w:space="0" w:color="auto"/>
              <w:left w:val="single" w:sz="4" w:space="0" w:color="auto"/>
              <w:bottom w:val="single" w:sz="4" w:space="0" w:color="auto"/>
              <w:right w:val="single" w:sz="4" w:space="0" w:color="auto"/>
            </w:tcBorders>
          </w:tcPr>
          <w:p w:rsidR="007C5B3B" w:rsidRPr="00C80435" w:rsidP="005C0A99" w14:paraId="4D8CE56F" w14:textId="755F237B">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15</w:t>
            </w:r>
          </w:p>
        </w:tc>
      </w:tr>
      <w:tr w14:paraId="0DEC3A9F" w14:textId="6515B490" w:rsidTr="00B415E6">
        <w:tblPrEx>
          <w:tblW w:w="0" w:type="auto"/>
          <w:jc w:val="center"/>
          <w:tblInd w:w="0" w:type="dxa"/>
          <w:tblLook w:val="04A0"/>
        </w:tblPrEx>
        <w:trPr>
          <w:jc w:val="center"/>
        </w:trPr>
        <w:tc>
          <w:tcPr>
            <w:tcW w:w="1390" w:type="dxa"/>
            <w:tcBorders>
              <w:top w:val="single" w:sz="4" w:space="0" w:color="auto"/>
              <w:left w:val="single" w:sz="4" w:space="0" w:color="auto"/>
              <w:bottom w:val="single" w:sz="4" w:space="0" w:color="auto"/>
              <w:right w:val="single" w:sz="4" w:space="0" w:color="auto"/>
            </w:tcBorders>
            <w:hideMark/>
          </w:tcPr>
          <w:p w:rsidR="007C5B3B" w:rsidRPr="00C80435" w:rsidP="005C0A99" w14:paraId="14F8C10A" w14:textId="77194254">
            <w:pPr>
              <w:spacing w:after="120"/>
              <w:rPr>
                <w:rFonts w:ascii="Cambria" w:eastAsia="Calibri" w:hAnsi="Cambria"/>
              </w:rPr>
            </w:pPr>
            <w:bookmarkStart w:id="7" w:name="_Hlk174021604"/>
            <w:r w:rsidRPr="00C80435">
              <w:rPr>
                <w:rFonts w:ascii="Cambria" w:eastAsia="Calibri" w:hAnsi="Cambria"/>
              </w:rPr>
              <w:t>Intervention Group</w:t>
            </w:r>
          </w:p>
        </w:tc>
        <w:tc>
          <w:tcPr>
            <w:tcW w:w="1125" w:type="dxa"/>
            <w:tcBorders>
              <w:top w:val="single" w:sz="4" w:space="0" w:color="auto"/>
              <w:left w:val="single" w:sz="4" w:space="0" w:color="auto"/>
              <w:bottom w:val="single" w:sz="4" w:space="0" w:color="auto"/>
              <w:right w:val="single" w:sz="4" w:space="0" w:color="auto"/>
            </w:tcBorders>
            <w:hideMark/>
          </w:tcPr>
          <w:p w:rsidR="007C5B3B" w:rsidRPr="00C80435" w:rsidP="005C0A99" w14:paraId="261250EF" w14:textId="4C6E12F4">
            <w:pPr>
              <w:spacing w:after="120"/>
              <w:rPr>
                <w:rFonts w:ascii="Cambria" w:eastAsia="Calibri" w:hAnsi="Cambria"/>
              </w:rPr>
            </w:pPr>
            <w:bookmarkStart w:id="8" w:name="OLE_LINK19"/>
            <w:r w:rsidRPr="00C80435">
              <w:rPr>
                <w:rFonts w:ascii="Cambria" w:eastAsia="Calibri" w:hAnsi="Cambria"/>
                <w:i/>
                <w:iCs/>
              </w:rPr>
              <w:t>n</w:t>
            </w:r>
            <w:r w:rsidRPr="00C80435">
              <w:rPr>
                <w:rFonts w:ascii="Cambria" w:eastAsia="Calibri" w:hAnsi="Cambria"/>
              </w:rPr>
              <w:t xml:space="preserve"> </w:t>
            </w:r>
            <w:bookmarkStart w:id="9" w:name="OLE_LINK31"/>
            <w:bookmarkEnd w:id="8"/>
            <w:r w:rsidRPr="00C80435">
              <w:rPr>
                <w:rFonts w:ascii="Cambria" w:eastAsia="Calibri" w:hAnsi="Cambria"/>
              </w:rPr>
              <w:t>=</w:t>
            </w:r>
            <w:bookmarkEnd w:id="9"/>
            <w:r w:rsidRPr="00C80435">
              <w:rPr>
                <w:rFonts w:ascii="Cambria" w:eastAsia="Calibri" w:hAnsi="Cambria"/>
              </w:rPr>
              <w:t xml:space="preserve"> 800</w:t>
            </w:r>
          </w:p>
        </w:tc>
        <w:tc>
          <w:tcPr>
            <w:tcW w:w="1530" w:type="dxa"/>
            <w:tcBorders>
              <w:top w:val="single" w:sz="4" w:space="0" w:color="auto"/>
              <w:left w:val="single" w:sz="4" w:space="0" w:color="auto"/>
              <w:bottom w:val="single" w:sz="4" w:space="0" w:color="auto"/>
              <w:right w:val="single" w:sz="4" w:space="0" w:color="auto"/>
            </w:tcBorders>
          </w:tcPr>
          <w:p w:rsidR="007C5B3B" w:rsidRPr="00C80435" w:rsidP="007C5B3B" w14:paraId="350C819C" w14:textId="25027E3A">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w:t>
            </w:r>
            <w:r w:rsidRPr="00C80435" w:rsidR="005E55A8">
              <w:rPr>
                <w:rFonts w:ascii="Cambria" w:eastAsia="Calibri" w:hAnsi="Cambria"/>
              </w:rPr>
              <w:t>8</w:t>
            </w:r>
            <w:r w:rsidRPr="00C80435">
              <w:rPr>
                <w:rFonts w:ascii="Cambria" w:eastAsia="Calibri" w:hAnsi="Cambria"/>
              </w:rPr>
              <w:t>00</w:t>
            </w:r>
          </w:p>
          <w:p w:rsidR="007C5B3B" w:rsidRPr="00C80435" w:rsidP="005C0A99" w14:paraId="1809CFD6" w14:textId="77777777">
            <w:pPr>
              <w:spacing w:after="120"/>
              <w:rPr>
                <w:rFonts w:ascii="Cambria" w:eastAsia="Calibri" w:hAnsi="Cambria"/>
              </w:rPr>
            </w:pPr>
          </w:p>
        </w:tc>
        <w:tc>
          <w:tcPr>
            <w:tcW w:w="1350" w:type="dxa"/>
            <w:tcBorders>
              <w:top w:val="single" w:sz="4" w:space="0" w:color="auto"/>
              <w:left w:val="single" w:sz="4" w:space="0" w:color="auto"/>
              <w:bottom w:val="single" w:sz="4" w:space="0" w:color="auto"/>
              <w:right w:val="single" w:sz="4" w:space="0" w:color="auto"/>
            </w:tcBorders>
            <w:hideMark/>
          </w:tcPr>
          <w:p w:rsidR="007C5B3B" w:rsidRPr="00C80435" w:rsidP="005C0A99" w14:paraId="27B7B26C" w14:textId="2B5A2DB9">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w:t>
            </w:r>
            <w:r w:rsidRPr="00C80435" w:rsidR="005E55A8">
              <w:rPr>
                <w:rFonts w:ascii="Cambria" w:eastAsia="Calibri" w:hAnsi="Cambria"/>
              </w:rPr>
              <w:t>800</w:t>
            </w:r>
          </w:p>
        </w:tc>
        <w:tc>
          <w:tcPr>
            <w:tcW w:w="1330" w:type="dxa"/>
            <w:tcBorders>
              <w:top w:val="single" w:sz="4" w:space="0" w:color="auto"/>
              <w:left w:val="single" w:sz="4" w:space="0" w:color="auto"/>
              <w:bottom w:val="single" w:sz="4" w:space="0" w:color="auto"/>
              <w:right w:val="single" w:sz="4" w:space="0" w:color="auto"/>
            </w:tcBorders>
            <w:hideMark/>
          </w:tcPr>
          <w:p w:rsidR="007C5B3B" w:rsidRPr="00C80435" w:rsidP="005C0A99" w14:paraId="5E7A1E60" w14:textId="79AA64B4">
            <w:pPr>
              <w:spacing w:after="120"/>
              <w:rPr>
                <w:rFonts w:ascii="Cambria" w:eastAsia="Calibri" w:hAnsi="Cambria"/>
              </w:rPr>
            </w:pPr>
            <w:r w:rsidRPr="00C80435">
              <w:rPr>
                <w:rFonts w:ascii="Cambria" w:eastAsia="Calibri" w:hAnsi="Cambria"/>
              </w:rPr>
              <w:t>N/A</w:t>
            </w:r>
          </w:p>
        </w:tc>
        <w:tc>
          <w:tcPr>
            <w:tcW w:w="2127" w:type="dxa"/>
            <w:tcBorders>
              <w:top w:val="single" w:sz="4" w:space="0" w:color="auto"/>
              <w:left w:val="single" w:sz="4" w:space="0" w:color="auto"/>
              <w:bottom w:val="single" w:sz="4" w:space="0" w:color="auto"/>
              <w:right w:val="single" w:sz="4" w:space="0" w:color="auto"/>
            </w:tcBorders>
          </w:tcPr>
          <w:p w:rsidR="007C5B3B" w:rsidRPr="00C80435" w:rsidP="005C0A99" w14:paraId="0CBCF0CD" w14:textId="682C9C34">
            <w:pPr>
              <w:spacing w:after="120"/>
              <w:rPr>
                <w:rFonts w:ascii="Cambria" w:eastAsia="Calibri" w:hAnsi="Cambria"/>
              </w:rPr>
            </w:pPr>
            <w:r w:rsidRPr="00C80435">
              <w:rPr>
                <w:rFonts w:ascii="Cambria" w:eastAsia="Calibri" w:hAnsi="Cambria"/>
              </w:rPr>
              <w:t>N/A</w:t>
            </w:r>
          </w:p>
        </w:tc>
      </w:tr>
      <w:tr w14:paraId="0E4BF748" w14:textId="476E9EF2" w:rsidTr="00B415E6">
        <w:tblPrEx>
          <w:tblW w:w="0" w:type="auto"/>
          <w:jc w:val="center"/>
          <w:tblInd w:w="0" w:type="dxa"/>
          <w:tblLook w:val="04A0"/>
        </w:tblPrEx>
        <w:trPr>
          <w:jc w:val="center"/>
        </w:trPr>
        <w:tc>
          <w:tcPr>
            <w:tcW w:w="1390" w:type="dxa"/>
            <w:tcBorders>
              <w:top w:val="single" w:sz="4" w:space="0" w:color="auto"/>
              <w:left w:val="single" w:sz="4" w:space="0" w:color="auto"/>
              <w:bottom w:val="single" w:sz="4" w:space="0" w:color="auto"/>
              <w:right w:val="single" w:sz="4" w:space="0" w:color="auto"/>
            </w:tcBorders>
            <w:hideMark/>
          </w:tcPr>
          <w:p w:rsidR="007C5B3B" w:rsidRPr="00C80435" w:rsidP="005C0A99" w14:paraId="3A918EE6" w14:textId="53A05C46">
            <w:pPr>
              <w:spacing w:after="120"/>
              <w:rPr>
                <w:rFonts w:ascii="Cambria" w:eastAsia="Calibri" w:hAnsi="Cambria"/>
              </w:rPr>
            </w:pPr>
            <w:r w:rsidRPr="00C80435">
              <w:rPr>
                <w:rFonts w:ascii="Cambria" w:eastAsia="Calibri" w:hAnsi="Cambria"/>
              </w:rPr>
              <w:t>Comparison Group</w:t>
            </w:r>
          </w:p>
        </w:tc>
        <w:tc>
          <w:tcPr>
            <w:tcW w:w="1125" w:type="dxa"/>
            <w:tcBorders>
              <w:top w:val="single" w:sz="4" w:space="0" w:color="auto"/>
              <w:left w:val="single" w:sz="4" w:space="0" w:color="auto"/>
              <w:bottom w:val="single" w:sz="4" w:space="0" w:color="auto"/>
              <w:right w:val="single" w:sz="4" w:space="0" w:color="auto"/>
            </w:tcBorders>
            <w:hideMark/>
          </w:tcPr>
          <w:p w:rsidR="007C5B3B" w:rsidRPr="00C80435" w:rsidP="005C0A99" w14:paraId="7D23DCAD" w14:textId="619570EA">
            <w:pPr>
              <w:spacing w:after="120"/>
              <w:rPr>
                <w:rFonts w:ascii="Cambria" w:eastAsia="Calibri" w:hAnsi="Cambria"/>
              </w:rPr>
            </w:pPr>
            <w:bookmarkStart w:id="10" w:name="OLE_LINK15"/>
            <w:r w:rsidRPr="00C80435">
              <w:rPr>
                <w:rFonts w:ascii="Cambria" w:eastAsia="Calibri" w:hAnsi="Cambria"/>
                <w:i/>
                <w:iCs/>
              </w:rPr>
              <w:t>n</w:t>
            </w:r>
            <w:r w:rsidRPr="00C80435">
              <w:rPr>
                <w:rFonts w:ascii="Cambria" w:eastAsia="Calibri" w:hAnsi="Cambria"/>
              </w:rPr>
              <w:t xml:space="preserve"> = </w:t>
            </w:r>
            <w:bookmarkEnd w:id="10"/>
            <w:r w:rsidRPr="00C80435">
              <w:rPr>
                <w:rFonts w:ascii="Cambria" w:eastAsia="Calibri" w:hAnsi="Cambria"/>
              </w:rPr>
              <w:t>400</w:t>
            </w:r>
          </w:p>
        </w:tc>
        <w:tc>
          <w:tcPr>
            <w:tcW w:w="1530" w:type="dxa"/>
            <w:tcBorders>
              <w:top w:val="single" w:sz="4" w:space="0" w:color="auto"/>
              <w:left w:val="single" w:sz="4" w:space="0" w:color="auto"/>
              <w:bottom w:val="single" w:sz="4" w:space="0" w:color="auto"/>
              <w:right w:val="single" w:sz="4" w:space="0" w:color="auto"/>
            </w:tcBorders>
          </w:tcPr>
          <w:p w:rsidR="007C5B3B" w:rsidRPr="00C80435" w:rsidP="007C5B3B" w14:paraId="18ECE262" w14:textId="77777777">
            <w:pPr>
              <w:spacing w:after="120"/>
              <w:rPr>
                <w:rFonts w:ascii="Cambria" w:eastAsia="Calibri" w:hAnsi="Cambria"/>
              </w:rPr>
            </w:pPr>
            <w:r w:rsidRPr="00C80435">
              <w:rPr>
                <w:rFonts w:ascii="Cambria" w:eastAsia="Calibri" w:hAnsi="Cambria"/>
              </w:rPr>
              <w:t>N/A</w:t>
            </w:r>
          </w:p>
          <w:p w:rsidR="007C5B3B" w:rsidRPr="00C80435" w:rsidP="005C0A99" w14:paraId="3164A841" w14:textId="77777777">
            <w:pPr>
              <w:spacing w:after="120"/>
              <w:rPr>
                <w:rFonts w:ascii="Cambria" w:eastAsia="Calibri" w:hAnsi="Cambria"/>
              </w:rPr>
            </w:pPr>
          </w:p>
        </w:tc>
        <w:tc>
          <w:tcPr>
            <w:tcW w:w="1350" w:type="dxa"/>
            <w:tcBorders>
              <w:top w:val="single" w:sz="4" w:space="0" w:color="auto"/>
              <w:left w:val="single" w:sz="4" w:space="0" w:color="auto"/>
              <w:bottom w:val="single" w:sz="4" w:space="0" w:color="auto"/>
              <w:right w:val="single" w:sz="4" w:space="0" w:color="auto"/>
            </w:tcBorders>
            <w:hideMark/>
          </w:tcPr>
          <w:p w:rsidR="007C5B3B" w:rsidRPr="00C80435" w:rsidP="005C0A99" w14:paraId="63D5D1DB" w14:textId="20622137">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w:t>
            </w:r>
            <w:r w:rsidRPr="00C80435" w:rsidR="005E55A8">
              <w:rPr>
                <w:rFonts w:ascii="Cambria" w:eastAsia="Calibri" w:hAnsi="Cambria"/>
              </w:rPr>
              <w:t>400</w:t>
            </w:r>
          </w:p>
        </w:tc>
        <w:tc>
          <w:tcPr>
            <w:tcW w:w="1330" w:type="dxa"/>
            <w:tcBorders>
              <w:top w:val="single" w:sz="4" w:space="0" w:color="auto"/>
              <w:left w:val="single" w:sz="4" w:space="0" w:color="auto"/>
              <w:bottom w:val="single" w:sz="4" w:space="0" w:color="auto"/>
              <w:right w:val="single" w:sz="4" w:space="0" w:color="auto"/>
            </w:tcBorders>
            <w:hideMark/>
          </w:tcPr>
          <w:p w:rsidR="007C5B3B" w:rsidRPr="00C80435" w:rsidP="005C0A99" w14:paraId="7148BB72" w14:textId="77777777">
            <w:pPr>
              <w:spacing w:after="120"/>
              <w:rPr>
                <w:rFonts w:ascii="Cambria" w:eastAsia="Calibri" w:hAnsi="Cambria"/>
              </w:rPr>
            </w:pPr>
            <w:r w:rsidRPr="00C80435">
              <w:rPr>
                <w:rFonts w:ascii="Cambria" w:eastAsia="Calibri" w:hAnsi="Cambria"/>
              </w:rPr>
              <w:t>N/A</w:t>
            </w:r>
          </w:p>
        </w:tc>
        <w:tc>
          <w:tcPr>
            <w:tcW w:w="2127" w:type="dxa"/>
            <w:tcBorders>
              <w:top w:val="single" w:sz="4" w:space="0" w:color="auto"/>
              <w:left w:val="single" w:sz="4" w:space="0" w:color="auto"/>
              <w:bottom w:val="single" w:sz="4" w:space="0" w:color="auto"/>
              <w:right w:val="single" w:sz="4" w:space="0" w:color="auto"/>
            </w:tcBorders>
          </w:tcPr>
          <w:p w:rsidR="007C5B3B" w:rsidRPr="00C80435" w:rsidP="005C0A99" w14:paraId="79D485C6" w14:textId="1271705A">
            <w:pPr>
              <w:spacing w:after="120"/>
              <w:rPr>
                <w:rFonts w:ascii="Cambria" w:eastAsia="Calibri" w:hAnsi="Cambria"/>
              </w:rPr>
            </w:pPr>
            <w:r w:rsidRPr="00C80435">
              <w:rPr>
                <w:rFonts w:ascii="Cambria" w:eastAsia="Calibri" w:hAnsi="Cambria"/>
              </w:rPr>
              <w:t>N/A</w:t>
            </w:r>
          </w:p>
        </w:tc>
      </w:tr>
      <w:bookmarkEnd w:id="7"/>
      <w:tr w14:paraId="570E832A" w14:textId="691CF14B" w:rsidTr="00B415E6">
        <w:tblPrEx>
          <w:tblW w:w="0" w:type="auto"/>
          <w:jc w:val="center"/>
          <w:tblInd w:w="0" w:type="dxa"/>
          <w:tblLook w:val="04A0"/>
        </w:tblPrEx>
        <w:trPr>
          <w:jc w:val="center"/>
        </w:trPr>
        <w:tc>
          <w:tcPr>
            <w:tcW w:w="1390" w:type="dxa"/>
            <w:tcBorders>
              <w:top w:val="single" w:sz="4" w:space="0" w:color="auto"/>
              <w:left w:val="single" w:sz="4" w:space="0" w:color="auto"/>
              <w:bottom w:val="single" w:sz="4" w:space="0" w:color="auto"/>
              <w:right w:val="single" w:sz="4" w:space="0" w:color="auto"/>
            </w:tcBorders>
            <w:hideMark/>
          </w:tcPr>
          <w:p w:rsidR="007C5B3B" w:rsidRPr="00C80435" w:rsidP="005C0A99" w14:paraId="135A4A2B" w14:textId="3306B9A4">
            <w:pPr>
              <w:spacing w:after="120"/>
              <w:rPr>
                <w:rFonts w:ascii="Cambria" w:eastAsia="Calibri" w:hAnsi="Cambria"/>
              </w:rPr>
            </w:pPr>
            <w:r w:rsidRPr="00C80435">
              <w:rPr>
                <w:rFonts w:ascii="Cambria" w:eastAsia="Calibri" w:hAnsi="Cambria"/>
              </w:rPr>
              <w:t>Prime for Life 4.5 Instructors</w:t>
            </w:r>
          </w:p>
        </w:tc>
        <w:tc>
          <w:tcPr>
            <w:tcW w:w="1125" w:type="dxa"/>
            <w:tcBorders>
              <w:top w:val="single" w:sz="4" w:space="0" w:color="auto"/>
              <w:left w:val="single" w:sz="4" w:space="0" w:color="auto"/>
              <w:bottom w:val="single" w:sz="4" w:space="0" w:color="auto"/>
              <w:right w:val="single" w:sz="4" w:space="0" w:color="auto"/>
            </w:tcBorders>
            <w:hideMark/>
          </w:tcPr>
          <w:p w:rsidR="007C5B3B" w:rsidRPr="00C80435" w:rsidP="005C0A99" w14:paraId="09DC1244" w14:textId="77777777">
            <w:pPr>
              <w:spacing w:after="120"/>
              <w:rPr>
                <w:rFonts w:ascii="Cambria" w:eastAsia="Calibri" w:hAnsi="Cambria"/>
              </w:rPr>
            </w:pPr>
            <w:bookmarkStart w:id="11" w:name="OLE_LINK65"/>
            <w:r w:rsidRPr="00C80435">
              <w:rPr>
                <w:rFonts w:ascii="Cambria" w:eastAsia="Calibri" w:hAnsi="Cambria"/>
              </w:rPr>
              <w:t>N/A</w:t>
            </w:r>
            <w:bookmarkEnd w:id="11"/>
          </w:p>
        </w:tc>
        <w:tc>
          <w:tcPr>
            <w:tcW w:w="1530" w:type="dxa"/>
            <w:tcBorders>
              <w:top w:val="single" w:sz="4" w:space="0" w:color="auto"/>
              <w:left w:val="single" w:sz="4" w:space="0" w:color="auto"/>
              <w:bottom w:val="single" w:sz="4" w:space="0" w:color="auto"/>
              <w:right w:val="single" w:sz="4" w:space="0" w:color="auto"/>
            </w:tcBorders>
          </w:tcPr>
          <w:p w:rsidR="007C5B3B" w:rsidRPr="00C80435" w:rsidP="005C0A99" w14:paraId="3A9F4FE7" w14:textId="16E97065">
            <w:pPr>
              <w:spacing w:after="120"/>
              <w:rPr>
                <w:rFonts w:ascii="Cambria" w:eastAsia="Calibri" w:hAnsi="Cambria"/>
              </w:rPr>
            </w:pPr>
            <w:r w:rsidRPr="00C80435">
              <w:rPr>
                <w:rFonts w:ascii="Cambria" w:eastAsia="Calibri" w:hAnsi="Cambria"/>
              </w:rPr>
              <w:t>N/A</w:t>
            </w:r>
          </w:p>
        </w:tc>
        <w:tc>
          <w:tcPr>
            <w:tcW w:w="1350" w:type="dxa"/>
            <w:tcBorders>
              <w:top w:val="single" w:sz="4" w:space="0" w:color="auto"/>
              <w:left w:val="single" w:sz="4" w:space="0" w:color="auto"/>
              <w:bottom w:val="single" w:sz="4" w:space="0" w:color="auto"/>
              <w:right w:val="single" w:sz="4" w:space="0" w:color="auto"/>
            </w:tcBorders>
            <w:hideMark/>
          </w:tcPr>
          <w:p w:rsidR="007C5B3B" w:rsidRPr="00C80435" w:rsidP="005C0A99" w14:paraId="5AB5687C" w14:textId="7D9790EA">
            <w:pPr>
              <w:spacing w:after="120"/>
              <w:rPr>
                <w:rFonts w:ascii="Cambria" w:eastAsia="Calibri" w:hAnsi="Cambria"/>
              </w:rPr>
            </w:pPr>
            <w:r w:rsidRPr="00C80435">
              <w:rPr>
                <w:rFonts w:ascii="Cambria" w:eastAsia="Calibri" w:hAnsi="Cambria"/>
              </w:rPr>
              <w:t>N/A</w:t>
            </w:r>
          </w:p>
        </w:tc>
        <w:tc>
          <w:tcPr>
            <w:tcW w:w="1330" w:type="dxa"/>
            <w:tcBorders>
              <w:top w:val="single" w:sz="4" w:space="0" w:color="auto"/>
              <w:left w:val="single" w:sz="4" w:space="0" w:color="auto"/>
              <w:bottom w:val="single" w:sz="4" w:space="0" w:color="auto"/>
              <w:right w:val="single" w:sz="4" w:space="0" w:color="auto"/>
            </w:tcBorders>
            <w:hideMark/>
          </w:tcPr>
          <w:p w:rsidR="007C5B3B" w:rsidRPr="00C80435" w:rsidP="005C0A99" w14:paraId="5E0A954D" w14:textId="450438D3">
            <w:pPr>
              <w:spacing w:after="120"/>
              <w:rPr>
                <w:rFonts w:ascii="Cambria" w:eastAsia="Calibri" w:hAnsi="Cambria"/>
              </w:rPr>
            </w:pPr>
            <w:bookmarkStart w:id="12" w:name="OLE_LINK66"/>
            <w:r w:rsidRPr="00C80435">
              <w:rPr>
                <w:rFonts w:ascii="Cambria" w:eastAsia="Calibri" w:hAnsi="Cambria"/>
                <w:i/>
                <w:iCs/>
              </w:rPr>
              <w:t>n</w:t>
            </w:r>
            <w:r w:rsidRPr="00C80435">
              <w:rPr>
                <w:rFonts w:ascii="Cambria" w:eastAsia="Calibri" w:hAnsi="Cambria"/>
              </w:rPr>
              <w:t xml:space="preserve"> = 45</w:t>
            </w:r>
            <w:bookmarkEnd w:id="12"/>
          </w:p>
        </w:tc>
        <w:tc>
          <w:tcPr>
            <w:tcW w:w="2127" w:type="dxa"/>
            <w:tcBorders>
              <w:top w:val="single" w:sz="4" w:space="0" w:color="auto"/>
              <w:left w:val="single" w:sz="4" w:space="0" w:color="auto"/>
              <w:bottom w:val="single" w:sz="4" w:space="0" w:color="auto"/>
              <w:right w:val="single" w:sz="4" w:space="0" w:color="auto"/>
            </w:tcBorders>
          </w:tcPr>
          <w:p w:rsidR="007C5B3B" w:rsidRPr="00C80435" w:rsidP="005C0A99" w14:paraId="1661A789" w14:textId="2A465D5E">
            <w:pPr>
              <w:spacing w:after="120"/>
              <w:rPr>
                <w:rFonts w:ascii="Cambria" w:eastAsia="Calibri" w:hAnsi="Cambria"/>
              </w:rPr>
            </w:pPr>
            <w:r w:rsidRPr="00C80435">
              <w:rPr>
                <w:rFonts w:ascii="Cambria" w:eastAsia="Calibri" w:hAnsi="Cambria"/>
                <w:i/>
                <w:iCs/>
              </w:rPr>
              <w:t>n</w:t>
            </w:r>
            <w:r w:rsidRPr="00C80435">
              <w:rPr>
                <w:rFonts w:ascii="Cambria" w:eastAsia="Calibri" w:hAnsi="Cambria"/>
              </w:rPr>
              <w:t xml:space="preserve"> = 15</w:t>
            </w:r>
          </w:p>
        </w:tc>
      </w:tr>
    </w:tbl>
    <w:bookmarkEnd w:id="6"/>
    <w:p w:rsidR="22FA58E5" w:rsidRPr="00C80435" w:rsidP="00B415E6" w14:paraId="64946BE4" w14:textId="2DFF0592">
      <w:pPr>
        <w:spacing w:after="120"/>
        <w:jc w:val="center"/>
        <w:rPr>
          <w:rFonts w:ascii="Cambria" w:hAnsi="Cambria"/>
        </w:rPr>
      </w:pPr>
      <w:r w:rsidRPr="00C80435">
        <w:rPr>
          <w:rFonts w:ascii="Cambria" w:eastAsia="Calibri" w:hAnsi="Cambria"/>
          <w:kern w:val="2"/>
          <w14:ligatures w14:val="standardContextual"/>
        </w:rPr>
        <w:t>TABLE 1. SAMPLE SIZE ESTIMATES FOR DATA COLLECTION</w:t>
      </w:r>
    </w:p>
    <w:p w:rsidR="22FA58E5" w:rsidRPr="00C80435" w:rsidP="005C0A99" w14:paraId="58CB05BD" w14:textId="61D6C476">
      <w:pPr>
        <w:pStyle w:val="NormalWeb"/>
        <w:rPr>
          <w:rFonts w:ascii="Cambria" w:hAnsi="Cambria"/>
        </w:rPr>
      </w:pPr>
      <w:r w:rsidRPr="00C80435">
        <w:rPr>
          <w:rFonts w:ascii="Cambria" w:hAnsi="Cambria"/>
        </w:rPr>
        <w:t xml:space="preserve">2.  </w:t>
      </w:r>
      <w:r w:rsidRPr="00C80435">
        <w:rPr>
          <w:rFonts w:ascii="Cambria" w:hAnsi="Cambria"/>
          <w:u w:val="single"/>
        </w:rPr>
        <w:t>Procedures for the Collection of Information</w:t>
      </w:r>
    </w:p>
    <w:p w:rsidR="001037B3" w:rsidRPr="00C80435" w:rsidP="005C0A99" w14:paraId="78789067" w14:textId="68674DD1">
      <w:pPr>
        <w:pStyle w:val="NormalWeb"/>
        <w:numPr>
          <w:ilvl w:val="0"/>
          <w:numId w:val="1"/>
        </w:numPr>
        <w:rPr>
          <w:rFonts w:ascii="Cambria" w:hAnsi="Cambria"/>
          <w:i/>
          <w:iCs/>
        </w:rPr>
      </w:pPr>
      <w:r w:rsidRPr="00C80435">
        <w:rPr>
          <w:rFonts w:ascii="Cambria" w:hAnsi="Cambria"/>
          <w:i/>
          <w:iCs/>
        </w:rPr>
        <w:t>Statistical methodologies for stratification and sample selection</w:t>
      </w:r>
    </w:p>
    <w:p w:rsidR="22FA58E5" w:rsidRPr="00C80435" w:rsidP="005C0A99" w14:paraId="75039C99" w14:textId="747A8BE2">
      <w:pPr>
        <w:pStyle w:val="NormalWeb"/>
        <w:rPr>
          <w:rFonts w:ascii="Cambria" w:hAnsi="Cambria"/>
        </w:rPr>
      </w:pPr>
      <w:r w:rsidRPr="00C80435">
        <w:rPr>
          <w:rFonts w:ascii="Cambria" w:hAnsi="Cambria"/>
        </w:rPr>
        <w:t>The evaluation will recruit all Marine</w:t>
      </w:r>
      <w:r w:rsidRPr="00C80435" w:rsidR="2744913C">
        <w:rPr>
          <w:rFonts w:ascii="Cambria" w:hAnsi="Cambria"/>
        </w:rPr>
        <w:t xml:space="preserve"> </w:t>
      </w:r>
      <w:r w:rsidRPr="00C80435" w:rsidR="003D3046">
        <w:rPr>
          <w:rFonts w:ascii="Cambria" w:hAnsi="Cambria"/>
        </w:rPr>
        <w:t>Service</w:t>
      </w:r>
      <w:r w:rsidRPr="00C80435" w:rsidR="00E308B3">
        <w:rPr>
          <w:rFonts w:ascii="Cambria" w:hAnsi="Cambria"/>
        </w:rPr>
        <w:t xml:space="preserve"> </w:t>
      </w:r>
      <w:r w:rsidRPr="00C80435" w:rsidR="2C5D0440">
        <w:rPr>
          <w:rFonts w:ascii="Cambria" w:hAnsi="Cambria"/>
        </w:rPr>
        <w:t>members</w:t>
      </w:r>
      <w:r w:rsidRPr="00C80435">
        <w:rPr>
          <w:rFonts w:ascii="Cambria" w:hAnsi="Cambria"/>
        </w:rPr>
        <w:t xml:space="preserve"> in student status during the SOI-MAT holding period from January 2025 to June 2026. </w:t>
      </w:r>
      <w:r w:rsidRPr="00C80435" w:rsidR="007F2D11">
        <w:rPr>
          <w:rFonts w:ascii="Cambria" w:hAnsi="Cambria"/>
        </w:rPr>
        <w:t>Marine</w:t>
      </w:r>
      <w:r w:rsidRPr="00C80435" w:rsidR="59EF3C66">
        <w:rPr>
          <w:rFonts w:ascii="Cambria" w:hAnsi="Cambria"/>
        </w:rPr>
        <w:t xml:space="preserve"> </w:t>
      </w:r>
      <w:r w:rsidRPr="00C80435" w:rsidR="003D3046">
        <w:rPr>
          <w:rFonts w:ascii="Cambria" w:hAnsi="Cambria"/>
        </w:rPr>
        <w:t>Service</w:t>
      </w:r>
      <w:r w:rsidRPr="00C80435" w:rsidR="00897EB3">
        <w:rPr>
          <w:rFonts w:ascii="Cambria" w:hAnsi="Cambria"/>
        </w:rPr>
        <w:t xml:space="preserve"> </w:t>
      </w:r>
      <w:r w:rsidRPr="00C80435" w:rsidR="4E72DAB3">
        <w:rPr>
          <w:rFonts w:ascii="Cambria" w:hAnsi="Cambria"/>
        </w:rPr>
        <w:t>members</w:t>
      </w:r>
      <w:r w:rsidRPr="00C80435" w:rsidR="007F2D11">
        <w:rPr>
          <w:rFonts w:ascii="Cambria" w:hAnsi="Cambria"/>
        </w:rPr>
        <w:t xml:space="preserve"> will be recruited in groups of up to 30 until the sample size is sufficient to support the planned outcome analyses. To minimize any risk of timing effects, the intervention condition will be divided into two cohorts of 400 Marine</w:t>
      </w:r>
      <w:r w:rsidRPr="00C80435" w:rsidR="0C967803">
        <w:rPr>
          <w:rFonts w:ascii="Cambria" w:hAnsi="Cambria"/>
        </w:rPr>
        <w:t xml:space="preserve"> </w:t>
      </w:r>
      <w:r w:rsidRPr="00C80435" w:rsidR="003D3046">
        <w:rPr>
          <w:rFonts w:ascii="Cambria" w:hAnsi="Cambria"/>
        </w:rPr>
        <w:t>Service</w:t>
      </w:r>
      <w:r w:rsidRPr="00C80435" w:rsidR="00897EB3">
        <w:rPr>
          <w:rFonts w:ascii="Cambria" w:hAnsi="Cambria"/>
        </w:rPr>
        <w:t xml:space="preserve"> </w:t>
      </w:r>
      <w:r w:rsidRPr="00C80435" w:rsidR="0C967803">
        <w:rPr>
          <w:rFonts w:ascii="Cambria" w:hAnsi="Cambria"/>
        </w:rPr>
        <w:t>members</w:t>
      </w:r>
      <w:r w:rsidRPr="00C80435" w:rsidR="007F2D11">
        <w:rPr>
          <w:rFonts w:ascii="Cambria" w:hAnsi="Cambria"/>
        </w:rPr>
        <w:t xml:space="preserve"> each (</w:t>
      </w:r>
      <w:r w:rsidRPr="00C80435" w:rsidR="007F2D11">
        <w:rPr>
          <w:rFonts w:ascii="Cambria" w:hAnsi="Cambria"/>
          <w:i/>
          <w:iCs/>
        </w:rPr>
        <w:t>n</w:t>
      </w:r>
      <w:r w:rsidRPr="00C80435" w:rsidR="007F2D11">
        <w:rPr>
          <w:rFonts w:ascii="Cambria" w:hAnsi="Cambria"/>
        </w:rPr>
        <w:t xml:space="preserve"> </w:t>
      </w:r>
      <w:r w:rsidRPr="00C80435" w:rsidR="00B97568">
        <w:rPr>
          <w:rFonts w:ascii="Cambria" w:hAnsi="Cambria"/>
        </w:rPr>
        <w:t xml:space="preserve">= </w:t>
      </w:r>
      <w:r w:rsidRPr="00C80435" w:rsidR="007F2D11">
        <w:rPr>
          <w:rFonts w:ascii="Cambria" w:hAnsi="Cambria"/>
        </w:rPr>
        <w:t>800 at baseline). Between intervention condition cohorts, 400 Marine</w:t>
      </w:r>
      <w:r w:rsidRPr="00C80435" w:rsidR="52353F93">
        <w:rPr>
          <w:rFonts w:ascii="Cambria" w:hAnsi="Cambria"/>
        </w:rPr>
        <w:t xml:space="preserve"> </w:t>
      </w:r>
      <w:r w:rsidRPr="00C80435" w:rsidR="003D3046">
        <w:rPr>
          <w:rFonts w:ascii="Cambria" w:hAnsi="Cambria"/>
        </w:rPr>
        <w:t>Service</w:t>
      </w:r>
      <w:r w:rsidRPr="00C80435" w:rsidR="00897EB3">
        <w:rPr>
          <w:rFonts w:ascii="Cambria" w:hAnsi="Cambria"/>
        </w:rPr>
        <w:t xml:space="preserve"> </w:t>
      </w:r>
      <w:r w:rsidRPr="00C80435" w:rsidR="3B577B58">
        <w:rPr>
          <w:rFonts w:ascii="Cambria" w:hAnsi="Cambria"/>
        </w:rPr>
        <w:t>members</w:t>
      </w:r>
      <w:r w:rsidRPr="00C80435" w:rsidR="007F2D11">
        <w:rPr>
          <w:rFonts w:ascii="Cambria" w:hAnsi="Cambria"/>
        </w:rPr>
        <w:t xml:space="preserve"> will be recruited into a comparison condition which will not receive PFL 4.5. In other words, the recruitment of the comparison cohort will alternate between recruitment of two intervention cohorts to reduce the likelihood of timing effects. </w:t>
      </w:r>
      <w:r w:rsidRPr="00C80435" w:rsidR="005A5C39">
        <w:rPr>
          <w:rFonts w:ascii="Cambria" w:hAnsi="Cambria"/>
        </w:rPr>
        <w:t>Propensity score weighting will be used to balance treatment and comparison samples for the purpose of outcome analyses</w:t>
      </w:r>
      <w:r w:rsidRPr="00C80435" w:rsidR="007F2D11">
        <w:rPr>
          <w:rFonts w:ascii="Cambria" w:hAnsi="Cambria"/>
        </w:rPr>
        <w:t>.</w:t>
      </w:r>
      <w:r w:rsidRPr="00C80435" w:rsidR="43B00784">
        <w:rPr>
          <w:rFonts w:ascii="Cambria" w:hAnsi="Cambria"/>
        </w:rPr>
        <w:t xml:space="preserve"> </w:t>
      </w:r>
      <w:r w:rsidRPr="00C80435">
        <w:rPr>
          <w:rFonts w:ascii="Cambria" w:hAnsi="Cambria"/>
        </w:rPr>
        <w:t>All</w:t>
      </w:r>
      <w:r w:rsidRPr="00C80435" w:rsidR="005A5C39">
        <w:rPr>
          <w:rFonts w:ascii="Cambria" w:hAnsi="Cambria"/>
        </w:rPr>
        <w:t xml:space="preserve"> 15</w:t>
      </w:r>
      <w:r w:rsidRPr="00C80435">
        <w:rPr>
          <w:rFonts w:ascii="Cambria" w:hAnsi="Cambria"/>
        </w:rPr>
        <w:t xml:space="preserve"> PFL 4.5 instructors</w:t>
      </w:r>
      <w:r w:rsidRPr="00C80435" w:rsidR="0065380D">
        <w:rPr>
          <w:rFonts w:ascii="Cambria" w:hAnsi="Cambria"/>
        </w:rPr>
        <w:t xml:space="preserve"> </w:t>
      </w:r>
      <w:r w:rsidRPr="00C80435">
        <w:rPr>
          <w:rFonts w:ascii="Cambria" w:hAnsi="Cambria"/>
        </w:rPr>
        <w:t xml:space="preserve">will </w:t>
      </w:r>
      <w:r w:rsidRPr="00C80435" w:rsidR="006D3A08">
        <w:rPr>
          <w:rFonts w:ascii="Cambria" w:hAnsi="Cambria"/>
        </w:rPr>
        <w:t xml:space="preserve">be invited to </w:t>
      </w:r>
      <w:r w:rsidRPr="00C80435">
        <w:rPr>
          <w:rFonts w:ascii="Cambria" w:hAnsi="Cambria"/>
        </w:rPr>
        <w:t xml:space="preserve">complete instructor fidelity worksheets and </w:t>
      </w:r>
      <w:r w:rsidRPr="00C80435" w:rsidR="000A7BA6">
        <w:rPr>
          <w:rFonts w:ascii="Cambria" w:hAnsi="Cambria"/>
        </w:rPr>
        <w:t>participate in a</w:t>
      </w:r>
      <w:r w:rsidRPr="00C80435" w:rsidR="004A5542">
        <w:rPr>
          <w:rFonts w:ascii="Cambria" w:hAnsi="Cambria"/>
        </w:rPr>
        <w:t>n interview</w:t>
      </w:r>
      <w:r w:rsidRPr="00C80435" w:rsidR="000A7BA6">
        <w:rPr>
          <w:rFonts w:ascii="Cambria" w:hAnsi="Cambria"/>
        </w:rPr>
        <w:t>.</w:t>
      </w:r>
    </w:p>
    <w:p w:rsidR="005E0A0F" w:rsidRPr="00C80435" w:rsidP="005C0A99" w14:paraId="592052D3" w14:textId="5E2129DC">
      <w:pPr>
        <w:pStyle w:val="NormalWeb"/>
        <w:numPr>
          <w:ilvl w:val="0"/>
          <w:numId w:val="1"/>
        </w:numPr>
        <w:rPr>
          <w:rFonts w:ascii="Cambria" w:hAnsi="Cambria"/>
          <w:i/>
          <w:iCs/>
        </w:rPr>
      </w:pPr>
      <w:r w:rsidRPr="00C80435">
        <w:rPr>
          <w:rFonts w:ascii="Cambria" w:hAnsi="Cambria"/>
          <w:i/>
          <w:iCs/>
        </w:rPr>
        <w:t>Estimation procedures</w:t>
      </w:r>
    </w:p>
    <w:p w:rsidR="22FA58E5" w:rsidRPr="00C80435" w:rsidP="005C0A99" w14:paraId="460C2D84" w14:textId="1C55646D">
      <w:pPr>
        <w:pStyle w:val="NormalWeb"/>
        <w:rPr>
          <w:rFonts w:ascii="Cambria" w:hAnsi="Cambria"/>
        </w:rPr>
      </w:pPr>
      <w:r w:rsidRPr="00C80435">
        <w:rPr>
          <w:rFonts w:ascii="Cambria" w:hAnsi="Cambria"/>
        </w:rPr>
        <w:t xml:space="preserve">No sample estimation procedures are </w:t>
      </w:r>
      <w:r w:rsidRPr="00C80435" w:rsidR="00992B7E">
        <w:rPr>
          <w:rFonts w:ascii="Cambria" w:hAnsi="Cambria"/>
        </w:rPr>
        <w:t xml:space="preserve">needed </w:t>
      </w:r>
      <w:r w:rsidRPr="00C80435">
        <w:rPr>
          <w:rFonts w:ascii="Cambria" w:hAnsi="Cambria"/>
        </w:rPr>
        <w:t xml:space="preserve">in this evaluation design. That is, all eligible cases during the </w:t>
      </w:r>
      <w:r w:rsidRPr="00C80435" w:rsidR="007B6D36">
        <w:rPr>
          <w:rFonts w:ascii="Cambria" w:hAnsi="Cambria"/>
        </w:rPr>
        <w:t>evaluation</w:t>
      </w:r>
      <w:r w:rsidRPr="00C80435">
        <w:rPr>
          <w:rFonts w:ascii="Cambria" w:hAnsi="Cambria"/>
        </w:rPr>
        <w:t xml:space="preserve"> period will be entered into the </w:t>
      </w:r>
      <w:r w:rsidRPr="00C80435" w:rsidR="007B6D36">
        <w:rPr>
          <w:rFonts w:ascii="Cambria" w:hAnsi="Cambria"/>
        </w:rPr>
        <w:t>evaluation</w:t>
      </w:r>
      <w:r w:rsidRPr="00C80435">
        <w:rPr>
          <w:rFonts w:ascii="Cambria" w:hAnsi="Cambria"/>
        </w:rPr>
        <w:t xml:space="preserve"> if the participants agree to participate.</w:t>
      </w:r>
    </w:p>
    <w:p w:rsidR="005E0A0F" w:rsidRPr="00C80435" w:rsidP="005C0A99" w14:paraId="481659DE" w14:textId="6F5D6137">
      <w:pPr>
        <w:pStyle w:val="NormalWeb"/>
        <w:numPr>
          <w:ilvl w:val="0"/>
          <w:numId w:val="1"/>
        </w:numPr>
        <w:rPr>
          <w:rFonts w:ascii="Cambria" w:hAnsi="Cambria"/>
          <w:i/>
          <w:iCs/>
        </w:rPr>
      </w:pPr>
      <w:r w:rsidRPr="00C80435">
        <w:rPr>
          <w:rFonts w:ascii="Cambria" w:hAnsi="Cambria"/>
          <w:i/>
          <w:iCs/>
        </w:rPr>
        <w:t>Degree of accuracy needed for the Purpose discussed in the justification</w:t>
      </w:r>
    </w:p>
    <w:p w:rsidR="22FA58E5" w:rsidRPr="00C80435" w:rsidP="005C0A99" w14:paraId="2BDCBC4E" w14:textId="30AB2210">
      <w:pPr>
        <w:pStyle w:val="NormalWeb"/>
        <w:rPr>
          <w:rFonts w:ascii="Cambria" w:hAnsi="Cambria"/>
        </w:rPr>
      </w:pPr>
      <w:r w:rsidRPr="00C80435">
        <w:rPr>
          <w:rFonts w:ascii="Cambria" w:hAnsi="Cambria"/>
        </w:rPr>
        <w:t>Statistical power provides an estimate of the probability of identifying a relationship through a significant statistical test when, in fact, such an impact exists.</w:t>
      </w:r>
      <w:r>
        <w:rPr>
          <w:rStyle w:val="FootnoteReference"/>
          <w:rFonts w:ascii="Cambria" w:hAnsi="Cambria"/>
        </w:rPr>
        <w:footnoteReference w:id="2"/>
      </w:r>
      <w:r w:rsidRPr="00C80435">
        <w:rPr>
          <w:rFonts w:ascii="Cambria" w:hAnsi="Cambria"/>
        </w:rPr>
        <w:t xml:space="preserve"> Power estimates were calculated using G*Power 3.1</w:t>
      </w:r>
      <w:r w:rsidRPr="00C80435" w:rsidR="00483582">
        <w:rPr>
          <w:rFonts w:ascii="Cambria" w:hAnsi="Cambria"/>
        </w:rPr>
        <w:t xml:space="preserve"> software</w:t>
      </w:r>
      <w:r w:rsidRPr="00C80435">
        <w:rPr>
          <w:rFonts w:ascii="Cambria" w:hAnsi="Cambria"/>
        </w:rPr>
        <w:t>.</w:t>
      </w:r>
    </w:p>
    <w:p w:rsidR="00BF7629" w:rsidRPr="00C80435" w:rsidP="005C0A99" w14:paraId="49149FF4" w14:textId="7E9E7908">
      <w:pPr>
        <w:pStyle w:val="NormalWeb"/>
        <w:rPr>
          <w:rFonts w:ascii="Cambria" w:hAnsi="Cambria"/>
        </w:rPr>
      </w:pPr>
      <w:bookmarkStart w:id="13" w:name="OLE_LINK18"/>
      <w:bookmarkStart w:id="14" w:name="OLE_LINK69"/>
      <w:r w:rsidRPr="00C80435">
        <w:rPr>
          <w:rFonts w:ascii="Cambria" w:hAnsi="Cambria"/>
        </w:rPr>
        <w:t xml:space="preserve">We will attempt to enroll 1,200 participants in the evaluation. Response rates and data quality will be monitored throughout the data collection period to ensure the evaluation meets the target sample sizes. </w:t>
      </w:r>
      <w:r w:rsidRPr="00C80435">
        <w:rPr>
          <w:rFonts w:ascii="Cambria" w:hAnsi="Cambria"/>
        </w:rPr>
        <w:t>After accounting for possible attrition, if we achieve a 30% retention rate at follow-up, we expect a minimum of 360 participants with completed baseline and follow-up surveys.</w:t>
      </w:r>
      <w:bookmarkEnd w:id="13"/>
      <w:bookmarkEnd w:id="14"/>
    </w:p>
    <w:p w:rsidR="22FA58E5" w:rsidRPr="00C80435" w:rsidP="005C0A99" w14:paraId="40E8B04A" w14:textId="0498949B">
      <w:pPr>
        <w:pStyle w:val="NormalWeb"/>
        <w:rPr>
          <w:rFonts w:ascii="Cambria" w:hAnsi="Cambria"/>
        </w:rPr>
      </w:pPr>
      <w:r w:rsidRPr="00C80435">
        <w:rPr>
          <w:rFonts w:ascii="Cambria" w:hAnsi="Cambria"/>
        </w:rPr>
        <w:t xml:space="preserve">We expect that up to 60 additional participants may be excluded from analyses due to propensity score matching and response-level missingness. Based on these assumptions, we performed a power analysis for a final sample size of 300. With this sample size, we </w:t>
      </w:r>
      <w:r w:rsidRPr="00C80435" w:rsidR="000908E4">
        <w:rPr>
          <w:rFonts w:ascii="Cambria" w:hAnsi="Cambria"/>
        </w:rPr>
        <w:t xml:space="preserve">will be able to </w:t>
      </w:r>
      <w:r w:rsidRPr="00C80435">
        <w:rPr>
          <w:rFonts w:ascii="Cambria" w:hAnsi="Cambria"/>
        </w:rPr>
        <w:t xml:space="preserve">detect small effect sizes (f = 0.19) at 80% power and an alpha level of 0.05. </w:t>
      </w:r>
      <w:r w:rsidRPr="00C80435" w:rsidR="005E55A8">
        <w:rPr>
          <w:rFonts w:ascii="Cambria" w:hAnsi="Cambria"/>
        </w:rPr>
        <w:t>To the extent that a greater proportion of the baseline sample is retained, NORC will be able to detect smaller effects</w:t>
      </w:r>
      <w:r w:rsidRPr="00C80435" w:rsidR="000908E4">
        <w:rPr>
          <w:rFonts w:ascii="Cambria" w:hAnsi="Cambria"/>
        </w:rPr>
        <w:t xml:space="preserve"> of PFL 4.5 on the evaluation outcomes</w:t>
      </w:r>
      <w:r w:rsidRPr="00C80435" w:rsidR="005E55A8">
        <w:rPr>
          <w:rFonts w:ascii="Cambria" w:hAnsi="Cambria"/>
        </w:rPr>
        <w:t>.</w:t>
      </w:r>
    </w:p>
    <w:p w:rsidR="005E0A0F" w:rsidRPr="00C80435" w:rsidP="005C0A99" w14:paraId="1C828519" w14:textId="6C6763CE">
      <w:pPr>
        <w:pStyle w:val="NormalWeb"/>
        <w:numPr>
          <w:ilvl w:val="0"/>
          <w:numId w:val="1"/>
        </w:numPr>
        <w:rPr>
          <w:rFonts w:ascii="Cambria" w:hAnsi="Cambria"/>
          <w:i/>
          <w:iCs/>
        </w:rPr>
      </w:pPr>
      <w:r w:rsidRPr="00C80435">
        <w:rPr>
          <w:rFonts w:ascii="Cambria" w:hAnsi="Cambria"/>
          <w:i/>
          <w:iCs/>
        </w:rPr>
        <w:t>Unusual problems requiring specialized sampling procedures</w:t>
      </w:r>
    </w:p>
    <w:p w:rsidR="22FA58E5" w:rsidRPr="00C80435" w:rsidP="005C0A99" w14:paraId="3572CC71" w14:textId="4748EFC8">
      <w:pPr>
        <w:pStyle w:val="NormalWeb"/>
        <w:rPr>
          <w:rFonts w:ascii="Cambria" w:hAnsi="Cambria"/>
        </w:rPr>
      </w:pPr>
      <w:r w:rsidRPr="00C80435">
        <w:rPr>
          <w:rFonts w:ascii="Cambria" w:hAnsi="Cambria"/>
        </w:rPr>
        <w:t xml:space="preserve">We do not anticipate a need for specialized sampling procedures given the </w:t>
      </w:r>
      <w:r w:rsidRPr="00C80435" w:rsidR="007B6D36">
        <w:rPr>
          <w:rFonts w:ascii="Cambria" w:hAnsi="Cambria"/>
        </w:rPr>
        <w:t>evaluation</w:t>
      </w:r>
      <w:r w:rsidRPr="00C80435">
        <w:rPr>
          <w:rFonts w:ascii="Cambria" w:hAnsi="Cambria"/>
        </w:rPr>
        <w:t xml:space="preserve"> design.</w:t>
      </w:r>
    </w:p>
    <w:p w:rsidR="005E0A0F" w:rsidRPr="00C80435" w:rsidP="005C0A99" w14:paraId="5638D5B0" w14:textId="556CB42B">
      <w:pPr>
        <w:pStyle w:val="NormalWeb"/>
        <w:numPr>
          <w:ilvl w:val="0"/>
          <w:numId w:val="1"/>
        </w:numPr>
        <w:rPr>
          <w:rFonts w:ascii="Cambria" w:hAnsi="Cambria"/>
          <w:i/>
          <w:iCs/>
        </w:rPr>
      </w:pPr>
      <w:r w:rsidRPr="00C80435">
        <w:rPr>
          <w:rFonts w:ascii="Cambria" w:hAnsi="Cambria"/>
          <w:i/>
          <w:iCs/>
        </w:rPr>
        <w:t>Use of periodic or cyclical data collections to reduce respondent burden</w:t>
      </w:r>
    </w:p>
    <w:p w:rsidR="22FA58E5" w:rsidRPr="00C80435" w:rsidP="005C0A99" w14:paraId="6B7FAD4C" w14:textId="12FA5EE0">
      <w:pPr>
        <w:pStyle w:val="NormalWeb"/>
        <w:rPr>
          <w:rFonts w:ascii="Cambria" w:hAnsi="Cambria"/>
        </w:rPr>
      </w:pPr>
      <w:r w:rsidRPr="00C80435">
        <w:rPr>
          <w:rFonts w:ascii="Cambria" w:hAnsi="Cambria"/>
        </w:rPr>
        <w:t>Two data points from each Marine</w:t>
      </w:r>
      <w:r w:rsidRPr="00C80435" w:rsidR="2C426EB0">
        <w:rPr>
          <w:rFonts w:ascii="Cambria" w:hAnsi="Cambria"/>
        </w:rPr>
        <w:t xml:space="preserve"> </w:t>
      </w:r>
      <w:r w:rsidRPr="00C80435" w:rsidR="003D3046">
        <w:rPr>
          <w:rFonts w:ascii="Cambria" w:hAnsi="Cambria"/>
        </w:rPr>
        <w:t>Service</w:t>
      </w:r>
      <w:r w:rsidRPr="00C80435" w:rsidR="00054AF5">
        <w:rPr>
          <w:rFonts w:ascii="Cambria" w:hAnsi="Cambria"/>
        </w:rPr>
        <w:t xml:space="preserve"> </w:t>
      </w:r>
      <w:r w:rsidRPr="00C80435" w:rsidR="2C426EB0">
        <w:rPr>
          <w:rFonts w:ascii="Cambria" w:hAnsi="Cambria"/>
        </w:rPr>
        <w:t>member</w:t>
      </w:r>
      <w:r w:rsidRPr="00C80435">
        <w:rPr>
          <w:rFonts w:ascii="Cambria" w:hAnsi="Cambria"/>
        </w:rPr>
        <w:t xml:space="preserve"> are necessary to identify change over time. Surveys will be administered at baseline and 90 days later. Without a follow-up data collection, NORC will be unable to assess the outcomes associated with </w:t>
      </w:r>
      <w:r w:rsidRPr="00C80435" w:rsidR="007B6D36">
        <w:rPr>
          <w:rFonts w:ascii="Cambria" w:hAnsi="Cambria"/>
        </w:rPr>
        <w:t>PFL 4.5</w:t>
      </w:r>
      <w:r w:rsidRPr="00C80435">
        <w:rPr>
          <w:rFonts w:ascii="Cambria" w:hAnsi="Cambria"/>
        </w:rPr>
        <w:t xml:space="preserve">. Given the need to identify change over time, a minimum of two surveys is required. </w:t>
      </w:r>
    </w:p>
    <w:p w:rsidR="22FA58E5" w:rsidRPr="00C80435" w:rsidP="005C0A99" w14:paraId="6162996D" w14:textId="62836195">
      <w:pPr>
        <w:pStyle w:val="NormalWeb"/>
        <w:rPr>
          <w:rFonts w:ascii="Cambria" w:hAnsi="Cambria"/>
        </w:rPr>
      </w:pPr>
      <w:r w:rsidRPr="00C80435">
        <w:rPr>
          <w:rFonts w:ascii="Cambria" w:hAnsi="Cambria"/>
        </w:rPr>
        <w:t xml:space="preserve">3.  </w:t>
      </w:r>
      <w:r w:rsidRPr="00C80435">
        <w:rPr>
          <w:rFonts w:ascii="Cambria" w:hAnsi="Cambria"/>
          <w:u w:val="single"/>
        </w:rPr>
        <w:t>Maximization of Response Rates, Non-response, and Reliability</w:t>
      </w:r>
    </w:p>
    <w:p w:rsidR="22FA58E5" w:rsidRPr="00C80435" w:rsidP="005C0A99" w14:paraId="6CD2E096" w14:textId="6D212110">
      <w:pPr>
        <w:pStyle w:val="NormalWeb"/>
        <w:rPr>
          <w:rFonts w:ascii="Cambria" w:hAnsi="Cambria"/>
        </w:rPr>
      </w:pPr>
      <w:r w:rsidRPr="00C80435">
        <w:rPr>
          <w:rFonts w:ascii="Cambria" w:hAnsi="Cambria"/>
        </w:rPr>
        <w:t>Because the sampling frame includes all Marine</w:t>
      </w:r>
      <w:r w:rsidRPr="00C80435" w:rsidR="3F2ABD8A">
        <w:rPr>
          <w:rFonts w:ascii="Cambria" w:hAnsi="Cambria"/>
        </w:rPr>
        <w:t xml:space="preserve"> </w:t>
      </w:r>
      <w:r w:rsidRPr="00C80435" w:rsidR="003D3046">
        <w:rPr>
          <w:rFonts w:ascii="Cambria" w:hAnsi="Cambria"/>
        </w:rPr>
        <w:t>Service</w:t>
      </w:r>
      <w:r w:rsidRPr="00C80435" w:rsidR="00840C92">
        <w:rPr>
          <w:rFonts w:ascii="Cambria" w:hAnsi="Cambria"/>
        </w:rPr>
        <w:t xml:space="preserve"> </w:t>
      </w:r>
      <w:r w:rsidRPr="00C80435" w:rsidR="637D3211">
        <w:rPr>
          <w:rFonts w:ascii="Cambria" w:hAnsi="Cambria"/>
        </w:rPr>
        <w:t>members</w:t>
      </w:r>
      <w:r w:rsidRPr="00C80435">
        <w:rPr>
          <w:rFonts w:ascii="Cambria" w:hAnsi="Cambria"/>
        </w:rPr>
        <w:t xml:space="preserve"> in student status awaiting training during the </w:t>
      </w:r>
      <w:r w:rsidRPr="00C80435" w:rsidR="00B47747">
        <w:rPr>
          <w:rFonts w:ascii="Cambria" w:hAnsi="Cambria"/>
        </w:rPr>
        <w:t>SOI-MAT</w:t>
      </w:r>
      <w:r w:rsidRPr="00C80435">
        <w:rPr>
          <w:rFonts w:ascii="Cambria" w:hAnsi="Cambria"/>
        </w:rPr>
        <w:t xml:space="preserve"> holding period, the findings of the evaluation will be generalizable to </w:t>
      </w:r>
      <w:r w:rsidRPr="00C80435" w:rsidR="00B47747">
        <w:rPr>
          <w:rFonts w:ascii="Cambria" w:hAnsi="Cambria"/>
        </w:rPr>
        <w:t>Marine</w:t>
      </w:r>
      <w:r w:rsidRPr="00C80435" w:rsidR="352FE089">
        <w:rPr>
          <w:rFonts w:ascii="Cambria" w:hAnsi="Cambria"/>
        </w:rPr>
        <w:t xml:space="preserve"> </w:t>
      </w:r>
      <w:r w:rsidRPr="00C80435" w:rsidR="003D3046">
        <w:rPr>
          <w:rFonts w:ascii="Cambria" w:hAnsi="Cambria"/>
        </w:rPr>
        <w:t>Service</w:t>
      </w:r>
      <w:r w:rsidRPr="00C80435" w:rsidR="00840C92">
        <w:rPr>
          <w:rFonts w:ascii="Cambria" w:hAnsi="Cambria"/>
        </w:rPr>
        <w:t xml:space="preserve"> </w:t>
      </w:r>
      <w:r w:rsidRPr="00C80435" w:rsidR="57DFF90A">
        <w:rPr>
          <w:rFonts w:ascii="Cambria" w:hAnsi="Cambria"/>
        </w:rPr>
        <w:t>members</w:t>
      </w:r>
      <w:r w:rsidRPr="00C80435" w:rsidR="00B47747">
        <w:rPr>
          <w:rFonts w:ascii="Cambria" w:hAnsi="Cambria"/>
        </w:rPr>
        <w:t xml:space="preserve"> in this period. </w:t>
      </w:r>
    </w:p>
    <w:p w:rsidR="0078653B" w:rsidRPr="00C80435" w:rsidP="005C0A99" w14:paraId="5413CA22" w14:textId="3577FA0E">
      <w:pPr>
        <w:pStyle w:val="NormalWeb"/>
        <w:rPr>
          <w:rFonts w:ascii="Cambria" w:hAnsi="Cambria"/>
        </w:rPr>
      </w:pPr>
      <w:r w:rsidRPr="00C80435">
        <w:rPr>
          <w:rFonts w:ascii="Cambria" w:hAnsi="Cambria"/>
        </w:rPr>
        <w:t xml:space="preserve">There are several facets of the </w:t>
      </w:r>
      <w:r w:rsidRPr="00C80435" w:rsidR="007B6D36">
        <w:rPr>
          <w:rFonts w:ascii="Cambria" w:hAnsi="Cambria"/>
        </w:rPr>
        <w:t>evaluation</w:t>
      </w:r>
      <w:r w:rsidRPr="00C80435">
        <w:rPr>
          <w:rFonts w:ascii="Cambria" w:hAnsi="Cambria"/>
        </w:rPr>
        <w:t xml:space="preserve"> design that will contribute to a strong response rate for this data collection and thus overall reliability and validity of</w:t>
      </w:r>
      <w:r w:rsidRPr="00C80435" w:rsidR="006D3A08">
        <w:rPr>
          <w:rFonts w:ascii="Cambria" w:hAnsi="Cambria"/>
        </w:rPr>
        <w:t xml:space="preserve"> the </w:t>
      </w:r>
      <w:r w:rsidRPr="00C80435" w:rsidR="007B6D36">
        <w:rPr>
          <w:rFonts w:ascii="Cambria" w:hAnsi="Cambria"/>
        </w:rPr>
        <w:t>PFL 4.5</w:t>
      </w:r>
      <w:r w:rsidRPr="00C80435">
        <w:rPr>
          <w:rFonts w:ascii="Cambria" w:hAnsi="Cambria"/>
        </w:rPr>
        <w:t xml:space="preserve"> evaluation effort. </w:t>
      </w:r>
      <w:r w:rsidRPr="00C80435" w:rsidR="007B6D36">
        <w:rPr>
          <w:rFonts w:ascii="Cambria" w:hAnsi="Cambria"/>
        </w:rPr>
        <w:t>NORC</w:t>
      </w:r>
      <w:r w:rsidRPr="00C80435">
        <w:rPr>
          <w:rFonts w:ascii="Cambria" w:hAnsi="Cambria"/>
        </w:rPr>
        <w:t xml:space="preserve"> has worked in collaboration with an Evaluation Working Group (EWG) that consists of evaluation and program experts from </w:t>
      </w:r>
      <w:r w:rsidRPr="00C80435" w:rsidR="008E0B10">
        <w:rPr>
          <w:rFonts w:ascii="Cambria" w:hAnsi="Cambria"/>
        </w:rPr>
        <w:t>the Department of Defense’s</w:t>
      </w:r>
      <w:r w:rsidRPr="00C80435" w:rsidR="001366C8">
        <w:rPr>
          <w:rFonts w:ascii="Cambria" w:hAnsi="Cambria"/>
        </w:rPr>
        <w:t xml:space="preserve"> </w:t>
      </w:r>
      <w:r w:rsidRPr="00C80435" w:rsidR="00E7103E">
        <w:rPr>
          <w:rFonts w:ascii="Cambria" w:hAnsi="Cambria"/>
        </w:rPr>
        <w:t>Sexual Assault Prevention and Response Office (SAPRO</w:t>
      </w:r>
      <w:r w:rsidRPr="00C80435" w:rsidR="008E0B10">
        <w:rPr>
          <w:rFonts w:ascii="Cambria" w:hAnsi="Cambria"/>
        </w:rPr>
        <w:t xml:space="preserve">), </w:t>
      </w:r>
      <w:r w:rsidRPr="00C80435">
        <w:rPr>
          <w:rFonts w:ascii="Cambria" w:hAnsi="Cambria"/>
        </w:rPr>
        <w:t>the U</w:t>
      </w:r>
      <w:r w:rsidRPr="00C80435" w:rsidR="00521BD3">
        <w:rPr>
          <w:rFonts w:ascii="Cambria" w:hAnsi="Cambria"/>
        </w:rPr>
        <w:t>.S.</w:t>
      </w:r>
      <w:r w:rsidRPr="00C80435">
        <w:rPr>
          <w:rFonts w:ascii="Cambria" w:hAnsi="Cambria"/>
        </w:rPr>
        <w:t xml:space="preserve"> Marines Corps (USMC), and the Prevention Research Institute (PRI). </w:t>
      </w:r>
      <w:r w:rsidRPr="00C80435" w:rsidR="00DD6BB7">
        <w:rPr>
          <w:rFonts w:ascii="Cambria" w:hAnsi="Cambria"/>
        </w:rPr>
        <w:t>I</w:t>
      </w:r>
      <w:r w:rsidRPr="00C80435">
        <w:rPr>
          <w:rFonts w:ascii="Cambria" w:hAnsi="Cambria"/>
        </w:rPr>
        <w:t xml:space="preserve">ncluding key collaborators who are involved and invested in reducing high-risk drinking and </w:t>
      </w:r>
      <w:r w:rsidRPr="00C80435" w:rsidR="000D7896">
        <w:rPr>
          <w:rFonts w:ascii="Cambria" w:hAnsi="Cambria"/>
        </w:rPr>
        <w:t>preventing sexual harassment</w:t>
      </w:r>
      <w:r w:rsidRPr="00C80435">
        <w:rPr>
          <w:rFonts w:ascii="Cambria" w:hAnsi="Cambria"/>
        </w:rPr>
        <w:t xml:space="preserve"> </w:t>
      </w:r>
      <w:r w:rsidRPr="00C80435" w:rsidR="00DD6BB7">
        <w:rPr>
          <w:rFonts w:ascii="Cambria" w:hAnsi="Cambria"/>
        </w:rPr>
        <w:t>help</w:t>
      </w:r>
      <w:r w:rsidRPr="00C80435" w:rsidR="00DC5079">
        <w:rPr>
          <w:rFonts w:ascii="Cambria" w:hAnsi="Cambria"/>
        </w:rPr>
        <w:t>ed</w:t>
      </w:r>
      <w:r w:rsidRPr="00C80435" w:rsidR="00DD6BB7">
        <w:rPr>
          <w:rFonts w:ascii="Cambria" w:hAnsi="Cambria"/>
        </w:rPr>
        <w:t xml:space="preserve"> inform </w:t>
      </w:r>
      <w:r w:rsidRPr="00C80435" w:rsidR="00DD6BB7">
        <w:rPr>
          <w:rFonts w:ascii="Cambria" w:hAnsi="Cambria"/>
        </w:rPr>
        <w:t xml:space="preserve">appropriate </w:t>
      </w:r>
      <w:r w:rsidRPr="00C80435">
        <w:rPr>
          <w:rFonts w:ascii="Cambria" w:hAnsi="Cambria"/>
        </w:rPr>
        <w:t xml:space="preserve">participant recruitment </w:t>
      </w:r>
      <w:r w:rsidRPr="00C80435" w:rsidR="001D1B91">
        <w:rPr>
          <w:rFonts w:ascii="Cambria" w:hAnsi="Cambria"/>
        </w:rPr>
        <w:t xml:space="preserve">and retention </w:t>
      </w:r>
      <w:r w:rsidRPr="00C80435">
        <w:rPr>
          <w:rFonts w:ascii="Cambria" w:hAnsi="Cambria"/>
        </w:rPr>
        <w:t>strategies</w:t>
      </w:r>
      <w:r w:rsidRPr="00C80435" w:rsidR="000D7896">
        <w:rPr>
          <w:rFonts w:ascii="Cambria" w:hAnsi="Cambria"/>
        </w:rPr>
        <w:t>.</w:t>
      </w:r>
      <w:r w:rsidRPr="00C80435" w:rsidR="00CA6184">
        <w:rPr>
          <w:rFonts w:ascii="Cambria" w:hAnsi="Cambria"/>
        </w:rPr>
        <w:t xml:space="preserve"> In addition to the EWG</w:t>
      </w:r>
      <w:r w:rsidRPr="00C80435" w:rsidR="000D7896">
        <w:rPr>
          <w:rFonts w:ascii="Cambria" w:hAnsi="Cambria"/>
        </w:rPr>
        <w:t>, discussions were held</w:t>
      </w:r>
      <w:r w:rsidRPr="00C80435">
        <w:rPr>
          <w:rFonts w:ascii="Cambria" w:hAnsi="Cambria"/>
        </w:rPr>
        <w:t xml:space="preserve"> with a small group of </w:t>
      </w:r>
      <w:r w:rsidRPr="00C80435" w:rsidR="000D7896">
        <w:rPr>
          <w:rFonts w:ascii="Cambria" w:hAnsi="Cambria"/>
        </w:rPr>
        <w:t>Marine</w:t>
      </w:r>
      <w:r w:rsidRPr="00C80435" w:rsidR="19BC736A">
        <w:rPr>
          <w:rFonts w:ascii="Cambria" w:hAnsi="Cambria"/>
        </w:rPr>
        <w:t xml:space="preserve"> </w:t>
      </w:r>
      <w:r w:rsidRPr="00C80435" w:rsidR="003D3046">
        <w:rPr>
          <w:rFonts w:ascii="Cambria" w:hAnsi="Cambria"/>
        </w:rPr>
        <w:t>Service</w:t>
      </w:r>
      <w:r w:rsidRPr="00C80435" w:rsidR="00F36D11">
        <w:rPr>
          <w:rFonts w:ascii="Cambria" w:hAnsi="Cambria"/>
        </w:rPr>
        <w:t xml:space="preserve"> </w:t>
      </w:r>
      <w:r w:rsidRPr="00C80435" w:rsidR="3D5DA3AB">
        <w:rPr>
          <w:rFonts w:ascii="Cambria" w:hAnsi="Cambria"/>
        </w:rPr>
        <w:t>members</w:t>
      </w:r>
      <w:r w:rsidRPr="00C80435">
        <w:rPr>
          <w:rFonts w:ascii="Cambria" w:hAnsi="Cambria"/>
        </w:rPr>
        <w:t xml:space="preserve"> to assure that the recruitment and survey language is understandable, relatable, and acceptable to the target populatio</w:t>
      </w:r>
      <w:r w:rsidRPr="00C80435" w:rsidR="000D7896">
        <w:rPr>
          <w:rFonts w:ascii="Cambria" w:hAnsi="Cambria"/>
        </w:rPr>
        <w:t>n</w:t>
      </w:r>
      <w:r w:rsidRPr="00C80435">
        <w:rPr>
          <w:rFonts w:ascii="Cambria" w:hAnsi="Cambria"/>
        </w:rPr>
        <w:t xml:space="preserve">. </w:t>
      </w:r>
    </w:p>
    <w:p w:rsidR="22FA58E5" w:rsidRPr="00C80435" w:rsidP="005C0A99" w14:paraId="51D64BAE" w14:textId="6F096627">
      <w:pPr>
        <w:pStyle w:val="NormalWeb"/>
        <w:rPr>
          <w:rFonts w:ascii="Cambria" w:hAnsi="Cambria"/>
        </w:rPr>
      </w:pPr>
      <w:r w:rsidRPr="00C80435">
        <w:rPr>
          <w:rFonts w:ascii="Cambria" w:hAnsi="Cambria"/>
        </w:rPr>
        <w:t xml:space="preserve">NORC has developed the data collection protocols to be consistent with the best practices in the field </w:t>
      </w:r>
      <w:r w:rsidRPr="00C80435" w:rsidR="00426F3F">
        <w:rPr>
          <w:rFonts w:ascii="Cambria" w:hAnsi="Cambria"/>
        </w:rPr>
        <w:t>for online</w:t>
      </w:r>
      <w:r w:rsidRPr="00C80435">
        <w:rPr>
          <w:rFonts w:ascii="Cambria" w:hAnsi="Cambria"/>
        </w:rPr>
        <w:t xml:space="preserve"> survey design and implementation</w:t>
      </w:r>
      <w:r w:rsidRPr="00C80435" w:rsidR="000178BD">
        <w:rPr>
          <w:rFonts w:ascii="Cambria" w:hAnsi="Cambria"/>
        </w:rPr>
        <w:t xml:space="preserve"> including multiple contact attempts</w:t>
      </w:r>
      <w:r w:rsidRPr="00C80435" w:rsidR="00680F68">
        <w:rPr>
          <w:rFonts w:ascii="Cambria" w:hAnsi="Cambria"/>
        </w:rPr>
        <w:t xml:space="preserve"> across various contact methods and using a variety of recruitment messages</w:t>
      </w:r>
      <w:r w:rsidRPr="00C80435" w:rsidR="008F2CD0">
        <w:rPr>
          <w:rFonts w:ascii="Cambria" w:hAnsi="Cambria"/>
        </w:rPr>
        <w:t>.</w:t>
      </w:r>
      <w:r>
        <w:rPr>
          <w:rStyle w:val="FootnoteReference"/>
          <w:rFonts w:ascii="Cambria" w:hAnsi="Cambria"/>
        </w:rPr>
        <w:footnoteReference w:id="3"/>
      </w:r>
      <w:r w:rsidRPr="00C80435" w:rsidR="008F2CD0">
        <w:rPr>
          <w:rFonts w:ascii="Cambria" w:hAnsi="Cambria"/>
        </w:rPr>
        <w:t xml:space="preserve"> At baseline, NORC will recruit participants</w:t>
      </w:r>
      <w:r w:rsidRPr="00C80435" w:rsidR="006D3A08">
        <w:rPr>
          <w:rFonts w:ascii="Cambria" w:hAnsi="Cambria"/>
        </w:rPr>
        <w:t xml:space="preserve"> in both the intervention and comparison groups</w:t>
      </w:r>
      <w:r w:rsidRPr="00C80435" w:rsidR="008F2CD0">
        <w:rPr>
          <w:rFonts w:ascii="Cambria" w:hAnsi="Cambria"/>
        </w:rPr>
        <w:t xml:space="preserve"> to complete the survey in-person </w:t>
      </w:r>
      <w:r w:rsidRPr="00C80435" w:rsidR="006D3A08">
        <w:rPr>
          <w:rFonts w:ascii="Cambria" w:hAnsi="Cambria"/>
        </w:rPr>
        <w:t xml:space="preserve">via a </w:t>
      </w:r>
      <w:r w:rsidRPr="00C80435" w:rsidR="001366C8">
        <w:rPr>
          <w:rFonts w:ascii="Cambria" w:hAnsi="Cambria"/>
        </w:rPr>
        <w:t>Q</w:t>
      </w:r>
      <w:r w:rsidRPr="00C80435" w:rsidR="7B93446E">
        <w:rPr>
          <w:rFonts w:ascii="Cambria" w:hAnsi="Cambria"/>
        </w:rPr>
        <w:t xml:space="preserve">uick </w:t>
      </w:r>
      <w:r w:rsidRPr="00C80435" w:rsidR="001366C8">
        <w:rPr>
          <w:rFonts w:ascii="Cambria" w:hAnsi="Cambria"/>
        </w:rPr>
        <w:t>R</w:t>
      </w:r>
      <w:r w:rsidRPr="00C80435" w:rsidR="7B93446E">
        <w:rPr>
          <w:rFonts w:ascii="Cambria" w:hAnsi="Cambria"/>
        </w:rPr>
        <w:t>esponse (</w:t>
      </w:r>
      <w:r w:rsidRPr="00C80435" w:rsidR="008F2CD0">
        <w:rPr>
          <w:rFonts w:ascii="Cambria" w:hAnsi="Cambria"/>
        </w:rPr>
        <w:t>QR</w:t>
      </w:r>
      <w:r w:rsidRPr="00C80435" w:rsidR="42A9091B">
        <w:rPr>
          <w:rFonts w:ascii="Cambria" w:hAnsi="Cambria"/>
        </w:rPr>
        <w:t>)</w:t>
      </w:r>
      <w:r w:rsidRPr="00C80435" w:rsidR="008F2CD0">
        <w:rPr>
          <w:rFonts w:ascii="Cambria" w:hAnsi="Cambria"/>
        </w:rPr>
        <w:t xml:space="preserve"> code</w:t>
      </w:r>
      <w:r w:rsidRPr="00C80435" w:rsidR="0078653B">
        <w:rPr>
          <w:rFonts w:ascii="Cambria" w:hAnsi="Cambria"/>
        </w:rPr>
        <w:t xml:space="preserve"> </w:t>
      </w:r>
      <w:r w:rsidRPr="00C80435" w:rsidR="00AE379F">
        <w:rPr>
          <w:rFonts w:ascii="Cambria" w:hAnsi="Cambria"/>
        </w:rPr>
        <w:t>or an</w:t>
      </w:r>
      <w:r w:rsidRPr="00C80435" w:rsidR="0078653B">
        <w:rPr>
          <w:rFonts w:ascii="Cambria" w:hAnsi="Cambria"/>
        </w:rPr>
        <w:t xml:space="preserve"> abbreviated link</w:t>
      </w:r>
      <w:r w:rsidRPr="00C80435" w:rsidR="008F2CD0">
        <w:rPr>
          <w:rFonts w:ascii="Cambria" w:hAnsi="Cambria"/>
        </w:rPr>
        <w:t>.</w:t>
      </w:r>
      <w:r w:rsidRPr="00C80435" w:rsidR="0078653B">
        <w:rPr>
          <w:rFonts w:ascii="Cambria" w:hAnsi="Cambria"/>
        </w:rPr>
        <w:t xml:space="preserve"> </w:t>
      </w:r>
      <w:r w:rsidRPr="00C80435" w:rsidR="009F2D97">
        <w:rPr>
          <w:rFonts w:ascii="Cambria" w:hAnsi="Cambria"/>
        </w:rPr>
        <w:t>In the baseline survey,</w:t>
      </w:r>
      <w:r w:rsidRPr="00C80435" w:rsidR="007049D9">
        <w:rPr>
          <w:rFonts w:ascii="Cambria" w:hAnsi="Cambria"/>
        </w:rPr>
        <w:t xml:space="preserve"> </w:t>
      </w:r>
      <w:r w:rsidRPr="00C80435" w:rsidR="009F2D97">
        <w:rPr>
          <w:rFonts w:ascii="Cambria" w:hAnsi="Cambria"/>
        </w:rPr>
        <w:t>respondents will be asked to provide</w:t>
      </w:r>
      <w:r w:rsidRPr="00C80435" w:rsidR="00004A99">
        <w:rPr>
          <w:rFonts w:ascii="Cambria" w:hAnsi="Cambria"/>
        </w:rPr>
        <w:t xml:space="preserve"> </w:t>
      </w:r>
      <w:r w:rsidRPr="00C80435" w:rsidR="00004A99">
        <w:rPr>
          <w:rFonts w:ascii="Cambria" w:hAnsi="Cambria"/>
        </w:rPr>
        <w:t>their</w:t>
      </w:r>
      <w:r w:rsidRPr="00C80435" w:rsidR="00004A99">
        <w:rPr>
          <w:rFonts w:ascii="Cambria" w:hAnsi="Cambria"/>
        </w:rPr>
        <w:t xml:space="preserve"> .mil email address,</w:t>
      </w:r>
      <w:r w:rsidRPr="00C80435" w:rsidR="009F2D97">
        <w:rPr>
          <w:rFonts w:ascii="Cambria" w:hAnsi="Cambria"/>
        </w:rPr>
        <w:t xml:space="preserve"> a personal email address</w:t>
      </w:r>
      <w:r w:rsidRPr="00C80435" w:rsidR="00004A99">
        <w:rPr>
          <w:rFonts w:ascii="Cambria" w:hAnsi="Cambria"/>
        </w:rPr>
        <w:t>,</w:t>
      </w:r>
      <w:r w:rsidRPr="00C80435" w:rsidR="009F2D97">
        <w:rPr>
          <w:rFonts w:ascii="Cambria" w:hAnsi="Cambria"/>
        </w:rPr>
        <w:t xml:space="preserve"> and </w:t>
      </w:r>
      <w:r w:rsidRPr="00C80435" w:rsidR="00004A99">
        <w:rPr>
          <w:rFonts w:ascii="Cambria" w:hAnsi="Cambria"/>
        </w:rPr>
        <w:t xml:space="preserve">their </w:t>
      </w:r>
      <w:r w:rsidRPr="00C80435" w:rsidR="009F2D97">
        <w:rPr>
          <w:rFonts w:ascii="Cambria" w:hAnsi="Cambria"/>
        </w:rPr>
        <w:t xml:space="preserve">mobile phone number to receive an invitation to the follow-up survey. Therefore, invitations to complete the follow-up survey will be </w:t>
      </w:r>
      <w:r w:rsidRPr="00C80435" w:rsidR="00DD6BB7">
        <w:rPr>
          <w:rFonts w:ascii="Cambria" w:hAnsi="Cambria"/>
        </w:rPr>
        <w:t>sent to participants</w:t>
      </w:r>
      <w:r w:rsidRPr="00C80435" w:rsidR="00CA6184">
        <w:rPr>
          <w:rFonts w:ascii="Cambria" w:hAnsi="Cambria"/>
        </w:rPr>
        <w:t>’</w:t>
      </w:r>
      <w:r w:rsidRPr="00C80435" w:rsidR="001366C8">
        <w:rPr>
          <w:rFonts w:ascii="Cambria" w:hAnsi="Cambria"/>
        </w:rPr>
        <w:t xml:space="preserve"> </w:t>
      </w:r>
      <w:r w:rsidRPr="00C80435" w:rsidR="00E7103E">
        <w:rPr>
          <w:rFonts w:ascii="Cambria" w:hAnsi="Cambria"/>
        </w:rPr>
        <w:t>military email addresses, personal email addresses, and</w:t>
      </w:r>
      <w:r w:rsidRPr="00C80435" w:rsidR="00004A99">
        <w:rPr>
          <w:rFonts w:ascii="Cambria" w:hAnsi="Cambria"/>
        </w:rPr>
        <w:t xml:space="preserve"> mobile</w:t>
      </w:r>
      <w:r w:rsidRPr="00C80435" w:rsidR="00E7103E">
        <w:rPr>
          <w:rFonts w:ascii="Cambria" w:hAnsi="Cambria"/>
        </w:rPr>
        <w:t xml:space="preserve"> phone numbers via text.</w:t>
      </w:r>
      <w:r w:rsidRPr="00C80435" w:rsidR="00DD6BB7">
        <w:rPr>
          <w:rFonts w:ascii="Cambria" w:hAnsi="Cambria"/>
        </w:rPr>
        <w:t xml:space="preserve"> </w:t>
      </w:r>
    </w:p>
    <w:p w:rsidR="0078653B" w:rsidRPr="00C80435" w:rsidP="005C0A99" w14:paraId="2B07DCAB" w14:textId="4A893F03">
      <w:pPr>
        <w:pStyle w:val="NormalWeb"/>
        <w:spacing w:after="0" w:afterAutospacing="0"/>
        <w:rPr>
          <w:rFonts w:ascii="Cambria" w:hAnsi="Cambria"/>
        </w:rPr>
      </w:pPr>
      <w:r w:rsidRPr="00C80435">
        <w:rPr>
          <w:rFonts w:ascii="Cambria" w:hAnsi="Cambria"/>
        </w:rPr>
        <w:t xml:space="preserve">Military </w:t>
      </w:r>
      <w:r w:rsidRPr="00C80435" w:rsidR="00A7267D">
        <w:rPr>
          <w:rFonts w:ascii="Cambria" w:hAnsi="Cambria"/>
        </w:rPr>
        <w:t xml:space="preserve">response rates for survey data collection </w:t>
      </w:r>
      <w:r w:rsidRPr="00C80435" w:rsidR="006D6A68">
        <w:rPr>
          <w:rFonts w:ascii="Cambria" w:hAnsi="Cambria"/>
        </w:rPr>
        <w:t xml:space="preserve">are generally low. </w:t>
      </w:r>
      <w:r w:rsidRPr="00C80435" w:rsidR="0035499E">
        <w:rPr>
          <w:rFonts w:ascii="Cambria" w:hAnsi="Cambria"/>
        </w:rPr>
        <w:t>R</w:t>
      </w:r>
      <w:r w:rsidRPr="00C80435" w:rsidR="00B00B32">
        <w:rPr>
          <w:rFonts w:ascii="Cambria" w:hAnsi="Cambria"/>
        </w:rPr>
        <w:t xml:space="preserve">esponse rates tend to be low for young, active-duty </w:t>
      </w:r>
      <w:r w:rsidRPr="00C80435" w:rsidR="008B3C83">
        <w:rPr>
          <w:rFonts w:ascii="Cambria" w:hAnsi="Cambria"/>
        </w:rPr>
        <w:t>Marine</w:t>
      </w:r>
      <w:r w:rsidRPr="00C80435" w:rsidR="39D689D8">
        <w:rPr>
          <w:rFonts w:ascii="Cambria" w:hAnsi="Cambria"/>
        </w:rPr>
        <w:t xml:space="preserve"> </w:t>
      </w:r>
      <w:r w:rsidRPr="00C80435" w:rsidR="003D3046">
        <w:rPr>
          <w:rFonts w:ascii="Cambria" w:hAnsi="Cambria"/>
        </w:rPr>
        <w:t xml:space="preserve">Service </w:t>
      </w:r>
      <w:r w:rsidRPr="00C80435" w:rsidR="55BFB879">
        <w:rPr>
          <w:rFonts w:ascii="Cambria" w:hAnsi="Cambria"/>
        </w:rPr>
        <w:t>members</w:t>
      </w:r>
      <w:r w:rsidRPr="00C80435" w:rsidR="008B3C83">
        <w:rPr>
          <w:rFonts w:ascii="Cambria" w:hAnsi="Cambria"/>
        </w:rPr>
        <w:t xml:space="preserve"> </w:t>
      </w:r>
      <w:r w:rsidRPr="00C80435" w:rsidR="00B00B32">
        <w:rPr>
          <w:rFonts w:ascii="Cambria" w:hAnsi="Cambria"/>
        </w:rPr>
        <w:t>between the ages of 18 and 2</w:t>
      </w:r>
      <w:r w:rsidRPr="00C80435" w:rsidR="00EB4002">
        <w:rPr>
          <w:rFonts w:ascii="Cambria" w:hAnsi="Cambria"/>
        </w:rPr>
        <w:t>4</w:t>
      </w:r>
      <w:r w:rsidRPr="00C80435" w:rsidR="00B00B32">
        <w:rPr>
          <w:rFonts w:ascii="Cambria" w:hAnsi="Cambria"/>
        </w:rPr>
        <w:t>,</w:t>
      </w:r>
      <w:r>
        <w:rPr>
          <w:rStyle w:val="FootnoteReference"/>
          <w:rFonts w:ascii="Cambria" w:hAnsi="Cambria"/>
        </w:rPr>
        <w:footnoteReference w:id="4"/>
      </w:r>
      <w:r w:rsidRPr="00C80435" w:rsidR="00B00B32">
        <w:rPr>
          <w:rFonts w:ascii="Cambria" w:hAnsi="Cambria"/>
        </w:rPr>
        <w:t xml:space="preserve"> which is the key population demographic for the PFL 4.5 evaluation. While lack of motivation has been cited as a barrier to survey participation in young active-duty members,</w:t>
      </w:r>
      <w:r>
        <w:rPr>
          <w:rStyle w:val="FootnoteReference"/>
          <w:rFonts w:ascii="Cambria" w:hAnsi="Cambria"/>
        </w:rPr>
        <w:footnoteReference w:id="5"/>
      </w:r>
      <w:r w:rsidRPr="00C80435" w:rsidR="00B00B32">
        <w:rPr>
          <w:rFonts w:ascii="Cambria" w:hAnsi="Cambria"/>
        </w:rPr>
        <w:t xml:space="preserve"> in other DoD evaluations</w:t>
      </w:r>
      <w:r w:rsidRPr="00C80435" w:rsidR="007172BF">
        <w:rPr>
          <w:rFonts w:ascii="Cambria" w:hAnsi="Cambria"/>
        </w:rPr>
        <w:t>,</w:t>
      </w:r>
      <w:r w:rsidRPr="00C80435" w:rsidR="00681920">
        <w:rPr>
          <w:rFonts w:ascii="Cambria" w:hAnsi="Cambria"/>
        </w:rPr>
        <w:t xml:space="preserve"> small financial incentives have been effective at boosting response</w:t>
      </w:r>
      <w:r w:rsidRPr="00C80435" w:rsidR="00B00B32">
        <w:rPr>
          <w:rFonts w:ascii="Cambria" w:hAnsi="Cambria"/>
        </w:rPr>
        <w:t>.</w:t>
      </w:r>
      <w:r>
        <w:rPr>
          <w:rStyle w:val="FootnoteReference"/>
          <w:rFonts w:ascii="Cambria" w:hAnsi="Cambria"/>
        </w:rPr>
        <w:footnoteReference w:id="6"/>
      </w:r>
      <w:r w:rsidRPr="00C80435" w:rsidR="00EB4002">
        <w:rPr>
          <w:rFonts w:ascii="Cambria" w:hAnsi="Cambria"/>
          <w:vertAlign w:val="superscript"/>
        </w:rPr>
        <w:t>,</w:t>
      </w:r>
      <w:r>
        <w:rPr>
          <w:rStyle w:val="FootnoteReference"/>
          <w:rFonts w:ascii="Cambria" w:hAnsi="Cambria"/>
        </w:rPr>
        <w:footnoteReference w:id="7"/>
      </w:r>
      <w:r w:rsidRPr="00C80435" w:rsidR="00B00B32">
        <w:rPr>
          <w:rFonts w:ascii="Cambria" w:hAnsi="Cambria"/>
        </w:rPr>
        <w:t xml:space="preserve"> </w:t>
      </w:r>
      <w:r w:rsidRPr="00C80435" w:rsidR="00681920">
        <w:rPr>
          <w:rFonts w:ascii="Cambria" w:hAnsi="Cambria"/>
        </w:rPr>
        <w:t xml:space="preserve">Respondents will therefore be offered modest financial incentives for participation based on guidance from USMC and following established practices in the field of survey research for reliable and valid data collection. </w:t>
      </w:r>
      <w:r w:rsidRPr="00C80435" w:rsidR="00B00B32">
        <w:rPr>
          <w:rFonts w:ascii="Cambria" w:hAnsi="Cambria"/>
        </w:rPr>
        <w:t xml:space="preserve">To bolster participation, </w:t>
      </w:r>
      <w:r w:rsidRPr="00C80435" w:rsidR="00833933">
        <w:rPr>
          <w:rFonts w:ascii="Cambria" w:hAnsi="Cambria"/>
        </w:rPr>
        <w:t>respondents</w:t>
      </w:r>
      <w:r w:rsidRPr="00C80435" w:rsidR="00B00B32">
        <w:rPr>
          <w:rFonts w:ascii="Cambria" w:hAnsi="Cambria"/>
        </w:rPr>
        <w:t xml:space="preserve"> will receive a $10 digital gift card after completing the baseline survey and a $20 digital gift card after completing the follow-up survey</w:t>
      </w:r>
      <w:r w:rsidRPr="00C80435" w:rsidR="000C34D4">
        <w:rPr>
          <w:rFonts w:ascii="Cambria" w:hAnsi="Cambria"/>
        </w:rPr>
        <w:t>. Data has shown incentives of varying monetary values have varying effects on response rates.</w:t>
      </w:r>
      <w:bookmarkStart w:id="15" w:name="_Ref174622691"/>
      <w:r>
        <w:rPr>
          <w:rStyle w:val="FootnoteReference"/>
          <w:rFonts w:ascii="Cambria" w:hAnsi="Cambria"/>
        </w:rPr>
        <w:footnoteReference w:id="8"/>
      </w:r>
      <w:bookmarkEnd w:id="15"/>
      <w:r w:rsidRPr="00C80435" w:rsidR="00EB4002">
        <w:rPr>
          <w:rFonts w:ascii="Cambria" w:hAnsi="Cambria"/>
          <w:vertAlign w:val="superscript"/>
        </w:rPr>
        <w:t>,</w:t>
      </w:r>
      <w:r>
        <w:rPr>
          <w:rStyle w:val="FootnoteReference"/>
          <w:rFonts w:ascii="Cambria" w:hAnsi="Cambria"/>
        </w:rPr>
        <w:footnoteReference w:id="9"/>
      </w:r>
      <w:r w:rsidRPr="00C80435" w:rsidR="000C34D4">
        <w:rPr>
          <w:rFonts w:ascii="Cambria" w:hAnsi="Cambria"/>
        </w:rPr>
        <w:t xml:space="preserve"> For example, in a sexual assault victimization survey of university students testing the impact of different incentive values, the response rate was significantly higher for students offered $25 than for </w:t>
      </w:r>
      <w:r w:rsidRPr="00C80435" w:rsidR="007172BF">
        <w:rPr>
          <w:rFonts w:ascii="Cambria" w:hAnsi="Cambria"/>
        </w:rPr>
        <w:t>students</w:t>
      </w:r>
      <w:r w:rsidRPr="00C80435" w:rsidR="000C34D4">
        <w:rPr>
          <w:rFonts w:ascii="Cambria" w:hAnsi="Cambria"/>
        </w:rPr>
        <w:t xml:space="preserve"> offered $10.</w:t>
      </w:r>
      <w:r w:rsidRPr="00C80435" w:rsidR="006D6A68">
        <w:rPr>
          <w:rFonts w:ascii="Cambria" w:hAnsi="Cambria"/>
          <w:vertAlign w:val="superscript"/>
        </w:rPr>
        <w:t>8</w:t>
      </w:r>
      <w:r w:rsidRPr="00C80435" w:rsidR="000C34D4">
        <w:rPr>
          <w:rFonts w:ascii="Cambria" w:hAnsi="Cambria"/>
        </w:rPr>
        <w:t xml:space="preserve"> While attrition at the follow-up stage is a</w:t>
      </w:r>
      <w:r w:rsidRPr="00C80435" w:rsidR="006D3A08">
        <w:rPr>
          <w:rFonts w:ascii="Cambria" w:hAnsi="Cambria"/>
        </w:rPr>
        <w:t xml:space="preserve"> </w:t>
      </w:r>
      <w:r w:rsidRPr="00C80435" w:rsidR="000C34D4">
        <w:rPr>
          <w:rFonts w:ascii="Cambria" w:hAnsi="Cambria"/>
        </w:rPr>
        <w:t>common phenomenon in</w:t>
      </w:r>
      <w:r w:rsidRPr="00C80435" w:rsidR="00835B5F">
        <w:rPr>
          <w:rFonts w:ascii="Cambria" w:hAnsi="Cambria"/>
        </w:rPr>
        <w:t xml:space="preserve"> </w:t>
      </w:r>
      <w:r w:rsidRPr="00C80435" w:rsidR="000C34D4">
        <w:rPr>
          <w:rFonts w:ascii="Cambria" w:hAnsi="Cambria"/>
        </w:rPr>
        <w:t xml:space="preserve">survey data collection, providing an increased incentive at follow-up will help motivate participation in the </w:t>
      </w:r>
      <w:r w:rsidRPr="00C80435" w:rsidR="00833933">
        <w:rPr>
          <w:rFonts w:ascii="Cambria" w:hAnsi="Cambria"/>
        </w:rPr>
        <w:t>survey</w:t>
      </w:r>
      <w:r w:rsidRPr="00C80435" w:rsidR="000D7896">
        <w:rPr>
          <w:rFonts w:ascii="Cambria" w:hAnsi="Cambria"/>
        </w:rPr>
        <w:t>.</w:t>
      </w:r>
    </w:p>
    <w:p w:rsidR="22FA58E5" w:rsidRPr="00C80435" w:rsidP="005C0A99" w14:paraId="43119DFF" w14:textId="492AE048">
      <w:pPr>
        <w:pStyle w:val="NormalWeb"/>
        <w:spacing w:after="0" w:afterAutospacing="0"/>
        <w:rPr>
          <w:rFonts w:ascii="Cambria" w:hAnsi="Cambria"/>
        </w:rPr>
      </w:pPr>
      <w:r w:rsidRPr="00C80435">
        <w:rPr>
          <w:rFonts w:ascii="Cambria" w:hAnsi="Cambria"/>
        </w:rPr>
        <w:t xml:space="preserve">To address unit-level missing data, responders and non-responders will be compared at baseline and follow-up with basic aggregated demographic information and other information (e.g., demographics, years of service, rank and position in Marines, etc.) available on all eligible personnel receiving PFL 4.5 at the time of </w:t>
      </w:r>
      <w:r w:rsidRPr="00C80435" w:rsidR="007172BF">
        <w:rPr>
          <w:rFonts w:ascii="Cambria" w:hAnsi="Cambria"/>
        </w:rPr>
        <w:t xml:space="preserve">the </w:t>
      </w:r>
      <w:r w:rsidRPr="00C80435">
        <w:rPr>
          <w:rFonts w:ascii="Cambria" w:hAnsi="Cambria"/>
        </w:rPr>
        <w:t>evaluation intake period. Any statistically significant differences by demographic or background variables will be addressed as covariates in later outcome models.</w:t>
      </w:r>
      <w:r w:rsidRPr="00C80435" w:rsidR="00CA6184">
        <w:rPr>
          <w:rFonts w:ascii="Cambria" w:hAnsi="Cambria"/>
        </w:rPr>
        <w:t xml:space="preserve"> </w:t>
      </w:r>
      <w:r w:rsidRPr="00C80435">
        <w:rPr>
          <w:rFonts w:ascii="Cambria" w:hAnsi="Cambria"/>
        </w:rPr>
        <w:t>To address item-level missing data (i.e., if respondents skip some questions), NORC will first assess the amount of missing data and whether missingness is at random. If there is little missing data (e.g., under 10%), NORC will assess if it is statistically appropriate to use listwise deletion of these cases. If necessary, NORC will examine the impact of employing various methods to fill in missing values for the surveys that are only partially completed.</w:t>
      </w:r>
      <w:r w:rsidRPr="00C80435" w:rsidR="00446930">
        <w:rPr>
          <w:rFonts w:ascii="Cambria" w:hAnsi="Cambria"/>
        </w:rPr>
        <w:t xml:space="preserve"> For example</w:t>
      </w:r>
      <w:r w:rsidRPr="00C80435" w:rsidR="009D4E20">
        <w:rPr>
          <w:rFonts w:ascii="Cambria" w:hAnsi="Cambria"/>
        </w:rPr>
        <w:t xml:space="preserve">, NORC will use </w:t>
      </w:r>
      <w:r w:rsidRPr="00C80435">
        <w:rPr>
          <w:rFonts w:ascii="Cambria" w:hAnsi="Cambria"/>
        </w:rPr>
        <w:t xml:space="preserve">imputation methods (e.g., nearest neighbor “hot deck”), including multiple imputation. </w:t>
      </w:r>
    </w:p>
    <w:p w:rsidR="22FA58E5" w:rsidRPr="00C80435" w:rsidP="005C0A99" w14:paraId="1B65DEB1" w14:textId="23B071FC">
      <w:pPr>
        <w:pStyle w:val="NormalWeb"/>
        <w:rPr>
          <w:rFonts w:ascii="Cambria" w:hAnsi="Cambria"/>
        </w:rPr>
      </w:pPr>
      <w:r w:rsidRPr="00C80435">
        <w:rPr>
          <w:rFonts w:ascii="Cambria" w:hAnsi="Cambria"/>
        </w:rPr>
        <w:t xml:space="preserve">4.  </w:t>
      </w:r>
      <w:r w:rsidRPr="00C80435">
        <w:rPr>
          <w:rFonts w:ascii="Cambria" w:hAnsi="Cambria"/>
          <w:u w:val="single"/>
        </w:rPr>
        <w:t>Tests of Procedures</w:t>
      </w:r>
    </w:p>
    <w:p w:rsidR="22FA58E5" w:rsidRPr="00C80435" w:rsidP="005C0A99" w14:paraId="75A73C55" w14:textId="5FA53CAB">
      <w:pPr>
        <w:pStyle w:val="NormalWeb"/>
        <w:rPr>
          <w:rFonts w:ascii="Cambria" w:hAnsi="Cambria"/>
        </w:rPr>
      </w:pPr>
      <w:r w:rsidRPr="00C80435">
        <w:rPr>
          <w:rFonts w:ascii="Cambria" w:hAnsi="Cambria"/>
        </w:rPr>
        <w:t xml:space="preserve">The evaluation recruitment language and baseline survey instrument were </w:t>
      </w:r>
      <w:r w:rsidRPr="00C80435" w:rsidR="00F662D9">
        <w:rPr>
          <w:rFonts w:ascii="Cambria" w:hAnsi="Cambria"/>
        </w:rPr>
        <w:t xml:space="preserve">reviewed </w:t>
      </w:r>
      <w:r w:rsidRPr="00C80435">
        <w:rPr>
          <w:rFonts w:ascii="Cambria" w:hAnsi="Cambria"/>
        </w:rPr>
        <w:t>during a feedback discussion with five Marine</w:t>
      </w:r>
      <w:r w:rsidRPr="00C80435" w:rsidR="727BD89F">
        <w:rPr>
          <w:rFonts w:ascii="Cambria" w:hAnsi="Cambria"/>
        </w:rPr>
        <w:t xml:space="preserve"> </w:t>
      </w:r>
      <w:r w:rsidRPr="00C80435" w:rsidR="003D3046">
        <w:rPr>
          <w:rFonts w:ascii="Cambria" w:hAnsi="Cambria"/>
        </w:rPr>
        <w:t>Service</w:t>
      </w:r>
      <w:r w:rsidRPr="00C80435" w:rsidR="00A40486">
        <w:rPr>
          <w:rFonts w:ascii="Cambria" w:hAnsi="Cambria"/>
        </w:rPr>
        <w:t xml:space="preserve"> </w:t>
      </w:r>
      <w:r w:rsidRPr="00C80435" w:rsidR="651595F1">
        <w:rPr>
          <w:rFonts w:ascii="Cambria" w:hAnsi="Cambria"/>
        </w:rPr>
        <w:t>members</w:t>
      </w:r>
      <w:r w:rsidRPr="00C80435">
        <w:rPr>
          <w:rFonts w:ascii="Cambria" w:hAnsi="Cambria"/>
        </w:rPr>
        <w:t xml:space="preserve"> at</w:t>
      </w:r>
      <w:r w:rsidRPr="00C80435" w:rsidR="007A511E">
        <w:rPr>
          <w:rFonts w:ascii="Cambria" w:hAnsi="Cambria"/>
        </w:rPr>
        <w:t xml:space="preserve"> Camp Lejeune</w:t>
      </w:r>
      <w:r w:rsidRPr="00C80435">
        <w:rPr>
          <w:rFonts w:ascii="Cambria" w:hAnsi="Cambria"/>
        </w:rPr>
        <w:t xml:space="preserve">. In addition, </w:t>
      </w:r>
      <w:r w:rsidRPr="00C80435" w:rsidR="008A7EE6">
        <w:rPr>
          <w:rFonts w:ascii="Cambria" w:hAnsi="Cambria"/>
        </w:rPr>
        <w:t>NORC has engaged a team of stakeholders</w:t>
      </w:r>
      <w:r w:rsidRPr="00C80435" w:rsidR="003F1DFF">
        <w:rPr>
          <w:rFonts w:ascii="Cambria" w:hAnsi="Cambria"/>
        </w:rPr>
        <w:t xml:space="preserve"> </w:t>
      </w:r>
      <w:r w:rsidRPr="00C80435" w:rsidR="008A7EE6">
        <w:rPr>
          <w:rFonts w:ascii="Cambria" w:hAnsi="Cambria"/>
        </w:rPr>
        <w:t>in the EWG to review all study instruments</w:t>
      </w:r>
      <w:r w:rsidRPr="00C80435" w:rsidR="003F1DFF">
        <w:rPr>
          <w:rFonts w:ascii="Cambria" w:hAnsi="Cambria"/>
        </w:rPr>
        <w:t xml:space="preserve"> and protocols</w:t>
      </w:r>
      <w:r w:rsidRPr="00C80435" w:rsidR="008A7EE6">
        <w:rPr>
          <w:rFonts w:ascii="Cambria" w:hAnsi="Cambria"/>
        </w:rPr>
        <w:t>.</w:t>
      </w:r>
      <w:r w:rsidRPr="00C80435" w:rsidR="003F1DFF">
        <w:rPr>
          <w:rFonts w:ascii="Cambria" w:hAnsi="Cambria"/>
        </w:rPr>
        <w:t xml:space="preserve"> Stakeholders included </w:t>
      </w:r>
      <w:r w:rsidRPr="00C80435">
        <w:rPr>
          <w:rFonts w:ascii="Cambria" w:hAnsi="Cambria"/>
        </w:rPr>
        <w:t xml:space="preserve">USMC </w:t>
      </w:r>
      <w:r w:rsidRPr="00C80435" w:rsidR="00E7103E">
        <w:rPr>
          <w:rFonts w:ascii="Cambria" w:hAnsi="Cambria"/>
        </w:rPr>
        <w:t>personnel</w:t>
      </w:r>
      <w:r w:rsidRPr="00C80435" w:rsidR="0078653B">
        <w:rPr>
          <w:rFonts w:ascii="Cambria" w:hAnsi="Cambria"/>
        </w:rPr>
        <w:t>,</w:t>
      </w:r>
      <w:r w:rsidRPr="00C80435">
        <w:rPr>
          <w:rFonts w:ascii="Cambria" w:hAnsi="Cambria"/>
        </w:rPr>
        <w:t xml:space="preserve"> </w:t>
      </w:r>
      <w:r w:rsidRPr="00C80435" w:rsidR="0078653B">
        <w:rPr>
          <w:rFonts w:ascii="Cambria" w:hAnsi="Cambria"/>
        </w:rPr>
        <w:t xml:space="preserve">DoD </w:t>
      </w:r>
      <w:r w:rsidRPr="00C80435" w:rsidR="0065380D">
        <w:rPr>
          <w:rFonts w:ascii="Cambria" w:hAnsi="Cambria"/>
        </w:rPr>
        <w:t xml:space="preserve">PFL </w:t>
      </w:r>
      <w:r w:rsidRPr="00C80435" w:rsidR="003F1DFF">
        <w:rPr>
          <w:rFonts w:ascii="Cambria" w:hAnsi="Cambria"/>
        </w:rPr>
        <w:t xml:space="preserve">instructors, </w:t>
      </w:r>
      <w:r w:rsidRPr="00C80435">
        <w:rPr>
          <w:rFonts w:ascii="Cambria" w:hAnsi="Cambria"/>
        </w:rPr>
        <w:t xml:space="preserve">and </w:t>
      </w:r>
      <w:r w:rsidRPr="00C80435" w:rsidR="003F1DFF">
        <w:rPr>
          <w:rFonts w:ascii="Cambria" w:hAnsi="Cambria"/>
        </w:rPr>
        <w:t>PRI, the organization that developed PFL 4.5</w:t>
      </w:r>
      <w:r w:rsidRPr="00C80435">
        <w:rPr>
          <w:rFonts w:ascii="Cambria" w:hAnsi="Cambria"/>
        </w:rPr>
        <w:t xml:space="preserve">. </w:t>
      </w:r>
      <w:r w:rsidRPr="00C80435" w:rsidR="003F1DFF">
        <w:rPr>
          <w:rFonts w:ascii="Cambria" w:hAnsi="Cambria"/>
        </w:rPr>
        <w:t xml:space="preserve">The </w:t>
      </w:r>
      <w:r w:rsidRPr="00C80435" w:rsidR="00F517A4">
        <w:rPr>
          <w:rFonts w:ascii="Cambria" w:hAnsi="Cambria"/>
        </w:rPr>
        <w:t>EWG provided feedba</w:t>
      </w:r>
      <w:r w:rsidRPr="00C80435" w:rsidR="003F1DFF">
        <w:rPr>
          <w:rFonts w:ascii="Cambria" w:hAnsi="Cambria"/>
        </w:rPr>
        <w:t>ck</w:t>
      </w:r>
      <w:r w:rsidRPr="00C80435" w:rsidR="00F517A4">
        <w:rPr>
          <w:rFonts w:ascii="Cambria" w:hAnsi="Cambria"/>
        </w:rPr>
        <w:t xml:space="preserve"> on</w:t>
      </w:r>
      <w:r w:rsidRPr="00C80435" w:rsidR="003F1DFF">
        <w:rPr>
          <w:rFonts w:ascii="Cambria" w:hAnsi="Cambria"/>
        </w:rPr>
        <w:t xml:space="preserve"> </w:t>
      </w:r>
      <w:r w:rsidRPr="00C80435" w:rsidR="00F517A4">
        <w:rPr>
          <w:rFonts w:ascii="Cambria" w:hAnsi="Cambria"/>
        </w:rPr>
        <w:t xml:space="preserve">PFL 4.5 </w:t>
      </w:r>
      <w:r w:rsidRPr="00C80435" w:rsidR="004A5542">
        <w:rPr>
          <w:rFonts w:ascii="Cambria" w:hAnsi="Cambria"/>
        </w:rPr>
        <w:t>training</w:t>
      </w:r>
      <w:r w:rsidRPr="00C80435" w:rsidR="00F517A4">
        <w:rPr>
          <w:rFonts w:ascii="Cambria" w:hAnsi="Cambria"/>
        </w:rPr>
        <w:t xml:space="preserve"> context, content, and </w:t>
      </w:r>
      <w:r w:rsidRPr="00C80435" w:rsidR="003F1DFF">
        <w:rPr>
          <w:rFonts w:ascii="Cambria" w:hAnsi="Cambria"/>
        </w:rPr>
        <w:t xml:space="preserve">the </w:t>
      </w:r>
      <w:r w:rsidRPr="00C80435" w:rsidR="00F517A4">
        <w:rPr>
          <w:rFonts w:ascii="Cambria" w:hAnsi="Cambria"/>
        </w:rPr>
        <w:t xml:space="preserve">development of instruments and protocols. </w:t>
      </w:r>
    </w:p>
    <w:p w:rsidR="22FA58E5" w:rsidRPr="00C80435" w:rsidP="005C0A99" w14:paraId="1F170B0E" w14:textId="2991B19E">
      <w:pPr>
        <w:pStyle w:val="NormalWeb"/>
        <w:rPr>
          <w:rFonts w:ascii="Cambria" w:hAnsi="Cambria"/>
        </w:rPr>
      </w:pPr>
      <w:r w:rsidRPr="00C80435">
        <w:rPr>
          <w:rFonts w:ascii="Cambria" w:hAnsi="Cambria"/>
        </w:rPr>
        <w:t xml:space="preserve">5.  </w:t>
      </w:r>
      <w:r w:rsidRPr="00C80435">
        <w:rPr>
          <w:rFonts w:ascii="Cambria" w:hAnsi="Cambria"/>
          <w:u w:val="single"/>
        </w:rPr>
        <w:t>Statistical Consultation and Information Analysis</w:t>
      </w:r>
    </w:p>
    <w:p w:rsidR="00F434B6" w:rsidRPr="00C80435" w:rsidP="005C0A99" w14:paraId="4B1F048D" w14:textId="681F1871">
      <w:pPr>
        <w:pStyle w:val="NormalWeb"/>
        <w:rPr>
          <w:rFonts w:ascii="Cambria" w:hAnsi="Cambria"/>
        </w:rPr>
      </w:pPr>
      <w:r w:rsidRPr="00C80435">
        <w:rPr>
          <w:rFonts w:ascii="Cambria" w:hAnsi="Cambria"/>
        </w:rPr>
        <w:t>a. </w:t>
      </w:r>
      <w:r w:rsidRPr="00C80435" w:rsidR="005E0A0F">
        <w:rPr>
          <w:rFonts w:ascii="Cambria" w:hAnsi="Cambria"/>
        </w:rPr>
        <w:t xml:space="preserve">Provide names and telephone number of individual(s) consulted on statistical </w:t>
      </w:r>
      <w:bookmarkStart w:id="16" w:name="OLE_LINK63"/>
      <w:r w:rsidRPr="00C80435" w:rsidR="005E0A0F">
        <w:rPr>
          <w:rFonts w:ascii="Cambria" w:hAnsi="Cambria"/>
        </w:rPr>
        <w:t>aspects of the design.</w:t>
      </w:r>
    </w:p>
    <w:p w:rsidR="00B431C3" w:rsidRPr="00C80435" w:rsidP="005C0A99" w14:paraId="688580B5" w14:textId="69BC5671">
      <w:pPr>
        <w:numPr>
          <w:ilvl w:val="0"/>
          <w:numId w:val="4"/>
        </w:numPr>
        <w:spacing w:after="160"/>
        <w:contextualSpacing/>
        <w:rPr>
          <w:rFonts w:ascii="Cambria" w:eastAsia="Calibri" w:hAnsi="Cambria"/>
          <w:kern w:val="2"/>
          <w:lang w:val="de-DE"/>
          <w14:ligatures w14:val="standardContextual"/>
        </w:rPr>
      </w:pPr>
      <w:bookmarkStart w:id="17" w:name="OLE_LINK68"/>
      <w:r w:rsidRPr="00C80435">
        <w:rPr>
          <w:rFonts w:ascii="Cambria" w:eastAsia="Calibri" w:hAnsi="Cambria"/>
          <w:kern w:val="2"/>
          <w:lang w:val="de-DE"/>
          <w14:ligatures w14:val="standardContextual"/>
        </w:rPr>
        <w:t>Elizabeth Mumford: (301) 634-9435</w:t>
      </w:r>
    </w:p>
    <w:p w:rsidR="00B431C3" w:rsidRPr="00C80435" w:rsidP="005C0A99" w14:paraId="765CC2AF" w14:textId="5F829F31">
      <w:pPr>
        <w:numPr>
          <w:ilvl w:val="0"/>
          <w:numId w:val="4"/>
        </w:numPr>
        <w:spacing w:after="160"/>
        <w:contextualSpacing/>
        <w:rPr>
          <w:rFonts w:ascii="Cambria" w:eastAsia="Calibri" w:hAnsi="Cambria"/>
          <w:kern w:val="2"/>
          <w:lang w:val="de-DE"/>
          <w14:ligatures w14:val="standardContextual"/>
        </w:rPr>
      </w:pPr>
      <w:r w:rsidRPr="00C80435">
        <w:rPr>
          <w:rFonts w:ascii="Cambria" w:eastAsia="Calibri" w:hAnsi="Cambria"/>
          <w:kern w:val="2"/>
          <w:lang w:val="de-DE"/>
          <w14:ligatures w14:val="standardContextual"/>
        </w:rPr>
        <w:t>Bruce Taylor: (301) 634-9512</w:t>
      </w:r>
    </w:p>
    <w:bookmarkEnd w:id="16"/>
    <w:p w:rsidR="00B431C3" w:rsidRPr="00C80435" w:rsidP="005C0A99" w14:paraId="6FE96DE7" w14:textId="73A75A31">
      <w:pPr>
        <w:numPr>
          <w:ilvl w:val="0"/>
          <w:numId w:val="4"/>
        </w:numPr>
        <w:spacing w:after="160"/>
        <w:contextualSpacing/>
        <w:rPr>
          <w:rFonts w:ascii="Cambria" w:eastAsia="Calibri" w:hAnsi="Cambria"/>
          <w:kern w:val="2"/>
          <w:lang w:val="de-DE"/>
          <w14:ligatures w14:val="standardContextual"/>
        </w:rPr>
      </w:pPr>
      <w:r w:rsidRPr="00C80435">
        <w:rPr>
          <w:rFonts w:ascii="Cambria" w:eastAsia="Calibri" w:hAnsi="Cambria"/>
          <w:kern w:val="2"/>
          <w:lang w:val="de-DE"/>
          <w14:ligatures w14:val="standardContextual"/>
        </w:rPr>
        <w:t>Cynthia Simko: (312) 759-4066</w:t>
      </w:r>
    </w:p>
    <w:bookmarkEnd w:id="17"/>
    <w:p w:rsidR="00F1447C" w:rsidRPr="00C80435" w:rsidP="005C0A99" w14:paraId="7FFE60F9" w14:textId="77777777">
      <w:pPr>
        <w:pStyle w:val="NormalWeb"/>
        <w:rPr>
          <w:rFonts w:ascii="Cambria" w:hAnsi="Cambria"/>
        </w:rPr>
      </w:pPr>
      <w:r w:rsidRPr="00C80435">
        <w:rPr>
          <w:rFonts w:ascii="Cambria" w:hAnsi="Cambria"/>
        </w:rPr>
        <w:t>b. </w:t>
      </w:r>
      <w:r w:rsidRPr="00C80435" w:rsidR="005E0A0F">
        <w:rPr>
          <w:rFonts w:ascii="Cambria" w:hAnsi="Cambria"/>
        </w:rPr>
        <w:t xml:space="preserve">Provide name and organization of person(s) who will </w:t>
      </w:r>
      <w:r w:rsidRPr="00C80435" w:rsidR="005E0A0F">
        <w:rPr>
          <w:rFonts w:ascii="Cambria" w:hAnsi="Cambria"/>
        </w:rPr>
        <w:t>actually collect</w:t>
      </w:r>
      <w:r w:rsidRPr="00C80435" w:rsidR="005E0A0F">
        <w:rPr>
          <w:rFonts w:ascii="Cambria" w:hAnsi="Cambria"/>
        </w:rPr>
        <w:t xml:space="preserve"> and analyze the collected information.</w:t>
      </w:r>
    </w:p>
    <w:p w:rsidR="00B431C3" w:rsidRPr="00C80435" w:rsidP="005C0A99" w14:paraId="11A564C7" w14:textId="54F7D54D">
      <w:pPr>
        <w:numPr>
          <w:ilvl w:val="0"/>
          <w:numId w:val="5"/>
        </w:numPr>
        <w:spacing w:after="160"/>
        <w:contextualSpacing/>
        <w:rPr>
          <w:rFonts w:ascii="Cambria" w:eastAsia="Calibri" w:hAnsi="Cambria"/>
          <w:kern w:val="2"/>
          <w:lang w:val="de-DE"/>
          <w14:ligatures w14:val="standardContextual"/>
        </w:rPr>
      </w:pPr>
      <w:r w:rsidRPr="00C80435">
        <w:rPr>
          <w:rFonts w:ascii="Cambria" w:eastAsia="Calibri" w:hAnsi="Cambria"/>
          <w:kern w:val="2"/>
          <w:lang w:val="de-DE"/>
          <w14:ligatures w14:val="standardContextual"/>
        </w:rPr>
        <w:t>Elizabeth Mumford (NORC)</w:t>
      </w:r>
    </w:p>
    <w:p w:rsidR="00B431C3" w:rsidRPr="00C80435" w:rsidP="005C0A99" w14:paraId="1117DA12" w14:textId="0AF77B13">
      <w:pPr>
        <w:numPr>
          <w:ilvl w:val="0"/>
          <w:numId w:val="5"/>
        </w:numPr>
        <w:contextualSpacing/>
        <w:rPr>
          <w:rFonts w:ascii="Cambria" w:eastAsia="Calibri" w:hAnsi="Cambria"/>
          <w:kern w:val="2"/>
          <w:lang w:val="de-DE"/>
          <w14:ligatures w14:val="standardContextual"/>
        </w:rPr>
      </w:pPr>
      <w:r w:rsidRPr="00C80435">
        <w:rPr>
          <w:rFonts w:ascii="Cambria" w:eastAsia="Calibri" w:hAnsi="Cambria"/>
          <w:kern w:val="2"/>
          <w:lang w:val="de-DE"/>
          <w14:ligatures w14:val="standardContextual"/>
        </w:rPr>
        <w:t>Bruce Taylor (NORC)</w:t>
      </w:r>
    </w:p>
    <w:p w:rsidR="00B431C3" w:rsidRPr="00C80435" w:rsidP="005C0A99" w14:paraId="1E8339D3" w14:textId="21CC1EA7">
      <w:pPr>
        <w:numPr>
          <w:ilvl w:val="0"/>
          <w:numId w:val="5"/>
        </w:numPr>
        <w:contextualSpacing/>
        <w:rPr>
          <w:rFonts w:ascii="Cambria" w:eastAsia="Calibri" w:hAnsi="Cambria"/>
          <w:kern w:val="2"/>
          <w:lang w:val="de-DE"/>
          <w14:ligatures w14:val="standardContextual"/>
        </w:rPr>
      </w:pPr>
      <w:r w:rsidRPr="00C80435">
        <w:rPr>
          <w:rFonts w:ascii="Cambria" w:eastAsia="Calibri" w:hAnsi="Cambria"/>
          <w:kern w:val="2"/>
          <w:lang w:val="de-DE"/>
          <w14:ligatures w14:val="standardContextual"/>
        </w:rPr>
        <w:t>Cynthia Simko (NORC)</w:t>
      </w: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73C8320A" w14:textId="77777777">
    <w:pPr>
      <w:pStyle w:val="Footer"/>
      <w:jc w:val="center"/>
    </w:pPr>
    <w:r>
      <w:fldChar w:fldCharType="begin"/>
    </w:r>
    <w:r>
      <w:instrText xml:space="preserve"> PAGE   \* MERGEFORMAT </w:instrText>
    </w:r>
    <w:r>
      <w:fldChar w:fldCharType="separate"/>
    </w:r>
    <w:r w:rsidR="0059460D">
      <w:rPr>
        <w:noProof/>
      </w:rPr>
      <w:t>2</w:t>
    </w:r>
    <w:r>
      <w:fldChar w:fldCharType="end"/>
    </w:r>
  </w:p>
  <w:p w:rsidR="00977A74" w14:paraId="6234AE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F7E" w:rsidP="00977A74" w14:paraId="5DD2CD24" w14:textId="77777777">
      <w:r>
        <w:separator/>
      </w:r>
    </w:p>
  </w:footnote>
  <w:footnote w:type="continuationSeparator" w:id="1">
    <w:p w:rsidR="00146F7E" w:rsidP="00977A74" w14:paraId="662B152B" w14:textId="77777777">
      <w:r>
        <w:continuationSeparator/>
      </w:r>
    </w:p>
  </w:footnote>
  <w:footnote w:id="2">
    <w:p w:rsidR="008A7EE6" w14:paraId="6B771410" w14:textId="292F00F3">
      <w:pPr>
        <w:pStyle w:val="FootnoteText"/>
      </w:pPr>
      <w:r>
        <w:rPr>
          <w:rStyle w:val="FootnoteReference"/>
        </w:rPr>
        <w:footnoteRef/>
      </w:r>
      <w:r>
        <w:t xml:space="preserve"> </w:t>
      </w:r>
      <w:r w:rsidRPr="008A7EE6">
        <w:t xml:space="preserve">Cohen J. </w:t>
      </w:r>
      <w:r w:rsidRPr="00B02F5E">
        <w:rPr>
          <w:i/>
          <w:iCs/>
        </w:rPr>
        <w:t>Statistical Power Analysis for the Behavioral Sciences</w:t>
      </w:r>
      <w:r w:rsidRPr="008A7EE6">
        <w:t xml:space="preserve"> | </w:t>
      </w:r>
      <w:r w:rsidRPr="00B02F5E">
        <w:rPr>
          <w:i/>
          <w:iCs/>
        </w:rPr>
        <w:t>Jacob Cohen</w:t>
      </w:r>
      <w:r w:rsidRPr="008A7EE6">
        <w:t xml:space="preserve"> |. 2nd ed. Routledge; 1988. Accessed September 19, 2023. https://www.taylorfrancis.com/books/mono/10.4324/9780203771587/statistical-power-analysis-behavioral-sciences-jacob-cohen</w:t>
      </w:r>
    </w:p>
  </w:footnote>
  <w:footnote w:id="3">
    <w:p w:rsidR="008F2CD0" w14:paraId="7350AE6B" w14:textId="4E364915">
      <w:pPr>
        <w:pStyle w:val="FootnoteText"/>
      </w:pPr>
      <w:r>
        <w:rPr>
          <w:rStyle w:val="FootnoteReference"/>
        </w:rPr>
        <w:footnoteRef/>
      </w:r>
      <w:r>
        <w:t xml:space="preserve"> </w:t>
      </w:r>
      <w:r w:rsidRPr="00CA6184" w:rsidR="00CA6184">
        <w:t xml:space="preserve">Dillman DA, Smyth JD, Christian LM. </w:t>
      </w:r>
      <w:r w:rsidRPr="00CA6184" w:rsidR="00CA6184">
        <w:rPr>
          <w:i/>
          <w:iCs/>
        </w:rPr>
        <w:t>Internet, Phone, Mail, and Mixed-Mode Surveys: The Tailored Design Method.</w:t>
      </w:r>
      <w:r w:rsidRPr="00CA6184" w:rsidR="00CA6184">
        <w:t xml:space="preserve"> 4th ed. Wiley; 2024.</w:t>
      </w:r>
    </w:p>
  </w:footnote>
  <w:footnote w:id="4">
    <w:p w:rsidR="00EB4002" w14:paraId="13E2650F" w14:textId="3D9885EF">
      <w:pPr>
        <w:pStyle w:val="FootnoteText"/>
      </w:pPr>
      <w:r w:rsidRPr="006D6A68">
        <w:rPr>
          <w:rStyle w:val="FootnoteReference"/>
        </w:rPr>
        <w:footnoteRef/>
      </w:r>
      <w:r w:rsidRPr="006D6A68">
        <w:t xml:space="preserve"> Miller LL, Aharoni E. </w:t>
      </w:r>
      <w:r w:rsidRPr="006D6A68">
        <w:rPr>
          <w:i/>
          <w:iCs/>
        </w:rPr>
        <w:t>Understanding low survey response rates among young US military personnel</w:t>
      </w:r>
      <w:r w:rsidRPr="006D6A68">
        <w:t>. Online but also available in print form. 2015. https</w:t>
      </w:r>
      <w:r w:rsidRPr="00EB4002">
        <w:t>://www.rand.org/pubs/research_reports/RR881.html.</w:t>
      </w:r>
    </w:p>
  </w:footnote>
  <w:footnote w:id="5">
    <w:p w:rsidR="00EB4002" w14:paraId="29569EB6" w14:textId="50FA845E">
      <w:pPr>
        <w:pStyle w:val="FootnoteText"/>
      </w:pPr>
      <w:r>
        <w:rPr>
          <w:rStyle w:val="FootnoteReference"/>
        </w:rPr>
        <w:footnoteRef/>
      </w:r>
      <w:r>
        <w:t xml:space="preserve"> </w:t>
      </w:r>
      <w:r w:rsidRPr="00EB4002">
        <w:t xml:space="preserve">Newell CE, Rosenfeld P, Harris RN, Hindelang RL. Reasons for nonresponse on US Navy surveys: A closer look. </w:t>
      </w:r>
      <w:r w:rsidRPr="00B02F5E">
        <w:rPr>
          <w:i/>
          <w:iCs/>
        </w:rPr>
        <w:t>Military Psychology</w:t>
      </w:r>
      <w:r w:rsidRPr="00EB4002">
        <w:t>. 2004;16(4):265-276.</w:t>
      </w:r>
    </w:p>
  </w:footnote>
  <w:footnote w:id="6">
    <w:p w:rsidR="00EB4002" w14:paraId="40C38B96" w14:textId="028B2817">
      <w:pPr>
        <w:pStyle w:val="FootnoteText"/>
      </w:pPr>
      <w:r>
        <w:rPr>
          <w:rStyle w:val="FootnoteReference"/>
        </w:rPr>
        <w:footnoteRef/>
      </w:r>
      <w:r>
        <w:t xml:space="preserve"> </w:t>
      </w:r>
      <w:r w:rsidRPr="00EB4002">
        <w:t xml:space="preserve">Powell TM, Geronimo-Hara TR, Tobin LE, et al. Pre-incentive Efficacy in Survey Response Rates in a Large Prospective Military Cohort. </w:t>
      </w:r>
      <w:r w:rsidRPr="00B02F5E">
        <w:rPr>
          <w:i/>
          <w:iCs/>
        </w:rPr>
        <w:t>Field Methods</w:t>
      </w:r>
      <w:r w:rsidRPr="00EB4002">
        <w:t>. online 2023;0(0):1525822X231163668. doi:10.1177/1525822x231163668</w:t>
      </w:r>
    </w:p>
  </w:footnote>
  <w:footnote w:id="7">
    <w:p w:rsidR="00EB4002" w14:paraId="2464E6C7" w14:textId="43119198">
      <w:pPr>
        <w:pStyle w:val="FootnoteText"/>
      </w:pPr>
      <w:r>
        <w:rPr>
          <w:rStyle w:val="FootnoteReference"/>
        </w:rPr>
        <w:footnoteRef/>
      </w:r>
      <w:r>
        <w:t xml:space="preserve"> </w:t>
      </w:r>
      <w:r w:rsidRPr="00EB4002">
        <w:t xml:space="preserve">Berry-Cabán CS, Orchowski LM, Wimsatt M, et al. Perceived and Collective Norms Associated with Sexual Violence among Male Soldiers. </w:t>
      </w:r>
      <w:r w:rsidRPr="00B02F5E">
        <w:rPr>
          <w:i/>
          <w:iCs/>
        </w:rPr>
        <w:t>Journal of Family Violence</w:t>
      </w:r>
      <w:r w:rsidRPr="00EB4002">
        <w:t>. 2020/05/01 2020;35(4):339-347. doi:10.1007/s10896-019-00096-6</w:t>
      </w:r>
    </w:p>
  </w:footnote>
  <w:footnote w:id="8">
    <w:p w:rsidR="00EB4002" w14:paraId="7339127A" w14:textId="6392E6C8">
      <w:pPr>
        <w:pStyle w:val="FootnoteText"/>
      </w:pPr>
      <w:r>
        <w:rPr>
          <w:rStyle w:val="FootnoteReference"/>
        </w:rPr>
        <w:footnoteRef/>
      </w:r>
      <w:r>
        <w:t xml:space="preserve"> </w:t>
      </w:r>
      <w:r w:rsidRPr="00EB4002">
        <w:t xml:space="preserve">Krebs C, Lindquist C, Richards A, et al. </w:t>
      </w:r>
      <w:r w:rsidRPr="00B02F5E">
        <w:rPr>
          <w:i/>
          <w:iCs/>
        </w:rPr>
        <w:t>The Impact of Survey Incentive Amounts on Response Rates and Estimates of Sexual Assault Victimization.</w:t>
      </w:r>
      <w:r w:rsidRPr="00EB4002">
        <w:t xml:space="preserve"> 2016.</w:t>
      </w:r>
    </w:p>
  </w:footnote>
  <w:footnote w:id="9">
    <w:p w:rsidR="00EB4002" w14:paraId="2F9E07A1" w14:textId="75A64022">
      <w:pPr>
        <w:pStyle w:val="FootnoteText"/>
      </w:pPr>
      <w:r>
        <w:rPr>
          <w:rStyle w:val="FootnoteReference"/>
        </w:rPr>
        <w:footnoteRef/>
      </w:r>
      <w:r>
        <w:t xml:space="preserve"> </w:t>
      </w:r>
      <w:r w:rsidRPr="00EB4002">
        <w:t xml:space="preserve">Zheng G, Oksuzyan S, Hsu S, et al. Self-reported interest to participate in a health survey if different amounts of cash or non-monetary incentive types were offered. </w:t>
      </w:r>
      <w:r w:rsidRPr="00B02F5E">
        <w:rPr>
          <w:i/>
          <w:iCs/>
        </w:rPr>
        <w:t>Journal of Urban Health</w:t>
      </w:r>
      <w:r w:rsidRPr="00EB4002">
        <w:t>. 2018;95(6):837-849.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3273B"/>
    <w:multiLevelType w:val="hybridMultilevel"/>
    <w:tmpl w:val="2AE84EA8"/>
    <w:lvl w:ilvl="0">
      <w:start w:val="0"/>
      <w:numFmt w:val="decimal"/>
      <w:lvlText w:val="o"/>
      <w:lvlJc w:val="left"/>
      <w:pPr>
        <w:ind w:left="1080" w:hanging="360"/>
      </w:pPr>
      <w:rPr>
        <w:rFonts w:ascii="Courier New" w:hAnsi="Courier New" w:cs="Courier New"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8637B77"/>
    <w:multiLevelType w:val="hybridMultilevel"/>
    <w:tmpl w:val="2AE84EA8"/>
    <w:lvl w:ilvl="0">
      <w:start w:val="1"/>
      <w:numFmt w:val="bullet"/>
      <w:lvlText w:val="o"/>
      <w:lvlJc w:val="left"/>
      <w:pPr>
        <w:ind w:left="1080" w:hanging="360"/>
      </w:pPr>
      <w:rPr>
        <w:rFonts w:ascii="Courier New" w:hAnsi="Courier New" w:cs="Courier New"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B4F47A6"/>
    <w:multiLevelType w:val="hybridMultilevel"/>
    <w:tmpl w:val="B2588F0C"/>
    <w:lvl w:ilvl="0">
      <w:start w:val="1"/>
      <w:numFmt w:val="bullet"/>
      <w:lvlText w:val=""/>
      <w:lvlJc w:val="left"/>
      <w:pPr>
        <w:ind w:left="360" w:hanging="360"/>
      </w:pPr>
      <w:rPr>
        <w:rFonts w:ascii="Symbol" w:hAnsi="Symbo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7245ACC"/>
    <w:multiLevelType w:val="hybridMultilevel"/>
    <w:tmpl w:val="8B385AF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A374A41"/>
    <w:multiLevelType w:val="hybridMultilevel"/>
    <w:tmpl w:val="F802F520"/>
    <w:lvl w:ilvl="0">
      <w:start w:val="1"/>
      <w:numFmt w:val="bullet"/>
      <w:lvlText w:val=""/>
      <w:lvlJc w:val="left"/>
      <w:pPr>
        <w:ind w:left="360" w:hanging="360"/>
      </w:pPr>
      <w:rPr>
        <w:rFonts w:ascii="Symbol" w:hAnsi="Symbol" w:hint="default"/>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70188317">
    <w:abstractNumId w:val="3"/>
  </w:num>
  <w:num w:numId="2" w16cid:durableId="37736203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051615">
    <w:abstractNumId w:val="0"/>
  </w:num>
  <w:num w:numId="4" w16cid:durableId="1543785175">
    <w:abstractNumId w:val="2"/>
  </w:num>
  <w:num w:numId="5" w16cid:durableId="1660619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00656"/>
    <w:rsid w:val="00004A99"/>
    <w:rsid w:val="0000605B"/>
    <w:rsid w:val="000178BD"/>
    <w:rsid w:val="000225BD"/>
    <w:rsid w:val="00024A59"/>
    <w:rsid w:val="00030B09"/>
    <w:rsid w:val="00033147"/>
    <w:rsid w:val="00035DB3"/>
    <w:rsid w:val="00045A4A"/>
    <w:rsid w:val="00046058"/>
    <w:rsid w:val="00054AF5"/>
    <w:rsid w:val="00070F6B"/>
    <w:rsid w:val="000908E4"/>
    <w:rsid w:val="00093ED6"/>
    <w:rsid w:val="000A0356"/>
    <w:rsid w:val="000A1D36"/>
    <w:rsid w:val="000A42EB"/>
    <w:rsid w:val="000A7BA6"/>
    <w:rsid w:val="000B6716"/>
    <w:rsid w:val="000C34D4"/>
    <w:rsid w:val="000C5A8C"/>
    <w:rsid w:val="000D7896"/>
    <w:rsid w:val="000E3392"/>
    <w:rsid w:val="001037B3"/>
    <w:rsid w:val="00105970"/>
    <w:rsid w:val="0011279F"/>
    <w:rsid w:val="00116E8B"/>
    <w:rsid w:val="00122C85"/>
    <w:rsid w:val="00133097"/>
    <w:rsid w:val="001366C8"/>
    <w:rsid w:val="001422DE"/>
    <w:rsid w:val="0014600A"/>
    <w:rsid w:val="00146F7E"/>
    <w:rsid w:val="001955F6"/>
    <w:rsid w:val="001A4C9B"/>
    <w:rsid w:val="001B5A28"/>
    <w:rsid w:val="001C583C"/>
    <w:rsid w:val="001D1B91"/>
    <w:rsid w:val="001D210C"/>
    <w:rsid w:val="001E17CC"/>
    <w:rsid w:val="00232109"/>
    <w:rsid w:val="00243254"/>
    <w:rsid w:val="00246C49"/>
    <w:rsid w:val="00275794"/>
    <w:rsid w:val="002948F6"/>
    <w:rsid w:val="002B270A"/>
    <w:rsid w:val="002B75F4"/>
    <w:rsid w:val="002D156B"/>
    <w:rsid w:val="0030008B"/>
    <w:rsid w:val="0030022F"/>
    <w:rsid w:val="00302993"/>
    <w:rsid w:val="0031720D"/>
    <w:rsid w:val="00326797"/>
    <w:rsid w:val="00351FDB"/>
    <w:rsid w:val="0035499E"/>
    <w:rsid w:val="00370AA4"/>
    <w:rsid w:val="00370E4F"/>
    <w:rsid w:val="00383396"/>
    <w:rsid w:val="00386880"/>
    <w:rsid w:val="003A0329"/>
    <w:rsid w:val="003A4C6C"/>
    <w:rsid w:val="003B2634"/>
    <w:rsid w:val="003D260E"/>
    <w:rsid w:val="003D3046"/>
    <w:rsid w:val="003E502E"/>
    <w:rsid w:val="003E7806"/>
    <w:rsid w:val="003F1DFF"/>
    <w:rsid w:val="00402ED5"/>
    <w:rsid w:val="00415D03"/>
    <w:rsid w:val="00426F3F"/>
    <w:rsid w:val="00446930"/>
    <w:rsid w:val="00464C00"/>
    <w:rsid w:val="00473709"/>
    <w:rsid w:val="00476FE5"/>
    <w:rsid w:val="00482091"/>
    <w:rsid w:val="00483582"/>
    <w:rsid w:val="004A5542"/>
    <w:rsid w:val="004A6E2A"/>
    <w:rsid w:val="004E159A"/>
    <w:rsid w:val="00500215"/>
    <w:rsid w:val="005041DB"/>
    <w:rsid w:val="005146CC"/>
    <w:rsid w:val="005169C9"/>
    <w:rsid w:val="00521BD3"/>
    <w:rsid w:val="00527CB0"/>
    <w:rsid w:val="00531222"/>
    <w:rsid w:val="00575819"/>
    <w:rsid w:val="0059268D"/>
    <w:rsid w:val="0059460D"/>
    <w:rsid w:val="005A5C39"/>
    <w:rsid w:val="005C0A99"/>
    <w:rsid w:val="005E0A0F"/>
    <w:rsid w:val="005E55A8"/>
    <w:rsid w:val="005E6B99"/>
    <w:rsid w:val="0065380D"/>
    <w:rsid w:val="006569E7"/>
    <w:rsid w:val="0066530C"/>
    <w:rsid w:val="00672B7F"/>
    <w:rsid w:val="00680F68"/>
    <w:rsid w:val="00681920"/>
    <w:rsid w:val="006836EF"/>
    <w:rsid w:val="006B2B17"/>
    <w:rsid w:val="006D3A08"/>
    <w:rsid w:val="006D6A68"/>
    <w:rsid w:val="006E3E18"/>
    <w:rsid w:val="006F3F40"/>
    <w:rsid w:val="00701DF4"/>
    <w:rsid w:val="007049D9"/>
    <w:rsid w:val="00705A15"/>
    <w:rsid w:val="007070D3"/>
    <w:rsid w:val="00714B86"/>
    <w:rsid w:val="00716084"/>
    <w:rsid w:val="007172BF"/>
    <w:rsid w:val="00726D0D"/>
    <w:rsid w:val="00733B58"/>
    <w:rsid w:val="007632D5"/>
    <w:rsid w:val="0078653B"/>
    <w:rsid w:val="007953EA"/>
    <w:rsid w:val="007A511E"/>
    <w:rsid w:val="007B021B"/>
    <w:rsid w:val="007B6D36"/>
    <w:rsid w:val="007C5B3B"/>
    <w:rsid w:val="007D59DE"/>
    <w:rsid w:val="007F2D11"/>
    <w:rsid w:val="008077F6"/>
    <w:rsid w:val="00812D80"/>
    <w:rsid w:val="00821B3F"/>
    <w:rsid w:val="00833933"/>
    <w:rsid w:val="00835B5F"/>
    <w:rsid w:val="00840C92"/>
    <w:rsid w:val="00860E3B"/>
    <w:rsid w:val="00862EBC"/>
    <w:rsid w:val="00867154"/>
    <w:rsid w:val="00897EB3"/>
    <w:rsid w:val="008A3071"/>
    <w:rsid w:val="008A7EE6"/>
    <w:rsid w:val="008B3C83"/>
    <w:rsid w:val="008B3CC9"/>
    <w:rsid w:val="008E0B10"/>
    <w:rsid w:val="008E7E92"/>
    <w:rsid w:val="008F2CD0"/>
    <w:rsid w:val="008F4419"/>
    <w:rsid w:val="008F6D3F"/>
    <w:rsid w:val="00937CBF"/>
    <w:rsid w:val="00946B97"/>
    <w:rsid w:val="00946BB2"/>
    <w:rsid w:val="0095294A"/>
    <w:rsid w:val="00957CF7"/>
    <w:rsid w:val="00965E22"/>
    <w:rsid w:val="00977A74"/>
    <w:rsid w:val="00992B7E"/>
    <w:rsid w:val="0099379A"/>
    <w:rsid w:val="009C2314"/>
    <w:rsid w:val="009D42EB"/>
    <w:rsid w:val="009D4591"/>
    <w:rsid w:val="009D4E20"/>
    <w:rsid w:val="009F0B30"/>
    <w:rsid w:val="009F28DB"/>
    <w:rsid w:val="009F2D97"/>
    <w:rsid w:val="00A067C5"/>
    <w:rsid w:val="00A07D05"/>
    <w:rsid w:val="00A37EC6"/>
    <w:rsid w:val="00A40486"/>
    <w:rsid w:val="00A719B1"/>
    <w:rsid w:val="00A7267D"/>
    <w:rsid w:val="00A7296D"/>
    <w:rsid w:val="00A84539"/>
    <w:rsid w:val="00A93CBF"/>
    <w:rsid w:val="00A97BDD"/>
    <w:rsid w:val="00AE379F"/>
    <w:rsid w:val="00AF05F0"/>
    <w:rsid w:val="00AF2827"/>
    <w:rsid w:val="00B00B32"/>
    <w:rsid w:val="00B02F5E"/>
    <w:rsid w:val="00B1211F"/>
    <w:rsid w:val="00B12827"/>
    <w:rsid w:val="00B415E6"/>
    <w:rsid w:val="00B431C3"/>
    <w:rsid w:val="00B47747"/>
    <w:rsid w:val="00B50E7F"/>
    <w:rsid w:val="00B54D7E"/>
    <w:rsid w:val="00B74856"/>
    <w:rsid w:val="00B83BF0"/>
    <w:rsid w:val="00B946EE"/>
    <w:rsid w:val="00B97568"/>
    <w:rsid w:val="00BA31B3"/>
    <w:rsid w:val="00BB26D9"/>
    <w:rsid w:val="00BC731A"/>
    <w:rsid w:val="00BF15EE"/>
    <w:rsid w:val="00BF17F7"/>
    <w:rsid w:val="00BF6B01"/>
    <w:rsid w:val="00BF7629"/>
    <w:rsid w:val="00C13DC3"/>
    <w:rsid w:val="00C17C0A"/>
    <w:rsid w:val="00C34D08"/>
    <w:rsid w:val="00C409EA"/>
    <w:rsid w:val="00C47D2D"/>
    <w:rsid w:val="00C50085"/>
    <w:rsid w:val="00C53FA6"/>
    <w:rsid w:val="00C66D8C"/>
    <w:rsid w:val="00C753D0"/>
    <w:rsid w:val="00C80435"/>
    <w:rsid w:val="00C9116D"/>
    <w:rsid w:val="00CA5E32"/>
    <w:rsid w:val="00CA6184"/>
    <w:rsid w:val="00CC3201"/>
    <w:rsid w:val="00D07FCE"/>
    <w:rsid w:val="00D46148"/>
    <w:rsid w:val="00D6069F"/>
    <w:rsid w:val="00D95CBB"/>
    <w:rsid w:val="00DB1C9B"/>
    <w:rsid w:val="00DC5079"/>
    <w:rsid w:val="00DD2F9C"/>
    <w:rsid w:val="00DD6BB7"/>
    <w:rsid w:val="00DE1022"/>
    <w:rsid w:val="00DE7D46"/>
    <w:rsid w:val="00E02B99"/>
    <w:rsid w:val="00E10558"/>
    <w:rsid w:val="00E16829"/>
    <w:rsid w:val="00E308B3"/>
    <w:rsid w:val="00E35B25"/>
    <w:rsid w:val="00E56167"/>
    <w:rsid w:val="00E57CF9"/>
    <w:rsid w:val="00E7103E"/>
    <w:rsid w:val="00E8627E"/>
    <w:rsid w:val="00E866FF"/>
    <w:rsid w:val="00EA5754"/>
    <w:rsid w:val="00EB4002"/>
    <w:rsid w:val="00EE34DD"/>
    <w:rsid w:val="00EE520A"/>
    <w:rsid w:val="00F1447C"/>
    <w:rsid w:val="00F36D11"/>
    <w:rsid w:val="00F434B6"/>
    <w:rsid w:val="00F517A4"/>
    <w:rsid w:val="00F5254D"/>
    <w:rsid w:val="00F53C39"/>
    <w:rsid w:val="00F662D9"/>
    <w:rsid w:val="00F74671"/>
    <w:rsid w:val="00F92085"/>
    <w:rsid w:val="00F92ACC"/>
    <w:rsid w:val="00FB2E39"/>
    <w:rsid w:val="00FB6F8B"/>
    <w:rsid w:val="00FC64D5"/>
    <w:rsid w:val="00FD7BF4"/>
    <w:rsid w:val="00FE21AE"/>
    <w:rsid w:val="00FF188C"/>
    <w:rsid w:val="00FF1981"/>
    <w:rsid w:val="00FF2D9C"/>
    <w:rsid w:val="018D73DA"/>
    <w:rsid w:val="0810607D"/>
    <w:rsid w:val="08F813C1"/>
    <w:rsid w:val="0B73B5F3"/>
    <w:rsid w:val="0C967803"/>
    <w:rsid w:val="0D41B239"/>
    <w:rsid w:val="10DE1C38"/>
    <w:rsid w:val="128D0A78"/>
    <w:rsid w:val="19080E6B"/>
    <w:rsid w:val="196A1941"/>
    <w:rsid w:val="19BC736A"/>
    <w:rsid w:val="2038643E"/>
    <w:rsid w:val="21F49AEC"/>
    <w:rsid w:val="22FA58E5"/>
    <w:rsid w:val="250258A6"/>
    <w:rsid w:val="2673EF38"/>
    <w:rsid w:val="2744913C"/>
    <w:rsid w:val="2AEC1701"/>
    <w:rsid w:val="2C426EB0"/>
    <w:rsid w:val="2C5CED1A"/>
    <w:rsid w:val="2C5D0440"/>
    <w:rsid w:val="317295D1"/>
    <w:rsid w:val="352FE089"/>
    <w:rsid w:val="35918C7D"/>
    <w:rsid w:val="377B81CA"/>
    <w:rsid w:val="3798031C"/>
    <w:rsid w:val="39D689D8"/>
    <w:rsid w:val="3B577B58"/>
    <w:rsid w:val="3D5DA3AB"/>
    <w:rsid w:val="3F0E6C72"/>
    <w:rsid w:val="3F2ABD8A"/>
    <w:rsid w:val="40C65343"/>
    <w:rsid w:val="42A9091B"/>
    <w:rsid w:val="43B00784"/>
    <w:rsid w:val="482EA099"/>
    <w:rsid w:val="4B903426"/>
    <w:rsid w:val="4B9F5A3E"/>
    <w:rsid w:val="4E72DAB3"/>
    <w:rsid w:val="4F65B343"/>
    <w:rsid w:val="504804D8"/>
    <w:rsid w:val="52353F93"/>
    <w:rsid w:val="53588BDF"/>
    <w:rsid w:val="55BFB879"/>
    <w:rsid w:val="56E1380D"/>
    <w:rsid w:val="5738A3EC"/>
    <w:rsid w:val="57DFF90A"/>
    <w:rsid w:val="58C356D3"/>
    <w:rsid w:val="59EF3C66"/>
    <w:rsid w:val="62F1C683"/>
    <w:rsid w:val="637D3211"/>
    <w:rsid w:val="6506CE1E"/>
    <w:rsid w:val="651595F1"/>
    <w:rsid w:val="66205F1E"/>
    <w:rsid w:val="682D63D3"/>
    <w:rsid w:val="6DBE2F57"/>
    <w:rsid w:val="727BD89F"/>
    <w:rsid w:val="738D8525"/>
    <w:rsid w:val="7919B3B9"/>
    <w:rsid w:val="7B93446E"/>
    <w:rsid w:val="7C25075A"/>
    <w:rsid w:val="7F615E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95B10F"/>
  <w15:chartTrackingRefBased/>
  <w15:docId w15:val="{B77A8273-1528-4986-96DA-A1C63EF77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39"/>
    <w:rsid w:val="008E7E92"/>
    <w:rPr>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E18"/>
    <w:rPr>
      <w:sz w:val="16"/>
      <w:szCs w:val="16"/>
    </w:rPr>
  </w:style>
  <w:style w:type="paragraph" w:styleId="CommentText">
    <w:name w:val="annotation text"/>
    <w:basedOn w:val="Normal"/>
    <w:link w:val="CommentTextChar"/>
    <w:uiPriority w:val="99"/>
    <w:unhideWhenUsed/>
    <w:rsid w:val="006E3E18"/>
    <w:rPr>
      <w:sz w:val="20"/>
      <w:szCs w:val="20"/>
    </w:rPr>
  </w:style>
  <w:style w:type="character" w:customStyle="1" w:styleId="CommentTextChar">
    <w:name w:val="Comment Text Char"/>
    <w:basedOn w:val="DefaultParagraphFont"/>
    <w:link w:val="CommentText"/>
    <w:uiPriority w:val="99"/>
    <w:rsid w:val="006E3E1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E3E18"/>
    <w:rPr>
      <w:b/>
      <w:bCs/>
    </w:rPr>
  </w:style>
  <w:style w:type="character" w:customStyle="1" w:styleId="CommentSubjectChar">
    <w:name w:val="Comment Subject Char"/>
    <w:basedOn w:val="CommentTextChar"/>
    <w:link w:val="CommentSubject"/>
    <w:uiPriority w:val="99"/>
    <w:semiHidden/>
    <w:rsid w:val="006E3E18"/>
    <w:rPr>
      <w:rFonts w:ascii="Times New Roman" w:eastAsia="Times New Roman" w:hAnsi="Times New Roman"/>
      <w:b/>
      <w:bCs/>
    </w:rPr>
  </w:style>
  <w:style w:type="paragraph" w:styleId="Revision">
    <w:name w:val="Revision"/>
    <w:hidden/>
    <w:uiPriority w:val="99"/>
    <w:semiHidden/>
    <w:rsid w:val="001E17CC"/>
    <w:rPr>
      <w:rFonts w:ascii="Times New Roman" w:eastAsia="Times New Roman" w:hAnsi="Times New Roman"/>
      <w:sz w:val="24"/>
      <w:szCs w:val="24"/>
    </w:rPr>
  </w:style>
  <w:style w:type="character" w:styleId="Hyperlink">
    <w:name w:val="Hyperlink"/>
    <w:basedOn w:val="DefaultParagraphFont"/>
    <w:uiPriority w:val="99"/>
    <w:unhideWhenUsed/>
    <w:rsid w:val="003B2634"/>
    <w:rPr>
      <w:color w:val="0563C1" w:themeColor="hyperlink"/>
      <w:u w:val="single"/>
    </w:rPr>
  </w:style>
  <w:style w:type="character" w:styleId="UnresolvedMention">
    <w:name w:val="Unresolved Mention"/>
    <w:basedOn w:val="DefaultParagraphFont"/>
    <w:uiPriority w:val="99"/>
    <w:semiHidden/>
    <w:unhideWhenUsed/>
    <w:rsid w:val="003B2634"/>
    <w:rPr>
      <w:color w:val="605E5C"/>
      <w:shd w:val="clear" w:color="auto" w:fill="E1DFDD"/>
    </w:rPr>
  </w:style>
  <w:style w:type="paragraph" w:styleId="FootnoteText">
    <w:name w:val="footnote text"/>
    <w:basedOn w:val="Normal"/>
    <w:link w:val="FootnoteTextChar"/>
    <w:uiPriority w:val="99"/>
    <w:semiHidden/>
    <w:unhideWhenUsed/>
    <w:rsid w:val="008A7EE6"/>
    <w:rPr>
      <w:sz w:val="20"/>
      <w:szCs w:val="20"/>
    </w:rPr>
  </w:style>
  <w:style w:type="character" w:customStyle="1" w:styleId="FootnoteTextChar">
    <w:name w:val="Footnote Text Char"/>
    <w:basedOn w:val="DefaultParagraphFont"/>
    <w:link w:val="FootnoteText"/>
    <w:uiPriority w:val="99"/>
    <w:semiHidden/>
    <w:rsid w:val="008A7EE6"/>
    <w:rPr>
      <w:rFonts w:ascii="Times New Roman" w:eastAsia="Times New Roman" w:hAnsi="Times New Roman"/>
    </w:rPr>
  </w:style>
  <w:style w:type="character" w:styleId="FootnoteReference">
    <w:name w:val="footnote reference"/>
    <w:basedOn w:val="DefaultParagraphFont"/>
    <w:uiPriority w:val="99"/>
    <w:unhideWhenUsed/>
    <w:rsid w:val="008A7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d60562-9914-4fec-a12f-14a29c41e0ef">
      <Terms xmlns="http://schemas.microsoft.com/office/infopath/2007/PartnerControls"/>
    </lcf76f155ced4ddcb4097134ff3c332f>
    <TaxCatchAll xmlns="d696f46e-1a20-4ade-97b0-9ac48728fd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33746-057E-4BDA-9B28-EC4D2B7CA8F9}">
  <ds:schemaRefs>
    <ds:schemaRef ds:uri="http://schemas.microsoft.com/sharepoint/v3/contenttype/forms"/>
  </ds:schemaRefs>
</ds:datastoreItem>
</file>

<file path=customXml/itemProps2.xml><?xml version="1.0" encoding="utf-8"?>
<ds:datastoreItem xmlns:ds="http://schemas.openxmlformats.org/officeDocument/2006/customXml" ds:itemID="{68CFC419-090A-46BA-AE30-6A3A51FCDB38}">
  <ds:schemaRefs>
    <ds:schemaRef ds:uri="http://schemas.microsoft.com/office/2006/metadata/properties"/>
    <ds:schemaRef ds:uri="http://schemas.microsoft.com/office/infopath/2007/PartnerControls"/>
    <ds:schemaRef ds:uri="http://schemas.microsoft.com/sharepoint/v3"/>
    <ds:schemaRef ds:uri="c8094b84-b0a1-4141-a88b-0c9af7ab840b"/>
    <ds:schemaRef ds:uri="58b58576-1f19-448a-8acd-2ef3245eaddc"/>
    <ds:schemaRef ds:uri="07a98f57-01ad-4688-92dc-401ac765f606"/>
    <ds:schemaRef ds:uri="74d60562-9914-4fec-a12f-14a29c41e0ef"/>
    <ds:schemaRef ds:uri="d696f46e-1a20-4ade-97b0-9ac48728fd0e"/>
  </ds:schemaRefs>
</ds:datastoreItem>
</file>

<file path=customXml/itemProps3.xml><?xml version="1.0" encoding="utf-8"?>
<ds:datastoreItem xmlns:ds="http://schemas.openxmlformats.org/officeDocument/2006/customXml" ds:itemID="{6542B12C-C44A-49FF-9073-8D2AD1D70C32}">
  <ds:schemaRefs>
    <ds:schemaRef ds:uri="http://schemas.openxmlformats.org/officeDocument/2006/bibliography"/>
  </ds:schemaRefs>
</ds:datastoreItem>
</file>

<file path=customXml/itemProps4.xml><?xml version="1.0" encoding="utf-8"?>
<ds:datastoreItem xmlns:ds="http://schemas.openxmlformats.org/officeDocument/2006/customXml" ds:itemID="{8502027C-84B4-4550-A257-867F5B8AB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13</cp:revision>
  <cp:lastPrinted>2013-01-25T19:13:00Z</cp:lastPrinted>
  <dcterms:created xsi:type="dcterms:W3CDTF">2025-04-28T14:57:00Z</dcterms:created>
  <dcterms:modified xsi:type="dcterms:W3CDTF">2025-04-28T14:57:00Z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409160dff2fccd60a0ebb816bbd8f55647cbe3bc999e75fb59fdd5885e8ed8ef</vt:lpwstr>
  </property>
  <property fmtid="{D5CDD505-2E9C-101B-9397-08002B2CF9AE}" pid="4" name="MediaServiceImageTags">
    <vt:lpwstr/>
  </property>
  <property fmtid="{D5CDD505-2E9C-101B-9397-08002B2CF9AE}" pid="5" name="_dlc_DocIdItemGuid">
    <vt:lpwstr>6cbe1b59-b551-49f2-a92a-b9fe0b8cef85</vt:lpwstr>
  </property>
</Properties>
</file>