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071B" w:rsidRPr="00DD071B" w:rsidP="00DD071B" w14:paraId="51C70893" w14:textId="77777777">
      <w:r w:rsidRPr="00DD071B">
        <w:rPr>
          <w:b/>
          <w:bCs/>
        </w:rPr>
        <w:t> </w:t>
      </w:r>
    </w:p>
    <w:p w:rsidR="00735579" w:rsidP="00735579" w14:paraId="4E80B0AC" w14:textId="77777777">
      <w:pPr>
        <w:tabs>
          <w:tab w:val="left" w:pos="360"/>
          <w:tab w:val="left" w:pos="810"/>
          <w:tab w:val="left" w:pos="1210"/>
          <w:tab w:val="left" w:pos="1656"/>
          <w:tab w:val="left" w:pos="2131"/>
          <w:tab w:val="left" w:pos="2520"/>
          <w:tab w:val="bar" w:pos="12510"/>
        </w:tabs>
        <w:spacing w:after="0" w:line="240" w:lineRule="auto"/>
        <w:jc w:val="center"/>
        <w:rPr>
          <w:rFonts w:ascii="Century Schoolbook" w:eastAsia="Times New Roman" w:hAnsi="Century Schoolbook" w:cs="Times New Roman"/>
          <w:b/>
          <w:spacing w:val="-5"/>
          <w:kern w:val="20"/>
        </w:rPr>
      </w:pPr>
      <w:r>
        <w:rPr>
          <w:rFonts w:ascii="Century Schoolbook" w:eastAsia="Times New Roman" w:hAnsi="Century Schoolbook" w:cs="Times New Roman"/>
          <w:b/>
          <w:spacing w:val="-5"/>
          <w:kern w:val="20"/>
        </w:rPr>
        <w:t>Collection Instrument</w:t>
      </w:r>
    </w:p>
    <w:p w:rsidR="00735579" w:rsidP="00735579" w14:paraId="3A0696D8" w14:textId="77777777">
      <w:pPr>
        <w:tabs>
          <w:tab w:val="left" w:pos="360"/>
          <w:tab w:val="left" w:pos="810"/>
          <w:tab w:val="left" w:pos="1210"/>
          <w:tab w:val="left" w:pos="1656"/>
          <w:tab w:val="left" w:pos="2131"/>
          <w:tab w:val="left" w:pos="2520"/>
          <w:tab w:val="bar" w:pos="12510"/>
        </w:tabs>
        <w:spacing w:after="0" w:line="240" w:lineRule="auto"/>
        <w:jc w:val="center"/>
        <w:rPr>
          <w:rFonts w:ascii="Century Schoolbook" w:eastAsia="Times New Roman" w:hAnsi="Century Schoolbook" w:cs="Times New Roman"/>
          <w:b/>
          <w:spacing w:val="-5"/>
          <w:kern w:val="20"/>
        </w:rPr>
      </w:pPr>
      <w:r>
        <w:rPr>
          <w:rFonts w:ascii="Century Schoolbook" w:eastAsia="Times New Roman" w:hAnsi="Century Schoolbook" w:cs="Times New Roman"/>
          <w:b/>
          <w:spacing w:val="-5"/>
          <w:kern w:val="20"/>
        </w:rPr>
        <w:t>OMB Control Number 0704-0549</w:t>
      </w:r>
    </w:p>
    <w:p w:rsidR="00735579" w:rsidP="00735579" w14:paraId="29D5A693" w14:textId="77777777">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b/>
          <w:spacing w:val="-5"/>
          <w:kern w:val="20"/>
        </w:rPr>
      </w:pPr>
    </w:p>
    <w:p w:rsidR="00735579" w:rsidRPr="003772C2" w:rsidP="00735579" w14:paraId="04642189" w14:textId="77777777">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b/>
          <w:spacing w:val="-5"/>
          <w:kern w:val="20"/>
        </w:rPr>
      </w:pPr>
      <w:r w:rsidRPr="003772C2">
        <w:rPr>
          <w:rFonts w:ascii="Century Schoolbook" w:eastAsia="Times New Roman" w:hAnsi="Century Schoolbook" w:cs="Times New Roman"/>
          <w:b/>
          <w:spacing w:val="-5"/>
          <w:kern w:val="20"/>
        </w:rPr>
        <w:t>PART 252—SOLICITATION PROVISIONS AND CONTRACT CLAUSES</w:t>
      </w:r>
    </w:p>
    <w:p w:rsidR="00735579" w:rsidRPr="003772C2" w:rsidP="00735579" w14:paraId="106726DD" w14:textId="77777777">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spacing w:val="-5"/>
          <w:kern w:val="20"/>
          <w:lang w:eastAsia="x-none"/>
        </w:rPr>
      </w:pPr>
    </w:p>
    <w:p w:rsidR="00735579" w:rsidRPr="003772C2" w:rsidP="00735579" w14:paraId="604AB88F" w14:textId="77777777">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spacing w:val="-5"/>
          <w:kern w:val="20"/>
        </w:rPr>
      </w:pPr>
      <w:r>
        <w:rPr>
          <w:rFonts w:ascii="Century Schoolbook" w:eastAsia="Times New Roman" w:hAnsi="Century Schoolbook" w:cs="Times New Roman"/>
          <w:spacing w:val="-5"/>
          <w:kern w:val="20"/>
        </w:rPr>
        <w:t>* * * * *</w:t>
      </w:r>
    </w:p>
    <w:p w:rsidR="00735579" w:rsidRPr="003772C2" w:rsidP="00735579" w14:paraId="2D9742B5" w14:textId="77777777">
      <w:pPr>
        <w:widowControl w:val="0"/>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spacing w:val="-5"/>
          <w:kern w:val="20"/>
          <w:lang w:val="x-none" w:eastAsia="x-none"/>
        </w:rPr>
      </w:pPr>
      <w:bookmarkStart w:id="0" w:name="_Hlk200358726"/>
      <w:r w:rsidRPr="003772C2">
        <w:rPr>
          <w:rFonts w:ascii="Century Schoolbook" w:eastAsia="Times New Roman" w:hAnsi="Century Schoolbook" w:cs="Times New Roman"/>
          <w:b/>
          <w:spacing w:val="-5"/>
          <w:kern w:val="20"/>
          <w:lang w:val="x-none" w:eastAsia="x-none"/>
        </w:rPr>
        <w:t xml:space="preserve">252.225-7039 </w:t>
      </w:r>
      <w:r w:rsidRPr="003772C2">
        <w:rPr>
          <w:rFonts w:ascii="Century Schoolbook" w:eastAsia="Times New Roman" w:hAnsi="Century Schoolbook" w:cs="Times New Roman"/>
          <w:b/>
          <w:spacing w:val="-5"/>
          <w:kern w:val="20"/>
          <w:lang w:eastAsia="x-none"/>
        </w:rPr>
        <w:t xml:space="preserve"> </w:t>
      </w:r>
      <w:r w:rsidRPr="003772C2">
        <w:rPr>
          <w:rFonts w:ascii="Century Schoolbook" w:eastAsia="Times New Roman" w:hAnsi="Century Schoolbook" w:cs="Times New Roman"/>
          <w:b/>
          <w:spacing w:val="-5"/>
          <w:kern w:val="20"/>
          <w:lang w:val="x-none" w:eastAsia="x-none"/>
        </w:rPr>
        <w:t>Defense Contractors Performing Private Security Functions Outside the United States</w:t>
      </w:r>
      <w:r w:rsidRPr="003772C2">
        <w:rPr>
          <w:rFonts w:ascii="Century Schoolbook" w:eastAsia="Times New Roman" w:hAnsi="Century Schoolbook" w:cs="Times New Roman"/>
          <w:spacing w:val="-5"/>
          <w:kern w:val="20"/>
          <w:lang w:val="x-none" w:eastAsia="x-none"/>
        </w:rPr>
        <w:t>.</w:t>
      </w:r>
    </w:p>
    <w:bookmarkEnd w:id="0"/>
    <w:p w:rsidR="00735579" w:rsidRPr="003772C2" w:rsidP="00735579" w14:paraId="1EE6DDCB" w14:textId="77777777">
      <w:pPr>
        <w:widowControl w:val="0"/>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spacing w:val="-5"/>
          <w:kern w:val="20"/>
          <w:lang w:val="x-none" w:eastAsia="x-none"/>
        </w:rPr>
      </w:pPr>
    </w:p>
    <w:p w:rsidR="00735579" w:rsidRPr="003772C2" w:rsidP="00735579" w14:paraId="19D76587" w14:textId="77777777">
      <w:pPr>
        <w:widowControl w:val="0"/>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spacing w:val="-5"/>
          <w:kern w:val="20"/>
          <w:lang w:val="x-none" w:eastAsia="x-none"/>
        </w:rPr>
      </w:pPr>
      <w:r w:rsidRPr="003772C2">
        <w:rPr>
          <w:rFonts w:ascii="Century Schoolbook" w:eastAsia="Times New Roman" w:hAnsi="Century Schoolbook" w:cs="Times New Roman"/>
          <w:spacing w:val="-5"/>
          <w:kern w:val="20"/>
          <w:lang w:val="x-none" w:eastAsia="x-none"/>
        </w:rPr>
        <w:t>As prescribed in 225.302-6, insert the following clause:</w:t>
      </w:r>
    </w:p>
    <w:p w:rsidR="00735579" w:rsidRPr="003772C2" w:rsidP="00735579" w14:paraId="775EA908" w14:textId="77777777">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b/>
        </w:rPr>
      </w:pPr>
    </w:p>
    <w:p w:rsidR="00735579" w:rsidRPr="003772C2" w:rsidP="00735579" w14:paraId="05879291" w14:textId="77777777">
      <w:pPr>
        <w:tabs>
          <w:tab w:val="left" w:pos="360"/>
        </w:tabs>
        <w:spacing w:line="240" w:lineRule="auto"/>
        <w:jc w:val="center"/>
        <w:rPr>
          <w:rFonts w:ascii="Century Schoolbook" w:hAnsi="Century Schoolbook"/>
        </w:rPr>
      </w:pPr>
      <w:r w:rsidRPr="003772C2">
        <w:rPr>
          <w:rFonts w:ascii="Century Schoolbook" w:hAnsi="Century Schoolbook"/>
        </w:rPr>
        <w:t>DEFENSE CONTRACTORS PERFORMING PRIVATE SECURITY FUNCTIONS</w:t>
      </w:r>
    </w:p>
    <w:p w:rsidR="00DD071B" w:rsidRPr="00DD071B" w:rsidP="00735579" w14:paraId="725A9839" w14:textId="7123EAD1">
      <w:r w:rsidRPr="003772C2">
        <w:rPr>
          <w:rFonts w:ascii="Century Schoolbook" w:hAnsi="Century Schoolbook"/>
        </w:rPr>
        <w:t>OUTSIDE THE UNITED STATES</w:t>
      </w:r>
      <w:r w:rsidRPr="00DD071B">
        <w:t xml:space="preserve"> </w:t>
      </w:r>
      <w:r w:rsidRPr="00DD071B">
        <w:rPr>
          <w:rFonts w:ascii="Century Schoolbook" w:hAnsi="Century Schoolbook"/>
        </w:rPr>
        <w:t>(JAN 2023)</w:t>
      </w:r>
    </w:p>
    <w:p w:rsidR="00DD071B" w:rsidRPr="00DD071B" w:rsidP="00DD071B" w14:paraId="3714BF30" w14:textId="77777777">
      <w:pPr>
        <w:rPr>
          <w:rFonts w:ascii="Century Schoolbook" w:hAnsi="Century Schoolbook"/>
        </w:rPr>
      </w:pPr>
      <w:r w:rsidRPr="00DD071B">
        <w:rPr>
          <w:rFonts w:ascii="Century Schoolbook" w:hAnsi="Century Schoolbook"/>
        </w:rPr>
        <w:t>      (a)  </w:t>
      </w:r>
      <w:r w:rsidRPr="00DD071B">
        <w:rPr>
          <w:rFonts w:ascii="Century Schoolbook" w:hAnsi="Century Schoolbook"/>
          <w:i/>
          <w:iCs/>
        </w:rPr>
        <w:t>Definitions</w:t>
      </w:r>
      <w:r w:rsidRPr="00DD071B">
        <w:rPr>
          <w:rFonts w:ascii="Century Schoolbook" w:hAnsi="Century Schoolbook"/>
        </w:rPr>
        <w:t>.  As used in this clause—</w:t>
      </w:r>
    </w:p>
    <w:p w:rsidR="00DD071B" w:rsidRPr="00DD071B" w:rsidP="00DD071B" w14:paraId="79492E40" w14:textId="77777777">
      <w:pPr>
        <w:rPr>
          <w:rFonts w:ascii="Century Schoolbook" w:hAnsi="Century Schoolbook"/>
        </w:rPr>
      </w:pPr>
      <w:r w:rsidRPr="00DD071B">
        <w:rPr>
          <w:rFonts w:ascii="Century Schoolbook" w:hAnsi="Century Schoolbook"/>
        </w:rPr>
        <w:t>      “Full cooperation”—</w:t>
      </w:r>
    </w:p>
    <w:p w:rsidR="00DD071B" w:rsidRPr="00DD071B" w:rsidP="00DD071B" w14:paraId="5F7E9471" w14:textId="77777777">
      <w:pPr>
        <w:rPr>
          <w:rFonts w:ascii="Century Schoolbook" w:hAnsi="Century Schoolbook"/>
        </w:rPr>
      </w:pPr>
      <w:r w:rsidRPr="00DD071B">
        <w:rPr>
          <w:rFonts w:ascii="Century Schoolbook" w:hAnsi="Century Schoolbook"/>
        </w:rPr>
        <w:t xml:space="preserve">              (1)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w:t>
      </w:r>
      <w:r w:rsidRPr="00DD071B">
        <w:rPr>
          <w:rFonts w:ascii="Century Schoolbook" w:hAnsi="Century Schoolbook"/>
        </w:rPr>
        <w:t>information;</w:t>
      </w:r>
    </w:p>
    <w:p w:rsidR="00DD071B" w:rsidRPr="00DD071B" w:rsidP="00DD071B" w14:paraId="3C36E2E7" w14:textId="77777777">
      <w:pPr>
        <w:rPr>
          <w:rFonts w:ascii="Century Schoolbook" w:hAnsi="Century Schoolbook"/>
        </w:rPr>
      </w:pPr>
      <w:r w:rsidRPr="00DD071B">
        <w:rPr>
          <w:rFonts w:ascii="Century Schoolbook" w:hAnsi="Century Schoolbook"/>
        </w:rPr>
        <w:t>              (2)  Does not foreclose any contractor rights arising in law, the FAR or the terms of the contract. It does not require—</w:t>
      </w:r>
    </w:p>
    <w:p w:rsidR="00DD071B" w:rsidRPr="00DD071B" w:rsidP="00DD071B" w14:paraId="714B6DEA" w14:textId="77777777">
      <w:pPr>
        <w:rPr>
          <w:rFonts w:ascii="Century Schoolbook" w:hAnsi="Century Schoolbook"/>
        </w:rPr>
      </w:pPr>
      <w:r w:rsidRPr="00DD071B">
        <w:rPr>
          <w:rFonts w:ascii="Century Schoolbook" w:hAnsi="Century Schoolbook"/>
        </w:rPr>
        <w:t>                    (</w:t>
      </w:r>
      <w:r w:rsidRPr="00DD071B">
        <w:rPr>
          <w:rFonts w:ascii="Century Schoolbook" w:hAnsi="Century Schoolbook"/>
        </w:rPr>
        <w:t>i</w:t>
      </w:r>
      <w:r w:rsidRPr="00DD071B">
        <w:rPr>
          <w:rFonts w:ascii="Century Schoolbook" w:hAnsi="Century Schoolbook"/>
        </w:rPr>
        <w:t>)  The contractor to waive its attorney-client privilege or the protections afforded by the attorney work product doctrine; or</w:t>
      </w:r>
    </w:p>
    <w:p w:rsidR="00DD071B" w:rsidRPr="00DD071B" w:rsidP="00DD071B" w14:paraId="10C0799D" w14:textId="77777777">
      <w:pPr>
        <w:rPr>
          <w:rFonts w:ascii="Century Schoolbook" w:hAnsi="Century Schoolbook"/>
        </w:rPr>
      </w:pPr>
      <w:r w:rsidRPr="00DD071B">
        <w:rPr>
          <w:rFonts w:ascii="Century Schoolbook" w:hAnsi="Century Schoolbook"/>
        </w:rPr>
        <w:t>                    (ii)  Any officer, director, owner, or employee of the contractor, including a sole proprietor, to waive his or her attorney-client privilege or Fifth Amendment rights; and</w:t>
      </w:r>
    </w:p>
    <w:p w:rsidR="00DD071B" w:rsidRPr="00DD071B" w:rsidP="00DD071B" w14:paraId="5DA499EB" w14:textId="77777777">
      <w:pPr>
        <w:rPr>
          <w:rFonts w:ascii="Century Schoolbook" w:hAnsi="Century Schoolbook"/>
        </w:rPr>
      </w:pPr>
      <w:r w:rsidRPr="00DD071B">
        <w:rPr>
          <w:rFonts w:ascii="Century Schoolbook" w:hAnsi="Century Schoolbook"/>
        </w:rPr>
        <w:t>              (3)  Does not restrict the contractor from—</w:t>
      </w:r>
    </w:p>
    <w:p w:rsidR="00DD071B" w:rsidRPr="00DD071B" w:rsidP="00DD071B" w14:paraId="5213E256" w14:textId="77777777">
      <w:pPr>
        <w:rPr>
          <w:rFonts w:ascii="Century Schoolbook" w:hAnsi="Century Schoolbook"/>
        </w:rPr>
      </w:pPr>
      <w:r w:rsidRPr="00DD071B">
        <w:rPr>
          <w:rFonts w:ascii="Century Schoolbook" w:hAnsi="Century Schoolbook"/>
        </w:rPr>
        <w:t>                    (</w:t>
      </w:r>
      <w:r w:rsidRPr="00DD071B">
        <w:rPr>
          <w:rFonts w:ascii="Century Schoolbook" w:hAnsi="Century Schoolbook"/>
        </w:rPr>
        <w:t>i</w:t>
      </w:r>
      <w:r w:rsidRPr="00DD071B">
        <w:rPr>
          <w:rFonts w:ascii="Century Schoolbook" w:hAnsi="Century Schoolbook"/>
        </w:rPr>
        <w:t>)  Conducting an internal investigation; or</w:t>
      </w:r>
    </w:p>
    <w:p w:rsidR="00DD071B" w:rsidRPr="00DD071B" w:rsidP="00DD071B" w14:paraId="064C6B82" w14:textId="77777777">
      <w:pPr>
        <w:rPr>
          <w:rFonts w:ascii="Century Schoolbook" w:hAnsi="Century Schoolbook"/>
        </w:rPr>
      </w:pPr>
      <w:r w:rsidRPr="00DD071B">
        <w:rPr>
          <w:rFonts w:ascii="Century Schoolbook" w:hAnsi="Century Schoolbook"/>
        </w:rPr>
        <w:t>                    (ii)  Defending a proceeding or dispute arising under the contract or related to a potential or disclosed violation.</w:t>
      </w:r>
    </w:p>
    <w:p w:rsidR="00DD071B" w:rsidRPr="00DD071B" w:rsidP="00DD071B" w14:paraId="6D4CD3D6" w14:textId="77777777">
      <w:pPr>
        <w:rPr>
          <w:rFonts w:ascii="Century Schoolbook" w:hAnsi="Century Schoolbook"/>
        </w:rPr>
      </w:pPr>
      <w:r w:rsidRPr="00DD071B">
        <w:rPr>
          <w:rFonts w:ascii="Century Schoolbook" w:hAnsi="Century Schoolbook"/>
        </w:rPr>
        <w:t>      “Private security functions” means the following activities engaged in by a contractor:</w:t>
      </w:r>
    </w:p>
    <w:p w:rsidR="00DD071B" w:rsidRPr="00DD071B" w:rsidP="00DD071B" w14:paraId="21B8E775" w14:textId="77777777">
      <w:pPr>
        <w:rPr>
          <w:rFonts w:ascii="Century Schoolbook" w:hAnsi="Century Schoolbook"/>
        </w:rPr>
      </w:pPr>
      <w:r w:rsidRPr="00DD071B">
        <w:rPr>
          <w:rFonts w:ascii="Century Schoolbook" w:hAnsi="Century Schoolbook"/>
        </w:rPr>
        <w:t xml:space="preserve">              (1)  Guarding of personnel, facilities, designated sites or property of a </w:t>
      </w:r>
      <w:r w:rsidRPr="00DD071B">
        <w:rPr>
          <w:rFonts w:ascii="Century Schoolbook" w:hAnsi="Century Schoolbook"/>
        </w:rPr>
        <w:t>Federal</w:t>
      </w:r>
      <w:r w:rsidRPr="00DD071B">
        <w:rPr>
          <w:rFonts w:ascii="Century Schoolbook" w:hAnsi="Century Schoolbook"/>
        </w:rPr>
        <w:t xml:space="preserve"> agency, the contractor or subcontractor, or a third party.</w:t>
      </w:r>
    </w:p>
    <w:p w:rsidR="00DD071B" w:rsidRPr="00DD071B" w:rsidP="00DD071B" w14:paraId="47BC5BF3" w14:textId="77777777">
      <w:pPr>
        <w:rPr>
          <w:rFonts w:ascii="Century Schoolbook" w:hAnsi="Century Schoolbook"/>
        </w:rPr>
      </w:pPr>
      <w:r w:rsidRPr="00DD071B">
        <w:rPr>
          <w:rFonts w:ascii="Century Schoolbook" w:hAnsi="Century Schoolbook"/>
        </w:rPr>
        <w:t>              (2)  Any other activity for which personnel are required to carry weapons in the performance of their duties in accordance with the terms of this contract.</w:t>
      </w:r>
    </w:p>
    <w:p w:rsidR="00DD071B" w:rsidRPr="00DD071B" w:rsidP="00DD071B" w14:paraId="147D47ED" w14:textId="77777777">
      <w:pPr>
        <w:rPr>
          <w:rFonts w:ascii="Century Schoolbook" w:hAnsi="Century Schoolbook"/>
        </w:rPr>
      </w:pPr>
      <w:r w:rsidRPr="00DD071B">
        <w:rPr>
          <w:rFonts w:ascii="Century Schoolbook" w:hAnsi="Century Schoolbook"/>
        </w:rPr>
        <w:t>      (b)  </w:t>
      </w:r>
      <w:r w:rsidRPr="00DD071B">
        <w:rPr>
          <w:rFonts w:ascii="Century Schoolbook" w:hAnsi="Century Schoolbook"/>
          <w:i/>
          <w:iCs/>
        </w:rPr>
        <w:t>Applicability</w:t>
      </w:r>
      <w:r w:rsidRPr="00DD071B">
        <w:rPr>
          <w:rFonts w:ascii="Century Schoolbook" w:hAnsi="Century Schoolbook"/>
        </w:rPr>
        <w:t>.  If this contract is performed both in a designated area and in an area that is not designated, the clause only applies to performance in the designated area. Designated areas are areas outside the United States of—</w:t>
      </w:r>
    </w:p>
    <w:p w:rsidR="00DD071B" w:rsidRPr="00DD071B" w:rsidP="00DD071B" w14:paraId="308A33B9" w14:textId="77777777">
      <w:pPr>
        <w:rPr>
          <w:rFonts w:ascii="Century Schoolbook" w:hAnsi="Century Schoolbook"/>
        </w:rPr>
      </w:pPr>
      <w:r w:rsidRPr="00DD071B">
        <w:rPr>
          <w:rFonts w:ascii="Century Schoolbook" w:hAnsi="Century Schoolbook"/>
        </w:rPr>
        <w:t xml:space="preserve">              (1)  Contingency </w:t>
      </w:r>
      <w:r w:rsidRPr="00DD071B">
        <w:rPr>
          <w:rFonts w:ascii="Century Schoolbook" w:hAnsi="Century Schoolbook"/>
        </w:rPr>
        <w:t>operations;</w:t>
      </w:r>
    </w:p>
    <w:p w:rsidR="00DD071B" w:rsidRPr="00DD071B" w:rsidP="00DD071B" w14:paraId="2D0C8F75" w14:textId="77777777">
      <w:pPr>
        <w:rPr>
          <w:rFonts w:ascii="Century Schoolbook" w:hAnsi="Century Schoolbook"/>
        </w:rPr>
      </w:pPr>
      <w:r w:rsidRPr="00DD071B">
        <w:rPr>
          <w:rFonts w:ascii="Century Schoolbook" w:hAnsi="Century Schoolbook"/>
        </w:rPr>
        <w:t xml:space="preserve">              (2)  Combat operations, as designated by the Secretary of </w:t>
      </w:r>
      <w:r w:rsidRPr="00DD071B">
        <w:rPr>
          <w:rFonts w:ascii="Century Schoolbook" w:hAnsi="Century Schoolbook"/>
        </w:rPr>
        <w:t>Defense;</w:t>
      </w:r>
    </w:p>
    <w:p w:rsidR="00DD071B" w:rsidRPr="00DD071B" w:rsidP="00DD071B" w14:paraId="4DA5FC90" w14:textId="77777777">
      <w:pPr>
        <w:rPr>
          <w:rFonts w:ascii="Century Schoolbook" w:hAnsi="Century Schoolbook"/>
        </w:rPr>
      </w:pPr>
      <w:r w:rsidRPr="00DD071B">
        <w:rPr>
          <w:rFonts w:ascii="Century Schoolbook" w:hAnsi="Century Schoolbook"/>
        </w:rPr>
        <w:t xml:space="preserve">              (3)  Other significant military operations (as defined in 32 CFR part 159), designated by the Secretary of Defense upon agreement of the Secretary of </w:t>
      </w:r>
      <w:r w:rsidRPr="00DD071B">
        <w:rPr>
          <w:rFonts w:ascii="Century Schoolbook" w:hAnsi="Century Schoolbook"/>
        </w:rPr>
        <w:t>State;</w:t>
      </w:r>
    </w:p>
    <w:p w:rsidR="00DD071B" w:rsidRPr="00DD071B" w:rsidP="00DD071B" w14:paraId="18EE5FDA" w14:textId="77777777">
      <w:pPr>
        <w:rPr>
          <w:rFonts w:ascii="Century Schoolbook" w:hAnsi="Century Schoolbook"/>
        </w:rPr>
      </w:pPr>
      <w:r w:rsidRPr="00DD071B">
        <w:rPr>
          <w:rFonts w:ascii="Century Schoolbook" w:hAnsi="Century Schoolbook"/>
        </w:rPr>
        <w:t>              (4)  Peace operations, consistent with Joint Publication 3-07.3; or</w:t>
      </w:r>
    </w:p>
    <w:p w:rsidR="00DD071B" w:rsidRPr="00DD071B" w:rsidP="00DD071B" w14:paraId="28B8BFF3" w14:textId="77777777">
      <w:pPr>
        <w:rPr>
          <w:rFonts w:ascii="Century Schoolbook" w:hAnsi="Century Schoolbook"/>
        </w:rPr>
      </w:pPr>
      <w:r w:rsidRPr="00DD071B">
        <w:rPr>
          <w:rFonts w:ascii="Century Schoolbook" w:hAnsi="Century Schoolbook"/>
        </w:rPr>
        <w:t>              (5)  Other military operations or military exercises, when designated by the Combatant Commander.</w:t>
      </w:r>
    </w:p>
    <w:p w:rsidR="00DD071B" w:rsidRPr="00DD071B" w:rsidP="00DD071B" w14:paraId="27826537" w14:textId="77777777">
      <w:pPr>
        <w:rPr>
          <w:rFonts w:ascii="Century Schoolbook" w:hAnsi="Century Schoolbook"/>
        </w:rPr>
      </w:pPr>
      <w:r w:rsidRPr="00DD071B">
        <w:rPr>
          <w:rFonts w:ascii="Century Schoolbook" w:hAnsi="Century Schoolbook"/>
        </w:rPr>
        <w:t>      (c)  </w:t>
      </w:r>
      <w:r w:rsidRPr="00DD071B">
        <w:rPr>
          <w:rFonts w:ascii="Century Schoolbook" w:hAnsi="Century Schoolbook"/>
          <w:i/>
          <w:iCs/>
        </w:rPr>
        <w:t>Requirements</w:t>
      </w:r>
      <w:r w:rsidRPr="00DD071B">
        <w:rPr>
          <w:rFonts w:ascii="Century Schoolbook" w:hAnsi="Century Schoolbook"/>
        </w:rPr>
        <w:t>.  The Contractor shall—</w:t>
      </w:r>
    </w:p>
    <w:p w:rsidR="00DD071B" w:rsidRPr="00DD071B" w:rsidP="00DD071B" w14:paraId="35C50DE5" w14:textId="77777777">
      <w:pPr>
        <w:rPr>
          <w:rFonts w:ascii="Century Schoolbook" w:hAnsi="Century Schoolbook"/>
        </w:rPr>
      </w:pPr>
      <w:r w:rsidRPr="00DD071B">
        <w:rPr>
          <w:rFonts w:ascii="Century Schoolbook" w:hAnsi="Century Schoolbook"/>
        </w:rPr>
        <w:t>              (1)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rsidR="00DD071B" w:rsidRPr="00DD071B" w:rsidP="00DD071B" w14:paraId="61FC8BE7" w14:textId="77777777">
      <w:pPr>
        <w:rPr>
          <w:rFonts w:ascii="Century Schoolbook" w:hAnsi="Century Schoolbook"/>
        </w:rPr>
      </w:pPr>
      <w:r w:rsidRPr="00DD071B">
        <w:rPr>
          <w:rFonts w:ascii="Century Schoolbook" w:hAnsi="Century Schoolbook"/>
        </w:rPr>
        <w:t>                    (</w:t>
      </w:r>
      <w:r w:rsidRPr="00DD071B">
        <w:rPr>
          <w:rFonts w:ascii="Century Schoolbook" w:hAnsi="Century Schoolbook"/>
        </w:rPr>
        <w:t>i</w:t>
      </w:r>
      <w:r w:rsidRPr="00DD071B">
        <w:rPr>
          <w:rFonts w:ascii="Century Schoolbook" w:hAnsi="Century Schoolbook"/>
        </w:rPr>
        <w:t xml:space="preserve">)  Registering, processing, accounting for, managing, overseeing and keeping appropriate records of personnel performing private security </w:t>
      </w:r>
      <w:r w:rsidRPr="00DD071B">
        <w:rPr>
          <w:rFonts w:ascii="Century Schoolbook" w:hAnsi="Century Schoolbook"/>
        </w:rPr>
        <w:t>functions;</w:t>
      </w:r>
    </w:p>
    <w:p w:rsidR="00DD071B" w:rsidRPr="00DD071B" w:rsidP="00DD071B" w14:paraId="20A0A3A1" w14:textId="77777777">
      <w:pPr>
        <w:rPr>
          <w:rFonts w:ascii="Century Schoolbook" w:hAnsi="Century Schoolbook"/>
        </w:rPr>
      </w:pPr>
      <w:r w:rsidRPr="00DD071B">
        <w:rPr>
          <w:rFonts w:ascii="Century Schoolbook" w:hAnsi="Century Schoolbook"/>
        </w:rPr>
        <w:t xml:space="preserve">                    (ii)  Authorizing, accounting for and registering in Synchronized </w:t>
      </w:r>
      <w:r w:rsidRPr="00DD071B">
        <w:rPr>
          <w:rFonts w:ascii="Century Schoolbook" w:hAnsi="Century Schoolbook"/>
        </w:rPr>
        <w:t>Predeployment</w:t>
      </w:r>
      <w:r w:rsidRPr="00DD071B">
        <w:rPr>
          <w:rFonts w:ascii="Century Schoolbook" w:hAnsi="Century Schoolbook"/>
        </w:rPr>
        <w:t xml:space="preserve"> and Operational Tracker (SPOT), weapons to be carried by or available to be used by personnel performing private security </w:t>
      </w:r>
      <w:r w:rsidRPr="00DD071B">
        <w:rPr>
          <w:rFonts w:ascii="Century Schoolbook" w:hAnsi="Century Schoolbook"/>
        </w:rPr>
        <w:t>functions;</w:t>
      </w:r>
    </w:p>
    <w:p w:rsidR="00DD071B" w:rsidRPr="00DD071B" w:rsidP="00DD071B" w14:paraId="46048D3E" w14:textId="77777777">
      <w:pPr>
        <w:rPr>
          <w:rFonts w:ascii="Century Schoolbook" w:hAnsi="Century Schoolbook"/>
        </w:rPr>
      </w:pPr>
      <w:r w:rsidRPr="00DD071B">
        <w:rPr>
          <w:rFonts w:ascii="Century Schoolbook" w:hAnsi="Century Schoolbook"/>
        </w:rPr>
        <w:t>                    (iii)  Identifying and registering in SPOT armored vehicles, helicopters and other military vehicles operated by Contractors performing private security functions; and</w:t>
      </w:r>
    </w:p>
    <w:p w:rsidR="00DD071B" w:rsidRPr="00DD071B" w:rsidP="00DD071B" w14:paraId="43FB8C87" w14:textId="77777777">
      <w:pPr>
        <w:rPr>
          <w:rFonts w:ascii="Century Schoolbook" w:hAnsi="Century Schoolbook"/>
        </w:rPr>
      </w:pPr>
      <w:r w:rsidRPr="00DD071B">
        <w:rPr>
          <w:rFonts w:ascii="Century Schoolbook" w:hAnsi="Century Schoolbook"/>
        </w:rPr>
        <w:t>                    (iv)  In accordance with orders and instructions established by the applicable Combatant Commander, reporting incidents in which—</w:t>
      </w:r>
    </w:p>
    <w:p w:rsidR="00DD071B" w:rsidRPr="00DD071B" w:rsidP="00DD071B" w14:paraId="6858B32C" w14:textId="77777777">
      <w:pPr>
        <w:rPr>
          <w:rFonts w:ascii="Century Schoolbook" w:hAnsi="Century Schoolbook"/>
        </w:rPr>
      </w:pPr>
      <w:r w:rsidRPr="00DD071B">
        <w:rPr>
          <w:rFonts w:ascii="Century Schoolbook" w:hAnsi="Century Schoolbook"/>
        </w:rPr>
        <w:t xml:space="preserve">                            (A)  A weapon is discharged by personnel performing private security </w:t>
      </w:r>
      <w:r w:rsidRPr="00DD071B">
        <w:rPr>
          <w:rFonts w:ascii="Century Schoolbook" w:hAnsi="Century Schoolbook"/>
        </w:rPr>
        <w:t>functions;</w:t>
      </w:r>
    </w:p>
    <w:p w:rsidR="00DD071B" w:rsidRPr="00DD071B" w:rsidP="00DD071B" w14:paraId="4B638199" w14:textId="77777777">
      <w:pPr>
        <w:rPr>
          <w:rFonts w:ascii="Century Schoolbook" w:hAnsi="Century Schoolbook"/>
        </w:rPr>
      </w:pPr>
      <w:r w:rsidRPr="00DD071B">
        <w:rPr>
          <w:rFonts w:ascii="Century Schoolbook" w:hAnsi="Century Schoolbook"/>
        </w:rPr>
        <w:t xml:space="preserve">                            (B)  Personnel performing private security functions are attacked, killed, or </w:t>
      </w:r>
      <w:r w:rsidRPr="00DD071B">
        <w:rPr>
          <w:rFonts w:ascii="Century Schoolbook" w:hAnsi="Century Schoolbook"/>
        </w:rPr>
        <w:t>injured;</w:t>
      </w:r>
    </w:p>
    <w:p w:rsidR="00DD071B" w:rsidRPr="00DD071B" w:rsidP="00DD071B" w14:paraId="2F53BA44" w14:textId="77777777">
      <w:pPr>
        <w:rPr>
          <w:rFonts w:ascii="Century Schoolbook" w:hAnsi="Century Schoolbook"/>
        </w:rPr>
      </w:pPr>
      <w:r w:rsidRPr="00DD071B">
        <w:rPr>
          <w:rFonts w:ascii="Century Schoolbook" w:hAnsi="Century Schoolbook"/>
        </w:rPr>
        <w:t xml:space="preserve">                            (C)  Persons are killed or </w:t>
      </w:r>
      <w:r w:rsidRPr="00DD071B">
        <w:rPr>
          <w:rFonts w:ascii="Century Schoolbook" w:hAnsi="Century Schoolbook"/>
        </w:rPr>
        <w:t>injured</w:t>
      </w:r>
      <w:r w:rsidRPr="00DD071B">
        <w:rPr>
          <w:rFonts w:ascii="Century Schoolbook" w:hAnsi="Century Schoolbook"/>
        </w:rPr>
        <w:t xml:space="preserve"> or property is destroyed as a result of conduct by Contractor personnel;</w:t>
      </w:r>
    </w:p>
    <w:p w:rsidR="00DD071B" w:rsidRPr="00DD071B" w:rsidP="00DD071B" w14:paraId="1C3C5B7B" w14:textId="77777777">
      <w:pPr>
        <w:rPr>
          <w:rFonts w:ascii="Century Schoolbook" w:hAnsi="Century Schoolbook"/>
        </w:rPr>
      </w:pPr>
      <w:r w:rsidRPr="00DD071B">
        <w:rPr>
          <w:rFonts w:ascii="Century Schoolbook" w:hAnsi="Century Schoolbook"/>
        </w:rPr>
        <w:t>                            (D)  A weapon is discharged against personnel performing private security functions or personnel performing such functions believe a weapon was so discharged; or</w:t>
      </w:r>
    </w:p>
    <w:p w:rsidR="00DD071B" w:rsidRPr="00DD071B" w:rsidP="00DD071B" w14:paraId="382853B7" w14:textId="77777777">
      <w:pPr>
        <w:rPr>
          <w:rFonts w:ascii="Century Schoolbook" w:hAnsi="Century Schoolbook"/>
        </w:rPr>
      </w:pPr>
      <w:r w:rsidRPr="00DD071B">
        <w:rPr>
          <w:rFonts w:ascii="Century Schoolbook" w:hAnsi="Century Schoolbook"/>
        </w:rPr>
        <w:t xml:space="preserve">                            (E)  Active, non-lethal countermeasures (other than the discharge of a weapon) are employed by personnel performing private security functions in response to a perceived immediate </w:t>
      </w:r>
      <w:r w:rsidRPr="00DD071B">
        <w:rPr>
          <w:rFonts w:ascii="Century Schoolbook" w:hAnsi="Century Schoolbook"/>
        </w:rPr>
        <w:t>threat;</w:t>
      </w:r>
    </w:p>
    <w:p w:rsidR="00DD071B" w:rsidRPr="00DD071B" w:rsidP="00DD071B" w14:paraId="3E73246D" w14:textId="77777777">
      <w:pPr>
        <w:rPr>
          <w:rFonts w:ascii="Century Schoolbook" w:hAnsi="Century Schoolbook"/>
        </w:rPr>
      </w:pPr>
      <w:r w:rsidRPr="00DD071B">
        <w:rPr>
          <w:rFonts w:ascii="Century Schoolbook" w:hAnsi="Century Schoolbook"/>
        </w:rPr>
        <w:t>              (2)  Ensure that Contractor personnel who are responsible for performing private security functions under this contract are briefed on and understand their obligation to comply with—</w:t>
      </w:r>
    </w:p>
    <w:p w:rsidR="00DD071B" w:rsidRPr="00DD071B" w:rsidP="00DD071B" w14:paraId="2DCA0716" w14:textId="77777777">
      <w:pPr>
        <w:rPr>
          <w:rFonts w:ascii="Century Schoolbook" w:hAnsi="Century Schoolbook"/>
        </w:rPr>
      </w:pPr>
      <w:r w:rsidRPr="00DD071B">
        <w:rPr>
          <w:rFonts w:ascii="Century Schoolbook" w:hAnsi="Century Schoolbook"/>
        </w:rPr>
        <w:t>                    (</w:t>
      </w:r>
      <w:r w:rsidRPr="00DD071B">
        <w:rPr>
          <w:rFonts w:ascii="Century Schoolbook" w:hAnsi="Century Schoolbook"/>
        </w:rPr>
        <w:t>i</w:t>
      </w:r>
      <w:r w:rsidRPr="00DD071B">
        <w:rPr>
          <w:rFonts w:ascii="Century Schoolbook" w:hAnsi="Century Schoolbook"/>
        </w:rPr>
        <w:t xml:space="preserve">)  Qualification, training, screening (including, if applicable, thorough background checks) and security requirements established by 32 CFR part </w:t>
      </w:r>
      <w:r w:rsidRPr="00DD071B">
        <w:rPr>
          <w:rFonts w:ascii="Century Schoolbook" w:hAnsi="Century Schoolbook"/>
        </w:rPr>
        <w:t>159;</w:t>
      </w:r>
    </w:p>
    <w:p w:rsidR="00DD071B" w:rsidRPr="00DD071B" w:rsidP="00DD071B" w14:paraId="29866AB9" w14:textId="77777777">
      <w:pPr>
        <w:rPr>
          <w:rFonts w:ascii="Century Schoolbook" w:hAnsi="Century Schoolbook"/>
        </w:rPr>
      </w:pPr>
      <w:r w:rsidRPr="00DD071B">
        <w:rPr>
          <w:rFonts w:ascii="Century Schoolbook" w:hAnsi="Century Schoolbook"/>
        </w:rPr>
        <w:t xml:space="preserve">                    (ii)  Applicable laws and regulations of the United States and the host country and applicable treaties and international agreements regarding performance of private security </w:t>
      </w:r>
      <w:r w:rsidRPr="00DD071B">
        <w:rPr>
          <w:rFonts w:ascii="Century Schoolbook" w:hAnsi="Century Schoolbook"/>
        </w:rPr>
        <w:t>functions;</w:t>
      </w:r>
    </w:p>
    <w:p w:rsidR="00DD071B" w:rsidRPr="00DD071B" w:rsidP="00DD071B" w14:paraId="6BB9BB68" w14:textId="77777777">
      <w:pPr>
        <w:rPr>
          <w:rFonts w:ascii="Century Schoolbook" w:hAnsi="Century Schoolbook"/>
        </w:rPr>
      </w:pPr>
      <w:r w:rsidRPr="00DD071B">
        <w:rPr>
          <w:rFonts w:ascii="Century Schoolbook" w:hAnsi="Century Schoolbook"/>
        </w:rPr>
        <w:t>                    (iii)  Orders, directives, and instructions issued by the applicable Combatant Commander or relevant Chief of Mission relating to weapons, equipment, force protection, security, health, safety, or relations and interaction with locals; and</w:t>
      </w:r>
    </w:p>
    <w:p w:rsidR="00DD071B" w:rsidRPr="00DD071B" w:rsidP="00DD071B" w14:paraId="6B78CA96" w14:textId="77777777">
      <w:pPr>
        <w:rPr>
          <w:rFonts w:ascii="Century Schoolbook" w:hAnsi="Century Schoolbook"/>
        </w:rPr>
      </w:pPr>
      <w:r w:rsidRPr="00DD071B">
        <w:rPr>
          <w:rFonts w:ascii="Century Schoolbook" w:hAnsi="Century Schoolbook"/>
        </w:rPr>
        <w:t xml:space="preserve">                    (iv)  Rules on the use of force issued by the applicable Combatant Commander or relevant Chief of Mission for personnel performing private security </w:t>
      </w:r>
      <w:r w:rsidRPr="00DD071B">
        <w:rPr>
          <w:rFonts w:ascii="Century Schoolbook" w:hAnsi="Century Schoolbook"/>
        </w:rPr>
        <w:t>functions;</w:t>
      </w:r>
    </w:p>
    <w:p w:rsidR="00DD071B" w:rsidRPr="00DD071B" w:rsidP="00DD071B" w14:paraId="7BC6FC62" w14:textId="77777777">
      <w:pPr>
        <w:rPr>
          <w:rFonts w:ascii="Century Schoolbook" w:hAnsi="Century Schoolbook"/>
        </w:rPr>
      </w:pPr>
      <w:r w:rsidRPr="00DD071B">
        <w:rPr>
          <w:rFonts w:ascii="Century Schoolbook" w:hAnsi="Century Schoolbook"/>
        </w:rPr>
        <w:t>              (3)  Provide full cooperation with any Government-authorized investigation of incidents reported pursuant to paragraph (c)(1)(iv) of this clause and incidents of alleged misconduct by personnel performing private security functions under this contract by providing—</w:t>
      </w:r>
    </w:p>
    <w:p w:rsidR="00DD071B" w:rsidRPr="00DD071B" w:rsidP="00DD071B" w14:paraId="28F55CC2" w14:textId="77777777">
      <w:pPr>
        <w:rPr>
          <w:rFonts w:ascii="Century Schoolbook" w:hAnsi="Century Schoolbook"/>
        </w:rPr>
      </w:pPr>
      <w:r w:rsidRPr="00DD071B">
        <w:rPr>
          <w:rFonts w:ascii="Century Schoolbook" w:hAnsi="Century Schoolbook"/>
        </w:rPr>
        <w:t>                    (</w:t>
      </w:r>
      <w:r w:rsidRPr="00DD071B">
        <w:rPr>
          <w:rFonts w:ascii="Century Schoolbook" w:hAnsi="Century Schoolbook"/>
        </w:rPr>
        <w:t>i</w:t>
      </w:r>
      <w:r w:rsidRPr="00DD071B">
        <w:rPr>
          <w:rFonts w:ascii="Century Schoolbook" w:hAnsi="Century Schoolbook"/>
        </w:rPr>
        <w:t>)  Access to employees performing private security functions; and</w:t>
      </w:r>
    </w:p>
    <w:p w:rsidR="00DD071B" w:rsidRPr="00DD071B" w:rsidP="00DD071B" w14:paraId="212CACC9" w14:textId="77777777">
      <w:pPr>
        <w:rPr>
          <w:rFonts w:ascii="Century Schoolbook" w:hAnsi="Century Schoolbook"/>
        </w:rPr>
      </w:pPr>
      <w:r w:rsidRPr="00DD071B">
        <w:rPr>
          <w:rFonts w:ascii="Century Schoolbook" w:hAnsi="Century Schoolbook"/>
        </w:rPr>
        <w:t>                    (ii)  Relevant information in the possession of the Contractor regarding the incident concerned; and</w:t>
      </w:r>
    </w:p>
    <w:p w:rsidR="00DD071B" w:rsidRPr="00DD071B" w:rsidP="00DD071B" w14:paraId="31AC7B81" w14:textId="77777777">
      <w:pPr>
        <w:rPr>
          <w:rFonts w:ascii="Century Schoolbook" w:hAnsi="Century Schoolbook"/>
        </w:rPr>
      </w:pPr>
      <w:r w:rsidRPr="00DD071B">
        <w:rPr>
          <w:rFonts w:ascii="Century Schoolbook" w:hAnsi="Century Schoolbook"/>
        </w:rPr>
        <w:t>              (4)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w:t>
      </w:r>
      <w:hyperlink r:id="rId4" w:tgtFrame="_blank" w:history="1">
        <w:r w:rsidRPr="00DD071B">
          <w:rPr>
            <w:rStyle w:val="Hyperlink"/>
            <w:rFonts w:ascii="Century Schoolbook" w:hAnsi="Century Schoolbook"/>
          </w:rPr>
          <w:t>http://www.acq.osd.mil/log/PS/psc.html</w:t>
        </w:r>
      </w:hyperlink>
      <w:r w:rsidRPr="00DD071B">
        <w:rPr>
          <w:rFonts w:ascii="Century Schoolbook" w:hAnsi="Century Schoolbook"/>
        </w:rPr>
        <w:t>).</w:t>
      </w:r>
    </w:p>
    <w:p w:rsidR="00DD071B" w:rsidRPr="00DD071B" w:rsidP="00DD071B" w14:paraId="599D2BEA" w14:textId="77777777">
      <w:pPr>
        <w:rPr>
          <w:rFonts w:ascii="Century Schoolbook" w:hAnsi="Century Schoolbook"/>
        </w:rPr>
      </w:pPr>
      <w:r w:rsidRPr="00DD071B">
        <w:rPr>
          <w:rFonts w:ascii="Century Schoolbook" w:hAnsi="Century Schoolbook"/>
        </w:rPr>
        <w:t>      (d)  </w:t>
      </w:r>
      <w:r w:rsidRPr="00DD071B">
        <w:rPr>
          <w:rFonts w:ascii="Century Schoolbook" w:hAnsi="Century Schoolbook"/>
          <w:i/>
          <w:iCs/>
        </w:rPr>
        <w:t>Remedies</w:t>
      </w:r>
      <w:r w:rsidRPr="00DD071B">
        <w:rPr>
          <w:rFonts w:ascii="Century Schoolbook" w:hAnsi="Century Schoolbook"/>
        </w:rPr>
        <w:t>.  In addition to other remedies available to the Government—</w:t>
      </w:r>
    </w:p>
    <w:p w:rsidR="00DD071B" w:rsidRPr="00DD071B" w:rsidP="00DD071B" w14:paraId="13BBECE5" w14:textId="77777777">
      <w:pPr>
        <w:rPr>
          <w:rFonts w:ascii="Century Schoolbook" w:hAnsi="Century Schoolbook"/>
        </w:rPr>
      </w:pPr>
      <w:r w:rsidRPr="00DD071B">
        <w:rPr>
          <w:rFonts w:ascii="Century Schoolbook" w:hAnsi="Century Schoolbook"/>
        </w:rPr>
        <w:t xml:space="preserve">              (1)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w:t>
      </w:r>
      <w:r w:rsidRPr="00DD071B">
        <w:rPr>
          <w:rFonts w:ascii="Century Schoolbook" w:hAnsi="Century Schoolbook"/>
        </w:rPr>
        <w:t>contract;</w:t>
      </w:r>
    </w:p>
    <w:p w:rsidR="00DD071B" w:rsidRPr="00DD071B" w:rsidP="00DD071B" w14:paraId="44C0BB9F" w14:textId="77777777">
      <w:pPr>
        <w:rPr>
          <w:rFonts w:ascii="Century Schoolbook" w:hAnsi="Century Schoolbook"/>
        </w:rPr>
      </w:pPr>
      <w:r w:rsidRPr="00DD071B">
        <w:rPr>
          <w:rFonts w:ascii="Century Schoolbook" w:hAnsi="Century Schoolbook"/>
        </w:rPr>
        <w:t>              (2)  The Contractor’s failure to comply with the requirements of this clause will be included in appropriate databases of past performance and considered in any responsibility determination or evaluation of past performance; and</w:t>
      </w:r>
    </w:p>
    <w:p w:rsidR="00DD071B" w:rsidRPr="00DD071B" w:rsidP="00DD071B" w14:paraId="3466C788" w14:textId="77777777">
      <w:pPr>
        <w:rPr>
          <w:rFonts w:ascii="Century Schoolbook" w:hAnsi="Century Schoolbook"/>
        </w:rPr>
      </w:pPr>
      <w:r w:rsidRPr="00DD071B">
        <w:rPr>
          <w:rFonts w:ascii="Century Schoolbook" w:hAnsi="Century Schoolbook"/>
        </w:rPr>
        <w:t>              (3)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rsidR="00DD071B" w:rsidRPr="00DD071B" w:rsidP="00DD071B" w14:paraId="61490A6C" w14:textId="77777777">
      <w:pPr>
        <w:rPr>
          <w:rFonts w:ascii="Century Schoolbook" w:hAnsi="Century Schoolbook"/>
        </w:rPr>
      </w:pPr>
      <w:r w:rsidRPr="00DD071B">
        <w:rPr>
          <w:rFonts w:ascii="Century Schoolbook" w:hAnsi="Century Schoolbook"/>
        </w:rPr>
        <w:t>      (e)  </w:t>
      </w:r>
      <w:r w:rsidRPr="00DD071B">
        <w:rPr>
          <w:rFonts w:ascii="Century Schoolbook" w:hAnsi="Century Schoolbook"/>
          <w:i/>
          <w:iCs/>
        </w:rPr>
        <w:t>Rule of construction</w:t>
      </w:r>
      <w:r w:rsidRPr="00DD071B">
        <w:rPr>
          <w:rFonts w:ascii="Century Schoolbook" w:hAnsi="Century Schoolbook"/>
        </w:rP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rsidR="00DD071B" w:rsidRPr="00DD071B" w:rsidP="00DD071B" w14:paraId="0B646A48" w14:textId="77777777">
      <w:pPr>
        <w:rPr>
          <w:rFonts w:ascii="Century Schoolbook" w:hAnsi="Century Schoolbook"/>
        </w:rPr>
      </w:pPr>
      <w:r w:rsidRPr="00DD071B">
        <w:rPr>
          <w:rFonts w:ascii="Century Schoolbook" w:hAnsi="Century Schoolbook"/>
        </w:rPr>
        <w:t>      (f)  </w:t>
      </w:r>
      <w:r w:rsidRPr="00DD071B">
        <w:rPr>
          <w:rFonts w:ascii="Century Schoolbook" w:hAnsi="Century Schoolbook"/>
          <w:i/>
          <w:iCs/>
        </w:rPr>
        <w:t>Subcontracts</w:t>
      </w:r>
      <w:r w:rsidRPr="00DD071B">
        <w:rPr>
          <w:rFonts w:ascii="Century Schoolbook" w:hAnsi="Century Schoolbook"/>
        </w:rPr>
        <w:t>.  The Contractor shall include the substance of this clause, including this paragraph (f), in subcontracts, including subcontracts for commercial products or commercial services, when private security functions will be performed outside the United States in areas of—</w:t>
      </w:r>
    </w:p>
    <w:p w:rsidR="00DD071B" w:rsidRPr="00DD071B" w:rsidP="00DD071B" w14:paraId="19493C0B" w14:textId="77777777">
      <w:pPr>
        <w:rPr>
          <w:rFonts w:ascii="Century Schoolbook" w:hAnsi="Century Schoolbook"/>
        </w:rPr>
      </w:pPr>
      <w:r w:rsidRPr="00DD071B">
        <w:rPr>
          <w:rFonts w:ascii="Century Schoolbook" w:hAnsi="Century Schoolbook"/>
        </w:rPr>
        <w:t xml:space="preserve">              (1)  Contingency </w:t>
      </w:r>
      <w:r w:rsidRPr="00DD071B">
        <w:rPr>
          <w:rFonts w:ascii="Century Schoolbook" w:hAnsi="Century Schoolbook"/>
        </w:rPr>
        <w:t>operations;</w:t>
      </w:r>
    </w:p>
    <w:p w:rsidR="00DD071B" w:rsidRPr="00DD071B" w:rsidP="00DD071B" w14:paraId="42BE88F4" w14:textId="77777777">
      <w:pPr>
        <w:rPr>
          <w:rFonts w:ascii="Century Schoolbook" w:hAnsi="Century Schoolbook"/>
        </w:rPr>
      </w:pPr>
      <w:r w:rsidRPr="00DD071B">
        <w:rPr>
          <w:rFonts w:ascii="Century Schoolbook" w:hAnsi="Century Schoolbook"/>
        </w:rPr>
        <w:t xml:space="preserve">              (2)  Combat operations, as designated by the Secretary of </w:t>
      </w:r>
      <w:r w:rsidRPr="00DD071B">
        <w:rPr>
          <w:rFonts w:ascii="Century Schoolbook" w:hAnsi="Century Schoolbook"/>
        </w:rPr>
        <w:t>Defense;</w:t>
      </w:r>
    </w:p>
    <w:p w:rsidR="00DD071B" w:rsidRPr="00DD071B" w:rsidP="00DD071B" w14:paraId="5BCF8A5B" w14:textId="77777777">
      <w:pPr>
        <w:rPr>
          <w:rFonts w:ascii="Century Schoolbook" w:hAnsi="Century Schoolbook"/>
        </w:rPr>
      </w:pPr>
      <w:r w:rsidRPr="00DD071B">
        <w:rPr>
          <w:rFonts w:ascii="Century Schoolbook" w:hAnsi="Century Schoolbook"/>
        </w:rPr>
        <w:t xml:space="preserve">              (3)  Other significant military operations (as defined in 32 CFR part 159), designated by the Secretary of Defense upon agreement of the Secretary of </w:t>
      </w:r>
      <w:r w:rsidRPr="00DD071B">
        <w:rPr>
          <w:rFonts w:ascii="Century Schoolbook" w:hAnsi="Century Schoolbook"/>
        </w:rPr>
        <w:t>State;</w:t>
      </w:r>
    </w:p>
    <w:p w:rsidR="00DD071B" w:rsidRPr="00DD071B" w:rsidP="00DD071B" w14:paraId="26FA7001" w14:textId="77777777">
      <w:pPr>
        <w:rPr>
          <w:rFonts w:ascii="Century Schoolbook" w:hAnsi="Century Schoolbook"/>
        </w:rPr>
      </w:pPr>
      <w:r w:rsidRPr="00DD071B">
        <w:rPr>
          <w:rFonts w:ascii="Century Schoolbook" w:hAnsi="Century Schoolbook"/>
        </w:rPr>
        <w:t>              (4)  Peace operations, consistent with Joint Publication 3-07.3; or</w:t>
      </w:r>
    </w:p>
    <w:p w:rsidR="00DD071B" w:rsidRPr="00DD071B" w:rsidP="00DD071B" w14:paraId="6A0324E0" w14:textId="77777777">
      <w:pPr>
        <w:rPr>
          <w:rFonts w:ascii="Century Schoolbook" w:hAnsi="Century Schoolbook"/>
        </w:rPr>
      </w:pPr>
      <w:r w:rsidRPr="00DD071B">
        <w:rPr>
          <w:rFonts w:ascii="Century Schoolbook" w:hAnsi="Century Schoolbook"/>
        </w:rPr>
        <w:t>              (5)  Other military operations or military exercises, when designated by the Combatant Commander.</w:t>
      </w:r>
    </w:p>
    <w:p w:rsidR="00DD071B" w:rsidRPr="00DD071B" w:rsidP="00DD071B" w14:paraId="49F3263D" w14:textId="77777777">
      <w:pPr>
        <w:rPr>
          <w:rFonts w:ascii="Century Schoolbook" w:hAnsi="Century Schoolbook"/>
        </w:rPr>
      </w:pPr>
      <w:r w:rsidRPr="00DD071B">
        <w:rPr>
          <w:rFonts w:ascii="Century Schoolbook" w:hAnsi="Century Schoolbook"/>
        </w:rPr>
        <w:t>(End of clause)</w:t>
      </w:r>
    </w:p>
    <w:p w:rsidR="00DD071B" w:rsidRPr="00E07BDE" w14:paraId="3F32FA9A" w14:textId="77777777">
      <w:pPr>
        <w:rPr>
          <w:rFonts w:ascii="Century Schoolbook" w:hAnsi="Century Schoolbook"/>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1B"/>
    <w:rsid w:val="003772C2"/>
    <w:rsid w:val="00735579"/>
    <w:rsid w:val="00786D31"/>
    <w:rsid w:val="00DD071B"/>
    <w:rsid w:val="00E07BDE"/>
    <w:rsid w:val="00E568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ACC8E"/>
  <w15:chartTrackingRefBased/>
  <w15:docId w15:val="{41DDE1EB-EC00-4794-B975-82776D91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71B"/>
    <w:rPr>
      <w:rFonts w:eastAsiaTheme="majorEastAsia" w:cstheme="majorBidi"/>
      <w:color w:val="272727" w:themeColor="text1" w:themeTint="D8"/>
    </w:rPr>
  </w:style>
  <w:style w:type="paragraph" w:styleId="Title">
    <w:name w:val="Title"/>
    <w:basedOn w:val="Normal"/>
    <w:next w:val="Normal"/>
    <w:link w:val="TitleChar"/>
    <w:uiPriority w:val="10"/>
    <w:qFormat/>
    <w:rsid w:val="00DD0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71B"/>
    <w:pPr>
      <w:spacing w:before="160"/>
      <w:jc w:val="center"/>
    </w:pPr>
    <w:rPr>
      <w:i/>
      <w:iCs/>
      <w:color w:val="404040" w:themeColor="text1" w:themeTint="BF"/>
    </w:rPr>
  </w:style>
  <w:style w:type="character" w:customStyle="1" w:styleId="QuoteChar">
    <w:name w:val="Quote Char"/>
    <w:basedOn w:val="DefaultParagraphFont"/>
    <w:link w:val="Quote"/>
    <w:uiPriority w:val="29"/>
    <w:rsid w:val="00DD071B"/>
    <w:rPr>
      <w:i/>
      <w:iCs/>
      <w:color w:val="404040" w:themeColor="text1" w:themeTint="BF"/>
    </w:rPr>
  </w:style>
  <w:style w:type="paragraph" w:styleId="ListParagraph">
    <w:name w:val="List Paragraph"/>
    <w:basedOn w:val="Normal"/>
    <w:uiPriority w:val="34"/>
    <w:qFormat/>
    <w:rsid w:val="00DD071B"/>
    <w:pPr>
      <w:ind w:left="720"/>
      <w:contextualSpacing/>
    </w:pPr>
  </w:style>
  <w:style w:type="character" w:styleId="IntenseEmphasis">
    <w:name w:val="Intense Emphasis"/>
    <w:basedOn w:val="DefaultParagraphFont"/>
    <w:uiPriority w:val="21"/>
    <w:qFormat/>
    <w:rsid w:val="00DD071B"/>
    <w:rPr>
      <w:i/>
      <w:iCs/>
      <w:color w:val="0F4761" w:themeColor="accent1" w:themeShade="BF"/>
    </w:rPr>
  </w:style>
  <w:style w:type="paragraph" w:styleId="IntenseQuote">
    <w:name w:val="Intense Quote"/>
    <w:basedOn w:val="Normal"/>
    <w:next w:val="Normal"/>
    <w:link w:val="IntenseQuoteChar"/>
    <w:uiPriority w:val="30"/>
    <w:qFormat/>
    <w:rsid w:val="00DD0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71B"/>
    <w:rPr>
      <w:i/>
      <w:iCs/>
      <w:color w:val="0F4761" w:themeColor="accent1" w:themeShade="BF"/>
    </w:rPr>
  </w:style>
  <w:style w:type="character" w:styleId="IntenseReference">
    <w:name w:val="Intense Reference"/>
    <w:basedOn w:val="DefaultParagraphFont"/>
    <w:uiPriority w:val="32"/>
    <w:qFormat/>
    <w:rsid w:val="00DD071B"/>
    <w:rPr>
      <w:b/>
      <w:bCs/>
      <w:smallCaps/>
      <w:color w:val="0F4761" w:themeColor="accent1" w:themeShade="BF"/>
      <w:spacing w:val="5"/>
    </w:rPr>
  </w:style>
  <w:style w:type="character" w:styleId="Hyperlink">
    <w:name w:val="Hyperlink"/>
    <w:basedOn w:val="DefaultParagraphFont"/>
    <w:uiPriority w:val="99"/>
    <w:unhideWhenUsed/>
    <w:rsid w:val="00DD071B"/>
    <w:rPr>
      <w:color w:val="467886" w:themeColor="hyperlink"/>
      <w:u w:val="single"/>
    </w:rPr>
  </w:style>
  <w:style w:type="character" w:styleId="UnresolvedMention">
    <w:name w:val="Unresolved Mention"/>
    <w:basedOn w:val="DefaultParagraphFont"/>
    <w:uiPriority w:val="99"/>
    <w:semiHidden/>
    <w:unhideWhenUsed/>
    <w:rsid w:val="00DD0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cq.osd.mil/log/PS/psc.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Defense Information Systems Agency</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Mcmillan, Saleemah M CIV OSD OUSD A-S (USA)</dc:creator>
  <cp:lastModifiedBy>Mcmillan, Saleemah M CIV OSD OUSD A-S (USA)</cp:lastModifiedBy>
  <cp:revision>2</cp:revision>
  <dcterms:created xsi:type="dcterms:W3CDTF">2025-06-09T13:31:00Z</dcterms:created>
  <dcterms:modified xsi:type="dcterms:W3CDTF">2025-06-09T15:03:00Z</dcterms:modified>
</cp:coreProperties>
</file>