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7C8A" w:rsidP="00357C8A" w14:paraId="77E74B6B" w14:textId="55615A04">
      <w:pPr>
        <w:jc w:val="center"/>
        <w:rPr>
          <w:rFonts w:eastAsia="Calibri"/>
        </w:rPr>
      </w:pPr>
      <w:r>
        <w:rPr>
          <w:rFonts w:eastAsia="Calibri"/>
        </w:rPr>
        <w:softHyphen/>
      </w:r>
      <w:r w:rsidRPr="00357C8A">
        <w:rPr>
          <w:rFonts w:eastAsia="Calibri"/>
        </w:rPr>
        <w:t>United States Food and Drug Administration</w:t>
      </w:r>
    </w:p>
    <w:p w:rsidR="00357C8A" w:rsidP="00357C8A" w14:paraId="4B94D5A5" w14:textId="77777777">
      <w:pPr>
        <w:jc w:val="center"/>
        <w:rPr>
          <w:rFonts w:eastAsia="Calibri"/>
        </w:rPr>
      </w:pPr>
    </w:p>
    <w:p w:rsidR="00357C8A" w:rsidP="00357C8A" w14:paraId="3DEEC669" w14:textId="480DA7EF">
      <w:pPr>
        <w:jc w:val="center"/>
        <w:rPr>
          <w:rFonts w:eastAsia="Calibri"/>
        </w:rPr>
      </w:pPr>
      <w:bookmarkStart w:id="0" w:name="_Hlk125030188"/>
      <w:r w:rsidRPr="00C50A69">
        <w:t>Small Dispensers Assessment under the Drug Supply Chain Security Act</w:t>
      </w:r>
      <w:bookmarkEnd w:id="0"/>
    </w:p>
    <w:p w:rsidR="00BE1317" w:rsidP="00357C8A" w14:paraId="04496591" w14:textId="77777777">
      <w:pPr>
        <w:jc w:val="center"/>
        <w:rPr>
          <w:rFonts w:eastAsia="Calibri"/>
        </w:rPr>
      </w:pPr>
    </w:p>
    <w:p w:rsidR="00357C8A" w:rsidP="00357C8A" w14:paraId="52FFAE30" w14:textId="03D4241A">
      <w:pPr>
        <w:jc w:val="center"/>
        <w:rPr>
          <w:rFonts w:eastAsia="Calibri"/>
        </w:rPr>
      </w:pPr>
      <w:r w:rsidRPr="51616367">
        <w:rPr>
          <w:rFonts w:eastAsia="Calibri"/>
        </w:rPr>
        <w:t>OMB Control</w:t>
      </w:r>
      <w:r w:rsidRPr="51616367" w:rsidR="4FBE05F1">
        <w:rPr>
          <w:rFonts w:eastAsia="Calibri"/>
        </w:rPr>
        <w:t xml:space="preserve"> </w:t>
      </w:r>
      <w:r w:rsidRPr="51616367">
        <w:rPr>
          <w:rFonts w:eastAsia="Calibri"/>
        </w:rPr>
        <w:t>No. 0910-NEW</w:t>
      </w:r>
    </w:p>
    <w:p w:rsidR="00357C8A" w:rsidP="00357C8A" w14:paraId="3656B9AB" w14:textId="77777777">
      <w:pPr>
        <w:jc w:val="center"/>
        <w:rPr>
          <w:rFonts w:eastAsia="Calibri"/>
        </w:rPr>
      </w:pPr>
    </w:p>
    <w:p w:rsidR="00357C8A" w:rsidP="00357C8A" w14:paraId="2C2BCB7B" w14:textId="77777777">
      <w:pPr>
        <w:jc w:val="center"/>
        <w:rPr>
          <w:rFonts w:eastAsia="Calibri"/>
        </w:rPr>
      </w:pPr>
      <w:r w:rsidRPr="00357C8A">
        <w:rPr>
          <w:rFonts w:eastAsia="Calibri"/>
        </w:rPr>
        <w:t>SUPPORTING STATEMENT</w:t>
      </w:r>
    </w:p>
    <w:p w:rsidR="007342EB" w:rsidP="000D79CC" w14:paraId="5197A48B" w14:textId="77777777">
      <w:pPr>
        <w:rPr>
          <w:rFonts w:eastAsia="Calibri"/>
          <w:b/>
        </w:rPr>
      </w:pPr>
    </w:p>
    <w:p w:rsidR="00357C8A" w:rsidP="000D79CC" w14:paraId="436C6022" w14:textId="12DD5F24">
      <w:pPr>
        <w:rPr>
          <w:rFonts w:eastAsia="Calibri"/>
        </w:rPr>
      </w:pPr>
      <w:r w:rsidRPr="00357C8A">
        <w:rPr>
          <w:rFonts w:eastAsia="Calibri"/>
          <w:b/>
        </w:rPr>
        <w:t>Part A:  Justification</w:t>
      </w:r>
      <w:r w:rsidRPr="00357C8A">
        <w:rPr>
          <w:rFonts w:eastAsia="Calibri"/>
        </w:rPr>
        <w:t>:</w:t>
      </w:r>
    </w:p>
    <w:p w:rsidR="000D79CC" w:rsidRPr="00357C8A" w:rsidP="000D79CC" w14:paraId="53128261" w14:textId="77777777">
      <w:pPr>
        <w:rPr>
          <w:rFonts w:eastAsia="Calibri"/>
        </w:rPr>
      </w:pPr>
    </w:p>
    <w:p w:rsidR="00357C8A" w:rsidRPr="00357C8A" w:rsidP="006705EA" w14:paraId="465D4D07"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00100B2D" w:rsidP="00100B2D" w14:paraId="19B29A13" w14:textId="2E7E6430">
      <w:pPr>
        <w:spacing w:after="200"/>
        <w:ind w:left="360"/>
        <w:rPr>
          <w:rFonts w:eastAsia="Calibri"/>
        </w:rPr>
      </w:pPr>
      <w:r>
        <w:rPr>
          <w:rFonts w:eastAsia="Calibri"/>
        </w:rPr>
        <w:t>This information collection support</w:t>
      </w:r>
      <w:r w:rsidR="00CE094E">
        <w:rPr>
          <w:rFonts w:eastAsia="Calibri"/>
        </w:rPr>
        <w:t>s</w:t>
      </w:r>
      <w:r>
        <w:rPr>
          <w:rFonts w:eastAsia="Calibri"/>
        </w:rPr>
        <w:t xml:space="preserve"> the</w:t>
      </w:r>
      <w:r>
        <w:t xml:space="preserve"> </w:t>
      </w:r>
      <w:r w:rsidR="00F11298">
        <w:t>requirement under se</w:t>
      </w:r>
      <w:r w:rsidR="00524665">
        <w:t>c</w:t>
      </w:r>
      <w:r w:rsidR="00F11298">
        <w:t xml:space="preserve">tion 582(g)(3) of the </w:t>
      </w:r>
      <w:r w:rsidRPr="00524665" w:rsidR="00524665">
        <w:t>Food Drug and Cosmetic Act (FD&amp;C Act)</w:t>
      </w:r>
      <w:r w:rsidR="0053499F">
        <w:t xml:space="preserve"> for the </w:t>
      </w:r>
      <w:r w:rsidRPr="008F0041">
        <w:rPr>
          <w:rFonts w:eastAsia="Calibri"/>
        </w:rPr>
        <w:t>Food and Drug Administration (FDA, us, or we)</w:t>
      </w:r>
      <w:r w:rsidRPr="00145115" w:rsidR="00145115">
        <w:rPr>
          <w:rFonts w:eastAsia="Calibri"/>
        </w:rPr>
        <w:t xml:space="preserve"> to enter into a contract with a private, independent consulting firm with expertise to conduct a technology and software assessment that looks at the feasibility of dispensers with 25 or fewer full-time employees</w:t>
      </w:r>
      <w:r w:rsidR="003229D6">
        <w:rPr>
          <w:rFonts w:eastAsia="Calibri"/>
        </w:rPr>
        <w:t xml:space="preserve"> (FTEs)</w:t>
      </w:r>
      <w:r w:rsidRPr="00145115" w:rsidR="00145115">
        <w:rPr>
          <w:rFonts w:eastAsia="Calibri"/>
        </w:rPr>
        <w:t xml:space="preserve"> conducting interoperable, electronic tracing of products at the package level.  </w:t>
      </w:r>
      <w:r w:rsidR="008E75D8">
        <w:t xml:space="preserve">Under enhanced drug distribution security requirements in section 582(g)(1), dispensers and other trading partners will be required to, among other requirements, exchange transaction information and transaction statements in a secure, interoperable, electronic manner for each package; implement systems and processes for package level verification, including the standardized numerical identifier; and implement systems and processes to facilitate gathering the information necessary to produce the transaction information and statement for each transaction going back to the manufacturer if FDA or a trading partner requests an investigation in the event of a recall or a suspect or illegitimate product. </w:t>
      </w:r>
      <w:r w:rsidR="00C66811">
        <w:t>These enhanced drug distribution security requirements are also referred to as “enhanced product tracing,” “enhanced verification,” or “interoperable, electronic tracing of products at the package level.”</w:t>
      </w:r>
      <w:r w:rsidR="00354B9F">
        <w:t xml:space="preserve">  </w:t>
      </w:r>
      <w:r w:rsidR="00354B9F">
        <w:rPr>
          <w:color w:val="000000"/>
          <w:lang w:val="en"/>
        </w:rPr>
        <w:t xml:space="preserve">FDA’s </w:t>
      </w:r>
      <w:r w:rsidR="00617CAF">
        <w:rPr>
          <w:color w:val="000000"/>
          <w:lang w:val="en"/>
        </w:rPr>
        <w:t>assessment</w:t>
      </w:r>
      <w:r w:rsidRPr="00354B9F" w:rsidR="00354B9F">
        <w:rPr>
          <w:color w:val="000000"/>
          <w:lang w:val="en"/>
        </w:rPr>
        <w:t xml:space="preserve"> entitled, “Small Dispensers Assessment under the Drug Supply Chain Security Act” (</w:t>
      </w:r>
      <w:r w:rsidRPr="00354B9F" w:rsidR="00354B9F">
        <w:t>DSCSA Small Dispensers Assessment) is intended to fulfill th</w:t>
      </w:r>
      <w:r w:rsidR="005F5D46">
        <w:t>e</w:t>
      </w:r>
      <w:r w:rsidRPr="00354B9F" w:rsidR="00354B9F">
        <w:t xml:space="preserve"> requirement</w:t>
      </w:r>
      <w:r w:rsidR="005F5D46">
        <w:t xml:space="preserve"> </w:t>
      </w:r>
      <w:r w:rsidR="003110A7">
        <w:t xml:space="preserve">for FDA to assess the </w:t>
      </w:r>
      <w:r w:rsidRPr="00145115" w:rsidR="005F5D46">
        <w:rPr>
          <w:rFonts w:eastAsia="Calibri"/>
        </w:rPr>
        <w:t>feasibility of dispensers with 25 or fewer full-time employees</w:t>
      </w:r>
      <w:r w:rsidR="005F5D46">
        <w:rPr>
          <w:rFonts w:eastAsia="Calibri"/>
        </w:rPr>
        <w:t xml:space="preserve"> (FTEs)</w:t>
      </w:r>
      <w:r w:rsidRPr="00145115" w:rsidR="005F5D46">
        <w:rPr>
          <w:rFonts w:eastAsia="Calibri"/>
        </w:rPr>
        <w:t xml:space="preserve"> conducting interoperable, electronic tracing of products at the package level</w:t>
      </w:r>
      <w:r w:rsidRPr="00354B9F" w:rsidR="00354B9F">
        <w:t>.</w:t>
      </w:r>
    </w:p>
    <w:p w:rsidR="00100B2D" w:rsidRPr="00A22524" w:rsidP="00100B2D" w14:paraId="33815998" w14:textId="08E484D1">
      <w:pPr>
        <w:spacing w:after="200"/>
        <w:ind w:left="360"/>
        <w:rPr>
          <w:rFonts w:eastAsia="Calibri"/>
          <w:b/>
          <w:bCs/>
        </w:rPr>
      </w:pPr>
      <w:r>
        <w:t>As described in section 582(g)(3)(C), issues to be addressed in the assessment questions are related to the accessibility of the necessary software and hardware to such dispensers; whether the necessary software and hardware is prohibitively expensive to obtain, install, and maintain for such dispensers; and if the necessary hardware and software can be integrated into business practices. Respondents will submit information by answering the assessment questions</w:t>
      </w:r>
      <w:r w:rsidR="00017B3A">
        <w:t xml:space="preserve"> using a link provided on FDA’s website</w:t>
      </w:r>
      <w:r>
        <w:t xml:space="preserve">. </w:t>
      </w:r>
      <w:r w:rsidRPr="00912E7D" w:rsidR="003007CB">
        <w:t>We have developed a web</w:t>
      </w:r>
      <w:r w:rsidR="003007CB">
        <w:t xml:space="preserve"> </w:t>
      </w:r>
      <w:r w:rsidRPr="00912E7D" w:rsidR="003007CB">
        <w:t xml:space="preserve">page to further assist industry regarding the DSCSA Small Dispensers Assessment, available at </w:t>
      </w:r>
      <w:hyperlink r:id="rId7" w:history="1">
        <w:r w:rsidRPr="00CE5C63" w:rsidR="003007CB">
          <w:rPr>
            <w:rStyle w:val="Hyperlink"/>
          </w:rPr>
          <w:t>https://www.fda.gov/drugs/drug-supply-chain-security-act-dscsa/drug-supply-chain-security-act-dscsa-assessment-small-dispensers</w:t>
        </w:r>
      </w:hyperlink>
      <w:r w:rsidR="001D52E5">
        <w:t xml:space="preserve">.  </w:t>
      </w:r>
    </w:p>
    <w:p w:rsidR="0081687B" w:rsidP="00BE1317" w14:paraId="7FC590DD" w14:textId="51AB428B">
      <w:pPr>
        <w:ind w:left="360"/>
        <w:rPr>
          <w:rFonts w:eastAsia="Calibri"/>
        </w:rPr>
      </w:pPr>
      <w:r w:rsidRPr="005C71CA">
        <w:rPr>
          <w:rFonts w:eastAsia="Calibri"/>
        </w:rPr>
        <w:t>We therefore request OMB approval</w:t>
      </w:r>
      <w:r>
        <w:rPr>
          <w:rFonts w:eastAsia="Calibri"/>
        </w:rPr>
        <w:t xml:space="preserve"> </w:t>
      </w:r>
      <w:r w:rsidRPr="005C71CA">
        <w:rPr>
          <w:rFonts w:eastAsia="Calibri"/>
        </w:rPr>
        <w:t>of</w:t>
      </w:r>
      <w:r>
        <w:rPr>
          <w:rFonts w:eastAsia="Calibri"/>
        </w:rPr>
        <w:t xml:space="preserve"> the proposed collection of information </w:t>
      </w:r>
      <w:r w:rsidR="00AE1124">
        <w:rPr>
          <w:rFonts w:eastAsia="Calibri"/>
        </w:rPr>
        <w:t>required by</w:t>
      </w:r>
      <w:r w:rsidR="00DB225D">
        <w:rPr>
          <w:rFonts w:eastAsia="Calibri"/>
        </w:rPr>
        <w:t xml:space="preserve"> section 582(g)(3) of </w:t>
      </w:r>
      <w:r w:rsidRPr="00145115" w:rsidR="00B97DE5">
        <w:rPr>
          <w:rFonts w:eastAsia="Calibri"/>
        </w:rPr>
        <w:t>the FD&amp;C Act</w:t>
      </w:r>
      <w:r w:rsidR="00AE1124">
        <w:rPr>
          <w:rFonts w:eastAsia="Calibri"/>
        </w:rPr>
        <w:t>,</w:t>
      </w:r>
      <w:r w:rsidR="00B97DE5">
        <w:rPr>
          <w:rFonts w:eastAsia="Calibri"/>
        </w:rPr>
        <w:t xml:space="preserve"> </w:t>
      </w:r>
      <w:r w:rsidRPr="005C71CA">
        <w:rPr>
          <w:rFonts w:eastAsia="Calibri"/>
        </w:rPr>
        <w:t>as discussed in this supporting statement.</w:t>
      </w:r>
    </w:p>
    <w:p w:rsidR="009F33AD" w:rsidP="00BE1317" w14:paraId="32375CC0" w14:textId="77777777">
      <w:pPr>
        <w:ind w:left="360"/>
        <w:rPr>
          <w:rFonts w:eastAsia="Calibri"/>
        </w:rPr>
      </w:pPr>
    </w:p>
    <w:p w:rsidR="00357C8A" w:rsidRPr="001724B8" w:rsidP="001724B8" w14:paraId="39D1A85E" w14:textId="37D36373">
      <w:pPr>
        <w:numPr>
          <w:ilvl w:val="0"/>
          <w:numId w:val="6"/>
        </w:numPr>
        <w:spacing w:after="200" w:line="276" w:lineRule="auto"/>
        <w:rPr>
          <w:rFonts w:eastAsia="Calibri"/>
          <w:u w:val="single"/>
        </w:rPr>
      </w:pPr>
      <w:r w:rsidRPr="001724B8">
        <w:rPr>
          <w:rFonts w:eastAsia="Calibri"/>
          <w:u w:val="single"/>
        </w:rPr>
        <w:t xml:space="preserve">Purpose and Use of the Information Collection </w:t>
      </w:r>
    </w:p>
    <w:p w:rsidR="00B543DB" w:rsidP="00840BFD" w14:paraId="2E82B087" w14:textId="3224AB2F">
      <w:pPr>
        <w:ind w:left="360"/>
        <w:rPr>
          <w:lang w:val="en"/>
        </w:rPr>
      </w:pPr>
      <w:r>
        <w:t>Th</w:t>
      </w:r>
      <w:r w:rsidR="008A7747">
        <w:t xml:space="preserve">e </w:t>
      </w:r>
      <w:r w:rsidR="00F11FB9">
        <w:t>assessment</w:t>
      </w:r>
      <w:r w:rsidR="001D18D1">
        <w:t xml:space="preserve"> </w:t>
      </w:r>
      <w:r w:rsidR="005C1E58">
        <w:t xml:space="preserve">is being planned to </w:t>
      </w:r>
      <w:r w:rsidR="008A7747">
        <w:t xml:space="preserve">meet the requirement of </w:t>
      </w:r>
      <w:r w:rsidR="008A7747">
        <w:rPr>
          <w:rFonts w:eastAsia="Calibri"/>
        </w:rPr>
        <w:t xml:space="preserve">section 582(g)(3) of </w:t>
      </w:r>
      <w:r w:rsidRPr="00145115" w:rsidR="008A7747">
        <w:rPr>
          <w:rFonts w:eastAsia="Calibri"/>
        </w:rPr>
        <w:t>the FD&amp;C Act</w:t>
      </w:r>
      <w:r w:rsidRPr="001E2891" w:rsidR="001E2891">
        <w:rPr>
          <w:rFonts w:eastAsia="Calibri"/>
        </w:rPr>
        <w:t>. The product tracing, product identification, and verification requirements of the DSCSA minimize the likelihood that potentially dangerous drug products will enter the distribution supply chain because they identify and trace certain prescription drugs as they are distributed in the United States</w:t>
      </w:r>
      <w:r w:rsidR="008A7747">
        <w:rPr>
          <w:rFonts w:eastAsia="Calibri"/>
        </w:rPr>
        <w:t xml:space="preserve">. </w:t>
      </w:r>
      <w:r w:rsidR="008A7747">
        <w:t xml:space="preserve"> </w:t>
      </w:r>
      <w:r w:rsidR="00C76B97">
        <w:t>T</w:t>
      </w:r>
      <w:r w:rsidRPr="6737B46A" w:rsidR="00C76B97">
        <w:rPr>
          <w:rFonts w:eastAsia="Calibri"/>
        </w:rPr>
        <w:t xml:space="preserve">he DSCSA requires the results of the assessment be considered to help FDA determine if </w:t>
      </w:r>
      <w:r w:rsidRPr="6737B46A" w:rsidR="00C76B97">
        <w:rPr>
          <w:lang w:val="en"/>
        </w:rPr>
        <w:t>alternative methods of compliance are necessary for small businesses or a process be established by which a dispenser may request a waiver from any of the requirements, in addition to other considerations.</w:t>
      </w:r>
      <w:r w:rsidR="00C76B97">
        <w:rPr>
          <w:lang w:val="en"/>
        </w:rPr>
        <w:t xml:space="preserve">  </w:t>
      </w:r>
    </w:p>
    <w:p w:rsidR="00B543DB" w:rsidP="00840BFD" w14:paraId="3A731680" w14:textId="77777777">
      <w:pPr>
        <w:ind w:left="360"/>
        <w:rPr>
          <w:lang w:val="en"/>
        </w:rPr>
      </w:pPr>
    </w:p>
    <w:p w:rsidR="002B6322" w:rsidP="00104DC9" w14:paraId="6FFF19C1" w14:textId="1EE7686A">
      <w:pPr>
        <w:ind w:left="360"/>
        <w:rPr>
          <w:rFonts w:eastAsia="Calibri"/>
        </w:rPr>
      </w:pPr>
      <w:r w:rsidRPr="009A4A64">
        <w:t>FDA plans to use the data collected under this clearance to inform</w:t>
      </w:r>
      <w:r>
        <w:t xml:space="preserve"> the Agency of the </w:t>
      </w:r>
      <w:r w:rsidRPr="00637B07">
        <w:t xml:space="preserve">feasibility of dispensers with a total of 25 or fewer </w:t>
      </w:r>
      <w:r w:rsidR="00CE094E">
        <w:t>FTEs</w:t>
      </w:r>
      <w:r w:rsidRPr="00637B07">
        <w:t xml:space="preserve"> of conducting interoperable, electronic tracing of products at the package level. </w:t>
      </w:r>
      <w:r w:rsidR="00C04994">
        <w:rPr>
          <w:rFonts w:eastAsia="Calibri"/>
        </w:rPr>
        <w:t>FDA will use the information gained from the assessment to determine if</w:t>
      </w:r>
      <w:r w:rsidRPr="007B43D6" w:rsidR="00C04994">
        <w:rPr>
          <w:rFonts w:eastAsia="Calibri"/>
        </w:rPr>
        <w:t xml:space="preserve"> timelines for compliance by small businesses and a process for a dispenser to request a waiver of such requirements</w:t>
      </w:r>
      <w:r w:rsidR="00C04994">
        <w:rPr>
          <w:rFonts w:eastAsia="Calibri"/>
        </w:rPr>
        <w:t xml:space="preserve"> is needed</w:t>
      </w:r>
      <w:r w:rsidRPr="007B43D6" w:rsidR="00C04994">
        <w:rPr>
          <w:rFonts w:eastAsia="Calibri"/>
        </w:rPr>
        <w:t>.</w:t>
      </w:r>
      <w:r w:rsidR="00C04994">
        <w:rPr>
          <w:rFonts w:eastAsia="Calibri"/>
        </w:rPr>
        <w:t xml:space="preserve"> </w:t>
      </w:r>
      <w:r w:rsidR="005D3471">
        <w:rPr>
          <w:rFonts w:eastAsia="Calibri"/>
        </w:rPr>
        <w:t xml:space="preserve"> </w:t>
      </w:r>
    </w:p>
    <w:p w:rsidR="00104DC9" w:rsidRPr="00842DB7" w:rsidP="00840BFD" w14:paraId="3625B582" w14:textId="77777777">
      <w:pPr>
        <w:rPr>
          <w:rFonts w:eastAsia="Calibri"/>
        </w:rPr>
      </w:pPr>
    </w:p>
    <w:p w:rsidR="00357C8A" w:rsidRPr="00357C8A" w:rsidP="006705EA" w14:paraId="37E67F98"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00A7020D" w:rsidP="00840BFD" w14:paraId="458DA0D1" w14:textId="5D5FCD61">
      <w:pPr>
        <w:pStyle w:val="BodyText"/>
        <w:spacing w:before="69" w:after="0"/>
        <w:ind w:left="360" w:right="186"/>
      </w:pPr>
      <w:r>
        <w:t xml:space="preserve">Assessment </w:t>
      </w:r>
      <w:r w:rsidR="00C82EB3">
        <w:t>respondents</w:t>
      </w:r>
      <w:r w:rsidR="003C60C2">
        <w:t xml:space="preserve"> will </w:t>
      </w:r>
      <w:r w:rsidR="5ACDA3DA">
        <w:t xml:space="preserve">include self-identified </w:t>
      </w:r>
      <w:r w:rsidR="7BFF6363">
        <w:t>individuals</w:t>
      </w:r>
      <w:r w:rsidR="5ACDA3DA">
        <w:t xml:space="preserve"> </w:t>
      </w:r>
      <w:r w:rsidR="000B7252">
        <w:t>representing dispensers</w:t>
      </w:r>
      <w:r w:rsidR="006766F1">
        <w:t xml:space="preserve"> with a total of 25 or fewer </w:t>
      </w:r>
      <w:r w:rsidR="007151B7">
        <w:t xml:space="preserve">FTEs </w:t>
      </w:r>
      <w:r w:rsidR="56EDC376">
        <w:t xml:space="preserve">(small dispenser) and </w:t>
      </w:r>
      <w:r w:rsidR="7DF7947D">
        <w:t>individuals</w:t>
      </w:r>
      <w:r w:rsidR="56EDC376">
        <w:t xml:space="preserve"> representing small dispensers’ third-party entities</w:t>
      </w:r>
      <w:r w:rsidR="00542AE5">
        <w:t xml:space="preserve"> </w:t>
      </w:r>
      <w:r w:rsidRPr="00912E7D" w:rsidR="00542AE5">
        <w:t xml:space="preserve">(e.g., solution providers, wholesale distributors, consultants). </w:t>
      </w:r>
      <w:r w:rsidR="00B12E07">
        <w:t>After</w:t>
      </w:r>
      <w:r w:rsidRPr="00912E7D" w:rsidR="00B12E07">
        <w:t xml:space="preserve"> the DSCSA Small Dispensers Assessment is </w:t>
      </w:r>
      <w:r w:rsidR="008C124B">
        <w:t>launched</w:t>
      </w:r>
      <w:r w:rsidRPr="00912E7D" w:rsidR="00B12E07">
        <w:t xml:space="preserve">, </w:t>
      </w:r>
      <w:r w:rsidRPr="003265DC" w:rsidR="00B12E07">
        <w:t xml:space="preserve">individuals representing </w:t>
      </w:r>
      <w:r w:rsidR="00B12E07">
        <w:t xml:space="preserve">small </w:t>
      </w:r>
      <w:r w:rsidRPr="003265DC" w:rsidR="00B12E07">
        <w:t xml:space="preserve">dispensers </w:t>
      </w:r>
      <w:r w:rsidRPr="00912E7D" w:rsidR="00B12E07">
        <w:t xml:space="preserve">interested in </w:t>
      </w:r>
      <w:r w:rsidR="00B12E07">
        <w:t>participating</w:t>
      </w:r>
      <w:r w:rsidRPr="00912E7D" w:rsidR="00B12E07">
        <w:t xml:space="preserve"> will </w:t>
      </w:r>
      <w:r w:rsidR="00D946DC">
        <w:t xml:space="preserve">electronically </w:t>
      </w:r>
      <w:r w:rsidR="00AE1223">
        <w:t>submit their responses to the assessment questionnaire using</w:t>
      </w:r>
      <w:r w:rsidR="0016695F">
        <w:t xml:space="preserve"> a link </w:t>
      </w:r>
      <w:r w:rsidRPr="00912E7D" w:rsidR="00B12E07">
        <w:t>provided</w:t>
      </w:r>
      <w:r w:rsidR="00B12E07">
        <w:t xml:space="preserve"> on the following web</w:t>
      </w:r>
      <w:r w:rsidR="007A30EE">
        <w:t>page</w:t>
      </w:r>
      <w:r w:rsidRPr="00912E7D" w:rsidR="00B12E07">
        <w:t xml:space="preserve">, </w:t>
      </w:r>
      <w:hyperlink r:id="rId7" w:history="1">
        <w:r w:rsidRPr="00CE5C63" w:rsidR="00B12E07">
          <w:rPr>
            <w:rStyle w:val="Hyperlink"/>
          </w:rPr>
          <w:t>https://www.fda.gov/drugs/drug-supply-chain-security-act-dscsa/drug-supply-chain-security-act-dscsa-assessment-small-dispensers</w:t>
        </w:r>
      </w:hyperlink>
      <w:r w:rsidRPr="00912E7D" w:rsidR="00B12E07">
        <w:t xml:space="preserve">.  </w:t>
      </w:r>
    </w:p>
    <w:p w:rsidR="00A7020D" w:rsidP="00840BFD" w14:paraId="09722D55" w14:textId="77777777">
      <w:pPr>
        <w:rPr>
          <w:rFonts w:eastAsia="Calibri"/>
        </w:rPr>
      </w:pPr>
    </w:p>
    <w:p w:rsidR="00357C8A" w:rsidRPr="00357C8A" w:rsidP="006705EA" w14:paraId="7AE3F741"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00BE1317" w:rsidP="00840BFD" w14:paraId="28ED6CF3" w14:textId="05AC1D54">
      <w:pPr>
        <w:ind w:left="360"/>
      </w:pPr>
      <w:r w:rsidRPr="005C71CA">
        <w:t>We are unaware of duplicative information collection.</w:t>
      </w:r>
      <w:r w:rsidR="004E4549">
        <w:t xml:space="preserve">  </w:t>
      </w:r>
    </w:p>
    <w:p w:rsidR="00BE1317" w:rsidRPr="00BE1317" w:rsidP="00840BFD" w14:paraId="490169EB" w14:textId="77777777">
      <w:pPr>
        <w:spacing w:line="276" w:lineRule="auto"/>
        <w:ind w:left="360"/>
        <w:rPr>
          <w:rFonts w:eastAsia="Calibri"/>
        </w:rPr>
      </w:pPr>
    </w:p>
    <w:p w:rsidR="00357C8A" w:rsidRPr="00357C8A" w:rsidP="006705EA" w14:paraId="0380A9B1" w14:textId="3779716E">
      <w:pPr>
        <w:numPr>
          <w:ilvl w:val="0"/>
          <w:numId w:val="6"/>
        </w:numPr>
        <w:spacing w:after="200" w:line="276" w:lineRule="auto"/>
        <w:rPr>
          <w:rFonts w:eastAsia="Calibri"/>
        </w:rPr>
      </w:pPr>
      <w:r w:rsidRPr="00357C8A">
        <w:rPr>
          <w:rFonts w:eastAsia="Calibri"/>
          <w:u w:val="single"/>
        </w:rPr>
        <w:t>Impact on Small Businesses or Other Small Entities</w:t>
      </w:r>
    </w:p>
    <w:p w:rsidR="00357C8A" w:rsidP="00840BFD" w14:paraId="6E07D74F" w14:textId="28B42F8A">
      <w:pPr>
        <w:pStyle w:val="BodyText"/>
        <w:spacing w:before="69" w:after="0"/>
        <w:ind w:left="360" w:right="2"/>
      </w:pPr>
      <w:r>
        <w:t xml:space="preserve">The main goal of </w:t>
      </w:r>
      <w:r w:rsidR="00EE131C">
        <w:t>this assessment</w:t>
      </w:r>
      <w:r>
        <w:t xml:space="preserve"> is to measure the </w:t>
      </w:r>
      <w:r w:rsidRPr="00145115">
        <w:rPr>
          <w:rFonts w:eastAsia="Calibri"/>
        </w:rPr>
        <w:t xml:space="preserve">feasibility of </w:t>
      </w:r>
      <w:r w:rsidR="00EE131C">
        <w:rPr>
          <w:rFonts w:eastAsia="Calibri"/>
        </w:rPr>
        <w:t xml:space="preserve">small </w:t>
      </w:r>
      <w:r w:rsidRPr="00145115">
        <w:rPr>
          <w:rFonts w:eastAsia="Calibri"/>
        </w:rPr>
        <w:t xml:space="preserve">dispensers </w:t>
      </w:r>
      <w:r w:rsidR="00EE131C">
        <w:rPr>
          <w:rFonts w:eastAsia="Calibri"/>
        </w:rPr>
        <w:t>(</w:t>
      </w:r>
      <w:r w:rsidR="00772CBF">
        <w:rPr>
          <w:rFonts w:eastAsia="Calibri"/>
        </w:rPr>
        <w:t xml:space="preserve">described </w:t>
      </w:r>
      <w:r w:rsidR="00EE131C">
        <w:rPr>
          <w:rFonts w:eastAsia="Calibri"/>
        </w:rPr>
        <w:t xml:space="preserve">as </w:t>
      </w:r>
      <w:r w:rsidR="00FE4FDB">
        <w:rPr>
          <w:rFonts w:eastAsia="Calibri"/>
        </w:rPr>
        <w:t>having</w:t>
      </w:r>
      <w:r w:rsidRPr="00145115">
        <w:rPr>
          <w:rFonts w:eastAsia="Calibri"/>
        </w:rPr>
        <w:t xml:space="preserve"> 25 or fewer </w:t>
      </w:r>
      <w:r w:rsidR="00FB07B4">
        <w:rPr>
          <w:rFonts w:eastAsia="Calibri"/>
        </w:rPr>
        <w:t>FTEs</w:t>
      </w:r>
      <w:r w:rsidR="00FE4FDB">
        <w:rPr>
          <w:rFonts w:eastAsia="Calibri"/>
        </w:rPr>
        <w:t xml:space="preserve"> in section 582(g)</w:t>
      </w:r>
      <w:r w:rsidR="00C74A1D">
        <w:rPr>
          <w:rFonts w:eastAsia="Calibri"/>
        </w:rPr>
        <w:t xml:space="preserve"> of the FD&amp;C Act</w:t>
      </w:r>
      <w:r w:rsidR="006E6951">
        <w:rPr>
          <w:rFonts w:eastAsia="Calibri"/>
        </w:rPr>
        <w:t>)</w:t>
      </w:r>
      <w:r w:rsidRPr="00145115">
        <w:rPr>
          <w:rFonts w:eastAsia="Calibri"/>
        </w:rPr>
        <w:t xml:space="preserve"> conducting interoperable, electronic tracing of products at the package level. </w:t>
      </w:r>
      <w:r w:rsidR="00EF65CF">
        <w:rPr>
          <w:rFonts w:eastAsia="Calibri"/>
        </w:rPr>
        <w:t>The assessment itself is</w:t>
      </w:r>
      <w:r w:rsidR="00831DA5">
        <w:rPr>
          <w:rFonts w:eastAsia="Calibri"/>
        </w:rPr>
        <w:t xml:space="preserve"> a one-time assessment and should not have a significant impact on small businesses. The results of the assessment may have some impact on small business such that</w:t>
      </w:r>
      <w:r w:rsidR="00636ED9">
        <w:rPr>
          <w:rFonts w:eastAsia="Calibri"/>
        </w:rPr>
        <w:t>, as noted,</w:t>
      </w:r>
      <w:r w:rsidR="00831DA5">
        <w:rPr>
          <w:rFonts w:eastAsia="Calibri"/>
        </w:rPr>
        <w:t xml:space="preserve"> FDA will use the information gained from the assessment to </w:t>
      </w:r>
      <w:r w:rsidR="007B43D6">
        <w:rPr>
          <w:rFonts w:eastAsia="Calibri"/>
        </w:rPr>
        <w:t>determine i</w:t>
      </w:r>
      <w:r w:rsidR="00940AA4">
        <w:rPr>
          <w:rFonts w:eastAsia="Calibri"/>
        </w:rPr>
        <w:t>f</w:t>
      </w:r>
      <w:r w:rsidRPr="007B43D6" w:rsidR="007B43D6">
        <w:rPr>
          <w:rFonts w:eastAsia="Calibri"/>
        </w:rPr>
        <w:t xml:space="preserve"> timelines for compliance by small businesses and a process for a dispenser to request a waiver of such requirements</w:t>
      </w:r>
      <w:r w:rsidR="00940AA4">
        <w:rPr>
          <w:rFonts w:eastAsia="Calibri"/>
        </w:rPr>
        <w:t xml:space="preserve"> is needed</w:t>
      </w:r>
      <w:r w:rsidRPr="007B43D6" w:rsidR="007B43D6">
        <w:rPr>
          <w:rFonts w:eastAsia="Calibri"/>
        </w:rPr>
        <w:t>.</w:t>
      </w:r>
      <w:r w:rsidR="00714E32">
        <w:rPr>
          <w:rFonts w:eastAsia="Calibri"/>
        </w:rPr>
        <w:t xml:space="preserve">  </w:t>
      </w:r>
      <w:r w:rsidRPr="00FF2931" w:rsidR="00714E32">
        <w:rPr>
          <w:rFonts w:eastAsia="Calibri"/>
        </w:rPr>
        <w:t xml:space="preserve">We provide </w:t>
      </w:r>
      <w:r w:rsidR="00714E32">
        <w:rPr>
          <w:rFonts w:eastAsia="Calibri"/>
        </w:rPr>
        <w:t>information on s</w:t>
      </w:r>
      <w:r w:rsidRPr="00FF2931" w:rsidR="00714E32">
        <w:rPr>
          <w:rFonts w:eastAsia="Calibri"/>
        </w:rPr>
        <w:t xml:space="preserve">mall </w:t>
      </w:r>
      <w:r w:rsidR="00714E32">
        <w:rPr>
          <w:rFonts w:eastAsia="Calibri"/>
        </w:rPr>
        <w:t>b</w:t>
      </w:r>
      <w:r w:rsidRPr="00FF2931" w:rsidR="00714E32">
        <w:rPr>
          <w:rFonts w:eastAsia="Calibri"/>
        </w:rPr>
        <w:t xml:space="preserve">usiness </w:t>
      </w:r>
      <w:r w:rsidR="00714E32">
        <w:rPr>
          <w:rFonts w:eastAsia="Calibri"/>
        </w:rPr>
        <w:t>assistance</w:t>
      </w:r>
      <w:r w:rsidRPr="00FF2931" w:rsidR="00714E32">
        <w:rPr>
          <w:rFonts w:eastAsia="Calibri"/>
        </w:rPr>
        <w:t xml:space="preserve"> on </w:t>
      </w:r>
      <w:r w:rsidR="00714E32">
        <w:rPr>
          <w:rFonts w:eastAsia="Calibri"/>
        </w:rPr>
        <w:t>the FDA</w:t>
      </w:r>
      <w:r w:rsidRPr="00FF2931" w:rsidR="00714E32">
        <w:rPr>
          <w:rFonts w:eastAsia="Calibri"/>
        </w:rPr>
        <w:t xml:space="preserve"> website at </w:t>
      </w:r>
      <w:hyperlink r:id="rId8" w:history="1">
        <w:r w:rsidRPr="009D1526" w:rsidR="00714E32">
          <w:rPr>
            <w:rStyle w:val="Hyperlink"/>
            <w:rFonts w:eastAsia="Calibri"/>
          </w:rPr>
          <w:t>http://www.fda.gov/ForIndustry/SmallBusinessAssistance/default.htm</w:t>
        </w:r>
      </w:hyperlink>
      <w:r w:rsidRPr="00FF2931" w:rsidR="00714E32">
        <w:rPr>
          <w:rFonts w:eastAsia="Calibri"/>
        </w:rPr>
        <w:t>.</w:t>
      </w:r>
    </w:p>
    <w:p w:rsidR="00B31A7A" w:rsidRPr="00B31A7A" w:rsidP="00547C93" w14:paraId="65C2AF05" w14:textId="77777777">
      <w:pPr>
        <w:pStyle w:val="BodyText"/>
        <w:spacing w:after="0"/>
        <w:ind w:right="2"/>
      </w:pPr>
    </w:p>
    <w:p w:rsidR="00357C8A" w:rsidRPr="00357C8A" w:rsidP="006705EA" w14:paraId="0AE88DF7" w14:textId="77777777">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00BA6AD5" w:rsidRPr="00C77014" w:rsidP="00227F4A" w14:paraId="3C5BDBED" w14:textId="4098DC6B">
      <w:pPr>
        <w:ind w:left="360"/>
        <w:rPr>
          <w:lang w:val="en"/>
        </w:rPr>
      </w:pPr>
      <w:r w:rsidRPr="6737B46A">
        <w:rPr>
          <w:rFonts w:eastAsia="Calibri"/>
        </w:rPr>
        <w:t xml:space="preserve">This is a one-time </w:t>
      </w:r>
      <w:r w:rsidRPr="6737B46A" w:rsidR="00357C8A">
        <w:rPr>
          <w:rFonts w:eastAsia="Calibri"/>
        </w:rPr>
        <w:t>information collection</w:t>
      </w:r>
      <w:r w:rsidRPr="6737B46A">
        <w:rPr>
          <w:rFonts w:eastAsia="Calibri"/>
        </w:rPr>
        <w:t xml:space="preserve"> </w:t>
      </w:r>
      <w:r w:rsidRPr="6737B46A" w:rsidR="00571C72">
        <w:rPr>
          <w:rFonts w:eastAsia="Calibri"/>
        </w:rPr>
        <w:t xml:space="preserve">of information </w:t>
      </w:r>
      <w:r w:rsidRPr="6737B46A">
        <w:rPr>
          <w:rFonts w:eastAsia="Calibri"/>
        </w:rPr>
        <w:t xml:space="preserve">as </w:t>
      </w:r>
      <w:r w:rsidR="002C5010">
        <w:rPr>
          <w:rFonts w:eastAsia="Calibri"/>
        </w:rPr>
        <w:t>required</w:t>
      </w:r>
      <w:r w:rsidRPr="6737B46A">
        <w:rPr>
          <w:rFonts w:eastAsia="Calibri"/>
        </w:rPr>
        <w:t xml:space="preserve"> by the DSCSA</w:t>
      </w:r>
      <w:r w:rsidRPr="6737B46A" w:rsidR="00762F02">
        <w:rPr>
          <w:rFonts w:eastAsia="Calibri"/>
        </w:rPr>
        <w:t xml:space="preserve"> in section 582(g)(3)</w:t>
      </w:r>
      <w:r w:rsidR="003D5A55">
        <w:rPr>
          <w:rFonts w:eastAsia="Calibri"/>
        </w:rPr>
        <w:t xml:space="preserve"> of the FD&amp;C Act</w:t>
      </w:r>
      <w:r w:rsidRPr="6737B46A">
        <w:rPr>
          <w:rFonts w:eastAsia="Calibri"/>
        </w:rPr>
        <w:t>. Failure to conduct the assessment and collect the necessary information would result in</w:t>
      </w:r>
      <w:r w:rsidRPr="6737B46A" w:rsidR="00762F02">
        <w:rPr>
          <w:rFonts w:eastAsia="Calibri"/>
        </w:rPr>
        <w:t xml:space="preserve"> missing the opportunity to assess the feasibility of small dispensers </w:t>
      </w:r>
      <w:r w:rsidRPr="6737B46A" w:rsidR="00762F02">
        <w:rPr>
          <w:rFonts w:eastAsia="Calibri"/>
        </w:rPr>
        <w:t xml:space="preserve">conducting interoperable, electronic tracing of products at the package level. </w:t>
      </w:r>
      <w:r w:rsidRPr="00AB3E1F" w:rsidR="00AB3E1F">
        <w:rPr>
          <w:lang w:val="en"/>
        </w:rPr>
        <w:t xml:space="preserve">The information collection schedule is consistent with statutory requirements.  </w:t>
      </w:r>
    </w:p>
    <w:p w:rsidR="00BA6AD5" w:rsidP="00227F4A" w14:paraId="63AE85FC" w14:textId="77777777">
      <w:pPr>
        <w:ind w:left="360"/>
        <w:rPr>
          <w:color w:val="333333"/>
          <w:lang w:val="en"/>
        </w:rPr>
      </w:pPr>
    </w:p>
    <w:p w:rsidR="000B402E" w:rsidRPr="000B402E" w:rsidP="000B402E" w14:paraId="44D1F033" w14:textId="77777777">
      <w:pPr>
        <w:pStyle w:val="ListParagraph"/>
        <w:numPr>
          <w:ilvl w:val="0"/>
          <w:numId w:val="6"/>
        </w:numPr>
        <w:rPr>
          <w:rFonts w:eastAsia="Calibri"/>
        </w:rPr>
      </w:pPr>
      <w:r w:rsidRPr="000B402E">
        <w:rPr>
          <w:rFonts w:eastAsia="Calibri"/>
          <w:u w:val="single"/>
        </w:rPr>
        <w:t>Special Circumstances Relating to the Guidelines of 5 CFR 1320.5</w:t>
      </w:r>
    </w:p>
    <w:p w:rsidR="000B402E" w:rsidP="000B402E" w14:paraId="77B61A89" w14:textId="77777777">
      <w:pPr>
        <w:pStyle w:val="ListParagraph"/>
        <w:spacing w:line="276" w:lineRule="auto"/>
        <w:ind w:left="360"/>
      </w:pPr>
    </w:p>
    <w:p w:rsidR="00FE3F0A" w:rsidP="00FE3F0A" w14:paraId="49254A3A" w14:textId="77777777">
      <w:pPr>
        <w:pStyle w:val="BodyText"/>
        <w:spacing w:after="0"/>
        <w:ind w:firstLine="360"/>
        <w:rPr>
          <w:spacing w:val="-1"/>
        </w:rPr>
      </w:pPr>
      <w:r>
        <w:t xml:space="preserve">There are no special </w:t>
      </w:r>
      <w:r>
        <w:rPr>
          <w:spacing w:val="-1"/>
        </w:rPr>
        <w:t>circumstances</w:t>
      </w:r>
      <w:r>
        <w:rPr>
          <w:spacing w:val="-2"/>
        </w:rPr>
        <w:t xml:space="preserve"> </w:t>
      </w:r>
      <w:r>
        <w:t xml:space="preserve">for the collection of </w:t>
      </w:r>
      <w:r>
        <w:rPr>
          <w:spacing w:val="-1"/>
        </w:rPr>
        <w:t>information.</w:t>
      </w:r>
    </w:p>
    <w:p w:rsidR="000B402E" w:rsidRPr="000B402E" w:rsidP="000B402E" w14:paraId="6074E3D4" w14:textId="77777777">
      <w:pPr>
        <w:ind w:left="360"/>
        <w:rPr>
          <w:rFonts w:eastAsia="Calibri"/>
        </w:rPr>
      </w:pPr>
    </w:p>
    <w:p w:rsidR="00357C8A" w:rsidRPr="000B402E" w:rsidP="000B402E" w14:paraId="17931CD8" w14:textId="68069AFE">
      <w:pPr>
        <w:numPr>
          <w:ilvl w:val="0"/>
          <w:numId w:val="6"/>
        </w:numPr>
        <w:rPr>
          <w:rFonts w:eastAsia="Calibri"/>
        </w:rPr>
      </w:pPr>
      <w:r w:rsidRPr="00357C8A">
        <w:rPr>
          <w:rFonts w:eastAsia="Calibri"/>
          <w:u w:val="single"/>
        </w:rPr>
        <w:t>Comments in Response to the Federal Register Notice and Efforts to Consult Outside the Agency</w:t>
      </w:r>
    </w:p>
    <w:p w:rsidR="000B402E" w:rsidRPr="00357C8A" w:rsidP="000B402E" w14:paraId="44FE3E22" w14:textId="77777777">
      <w:pPr>
        <w:ind w:left="360"/>
        <w:rPr>
          <w:rFonts w:eastAsia="Calibri"/>
        </w:rPr>
      </w:pPr>
    </w:p>
    <w:p w:rsidR="007B3ED9" w:rsidP="0018568D" w14:paraId="4331B7AC" w14:textId="4BFE448C">
      <w:pPr>
        <w:spacing w:line="276" w:lineRule="auto"/>
        <w:ind w:left="360"/>
      </w:pPr>
      <w:r>
        <w:t xml:space="preserve">In the </w:t>
      </w:r>
      <w:r>
        <w:rPr>
          <w:i/>
          <w:iCs/>
        </w:rPr>
        <w:t xml:space="preserve">Federal Register </w:t>
      </w:r>
      <w:r w:rsidR="008971EC">
        <w:t>March 13</w:t>
      </w:r>
      <w:r w:rsidRPr="005F30C2" w:rsidR="008971EC">
        <w:t xml:space="preserve">, </w:t>
      </w:r>
      <w:r w:rsidR="008971EC">
        <w:t>2024</w:t>
      </w:r>
      <w:r w:rsidRPr="005F30C2" w:rsidR="008971EC">
        <w:t xml:space="preserve"> (</w:t>
      </w:r>
      <w:r w:rsidRPr="00DC2C80" w:rsidR="008971EC">
        <w:t>89 FR 18415</w:t>
      </w:r>
      <w:r w:rsidRPr="005F30C2" w:rsidR="008971EC">
        <w:t>)</w:t>
      </w:r>
      <w:r>
        <w:t>, FDA published a 60-day notice requesting public comment on the proposed collection of information</w:t>
      </w:r>
      <w:r w:rsidR="00331CD4">
        <w:t>.</w:t>
      </w:r>
      <w:r w:rsidR="008B2795">
        <w:t xml:space="preserve">  </w:t>
      </w:r>
      <w:r>
        <w:t xml:space="preserve">FDA received two comment letters </w:t>
      </w:r>
      <w:r w:rsidR="00955723">
        <w:t xml:space="preserve">from </w:t>
      </w:r>
      <w:r w:rsidR="003C41B4">
        <w:t>pharmaceutical trade associations</w:t>
      </w:r>
      <w:r>
        <w:t xml:space="preserve">.  </w:t>
      </w:r>
    </w:p>
    <w:p w:rsidR="0018568D" w:rsidRPr="00A13C51" w:rsidP="0018568D" w14:paraId="3A3893D3" w14:textId="77777777">
      <w:pPr>
        <w:spacing w:line="276" w:lineRule="auto"/>
        <w:ind w:left="360"/>
        <w:rPr>
          <w:i/>
          <w:iCs/>
        </w:rPr>
      </w:pPr>
    </w:p>
    <w:p w:rsidR="007B3ED9" w:rsidP="0018568D" w14:paraId="65601B52" w14:textId="43B4C2C1">
      <w:pPr>
        <w:ind w:left="360"/>
        <w:contextualSpacing/>
      </w:pPr>
      <w:r w:rsidRPr="00210641">
        <w:t xml:space="preserve">(Comment) Both comment letters expressed concern that the </w:t>
      </w:r>
      <w:r w:rsidR="007C0D45">
        <w:t>information collection burden estimates provided in the notice reflected a decision that our sample size would be limited to 200</w:t>
      </w:r>
      <w:r w:rsidRPr="00210641">
        <w:t xml:space="preserve">.  </w:t>
      </w:r>
      <w:r w:rsidR="007C0D45">
        <w:t xml:space="preserve">One </w:t>
      </w:r>
      <w:r>
        <w:t>comment letter estimat</w:t>
      </w:r>
      <w:r w:rsidRPr="00210641">
        <w:t xml:space="preserve">ed that </w:t>
      </w:r>
      <w:r w:rsidR="007C0D45">
        <w:t>a</w:t>
      </w:r>
      <w:r w:rsidRPr="00210641">
        <w:t xml:space="preserve"> sample size of 200 would only represent roughly 1% of the independent pharmacies in the United States.</w:t>
      </w:r>
      <w:r>
        <w:t xml:space="preserve">  This comment argued that </w:t>
      </w:r>
      <w:r w:rsidR="00A13D1A">
        <w:t>a</w:t>
      </w:r>
      <w:r>
        <w:t xml:space="preserve"> 1%</w:t>
      </w:r>
      <w:r w:rsidRPr="00622D3F">
        <w:t xml:space="preserve"> sample size</w:t>
      </w:r>
      <w:r>
        <w:t xml:space="preserve"> would not allow FDA to adequately assess the cost and burdens on small dispensers or determine alternative methods of compliance that would not impose economic hardship on small businesses.</w:t>
      </w:r>
    </w:p>
    <w:p w:rsidR="0018568D" w:rsidP="0018568D" w14:paraId="6F9FFFA3" w14:textId="77777777">
      <w:pPr>
        <w:ind w:left="360"/>
        <w:contextualSpacing/>
      </w:pPr>
    </w:p>
    <w:p w:rsidR="0018568D" w:rsidP="00104DC9" w14:paraId="4B546D9E" w14:textId="2E680B3F">
      <w:pPr>
        <w:ind w:left="360"/>
        <w:contextualSpacing/>
      </w:pPr>
      <w:bookmarkStart w:id="1" w:name="_Hlk166768860"/>
      <w:r>
        <w:t>(</w:t>
      </w:r>
      <w:r w:rsidR="00EF5BF6">
        <w:t>Response) The</w:t>
      </w:r>
      <w:r w:rsidR="00ED3FBD">
        <w:t xml:space="preserve"> estimate of 200 respondents provided in our 60-day notice</w:t>
      </w:r>
      <w:r w:rsidRPr="005F30C2" w:rsidR="00ED3FBD">
        <w:t xml:space="preserve"> </w:t>
      </w:r>
      <w:r w:rsidR="00ED3FBD">
        <w:t xml:space="preserve">represented our best estimate at that time regarding how many respondents would complete the assessment questionnaire.  We have revised our information collection burden estimates by, among other things, increasing the estimated number of respondents </w:t>
      </w:r>
      <w:r w:rsidR="009F6CDF">
        <w:t xml:space="preserve">who will be sent an invitation to 18,430 and increasing the estimated number of respondents who will complete the assessment questionnaire </w:t>
      </w:r>
      <w:r w:rsidRPr="00B51B90" w:rsidR="009F6CDF">
        <w:t>to 92</w:t>
      </w:r>
      <w:r w:rsidR="009F6CDF">
        <w:t>2</w:t>
      </w:r>
      <w:r w:rsidR="00ED3FBD">
        <w:t>, as described in section</w:t>
      </w:r>
      <w:r w:rsidR="00605ADA">
        <w:t>12</w:t>
      </w:r>
      <w:r w:rsidR="00ED3FBD">
        <w:t xml:space="preserve">.  </w:t>
      </w:r>
      <w:r w:rsidR="00ED3FBD">
        <w:rPr>
          <w:color w:val="000000" w:themeColor="text1"/>
        </w:rPr>
        <w:t>The revised information collection burden estimates reflect the interest we have received regarding the DSCSA Small Dispensers Assessment.  We also note that</w:t>
      </w:r>
      <w:r>
        <w:t xml:space="preserve"> </w:t>
      </w:r>
      <w:r w:rsidRPr="00EF5BF6" w:rsidR="00844312">
        <w:rPr>
          <w:color w:val="000000" w:themeColor="text1"/>
        </w:rPr>
        <w:t>t</w:t>
      </w:r>
      <w:r w:rsidRPr="00EF5BF6" w:rsidR="0512DDD3">
        <w:rPr>
          <w:color w:val="000000" w:themeColor="text1"/>
        </w:rPr>
        <w:t xml:space="preserve">he intent of the </w:t>
      </w:r>
      <w:r w:rsidRPr="00EF5BF6" w:rsidR="00844312">
        <w:rPr>
          <w:color w:val="000000" w:themeColor="text1"/>
        </w:rPr>
        <w:t>proposed information collection</w:t>
      </w:r>
      <w:r w:rsidRPr="00EF5BF6" w:rsidR="0512DDD3">
        <w:rPr>
          <w:color w:val="000000" w:themeColor="text1"/>
        </w:rPr>
        <w:t xml:space="preserve"> is to understand the experiences of small dispensers.  </w:t>
      </w:r>
      <w:r w:rsidRPr="00EF5BF6" w:rsidR="002B0CB3">
        <w:rPr>
          <w:color w:val="000000" w:themeColor="text1"/>
        </w:rPr>
        <w:t>We expect this qualitative research to develop</w:t>
      </w:r>
      <w:r w:rsidRPr="00EF5BF6" w:rsidR="0512DDD3">
        <w:rPr>
          <w:color w:val="000000" w:themeColor="text1"/>
        </w:rPr>
        <w:t xml:space="preserve"> descriptions of themes of those experiences. For the qualitative open-ended questions, past research indicates that themes reach saturation within dozens of respondents</w:t>
      </w:r>
      <w:r w:rsidRPr="00EF5BF6" w:rsidR="00DA526B">
        <w:rPr>
          <w:color w:val="000000" w:themeColor="text1"/>
        </w:rPr>
        <w:t>.</w:t>
      </w:r>
      <w:r w:rsidRPr="00EF5BF6" w:rsidR="0512DDD3">
        <w:rPr>
          <w:color w:val="000000" w:themeColor="text1"/>
        </w:rPr>
        <w:t xml:space="preserve"> </w:t>
      </w:r>
      <w:r w:rsidRPr="00EF5BF6" w:rsidR="00DA526B">
        <w:rPr>
          <w:color w:val="000000" w:themeColor="text1"/>
        </w:rPr>
        <w:t xml:space="preserve"> F</w:t>
      </w:r>
      <w:r w:rsidRPr="00EF5BF6" w:rsidR="0512DDD3">
        <w:rPr>
          <w:color w:val="000000" w:themeColor="text1"/>
        </w:rPr>
        <w:t xml:space="preserve">or the proportional, multiple-choice questions, the results </w:t>
      </w:r>
      <w:r w:rsidRPr="00EF5BF6" w:rsidR="0054067B">
        <w:rPr>
          <w:color w:val="000000" w:themeColor="text1"/>
        </w:rPr>
        <w:t>will not</w:t>
      </w:r>
      <w:r w:rsidRPr="00EF5BF6" w:rsidR="0512DDD3">
        <w:rPr>
          <w:color w:val="000000" w:themeColor="text1"/>
        </w:rPr>
        <w:t xml:space="preserve"> be </w:t>
      </w:r>
      <w:r w:rsidRPr="00EF5BF6" w:rsidR="0054067B">
        <w:rPr>
          <w:color w:val="000000" w:themeColor="text1"/>
        </w:rPr>
        <w:t>analyze</w:t>
      </w:r>
      <w:r w:rsidRPr="00EF5BF6" w:rsidR="0017241B">
        <w:rPr>
          <w:color w:val="000000" w:themeColor="text1"/>
        </w:rPr>
        <w:t>d</w:t>
      </w:r>
      <w:r w:rsidRPr="00EF5BF6" w:rsidR="0512DDD3">
        <w:rPr>
          <w:color w:val="000000" w:themeColor="text1"/>
        </w:rPr>
        <w:t xml:space="preserve"> using metrics of statistical confidence and margins of error.  </w:t>
      </w:r>
    </w:p>
    <w:bookmarkEnd w:id="1"/>
    <w:p w:rsidR="003D7205" w:rsidP="00DF078F" w14:paraId="2BBFA6EA" w14:textId="3F7D2694">
      <w:pPr>
        <w:ind w:left="360"/>
      </w:pPr>
    </w:p>
    <w:p w:rsidR="00357C8A" w:rsidRPr="00357C8A" w:rsidP="006705EA" w14:paraId="7968C1B9"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00792947" w:rsidRPr="00792947" w:rsidP="00840BFD" w14:paraId="6131FC07" w14:textId="1A2D4A96">
      <w:pPr>
        <w:ind w:firstLine="360"/>
        <w:rPr>
          <w:rFonts w:eastAsia="Calibri"/>
          <w:i/>
        </w:rPr>
      </w:pPr>
      <w:r w:rsidRPr="002074FE">
        <w:rPr>
          <w:rFonts w:eastAsia="Calibri"/>
        </w:rPr>
        <w:t>There are no incentives, payments or gifts associated with this information collection.</w:t>
      </w:r>
    </w:p>
    <w:p w:rsidR="00BE1317" w:rsidP="00840BFD" w14:paraId="0FBF3FE9" w14:textId="536C69CE">
      <w:pPr>
        <w:spacing w:line="276" w:lineRule="auto"/>
        <w:ind w:left="360"/>
        <w:rPr>
          <w:rFonts w:eastAsia="Calibri"/>
        </w:rPr>
      </w:pPr>
    </w:p>
    <w:p w:rsidR="00357C8A" w:rsidRPr="00357C8A" w:rsidP="006705EA" w14:paraId="51F27BAA" w14:textId="0932594A">
      <w:pPr>
        <w:numPr>
          <w:ilvl w:val="0"/>
          <w:numId w:val="6"/>
        </w:numPr>
        <w:spacing w:after="200" w:line="276" w:lineRule="auto"/>
        <w:rPr>
          <w:rFonts w:eastAsia="Calibri"/>
        </w:rPr>
      </w:pPr>
      <w:r w:rsidRPr="66BBDC53">
        <w:rPr>
          <w:rFonts w:eastAsia="Calibri"/>
          <w:u w:val="single"/>
        </w:rPr>
        <w:t>Assurance of Confidentiality Provided to Respondents</w:t>
      </w:r>
    </w:p>
    <w:p w:rsidR="00F96396" w:rsidP="002B471C" w14:paraId="345B0254" w14:textId="04F73ABB">
      <w:pPr>
        <w:spacing w:after="200" w:line="276" w:lineRule="auto"/>
        <w:ind w:left="360"/>
        <w:rPr>
          <w:rFonts w:eastAsia="Calibri"/>
          <w:color w:val="000000" w:themeColor="text1"/>
        </w:rPr>
      </w:pPr>
      <w:r>
        <w:rPr>
          <w:rFonts w:eastAsia="Calibri"/>
          <w:i/>
          <w:iCs/>
          <w:color w:val="000000" w:themeColor="text1"/>
        </w:rPr>
        <w:t>The Privacy Act of 1974 (5 U.S.C. 552a)</w:t>
      </w:r>
    </w:p>
    <w:p w:rsidR="007A1B7D" w:rsidRPr="00C77014" w:rsidP="007A1B7D" w14:paraId="32499EE2" w14:textId="77777777">
      <w:pPr>
        <w:pStyle w:val="NoSpacing"/>
        <w:tabs>
          <w:tab w:val="left" w:pos="810"/>
        </w:tabs>
        <w:ind w:left="360"/>
        <w:rPr>
          <w:rFonts w:ascii="Times New Roman" w:hAnsi="Times New Roman"/>
        </w:rPr>
      </w:pPr>
      <w:r w:rsidRPr="00C77014">
        <w:rPr>
          <w:rFonts w:ascii="Times New Roman" w:hAnsi="Times New Roman"/>
        </w:rPr>
        <w:t>In preparing this Supporting Statement, we consulted our Privacy Office to ensure appropriate identification and handling of information collected.</w:t>
      </w:r>
    </w:p>
    <w:p w:rsidR="007A1B7D" w:rsidRPr="00C77014" w:rsidP="007A1B7D" w14:paraId="4D6103A4" w14:textId="77777777">
      <w:pPr>
        <w:pStyle w:val="NoSpacing"/>
        <w:tabs>
          <w:tab w:val="left" w:pos="810"/>
        </w:tabs>
        <w:ind w:left="360"/>
        <w:rPr>
          <w:rFonts w:ascii="Times New Roman" w:hAnsi="Times New Roman"/>
        </w:rPr>
      </w:pPr>
    </w:p>
    <w:p w:rsidR="007A1B7D" w:rsidRPr="00C77014" w:rsidP="007A1B7D" w14:paraId="1DD5859E" w14:textId="32FBDA1A">
      <w:pPr>
        <w:pStyle w:val="NoSpacing"/>
        <w:tabs>
          <w:tab w:val="left" w:pos="810"/>
        </w:tabs>
        <w:ind w:left="360"/>
        <w:rPr>
          <w:rFonts w:ascii="Times New Roman" w:hAnsi="Times New Roman"/>
        </w:rPr>
      </w:pPr>
      <w:r w:rsidRPr="411602BA">
        <w:rPr>
          <w:rFonts w:ascii="Times New Roman" w:hAnsi="Times New Roman"/>
        </w:rPr>
        <w:t xml:space="preserve">This ICR collects personally identifiable information (PII).  PII is collected in the context of the subject individuals’ professional capacity and the FDA-related work they perform for their employer (e.g., point of contact at a regulated entity).  The PII submitted includes point of contact name, work email address, and work phone number. FDA determined that although PII is collected, the collection is not subject to the Privacy Act of 1974 and the particular notice and other requirements of the </w:t>
      </w:r>
      <w:r w:rsidR="002B471C">
        <w:rPr>
          <w:rFonts w:ascii="Times New Roman" w:hAnsi="Times New Roman"/>
        </w:rPr>
        <w:t xml:space="preserve">Privacy </w:t>
      </w:r>
      <w:r w:rsidRPr="411602BA">
        <w:rPr>
          <w:rFonts w:ascii="Times New Roman" w:hAnsi="Times New Roman"/>
        </w:rPr>
        <w:t>Act do not apply. Specifically, the contractor or FDA does not use name</w:t>
      </w:r>
      <w:r w:rsidRPr="411602BA" w:rsidR="00E91809">
        <w:rPr>
          <w:rFonts w:ascii="Times New Roman" w:hAnsi="Times New Roman"/>
        </w:rPr>
        <w:t>s</w:t>
      </w:r>
      <w:r w:rsidRPr="411602BA">
        <w:rPr>
          <w:rFonts w:ascii="Times New Roman" w:hAnsi="Times New Roman"/>
        </w:rPr>
        <w:t xml:space="preserve"> or any other personal identifier to retrieve records from the information collected. Through appropriate form and webpage design, FDA limited submission fields and minimized the PII collected to protect the privacy of the individuals.</w:t>
      </w:r>
    </w:p>
    <w:p w:rsidR="007A1B7D" w:rsidRPr="00C77014" w:rsidP="007A1B7D" w14:paraId="2373CC7A" w14:textId="77777777">
      <w:pPr>
        <w:pStyle w:val="NoSpacing"/>
        <w:tabs>
          <w:tab w:val="left" w:pos="810"/>
        </w:tabs>
        <w:ind w:left="360"/>
        <w:rPr>
          <w:rFonts w:ascii="Times New Roman" w:hAnsi="Times New Roman"/>
        </w:rPr>
      </w:pPr>
    </w:p>
    <w:p w:rsidR="002B471C" w:rsidP="00CE0EB9" w14:paraId="5C126262" w14:textId="77777777">
      <w:pPr>
        <w:spacing w:after="200" w:line="276" w:lineRule="auto"/>
        <w:ind w:left="360"/>
        <w:rPr>
          <w:rFonts w:eastAsia="Calibri"/>
          <w:i/>
          <w:iCs/>
          <w:color w:val="000000" w:themeColor="text1"/>
        </w:rPr>
      </w:pPr>
      <w:r>
        <w:rPr>
          <w:rFonts w:eastAsia="Calibri"/>
          <w:i/>
          <w:iCs/>
          <w:color w:val="000000" w:themeColor="text1"/>
        </w:rPr>
        <w:t>The Freedom of Information Act (FOIA)</w:t>
      </w:r>
    </w:p>
    <w:p w:rsidR="007A1B7D" w:rsidRPr="00C77014" w:rsidP="007A1B7D" w14:paraId="2C782223" w14:textId="1BD4A9C9">
      <w:pPr>
        <w:pStyle w:val="NoSpacing"/>
        <w:tabs>
          <w:tab w:val="left" w:pos="810"/>
        </w:tabs>
        <w:ind w:left="360"/>
        <w:rPr>
          <w:rFonts w:ascii="Times New Roman" w:hAnsi="Times New Roman"/>
        </w:rPr>
      </w:pPr>
      <w:r w:rsidRPr="00C77014">
        <w:rPr>
          <w:rFonts w:ascii="Times New Roman" w:hAnsi="Times New Roman"/>
        </w:rPr>
        <w:t>Under the Freedom of Information Act (FOIA) (5 U.S.C. 552), the public has broad access to government documents. However, FOIA provides certain exemptions from mandatory public disclosure of government records (5 U.S.C. 552(b)(1-9)).  FDA will make the fullest possible disclosure of records to the public, consistent with the rights of individuals to privacy, the property rights of persons in trade and confidential commercial or financial information.</w:t>
      </w:r>
    </w:p>
    <w:p w:rsidR="007A1B7D" w:rsidRPr="001075D3" w:rsidP="001075D3" w14:paraId="0502E07F" w14:textId="77777777">
      <w:pPr>
        <w:ind w:left="720"/>
      </w:pPr>
    </w:p>
    <w:p w:rsidR="00357C8A" w:rsidRPr="00357C8A" w:rsidP="006705EA" w14:paraId="7C72B7DD" w14:textId="77777777">
      <w:pPr>
        <w:numPr>
          <w:ilvl w:val="0"/>
          <w:numId w:val="6"/>
        </w:numPr>
        <w:spacing w:after="200" w:line="276" w:lineRule="auto"/>
        <w:rPr>
          <w:rFonts w:eastAsia="Calibri"/>
        </w:rPr>
      </w:pPr>
      <w:r w:rsidRPr="00357C8A">
        <w:rPr>
          <w:rFonts w:eastAsia="Calibri"/>
          <w:u w:val="single"/>
        </w:rPr>
        <w:t>Justification for Sensitive Questions</w:t>
      </w:r>
    </w:p>
    <w:p w:rsidR="00357C8A" w:rsidP="00840BFD" w14:paraId="0CF5A1B6" w14:textId="460AE036">
      <w:pPr>
        <w:ind w:firstLine="360"/>
        <w:rPr>
          <w:rFonts w:eastAsia="Calibri"/>
          <w:iCs/>
        </w:rPr>
      </w:pPr>
      <w:r w:rsidRPr="004509EB">
        <w:rPr>
          <w:rFonts w:eastAsia="Calibri"/>
          <w:iCs/>
        </w:rPr>
        <w:t>The collection of information does not involve sensitive questions.</w:t>
      </w:r>
    </w:p>
    <w:p w:rsidR="004509EB" w:rsidRPr="004509EB" w:rsidP="004509EB" w14:paraId="2A4850DC" w14:textId="77777777">
      <w:pPr>
        <w:rPr>
          <w:rFonts w:eastAsia="Calibri"/>
          <w:iCs/>
        </w:rPr>
      </w:pPr>
    </w:p>
    <w:p w:rsidR="00357C8A" w:rsidRPr="00357C8A" w:rsidP="006705EA" w14:paraId="25A9650D" w14:textId="77777777">
      <w:pPr>
        <w:numPr>
          <w:ilvl w:val="0"/>
          <w:numId w:val="6"/>
        </w:numPr>
        <w:spacing w:after="200" w:line="276" w:lineRule="auto"/>
        <w:rPr>
          <w:rFonts w:eastAsia="Calibri"/>
          <w:u w:val="single"/>
        </w:rPr>
      </w:pPr>
      <w:r w:rsidRPr="00357C8A">
        <w:rPr>
          <w:rFonts w:eastAsia="Calibri"/>
          <w:u w:val="single"/>
        </w:rPr>
        <w:t>Estimates of Annualized Burden Hours and Cost</w:t>
      </w:r>
    </w:p>
    <w:p w:rsidR="00C142FB" w:rsidRPr="00C77014" w:rsidP="0022425B" w14:paraId="693B709E" w14:textId="0389A128">
      <w:pPr>
        <w:spacing w:after="200"/>
        <w:ind w:left="360"/>
        <w:rPr>
          <w:rFonts w:eastAsia="Calibri"/>
          <w:i/>
          <w:iCs/>
        </w:rPr>
      </w:pPr>
      <w:r w:rsidRPr="00C77014">
        <w:rPr>
          <w:rFonts w:eastAsia="Calibri"/>
          <w:i/>
          <w:iCs/>
        </w:rPr>
        <w:t>12a.  Annualized Hour Burden Estimate</w:t>
      </w:r>
    </w:p>
    <w:p w:rsidR="00DE410E" w:rsidP="00B04338" w14:paraId="545064AB" w14:textId="56CBD07B">
      <w:pPr>
        <w:spacing w:after="200"/>
        <w:ind w:left="360"/>
      </w:pPr>
      <w:r w:rsidRPr="00B31FB4">
        <w:rPr>
          <w:i/>
          <w:iCs/>
        </w:rPr>
        <w:t>Description of Respondents:</w:t>
      </w:r>
      <w:r w:rsidRPr="00B31FB4">
        <w:t xml:space="preserve"> </w:t>
      </w:r>
      <w:r w:rsidR="002B393A">
        <w:t xml:space="preserve">Respondents to this information collection are </w:t>
      </w:r>
      <w:r w:rsidR="00A75439">
        <w:t xml:space="preserve">pharmacists and pharmacy technicians.  </w:t>
      </w:r>
      <w:r w:rsidRPr="00B31FB4">
        <w:t>Pharmacists</w:t>
      </w:r>
      <w:r w:rsidRPr="00B31FB4" w:rsidR="00B31FB4">
        <w:t xml:space="preserve"> are</w:t>
      </w:r>
      <w:r w:rsidRPr="00B31FB4" w:rsidR="00B31FB4">
        <w:rPr>
          <w:color w:val="212529"/>
          <w:shd w:val="clear" w:color="auto" w:fill="FFFFFF"/>
        </w:rPr>
        <w:t xml:space="preserve"> health-care professional</w:t>
      </w:r>
      <w:r w:rsidR="00B31FB4">
        <w:rPr>
          <w:color w:val="212529"/>
          <w:shd w:val="clear" w:color="auto" w:fill="FFFFFF"/>
        </w:rPr>
        <w:t>s</w:t>
      </w:r>
      <w:r w:rsidRPr="00B31FB4" w:rsidR="00B31FB4">
        <w:rPr>
          <w:color w:val="212529"/>
          <w:shd w:val="clear" w:color="auto" w:fill="FFFFFF"/>
        </w:rPr>
        <w:t xml:space="preserve"> licensed to engage in</w:t>
      </w:r>
      <w:r w:rsidR="00B31FB4">
        <w:rPr>
          <w:color w:val="212529"/>
          <w:shd w:val="clear" w:color="auto" w:fill="FFFFFF"/>
        </w:rPr>
        <w:t xml:space="preserve"> pharmacy </w:t>
      </w:r>
      <w:r w:rsidRPr="00B31FB4" w:rsidR="00B31FB4">
        <w:rPr>
          <w:color w:val="212529"/>
          <w:shd w:val="clear" w:color="auto" w:fill="FFFFFF"/>
        </w:rPr>
        <w:t>with duties including dispensing prescription drugs, monitoring drug interactions, administering vaccines, and counseling patients regarding the effects and proper usage of drugs and dietary supplements</w:t>
      </w:r>
      <w:r w:rsidR="00C91A51">
        <w:rPr>
          <w:color w:val="212529"/>
          <w:shd w:val="clear" w:color="auto" w:fill="FFFFFF"/>
        </w:rPr>
        <w:t>.  P</w:t>
      </w:r>
      <w:r w:rsidRPr="00B31FB4">
        <w:t xml:space="preserve">harmacy </w:t>
      </w:r>
      <w:r w:rsidR="00E15FE7">
        <w:t>t</w:t>
      </w:r>
      <w:r w:rsidRPr="00B31FB4">
        <w:t>echnicians</w:t>
      </w:r>
      <w:r w:rsidR="00C91A51">
        <w:t xml:space="preserve"> </w:t>
      </w:r>
      <w:r w:rsidRPr="00E15FE7" w:rsidR="00E15FE7">
        <w:t>locate, dispense, pack, and label a prescribed medication for a patient that is then reviewed for accuracy by a pharmacist before dispensed to the patient.</w:t>
      </w:r>
    </w:p>
    <w:p w:rsidR="0051129A" w:rsidRPr="00912E7D" w:rsidP="00104DC9" w14:paraId="6EB219DE" w14:textId="77777777">
      <w:pPr>
        <w:spacing w:line="480" w:lineRule="auto"/>
        <w:ind w:left="360"/>
        <w:contextualSpacing/>
      </w:pPr>
      <w:r w:rsidRPr="00912E7D">
        <w:t>FDA estimates the burden of this collection of information as follows:</w:t>
      </w:r>
    </w:p>
    <w:p w:rsidR="00B04338" w:rsidRPr="00B779EF" w:rsidP="00B04338" w14:paraId="00A546AA" w14:textId="3D9FEA8D">
      <w:pPr>
        <w:spacing w:line="480" w:lineRule="auto"/>
        <w:ind w:left="360"/>
        <w:contextualSpacing/>
        <w:rPr>
          <w:i/>
          <w:iCs/>
        </w:rPr>
      </w:pPr>
      <w:r>
        <w:rPr>
          <w:sz w:val="20"/>
          <w:vertAlign w:val="superscript"/>
        </w:rPr>
        <w:t xml:space="preserve"> </w:t>
      </w:r>
      <w:r w:rsidRPr="00B779EF">
        <w:rPr>
          <w:i/>
          <w:iCs/>
        </w:rPr>
        <w:t>Reporting</w:t>
      </w:r>
      <w:r>
        <w:rPr>
          <w:i/>
          <w:iCs/>
        </w:rPr>
        <w:t xml:space="preserve"> Burden</w:t>
      </w:r>
    </w:p>
    <w:p w:rsidR="00B04338" w:rsidRPr="00B04338" w:rsidP="00B04338" w14:paraId="5F949636" w14:textId="77777777">
      <w:pPr>
        <w:ind w:left="360"/>
        <w:contextualSpacing/>
        <w:jc w:val="center"/>
        <w:rPr>
          <w:bCs/>
          <w:sz w:val="20"/>
          <w:szCs w:val="20"/>
        </w:rPr>
      </w:pPr>
      <w:r w:rsidRPr="00B04338">
        <w:rPr>
          <w:bCs/>
          <w:sz w:val="20"/>
          <w:szCs w:val="20"/>
        </w:rPr>
        <w:t>Table 1.--Estimated One-time Reporting Burden</w:t>
      </w:r>
      <w:r w:rsidRPr="00B04338">
        <w:rPr>
          <w:bCs/>
          <w:sz w:val="20"/>
          <w:szCs w:val="20"/>
          <w:vertAlign w:val="superscript"/>
        </w:rPr>
        <w:t xml:space="preserve">1 </w:t>
      </w:r>
    </w:p>
    <w:tbl>
      <w:tblPr>
        <w:tblW w:w="8659"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1"/>
        <w:gridCol w:w="1777"/>
        <w:gridCol w:w="1521"/>
        <w:gridCol w:w="1421"/>
        <w:gridCol w:w="1343"/>
        <w:gridCol w:w="1216"/>
      </w:tblGrid>
      <w:tr w14:paraId="670C282A" w14:textId="77777777" w:rsidTr="00293AF0">
        <w:tblPrEx>
          <w:tblW w:w="8659"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20"/>
        </w:trPr>
        <w:tc>
          <w:tcPr>
            <w:tcW w:w="1381" w:type="dxa"/>
            <w:tcBorders>
              <w:top w:val="single" w:sz="4" w:space="0" w:color="auto"/>
              <w:left w:val="single" w:sz="4" w:space="0" w:color="auto"/>
              <w:bottom w:val="single" w:sz="4" w:space="0" w:color="auto"/>
              <w:right w:val="single" w:sz="4" w:space="0" w:color="auto"/>
            </w:tcBorders>
            <w:shd w:val="clear" w:color="auto" w:fill="auto"/>
          </w:tcPr>
          <w:p w:rsidR="00B04338" w:rsidRPr="00B04338" w:rsidP="00B04338" w14:paraId="62538722" w14:textId="77777777">
            <w:pPr>
              <w:contextualSpacing/>
              <w:jc w:val="center"/>
              <w:rPr>
                <w:sz w:val="20"/>
                <w:szCs w:val="20"/>
              </w:rPr>
            </w:pPr>
            <w:r w:rsidRPr="00B04338">
              <w:rPr>
                <w:sz w:val="20"/>
                <w:szCs w:val="20"/>
              </w:rPr>
              <w:t>DSCSA Small Dispensers Assessment</w:t>
            </w:r>
          </w:p>
        </w:tc>
        <w:tc>
          <w:tcPr>
            <w:tcW w:w="1777" w:type="dxa"/>
            <w:tcBorders>
              <w:top w:val="single" w:sz="4" w:space="0" w:color="auto"/>
              <w:left w:val="single" w:sz="4" w:space="0" w:color="auto"/>
              <w:bottom w:val="single" w:sz="4" w:space="0" w:color="auto"/>
              <w:right w:val="single" w:sz="4" w:space="0" w:color="auto"/>
            </w:tcBorders>
            <w:shd w:val="clear" w:color="auto" w:fill="auto"/>
          </w:tcPr>
          <w:p w:rsidR="00B04338" w:rsidRPr="00B04338" w:rsidP="00293AF0" w14:paraId="39740FC6" w14:textId="77777777">
            <w:pPr>
              <w:ind w:left="42"/>
              <w:contextualSpacing/>
              <w:jc w:val="center"/>
              <w:rPr>
                <w:sz w:val="20"/>
                <w:szCs w:val="20"/>
              </w:rPr>
            </w:pPr>
            <w:r w:rsidRPr="00B04338">
              <w:rPr>
                <w:sz w:val="20"/>
                <w:szCs w:val="20"/>
              </w:rPr>
              <w:t>No. of Respondents</w:t>
            </w:r>
          </w:p>
        </w:tc>
        <w:tc>
          <w:tcPr>
            <w:tcW w:w="1521" w:type="dxa"/>
            <w:tcBorders>
              <w:top w:val="single" w:sz="4" w:space="0" w:color="auto"/>
              <w:left w:val="single" w:sz="4" w:space="0" w:color="auto"/>
              <w:bottom w:val="single" w:sz="4" w:space="0" w:color="auto"/>
              <w:right w:val="single" w:sz="4" w:space="0" w:color="auto"/>
            </w:tcBorders>
            <w:shd w:val="clear" w:color="auto" w:fill="auto"/>
          </w:tcPr>
          <w:p w:rsidR="00B04338" w:rsidRPr="00B04338" w:rsidP="00293AF0" w14:paraId="348DF267" w14:textId="77777777">
            <w:pPr>
              <w:contextualSpacing/>
              <w:jc w:val="center"/>
              <w:rPr>
                <w:bCs/>
                <w:sz w:val="20"/>
                <w:szCs w:val="20"/>
              </w:rPr>
            </w:pPr>
            <w:r w:rsidRPr="00B04338">
              <w:rPr>
                <w:bCs/>
                <w:sz w:val="20"/>
                <w:szCs w:val="20"/>
              </w:rPr>
              <w:t>No. of Responses per Respondent</w:t>
            </w:r>
          </w:p>
        </w:tc>
        <w:tc>
          <w:tcPr>
            <w:tcW w:w="1421" w:type="dxa"/>
            <w:tcBorders>
              <w:top w:val="single" w:sz="4" w:space="0" w:color="auto"/>
              <w:left w:val="single" w:sz="4" w:space="0" w:color="auto"/>
              <w:bottom w:val="single" w:sz="4" w:space="0" w:color="auto"/>
              <w:right w:val="single" w:sz="4" w:space="0" w:color="auto"/>
            </w:tcBorders>
            <w:shd w:val="clear" w:color="auto" w:fill="auto"/>
          </w:tcPr>
          <w:p w:rsidR="00B04338" w:rsidRPr="00B04338" w:rsidP="00293AF0" w14:paraId="44991A3B" w14:textId="77777777">
            <w:pPr>
              <w:contextualSpacing/>
              <w:jc w:val="center"/>
              <w:rPr>
                <w:sz w:val="20"/>
                <w:szCs w:val="20"/>
              </w:rPr>
            </w:pPr>
            <w:r w:rsidRPr="00B04338">
              <w:rPr>
                <w:sz w:val="20"/>
                <w:szCs w:val="20"/>
              </w:rPr>
              <w:t>Total Annual Responses</w:t>
            </w:r>
          </w:p>
        </w:tc>
        <w:tc>
          <w:tcPr>
            <w:tcW w:w="1343" w:type="dxa"/>
            <w:tcBorders>
              <w:top w:val="single" w:sz="4" w:space="0" w:color="auto"/>
              <w:left w:val="single" w:sz="4" w:space="0" w:color="auto"/>
              <w:bottom w:val="single" w:sz="4" w:space="0" w:color="auto"/>
              <w:right w:val="single" w:sz="4" w:space="0" w:color="auto"/>
            </w:tcBorders>
            <w:shd w:val="clear" w:color="auto" w:fill="auto"/>
          </w:tcPr>
          <w:p w:rsidR="00B04338" w:rsidRPr="00B04338" w:rsidP="00293AF0" w14:paraId="409027D8" w14:textId="77777777">
            <w:pPr>
              <w:ind w:left="6"/>
              <w:contextualSpacing/>
              <w:jc w:val="center"/>
              <w:rPr>
                <w:bCs/>
                <w:sz w:val="20"/>
                <w:szCs w:val="20"/>
              </w:rPr>
            </w:pPr>
            <w:r w:rsidRPr="00B04338">
              <w:rPr>
                <w:bCs/>
                <w:sz w:val="20"/>
                <w:szCs w:val="20"/>
              </w:rPr>
              <w:t xml:space="preserve">Average Burden per Response </w:t>
            </w: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B04338" w:rsidRPr="00B04338" w:rsidP="00293AF0" w14:paraId="75555E36" w14:textId="77777777">
            <w:pPr>
              <w:ind w:left="12"/>
              <w:contextualSpacing/>
              <w:jc w:val="center"/>
              <w:rPr>
                <w:sz w:val="20"/>
                <w:szCs w:val="20"/>
              </w:rPr>
            </w:pPr>
            <w:r w:rsidRPr="00B04338">
              <w:rPr>
                <w:sz w:val="20"/>
                <w:szCs w:val="20"/>
              </w:rPr>
              <w:t>Total Hours</w:t>
            </w:r>
            <w:r w:rsidRPr="00B04338">
              <w:rPr>
                <w:sz w:val="20"/>
                <w:szCs w:val="20"/>
                <w:vertAlign w:val="superscript"/>
              </w:rPr>
              <w:t>2</w:t>
            </w:r>
          </w:p>
        </w:tc>
      </w:tr>
      <w:tr w14:paraId="597C572A" w14:textId="77777777" w:rsidTr="00293AF0">
        <w:tblPrEx>
          <w:tblW w:w="8659" w:type="dxa"/>
          <w:tblInd w:w="355" w:type="dxa"/>
          <w:tblLook w:val="01E0"/>
        </w:tblPrEx>
        <w:trPr>
          <w:cantSplit/>
          <w:trHeight w:val="377"/>
        </w:trPr>
        <w:tc>
          <w:tcPr>
            <w:tcW w:w="1381" w:type="dxa"/>
            <w:tcBorders>
              <w:top w:val="single" w:sz="4" w:space="0" w:color="auto"/>
              <w:left w:val="single" w:sz="4" w:space="0" w:color="auto"/>
              <w:bottom w:val="single" w:sz="4" w:space="0" w:color="auto"/>
              <w:right w:val="single" w:sz="4" w:space="0" w:color="auto"/>
            </w:tcBorders>
            <w:shd w:val="clear" w:color="auto" w:fill="auto"/>
          </w:tcPr>
          <w:p w:rsidR="00B04338" w:rsidRPr="00B04338" w:rsidP="00293AF0" w14:paraId="586DB87C" w14:textId="77777777">
            <w:pPr>
              <w:ind w:left="-18"/>
              <w:contextualSpacing/>
              <w:rPr>
                <w:sz w:val="20"/>
                <w:szCs w:val="20"/>
              </w:rPr>
            </w:pPr>
            <w:r w:rsidRPr="00B04338">
              <w:rPr>
                <w:sz w:val="20"/>
                <w:szCs w:val="20"/>
              </w:rPr>
              <w:t>Invitation email</w:t>
            </w:r>
          </w:p>
        </w:tc>
        <w:tc>
          <w:tcPr>
            <w:tcW w:w="1777" w:type="dxa"/>
            <w:tcBorders>
              <w:top w:val="single" w:sz="4" w:space="0" w:color="auto"/>
              <w:left w:val="single" w:sz="4" w:space="0" w:color="auto"/>
              <w:bottom w:val="single" w:sz="4" w:space="0" w:color="auto"/>
              <w:right w:val="single" w:sz="4" w:space="0" w:color="auto"/>
            </w:tcBorders>
            <w:shd w:val="clear" w:color="auto" w:fill="auto"/>
          </w:tcPr>
          <w:p w:rsidR="00B04338" w:rsidRPr="00B04338" w:rsidP="00B04338" w14:paraId="044B561A" w14:textId="77777777">
            <w:pPr>
              <w:ind w:left="360"/>
              <w:contextualSpacing/>
              <w:jc w:val="right"/>
              <w:rPr>
                <w:sz w:val="20"/>
                <w:szCs w:val="20"/>
              </w:rPr>
            </w:pPr>
            <w:r w:rsidRPr="00B04338">
              <w:rPr>
                <w:sz w:val="20"/>
                <w:szCs w:val="20"/>
              </w:rPr>
              <w:t xml:space="preserve">18,430 </w:t>
            </w:r>
          </w:p>
        </w:tc>
        <w:tc>
          <w:tcPr>
            <w:tcW w:w="1521" w:type="dxa"/>
            <w:tcBorders>
              <w:top w:val="single" w:sz="4" w:space="0" w:color="auto"/>
              <w:left w:val="single" w:sz="4" w:space="0" w:color="auto"/>
              <w:bottom w:val="single" w:sz="4" w:space="0" w:color="auto"/>
              <w:right w:val="single" w:sz="4" w:space="0" w:color="auto"/>
            </w:tcBorders>
            <w:shd w:val="clear" w:color="auto" w:fill="auto"/>
          </w:tcPr>
          <w:p w:rsidR="00B04338" w:rsidRPr="00B04338" w:rsidP="00B04338" w14:paraId="5932C9E2" w14:textId="77777777">
            <w:pPr>
              <w:ind w:left="360"/>
              <w:contextualSpacing/>
              <w:jc w:val="right"/>
              <w:rPr>
                <w:bCs/>
                <w:sz w:val="20"/>
                <w:szCs w:val="20"/>
              </w:rPr>
            </w:pPr>
            <w:r w:rsidRPr="00B04338">
              <w:rPr>
                <w:bCs/>
                <w:sz w:val="20"/>
                <w:szCs w:val="20"/>
              </w:rPr>
              <w:t>1</w:t>
            </w:r>
          </w:p>
        </w:tc>
        <w:tc>
          <w:tcPr>
            <w:tcW w:w="1421" w:type="dxa"/>
            <w:tcBorders>
              <w:top w:val="single" w:sz="4" w:space="0" w:color="auto"/>
              <w:left w:val="single" w:sz="4" w:space="0" w:color="auto"/>
              <w:bottom w:val="single" w:sz="4" w:space="0" w:color="auto"/>
              <w:right w:val="single" w:sz="4" w:space="0" w:color="auto"/>
            </w:tcBorders>
            <w:shd w:val="clear" w:color="auto" w:fill="auto"/>
          </w:tcPr>
          <w:p w:rsidR="00B04338" w:rsidRPr="00B04338" w:rsidP="00B04338" w14:paraId="0C77C3EA" w14:textId="77777777">
            <w:pPr>
              <w:ind w:left="360"/>
              <w:contextualSpacing/>
              <w:jc w:val="right"/>
              <w:rPr>
                <w:sz w:val="20"/>
                <w:szCs w:val="20"/>
              </w:rPr>
            </w:pPr>
            <w:r w:rsidRPr="00B04338">
              <w:rPr>
                <w:sz w:val="20"/>
                <w:szCs w:val="20"/>
              </w:rPr>
              <w:t>18,430</w:t>
            </w:r>
          </w:p>
        </w:tc>
        <w:tc>
          <w:tcPr>
            <w:tcW w:w="1343" w:type="dxa"/>
            <w:tcBorders>
              <w:top w:val="single" w:sz="4" w:space="0" w:color="auto"/>
              <w:left w:val="single" w:sz="4" w:space="0" w:color="auto"/>
              <w:bottom w:val="single" w:sz="4" w:space="0" w:color="auto"/>
              <w:right w:val="single" w:sz="4" w:space="0" w:color="auto"/>
            </w:tcBorders>
            <w:shd w:val="clear" w:color="auto" w:fill="auto"/>
          </w:tcPr>
          <w:p w:rsidR="00B04338" w:rsidRPr="00B04338" w:rsidP="00B04338" w14:paraId="69A38F31" w14:textId="77777777">
            <w:pPr>
              <w:ind w:left="360"/>
              <w:contextualSpacing/>
              <w:jc w:val="right"/>
              <w:rPr>
                <w:sz w:val="20"/>
                <w:szCs w:val="20"/>
              </w:rPr>
            </w:pPr>
            <w:r w:rsidRPr="00B04338">
              <w:rPr>
                <w:sz w:val="20"/>
                <w:szCs w:val="20"/>
              </w:rPr>
              <w:t>0.1</w:t>
            </w: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B04338" w:rsidRPr="00B04338" w:rsidP="00B04338" w14:paraId="42B94AEE" w14:textId="77777777">
            <w:pPr>
              <w:ind w:left="360"/>
              <w:contextualSpacing/>
              <w:jc w:val="right"/>
              <w:rPr>
                <w:sz w:val="20"/>
                <w:szCs w:val="20"/>
              </w:rPr>
            </w:pPr>
            <w:r w:rsidRPr="00B04338">
              <w:rPr>
                <w:sz w:val="20"/>
                <w:szCs w:val="20"/>
              </w:rPr>
              <w:t>1,843</w:t>
            </w:r>
          </w:p>
        </w:tc>
      </w:tr>
      <w:tr w14:paraId="55D7E241" w14:textId="77777777" w:rsidTr="00293AF0">
        <w:tblPrEx>
          <w:tblW w:w="8659" w:type="dxa"/>
          <w:tblInd w:w="355" w:type="dxa"/>
          <w:tblLook w:val="01E0"/>
        </w:tblPrEx>
        <w:trPr>
          <w:cantSplit/>
          <w:trHeight w:val="377"/>
        </w:trPr>
        <w:tc>
          <w:tcPr>
            <w:tcW w:w="1381" w:type="dxa"/>
            <w:tcBorders>
              <w:top w:val="single" w:sz="4" w:space="0" w:color="auto"/>
              <w:left w:val="single" w:sz="4" w:space="0" w:color="auto"/>
              <w:bottom w:val="single" w:sz="4" w:space="0" w:color="auto"/>
              <w:right w:val="single" w:sz="4" w:space="0" w:color="auto"/>
            </w:tcBorders>
            <w:shd w:val="clear" w:color="auto" w:fill="auto"/>
          </w:tcPr>
          <w:p w:rsidR="00B04338" w:rsidRPr="00B04338" w:rsidP="00293AF0" w14:paraId="1228C3C5" w14:textId="77777777">
            <w:pPr>
              <w:ind w:left="-18"/>
              <w:contextualSpacing/>
              <w:rPr>
                <w:sz w:val="20"/>
                <w:szCs w:val="20"/>
              </w:rPr>
            </w:pPr>
            <w:r w:rsidRPr="00B04338">
              <w:rPr>
                <w:sz w:val="20"/>
                <w:szCs w:val="20"/>
              </w:rPr>
              <w:t>Screener</w:t>
            </w:r>
          </w:p>
        </w:tc>
        <w:tc>
          <w:tcPr>
            <w:tcW w:w="1777" w:type="dxa"/>
            <w:tcBorders>
              <w:top w:val="single" w:sz="4" w:space="0" w:color="auto"/>
              <w:left w:val="single" w:sz="4" w:space="0" w:color="auto"/>
              <w:bottom w:val="single" w:sz="4" w:space="0" w:color="auto"/>
              <w:right w:val="single" w:sz="4" w:space="0" w:color="auto"/>
            </w:tcBorders>
            <w:shd w:val="clear" w:color="auto" w:fill="auto"/>
          </w:tcPr>
          <w:p w:rsidR="00B04338" w:rsidRPr="00B04338" w:rsidP="00B04338" w14:paraId="40EB2A6B" w14:textId="77777777">
            <w:pPr>
              <w:ind w:left="360"/>
              <w:contextualSpacing/>
              <w:jc w:val="right"/>
              <w:rPr>
                <w:sz w:val="20"/>
                <w:szCs w:val="20"/>
              </w:rPr>
            </w:pPr>
            <w:r w:rsidRPr="00B04338">
              <w:rPr>
                <w:sz w:val="20"/>
                <w:szCs w:val="20"/>
              </w:rPr>
              <w:t>9,215</w:t>
            </w:r>
          </w:p>
        </w:tc>
        <w:tc>
          <w:tcPr>
            <w:tcW w:w="1521" w:type="dxa"/>
            <w:tcBorders>
              <w:top w:val="single" w:sz="4" w:space="0" w:color="auto"/>
              <w:left w:val="single" w:sz="4" w:space="0" w:color="auto"/>
              <w:bottom w:val="single" w:sz="4" w:space="0" w:color="auto"/>
              <w:right w:val="single" w:sz="4" w:space="0" w:color="auto"/>
            </w:tcBorders>
            <w:shd w:val="clear" w:color="auto" w:fill="auto"/>
          </w:tcPr>
          <w:p w:rsidR="00B04338" w:rsidRPr="00B04338" w:rsidP="00B04338" w14:paraId="18C71A26" w14:textId="77777777">
            <w:pPr>
              <w:ind w:left="360"/>
              <w:contextualSpacing/>
              <w:jc w:val="right"/>
              <w:rPr>
                <w:bCs/>
                <w:sz w:val="20"/>
                <w:szCs w:val="20"/>
              </w:rPr>
            </w:pPr>
            <w:r w:rsidRPr="00B04338">
              <w:rPr>
                <w:bCs/>
                <w:sz w:val="20"/>
                <w:szCs w:val="20"/>
              </w:rPr>
              <w:t>1</w:t>
            </w:r>
          </w:p>
        </w:tc>
        <w:tc>
          <w:tcPr>
            <w:tcW w:w="1421" w:type="dxa"/>
            <w:tcBorders>
              <w:top w:val="single" w:sz="4" w:space="0" w:color="auto"/>
              <w:left w:val="single" w:sz="4" w:space="0" w:color="auto"/>
              <w:bottom w:val="single" w:sz="4" w:space="0" w:color="auto"/>
              <w:right w:val="single" w:sz="4" w:space="0" w:color="auto"/>
            </w:tcBorders>
            <w:shd w:val="clear" w:color="auto" w:fill="auto"/>
          </w:tcPr>
          <w:p w:rsidR="00B04338" w:rsidRPr="00B04338" w:rsidP="00B04338" w14:paraId="2942DE07" w14:textId="77777777">
            <w:pPr>
              <w:ind w:left="360"/>
              <w:contextualSpacing/>
              <w:jc w:val="right"/>
              <w:rPr>
                <w:sz w:val="20"/>
                <w:szCs w:val="20"/>
              </w:rPr>
            </w:pPr>
            <w:r w:rsidRPr="00B04338">
              <w:rPr>
                <w:sz w:val="20"/>
                <w:szCs w:val="20"/>
              </w:rPr>
              <w:t>9,215</w:t>
            </w:r>
          </w:p>
        </w:tc>
        <w:tc>
          <w:tcPr>
            <w:tcW w:w="1343" w:type="dxa"/>
            <w:tcBorders>
              <w:top w:val="single" w:sz="4" w:space="0" w:color="auto"/>
              <w:left w:val="single" w:sz="4" w:space="0" w:color="auto"/>
              <w:bottom w:val="single" w:sz="4" w:space="0" w:color="auto"/>
              <w:right w:val="single" w:sz="4" w:space="0" w:color="auto"/>
            </w:tcBorders>
            <w:shd w:val="clear" w:color="auto" w:fill="auto"/>
          </w:tcPr>
          <w:p w:rsidR="00B04338" w:rsidRPr="00B04338" w:rsidP="00B04338" w14:paraId="054C6B31" w14:textId="77777777">
            <w:pPr>
              <w:ind w:left="360"/>
              <w:contextualSpacing/>
              <w:jc w:val="right"/>
              <w:rPr>
                <w:sz w:val="20"/>
                <w:szCs w:val="20"/>
              </w:rPr>
            </w:pPr>
            <w:r w:rsidRPr="00B04338">
              <w:rPr>
                <w:sz w:val="20"/>
                <w:szCs w:val="20"/>
              </w:rPr>
              <w:t>0.1</w:t>
            </w: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B04338" w:rsidRPr="00B04338" w:rsidP="00B04338" w14:paraId="5FB8F690" w14:textId="77777777">
            <w:pPr>
              <w:ind w:left="360"/>
              <w:contextualSpacing/>
              <w:jc w:val="right"/>
              <w:rPr>
                <w:sz w:val="20"/>
                <w:szCs w:val="20"/>
              </w:rPr>
            </w:pPr>
            <w:r w:rsidRPr="00B04338">
              <w:rPr>
                <w:sz w:val="20"/>
                <w:szCs w:val="20"/>
              </w:rPr>
              <w:t>922</w:t>
            </w:r>
          </w:p>
        </w:tc>
      </w:tr>
      <w:tr w14:paraId="2AC3ED93" w14:textId="77777777" w:rsidTr="00293AF0">
        <w:tblPrEx>
          <w:tblW w:w="8659" w:type="dxa"/>
          <w:tblInd w:w="355" w:type="dxa"/>
          <w:tblLook w:val="01E0"/>
        </w:tblPrEx>
        <w:trPr>
          <w:cantSplit/>
          <w:trHeight w:val="20"/>
        </w:trPr>
        <w:tc>
          <w:tcPr>
            <w:tcW w:w="1381" w:type="dxa"/>
            <w:tcBorders>
              <w:top w:val="single" w:sz="4" w:space="0" w:color="auto"/>
              <w:left w:val="single" w:sz="4" w:space="0" w:color="auto"/>
              <w:bottom w:val="single" w:sz="4" w:space="0" w:color="auto"/>
              <w:right w:val="single" w:sz="4" w:space="0" w:color="auto"/>
            </w:tcBorders>
            <w:shd w:val="clear" w:color="auto" w:fill="auto"/>
          </w:tcPr>
          <w:p w:rsidR="00B04338" w:rsidRPr="00B04338" w:rsidP="00293AF0" w14:paraId="560FBFB0" w14:textId="77777777">
            <w:pPr>
              <w:ind w:left="-18"/>
              <w:contextualSpacing/>
              <w:rPr>
                <w:sz w:val="20"/>
                <w:szCs w:val="20"/>
              </w:rPr>
            </w:pPr>
            <w:r w:rsidRPr="00B04338">
              <w:rPr>
                <w:sz w:val="20"/>
                <w:szCs w:val="20"/>
              </w:rPr>
              <w:t>Assessment questions response</w:t>
            </w:r>
          </w:p>
        </w:tc>
        <w:tc>
          <w:tcPr>
            <w:tcW w:w="1777" w:type="dxa"/>
            <w:tcBorders>
              <w:top w:val="single" w:sz="4" w:space="0" w:color="auto"/>
              <w:left w:val="single" w:sz="4" w:space="0" w:color="auto"/>
              <w:bottom w:val="single" w:sz="4" w:space="0" w:color="auto"/>
              <w:right w:val="single" w:sz="4" w:space="0" w:color="auto"/>
            </w:tcBorders>
            <w:shd w:val="clear" w:color="auto" w:fill="auto"/>
          </w:tcPr>
          <w:p w:rsidR="00B04338" w:rsidRPr="00B04338" w:rsidP="00B04338" w14:paraId="3539A83E" w14:textId="77777777">
            <w:pPr>
              <w:ind w:left="360"/>
              <w:contextualSpacing/>
              <w:jc w:val="right"/>
              <w:rPr>
                <w:sz w:val="20"/>
                <w:szCs w:val="20"/>
              </w:rPr>
            </w:pPr>
            <w:r w:rsidRPr="00B04338">
              <w:rPr>
                <w:sz w:val="20"/>
                <w:szCs w:val="20"/>
              </w:rPr>
              <w:t>922</w:t>
            </w:r>
          </w:p>
        </w:tc>
        <w:tc>
          <w:tcPr>
            <w:tcW w:w="1521" w:type="dxa"/>
            <w:tcBorders>
              <w:top w:val="single" w:sz="4" w:space="0" w:color="auto"/>
              <w:left w:val="single" w:sz="4" w:space="0" w:color="auto"/>
              <w:bottom w:val="single" w:sz="4" w:space="0" w:color="auto"/>
              <w:right w:val="single" w:sz="4" w:space="0" w:color="auto"/>
            </w:tcBorders>
            <w:shd w:val="clear" w:color="auto" w:fill="auto"/>
          </w:tcPr>
          <w:p w:rsidR="00B04338" w:rsidRPr="00B04338" w:rsidP="00B04338" w14:paraId="7FF81C2D" w14:textId="77777777">
            <w:pPr>
              <w:ind w:left="360"/>
              <w:contextualSpacing/>
              <w:jc w:val="right"/>
              <w:rPr>
                <w:bCs/>
                <w:sz w:val="20"/>
                <w:szCs w:val="20"/>
              </w:rPr>
            </w:pPr>
            <w:r w:rsidRPr="00B04338">
              <w:rPr>
                <w:bCs/>
                <w:sz w:val="20"/>
                <w:szCs w:val="20"/>
              </w:rPr>
              <w:t>1</w:t>
            </w:r>
          </w:p>
        </w:tc>
        <w:tc>
          <w:tcPr>
            <w:tcW w:w="1421" w:type="dxa"/>
            <w:tcBorders>
              <w:top w:val="single" w:sz="4" w:space="0" w:color="auto"/>
              <w:left w:val="single" w:sz="4" w:space="0" w:color="auto"/>
              <w:bottom w:val="single" w:sz="4" w:space="0" w:color="auto"/>
              <w:right w:val="single" w:sz="4" w:space="0" w:color="auto"/>
            </w:tcBorders>
            <w:shd w:val="clear" w:color="auto" w:fill="auto"/>
          </w:tcPr>
          <w:p w:rsidR="00B04338" w:rsidRPr="00B04338" w:rsidP="00B04338" w14:paraId="6C5DD964" w14:textId="77777777">
            <w:pPr>
              <w:ind w:left="360"/>
              <w:contextualSpacing/>
              <w:jc w:val="right"/>
              <w:rPr>
                <w:sz w:val="20"/>
                <w:szCs w:val="20"/>
              </w:rPr>
            </w:pPr>
            <w:r w:rsidRPr="00B04338">
              <w:rPr>
                <w:sz w:val="20"/>
                <w:szCs w:val="20"/>
              </w:rPr>
              <w:t>922</w:t>
            </w:r>
          </w:p>
        </w:tc>
        <w:tc>
          <w:tcPr>
            <w:tcW w:w="1343" w:type="dxa"/>
            <w:tcBorders>
              <w:top w:val="single" w:sz="4" w:space="0" w:color="auto"/>
              <w:left w:val="single" w:sz="4" w:space="0" w:color="auto"/>
              <w:bottom w:val="single" w:sz="4" w:space="0" w:color="auto"/>
              <w:right w:val="single" w:sz="4" w:space="0" w:color="auto"/>
            </w:tcBorders>
            <w:shd w:val="clear" w:color="auto" w:fill="auto"/>
          </w:tcPr>
          <w:p w:rsidR="00B04338" w:rsidRPr="00B04338" w:rsidP="00B04338" w14:paraId="6769B2A8" w14:textId="77777777">
            <w:pPr>
              <w:ind w:left="360"/>
              <w:contextualSpacing/>
              <w:jc w:val="right"/>
              <w:rPr>
                <w:sz w:val="20"/>
                <w:szCs w:val="20"/>
              </w:rPr>
            </w:pPr>
            <w:r w:rsidRPr="00B04338">
              <w:rPr>
                <w:sz w:val="20"/>
                <w:szCs w:val="20"/>
              </w:rPr>
              <w:t>2</w:t>
            </w: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B04338" w:rsidRPr="00B04338" w:rsidP="00B04338" w14:paraId="5CF7D56F" w14:textId="77777777">
            <w:pPr>
              <w:ind w:left="360"/>
              <w:contextualSpacing/>
              <w:jc w:val="right"/>
              <w:rPr>
                <w:sz w:val="20"/>
                <w:szCs w:val="20"/>
              </w:rPr>
            </w:pPr>
            <w:r w:rsidRPr="00B04338">
              <w:rPr>
                <w:sz w:val="20"/>
                <w:szCs w:val="20"/>
              </w:rPr>
              <w:t>1,844</w:t>
            </w:r>
          </w:p>
        </w:tc>
      </w:tr>
      <w:tr w14:paraId="52AA3603" w14:textId="77777777" w:rsidTr="00293AF0">
        <w:tblPrEx>
          <w:tblW w:w="8659" w:type="dxa"/>
          <w:tblInd w:w="355" w:type="dxa"/>
          <w:tblLook w:val="01E0"/>
        </w:tblPrEx>
        <w:trPr>
          <w:cantSplit/>
          <w:trHeight w:val="20"/>
        </w:trPr>
        <w:tc>
          <w:tcPr>
            <w:tcW w:w="1381" w:type="dxa"/>
            <w:tcBorders>
              <w:top w:val="single" w:sz="4" w:space="0" w:color="auto"/>
              <w:left w:val="single" w:sz="4" w:space="0" w:color="auto"/>
              <w:bottom w:val="single" w:sz="4" w:space="0" w:color="auto"/>
              <w:right w:val="single" w:sz="4" w:space="0" w:color="auto"/>
            </w:tcBorders>
            <w:shd w:val="clear" w:color="auto" w:fill="auto"/>
          </w:tcPr>
          <w:p w:rsidR="00B04338" w:rsidRPr="00B04338" w:rsidP="00276CB9" w14:paraId="397DE99C" w14:textId="77777777">
            <w:pPr>
              <w:contextualSpacing/>
              <w:rPr>
                <w:sz w:val="20"/>
                <w:szCs w:val="20"/>
                <w:highlight w:val="yellow"/>
              </w:rPr>
            </w:pPr>
            <w:r w:rsidRPr="00276CB9">
              <w:rPr>
                <w:sz w:val="20"/>
                <w:szCs w:val="20"/>
              </w:rPr>
              <w:t>Total</w:t>
            </w:r>
          </w:p>
        </w:tc>
        <w:tc>
          <w:tcPr>
            <w:tcW w:w="1777" w:type="dxa"/>
            <w:tcBorders>
              <w:top w:val="single" w:sz="4" w:space="0" w:color="auto"/>
              <w:left w:val="single" w:sz="4" w:space="0" w:color="auto"/>
              <w:bottom w:val="single" w:sz="4" w:space="0" w:color="auto"/>
              <w:right w:val="single" w:sz="4" w:space="0" w:color="auto"/>
            </w:tcBorders>
            <w:shd w:val="clear" w:color="auto" w:fill="auto"/>
          </w:tcPr>
          <w:p w:rsidR="00B04338" w:rsidRPr="00B04338" w:rsidP="00B04338" w14:paraId="2E77CAE8" w14:textId="77777777">
            <w:pPr>
              <w:ind w:left="360"/>
              <w:contextualSpacing/>
              <w:jc w:val="right"/>
              <w:rPr>
                <w:sz w:val="20"/>
                <w:szCs w:val="20"/>
              </w:rPr>
            </w:pPr>
          </w:p>
        </w:tc>
        <w:tc>
          <w:tcPr>
            <w:tcW w:w="1521" w:type="dxa"/>
            <w:tcBorders>
              <w:top w:val="single" w:sz="4" w:space="0" w:color="auto"/>
              <w:left w:val="single" w:sz="4" w:space="0" w:color="auto"/>
              <w:bottom w:val="single" w:sz="4" w:space="0" w:color="auto"/>
              <w:right w:val="single" w:sz="4" w:space="0" w:color="auto"/>
            </w:tcBorders>
            <w:shd w:val="clear" w:color="auto" w:fill="auto"/>
          </w:tcPr>
          <w:p w:rsidR="00B04338" w:rsidRPr="00B04338" w:rsidP="00B04338" w14:paraId="44AFF9D4" w14:textId="77777777">
            <w:pPr>
              <w:ind w:left="360"/>
              <w:contextualSpacing/>
              <w:jc w:val="right"/>
              <w:rPr>
                <w:bCs/>
                <w:sz w:val="20"/>
                <w:szCs w:val="20"/>
              </w:rPr>
            </w:pPr>
          </w:p>
        </w:tc>
        <w:tc>
          <w:tcPr>
            <w:tcW w:w="1421" w:type="dxa"/>
            <w:tcBorders>
              <w:top w:val="single" w:sz="4" w:space="0" w:color="auto"/>
              <w:left w:val="single" w:sz="4" w:space="0" w:color="auto"/>
              <w:bottom w:val="single" w:sz="4" w:space="0" w:color="auto"/>
              <w:right w:val="single" w:sz="4" w:space="0" w:color="auto"/>
            </w:tcBorders>
            <w:shd w:val="clear" w:color="auto" w:fill="auto"/>
          </w:tcPr>
          <w:p w:rsidR="00B04338" w:rsidRPr="00B04338" w:rsidP="00B04338" w14:paraId="2E1001CC" w14:textId="77777777">
            <w:pPr>
              <w:ind w:left="360"/>
              <w:contextualSpacing/>
              <w:jc w:val="right"/>
              <w:rPr>
                <w:sz w:val="20"/>
                <w:szCs w:val="20"/>
              </w:rPr>
            </w:pPr>
            <w:r w:rsidRPr="00B04338">
              <w:rPr>
                <w:sz w:val="20"/>
                <w:szCs w:val="20"/>
              </w:rPr>
              <w:fldChar w:fldCharType="begin"/>
            </w:r>
            <w:r w:rsidRPr="00B04338">
              <w:rPr>
                <w:sz w:val="20"/>
                <w:szCs w:val="20"/>
              </w:rPr>
              <w:instrText xml:space="preserve"> =SUM(ABOVE) </w:instrText>
            </w:r>
            <w:r w:rsidRPr="00B04338">
              <w:rPr>
                <w:sz w:val="20"/>
                <w:szCs w:val="20"/>
              </w:rPr>
              <w:fldChar w:fldCharType="separate"/>
            </w:r>
            <w:r w:rsidRPr="00B04338">
              <w:rPr>
                <w:noProof/>
                <w:sz w:val="20"/>
                <w:szCs w:val="20"/>
              </w:rPr>
              <w:t>28,567</w:t>
            </w:r>
            <w:r w:rsidRPr="00B04338">
              <w:rPr>
                <w:sz w:val="20"/>
                <w:szCs w:val="20"/>
              </w:rPr>
              <w:fldChar w:fldCharType="end"/>
            </w:r>
          </w:p>
        </w:tc>
        <w:tc>
          <w:tcPr>
            <w:tcW w:w="1343" w:type="dxa"/>
            <w:tcBorders>
              <w:top w:val="single" w:sz="4" w:space="0" w:color="auto"/>
              <w:left w:val="single" w:sz="4" w:space="0" w:color="auto"/>
              <w:bottom w:val="single" w:sz="4" w:space="0" w:color="auto"/>
              <w:right w:val="single" w:sz="4" w:space="0" w:color="auto"/>
            </w:tcBorders>
            <w:shd w:val="clear" w:color="auto" w:fill="auto"/>
          </w:tcPr>
          <w:p w:rsidR="00B04338" w:rsidRPr="00B04338" w:rsidP="00B04338" w14:paraId="3721C966" w14:textId="77777777">
            <w:pPr>
              <w:ind w:left="360"/>
              <w:contextualSpacing/>
              <w:jc w:val="right"/>
              <w:rPr>
                <w:sz w:val="20"/>
                <w:szCs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B04338" w:rsidRPr="00B04338" w:rsidP="00B04338" w14:paraId="2638232D" w14:textId="77777777">
            <w:pPr>
              <w:ind w:left="360"/>
              <w:contextualSpacing/>
              <w:jc w:val="right"/>
              <w:rPr>
                <w:sz w:val="20"/>
                <w:szCs w:val="20"/>
              </w:rPr>
            </w:pPr>
            <w:r w:rsidRPr="00B04338">
              <w:rPr>
                <w:sz w:val="20"/>
                <w:szCs w:val="20"/>
              </w:rPr>
              <w:fldChar w:fldCharType="begin"/>
            </w:r>
            <w:r w:rsidRPr="00B04338">
              <w:rPr>
                <w:sz w:val="20"/>
                <w:szCs w:val="20"/>
              </w:rPr>
              <w:instrText xml:space="preserve"> =SUM(ABOVE) </w:instrText>
            </w:r>
            <w:r w:rsidRPr="00B04338">
              <w:rPr>
                <w:sz w:val="20"/>
                <w:szCs w:val="20"/>
              </w:rPr>
              <w:fldChar w:fldCharType="separate"/>
            </w:r>
            <w:r w:rsidRPr="00B04338">
              <w:rPr>
                <w:noProof/>
                <w:sz w:val="20"/>
                <w:szCs w:val="20"/>
              </w:rPr>
              <w:t>4,609</w:t>
            </w:r>
            <w:r w:rsidRPr="00B04338">
              <w:rPr>
                <w:sz w:val="20"/>
                <w:szCs w:val="20"/>
              </w:rPr>
              <w:fldChar w:fldCharType="end"/>
            </w:r>
          </w:p>
        </w:tc>
      </w:tr>
      <w:tr w14:paraId="31C50369" w14:textId="77777777" w:rsidTr="00293AF0">
        <w:tblPrEx>
          <w:tblW w:w="8659" w:type="dxa"/>
          <w:tblInd w:w="355" w:type="dxa"/>
          <w:tblLook w:val="01E0"/>
        </w:tblPrEx>
        <w:trPr>
          <w:trHeight w:val="300"/>
        </w:trPr>
        <w:tc>
          <w:tcPr>
            <w:tcW w:w="8659" w:type="dxa"/>
            <w:gridSpan w:val="6"/>
            <w:tcBorders>
              <w:top w:val="nil"/>
              <w:left w:val="nil"/>
              <w:bottom w:val="nil"/>
              <w:right w:val="nil"/>
            </w:tcBorders>
            <w:hideMark/>
          </w:tcPr>
          <w:p w:rsidR="00B04338" w:rsidRPr="00B04338" w:rsidP="00276CB9" w14:paraId="66E6E190" w14:textId="77777777">
            <w:pPr>
              <w:autoSpaceDE w:val="0"/>
              <w:autoSpaceDN w:val="0"/>
              <w:adjustRightInd w:val="0"/>
              <w:ind w:left="-18"/>
              <w:contextualSpacing/>
              <w:rPr>
                <w:sz w:val="20"/>
                <w:szCs w:val="20"/>
              </w:rPr>
            </w:pPr>
            <w:r w:rsidRPr="00B04338">
              <w:rPr>
                <w:bCs/>
                <w:sz w:val="20"/>
                <w:szCs w:val="20"/>
                <w:vertAlign w:val="superscript"/>
              </w:rPr>
              <w:t>1</w:t>
            </w:r>
            <w:r w:rsidRPr="00B04338">
              <w:rPr>
                <w:sz w:val="20"/>
                <w:szCs w:val="20"/>
              </w:rPr>
              <w:t xml:space="preserve"> There are no capital costs or operating and maintenance costs associated with this collection of information.</w:t>
            </w:r>
          </w:p>
          <w:p w:rsidR="00B04338" w:rsidP="00276CB9" w14:paraId="5807EB74" w14:textId="77777777">
            <w:pPr>
              <w:autoSpaceDE w:val="0"/>
              <w:autoSpaceDN w:val="0"/>
              <w:adjustRightInd w:val="0"/>
              <w:ind w:left="-18"/>
              <w:contextualSpacing/>
              <w:rPr>
                <w:sz w:val="20"/>
                <w:szCs w:val="20"/>
              </w:rPr>
            </w:pPr>
            <w:r w:rsidRPr="00B04338">
              <w:rPr>
                <w:sz w:val="20"/>
                <w:szCs w:val="20"/>
                <w:vertAlign w:val="superscript"/>
              </w:rPr>
              <w:t xml:space="preserve">2  </w:t>
            </w:r>
            <w:r w:rsidRPr="00B04338">
              <w:rPr>
                <w:sz w:val="20"/>
                <w:szCs w:val="20"/>
              </w:rPr>
              <w:t>Totals have been rounded to the nearest whole number.</w:t>
            </w:r>
          </w:p>
          <w:p w:rsidR="00276CB9" w:rsidRPr="00B04338" w:rsidP="00B04338" w14:paraId="42682E4C" w14:textId="77777777">
            <w:pPr>
              <w:autoSpaceDE w:val="0"/>
              <w:autoSpaceDN w:val="0"/>
              <w:adjustRightInd w:val="0"/>
              <w:ind w:left="360"/>
              <w:contextualSpacing/>
              <w:rPr>
                <w:sz w:val="20"/>
                <w:szCs w:val="20"/>
              </w:rPr>
            </w:pPr>
          </w:p>
        </w:tc>
      </w:tr>
    </w:tbl>
    <w:p w:rsidR="00B04338" w:rsidP="00B04338" w14:paraId="7396B3E0" w14:textId="5C4A21E8">
      <w:pPr>
        <w:ind w:left="360"/>
      </w:pPr>
      <w:r w:rsidRPr="2E1625EF">
        <w:t>We plan to invite small dispensers to participate in the assessment by sending an email</w:t>
      </w:r>
      <w:r w:rsidR="008028A6">
        <w:t xml:space="preserve"> invitation (Attachment A)</w:t>
      </w:r>
      <w:r w:rsidRPr="2E1625EF">
        <w:t>.  We estimate that we will send 18,430 emails to companies that are on our existing industry stakeholder list.  We assume that all emails we send will be opened and reviewed and estimate that it will take 0.1 hour (6 minutes) to read the email invitation and decide how to respond to it, for a total of 1,843 hours.  We assume that fifty percent of the companies invited to participate, or 9,215 companies, will decide to participate, navigate to our webpage, and click on the link to the assessment to access it. Once the company accesses the assessment, it will be presented with a two-part screening question</w:t>
      </w:r>
      <w:r w:rsidR="008028A6">
        <w:t xml:space="preserve"> (Attachment B)</w:t>
      </w:r>
      <w:r w:rsidRPr="2E1625EF">
        <w:t>.  We estimate that all companies will answer the screening question and that it will take 0.1 hour (6 minutes) to read and answer the screening question, for a total of 921.5 hours, rounded to 922 hours.  We estimate that only ten percent of those companies, or 921.5 respondents, rounded to 922 respondents, will complete the entire questionnaire</w:t>
      </w:r>
      <w:r w:rsidR="001F34E0">
        <w:t xml:space="preserve"> (Attachment C)</w:t>
      </w:r>
      <w:r w:rsidRPr="2E1625EF">
        <w:t>.  We estimate that it will take, based on the various levels of availability and resources by company, approximately 2 hours on average to compile the necessary information and to respond to all of the questions in the assessment questionnaire, for a total of 1,844 hours.  The total estimated reporting burden is 4,609 hours (table 1).</w:t>
      </w:r>
    </w:p>
    <w:p w:rsidR="00B04338" w:rsidRPr="0032320C" w:rsidP="00B04338" w14:paraId="38BAFEE2" w14:textId="77777777">
      <w:pPr>
        <w:ind w:left="360"/>
      </w:pPr>
    </w:p>
    <w:p w:rsidR="00B04338" w:rsidRPr="001B251C" w:rsidP="00B04338" w14:paraId="777F902F" w14:textId="77777777">
      <w:pPr>
        <w:spacing w:line="480" w:lineRule="auto"/>
        <w:ind w:left="360"/>
        <w:rPr>
          <w:i/>
          <w:iCs/>
        </w:rPr>
      </w:pPr>
      <w:r w:rsidRPr="001B251C">
        <w:rPr>
          <w:i/>
          <w:iCs/>
        </w:rPr>
        <w:t>Recordkeeping</w:t>
      </w:r>
      <w:r>
        <w:rPr>
          <w:i/>
          <w:iCs/>
        </w:rPr>
        <w:t xml:space="preserve"> Burden</w:t>
      </w:r>
    </w:p>
    <w:p w:rsidR="00B04338" w:rsidRPr="00B04338" w:rsidP="00B04338" w14:paraId="73CB45FE" w14:textId="77777777">
      <w:pPr>
        <w:ind w:left="360"/>
        <w:contextualSpacing/>
        <w:jc w:val="center"/>
        <w:rPr>
          <w:bCs/>
          <w:sz w:val="20"/>
          <w:szCs w:val="20"/>
        </w:rPr>
      </w:pPr>
      <w:r w:rsidRPr="00B04338">
        <w:rPr>
          <w:bCs/>
          <w:sz w:val="20"/>
          <w:szCs w:val="20"/>
        </w:rPr>
        <w:t xml:space="preserve">Table 2.--Estimated One-time </w:t>
      </w:r>
      <w:r w:rsidRPr="00B04338">
        <w:rPr>
          <w:sz w:val="20"/>
          <w:szCs w:val="20"/>
        </w:rPr>
        <w:t xml:space="preserve">Recordkeeping </w:t>
      </w:r>
      <w:r w:rsidRPr="00B04338">
        <w:rPr>
          <w:bCs/>
          <w:sz w:val="20"/>
          <w:szCs w:val="20"/>
        </w:rPr>
        <w:t>Burden</w:t>
      </w:r>
      <w:r w:rsidRPr="00B04338">
        <w:rPr>
          <w:bCs/>
          <w:sz w:val="20"/>
          <w:szCs w:val="20"/>
          <w:vertAlign w:val="superscript"/>
        </w:rPr>
        <w:t>1</w:t>
      </w:r>
    </w:p>
    <w:tbl>
      <w:tblPr>
        <w:tblW w:w="8638" w:type="dxa"/>
        <w:tblInd w:w="3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tblPr>
      <w:tblGrid>
        <w:gridCol w:w="1547"/>
        <w:gridCol w:w="1453"/>
        <w:gridCol w:w="1413"/>
        <w:gridCol w:w="1284"/>
        <w:gridCol w:w="1675"/>
        <w:gridCol w:w="1266"/>
      </w:tblGrid>
      <w:tr w14:paraId="1B60C022" w14:textId="77777777" w:rsidTr="00276CB9">
        <w:tblPrEx>
          <w:tblW w:w="8638" w:type="dxa"/>
          <w:tblInd w:w="3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tblPrEx>
        <w:trPr>
          <w:cantSplit/>
          <w:trHeight w:val="20"/>
        </w:trPr>
        <w:tc>
          <w:tcPr>
            <w:tcW w:w="1547" w:type="dxa"/>
            <w:shd w:val="clear" w:color="auto" w:fill="auto"/>
          </w:tcPr>
          <w:p w:rsidR="00B04338" w:rsidRPr="00B04338" w:rsidP="00B04338" w14:paraId="58492944" w14:textId="77777777">
            <w:pPr>
              <w:contextualSpacing/>
              <w:jc w:val="center"/>
              <w:rPr>
                <w:sz w:val="20"/>
                <w:szCs w:val="20"/>
              </w:rPr>
            </w:pPr>
            <w:r w:rsidRPr="00B04338">
              <w:rPr>
                <w:sz w:val="20"/>
                <w:szCs w:val="20"/>
              </w:rPr>
              <w:t>DSCSA Small Dispenser Assessment</w:t>
            </w:r>
          </w:p>
        </w:tc>
        <w:tc>
          <w:tcPr>
            <w:tcW w:w="1453" w:type="dxa"/>
            <w:shd w:val="clear" w:color="auto" w:fill="auto"/>
          </w:tcPr>
          <w:p w:rsidR="00B04338" w:rsidRPr="00B04338" w:rsidP="00B04338" w14:paraId="09C1099F" w14:textId="77777777">
            <w:pPr>
              <w:ind w:left="48"/>
              <w:contextualSpacing/>
              <w:jc w:val="center"/>
              <w:rPr>
                <w:sz w:val="20"/>
                <w:szCs w:val="20"/>
              </w:rPr>
            </w:pPr>
            <w:r w:rsidRPr="00B04338">
              <w:rPr>
                <w:sz w:val="20"/>
                <w:szCs w:val="20"/>
              </w:rPr>
              <w:t>No. of Recordkeepers</w:t>
            </w:r>
          </w:p>
        </w:tc>
        <w:tc>
          <w:tcPr>
            <w:tcW w:w="1413" w:type="dxa"/>
            <w:shd w:val="clear" w:color="auto" w:fill="auto"/>
          </w:tcPr>
          <w:p w:rsidR="00B04338" w:rsidRPr="00B04338" w:rsidP="00B04338" w14:paraId="4D9ACC29" w14:textId="77777777">
            <w:pPr>
              <w:ind w:left="24"/>
              <w:contextualSpacing/>
              <w:jc w:val="center"/>
              <w:rPr>
                <w:bCs/>
                <w:sz w:val="20"/>
                <w:szCs w:val="20"/>
              </w:rPr>
            </w:pPr>
            <w:r w:rsidRPr="00B04338">
              <w:rPr>
                <w:bCs/>
                <w:sz w:val="20"/>
                <w:szCs w:val="20"/>
              </w:rPr>
              <w:t>No. of Records per Recordkeeper</w:t>
            </w:r>
          </w:p>
        </w:tc>
        <w:tc>
          <w:tcPr>
            <w:tcW w:w="1284" w:type="dxa"/>
            <w:shd w:val="clear" w:color="auto" w:fill="auto"/>
          </w:tcPr>
          <w:p w:rsidR="00B04338" w:rsidRPr="00B04338" w:rsidP="00B04338" w14:paraId="469731F6" w14:textId="77777777">
            <w:pPr>
              <w:contextualSpacing/>
              <w:jc w:val="center"/>
              <w:rPr>
                <w:sz w:val="20"/>
                <w:szCs w:val="20"/>
              </w:rPr>
            </w:pPr>
            <w:r w:rsidRPr="00B04338">
              <w:rPr>
                <w:sz w:val="20"/>
                <w:szCs w:val="20"/>
              </w:rPr>
              <w:t>Total Annual Records</w:t>
            </w:r>
          </w:p>
        </w:tc>
        <w:tc>
          <w:tcPr>
            <w:tcW w:w="1675" w:type="dxa"/>
            <w:shd w:val="clear" w:color="auto" w:fill="auto"/>
          </w:tcPr>
          <w:p w:rsidR="00B04338" w:rsidRPr="00B04338" w:rsidP="00B04338" w14:paraId="316487E1" w14:textId="77777777">
            <w:pPr>
              <w:contextualSpacing/>
              <w:jc w:val="center"/>
              <w:rPr>
                <w:bCs/>
                <w:sz w:val="20"/>
                <w:szCs w:val="20"/>
              </w:rPr>
            </w:pPr>
            <w:r w:rsidRPr="00B04338">
              <w:rPr>
                <w:bCs/>
                <w:sz w:val="20"/>
                <w:szCs w:val="20"/>
              </w:rPr>
              <w:t>Average Burden per Recordkeeping</w:t>
            </w:r>
          </w:p>
        </w:tc>
        <w:tc>
          <w:tcPr>
            <w:tcW w:w="1266" w:type="dxa"/>
            <w:shd w:val="clear" w:color="auto" w:fill="auto"/>
          </w:tcPr>
          <w:p w:rsidR="00B04338" w:rsidRPr="00B04338" w:rsidP="00B04338" w14:paraId="78BD9096" w14:textId="77777777">
            <w:pPr>
              <w:contextualSpacing/>
              <w:jc w:val="center"/>
              <w:rPr>
                <w:sz w:val="20"/>
                <w:szCs w:val="20"/>
              </w:rPr>
            </w:pPr>
            <w:r w:rsidRPr="00B04338">
              <w:rPr>
                <w:sz w:val="20"/>
                <w:szCs w:val="20"/>
              </w:rPr>
              <w:t>Total Hours</w:t>
            </w:r>
          </w:p>
        </w:tc>
      </w:tr>
      <w:tr w14:paraId="70F4FE4E" w14:textId="77777777" w:rsidTr="00276CB9">
        <w:tblPrEx>
          <w:tblW w:w="8638" w:type="dxa"/>
          <w:tblInd w:w="357" w:type="dxa"/>
          <w:tblLook w:val="01E0"/>
        </w:tblPrEx>
        <w:trPr>
          <w:cantSplit/>
          <w:trHeight w:val="661"/>
        </w:trPr>
        <w:tc>
          <w:tcPr>
            <w:tcW w:w="1547" w:type="dxa"/>
            <w:shd w:val="clear" w:color="auto" w:fill="auto"/>
          </w:tcPr>
          <w:p w:rsidR="00B04338" w:rsidRPr="00B04338" w:rsidP="00B04338" w14:paraId="69B792B8" w14:textId="77777777">
            <w:pPr>
              <w:contextualSpacing/>
              <w:rPr>
                <w:sz w:val="20"/>
                <w:szCs w:val="20"/>
              </w:rPr>
            </w:pPr>
            <w:r w:rsidRPr="00B04338">
              <w:rPr>
                <w:sz w:val="20"/>
                <w:szCs w:val="20"/>
              </w:rPr>
              <w:t xml:space="preserve">Records related to assessment questions response </w:t>
            </w:r>
          </w:p>
        </w:tc>
        <w:tc>
          <w:tcPr>
            <w:tcW w:w="1453" w:type="dxa"/>
            <w:shd w:val="clear" w:color="auto" w:fill="auto"/>
          </w:tcPr>
          <w:p w:rsidR="00B04338" w:rsidRPr="00B04338" w:rsidP="00B04338" w14:paraId="428489CA" w14:textId="77777777">
            <w:pPr>
              <w:ind w:left="360"/>
              <w:contextualSpacing/>
              <w:jc w:val="right"/>
              <w:rPr>
                <w:sz w:val="20"/>
                <w:szCs w:val="20"/>
              </w:rPr>
            </w:pPr>
            <w:r w:rsidRPr="00B04338">
              <w:rPr>
                <w:sz w:val="20"/>
                <w:szCs w:val="20"/>
              </w:rPr>
              <w:t>922</w:t>
            </w:r>
          </w:p>
        </w:tc>
        <w:tc>
          <w:tcPr>
            <w:tcW w:w="1413" w:type="dxa"/>
            <w:shd w:val="clear" w:color="auto" w:fill="auto"/>
          </w:tcPr>
          <w:p w:rsidR="00B04338" w:rsidRPr="00B04338" w:rsidP="00B04338" w14:paraId="71A6E844" w14:textId="77777777">
            <w:pPr>
              <w:ind w:left="360"/>
              <w:contextualSpacing/>
              <w:jc w:val="right"/>
              <w:rPr>
                <w:bCs/>
                <w:sz w:val="20"/>
                <w:szCs w:val="20"/>
              </w:rPr>
            </w:pPr>
            <w:r w:rsidRPr="00B04338">
              <w:rPr>
                <w:bCs/>
                <w:sz w:val="20"/>
                <w:szCs w:val="20"/>
              </w:rPr>
              <w:t>1</w:t>
            </w:r>
          </w:p>
        </w:tc>
        <w:tc>
          <w:tcPr>
            <w:tcW w:w="1284" w:type="dxa"/>
            <w:shd w:val="clear" w:color="auto" w:fill="auto"/>
          </w:tcPr>
          <w:p w:rsidR="00B04338" w:rsidRPr="00B04338" w:rsidP="00B04338" w14:paraId="2B296966" w14:textId="77777777">
            <w:pPr>
              <w:ind w:left="360"/>
              <w:contextualSpacing/>
              <w:jc w:val="right"/>
              <w:rPr>
                <w:sz w:val="20"/>
                <w:szCs w:val="20"/>
              </w:rPr>
            </w:pPr>
            <w:r w:rsidRPr="00B04338">
              <w:rPr>
                <w:sz w:val="20"/>
                <w:szCs w:val="20"/>
              </w:rPr>
              <w:t>922</w:t>
            </w:r>
          </w:p>
        </w:tc>
        <w:tc>
          <w:tcPr>
            <w:tcW w:w="1675" w:type="dxa"/>
            <w:shd w:val="clear" w:color="auto" w:fill="auto"/>
          </w:tcPr>
          <w:p w:rsidR="00B04338" w:rsidRPr="00B04338" w:rsidP="00B04338" w14:paraId="6EBD28B9" w14:textId="77777777">
            <w:pPr>
              <w:ind w:left="360"/>
              <w:contextualSpacing/>
              <w:jc w:val="right"/>
              <w:rPr>
                <w:bCs/>
                <w:sz w:val="20"/>
                <w:szCs w:val="20"/>
              </w:rPr>
            </w:pPr>
            <w:r w:rsidRPr="00B04338">
              <w:rPr>
                <w:bCs/>
                <w:sz w:val="20"/>
                <w:szCs w:val="20"/>
              </w:rPr>
              <w:t>0.5</w:t>
            </w:r>
          </w:p>
        </w:tc>
        <w:tc>
          <w:tcPr>
            <w:tcW w:w="1266" w:type="dxa"/>
            <w:shd w:val="clear" w:color="auto" w:fill="auto"/>
          </w:tcPr>
          <w:p w:rsidR="00B04338" w:rsidRPr="00B04338" w:rsidP="00B04338" w14:paraId="69D023A9" w14:textId="77777777">
            <w:pPr>
              <w:ind w:left="360"/>
              <w:contextualSpacing/>
              <w:jc w:val="right"/>
              <w:rPr>
                <w:sz w:val="20"/>
                <w:szCs w:val="20"/>
              </w:rPr>
            </w:pPr>
            <w:r w:rsidRPr="00B04338">
              <w:rPr>
                <w:sz w:val="20"/>
                <w:szCs w:val="20"/>
              </w:rPr>
              <w:t>461</w:t>
            </w:r>
          </w:p>
        </w:tc>
      </w:tr>
    </w:tbl>
    <w:p w:rsidR="00B04338" w:rsidRPr="00B04338" w:rsidP="00B04338" w14:paraId="01CCF678" w14:textId="77777777">
      <w:pPr>
        <w:ind w:left="360"/>
        <w:contextualSpacing/>
        <w:rPr>
          <w:sz w:val="20"/>
          <w:szCs w:val="20"/>
        </w:rPr>
      </w:pPr>
      <w:r w:rsidRPr="00B04338">
        <w:rPr>
          <w:bCs/>
          <w:sz w:val="20"/>
          <w:szCs w:val="20"/>
          <w:vertAlign w:val="superscript"/>
        </w:rPr>
        <w:t xml:space="preserve">1 </w:t>
      </w:r>
      <w:r w:rsidRPr="00B04338">
        <w:rPr>
          <w:sz w:val="20"/>
          <w:szCs w:val="20"/>
        </w:rPr>
        <w:t>There are no capital costs or operating and maintenance costs associated with this collection of information.</w:t>
      </w:r>
    </w:p>
    <w:p w:rsidR="00B04338" w:rsidRPr="00044572" w:rsidP="00B04338" w14:paraId="2F17FE16" w14:textId="77777777">
      <w:pPr>
        <w:ind w:left="360"/>
        <w:contextualSpacing/>
        <w:rPr>
          <w:i/>
          <w:iCs/>
        </w:rPr>
      </w:pPr>
    </w:p>
    <w:p w:rsidR="00B04338" w:rsidP="00B04338" w14:paraId="467B5714" w14:textId="77777777">
      <w:pPr>
        <w:ind w:left="360"/>
        <w:contextualSpacing/>
      </w:pPr>
      <w:r>
        <w:t>We expect that companies</w:t>
      </w:r>
      <w:r w:rsidRPr="0032320C">
        <w:t xml:space="preserve"> </w:t>
      </w:r>
      <w:r>
        <w:t xml:space="preserve">will </w:t>
      </w:r>
      <w:r w:rsidRPr="0032320C">
        <w:t>compile</w:t>
      </w:r>
      <w:r>
        <w:t xml:space="preserve"> information needed to respond to the questions in the assessment questionnaire and that they will keep copies of that information in their records either electronically or on paper.</w:t>
      </w:r>
      <w:r w:rsidRPr="0032320C">
        <w:t xml:space="preserve">  </w:t>
      </w:r>
      <w:r>
        <w:t xml:space="preserve">We recommend that companies retain these records for at least a year after the assessment is completed.  We estimate that these recordkeeping activities </w:t>
      </w:r>
      <w:r w:rsidRPr="0032320C">
        <w:t>will take approximately 0.5 hour</w:t>
      </w:r>
      <w:r>
        <w:t xml:space="preserve"> per company,</w:t>
      </w:r>
      <w:r w:rsidRPr="0032320C">
        <w:t xml:space="preserve"> </w:t>
      </w:r>
      <w:r>
        <w:t>for a total of 461 hours</w:t>
      </w:r>
      <w:r w:rsidRPr="0032320C">
        <w:t xml:space="preserve">. </w:t>
      </w:r>
    </w:p>
    <w:p w:rsidR="00B04338" w:rsidP="00B04338" w14:paraId="5FA5EEFA" w14:textId="77777777">
      <w:pPr>
        <w:ind w:left="360"/>
        <w:contextualSpacing/>
      </w:pPr>
    </w:p>
    <w:p w:rsidR="00B04338" w:rsidRPr="0032320C" w:rsidP="00B04338" w14:paraId="04C876E2" w14:textId="77777777">
      <w:pPr>
        <w:spacing w:line="480" w:lineRule="auto"/>
        <w:ind w:left="360"/>
        <w:contextualSpacing/>
      </w:pPr>
      <w:r w:rsidRPr="00B31D8E">
        <w:rPr>
          <w:i/>
          <w:iCs/>
        </w:rPr>
        <w:t>Third-</w:t>
      </w:r>
      <w:r>
        <w:rPr>
          <w:i/>
          <w:iCs/>
        </w:rPr>
        <w:t>P</w:t>
      </w:r>
      <w:r w:rsidRPr="00B31D8E">
        <w:rPr>
          <w:i/>
          <w:iCs/>
        </w:rPr>
        <w:t xml:space="preserve">arty </w:t>
      </w:r>
      <w:r>
        <w:rPr>
          <w:i/>
          <w:iCs/>
        </w:rPr>
        <w:t>D</w:t>
      </w:r>
      <w:r w:rsidRPr="00B31D8E">
        <w:rPr>
          <w:i/>
          <w:iCs/>
        </w:rPr>
        <w:t xml:space="preserve">isclosure </w:t>
      </w:r>
      <w:r>
        <w:rPr>
          <w:i/>
          <w:iCs/>
        </w:rPr>
        <w:t>Burden</w:t>
      </w:r>
      <w:r w:rsidRPr="4155A301">
        <w:t xml:space="preserve">  </w:t>
      </w:r>
    </w:p>
    <w:p w:rsidR="00B04338" w:rsidRPr="00B04338" w:rsidP="00B04338" w14:paraId="19855CB3" w14:textId="77777777">
      <w:pPr>
        <w:keepNext/>
        <w:ind w:left="360"/>
        <w:contextualSpacing/>
        <w:jc w:val="center"/>
        <w:rPr>
          <w:bCs/>
          <w:sz w:val="20"/>
          <w:szCs w:val="20"/>
        </w:rPr>
      </w:pPr>
      <w:r w:rsidRPr="00B04338">
        <w:rPr>
          <w:bCs/>
          <w:sz w:val="20"/>
          <w:szCs w:val="20"/>
        </w:rPr>
        <w:t>Table 3.--Estimated Annual Third-Party Disclosure</w:t>
      </w:r>
      <w:r w:rsidRPr="00B04338">
        <w:rPr>
          <w:sz w:val="20"/>
          <w:szCs w:val="20"/>
        </w:rPr>
        <w:t xml:space="preserve"> </w:t>
      </w:r>
      <w:r w:rsidRPr="00B04338">
        <w:rPr>
          <w:bCs/>
          <w:sz w:val="20"/>
          <w:szCs w:val="20"/>
        </w:rPr>
        <w:t>Burden</w:t>
      </w:r>
      <w:r w:rsidRPr="00B04338">
        <w:rPr>
          <w:bCs/>
          <w:sz w:val="20"/>
          <w:szCs w:val="20"/>
          <w:vertAlign w:val="superscript"/>
        </w:rPr>
        <w:t xml:space="preserve">1 </w:t>
      </w:r>
    </w:p>
    <w:tbl>
      <w:tblPr>
        <w:tblW w:w="864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8"/>
        <w:gridCol w:w="1599"/>
        <w:gridCol w:w="1521"/>
        <w:gridCol w:w="1510"/>
        <w:gridCol w:w="1432"/>
        <w:gridCol w:w="1130"/>
      </w:tblGrid>
      <w:tr w14:paraId="39E2C7ED" w14:textId="77777777" w:rsidTr="00276CB9">
        <w:tblPrEx>
          <w:tblW w:w="864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20"/>
        </w:trPr>
        <w:tc>
          <w:tcPr>
            <w:tcW w:w="1448" w:type="dxa"/>
            <w:tcBorders>
              <w:top w:val="single" w:sz="4" w:space="0" w:color="auto"/>
              <w:left w:val="single" w:sz="4" w:space="0" w:color="auto"/>
              <w:bottom w:val="single" w:sz="4" w:space="0" w:color="auto"/>
              <w:right w:val="single" w:sz="4" w:space="0" w:color="auto"/>
            </w:tcBorders>
            <w:shd w:val="clear" w:color="auto" w:fill="auto"/>
          </w:tcPr>
          <w:p w:rsidR="00B04338" w:rsidRPr="00B04338" w:rsidP="00276CB9" w14:paraId="2C41F307" w14:textId="77777777">
            <w:pPr>
              <w:keepNext/>
              <w:ind w:left="-18"/>
              <w:contextualSpacing/>
              <w:jc w:val="center"/>
              <w:rPr>
                <w:sz w:val="20"/>
                <w:szCs w:val="20"/>
              </w:rPr>
            </w:pPr>
            <w:r w:rsidRPr="00B04338">
              <w:rPr>
                <w:sz w:val="20"/>
                <w:szCs w:val="20"/>
              </w:rPr>
              <w:t>DSCSA Small Dispensers Assessment</w:t>
            </w:r>
          </w:p>
        </w:tc>
        <w:tc>
          <w:tcPr>
            <w:tcW w:w="1599" w:type="dxa"/>
            <w:tcBorders>
              <w:top w:val="single" w:sz="4" w:space="0" w:color="auto"/>
              <w:left w:val="single" w:sz="4" w:space="0" w:color="auto"/>
              <w:bottom w:val="single" w:sz="4" w:space="0" w:color="auto"/>
              <w:right w:val="single" w:sz="4" w:space="0" w:color="auto"/>
            </w:tcBorders>
            <w:shd w:val="clear" w:color="auto" w:fill="auto"/>
          </w:tcPr>
          <w:p w:rsidR="00B04338" w:rsidRPr="00B04338" w:rsidP="00276CB9" w14:paraId="79152FA0" w14:textId="77777777">
            <w:pPr>
              <w:keepNext/>
              <w:ind w:left="60"/>
              <w:contextualSpacing/>
              <w:jc w:val="center"/>
              <w:rPr>
                <w:sz w:val="20"/>
                <w:szCs w:val="20"/>
              </w:rPr>
            </w:pPr>
            <w:r w:rsidRPr="00B04338">
              <w:rPr>
                <w:sz w:val="20"/>
                <w:szCs w:val="20"/>
              </w:rPr>
              <w:t>No. of Respondents</w:t>
            </w:r>
          </w:p>
        </w:tc>
        <w:tc>
          <w:tcPr>
            <w:tcW w:w="1521" w:type="dxa"/>
            <w:tcBorders>
              <w:top w:val="single" w:sz="4" w:space="0" w:color="auto"/>
              <w:left w:val="single" w:sz="4" w:space="0" w:color="auto"/>
              <w:bottom w:val="single" w:sz="4" w:space="0" w:color="auto"/>
              <w:right w:val="single" w:sz="4" w:space="0" w:color="auto"/>
            </w:tcBorders>
            <w:shd w:val="clear" w:color="auto" w:fill="auto"/>
          </w:tcPr>
          <w:p w:rsidR="00B04338" w:rsidRPr="00B04338" w:rsidP="00276CB9" w14:paraId="3CD11665" w14:textId="77777777">
            <w:pPr>
              <w:keepNext/>
              <w:contextualSpacing/>
              <w:jc w:val="center"/>
              <w:rPr>
                <w:bCs/>
                <w:sz w:val="20"/>
                <w:szCs w:val="20"/>
              </w:rPr>
            </w:pPr>
            <w:r w:rsidRPr="00B04338">
              <w:rPr>
                <w:sz w:val="20"/>
                <w:szCs w:val="20"/>
              </w:rPr>
              <w:t>No. of Disclosures per Respondent</w:t>
            </w:r>
          </w:p>
        </w:tc>
        <w:tc>
          <w:tcPr>
            <w:tcW w:w="1510" w:type="dxa"/>
            <w:tcBorders>
              <w:top w:val="single" w:sz="4" w:space="0" w:color="auto"/>
              <w:left w:val="single" w:sz="4" w:space="0" w:color="auto"/>
              <w:bottom w:val="single" w:sz="4" w:space="0" w:color="auto"/>
              <w:right w:val="single" w:sz="4" w:space="0" w:color="auto"/>
            </w:tcBorders>
            <w:shd w:val="clear" w:color="auto" w:fill="auto"/>
          </w:tcPr>
          <w:p w:rsidR="00B04338" w:rsidRPr="00B04338" w:rsidP="00276CB9" w14:paraId="3C54F18A" w14:textId="77777777">
            <w:pPr>
              <w:keepNext/>
              <w:contextualSpacing/>
              <w:jc w:val="center"/>
              <w:rPr>
                <w:sz w:val="20"/>
                <w:szCs w:val="20"/>
              </w:rPr>
            </w:pPr>
            <w:r w:rsidRPr="00B04338">
              <w:rPr>
                <w:sz w:val="20"/>
                <w:szCs w:val="20"/>
              </w:rPr>
              <w:t xml:space="preserve">Total Annual Disclosures </w:t>
            </w:r>
          </w:p>
        </w:tc>
        <w:tc>
          <w:tcPr>
            <w:tcW w:w="1432" w:type="dxa"/>
            <w:tcBorders>
              <w:top w:val="single" w:sz="4" w:space="0" w:color="auto"/>
              <w:left w:val="single" w:sz="4" w:space="0" w:color="auto"/>
              <w:bottom w:val="single" w:sz="4" w:space="0" w:color="auto"/>
              <w:right w:val="single" w:sz="4" w:space="0" w:color="auto"/>
            </w:tcBorders>
            <w:shd w:val="clear" w:color="auto" w:fill="auto"/>
          </w:tcPr>
          <w:p w:rsidR="00B04338" w:rsidRPr="00B04338" w:rsidP="00276CB9" w14:paraId="21C31499" w14:textId="77777777">
            <w:pPr>
              <w:keepNext/>
              <w:ind w:left="18"/>
              <w:contextualSpacing/>
              <w:jc w:val="center"/>
              <w:rPr>
                <w:sz w:val="20"/>
                <w:szCs w:val="20"/>
              </w:rPr>
            </w:pPr>
            <w:r w:rsidRPr="00B04338">
              <w:rPr>
                <w:sz w:val="20"/>
                <w:szCs w:val="20"/>
              </w:rPr>
              <w:t>Average Burden per Disclosure</w:t>
            </w:r>
          </w:p>
        </w:tc>
        <w:tc>
          <w:tcPr>
            <w:tcW w:w="1130" w:type="dxa"/>
            <w:tcBorders>
              <w:top w:val="single" w:sz="4" w:space="0" w:color="auto"/>
              <w:left w:val="single" w:sz="4" w:space="0" w:color="auto"/>
              <w:bottom w:val="single" w:sz="4" w:space="0" w:color="auto"/>
              <w:right w:val="single" w:sz="4" w:space="0" w:color="auto"/>
            </w:tcBorders>
            <w:shd w:val="clear" w:color="auto" w:fill="auto"/>
          </w:tcPr>
          <w:p w:rsidR="00B04338" w:rsidRPr="00B04338" w:rsidP="00276CB9" w14:paraId="53FA06C6" w14:textId="77777777">
            <w:pPr>
              <w:keepNext/>
              <w:ind w:left="30"/>
              <w:contextualSpacing/>
              <w:jc w:val="center"/>
              <w:rPr>
                <w:sz w:val="20"/>
                <w:szCs w:val="20"/>
              </w:rPr>
            </w:pPr>
            <w:r w:rsidRPr="00B04338">
              <w:rPr>
                <w:sz w:val="20"/>
                <w:szCs w:val="20"/>
              </w:rPr>
              <w:t>Total Hours</w:t>
            </w:r>
            <w:r w:rsidRPr="00B04338">
              <w:rPr>
                <w:sz w:val="20"/>
                <w:szCs w:val="20"/>
                <w:vertAlign w:val="superscript"/>
              </w:rPr>
              <w:t>2</w:t>
            </w:r>
          </w:p>
        </w:tc>
      </w:tr>
      <w:tr w14:paraId="34571F0B" w14:textId="77777777" w:rsidTr="00276CB9">
        <w:tblPrEx>
          <w:tblW w:w="8640" w:type="dxa"/>
          <w:tblInd w:w="355" w:type="dxa"/>
          <w:tblLook w:val="01E0"/>
        </w:tblPrEx>
        <w:trPr>
          <w:cantSplit/>
          <w:trHeight w:val="746"/>
        </w:trPr>
        <w:tc>
          <w:tcPr>
            <w:tcW w:w="1448" w:type="dxa"/>
            <w:tcBorders>
              <w:top w:val="single" w:sz="4" w:space="0" w:color="auto"/>
              <w:left w:val="single" w:sz="4" w:space="0" w:color="auto"/>
              <w:bottom w:val="single" w:sz="4" w:space="0" w:color="auto"/>
              <w:right w:val="single" w:sz="4" w:space="0" w:color="auto"/>
            </w:tcBorders>
            <w:shd w:val="clear" w:color="auto" w:fill="auto"/>
          </w:tcPr>
          <w:p w:rsidR="00B04338" w:rsidRPr="00B04338" w:rsidP="00276CB9" w14:paraId="4C1C9B73" w14:textId="77777777">
            <w:pPr>
              <w:keepNext/>
              <w:ind w:left="-18"/>
              <w:contextualSpacing/>
              <w:rPr>
                <w:sz w:val="20"/>
                <w:szCs w:val="20"/>
              </w:rPr>
            </w:pPr>
            <w:r w:rsidRPr="00B04338">
              <w:rPr>
                <w:sz w:val="20"/>
                <w:szCs w:val="20"/>
              </w:rPr>
              <w:t xml:space="preserve">Coordination with third-party entities related to screener questions </w:t>
            </w:r>
          </w:p>
        </w:tc>
        <w:tc>
          <w:tcPr>
            <w:tcW w:w="1599" w:type="dxa"/>
            <w:tcBorders>
              <w:top w:val="single" w:sz="4" w:space="0" w:color="auto"/>
              <w:left w:val="single" w:sz="4" w:space="0" w:color="auto"/>
              <w:bottom w:val="single" w:sz="4" w:space="0" w:color="auto"/>
              <w:right w:val="single" w:sz="4" w:space="0" w:color="auto"/>
            </w:tcBorders>
            <w:shd w:val="clear" w:color="auto" w:fill="auto"/>
          </w:tcPr>
          <w:p w:rsidR="00B04338" w:rsidRPr="00B04338" w:rsidP="00B04338" w14:paraId="00846824" w14:textId="77777777">
            <w:pPr>
              <w:keepNext/>
              <w:ind w:left="360"/>
              <w:contextualSpacing/>
              <w:jc w:val="right"/>
              <w:rPr>
                <w:sz w:val="20"/>
                <w:szCs w:val="20"/>
              </w:rPr>
            </w:pPr>
            <w:r w:rsidRPr="00B04338">
              <w:rPr>
                <w:sz w:val="20"/>
                <w:szCs w:val="20"/>
              </w:rPr>
              <w:t>692</w:t>
            </w:r>
          </w:p>
        </w:tc>
        <w:tc>
          <w:tcPr>
            <w:tcW w:w="1521" w:type="dxa"/>
            <w:tcBorders>
              <w:top w:val="single" w:sz="4" w:space="0" w:color="auto"/>
              <w:left w:val="single" w:sz="4" w:space="0" w:color="auto"/>
              <w:bottom w:val="single" w:sz="4" w:space="0" w:color="auto"/>
              <w:right w:val="single" w:sz="4" w:space="0" w:color="auto"/>
            </w:tcBorders>
            <w:shd w:val="clear" w:color="auto" w:fill="auto"/>
          </w:tcPr>
          <w:p w:rsidR="00B04338" w:rsidRPr="00B04338" w:rsidP="00B04338" w14:paraId="729BECFD" w14:textId="77777777">
            <w:pPr>
              <w:keepNext/>
              <w:ind w:left="360"/>
              <w:contextualSpacing/>
              <w:jc w:val="right"/>
              <w:rPr>
                <w:sz w:val="20"/>
                <w:szCs w:val="20"/>
              </w:rPr>
            </w:pPr>
            <w:r w:rsidRPr="00B04338">
              <w:rPr>
                <w:sz w:val="20"/>
                <w:szCs w:val="20"/>
              </w:rPr>
              <w:t>2</w:t>
            </w:r>
          </w:p>
        </w:tc>
        <w:tc>
          <w:tcPr>
            <w:tcW w:w="1510" w:type="dxa"/>
            <w:tcBorders>
              <w:top w:val="single" w:sz="4" w:space="0" w:color="auto"/>
              <w:left w:val="single" w:sz="4" w:space="0" w:color="auto"/>
              <w:bottom w:val="single" w:sz="4" w:space="0" w:color="auto"/>
              <w:right w:val="single" w:sz="4" w:space="0" w:color="auto"/>
            </w:tcBorders>
            <w:shd w:val="clear" w:color="auto" w:fill="auto"/>
          </w:tcPr>
          <w:p w:rsidR="00B04338" w:rsidRPr="00B04338" w:rsidP="00B04338" w14:paraId="62DFA3CA" w14:textId="77777777">
            <w:pPr>
              <w:keepNext/>
              <w:ind w:left="360"/>
              <w:contextualSpacing/>
              <w:jc w:val="right"/>
              <w:rPr>
                <w:sz w:val="20"/>
                <w:szCs w:val="20"/>
              </w:rPr>
            </w:pPr>
            <w:r w:rsidRPr="00B04338">
              <w:rPr>
                <w:sz w:val="20"/>
                <w:szCs w:val="20"/>
              </w:rPr>
              <w:t>1,384</w:t>
            </w:r>
          </w:p>
        </w:tc>
        <w:tc>
          <w:tcPr>
            <w:tcW w:w="1432" w:type="dxa"/>
            <w:tcBorders>
              <w:top w:val="single" w:sz="4" w:space="0" w:color="auto"/>
              <w:left w:val="single" w:sz="4" w:space="0" w:color="auto"/>
              <w:bottom w:val="single" w:sz="4" w:space="0" w:color="auto"/>
              <w:right w:val="single" w:sz="4" w:space="0" w:color="auto"/>
            </w:tcBorders>
            <w:shd w:val="clear" w:color="auto" w:fill="auto"/>
          </w:tcPr>
          <w:p w:rsidR="00B04338" w:rsidRPr="00B04338" w:rsidP="00B04338" w14:paraId="389B67C1" w14:textId="77777777">
            <w:pPr>
              <w:keepNext/>
              <w:ind w:left="360"/>
              <w:contextualSpacing/>
              <w:jc w:val="right"/>
              <w:rPr>
                <w:sz w:val="20"/>
                <w:szCs w:val="20"/>
              </w:rPr>
            </w:pPr>
            <w:r w:rsidRPr="00B04338">
              <w:rPr>
                <w:sz w:val="20"/>
                <w:szCs w:val="20"/>
              </w:rPr>
              <w:t>0.1</w:t>
            </w:r>
          </w:p>
        </w:tc>
        <w:tc>
          <w:tcPr>
            <w:tcW w:w="1130" w:type="dxa"/>
            <w:tcBorders>
              <w:top w:val="single" w:sz="4" w:space="0" w:color="auto"/>
              <w:left w:val="single" w:sz="4" w:space="0" w:color="auto"/>
              <w:bottom w:val="single" w:sz="4" w:space="0" w:color="auto"/>
              <w:right w:val="single" w:sz="4" w:space="0" w:color="auto"/>
            </w:tcBorders>
            <w:shd w:val="clear" w:color="auto" w:fill="auto"/>
          </w:tcPr>
          <w:p w:rsidR="00B04338" w:rsidRPr="00B04338" w:rsidP="00B04338" w14:paraId="3CE83C1E" w14:textId="77777777">
            <w:pPr>
              <w:keepNext/>
              <w:ind w:left="360"/>
              <w:contextualSpacing/>
              <w:jc w:val="right"/>
              <w:rPr>
                <w:sz w:val="20"/>
                <w:szCs w:val="20"/>
              </w:rPr>
            </w:pPr>
            <w:r w:rsidRPr="00B04338">
              <w:rPr>
                <w:sz w:val="20"/>
                <w:szCs w:val="20"/>
              </w:rPr>
              <w:t>138</w:t>
            </w:r>
          </w:p>
        </w:tc>
      </w:tr>
      <w:tr w14:paraId="64452DC1" w14:textId="77777777" w:rsidTr="00276CB9">
        <w:tblPrEx>
          <w:tblW w:w="8640" w:type="dxa"/>
          <w:tblInd w:w="355" w:type="dxa"/>
          <w:tblLook w:val="01E0"/>
        </w:tblPrEx>
        <w:trPr>
          <w:cantSplit/>
          <w:trHeight w:val="20"/>
        </w:trPr>
        <w:tc>
          <w:tcPr>
            <w:tcW w:w="1448" w:type="dxa"/>
            <w:tcBorders>
              <w:top w:val="single" w:sz="4" w:space="0" w:color="auto"/>
              <w:left w:val="single" w:sz="4" w:space="0" w:color="auto"/>
              <w:bottom w:val="single" w:sz="4" w:space="0" w:color="auto"/>
              <w:right w:val="single" w:sz="4" w:space="0" w:color="auto"/>
            </w:tcBorders>
            <w:shd w:val="clear" w:color="auto" w:fill="auto"/>
          </w:tcPr>
          <w:p w:rsidR="00B04338" w:rsidRPr="00B04338" w:rsidP="00276CB9" w14:paraId="0D4EC22A" w14:textId="77777777">
            <w:pPr>
              <w:keepNext/>
              <w:ind w:left="-18"/>
              <w:contextualSpacing/>
              <w:rPr>
                <w:sz w:val="20"/>
                <w:szCs w:val="20"/>
              </w:rPr>
            </w:pPr>
            <w:r w:rsidRPr="00B04338">
              <w:rPr>
                <w:sz w:val="20"/>
                <w:szCs w:val="20"/>
              </w:rPr>
              <w:t>Coordination with third-party entities related to assessment questions response</w:t>
            </w:r>
          </w:p>
        </w:tc>
        <w:tc>
          <w:tcPr>
            <w:tcW w:w="1599" w:type="dxa"/>
            <w:tcBorders>
              <w:top w:val="single" w:sz="4" w:space="0" w:color="auto"/>
              <w:left w:val="single" w:sz="4" w:space="0" w:color="auto"/>
              <w:bottom w:val="single" w:sz="4" w:space="0" w:color="auto"/>
              <w:right w:val="single" w:sz="4" w:space="0" w:color="auto"/>
            </w:tcBorders>
            <w:shd w:val="clear" w:color="auto" w:fill="auto"/>
          </w:tcPr>
          <w:p w:rsidR="00B04338" w:rsidRPr="00B04338" w:rsidP="00B04338" w14:paraId="217B7E95" w14:textId="77777777">
            <w:pPr>
              <w:keepNext/>
              <w:ind w:left="360"/>
              <w:contextualSpacing/>
              <w:jc w:val="right"/>
              <w:rPr>
                <w:sz w:val="20"/>
                <w:szCs w:val="20"/>
              </w:rPr>
            </w:pPr>
            <w:r w:rsidRPr="00B04338">
              <w:rPr>
                <w:sz w:val="20"/>
                <w:szCs w:val="20"/>
              </w:rPr>
              <w:t>461</w:t>
            </w:r>
          </w:p>
        </w:tc>
        <w:tc>
          <w:tcPr>
            <w:tcW w:w="1521" w:type="dxa"/>
            <w:tcBorders>
              <w:top w:val="single" w:sz="4" w:space="0" w:color="auto"/>
              <w:left w:val="single" w:sz="4" w:space="0" w:color="auto"/>
              <w:bottom w:val="single" w:sz="4" w:space="0" w:color="auto"/>
              <w:right w:val="single" w:sz="4" w:space="0" w:color="auto"/>
            </w:tcBorders>
            <w:shd w:val="clear" w:color="auto" w:fill="auto"/>
          </w:tcPr>
          <w:p w:rsidR="00B04338" w:rsidRPr="00B04338" w:rsidP="00B04338" w14:paraId="19B3CBE2" w14:textId="77777777">
            <w:pPr>
              <w:keepNext/>
              <w:ind w:left="360"/>
              <w:contextualSpacing/>
              <w:jc w:val="right"/>
              <w:rPr>
                <w:bCs/>
                <w:sz w:val="20"/>
                <w:szCs w:val="20"/>
              </w:rPr>
            </w:pPr>
            <w:r w:rsidRPr="00B04338">
              <w:rPr>
                <w:bCs/>
                <w:sz w:val="20"/>
                <w:szCs w:val="20"/>
              </w:rPr>
              <w:t>2</w:t>
            </w:r>
          </w:p>
        </w:tc>
        <w:tc>
          <w:tcPr>
            <w:tcW w:w="1510" w:type="dxa"/>
            <w:tcBorders>
              <w:top w:val="single" w:sz="4" w:space="0" w:color="auto"/>
              <w:left w:val="single" w:sz="4" w:space="0" w:color="auto"/>
              <w:bottom w:val="single" w:sz="4" w:space="0" w:color="auto"/>
              <w:right w:val="single" w:sz="4" w:space="0" w:color="auto"/>
            </w:tcBorders>
            <w:shd w:val="clear" w:color="auto" w:fill="auto"/>
          </w:tcPr>
          <w:p w:rsidR="00B04338" w:rsidRPr="00B04338" w:rsidP="00B04338" w14:paraId="21A167F5" w14:textId="77777777">
            <w:pPr>
              <w:keepNext/>
              <w:ind w:left="360"/>
              <w:contextualSpacing/>
              <w:jc w:val="right"/>
              <w:rPr>
                <w:sz w:val="20"/>
                <w:szCs w:val="20"/>
              </w:rPr>
            </w:pPr>
            <w:r w:rsidRPr="00B04338">
              <w:rPr>
                <w:sz w:val="20"/>
                <w:szCs w:val="20"/>
              </w:rPr>
              <w:t>922</w:t>
            </w:r>
          </w:p>
        </w:tc>
        <w:tc>
          <w:tcPr>
            <w:tcW w:w="1432" w:type="dxa"/>
            <w:tcBorders>
              <w:top w:val="single" w:sz="4" w:space="0" w:color="auto"/>
              <w:left w:val="single" w:sz="4" w:space="0" w:color="auto"/>
              <w:bottom w:val="single" w:sz="4" w:space="0" w:color="auto"/>
              <w:right w:val="single" w:sz="4" w:space="0" w:color="auto"/>
            </w:tcBorders>
            <w:shd w:val="clear" w:color="auto" w:fill="auto"/>
          </w:tcPr>
          <w:p w:rsidR="00B04338" w:rsidRPr="00B04338" w:rsidP="00B04338" w14:paraId="481DE716" w14:textId="77777777">
            <w:pPr>
              <w:keepNext/>
              <w:ind w:left="360"/>
              <w:contextualSpacing/>
              <w:jc w:val="right"/>
              <w:rPr>
                <w:sz w:val="20"/>
                <w:szCs w:val="20"/>
              </w:rPr>
            </w:pPr>
            <w:r w:rsidRPr="00B04338">
              <w:rPr>
                <w:sz w:val="20"/>
                <w:szCs w:val="20"/>
              </w:rPr>
              <w:t>2</w:t>
            </w:r>
          </w:p>
        </w:tc>
        <w:tc>
          <w:tcPr>
            <w:tcW w:w="1130" w:type="dxa"/>
            <w:tcBorders>
              <w:top w:val="single" w:sz="4" w:space="0" w:color="auto"/>
              <w:left w:val="single" w:sz="4" w:space="0" w:color="auto"/>
              <w:bottom w:val="single" w:sz="4" w:space="0" w:color="auto"/>
              <w:right w:val="single" w:sz="4" w:space="0" w:color="auto"/>
            </w:tcBorders>
            <w:shd w:val="clear" w:color="auto" w:fill="auto"/>
          </w:tcPr>
          <w:p w:rsidR="00B04338" w:rsidRPr="00B04338" w:rsidP="00B04338" w14:paraId="3E3722F7" w14:textId="77777777">
            <w:pPr>
              <w:keepNext/>
              <w:ind w:left="360"/>
              <w:contextualSpacing/>
              <w:jc w:val="right"/>
              <w:rPr>
                <w:sz w:val="20"/>
                <w:szCs w:val="20"/>
              </w:rPr>
            </w:pPr>
            <w:r w:rsidRPr="00B04338">
              <w:rPr>
                <w:sz w:val="20"/>
                <w:szCs w:val="20"/>
              </w:rPr>
              <w:t>1,844</w:t>
            </w:r>
          </w:p>
        </w:tc>
      </w:tr>
      <w:tr w14:paraId="31BE4D75" w14:textId="77777777" w:rsidTr="00276CB9">
        <w:tblPrEx>
          <w:tblW w:w="8640" w:type="dxa"/>
          <w:tblInd w:w="355" w:type="dxa"/>
          <w:tblLook w:val="01E0"/>
        </w:tblPrEx>
        <w:trPr>
          <w:cantSplit/>
          <w:trHeight w:val="20"/>
        </w:trPr>
        <w:tc>
          <w:tcPr>
            <w:tcW w:w="1448" w:type="dxa"/>
            <w:tcBorders>
              <w:top w:val="single" w:sz="4" w:space="0" w:color="auto"/>
              <w:left w:val="single" w:sz="4" w:space="0" w:color="auto"/>
              <w:bottom w:val="single" w:sz="4" w:space="0" w:color="auto"/>
              <w:right w:val="single" w:sz="4" w:space="0" w:color="auto"/>
            </w:tcBorders>
            <w:shd w:val="clear" w:color="auto" w:fill="auto"/>
          </w:tcPr>
          <w:p w:rsidR="00B04338" w:rsidRPr="00B04338" w:rsidP="00276CB9" w14:paraId="4CF91EA7" w14:textId="77777777">
            <w:pPr>
              <w:keepNext/>
              <w:ind w:left="-18"/>
              <w:contextualSpacing/>
              <w:rPr>
                <w:sz w:val="20"/>
                <w:szCs w:val="20"/>
              </w:rPr>
            </w:pPr>
            <w:r w:rsidRPr="00B04338">
              <w:rPr>
                <w:sz w:val="20"/>
                <w:szCs w:val="20"/>
              </w:rPr>
              <w:t xml:space="preserve">Total </w:t>
            </w:r>
          </w:p>
        </w:tc>
        <w:tc>
          <w:tcPr>
            <w:tcW w:w="1599" w:type="dxa"/>
            <w:tcBorders>
              <w:top w:val="single" w:sz="4" w:space="0" w:color="auto"/>
              <w:left w:val="single" w:sz="4" w:space="0" w:color="auto"/>
              <w:bottom w:val="single" w:sz="4" w:space="0" w:color="auto"/>
              <w:right w:val="single" w:sz="4" w:space="0" w:color="auto"/>
            </w:tcBorders>
            <w:shd w:val="clear" w:color="auto" w:fill="auto"/>
          </w:tcPr>
          <w:p w:rsidR="00B04338" w:rsidRPr="00B04338" w:rsidP="00B04338" w14:paraId="0C19C8D5" w14:textId="77777777">
            <w:pPr>
              <w:keepNext/>
              <w:ind w:left="360"/>
              <w:contextualSpacing/>
              <w:jc w:val="right"/>
              <w:rPr>
                <w:sz w:val="20"/>
                <w:szCs w:val="20"/>
              </w:rPr>
            </w:pPr>
          </w:p>
        </w:tc>
        <w:tc>
          <w:tcPr>
            <w:tcW w:w="1521" w:type="dxa"/>
            <w:tcBorders>
              <w:top w:val="single" w:sz="4" w:space="0" w:color="auto"/>
              <w:left w:val="single" w:sz="4" w:space="0" w:color="auto"/>
              <w:bottom w:val="single" w:sz="4" w:space="0" w:color="auto"/>
              <w:right w:val="single" w:sz="4" w:space="0" w:color="auto"/>
            </w:tcBorders>
            <w:shd w:val="clear" w:color="auto" w:fill="auto"/>
          </w:tcPr>
          <w:p w:rsidR="00B04338" w:rsidRPr="00B04338" w:rsidP="00B04338" w14:paraId="543A56E3" w14:textId="77777777">
            <w:pPr>
              <w:keepNext/>
              <w:ind w:left="360"/>
              <w:contextualSpacing/>
              <w:jc w:val="right"/>
              <w:rPr>
                <w:bCs/>
                <w:sz w:val="20"/>
                <w:szCs w:val="20"/>
              </w:rPr>
            </w:pPr>
          </w:p>
        </w:tc>
        <w:tc>
          <w:tcPr>
            <w:tcW w:w="1510" w:type="dxa"/>
            <w:tcBorders>
              <w:top w:val="single" w:sz="4" w:space="0" w:color="auto"/>
              <w:left w:val="single" w:sz="4" w:space="0" w:color="auto"/>
              <w:bottom w:val="single" w:sz="4" w:space="0" w:color="auto"/>
              <w:right w:val="single" w:sz="4" w:space="0" w:color="auto"/>
            </w:tcBorders>
            <w:shd w:val="clear" w:color="auto" w:fill="auto"/>
          </w:tcPr>
          <w:p w:rsidR="00B04338" w:rsidRPr="00B04338" w:rsidP="00B04338" w14:paraId="5D24358E" w14:textId="77777777">
            <w:pPr>
              <w:keepNext/>
              <w:ind w:left="360"/>
              <w:contextualSpacing/>
              <w:jc w:val="right"/>
              <w:rPr>
                <w:sz w:val="20"/>
                <w:szCs w:val="20"/>
              </w:rPr>
            </w:pPr>
            <w:r w:rsidRPr="00B04338">
              <w:rPr>
                <w:sz w:val="20"/>
                <w:szCs w:val="20"/>
              </w:rPr>
              <w:t>2,306</w:t>
            </w:r>
          </w:p>
        </w:tc>
        <w:tc>
          <w:tcPr>
            <w:tcW w:w="1432" w:type="dxa"/>
            <w:tcBorders>
              <w:top w:val="single" w:sz="4" w:space="0" w:color="auto"/>
              <w:left w:val="single" w:sz="4" w:space="0" w:color="auto"/>
              <w:bottom w:val="single" w:sz="4" w:space="0" w:color="auto"/>
              <w:right w:val="single" w:sz="4" w:space="0" w:color="auto"/>
            </w:tcBorders>
            <w:shd w:val="clear" w:color="auto" w:fill="auto"/>
          </w:tcPr>
          <w:p w:rsidR="00B04338" w:rsidRPr="00B04338" w:rsidP="00B04338" w14:paraId="5127626D" w14:textId="77777777">
            <w:pPr>
              <w:keepNext/>
              <w:ind w:left="360"/>
              <w:contextualSpacing/>
              <w:jc w:val="right"/>
              <w:rPr>
                <w:sz w:val="20"/>
                <w:szCs w:val="20"/>
              </w:rPr>
            </w:pPr>
          </w:p>
        </w:tc>
        <w:tc>
          <w:tcPr>
            <w:tcW w:w="1130" w:type="dxa"/>
            <w:tcBorders>
              <w:top w:val="single" w:sz="4" w:space="0" w:color="auto"/>
              <w:left w:val="single" w:sz="4" w:space="0" w:color="auto"/>
              <w:bottom w:val="single" w:sz="4" w:space="0" w:color="auto"/>
              <w:right w:val="single" w:sz="4" w:space="0" w:color="auto"/>
            </w:tcBorders>
            <w:shd w:val="clear" w:color="auto" w:fill="auto"/>
          </w:tcPr>
          <w:p w:rsidR="00B04338" w:rsidRPr="00B04338" w:rsidP="00B04338" w14:paraId="6EF7C144" w14:textId="77777777">
            <w:pPr>
              <w:keepNext/>
              <w:ind w:left="360"/>
              <w:contextualSpacing/>
              <w:jc w:val="right"/>
              <w:rPr>
                <w:sz w:val="20"/>
                <w:szCs w:val="20"/>
              </w:rPr>
            </w:pPr>
            <w:r w:rsidRPr="00B04338">
              <w:rPr>
                <w:sz w:val="20"/>
                <w:szCs w:val="20"/>
              </w:rPr>
              <w:t>1,982</w:t>
            </w:r>
          </w:p>
        </w:tc>
      </w:tr>
    </w:tbl>
    <w:p w:rsidR="00B04338" w:rsidRPr="00B04338" w:rsidP="00B04338" w14:paraId="6CAE4FCD" w14:textId="77777777">
      <w:pPr>
        <w:keepNext/>
        <w:ind w:left="360"/>
        <w:contextualSpacing/>
        <w:rPr>
          <w:sz w:val="20"/>
          <w:szCs w:val="20"/>
        </w:rPr>
      </w:pPr>
      <w:r w:rsidRPr="00B04338">
        <w:rPr>
          <w:sz w:val="20"/>
          <w:szCs w:val="20"/>
          <w:vertAlign w:val="superscript"/>
        </w:rPr>
        <w:t xml:space="preserve">1  </w:t>
      </w:r>
      <w:r w:rsidRPr="00B04338">
        <w:rPr>
          <w:sz w:val="20"/>
          <w:szCs w:val="20"/>
        </w:rPr>
        <w:t>There are no capital costs or operating and maintenance costs associated with this collection of information.</w:t>
      </w:r>
    </w:p>
    <w:p w:rsidR="00B04338" w:rsidRPr="00B04338" w:rsidP="00B04338" w14:paraId="7638648E" w14:textId="77777777">
      <w:pPr>
        <w:keepNext/>
        <w:ind w:left="360"/>
        <w:contextualSpacing/>
        <w:rPr>
          <w:sz w:val="20"/>
          <w:szCs w:val="20"/>
        </w:rPr>
      </w:pPr>
      <w:r w:rsidRPr="00B04338">
        <w:rPr>
          <w:sz w:val="20"/>
          <w:szCs w:val="20"/>
          <w:vertAlign w:val="superscript"/>
        </w:rPr>
        <w:t xml:space="preserve">2  </w:t>
      </w:r>
      <w:r w:rsidRPr="00B04338">
        <w:rPr>
          <w:sz w:val="20"/>
          <w:szCs w:val="20"/>
        </w:rPr>
        <w:t>Totals have been rounded to the nearest whole number.</w:t>
      </w:r>
    </w:p>
    <w:p w:rsidR="00B04338" w:rsidP="00B04338" w14:paraId="6963DA31" w14:textId="77777777">
      <w:pPr>
        <w:autoSpaceDE w:val="0"/>
        <w:autoSpaceDN w:val="0"/>
        <w:adjustRightInd w:val="0"/>
        <w:ind w:left="360"/>
        <w:rPr>
          <w:sz w:val="22"/>
          <w:szCs w:val="22"/>
        </w:rPr>
      </w:pPr>
    </w:p>
    <w:p w:rsidR="00B04338" w:rsidP="00B04338" w14:paraId="1A91852C" w14:textId="30207CE3">
      <w:pPr>
        <w:autoSpaceDE w:val="0"/>
        <w:autoSpaceDN w:val="0"/>
        <w:adjustRightInd w:val="0"/>
        <w:ind w:left="360"/>
      </w:pPr>
      <w:r w:rsidRPr="4155A301">
        <w:t>FDA is taking into consideration the time that</w:t>
      </w:r>
      <w:r>
        <w:t xml:space="preserve"> respondents </w:t>
      </w:r>
      <w:r w:rsidRPr="4155A301">
        <w:t xml:space="preserve">will spend coordinating with third-party entities (e.g., solution providers, wholesale distributors, consultants). For the </w:t>
      </w:r>
      <w:r>
        <w:t>screener questions</w:t>
      </w:r>
      <w:r w:rsidRPr="4155A301">
        <w:t>, FDA</w:t>
      </w:r>
      <w:r>
        <w:t xml:space="preserve"> </w:t>
      </w:r>
      <w:r w:rsidRPr="4155A301">
        <w:t>estimates that</w:t>
      </w:r>
      <w:r>
        <w:t xml:space="preserve"> seventy-five percent of the 922 respondents, or</w:t>
      </w:r>
      <w:r w:rsidRPr="4155A301">
        <w:t xml:space="preserve"> </w:t>
      </w:r>
      <w:r>
        <w:t>691.5</w:t>
      </w:r>
      <w:r w:rsidRPr="4155A301">
        <w:t xml:space="preserve"> respondents</w:t>
      </w:r>
      <w:r>
        <w:t>, rounded to 692,</w:t>
      </w:r>
      <w:r w:rsidRPr="4155A301">
        <w:t xml:space="preserve"> will work with their respective partnering entities and the average number of partnering entities will be </w:t>
      </w:r>
      <w:r>
        <w:t>2, for a total of 1,384 disclosures</w:t>
      </w:r>
      <w:r w:rsidRPr="4155A301">
        <w:t xml:space="preserve">. </w:t>
      </w:r>
      <w:r>
        <w:t xml:space="preserve"> FDA estimates that each disclosure </w:t>
      </w:r>
      <w:r w:rsidRPr="4155A301">
        <w:t xml:space="preserve">will take approximately </w:t>
      </w:r>
      <w:r>
        <w:t>0.1</w:t>
      </w:r>
      <w:r w:rsidRPr="4155A301">
        <w:t xml:space="preserve"> hours</w:t>
      </w:r>
      <w:r>
        <w:t xml:space="preserve"> (6 minutes) for a total of 138.4 hours, rounded to 138 hours. </w:t>
      </w:r>
      <w:r w:rsidRPr="4155A301">
        <w:t xml:space="preserve"> </w:t>
      </w:r>
      <w:r>
        <w:t xml:space="preserve">For the assessment questionnaire response, </w:t>
      </w:r>
      <w:r w:rsidRPr="4155A301">
        <w:t xml:space="preserve">FDA estimates that </w:t>
      </w:r>
      <w:r>
        <w:t>fifty percent of the 922 respondents, or 461</w:t>
      </w:r>
      <w:r w:rsidRPr="4155A301">
        <w:t xml:space="preserve"> </w:t>
      </w:r>
      <w:r>
        <w:t>respondents, will coordinate with a total of two partners for a total of 922 disclosures.</w:t>
      </w:r>
      <w:r w:rsidRPr="4155A301">
        <w:t xml:space="preserve"> </w:t>
      </w:r>
      <w:r>
        <w:t xml:space="preserve">We estimate </w:t>
      </w:r>
      <w:r w:rsidRPr="4155A301">
        <w:t xml:space="preserve">it will take approximately 2 hours to coordinate with each partner, resulting in a total of </w:t>
      </w:r>
      <w:r>
        <w:t>1,844</w:t>
      </w:r>
      <w:r w:rsidRPr="4155A301">
        <w:t xml:space="preserve"> hours. The total estimat</w:t>
      </w:r>
      <w:r>
        <w:t>ed</w:t>
      </w:r>
      <w:r w:rsidRPr="4155A301">
        <w:t xml:space="preserve"> third-party disclosure burden is </w:t>
      </w:r>
      <w:r>
        <w:t>1,982</w:t>
      </w:r>
      <w:r w:rsidRPr="4155A301">
        <w:t xml:space="preserve"> hours (table 3). </w:t>
      </w:r>
    </w:p>
    <w:p w:rsidR="00B04338" w:rsidP="00B04338" w14:paraId="59E0CC41" w14:textId="77777777">
      <w:pPr>
        <w:autoSpaceDE w:val="0"/>
        <w:autoSpaceDN w:val="0"/>
        <w:adjustRightInd w:val="0"/>
        <w:ind w:left="360"/>
      </w:pPr>
    </w:p>
    <w:p w:rsidR="00C20D22" w:rsidRPr="00B04338" w:rsidP="00B04338" w14:paraId="4B0E5B17" w14:textId="0E775728">
      <w:pPr>
        <w:autoSpaceDE w:val="0"/>
        <w:autoSpaceDN w:val="0"/>
        <w:adjustRightInd w:val="0"/>
        <w:ind w:left="360"/>
      </w:pPr>
      <w:r w:rsidRPr="001B563D">
        <w:t xml:space="preserve">The estimated burden for this information collection request changed </w:t>
      </w:r>
      <w:r w:rsidR="00276CB9">
        <w:t>after</w:t>
      </w:r>
      <w:r w:rsidRPr="001B563D">
        <w:t xml:space="preserve"> we published the 60-day notice. We adjusted our estimated burden for the information collection to reflect the interest we have received regarding the DSCSA Small Dispensers Assessment. </w:t>
      </w:r>
      <w:r>
        <w:t xml:space="preserve"> </w:t>
      </w:r>
      <w:r w:rsidRPr="001B563D">
        <w:t>These adjustments result</w:t>
      </w:r>
      <w:r w:rsidR="00FB742B">
        <w:t>ed</w:t>
      </w:r>
      <w:r w:rsidRPr="001B563D">
        <w:t xml:space="preserve"> in an increase of </w:t>
      </w:r>
      <w:r>
        <w:t>30,945</w:t>
      </w:r>
      <w:r w:rsidRPr="001B563D">
        <w:t xml:space="preserve"> total annual responses and a corresponding increase of </w:t>
      </w:r>
      <w:r>
        <w:t>6,327</w:t>
      </w:r>
      <w:r w:rsidRPr="001B563D">
        <w:t xml:space="preserve"> total hours.</w:t>
      </w:r>
    </w:p>
    <w:p w:rsidR="00C20D22" w:rsidRPr="00E13A7D" w:rsidP="00B04338" w14:paraId="00C9605E" w14:textId="77777777">
      <w:pPr>
        <w:spacing w:before="8"/>
        <w:ind w:left="360"/>
        <w:rPr>
          <w:sz w:val="17"/>
          <w:szCs w:val="17"/>
        </w:rPr>
      </w:pPr>
    </w:p>
    <w:p w:rsidR="00357C8A" w:rsidRPr="00C77014" w:rsidP="00DC371B" w14:paraId="346FA635" w14:textId="16D22FAC">
      <w:pPr>
        <w:spacing w:after="200"/>
        <w:ind w:left="360"/>
        <w:rPr>
          <w:rFonts w:eastAsia="Calibri"/>
          <w:i/>
          <w:iCs/>
        </w:rPr>
      </w:pPr>
      <w:r w:rsidRPr="00C77014">
        <w:rPr>
          <w:rFonts w:eastAsia="Calibri"/>
          <w:i/>
          <w:iCs/>
        </w:rPr>
        <w:t>12b.  Annualized Cost Burden Estimate</w:t>
      </w:r>
    </w:p>
    <w:p w:rsidR="007E0BF6" w:rsidRPr="000A3B5F" w:rsidP="007E0BF6" w14:paraId="572367CE" w14:textId="3E3E3681">
      <w:pPr>
        <w:ind w:left="360" w:right="238"/>
      </w:pPr>
      <w:r>
        <w:t xml:space="preserve">For healthcare professionals, </w:t>
      </w:r>
      <w:r w:rsidR="00C71E68">
        <w:t>responses to the assessment</w:t>
      </w:r>
      <w:r>
        <w:t xml:space="preserve"> would likely be completed during business hours as part of the duties assigned.  The estimated annualized reporting costs to respondents (pharmacists</w:t>
      </w:r>
      <w:r w:rsidR="00003695">
        <w:t xml:space="preserve"> and</w:t>
      </w:r>
      <w:r w:rsidR="57E06B2D">
        <w:t>/</w:t>
      </w:r>
      <w:r w:rsidR="00566934">
        <w:t xml:space="preserve">or the designated </w:t>
      </w:r>
      <w:r w:rsidR="00F729C6">
        <w:t>representative in</w:t>
      </w:r>
      <w:r>
        <w:t xml:space="preserve"> this information collection for </w:t>
      </w:r>
      <w:r w:rsidR="000253D4">
        <w:t>4,609</w:t>
      </w:r>
      <w:r>
        <w:t xml:space="preserve"> hours is $</w:t>
      </w:r>
      <w:r w:rsidRPr="00377CB7" w:rsidR="00377CB7">
        <w:t>375,956.13</w:t>
      </w:r>
      <w:r>
        <w:t>.  According to the U.S. Department of Labor, Bureau of Labor Statistics’ May 202</w:t>
      </w:r>
      <w:r w:rsidR="00F65A05">
        <w:t>2</w:t>
      </w:r>
      <w:r>
        <w:t xml:space="preserve"> National Occupational Employment and Wage Estimates for the United States (located at </w:t>
      </w:r>
      <w:hyperlink r:id="rId9">
        <w:r w:rsidRPr="4A44514E">
          <w:rPr>
            <w:rStyle w:val="Hyperlink"/>
          </w:rPr>
          <w:t>https://www.bls.gov/oes/current/oes_nat.htm</w:t>
        </w:r>
      </w:hyperlink>
      <w:r>
        <w:t>), the average industry wage rate is $</w:t>
      </w:r>
      <w:r w:rsidR="004A48A2">
        <w:t>62.22</w:t>
      </w:r>
      <w:r>
        <w:t xml:space="preserve"> per hour for pharmacists</w:t>
      </w:r>
      <w:r w:rsidR="00A62E8B">
        <w:t xml:space="preserve"> and</w:t>
      </w:r>
      <w:r w:rsidR="004A48A2">
        <w:t xml:space="preserve"> $19.35 per hour for pharmacy technicians</w:t>
      </w:r>
      <w:r w:rsidR="00A62E8B">
        <w:t>.</w:t>
      </w:r>
      <w:r>
        <w:t xml:space="preserve">  We have doubled this wage rate to account for benefits and overhead, yielding an hourly wage rate of $</w:t>
      </w:r>
      <w:r w:rsidR="004A48A2">
        <w:t>124.44</w:t>
      </w:r>
      <w:r>
        <w:t xml:space="preserve"> for pharmacists</w:t>
      </w:r>
      <w:r w:rsidR="00201403">
        <w:t xml:space="preserve"> and</w:t>
      </w:r>
      <w:r w:rsidR="004A48A2">
        <w:t xml:space="preserve"> $38.70 for pharmacy technicians</w:t>
      </w:r>
      <w:r w:rsidR="00201403">
        <w:t xml:space="preserve">. </w:t>
      </w:r>
    </w:p>
    <w:p w:rsidR="007E0BF6" w:rsidRPr="000A3B5F" w:rsidP="007E0BF6" w14:paraId="04522F4B" w14:textId="77777777">
      <w:pPr>
        <w:ind w:left="120" w:right="238"/>
      </w:pPr>
    </w:p>
    <w:p w:rsidR="00E33DEE" w:rsidRPr="000A3B5F" w:rsidP="004D6E56" w14:paraId="5D7890B5" w14:textId="0F4A79FB">
      <w:pPr>
        <w:ind w:left="360" w:right="238"/>
      </w:pPr>
      <w:r>
        <w:t>Assuming that</w:t>
      </w:r>
      <w:r>
        <w:t xml:space="preserve"> </w:t>
      </w:r>
      <w:r w:rsidR="00AB25DE">
        <w:t xml:space="preserve">all of the estimated </w:t>
      </w:r>
      <w:r>
        <w:t>922</w:t>
      </w:r>
      <w:r w:rsidR="00AB25DE">
        <w:t xml:space="preserve"> assessment questionnaires are completed, </w:t>
      </w:r>
      <w:r w:rsidR="00183616">
        <w:t xml:space="preserve">we estimate a total of </w:t>
      </w:r>
      <w:r w:rsidR="00CE7E05">
        <w:t>4,609</w:t>
      </w:r>
      <w:r w:rsidR="00183616">
        <w:t xml:space="preserve"> </w:t>
      </w:r>
      <w:r w:rsidR="00CE7E05">
        <w:t xml:space="preserve">reporting </w:t>
      </w:r>
      <w:r w:rsidR="00183616">
        <w:t>hours</w:t>
      </w:r>
      <w:r w:rsidR="00CE7E05">
        <w:t>.</w:t>
      </w:r>
      <w:r w:rsidR="005545FB">
        <w:t xml:space="preserve">  Dividing that time equally between</w:t>
      </w:r>
      <w:r w:rsidR="00A873C3">
        <w:t xml:space="preserve"> pharmacists and pharmacy technicians, we estimate </w:t>
      </w:r>
      <w:r w:rsidR="00FF07DA">
        <w:t xml:space="preserve">the </w:t>
      </w:r>
      <w:r w:rsidR="00FF4715">
        <w:t xml:space="preserve">one-time </w:t>
      </w:r>
      <w:r w:rsidR="00FF07DA">
        <w:t>cost burden</w:t>
      </w:r>
      <w:r w:rsidR="00C47F69">
        <w:t xml:space="preserve"> as shown in the table below.</w:t>
      </w:r>
    </w:p>
    <w:p w:rsidR="00504A7E" w:rsidRPr="000A3B5F" w:rsidP="004D6E56" w14:paraId="0F40B27A" w14:textId="77777777">
      <w:pPr>
        <w:ind w:left="360" w:right="238"/>
      </w:pPr>
    </w:p>
    <w:p w:rsidR="001C79FD" w:rsidRPr="000A3B5F" w:rsidP="004D6E56" w14:paraId="777A6EC8" w14:textId="37364FA0">
      <w:pPr>
        <w:jc w:val="center"/>
        <w:rPr>
          <w:sz w:val="20"/>
          <w:szCs w:val="20"/>
        </w:rPr>
      </w:pPr>
      <w:r w:rsidRPr="000A3B5F">
        <w:rPr>
          <w:sz w:val="20"/>
          <w:szCs w:val="20"/>
        </w:rPr>
        <w:t xml:space="preserve">Table </w:t>
      </w:r>
      <w:r w:rsidRPr="000A3B5F" w:rsidR="00950105">
        <w:rPr>
          <w:sz w:val="20"/>
          <w:szCs w:val="20"/>
        </w:rPr>
        <w:t>4</w:t>
      </w:r>
      <w:r w:rsidRPr="000A3B5F">
        <w:rPr>
          <w:sz w:val="20"/>
          <w:szCs w:val="20"/>
        </w:rPr>
        <w:t>.</w:t>
      </w:r>
      <w:r w:rsidRPr="000A3B5F" w:rsidR="003130C6">
        <w:rPr>
          <w:sz w:val="20"/>
          <w:szCs w:val="20"/>
        </w:rPr>
        <w:t>--</w:t>
      </w:r>
      <w:r w:rsidRPr="000A3B5F">
        <w:rPr>
          <w:sz w:val="20"/>
          <w:szCs w:val="20"/>
        </w:rPr>
        <w:t xml:space="preserve">Estimated </w:t>
      </w:r>
      <w:r w:rsidR="001405FB">
        <w:rPr>
          <w:sz w:val="20"/>
          <w:szCs w:val="20"/>
        </w:rPr>
        <w:t>One-time</w:t>
      </w:r>
      <w:r w:rsidRPr="000A3B5F">
        <w:rPr>
          <w:sz w:val="20"/>
          <w:szCs w:val="20"/>
        </w:rPr>
        <w:t xml:space="preserve"> Cost Burden </w:t>
      </w:r>
    </w:p>
    <w:tbl>
      <w:tblPr>
        <w:tblStyle w:val="TableGrid"/>
        <w:tblW w:w="8802" w:type="dxa"/>
        <w:tblInd w:w="355" w:type="dxa"/>
        <w:tblLook w:val="04A0"/>
      </w:tblPr>
      <w:tblGrid>
        <w:gridCol w:w="1982"/>
        <w:gridCol w:w="2337"/>
        <w:gridCol w:w="2338"/>
        <w:gridCol w:w="2145"/>
      </w:tblGrid>
      <w:tr w14:paraId="6FD2BF0E" w14:textId="77777777" w:rsidTr="006137A0">
        <w:tblPrEx>
          <w:tblW w:w="8802" w:type="dxa"/>
          <w:tblInd w:w="355" w:type="dxa"/>
          <w:tblLook w:val="04A0"/>
        </w:tblPrEx>
        <w:trPr>
          <w:trHeight w:val="300"/>
        </w:trPr>
        <w:tc>
          <w:tcPr>
            <w:tcW w:w="1982" w:type="dxa"/>
          </w:tcPr>
          <w:p w:rsidR="001C79FD" w:rsidRPr="000A3B5F" w:rsidP="004C0213" w14:paraId="2EF8F168" w14:textId="77777777">
            <w:pPr>
              <w:jc w:val="center"/>
              <w:rPr>
                <w:sz w:val="20"/>
                <w:szCs w:val="20"/>
              </w:rPr>
            </w:pPr>
            <w:r w:rsidRPr="000A3B5F">
              <w:rPr>
                <w:sz w:val="20"/>
                <w:szCs w:val="20"/>
              </w:rPr>
              <w:t>Type of Respondents</w:t>
            </w:r>
          </w:p>
        </w:tc>
        <w:tc>
          <w:tcPr>
            <w:tcW w:w="2337" w:type="dxa"/>
          </w:tcPr>
          <w:p w:rsidR="001C79FD" w:rsidRPr="000A3B5F" w:rsidP="004C0213" w14:paraId="1F51FB46" w14:textId="77777777">
            <w:pPr>
              <w:jc w:val="center"/>
              <w:rPr>
                <w:sz w:val="20"/>
                <w:szCs w:val="20"/>
              </w:rPr>
            </w:pPr>
            <w:r w:rsidRPr="000A3B5F">
              <w:rPr>
                <w:sz w:val="20"/>
                <w:szCs w:val="20"/>
              </w:rPr>
              <w:t>Total Burden Hours</w:t>
            </w:r>
          </w:p>
        </w:tc>
        <w:tc>
          <w:tcPr>
            <w:tcW w:w="2338" w:type="dxa"/>
          </w:tcPr>
          <w:p w:rsidR="001C79FD" w:rsidRPr="000A3B5F" w:rsidP="004C0213" w14:paraId="272173C3" w14:textId="77777777">
            <w:pPr>
              <w:jc w:val="center"/>
              <w:rPr>
                <w:sz w:val="20"/>
                <w:szCs w:val="20"/>
              </w:rPr>
            </w:pPr>
            <w:r w:rsidRPr="000A3B5F">
              <w:rPr>
                <w:sz w:val="20"/>
                <w:szCs w:val="20"/>
              </w:rPr>
              <w:t>Hourly Wage Rate</w:t>
            </w:r>
          </w:p>
        </w:tc>
        <w:tc>
          <w:tcPr>
            <w:tcW w:w="2145" w:type="dxa"/>
          </w:tcPr>
          <w:p w:rsidR="001C79FD" w:rsidRPr="000A3B5F" w:rsidP="004C0213" w14:paraId="4962D6AE" w14:textId="77777777">
            <w:pPr>
              <w:jc w:val="center"/>
              <w:rPr>
                <w:sz w:val="20"/>
                <w:szCs w:val="20"/>
              </w:rPr>
            </w:pPr>
            <w:r w:rsidRPr="000A3B5F">
              <w:rPr>
                <w:sz w:val="20"/>
                <w:szCs w:val="20"/>
              </w:rPr>
              <w:t>Total Respondent Cost</w:t>
            </w:r>
          </w:p>
        </w:tc>
      </w:tr>
      <w:tr w14:paraId="323E6C8F" w14:textId="77777777" w:rsidTr="006137A0">
        <w:tblPrEx>
          <w:tblW w:w="8802" w:type="dxa"/>
          <w:tblInd w:w="355" w:type="dxa"/>
          <w:tblLook w:val="04A0"/>
        </w:tblPrEx>
        <w:trPr>
          <w:trHeight w:val="300"/>
        </w:trPr>
        <w:tc>
          <w:tcPr>
            <w:tcW w:w="1982" w:type="dxa"/>
          </w:tcPr>
          <w:p w:rsidR="001C79FD" w:rsidRPr="000A3B5F" w:rsidP="004C0213" w14:paraId="02F860DE" w14:textId="54A88CD4">
            <w:pPr>
              <w:rPr>
                <w:sz w:val="20"/>
                <w:szCs w:val="20"/>
              </w:rPr>
            </w:pPr>
            <w:r w:rsidRPr="000A3B5F">
              <w:rPr>
                <w:sz w:val="20"/>
                <w:szCs w:val="20"/>
              </w:rPr>
              <w:t>Pharmacists</w:t>
            </w:r>
          </w:p>
        </w:tc>
        <w:tc>
          <w:tcPr>
            <w:tcW w:w="2337" w:type="dxa"/>
          </w:tcPr>
          <w:p w:rsidR="001C79FD" w:rsidRPr="000A3B5F" w:rsidP="006137A0" w14:paraId="0DA8E3F7" w14:textId="399984DE">
            <w:pPr>
              <w:spacing w:line="259" w:lineRule="auto"/>
              <w:jc w:val="center"/>
              <w:rPr>
                <w:sz w:val="20"/>
                <w:szCs w:val="20"/>
              </w:rPr>
            </w:pPr>
            <w:r>
              <w:rPr>
                <w:sz w:val="20"/>
                <w:szCs w:val="20"/>
              </w:rPr>
              <w:t>2,304.5</w:t>
            </w:r>
          </w:p>
        </w:tc>
        <w:tc>
          <w:tcPr>
            <w:tcW w:w="2338" w:type="dxa"/>
          </w:tcPr>
          <w:p w:rsidR="001C79FD" w:rsidRPr="000A3B5F" w:rsidP="004C0213" w14:paraId="233E40DE" w14:textId="67974FFF">
            <w:pPr>
              <w:jc w:val="center"/>
              <w:rPr>
                <w:sz w:val="20"/>
                <w:szCs w:val="20"/>
              </w:rPr>
            </w:pPr>
            <w:r w:rsidRPr="000A3B5F">
              <w:rPr>
                <w:sz w:val="20"/>
                <w:szCs w:val="20"/>
              </w:rPr>
              <w:t>$124.44</w:t>
            </w:r>
          </w:p>
        </w:tc>
        <w:tc>
          <w:tcPr>
            <w:tcW w:w="2145" w:type="dxa"/>
          </w:tcPr>
          <w:p w:rsidR="001C79FD" w:rsidRPr="000A3B5F" w:rsidP="004C0213" w14:paraId="264B4FBA" w14:textId="518B0706">
            <w:pPr>
              <w:jc w:val="center"/>
              <w:rPr>
                <w:sz w:val="20"/>
                <w:szCs w:val="20"/>
              </w:rPr>
            </w:pPr>
            <w:r>
              <w:rPr>
                <w:sz w:val="20"/>
                <w:szCs w:val="20"/>
              </w:rPr>
              <w:t>$</w:t>
            </w:r>
            <w:r w:rsidR="0015057E">
              <w:rPr>
                <w:sz w:val="20"/>
                <w:szCs w:val="20"/>
              </w:rPr>
              <w:t>286,771.98</w:t>
            </w:r>
          </w:p>
        </w:tc>
      </w:tr>
      <w:tr w14:paraId="21EDF407" w14:textId="77777777" w:rsidTr="006137A0">
        <w:tblPrEx>
          <w:tblW w:w="8802" w:type="dxa"/>
          <w:tblInd w:w="355" w:type="dxa"/>
          <w:tblLook w:val="04A0"/>
        </w:tblPrEx>
        <w:trPr>
          <w:trHeight w:val="300"/>
        </w:trPr>
        <w:tc>
          <w:tcPr>
            <w:tcW w:w="1982" w:type="dxa"/>
          </w:tcPr>
          <w:p w:rsidR="001C79FD" w:rsidRPr="000A3B5F" w:rsidP="004C0213" w14:paraId="1FD7898F" w14:textId="5456A631">
            <w:pPr>
              <w:rPr>
                <w:sz w:val="20"/>
                <w:szCs w:val="20"/>
              </w:rPr>
            </w:pPr>
            <w:r w:rsidRPr="000A3B5F">
              <w:rPr>
                <w:sz w:val="20"/>
                <w:szCs w:val="20"/>
              </w:rPr>
              <w:t>Pharmacy technicians</w:t>
            </w:r>
          </w:p>
        </w:tc>
        <w:tc>
          <w:tcPr>
            <w:tcW w:w="2337" w:type="dxa"/>
          </w:tcPr>
          <w:p w:rsidR="001C79FD" w:rsidRPr="000A3B5F" w:rsidP="006137A0" w14:paraId="2AC50419" w14:textId="5D994ADE">
            <w:pPr>
              <w:spacing w:line="259" w:lineRule="auto"/>
              <w:jc w:val="center"/>
              <w:rPr>
                <w:sz w:val="20"/>
                <w:szCs w:val="20"/>
              </w:rPr>
            </w:pPr>
            <w:r>
              <w:rPr>
                <w:sz w:val="20"/>
                <w:szCs w:val="20"/>
              </w:rPr>
              <w:t>2,304.5</w:t>
            </w:r>
          </w:p>
        </w:tc>
        <w:tc>
          <w:tcPr>
            <w:tcW w:w="2338" w:type="dxa"/>
          </w:tcPr>
          <w:p w:rsidR="001C79FD" w:rsidRPr="000A3B5F" w:rsidP="004C0213" w14:paraId="633B020E" w14:textId="61B00F79">
            <w:pPr>
              <w:jc w:val="center"/>
              <w:rPr>
                <w:sz w:val="20"/>
                <w:szCs w:val="20"/>
              </w:rPr>
            </w:pPr>
            <w:r w:rsidRPr="000A3B5F">
              <w:rPr>
                <w:sz w:val="20"/>
                <w:szCs w:val="20"/>
              </w:rPr>
              <w:t>$</w:t>
            </w:r>
            <w:r w:rsidRPr="000A3B5F" w:rsidR="009A784D">
              <w:rPr>
                <w:sz w:val="20"/>
                <w:szCs w:val="20"/>
              </w:rPr>
              <w:t>38.70</w:t>
            </w:r>
          </w:p>
        </w:tc>
        <w:tc>
          <w:tcPr>
            <w:tcW w:w="2145" w:type="dxa"/>
          </w:tcPr>
          <w:p w:rsidR="001C79FD" w:rsidRPr="000A3B5F" w:rsidP="004C0213" w14:paraId="69CABE28" w14:textId="5CDA10BF">
            <w:pPr>
              <w:jc w:val="center"/>
              <w:rPr>
                <w:sz w:val="20"/>
                <w:szCs w:val="20"/>
              </w:rPr>
            </w:pPr>
            <w:r w:rsidRPr="000A3B5F">
              <w:rPr>
                <w:sz w:val="20"/>
                <w:szCs w:val="20"/>
              </w:rPr>
              <w:t>$</w:t>
            </w:r>
            <w:r w:rsidR="00377CB7">
              <w:rPr>
                <w:sz w:val="20"/>
                <w:szCs w:val="20"/>
              </w:rPr>
              <w:t>89,184.15</w:t>
            </w:r>
          </w:p>
        </w:tc>
      </w:tr>
      <w:tr w14:paraId="388631E0" w14:textId="77777777" w:rsidTr="006137A0">
        <w:tblPrEx>
          <w:tblW w:w="8802" w:type="dxa"/>
          <w:tblInd w:w="355" w:type="dxa"/>
          <w:tblLook w:val="04A0"/>
        </w:tblPrEx>
        <w:trPr>
          <w:trHeight w:val="300"/>
        </w:trPr>
        <w:tc>
          <w:tcPr>
            <w:tcW w:w="1982" w:type="dxa"/>
          </w:tcPr>
          <w:p w:rsidR="001C79FD" w:rsidRPr="000A3B5F" w:rsidP="004C0213" w14:paraId="6E82DC29" w14:textId="77777777">
            <w:pPr>
              <w:rPr>
                <w:sz w:val="20"/>
                <w:szCs w:val="20"/>
              </w:rPr>
            </w:pPr>
          </w:p>
        </w:tc>
        <w:tc>
          <w:tcPr>
            <w:tcW w:w="2337" w:type="dxa"/>
          </w:tcPr>
          <w:p w:rsidR="001C79FD" w:rsidRPr="000A3B5F" w:rsidP="006137A0" w14:paraId="2D44F321" w14:textId="34C15105">
            <w:pPr>
              <w:spacing w:line="259" w:lineRule="auto"/>
              <w:jc w:val="center"/>
              <w:rPr>
                <w:sz w:val="20"/>
                <w:szCs w:val="20"/>
              </w:rPr>
            </w:pPr>
            <w:r>
              <w:rPr>
                <w:sz w:val="20"/>
                <w:szCs w:val="20"/>
              </w:rPr>
              <w:t>4,609</w:t>
            </w:r>
          </w:p>
        </w:tc>
        <w:tc>
          <w:tcPr>
            <w:tcW w:w="2338" w:type="dxa"/>
          </w:tcPr>
          <w:p w:rsidR="001C79FD" w:rsidRPr="000A3B5F" w:rsidP="004C0213" w14:paraId="492FF18F" w14:textId="77777777">
            <w:pPr>
              <w:jc w:val="center"/>
              <w:rPr>
                <w:sz w:val="20"/>
                <w:szCs w:val="20"/>
              </w:rPr>
            </w:pPr>
          </w:p>
        </w:tc>
        <w:tc>
          <w:tcPr>
            <w:tcW w:w="2145" w:type="dxa"/>
          </w:tcPr>
          <w:p w:rsidR="001C79FD" w:rsidRPr="000A3B5F" w:rsidP="004C0213" w14:paraId="4F52DA1C" w14:textId="774DFA4A">
            <w:pPr>
              <w:jc w:val="center"/>
              <w:rPr>
                <w:sz w:val="20"/>
                <w:szCs w:val="20"/>
              </w:rPr>
            </w:pPr>
            <w:r w:rsidRPr="000A3B5F">
              <w:rPr>
                <w:sz w:val="20"/>
                <w:szCs w:val="20"/>
              </w:rPr>
              <w:t>$</w:t>
            </w:r>
            <w:r w:rsidR="00377CB7">
              <w:rPr>
                <w:sz w:val="20"/>
                <w:szCs w:val="20"/>
              </w:rPr>
              <w:t>375,956.13</w:t>
            </w:r>
          </w:p>
        </w:tc>
      </w:tr>
    </w:tbl>
    <w:p w:rsidR="001C79FD" w:rsidP="001C79FD" w14:paraId="0F341FB7" w14:textId="77777777"/>
    <w:p w:rsidR="00B73AC9" w:rsidP="001C79FD" w14:paraId="58485DDE" w14:textId="77777777"/>
    <w:p w:rsidR="000358F3" w:rsidP="001C79FD" w14:paraId="715BD7F5" w14:textId="77777777"/>
    <w:p w:rsidR="00357C8A" w:rsidRPr="007E0BF6" w:rsidP="006705EA" w14:paraId="6205AA95" w14:textId="77777777">
      <w:pPr>
        <w:numPr>
          <w:ilvl w:val="0"/>
          <w:numId w:val="6"/>
        </w:numPr>
        <w:spacing w:after="200" w:line="276" w:lineRule="auto"/>
        <w:rPr>
          <w:rFonts w:eastAsia="Calibri"/>
        </w:rPr>
      </w:pPr>
      <w:r w:rsidRPr="007E0BF6">
        <w:rPr>
          <w:rFonts w:eastAsia="Calibri"/>
          <w:u w:val="single"/>
        </w:rPr>
        <w:t xml:space="preserve">Estimates of Other Total Annual Costs </w:t>
      </w:r>
      <w:r w:rsidRPr="007E0BF6" w:rsidR="00590E90">
        <w:rPr>
          <w:rFonts w:eastAsia="Calibri"/>
          <w:u w:val="single"/>
        </w:rPr>
        <w:t xml:space="preserve">to Respondents/Recordkeepers or </w:t>
      </w:r>
      <w:r w:rsidRPr="007E0BF6">
        <w:rPr>
          <w:rFonts w:eastAsia="Calibri"/>
          <w:u w:val="single"/>
        </w:rPr>
        <w:t xml:space="preserve">Capital Costs </w:t>
      </w:r>
    </w:p>
    <w:p w:rsidR="004A0181" w:rsidRPr="004A0181" w:rsidP="004A0181" w14:paraId="31BDA9C0" w14:textId="77777777">
      <w:pPr>
        <w:pStyle w:val="ListParagraph"/>
        <w:spacing w:line="276" w:lineRule="auto"/>
        <w:ind w:left="360"/>
        <w:rPr>
          <w:rFonts w:eastAsia="Calibri"/>
        </w:rPr>
      </w:pPr>
      <w:r w:rsidRPr="004A0181">
        <w:rPr>
          <w:rFonts w:eastAsia="Calibri"/>
        </w:rPr>
        <w:t>There are no capital, start-up, operating, or maintenance costs associated with this information collection.</w:t>
      </w:r>
    </w:p>
    <w:p w:rsidR="0022425B" w:rsidRPr="00840BFD" w:rsidP="00840BFD" w14:paraId="3E6D77C2" w14:textId="694C8186">
      <w:pPr>
        <w:spacing w:line="276" w:lineRule="auto"/>
        <w:rPr>
          <w:rFonts w:eastAsia="Calibri"/>
        </w:rPr>
      </w:pPr>
    </w:p>
    <w:p w:rsidR="00357C8A" w:rsidP="006705EA" w14:paraId="211BE818" w14:textId="159AE053">
      <w:pPr>
        <w:numPr>
          <w:ilvl w:val="0"/>
          <w:numId w:val="6"/>
        </w:numPr>
        <w:spacing w:after="200" w:line="276" w:lineRule="auto"/>
        <w:rPr>
          <w:rFonts w:eastAsia="Calibri"/>
          <w:u w:val="single"/>
        </w:rPr>
      </w:pPr>
      <w:r w:rsidRPr="66BBDC53">
        <w:rPr>
          <w:rFonts w:eastAsia="Calibri"/>
          <w:u w:val="single"/>
        </w:rPr>
        <w:t>Annualized Cost to the Federal Government</w:t>
      </w:r>
    </w:p>
    <w:p w:rsidR="00EC490B" w:rsidP="00C238DF" w14:paraId="6E3B0773" w14:textId="0587E20C">
      <w:pPr>
        <w:spacing w:before="69"/>
        <w:ind w:left="360" w:right="158"/>
      </w:pPr>
      <w:r>
        <w:t>Assuming a cost of $</w:t>
      </w:r>
      <w:r w:rsidR="00F862F9">
        <w:t>336,269</w:t>
      </w:r>
      <w:r>
        <w:t xml:space="preserve"> per one full-time equivalent</w:t>
      </w:r>
      <w:r w:rsidR="00180BD0">
        <w:t xml:space="preserve"> (FTE)</w:t>
      </w:r>
      <w:r>
        <w:t xml:space="preserve"> (salary plus overhead, full-time 40-hour week) </w:t>
      </w:r>
      <w:r w:rsidR="00F101E7">
        <w:t>divided by the total number of hours worked (2,080 hours) per year, the fully loaded wage rate is $1</w:t>
      </w:r>
      <w:r w:rsidR="00F862F9">
        <w:t>62</w:t>
      </w:r>
      <w:r w:rsidR="00F101E7">
        <w:t xml:space="preserve"> per hour.  </w:t>
      </w:r>
      <w:r w:rsidR="00E90B7F">
        <w:t>Three</w:t>
      </w:r>
      <w:r w:rsidR="00F101E7">
        <w:t xml:space="preserve"> </w:t>
      </w:r>
      <w:r w:rsidR="00E90B7F">
        <w:t>FTEs may devote 25%</w:t>
      </w:r>
      <w:r w:rsidR="00F16976">
        <w:t xml:space="preserve"> (</w:t>
      </w:r>
      <w:r w:rsidR="002708E3">
        <w:t xml:space="preserve">1,560 hours) </w:t>
      </w:r>
      <w:r w:rsidR="006A03F8">
        <w:t xml:space="preserve">of their time preparing, reviewing, and monitoring resulting in </w:t>
      </w:r>
      <w:r w:rsidR="004C4E1F">
        <w:t>$2</w:t>
      </w:r>
      <w:r w:rsidR="003D3CC7">
        <w:t>52,720</w:t>
      </w:r>
      <w:r w:rsidR="004C4E1F">
        <w:t xml:space="preserve"> (1,560 hours x $1</w:t>
      </w:r>
      <w:r w:rsidR="003D3CC7">
        <w:t>62</w:t>
      </w:r>
      <w:r w:rsidR="004C4E1F">
        <w:t>/hour) spent annual</w:t>
      </w:r>
      <w:r w:rsidR="00170FAC">
        <w:t xml:space="preserve">ly.  </w:t>
      </w:r>
      <w:r w:rsidR="0022422B">
        <w:t xml:space="preserve">There is also an annual cap of $360,000 in contractor costs.  Therefore, we estimate </w:t>
      </w:r>
      <w:r w:rsidR="00AD7340">
        <w:t xml:space="preserve">the </w:t>
      </w:r>
      <w:r w:rsidR="00726480">
        <w:t xml:space="preserve">annual cost to the Federal Government </w:t>
      </w:r>
      <w:r w:rsidR="00D1483A">
        <w:t>to be</w:t>
      </w:r>
      <w:r w:rsidR="00726480">
        <w:t xml:space="preserve"> $</w:t>
      </w:r>
      <w:r w:rsidR="006037F6">
        <w:t>612,720</w:t>
      </w:r>
      <w:r w:rsidR="00726480">
        <w:t xml:space="preserve">. </w:t>
      </w:r>
    </w:p>
    <w:p w:rsidR="0008125B" w:rsidRPr="00357C8A" w:rsidP="00840BFD" w14:paraId="3C2AFC2E" w14:textId="77777777">
      <w:pPr>
        <w:spacing w:line="276" w:lineRule="auto"/>
        <w:ind w:left="360"/>
        <w:rPr>
          <w:rFonts w:eastAsia="Calibri"/>
          <w:u w:val="single"/>
        </w:rPr>
      </w:pPr>
    </w:p>
    <w:p w:rsidR="00357C8A" w:rsidP="006705EA" w14:paraId="4C080B4D" w14:textId="4B331951">
      <w:pPr>
        <w:numPr>
          <w:ilvl w:val="0"/>
          <w:numId w:val="6"/>
        </w:numPr>
        <w:spacing w:after="200" w:line="276" w:lineRule="auto"/>
        <w:rPr>
          <w:rFonts w:eastAsia="Calibri"/>
          <w:u w:val="single"/>
        </w:rPr>
      </w:pPr>
      <w:r w:rsidRPr="00357C8A">
        <w:rPr>
          <w:rFonts w:eastAsia="Calibri"/>
          <w:u w:val="single"/>
        </w:rPr>
        <w:t>Explanation for Program Changes or Adjustments</w:t>
      </w:r>
    </w:p>
    <w:p w:rsidR="002E1EA7" w:rsidP="00530CC9" w14:paraId="44304C3F" w14:textId="419C27F0">
      <w:pPr>
        <w:ind w:firstLine="360"/>
        <w:rPr>
          <w:rFonts w:eastAsia="Calibri"/>
        </w:rPr>
      </w:pPr>
      <w:r w:rsidRPr="007E59A8">
        <w:rPr>
          <w:rFonts w:eastAsia="Calibri"/>
        </w:rPr>
        <w:t>This is a new information collection.</w:t>
      </w:r>
    </w:p>
    <w:p w:rsidR="00530CC9" w:rsidP="00530CC9" w14:paraId="1EB50B2A" w14:textId="77777777">
      <w:pPr>
        <w:ind w:firstLine="360"/>
        <w:rPr>
          <w:rFonts w:eastAsia="Calibri"/>
        </w:rPr>
      </w:pPr>
    </w:p>
    <w:p w:rsidR="00357C8A" w:rsidRPr="00357C8A" w:rsidP="006705EA" w14:paraId="280C2435" w14:textId="2D4827EC">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00B1730B" w:rsidRPr="009A4A64" w:rsidP="00B1730B" w14:paraId="73EEC92C" w14:textId="250EAF2E">
      <w:pPr>
        <w:pStyle w:val="ListParagraph"/>
        <w:ind w:left="360" w:right="30"/>
      </w:pPr>
      <w:r>
        <w:t xml:space="preserve">Techniques </w:t>
      </w:r>
      <w:r w:rsidR="007673BD">
        <w:t xml:space="preserve">will </w:t>
      </w:r>
      <w:r>
        <w:t xml:space="preserve">include both qualitative and quantitative analyses for the results of the </w:t>
      </w:r>
      <w:r w:rsidR="00524E4C">
        <w:t>assessment</w:t>
      </w:r>
      <w:r>
        <w:t xml:space="preserve">. In cases where quantitative data is collected, descriptive statistics - including percentages, cross tabulations, and averages - </w:t>
      </w:r>
      <w:r w:rsidR="413B5A98">
        <w:t xml:space="preserve">may </w:t>
      </w:r>
      <w:r>
        <w:t xml:space="preserve">be calculated and </w:t>
      </w:r>
      <w:r w:rsidR="007673BD">
        <w:t>included in the final report</w:t>
      </w:r>
      <w:r>
        <w:t>.</w:t>
      </w:r>
    </w:p>
    <w:p w:rsidR="00B1730B" w:rsidP="004A1723" w14:paraId="48AE0469" w14:textId="4E39E615">
      <w:pPr>
        <w:pStyle w:val="ListParagraph"/>
        <w:ind w:left="360" w:right="224"/>
      </w:pPr>
    </w:p>
    <w:p w:rsidR="00FB7952" w:rsidRPr="00CA7599" w:rsidP="00A26359" w14:paraId="6679E246" w14:textId="1223F9A6">
      <w:pPr>
        <w:pStyle w:val="ListParagraph"/>
        <w:ind w:left="360" w:right="224"/>
      </w:pPr>
      <w:r>
        <w:t xml:space="preserve">The assessment link will be </w:t>
      </w:r>
      <w:r w:rsidR="002C795E">
        <w:t>open for data collection</w:t>
      </w:r>
      <w:r>
        <w:t xml:space="preserve"> for 45 days.  </w:t>
      </w:r>
      <w:r w:rsidR="00680036">
        <w:t xml:space="preserve">Once the </w:t>
      </w:r>
      <w:r w:rsidR="00677D42">
        <w:t>assessment’s</w:t>
      </w:r>
      <w:r w:rsidR="00680036">
        <w:t xml:space="preserve"> data collection ends, </w:t>
      </w:r>
      <w:r w:rsidRPr="00CA7599" w:rsidR="3807D358">
        <w:t>the contractor will provide the final repor</w:t>
      </w:r>
      <w:r w:rsidRPr="00CA7599" w:rsidR="2B337F39">
        <w:t>t</w:t>
      </w:r>
      <w:r w:rsidR="00680036">
        <w:t xml:space="preserve"> within 3 weeks</w:t>
      </w:r>
      <w:r w:rsidRPr="00CA7599" w:rsidR="3807D358">
        <w:t>.</w:t>
      </w:r>
      <w:r w:rsidRPr="00CA7599" w:rsidR="2B337F39">
        <w:t xml:space="preserve"> </w:t>
      </w:r>
      <w:r w:rsidRPr="00C77014" w:rsidR="0CC74ACD">
        <w:rPr>
          <w:lang w:val="en"/>
        </w:rPr>
        <w:t xml:space="preserve">FDA will publish the final assessment for public comment and hold a public meeting no later than 180 calendar days after receiving the final assessment where stakeholders will have the opportunity to present their views on the assessment, </w:t>
      </w:r>
      <w:r w:rsidRPr="00CA7599" w:rsidR="7F0EBFC5">
        <w:t xml:space="preserve">as required by </w:t>
      </w:r>
      <w:r w:rsidRPr="00CA7599" w:rsidR="7471A98D">
        <w:rPr>
          <w:rFonts w:eastAsia="Calibri"/>
        </w:rPr>
        <w:t>section 582(g)(3)</w:t>
      </w:r>
      <w:r w:rsidRPr="00CA7599" w:rsidR="7F0EBFC5">
        <w:t xml:space="preserve">.   </w:t>
      </w:r>
    </w:p>
    <w:p w:rsidR="00FB7952" w:rsidP="00A506DE" w14:paraId="797290F3" w14:textId="77777777">
      <w:pPr>
        <w:pStyle w:val="Default"/>
        <w:rPr>
          <w:i/>
          <w:iCs/>
        </w:rPr>
      </w:pPr>
    </w:p>
    <w:p w:rsidR="00357C8A" w:rsidRPr="00357C8A" w:rsidP="006705EA" w14:paraId="2080EABB"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004975C6" w:rsidRPr="00840BFD" w:rsidP="00840BFD" w14:paraId="2B1303A4" w14:textId="60EE2A03">
      <w:pPr>
        <w:ind w:firstLine="360"/>
        <w:rPr>
          <w:rFonts w:eastAsia="Calibri"/>
        </w:rPr>
      </w:pPr>
      <w:r w:rsidRPr="00840BFD">
        <w:rPr>
          <w:rFonts w:eastAsia="Calibri"/>
        </w:rPr>
        <w:t>FDA will display the OMB expiration date as required by 5 CFR 1320.</w:t>
      </w:r>
      <w:r w:rsidR="00234059">
        <w:rPr>
          <w:rFonts w:eastAsia="Calibri"/>
        </w:rPr>
        <w:t>8</w:t>
      </w:r>
      <w:r w:rsidRPr="00840BFD">
        <w:rPr>
          <w:rFonts w:eastAsia="Calibri"/>
        </w:rPr>
        <w:t>.</w:t>
      </w:r>
    </w:p>
    <w:p w:rsidR="004975C6" w:rsidRPr="00840BFD" w:rsidP="00840BFD" w14:paraId="512B14ED" w14:textId="77777777">
      <w:pPr>
        <w:ind w:firstLine="360"/>
        <w:rPr>
          <w:rFonts w:eastAsia="Calibri"/>
        </w:rPr>
      </w:pPr>
    </w:p>
    <w:p w:rsidR="00357C8A" w:rsidRPr="00357C8A" w:rsidP="006705EA" w14:paraId="614699C1"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007E59A8" w:rsidP="007741B3" w14:paraId="66BABA98" w14:textId="3BBE2B8E">
      <w:pPr>
        <w:spacing w:after="200"/>
        <w:ind w:firstLine="360"/>
        <w:rPr>
          <w:rFonts w:eastAsia="Calibri"/>
        </w:rPr>
      </w:pPr>
      <w:r w:rsidRPr="007E59A8">
        <w:rPr>
          <w:rFonts w:eastAsia="Calibri"/>
        </w:rPr>
        <w:t>There are no exceptions to the certification</w:t>
      </w:r>
      <w:r>
        <w:rPr>
          <w:rFonts w:eastAsia="Calibri"/>
        </w:rPr>
        <w:t>.</w:t>
      </w:r>
    </w:p>
    <w:sectPr w:rsidSect="005C71CA">
      <w:headerReference w:type="default" r:id="rId10"/>
      <w:footerReference w:type="even" r:id="rId11"/>
      <w:footerReference w:type="default" r:id="rId12"/>
      <w:pgSz w:w="12240" w:h="15840" w:code="1"/>
      <w:pgMar w:top="1008" w:right="1296"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5392812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63DE5" w14:paraId="5997CC1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68A96DD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62EBF3C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0FE2" w:rsidRPr="003C0FE2" w:rsidP="755C8B3D" w14:paraId="4D823F4D" w14:textId="08B8573E">
    <w:pPr>
      <w:pStyle w:val="Header"/>
      <w:rPr>
        <w:sz w:val="18"/>
        <w:szCs w:val="18"/>
        <w:highlight w:val="yellow"/>
      </w:rPr>
    </w:pPr>
    <w:r>
      <w:rPr>
        <w:noProof/>
      </w:rPr>
      <w:drawing>
        <wp:inline distT="0" distB="0" distL="0" distR="0">
          <wp:extent cx="2762250" cy="571500"/>
          <wp:effectExtent l="0" t="0" r="0" b="0"/>
          <wp:docPr id="1046380909" name="Picture 1046380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380909"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762250" cy="571500"/>
                  </a:xfrm>
                  <a:prstGeom prst="rect">
                    <a:avLst/>
                  </a:prstGeom>
                </pic:spPr>
              </pic:pic>
            </a:graphicData>
          </a:graphic>
        </wp:inline>
      </w:drawing>
    </w:r>
    <w:r>
      <w:tab/>
    </w:r>
    <w:r>
      <w:tab/>
    </w:r>
    <w:r w:rsidRPr="755C8B3D">
      <w:rPr>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567B5"/>
    <w:multiLevelType w:val="hybridMultilevel"/>
    <w:tmpl w:val="9116875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50C842D9"/>
    <w:multiLevelType w:val="multilevel"/>
    <w:tmpl w:val="6A18B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9351823"/>
    <w:multiLevelType w:val="hybridMultilevel"/>
    <w:tmpl w:val="5DA293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7">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976642058">
    <w:abstractNumId w:val="7"/>
  </w:num>
  <w:num w:numId="2" w16cid:durableId="1991210441">
    <w:abstractNumId w:val="1"/>
  </w:num>
  <w:num w:numId="3" w16cid:durableId="1945767557">
    <w:abstractNumId w:val="8"/>
  </w:num>
  <w:num w:numId="4" w16cid:durableId="962224728">
    <w:abstractNumId w:val="3"/>
  </w:num>
  <w:num w:numId="5" w16cid:durableId="1523515838">
    <w:abstractNumId w:val="9"/>
  </w:num>
  <w:num w:numId="6" w16cid:durableId="478573624">
    <w:abstractNumId w:val="0"/>
  </w:num>
  <w:num w:numId="7" w16cid:durableId="294792954">
    <w:abstractNumId w:val="2"/>
  </w:num>
  <w:num w:numId="8" w16cid:durableId="506022456">
    <w:abstractNumId w:val="5"/>
  </w:num>
  <w:num w:numId="9" w16cid:durableId="153424583">
    <w:abstractNumId w:val="4"/>
  </w:num>
  <w:num w:numId="10" w16cid:durableId="306319360">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3695"/>
    <w:rsid w:val="00015625"/>
    <w:rsid w:val="00016D17"/>
    <w:rsid w:val="00017B3A"/>
    <w:rsid w:val="00017F95"/>
    <w:rsid w:val="0002134C"/>
    <w:rsid w:val="000253D4"/>
    <w:rsid w:val="000316D3"/>
    <w:rsid w:val="00031A2C"/>
    <w:rsid w:val="00033F51"/>
    <w:rsid w:val="000347EC"/>
    <w:rsid w:val="000358F3"/>
    <w:rsid w:val="00042B93"/>
    <w:rsid w:val="00043C7F"/>
    <w:rsid w:val="00044572"/>
    <w:rsid w:val="00044D4D"/>
    <w:rsid w:val="00044E3F"/>
    <w:rsid w:val="0004548D"/>
    <w:rsid w:val="000467A8"/>
    <w:rsid w:val="00051CF5"/>
    <w:rsid w:val="00053B4B"/>
    <w:rsid w:val="00056FC7"/>
    <w:rsid w:val="00062AF9"/>
    <w:rsid w:val="00062E6D"/>
    <w:rsid w:val="0006513B"/>
    <w:rsid w:val="0006570F"/>
    <w:rsid w:val="0006690F"/>
    <w:rsid w:val="00075DE8"/>
    <w:rsid w:val="0008125B"/>
    <w:rsid w:val="00085F1D"/>
    <w:rsid w:val="00087439"/>
    <w:rsid w:val="00090DFC"/>
    <w:rsid w:val="00092309"/>
    <w:rsid w:val="00093539"/>
    <w:rsid w:val="0009633F"/>
    <w:rsid w:val="000A18D6"/>
    <w:rsid w:val="000A2D75"/>
    <w:rsid w:val="000A3784"/>
    <w:rsid w:val="000A3B5F"/>
    <w:rsid w:val="000A5BF2"/>
    <w:rsid w:val="000A5E8D"/>
    <w:rsid w:val="000A6F26"/>
    <w:rsid w:val="000B25C9"/>
    <w:rsid w:val="000B39A1"/>
    <w:rsid w:val="000B402E"/>
    <w:rsid w:val="000B7252"/>
    <w:rsid w:val="000C1260"/>
    <w:rsid w:val="000C2207"/>
    <w:rsid w:val="000C460E"/>
    <w:rsid w:val="000C560C"/>
    <w:rsid w:val="000C5611"/>
    <w:rsid w:val="000C5BE6"/>
    <w:rsid w:val="000C6605"/>
    <w:rsid w:val="000C6B68"/>
    <w:rsid w:val="000D080B"/>
    <w:rsid w:val="000D48FD"/>
    <w:rsid w:val="000D79CC"/>
    <w:rsid w:val="000D7E12"/>
    <w:rsid w:val="000E1C64"/>
    <w:rsid w:val="000E20EA"/>
    <w:rsid w:val="000E4990"/>
    <w:rsid w:val="000E6D14"/>
    <w:rsid w:val="000F2663"/>
    <w:rsid w:val="000F28DA"/>
    <w:rsid w:val="000F4F58"/>
    <w:rsid w:val="000F6575"/>
    <w:rsid w:val="000F7119"/>
    <w:rsid w:val="00100739"/>
    <w:rsid w:val="00100B2D"/>
    <w:rsid w:val="00102D63"/>
    <w:rsid w:val="0010493E"/>
    <w:rsid w:val="00104C23"/>
    <w:rsid w:val="00104DC9"/>
    <w:rsid w:val="001075D3"/>
    <w:rsid w:val="00107885"/>
    <w:rsid w:val="00114FC4"/>
    <w:rsid w:val="0012121B"/>
    <w:rsid w:val="0012329C"/>
    <w:rsid w:val="001269FC"/>
    <w:rsid w:val="0013495B"/>
    <w:rsid w:val="00134FA7"/>
    <w:rsid w:val="00136F24"/>
    <w:rsid w:val="00137950"/>
    <w:rsid w:val="001405FB"/>
    <w:rsid w:val="00144F1D"/>
    <w:rsid w:val="00145115"/>
    <w:rsid w:val="0014693D"/>
    <w:rsid w:val="0015057E"/>
    <w:rsid w:val="001523A6"/>
    <w:rsid w:val="00152F29"/>
    <w:rsid w:val="00154A48"/>
    <w:rsid w:val="00156B90"/>
    <w:rsid w:val="00161B12"/>
    <w:rsid w:val="00161DE8"/>
    <w:rsid w:val="00165055"/>
    <w:rsid w:val="0016695F"/>
    <w:rsid w:val="00170FAC"/>
    <w:rsid w:val="00171608"/>
    <w:rsid w:val="0017241B"/>
    <w:rsid w:val="001724B8"/>
    <w:rsid w:val="00174D54"/>
    <w:rsid w:val="00174E29"/>
    <w:rsid w:val="00175000"/>
    <w:rsid w:val="00175C18"/>
    <w:rsid w:val="0017702C"/>
    <w:rsid w:val="00177E29"/>
    <w:rsid w:val="0018013E"/>
    <w:rsid w:val="00180BD0"/>
    <w:rsid w:val="0018221A"/>
    <w:rsid w:val="00182723"/>
    <w:rsid w:val="00183616"/>
    <w:rsid w:val="00185270"/>
    <w:rsid w:val="0018568D"/>
    <w:rsid w:val="0019540D"/>
    <w:rsid w:val="00195A69"/>
    <w:rsid w:val="001A3B5A"/>
    <w:rsid w:val="001B251C"/>
    <w:rsid w:val="001B2739"/>
    <w:rsid w:val="001B563D"/>
    <w:rsid w:val="001B7B76"/>
    <w:rsid w:val="001B7CE9"/>
    <w:rsid w:val="001C4A56"/>
    <w:rsid w:val="001C4FB5"/>
    <w:rsid w:val="001C6FE5"/>
    <w:rsid w:val="001C79FD"/>
    <w:rsid w:val="001D00A8"/>
    <w:rsid w:val="001D18D1"/>
    <w:rsid w:val="001D495A"/>
    <w:rsid w:val="001D4B49"/>
    <w:rsid w:val="001D52E5"/>
    <w:rsid w:val="001E244C"/>
    <w:rsid w:val="001E2891"/>
    <w:rsid w:val="001E4C99"/>
    <w:rsid w:val="001F0448"/>
    <w:rsid w:val="001F1437"/>
    <w:rsid w:val="001F34E0"/>
    <w:rsid w:val="001F6729"/>
    <w:rsid w:val="00201403"/>
    <w:rsid w:val="00206799"/>
    <w:rsid w:val="002074FE"/>
    <w:rsid w:val="00207C14"/>
    <w:rsid w:val="00210641"/>
    <w:rsid w:val="00211E1C"/>
    <w:rsid w:val="00214B86"/>
    <w:rsid w:val="00214FE5"/>
    <w:rsid w:val="00215282"/>
    <w:rsid w:val="00223123"/>
    <w:rsid w:val="0022422B"/>
    <w:rsid w:val="0022425B"/>
    <w:rsid w:val="00224CE0"/>
    <w:rsid w:val="002259EF"/>
    <w:rsid w:val="00227F4A"/>
    <w:rsid w:val="00231E6B"/>
    <w:rsid w:val="00232D0D"/>
    <w:rsid w:val="00234059"/>
    <w:rsid w:val="00237A14"/>
    <w:rsid w:val="002420B2"/>
    <w:rsid w:val="00242ED1"/>
    <w:rsid w:val="002432D2"/>
    <w:rsid w:val="002444BB"/>
    <w:rsid w:val="002456A3"/>
    <w:rsid w:val="0024672A"/>
    <w:rsid w:val="00246D1E"/>
    <w:rsid w:val="002508F8"/>
    <w:rsid w:val="00254069"/>
    <w:rsid w:val="002553BD"/>
    <w:rsid w:val="00257298"/>
    <w:rsid w:val="00257606"/>
    <w:rsid w:val="00270748"/>
    <w:rsid w:val="002708E3"/>
    <w:rsid w:val="00271E47"/>
    <w:rsid w:val="002734E5"/>
    <w:rsid w:val="00273F52"/>
    <w:rsid w:val="002746DB"/>
    <w:rsid w:val="00274B5B"/>
    <w:rsid w:val="00274E7B"/>
    <w:rsid w:val="00276CB9"/>
    <w:rsid w:val="00280CAF"/>
    <w:rsid w:val="00282F09"/>
    <w:rsid w:val="00286D6B"/>
    <w:rsid w:val="00291810"/>
    <w:rsid w:val="00293AF0"/>
    <w:rsid w:val="00294D62"/>
    <w:rsid w:val="00297532"/>
    <w:rsid w:val="00297FFD"/>
    <w:rsid w:val="002A110E"/>
    <w:rsid w:val="002A1210"/>
    <w:rsid w:val="002A47D2"/>
    <w:rsid w:val="002A66ED"/>
    <w:rsid w:val="002A7247"/>
    <w:rsid w:val="002A7A90"/>
    <w:rsid w:val="002A7FB5"/>
    <w:rsid w:val="002B0CB3"/>
    <w:rsid w:val="002B2074"/>
    <w:rsid w:val="002B2A5A"/>
    <w:rsid w:val="002B393A"/>
    <w:rsid w:val="002B471C"/>
    <w:rsid w:val="002B4825"/>
    <w:rsid w:val="002B6322"/>
    <w:rsid w:val="002C05ED"/>
    <w:rsid w:val="002C1B1E"/>
    <w:rsid w:val="002C5010"/>
    <w:rsid w:val="002C795E"/>
    <w:rsid w:val="002D0458"/>
    <w:rsid w:val="002D14D8"/>
    <w:rsid w:val="002D1543"/>
    <w:rsid w:val="002D237C"/>
    <w:rsid w:val="002D271A"/>
    <w:rsid w:val="002D2A99"/>
    <w:rsid w:val="002D4799"/>
    <w:rsid w:val="002D5874"/>
    <w:rsid w:val="002D608E"/>
    <w:rsid w:val="002E19A0"/>
    <w:rsid w:val="002E1EA7"/>
    <w:rsid w:val="002E3FA4"/>
    <w:rsid w:val="002E4CD3"/>
    <w:rsid w:val="002E53A5"/>
    <w:rsid w:val="002E64B6"/>
    <w:rsid w:val="002E64B8"/>
    <w:rsid w:val="002E6834"/>
    <w:rsid w:val="002F33B4"/>
    <w:rsid w:val="002F3B6F"/>
    <w:rsid w:val="00300172"/>
    <w:rsid w:val="003007CB"/>
    <w:rsid w:val="00302EC7"/>
    <w:rsid w:val="00307591"/>
    <w:rsid w:val="003110A7"/>
    <w:rsid w:val="003113FF"/>
    <w:rsid w:val="00312622"/>
    <w:rsid w:val="003130C6"/>
    <w:rsid w:val="003217B7"/>
    <w:rsid w:val="0032277F"/>
    <w:rsid w:val="003229D6"/>
    <w:rsid w:val="0032320C"/>
    <w:rsid w:val="003233A4"/>
    <w:rsid w:val="00325FF8"/>
    <w:rsid w:val="003264D8"/>
    <w:rsid w:val="003265DC"/>
    <w:rsid w:val="00331CD4"/>
    <w:rsid w:val="00332D26"/>
    <w:rsid w:val="00336B69"/>
    <w:rsid w:val="0034074C"/>
    <w:rsid w:val="003412B8"/>
    <w:rsid w:val="003416F9"/>
    <w:rsid w:val="0034302B"/>
    <w:rsid w:val="00350523"/>
    <w:rsid w:val="003506FF"/>
    <w:rsid w:val="0035189D"/>
    <w:rsid w:val="00353A67"/>
    <w:rsid w:val="00354B9F"/>
    <w:rsid w:val="00355B62"/>
    <w:rsid w:val="00356924"/>
    <w:rsid w:val="00357A53"/>
    <w:rsid w:val="00357A58"/>
    <w:rsid w:val="00357C8A"/>
    <w:rsid w:val="003607ED"/>
    <w:rsid w:val="0036434E"/>
    <w:rsid w:val="00365B48"/>
    <w:rsid w:val="00370422"/>
    <w:rsid w:val="00370684"/>
    <w:rsid w:val="00372015"/>
    <w:rsid w:val="00372BAD"/>
    <w:rsid w:val="00374058"/>
    <w:rsid w:val="00374094"/>
    <w:rsid w:val="003740BC"/>
    <w:rsid w:val="0037456B"/>
    <w:rsid w:val="00377CB7"/>
    <w:rsid w:val="003801A3"/>
    <w:rsid w:val="00383D90"/>
    <w:rsid w:val="0038650D"/>
    <w:rsid w:val="003870AE"/>
    <w:rsid w:val="00397B31"/>
    <w:rsid w:val="003A159E"/>
    <w:rsid w:val="003A1A27"/>
    <w:rsid w:val="003A288D"/>
    <w:rsid w:val="003A3847"/>
    <w:rsid w:val="003A50CC"/>
    <w:rsid w:val="003B42B3"/>
    <w:rsid w:val="003B6384"/>
    <w:rsid w:val="003C0FE2"/>
    <w:rsid w:val="003C33FF"/>
    <w:rsid w:val="003C41B4"/>
    <w:rsid w:val="003C4EBB"/>
    <w:rsid w:val="003C60C2"/>
    <w:rsid w:val="003D1531"/>
    <w:rsid w:val="003D3CC7"/>
    <w:rsid w:val="003D4039"/>
    <w:rsid w:val="003D55CF"/>
    <w:rsid w:val="003D5A55"/>
    <w:rsid w:val="003D7205"/>
    <w:rsid w:val="003E01B5"/>
    <w:rsid w:val="003E1A32"/>
    <w:rsid w:val="003E3DDF"/>
    <w:rsid w:val="003E4EC6"/>
    <w:rsid w:val="003E527E"/>
    <w:rsid w:val="003E553E"/>
    <w:rsid w:val="003E5DA2"/>
    <w:rsid w:val="003E7078"/>
    <w:rsid w:val="003E7301"/>
    <w:rsid w:val="003F17AB"/>
    <w:rsid w:val="003F3DF5"/>
    <w:rsid w:val="003F589D"/>
    <w:rsid w:val="003F6805"/>
    <w:rsid w:val="003F7330"/>
    <w:rsid w:val="003F73B8"/>
    <w:rsid w:val="00401C9D"/>
    <w:rsid w:val="00402513"/>
    <w:rsid w:val="004027BE"/>
    <w:rsid w:val="0040297E"/>
    <w:rsid w:val="00411D11"/>
    <w:rsid w:val="00414494"/>
    <w:rsid w:val="00414AD3"/>
    <w:rsid w:val="00415E23"/>
    <w:rsid w:val="0041670D"/>
    <w:rsid w:val="00423272"/>
    <w:rsid w:val="00424061"/>
    <w:rsid w:val="004315F3"/>
    <w:rsid w:val="004344A8"/>
    <w:rsid w:val="00440A98"/>
    <w:rsid w:val="00442A3C"/>
    <w:rsid w:val="00443969"/>
    <w:rsid w:val="00444B9B"/>
    <w:rsid w:val="00447D74"/>
    <w:rsid w:val="004509EB"/>
    <w:rsid w:val="00450A74"/>
    <w:rsid w:val="00453BC9"/>
    <w:rsid w:val="004546BF"/>
    <w:rsid w:val="00455B8D"/>
    <w:rsid w:val="00456CBA"/>
    <w:rsid w:val="004576C9"/>
    <w:rsid w:val="00464DC8"/>
    <w:rsid w:val="00465350"/>
    <w:rsid w:val="004749C9"/>
    <w:rsid w:val="00475D1C"/>
    <w:rsid w:val="00476B91"/>
    <w:rsid w:val="00477E9A"/>
    <w:rsid w:val="00480430"/>
    <w:rsid w:val="00481EF4"/>
    <w:rsid w:val="004821FD"/>
    <w:rsid w:val="00483176"/>
    <w:rsid w:val="004846BF"/>
    <w:rsid w:val="004868CD"/>
    <w:rsid w:val="00486CBB"/>
    <w:rsid w:val="00492D23"/>
    <w:rsid w:val="00494912"/>
    <w:rsid w:val="00494B67"/>
    <w:rsid w:val="00495851"/>
    <w:rsid w:val="004975C6"/>
    <w:rsid w:val="004A0181"/>
    <w:rsid w:val="004A1254"/>
    <w:rsid w:val="004A1723"/>
    <w:rsid w:val="004A415B"/>
    <w:rsid w:val="004A48A2"/>
    <w:rsid w:val="004A5323"/>
    <w:rsid w:val="004A5A99"/>
    <w:rsid w:val="004B0C68"/>
    <w:rsid w:val="004B1B72"/>
    <w:rsid w:val="004B4538"/>
    <w:rsid w:val="004C0213"/>
    <w:rsid w:val="004C03D5"/>
    <w:rsid w:val="004C4E1F"/>
    <w:rsid w:val="004C6979"/>
    <w:rsid w:val="004C7FFE"/>
    <w:rsid w:val="004D13A2"/>
    <w:rsid w:val="004D2F2C"/>
    <w:rsid w:val="004D3E7A"/>
    <w:rsid w:val="004D554B"/>
    <w:rsid w:val="004D58F3"/>
    <w:rsid w:val="004D6662"/>
    <w:rsid w:val="004D6E56"/>
    <w:rsid w:val="004E4445"/>
    <w:rsid w:val="004E4549"/>
    <w:rsid w:val="004F2CA8"/>
    <w:rsid w:val="004F3983"/>
    <w:rsid w:val="004F3D38"/>
    <w:rsid w:val="004F594B"/>
    <w:rsid w:val="004F61E1"/>
    <w:rsid w:val="004F7545"/>
    <w:rsid w:val="00502260"/>
    <w:rsid w:val="00504A7E"/>
    <w:rsid w:val="00505FFA"/>
    <w:rsid w:val="0050F6AA"/>
    <w:rsid w:val="0051129A"/>
    <w:rsid w:val="005112D9"/>
    <w:rsid w:val="005115C5"/>
    <w:rsid w:val="005138BD"/>
    <w:rsid w:val="0052152C"/>
    <w:rsid w:val="00523774"/>
    <w:rsid w:val="00524665"/>
    <w:rsid w:val="00524E4C"/>
    <w:rsid w:val="0052656B"/>
    <w:rsid w:val="005307AF"/>
    <w:rsid w:val="00530CC9"/>
    <w:rsid w:val="0053380B"/>
    <w:rsid w:val="0053499F"/>
    <w:rsid w:val="0054067B"/>
    <w:rsid w:val="005406F0"/>
    <w:rsid w:val="00540849"/>
    <w:rsid w:val="005418E3"/>
    <w:rsid w:val="00542AE5"/>
    <w:rsid w:val="00543194"/>
    <w:rsid w:val="00544138"/>
    <w:rsid w:val="00547325"/>
    <w:rsid w:val="00547C93"/>
    <w:rsid w:val="00551120"/>
    <w:rsid w:val="0055322B"/>
    <w:rsid w:val="005545FB"/>
    <w:rsid w:val="00554E34"/>
    <w:rsid w:val="00556192"/>
    <w:rsid w:val="00556BD1"/>
    <w:rsid w:val="005637DA"/>
    <w:rsid w:val="005657C4"/>
    <w:rsid w:val="00566934"/>
    <w:rsid w:val="0056762F"/>
    <w:rsid w:val="0057086B"/>
    <w:rsid w:val="005719C6"/>
    <w:rsid w:val="00571C72"/>
    <w:rsid w:val="00572E00"/>
    <w:rsid w:val="00577889"/>
    <w:rsid w:val="00580975"/>
    <w:rsid w:val="00580A01"/>
    <w:rsid w:val="00584583"/>
    <w:rsid w:val="005855EE"/>
    <w:rsid w:val="005871C7"/>
    <w:rsid w:val="00590929"/>
    <w:rsid w:val="00590E90"/>
    <w:rsid w:val="00590EEB"/>
    <w:rsid w:val="00592CF3"/>
    <w:rsid w:val="005A0EE2"/>
    <w:rsid w:val="005A1491"/>
    <w:rsid w:val="005A1B08"/>
    <w:rsid w:val="005A4099"/>
    <w:rsid w:val="005A4159"/>
    <w:rsid w:val="005A5C98"/>
    <w:rsid w:val="005B0784"/>
    <w:rsid w:val="005B1750"/>
    <w:rsid w:val="005B1B4F"/>
    <w:rsid w:val="005C1E58"/>
    <w:rsid w:val="005C25CA"/>
    <w:rsid w:val="005C38B2"/>
    <w:rsid w:val="005C5029"/>
    <w:rsid w:val="005C55C2"/>
    <w:rsid w:val="005C71CA"/>
    <w:rsid w:val="005C745C"/>
    <w:rsid w:val="005D0223"/>
    <w:rsid w:val="005D09D1"/>
    <w:rsid w:val="005D3471"/>
    <w:rsid w:val="005D38A5"/>
    <w:rsid w:val="005D3B5B"/>
    <w:rsid w:val="005D4DF5"/>
    <w:rsid w:val="005E42BA"/>
    <w:rsid w:val="005F30C2"/>
    <w:rsid w:val="005F37A5"/>
    <w:rsid w:val="005F391F"/>
    <w:rsid w:val="005F5D46"/>
    <w:rsid w:val="00600E4B"/>
    <w:rsid w:val="006037F6"/>
    <w:rsid w:val="00605ADA"/>
    <w:rsid w:val="006064E5"/>
    <w:rsid w:val="00611D6B"/>
    <w:rsid w:val="00612D96"/>
    <w:rsid w:val="006137A0"/>
    <w:rsid w:val="00617CAF"/>
    <w:rsid w:val="0062151E"/>
    <w:rsid w:val="006223DD"/>
    <w:rsid w:val="00622D3F"/>
    <w:rsid w:val="00625CFD"/>
    <w:rsid w:val="00626DE6"/>
    <w:rsid w:val="006326EC"/>
    <w:rsid w:val="006367D9"/>
    <w:rsid w:val="00636ED9"/>
    <w:rsid w:val="00637B07"/>
    <w:rsid w:val="00640368"/>
    <w:rsid w:val="006415F3"/>
    <w:rsid w:val="006425D8"/>
    <w:rsid w:val="00651499"/>
    <w:rsid w:val="00661E09"/>
    <w:rsid w:val="00662E5E"/>
    <w:rsid w:val="00663A42"/>
    <w:rsid w:val="006641C7"/>
    <w:rsid w:val="006705EA"/>
    <w:rsid w:val="00670BE2"/>
    <w:rsid w:val="00672288"/>
    <w:rsid w:val="00672A23"/>
    <w:rsid w:val="006766F1"/>
    <w:rsid w:val="00677D10"/>
    <w:rsid w:val="00677D42"/>
    <w:rsid w:val="00680036"/>
    <w:rsid w:val="00680E03"/>
    <w:rsid w:val="00686ED4"/>
    <w:rsid w:val="006916D9"/>
    <w:rsid w:val="0069323C"/>
    <w:rsid w:val="00695353"/>
    <w:rsid w:val="00696F99"/>
    <w:rsid w:val="006A03F8"/>
    <w:rsid w:val="006A0E05"/>
    <w:rsid w:val="006A26C6"/>
    <w:rsid w:val="006A465A"/>
    <w:rsid w:val="006A67A1"/>
    <w:rsid w:val="006A7D5D"/>
    <w:rsid w:val="006B03B0"/>
    <w:rsid w:val="006B2887"/>
    <w:rsid w:val="006B2F39"/>
    <w:rsid w:val="006B5814"/>
    <w:rsid w:val="006B609F"/>
    <w:rsid w:val="006C50FD"/>
    <w:rsid w:val="006C724D"/>
    <w:rsid w:val="006D0BE5"/>
    <w:rsid w:val="006D0C12"/>
    <w:rsid w:val="006D13A6"/>
    <w:rsid w:val="006D162A"/>
    <w:rsid w:val="006D16D3"/>
    <w:rsid w:val="006D25E2"/>
    <w:rsid w:val="006D3542"/>
    <w:rsid w:val="006D404B"/>
    <w:rsid w:val="006D5AD7"/>
    <w:rsid w:val="006D5D57"/>
    <w:rsid w:val="006E2538"/>
    <w:rsid w:val="006E2D09"/>
    <w:rsid w:val="006E302F"/>
    <w:rsid w:val="006E3C1E"/>
    <w:rsid w:val="006E6951"/>
    <w:rsid w:val="006F09CC"/>
    <w:rsid w:val="006F4D6D"/>
    <w:rsid w:val="006F58C1"/>
    <w:rsid w:val="00702DB2"/>
    <w:rsid w:val="007037BA"/>
    <w:rsid w:val="00705086"/>
    <w:rsid w:val="00705A4A"/>
    <w:rsid w:val="00710226"/>
    <w:rsid w:val="00711355"/>
    <w:rsid w:val="00714E32"/>
    <w:rsid w:val="007151B7"/>
    <w:rsid w:val="00716A27"/>
    <w:rsid w:val="00722001"/>
    <w:rsid w:val="00722CAD"/>
    <w:rsid w:val="007236CC"/>
    <w:rsid w:val="00726480"/>
    <w:rsid w:val="00727FFC"/>
    <w:rsid w:val="007342EB"/>
    <w:rsid w:val="007352E7"/>
    <w:rsid w:val="007438E6"/>
    <w:rsid w:val="007442E8"/>
    <w:rsid w:val="007449EE"/>
    <w:rsid w:val="00751BBE"/>
    <w:rsid w:val="00751E66"/>
    <w:rsid w:val="0075308A"/>
    <w:rsid w:val="00754497"/>
    <w:rsid w:val="00762F02"/>
    <w:rsid w:val="00763F16"/>
    <w:rsid w:val="00766C88"/>
    <w:rsid w:val="007673BD"/>
    <w:rsid w:val="00772C43"/>
    <w:rsid w:val="00772CBF"/>
    <w:rsid w:val="00773602"/>
    <w:rsid w:val="007741B3"/>
    <w:rsid w:val="00775832"/>
    <w:rsid w:val="00781A48"/>
    <w:rsid w:val="00781B69"/>
    <w:rsid w:val="00783FAF"/>
    <w:rsid w:val="007842CF"/>
    <w:rsid w:val="007877B6"/>
    <w:rsid w:val="00787C39"/>
    <w:rsid w:val="007917EC"/>
    <w:rsid w:val="00792947"/>
    <w:rsid w:val="00794562"/>
    <w:rsid w:val="00795DF3"/>
    <w:rsid w:val="007960FA"/>
    <w:rsid w:val="007A1B7D"/>
    <w:rsid w:val="007A30EE"/>
    <w:rsid w:val="007A373C"/>
    <w:rsid w:val="007A7857"/>
    <w:rsid w:val="007B1D0C"/>
    <w:rsid w:val="007B20BF"/>
    <w:rsid w:val="007B225C"/>
    <w:rsid w:val="007B3ED9"/>
    <w:rsid w:val="007B43D6"/>
    <w:rsid w:val="007B72B4"/>
    <w:rsid w:val="007C0D45"/>
    <w:rsid w:val="007C40B6"/>
    <w:rsid w:val="007C75B1"/>
    <w:rsid w:val="007D2885"/>
    <w:rsid w:val="007D313D"/>
    <w:rsid w:val="007D3DFC"/>
    <w:rsid w:val="007E0BF6"/>
    <w:rsid w:val="007E27D7"/>
    <w:rsid w:val="007E2EC2"/>
    <w:rsid w:val="007E2F07"/>
    <w:rsid w:val="007E4E4F"/>
    <w:rsid w:val="007E59A8"/>
    <w:rsid w:val="007F260D"/>
    <w:rsid w:val="007F2888"/>
    <w:rsid w:val="007F2C3B"/>
    <w:rsid w:val="008012BE"/>
    <w:rsid w:val="008022E7"/>
    <w:rsid w:val="008028A6"/>
    <w:rsid w:val="008033A0"/>
    <w:rsid w:val="0080776D"/>
    <w:rsid w:val="00807C8A"/>
    <w:rsid w:val="00810145"/>
    <w:rsid w:val="008108FA"/>
    <w:rsid w:val="00810FF1"/>
    <w:rsid w:val="00814455"/>
    <w:rsid w:val="0081515F"/>
    <w:rsid w:val="0081687B"/>
    <w:rsid w:val="00817A35"/>
    <w:rsid w:val="00822336"/>
    <w:rsid w:val="00823DFA"/>
    <w:rsid w:val="00827706"/>
    <w:rsid w:val="00827B96"/>
    <w:rsid w:val="00831DA5"/>
    <w:rsid w:val="008328DE"/>
    <w:rsid w:val="00832D51"/>
    <w:rsid w:val="008334B8"/>
    <w:rsid w:val="00835663"/>
    <w:rsid w:val="00840BFD"/>
    <w:rsid w:val="008414BC"/>
    <w:rsid w:val="00842DB7"/>
    <w:rsid w:val="00843752"/>
    <w:rsid w:val="00844312"/>
    <w:rsid w:val="0084479F"/>
    <w:rsid w:val="008470A6"/>
    <w:rsid w:val="008514D1"/>
    <w:rsid w:val="0085441D"/>
    <w:rsid w:val="008559EC"/>
    <w:rsid w:val="0085725E"/>
    <w:rsid w:val="008579A9"/>
    <w:rsid w:val="00860286"/>
    <w:rsid w:val="00860EE2"/>
    <w:rsid w:val="0086343C"/>
    <w:rsid w:val="00864EC6"/>
    <w:rsid w:val="00865412"/>
    <w:rsid w:val="008671C8"/>
    <w:rsid w:val="0087056B"/>
    <w:rsid w:val="00871598"/>
    <w:rsid w:val="00871E1E"/>
    <w:rsid w:val="008726B1"/>
    <w:rsid w:val="00873D4F"/>
    <w:rsid w:val="0087509F"/>
    <w:rsid w:val="00882FD5"/>
    <w:rsid w:val="00885B09"/>
    <w:rsid w:val="008912F6"/>
    <w:rsid w:val="00892400"/>
    <w:rsid w:val="00894BB2"/>
    <w:rsid w:val="008955A2"/>
    <w:rsid w:val="00896B2D"/>
    <w:rsid w:val="008971EC"/>
    <w:rsid w:val="00897E71"/>
    <w:rsid w:val="008A062C"/>
    <w:rsid w:val="008A209D"/>
    <w:rsid w:val="008A22BB"/>
    <w:rsid w:val="008A2813"/>
    <w:rsid w:val="008A4A71"/>
    <w:rsid w:val="008A6C2B"/>
    <w:rsid w:val="008A7747"/>
    <w:rsid w:val="008B035D"/>
    <w:rsid w:val="008B0963"/>
    <w:rsid w:val="008B0E29"/>
    <w:rsid w:val="008B0EFA"/>
    <w:rsid w:val="008B2795"/>
    <w:rsid w:val="008B30AB"/>
    <w:rsid w:val="008B5D03"/>
    <w:rsid w:val="008C124B"/>
    <w:rsid w:val="008C3BB8"/>
    <w:rsid w:val="008C4B65"/>
    <w:rsid w:val="008D0E86"/>
    <w:rsid w:val="008D3BD3"/>
    <w:rsid w:val="008D4E17"/>
    <w:rsid w:val="008D6954"/>
    <w:rsid w:val="008E227A"/>
    <w:rsid w:val="008E5F55"/>
    <w:rsid w:val="008E75D8"/>
    <w:rsid w:val="008F0041"/>
    <w:rsid w:val="009001AE"/>
    <w:rsid w:val="009009E7"/>
    <w:rsid w:val="00902839"/>
    <w:rsid w:val="00904C52"/>
    <w:rsid w:val="00905DEF"/>
    <w:rsid w:val="00906056"/>
    <w:rsid w:val="0090710C"/>
    <w:rsid w:val="009122AE"/>
    <w:rsid w:val="00912815"/>
    <w:rsid w:val="00912E7D"/>
    <w:rsid w:val="00913B43"/>
    <w:rsid w:val="00920833"/>
    <w:rsid w:val="009218D5"/>
    <w:rsid w:val="00921EB8"/>
    <w:rsid w:val="009250A6"/>
    <w:rsid w:val="00930203"/>
    <w:rsid w:val="009311D2"/>
    <w:rsid w:val="009311E6"/>
    <w:rsid w:val="00931275"/>
    <w:rsid w:val="00932BD0"/>
    <w:rsid w:val="009359C0"/>
    <w:rsid w:val="00935F9A"/>
    <w:rsid w:val="00936626"/>
    <w:rsid w:val="00936AC7"/>
    <w:rsid w:val="009409AC"/>
    <w:rsid w:val="00940AA4"/>
    <w:rsid w:val="00942B98"/>
    <w:rsid w:val="00950105"/>
    <w:rsid w:val="00952DB6"/>
    <w:rsid w:val="00953B64"/>
    <w:rsid w:val="00955723"/>
    <w:rsid w:val="00960516"/>
    <w:rsid w:val="009621F8"/>
    <w:rsid w:val="009646A7"/>
    <w:rsid w:val="0096550A"/>
    <w:rsid w:val="00966AC5"/>
    <w:rsid w:val="00966C29"/>
    <w:rsid w:val="0097017F"/>
    <w:rsid w:val="009705CF"/>
    <w:rsid w:val="00970A88"/>
    <w:rsid w:val="00972D24"/>
    <w:rsid w:val="009818A1"/>
    <w:rsid w:val="00985C8B"/>
    <w:rsid w:val="00986136"/>
    <w:rsid w:val="0099394C"/>
    <w:rsid w:val="00993A6D"/>
    <w:rsid w:val="00994BA1"/>
    <w:rsid w:val="00996302"/>
    <w:rsid w:val="009977FC"/>
    <w:rsid w:val="009A1674"/>
    <w:rsid w:val="009A38CB"/>
    <w:rsid w:val="009A4A64"/>
    <w:rsid w:val="009A4BA5"/>
    <w:rsid w:val="009A784D"/>
    <w:rsid w:val="009B38BE"/>
    <w:rsid w:val="009B4DF2"/>
    <w:rsid w:val="009B777F"/>
    <w:rsid w:val="009C29D6"/>
    <w:rsid w:val="009C684F"/>
    <w:rsid w:val="009C6AAC"/>
    <w:rsid w:val="009D074C"/>
    <w:rsid w:val="009D0AD2"/>
    <w:rsid w:val="009D1526"/>
    <w:rsid w:val="009D15EB"/>
    <w:rsid w:val="009D1AA1"/>
    <w:rsid w:val="009D1B51"/>
    <w:rsid w:val="009D3B07"/>
    <w:rsid w:val="009D5CD4"/>
    <w:rsid w:val="009D636E"/>
    <w:rsid w:val="009D6E73"/>
    <w:rsid w:val="009E0FEF"/>
    <w:rsid w:val="009E3EC5"/>
    <w:rsid w:val="009E701A"/>
    <w:rsid w:val="009E7E62"/>
    <w:rsid w:val="009F1F1D"/>
    <w:rsid w:val="009F2B4F"/>
    <w:rsid w:val="009F33AD"/>
    <w:rsid w:val="009F3C63"/>
    <w:rsid w:val="009F66B5"/>
    <w:rsid w:val="009F6CDF"/>
    <w:rsid w:val="00A029DA"/>
    <w:rsid w:val="00A02F10"/>
    <w:rsid w:val="00A043CC"/>
    <w:rsid w:val="00A04ABE"/>
    <w:rsid w:val="00A1060C"/>
    <w:rsid w:val="00A13C51"/>
    <w:rsid w:val="00A13D1A"/>
    <w:rsid w:val="00A16221"/>
    <w:rsid w:val="00A20827"/>
    <w:rsid w:val="00A20A7D"/>
    <w:rsid w:val="00A216F7"/>
    <w:rsid w:val="00A22524"/>
    <w:rsid w:val="00A24188"/>
    <w:rsid w:val="00A26359"/>
    <w:rsid w:val="00A26E3B"/>
    <w:rsid w:val="00A34086"/>
    <w:rsid w:val="00A35D42"/>
    <w:rsid w:val="00A36259"/>
    <w:rsid w:val="00A43DDA"/>
    <w:rsid w:val="00A46CCF"/>
    <w:rsid w:val="00A506DE"/>
    <w:rsid w:val="00A5278B"/>
    <w:rsid w:val="00A52920"/>
    <w:rsid w:val="00A52DAA"/>
    <w:rsid w:val="00A53451"/>
    <w:rsid w:val="00A53D97"/>
    <w:rsid w:val="00A55164"/>
    <w:rsid w:val="00A62E8B"/>
    <w:rsid w:val="00A65FBF"/>
    <w:rsid w:val="00A6747D"/>
    <w:rsid w:val="00A7020D"/>
    <w:rsid w:val="00A70426"/>
    <w:rsid w:val="00A706DC"/>
    <w:rsid w:val="00A707C3"/>
    <w:rsid w:val="00A707CC"/>
    <w:rsid w:val="00A71410"/>
    <w:rsid w:val="00A74522"/>
    <w:rsid w:val="00A7453B"/>
    <w:rsid w:val="00A75439"/>
    <w:rsid w:val="00A84D4D"/>
    <w:rsid w:val="00A8580A"/>
    <w:rsid w:val="00A873C3"/>
    <w:rsid w:val="00A8766D"/>
    <w:rsid w:val="00A91E9A"/>
    <w:rsid w:val="00A93ED9"/>
    <w:rsid w:val="00A954D1"/>
    <w:rsid w:val="00A96221"/>
    <w:rsid w:val="00AA0807"/>
    <w:rsid w:val="00AA48E4"/>
    <w:rsid w:val="00AA73D7"/>
    <w:rsid w:val="00AB0AD0"/>
    <w:rsid w:val="00AB25DE"/>
    <w:rsid w:val="00AB3E1F"/>
    <w:rsid w:val="00AB4293"/>
    <w:rsid w:val="00AC2DBB"/>
    <w:rsid w:val="00AC5ECD"/>
    <w:rsid w:val="00AC5F2B"/>
    <w:rsid w:val="00AC6A99"/>
    <w:rsid w:val="00AD106F"/>
    <w:rsid w:val="00AD148B"/>
    <w:rsid w:val="00AD6048"/>
    <w:rsid w:val="00AD7340"/>
    <w:rsid w:val="00AE0D61"/>
    <w:rsid w:val="00AE1124"/>
    <w:rsid w:val="00AE1223"/>
    <w:rsid w:val="00AE1B77"/>
    <w:rsid w:val="00AE1C67"/>
    <w:rsid w:val="00AE24E1"/>
    <w:rsid w:val="00AF2CC4"/>
    <w:rsid w:val="00AF410F"/>
    <w:rsid w:val="00AF451B"/>
    <w:rsid w:val="00B04338"/>
    <w:rsid w:val="00B055EF"/>
    <w:rsid w:val="00B06B5B"/>
    <w:rsid w:val="00B07981"/>
    <w:rsid w:val="00B12896"/>
    <w:rsid w:val="00B12E07"/>
    <w:rsid w:val="00B1590B"/>
    <w:rsid w:val="00B16E81"/>
    <w:rsid w:val="00B1730B"/>
    <w:rsid w:val="00B217E8"/>
    <w:rsid w:val="00B23769"/>
    <w:rsid w:val="00B24C4A"/>
    <w:rsid w:val="00B31A7A"/>
    <w:rsid w:val="00B31D8E"/>
    <w:rsid w:val="00B31FB4"/>
    <w:rsid w:val="00B41789"/>
    <w:rsid w:val="00B4189C"/>
    <w:rsid w:val="00B47388"/>
    <w:rsid w:val="00B507DE"/>
    <w:rsid w:val="00B50A24"/>
    <w:rsid w:val="00B51B90"/>
    <w:rsid w:val="00B543DB"/>
    <w:rsid w:val="00B56F57"/>
    <w:rsid w:val="00B61F49"/>
    <w:rsid w:val="00B638B2"/>
    <w:rsid w:val="00B73AC9"/>
    <w:rsid w:val="00B779EF"/>
    <w:rsid w:val="00B81808"/>
    <w:rsid w:val="00B845FB"/>
    <w:rsid w:val="00B86DFA"/>
    <w:rsid w:val="00B910F2"/>
    <w:rsid w:val="00B936D0"/>
    <w:rsid w:val="00B967A0"/>
    <w:rsid w:val="00B973FC"/>
    <w:rsid w:val="00B97824"/>
    <w:rsid w:val="00B97BCB"/>
    <w:rsid w:val="00B97DE5"/>
    <w:rsid w:val="00BA2761"/>
    <w:rsid w:val="00BA297E"/>
    <w:rsid w:val="00BA6AD5"/>
    <w:rsid w:val="00BB15FB"/>
    <w:rsid w:val="00BB2866"/>
    <w:rsid w:val="00BB3567"/>
    <w:rsid w:val="00BB5147"/>
    <w:rsid w:val="00BC00FB"/>
    <w:rsid w:val="00BD3D5B"/>
    <w:rsid w:val="00BD718A"/>
    <w:rsid w:val="00BE1317"/>
    <w:rsid w:val="00BE209B"/>
    <w:rsid w:val="00BE3600"/>
    <w:rsid w:val="00BE4A5E"/>
    <w:rsid w:val="00BE6581"/>
    <w:rsid w:val="00C00D25"/>
    <w:rsid w:val="00C01F6F"/>
    <w:rsid w:val="00C041EA"/>
    <w:rsid w:val="00C04994"/>
    <w:rsid w:val="00C10130"/>
    <w:rsid w:val="00C13BBD"/>
    <w:rsid w:val="00C142FB"/>
    <w:rsid w:val="00C1492A"/>
    <w:rsid w:val="00C149AB"/>
    <w:rsid w:val="00C16929"/>
    <w:rsid w:val="00C20690"/>
    <w:rsid w:val="00C20D22"/>
    <w:rsid w:val="00C226E9"/>
    <w:rsid w:val="00C238DF"/>
    <w:rsid w:val="00C3256D"/>
    <w:rsid w:val="00C33453"/>
    <w:rsid w:val="00C34D25"/>
    <w:rsid w:val="00C35419"/>
    <w:rsid w:val="00C36020"/>
    <w:rsid w:val="00C375E2"/>
    <w:rsid w:val="00C40694"/>
    <w:rsid w:val="00C44DBC"/>
    <w:rsid w:val="00C479BF"/>
    <w:rsid w:val="00C47F69"/>
    <w:rsid w:val="00C50A69"/>
    <w:rsid w:val="00C5124B"/>
    <w:rsid w:val="00C66811"/>
    <w:rsid w:val="00C70542"/>
    <w:rsid w:val="00C71E68"/>
    <w:rsid w:val="00C727C4"/>
    <w:rsid w:val="00C74A1D"/>
    <w:rsid w:val="00C75CBF"/>
    <w:rsid w:val="00C76B97"/>
    <w:rsid w:val="00C77014"/>
    <w:rsid w:val="00C829BD"/>
    <w:rsid w:val="00C82EB3"/>
    <w:rsid w:val="00C84C15"/>
    <w:rsid w:val="00C86A46"/>
    <w:rsid w:val="00C909EC"/>
    <w:rsid w:val="00C91A51"/>
    <w:rsid w:val="00C95FE6"/>
    <w:rsid w:val="00CA3A5D"/>
    <w:rsid w:val="00CA6905"/>
    <w:rsid w:val="00CA7599"/>
    <w:rsid w:val="00CB2194"/>
    <w:rsid w:val="00CB41AE"/>
    <w:rsid w:val="00CB4978"/>
    <w:rsid w:val="00CB594C"/>
    <w:rsid w:val="00CC2894"/>
    <w:rsid w:val="00CC559F"/>
    <w:rsid w:val="00CD77C3"/>
    <w:rsid w:val="00CD77F1"/>
    <w:rsid w:val="00CE094E"/>
    <w:rsid w:val="00CE0EB9"/>
    <w:rsid w:val="00CE112C"/>
    <w:rsid w:val="00CE2ACD"/>
    <w:rsid w:val="00CE3440"/>
    <w:rsid w:val="00CE4272"/>
    <w:rsid w:val="00CE5C63"/>
    <w:rsid w:val="00CE7E05"/>
    <w:rsid w:val="00CE7E2C"/>
    <w:rsid w:val="00CF0967"/>
    <w:rsid w:val="00CF55D4"/>
    <w:rsid w:val="00CF7246"/>
    <w:rsid w:val="00D010A6"/>
    <w:rsid w:val="00D02DC1"/>
    <w:rsid w:val="00D05384"/>
    <w:rsid w:val="00D109C0"/>
    <w:rsid w:val="00D10F82"/>
    <w:rsid w:val="00D147BA"/>
    <w:rsid w:val="00D1483A"/>
    <w:rsid w:val="00D23643"/>
    <w:rsid w:val="00D26858"/>
    <w:rsid w:val="00D27CF4"/>
    <w:rsid w:val="00D33C04"/>
    <w:rsid w:val="00D35C8B"/>
    <w:rsid w:val="00D4082D"/>
    <w:rsid w:val="00D45D2D"/>
    <w:rsid w:val="00D510CF"/>
    <w:rsid w:val="00D5137B"/>
    <w:rsid w:val="00D53405"/>
    <w:rsid w:val="00D57A25"/>
    <w:rsid w:val="00D608DA"/>
    <w:rsid w:val="00D60C08"/>
    <w:rsid w:val="00D63EBF"/>
    <w:rsid w:val="00D65986"/>
    <w:rsid w:val="00D663BB"/>
    <w:rsid w:val="00D71CCD"/>
    <w:rsid w:val="00D7232A"/>
    <w:rsid w:val="00D730BF"/>
    <w:rsid w:val="00D852F4"/>
    <w:rsid w:val="00D91B65"/>
    <w:rsid w:val="00D91E56"/>
    <w:rsid w:val="00D9331B"/>
    <w:rsid w:val="00D946DC"/>
    <w:rsid w:val="00D96144"/>
    <w:rsid w:val="00DA34D6"/>
    <w:rsid w:val="00DA44A3"/>
    <w:rsid w:val="00DA526B"/>
    <w:rsid w:val="00DB1110"/>
    <w:rsid w:val="00DB225D"/>
    <w:rsid w:val="00DB36C6"/>
    <w:rsid w:val="00DB3730"/>
    <w:rsid w:val="00DC2C80"/>
    <w:rsid w:val="00DC371B"/>
    <w:rsid w:val="00DC3788"/>
    <w:rsid w:val="00DC393C"/>
    <w:rsid w:val="00DC76C7"/>
    <w:rsid w:val="00DD05FD"/>
    <w:rsid w:val="00DD09F5"/>
    <w:rsid w:val="00DD0E02"/>
    <w:rsid w:val="00DD4201"/>
    <w:rsid w:val="00DD457F"/>
    <w:rsid w:val="00DD5E9F"/>
    <w:rsid w:val="00DD6634"/>
    <w:rsid w:val="00DD7555"/>
    <w:rsid w:val="00DE04EF"/>
    <w:rsid w:val="00DE410E"/>
    <w:rsid w:val="00DE5711"/>
    <w:rsid w:val="00DE667A"/>
    <w:rsid w:val="00DF078F"/>
    <w:rsid w:val="00E00EA0"/>
    <w:rsid w:val="00E021CB"/>
    <w:rsid w:val="00E031E6"/>
    <w:rsid w:val="00E03F04"/>
    <w:rsid w:val="00E044D0"/>
    <w:rsid w:val="00E13259"/>
    <w:rsid w:val="00E138F1"/>
    <w:rsid w:val="00E13A7D"/>
    <w:rsid w:val="00E15A2E"/>
    <w:rsid w:val="00E15FE7"/>
    <w:rsid w:val="00E2309D"/>
    <w:rsid w:val="00E23206"/>
    <w:rsid w:val="00E26758"/>
    <w:rsid w:val="00E27241"/>
    <w:rsid w:val="00E3057A"/>
    <w:rsid w:val="00E31AEC"/>
    <w:rsid w:val="00E33DEE"/>
    <w:rsid w:val="00E374DB"/>
    <w:rsid w:val="00E4357B"/>
    <w:rsid w:val="00E443A7"/>
    <w:rsid w:val="00E45904"/>
    <w:rsid w:val="00E4768F"/>
    <w:rsid w:val="00E60D27"/>
    <w:rsid w:val="00E62019"/>
    <w:rsid w:val="00E63DE5"/>
    <w:rsid w:val="00E63F48"/>
    <w:rsid w:val="00E647AF"/>
    <w:rsid w:val="00E647C7"/>
    <w:rsid w:val="00E65A37"/>
    <w:rsid w:val="00E65EF7"/>
    <w:rsid w:val="00E66517"/>
    <w:rsid w:val="00E66E8A"/>
    <w:rsid w:val="00E77B48"/>
    <w:rsid w:val="00E848C2"/>
    <w:rsid w:val="00E849DA"/>
    <w:rsid w:val="00E8573E"/>
    <w:rsid w:val="00E857FB"/>
    <w:rsid w:val="00E86000"/>
    <w:rsid w:val="00E90B7F"/>
    <w:rsid w:val="00E91799"/>
    <w:rsid w:val="00E91809"/>
    <w:rsid w:val="00E95215"/>
    <w:rsid w:val="00E97DF8"/>
    <w:rsid w:val="00EA21FE"/>
    <w:rsid w:val="00EA34E3"/>
    <w:rsid w:val="00EA4C49"/>
    <w:rsid w:val="00EA66A8"/>
    <w:rsid w:val="00EA6F98"/>
    <w:rsid w:val="00EB2362"/>
    <w:rsid w:val="00EB24FC"/>
    <w:rsid w:val="00EB3FAC"/>
    <w:rsid w:val="00EB6001"/>
    <w:rsid w:val="00EB7538"/>
    <w:rsid w:val="00EC12F7"/>
    <w:rsid w:val="00EC14FA"/>
    <w:rsid w:val="00EC1868"/>
    <w:rsid w:val="00EC490B"/>
    <w:rsid w:val="00ED3FBD"/>
    <w:rsid w:val="00ED4ECA"/>
    <w:rsid w:val="00ED53F2"/>
    <w:rsid w:val="00EE131C"/>
    <w:rsid w:val="00EE2597"/>
    <w:rsid w:val="00EE56E7"/>
    <w:rsid w:val="00EE6208"/>
    <w:rsid w:val="00EE6468"/>
    <w:rsid w:val="00EF3383"/>
    <w:rsid w:val="00EF5BF6"/>
    <w:rsid w:val="00EF65CF"/>
    <w:rsid w:val="00F0068F"/>
    <w:rsid w:val="00F07EA5"/>
    <w:rsid w:val="00F101E7"/>
    <w:rsid w:val="00F1075E"/>
    <w:rsid w:val="00F11298"/>
    <w:rsid w:val="00F11FB9"/>
    <w:rsid w:val="00F1299B"/>
    <w:rsid w:val="00F12D9F"/>
    <w:rsid w:val="00F13A34"/>
    <w:rsid w:val="00F1552D"/>
    <w:rsid w:val="00F15B54"/>
    <w:rsid w:val="00F16976"/>
    <w:rsid w:val="00F17F3B"/>
    <w:rsid w:val="00F207A4"/>
    <w:rsid w:val="00F25173"/>
    <w:rsid w:val="00F26CDD"/>
    <w:rsid w:val="00F31E13"/>
    <w:rsid w:val="00F355AC"/>
    <w:rsid w:val="00F40CF7"/>
    <w:rsid w:val="00F44194"/>
    <w:rsid w:val="00F44E90"/>
    <w:rsid w:val="00F463C7"/>
    <w:rsid w:val="00F47994"/>
    <w:rsid w:val="00F65A05"/>
    <w:rsid w:val="00F7034F"/>
    <w:rsid w:val="00F711B4"/>
    <w:rsid w:val="00F71A5A"/>
    <w:rsid w:val="00F729C6"/>
    <w:rsid w:val="00F73A1A"/>
    <w:rsid w:val="00F769E0"/>
    <w:rsid w:val="00F854FB"/>
    <w:rsid w:val="00F862F9"/>
    <w:rsid w:val="00F87774"/>
    <w:rsid w:val="00F90ED3"/>
    <w:rsid w:val="00F95F50"/>
    <w:rsid w:val="00F96396"/>
    <w:rsid w:val="00FA4A46"/>
    <w:rsid w:val="00FA5F55"/>
    <w:rsid w:val="00FA75FE"/>
    <w:rsid w:val="00FB07B4"/>
    <w:rsid w:val="00FB1032"/>
    <w:rsid w:val="00FB13F4"/>
    <w:rsid w:val="00FB39BC"/>
    <w:rsid w:val="00FB5C44"/>
    <w:rsid w:val="00FB6A53"/>
    <w:rsid w:val="00FB742B"/>
    <w:rsid w:val="00FB7952"/>
    <w:rsid w:val="00FC11CA"/>
    <w:rsid w:val="00FC1D1E"/>
    <w:rsid w:val="00FC480E"/>
    <w:rsid w:val="00FC6BDE"/>
    <w:rsid w:val="00FD0725"/>
    <w:rsid w:val="00FD11A0"/>
    <w:rsid w:val="00FD3FBC"/>
    <w:rsid w:val="00FE3F0A"/>
    <w:rsid w:val="00FE4FDB"/>
    <w:rsid w:val="00FE5F18"/>
    <w:rsid w:val="00FE75CC"/>
    <w:rsid w:val="00FF07DA"/>
    <w:rsid w:val="00FF1C71"/>
    <w:rsid w:val="00FF2931"/>
    <w:rsid w:val="00FF2991"/>
    <w:rsid w:val="00FF3A72"/>
    <w:rsid w:val="00FF4715"/>
    <w:rsid w:val="00FF550A"/>
    <w:rsid w:val="00FF6138"/>
    <w:rsid w:val="00FF64ED"/>
    <w:rsid w:val="01E7B998"/>
    <w:rsid w:val="024AF3E8"/>
    <w:rsid w:val="031BB8E3"/>
    <w:rsid w:val="0357AF91"/>
    <w:rsid w:val="03A36816"/>
    <w:rsid w:val="03BC4E10"/>
    <w:rsid w:val="03D2BA8D"/>
    <w:rsid w:val="042BC713"/>
    <w:rsid w:val="04F22F00"/>
    <w:rsid w:val="0512DDD3"/>
    <w:rsid w:val="053FB121"/>
    <w:rsid w:val="05D77655"/>
    <w:rsid w:val="05F10831"/>
    <w:rsid w:val="086D0965"/>
    <w:rsid w:val="08F13BA3"/>
    <w:rsid w:val="0904F687"/>
    <w:rsid w:val="0A4602B6"/>
    <w:rsid w:val="0CC74ACD"/>
    <w:rsid w:val="0CDA9053"/>
    <w:rsid w:val="0E1553CC"/>
    <w:rsid w:val="0FB63CD8"/>
    <w:rsid w:val="0FFDFB4F"/>
    <w:rsid w:val="104E7335"/>
    <w:rsid w:val="10DA2EA9"/>
    <w:rsid w:val="1163523E"/>
    <w:rsid w:val="11B7DBA7"/>
    <w:rsid w:val="12387A52"/>
    <w:rsid w:val="134C18D7"/>
    <w:rsid w:val="140345EC"/>
    <w:rsid w:val="14B2402F"/>
    <w:rsid w:val="14CC8C2F"/>
    <w:rsid w:val="163B21A5"/>
    <w:rsid w:val="17200D99"/>
    <w:rsid w:val="174F8169"/>
    <w:rsid w:val="17D1FF44"/>
    <w:rsid w:val="186A04D2"/>
    <w:rsid w:val="1887075F"/>
    <w:rsid w:val="1BF88A73"/>
    <w:rsid w:val="1C0F1A9B"/>
    <w:rsid w:val="1C7E5B05"/>
    <w:rsid w:val="1DD51D28"/>
    <w:rsid w:val="1DD82965"/>
    <w:rsid w:val="1DDE010D"/>
    <w:rsid w:val="1EB61E95"/>
    <w:rsid w:val="1EB66E27"/>
    <w:rsid w:val="1EB73674"/>
    <w:rsid w:val="20B12526"/>
    <w:rsid w:val="228FF960"/>
    <w:rsid w:val="22FD2251"/>
    <w:rsid w:val="243A9037"/>
    <w:rsid w:val="265D92B0"/>
    <w:rsid w:val="267973BD"/>
    <w:rsid w:val="26A9B234"/>
    <w:rsid w:val="26B13F58"/>
    <w:rsid w:val="26BAA03C"/>
    <w:rsid w:val="284CDD8A"/>
    <w:rsid w:val="290A2E4A"/>
    <w:rsid w:val="2937982A"/>
    <w:rsid w:val="2B337F39"/>
    <w:rsid w:val="2B4C1FB2"/>
    <w:rsid w:val="2D009AE4"/>
    <w:rsid w:val="2DE66AAB"/>
    <w:rsid w:val="2E1625EF"/>
    <w:rsid w:val="2EC03A4B"/>
    <w:rsid w:val="2EFE3D59"/>
    <w:rsid w:val="32AFE957"/>
    <w:rsid w:val="32BDE20B"/>
    <w:rsid w:val="33507E15"/>
    <w:rsid w:val="35212BF7"/>
    <w:rsid w:val="35CAE115"/>
    <w:rsid w:val="363F8176"/>
    <w:rsid w:val="3652D463"/>
    <w:rsid w:val="375526AA"/>
    <w:rsid w:val="3807D358"/>
    <w:rsid w:val="3888D70C"/>
    <w:rsid w:val="38BB6C9F"/>
    <w:rsid w:val="38DAA72C"/>
    <w:rsid w:val="39D5A48C"/>
    <w:rsid w:val="3A1CE045"/>
    <w:rsid w:val="3A71B6E0"/>
    <w:rsid w:val="3AD4C434"/>
    <w:rsid w:val="3B032B93"/>
    <w:rsid w:val="3C5E9484"/>
    <w:rsid w:val="3C8D4A3C"/>
    <w:rsid w:val="3E0BFA63"/>
    <w:rsid w:val="405C3C9C"/>
    <w:rsid w:val="4103C286"/>
    <w:rsid w:val="411602BA"/>
    <w:rsid w:val="413B5A98"/>
    <w:rsid w:val="4155A301"/>
    <w:rsid w:val="443BD9FB"/>
    <w:rsid w:val="455FBEE9"/>
    <w:rsid w:val="498EF84C"/>
    <w:rsid w:val="49D9B64F"/>
    <w:rsid w:val="49FE99FA"/>
    <w:rsid w:val="4A44514E"/>
    <w:rsid w:val="4B66D71C"/>
    <w:rsid w:val="4D014090"/>
    <w:rsid w:val="4DB2D447"/>
    <w:rsid w:val="4FBE05F1"/>
    <w:rsid w:val="4FE10FC8"/>
    <w:rsid w:val="511344A6"/>
    <w:rsid w:val="51616367"/>
    <w:rsid w:val="51E86B37"/>
    <w:rsid w:val="52AF1507"/>
    <w:rsid w:val="533F221C"/>
    <w:rsid w:val="53A00C47"/>
    <w:rsid w:val="54700697"/>
    <w:rsid w:val="54F1318A"/>
    <w:rsid w:val="5545017F"/>
    <w:rsid w:val="55A21765"/>
    <w:rsid w:val="56EDC376"/>
    <w:rsid w:val="57E06B2D"/>
    <w:rsid w:val="587E0E6A"/>
    <w:rsid w:val="593266BB"/>
    <w:rsid w:val="5A14FC97"/>
    <w:rsid w:val="5ACDA3DA"/>
    <w:rsid w:val="5D2FF3AA"/>
    <w:rsid w:val="5D7CCA71"/>
    <w:rsid w:val="60438831"/>
    <w:rsid w:val="60AD0E15"/>
    <w:rsid w:val="619DBC1C"/>
    <w:rsid w:val="63EA458D"/>
    <w:rsid w:val="65436915"/>
    <w:rsid w:val="66BBDC53"/>
    <w:rsid w:val="6737B46A"/>
    <w:rsid w:val="67D00233"/>
    <w:rsid w:val="6814AEFE"/>
    <w:rsid w:val="68297A0B"/>
    <w:rsid w:val="687B09D7"/>
    <w:rsid w:val="688F2597"/>
    <w:rsid w:val="699EC1A9"/>
    <w:rsid w:val="69EDCD08"/>
    <w:rsid w:val="6B64C270"/>
    <w:rsid w:val="6C379349"/>
    <w:rsid w:val="6C9F5158"/>
    <w:rsid w:val="6EBDFF83"/>
    <w:rsid w:val="6F8D5415"/>
    <w:rsid w:val="7197ECE6"/>
    <w:rsid w:val="7256F0CE"/>
    <w:rsid w:val="725AF24C"/>
    <w:rsid w:val="7270ECF9"/>
    <w:rsid w:val="7471A98D"/>
    <w:rsid w:val="7501E988"/>
    <w:rsid w:val="755C8B3D"/>
    <w:rsid w:val="77199956"/>
    <w:rsid w:val="77C14E47"/>
    <w:rsid w:val="7952C2E7"/>
    <w:rsid w:val="79FB611B"/>
    <w:rsid w:val="7A683F2C"/>
    <w:rsid w:val="7A8FBDD8"/>
    <w:rsid w:val="7B247C01"/>
    <w:rsid w:val="7B4D8BA6"/>
    <w:rsid w:val="7BFF6363"/>
    <w:rsid w:val="7C3022A6"/>
    <w:rsid w:val="7C8A63A9"/>
    <w:rsid w:val="7D479BD0"/>
    <w:rsid w:val="7D56EA56"/>
    <w:rsid w:val="7DBF07A4"/>
    <w:rsid w:val="7DF7947D"/>
    <w:rsid w:val="7E08E0BF"/>
    <w:rsid w:val="7EE36C31"/>
    <w:rsid w:val="7EFA4807"/>
    <w:rsid w:val="7F0EBFC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D68C159"/>
  <w15:chartTrackingRefBased/>
  <w15:docId w15:val="{28FAC30A-EC72-47F8-A4D7-4DC53F73A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uiPriority w:val="39"/>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lang w:eastAsia="en-US"/>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character" w:styleId="FootnoteReference">
    <w:name w:val="footnote reference"/>
    <w:uiPriority w:val="99"/>
    <w:rsid w:val="00637B07"/>
  </w:style>
  <w:style w:type="paragraph" w:styleId="FootnoteText">
    <w:name w:val="footnote text"/>
    <w:basedOn w:val="Normal"/>
    <w:link w:val="FootnoteTextChar"/>
    <w:uiPriority w:val="99"/>
    <w:rsid w:val="00637B07"/>
    <w:rPr>
      <w:sz w:val="20"/>
      <w:szCs w:val="20"/>
    </w:rPr>
  </w:style>
  <w:style w:type="character" w:customStyle="1" w:styleId="FootnoteTextChar">
    <w:name w:val="Footnote Text Char"/>
    <w:basedOn w:val="DefaultParagraphFont"/>
    <w:link w:val="FootnoteText"/>
    <w:uiPriority w:val="99"/>
    <w:rsid w:val="00637B07"/>
    <w:rPr>
      <w:lang w:eastAsia="en-US"/>
    </w:rPr>
  </w:style>
  <w:style w:type="paragraph" w:styleId="BodyText">
    <w:name w:val="Body Text"/>
    <w:basedOn w:val="Normal"/>
    <w:link w:val="BodyTextChar"/>
    <w:rsid w:val="00A7020D"/>
    <w:pPr>
      <w:spacing w:after="120"/>
    </w:pPr>
  </w:style>
  <w:style w:type="character" w:customStyle="1" w:styleId="BodyTextChar">
    <w:name w:val="Body Text Char"/>
    <w:basedOn w:val="DefaultParagraphFont"/>
    <w:link w:val="BodyText"/>
    <w:rsid w:val="00A7020D"/>
    <w:rPr>
      <w:sz w:val="24"/>
      <w:szCs w:val="24"/>
      <w:lang w:eastAsia="en-US"/>
    </w:rPr>
  </w:style>
  <w:style w:type="paragraph" w:styleId="NoSpacing">
    <w:name w:val="No Spacing"/>
    <w:link w:val="NoSpacingChar"/>
    <w:uiPriority w:val="1"/>
    <w:qFormat/>
    <w:rsid w:val="00F95F50"/>
    <w:pPr>
      <w:widowControl w:val="0"/>
    </w:pPr>
    <w:rPr>
      <w:rFonts w:ascii="Courier" w:hAnsi="Courier"/>
      <w:snapToGrid w:val="0"/>
      <w:sz w:val="24"/>
      <w:lang w:eastAsia="en-US"/>
    </w:rPr>
  </w:style>
  <w:style w:type="character" w:customStyle="1" w:styleId="NoSpacingChar">
    <w:name w:val="No Spacing Char"/>
    <w:link w:val="NoSpacing"/>
    <w:uiPriority w:val="1"/>
    <w:rsid w:val="00F95F50"/>
    <w:rPr>
      <w:rFonts w:ascii="Courier" w:hAnsi="Courier"/>
      <w:snapToGrid w:val="0"/>
      <w:sz w:val="24"/>
      <w:lang w:eastAsia="en-US"/>
    </w:rPr>
  </w:style>
  <w:style w:type="character" w:styleId="CommentReference">
    <w:name w:val="annotation reference"/>
    <w:basedOn w:val="DefaultParagraphFont"/>
    <w:uiPriority w:val="99"/>
    <w:rsid w:val="00456CBA"/>
    <w:rPr>
      <w:sz w:val="16"/>
      <w:szCs w:val="16"/>
    </w:rPr>
  </w:style>
  <w:style w:type="paragraph" w:styleId="CommentText">
    <w:name w:val="annotation text"/>
    <w:basedOn w:val="Normal"/>
    <w:link w:val="CommentTextChar"/>
    <w:uiPriority w:val="99"/>
    <w:rsid w:val="00456CBA"/>
    <w:rPr>
      <w:sz w:val="20"/>
      <w:szCs w:val="20"/>
    </w:rPr>
  </w:style>
  <w:style w:type="character" w:customStyle="1" w:styleId="CommentTextChar">
    <w:name w:val="Comment Text Char"/>
    <w:basedOn w:val="DefaultParagraphFont"/>
    <w:link w:val="CommentText"/>
    <w:uiPriority w:val="99"/>
    <w:rsid w:val="00456CBA"/>
    <w:rPr>
      <w:lang w:eastAsia="en-US"/>
    </w:rPr>
  </w:style>
  <w:style w:type="paragraph" w:styleId="CommentSubject">
    <w:name w:val="annotation subject"/>
    <w:basedOn w:val="CommentText"/>
    <w:next w:val="CommentText"/>
    <w:link w:val="CommentSubjectChar"/>
    <w:rsid w:val="00456CBA"/>
    <w:rPr>
      <w:b/>
      <w:bCs/>
    </w:rPr>
  </w:style>
  <w:style w:type="character" w:customStyle="1" w:styleId="CommentSubjectChar">
    <w:name w:val="Comment Subject Char"/>
    <w:basedOn w:val="CommentTextChar"/>
    <w:link w:val="CommentSubject"/>
    <w:rsid w:val="00456CBA"/>
    <w:rPr>
      <w:b/>
      <w:bCs/>
      <w:lang w:eastAsia="en-US"/>
    </w:rPr>
  </w:style>
  <w:style w:type="paragraph" w:styleId="Revision">
    <w:name w:val="Revision"/>
    <w:hidden/>
    <w:uiPriority w:val="99"/>
    <w:semiHidden/>
    <w:rsid w:val="00D010A6"/>
    <w:rPr>
      <w:sz w:val="24"/>
      <w:szCs w:val="24"/>
      <w:lang w:eastAsia="en-US"/>
    </w:rPr>
  </w:style>
  <w:style w:type="character" w:styleId="Mention">
    <w:name w:val="Mention"/>
    <w:basedOn w:val="DefaultParagraphFont"/>
    <w:uiPriority w:val="99"/>
    <w:unhideWhenUsed/>
    <w:rsid w:val="0052656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fda.gov/drugs/drug-supply-chain-security-act-dscsa/drug-supply-chain-security-act-dscsa-assessment-small-dispensers" TargetMode="External" /><Relationship Id="rId8" Type="http://schemas.openxmlformats.org/officeDocument/2006/relationships/hyperlink" Target="http://www.fda.gov/ForIndustry/SmallBusinessAssistance/default.htm" TargetMode="External" /><Relationship Id="rId9" Type="http://schemas.openxmlformats.org/officeDocument/2006/relationships/hyperlink" Target="https://www.bls.gov/oes/current/oes_nat.htm"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14c19e2-07bf-48e3-9638-5047d7891ec3">
      <UserInfo>
        <DisplayName>Chatterjee, Sangeeta Vaswani</DisplayName>
        <AccountId>274</AccountId>
        <AccountType/>
      </UserInfo>
      <UserInfo>
        <DisplayName>Weisbuch, Aaron</DisplayName>
        <AccountId>80</AccountId>
        <AccountType/>
      </UserInfo>
      <UserInfo>
        <DisplayName>Bellingham, Daniel</DisplayName>
        <AccountId>86</AccountId>
        <AccountType/>
      </UserInfo>
      <UserInfo>
        <DisplayName>Dobilas, Kelli F</DisplayName>
        <AccountId>108</AccountId>
        <AccountType/>
      </UserInfo>
      <UserInfo>
        <DisplayName>Jung, Connie</DisplayName>
        <AccountId>12</AccountId>
        <AccountType/>
      </UserInfo>
      <UserInfo>
        <DisplayName>Verbois, Leigh</DisplayName>
        <AccountId>214</AccountId>
        <AccountType/>
      </UserInfo>
      <UserInfo>
        <DisplayName>Mwangi, Wanjiku</DisplayName>
        <AccountId>204</AccountId>
        <AccountType/>
      </UserInfo>
    </SharedWithUsers>
    <TaxCatchAll xmlns="514c19e2-07bf-48e3-9638-5047d7891ec3" xsi:nil="true"/>
    <lcf76f155ced4ddcb4097134ff3c332f xmlns="b5022a83-871b-4d85-bad2-b5228c1d406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717CE75F4DEC4D80522EAF4278EB71" ma:contentTypeVersion="16" ma:contentTypeDescription="Create a new document." ma:contentTypeScope="" ma:versionID="0ad82e6c61050319f0b9d7f2bb9ab5ec">
  <xsd:schema xmlns:xsd="http://www.w3.org/2001/XMLSchema" xmlns:xs="http://www.w3.org/2001/XMLSchema" xmlns:p="http://schemas.microsoft.com/office/2006/metadata/properties" xmlns:ns1="http://schemas.microsoft.com/sharepoint/v3" xmlns:ns2="b5022a83-871b-4d85-bad2-b5228c1d4066" xmlns:ns3="514c19e2-07bf-48e3-9638-5047d7891ec3" targetNamespace="http://schemas.microsoft.com/office/2006/metadata/properties" ma:root="true" ma:fieldsID="221ff915e18be2c6ab617a58e3ad801a" ns1:_="" ns2:_="" ns3:_="">
    <xsd:import namespace="http://schemas.microsoft.com/sharepoint/v3"/>
    <xsd:import namespace="b5022a83-871b-4d85-bad2-b5228c1d4066"/>
    <xsd:import namespace="514c19e2-07bf-48e3-9638-5047d7891ec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022a83-871b-4d85-bad2-b5228c1d4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9cf906e-e933-44a8-8421-1c91ada6f1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4c19e2-07bf-48e3-9638-5047d7891ec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2ad9954-4acc-4350-8437-45cd4bfe2891}" ma:internalName="TaxCatchAll" ma:showField="CatchAllData" ma:web="514c19e2-07bf-48e3-9638-5047d7891ec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4D2027-1162-49C1-8425-A563352A5507}">
  <ds:schemaRefs>
    <ds:schemaRef ds:uri="http://schemas.microsoft.com/office/2006/metadata/properties"/>
    <ds:schemaRef ds:uri="http://schemas.microsoft.com/office/infopath/2007/PartnerControls"/>
    <ds:schemaRef ds:uri="514c19e2-07bf-48e3-9638-5047d7891ec3"/>
    <ds:schemaRef ds:uri="b5022a83-871b-4d85-bad2-b5228c1d4066"/>
    <ds:schemaRef ds:uri="http://schemas.microsoft.com/sharepoint/v3"/>
  </ds:schemaRefs>
</ds:datastoreItem>
</file>

<file path=customXml/itemProps2.xml><?xml version="1.0" encoding="utf-8"?>
<ds:datastoreItem xmlns:ds="http://schemas.openxmlformats.org/officeDocument/2006/customXml" ds:itemID="{AAFB2F6D-4E7E-4ED2-9D0C-75958EA6403F}">
  <ds:schemaRefs>
    <ds:schemaRef ds:uri="http://schemas.microsoft.com/sharepoint/v3/contenttype/forms"/>
  </ds:schemaRefs>
</ds:datastoreItem>
</file>

<file path=customXml/itemProps3.xml><?xml version="1.0" encoding="utf-8"?>
<ds:datastoreItem xmlns:ds="http://schemas.openxmlformats.org/officeDocument/2006/customXml" ds:itemID="{06E77DAF-5663-450A-984D-2B500C850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022a83-871b-4d85-bad2-b5228c1d4066"/>
    <ds:schemaRef ds:uri="514c19e2-07bf-48e3-9638-5047d7891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8</Pages>
  <Words>2898</Words>
  <Characters>16523</Characters>
  <Application>Microsoft Office Word</Application>
  <DocSecurity>0</DocSecurity>
  <Lines>137</Lines>
  <Paragraphs>38</Paragraphs>
  <ScaleCrop>false</ScaleCrop>
  <Company>US FDA</Company>
  <LinksUpToDate>false</LinksUpToDate>
  <CharactersWithSpaces>19383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Taylor, Anne</cp:lastModifiedBy>
  <cp:revision>4</cp:revision>
  <cp:lastPrinted>2019-07-04T16:25:00Z</cp:lastPrinted>
  <dcterms:created xsi:type="dcterms:W3CDTF">2025-08-11T17:09:00Z</dcterms:created>
  <dcterms:modified xsi:type="dcterms:W3CDTF">2025-08-11T17:16:00Z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0x0101006B717CE75F4DEC4D80522EAF4278EB71</vt:lpwstr>
  </property>
  <property fmtid="{D5CDD505-2E9C-101B-9397-08002B2CF9AE}" pid="3" name="MediaServiceImageTags">
    <vt:lpwstr/>
  </property>
</Properties>
</file>