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071F2" w14:paraId="38143895" w14:textId="77777777">
      <w:pPr>
        <w:ind w:right="1197"/>
      </w:pPr>
      <w:r>
        <w:t xml:space="preserve">Advance Beneficiary Notice of Non-coverage (ABN)     </w:t>
      </w:r>
    </w:p>
    <w:p w:rsidR="00B071F2" w14:paraId="7ACB70D6" w14:textId="77777777">
      <w:pPr>
        <w:ind w:left="2314" w:right="1197"/>
      </w:pPr>
      <w:r>
        <w:t xml:space="preserve">Contained in 42 CFR 411.404 and 411.408     </w:t>
      </w:r>
    </w:p>
    <w:p w:rsidR="00B071F2" w14:paraId="69B4B13C" w14:textId="77777777">
      <w:pPr>
        <w:spacing w:after="3" w:line="259" w:lineRule="auto"/>
        <w:ind w:left="10" w:right="1190"/>
        <w:jc w:val="center"/>
      </w:pPr>
      <w:r>
        <w:t xml:space="preserve">(CMS-R-131, OMB 0938-0566)     </w:t>
      </w:r>
    </w:p>
    <w:p w:rsidR="00B071F2" w14:paraId="54002F6D" w14:textId="77777777">
      <w:pPr>
        <w:spacing w:after="0" w:line="259" w:lineRule="auto"/>
        <w:ind w:left="14" w:firstLine="0"/>
      </w:pPr>
      <w:r>
        <w:t xml:space="preserve">     </w:t>
      </w:r>
    </w:p>
    <w:p w:rsidR="00B071F2" w14:paraId="26284044" w14:textId="77777777">
      <w:pPr>
        <w:spacing w:after="61"/>
        <w:ind w:left="-5" w:right="1197"/>
      </w:pPr>
      <w:r>
        <w:t xml:space="preserve">BACKGROUND     </w:t>
      </w:r>
    </w:p>
    <w:p w:rsidR="00B071F2" w14:paraId="7136381B" w14:textId="77777777">
      <w:pPr>
        <w:spacing w:after="0" w:line="259" w:lineRule="auto"/>
        <w:ind w:left="14" w:firstLine="0"/>
      </w:pPr>
      <w:r>
        <w:t xml:space="preserve">     </w:t>
      </w:r>
    </w:p>
    <w:p w:rsidR="00B071F2" w14:paraId="481367FB" w14:textId="77777777">
      <w:pPr>
        <w:ind w:left="-5" w:right="1197"/>
      </w:pPr>
      <w:r>
        <w:t xml:space="preserve">The use of the Advance Beneficiary Notice of Non-coverage (ABN) is to inform Medicare beneficiaries of their liability under specific conditions. This has been available since the “limitation on liability” provisions in section 1879 of the Social Security Act (the Act) were enacted in 1972 (P.L. 92-603). The ABN, Form CMS-R131 was designed to inform Medicare beneficiaries of their potential financial liability from these types of entities:     </w:t>
      </w:r>
    </w:p>
    <w:p w:rsidR="00B071F2" w14:paraId="2B88F1E9" w14:textId="77777777">
      <w:pPr>
        <w:spacing w:after="14" w:line="259" w:lineRule="auto"/>
        <w:ind w:left="14" w:firstLine="0"/>
      </w:pPr>
      <w:r>
        <w:t xml:space="preserve">     </w:t>
      </w:r>
    </w:p>
    <w:p w:rsidR="00B071F2" w14:paraId="3FB5366F" w14:textId="77777777">
      <w:pPr>
        <w:numPr>
          <w:ilvl w:val="0"/>
          <w:numId w:val="1"/>
        </w:numPr>
        <w:ind w:right="1197" w:hanging="360"/>
      </w:pPr>
      <w:r>
        <w:t xml:space="preserve">Providers and suppliers furnishing Medicare Part B items and services;  </w:t>
      </w:r>
    </w:p>
    <w:p w:rsidR="00B071F2" w14:paraId="25F62268" w14:textId="77777777">
      <w:pPr>
        <w:spacing w:after="17" w:line="259" w:lineRule="auto"/>
        <w:ind w:left="734" w:firstLine="0"/>
      </w:pPr>
      <w:r>
        <w:t xml:space="preserve">  </w:t>
      </w:r>
    </w:p>
    <w:p w:rsidR="00B071F2" w14:paraId="6E92C0B4" w14:textId="77777777">
      <w:pPr>
        <w:numPr>
          <w:ilvl w:val="0"/>
          <w:numId w:val="1"/>
        </w:numPr>
        <w:ind w:right="1197" w:hanging="360"/>
      </w:pPr>
      <w:r>
        <w:t xml:space="preserve">Hospice and Religious Non-medical HealthCare Institute (RNHCI) providing Medicare Part A items and services; and  </w:t>
      </w:r>
    </w:p>
    <w:p w:rsidR="00B071F2" w14:paraId="0EF799D4" w14:textId="77777777">
      <w:pPr>
        <w:spacing w:after="17" w:line="259" w:lineRule="auto"/>
        <w:ind w:left="14" w:firstLine="0"/>
      </w:pPr>
      <w:r>
        <w:t xml:space="preserve">  </w:t>
      </w:r>
    </w:p>
    <w:p w:rsidR="00B071F2" w14:paraId="4BD504CD" w14:textId="77777777">
      <w:pPr>
        <w:numPr>
          <w:ilvl w:val="0"/>
          <w:numId w:val="1"/>
        </w:numPr>
        <w:spacing w:after="3" w:line="259" w:lineRule="auto"/>
        <w:ind w:right="1197" w:hanging="360"/>
      </w:pPr>
      <w:r>
        <w:t xml:space="preserve">Home Health Agencies (HHAs) for Part A and Part B items and services.   </w:t>
      </w:r>
    </w:p>
    <w:p w:rsidR="00B071F2" w14:paraId="4625FB72" w14:textId="77777777">
      <w:pPr>
        <w:spacing w:after="0" w:line="259" w:lineRule="auto"/>
        <w:ind w:left="14" w:firstLine="0"/>
      </w:pPr>
      <w:r>
        <w:t xml:space="preserve">     </w:t>
      </w:r>
    </w:p>
    <w:p w:rsidR="00B071F2" w14:paraId="3A2C2F7D" w14:textId="77777777">
      <w:pPr>
        <w:ind w:left="-5" w:right="1197"/>
      </w:pPr>
      <w:r>
        <w:t>There were no substantive changes made to the ABN form or the form instructions. The Centers for Medicare and Medicaid Services (CMS) did make plain language and information design changes to the form and form instructions according to our Office of Communications (OC) recommendations. OC’s recommendations are research-based best practices. Along with decades of research in cognitive science and behavioral economics, we draw from a wealth of research data specific to CMS programs. The OC has been conducting</w:t>
      </w:r>
      <w:r>
        <w:t xml:space="preserve"> consumer research with patients, caregivers, providers and partners who interact with CMS programs for more than 20 years, and we use feedback from this research to make sure our information and products are clear, easy to use and understand. Consumer testing is ongoing, and we iteratively refine language and design standards as our audiences and their information needs evolve. The OC works to apply the same research-based standards across all products and channels to make sure our language, messaging and </w:t>
      </w:r>
      <w:r>
        <w:t xml:space="preserve">branding are consistent.   </w:t>
      </w:r>
    </w:p>
    <w:p w:rsidR="00B071F2" w14:paraId="4C26978A" w14:textId="77777777">
      <w:pPr>
        <w:spacing w:after="0" w:line="259" w:lineRule="auto"/>
        <w:ind w:left="14" w:firstLine="0"/>
      </w:pPr>
      <w:r>
        <w:t xml:space="preserve">   </w:t>
      </w:r>
    </w:p>
    <w:p w:rsidR="00B071F2" w14:paraId="7F906DC2" w14:textId="77777777">
      <w:pPr>
        <w:ind w:left="-5" w:right="1197"/>
      </w:pPr>
      <w:r>
        <w:t xml:space="preserve">The burden of this package increased in comparison to the data submitted with the last submission.  We believe the increase in burden is attributed to an increase in overall claim submissions and provider/supplier enrollment.   </w:t>
      </w:r>
    </w:p>
    <w:p w:rsidR="00B071F2" w14:paraId="62CFA981" w14:textId="77777777">
      <w:pPr>
        <w:spacing w:after="0" w:line="259" w:lineRule="auto"/>
        <w:ind w:left="14" w:firstLine="0"/>
      </w:pPr>
      <w:r>
        <w:t xml:space="preserve">    </w:t>
      </w:r>
    </w:p>
    <w:p w:rsidR="00B071F2" w14:paraId="53A6A7C8" w14:textId="77777777">
      <w:pPr>
        <w:ind w:left="-5" w:right="1197"/>
      </w:pPr>
      <w:r>
        <w:t xml:space="preserve">According to data from CY 2024 Claims statistics (source: </w:t>
      </w:r>
      <w:hyperlink r:id="rId4">
        <w:r>
          <w:rPr>
            <w:color w:val="0563C1"/>
            <w:u w:val="single" w:color="0563C1"/>
          </w:rPr>
          <w:t>Chroni</w:t>
        </w:r>
      </w:hyperlink>
      <w:hyperlink r:id="rId4">
        <w:r>
          <w:rPr>
            <w:color w:val="0563C1"/>
            <w:u w:val="single" w:color="0563C1"/>
          </w:rPr>
          <w:t>c</w:t>
        </w:r>
      </w:hyperlink>
      <w:hyperlink r:id="rId4">
        <w:r>
          <w:rPr>
            <w:color w:val="0563C1"/>
          </w:rPr>
          <w:t xml:space="preserve"> </w:t>
        </w:r>
      </w:hyperlink>
      <w:hyperlink r:id="rId4">
        <w:r>
          <w:rPr>
            <w:color w:val="0563C1"/>
            <w:u w:val="single" w:color="0563C1"/>
          </w:rPr>
          <w:t>Conditions</w:t>
        </w:r>
      </w:hyperlink>
      <w:hyperlink r:id="rId4">
        <w:r>
          <w:rPr>
            <w:color w:val="0563C1"/>
          </w:rPr>
          <w:t xml:space="preserve"> </w:t>
        </w:r>
      </w:hyperlink>
      <w:hyperlink r:id="rId4">
        <w:r>
          <w:t xml:space="preserve"> </w:t>
        </w:r>
      </w:hyperlink>
      <w:hyperlink r:id="rId4">
        <w:r>
          <w:rPr>
            <w:color w:val="0563C1"/>
            <w:u w:val="single" w:color="0563C1"/>
          </w:rPr>
          <w:t>Data Warehous</w:t>
        </w:r>
      </w:hyperlink>
      <w:hyperlink r:id="rId4">
        <w:r>
          <w:rPr>
            <w:color w:val="0563C1"/>
            <w:u w:val="single" w:color="0563C1"/>
          </w:rPr>
          <w:t>e</w:t>
        </w:r>
      </w:hyperlink>
      <w:hyperlink r:id="rId4">
        <w:r>
          <w:t>) a</w:t>
        </w:r>
      </w:hyperlink>
      <w:r>
        <w:t xml:space="preserve">pproximately 1,005,197,808 claims (843,494,706 (Part B) +  153,351,450 (Outpatient Hospital) + 8,351,652 (HHAs)) were filed for care which could have necessitated ABN delivery by physicians, providers, practitioners and suppliers. We estimated that 331,715,277 (1,005,197,808x .33) or one third of these encounters, were associated with ABN issuance. For further calculations, please see sections 12 and 15 in this document.   </w:t>
      </w:r>
    </w:p>
    <w:p w:rsidR="00B071F2" w14:paraId="3B7F8F67" w14:textId="77777777">
      <w:pPr>
        <w:spacing w:after="0" w:line="259" w:lineRule="auto"/>
        <w:ind w:left="14" w:firstLine="0"/>
      </w:pPr>
      <w:r>
        <w:t xml:space="preserve">     </w:t>
      </w:r>
    </w:p>
    <w:p w:rsidR="00B071F2" w14:paraId="27AD43E7" w14:textId="77777777">
      <w:pPr>
        <w:spacing w:after="63"/>
        <w:ind w:left="-5" w:right="1197"/>
      </w:pPr>
      <w:r>
        <w:t xml:space="preserve">A.     JUSTIFICATION     </w:t>
      </w:r>
    </w:p>
    <w:p w:rsidR="00B071F2" w14:paraId="3D12B475" w14:textId="77777777">
      <w:pPr>
        <w:spacing w:after="14" w:line="259" w:lineRule="auto"/>
        <w:ind w:left="14" w:firstLine="0"/>
      </w:pPr>
      <w:r>
        <w:t xml:space="preserve">     </w:t>
      </w:r>
    </w:p>
    <w:p w:rsidR="00B071F2" w14:paraId="11A1C78C" w14:textId="77777777">
      <w:pPr>
        <w:pStyle w:val="Heading1"/>
        <w:tabs>
          <w:tab w:val="center" w:pos="2084"/>
        </w:tabs>
        <w:ind w:left="-15" w:firstLine="0"/>
      </w:pPr>
      <w:r>
        <w:rPr>
          <w:u w:val="none"/>
        </w:rPr>
        <w:t xml:space="preserve">1.     </w:t>
      </w:r>
      <w:r>
        <w:rPr>
          <w:u w:val="none"/>
        </w:rPr>
        <w:tab/>
      </w:r>
      <w:r>
        <w:t>NEED AND LEGAL BASIS</w:t>
      </w:r>
      <w:r>
        <w:rPr>
          <w:u w:val="none"/>
        </w:rPr>
        <w:t xml:space="preserve">   </w:t>
      </w:r>
      <w:r>
        <w:rPr>
          <w:i/>
          <w:u w:val="none"/>
        </w:rPr>
        <w:t xml:space="preserve"> </w:t>
      </w:r>
      <w:r>
        <w:rPr>
          <w:u w:val="none"/>
        </w:rPr>
        <w:t xml:space="preserve"> </w:t>
      </w:r>
    </w:p>
    <w:p w:rsidR="00B071F2" w14:paraId="0670ED93" w14:textId="77777777">
      <w:pPr>
        <w:spacing w:after="0" w:line="259" w:lineRule="auto"/>
        <w:ind w:left="14" w:firstLine="0"/>
      </w:pPr>
      <w:r>
        <w:t xml:space="preserve">     </w:t>
      </w:r>
    </w:p>
    <w:p w:rsidR="00B071F2" w14:paraId="3556DE38" w14:textId="77777777">
      <w:pPr>
        <w:spacing w:after="2" w:line="238" w:lineRule="auto"/>
        <w:ind w:left="14" w:right="1194" w:firstLine="0"/>
        <w:jc w:val="both"/>
      </w:pPr>
      <w:r>
        <w:t xml:space="preserve">The ABN has been used to notify Medicare beneficiaries of liability under the following statutory provisions. The first two items listed below apply to all users of the ABN:     </w:t>
      </w:r>
    </w:p>
    <w:p w:rsidR="00B071F2" w14:paraId="6097DE90" w14:textId="77777777">
      <w:pPr>
        <w:spacing w:after="14" w:line="259" w:lineRule="auto"/>
        <w:ind w:left="14" w:firstLine="0"/>
      </w:pPr>
      <w:r>
        <w:t xml:space="preserve">     </w:t>
      </w:r>
    </w:p>
    <w:p w:rsidR="00B071F2" w14:paraId="3D421A72" w14:textId="77777777">
      <w:pPr>
        <w:numPr>
          <w:ilvl w:val="0"/>
          <w:numId w:val="2"/>
        </w:numPr>
        <w:ind w:right="1197" w:hanging="360"/>
      </w:pPr>
      <w:r>
        <w:t>Section 1879 of the Act, the “limitation on liability” provision, is applicable to all providers, physicians, practitioners and suppliers participating in the Medicare Program, on an assigned or unassigned basis, for items or services denied under section 1862(a)(1). Most commonly, these are denials of items and services as “not reasonable and necessary for the treatment of illness or injury or to improve the functioning of a malformed body member,” and specific denials under section 1879(g)(2), which occur</w:t>
      </w:r>
      <w:r>
        <w:t xml:space="preserve"> when a hospice patient is found not to be terminally ill.   </w:t>
      </w:r>
    </w:p>
    <w:p w:rsidR="00B071F2" w14:paraId="2BFD62FA" w14:textId="77777777">
      <w:pPr>
        <w:spacing w:after="14" w:line="259" w:lineRule="auto"/>
        <w:ind w:left="14" w:firstLine="0"/>
      </w:pPr>
      <w:r>
        <w:t xml:space="preserve">     </w:t>
      </w:r>
    </w:p>
    <w:p w:rsidR="00B071F2" w14:paraId="32CAE950" w14:textId="77777777">
      <w:pPr>
        <w:numPr>
          <w:ilvl w:val="0"/>
          <w:numId w:val="2"/>
        </w:numPr>
        <w:ind w:right="1197" w:hanging="360"/>
      </w:pPr>
      <w:r>
        <w:t>Under section 1879 of the Act, a physician, provider, practitioner or supplier of items or services participating in the Medicare Program, or taking a claim on assignment, may bill a Medicare beneficiary for items or services usually covered under Medicare, but denied in an individual case under one of the several statutory exclusions (e.g. not medically reasonable and necessary as defined under §1862(a)(1) of the Act), if they inform the beneficiary, prior to furnishing the service, that Medicare is likely</w:t>
      </w:r>
      <w:r>
        <w:t xml:space="preserve"> to deny payment. 42 CFR 411.404(b) and (c) and 411.408(d)(2) and (f) require written notice be provided to inform beneficiaries in advance of potential liability for payment and thus contain a paperwork burden. Therefore, these requirements comply with all general information collection guidelines in 5 CFR 320.6.     </w:t>
      </w:r>
    </w:p>
    <w:p w:rsidR="00B071F2" w14:paraId="2D656965" w14:textId="77777777">
      <w:pPr>
        <w:spacing w:after="0" w:line="259" w:lineRule="auto"/>
        <w:ind w:left="14" w:firstLine="0"/>
      </w:pPr>
      <w:r>
        <w:t xml:space="preserve">     </w:t>
      </w:r>
    </w:p>
    <w:p w:rsidR="00B071F2" w14:paraId="26891E89" w14:textId="77777777">
      <w:pPr>
        <w:ind w:left="-5" w:right="1197"/>
      </w:pPr>
      <w:r>
        <w:t xml:space="preserve">In addition, the following provisions of the Social Security Act (the Act) are specific to home health care and would necessitate delivery of the ABN by home health agencies (HHAs):     </w:t>
      </w:r>
    </w:p>
    <w:p w:rsidR="00B071F2" w14:paraId="75653540" w14:textId="77777777">
      <w:pPr>
        <w:spacing w:after="0" w:line="259" w:lineRule="auto"/>
        <w:ind w:left="14" w:firstLine="0"/>
      </w:pPr>
      <w:r>
        <w:t xml:space="preserve">     </w:t>
      </w:r>
    </w:p>
    <w:p w:rsidR="00B071F2" w14:paraId="46B8BD07" w14:textId="77777777">
      <w:pPr>
        <w:numPr>
          <w:ilvl w:val="0"/>
          <w:numId w:val="2"/>
        </w:numPr>
        <w:ind w:right="1197" w:hanging="360"/>
      </w:pPr>
      <w:r>
        <w:t xml:space="preserve">The patient does not need intermittent skilled nursing care - §1814(a)(2)(C) [Part A] or §1835(a)(2)(A) [Part B] of the Social Security Act.   </w:t>
      </w:r>
    </w:p>
    <w:p w:rsidR="00B071F2" w14:paraId="38389B39" w14:textId="77777777">
      <w:pPr>
        <w:spacing w:after="17" w:line="259" w:lineRule="auto"/>
        <w:ind w:left="14" w:firstLine="0"/>
      </w:pPr>
      <w:r>
        <w:t xml:space="preserve">     </w:t>
      </w:r>
    </w:p>
    <w:p w:rsidR="00B071F2" w14:paraId="6EA79FD6" w14:textId="77777777">
      <w:pPr>
        <w:numPr>
          <w:ilvl w:val="0"/>
          <w:numId w:val="2"/>
        </w:numPr>
        <w:ind w:right="1197" w:hanging="360"/>
      </w:pPr>
      <w:r>
        <w:t xml:space="preserve">The patient is not confined to the home - §1814(a)(2)(C) [Part A] or §1835(a)(2)(A) [Part B] of the Act.    </w:t>
      </w:r>
    </w:p>
    <w:p w:rsidR="00B071F2" w14:paraId="2FABD58C" w14:textId="77777777">
      <w:pPr>
        <w:spacing w:after="17" w:line="259" w:lineRule="auto"/>
        <w:ind w:left="14" w:firstLine="0"/>
      </w:pPr>
      <w:r>
        <w:t xml:space="preserve">     </w:t>
      </w:r>
    </w:p>
    <w:p w:rsidR="00B071F2" w14:paraId="6E2C18A0" w14:textId="77777777">
      <w:pPr>
        <w:numPr>
          <w:ilvl w:val="0"/>
          <w:numId w:val="2"/>
        </w:numPr>
        <w:ind w:right="1197" w:hanging="360"/>
      </w:pPr>
      <w:r>
        <w:t xml:space="preserve">The service may be denied as “not reasonable and necessary” (“medical necessity”) - §1862(a)(1) of the Act.    </w:t>
      </w:r>
    </w:p>
    <w:p w:rsidR="00B071F2" w14:paraId="2CB997E1" w14:textId="77777777">
      <w:pPr>
        <w:spacing w:after="17" w:line="259" w:lineRule="auto"/>
        <w:ind w:left="14" w:firstLine="0"/>
      </w:pPr>
      <w:r>
        <w:t xml:space="preserve">     </w:t>
      </w:r>
    </w:p>
    <w:p w:rsidR="00B071F2" w14:paraId="67045FFD" w14:textId="77777777">
      <w:pPr>
        <w:numPr>
          <w:ilvl w:val="0"/>
          <w:numId w:val="2"/>
        </w:numPr>
        <w:ind w:right="1197" w:hanging="360"/>
      </w:pPr>
      <w:r>
        <w:t xml:space="preserve">The service may be denied as “custodial care” - §1862(a)(9) of the Act.    </w:t>
      </w:r>
    </w:p>
    <w:p w:rsidR="00B071F2" w14:paraId="2DE3512A" w14:textId="77777777">
      <w:pPr>
        <w:spacing w:after="1" w:line="259" w:lineRule="auto"/>
        <w:ind w:left="14" w:firstLine="0"/>
      </w:pPr>
      <w:r>
        <w:t xml:space="preserve">     </w:t>
      </w:r>
    </w:p>
    <w:p w:rsidR="00B071F2" w14:paraId="04AD9373" w14:textId="77777777">
      <w:pPr>
        <w:ind w:left="-5" w:right="1197"/>
      </w:pPr>
      <w:r>
        <w:t xml:space="preserve">The following three provisions apply to some, but not all, ABN users:     </w:t>
      </w:r>
    </w:p>
    <w:p w:rsidR="00B071F2" w14:paraId="11FE586E" w14:textId="77777777">
      <w:pPr>
        <w:spacing w:after="14" w:line="259" w:lineRule="auto"/>
        <w:ind w:left="14" w:firstLine="0"/>
      </w:pPr>
      <w:r>
        <w:t xml:space="preserve">     </w:t>
      </w:r>
    </w:p>
    <w:p w:rsidR="00B071F2" w14:paraId="65932988" w14:textId="77777777">
      <w:pPr>
        <w:numPr>
          <w:ilvl w:val="0"/>
          <w:numId w:val="2"/>
        </w:numPr>
        <w:ind w:right="1197" w:hanging="360"/>
      </w:pPr>
      <w:r>
        <w:t>Section 1834(a)(18) of the Act is applicable to suppliers of durable medical equipment and medical supplies, for items furnished on an unassigned basis and denied with refund requirements under section 1834(a)(17(B) due to an unsolicited telephone contact, unless: (1) a supplier informs the beneficiary, prior to furnishing the item, that Medicare is unlikely to pay for the item and the beneficiary, after being so informed, agrees to pay out of pocket (i.e., the supplier uses the ABN for advance notification</w:t>
      </w:r>
      <w:r>
        <w:t xml:space="preserve">); or (2) a supplier did not known, or could not reasonably have been expected to know, that Medicare would not pay for the item.     </w:t>
      </w:r>
    </w:p>
    <w:p w:rsidR="00B071F2" w14:paraId="59AD41BD" w14:textId="77777777">
      <w:pPr>
        <w:spacing w:after="17" w:line="259" w:lineRule="auto"/>
        <w:ind w:left="14" w:firstLine="0"/>
      </w:pPr>
      <w:r>
        <w:t xml:space="preserve">     </w:t>
      </w:r>
    </w:p>
    <w:p w:rsidR="00B071F2" w14:paraId="66BFC8BF" w14:textId="77777777">
      <w:pPr>
        <w:numPr>
          <w:ilvl w:val="0"/>
          <w:numId w:val="2"/>
        </w:numPr>
        <w:ind w:right="1197" w:hanging="360"/>
      </w:pPr>
      <w:r>
        <w:t xml:space="preserve">Section 1834(j)(4) of the act is applicable to suppliers of durable medical equipment and other medical supplies for items and services furnished on an unassigned basis and denied with refund requirements when: (1) under section 1834(a)(15), there is failure to obtain an advance coverage determination; or (2) under section 1834(j)(1), there is a lack of a supplier number; or (3) denials under section 1862(a)(1) of the Act (“not reasonable and necessary…”); and     </w:t>
      </w:r>
    </w:p>
    <w:p w:rsidR="00B071F2" w14:paraId="66854677" w14:textId="77777777">
      <w:pPr>
        <w:spacing w:after="17" w:line="259" w:lineRule="auto"/>
        <w:ind w:left="14" w:firstLine="0"/>
      </w:pPr>
      <w:r>
        <w:t xml:space="preserve">     </w:t>
      </w:r>
    </w:p>
    <w:p w:rsidR="00B071F2" w14:paraId="21ED1F78" w14:textId="77777777">
      <w:pPr>
        <w:numPr>
          <w:ilvl w:val="0"/>
          <w:numId w:val="2"/>
        </w:numPr>
        <w:ind w:right="1197" w:hanging="360"/>
      </w:pPr>
      <w:r>
        <w:t xml:space="preserve">Section 1842(l) of the Act is applicable to physicians “who do not accept payment on an assignment-related basis,” requiring refunds to beneficiaries of any amounts collected for denials with refund requirements under section 1862(a)(1) of the Act. Note: refunds are </w:t>
      </w:r>
      <w:r>
        <w:t xml:space="preserve">specified as not required in either of two circumstances: (1) when a physician informs the beneficiary, prior to furnishing the service, that Medicare is unlikely to pay for the service and the beneficiary, after being so informed, agrees to pay out of pocket (i.e., the physician uses the ABN for advance notification); or (2) when a physician did not know, and </w:t>
      </w:r>
    </w:p>
    <w:p w:rsidR="00B071F2" w14:paraId="20DD0913" w14:textId="77777777">
      <w:pPr>
        <w:ind w:left="744" w:right="1197"/>
      </w:pPr>
      <w:r>
        <w:t xml:space="preserve">could not reasonably have been expected to know, that Medicare would not pay for the service.     </w:t>
      </w:r>
    </w:p>
    <w:p w:rsidR="00B071F2" w14:paraId="5AB1E682" w14:textId="77777777">
      <w:pPr>
        <w:spacing w:after="17" w:line="259" w:lineRule="auto"/>
        <w:ind w:left="14" w:firstLine="0"/>
      </w:pPr>
      <w:r>
        <w:t xml:space="preserve">     </w:t>
      </w:r>
    </w:p>
    <w:p w:rsidR="00B071F2" w14:paraId="75E4E370" w14:textId="77777777">
      <w:pPr>
        <w:pStyle w:val="Heading1"/>
        <w:tabs>
          <w:tab w:val="center" w:pos="1928"/>
        </w:tabs>
        <w:ind w:left="-15" w:firstLine="0"/>
      </w:pPr>
      <w:r>
        <w:rPr>
          <w:u w:val="none"/>
        </w:rPr>
        <w:t xml:space="preserve">2.     </w:t>
      </w:r>
      <w:r>
        <w:rPr>
          <w:u w:val="none"/>
        </w:rPr>
        <w:tab/>
      </w:r>
      <w:r>
        <w:t>INFORMATION USERS</w:t>
      </w:r>
      <w:r>
        <w:rPr>
          <w:u w:val="none"/>
        </w:rPr>
        <w:t xml:space="preserve">   </w:t>
      </w:r>
      <w:r>
        <w:rPr>
          <w:i/>
          <w:u w:val="none"/>
        </w:rPr>
        <w:t xml:space="preserve"> </w:t>
      </w:r>
      <w:r>
        <w:rPr>
          <w:u w:val="none"/>
        </w:rPr>
        <w:t xml:space="preserve"> </w:t>
      </w:r>
    </w:p>
    <w:p w:rsidR="00B071F2" w14:paraId="68F63433" w14:textId="77777777">
      <w:pPr>
        <w:spacing w:after="0" w:line="259" w:lineRule="auto"/>
        <w:ind w:left="14" w:firstLine="0"/>
      </w:pPr>
      <w:r>
        <w:rPr>
          <w:rFonts w:ascii="Times New Roman" w:eastAsia="Times New Roman" w:hAnsi="Times New Roman" w:cs="Times New Roman"/>
        </w:rPr>
        <w:t xml:space="preserve">    </w:t>
      </w:r>
      <w:r>
        <w:t xml:space="preserve"> </w:t>
      </w:r>
    </w:p>
    <w:p w:rsidR="00B071F2" w14:paraId="483D73C0" w14:textId="77777777">
      <w:pPr>
        <w:ind w:left="-5" w:right="1197"/>
      </w:pPr>
      <w:r>
        <w:t>ABNs are not given every time items and services are delivered. Rather, ABNs are given only when a physician, provider, practitioner, or supplier anticipates that Medicare will not provide payment in specific cases. An ABN may be given, and the beneficiary may subsequently choose not to receive the item or service. An ABN may also be issued because of other applicable statutory requirements other than §1862(a)(1) such as when a beneficiary wants to obtain an item from a supplier who has not met Medicare sup</w:t>
      </w:r>
      <w:r>
        <w:t xml:space="preserve">plier number requirements, as listed in section 1834(j)(1) of the Act or when statutory requirements for issuance specific to HHAs are applicable.     </w:t>
      </w:r>
    </w:p>
    <w:p w:rsidR="00B071F2" w14:paraId="788E63D0" w14:textId="77777777">
      <w:pPr>
        <w:spacing w:after="27" w:line="259" w:lineRule="auto"/>
        <w:ind w:left="14" w:firstLine="0"/>
      </w:pPr>
      <w:r>
        <w:rPr>
          <w:rFonts w:ascii="Times New Roman" w:eastAsia="Times New Roman" w:hAnsi="Times New Roman" w:cs="Times New Roman"/>
        </w:rPr>
        <w:t xml:space="preserve">    </w:t>
      </w:r>
      <w:r>
        <w:t xml:space="preserve"> </w:t>
      </w:r>
    </w:p>
    <w:p w:rsidR="00B071F2" w14:paraId="09982551" w14:textId="77777777">
      <w:pPr>
        <w:pStyle w:val="Heading1"/>
        <w:tabs>
          <w:tab w:val="center" w:pos="3070"/>
        </w:tabs>
        <w:ind w:left="-15" w:firstLine="0"/>
      </w:pPr>
      <w:r>
        <w:rPr>
          <w:u w:val="none"/>
        </w:rPr>
        <w:t xml:space="preserve">3.     </w:t>
      </w:r>
      <w:r>
        <w:rPr>
          <w:u w:val="none"/>
        </w:rPr>
        <w:tab/>
      </w:r>
      <w:r>
        <w:t>IMPROVED INFORMATION TECHNOLOGY</w:t>
      </w:r>
      <w:r>
        <w:rPr>
          <w:u w:val="none"/>
        </w:rPr>
        <w:t xml:space="preserve">   </w:t>
      </w:r>
      <w:r>
        <w:rPr>
          <w:i/>
          <w:u w:val="none"/>
        </w:rPr>
        <w:t xml:space="preserve"> </w:t>
      </w:r>
      <w:r>
        <w:rPr>
          <w:u w:val="none"/>
        </w:rPr>
        <w:t xml:space="preserve"> </w:t>
      </w:r>
    </w:p>
    <w:p w:rsidR="00B071F2" w14:paraId="2CDC468E" w14:textId="77777777">
      <w:pPr>
        <w:spacing w:after="0" w:line="259" w:lineRule="auto"/>
        <w:ind w:left="14" w:firstLine="0"/>
      </w:pPr>
      <w:r>
        <w:rPr>
          <w:rFonts w:ascii="Times New Roman" w:eastAsia="Times New Roman" w:hAnsi="Times New Roman" w:cs="Times New Roman"/>
        </w:rPr>
        <w:t xml:space="preserve">    </w:t>
      </w:r>
      <w:r>
        <w:t xml:space="preserve"> </w:t>
      </w:r>
    </w:p>
    <w:p w:rsidR="00B071F2" w14:paraId="198B7CEC" w14:textId="77777777">
      <w:pPr>
        <w:ind w:left="-5" w:right="1197"/>
      </w:pPr>
      <w:r>
        <w:t>ABNs are usually given as hard copy notices during in-person patient encounters. In some cases, notification may be done by telephone with a follow-up notice mailed. Electronic issuance of ABNs is permitted, as long as the beneficiary is offered the option to receive a paper copy of the notice, if this is preferred. Regardless of the mode of delivery, the beneficiary should receive a copy of the signed ABN for his/her own records. Incorporation of ABNs into other automated business processes is permitted, a</w:t>
      </w:r>
      <w:r>
        <w:t xml:space="preserve">nd some limited flexibility in formatting the notice in such cases is allowed, as discussed in the form instructions. Notifiers may choose to store the required signed copy of the ABN electronically.   </w:t>
      </w:r>
    </w:p>
    <w:p w:rsidR="00B071F2" w14:paraId="17441A37" w14:textId="77777777">
      <w:pPr>
        <w:spacing w:after="0" w:line="259" w:lineRule="auto"/>
        <w:ind w:left="14" w:firstLine="0"/>
      </w:pPr>
      <w:r>
        <w:t xml:space="preserve">  </w:t>
      </w:r>
    </w:p>
    <w:p w:rsidR="00B071F2" w14:paraId="2AAE7777" w14:textId="77777777">
      <w:pPr>
        <w:ind w:left="-5" w:right="1197"/>
      </w:pPr>
      <w:r>
        <w:t xml:space="preserve">The notices will be posted in the download section of the ABN website at: </w:t>
      </w:r>
      <w:hyperlink r:id="rId5">
        <w:r>
          <w:rPr>
            <w:color w:val="0563C1"/>
            <w:u w:val="single" w:color="0563C1"/>
          </w:rPr>
          <w:t>FFS</w:t>
        </w:r>
      </w:hyperlink>
      <w:hyperlink r:id="rId5">
        <w:r>
          <w:rPr>
            <w:color w:val="0563C1"/>
          </w:rPr>
          <w:t xml:space="preserve"> </w:t>
        </w:r>
      </w:hyperlink>
      <w:hyperlink r:id="rId5">
        <w:r>
          <w:rPr>
            <w:color w:val="0563C1"/>
            <w:u w:val="single" w:color="0563C1"/>
          </w:rPr>
          <w:t>AB</w:t>
        </w:r>
      </w:hyperlink>
      <w:hyperlink r:id="rId5">
        <w:r>
          <w:rPr>
            <w:color w:val="0563C1"/>
            <w:u w:val="single" w:color="0563C1"/>
          </w:rPr>
          <w:t>N</w:t>
        </w:r>
      </w:hyperlink>
      <w:hyperlink r:id="rId5">
        <w:r>
          <w:t xml:space="preserve">  </w:t>
        </w:r>
      </w:hyperlink>
    </w:p>
    <w:p w:rsidR="00B071F2" w14:paraId="0229CEA6" w14:textId="77777777">
      <w:pPr>
        <w:spacing w:after="27" w:line="259" w:lineRule="auto"/>
        <w:ind w:left="14" w:firstLine="0"/>
      </w:pPr>
      <w:r>
        <w:rPr>
          <w:rFonts w:ascii="Times New Roman" w:eastAsia="Times New Roman" w:hAnsi="Times New Roman" w:cs="Times New Roman"/>
        </w:rPr>
        <w:t xml:space="preserve"> </w:t>
      </w:r>
      <w:r>
        <w:t xml:space="preserve"> </w:t>
      </w:r>
    </w:p>
    <w:p w:rsidR="00B071F2" w14:paraId="18E9758C" w14:textId="77777777">
      <w:pPr>
        <w:pStyle w:val="Heading1"/>
        <w:tabs>
          <w:tab w:val="center" w:pos="3042"/>
        </w:tabs>
        <w:ind w:left="-15" w:firstLine="0"/>
      </w:pPr>
      <w:r>
        <w:rPr>
          <w:u w:val="none"/>
        </w:rPr>
        <w:t xml:space="preserve">4.     </w:t>
      </w:r>
      <w:r>
        <w:rPr>
          <w:u w:val="none"/>
        </w:rPr>
        <w:tab/>
      </w:r>
      <w:r>
        <w:t>DUPLICATION OF SIMILAR INFORMATION</w:t>
      </w:r>
      <w:r>
        <w:rPr>
          <w:u w:val="none"/>
        </w:rPr>
        <w:t xml:space="preserve">   </w:t>
      </w:r>
      <w:r>
        <w:rPr>
          <w:i/>
          <w:u w:val="none"/>
        </w:rPr>
        <w:t xml:space="preserve"> </w:t>
      </w:r>
      <w:r>
        <w:rPr>
          <w:u w:val="none"/>
        </w:rPr>
        <w:t xml:space="preserve"> </w:t>
      </w:r>
    </w:p>
    <w:p w:rsidR="00B071F2" w14:paraId="4F4F3B07" w14:textId="77777777">
      <w:pPr>
        <w:spacing w:after="0" w:line="259" w:lineRule="auto"/>
        <w:ind w:left="14" w:firstLine="0"/>
      </w:pPr>
      <w:r>
        <w:rPr>
          <w:rFonts w:ascii="Times New Roman" w:eastAsia="Times New Roman" w:hAnsi="Times New Roman" w:cs="Times New Roman"/>
        </w:rPr>
        <w:t xml:space="preserve">    </w:t>
      </w:r>
      <w:r>
        <w:t xml:space="preserve"> </w:t>
      </w:r>
    </w:p>
    <w:p w:rsidR="00B071F2" w14:paraId="2D984ABE" w14:textId="77777777">
      <w:pPr>
        <w:ind w:left="-5" w:right="1197"/>
      </w:pPr>
      <w:r>
        <w:t xml:space="preserve">The information we are requesting is unique and does not duplicate any other effort. </w:t>
      </w:r>
      <w:r>
        <w:rPr>
          <w:rFonts w:ascii="Times New Roman" w:eastAsia="Times New Roman" w:hAnsi="Times New Roman" w:cs="Times New Roman"/>
        </w:rPr>
        <w:t xml:space="preserve">  </w:t>
      </w:r>
      <w:r>
        <w:t xml:space="preserve"> </w:t>
      </w:r>
    </w:p>
    <w:p w:rsidR="00B071F2" w14:paraId="467834A3" w14:textId="77777777">
      <w:pPr>
        <w:spacing w:after="24" w:line="259" w:lineRule="auto"/>
        <w:ind w:left="14" w:firstLine="0"/>
      </w:pPr>
      <w:r>
        <w:rPr>
          <w:rFonts w:ascii="Times New Roman" w:eastAsia="Times New Roman" w:hAnsi="Times New Roman" w:cs="Times New Roman"/>
        </w:rPr>
        <w:t xml:space="preserve">    </w:t>
      </w:r>
      <w:r>
        <w:t xml:space="preserve"> </w:t>
      </w:r>
    </w:p>
    <w:p w:rsidR="00B071F2" w14:paraId="0C883459" w14:textId="77777777">
      <w:pPr>
        <w:pStyle w:val="Heading1"/>
        <w:tabs>
          <w:tab w:val="center" w:pos="1645"/>
        </w:tabs>
        <w:ind w:left="-15" w:firstLine="0"/>
      </w:pPr>
      <w:r>
        <w:rPr>
          <w:u w:val="none"/>
        </w:rPr>
        <w:t xml:space="preserve">5.     </w:t>
      </w:r>
      <w:r>
        <w:rPr>
          <w:u w:val="none"/>
        </w:rPr>
        <w:tab/>
      </w:r>
      <w:r>
        <w:t>SMALL BUSINESS</w:t>
      </w:r>
      <w:r>
        <w:rPr>
          <w:u w:val="none"/>
        </w:rPr>
        <w:t xml:space="preserve">   </w:t>
      </w:r>
      <w:r>
        <w:rPr>
          <w:i/>
          <w:u w:val="none"/>
        </w:rPr>
        <w:t xml:space="preserve"> </w:t>
      </w:r>
      <w:r>
        <w:rPr>
          <w:u w:val="none"/>
        </w:rPr>
        <w:t xml:space="preserve"> </w:t>
      </w:r>
    </w:p>
    <w:p w:rsidR="00B071F2" w14:paraId="604CF9B8" w14:textId="77777777">
      <w:pPr>
        <w:spacing w:after="1" w:line="259" w:lineRule="auto"/>
        <w:ind w:left="14" w:firstLine="0"/>
      </w:pPr>
      <w:r>
        <w:rPr>
          <w:rFonts w:ascii="Times New Roman" w:eastAsia="Times New Roman" w:hAnsi="Times New Roman" w:cs="Times New Roman"/>
        </w:rPr>
        <w:t xml:space="preserve">    </w:t>
      </w:r>
      <w:r>
        <w:t xml:space="preserve"> </w:t>
      </w:r>
    </w:p>
    <w:p w:rsidR="00B071F2" w14:paraId="0414FB50" w14:textId="77777777">
      <w:pPr>
        <w:ind w:left="-5" w:right="1197"/>
      </w:pPr>
      <w:r>
        <w:t xml:space="preserve">The issuance of an ABN is statutorily required in certain situations, as outlined in Section 2 above. There is no exception in the Statute that exempts small businesses from this requirement. However, we believe a beneficiary who receives an ABN will be better informed to make timely decisions about their health care services, which may eliminate some burden on large and small businesses alike.     </w:t>
      </w:r>
    </w:p>
    <w:p w:rsidR="00B071F2" w14:paraId="33F9DC05" w14:textId="77777777">
      <w:pPr>
        <w:spacing w:after="27" w:line="259" w:lineRule="auto"/>
        <w:ind w:left="14" w:firstLine="0"/>
      </w:pPr>
      <w:r>
        <w:rPr>
          <w:rFonts w:ascii="Times New Roman" w:eastAsia="Times New Roman" w:hAnsi="Times New Roman" w:cs="Times New Roman"/>
        </w:rPr>
        <w:t xml:space="preserve"> </w:t>
      </w:r>
      <w:r>
        <w:t xml:space="preserve"> </w:t>
      </w:r>
    </w:p>
    <w:p w:rsidR="00B071F2" w14:paraId="137A68E3" w14:textId="77777777">
      <w:pPr>
        <w:pStyle w:val="Heading1"/>
        <w:tabs>
          <w:tab w:val="center" w:pos="2372"/>
        </w:tabs>
        <w:ind w:left="-15" w:firstLine="0"/>
      </w:pPr>
      <w:r>
        <w:rPr>
          <w:u w:val="none"/>
        </w:rPr>
        <w:t xml:space="preserve">6.     </w:t>
      </w:r>
      <w:r>
        <w:rPr>
          <w:u w:val="none"/>
        </w:rPr>
        <w:tab/>
      </w:r>
      <w:r>
        <w:t>LESS FREQUENT COLLECTION</w:t>
      </w:r>
      <w:r>
        <w:rPr>
          <w:u w:val="none"/>
        </w:rPr>
        <w:t xml:space="preserve">   </w:t>
      </w:r>
      <w:r>
        <w:rPr>
          <w:i/>
          <w:u w:val="none"/>
        </w:rPr>
        <w:t xml:space="preserve"> </w:t>
      </w:r>
      <w:r>
        <w:rPr>
          <w:u w:val="none"/>
        </w:rPr>
        <w:t xml:space="preserve"> </w:t>
      </w:r>
    </w:p>
    <w:p w:rsidR="00B071F2" w14:paraId="5A16815D" w14:textId="77777777">
      <w:pPr>
        <w:spacing w:after="0" w:line="259" w:lineRule="auto"/>
        <w:ind w:left="14" w:firstLine="0"/>
      </w:pPr>
      <w:r>
        <w:rPr>
          <w:rFonts w:ascii="Times New Roman" w:eastAsia="Times New Roman" w:hAnsi="Times New Roman" w:cs="Times New Roman"/>
        </w:rPr>
        <w:t xml:space="preserve">    </w:t>
      </w:r>
      <w:r>
        <w:t xml:space="preserve"> </w:t>
      </w:r>
    </w:p>
    <w:p w:rsidR="00B071F2" w14:paraId="2C6DAFC4" w14:textId="77777777">
      <w:pPr>
        <w:ind w:left="-5" w:right="1197"/>
      </w:pPr>
      <w:r>
        <w:t xml:space="preserve">ABNs are given on an as-needed basis, they are not given every time items and services are delivered. More specifically, ABNs are given only when a physician, provider, practitioner, or supplier anticipates that Medicare will not provide payment in specific cases. Should this form not be given when applicable, the physician, provider, practitioner, or supplier would not be able to transfer potential financial liability to the beneficiary resulting in the physician, provider, practitioner, or supplier being </w:t>
      </w:r>
      <w:r>
        <w:t xml:space="preserve">held responsible for payment.     </w:t>
      </w:r>
    </w:p>
    <w:p w:rsidR="00B071F2" w14:paraId="06FCCA06" w14:textId="77777777">
      <w:pPr>
        <w:spacing w:after="0" w:line="259" w:lineRule="auto"/>
        <w:ind w:left="14" w:firstLine="0"/>
      </w:pPr>
      <w:r>
        <w:t xml:space="preserve">     </w:t>
      </w:r>
    </w:p>
    <w:p w:rsidR="00B071F2" w14:paraId="2ADEF729" w14:textId="77777777">
      <w:pPr>
        <w:ind w:left="-5" w:right="1197"/>
      </w:pPr>
      <w:r>
        <w:t xml:space="preserve">An ABN may also be issued when a beneficiary wants to obtain an item from a supplier who has not met Medicare supplier number requirements or when statutory requirements for issuance specific to HHAs are applicable.  </w:t>
      </w:r>
      <w:r>
        <w:rPr>
          <w:rFonts w:ascii="Times New Roman" w:eastAsia="Times New Roman" w:hAnsi="Times New Roman" w:cs="Times New Roman"/>
        </w:rPr>
        <w:t xml:space="preserve">  </w:t>
      </w:r>
      <w:r>
        <w:t xml:space="preserve"> </w:t>
      </w:r>
    </w:p>
    <w:p w:rsidR="00B071F2" w14:paraId="46BCB576" w14:textId="77777777">
      <w:pPr>
        <w:spacing w:after="27" w:line="259" w:lineRule="auto"/>
        <w:ind w:left="14" w:firstLine="0"/>
      </w:pPr>
      <w:r>
        <w:rPr>
          <w:rFonts w:ascii="Times New Roman" w:eastAsia="Times New Roman" w:hAnsi="Times New Roman" w:cs="Times New Roman"/>
        </w:rPr>
        <w:t xml:space="preserve">    </w:t>
      </w:r>
      <w:r>
        <w:t xml:space="preserve"> </w:t>
      </w:r>
    </w:p>
    <w:p w:rsidR="00B071F2" w14:paraId="508A5A57" w14:textId="77777777">
      <w:pPr>
        <w:pStyle w:val="Heading1"/>
        <w:tabs>
          <w:tab w:val="center" w:pos="2228"/>
        </w:tabs>
        <w:ind w:left="-15" w:firstLine="0"/>
      </w:pPr>
      <w:r>
        <w:rPr>
          <w:u w:val="none"/>
        </w:rPr>
        <w:t xml:space="preserve">7.     </w:t>
      </w:r>
      <w:r>
        <w:rPr>
          <w:u w:val="none"/>
        </w:rPr>
        <w:tab/>
      </w:r>
      <w:r>
        <w:t>SPECIAL CIRCUMSTANCES</w:t>
      </w:r>
      <w:r>
        <w:rPr>
          <w:i/>
          <w:u w:val="none"/>
        </w:rPr>
        <w:t xml:space="preserve"> </w:t>
      </w:r>
      <w:r>
        <w:rPr>
          <w:u w:val="none"/>
        </w:rPr>
        <w:t xml:space="preserve"> </w:t>
      </w:r>
    </w:p>
    <w:p w:rsidR="00B071F2" w14:paraId="66B899B7" w14:textId="77777777">
      <w:pPr>
        <w:spacing w:after="0" w:line="259" w:lineRule="auto"/>
        <w:ind w:left="14" w:firstLine="0"/>
      </w:pPr>
      <w:r>
        <w:rPr>
          <w:rFonts w:ascii="Times New Roman" w:eastAsia="Times New Roman" w:hAnsi="Times New Roman" w:cs="Times New Roman"/>
        </w:rPr>
        <w:t xml:space="preserve">    </w:t>
      </w:r>
      <w:r>
        <w:t xml:space="preserve"> </w:t>
      </w:r>
    </w:p>
    <w:p w:rsidR="00B071F2" w14:paraId="52EDE0B7" w14:textId="77777777">
      <w:pPr>
        <w:ind w:left="-5" w:right="1197"/>
      </w:pPr>
      <w:r>
        <w:t xml:space="preserve">There are no special circumstances that would require an information collection to be conducted in a manner that requires respondents to:   </w:t>
      </w:r>
    </w:p>
    <w:p w:rsidR="00B071F2" w14:paraId="0AD2A127" w14:textId="77777777">
      <w:pPr>
        <w:spacing w:after="14" w:line="259" w:lineRule="auto"/>
        <w:ind w:left="14" w:firstLine="0"/>
      </w:pPr>
      <w:r>
        <w:t xml:space="preserve">  </w:t>
      </w:r>
    </w:p>
    <w:p w:rsidR="00B071F2" w14:paraId="4D7D1262" w14:textId="77777777">
      <w:pPr>
        <w:numPr>
          <w:ilvl w:val="0"/>
          <w:numId w:val="3"/>
        </w:numPr>
        <w:ind w:right="1197" w:hanging="360"/>
      </w:pPr>
      <w:r>
        <w:t xml:space="preserve">Report information to the agency more often than quarterly;   </w:t>
      </w:r>
    </w:p>
    <w:p w:rsidR="00B071F2" w14:paraId="523722CD" w14:textId="77777777">
      <w:pPr>
        <w:spacing w:after="17" w:line="259" w:lineRule="auto"/>
        <w:ind w:left="734" w:firstLine="0"/>
      </w:pPr>
      <w:r>
        <w:t xml:space="preserve">  </w:t>
      </w:r>
    </w:p>
    <w:p w:rsidR="00B071F2" w14:paraId="283EED36" w14:textId="77777777">
      <w:pPr>
        <w:numPr>
          <w:ilvl w:val="0"/>
          <w:numId w:val="3"/>
        </w:numPr>
        <w:ind w:right="1197" w:hanging="360"/>
      </w:pPr>
      <w:r>
        <w:t xml:space="preserve">Prepare a written response to a collection of information in fewer than 30 days after receipt of it;  </w:t>
      </w:r>
    </w:p>
    <w:p w:rsidR="00B071F2" w14:paraId="111F0930" w14:textId="77777777">
      <w:pPr>
        <w:spacing w:after="17" w:line="259" w:lineRule="auto"/>
        <w:ind w:left="14" w:firstLine="0"/>
      </w:pPr>
      <w:r>
        <w:t xml:space="preserve">    </w:t>
      </w:r>
    </w:p>
    <w:p w:rsidR="00B071F2" w14:paraId="6EB01E5F" w14:textId="77777777">
      <w:pPr>
        <w:numPr>
          <w:ilvl w:val="0"/>
          <w:numId w:val="3"/>
        </w:numPr>
        <w:ind w:right="1197" w:hanging="360"/>
      </w:pPr>
      <w:r>
        <w:t xml:space="preserve">Submit more than an original and two copies of any document;   </w:t>
      </w:r>
    </w:p>
    <w:p w:rsidR="00B071F2" w14:paraId="758A1B98" w14:textId="77777777">
      <w:pPr>
        <w:spacing w:after="14" w:line="259" w:lineRule="auto"/>
        <w:ind w:left="14" w:firstLine="0"/>
      </w:pPr>
      <w:r>
        <w:t xml:space="preserve">  </w:t>
      </w:r>
    </w:p>
    <w:p w:rsidR="00B071F2" w14:paraId="4E518470" w14:textId="77777777">
      <w:pPr>
        <w:numPr>
          <w:ilvl w:val="0"/>
          <w:numId w:val="3"/>
        </w:numPr>
        <w:ind w:right="1197" w:hanging="360"/>
      </w:pPr>
      <w:r>
        <w:t xml:space="preserve">Retain records, other than health, medical, government contract, grantin-aid, or tax records for more than three years;   </w:t>
      </w:r>
    </w:p>
    <w:p w:rsidR="00B071F2" w14:paraId="28529E05" w14:textId="77777777">
      <w:pPr>
        <w:spacing w:after="14" w:line="259" w:lineRule="auto"/>
        <w:ind w:left="14" w:firstLine="0"/>
      </w:pPr>
      <w:r>
        <w:t xml:space="preserve">  </w:t>
      </w:r>
    </w:p>
    <w:p w:rsidR="00B071F2" w14:paraId="0484FDC9" w14:textId="77777777">
      <w:pPr>
        <w:numPr>
          <w:ilvl w:val="0"/>
          <w:numId w:val="3"/>
        </w:numPr>
        <w:ind w:right="1197" w:hanging="360"/>
      </w:pPr>
      <w:r>
        <w:t xml:space="preserve">Collect data in connection with a statistical survey that is not designed to produce valid and reliable results that can be generalized to the universe of study;  </w:t>
      </w:r>
    </w:p>
    <w:p w:rsidR="00B071F2" w14:paraId="7D08C4EF" w14:textId="77777777">
      <w:pPr>
        <w:spacing w:after="17" w:line="259" w:lineRule="auto"/>
        <w:ind w:left="14" w:firstLine="0"/>
      </w:pPr>
      <w:r>
        <w:t xml:space="preserve">  </w:t>
      </w:r>
    </w:p>
    <w:p w:rsidR="00B071F2" w14:paraId="5477F883" w14:textId="77777777">
      <w:pPr>
        <w:numPr>
          <w:ilvl w:val="0"/>
          <w:numId w:val="3"/>
        </w:numPr>
        <w:ind w:right="1197" w:hanging="360"/>
      </w:pPr>
      <w:r>
        <w:t xml:space="preserve">Use a statistical data classification that has not been reviewed and approved by OMB;   </w:t>
      </w:r>
    </w:p>
    <w:p w:rsidR="00B071F2" w14:paraId="1985A4D1" w14:textId="77777777">
      <w:pPr>
        <w:spacing w:after="0" w:line="259" w:lineRule="auto"/>
        <w:ind w:left="14" w:firstLine="0"/>
      </w:pPr>
      <w:r>
        <w:t xml:space="preserve">  </w:t>
      </w:r>
    </w:p>
    <w:p w:rsidR="00B071F2" w14:paraId="371096A1" w14:textId="77777777">
      <w:pPr>
        <w:numPr>
          <w:ilvl w:val="0"/>
          <w:numId w:val="3"/>
        </w:numPr>
        <w:ind w:right="1197" w:hanging="360"/>
      </w:pPr>
      <w:r>
        <w:t xml:space="preserve">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B071F2" w14:paraId="126F7AE1" w14:textId="77777777">
      <w:pPr>
        <w:spacing w:after="14" w:line="259" w:lineRule="auto"/>
        <w:ind w:left="14" w:firstLine="0"/>
      </w:pPr>
      <w:r>
        <w:t xml:space="preserve">   </w:t>
      </w:r>
    </w:p>
    <w:p w:rsidR="00B071F2" w14:paraId="59C9BBCA" w14:textId="77777777">
      <w:pPr>
        <w:numPr>
          <w:ilvl w:val="0"/>
          <w:numId w:val="3"/>
        </w:numPr>
        <w:ind w:right="1197" w:hanging="360"/>
      </w:pPr>
      <w:r>
        <w:t xml:space="preserve">Submit proprietary trade secrets, or other confidential information unless the agency can demonstrate that it has instituted procedures to protect the information's confidentiality to the extent permitted by law.   </w:t>
      </w:r>
    </w:p>
    <w:p w:rsidR="00B071F2" w14:paraId="2B361B1C" w14:textId="77777777">
      <w:pPr>
        <w:spacing w:after="27" w:line="259" w:lineRule="auto"/>
        <w:ind w:left="14" w:firstLine="0"/>
      </w:pPr>
      <w:r>
        <w:rPr>
          <w:rFonts w:ascii="Times New Roman" w:eastAsia="Times New Roman" w:hAnsi="Times New Roman" w:cs="Times New Roman"/>
        </w:rPr>
        <w:t xml:space="preserve">    </w:t>
      </w:r>
      <w:r>
        <w:t xml:space="preserve"> </w:t>
      </w:r>
    </w:p>
    <w:p w:rsidR="00B071F2" w14:paraId="55BADC22" w14:textId="77777777">
      <w:pPr>
        <w:pStyle w:val="Heading1"/>
        <w:tabs>
          <w:tab w:val="center" w:pos="3701"/>
        </w:tabs>
        <w:ind w:left="-15" w:firstLine="0"/>
      </w:pPr>
      <w:r>
        <w:rPr>
          <w:u w:val="none"/>
        </w:rPr>
        <w:t xml:space="preserve">8.    </w:t>
      </w:r>
      <w:r>
        <w:rPr>
          <w:u w:val="none"/>
        </w:rPr>
        <w:tab/>
      </w:r>
      <w:r>
        <w:t>FEDERAL REGISTER NOTICE/OUTSIDE CONSULTATION</w:t>
      </w:r>
      <w:r>
        <w:rPr>
          <w:u w:val="none"/>
        </w:rPr>
        <w:t xml:space="preserve">   </w:t>
      </w:r>
      <w:r>
        <w:rPr>
          <w:i/>
          <w:u w:val="none"/>
        </w:rPr>
        <w:t xml:space="preserve"> </w:t>
      </w:r>
      <w:r>
        <w:rPr>
          <w:u w:val="none"/>
        </w:rPr>
        <w:t xml:space="preserve"> </w:t>
      </w:r>
    </w:p>
    <w:p w:rsidR="00B071F2" w14:paraId="7C9BF1D2" w14:textId="77777777">
      <w:pPr>
        <w:spacing w:after="0" w:line="259" w:lineRule="auto"/>
        <w:ind w:left="14" w:firstLine="0"/>
      </w:pPr>
      <w:r>
        <w:rPr>
          <w:rFonts w:ascii="Times New Roman" w:eastAsia="Times New Roman" w:hAnsi="Times New Roman" w:cs="Times New Roman"/>
        </w:rPr>
        <w:t xml:space="preserve">   </w:t>
      </w:r>
      <w:r>
        <w:t xml:space="preserve"> </w:t>
      </w:r>
    </w:p>
    <w:p w:rsidR="00B071F2" w14:paraId="0598ED98" w14:textId="77777777">
      <w:pPr>
        <w:ind w:left="-5" w:right="1197"/>
      </w:pPr>
      <w:r>
        <w:t xml:space="preserve"> The 60-day notice published in the Federal Register on 8/5/2025 (90 FR 37515).  </w:t>
      </w:r>
    </w:p>
    <w:p w:rsidR="00B071F2" w14:paraId="56DF8DB3" w14:textId="77777777">
      <w:pPr>
        <w:spacing w:after="0" w:line="259" w:lineRule="auto"/>
        <w:ind w:left="0" w:firstLine="0"/>
      </w:pPr>
      <w:r>
        <w:t xml:space="preserve"> </w:t>
      </w:r>
    </w:p>
    <w:p w:rsidR="00B071F2" w14:paraId="594BEFAE" w14:textId="77777777">
      <w:pPr>
        <w:ind w:left="-5" w:right="1197"/>
      </w:pPr>
      <w:r>
        <w:t xml:space="preserve">During the 60-day comment period, two comments were received. Responses to the public comments may be found in the CMS Response to Public Comments document. CMS made a minor change in response to the public comments. Please see section 15 for further details. </w:t>
      </w:r>
    </w:p>
    <w:p w:rsidR="00B071F2" w14:paraId="5136D661" w14:textId="77777777">
      <w:pPr>
        <w:spacing w:after="0" w:line="259" w:lineRule="auto"/>
        <w:ind w:left="0" w:firstLine="0"/>
      </w:pPr>
      <w:r>
        <w:t xml:space="preserve"> </w:t>
      </w:r>
    </w:p>
    <w:p w:rsidR="00B071F2" w14:paraId="3FCB1DDB" w14:textId="5B403DFE">
      <w:pPr>
        <w:ind w:left="-5" w:right="1197"/>
      </w:pPr>
      <w:r>
        <w:t>The 30-day notice published in the Federal Register on 11/21/2025</w:t>
      </w:r>
      <w:r>
        <w:t xml:space="preserve"> (90 FR </w:t>
      </w:r>
      <w:r w:rsidRPr="0061407D">
        <w:t>52675</w:t>
      </w:r>
      <w:r>
        <w:t xml:space="preserve">). </w:t>
      </w:r>
    </w:p>
    <w:p w:rsidR="00B071F2" w14:paraId="6E45337F" w14:textId="77777777">
      <w:pPr>
        <w:spacing w:after="17" w:line="259" w:lineRule="auto"/>
        <w:ind w:left="14" w:firstLine="0"/>
      </w:pPr>
      <w:r>
        <w:rPr>
          <w:rFonts w:ascii="Times New Roman" w:eastAsia="Times New Roman" w:hAnsi="Times New Roman" w:cs="Times New Roman"/>
        </w:rPr>
        <w:t xml:space="preserve"> </w:t>
      </w:r>
      <w:r>
        <w:t xml:space="preserve"> </w:t>
      </w:r>
    </w:p>
    <w:p w:rsidR="00B071F2" w14:paraId="6FD58047" w14:textId="77777777">
      <w:pPr>
        <w:pStyle w:val="Heading1"/>
        <w:tabs>
          <w:tab w:val="center" w:pos="2552"/>
        </w:tabs>
        <w:ind w:left="-15" w:firstLine="0"/>
      </w:pPr>
      <w:r>
        <w:rPr>
          <w:u w:val="none"/>
        </w:rPr>
        <w:t xml:space="preserve">9.     </w:t>
      </w:r>
      <w:r>
        <w:rPr>
          <w:u w:val="none"/>
        </w:rPr>
        <w:tab/>
      </w:r>
      <w:r>
        <w:t>PAYMENT/GIFT TO RESPONDENT</w:t>
      </w:r>
      <w:r>
        <w:rPr>
          <w:u w:val="none"/>
        </w:rPr>
        <w:t xml:space="preserve">   </w:t>
      </w:r>
      <w:r>
        <w:rPr>
          <w:i/>
          <w:u w:val="none"/>
        </w:rPr>
        <w:t xml:space="preserve"> </w:t>
      </w:r>
      <w:r>
        <w:rPr>
          <w:u w:val="none"/>
        </w:rPr>
        <w:t xml:space="preserve"> </w:t>
      </w:r>
    </w:p>
    <w:p w:rsidR="00B071F2" w14:paraId="6CA7086B" w14:textId="77777777">
      <w:pPr>
        <w:spacing w:after="0" w:line="259" w:lineRule="auto"/>
        <w:ind w:left="14" w:firstLine="0"/>
      </w:pPr>
      <w:r>
        <w:rPr>
          <w:rFonts w:ascii="Times New Roman" w:eastAsia="Times New Roman" w:hAnsi="Times New Roman" w:cs="Times New Roman"/>
        </w:rPr>
        <w:t xml:space="preserve">    </w:t>
      </w:r>
      <w:r>
        <w:t xml:space="preserve"> </w:t>
      </w:r>
    </w:p>
    <w:p w:rsidR="00B071F2" w14:paraId="5EFAEEF9" w14:textId="77777777">
      <w:pPr>
        <w:ind w:left="-5" w:right="1197"/>
      </w:pPr>
      <w:r>
        <w:t xml:space="preserve">We do not provide any payment or gifts to respondents. The ABN provides valuable information to the beneficiary to help them make an informed decision about receiving an item and/or service and assuming responsibility for payment.     </w:t>
      </w:r>
    </w:p>
    <w:p w:rsidR="00B071F2" w14:paraId="5BAEBB45" w14:textId="77777777">
      <w:pPr>
        <w:spacing w:after="14" w:line="259" w:lineRule="auto"/>
        <w:ind w:left="14" w:firstLine="0"/>
      </w:pPr>
      <w:r>
        <w:t xml:space="preserve">     </w:t>
      </w:r>
    </w:p>
    <w:p w:rsidR="00B071F2" w14:paraId="595326B9" w14:textId="77777777">
      <w:pPr>
        <w:numPr>
          <w:ilvl w:val="0"/>
          <w:numId w:val="4"/>
        </w:numPr>
        <w:spacing w:after="16" w:line="259" w:lineRule="auto"/>
        <w:ind w:hanging="720"/>
      </w:pPr>
      <w:r>
        <w:rPr>
          <w:u w:val="single" w:color="000000"/>
        </w:rPr>
        <w:t>CONFIDENTIALITY</w:t>
      </w:r>
      <w:r>
        <w:t xml:space="preserve">   </w:t>
      </w:r>
      <w:r>
        <w:rPr>
          <w:i/>
        </w:rPr>
        <w:t xml:space="preserve"> </w:t>
      </w:r>
      <w:r>
        <w:t xml:space="preserve"> </w:t>
      </w:r>
    </w:p>
    <w:p w:rsidR="00B071F2" w14:paraId="66016D2F" w14:textId="77777777">
      <w:pPr>
        <w:spacing w:after="0" w:line="259" w:lineRule="auto"/>
        <w:ind w:left="14" w:firstLine="0"/>
      </w:pPr>
      <w:r>
        <w:rPr>
          <w:rFonts w:ascii="Times New Roman" w:eastAsia="Times New Roman" w:hAnsi="Times New Roman" w:cs="Times New Roman"/>
        </w:rPr>
        <w:t xml:space="preserve">    </w:t>
      </w:r>
      <w:r>
        <w:t xml:space="preserve"> </w:t>
      </w:r>
    </w:p>
    <w:p w:rsidR="00B071F2" w14:paraId="5FC68614" w14:textId="77777777">
      <w:pPr>
        <w:ind w:left="-5" w:right="1197"/>
      </w:pPr>
      <w:r>
        <w:t xml:space="preserve">CMS pledges to maintain privacy to the extent provided by law.   </w:t>
      </w:r>
    </w:p>
    <w:p w:rsidR="00B071F2" w14:paraId="5E129D95" w14:textId="77777777">
      <w:pPr>
        <w:spacing w:after="15" w:line="259" w:lineRule="auto"/>
        <w:ind w:left="14" w:firstLine="0"/>
      </w:pPr>
      <w:r>
        <w:rPr>
          <w:rFonts w:ascii="Times New Roman" w:eastAsia="Times New Roman" w:hAnsi="Times New Roman" w:cs="Times New Roman"/>
        </w:rPr>
        <w:t xml:space="preserve">   </w:t>
      </w:r>
      <w:r>
        <w:t xml:space="preserve"> </w:t>
      </w:r>
    </w:p>
    <w:p w:rsidR="00B071F2" w14:paraId="0B3441B0" w14:textId="77777777">
      <w:pPr>
        <w:numPr>
          <w:ilvl w:val="0"/>
          <w:numId w:val="4"/>
        </w:numPr>
        <w:spacing w:after="16" w:line="259" w:lineRule="auto"/>
        <w:ind w:hanging="720"/>
      </w:pPr>
      <w:r>
        <w:rPr>
          <w:u w:val="single" w:color="000000"/>
        </w:rPr>
        <w:t>SENSITIVE QUESTIONS</w:t>
      </w:r>
      <w:r>
        <w:t xml:space="preserve">   </w:t>
      </w:r>
      <w:r>
        <w:rPr>
          <w:i/>
        </w:rPr>
        <w:t xml:space="preserve"> </w:t>
      </w:r>
      <w:r>
        <w:t xml:space="preserve"> </w:t>
      </w:r>
    </w:p>
    <w:p w:rsidR="00B071F2" w14:paraId="6EC8A745" w14:textId="77777777">
      <w:pPr>
        <w:spacing w:after="1" w:line="259" w:lineRule="auto"/>
        <w:ind w:left="14" w:firstLine="0"/>
      </w:pPr>
      <w:r>
        <w:rPr>
          <w:rFonts w:ascii="Times New Roman" w:eastAsia="Times New Roman" w:hAnsi="Times New Roman" w:cs="Times New Roman"/>
        </w:rPr>
        <w:t xml:space="preserve">    </w:t>
      </w:r>
      <w:r>
        <w:t xml:space="preserve"> </w:t>
      </w:r>
    </w:p>
    <w:p w:rsidR="00B071F2" w14:paraId="22C5F3F6" w14:textId="77777777">
      <w:pPr>
        <w:ind w:left="-5" w:right="1197"/>
      </w:pPr>
      <w:r>
        <w:t xml:space="preserve">There are no questions of a sensitive nature associated with this notice.     </w:t>
      </w:r>
    </w:p>
    <w:p w:rsidR="00B071F2" w14:paraId="1F2CDB71" w14:textId="77777777">
      <w:pPr>
        <w:spacing w:after="0" w:line="259" w:lineRule="auto"/>
        <w:ind w:left="14" w:firstLine="0"/>
      </w:pPr>
      <w:r>
        <w:rPr>
          <w:rFonts w:ascii="Times New Roman" w:eastAsia="Times New Roman" w:hAnsi="Times New Roman" w:cs="Times New Roman"/>
        </w:rPr>
        <w:t xml:space="preserve">    </w:t>
      </w:r>
      <w:r>
        <w:t xml:space="preserve"> </w:t>
      </w:r>
    </w:p>
    <w:p w:rsidR="00B071F2" w14:paraId="16EB44F0" w14:textId="77777777">
      <w:pPr>
        <w:pStyle w:val="Heading1"/>
        <w:ind w:left="-5"/>
      </w:pPr>
      <w:r>
        <w:rPr>
          <w:u w:val="none"/>
        </w:rPr>
        <w:t xml:space="preserve">12.    </w:t>
      </w:r>
      <w:r>
        <w:t>BURDEN ESTIMATE</w:t>
      </w:r>
      <w:r>
        <w:rPr>
          <w:u w:val="none"/>
        </w:rPr>
        <w:t xml:space="preserve">   </w:t>
      </w:r>
      <w:r>
        <w:rPr>
          <w:i/>
          <w:u w:val="none"/>
        </w:rPr>
        <w:t xml:space="preserve"> </w:t>
      </w:r>
      <w:r>
        <w:rPr>
          <w:u w:val="none"/>
        </w:rPr>
        <w:t xml:space="preserve"> </w:t>
      </w:r>
    </w:p>
    <w:p w:rsidR="00B071F2" w14:paraId="5AC05838" w14:textId="77777777">
      <w:pPr>
        <w:spacing w:after="1" w:line="259" w:lineRule="auto"/>
        <w:ind w:left="14" w:firstLine="0"/>
      </w:pPr>
      <w:r>
        <w:t xml:space="preserve">     </w:t>
      </w:r>
    </w:p>
    <w:p w:rsidR="00B071F2" w14:paraId="20053C8E" w14:textId="77777777">
      <w:pPr>
        <w:ind w:left="-5" w:right="1197"/>
      </w:pPr>
      <w:r>
        <w:t xml:space="preserve">Since there is no quantifiable data on these occurrences, as with our prior ABN PRA submission, we estimated that an ABN was probably delivered in about one third of the situations in which an ABN could be issued. In the past, we have invited the public to comment on this approach and the resulting estimate; however, no comments were received. We also have never received any suggestions for alternate calculation methods. Thus, we will continue to use this methodology with this package submission.     </w:t>
      </w:r>
    </w:p>
    <w:p w:rsidR="00B071F2" w14:paraId="03F0CFC2" w14:textId="77777777">
      <w:pPr>
        <w:spacing w:after="0" w:line="259" w:lineRule="auto"/>
        <w:ind w:left="14" w:firstLine="0"/>
      </w:pPr>
      <w:r>
        <w:t xml:space="preserve">     </w:t>
      </w:r>
    </w:p>
    <w:p w:rsidR="00B071F2" w14:paraId="485EF37B" w14:textId="77777777">
      <w:pPr>
        <w:ind w:left="-5" w:right="1197"/>
      </w:pPr>
      <w:r>
        <w:t xml:space="preserve">According to claims data from CY 2024 Claims statistics, Table C.1.a (source:  </w:t>
      </w:r>
    </w:p>
    <w:p w:rsidR="00B071F2" w14:paraId="7DAFA3C0" w14:textId="77777777">
      <w:pPr>
        <w:ind w:left="-5" w:right="1197"/>
      </w:pPr>
      <w:hyperlink r:id="rId4">
        <w:r>
          <w:rPr>
            <w:color w:val="0563C1"/>
            <w:u w:val="single" w:color="0563C1"/>
          </w:rPr>
          <w:t>Chron</w:t>
        </w:r>
      </w:hyperlink>
      <w:hyperlink r:id="rId4">
        <w:r>
          <w:rPr>
            <w:color w:val="0563C1"/>
            <w:u w:val="single" w:color="0563C1"/>
          </w:rPr>
          <w:t>i</w:t>
        </w:r>
      </w:hyperlink>
      <w:hyperlink r:id="rId4">
        <w:r>
          <w:rPr>
            <w:color w:val="0563C1"/>
            <w:u w:val="single" w:color="0563C1"/>
          </w:rPr>
          <w:t>c</w:t>
        </w:r>
      </w:hyperlink>
      <w:hyperlink r:id="rId4">
        <w:r>
          <w:rPr>
            <w:color w:val="0563C1"/>
          </w:rPr>
          <w:t xml:space="preserve"> </w:t>
        </w:r>
      </w:hyperlink>
      <w:hyperlink r:id="rId4">
        <w:r>
          <w:rPr>
            <w:color w:val="0563C1"/>
            <w:u w:val="single" w:color="0563C1"/>
          </w:rPr>
          <w:t>Conditions Data Warehous</w:t>
        </w:r>
      </w:hyperlink>
      <w:hyperlink r:id="rId4">
        <w:r>
          <w:rPr>
            <w:color w:val="0563C1"/>
            <w:u w:val="single" w:color="0563C1"/>
          </w:rPr>
          <w:t>e</w:t>
        </w:r>
      </w:hyperlink>
      <w:hyperlink r:id="rId4">
        <w:r>
          <w:t>) a</w:t>
        </w:r>
      </w:hyperlink>
      <w:r>
        <w:t xml:space="preserve">pproximately 1,005,197,808 claims (843,494,706 (Part B) + 153,351,450 (Outpatient Hospital) + 8,351,652 (HHAs)) were filed for care in total. Using our methodology that 1/3 of those would require delivery of the ABN, we estimate that 331,715,277 (1,005,197,808 x .33) were associated with ABN issuance.   </w:t>
      </w:r>
    </w:p>
    <w:p w:rsidR="00B071F2" w14:paraId="5629F66F" w14:textId="77777777">
      <w:pPr>
        <w:spacing w:after="0" w:line="259" w:lineRule="auto"/>
        <w:ind w:left="14" w:firstLine="0"/>
      </w:pPr>
      <w:r>
        <w:t xml:space="preserve">     </w:t>
      </w:r>
    </w:p>
    <w:p w:rsidR="00B071F2" w14:paraId="22DFD991" w14:textId="77777777">
      <w:pPr>
        <w:ind w:left="-5" w:right="1197"/>
      </w:pPr>
      <w:r>
        <w:t xml:space="preserve">Based on CMS statistics for CY 2024, we estimate the number of physicians, providers, practitioners and suppliers potentially delivering ABNs as about 1,723,755(Source: </w:t>
      </w:r>
      <w:hyperlink r:id="rId6">
        <w:r>
          <w:rPr>
            <w:color w:val="0563C1"/>
            <w:u w:val="single" w:color="0563C1"/>
          </w:rPr>
          <w:t>CMS Program Statistics-Medicare Provider</w:t>
        </w:r>
      </w:hyperlink>
      <w:hyperlink r:id="rId7">
        <w:r>
          <w:rPr>
            <w:color w:val="0563C1"/>
            <w:u w:val="single" w:color="0563C1"/>
          </w:rPr>
          <w:t>s</w:t>
        </w:r>
      </w:hyperlink>
      <w:hyperlink r:id="rId7">
        <w:r>
          <w:t>).</w:t>
        </w:r>
      </w:hyperlink>
      <w:hyperlink r:id="rId7">
        <w:r>
          <w:t xml:space="preserve"> On</w:t>
        </w:r>
      </w:hyperlink>
      <w:r>
        <w:t xml:space="preserve"> average, each notifier will deliver about 192 ABNs a year (331,715,277 ABNs/1,723,755 providers issuing the ABN).     </w:t>
      </w:r>
    </w:p>
    <w:p w:rsidR="00B071F2" w14:paraId="00AA4FF8" w14:textId="77777777">
      <w:pPr>
        <w:spacing w:after="1" w:line="259" w:lineRule="auto"/>
        <w:ind w:left="14" w:firstLine="0"/>
      </w:pPr>
      <w:r>
        <w:t xml:space="preserve">     </w:t>
      </w:r>
    </w:p>
    <w:p w:rsidR="00B071F2" w14:paraId="20CA8ABA" w14:textId="77777777">
      <w:pPr>
        <w:pStyle w:val="Heading2"/>
        <w:ind w:left="-5"/>
      </w:pPr>
      <w:r>
        <w:t xml:space="preserve">Wages </w:t>
      </w:r>
      <w:r>
        <w:rPr>
          <w:i w:val="0"/>
        </w:rPr>
        <w:t xml:space="preserve">   </w:t>
      </w:r>
      <w:r>
        <w:t xml:space="preserve"> </w:t>
      </w:r>
    </w:p>
    <w:p w:rsidR="00B071F2" w14:paraId="1538CCCD" w14:textId="77777777">
      <w:pPr>
        <w:spacing w:after="1" w:line="259" w:lineRule="auto"/>
        <w:ind w:left="14" w:firstLine="0"/>
      </w:pPr>
      <w:r>
        <w:t xml:space="preserve">  </w:t>
      </w:r>
    </w:p>
    <w:p w:rsidR="00B071F2" w14:paraId="3F15A189" w14:textId="77777777">
      <w:pPr>
        <w:ind w:left="-5" w:right="1197"/>
      </w:pPr>
      <w:r>
        <w:t xml:space="preserve">To derive average costs, we used data from the </w:t>
      </w:r>
      <w:r>
        <w:rPr>
          <w:color w:val="0563C1"/>
          <w:u w:val="single" w:color="0563C1"/>
        </w:rPr>
        <w:t>Occupational Employment and</w:t>
      </w:r>
      <w:r>
        <w:rPr>
          <w:color w:val="0563C1"/>
        </w:rPr>
        <w:t xml:space="preserve"> </w:t>
      </w:r>
      <w:r>
        <w:t xml:space="preserve"> </w:t>
      </w:r>
      <w:r>
        <w:rPr>
          <w:color w:val="0563C1"/>
          <w:u w:val="single" w:color="0563C1"/>
        </w:rPr>
        <w:t>Wage Statistics, May 2024</w:t>
      </w:r>
      <w:hyperlink r:id="rId8">
        <w:r>
          <w:t xml:space="preserve"> for a</w:t>
        </w:r>
      </w:hyperlink>
      <w:r>
        <w:t xml:space="preserve">ll salary estimates. In this regard, the following table presents the median hourly wage, the cost of fringe benefits (calculated at 100 percent of salary), and the adjusted hourly wages.   </w:t>
      </w:r>
    </w:p>
    <w:p w:rsidR="00B071F2" w14:paraId="3BE2EAC9" w14:textId="77777777">
      <w:pPr>
        <w:spacing w:after="0" w:line="259" w:lineRule="auto"/>
        <w:ind w:left="14" w:firstLine="0"/>
      </w:pPr>
      <w:r>
        <w:t xml:space="preserve">  </w:t>
      </w:r>
    </w:p>
    <w:tbl>
      <w:tblPr>
        <w:tblStyle w:val="TableGrid"/>
        <w:tblW w:w="9350" w:type="dxa"/>
        <w:tblInd w:w="24" w:type="dxa"/>
        <w:tblCellMar>
          <w:top w:w="164" w:type="dxa"/>
          <w:left w:w="0" w:type="dxa"/>
          <w:bottom w:w="30" w:type="dxa"/>
          <w:right w:w="8" w:type="dxa"/>
        </w:tblCellMar>
        <w:tblLook w:val="04A0"/>
      </w:tblPr>
      <w:tblGrid>
        <w:gridCol w:w="2998"/>
        <w:gridCol w:w="1634"/>
        <w:gridCol w:w="1560"/>
        <w:gridCol w:w="1567"/>
        <w:gridCol w:w="1591"/>
      </w:tblGrid>
      <w:tr w14:paraId="7F64B51A" w14:textId="77777777">
        <w:tblPrEx>
          <w:tblW w:w="9350" w:type="dxa"/>
          <w:tblInd w:w="24" w:type="dxa"/>
          <w:tblCellMar>
            <w:top w:w="164" w:type="dxa"/>
            <w:left w:w="0" w:type="dxa"/>
            <w:bottom w:w="30" w:type="dxa"/>
            <w:right w:w="8" w:type="dxa"/>
          </w:tblCellMar>
          <w:tblLook w:val="04A0"/>
        </w:tblPrEx>
        <w:trPr>
          <w:trHeight w:val="926"/>
        </w:trPr>
        <w:tc>
          <w:tcPr>
            <w:tcW w:w="2998" w:type="dxa"/>
            <w:tcBorders>
              <w:top w:val="single" w:sz="4" w:space="0" w:color="000000"/>
              <w:left w:val="single" w:sz="4" w:space="0" w:color="000000"/>
              <w:bottom w:val="single" w:sz="4" w:space="0" w:color="000000"/>
              <w:right w:val="single" w:sz="4" w:space="0" w:color="000000"/>
            </w:tcBorders>
          </w:tcPr>
          <w:p w:rsidR="00B071F2" w14:paraId="0B55F34B" w14:textId="77777777">
            <w:pPr>
              <w:spacing w:after="0" w:line="259" w:lineRule="auto"/>
              <w:ind w:left="96" w:firstLine="0"/>
              <w:jc w:val="center"/>
            </w:pPr>
            <w:r>
              <w:rPr>
                <w:b/>
                <w:sz w:val="20"/>
              </w:rPr>
              <w:t xml:space="preserve">Occupation </w:t>
            </w:r>
            <w:r>
              <w:t xml:space="preserve"> </w:t>
            </w:r>
          </w:p>
          <w:p w:rsidR="00B071F2" w14:paraId="7B6348A7" w14:textId="77777777">
            <w:pPr>
              <w:spacing w:after="0" w:line="259" w:lineRule="auto"/>
              <w:ind w:left="99" w:firstLine="0"/>
              <w:jc w:val="center"/>
            </w:pPr>
            <w:r>
              <w:rPr>
                <w:b/>
                <w:sz w:val="20"/>
              </w:rPr>
              <w:t xml:space="preserve">Title </w:t>
            </w:r>
            <w:r>
              <w:t xml:space="preserve"> </w:t>
            </w:r>
          </w:p>
        </w:tc>
        <w:tc>
          <w:tcPr>
            <w:tcW w:w="1634" w:type="dxa"/>
            <w:tcBorders>
              <w:top w:val="single" w:sz="4" w:space="0" w:color="000000"/>
              <w:left w:val="single" w:sz="4" w:space="0" w:color="000000"/>
              <w:bottom w:val="single" w:sz="4" w:space="0" w:color="000000"/>
              <w:right w:val="single" w:sz="4" w:space="0" w:color="000000"/>
            </w:tcBorders>
          </w:tcPr>
          <w:p w:rsidR="00B071F2" w14:paraId="2AE728A7" w14:textId="77777777">
            <w:pPr>
              <w:spacing w:after="0" w:line="259" w:lineRule="auto"/>
              <w:ind w:left="21" w:firstLine="0"/>
              <w:jc w:val="center"/>
            </w:pPr>
            <w:r>
              <w:rPr>
                <w:b/>
                <w:sz w:val="20"/>
              </w:rPr>
              <w:t xml:space="preserve">Occupation Code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B071F2" w14:paraId="010F5D6C" w14:textId="77777777">
            <w:pPr>
              <w:spacing w:after="0" w:line="259" w:lineRule="auto"/>
              <w:ind w:left="0" w:firstLine="0"/>
              <w:jc w:val="center"/>
            </w:pPr>
            <w:r>
              <w:rPr>
                <w:b/>
                <w:sz w:val="20"/>
              </w:rPr>
              <w:t xml:space="preserve">Median Hourly Wage ($/hr) </w:t>
            </w:r>
            <w:r>
              <w:t xml:space="preserve"> </w:t>
            </w:r>
          </w:p>
        </w:tc>
        <w:tc>
          <w:tcPr>
            <w:tcW w:w="1567" w:type="dxa"/>
            <w:tcBorders>
              <w:top w:val="single" w:sz="4" w:space="0" w:color="000000"/>
              <w:left w:val="single" w:sz="4" w:space="0" w:color="000000"/>
              <w:bottom w:val="single" w:sz="4" w:space="0" w:color="000000"/>
              <w:right w:val="single" w:sz="4" w:space="0" w:color="000000"/>
            </w:tcBorders>
          </w:tcPr>
          <w:p w:rsidR="00B071F2" w14:paraId="457FA80A" w14:textId="77777777">
            <w:pPr>
              <w:spacing w:after="30" w:line="259" w:lineRule="auto"/>
              <w:ind w:left="-19" w:firstLine="0"/>
              <w:jc w:val="both"/>
            </w:pPr>
            <w:r>
              <w:rPr>
                <w:b/>
                <w:sz w:val="20"/>
              </w:rPr>
              <w:t xml:space="preserve"> Fringe Benefit </w:t>
            </w:r>
          </w:p>
          <w:p w:rsidR="00B071F2" w14:paraId="4D5E5D20" w14:textId="77777777">
            <w:pPr>
              <w:spacing w:after="0" w:line="259" w:lineRule="auto"/>
              <w:ind w:left="122" w:firstLine="0"/>
              <w:jc w:val="center"/>
            </w:pPr>
            <w:r>
              <w:rPr>
                <w:b/>
                <w:sz w:val="20"/>
              </w:rPr>
              <w:t xml:space="preserve">($/hr) </w:t>
            </w:r>
            <w:r>
              <w:t xml:space="preserve"> </w:t>
            </w:r>
          </w:p>
        </w:tc>
        <w:tc>
          <w:tcPr>
            <w:tcW w:w="1591" w:type="dxa"/>
            <w:tcBorders>
              <w:top w:val="single" w:sz="4" w:space="0" w:color="000000"/>
              <w:left w:val="single" w:sz="4" w:space="0" w:color="000000"/>
              <w:bottom w:val="single" w:sz="4" w:space="0" w:color="000000"/>
              <w:right w:val="single" w:sz="4" w:space="0" w:color="000000"/>
            </w:tcBorders>
            <w:vAlign w:val="bottom"/>
          </w:tcPr>
          <w:p w:rsidR="00B071F2" w14:paraId="38278398" w14:textId="77777777">
            <w:pPr>
              <w:spacing w:after="0" w:line="259" w:lineRule="auto"/>
              <w:ind w:left="410" w:firstLine="0"/>
            </w:pPr>
            <w:r>
              <w:rPr>
                <w:b/>
                <w:sz w:val="20"/>
              </w:rPr>
              <w:t xml:space="preserve">Adjusted </w:t>
            </w:r>
            <w:r>
              <w:t xml:space="preserve"> </w:t>
            </w:r>
          </w:p>
          <w:p w:rsidR="00B071F2" w14:paraId="5EF0386E" w14:textId="77777777">
            <w:pPr>
              <w:spacing w:after="0" w:line="259" w:lineRule="auto"/>
              <w:ind w:left="0" w:right="124" w:firstLine="0"/>
              <w:jc w:val="right"/>
            </w:pPr>
            <w:r>
              <w:rPr>
                <w:b/>
                <w:sz w:val="20"/>
              </w:rPr>
              <w:t xml:space="preserve">Hourly Wage </w:t>
            </w:r>
            <w:r>
              <w:t xml:space="preserve"> </w:t>
            </w:r>
          </w:p>
          <w:p w:rsidR="00B071F2" w14:paraId="40B1C87A" w14:textId="77777777">
            <w:pPr>
              <w:spacing w:after="0" w:line="259" w:lineRule="auto"/>
              <w:ind w:left="98" w:firstLine="0"/>
              <w:jc w:val="center"/>
            </w:pPr>
            <w:r>
              <w:rPr>
                <w:b/>
                <w:sz w:val="20"/>
              </w:rPr>
              <w:t xml:space="preserve">($/hr) </w:t>
            </w:r>
            <w:r>
              <w:t xml:space="preserve"> </w:t>
            </w:r>
          </w:p>
        </w:tc>
      </w:tr>
      <w:tr w14:paraId="5F8F472C" w14:textId="77777777">
        <w:tblPrEx>
          <w:tblW w:w="9350" w:type="dxa"/>
          <w:tblInd w:w="24" w:type="dxa"/>
          <w:tblCellMar>
            <w:top w:w="164" w:type="dxa"/>
            <w:left w:w="0" w:type="dxa"/>
            <w:bottom w:w="30" w:type="dxa"/>
            <w:right w:w="8" w:type="dxa"/>
          </w:tblCellMar>
          <w:tblLook w:val="04A0"/>
        </w:tblPrEx>
        <w:trPr>
          <w:trHeight w:val="965"/>
        </w:trPr>
        <w:tc>
          <w:tcPr>
            <w:tcW w:w="2998" w:type="dxa"/>
            <w:tcBorders>
              <w:top w:val="single" w:sz="4" w:space="0" w:color="000000"/>
              <w:left w:val="single" w:sz="4" w:space="0" w:color="000000"/>
              <w:bottom w:val="single" w:sz="4" w:space="0" w:color="000000"/>
              <w:right w:val="single" w:sz="4" w:space="0" w:color="000000"/>
            </w:tcBorders>
          </w:tcPr>
          <w:p w:rsidR="00B071F2" w14:paraId="55849CE8" w14:textId="77777777">
            <w:pPr>
              <w:spacing w:after="0" w:line="259" w:lineRule="auto"/>
              <w:ind w:left="696" w:firstLine="0"/>
            </w:pPr>
            <w:r>
              <w:rPr>
                <w:sz w:val="20"/>
              </w:rPr>
              <w:t xml:space="preserve">Other Healthcare </w:t>
            </w:r>
            <w:r>
              <w:t xml:space="preserve"> </w:t>
            </w:r>
          </w:p>
          <w:p w:rsidR="00B071F2" w14:paraId="5B8450DD" w14:textId="77777777">
            <w:pPr>
              <w:spacing w:after="0" w:line="259" w:lineRule="auto"/>
              <w:ind w:left="0" w:firstLine="0"/>
              <w:jc w:val="center"/>
            </w:pPr>
            <w:r>
              <w:rPr>
                <w:sz w:val="20"/>
              </w:rPr>
              <w:t xml:space="preserve">Practitioners and Technical Occupations </w:t>
            </w:r>
            <w:r>
              <w:t xml:space="preserve"> </w:t>
            </w:r>
          </w:p>
        </w:tc>
        <w:tc>
          <w:tcPr>
            <w:tcW w:w="1634" w:type="dxa"/>
            <w:tcBorders>
              <w:top w:val="single" w:sz="4" w:space="0" w:color="000000"/>
              <w:left w:val="single" w:sz="4" w:space="0" w:color="000000"/>
              <w:bottom w:val="single" w:sz="4" w:space="0" w:color="000000"/>
              <w:right w:val="single" w:sz="4" w:space="0" w:color="000000"/>
            </w:tcBorders>
          </w:tcPr>
          <w:p w:rsidR="00B071F2" w14:paraId="7E1F0D4A" w14:textId="77777777">
            <w:pPr>
              <w:spacing w:after="0" w:line="259" w:lineRule="auto"/>
              <w:ind w:left="494" w:firstLine="0"/>
            </w:pPr>
            <w:r>
              <w:rPr>
                <w:sz w:val="20"/>
              </w:rPr>
              <w:t xml:space="preserve">29-9000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B071F2" w14:paraId="084DDC61" w14:textId="77777777">
            <w:pPr>
              <w:spacing w:after="0" w:line="259" w:lineRule="auto"/>
              <w:ind w:left="97" w:firstLine="0"/>
              <w:jc w:val="center"/>
            </w:pPr>
            <w:r>
              <w:rPr>
                <w:sz w:val="20"/>
              </w:rPr>
              <w:t xml:space="preserve">30.20 </w:t>
            </w:r>
            <w:r>
              <w:t xml:space="preserve"> </w:t>
            </w:r>
          </w:p>
        </w:tc>
        <w:tc>
          <w:tcPr>
            <w:tcW w:w="1567" w:type="dxa"/>
            <w:tcBorders>
              <w:top w:val="single" w:sz="4" w:space="0" w:color="000000"/>
              <w:left w:val="single" w:sz="4" w:space="0" w:color="000000"/>
              <w:bottom w:val="single" w:sz="4" w:space="0" w:color="000000"/>
              <w:right w:val="single" w:sz="4" w:space="0" w:color="000000"/>
            </w:tcBorders>
          </w:tcPr>
          <w:p w:rsidR="00B071F2" w14:paraId="2E0C1888" w14:textId="77777777">
            <w:pPr>
              <w:spacing w:after="0" w:line="259" w:lineRule="auto"/>
              <w:ind w:left="94" w:firstLine="0"/>
              <w:jc w:val="center"/>
            </w:pPr>
            <w:r>
              <w:rPr>
                <w:sz w:val="20"/>
              </w:rPr>
              <w:t xml:space="preserve">30.20 </w:t>
            </w:r>
            <w:r>
              <w:t xml:space="preserve"> </w:t>
            </w:r>
          </w:p>
        </w:tc>
        <w:tc>
          <w:tcPr>
            <w:tcW w:w="1591" w:type="dxa"/>
            <w:tcBorders>
              <w:top w:val="single" w:sz="4" w:space="0" w:color="000000"/>
              <w:left w:val="single" w:sz="4" w:space="0" w:color="000000"/>
              <w:bottom w:val="single" w:sz="4" w:space="0" w:color="000000"/>
              <w:right w:val="single" w:sz="4" w:space="0" w:color="000000"/>
            </w:tcBorders>
          </w:tcPr>
          <w:p w:rsidR="00B071F2" w14:paraId="2115E217" w14:textId="77777777">
            <w:pPr>
              <w:spacing w:after="0" w:line="259" w:lineRule="auto"/>
              <w:ind w:left="94" w:firstLine="0"/>
              <w:jc w:val="center"/>
            </w:pPr>
            <w:r>
              <w:rPr>
                <w:sz w:val="20"/>
              </w:rPr>
              <w:t xml:space="preserve">60.40 </w:t>
            </w:r>
            <w:r>
              <w:t xml:space="preserve"> </w:t>
            </w:r>
          </w:p>
        </w:tc>
      </w:tr>
    </w:tbl>
    <w:p w:rsidR="00B071F2" w14:paraId="16AA5361" w14:textId="77777777">
      <w:pPr>
        <w:spacing w:after="1" w:line="259" w:lineRule="auto"/>
        <w:ind w:left="14" w:firstLine="0"/>
      </w:pPr>
      <w:r>
        <w:t xml:space="preserve">     </w:t>
      </w:r>
    </w:p>
    <w:p w:rsidR="00B071F2" w14:paraId="1F4D7566" w14:textId="77777777">
      <w:pPr>
        <w:ind w:left="-5" w:right="1197"/>
      </w:pPr>
      <w:r>
        <w:t xml:space="preserve">As indicated, we are adjusting our employee hourly wage estimates by a factor of 100 percent. Fringe benefits and overhead costs vary significantly from employer to employer, and methods of estimating these costs vary widely from study to study. Consequently, there is no practical alternative to estimating this adjustment, and we believe that doubling the hourly wage to estimate total cost is a reasonably accurate estimation method.   </w:t>
      </w:r>
    </w:p>
    <w:p w:rsidR="00B071F2" w14:paraId="799D96A1" w14:textId="77777777">
      <w:pPr>
        <w:spacing w:after="1" w:line="259" w:lineRule="auto"/>
        <w:ind w:left="14" w:firstLine="0"/>
      </w:pPr>
      <w:r>
        <w:t xml:space="preserve">     </w:t>
      </w:r>
    </w:p>
    <w:p w:rsidR="00B071F2" w14:paraId="2DA890C1" w14:textId="77777777">
      <w:pPr>
        <w:pStyle w:val="Heading2"/>
        <w:ind w:left="-5"/>
      </w:pPr>
      <w:r>
        <w:t xml:space="preserve">Burden Estimates  </w:t>
      </w:r>
    </w:p>
    <w:p w:rsidR="00B071F2" w14:paraId="36C6161A" w14:textId="77777777">
      <w:pPr>
        <w:spacing w:after="0" w:line="259" w:lineRule="auto"/>
        <w:ind w:left="14" w:firstLine="0"/>
      </w:pPr>
      <w:r>
        <w:rPr>
          <w:i/>
        </w:rPr>
        <w:t xml:space="preserve"> </w:t>
      </w:r>
      <w:r>
        <w:t xml:space="preserve">    </w:t>
      </w:r>
    </w:p>
    <w:p w:rsidR="00B071F2" w14:paraId="684AC30D" w14:textId="77777777">
      <w:pPr>
        <w:ind w:left="-5" w:right="1197"/>
      </w:pPr>
      <w:r>
        <w:t xml:space="preserve">With an annual estimate of 331,715,277 ABNs, and 7 minutes (0.11667 hours) on average needed to deliver each notice, we estimate the hourly burden to be 38,701,221 hours (331,715,277 responses x 0.11667 hours/response) or 22.5 hours per notifier (38,701,221 hours / 1,723,755 providers and suppliers who might issue an ABN). The 7 minute/response estimate is unchanged from this collection’s current approval.     </w:t>
      </w:r>
    </w:p>
    <w:p w:rsidR="00B071F2" w14:paraId="1729C13C" w14:textId="77777777">
      <w:pPr>
        <w:spacing w:after="1" w:line="259" w:lineRule="auto"/>
        <w:ind w:left="14" w:firstLine="0"/>
      </w:pPr>
      <w:r>
        <w:t xml:space="preserve">     </w:t>
      </w:r>
    </w:p>
    <w:p w:rsidR="00B071F2" w14:paraId="37E6E9C6" w14:textId="77777777">
      <w:pPr>
        <w:ind w:left="-5" w:right="1197"/>
      </w:pPr>
      <w:r>
        <w:t xml:space="preserve">We estimate the annual cost of delivering 331,715,277 ABNs to be $2,338,592,703 (331,715,277 responses x $7.05 cost per response ($60.40 x 0.11667 hours)). This is a cost of $1,357 per notifier ($2,338,592,703 annual cost / 1,723,755 respondents).   </w:t>
      </w:r>
    </w:p>
    <w:p w:rsidR="00B071F2" w14:paraId="30A315A4" w14:textId="77777777">
      <w:pPr>
        <w:spacing w:after="1" w:line="259" w:lineRule="auto"/>
        <w:ind w:left="14" w:firstLine="0"/>
      </w:pPr>
      <w:r>
        <w:t xml:space="preserve">     </w:t>
      </w:r>
    </w:p>
    <w:p w:rsidR="00B071F2" w14:paraId="7B81FDB4" w14:textId="77777777">
      <w:pPr>
        <w:pStyle w:val="Heading2"/>
        <w:ind w:left="-5"/>
      </w:pPr>
      <w:r>
        <w:t xml:space="preserve">Annual Burden Summary   </w:t>
      </w:r>
      <w:r>
        <w:rPr>
          <w:i w:val="0"/>
        </w:rPr>
        <w:t xml:space="preserve"> </w:t>
      </w:r>
      <w:r>
        <w:t xml:space="preserve"> </w:t>
      </w:r>
    </w:p>
    <w:p w:rsidR="00B071F2" w14:paraId="44EEED62" w14:textId="77777777">
      <w:pPr>
        <w:spacing w:after="0" w:line="259" w:lineRule="auto"/>
        <w:ind w:left="14" w:firstLine="0"/>
      </w:pPr>
      <w:r>
        <w:rPr>
          <w:i/>
        </w:rPr>
        <w:t xml:space="preserve"> </w:t>
      </w:r>
      <w:r>
        <w:t xml:space="preserve">    </w:t>
      </w:r>
    </w:p>
    <w:tbl>
      <w:tblPr>
        <w:tblStyle w:val="TableGrid"/>
        <w:tblW w:w="10946" w:type="dxa"/>
        <w:tblInd w:w="-427" w:type="dxa"/>
        <w:tblCellMar>
          <w:top w:w="169" w:type="dxa"/>
          <w:left w:w="0" w:type="dxa"/>
          <w:bottom w:w="42" w:type="dxa"/>
          <w:right w:w="0" w:type="dxa"/>
        </w:tblCellMar>
        <w:tblLook w:val="04A0"/>
      </w:tblPr>
      <w:tblGrid>
        <w:gridCol w:w="1773"/>
        <w:gridCol w:w="1469"/>
        <w:gridCol w:w="1529"/>
        <w:gridCol w:w="1351"/>
        <w:gridCol w:w="1169"/>
        <w:gridCol w:w="1080"/>
        <w:gridCol w:w="1171"/>
        <w:gridCol w:w="1404"/>
      </w:tblGrid>
      <w:tr w14:paraId="20D20E80" w14:textId="77777777">
        <w:tblPrEx>
          <w:tblW w:w="10946" w:type="dxa"/>
          <w:tblInd w:w="-427" w:type="dxa"/>
          <w:tblCellMar>
            <w:top w:w="169" w:type="dxa"/>
            <w:left w:w="0" w:type="dxa"/>
            <w:bottom w:w="42" w:type="dxa"/>
            <w:right w:w="0" w:type="dxa"/>
          </w:tblCellMar>
          <w:tblLook w:val="04A0"/>
        </w:tblPrEx>
        <w:trPr>
          <w:trHeight w:val="1865"/>
        </w:trPr>
        <w:tc>
          <w:tcPr>
            <w:tcW w:w="1774" w:type="dxa"/>
            <w:tcBorders>
              <w:top w:val="single" w:sz="8" w:space="0" w:color="000000"/>
              <w:left w:val="single" w:sz="8" w:space="0" w:color="000000"/>
              <w:bottom w:val="single" w:sz="8" w:space="0" w:color="000000"/>
              <w:right w:val="single" w:sz="8" w:space="0" w:color="000000"/>
            </w:tcBorders>
          </w:tcPr>
          <w:p w:rsidR="00B071F2" w14:paraId="1D15A058" w14:textId="77777777">
            <w:pPr>
              <w:spacing w:after="0" w:line="259" w:lineRule="auto"/>
              <w:ind w:left="0" w:right="5" w:firstLine="0"/>
              <w:jc w:val="center"/>
            </w:pPr>
            <w:r>
              <w:rPr>
                <w:b/>
                <w:sz w:val="20"/>
              </w:rPr>
              <w:t xml:space="preserve">Regulation </w:t>
            </w:r>
            <w:r>
              <w:t xml:space="preserve"> </w:t>
            </w:r>
          </w:p>
          <w:p w:rsidR="00B071F2" w14:paraId="61B51E58" w14:textId="77777777">
            <w:pPr>
              <w:spacing w:after="0" w:line="259" w:lineRule="auto"/>
              <w:ind w:left="0" w:right="5" w:firstLine="0"/>
              <w:jc w:val="center"/>
            </w:pPr>
            <w:r>
              <w:rPr>
                <w:b/>
                <w:sz w:val="20"/>
              </w:rPr>
              <w:t>Section(s) in</w:t>
            </w:r>
            <w:r>
              <w:rPr>
                <w:sz w:val="20"/>
              </w:rPr>
              <w:t xml:space="preserve"> </w:t>
            </w:r>
            <w:r>
              <w:t xml:space="preserve"> </w:t>
            </w:r>
          </w:p>
          <w:p w:rsidR="00B071F2" w14:paraId="7C59EFA8" w14:textId="77777777">
            <w:pPr>
              <w:spacing w:after="0" w:line="259" w:lineRule="auto"/>
              <w:ind w:left="50" w:firstLine="0"/>
              <w:jc w:val="both"/>
            </w:pPr>
            <w:r>
              <w:rPr>
                <w:b/>
                <w:sz w:val="20"/>
              </w:rPr>
              <w:t>Title 42 of the CFR</w:t>
            </w:r>
            <w:r>
              <w:rPr>
                <w:sz w:val="20"/>
              </w:rPr>
              <w:t xml:space="preserve"> </w:t>
            </w:r>
          </w:p>
        </w:tc>
        <w:tc>
          <w:tcPr>
            <w:tcW w:w="1469" w:type="dxa"/>
            <w:tcBorders>
              <w:top w:val="single" w:sz="8" w:space="0" w:color="000000"/>
              <w:left w:val="single" w:sz="8" w:space="0" w:color="000000"/>
              <w:bottom w:val="single" w:sz="8" w:space="0" w:color="000000"/>
              <w:right w:val="single" w:sz="8" w:space="0" w:color="000000"/>
            </w:tcBorders>
          </w:tcPr>
          <w:p w:rsidR="00B071F2" w14:paraId="214BEA22" w14:textId="77777777">
            <w:pPr>
              <w:spacing w:after="0" w:line="259" w:lineRule="auto"/>
              <w:ind w:left="0" w:right="220" w:firstLine="0"/>
              <w:jc w:val="right"/>
            </w:pPr>
            <w:r>
              <w:rPr>
                <w:b/>
                <w:sz w:val="20"/>
              </w:rPr>
              <w:t>Frequency</w:t>
            </w:r>
            <w:r>
              <w:rPr>
                <w:sz w:val="20"/>
              </w:rPr>
              <w:t xml:space="preserve"> </w:t>
            </w:r>
            <w:r>
              <w:t xml:space="preserve"> </w:t>
            </w:r>
          </w:p>
        </w:tc>
        <w:tc>
          <w:tcPr>
            <w:tcW w:w="1529" w:type="dxa"/>
            <w:tcBorders>
              <w:top w:val="single" w:sz="8" w:space="0" w:color="000000"/>
              <w:left w:val="single" w:sz="8" w:space="0" w:color="000000"/>
              <w:bottom w:val="single" w:sz="8" w:space="0" w:color="000000"/>
              <w:right w:val="single" w:sz="8" w:space="0" w:color="000000"/>
            </w:tcBorders>
          </w:tcPr>
          <w:p w:rsidR="00B071F2" w14:paraId="7861D59E" w14:textId="77777777">
            <w:pPr>
              <w:spacing w:after="0" w:line="259" w:lineRule="auto"/>
              <w:ind w:left="144" w:firstLine="0"/>
            </w:pPr>
            <w:r>
              <w:rPr>
                <w:b/>
                <w:sz w:val="20"/>
              </w:rPr>
              <w:t>Respondents</w:t>
            </w:r>
            <w:r>
              <w:rPr>
                <w:sz w:val="20"/>
              </w:rPr>
              <w:t xml:space="preserve"> </w:t>
            </w:r>
            <w:r>
              <w:t xml:space="preserve"> </w:t>
            </w:r>
          </w:p>
        </w:tc>
        <w:tc>
          <w:tcPr>
            <w:tcW w:w="1351" w:type="dxa"/>
            <w:tcBorders>
              <w:top w:val="single" w:sz="8" w:space="0" w:color="000000"/>
              <w:left w:val="single" w:sz="8" w:space="0" w:color="000000"/>
              <w:bottom w:val="single" w:sz="8" w:space="0" w:color="000000"/>
              <w:right w:val="single" w:sz="8" w:space="0" w:color="000000"/>
            </w:tcBorders>
          </w:tcPr>
          <w:p w:rsidR="00B071F2" w14:paraId="5C4D023C" w14:textId="77777777">
            <w:pPr>
              <w:spacing w:after="0" w:line="259" w:lineRule="auto"/>
              <w:ind w:left="2" w:firstLine="0"/>
              <w:jc w:val="center"/>
            </w:pPr>
            <w:r>
              <w:rPr>
                <w:b/>
                <w:sz w:val="20"/>
              </w:rPr>
              <w:t>Total</w:t>
            </w:r>
            <w:r>
              <w:rPr>
                <w:sz w:val="20"/>
              </w:rPr>
              <w:t xml:space="preserve"> </w:t>
            </w:r>
            <w:r>
              <w:t xml:space="preserve"> </w:t>
            </w:r>
          </w:p>
          <w:p w:rsidR="00B071F2" w14:paraId="115BB11C" w14:textId="77777777">
            <w:pPr>
              <w:spacing w:after="0" w:line="259" w:lineRule="auto"/>
              <w:ind w:left="170" w:firstLine="0"/>
            </w:pPr>
            <w:r>
              <w:rPr>
                <w:b/>
                <w:sz w:val="20"/>
              </w:rPr>
              <w:t>Responses</w:t>
            </w:r>
            <w:r>
              <w:rPr>
                <w:sz w:val="20"/>
              </w:rPr>
              <w:t xml:space="preserve"> </w:t>
            </w:r>
            <w:r>
              <w:t xml:space="preserve"> </w:t>
            </w:r>
          </w:p>
        </w:tc>
        <w:tc>
          <w:tcPr>
            <w:tcW w:w="1169" w:type="dxa"/>
            <w:tcBorders>
              <w:top w:val="single" w:sz="8" w:space="0" w:color="000000"/>
              <w:left w:val="single" w:sz="8" w:space="0" w:color="000000"/>
              <w:bottom w:val="single" w:sz="8" w:space="0" w:color="000000"/>
              <w:right w:val="single" w:sz="8" w:space="0" w:color="000000"/>
            </w:tcBorders>
          </w:tcPr>
          <w:p w:rsidR="00B071F2" w14:paraId="05A63593" w14:textId="77777777">
            <w:pPr>
              <w:spacing w:after="28" w:line="259" w:lineRule="auto"/>
              <w:ind w:left="72" w:firstLine="0"/>
              <w:jc w:val="both"/>
            </w:pPr>
            <w:r>
              <w:rPr>
                <w:b/>
                <w:sz w:val="20"/>
              </w:rPr>
              <w:t>Burden per</w:t>
            </w:r>
            <w:r>
              <w:rPr>
                <w:sz w:val="20"/>
              </w:rPr>
              <w:t xml:space="preserve"> </w:t>
            </w:r>
          </w:p>
          <w:p w:rsidR="00B071F2" w14:paraId="5461F6EF" w14:textId="77777777">
            <w:pPr>
              <w:spacing w:after="0" w:line="259" w:lineRule="auto"/>
              <w:ind w:left="137" w:firstLine="0"/>
            </w:pPr>
            <w:r>
              <w:rPr>
                <w:b/>
                <w:sz w:val="20"/>
              </w:rPr>
              <w:t>Response</w:t>
            </w:r>
            <w:r>
              <w:rPr>
                <w:sz w:val="20"/>
              </w:rPr>
              <w:t xml:space="preserve"> </w:t>
            </w:r>
            <w:r>
              <w:t xml:space="preserve"> </w:t>
            </w:r>
          </w:p>
        </w:tc>
        <w:tc>
          <w:tcPr>
            <w:tcW w:w="1080" w:type="dxa"/>
            <w:tcBorders>
              <w:top w:val="single" w:sz="8" w:space="0" w:color="000000"/>
              <w:left w:val="single" w:sz="8" w:space="0" w:color="000000"/>
              <w:bottom w:val="single" w:sz="8" w:space="0" w:color="000000"/>
              <w:right w:val="single" w:sz="8" w:space="0" w:color="000000"/>
            </w:tcBorders>
            <w:vAlign w:val="bottom"/>
          </w:tcPr>
          <w:p w:rsidR="00B071F2" w14:paraId="4D4B00F2" w14:textId="77777777">
            <w:pPr>
              <w:spacing w:after="0" w:line="259" w:lineRule="auto"/>
              <w:ind w:left="0" w:firstLine="0"/>
              <w:jc w:val="center"/>
            </w:pPr>
            <w:r>
              <w:rPr>
                <w:b/>
                <w:sz w:val="20"/>
              </w:rPr>
              <w:t>Total</w:t>
            </w:r>
            <w:r>
              <w:rPr>
                <w:sz w:val="20"/>
              </w:rPr>
              <w:t xml:space="preserve"> </w:t>
            </w:r>
            <w:r>
              <w:t xml:space="preserve"> </w:t>
            </w:r>
          </w:p>
          <w:p w:rsidR="00B071F2" w14:paraId="517020C0" w14:textId="77777777">
            <w:pPr>
              <w:spacing w:after="2" w:line="244" w:lineRule="auto"/>
              <w:ind w:left="0" w:firstLine="0"/>
              <w:jc w:val="center"/>
            </w:pPr>
            <w:r>
              <w:rPr>
                <w:b/>
                <w:sz w:val="20"/>
              </w:rPr>
              <w:t xml:space="preserve">Annual </w:t>
            </w:r>
            <w:r>
              <w:t xml:space="preserve"> </w:t>
            </w:r>
            <w:r>
              <w:rPr>
                <w:b/>
                <w:sz w:val="20"/>
              </w:rPr>
              <w:t>Burden</w:t>
            </w:r>
            <w:r>
              <w:rPr>
                <w:sz w:val="20"/>
              </w:rPr>
              <w:t xml:space="preserve"> </w:t>
            </w:r>
            <w:r>
              <w:t xml:space="preserve"> </w:t>
            </w:r>
          </w:p>
          <w:p w:rsidR="00B071F2" w14:paraId="55A5419C" w14:textId="77777777">
            <w:pPr>
              <w:spacing w:after="8" w:line="259" w:lineRule="auto"/>
              <w:ind w:left="0" w:right="205" w:firstLine="0"/>
              <w:jc w:val="right"/>
            </w:pPr>
            <w:r>
              <w:rPr>
                <w:b/>
                <w:sz w:val="20"/>
              </w:rPr>
              <w:t xml:space="preserve">(hours) </w:t>
            </w:r>
            <w:r>
              <w:t xml:space="preserve"> </w:t>
            </w:r>
          </w:p>
          <w:p w:rsidR="00B071F2" w14:paraId="3FD2F209" w14:textId="77777777">
            <w:pPr>
              <w:spacing w:after="19" w:line="259" w:lineRule="auto"/>
              <w:ind w:left="0" w:right="109" w:firstLine="0"/>
              <w:jc w:val="right"/>
            </w:pPr>
            <w:r>
              <w:rPr>
                <w:sz w:val="20"/>
              </w:rPr>
              <w:t xml:space="preserve"> </w:t>
            </w:r>
            <w:r>
              <w:t xml:space="preserve"> </w:t>
            </w:r>
          </w:p>
          <w:p w:rsidR="00B071F2" w14:paraId="1A9C207C" w14:textId="77777777">
            <w:pPr>
              <w:spacing w:after="0" w:line="259" w:lineRule="auto"/>
              <w:ind w:left="0" w:right="109" w:firstLine="0"/>
              <w:jc w:val="right"/>
            </w:pPr>
            <w:r>
              <w:rPr>
                <w:sz w:val="20"/>
              </w:rPr>
              <w:t xml:space="preserve"> </w:t>
            </w:r>
            <w:r>
              <w:t xml:space="preserve"> </w:t>
            </w:r>
          </w:p>
        </w:tc>
        <w:tc>
          <w:tcPr>
            <w:tcW w:w="1171" w:type="dxa"/>
            <w:tcBorders>
              <w:top w:val="single" w:sz="8" w:space="0" w:color="000000"/>
              <w:left w:val="single" w:sz="8" w:space="0" w:color="000000"/>
              <w:bottom w:val="single" w:sz="8" w:space="0" w:color="000000"/>
              <w:right w:val="single" w:sz="8" w:space="0" w:color="000000"/>
            </w:tcBorders>
          </w:tcPr>
          <w:p w:rsidR="00B071F2" w14:paraId="7296E705" w14:textId="77777777">
            <w:pPr>
              <w:spacing w:after="11" w:line="238" w:lineRule="auto"/>
              <w:ind w:left="0" w:firstLine="0"/>
              <w:jc w:val="center"/>
            </w:pPr>
            <w:r>
              <w:rPr>
                <w:b/>
                <w:sz w:val="20"/>
              </w:rPr>
              <w:t>Total Labor</w:t>
            </w:r>
            <w:r>
              <w:rPr>
                <w:sz w:val="20"/>
              </w:rPr>
              <w:t xml:space="preserve"> </w:t>
            </w:r>
            <w:r>
              <w:rPr>
                <w:b/>
                <w:sz w:val="20"/>
              </w:rPr>
              <w:t xml:space="preserve">Cost of </w:t>
            </w:r>
            <w:r>
              <w:t xml:space="preserve"> </w:t>
            </w:r>
          </w:p>
          <w:p w:rsidR="00B071F2" w14:paraId="2229B0F1" w14:textId="77777777">
            <w:pPr>
              <w:spacing w:after="0" w:line="259" w:lineRule="auto"/>
              <w:ind w:left="120" w:firstLine="0"/>
            </w:pPr>
            <w:r>
              <w:rPr>
                <w:b/>
                <w:sz w:val="20"/>
              </w:rPr>
              <w:t>Reporting</w:t>
            </w:r>
            <w:r>
              <w:rPr>
                <w:sz w:val="20"/>
              </w:rPr>
              <w:t xml:space="preserve"> </w:t>
            </w:r>
            <w:r>
              <w:t xml:space="preserve"> </w:t>
            </w:r>
          </w:p>
          <w:p w:rsidR="00B071F2" w14:paraId="3475C66C" w14:textId="77777777">
            <w:pPr>
              <w:spacing w:after="0" w:line="259" w:lineRule="auto"/>
              <w:ind w:left="0" w:right="3" w:firstLine="0"/>
              <w:jc w:val="center"/>
            </w:pPr>
            <w:r>
              <w:rPr>
                <w:b/>
                <w:sz w:val="20"/>
              </w:rPr>
              <w:t>($/hr)</w:t>
            </w:r>
            <w:r>
              <w:rPr>
                <w:sz w:val="20"/>
              </w:rPr>
              <w:t xml:space="preserve"> </w:t>
            </w:r>
            <w:r>
              <w:t xml:space="preserve"> </w:t>
            </w:r>
          </w:p>
        </w:tc>
        <w:tc>
          <w:tcPr>
            <w:tcW w:w="1404" w:type="dxa"/>
            <w:tcBorders>
              <w:top w:val="single" w:sz="8" w:space="0" w:color="000000"/>
              <w:left w:val="single" w:sz="8" w:space="0" w:color="000000"/>
              <w:bottom w:val="single" w:sz="8" w:space="0" w:color="000000"/>
              <w:right w:val="single" w:sz="8" w:space="0" w:color="000000"/>
            </w:tcBorders>
          </w:tcPr>
          <w:p w:rsidR="00B071F2" w14:paraId="2549F1E8" w14:textId="77777777">
            <w:pPr>
              <w:spacing w:after="0" w:line="259" w:lineRule="auto"/>
              <w:ind w:left="-5" w:firstLine="0"/>
              <w:jc w:val="both"/>
            </w:pPr>
            <w:r>
              <w:t xml:space="preserve"> </w:t>
            </w:r>
            <w:r>
              <w:rPr>
                <w:b/>
                <w:sz w:val="20"/>
              </w:rPr>
              <w:t>Total Cost ($)</w:t>
            </w:r>
            <w:r>
              <w:rPr>
                <w:sz w:val="20"/>
              </w:rPr>
              <w:t xml:space="preserve"> </w:t>
            </w:r>
          </w:p>
        </w:tc>
      </w:tr>
      <w:tr w14:paraId="2060CBA5" w14:textId="77777777">
        <w:tblPrEx>
          <w:tblW w:w="10946" w:type="dxa"/>
          <w:tblInd w:w="-427" w:type="dxa"/>
          <w:tblCellMar>
            <w:top w:w="169" w:type="dxa"/>
            <w:left w:w="0" w:type="dxa"/>
            <w:bottom w:w="42" w:type="dxa"/>
            <w:right w:w="0" w:type="dxa"/>
          </w:tblCellMar>
          <w:tblLook w:val="04A0"/>
        </w:tblPrEx>
        <w:trPr>
          <w:trHeight w:val="1200"/>
        </w:trPr>
        <w:tc>
          <w:tcPr>
            <w:tcW w:w="1774" w:type="dxa"/>
            <w:tcBorders>
              <w:top w:val="single" w:sz="8" w:space="0" w:color="000000"/>
              <w:left w:val="single" w:sz="8" w:space="0" w:color="000000"/>
              <w:bottom w:val="single" w:sz="8" w:space="0" w:color="000000"/>
              <w:right w:val="single" w:sz="8" w:space="0" w:color="000000"/>
            </w:tcBorders>
            <w:vAlign w:val="bottom"/>
          </w:tcPr>
          <w:p w:rsidR="00B071F2" w14:paraId="35830756" w14:textId="77777777">
            <w:pPr>
              <w:spacing w:after="0" w:line="259" w:lineRule="auto"/>
              <w:ind w:left="161" w:firstLine="0"/>
            </w:pPr>
            <w:r>
              <w:rPr>
                <w:sz w:val="20"/>
              </w:rPr>
              <w:t xml:space="preserve">411.404(b) and </w:t>
            </w:r>
            <w:r>
              <w:t xml:space="preserve"> </w:t>
            </w:r>
          </w:p>
          <w:p w:rsidR="00B071F2" w14:paraId="7EBD48FA" w14:textId="77777777">
            <w:pPr>
              <w:spacing w:after="0" w:line="259" w:lineRule="auto"/>
              <w:ind w:left="0" w:right="5" w:firstLine="0"/>
              <w:jc w:val="center"/>
            </w:pPr>
            <w:r>
              <w:rPr>
                <w:sz w:val="20"/>
              </w:rPr>
              <w:t xml:space="preserve">(c), </w:t>
            </w:r>
            <w:r>
              <w:t xml:space="preserve"> </w:t>
            </w:r>
          </w:p>
          <w:p w:rsidR="00B071F2" w14:paraId="3EA59DC0" w14:textId="77777777">
            <w:pPr>
              <w:spacing w:after="0" w:line="259" w:lineRule="auto"/>
              <w:ind w:left="0" w:firstLine="0"/>
              <w:jc w:val="center"/>
            </w:pPr>
            <w:r>
              <w:rPr>
                <w:sz w:val="20"/>
              </w:rPr>
              <w:t xml:space="preserve">and41.408(d)(2) and (f) </w:t>
            </w:r>
            <w:r>
              <w:t xml:space="preserve"> </w:t>
            </w:r>
          </w:p>
        </w:tc>
        <w:tc>
          <w:tcPr>
            <w:tcW w:w="1469" w:type="dxa"/>
            <w:tcBorders>
              <w:top w:val="single" w:sz="8" w:space="0" w:color="000000"/>
              <w:left w:val="single" w:sz="8" w:space="0" w:color="000000"/>
              <w:bottom w:val="single" w:sz="8" w:space="0" w:color="000000"/>
              <w:right w:val="single" w:sz="8" w:space="0" w:color="000000"/>
            </w:tcBorders>
          </w:tcPr>
          <w:p w:rsidR="00B071F2" w14:paraId="72A19D32" w14:textId="77777777">
            <w:pPr>
              <w:spacing w:after="0" w:line="259" w:lineRule="auto"/>
              <w:ind w:left="175" w:firstLine="0"/>
              <w:jc w:val="center"/>
            </w:pPr>
            <w:r>
              <w:rPr>
                <w:sz w:val="20"/>
              </w:rPr>
              <w:t xml:space="preserve"> </w:t>
            </w:r>
            <w:r>
              <w:t xml:space="preserve"> </w:t>
            </w:r>
          </w:p>
          <w:p w:rsidR="00B071F2" w14:paraId="3D188E2F" w14:textId="77777777">
            <w:pPr>
              <w:spacing w:after="0" w:line="259" w:lineRule="auto"/>
              <w:ind w:left="101" w:firstLine="0"/>
            </w:pPr>
            <w:r>
              <w:rPr>
                <w:sz w:val="20"/>
              </w:rPr>
              <w:t xml:space="preserve">Occasionally </w:t>
            </w:r>
            <w:r>
              <w:t xml:space="preserve"> </w:t>
            </w:r>
          </w:p>
        </w:tc>
        <w:tc>
          <w:tcPr>
            <w:tcW w:w="1529" w:type="dxa"/>
            <w:tcBorders>
              <w:top w:val="single" w:sz="8" w:space="0" w:color="000000"/>
              <w:left w:val="single" w:sz="8" w:space="0" w:color="000000"/>
              <w:bottom w:val="single" w:sz="8" w:space="0" w:color="000000"/>
              <w:right w:val="single" w:sz="8" w:space="0" w:color="000000"/>
            </w:tcBorders>
          </w:tcPr>
          <w:p w:rsidR="00B071F2" w14:paraId="72138733" w14:textId="77777777">
            <w:pPr>
              <w:spacing w:after="0" w:line="259" w:lineRule="auto"/>
              <w:ind w:left="172" w:firstLine="0"/>
              <w:jc w:val="center"/>
            </w:pPr>
            <w:r>
              <w:rPr>
                <w:sz w:val="20"/>
              </w:rPr>
              <w:t xml:space="preserve"> </w:t>
            </w:r>
            <w:r>
              <w:t xml:space="preserve"> </w:t>
            </w:r>
          </w:p>
          <w:p w:rsidR="00B071F2" w14:paraId="72369F78" w14:textId="77777777">
            <w:pPr>
              <w:spacing w:after="0" w:line="259" w:lineRule="auto"/>
              <w:ind w:left="0" w:right="8" w:firstLine="0"/>
              <w:jc w:val="center"/>
            </w:pPr>
            <w:r>
              <w:rPr>
                <w:sz w:val="20"/>
              </w:rPr>
              <w:t xml:space="preserve">1,723,755 </w:t>
            </w:r>
            <w:r>
              <w:t xml:space="preserve"> </w:t>
            </w:r>
          </w:p>
        </w:tc>
        <w:tc>
          <w:tcPr>
            <w:tcW w:w="1351" w:type="dxa"/>
            <w:tcBorders>
              <w:top w:val="single" w:sz="8" w:space="0" w:color="000000"/>
              <w:left w:val="single" w:sz="8" w:space="0" w:color="000000"/>
              <w:bottom w:val="single" w:sz="8" w:space="0" w:color="000000"/>
              <w:right w:val="single" w:sz="8" w:space="0" w:color="000000"/>
            </w:tcBorders>
          </w:tcPr>
          <w:p w:rsidR="00B071F2" w14:paraId="3490A6D2" w14:textId="77777777">
            <w:pPr>
              <w:spacing w:after="0" w:line="259" w:lineRule="auto"/>
              <w:ind w:left="177" w:firstLine="0"/>
              <w:jc w:val="center"/>
            </w:pPr>
            <w:r>
              <w:rPr>
                <w:sz w:val="20"/>
              </w:rPr>
              <w:t xml:space="preserve"> </w:t>
            </w:r>
            <w:r>
              <w:t xml:space="preserve"> </w:t>
            </w:r>
          </w:p>
          <w:p w:rsidR="00B071F2" w14:paraId="2C5C933E" w14:textId="77777777">
            <w:pPr>
              <w:spacing w:after="0" w:line="259" w:lineRule="auto"/>
              <w:ind w:left="122" w:firstLine="0"/>
            </w:pPr>
            <w:r>
              <w:rPr>
                <w:sz w:val="20"/>
              </w:rPr>
              <w:t xml:space="preserve">331,715,277 </w:t>
            </w:r>
            <w:r>
              <w:t xml:space="preserve"> </w:t>
            </w:r>
          </w:p>
        </w:tc>
        <w:tc>
          <w:tcPr>
            <w:tcW w:w="1169" w:type="dxa"/>
            <w:tcBorders>
              <w:top w:val="single" w:sz="8" w:space="0" w:color="000000"/>
              <w:left w:val="single" w:sz="8" w:space="0" w:color="000000"/>
              <w:bottom w:val="single" w:sz="8" w:space="0" w:color="000000"/>
              <w:right w:val="single" w:sz="8" w:space="0" w:color="000000"/>
            </w:tcBorders>
            <w:vAlign w:val="center"/>
          </w:tcPr>
          <w:p w:rsidR="00B071F2" w14:paraId="768979E7" w14:textId="77777777">
            <w:pPr>
              <w:spacing w:after="0" w:line="259" w:lineRule="auto"/>
              <w:ind w:left="177" w:firstLine="0"/>
              <w:jc w:val="center"/>
            </w:pPr>
            <w:r>
              <w:rPr>
                <w:sz w:val="20"/>
              </w:rPr>
              <w:t xml:space="preserve"> </w:t>
            </w:r>
            <w:r>
              <w:t xml:space="preserve"> </w:t>
            </w:r>
          </w:p>
          <w:p w:rsidR="00B071F2" w14:paraId="13167E98" w14:textId="77777777">
            <w:pPr>
              <w:spacing w:after="0" w:line="259" w:lineRule="auto"/>
              <w:ind w:left="0" w:right="1" w:firstLine="0"/>
              <w:jc w:val="center"/>
            </w:pPr>
            <w:r>
              <w:rPr>
                <w:sz w:val="20"/>
              </w:rPr>
              <w:t xml:space="preserve">7 min </w:t>
            </w:r>
            <w:r>
              <w:t xml:space="preserve"> </w:t>
            </w:r>
          </w:p>
          <w:p w:rsidR="00B071F2" w14:paraId="61034171" w14:textId="77777777">
            <w:pPr>
              <w:spacing w:after="0" w:line="259" w:lineRule="auto"/>
              <w:ind w:left="34" w:firstLine="0"/>
              <w:jc w:val="both"/>
            </w:pPr>
            <w:r>
              <w:rPr>
                <w:sz w:val="20"/>
              </w:rPr>
              <w:t xml:space="preserve">(0.11667 hr) </w:t>
            </w:r>
          </w:p>
        </w:tc>
        <w:tc>
          <w:tcPr>
            <w:tcW w:w="1080" w:type="dxa"/>
            <w:tcBorders>
              <w:top w:val="single" w:sz="8" w:space="0" w:color="000000"/>
              <w:left w:val="single" w:sz="8" w:space="0" w:color="000000"/>
              <w:bottom w:val="single" w:sz="8" w:space="0" w:color="000000"/>
              <w:right w:val="single" w:sz="8" w:space="0" w:color="000000"/>
            </w:tcBorders>
          </w:tcPr>
          <w:p w:rsidR="00B071F2" w14:paraId="54F27D0B" w14:textId="77777777">
            <w:pPr>
              <w:spacing w:after="0" w:line="259" w:lineRule="auto"/>
              <w:ind w:left="174" w:firstLine="0"/>
              <w:jc w:val="center"/>
            </w:pPr>
            <w:r>
              <w:rPr>
                <w:sz w:val="20"/>
              </w:rPr>
              <w:t xml:space="preserve"> </w:t>
            </w:r>
            <w:r>
              <w:t xml:space="preserve"> </w:t>
            </w:r>
          </w:p>
          <w:p w:rsidR="00B071F2" w14:paraId="75B3E589" w14:textId="77777777">
            <w:pPr>
              <w:spacing w:after="0" w:line="259" w:lineRule="auto"/>
              <w:ind w:left="43" w:firstLine="0"/>
              <w:jc w:val="both"/>
            </w:pPr>
            <w:r>
              <w:rPr>
                <w:sz w:val="20"/>
              </w:rPr>
              <w:t xml:space="preserve">38,701,221 </w:t>
            </w:r>
          </w:p>
        </w:tc>
        <w:tc>
          <w:tcPr>
            <w:tcW w:w="1171" w:type="dxa"/>
            <w:tcBorders>
              <w:top w:val="single" w:sz="8" w:space="0" w:color="000000"/>
              <w:left w:val="single" w:sz="8" w:space="0" w:color="000000"/>
              <w:bottom w:val="single" w:sz="8" w:space="0" w:color="000000"/>
              <w:right w:val="single" w:sz="8" w:space="0" w:color="000000"/>
            </w:tcBorders>
          </w:tcPr>
          <w:p w:rsidR="00B071F2" w14:paraId="1179B11C" w14:textId="77777777">
            <w:pPr>
              <w:spacing w:after="0" w:line="259" w:lineRule="auto"/>
              <w:ind w:left="174" w:firstLine="0"/>
              <w:jc w:val="center"/>
            </w:pPr>
            <w:r>
              <w:rPr>
                <w:sz w:val="20"/>
              </w:rPr>
              <w:t xml:space="preserve"> </w:t>
            </w:r>
            <w:r>
              <w:t xml:space="preserve"> </w:t>
            </w:r>
          </w:p>
          <w:p w:rsidR="00B071F2" w14:paraId="048C27DD" w14:textId="77777777">
            <w:pPr>
              <w:spacing w:after="0" w:line="259" w:lineRule="auto"/>
              <w:ind w:left="0" w:right="3" w:firstLine="0"/>
              <w:jc w:val="center"/>
            </w:pPr>
            <w:r>
              <w:rPr>
                <w:sz w:val="20"/>
              </w:rPr>
              <w:t xml:space="preserve">60.40 </w:t>
            </w:r>
            <w:r>
              <w:t xml:space="preserve"> </w:t>
            </w:r>
          </w:p>
        </w:tc>
        <w:tc>
          <w:tcPr>
            <w:tcW w:w="1404" w:type="dxa"/>
            <w:tcBorders>
              <w:top w:val="single" w:sz="8" w:space="0" w:color="000000"/>
              <w:left w:val="single" w:sz="8" w:space="0" w:color="000000"/>
              <w:bottom w:val="single" w:sz="8" w:space="0" w:color="000000"/>
              <w:right w:val="single" w:sz="8" w:space="0" w:color="000000"/>
            </w:tcBorders>
          </w:tcPr>
          <w:p w:rsidR="00B071F2" w14:paraId="0FE1EE9A" w14:textId="77777777">
            <w:pPr>
              <w:spacing w:after="0" w:line="259" w:lineRule="auto"/>
              <w:ind w:left="172" w:firstLine="0"/>
              <w:jc w:val="center"/>
            </w:pPr>
            <w:r>
              <w:rPr>
                <w:sz w:val="20"/>
              </w:rPr>
              <w:t xml:space="preserve"> </w:t>
            </w:r>
            <w:r>
              <w:t xml:space="preserve"> </w:t>
            </w:r>
          </w:p>
          <w:p w:rsidR="00B071F2" w14:paraId="698B4EF4" w14:textId="77777777">
            <w:pPr>
              <w:spacing w:after="0" w:line="259" w:lineRule="auto"/>
              <w:ind w:left="65" w:firstLine="0"/>
              <w:jc w:val="both"/>
            </w:pPr>
            <w:r>
              <w:rPr>
                <w:sz w:val="20"/>
              </w:rPr>
              <w:t xml:space="preserve">2,338,592,703 </w:t>
            </w:r>
          </w:p>
        </w:tc>
      </w:tr>
    </w:tbl>
    <w:p w:rsidR="00B071F2" w14:paraId="3C714D16" w14:textId="77777777">
      <w:pPr>
        <w:spacing w:after="0" w:line="259" w:lineRule="auto"/>
        <w:ind w:left="14" w:firstLine="0"/>
      </w:pPr>
      <w:r>
        <w:rPr>
          <w:i/>
        </w:rPr>
        <w:t xml:space="preserve"> </w:t>
      </w:r>
      <w:r>
        <w:t xml:space="preserve">    </w:t>
      </w:r>
    </w:p>
    <w:p w:rsidR="00B071F2" w14:paraId="61A71E28" w14:textId="77777777">
      <w:pPr>
        <w:pStyle w:val="Heading2"/>
        <w:ind w:left="-5"/>
      </w:pPr>
      <w:r>
        <w:t xml:space="preserve">Information Collection Instruments and Associated Materials  </w:t>
      </w:r>
      <w:r>
        <w:rPr>
          <w:i w:val="0"/>
        </w:rPr>
        <w:t xml:space="preserve">  </w:t>
      </w:r>
      <w:r>
        <w:t xml:space="preserve"> </w:t>
      </w:r>
    </w:p>
    <w:p w:rsidR="00B071F2" w14:paraId="633CC436" w14:textId="77777777">
      <w:pPr>
        <w:spacing w:after="14" w:line="259" w:lineRule="auto"/>
        <w:ind w:left="14" w:firstLine="0"/>
      </w:pPr>
      <w:r>
        <w:rPr>
          <w:i/>
        </w:rPr>
        <w:t xml:space="preserve"> </w:t>
      </w:r>
      <w:r>
        <w:t xml:space="preserve">    </w:t>
      </w:r>
    </w:p>
    <w:p w:rsidR="00B071F2" w14:paraId="2D404A19" w14:textId="77777777">
      <w:pPr>
        <w:numPr>
          <w:ilvl w:val="0"/>
          <w:numId w:val="5"/>
        </w:numPr>
        <w:ind w:right="1197" w:hanging="360"/>
      </w:pPr>
      <w:r>
        <w:t xml:space="preserve">Advance Beneficiary Notice of Non-coverage (English)     </w:t>
      </w:r>
    </w:p>
    <w:p w:rsidR="00B071F2" w14:paraId="16676BF0" w14:textId="77777777">
      <w:pPr>
        <w:spacing w:after="17" w:line="259" w:lineRule="auto"/>
        <w:ind w:left="734" w:firstLine="0"/>
      </w:pPr>
      <w:r>
        <w:t xml:space="preserve">  </w:t>
      </w:r>
    </w:p>
    <w:p w:rsidR="00B071F2" w14:paraId="18A49B46" w14:textId="77777777">
      <w:pPr>
        <w:numPr>
          <w:ilvl w:val="0"/>
          <w:numId w:val="5"/>
        </w:numPr>
        <w:ind w:right="1197" w:hanging="360"/>
      </w:pPr>
      <w:r>
        <w:t xml:space="preserve">Form Instructions: Advance Beneficiary Notice of Non-coverage   (English)  </w:t>
      </w:r>
    </w:p>
    <w:p w:rsidR="00B071F2" w14:paraId="7DE59209" w14:textId="77777777">
      <w:pPr>
        <w:spacing w:after="17" w:line="259" w:lineRule="auto"/>
        <w:ind w:left="734" w:firstLine="0"/>
      </w:pPr>
      <w:r>
        <w:t xml:space="preserve">  </w:t>
      </w:r>
    </w:p>
    <w:p w:rsidR="00B071F2" w14:paraId="6B2059A7" w14:textId="77777777">
      <w:pPr>
        <w:numPr>
          <w:ilvl w:val="0"/>
          <w:numId w:val="5"/>
        </w:numPr>
        <w:ind w:right="1197" w:hanging="360"/>
      </w:pPr>
      <w:r>
        <w:t xml:space="preserve">Advance Beneficiary Notice of Non-coverage (Spanish, “Aviso anticipado de no cobertura para el beneficiario(ABN)”)  </w:t>
      </w:r>
    </w:p>
    <w:p w:rsidR="00B071F2" w14:paraId="531C5B92" w14:textId="77777777">
      <w:pPr>
        <w:spacing w:after="22" w:line="259" w:lineRule="auto"/>
        <w:ind w:left="734" w:firstLine="0"/>
      </w:pPr>
      <w:r>
        <w:t xml:space="preserve">  </w:t>
      </w:r>
    </w:p>
    <w:p w:rsidR="00B071F2" w14:paraId="01F1CC48" w14:textId="77777777">
      <w:pPr>
        <w:numPr>
          <w:ilvl w:val="0"/>
          <w:numId w:val="5"/>
        </w:numPr>
        <w:ind w:right="1197" w:hanging="360"/>
      </w:pPr>
      <w:r>
        <w:t>Advance Beneficiary Notice of Non-coverage (Chinese, “</w:t>
      </w:r>
      <w:r>
        <w:rPr>
          <w:rFonts w:ascii="MS Gothic" w:eastAsia="MS Gothic" w:hAnsi="MS Gothic" w:cs="MS Gothic"/>
        </w:rPr>
        <w:t>提前受益人不承保通知</w:t>
      </w:r>
      <w:r>
        <w:rPr>
          <w:b/>
        </w:rPr>
        <w:t xml:space="preserve"> </w:t>
      </w:r>
      <w:r>
        <w:t xml:space="preserve">(ABN))  </w:t>
      </w:r>
    </w:p>
    <w:p w:rsidR="00B071F2" w14:paraId="34368A46" w14:textId="77777777">
      <w:pPr>
        <w:spacing w:after="79" w:line="259" w:lineRule="auto"/>
        <w:ind w:left="14" w:firstLine="0"/>
      </w:pPr>
      <w:r>
        <w:t xml:space="preserve">  </w:t>
      </w:r>
    </w:p>
    <w:p w:rsidR="00B071F2" w14:paraId="2B63680A" w14:textId="77777777">
      <w:pPr>
        <w:numPr>
          <w:ilvl w:val="0"/>
          <w:numId w:val="5"/>
        </w:numPr>
        <w:ind w:right="1197" w:hanging="360"/>
      </w:pPr>
      <w:r>
        <w:t>Advance Beneficiary Notice of Non-coverage (Korean, “</w:t>
      </w:r>
      <w:r>
        <w:rPr>
          <w:rFonts w:ascii="Malgun Gothic" w:eastAsia="Malgun Gothic" w:hAnsi="Malgun Gothic" w:cs="Malgun Gothic"/>
        </w:rPr>
        <w:t>가입자</w:t>
      </w:r>
      <w:r>
        <w:t xml:space="preserve"> </w:t>
      </w:r>
      <w:r>
        <w:rPr>
          <w:rFonts w:ascii="Malgun Gothic" w:eastAsia="Malgun Gothic" w:hAnsi="Malgun Gothic" w:cs="Malgun Gothic"/>
        </w:rPr>
        <w:t>비급여</w:t>
      </w:r>
      <w:r>
        <w:t xml:space="preserve"> </w:t>
      </w:r>
      <w:r>
        <w:rPr>
          <w:rFonts w:ascii="Malgun Gothic" w:eastAsia="Malgun Gothic" w:hAnsi="Malgun Gothic" w:cs="Malgun Gothic"/>
        </w:rPr>
        <w:t>사전</w:t>
      </w:r>
      <w:r>
        <w:t xml:space="preserve"> </w:t>
      </w:r>
      <w:r>
        <w:rPr>
          <w:rFonts w:ascii="Malgun Gothic" w:eastAsia="Malgun Gothic" w:hAnsi="Malgun Gothic" w:cs="Malgun Gothic"/>
        </w:rPr>
        <w:t>통지</w:t>
      </w:r>
      <w:r>
        <w:t xml:space="preserve">(Advance Beneficiary Notice of Non-coverage, ABN)”)  </w:t>
      </w:r>
    </w:p>
    <w:p w:rsidR="00B071F2" w14:paraId="1F9B127D" w14:textId="77777777">
      <w:pPr>
        <w:spacing w:after="14" w:line="259" w:lineRule="auto"/>
        <w:ind w:left="14" w:firstLine="0"/>
      </w:pPr>
      <w:r>
        <w:t xml:space="preserve">  </w:t>
      </w:r>
    </w:p>
    <w:p w:rsidR="00B071F2" w14:paraId="1B210A7F" w14:textId="77777777">
      <w:pPr>
        <w:numPr>
          <w:ilvl w:val="0"/>
          <w:numId w:val="5"/>
        </w:numPr>
        <w:ind w:right="1197" w:hanging="360"/>
      </w:pPr>
      <w:r>
        <w:t xml:space="preserve">Advance Beneficiary Notice of Non-coverage (Vietnamese, “Thông báo  </w:t>
      </w:r>
    </w:p>
    <w:p w:rsidR="00B071F2" w14:paraId="5D9C6FBE" w14:textId="77777777">
      <w:pPr>
        <w:ind w:left="744" w:right="1197"/>
      </w:pPr>
      <w:r>
        <w:t>Tr</w:t>
      </w:r>
      <w:r>
        <w:rPr>
          <w:rFonts w:ascii="Calibri" w:eastAsia="Calibri" w:hAnsi="Calibri" w:cs="Calibri"/>
        </w:rPr>
        <w:t>ư</w:t>
      </w:r>
      <w:r>
        <w:rPr>
          <w:rFonts w:ascii="Calibri" w:eastAsia="Calibri" w:hAnsi="Calibri" w:cs="Calibri"/>
        </w:rPr>
        <w:t>ớ</w:t>
      </w:r>
      <w:r>
        <w:t>c cho Ng</w:t>
      </w:r>
      <w:r>
        <w:rPr>
          <w:rFonts w:ascii="Calibri" w:eastAsia="Calibri" w:hAnsi="Calibri" w:cs="Calibri"/>
        </w:rPr>
        <w:t>ư</w:t>
      </w:r>
      <w:r>
        <w:rPr>
          <w:rFonts w:ascii="Calibri" w:eastAsia="Calibri" w:hAnsi="Calibri" w:cs="Calibri"/>
        </w:rPr>
        <w:t>ờ</w:t>
      </w:r>
      <w:r>
        <w:t>i th</w:t>
      </w:r>
      <w:r>
        <w:rPr>
          <w:rFonts w:ascii="Calibri" w:eastAsia="Calibri" w:hAnsi="Calibri" w:cs="Calibri"/>
        </w:rPr>
        <w:t>ụ</w:t>
      </w:r>
      <w:r>
        <w:t xml:space="preserve"> h</w:t>
      </w:r>
      <w:r>
        <w:rPr>
          <w:rFonts w:ascii="Calibri" w:eastAsia="Calibri" w:hAnsi="Calibri" w:cs="Calibri"/>
        </w:rPr>
        <w:t>ư</w:t>
      </w:r>
      <w:r>
        <w:rPr>
          <w:rFonts w:ascii="Calibri" w:eastAsia="Calibri" w:hAnsi="Calibri" w:cs="Calibri"/>
        </w:rPr>
        <w:t>ở</w:t>
      </w:r>
      <w:r>
        <w:t>ng v</w:t>
      </w:r>
      <w:r>
        <w:rPr>
          <w:rFonts w:ascii="Calibri" w:eastAsia="Calibri" w:hAnsi="Calibri" w:cs="Calibri"/>
        </w:rPr>
        <w:t>ề</w:t>
      </w:r>
      <w:r>
        <w:t xml:space="preserve"> vi</w:t>
      </w:r>
      <w:r>
        <w:rPr>
          <w:rFonts w:ascii="Calibri" w:eastAsia="Calibri" w:hAnsi="Calibri" w:cs="Calibri"/>
        </w:rPr>
        <w:t>ệ</w:t>
      </w:r>
      <w:r>
        <w:t>c Không Chi tr</w:t>
      </w:r>
      <w:r>
        <w:rPr>
          <w:rFonts w:ascii="Calibri" w:eastAsia="Calibri" w:hAnsi="Calibri" w:cs="Calibri"/>
        </w:rPr>
        <w:t>ả</w:t>
      </w:r>
      <w:r>
        <w:t xml:space="preserve"> B</w:t>
      </w:r>
      <w:r>
        <w:rPr>
          <w:rFonts w:ascii="Calibri" w:eastAsia="Calibri" w:hAnsi="Calibri" w:cs="Calibri"/>
        </w:rPr>
        <w:t>ả</w:t>
      </w:r>
      <w:r>
        <w:t>o hi</w:t>
      </w:r>
      <w:r>
        <w:rPr>
          <w:rFonts w:ascii="Calibri" w:eastAsia="Calibri" w:hAnsi="Calibri" w:cs="Calibri"/>
        </w:rPr>
        <w:t>ể</w:t>
      </w:r>
      <w:r>
        <w:t xml:space="preserve">m   </w:t>
      </w:r>
    </w:p>
    <w:p w:rsidR="00B071F2" w14:paraId="5577C269" w14:textId="77777777">
      <w:pPr>
        <w:ind w:left="744" w:right="1197"/>
      </w:pPr>
      <w:r>
        <w:t xml:space="preserve">(Advance Beneficiary Notice of Non-coverage, ABN)”)    </w:t>
      </w:r>
    </w:p>
    <w:p w:rsidR="00B071F2" w14:paraId="6E6A0FAE" w14:textId="77777777">
      <w:pPr>
        <w:spacing w:after="0" w:line="259" w:lineRule="auto"/>
        <w:ind w:left="14" w:firstLine="0"/>
      </w:pPr>
      <w:r>
        <w:t xml:space="preserve">     </w:t>
      </w:r>
    </w:p>
    <w:p w:rsidR="00B071F2" w14:paraId="75E888BC" w14:textId="77777777">
      <w:pPr>
        <w:pStyle w:val="Heading1"/>
        <w:ind w:left="-5"/>
      </w:pPr>
      <w:r>
        <w:rPr>
          <w:u w:val="none"/>
        </w:rPr>
        <w:t xml:space="preserve">13.    </w:t>
      </w:r>
      <w:r>
        <w:t>CAPITAL COSTS</w:t>
      </w:r>
      <w:r>
        <w:rPr>
          <w:u w:val="none"/>
        </w:rPr>
        <w:t xml:space="preserve">   </w:t>
      </w:r>
      <w:r>
        <w:rPr>
          <w:i/>
          <w:u w:val="none"/>
        </w:rPr>
        <w:t xml:space="preserve"> </w:t>
      </w:r>
      <w:r>
        <w:rPr>
          <w:u w:val="none"/>
        </w:rPr>
        <w:t xml:space="preserve"> </w:t>
      </w:r>
    </w:p>
    <w:p w:rsidR="00B071F2" w14:paraId="74D27E51" w14:textId="77777777">
      <w:pPr>
        <w:spacing w:after="0" w:line="259" w:lineRule="auto"/>
        <w:ind w:left="14" w:firstLine="0"/>
      </w:pPr>
      <w:r>
        <w:rPr>
          <w:rFonts w:ascii="Times New Roman" w:eastAsia="Times New Roman" w:hAnsi="Times New Roman" w:cs="Times New Roman"/>
        </w:rPr>
        <w:t xml:space="preserve">    </w:t>
      </w:r>
      <w:r>
        <w:t xml:space="preserve"> </w:t>
      </w:r>
    </w:p>
    <w:p w:rsidR="00B071F2" w14:paraId="4A44EA87" w14:textId="77777777">
      <w:pPr>
        <w:ind w:left="-5" w:right="1197"/>
      </w:pPr>
      <w:r>
        <w:t xml:space="preserve">Since all affected notifiers are expected to already have the capacity to reproduce ABNs based on CMS guidance, there are no capital costs associated with this collection.     </w:t>
      </w:r>
    </w:p>
    <w:p w:rsidR="00B071F2" w14:paraId="50E615AF" w14:textId="77777777">
      <w:pPr>
        <w:spacing w:after="0" w:line="259" w:lineRule="auto"/>
        <w:ind w:left="14" w:firstLine="0"/>
      </w:pPr>
      <w:r>
        <w:rPr>
          <w:rFonts w:ascii="Times New Roman" w:eastAsia="Times New Roman" w:hAnsi="Times New Roman" w:cs="Times New Roman"/>
        </w:rPr>
        <w:t xml:space="preserve"> </w:t>
      </w:r>
      <w:r>
        <w:t xml:space="preserve"> </w:t>
      </w:r>
    </w:p>
    <w:p w:rsidR="00B071F2" w14:paraId="25DAAFD8" w14:textId="77777777">
      <w:pPr>
        <w:pStyle w:val="Heading1"/>
        <w:ind w:left="-5"/>
      </w:pPr>
      <w:r>
        <w:rPr>
          <w:u w:val="none"/>
        </w:rPr>
        <w:t xml:space="preserve">14.    </w:t>
      </w:r>
      <w:r>
        <w:t>COSTS TO FEDERAL GOVERNMENT</w:t>
      </w:r>
      <w:r>
        <w:rPr>
          <w:u w:val="none"/>
        </w:rPr>
        <w:t xml:space="preserve">   </w:t>
      </w:r>
      <w:r>
        <w:rPr>
          <w:i/>
          <w:u w:val="none"/>
        </w:rPr>
        <w:t xml:space="preserve"> </w:t>
      </w:r>
      <w:r>
        <w:rPr>
          <w:u w:val="none"/>
        </w:rPr>
        <w:t xml:space="preserve"> </w:t>
      </w:r>
    </w:p>
    <w:p w:rsidR="00B071F2" w14:paraId="5198C011" w14:textId="77777777">
      <w:pPr>
        <w:spacing w:after="1" w:line="259" w:lineRule="auto"/>
        <w:ind w:left="14" w:firstLine="0"/>
      </w:pPr>
      <w:r>
        <w:rPr>
          <w:rFonts w:ascii="Times New Roman" w:eastAsia="Times New Roman" w:hAnsi="Times New Roman" w:cs="Times New Roman"/>
        </w:rPr>
        <w:t xml:space="preserve">    </w:t>
      </w:r>
      <w:r>
        <w:t xml:space="preserve"> </w:t>
      </w:r>
    </w:p>
    <w:p w:rsidR="00B071F2" w14:paraId="6C0D3AC4" w14:textId="77777777">
      <w:pPr>
        <w:ind w:left="-5" w:right="1197"/>
      </w:pPr>
      <w:r>
        <w:t xml:space="preserve">The cost to the Federal government is on a triennial basis and is associated with the preparation and release of the updated notice and supplemental documents (e.g., form instructions and alternate versions). This includes the time it takes the employee to complete the PRA process, another employee to create a translated version, and posting the documents to CMS.gov.   </w:t>
      </w:r>
    </w:p>
    <w:p w:rsidR="00B071F2" w14:paraId="5294754D" w14:textId="77777777">
      <w:pPr>
        <w:spacing w:after="0" w:line="259" w:lineRule="auto"/>
        <w:ind w:left="14" w:firstLine="0"/>
      </w:pPr>
      <w:r>
        <w:t xml:space="preserve">  </w:t>
      </w:r>
    </w:p>
    <w:p w:rsidR="00B071F2" w14:paraId="2464EDCE" w14:textId="77777777">
      <w:pPr>
        <w:ind w:left="-5" w:right="1197"/>
      </w:pPr>
      <w:r>
        <w:t xml:space="preserve">The analysis and preparation of the PRA package and the subsequent release of documents is performed by CMS employees. The average salary of the employees who would be completing this task, which includes the locality pay adjustment for the area of Washington-Baltimore-Arlington, is listed in the table </w:t>
      </w:r>
    </w:p>
    <w:p w:rsidR="00B071F2" w14:paraId="4F03C1B7" w14:textId="77777777">
      <w:pPr>
        <w:spacing w:after="5" w:line="248" w:lineRule="auto"/>
        <w:ind w:left="10" w:firstLine="0"/>
      </w:pPr>
      <w:r>
        <w:t xml:space="preserve">below. See OPM 2025 General Schedule (GS) Locality Pay Tables, </w:t>
      </w:r>
      <w:hyperlink r:id="rId9">
        <w:r>
          <w:rPr>
            <w:color w:val="0563C1"/>
            <w:u w:val="single" w:color="0563C1"/>
          </w:rPr>
          <w:t>https://www.opm.gov/policy-data-oversight/pay-leave/salaries</w:t>
        </w:r>
      </w:hyperlink>
      <w:hyperlink r:id="rId9">
        <w:r>
          <w:rPr>
            <w:color w:val="0563C1"/>
            <w:u w:val="single" w:color="0563C1"/>
          </w:rPr>
          <w:t>wages/salar</w:t>
        </w:r>
      </w:hyperlink>
      <w:hyperlink r:id="rId9">
        <w:r>
          <w:rPr>
            <w:color w:val="0563C1"/>
            <w:u w:val="single" w:color="0563C1"/>
          </w:rPr>
          <w:t>ytables/pdf/2025/DCB_h.pd</w:t>
        </w:r>
      </w:hyperlink>
      <w:hyperlink r:id="rId9">
        <w:r>
          <w:rPr>
            <w:color w:val="0563C1"/>
            <w:u w:val="single" w:color="0563C1"/>
          </w:rPr>
          <w:t>f</w:t>
        </w:r>
      </w:hyperlink>
      <w:hyperlink r:id="rId9">
        <w:r>
          <w:t xml:space="preserve">. </w:t>
        </w:r>
      </w:hyperlink>
      <w:r>
        <w:t xml:space="preserve">  </w:t>
      </w:r>
    </w:p>
    <w:p w:rsidR="00B071F2" w14:paraId="5E2B6710" w14:textId="77777777">
      <w:pPr>
        <w:spacing w:after="0" w:line="259" w:lineRule="auto"/>
        <w:ind w:left="14" w:firstLine="0"/>
      </w:pPr>
      <w:r>
        <w:t xml:space="preserve">  </w:t>
      </w:r>
    </w:p>
    <w:p w:rsidR="00B071F2" w14:paraId="421DCBFF" w14:textId="77777777">
      <w:pPr>
        <w:ind w:left="-5" w:right="1197"/>
      </w:pPr>
      <w:r>
        <w:t xml:space="preserve">We estimate that on average it takes a CMS employee 24 hours to perform these activities and the triennial cost to the Federal government to be $1,571.52.  </w:t>
      </w:r>
    </w:p>
    <w:p w:rsidR="00B071F2" w14:paraId="0C27C0CB" w14:textId="77777777">
      <w:pPr>
        <w:spacing w:after="0" w:line="259" w:lineRule="auto"/>
        <w:ind w:left="0" w:right="1015" w:firstLine="0"/>
        <w:jc w:val="right"/>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t xml:space="preserve"> </w:t>
      </w:r>
    </w:p>
    <w:tbl>
      <w:tblPr>
        <w:tblStyle w:val="TableGrid"/>
        <w:tblW w:w="8047" w:type="dxa"/>
        <w:tblInd w:w="674" w:type="dxa"/>
        <w:tblCellMar>
          <w:top w:w="109" w:type="dxa"/>
          <w:left w:w="108" w:type="dxa"/>
          <w:bottom w:w="22" w:type="dxa"/>
          <w:right w:w="53" w:type="dxa"/>
        </w:tblCellMar>
        <w:tblLook w:val="04A0"/>
      </w:tblPr>
      <w:tblGrid>
        <w:gridCol w:w="1658"/>
        <w:gridCol w:w="1428"/>
        <w:gridCol w:w="2119"/>
        <w:gridCol w:w="2842"/>
      </w:tblGrid>
      <w:tr w14:paraId="597BD12D" w14:textId="77777777">
        <w:tblPrEx>
          <w:tblW w:w="8047" w:type="dxa"/>
          <w:tblInd w:w="674" w:type="dxa"/>
          <w:tblCellMar>
            <w:top w:w="109" w:type="dxa"/>
            <w:left w:w="108" w:type="dxa"/>
            <w:bottom w:w="22" w:type="dxa"/>
            <w:right w:w="53" w:type="dxa"/>
          </w:tblCellMar>
          <w:tblLook w:val="04A0"/>
        </w:tblPrEx>
        <w:trPr>
          <w:trHeight w:val="598"/>
        </w:trPr>
        <w:tc>
          <w:tcPr>
            <w:tcW w:w="1658" w:type="dxa"/>
            <w:tcBorders>
              <w:top w:val="single" w:sz="4" w:space="0" w:color="000000"/>
              <w:left w:val="single" w:sz="4" w:space="0" w:color="000000"/>
              <w:bottom w:val="single" w:sz="4" w:space="0" w:color="000000"/>
              <w:right w:val="single" w:sz="4" w:space="0" w:color="000000"/>
            </w:tcBorders>
          </w:tcPr>
          <w:p w:rsidR="00B071F2" w14:paraId="6C1BE656" w14:textId="77777777">
            <w:pPr>
              <w:spacing w:after="0" w:line="259" w:lineRule="auto"/>
              <w:ind w:left="0" w:right="52" w:firstLine="0"/>
              <w:jc w:val="center"/>
            </w:pPr>
            <w:r>
              <w:rPr>
                <w:b/>
                <w:sz w:val="20"/>
              </w:rPr>
              <w:t xml:space="preserve">Employee </w:t>
            </w:r>
            <w:r>
              <w:t xml:space="preserve"> </w:t>
            </w:r>
          </w:p>
        </w:tc>
        <w:tc>
          <w:tcPr>
            <w:tcW w:w="1428" w:type="dxa"/>
            <w:tcBorders>
              <w:top w:val="single" w:sz="4" w:space="0" w:color="000000"/>
              <w:left w:val="single" w:sz="4" w:space="0" w:color="000000"/>
              <w:bottom w:val="single" w:sz="4" w:space="0" w:color="000000"/>
              <w:right w:val="single" w:sz="4" w:space="0" w:color="000000"/>
            </w:tcBorders>
          </w:tcPr>
          <w:p w:rsidR="00B071F2" w14:paraId="05607319" w14:textId="77777777">
            <w:pPr>
              <w:spacing w:after="0" w:line="259" w:lineRule="auto"/>
              <w:ind w:left="17" w:firstLine="0"/>
              <w:jc w:val="center"/>
            </w:pPr>
            <w:r>
              <w:rPr>
                <w:b/>
                <w:sz w:val="20"/>
              </w:rPr>
              <w:t xml:space="preserve">Hourly </w:t>
            </w:r>
            <w:r>
              <w:t xml:space="preserve"> </w:t>
            </w:r>
            <w:r>
              <w:rPr>
                <w:b/>
                <w:sz w:val="20"/>
              </w:rPr>
              <w:t xml:space="preserve">Wage </w:t>
            </w:r>
            <w:r>
              <w:t xml:space="preserve"> </w:t>
            </w:r>
          </w:p>
        </w:tc>
        <w:tc>
          <w:tcPr>
            <w:tcW w:w="2119" w:type="dxa"/>
            <w:tcBorders>
              <w:top w:val="single" w:sz="4" w:space="0" w:color="000000"/>
              <w:left w:val="single" w:sz="4" w:space="0" w:color="000000"/>
              <w:bottom w:val="single" w:sz="4" w:space="0" w:color="000000"/>
              <w:right w:val="single" w:sz="4" w:space="0" w:color="000000"/>
            </w:tcBorders>
          </w:tcPr>
          <w:p w:rsidR="00B071F2" w14:paraId="602C3150" w14:textId="77777777">
            <w:pPr>
              <w:spacing w:after="0" w:line="259" w:lineRule="auto"/>
              <w:ind w:left="0" w:right="56" w:firstLine="0"/>
              <w:jc w:val="center"/>
            </w:pPr>
            <w:r>
              <w:rPr>
                <w:b/>
                <w:sz w:val="20"/>
              </w:rPr>
              <w:t xml:space="preserve">Number of Hours </w:t>
            </w:r>
            <w:r>
              <w:t xml:space="preserve"> </w:t>
            </w:r>
          </w:p>
        </w:tc>
        <w:tc>
          <w:tcPr>
            <w:tcW w:w="2842" w:type="dxa"/>
            <w:tcBorders>
              <w:top w:val="single" w:sz="4" w:space="0" w:color="000000"/>
              <w:left w:val="single" w:sz="4" w:space="0" w:color="000000"/>
              <w:bottom w:val="single" w:sz="4" w:space="0" w:color="000000"/>
              <w:right w:val="single" w:sz="4" w:space="0" w:color="000000"/>
            </w:tcBorders>
          </w:tcPr>
          <w:p w:rsidR="00B071F2" w14:paraId="1A6CC2D9" w14:textId="77777777">
            <w:pPr>
              <w:spacing w:after="0" w:line="259" w:lineRule="auto"/>
              <w:ind w:left="0" w:firstLine="0"/>
              <w:jc w:val="center"/>
            </w:pPr>
            <w:r>
              <w:rPr>
                <w:b/>
                <w:sz w:val="20"/>
              </w:rPr>
              <w:t xml:space="preserve">Triennial Cost to </w:t>
            </w:r>
            <w:r>
              <w:t xml:space="preserve"> </w:t>
            </w:r>
            <w:r>
              <w:rPr>
                <w:b/>
                <w:sz w:val="20"/>
              </w:rPr>
              <w:t xml:space="preserve">Government </w:t>
            </w:r>
            <w:r>
              <w:t xml:space="preserve"> </w:t>
            </w:r>
          </w:p>
        </w:tc>
      </w:tr>
      <w:tr w14:paraId="3F61035B" w14:textId="77777777">
        <w:tblPrEx>
          <w:tblW w:w="8047" w:type="dxa"/>
          <w:tblInd w:w="674" w:type="dxa"/>
          <w:tblCellMar>
            <w:top w:w="109" w:type="dxa"/>
            <w:left w:w="108" w:type="dxa"/>
            <w:bottom w:w="22" w:type="dxa"/>
            <w:right w:w="53" w:type="dxa"/>
          </w:tblCellMar>
          <w:tblLook w:val="04A0"/>
        </w:tblPrEx>
        <w:trPr>
          <w:trHeight w:val="331"/>
        </w:trPr>
        <w:tc>
          <w:tcPr>
            <w:tcW w:w="1658" w:type="dxa"/>
            <w:tcBorders>
              <w:top w:val="single" w:sz="4" w:space="0" w:color="000000"/>
              <w:left w:val="single" w:sz="4" w:space="0" w:color="000000"/>
              <w:bottom w:val="single" w:sz="4" w:space="0" w:color="000000"/>
              <w:right w:val="single" w:sz="4" w:space="0" w:color="000000"/>
            </w:tcBorders>
          </w:tcPr>
          <w:p w:rsidR="00B071F2" w14:paraId="7E149D16" w14:textId="77777777">
            <w:pPr>
              <w:spacing w:after="0" w:line="259" w:lineRule="auto"/>
              <w:ind w:left="2" w:firstLine="0"/>
            </w:pPr>
            <w:r>
              <w:rPr>
                <w:sz w:val="20"/>
              </w:rPr>
              <w:t xml:space="preserve">GS-13, step 5 </w:t>
            </w:r>
            <w:r>
              <w:t xml:space="preserve"> </w:t>
            </w:r>
          </w:p>
        </w:tc>
        <w:tc>
          <w:tcPr>
            <w:tcW w:w="1428" w:type="dxa"/>
            <w:tcBorders>
              <w:top w:val="single" w:sz="4" w:space="0" w:color="000000"/>
              <w:left w:val="single" w:sz="4" w:space="0" w:color="000000"/>
              <w:bottom w:val="single" w:sz="4" w:space="0" w:color="000000"/>
              <w:right w:val="single" w:sz="4" w:space="0" w:color="000000"/>
            </w:tcBorders>
          </w:tcPr>
          <w:p w:rsidR="00B071F2" w14:paraId="77DB4ADA" w14:textId="77777777">
            <w:pPr>
              <w:spacing w:after="0" w:line="259" w:lineRule="auto"/>
              <w:ind w:left="0" w:right="55" w:firstLine="0"/>
              <w:jc w:val="center"/>
            </w:pPr>
            <w:r>
              <w:rPr>
                <w:sz w:val="20"/>
              </w:rPr>
              <w:t xml:space="preserve">$65.48 </w:t>
            </w:r>
            <w:r>
              <w:t xml:space="preserve"> </w:t>
            </w:r>
          </w:p>
        </w:tc>
        <w:tc>
          <w:tcPr>
            <w:tcW w:w="2119" w:type="dxa"/>
            <w:tcBorders>
              <w:top w:val="single" w:sz="4" w:space="0" w:color="000000"/>
              <w:left w:val="single" w:sz="4" w:space="0" w:color="000000"/>
              <w:bottom w:val="single" w:sz="4" w:space="0" w:color="000000"/>
              <w:right w:val="single" w:sz="4" w:space="0" w:color="000000"/>
            </w:tcBorders>
          </w:tcPr>
          <w:p w:rsidR="00B071F2" w14:paraId="32D382C2" w14:textId="77777777">
            <w:pPr>
              <w:spacing w:after="0" w:line="259" w:lineRule="auto"/>
              <w:ind w:left="0" w:right="53" w:firstLine="0"/>
              <w:jc w:val="center"/>
            </w:pPr>
            <w:r>
              <w:rPr>
                <w:sz w:val="20"/>
              </w:rPr>
              <w:t xml:space="preserve">24 </w:t>
            </w:r>
            <w:r>
              <w:t xml:space="preserve"> </w:t>
            </w:r>
          </w:p>
        </w:tc>
        <w:tc>
          <w:tcPr>
            <w:tcW w:w="2842" w:type="dxa"/>
            <w:tcBorders>
              <w:top w:val="single" w:sz="4" w:space="0" w:color="000000"/>
              <w:left w:val="single" w:sz="4" w:space="0" w:color="000000"/>
              <w:bottom w:val="single" w:sz="4" w:space="0" w:color="000000"/>
              <w:right w:val="single" w:sz="4" w:space="0" w:color="000000"/>
            </w:tcBorders>
          </w:tcPr>
          <w:p w:rsidR="00B071F2" w14:paraId="774C262A" w14:textId="77777777">
            <w:pPr>
              <w:spacing w:after="0" w:line="259" w:lineRule="auto"/>
              <w:ind w:left="0" w:right="60" w:firstLine="0"/>
              <w:jc w:val="center"/>
            </w:pPr>
            <w:r>
              <w:rPr>
                <w:sz w:val="20"/>
              </w:rPr>
              <w:t xml:space="preserve">$1,571.52 </w:t>
            </w:r>
            <w:r>
              <w:t xml:space="preserve"> </w:t>
            </w:r>
          </w:p>
        </w:tc>
      </w:tr>
      <w:tr w14:paraId="2F502CDA" w14:textId="77777777">
        <w:tblPrEx>
          <w:tblW w:w="8047" w:type="dxa"/>
          <w:tblInd w:w="674" w:type="dxa"/>
          <w:tblCellMar>
            <w:top w:w="109" w:type="dxa"/>
            <w:left w:w="108" w:type="dxa"/>
            <w:bottom w:w="22" w:type="dxa"/>
            <w:right w:w="53" w:type="dxa"/>
          </w:tblCellMar>
          <w:tblLook w:val="04A0"/>
        </w:tblPrEx>
        <w:trPr>
          <w:trHeight w:val="384"/>
        </w:trPr>
        <w:tc>
          <w:tcPr>
            <w:tcW w:w="1658" w:type="dxa"/>
            <w:tcBorders>
              <w:top w:val="single" w:sz="4" w:space="0" w:color="000000"/>
              <w:left w:val="single" w:sz="4" w:space="0" w:color="000000"/>
              <w:bottom w:val="single" w:sz="4" w:space="0" w:color="000000"/>
              <w:right w:val="single" w:sz="4" w:space="0" w:color="000000"/>
            </w:tcBorders>
            <w:vAlign w:val="bottom"/>
          </w:tcPr>
          <w:p w:rsidR="00B071F2" w14:paraId="07CA9BB2" w14:textId="77777777">
            <w:pPr>
              <w:spacing w:after="0" w:line="259" w:lineRule="auto"/>
              <w:ind w:left="2" w:firstLine="0"/>
            </w:pPr>
            <w:r>
              <w:rPr>
                <w:sz w:val="20"/>
              </w:rPr>
              <w:t xml:space="preserve"> </w:t>
            </w:r>
            <w:r>
              <w:t xml:space="preserve"> </w:t>
            </w:r>
          </w:p>
        </w:tc>
        <w:tc>
          <w:tcPr>
            <w:tcW w:w="1428" w:type="dxa"/>
            <w:tcBorders>
              <w:top w:val="single" w:sz="4" w:space="0" w:color="000000"/>
              <w:left w:val="single" w:sz="4" w:space="0" w:color="000000"/>
              <w:bottom w:val="single" w:sz="4" w:space="0" w:color="000000"/>
              <w:right w:val="single" w:sz="4" w:space="0" w:color="000000"/>
            </w:tcBorders>
            <w:vAlign w:val="bottom"/>
          </w:tcPr>
          <w:p w:rsidR="00B071F2" w14:paraId="02C3A2C8" w14:textId="77777777">
            <w:pPr>
              <w:spacing w:after="0" w:line="259" w:lineRule="auto"/>
              <w:ind w:left="2" w:firstLine="0"/>
            </w:pPr>
            <w:r>
              <w:rPr>
                <w:b/>
                <w:sz w:val="20"/>
              </w:rPr>
              <w:t xml:space="preserve"> </w:t>
            </w:r>
            <w:r>
              <w:t xml:space="preserve"> </w:t>
            </w:r>
          </w:p>
        </w:tc>
        <w:tc>
          <w:tcPr>
            <w:tcW w:w="2119" w:type="dxa"/>
            <w:tcBorders>
              <w:top w:val="single" w:sz="4" w:space="0" w:color="000000"/>
              <w:left w:val="single" w:sz="4" w:space="0" w:color="000000"/>
              <w:bottom w:val="single" w:sz="4" w:space="0" w:color="000000"/>
              <w:right w:val="single" w:sz="4" w:space="0" w:color="000000"/>
            </w:tcBorders>
            <w:vAlign w:val="bottom"/>
          </w:tcPr>
          <w:p w:rsidR="00B071F2" w14:paraId="26487F17" w14:textId="77777777">
            <w:pPr>
              <w:spacing w:after="0" w:line="259" w:lineRule="auto"/>
              <w:ind w:left="0" w:firstLine="0"/>
            </w:pPr>
            <w:r>
              <w:rPr>
                <w:b/>
                <w:sz w:val="20"/>
              </w:rPr>
              <w:t xml:space="preserve"> </w:t>
            </w:r>
            <w:r>
              <w:t xml:space="preserve"> </w:t>
            </w:r>
          </w:p>
        </w:tc>
        <w:tc>
          <w:tcPr>
            <w:tcW w:w="2842" w:type="dxa"/>
            <w:tcBorders>
              <w:top w:val="single" w:sz="4" w:space="0" w:color="000000"/>
              <w:left w:val="single" w:sz="4" w:space="0" w:color="000000"/>
              <w:bottom w:val="single" w:sz="4" w:space="0" w:color="000000"/>
              <w:right w:val="single" w:sz="4" w:space="0" w:color="000000"/>
            </w:tcBorders>
          </w:tcPr>
          <w:p w:rsidR="00B071F2" w14:paraId="4640642F" w14:textId="77777777">
            <w:pPr>
              <w:spacing w:after="0" w:line="259" w:lineRule="auto"/>
              <w:ind w:left="0" w:right="55" w:firstLine="0"/>
              <w:jc w:val="right"/>
            </w:pPr>
            <w:r>
              <w:rPr>
                <w:b/>
                <w:sz w:val="20"/>
              </w:rPr>
              <w:t>TOTAL:</w:t>
            </w:r>
            <w:r>
              <w:rPr>
                <w:sz w:val="20"/>
              </w:rPr>
              <w:t xml:space="preserve">  $1,571.52 </w:t>
            </w:r>
          </w:p>
        </w:tc>
      </w:tr>
    </w:tbl>
    <w:p w:rsidR="00B071F2" w14:paraId="31D56F81" w14:textId="77777777">
      <w:pPr>
        <w:spacing w:after="1" w:line="259" w:lineRule="auto"/>
        <w:ind w:left="0" w:right="1272" w:firstLine="0"/>
        <w:jc w:val="right"/>
      </w:pPr>
      <w:r>
        <w:t xml:space="preserve">     </w:t>
      </w:r>
    </w:p>
    <w:p w:rsidR="00B071F2" w14:paraId="64236634" w14:textId="77777777">
      <w:pPr>
        <w:pStyle w:val="Heading1"/>
        <w:ind w:left="-5"/>
      </w:pPr>
      <w:r>
        <w:rPr>
          <w:u w:val="none"/>
        </w:rPr>
        <w:t xml:space="preserve">15.    </w:t>
      </w:r>
      <w:r>
        <w:t>PROGRAM OR BURDEN CHANGES</w:t>
      </w:r>
      <w:r>
        <w:rPr>
          <w:u w:val="none"/>
        </w:rPr>
        <w:t xml:space="preserve">   </w:t>
      </w:r>
      <w:r>
        <w:rPr>
          <w:i/>
          <w:u w:val="none"/>
        </w:rPr>
        <w:t xml:space="preserve"> </w:t>
      </w:r>
      <w:r>
        <w:rPr>
          <w:u w:val="none"/>
        </w:rPr>
        <w:t xml:space="preserve"> </w:t>
      </w:r>
    </w:p>
    <w:p w:rsidR="00B071F2" w14:paraId="3D14B787" w14:textId="77777777">
      <w:pPr>
        <w:spacing w:after="0" w:line="259" w:lineRule="auto"/>
        <w:ind w:left="14" w:firstLine="0"/>
      </w:pPr>
      <w:r>
        <w:rPr>
          <w:rFonts w:ascii="Times New Roman" w:eastAsia="Times New Roman" w:hAnsi="Times New Roman" w:cs="Times New Roman"/>
        </w:rPr>
        <w:t xml:space="preserve">    </w:t>
      </w:r>
      <w:r>
        <w:t xml:space="preserve"> </w:t>
      </w:r>
    </w:p>
    <w:p w:rsidR="00B071F2" w14:paraId="5ED17954" w14:textId="77777777">
      <w:pPr>
        <w:ind w:left="-5" w:right="1197"/>
      </w:pPr>
      <w:r>
        <w:t xml:space="preserve">As described in more detail below, this iteration contains a minor change to the form. We have also adjusted our burden estimates based on an overall increase in respondents and decrease in Medicare claims filed by the respondents. The BLS adjusted hourly wage has also decreased.   </w:t>
      </w:r>
    </w:p>
    <w:p w:rsidR="00B071F2" w14:paraId="252869B4" w14:textId="77777777">
      <w:pPr>
        <w:spacing w:after="0" w:line="259" w:lineRule="auto"/>
        <w:ind w:left="0" w:firstLine="0"/>
      </w:pPr>
      <w:r>
        <w:t xml:space="preserve"> </w:t>
      </w:r>
    </w:p>
    <w:p w:rsidR="00B071F2" w14:paraId="1A6BDE3B" w14:textId="77777777">
      <w:pPr>
        <w:ind w:left="-5" w:right="1197"/>
      </w:pPr>
      <w:r>
        <w:t xml:space="preserve">After the 60-day public comment period, we revised the ABN form to include the required PRA disclosure statement on the single page document. No changes were made to the form instructions. </w:t>
      </w:r>
    </w:p>
    <w:p w:rsidR="00B071F2" w14:paraId="37394DFB" w14:textId="77777777">
      <w:pPr>
        <w:spacing w:after="0" w:line="259" w:lineRule="auto"/>
        <w:ind w:left="14" w:firstLine="0"/>
      </w:pPr>
      <w:r>
        <w:t xml:space="preserve">     </w:t>
      </w:r>
    </w:p>
    <w:p w:rsidR="00B071F2" w14:paraId="2C717A24" w14:textId="77777777">
      <w:pPr>
        <w:pStyle w:val="Heading2"/>
        <w:ind w:left="-5"/>
      </w:pPr>
      <w:r>
        <w:t xml:space="preserve">Non-substantive Changes   </w:t>
      </w:r>
      <w:r>
        <w:rPr>
          <w:i w:val="0"/>
        </w:rPr>
        <w:t xml:space="preserve"> </w:t>
      </w:r>
      <w:r>
        <w:t xml:space="preserve"> </w:t>
      </w:r>
    </w:p>
    <w:p w:rsidR="00B071F2" w14:paraId="18677665" w14:textId="77777777">
      <w:pPr>
        <w:spacing w:after="0" w:line="259" w:lineRule="auto"/>
        <w:ind w:left="14" w:firstLine="0"/>
      </w:pPr>
      <w:r>
        <w:rPr>
          <w:i/>
        </w:rPr>
        <w:t xml:space="preserve"> </w:t>
      </w:r>
      <w:r>
        <w:t xml:space="preserve">    </w:t>
      </w:r>
    </w:p>
    <w:p w:rsidR="00B071F2" w14:paraId="5435C6D3" w14:textId="77777777">
      <w:pPr>
        <w:ind w:left="-5" w:right="1197"/>
      </w:pPr>
      <w:r>
        <w:t xml:space="preserve">There were no substantive changes made to the ABN form or the form instructions. We did make plain language and information design changes to the form and form instructions according to our OC recommendations. The OC work to apply the same research-based standards across all products and channels to make sure our language, messaging and branding are consistent.   </w:t>
      </w:r>
    </w:p>
    <w:p w:rsidR="00B071F2" w14:paraId="2E196718" w14:textId="77777777">
      <w:pPr>
        <w:spacing w:after="1" w:line="259" w:lineRule="auto"/>
        <w:ind w:left="14" w:firstLine="0"/>
      </w:pPr>
      <w:r>
        <w:t xml:space="preserve">    </w:t>
      </w:r>
    </w:p>
    <w:p w:rsidR="00B071F2" w14:paraId="1F94C06A" w14:textId="77777777">
      <w:pPr>
        <w:pStyle w:val="Heading2"/>
        <w:ind w:left="-5"/>
      </w:pPr>
      <w:r>
        <w:t xml:space="preserve">Adjusted Burden Estimates   </w:t>
      </w:r>
      <w:r>
        <w:rPr>
          <w:i w:val="0"/>
        </w:rPr>
        <w:t xml:space="preserve"> </w:t>
      </w:r>
      <w:r>
        <w:t xml:space="preserve"> </w:t>
      </w:r>
    </w:p>
    <w:p w:rsidR="00B071F2" w14:paraId="28A65AEE" w14:textId="77777777">
      <w:pPr>
        <w:spacing w:after="1" w:line="259" w:lineRule="auto"/>
        <w:ind w:left="14" w:firstLine="0"/>
      </w:pPr>
      <w:r>
        <w:rPr>
          <w:i/>
        </w:rPr>
        <w:t xml:space="preserve"> </w:t>
      </w:r>
      <w:r>
        <w:t xml:space="preserve">    </w:t>
      </w:r>
    </w:p>
    <w:p w:rsidR="00B071F2" w14:paraId="10FB2DB0" w14:textId="77777777">
      <w:pPr>
        <w:ind w:left="-5" w:right="1197"/>
      </w:pPr>
      <w:r>
        <w:t xml:space="preserve">In terms of Medicare’s general growth, the number of participating providers and suppliers has increased since the last PRA submission from 1,701,558 to1,723,755. The number of claims submitted that might receive an ABN has increased from 981,659,485 to 1,005,197,808 claims; from 323,947,630 to 331,715,277 claims associated with an ABN issuance.    </w:t>
      </w:r>
    </w:p>
    <w:p w:rsidR="00B071F2" w14:paraId="0F146885" w14:textId="77777777">
      <w:pPr>
        <w:spacing w:after="0" w:line="259" w:lineRule="auto"/>
        <w:ind w:left="14" w:firstLine="0"/>
      </w:pPr>
      <w:r>
        <w:t xml:space="preserve">     </w:t>
      </w:r>
    </w:p>
    <w:p w:rsidR="00B071F2" w14:paraId="1CFA76E8" w14:textId="77777777">
      <w:pPr>
        <w:ind w:left="-5" w:right="1197"/>
      </w:pPr>
      <w:r>
        <w:t xml:space="preserve">The estimated number of annual responses has increased by 7,767,647 (from 323,947,630 to 331,715,277 claims associated with an ABN issuance) with a corresponding annual hour burden increase of 906,251 hours (from 37,794,970 to 38,701,221with this PRA submission).     </w:t>
      </w:r>
    </w:p>
    <w:p w:rsidR="00B071F2" w14:paraId="4FB06BC9" w14:textId="77777777">
      <w:pPr>
        <w:spacing w:after="1" w:line="259" w:lineRule="auto"/>
        <w:ind w:left="14" w:firstLine="0"/>
      </w:pPr>
      <w:r>
        <w:t xml:space="preserve">     </w:t>
      </w:r>
    </w:p>
    <w:p w:rsidR="00B071F2" w14:paraId="3E23DF21" w14:textId="77777777">
      <w:pPr>
        <w:ind w:left="-5" w:right="1197"/>
      </w:pPr>
      <w:r>
        <w:t xml:space="preserve">The 7 minute/response estimate is unchanged from this collection’s current approval.     </w:t>
      </w:r>
    </w:p>
    <w:p w:rsidR="00B071F2" w14:paraId="0133B80E" w14:textId="77777777">
      <w:pPr>
        <w:spacing w:after="1" w:line="259" w:lineRule="auto"/>
        <w:ind w:left="14" w:firstLine="0"/>
      </w:pPr>
      <w:r>
        <w:t xml:space="preserve">     </w:t>
      </w:r>
    </w:p>
    <w:p w:rsidR="00B071F2" w14:paraId="38289401" w14:textId="77777777">
      <w:pPr>
        <w:ind w:left="-5" w:right="1197"/>
      </w:pPr>
      <w:r>
        <w:t xml:space="preserve">The prior PRA package’s cost calculations used the BLS data with fringe benefits of $59.10/hr. In this submission, we are continuing to use BLS data with fringe benefits of $60.40/hr.     </w:t>
      </w:r>
    </w:p>
    <w:p w:rsidR="00B071F2" w14:paraId="07C2B692" w14:textId="77777777">
      <w:pPr>
        <w:spacing w:after="0" w:line="259" w:lineRule="auto"/>
        <w:ind w:left="14" w:firstLine="0"/>
      </w:pPr>
      <w:r>
        <w:rPr>
          <w:rFonts w:ascii="Times New Roman" w:eastAsia="Times New Roman" w:hAnsi="Times New Roman" w:cs="Times New Roman"/>
        </w:rPr>
        <w:t xml:space="preserve">    </w:t>
      </w:r>
      <w:r>
        <w:t xml:space="preserve"> </w:t>
      </w:r>
    </w:p>
    <w:p w:rsidR="00B071F2" w14:paraId="53E2B390" w14:textId="77777777">
      <w:pPr>
        <w:pStyle w:val="Heading1"/>
        <w:ind w:left="-5"/>
      </w:pPr>
      <w:r>
        <w:rPr>
          <w:u w:val="none"/>
        </w:rPr>
        <w:t xml:space="preserve">16.    </w:t>
      </w:r>
      <w:r>
        <w:t>PUBLICATION AND TABULATION DATES</w:t>
      </w:r>
      <w:r>
        <w:rPr>
          <w:u w:val="none"/>
        </w:rPr>
        <w:t xml:space="preserve">   </w:t>
      </w:r>
      <w:r>
        <w:rPr>
          <w:i/>
          <w:u w:val="none"/>
        </w:rPr>
        <w:t xml:space="preserve"> </w:t>
      </w:r>
      <w:r>
        <w:rPr>
          <w:u w:val="none"/>
        </w:rPr>
        <w:t xml:space="preserve"> </w:t>
      </w:r>
    </w:p>
    <w:p w:rsidR="00B071F2" w14:paraId="3B0F81D1" w14:textId="77777777">
      <w:pPr>
        <w:spacing w:after="0" w:line="259" w:lineRule="auto"/>
        <w:ind w:left="14" w:firstLine="0"/>
      </w:pPr>
      <w:r>
        <w:rPr>
          <w:rFonts w:ascii="Times New Roman" w:eastAsia="Times New Roman" w:hAnsi="Times New Roman" w:cs="Times New Roman"/>
        </w:rPr>
        <w:t xml:space="preserve">    </w:t>
      </w:r>
      <w:r>
        <w:t xml:space="preserve"> </w:t>
      </w:r>
    </w:p>
    <w:p w:rsidR="00B071F2" w14:paraId="5CF3F4FB" w14:textId="77777777">
      <w:pPr>
        <w:ind w:left="-5" w:right="1197"/>
      </w:pPr>
      <w:r>
        <w:t xml:space="preserve">The notices will be posted in the download section of the ABN website at: </w:t>
      </w:r>
      <w:hyperlink r:id="rId5">
        <w:r>
          <w:rPr>
            <w:color w:val="0563C1"/>
            <w:u w:val="single" w:color="0563C1"/>
          </w:rPr>
          <w:t>FFS</w:t>
        </w:r>
      </w:hyperlink>
      <w:hyperlink r:id="rId5">
        <w:r>
          <w:rPr>
            <w:color w:val="0563C1"/>
          </w:rPr>
          <w:t xml:space="preserve"> </w:t>
        </w:r>
      </w:hyperlink>
      <w:hyperlink r:id="rId5">
        <w:r>
          <w:t xml:space="preserve"> </w:t>
        </w:r>
      </w:hyperlink>
      <w:hyperlink r:id="rId5">
        <w:r>
          <w:rPr>
            <w:color w:val="0563C1"/>
            <w:u w:val="single" w:color="0563C1"/>
          </w:rPr>
          <w:t>AB</w:t>
        </w:r>
      </w:hyperlink>
      <w:hyperlink r:id="rId5">
        <w:r>
          <w:rPr>
            <w:color w:val="0563C1"/>
            <w:u w:val="single" w:color="0563C1"/>
          </w:rPr>
          <w:t>N</w:t>
        </w:r>
      </w:hyperlink>
      <w:hyperlink r:id="rId5">
        <w:r>
          <w:t xml:space="preserve">  </w:t>
        </w:r>
      </w:hyperlink>
    </w:p>
    <w:p w:rsidR="00B071F2" w14:paraId="160A3B05" w14:textId="77777777">
      <w:pPr>
        <w:spacing w:after="0" w:line="259" w:lineRule="auto"/>
        <w:ind w:left="14" w:firstLine="0"/>
      </w:pPr>
      <w:r>
        <w:t xml:space="preserve">     </w:t>
      </w:r>
    </w:p>
    <w:p w:rsidR="00B071F2" w14:paraId="2186EFA2" w14:textId="77777777">
      <w:pPr>
        <w:ind w:left="-5" w:right="1197"/>
      </w:pPr>
      <w:r>
        <w:t xml:space="preserve">No aggregate or individual data will be tabulated from them.     </w:t>
      </w:r>
    </w:p>
    <w:p w:rsidR="00B071F2" w14:paraId="50A3D1E6" w14:textId="77777777">
      <w:pPr>
        <w:spacing w:after="0" w:line="259" w:lineRule="auto"/>
        <w:ind w:left="14" w:firstLine="0"/>
      </w:pPr>
      <w:r>
        <w:rPr>
          <w:rFonts w:ascii="Times New Roman" w:eastAsia="Times New Roman" w:hAnsi="Times New Roman" w:cs="Times New Roman"/>
        </w:rPr>
        <w:t xml:space="preserve">    </w:t>
      </w:r>
      <w:r>
        <w:t xml:space="preserve"> </w:t>
      </w:r>
    </w:p>
    <w:p w:rsidR="00B071F2" w14:paraId="37B8394D" w14:textId="77777777">
      <w:pPr>
        <w:pStyle w:val="Heading1"/>
        <w:ind w:left="-5"/>
      </w:pPr>
      <w:r>
        <w:rPr>
          <w:u w:val="none"/>
        </w:rPr>
        <w:t xml:space="preserve">17.    </w:t>
      </w:r>
      <w:r>
        <w:t>EXPIRATION DATE</w:t>
      </w:r>
      <w:r>
        <w:rPr>
          <w:u w:val="none"/>
        </w:rPr>
        <w:t xml:space="preserve">   </w:t>
      </w:r>
      <w:r>
        <w:rPr>
          <w:i/>
          <w:u w:val="none"/>
        </w:rPr>
        <w:t xml:space="preserve"> </w:t>
      </w:r>
      <w:r>
        <w:rPr>
          <w:u w:val="none"/>
        </w:rPr>
        <w:t xml:space="preserve"> </w:t>
      </w:r>
    </w:p>
    <w:p w:rsidR="00B071F2" w14:paraId="317B0329" w14:textId="77777777">
      <w:pPr>
        <w:spacing w:after="0" w:line="259" w:lineRule="auto"/>
        <w:ind w:left="14" w:firstLine="0"/>
      </w:pPr>
      <w:r>
        <w:t xml:space="preserve">     </w:t>
      </w:r>
    </w:p>
    <w:p w:rsidR="00B071F2" w14:paraId="5734FA9C" w14:textId="77777777">
      <w:pPr>
        <w:ind w:left="-5" w:right="1197"/>
      </w:pPr>
      <w:r>
        <w:t xml:space="preserve">We are not requesting this exemption; we plan to display the expiration date and OMB control number on all ABN forms.   </w:t>
      </w:r>
    </w:p>
    <w:p w:rsidR="00B071F2" w14:paraId="267F0DC9" w14:textId="77777777">
      <w:pPr>
        <w:spacing w:after="1" w:line="259" w:lineRule="auto"/>
        <w:ind w:left="14" w:firstLine="0"/>
      </w:pPr>
      <w:r>
        <w:t xml:space="preserve">     </w:t>
      </w:r>
    </w:p>
    <w:p w:rsidR="00B071F2" w14:paraId="7340AD0F" w14:textId="77777777">
      <w:pPr>
        <w:pStyle w:val="Heading1"/>
        <w:ind w:left="-5"/>
      </w:pPr>
      <w:r>
        <w:rPr>
          <w:u w:val="none"/>
        </w:rPr>
        <w:t xml:space="preserve">18.    </w:t>
      </w:r>
      <w:r>
        <w:t>CERTIFICATION STATEMENT</w:t>
      </w:r>
      <w:r>
        <w:rPr>
          <w:u w:val="none"/>
        </w:rPr>
        <w:t xml:space="preserve">   </w:t>
      </w:r>
      <w:r>
        <w:rPr>
          <w:i/>
          <w:u w:val="none"/>
        </w:rPr>
        <w:t xml:space="preserve"> </w:t>
      </w:r>
      <w:r>
        <w:rPr>
          <w:u w:val="none"/>
        </w:rPr>
        <w:t xml:space="preserve"> </w:t>
      </w:r>
    </w:p>
    <w:p w:rsidR="00B071F2" w14:paraId="133C1EE0" w14:textId="77777777">
      <w:pPr>
        <w:spacing w:after="0" w:line="259" w:lineRule="auto"/>
        <w:ind w:left="14" w:firstLine="0"/>
      </w:pPr>
      <w:r>
        <w:t xml:space="preserve">     </w:t>
      </w:r>
    </w:p>
    <w:p w:rsidR="00B071F2" w14:paraId="047925C2" w14:textId="77777777">
      <w:pPr>
        <w:ind w:left="-5" w:right="1197"/>
      </w:pPr>
      <w:r>
        <w:t xml:space="preserve">There are no exceptions to the certification statement.     </w:t>
      </w:r>
    </w:p>
    <w:p w:rsidR="00B071F2" w14:paraId="36AA47AA" w14:textId="77777777">
      <w:pPr>
        <w:spacing w:after="0" w:line="259" w:lineRule="auto"/>
        <w:ind w:left="14" w:firstLine="0"/>
      </w:pPr>
      <w:r>
        <w:t xml:space="preserve">     </w:t>
      </w:r>
    </w:p>
    <w:p w:rsidR="00B071F2" w14:paraId="3D8C0379" w14:textId="77777777">
      <w:pPr>
        <w:spacing w:after="65"/>
        <w:ind w:left="-5" w:right="1197"/>
      </w:pPr>
      <w:r>
        <w:t xml:space="preserve">B.     COLLECTION OF INFORMATION EMPLOYING STATISTICAL METHODS     </w:t>
      </w:r>
    </w:p>
    <w:p w:rsidR="00B071F2" w14:paraId="3F6E1412" w14:textId="77777777">
      <w:pPr>
        <w:spacing w:after="0" w:line="259" w:lineRule="auto"/>
        <w:ind w:left="734" w:firstLine="0"/>
      </w:pPr>
      <w:r>
        <w:t xml:space="preserve">  </w:t>
      </w:r>
    </w:p>
    <w:p w:rsidR="00B071F2" w14:paraId="7D04CB94" w14:textId="77777777">
      <w:pPr>
        <w:spacing w:after="3" w:line="259" w:lineRule="auto"/>
        <w:ind w:left="10" w:right="1824"/>
        <w:jc w:val="center"/>
      </w:pPr>
      <w:r>
        <w:t xml:space="preserve">There are no statistical methods associated with this collection.   </w:t>
      </w:r>
    </w:p>
    <w:sectPr>
      <w:pgSz w:w="12240" w:h="15840"/>
      <w:pgMar w:top="1565" w:right="238" w:bottom="1574" w:left="1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437AA6"/>
    <w:multiLevelType w:val="hybridMultilevel"/>
    <w:tmpl w:val="0124FC72"/>
    <w:lvl w:ilvl="0">
      <w:start w:val="10"/>
      <w:numFmt w:val="decimal"/>
      <w:lvlText w:val="%1."/>
      <w:lvlJc w:val="left"/>
      <w:pPr>
        <w:ind w:left="72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abstractNum>
  <w:abstractNum w:abstractNumId="1">
    <w:nsid w:val="2DD742B1"/>
    <w:multiLevelType w:val="hybridMultilevel"/>
    <w:tmpl w:val="6E947D74"/>
    <w:lvl w:ilvl="0">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nsid w:val="340603F1"/>
    <w:multiLevelType w:val="hybridMultilevel"/>
    <w:tmpl w:val="BBA41494"/>
    <w:lvl w:ilvl="0">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nsid w:val="564C65D5"/>
    <w:multiLevelType w:val="hybridMultilevel"/>
    <w:tmpl w:val="D1926614"/>
    <w:lvl w:ilvl="0">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nsid w:val="60C659B9"/>
    <w:multiLevelType w:val="hybridMultilevel"/>
    <w:tmpl w:val="A3B62E82"/>
    <w:lvl w:ilvl="0">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124929385">
    <w:abstractNumId w:val="4"/>
  </w:num>
  <w:num w:numId="2" w16cid:durableId="1111627558">
    <w:abstractNumId w:val="2"/>
  </w:num>
  <w:num w:numId="3" w16cid:durableId="1254701099">
    <w:abstractNumId w:val="1"/>
  </w:num>
  <w:num w:numId="4" w16cid:durableId="359403162">
    <w:abstractNumId w:val="0"/>
  </w:num>
  <w:num w:numId="5" w16cid:durableId="8647554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1F2"/>
    <w:rsid w:val="002C1B41"/>
    <w:rsid w:val="0061407D"/>
    <w:rsid w:val="00B071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A10710E"/>
  <w15:docId w15:val="{BDB796B1-7768-489C-9129-05DF90283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57" w:lineRule="auto"/>
      <w:ind w:left="1649" w:hanging="10"/>
    </w:pPr>
    <w:rPr>
      <w:rFonts w:ascii="Century Gothic" w:eastAsia="Century Gothic" w:hAnsi="Century Gothic" w:cs="Century Gothic"/>
      <w:color w:val="000000"/>
    </w:rPr>
  </w:style>
  <w:style w:type="paragraph" w:styleId="Heading1">
    <w:name w:val="heading 1"/>
    <w:next w:val="Normal"/>
    <w:link w:val="Heading1Char"/>
    <w:uiPriority w:val="9"/>
    <w:qFormat/>
    <w:pPr>
      <w:keepNext/>
      <w:keepLines/>
      <w:spacing w:after="16" w:line="259" w:lineRule="auto"/>
      <w:ind w:left="10" w:hanging="10"/>
      <w:outlineLvl w:val="0"/>
    </w:pPr>
    <w:rPr>
      <w:rFonts w:ascii="Century Gothic" w:eastAsia="Century Gothic" w:hAnsi="Century Gothic" w:cs="Century Gothic"/>
      <w:color w:val="000000"/>
      <w:u w:val="single" w:color="000000"/>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Century Gothic" w:eastAsia="Century Gothic" w:hAnsi="Century Gothic" w:cs="Century Gothic"/>
      <w:i/>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color w:val="000000"/>
      <w:sz w:val="24"/>
      <w:u w:val="single" w:color="000000"/>
    </w:rPr>
  </w:style>
  <w:style w:type="character" w:customStyle="1" w:styleId="Heading2Char">
    <w:name w:val="Heading 2 Char"/>
    <w:link w:val="Heading2"/>
    <w:rPr>
      <w:rFonts w:ascii="Century Gothic" w:eastAsia="Century Gothic" w:hAnsi="Century Gothic" w:cs="Century Gothic"/>
      <w: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2.ccwdata.org/web/guest/medicare-tables-reports" TargetMode="External" /><Relationship Id="rId5" Type="http://schemas.openxmlformats.org/officeDocument/2006/relationships/hyperlink" Target="https://www.cms.gov/medicare/forms-notices/beneficiary-notices-initiative/ffs-abn" TargetMode="External" /><Relationship Id="rId6" Type="http://schemas.openxmlformats.org/officeDocument/2006/relationships/hyperlink" Target="https://data.cms.gov/summary-statistics-on-provider-enrollment/medicare-provider-type-reports/cms-program-statistics-medicare-providers" TargetMode="External" /><Relationship Id="rId7" Type="http://schemas.openxmlformats.org/officeDocument/2006/relationships/hyperlink" Target="https://www.cms.gov/Research-Statistics-Data-and-Systems/Statistics-Trends-and-Reports/CMSProgramStatistics/2017/2017_Providers.html" TargetMode="External" /><Relationship Id="rId8" Type="http://schemas.openxmlformats.org/officeDocument/2006/relationships/hyperlink" Target="http://www.bls.gov/oes/current/oes_nat.htm" TargetMode="External" /><Relationship Id="rId9" Type="http://schemas.openxmlformats.org/officeDocument/2006/relationships/hyperlink" Target="https://www.opm.gov/policy-data-oversight/pay-leave/salaries-wages/salary-tables/pdf/2025/DCB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3582</Words>
  <Characters>20418</Characters>
  <Application>Microsoft Office Word</Application>
  <DocSecurity>0</DocSecurity>
  <Lines>170</Lines>
  <Paragraphs>47</Paragraphs>
  <ScaleCrop>false</ScaleCrop>
  <Company>Center For Medicaid Services</Company>
  <LinksUpToDate>false</LinksUpToDate>
  <CharactersWithSpaces>23953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Chris Gayhead</dc:creator>
  <cp:lastModifiedBy>McKenzie, Stephan (CMS/OSORA)</cp:lastModifiedBy>
  <cp:revision>2</cp:revision>
  <dcterms:created xsi:type="dcterms:W3CDTF">2025-11-21T14:23:00Z</dcterms:created>
  <dcterms:modified xsi:type="dcterms:W3CDTF">2025-11-21T14:23:00Z</dcterms:modified>
</cp:coreProperties>
</file>