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52B" w:rsidRPr="00D94F41" w:rsidP="00A766F7" w14:paraId="14134641" w14:textId="4E604CFD">
      <w:pPr>
        <w:pStyle w:val="Heading1"/>
        <w:spacing w:before="480" w:after="1080" w:line="264" w:lineRule="auto"/>
        <w:ind w:left="0" w:right="0"/>
      </w:pPr>
      <w:r w:rsidRPr="00D94F41">
        <w:t>Supporting Statement B</w:t>
      </w:r>
      <w:r w:rsidR="00632E4F">
        <w:t xml:space="preserve"> </w:t>
      </w:r>
      <w:r w:rsidRPr="00D94F41" w:rsidR="00AA22B0">
        <w:br/>
      </w:r>
      <w:r w:rsidRPr="00D94F41">
        <w:t xml:space="preserve">For Revision of Currently Approved Collection: </w:t>
      </w:r>
      <w:r w:rsidRPr="00D94F41" w:rsidR="00AA22B0">
        <w:br/>
      </w:r>
      <w:r w:rsidRPr="00D94F41">
        <w:t>Medicare Current Beneficiary Survey (MCBS)</w:t>
      </w:r>
    </w:p>
    <w:p w:rsidR="00066B99" w:rsidRPr="00D94F41" w:rsidP="00066B99" w14:paraId="0AF679AC" w14:textId="77777777">
      <w:pPr>
        <w:pStyle w:val="BodyText"/>
        <w:spacing w:after="240"/>
        <w:jc w:val="center"/>
        <w:rPr>
          <w:sz w:val="28"/>
          <w:szCs w:val="28"/>
        </w:rPr>
      </w:pPr>
      <w:r w:rsidRPr="00D94F41">
        <w:rPr>
          <w:sz w:val="28"/>
          <w:szCs w:val="28"/>
        </w:rPr>
        <w:t>Contact Information:</w:t>
      </w:r>
    </w:p>
    <w:p w:rsidR="00632E4F" w:rsidP="00632E4F" w14:paraId="6D4A79B5" w14:textId="77777777">
      <w:pPr>
        <w:pStyle w:val="BodyText"/>
        <w:spacing w:after="0"/>
        <w:jc w:val="center"/>
        <w:rPr>
          <w:sz w:val="28"/>
          <w:szCs w:val="28"/>
        </w:rPr>
      </w:pPr>
      <w:r w:rsidRPr="00D94F41">
        <w:rPr>
          <w:sz w:val="28"/>
          <w:szCs w:val="28"/>
        </w:rPr>
        <w:t>William S. Long</w:t>
      </w:r>
    </w:p>
    <w:p w:rsidR="00632E4F" w:rsidP="44558A9E" w14:paraId="55BDE468" w14:textId="2EEF1633">
      <w:pPr>
        <w:pStyle w:val="BodyText"/>
        <w:spacing w:after="0"/>
        <w:jc w:val="center"/>
        <w:rPr>
          <w:sz w:val="28"/>
          <w:szCs w:val="28"/>
        </w:rPr>
      </w:pPr>
      <w:r w:rsidRPr="44558A9E">
        <w:rPr>
          <w:sz w:val="28"/>
          <w:szCs w:val="28"/>
        </w:rPr>
        <w:t>Contracting Officer’s Representative, Medicare Current Beneficiary Survey</w:t>
      </w:r>
    </w:p>
    <w:p w:rsidR="00632E4F" w:rsidP="00632E4F" w14:paraId="2613DC70" w14:textId="62D96B63">
      <w:pPr>
        <w:pStyle w:val="BodyText"/>
        <w:spacing w:after="0"/>
        <w:jc w:val="center"/>
        <w:rPr>
          <w:sz w:val="28"/>
          <w:szCs w:val="28"/>
        </w:rPr>
      </w:pPr>
      <w:r w:rsidRPr="44558A9E">
        <w:rPr>
          <w:sz w:val="28"/>
          <w:szCs w:val="28"/>
        </w:rPr>
        <w:t xml:space="preserve"> Office of Enterprise Data and Analytics (OEDA)/CMS</w:t>
      </w:r>
    </w:p>
    <w:p w:rsidR="00632E4F" w:rsidP="00632E4F" w14:paraId="18AC819F" w14:textId="6B030635">
      <w:pPr>
        <w:pStyle w:val="BodyText"/>
        <w:spacing w:after="0"/>
        <w:jc w:val="center"/>
        <w:rPr>
          <w:sz w:val="28"/>
          <w:szCs w:val="28"/>
        </w:rPr>
      </w:pPr>
      <w:r w:rsidRPr="24B1E477">
        <w:rPr>
          <w:sz w:val="28"/>
          <w:szCs w:val="28"/>
        </w:rPr>
        <w:t>7500 Security Boulevard, Mail Stop Mailstop N2-19-197</w:t>
      </w:r>
    </w:p>
    <w:p w:rsidR="00632E4F" w:rsidP="00632E4F" w14:paraId="1A34DD7C" w14:textId="77777777">
      <w:pPr>
        <w:pStyle w:val="BodyText"/>
        <w:spacing w:after="0"/>
        <w:jc w:val="center"/>
        <w:rPr>
          <w:sz w:val="28"/>
          <w:szCs w:val="28"/>
        </w:rPr>
      </w:pPr>
      <w:r w:rsidRPr="24B1E477">
        <w:rPr>
          <w:sz w:val="28"/>
          <w:szCs w:val="28"/>
        </w:rPr>
        <w:t>Baltimore, MD 21244</w:t>
      </w:r>
    </w:p>
    <w:p w:rsidR="00632E4F" w:rsidP="00066B99" w14:paraId="2742F290" w14:textId="5CB8449F">
      <w:pPr>
        <w:pStyle w:val="BodyText"/>
        <w:spacing w:after="960"/>
        <w:jc w:val="center"/>
        <w:rPr>
          <w:sz w:val="28"/>
          <w:szCs w:val="28"/>
        </w:rPr>
      </w:pPr>
      <w:hyperlink r:id="rId6" w:tooltip="Email William Long" w:history="1">
        <w:r w:rsidRPr="24B1E477">
          <w:rPr>
            <w:sz w:val="28"/>
            <w:szCs w:val="28"/>
            <w:u w:val="single"/>
          </w:rPr>
          <w:t>william.long@cms.hhs.gov</w:t>
        </w:r>
      </w:hyperlink>
      <w:r w:rsidRPr="24B1E477">
        <w:rPr>
          <w:sz w:val="28"/>
          <w:szCs w:val="28"/>
        </w:rPr>
        <w:t xml:space="preserve"> (410) 786-7927</w:t>
      </w:r>
    </w:p>
    <w:p w:rsidR="0088452B" w:rsidRPr="00CF2B93" w:rsidP="00AD0D2A" w14:paraId="039AB3FA" w14:textId="5641DB46">
      <w:pPr>
        <w:pStyle w:val="BodyText"/>
        <w:spacing w:before="2400"/>
        <w:jc w:val="center"/>
      </w:pPr>
      <w:r>
        <w:t>October 7</w:t>
      </w:r>
      <w:r w:rsidR="00782BCA">
        <w:t>,</w:t>
      </w:r>
      <w:r w:rsidR="00B45B10">
        <w:t xml:space="preserve"> 2025</w:t>
      </w:r>
    </w:p>
    <w:p w:rsidR="0088452B" w:rsidRPr="00D94F41" w14:paraId="60F72588" w14:textId="77777777">
      <w:pPr>
        <w:jc w:val="center"/>
        <w:rPr>
          <w:sz w:val="28"/>
        </w:rPr>
        <w:sectPr w:rsidSect="0005551B">
          <w:type w:val="continuous"/>
          <w:pgSz w:w="12240" w:h="15840" w:code="1"/>
          <w:pgMar w:top="1440" w:right="1440" w:bottom="1080" w:left="1440" w:header="720" w:footer="720" w:gutter="0"/>
          <w:cols w:space="720"/>
        </w:sectPr>
      </w:pPr>
    </w:p>
    <w:p w:rsidR="0088452B" w:rsidRPr="00D94F41" w:rsidP="00AA22B0" w14:paraId="0467B697" w14:textId="77777777">
      <w:pPr>
        <w:pStyle w:val="Heading2-NoTOC"/>
      </w:pPr>
      <w:bookmarkStart w:id="0" w:name="Table_of_Contents"/>
      <w:bookmarkEnd w:id="0"/>
      <w:r w:rsidRPr="00D94F41">
        <w:t>Table of Contents</w:t>
      </w:r>
    </w:p>
    <w:p w:rsidR="008174B4" w14:paraId="573F3481" w14:textId="7CD270E6">
      <w:pPr>
        <w:pStyle w:val="TOC1"/>
        <w:rPr>
          <w:rFonts w:asciiTheme="minorHAnsi" w:eastAsiaTheme="minorEastAsia" w:hAnsiTheme="minorHAnsi" w:cstheme="minorBidi"/>
          <w:kern w:val="2"/>
          <w:szCs w:val="24"/>
          <w14:ligatures w14:val="standardContextual"/>
        </w:rPr>
      </w:pPr>
      <w:r w:rsidRPr="00D94F41">
        <w:rPr>
          <w:szCs w:val="24"/>
        </w:rPr>
        <w:fldChar w:fldCharType="begin"/>
      </w:r>
      <w:r w:rsidRPr="00D94F41">
        <w:rPr>
          <w:szCs w:val="24"/>
        </w:rPr>
        <w:instrText xml:space="preserve"> TOC \h \z \t "Heading 2,1,Heading 3,2" </w:instrText>
      </w:r>
      <w:r w:rsidRPr="00D94F41">
        <w:rPr>
          <w:szCs w:val="24"/>
        </w:rPr>
        <w:fldChar w:fldCharType="separate"/>
      </w:r>
      <w:hyperlink w:anchor="_Toc210636323" w:history="1">
        <w:r w:rsidRPr="00D93A77">
          <w:rPr>
            <w:rStyle w:val="Hyperlink"/>
          </w:rPr>
          <w:t>B.</w:t>
        </w:r>
        <w:r>
          <w:rPr>
            <w:rFonts w:asciiTheme="minorHAnsi" w:eastAsiaTheme="minorEastAsia" w:hAnsiTheme="minorHAnsi" w:cstheme="minorBidi"/>
            <w:kern w:val="2"/>
            <w:szCs w:val="24"/>
            <w14:ligatures w14:val="standardContextual"/>
          </w:rPr>
          <w:tab/>
        </w:r>
        <w:r w:rsidRPr="00D93A77">
          <w:rPr>
            <w:rStyle w:val="Hyperlink"/>
          </w:rPr>
          <w:t>Statistical Methods</w:t>
        </w:r>
        <w:r>
          <w:rPr>
            <w:webHidden/>
          </w:rPr>
          <w:tab/>
        </w:r>
        <w:r>
          <w:rPr>
            <w:webHidden/>
          </w:rPr>
          <w:fldChar w:fldCharType="begin"/>
        </w:r>
        <w:r>
          <w:rPr>
            <w:webHidden/>
          </w:rPr>
          <w:instrText xml:space="preserve"> PAGEREF _Toc210636323 \h </w:instrText>
        </w:r>
        <w:r>
          <w:rPr>
            <w:webHidden/>
          </w:rPr>
          <w:fldChar w:fldCharType="separate"/>
        </w:r>
        <w:r>
          <w:rPr>
            <w:webHidden/>
          </w:rPr>
          <w:t>1</w:t>
        </w:r>
        <w:r>
          <w:rPr>
            <w:webHidden/>
          </w:rPr>
          <w:fldChar w:fldCharType="end"/>
        </w:r>
      </w:hyperlink>
    </w:p>
    <w:p w:rsidR="008174B4" w14:paraId="2ECE2117" w14:textId="71E592B6">
      <w:pPr>
        <w:pStyle w:val="TOC2"/>
        <w:rPr>
          <w:rFonts w:asciiTheme="minorHAnsi" w:eastAsiaTheme="minorEastAsia" w:hAnsiTheme="minorHAnsi" w:cstheme="minorBidi"/>
          <w:kern w:val="2"/>
          <w:szCs w:val="24"/>
          <w14:ligatures w14:val="standardContextual"/>
        </w:rPr>
      </w:pPr>
      <w:hyperlink w:anchor="_Toc210636324" w:history="1">
        <w:r w:rsidRPr="00D93A77">
          <w:rPr>
            <w:rStyle w:val="Hyperlink"/>
          </w:rPr>
          <w:t>B1.</w:t>
        </w:r>
        <w:r>
          <w:rPr>
            <w:rFonts w:asciiTheme="minorHAnsi" w:eastAsiaTheme="minorEastAsia" w:hAnsiTheme="minorHAnsi" w:cstheme="minorBidi"/>
            <w:kern w:val="2"/>
            <w:szCs w:val="24"/>
            <w14:ligatures w14:val="standardContextual"/>
          </w:rPr>
          <w:tab/>
        </w:r>
        <w:r w:rsidRPr="00D93A77">
          <w:rPr>
            <w:rStyle w:val="Hyperlink"/>
          </w:rPr>
          <w:t>Universe and Respondent Selection</w:t>
        </w:r>
        <w:r>
          <w:rPr>
            <w:webHidden/>
          </w:rPr>
          <w:tab/>
        </w:r>
        <w:r>
          <w:rPr>
            <w:webHidden/>
          </w:rPr>
          <w:fldChar w:fldCharType="begin"/>
        </w:r>
        <w:r>
          <w:rPr>
            <w:webHidden/>
          </w:rPr>
          <w:instrText xml:space="preserve"> PAGEREF _Toc210636324 \h </w:instrText>
        </w:r>
        <w:r>
          <w:rPr>
            <w:webHidden/>
          </w:rPr>
          <w:fldChar w:fldCharType="separate"/>
        </w:r>
        <w:r>
          <w:rPr>
            <w:webHidden/>
          </w:rPr>
          <w:t>2</w:t>
        </w:r>
        <w:r>
          <w:rPr>
            <w:webHidden/>
          </w:rPr>
          <w:fldChar w:fldCharType="end"/>
        </w:r>
      </w:hyperlink>
    </w:p>
    <w:p w:rsidR="008174B4" w14:paraId="34D83C3C" w14:textId="48736AC7">
      <w:pPr>
        <w:pStyle w:val="TOC2"/>
        <w:rPr>
          <w:rFonts w:asciiTheme="minorHAnsi" w:eastAsiaTheme="minorEastAsia" w:hAnsiTheme="minorHAnsi" w:cstheme="minorBidi"/>
          <w:kern w:val="2"/>
          <w:szCs w:val="24"/>
          <w14:ligatures w14:val="standardContextual"/>
        </w:rPr>
      </w:pPr>
      <w:hyperlink w:anchor="_Toc210636325" w:history="1">
        <w:r w:rsidRPr="00D93A77">
          <w:rPr>
            <w:rStyle w:val="Hyperlink"/>
          </w:rPr>
          <w:t>B2.</w:t>
        </w:r>
        <w:r>
          <w:rPr>
            <w:rFonts w:asciiTheme="minorHAnsi" w:eastAsiaTheme="minorEastAsia" w:hAnsiTheme="minorHAnsi" w:cstheme="minorBidi"/>
            <w:kern w:val="2"/>
            <w:szCs w:val="24"/>
            <w14:ligatures w14:val="standardContextual"/>
          </w:rPr>
          <w:tab/>
        </w:r>
        <w:r w:rsidRPr="00D93A77">
          <w:rPr>
            <w:rStyle w:val="Hyperlink"/>
          </w:rPr>
          <w:t>Procedures for Collecting Information</w:t>
        </w:r>
        <w:r>
          <w:rPr>
            <w:webHidden/>
          </w:rPr>
          <w:tab/>
        </w:r>
        <w:r>
          <w:rPr>
            <w:webHidden/>
          </w:rPr>
          <w:fldChar w:fldCharType="begin"/>
        </w:r>
        <w:r>
          <w:rPr>
            <w:webHidden/>
          </w:rPr>
          <w:instrText xml:space="preserve"> PAGEREF _Toc210636325 \h </w:instrText>
        </w:r>
        <w:r>
          <w:rPr>
            <w:webHidden/>
          </w:rPr>
          <w:fldChar w:fldCharType="separate"/>
        </w:r>
        <w:r>
          <w:rPr>
            <w:webHidden/>
          </w:rPr>
          <w:t>4</w:t>
        </w:r>
        <w:r>
          <w:rPr>
            <w:webHidden/>
          </w:rPr>
          <w:fldChar w:fldCharType="end"/>
        </w:r>
      </w:hyperlink>
    </w:p>
    <w:p w:rsidR="008174B4" w14:paraId="668B8B35" w14:textId="7E5C301D">
      <w:pPr>
        <w:pStyle w:val="TOC2"/>
        <w:rPr>
          <w:rFonts w:asciiTheme="minorHAnsi" w:eastAsiaTheme="minorEastAsia" w:hAnsiTheme="minorHAnsi" w:cstheme="minorBidi"/>
          <w:kern w:val="2"/>
          <w:szCs w:val="24"/>
          <w14:ligatures w14:val="standardContextual"/>
        </w:rPr>
      </w:pPr>
      <w:hyperlink w:anchor="_Toc210636326" w:history="1">
        <w:r w:rsidRPr="00D93A77">
          <w:rPr>
            <w:rStyle w:val="Hyperlink"/>
          </w:rPr>
          <w:t>B3.</w:t>
        </w:r>
        <w:r>
          <w:rPr>
            <w:rFonts w:asciiTheme="minorHAnsi" w:eastAsiaTheme="minorEastAsia" w:hAnsiTheme="minorHAnsi" w:cstheme="minorBidi"/>
            <w:kern w:val="2"/>
            <w:szCs w:val="24"/>
            <w14:ligatures w14:val="standardContextual"/>
          </w:rPr>
          <w:tab/>
        </w:r>
        <w:r w:rsidRPr="00D93A77">
          <w:rPr>
            <w:rStyle w:val="Hyperlink"/>
          </w:rPr>
          <w:t>Methods for Maximizing Response Rates and Dealing with Issues of Non-Response</w:t>
        </w:r>
        <w:r>
          <w:rPr>
            <w:webHidden/>
          </w:rPr>
          <w:tab/>
        </w:r>
        <w:r>
          <w:rPr>
            <w:webHidden/>
          </w:rPr>
          <w:fldChar w:fldCharType="begin"/>
        </w:r>
        <w:r>
          <w:rPr>
            <w:webHidden/>
          </w:rPr>
          <w:instrText xml:space="preserve"> PAGEREF _Toc210636326 \h </w:instrText>
        </w:r>
        <w:r>
          <w:rPr>
            <w:webHidden/>
          </w:rPr>
          <w:fldChar w:fldCharType="separate"/>
        </w:r>
        <w:r>
          <w:rPr>
            <w:webHidden/>
          </w:rPr>
          <w:t>18</w:t>
        </w:r>
        <w:r>
          <w:rPr>
            <w:webHidden/>
          </w:rPr>
          <w:fldChar w:fldCharType="end"/>
        </w:r>
      </w:hyperlink>
    </w:p>
    <w:p w:rsidR="008174B4" w14:paraId="1268600D" w14:textId="180D3B35">
      <w:pPr>
        <w:pStyle w:val="TOC2"/>
        <w:rPr>
          <w:rFonts w:asciiTheme="minorHAnsi" w:eastAsiaTheme="minorEastAsia" w:hAnsiTheme="minorHAnsi" w:cstheme="minorBidi"/>
          <w:kern w:val="2"/>
          <w:szCs w:val="24"/>
          <w14:ligatures w14:val="standardContextual"/>
        </w:rPr>
      </w:pPr>
      <w:hyperlink w:anchor="_Toc210636327" w:history="1">
        <w:r w:rsidRPr="00D93A77">
          <w:rPr>
            <w:rStyle w:val="Hyperlink"/>
          </w:rPr>
          <w:t>B4.</w:t>
        </w:r>
        <w:r>
          <w:rPr>
            <w:rFonts w:asciiTheme="minorHAnsi" w:eastAsiaTheme="minorEastAsia" w:hAnsiTheme="minorHAnsi" w:cstheme="minorBidi"/>
            <w:kern w:val="2"/>
            <w:szCs w:val="24"/>
            <w14:ligatures w14:val="standardContextual"/>
          </w:rPr>
          <w:tab/>
        </w:r>
        <w:r w:rsidRPr="00D93A77">
          <w:rPr>
            <w:rStyle w:val="Hyperlink"/>
          </w:rPr>
          <w:t>Tests of Procedures or Methods</w:t>
        </w:r>
        <w:r>
          <w:rPr>
            <w:webHidden/>
          </w:rPr>
          <w:tab/>
        </w:r>
        <w:r>
          <w:rPr>
            <w:webHidden/>
          </w:rPr>
          <w:fldChar w:fldCharType="begin"/>
        </w:r>
        <w:r>
          <w:rPr>
            <w:webHidden/>
          </w:rPr>
          <w:instrText xml:space="preserve"> PAGEREF _Toc210636327 \h </w:instrText>
        </w:r>
        <w:r>
          <w:rPr>
            <w:webHidden/>
          </w:rPr>
          <w:fldChar w:fldCharType="separate"/>
        </w:r>
        <w:r>
          <w:rPr>
            <w:webHidden/>
          </w:rPr>
          <w:t>22</w:t>
        </w:r>
        <w:r>
          <w:rPr>
            <w:webHidden/>
          </w:rPr>
          <w:fldChar w:fldCharType="end"/>
        </w:r>
      </w:hyperlink>
    </w:p>
    <w:p w:rsidR="008174B4" w14:paraId="4939867F" w14:textId="2FE9C7FA">
      <w:pPr>
        <w:pStyle w:val="TOC2"/>
        <w:rPr>
          <w:rFonts w:asciiTheme="minorHAnsi" w:eastAsiaTheme="minorEastAsia" w:hAnsiTheme="minorHAnsi" w:cstheme="minorBidi"/>
          <w:kern w:val="2"/>
          <w:szCs w:val="24"/>
          <w14:ligatures w14:val="standardContextual"/>
        </w:rPr>
      </w:pPr>
      <w:hyperlink w:anchor="_Toc210636328" w:history="1">
        <w:r w:rsidRPr="00D93A77">
          <w:rPr>
            <w:rStyle w:val="Hyperlink"/>
          </w:rPr>
          <w:t>B5.</w:t>
        </w:r>
        <w:r>
          <w:rPr>
            <w:rFonts w:asciiTheme="minorHAnsi" w:eastAsiaTheme="minorEastAsia" w:hAnsiTheme="minorHAnsi" w:cstheme="minorBidi"/>
            <w:kern w:val="2"/>
            <w:szCs w:val="24"/>
            <w14:ligatures w14:val="standardContextual"/>
          </w:rPr>
          <w:tab/>
        </w:r>
        <w:r w:rsidRPr="00D93A77">
          <w:rPr>
            <w:rStyle w:val="Hyperlink"/>
          </w:rPr>
          <w:t>Individuals Consulted on Statistical Aspects of Design</w:t>
        </w:r>
        <w:r>
          <w:rPr>
            <w:webHidden/>
          </w:rPr>
          <w:tab/>
        </w:r>
        <w:r>
          <w:rPr>
            <w:webHidden/>
          </w:rPr>
          <w:fldChar w:fldCharType="begin"/>
        </w:r>
        <w:r>
          <w:rPr>
            <w:webHidden/>
          </w:rPr>
          <w:instrText xml:space="preserve"> PAGEREF _Toc210636328 \h </w:instrText>
        </w:r>
        <w:r>
          <w:rPr>
            <w:webHidden/>
          </w:rPr>
          <w:fldChar w:fldCharType="separate"/>
        </w:r>
        <w:r>
          <w:rPr>
            <w:webHidden/>
          </w:rPr>
          <w:t>22</w:t>
        </w:r>
        <w:r>
          <w:rPr>
            <w:webHidden/>
          </w:rPr>
          <w:fldChar w:fldCharType="end"/>
        </w:r>
      </w:hyperlink>
    </w:p>
    <w:p w:rsidR="003B695E" w:rsidRPr="00CF2B93" w:rsidP="00DF1C0C" w14:paraId="1053EB5C" w14:textId="3EE9A3AF">
      <w:pPr>
        <w:pStyle w:val="TOC2"/>
      </w:pPr>
      <w:r w:rsidRPr="00D94F41">
        <w:rPr>
          <w:szCs w:val="24"/>
        </w:rPr>
        <w:fldChar w:fldCharType="end"/>
      </w:r>
    </w:p>
    <w:p w:rsidR="0088452B" w:rsidRPr="00D94F41" w14:paraId="518E2025" w14:textId="77777777">
      <w:pPr>
        <w:sectPr w:rsidSect="0005551B">
          <w:footerReference w:type="default" r:id="rId7"/>
          <w:pgSz w:w="12240" w:h="15840" w:code="1"/>
          <w:pgMar w:top="1440" w:right="1440" w:bottom="1440" w:left="1440" w:header="720" w:footer="720" w:gutter="0"/>
          <w:pgNumType w:fmt="lowerRoman" w:start="1"/>
          <w:cols w:space="720"/>
        </w:sectPr>
      </w:pPr>
    </w:p>
    <w:p w:rsidR="008C5570" w:rsidRPr="00D94F41" w:rsidP="00AA22B0" w14:paraId="1AAD816F" w14:textId="77777777">
      <w:pPr>
        <w:pStyle w:val="Heading2-NoTOC"/>
        <w:tabs>
          <w:tab w:val="clear" w:pos="419"/>
        </w:tabs>
        <w:ind w:left="0" w:firstLine="0"/>
      </w:pPr>
      <w:bookmarkStart w:id="1" w:name="List_of_Attachments"/>
      <w:bookmarkStart w:id="2" w:name="B._Statistical_Methods"/>
      <w:bookmarkStart w:id="3" w:name="B1._Universe_and_Respondent_Selection"/>
      <w:bookmarkEnd w:id="1"/>
      <w:bookmarkEnd w:id="2"/>
      <w:bookmarkEnd w:id="3"/>
      <w:r w:rsidRPr="00D94F41">
        <w:t>List of Attachments</w:t>
      </w:r>
    </w:p>
    <w:p w:rsidR="00555832" w:rsidP="00555832" w14:paraId="1C37B883" w14:textId="433DAD30">
      <w:pPr>
        <w:pStyle w:val="BodyText"/>
        <w:spacing w:after="320"/>
      </w:pPr>
      <w:bookmarkStart w:id="4" w:name="OLE_LINK3"/>
      <w:r>
        <w:t>Attachment 1:</w:t>
      </w:r>
      <w:r>
        <w:tab/>
        <w:t>Community Materials</w:t>
      </w:r>
    </w:p>
    <w:p w:rsidR="00555832" w:rsidP="00555832" w14:paraId="20AE2AF8" w14:textId="756AD1E3">
      <w:pPr>
        <w:pStyle w:val="BodyText"/>
        <w:spacing w:after="320"/>
      </w:pPr>
      <w:r>
        <w:t>Attachment 2:</w:t>
      </w:r>
      <w:r>
        <w:tab/>
        <w:t>Community Instrument</w:t>
      </w:r>
      <w:r w:rsidR="00843C7D">
        <w:t>s</w:t>
      </w:r>
      <w:r>
        <w:t xml:space="preserve"> (Baseline and Continuing) and Showcards</w:t>
      </w:r>
    </w:p>
    <w:p w:rsidR="00555832" w:rsidP="00555832" w14:paraId="54B33A78" w14:textId="77777777">
      <w:pPr>
        <w:pStyle w:val="BodyText"/>
        <w:spacing w:after="320"/>
      </w:pPr>
      <w:r>
        <w:t>Attachment 3:</w:t>
      </w:r>
      <w:r>
        <w:tab/>
        <w:t>Facility Eligibility Screener</w:t>
      </w:r>
    </w:p>
    <w:p w:rsidR="00555832" w:rsidP="00555832" w14:paraId="7AD6E748" w14:textId="3653F657">
      <w:pPr>
        <w:pStyle w:val="BodyText"/>
        <w:spacing w:after="320"/>
      </w:pPr>
      <w:r>
        <w:t>Attachment 4:</w:t>
      </w:r>
      <w:r>
        <w:tab/>
        <w:t>Facility Instrument</w:t>
      </w:r>
      <w:r w:rsidR="00843C7D">
        <w:t>s</w:t>
      </w:r>
      <w:r>
        <w:t xml:space="preserve"> (Baseline and Continuing) and Showcards</w:t>
      </w:r>
    </w:p>
    <w:p w:rsidR="00555832" w:rsidRPr="004A6345" w:rsidP="00555832" w14:paraId="21739F42" w14:textId="77777777">
      <w:pPr>
        <w:pStyle w:val="BodyText"/>
        <w:spacing w:after="320"/>
      </w:pPr>
      <w:r>
        <w:t>Attachment 5:</w:t>
      </w:r>
      <w:r>
        <w:tab/>
        <w:t>Facility Materials</w:t>
      </w:r>
    </w:p>
    <w:p w:rsidR="00555832" w:rsidP="00555832" w14:paraId="6BB1623E" w14:textId="77777777">
      <w:pPr>
        <w:pStyle w:val="BodyText"/>
        <w:spacing w:after="320"/>
      </w:pPr>
      <w:r>
        <w:t>Attachment 6:</w:t>
      </w:r>
      <w:r>
        <w:tab/>
      </w:r>
      <w:r w:rsidRPr="004A6345">
        <w:t xml:space="preserve">CAPI Screenshots </w:t>
      </w:r>
      <w:r>
        <w:t>of Introductory Screen and</w:t>
      </w:r>
      <w:r w:rsidRPr="004A6345">
        <w:t xml:space="preserve"> Thank You Screen</w:t>
      </w:r>
    </w:p>
    <w:bookmarkEnd w:id="4"/>
    <w:p w:rsidR="00D9180E" w:rsidRPr="00D94F41" w:rsidP="00DF1C0C" w14:paraId="6169BE09" w14:textId="24A72B4F">
      <w:pPr>
        <w:pStyle w:val="BodyText"/>
        <w:sectPr w:rsidSect="0005551B">
          <w:footerReference w:type="default" r:id="rId8"/>
          <w:pgSz w:w="12240" w:h="15840" w:code="1"/>
          <w:pgMar w:top="1080" w:right="1440" w:bottom="1080" w:left="1440" w:header="720" w:footer="720" w:gutter="0"/>
          <w:pgNumType w:fmt="lowerRoman"/>
          <w:cols w:space="720"/>
        </w:sectPr>
      </w:pPr>
    </w:p>
    <w:p w:rsidR="0088452B" w:rsidRPr="00D94F41" w:rsidP="007F6E34" w14:paraId="5CDCF728" w14:textId="51A744E4">
      <w:pPr>
        <w:pStyle w:val="Heading2"/>
        <w:numPr>
          <w:ilvl w:val="0"/>
          <w:numId w:val="0"/>
        </w:numPr>
        <w:ind w:left="317" w:hanging="317"/>
      </w:pPr>
      <w:bookmarkStart w:id="5" w:name="_Toc91154934"/>
      <w:bookmarkStart w:id="6" w:name="_Toc210636323"/>
      <w:r w:rsidRPr="00D94F41">
        <w:t>B.</w:t>
      </w:r>
      <w:r w:rsidRPr="00D94F41">
        <w:tab/>
      </w:r>
      <w:r w:rsidRPr="00D94F41" w:rsidR="004112E2">
        <w:t>Statistical Methods</w:t>
      </w:r>
      <w:bookmarkEnd w:id="5"/>
      <w:bookmarkEnd w:id="6"/>
    </w:p>
    <w:p w:rsidR="00A03CF9" w:rsidP="008D7A5E" w14:paraId="44CD0727" w14:textId="0153D702">
      <w:pPr>
        <w:pStyle w:val="BodyText"/>
      </w:pPr>
      <w:r w:rsidRPr="00D94F41">
        <w:t xml:space="preserve">The revision to this OMB package includes the following modifications to the Community </w:t>
      </w:r>
      <w:r w:rsidR="000448B7">
        <w:t xml:space="preserve">and Facility </w:t>
      </w:r>
      <w:r w:rsidRPr="00D94F41">
        <w:t>instrument sections</w:t>
      </w:r>
      <w:r w:rsidR="00420B0B">
        <w:t xml:space="preserve"> to </w:t>
      </w:r>
      <w:r w:rsidR="00B21A04">
        <w:t>reduce survey costs and increase efficiencies by content reductions</w:t>
      </w:r>
      <w:r w:rsidR="008D7A5E">
        <w:t xml:space="preserve"> and revisions</w:t>
      </w:r>
      <w:r w:rsidR="00B21A04">
        <w:t>,</w:t>
      </w:r>
      <w:r w:rsidR="008D7A5E">
        <w:t xml:space="preserve"> operational improvements,</w:t>
      </w:r>
      <w:r w:rsidR="00B21A04">
        <w:t xml:space="preserve"> sample redesign, and expanded </w:t>
      </w:r>
      <w:r w:rsidR="00783B29">
        <w:t xml:space="preserve">multimode </w:t>
      </w:r>
      <w:r w:rsidR="00B21A04">
        <w:t xml:space="preserve">data collection methods to include </w:t>
      </w:r>
      <w:r w:rsidR="00397D2B">
        <w:t xml:space="preserve">computer assisted </w:t>
      </w:r>
      <w:r w:rsidR="00B21A04">
        <w:t>video interviewing</w:t>
      </w:r>
      <w:r w:rsidR="008D7A5E">
        <w:t>.</w:t>
      </w:r>
    </w:p>
    <w:p w:rsidR="008D7A5E" w:rsidP="008D7A5E" w14:paraId="0E1AD6E8" w14:textId="36D08A30">
      <w:pPr>
        <w:pStyle w:val="BodyText"/>
      </w:pPr>
      <w:bookmarkStart w:id="7" w:name="OLE_LINK15"/>
      <w:r>
        <w:t xml:space="preserve">The requested content </w:t>
      </w:r>
      <w:r w:rsidR="005B53E1">
        <w:t xml:space="preserve">additions, </w:t>
      </w:r>
      <w:r>
        <w:t>deletions</w:t>
      </w:r>
      <w:r w:rsidR="005B53E1">
        <w:t>,</w:t>
      </w:r>
      <w:r>
        <w:t xml:space="preserve"> and revisions include: </w:t>
      </w:r>
    </w:p>
    <w:p w:rsidR="005B53E1" w:rsidP="008D7A5E" w14:paraId="6FC2177E" w14:textId="1431D89E">
      <w:pPr>
        <w:pStyle w:val="ListBullet2"/>
      </w:pPr>
      <w:r>
        <w:t xml:space="preserve">Adding </w:t>
      </w:r>
      <w:r w:rsidRPr="00AC2DA5" w:rsidR="00AC2DA5">
        <w:t>three new items to the Health Status and Functioning Questionnaire (HFQ) to measure the prevalence of sleep apnea, thyroid disease, and bowel disease, respectively</w:t>
      </w:r>
      <w:r w:rsidRPr="005B53E1">
        <w:t>.</w:t>
      </w:r>
    </w:p>
    <w:p w:rsidR="008D7A5E" w:rsidP="008D7A5E" w14:paraId="36B33DDA" w14:textId="14BDE825">
      <w:pPr>
        <w:pStyle w:val="ListBullet2"/>
      </w:pPr>
      <w:r w:rsidRPr="005B53E1">
        <w:t>Streamlining the four-item arthritis series to two items</w:t>
      </w:r>
      <w:r>
        <w:t>, r</w:t>
      </w:r>
      <w:r>
        <w:t>emoving three items related to knowledge of colorectal cancer screening tests</w:t>
      </w:r>
      <w:r>
        <w:t>,</w:t>
      </w:r>
      <w:r>
        <w:t xml:space="preserve"> and </w:t>
      </w:r>
      <w:r w:rsidRPr="00AC2DA5" w:rsidR="00AC2DA5">
        <w:t>streamlining</w:t>
      </w:r>
      <w:r w:rsidRPr="00AC2DA5" w:rsidR="00AC2DA5">
        <w:t xml:space="preserve"> </w:t>
      </w:r>
      <w:r>
        <w:t xml:space="preserve">the collection of information about activities of daily living (ADLs) and instrumental activities of daily living (IADLs) in the Health Status and Functioning Questionnaire (HFQ). </w:t>
      </w:r>
    </w:p>
    <w:p w:rsidR="008D7A5E" w:rsidP="008D7A5E" w14:paraId="1558972F" w14:textId="28C7576B">
      <w:pPr>
        <w:pStyle w:val="ListBullet2"/>
      </w:pPr>
      <w:r>
        <w:t xml:space="preserve">Removing </w:t>
      </w:r>
      <w:r w:rsidR="005B53E1">
        <w:t xml:space="preserve">eleven </w:t>
      </w:r>
      <w:r>
        <w:t>items that collect follow-up detail about different types of health insurance plans in the Health Insurance Questionnaire (HIQ)</w:t>
      </w:r>
      <w:r w:rsidR="00AC2DA5">
        <w:t xml:space="preserve"> </w:t>
      </w:r>
      <w:r w:rsidRPr="00AC2DA5" w:rsidR="00AC2DA5">
        <w:t>to reduce respondent burden</w:t>
      </w:r>
      <w:r>
        <w:t xml:space="preserve">. </w:t>
      </w:r>
    </w:p>
    <w:p w:rsidR="008D7A5E" w:rsidP="008D7A5E" w14:paraId="02ACA864" w14:textId="32AFFBDA">
      <w:pPr>
        <w:pStyle w:val="ListBullet2"/>
      </w:pPr>
      <w:r>
        <w:t xml:space="preserve">Removing </w:t>
      </w:r>
      <w:r w:rsidR="009733A8">
        <w:t>nine</w:t>
      </w:r>
      <w:r>
        <w:t xml:space="preserve"> items about Medicare program knowledge, internet use, comparison of Medicare plans, and knowledge of the Inflation Reduction Act (IRA) of 2022 in the Beneficiary Knowledge and Information Needs Questionnaire (KNQ)</w:t>
      </w:r>
      <w:r w:rsidR="00AC2DA5">
        <w:t xml:space="preserve"> </w:t>
      </w:r>
      <w:r w:rsidRPr="00AC2DA5" w:rsidR="00AC2DA5">
        <w:t>that are</w:t>
      </w:r>
      <w:r w:rsidR="00C97781">
        <w:t xml:space="preserve"> either redundant with other survey content, do not perform well, or</w:t>
      </w:r>
      <w:r w:rsidRPr="00AC2DA5" w:rsidR="00AC2DA5">
        <w:t xml:space="preserve"> no longer relevant</w:t>
      </w:r>
      <w:r>
        <w:t xml:space="preserve">. </w:t>
      </w:r>
    </w:p>
    <w:p w:rsidR="008D7A5E" w:rsidP="008D7A5E" w14:paraId="34C4AE4A" w14:textId="7C630E2C">
      <w:pPr>
        <w:pStyle w:val="ListBullet2"/>
      </w:pPr>
      <w:r>
        <w:t>Removing the Physical Measures Questionnaire (PXQ)</w:t>
      </w:r>
      <w:r w:rsidR="00A641A7">
        <w:t xml:space="preserve"> </w:t>
      </w:r>
      <w:r w:rsidRPr="00A641A7" w:rsidR="00A641A7">
        <w:t>to reduce respondent burden</w:t>
      </w:r>
      <w:r>
        <w:t>.</w:t>
      </w:r>
    </w:p>
    <w:p w:rsidR="008D7A5E" w:rsidP="008D7A5E" w14:paraId="785F1BEE" w14:textId="7D4C6814">
      <w:pPr>
        <w:pStyle w:val="ListBullet2"/>
      </w:pPr>
      <w:r>
        <w:t xml:space="preserve">Streamlining the Satisfaction with Care Questionnaire (SCQ) by removing three </w:t>
      </w:r>
      <w:r w:rsidR="00C97781">
        <w:t xml:space="preserve">redundant </w:t>
      </w:r>
      <w:r>
        <w:t xml:space="preserve">items and changing the administration schedule for 14 items to reduce respondent burden. </w:t>
      </w:r>
    </w:p>
    <w:p w:rsidR="008D7A5E" w:rsidP="008D7A5E" w14:paraId="73BF8281" w14:textId="7741C2AB">
      <w:pPr>
        <w:pStyle w:val="ListBullet2"/>
      </w:pPr>
      <w:r>
        <w:t xml:space="preserve">Removing </w:t>
      </w:r>
      <w:r w:rsidR="00E25084">
        <w:t>72</w:t>
      </w:r>
      <w:r>
        <w:t xml:space="preserve"> items from the Usual Source of Care Questionnaire (USQ)</w:t>
      </w:r>
      <w:r w:rsidR="00C97781">
        <w:t xml:space="preserve"> due to difficulty of administration, low number of affirmative responses, and decreased relevance</w:t>
      </w:r>
      <w:r>
        <w:t xml:space="preserve">. </w:t>
      </w:r>
    </w:p>
    <w:p w:rsidR="008D7A5E" w:rsidP="00AD0D2A" w14:paraId="14FE713F" w14:textId="77777777">
      <w:pPr>
        <w:pStyle w:val="BodyText"/>
      </w:pPr>
      <w:r>
        <w:t xml:space="preserve">CMS has also identified operational updates that will improve efficiency, including: </w:t>
      </w:r>
    </w:p>
    <w:p w:rsidR="008D7A5E" w:rsidP="008D7A5E" w14:paraId="004B4466" w14:textId="30D6209E">
      <w:pPr>
        <w:pStyle w:val="ListBullet2"/>
      </w:pPr>
      <w:r>
        <w:t>Consolidating all immunization measures into one section of the Community questionnaire, the Immunization Questionnaire (IMQ), and deleting immunization</w:t>
      </w:r>
      <w:r w:rsidR="00C97781">
        <w:t xml:space="preserve"> site</w:t>
      </w:r>
      <w:r>
        <w:t xml:space="preserve"> and </w:t>
      </w:r>
      <w:r w:rsidR="00A641A7">
        <w:t>select</w:t>
      </w:r>
      <w:r w:rsidR="00A641A7">
        <w:t xml:space="preserve"> </w:t>
      </w:r>
      <w:r>
        <w:t xml:space="preserve">COVID-19 items. </w:t>
      </w:r>
    </w:p>
    <w:p w:rsidR="008D7A5E" w:rsidP="008D7A5E" w14:paraId="628BAD9B" w14:textId="21AE290A">
      <w:pPr>
        <w:pStyle w:val="ListBullet2"/>
      </w:pPr>
      <w:r>
        <w:t xml:space="preserve">Grouping all immunization measures into the Health Status (HS) section of the Facility instrument, aligning immunization measures with the Long-Term Care Minimum Data Set (MDS), and deleting </w:t>
      </w:r>
      <w:r w:rsidR="00A641A7">
        <w:t xml:space="preserve">select </w:t>
      </w:r>
      <w:r>
        <w:t xml:space="preserve">COVID-19 items. </w:t>
      </w:r>
    </w:p>
    <w:p w:rsidR="008D7A5E" w:rsidP="00AD0D2A" w14:paraId="0E034BD7" w14:textId="10409846">
      <w:pPr>
        <w:pStyle w:val="BodyText"/>
      </w:pPr>
      <w:r>
        <w:t xml:space="preserve">In addition to </w:t>
      </w:r>
      <w:r>
        <w:t>survey</w:t>
      </w:r>
      <w:r>
        <w:t xml:space="preserve"> content changes, CMS plans to: </w:t>
      </w:r>
    </w:p>
    <w:p w:rsidR="007C1D5F" w:rsidP="00692AAB" w14:paraId="15B364D0" w14:textId="6BCE743F">
      <w:pPr>
        <w:pStyle w:val="ListBullet2"/>
      </w:pPr>
      <w:r>
        <w:t xml:space="preserve">Implement a national design that expands MCBS data collection to all 50 states and the District of Columbia, without increasing survey costs or reducing sample. Each Fall Incoming Panel beginning in 2026 would be selected using the redesigned approach, taking four years (through 2029) until all panel members have been selected under the new design. </w:t>
      </w:r>
    </w:p>
    <w:p w:rsidR="006853DF" w:rsidP="00CC5BD4" w14:paraId="027C2E55" w14:textId="279061AB">
      <w:pPr>
        <w:pStyle w:val="ListBullet2"/>
      </w:pPr>
      <w:r w:rsidRPr="006853DF">
        <w:t>Telephone interviewing will be the primary data collection method supplemented with limited video interviewing or in-person visits.</w:t>
      </w:r>
    </w:p>
    <w:p w:rsidR="008D7A5E" w:rsidRPr="008D7A5E" w14:paraId="00C894B5" w14:textId="77777777">
      <w:pPr>
        <w:pStyle w:val="ListBullet2"/>
        <w:numPr>
          <w:ilvl w:val="0"/>
          <w:numId w:val="0"/>
        </w:numPr>
      </w:pPr>
      <w:r w:rsidRPr="008D7A5E">
        <w:t xml:space="preserve">CMS also continues to align the MCBS with federal standards and guidelines that impact survey data collection as well as executive orders that impact federally funded research. A non-substantive change request, approved on April 17, 2025, updated the MCBS Community Questionnaire to align with Executive Order (EO) 14168 </w:t>
      </w:r>
      <w:r w:rsidRPr="008D7A5E">
        <w:rPr>
          <w:i/>
          <w:iCs/>
        </w:rPr>
        <w:t xml:space="preserve">Defending Women </w:t>
      </w:r>
      <w:r w:rsidRPr="008D7A5E">
        <w:rPr>
          <w:i/>
          <w:iCs/>
        </w:rPr>
        <w:t>From</w:t>
      </w:r>
      <w:r w:rsidRPr="008D7A5E">
        <w:rPr>
          <w:i/>
          <w:iCs/>
        </w:rPr>
        <w:t xml:space="preserve"> Gender Ideology Extremism and Restoring Biological Truth to the Federal Government</w:t>
      </w:r>
      <w:r w:rsidRPr="008D7A5E">
        <w:t>. In Fall 2027 Round 109, CMS plans to update measures of race and ethnicity in the Community and Facility instruments to align with the updated Statistical Policy Directive No. 15 released by OMB on March 28, 2024</w:t>
      </w:r>
      <w:r>
        <w:rPr>
          <w:vertAlign w:val="superscript"/>
        </w:rPr>
        <w:footnoteReference w:id="3"/>
      </w:r>
      <w:r w:rsidRPr="008D7A5E">
        <w:t xml:space="preserve">. Agency action plans due in September 2025 will inform CMS’ plans for implementing this revision on the MCBS in Fall 2027 Round 109. </w:t>
      </w:r>
    </w:p>
    <w:p w:rsidR="0088452B" w:rsidRPr="00D94F41" w:rsidP="004A3958" w14:paraId="1E632D08" w14:textId="06C6F6C9">
      <w:pPr>
        <w:pStyle w:val="Heading3"/>
        <w:tabs>
          <w:tab w:val="left" w:pos="540"/>
        </w:tabs>
      </w:pPr>
      <w:bookmarkStart w:id="8" w:name="_Toc91154935"/>
      <w:bookmarkStart w:id="9" w:name="_Toc210636324"/>
      <w:bookmarkEnd w:id="7"/>
      <w:r w:rsidRPr="00D94F41">
        <w:t>B1.</w:t>
      </w:r>
      <w:r w:rsidRPr="00D94F41">
        <w:tab/>
      </w:r>
      <w:r w:rsidRPr="00D94F41" w:rsidR="004112E2">
        <w:t>Universe and Respondent Selection</w:t>
      </w:r>
      <w:bookmarkEnd w:id="8"/>
      <w:bookmarkEnd w:id="9"/>
    </w:p>
    <w:p w:rsidR="0088452B" w:rsidRPr="00D94F41" w:rsidP="00BD72D7" w14:paraId="26BC8044" w14:textId="499820E8">
      <w:pPr>
        <w:pStyle w:val="BodyText"/>
      </w:pPr>
      <w:r w:rsidRPr="00D94F41">
        <w:t xml:space="preserve">The target universe is current Medicare beneficiaries entitled to hospital and/or supplementary medical insurance and living in the 50 states or the District of Columbia. Both institutionalized and non-institutionalized beneficiaries are represented. Table B.1 summarizes the number of beneficiaries in the target universe based on CMS administrative records </w:t>
      </w:r>
      <w:r w:rsidRPr="00D94F41" w:rsidR="00CC4DE7">
        <w:t xml:space="preserve">through </w:t>
      </w:r>
      <w:r w:rsidRPr="00D94F41" w:rsidR="007C1D5F">
        <w:t>202</w:t>
      </w:r>
      <w:r w:rsidR="007C1D5F">
        <w:t>4</w:t>
      </w:r>
      <w:r w:rsidRPr="00D94F41">
        <w:t xml:space="preserve">. The seven age groups shown in the table correspond to the primary sampling strata from which the samples for the MCBS are drawn. The age groups are defined by the beneficiaries’ age as of December 31 of the given year for </w:t>
      </w:r>
      <w:r w:rsidRPr="00D94F41" w:rsidR="00A05A57">
        <w:t>201</w:t>
      </w:r>
      <w:r w:rsidR="005B761F">
        <w:t>8</w:t>
      </w:r>
      <w:r w:rsidRPr="00D94F41" w:rsidR="00A05A57">
        <w:t xml:space="preserve"> </w:t>
      </w:r>
      <w:r w:rsidRPr="00D94F41" w:rsidR="00EB5306">
        <w:t>and later</w:t>
      </w:r>
      <w:r w:rsidRPr="00D94F41">
        <w:t>.</w:t>
      </w:r>
    </w:p>
    <w:p w:rsidR="0088452B" w:rsidRPr="00D94F41" w:rsidP="00AE5C2C" w14:paraId="28917D6E" w14:textId="7F4DF020">
      <w:pPr>
        <w:pStyle w:val="Caption"/>
        <w:tabs>
          <w:tab w:val="left" w:pos="1170"/>
        </w:tabs>
      </w:pPr>
      <w:r w:rsidRPr="00D94F41">
        <w:t>Table B.1</w:t>
      </w:r>
      <w:r w:rsidRPr="00D94F41">
        <w:t xml:space="preserve">: </w:t>
      </w:r>
      <w:r w:rsidR="00632E4F">
        <w:tab/>
      </w:r>
      <w:r w:rsidRPr="00D94F41">
        <w:t>Universe</w:t>
      </w:r>
      <w:r w:rsidRPr="00D94F41">
        <w:t xml:space="preserve"> Counts Broken Down by MCBS Age Groups (in thousands)</w:t>
      </w:r>
    </w:p>
    <w:tbl>
      <w:tblPr>
        <w:tblStyle w:val="GridTableLight"/>
        <w:tblDescription w:val="Universe Counts Broken Down by MCBS Age Groups (in thousands)"/>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55"/>
        <w:gridCol w:w="1054"/>
        <w:gridCol w:w="1054"/>
        <w:gridCol w:w="1054"/>
        <w:gridCol w:w="1055"/>
        <w:gridCol w:w="1054"/>
        <w:gridCol w:w="1054"/>
        <w:gridCol w:w="1055"/>
      </w:tblGrid>
      <w:tr w14:paraId="29933BA9" w14:textId="2E24A7E5" w:rsidTr="001C1985">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blHeader/>
        </w:trPr>
        <w:tc>
          <w:tcPr>
            <w:tcW w:w="2155" w:type="dxa"/>
            <w:tcBorders>
              <w:bottom w:val="single" w:sz="4" w:space="0" w:color="auto"/>
            </w:tcBorders>
            <w:shd w:val="clear" w:color="auto" w:fill="D9D9D9"/>
            <w:tcMar>
              <w:left w:w="43" w:type="dxa"/>
              <w:right w:w="43" w:type="dxa"/>
            </w:tcMar>
            <w:vAlign w:val="center"/>
          </w:tcPr>
          <w:p w:rsidR="00BF2880" w:rsidRPr="00D94F41" w:rsidP="001C1985" w14:paraId="55F59025" w14:textId="371D5425">
            <w:pPr>
              <w:pStyle w:val="TableParagraph"/>
              <w:spacing w:before="60" w:after="60"/>
              <w:jc w:val="center"/>
              <w:rPr>
                <w:b/>
              </w:rPr>
            </w:pPr>
            <w:r w:rsidRPr="00D94F41">
              <w:rPr>
                <w:b/>
              </w:rPr>
              <w:t>Age Interval</w:t>
            </w:r>
          </w:p>
        </w:tc>
        <w:tc>
          <w:tcPr>
            <w:tcW w:w="1054" w:type="dxa"/>
            <w:tcBorders>
              <w:bottom w:val="single" w:sz="4" w:space="0" w:color="auto"/>
            </w:tcBorders>
            <w:shd w:val="clear" w:color="auto" w:fill="D9D9D9"/>
            <w:tcMar>
              <w:left w:w="43" w:type="dxa"/>
              <w:right w:w="43" w:type="dxa"/>
            </w:tcMar>
            <w:vAlign w:val="center"/>
          </w:tcPr>
          <w:p w:rsidR="00BF2880" w:rsidRPr="00D94F41" w:rsidP="001C1985" w14:paraId="27169D09" w14:textId="14AC2B45">
            <w:pPr>
              <w:pStyle w:val="TableParagraph"/>
              <w:spacing w:before="60" w:after="60"/>
              <w:ind w:right="20"/>
              <w:jc w:val="center"/>
              <w:rPr>
                <w:b/>
              </w:rPr>
            </w:pPr>
            <w:r w:rsidRPr="00D94F41">
              <w:rPr>
                <w:b/>
              </w:rPr>
              <w:t>2018</w:t>
            </w:r>
          </w:p>
        </w:tc>
        <w:tc>
          <w:tcPr>
            <w:tcW w:w="1054" w:type="dxa"/>
            <w:tcBorders>
              <w:bottom w:val="single" w:sz="4" w:space="0" w:color="auto"/>
            </w:tcBorders>
            <w:shd w:val="clear" w:color="auto" w:fill="D9D9D9"/>
            <w:tcMar>
              <w:left w:w="43" w:type="dxa"/>
              <w:right w:w="43" w:type="dxa"/>
            </w:tcMar>
            <w:vAlign w:val="center"/>
          </w:tcPr>
          <w:p w:rsidR="00BF2880" w:rsidRPr="00D94F41" w:rsidP="001C1985" w14:paraId="0623DFB9" w14:textId="62B2C58F">
            <w:pPr>
              <w:pStyle w:val="TableParagraph"/>
              <w:spacing w:before="60" w:after="60"/>
              <w:ind w:left="-110" w:right="90"/>
              <w:jc w:val="center"/>
              <w:rPr>
                <w:b/>
              </w:rPr>
            </w:pPr>
            <w:r w:rsidRPr="00D94F41">
              <w:rPr>
                <w:b/>
              </w:rPr>
              <w:t>2019</w:t>
            </w:r>
          </w:p>
        </w:tc>
        <w:tc>
          <w:tcPr>
            <w:tcW w:w="1054" w:type="dxa"/>
            <w:tcBorders>
              <w:bottom w:val="single" w:sz="4" w:space="0" w:color="auto"/>
            </w:tcBorders>
            <w:shd w:val="clear" w:color="auto" w:fill="D9D9D9"/>
            <w:tcMar>
              <w:left w:w="43" w:type="dxa"/>
              <w:right w:w="43" w:type="dxa"/>
            </w:tcMar>
            <w:vAlign w:val="center"/>
          </w:tcPr>
          <w:p w:rsidR="00BF2880" w:rsidRPr="00D94F41" w:rsidP="001C1985" w14:paraId="63A89EA3" w14:textId="2C04A559">
            <w:pPr>
              <w:pStyle w:val="TableParagraph"/>
              <w:spacing w:before="60" w:after="60"/>
              <w:ind w:right="60"/>
              <w:jc w:val="center"/>
              <w:rPr>
                <w:b/>
              </w:rPr>
            </w:pPr>
            <w:r w:rsidRPr="00D94F41">
              <w:rPr>
                <w:b/>
              </w:rPr>
              <w:t>2020</w:t>
            </w:r>
          </w:p>
        </w:tc>
        <w:tc>
          <w:tcPr>
            <w:tcW w:w="1055" w:type="dxa"/>
            <w:tcBorders>
              <w:bottom w:val="single" w:sz="4" w:space="0" w:color="auto"/>
            </w:tcBorders>
            <w:shd w:val="clear" w:color="auto" w:fill="D9D9D9"/>
            <w:tcMar>
              <w:left w:w="43" w:type="dxa"/>
              <w:right w:w="43" w:type="dxa"/>
            </w:tcMar>
            <w:vAlign w:val="center"/>
          </w:tcPr>
          <w:p w:rsidR="00BF2880" w:rsidRPr="00D94F41" w:rsidP="001C1985" w14:paraId="55997C8E" w14:textId="78FC32CF">
            <w:pPr>
              <w:pStyle w:val="TableParagraph"/>
              <w:spacing w:before="60" w:after="60"/>
              <w:ind w:right="30"/>
              <w:jc w:val="center"/>
              <w:rPr>
                <w:b/>
              </w:rPr>
            </w:pPr>
            <w:r w:rsidRPr="00D94F41">
              <w:rPr>
                <w:b/>
              </w:rPr>
              <w:t>2021</w:t>
            </w:r>
          </w:p>
        </w:tc>
        <w:tc>
          <w:tcPr>
            <w:tcW w:w="1054" w:type="dxa"/>
            <w:tcBorders>
              <w:bottom w:val="single" w:sz="4" w:space="0" w:color="auto"/>
            </w:tcBorders>
            <w:shd w:val="clear" w:color="auto" w:fill="D9D9D9"/>
            <w:vAlign w:val="center"/>
          </w:tcPr>
          <w:p w:rsidR="00BF2880" w:rsidRPr="00D94F41" w:rsidP="001C1985" w14:paraId="12093286" w14:textId="0F94679C">
            <w:pPr>
              <w:pStyle w:val="TableParagraph"/>
              <w:spacing w:before="60" w:after="60"/>
              <w:ind w:right="50"/>
              <w:jc w:val="center"/>
              <w:rPr>
                <w:b/>
              </w:rPr>
            </w:pPr>
            <w:r>
              <w:rPr>
                <w:b/>
              </w:rPr>
              <w:t>2022</w:t>
            </w:r>
          </w:p>
        </w:tc>
        <w:tc>
          <w:tcPr>
            <w:tcW w:w="1054" w:type="dxa"/>
            <w:shd w:val="clear" w:color="auto" w:fill="D9D9D9"/>
            <w:vAlign w:val="center"/>
          </w:tcPr>
          <w:p w:rsidR="00BF2880" w:rsidP="001C1985" w14:paraId="381B7564" w14:textId="78E4AE3B">
            <w:pPr>
              <w:pStyle w:val="TableParagraph"/>
              <w:spacing w:before="60" w:after="60"/>
              <w:ind w:right="110"/>
              <w:jc w:val="center"/>
              <w:rPr>
                <w:b/>
              </w:rPr>
            </w:pPr>
            <w:r>
              <w:rPr>
                <w:b/>
              </w:rPr>
              <w:t>2023</w:t>
            </w:r>
          </w:p>
        </w:tc>
        <w:tc>
          <w:tcPr>
            <w:tcW w:w="1055" w:type="dxa"/>
            <w:shd w:val="clear" w:color="auto" w:fill="D9D9D9"/>
            <w:vAlign w:val="center"/>
          </w:tcPr>
          <w:p w:rsidR="00BF2880" w:rsidP="001C1985" w14:paraId="4F49D2F5" w14:textId="06A30B78">
            <w:pPr>
              <w:pStyle w:val="TableParagraph"/>
              <w:spacing w:before="60" w:after="60"/>
              <w:ind w:right="90"/>
              <w:jc w:val="center"/>
              <w:rPr>
                <w:b/>
              </w:rPr>
            </w:pPr>
            <w:r>
              <w:rPr>
                <w:b/>
              </w:rPr>
              <w:t>2024</w:t>
            </w:r>
          </w:p>
        </w:tc>
      </w:tr>
      <w:tr w14:paraId="1677CE31" w14:textId="5E2EE7E1" w:rsidTr="001C1985">
        <w:tblPrEx>
          <w:tblW w:w="9535" w:type="dxa"/>
          <w:tblLayout w:type="fixed"/>
          <w:tblCellMar>
            <w:left w:w="0" w:type="dxa"/>
            <w:right w:w="0" w:type="dxa"/>
          </w:tblCellMar>
          <w:tblLook w:val="01E0"/>
        </w:tblPrEx>
        <w:trPr>
          <w:cantSplit/>
        </w:trPr>
        <w:tc>
          <w:tcPr>
            <w:tcW w:w="2155" w:type="dxa"/>
            <w:tcMar>
              <w:left w:w="43" w:type="dxa"/>
              <w:right w:w="43" w:type="dxa"/>
            </w:tcMar>
            <w:vAlign w:val="center"/>
          </w:tcPr>
          <w:p w:rsidR="00BF2880" w:rsidRPr="00D94F41" w:rsidP="001C1985" w14:paraId="1064909F" w14:textId="44CF40D4">
            <w:pPr>
              <w:pStyle w:val="TableParagraph"/>
              <w:spacing w:before="60" w:after="60"/>
              <w:ind w:left="40"/>
              <w:rPr>
                <w:b/>
                <w:bCs/>
              </w:rPr>
            </w:pPr>
            <w:r w:rsidRPr="00D94F41">
              <w:rPr>
                <w:b/>
                <w:bCs/>
              </w:rPr>
              <w:t>Disabled &lt;45</w:t>
            </w:r>
          </w:p>
        </w:tc>
        <w:tc>
          <w:tcPr>
            <w:tcW w:w="1054" w:type="dxa"/>
            <w:tcMar>
              <w:left w:w="43" w:type="dxa"/>
              <w:right w:w="43" w:type="dxa"/>
            </w:tcMar>
            <w:vAlign w:val="center"/>
          </w:tcPr>
          <w:p w:rsidR="00BF2880" w:rsidRPr="00D94F41" w:rsidP="001C1985" w14:paraId="6F11BC75" w14:textId="39D1BF08">
            <w:pPr>
              <w:pStyle w:val="TableParagraph"/>
              <w:spacing w:before="60" w:after="60"/>
              <w:ind w:right="20"/>
              <w:jc w:val="right"/>
            </w:pPr>
            <w:r w:rsidRPr="00D94F41">
              <w:t>1,791.78</w:t>
            </w:r>
          </w:p>
        </w:tc>
        <w:tc>
          <w:tcPr>
            <w:tcW w:w="1054" w:type="dxa"/>
            <w:tcMar>
              <w:left w:w="43" w:type="dxa"/>
              <w:right w:w="43" w:type="dxa"/>
            </w:tcMar>
            <w:vAlign w:val="center"/>
          </w:tcPr>
          <w:p w:rsidR="00BF2880" w:rsidRPr="00D94F41" w:rsidP="001C1985" w14:paraId="26696CBC" w14:textId="46DD0735">
            <w:pPr>
              <w:pStyle w:val="TableParagraph"/>
              <w:spacing w:before="60" w:after="60"/>
              <w:ind w:left="-110" w:right="90"/>
              <w:jc w:val="right"/>
            </w:pPr>
            <w:r w:rsidRPr="00D94F41">
              <w:rPr>
                <w:color w:val="000000"/>
              </w:rPr>
              <w:t>1,771.52</w:t>
            </w:r>
          </w:p>
        </w:tc>
        <w:tc>
          <w:tcPr>
            <w:tcW w:w="1054" w:type="dxa"/>
            <w:tcMar>
              <w:left w:w="43" w:type="dxa"/>
              <w:right w:w="43" w:type="dxa"/>
            </w:tcMar>
            <w:vAlign w:val="center"/>
          </w:tcPr>
          <w:p w:rsidR="00BF2880" w:rsidRPr="00D94F41" w:rsidP="001C1985" w14:paraId="1F9DB335" w14:textId="231670F7">
            <w:pPr>
              <w:pStyle w:val="TableParagraph"/>
              <w:spacing w:before="60" w:after="60"/>
              <w:ind w:right="60"/>
              <w:jc w:val="right"/>
            </w:pPr>
            <w:r w:rsidRPr="00D94F41">
              <w:t>1,744.56</w:t>
            </w:r>
          </w:p>
        </w:tc>
        <w:tc>
          <w:tcPr>
            <w:tcW w:w="1055" w:type="dxa"/>
            <w:tcMar>
              <w:left w:w="43" w:type="dxa"/>
              <w:right w:w="43" w:type="dxa"/>
            </w:tcMar>
            <w:vAlign w:val="center"/>
          </w:tcPr>
          <w:p w:rsidR="00BF2880" w:rsidRPr="00D94F41" w:rsidP="001C1985" w14:paraId="1385889B" w14:textId="75576967">
            <w:pPr>
              <w:pStyle w:val="TableParagraph"/>
              <w:spacing w:before="60" w:after="60"/>
              <w:ind w:right="30"/>
              <w:jc w:val="right"/>
              <w:rPr>
                <w:color w:val="000000"/>
              </w:rPr>
            </w:pPr>
            <w:r w:rsidRPr="00D94F41">
              <w:t>1,715.78</w:t>
            </w:r>
          </w:p>
        </w:tc>
        <w:tc>
          <w:tcPr>
            <w:tcW w:w="1054" w:type="dxa"/>
            <w:vAlign w:val="center"/>
          </w:tcPr>
          <w:p w:rsidR="00BF2880" w:rsidRPr="00D94F41" w:rsidP="001C1985" w14:paraId="168E2608" w14:textId="1497BFA4">
            <w:pPr>
              <w:pStyle w:val="TableParagraph"/>
              <w:spacing w:before="60" w:after="60"/>
              <w:ind w:right="50"/>
              <w:jc w:val="right"/>
            </w:pPr>
            <w:r w:rsidRPr="00BA086A">
              <w:t>1,646.76</w:t>
            </w:r>
          </w:p>
        </w:tc>
        <w:tc>
          <w:tcPr>
            <w:tcW w:w="1054" w:type="dxa"/>
            <w:vAlign w:val="center"/>
          </w:tcPr>
          <w:p w:rsidR="00BF2880" w:rsidRPr="00BA086A" w:rsidP="001C1985" w14:paraId="32D5AA73" w14:textId="6CF72022">
            <w:pPr>
              <w:pStyle w:val="TableParagraph"/>
              <w:spacing w:before="60" w:after="60"/>
              <w:ind w:right="110"/>
              <w:jc w:val="right"/>
            </w:pPr>
            <w:r w:rsidRPr="00E83DA5">
              <w:t>1,585.22</w:t>
            </w:r>
          </w:p>
        </w:tc>
        <w:tc>
          <w:tcPr>
            <w:tcW w:w="1055" w:type="dxa"/>
            <w:vAlign w:val="center"/>
          </w:tcPr>
          <w:p w:rsidR="00BF2880" w:rsidRPr="00E83DA5" w:rsidP="001C1985" w14:paraId="48828BA3" w14:textId="019E8EDB">
            <w:pPr>
              <w:pStyle w:val="TableParagraph"/>
              <w:spacing w:before="60" w:after="60"/>
              <w:ind w:right="90"/>
              <w:jc w:val="right"/>
            </w:pPr>
            <w:r w:rsidRPr="008E3459">
              <w:t>1</w:t>
            </w:r>
            <w:r>
              <w:t>,</w:t>
            </w:r>
            <w:r w:rsidRPr="008E3459">
              <w:t>541.14</w:t>
            </w:r>
          </w:p>
        </w:tc>
      </w:tr>
      <w:tr w14:paraId="413B29D8" w14:textId="5333D171" w:rsidTr="001C1985">
        <w:tblPrEx>
          <w:tblW w:w="9535" w:type="dxa"/>
          <w:tblLayout w:type="fixed"/>
          <w:tblCellMar>
            <w:left w:w="0" w:type="dxa"/>
            <w:right w:w="0" w:type="dxa"/>
          </w:tblCellMar>
          <w:tblLook w:val="01E0"/>
        </w:tblPrEx>
        <w:trPr>
          <w:cantSplit/>
        </w:trPr>
        <w:tc>
          <w:tcPr>
            <w:tcW w:w="2155" w:type="dxa"/>
            <w:tcMar>
              <w:left w:w="43" w:type="dxa"/>
              <w:right w:w="43" w:type="dxa"/>
            </w:tcMar>
            <w:vAlign w:val="center"/>
          </w:tcPr>
          <w:p w:rsidR="00BF2880" w:rsidRPr="00D94F41" w:rsidP="001C1985" w14:paraId="0D2DE0AE" w14:textId="62C4C9BF">
            <w:pPr>
              <w:pStyle w:val="TableParagraph"/>
              <w:spacing w:before="60" w:after="60"/>
              <w:ind w:left="40"/>
              <w:rPr>
                <w:b/>
                <w:bCs/>
              </w:rPr>
            </w:pPr>
            <w:r w:rsidRPr="00D94F41">
              <w:rPr>
                <w:b/>
                <w:bCs/>
              </w:rPr>
              <w:t>45 to 64</w:t>
            </w:r>
          </w:p>
        </w:tc>
        <w:tc>
          <w:tcPr>
            <w:tcW w:w="1054" w:type="dxa"/>
            <w:tcMar>
              <w:left w:w="43" w:type="dxa"/>
              <w:right w:w="43" w:type="dxa"/>
            </w:tcMar>
            <w:vAlign w:val="center"/>
          </w:tcPr>
          <w:p w:rsidR="00BF2880" w:rsidRPr="00D94F41" w:rsidP="001C1985" w14:paraId="0194B6F3" w14:textId="4300639D">
            <w:pPr>
              <w:pStyle w:val="TableParagraph"/>
              <w:spacing w:before="60" w:after="60"/>
              <w:ind w:right="20"/>
              <w:jc w:val="right"/>
            </w:pPr>
            <w:r w:rsidRPr="00D94F41">
              <w:t>6,903.46</w:t>
            </w:r>
          </w:p>
        </w:tc>
        <w:tc>
          <w:tcPr>
            <w:tcW w:w="1054" w:type="dxa"/>
            <w:tcMar>
              <w:left w:w="43" w:type="dxa"/>
              <w:right w:w="43" w:type="dxa"/>
            </w:tcMar>
            <w:vAlign w:val="center"/>
          </w:tcPr>
          <w:p w:rsidR="00BF2880" w:rsidRPr="00D94F41" w:rsidP="001C1985" w14:paraId="1BBC0B50" w14:textId="286A4C94">
            <w:pPr>
              <w:pStyle w:val="TableParagraph"/>
              <w:spacing w:before="60" w:after="60"/>
              <w:ind w:left="-110" w:right="90"/>
              <w:jc w:val="right"/>
            </w:pPr>
            <w:r w:rsidRPr="00D94F41">
              <w:rPr>
                <w:color w:val="000000"/>
              </w:rPr>
              <w:t>6,773.12</w:t>
            </w:r>
          </w:p>
        </w:tc>
        <w:tc>
          <w:tcPr>
            <w:tcW w:w="1054" w:type="dxa"/>
            <w:tcMar>
              <w:left w:w="43" w:type="dxa"/>
              <w:right w:w="43" w:type="dxa"/>
            </w:tcMar>
            <w:vAlign w:val="center"/>
          </w:tcPr>
          <w:p w:rsidR="00BF2880" w:rsidRPr="00D94F41" w:rsidP="001C1985" w14:paraId="5057A6D4" w14:textId="2EF86CE7">
            <w:pPr>
              <w:pStyle w:val="TableParagraph"/>
              <w:spacing w:before="60" w:after="60"/>
              <w:ind w:right="60"/>
              <w:jc w:val="right"/>
            </w:pPr>
            <w:r w:rsidRPr="00D94F41">
              <w:t>6,641.56</w:t>
            </w:r>
          </w:p>
        </w:tc>
        <w:tc>
          <w:tcPr>
            <w:tcW w:w="1055" w:type="dxa"/>
            <w:tcMar>
              <w:left w:w="43" w:type="dxa"/>
              <w:right w:w="43" w:type="dxa"/>
            </w:tcMar>
            <w:vAlign w:val="center"/>
          </w:tcPr>
          <w:p w:rsidR="00BF2880" w:rsidRPr="00D94F41" w:rsidP="001C1985" w14:paraId="2F8E7BB5" w14:textId="3F7AA770">
            <w:pPr>
              <w:pStyle w:val="TableParagraph"/>
              <w:spacing w:before="60" w:after="60"/>
              <w:ind w:right="30"/>
              <w:jc w:val="right"/>
              <w:rPr>
                <w:color w:val="000000"/>
              </w:rPr>
            </w:pPr>
            <w:r w:rsidRPr="00D94F41">
              <w:t>6,411.54</w:t>
            </w:r>
          </w:p>
        </w:tc>
        <w:tc>
          <w:tcPr>
            <w:tcW w:w="1054" w:type="dxa"/>
            <w:vAlign w:val="center"/>
          </w:tcPr>
          <w:p w:rsidR="00BF2880" w:rsidRPr="00D94F41" w:rsidP="001C1985" w14:paraId="02491604" w14:textId="36F4EE1C">
            <w:pPr>
              <w:pStyle w:val="TableParagraph"/>
              <w:spacing w:before="60" w:after="60"/>
              <w:ind w:right="50"/>
              <w:jc w:val="right"/>
            </w:pPr>
            <w:r w:rsidRPr="00BA086A">
              <w:t>6,153.78</w:t>
            </w:r>
          </w:p>
        </w:tc>
        <w:tc>
          <w:tcPr>
            <w:tcW w:w="1054" w:type="dxa"/>
            <w:vAlign w:val="center"/>
          </w:tcPr>
          <w:p w:rsidR="00BF2880" w:rsidRPr="00BA086A" w:rsidP="001C1985" w14:paraId="6AF31461" w14:textId="7C0A8983">
            <w:pPr>
              <w:pStyle w:val="TableParagraph"/>
              <w:spacing w:before="60" w:after="60"/>
              <w:ind w:right="110"/>
              <w:jc w:val="right"/>
            </w:pPr>
            <w:r w:rsidRPr="00E83DA5">
              <w:t>5,897.58</w:t>
            </w:r>
          </w:p>
        </w:tc>
        <w:tc>
          <w:tcPr>
            <w:tcW w:w="1055" w:type="dxa"/>
            <w:vAlign w:val="center"/>
          </w:tcPr>
          <w:p w:rsidR="00BF2880" w:rsidRPr="00E83DA5" w:rsidP="001C1985" w14:paraId="05F6C51B" w14:textId="3AFB7A15">
            <w:pPr>
              <w:pStyle w:val="TableParagraph"/>
              <w:spacing w:before="60" w:after="60"/>
              <w:ind w:right="90"/>
              <w:jc w:val="right"/>
            </w:pPr>
            <w:r w:rsidRPr="008E3459">
              <w:t>5</w:t>
            </w:r>
            <w:r>
              <w:t>,</w:t>
            </w:r>
            <w:r w:rsidRPr="008E3459">
              <w:t>645.22</w:t>
            </w:r>
          </w:p>
        </w:tc>
      </w:tr>
      <w:tr w14:paraId="5FB2DD04" w14:textId="66F4433F" w:rsidTr="001C1985">
        <w:tblPrEx>
          <w:tblW w:w="9535" w:type="dxa"/>
          <w:tblLayout w:type="fixed"/>
          <w:tblCellMar>
            <w:left w:w="0" w:type="dxa"/>
            <w:right w:w="0" w:type="dxa"/>
          </w:tblCellMar>
          <w:tblLook w:val="01E0"/>
        </w:tblPrEx>
        <w:trPr>
          <w:cantSplit/>
        </w:trPr>
        <w:tc>
          <w:tcPr>
            <w:tcW w:w="2155" w:type="dxa"/>
            <w:tcMar>
              <w:left w:w="43" w:type="dxa"/>
              <w:right w:w="43" w:type="dxa"/>
            </w:tcMar>
            <w:vAlign w:val="center"/>
          </w:tcPr>
          <w:p w:rsidR="00BF2880" w:rsidRPr="00D94F41" w:rsidP="001C1985" w14:paraId="3AB8AD0C" w14:textId="2177CB0C">
            <w:pPr>
              <w:pStyle w:val="TableParagraph"/>
              <w:tabs>
                <w:tab w:val="left" w:pos="666"/>
              </w:tabs>
              <w:spacing w:before="60" w:after="60"/>
              <w:ind w:left="40"/>
              <w:rPr>
                <w:b/>
                <w:bCs/>
              </w:rPr>
            </w:pPr>
            <w:r w:rsidRPr="00D94F41">
              <w:rPr>
                <w:b/>
                <w:bCs/>
              </w:rPr>
              <w:t>65 to 69</w:t>
            </w:r>
          </w:p>
        </w:tc>
        <w:tc>
          <w:tcPr>
            <w:tcW w:w="1054" w:type="dxa"/>
            <w:tcMar>
              <w:left w:w="43" w:type="dxa"/>
              <w:right w:w="43" w:type="dxa"/>
            </w:tcMar>
            <w:vAlign w:val="center"/>
          </w:tcPr>
          <w:p w:rsidR="00BF2880" w:rsidRPr="00D94F41" w:rsidP="001C1985" w14:paraId="05426895" w14:textId="2DBFF329">
            <w:pPr>
              <w:pStyle w:val="TableParagraph"/>
              <w:spacing w:before="60" w:after="60"/>
              <w:ind w:right="20"/>
              <w:jc w:val="right"/>
            </w:pPr>
            <w:r w:rsidRPr="00D94F41">
              <w:t>15,978.62</w:t>
            </w:r>
          </w:p>
        </w:tc>
        <w:tc>
          <w:tcPr>
            <w:tcW w:w="1054" w:type="dxa"/>
            <w:tcMar>
              <w:left w:w="43" w:type="dxa"/>
              <w:right w:w="43" w:type="dxa"/>
            </w:tcMar>
            <w:vAlign w:val="center"/>
          </w:tcPr>
          <w:p w:rsidR="00BF2880" w:rsidRPr="00D94F41" w:rsidP="001C1985" w14:paraId="3D26B073" w14:textId="3681D03E">
            <w:pPr>
              <w:pStyle w:val="TableParagraph"/>
              <w:spacing w:before="60" w:after="60"/>
              <w:ind w:left="-110" w:right="90"/>
              <w:jc w:val="right"/>
            </w:pPr>
            <w:r w:rsidRPr="00D94F41">
              <w:rPr>
                <w:color w:val="000000"/>
              </w:rPr>
              <w:t>16,368.74</w:t>
            </w:r>
          </w:p>
        </w:tc>
        <w:tc>
          <w:tcPr>
            <w:tcW w:w="1054" w:type="dxa"/>
            <w:tcMar>
              <w:left w:w="43" w:type="dxa"/>
              <w:right w:w="43" w:type="dxa"/>
            </w:tcMar>
            <w:vAlign w:val="center"/>
          </w:tcPr>
          <w:p w:rsidR="00BF2880" w:rsidRPr="00D94F41" w:rsidP="001C1985" w14:paraId="33A5615E" w14:textId="6182262D">
            <w:pPr>
              <w:pStyle w:val="TableParagraph"/>
              <w:spacing w:before="60" w:after="60"/>
              <w:ind w:right="60"/>
              <w:jc w:val="right"/>
            </w:pPr>
            <w:r w:rsidRPr="00D94F41">
              <w:t>16,895.90</w:t>
            </w:r>
          </w:p>
        </w:tc>
        <w:tc>
          <w:tcPr>
            <w:tcW w:w="1055" w:type="dxa"/>
            <w:tcMar>
              <w:left w:w="43" w:type="dxa"/>
              <w:right w:w="43" w:type="dxa"/>
            </w:tcMar>
            <w:vAlign w:val="center"/>
          </w:tcPr>
          <w:p w:rsidR="00BF2880" w:rsidRPr="00D94F41" w:rsidP="001C1985" w14:paraId="51E712D2" w14:textId="00873DA5">
            <w:pPr>
              <w:pStyle w:val="TableParagraph"/>
              <w:spacing w:before="60" w:after="60"/>
              <w:ind w:right="30"/>
              <w:jc w:val="right"/>
              <w:rPr>
                <w:color w:val="000000"/>
              </w:rPr>
            </w:pPr>
            <w:r w:rsidRPr="00D94F41">
              <w:t>16,975.40</w:t>
            </w:r>
          </w:p>
        </w:tc>
        <w:tc>
          <w:tcPr>
            <w:tcW w:w="1054" w:type="dxa"/>
            <w:vAlign w:val="center"/>
          </w:tcPr>
          <w:p w:rsidR="00BF2880" w:rsidRPr="00D94F41" w:rsidP="001C1985" w14:paraId="14B94972" w14:textId="0156BDEF">
            <w:pPr>
              <w:pStyle w:val="TableParagraph"/>
              <w:spacing w:before="60" w:after="60"/>
              <w:ind w:right="50"/>
              <w:jc w:val="right"/>
            </w:pPr>
            <w:r w:rsidRPr="00BA086A">
              <w:t>17,149.42</w:t>
            </w:r>
          </w:p>
        </w:tc>
        <w:tc>
          <w:tcPr>
            <w:tcW w:w="1054" w:type="dxa"/>
            <w:vAlign w:val="center"/>
          </w:tcPr>
          <w:p w:rsidR="00BF2880" w:rsidRPr="00BA086A" w:rsidP="001C1985" w14:paraId="60D4AAAE" w14:textId="2EB57E52">
            <w:pPr>
              <w:pStyle w:val="TableParagraph"/>
              <w:spacing w:before="60" w:after="60"/>
              <w:ind w:right="110"/>
              <w:jc w:val="right"/>
            </w:pPr>
            <w:r w:rsidRPr="00E83DA5">
              <w:t>17,538.10</w:t>
            </w:r>
          </w:p>
        </w:tc>
        <w:tc>
          <w:tcPr>
            <w:tcW w:w="1055" w:type="dxa"/>
            <w:vAlign w:val="center"/>
          </w:tcPr>
          <w:p w:rsidR="00BF2880" w:rsidRPr="00E83DA5" w:rsidP="001C1985" w14:paraId="43C4A8B2" w14:textId="5E564B6B">
            <w:pPr>
              <w:pStyle w:val="TableParagraph"/>
              <w:spacing w:before="60" w:after="60"/>
              <w:ind w:right="90"/>
              <w:jc w:val="right"/>
            </w:pPr>
            <w:r w:rsidRPr="008E3459">
              <w:t>17</w:t>
            </w:r>
            <w:r>
              <w:t>,</w:t>
            </w:r>
            <w:r w:rsidRPr="008E3459">
              <w:t>742.46</w:t>
            </w:r>
          </w:p>
        </w:tc>
      </w:tr>
      <w:tr w14:paraId="7781CAB7" w14:textId="6A888236" w:rsidTr="001C1985">
        <w:tblPrEx>
          <w:tblW w:w="9535" w:type="dxa"/>
          <w:tblLayout w:type="fixed"/>
          <w:tblCellMar>
            <w:left w:w="0" w:type="dxa"/>
            <w:right w:w="0" w:type="dxa"/>
          </w:tblCellMar>
          <w:tblLook w:val="01E0"/>
        </w:tblPrEx>
        <w:trPr>
          <w:cantSplit/>
        </w:trPr>
        <w:tc>
          <w:tcPr>
            <w:tcW w:w="2155" w:type="dxa"/>
            <w:tcMar>
              <w:left w:w="43" w:type="dxa"/>
              <w:right w:w="43" w:type="dxa"/>
            </w:tcMar>
            <w:vAlign w:val="center"/>
          </w:tcPr>
          <w:p w:rsidR="00BF2880" w:rsidRPr="00D94F41" w:rsidP="001C1985" w14:paraId="6BD5C7D4" w14:textId="114A7D12">
            <w:pPr>
              <w:pStyle w:val="TableParagraph"/>
              <w:tabs>
                <w:tab w:val="left" w:pos="666"/>
              </w:tabs>
              <w:spacing w:before="60" w:after="60"/>
              <w:ind w:left="40"/>
              <w:rPr>
                <w:b/>
                <w:bCs/>
              </w:rPr>
            </w:pPr>
            <w:r w:rsidRPr="00D94F41">
              <w:rPr>
                <w:b/>
                <w:bCs/>
              </w:rPr>
              <w:t>70-74</w:t>
            </w:r>
          </w:p>
        </w:tc>
        <w:tc>
          <w:tcPr>
            <w:tcW w:w="1054" w:type="dxa"/>
            <w:tcMar>
              <w:left w:w="43" w:type="dxa"/>
              <w:right w:w="43" w:type="dxa"/>
            </w:tcMar>
            <w:vAlign w:val="center"/>
          </w:tcPr>
          <w:p w:rsidR="00BF2880" w:rsidRPr="00D94F41" w:rsidP="001C1985" w14:paraId="7E21F35A" w14:textId="2FDD861F">
            <w:pPr>
              <w:pStyle w:val="TableParagraph"/>
              <w:spacing w:before="60" w:after="60"/>
              <w:ind w:right="20"/>
              <w:jc w:val="right"/>
            </w:pPr>
            <w:r w:rsidRPr="00D94F41">
              <w:t>13,647.66</w:t>
            </w:r>
          </w:p>
        </w:tc>
        <w:tc>
          <w:tcPr>
            <w:tcW w:w="1054" w:type="dxa"/>
            <w:tcMar>
              <w:left w:w="43" w:type="dxa"/>
              <w:right w:w="43" w:type="dxa"/>
            </w:tcMar>
            <w:vAlign w:val="center"/>
          </w:tcPr>
          <w:p w:rsidR="00BF2880" w:rsidRPr="00D94F41" w:rsidP="001C1985" w14:paraId="4EA8B9C5" w14:textId="2D1EA59A">
            <w:pPr>
              <w:pStyle w:val="TableParagraph"/>
              <w:spacing w:before="60" w:after="60"/>
              <w:ind w:left="-110" w:right="90"/>
              <w:jc w:val="right"/>
            </w:pPr>
            <w:r w:rsidRPr="00D94F41">
              <w:rPr>
                <w:color w:val="000000"/>
              </w:rPr>
              <w:t>14,322.88</w:t>
            </w:r>
          </w:p>
        </w:tc>
        <w:tc>
          <w:tcPr>
            <w:tcW w:w="1054" w:type="dxa"/>
            <w:tcMar>
              <w:left w:w="43" w:type="dxa"/>
              <w:right w:w="43" w:type="dxa"/>
            </w:tcMar>
            <w:vAlign w:val="center"/>
          </w:tcPr>
          <w:p w:rsidR="00BF2880" w:rsidRPr="00D94F41" w:rsidP="001C1985" w14:paraId="73A1A8FB" w14:textId="58FF770B">
            <w:pPr>
              <w:pStyle w:val="TableParagraph"/>
              <w:spacing w:before="60" w:after="60"/>
              <w:ind w:right="60"/>
              <w:jc w:val="right"/>
            </w:pPr>
            <w:r w:rsidRPr="00D94F41">
              <w:t>14,967.58</w:t>
            </w:r>
          </w:p>
        </w:tc>
        <w:tc>
          <w:tcPr>
            <w:tcW w:w="1055" w:type="dxa"/>
            <w:tcMar>
              <w:left w:w="43" w:type="dxa"/>
              <w:right w:w="43" w:type="dxa"/>
            </w:tcMar>
            <w:vAlign w:val="center"/>
          </w:tcPr>
          <w:p w:rsidR="00BF2880" w:rsidRPr="00D94F41" w:rsidP="001C1985" w14:paraId="650E58A3" w14:textId="10C01446">
            <w:pPr>
              <w:pStyle w:val="TableParagraph"/>
              <w:spacing w:before="60" w:after="60"/>
              <w:ind w:right="30"/>
              <w:jc w:val="right"/>
              <w:rPr>
                <w:color w:val="000000"/>
              </w:rPr>
            </w:pPr>
            <w:r w:rsidRPr="00D94F41">
              <w:t>15,115.86</w:t>
            </w:r>
          </w:p>
        </w:tc>
        <w:tc>
          <w:tcPr>
            <w:tcW w:w="1054" w:type="dxa"/>
            <w:vAlign w:val="center"/>
          </w:tcPr>
          <w:p w:rsidR="00BF2880" w:rsidRPr="00D94F41" w:rsidP="001C1985" w14:paraId="6A5D3AFC" w14:textId="48417CAA">
            <w:pPr>
              <w:pStyle w:val="TableParagraph"/>
              <w:spacing w:before="60" w:after="60"/>
              <w:ind w:right="50"/>
              <w:jc w:val="right"/>
            </w:pPr>
            <w:r w:rsidRPr="00BA086A">
              <w:t>15,278.12</w:t>
            </w:r>
          </w:p>
        </w:tc>
        <w:tc>
          <w:tcPr>
            <w:tcW w:w="1054" w:type="dxa"/>
            <w:vAlign w:val="center"/>
          </w:tcPr>
          <w:p w:rsidR="00BF2880" w:rsidRPr="00BA086A" w:rsidP="001C1985" w14:paraId="2251840E" w14:textId="5A943BF2">
            <w:pPr>
              <w:pStyle w:val="TableParagraph"/>
              <w:spacing w:before="60" w:after="60"/>
              <w:ind w:right="110"/>
              <w:jc w:val="right"/>
            </w:pPr>
            <w:r w:rsidRPr="00E83DA5">
              <w:t>15,631.94</w:t>
            </w:r>
          </w:p>
        </w:tc>
        <w:tc>
          <w:tcPr>
            <w:tcW w:w="1055" w:type="dxa"/>
            <w:vAlign w:val="center"/>
          </w:tcPr>
          <w:p w:rsidR="00BF2880" w:rsidRPr="00E83DA5" w:rsidP="001C1985" w14:paraId="11F851BF" w14:textId="196A5BD6">
            <w:pPr>
              <w:pStyle w:val="TableParagraph"/>
              <w:spacing w:before="60" w:after="60"/>
              <w:ind w:right="90"/>
              <w:jc w:val="right"/>
            </w:pPr>
            <w:r w:rsidRPr="008E3459">
              <w:t>15</w:t>
            </w:r>
            <w:r>
              <w:t>,</w:t>
            </w:r>
            <w:r w:rsidRPr="008E3459">
              <w:t>976.76</w:t>
            </w:r>
          </w:p>
        </w:tc>
      </w:tr>
      <w:tr w14:paraId="4320D1AD" w14:textId="7E64D716" w:rsidTr="001C1985">
        <w:tblPrEx>
          <w:tblW w:w="9535" w:type="dxa"/>
          <w:tblLayout w:type="fixed"/>
          <w:tblCellMar>
            <w:left w:w="0" w:type="dxa"/>
            <w:right w:w="0" w:type="dxa"/>
          </w:tblCellMar>
          <w:tblLook w:val="01E0"/>
        </w:tblPrEx>
        <w:trPr>
          <w:cantSplit/>
        </w:trPr>
        <w:tc>
          <w:tcPr>
            <w:tcW w:w="2155" w:type="dxa"/>
            <w:tcMar>
              <w:left w:w="43" w:type="dxa"/>
              <w:right w:w="43" w:type="dxa"/>
            </w:tcMar>
            <w:vAlign w:val="center"/>
          </w:tcPr>
          <w:p w:rsidR="00BF2880" w:rsidRPr="00D94F41" w:rsidP="001C1985" w14:paraId="494AB49C" w14:textId="07194F9F">
            <w:pPr>
              <w:pStyle w:val="TableParagraph"/>
              <w:tabs>
                <w:tab w:val="left" w:pos="666"/>
              </w:tabs>
              <w:spacing w:before="60" w:after="60"/>
              <w:ind w:left="40"/>
              <w:rPr>
                <w:b/>
                <w:bCs/>
              </w:rPr>
            </w:pPr>
            <w:r w:rsidRPr="00D94F41">
              <w:rPr>
                <w:b/>
                <w:bCs/>
              </w:rPr>
              <w:t>75-79</w:t>
            </w:r>
          </w:p>
        </w:tc>
        <w:tc>
          <w:tcPr>
            <w:tcW w:w="1054" w:type="dxa"/>
            <w:tcMar>
              <w:left w:w="43" w:type="dxa"/>
              <w:right w:w="43" w:type="dxa"/>
            </w:tcMar>
            <w:vAlign w:val="center"/>
          </w:tcPr>
          <w:p w:rsidR="00BF2880" w:rsidRPr="00D94F41" w:rsidP="001C1985" w14:paraId="692B747D" w14:textId="1FA163FB">
            <w:pPr>
              <w:pStyle w:val="TableParagraph"/>
              <w:spacing w:before="60" w:after="60"/>
              <w:ind w:right="20"/>
              <w:jc w:val="right"/>
            </w:pPr>
            <w:r w:rsidRPr="00D94F41">
              <w:t>9,463.14</w:t>
            </w:r>
          </w:p>
        </w:tc>
        <w:tc>
          <w:tcPr>
            <w:tcW w:w="1054" w:type="dxa"/>
            <w:tcMar>
              <w:left w:w="43" w:type="dxa"/>
              <w:right w:w="43" w:type="dxa"/>
            </w:tcMar>
            <w:vAlign w:val="center"/>
          </w:tcPr>
          <w:p w:rsidR="00BF2880" w:rsidRPr="00D94F41" w:rsidP="001C1985" w14:paraId="1DEB487B" w14:textId="0BC3DEF0">
            <w:pPr>
              <w:pStyle w:val="TableParagraph"/>
              <w:spacing w:before="60" w:after="60"/>
              <w:ind w:left="-110" w:right="90"/>
              <w:jc w:val="right"/>
            </w:pPr>
            <w:r w:rsidRPr="00D94F41">
              <w:rPr>
                <w:color w:val="000000"/>
              </w:rPr>
              <w:t>9,820.30</w:t>
            </w:r>
          </w:p>
        </w:tc>
        <w:tc>
          <w:tcPr>
            <w:tcW w:w="1054" w:type="dxa"/>
            <w:tcMar>
              <w:left w:w="43" w:type="dxa"/>
              <w:right w:w="43" w:type="dxa"/>
            </w:tcMar>
            <w:vAlign w:val="center"/>
          </w:tcPr>
          <w:p w:rsidR="00BF2880" w:rsidRPr="00D94F41" w:rsidP="001C1985" w14:paraId="7AE41728" w14:textId="5B86D402">
            <w:pPr>
              <w:pStyle w:val="TableParagraph"/>
              <w:spacing w:before="60" w:after="60"/>
              <w:ind w:right="60"/>
              <w:jc w:val="right"/>
            </w:pPr>
            <w:r w:rsidRPr="00D94F41">
              <w:t>10,117.54</w:t>
            </w:r>
          </w:p>
        </w:tc>
        <w:tc>
          <w:tcPr>
            <w:tcW w:w="1055" w:type="dxa"/>
            <w:tcMar>
              <w:left w:w="43" w:type="dxa"/>
              <w:right w:w="43" w:type="dxa"/>
            </w:tcMar>
            <w:vAlign w:val="center"/>
          </w:tcPr>
          <w:p w:rsidR="00BF2880" w:rsidRPr="00D94F41" w:rsidP="001C1985" w14:paraId="1C5B1457" w14:textId="637DF64B">
            <w:pPr>
              <w:pStyle w:val="TableParagraph"/>
              <w:spacing w:before="60" w:after="60"/>
              <w:ind w:right="30"/>
              <w:jc w:val="right"/>
              <w:rPr>
                <w:color w:val="000000"/>
              </w:rPr>
            </w:pPr>
            <w:r w:rsidRPr="00D94F41">
              <w:t>10,576.94</w:t>
            </w:r>
          </w:p>
        </w:tc>
        <w:tc>
          <w:tcPr>
            <w:tcW w:w="1054" w:type="dxa"/>
            <w:vAlign w:val="center"/>
          </w:tcPr>
          <w:p w:rsidR="00BF2880" w:rsidRPr="00D94F41" w:rsidP="001C1985" w14:paraId="22601A9F" w14:textId="400D859E">
            <w:pPr>
              <w:pStyle w:val="TableParagraph"/>
              <w:spacing w:before="60" w:after="60"/>
              <w:ind w:right="50"/>
              <w:jc w:val="right"/>
            </w:pPr>
            <w:r w:rsidRPr="00BA086A">
              <w:t>11,296.14</w:t>
            </w:r>
          </w:p>
        </w:tc>
        <w:tc>
          <w:tcPr>
            <w:tcW w:w="1054" w:type="dxa"/>
            <w:vAlign w:val="center"/>
          </w:tcPr>
          <w:p w:rsidR="00BF2880" w:rsidRPr="00BA086A" w:rsidP="001C1985" w14:paraId="40362F5A" w14:textId="5909FC3E">
            <w:pPr>
              <w:pStyle w:val="TableParagraph"/>
              <w:spacing w:before="60" w:after="60"/>
              <w:ind w:right="110"/>
              <w:jc w:val="right"/>
            </w:pPr>
            <w:r w:rsidRPr="00E83DA5">
              <w:t>11,789.56</w:t>
            </w:r>
          </w:p>
        </w:tc>
        <w:tc>
          <w:tcPr>
            <w:tcW w:w="1055" w:type="dxa"/>
            <w:vAlign w:val="center"/>
          </w:tcPr>
          <w:p w:rsidR="00BF2880" w:rsidRPr="00E83DA5" w:rsidP="001C1985" w14:paraId="7D9C6ADD" w14:textId="27602850">
            <w:pPr>
              <w:pStyle w:val="TableParagraph"/>
              <w:spacing w:before="60" w:after="60"/>
              <w:ind w:right="90"/>
              <w:jc w:val="right"/>
            </w:pPr>
            <w:r w:rsidRPr="008E3459">
              <w:t>12</w:t>
            </w:r>
            <w:r>
              <w:t>,</w:t>
            </w:r>
            <w:r w:rsidRPr="008E3459">
              <w:t>453.5</w:t>
            </w:r>
            <w:r>
              <w:t>0</w:t>
            </w:r>
          </w:p>
        </w:tc>
      </w:tr>
      <w:tr w14:paraId="6F79E7C4" w14:textId="74BC947F" w:rsidTr="001C1985">
        <w:tblPrEx>
          <w:tblW w:w="9535" w:type="dxa"/>
          <w:tblLayout w:type="fixed"/>
          <w:tblCellMar>
            <w:left w:w="0" w:type="dxa"/>
            <w:right w:w="0" w:type="dxa"/>
          </w:tblCellMar>
          <w:tblLook w:val="01E0"/>
        </w:tblPrEx>
        <w:trPr>
          <w:cantSplit/>
        </w:trPr>
        <w:tc>
          <w:tcPr>
            <w:tcW w:w="2155" w:type="dxa"/>
            <w:tcMar>
              <w:left w:w="43" w:type="dxa"/>
              <w:right w:w="43" w:type="dxa"/>
            </w:tcMar>
            <w:vAlign w:val="center"/>
          </w:tcPr>
          <w:p w:rsidR="00BF2880" w:rsidRPr="00D94F41" w:rsidP="001C1985" w14:paraId="5D18B3C3" w14:textId="5BD2305C">
            <w:pPr>
              <w:pStyle w:val="TableParagraph"/>
              <w:tabs>
                <w:tab w:val="left" w:pos="666"/>
              </w:tabs>
              <w:spacing w:before="60" w:after="60"/>
              <w:ind w:left="40"/>
              <w:rPr>
                <w:b/>
                <w:bCs/>
              </w:rPr>
            </w:pPr>
            <w:r w:rsidRPr="00D94F41">
              <w:rPr>
                <w:b/>
                <w:bCs/>
              </w:rPr>
              <w:t>80-84</w:t>
            </w:r>
          </w:p>
        </w:tc>
        <w:tc>
          <w:tcPr>
            <w:tcW w:w="1054" w:type="dxa"/>
            <w:tcMar>
              <w:left w:w="43" w:type="dxa"/>
              <w:right w:w="43" w:type="dxa"/>
            </w:tcMar>
            <w:vAlign w:val="center"/>
          </w:tcPr>
          <w:p w:rsidR="00BF2880" w:rsidRPr="00D94F41" w:rsidP="001C1985" w14:paraId="6AC05496" w14:textId="4D79CBCC">
            <w:pPr>
              <w:pStyle w:val="TableParagraph"/>
              <w:spacing w:before="60" w:after="60"/>
              <w:ind w:right="20"/>
              <w:jc w:val="right"/>
            </w:pPr>
            <w:r w:rsidRPr="00D94F41">
              <w:t>6,301.04</w:t>
            </w:r>
          </w:p>
        </w:tc>
        <w:tc>
          <w:tcPr>
            <w:tcW w:w="1054" w:type="dxa"/>
            <w:tcMar>
              <w:left w:w="43" w:type="dxa"/>
              <w:right w:w="43" w:type="dxa"/>
            </w:tcMar>
            <w:vAlign w:val="center"/>
          </w:tcPr>
          <w:p w:rsidR="00BF2880" w:rsidRPr="00D94F41" w:rsidP="001C1985" w14:paraId="014B964D" w14:textId="744C566E">
            <w:pPr>
              <w:pStyle w:val="TableParagraph"/>
              <w:spacing w:before="60" w:after="60"/>
              <w:ind w:left="-110" w:right="90"/>
              <w:jc w:val="right"/>
            </w:pPr>
            <w:r w:rsidRPr="00D94F41">
              <w:rPr>
                <w:color w:val="000000"/>
              </w:rPr>
              <w:t>6,441.96</w:t>
            </w:r>
          </w:p>
        </w:tc>
        <w:tc>
          <w:tcPr>
            <w:tcW w:w="1054" w:type="dxa"/>
            <w:tcMar>
              <w:left w:w="43" w:type="dxa"/>
              <w:right w:w="43" w:type="dxa"/>
            </w:tcMar>
            <w:vAlign w:val="center"/>
          </w:tcPr>
          <w:p w:rsidR="00BF2880" w:rsidRPr="00D94F41" w:rsidP="001C1985" w14:paraId="4D24FB02" w14:textId="5E8049F6">
            <w:pPr>
              <w:pStyle w:val="TableParagraph"/>
              <w:spacing w:before="60" w:after="60"/>
              <w:ind w:right="60"/>
              <w:jc w:val="right"/>
            </w:pPr>
            <w:r w:rsidRPr="00D94F41">
              <w:t>6,610.14</w:t>
            </w:r>
          </w:p>
        </w:tc>
        <w:tc>
          <w:tcPr>
            <w:tcW w:w="1055" w:type="dxa"/>
            <w:tcMar>
              <w:left w:w="43" w:type="dxa"/>
              <w:right w:w="43" w:type="dxa"/>
            </w:tcMar>
            <w:vAlign w:val="center"/>
          </w:tcPr>
          <w:p w:rsidR="00BF2880" w:rsidRPr="00D94F41" w:rsidP="001C1985" w14:paraId="347340A5" w14:textId="486D1872">
            <w:pPr>
              <w:pStyle w:val="TableParagraph"/>
              <w:spacing w:before="60" w:after="60"/>
              <w:ind w:right="30"/>
              <w:jc w:val="right"/>
              <w:rPr>
                <w:color w:val="000000"/>
              </w:rPr>
            </w:pPr>
            <w:r w:rsidRPr="00D94F41">
              <w:t>6,737.94</w:t>
            </w:r>
          </w:p>
        </w:tc>
        <w:tc>
          <w:tcPr>
            <w:tcW w:w="1054" w:type="dxa"/>
            <w:vAlign w:val="center"/>
          </w:tcPr>
          <w:p w:rsidR="00BF2880" w:rsidRPr="00D94F41" w:rsidP="001C1985" w14:paraId="3EBA14E7" w14:textId="62F17C51">
            <w:pPr>
              <w:pStyle w:val="TableParagraph"/>
              <w:spacing w:before="60" w:after="60"/>
              <w:ind w:right="50"/>
              <w:jc w:val="right"/>
            </w:pPr>
            <w:r w:rsidRPr="00BA086A">
              <w:t>7,098.58</w:t>
            </w:r>
          </w:p>
        </w:tc>
        <w:tc>
          <w:tcPr>
            <w:tcW w:w="1054" w:type="dxa"/>
            <w:vAlign w:val="center"/>
          </w:tcPr>
          <w:p w:rsidR="00BF2880" w:rsidRPr="00BA086A" w:rsidP="001C1985" w14:paraId="59CB51E5" w14:textId="078BCF85">
            <w:pPr>
              <w:pStyle w:val="TableParagraph"/>
              <w:spacing w:before="60" w:after="60"/>
              <w:ind w:right="110"/>
              <w:jc w:val="right"/>
            </w:pPr>
            <w:r w:rsidRPr="00E83DA5">
              <w:t>7,447.08</w:t>
            </w:r>
          </w:p>
        </w:tc>
        <w:tc>
          <w:tcPr>
            <w:tcW w:w="1055" w:type="dxa"/>
            <w:vAlign w:val="center"/>
          </w:tcPr>
          <w:p w:rsidR="00BF2880" w:rsidRPr="00E83DA5" w:rsidP="001C1985" w14:paraId="0199C1DA" w14:textId="7778C304">
            <w:pPr>
              <w:pStyle w:val="TableParagraph"/>
              <w:spacing w:before="60" w:after="60"/>
              <w:ind w:right="90"/>
              <w:jc w:val="right"/>
            </w:pPr>
            <w:r w:rsidRPr="008E3459">
              <w:t>7</w:t>
            </w:r>
            <w:r>
              <w:t>,</w:t>
            </w:r>
            <w:r w:rsidRPr="008E3459">
              <w:t>767.44</w:t>
            </w:r>
          </w:p>
        </w:tc>
      </w:tr>
      <w:tr w14:paraId="7384541A" w14:textId="02AE8976" w:rsidTr="001C1985">
        <w:tblPrEx>
          <w:tblW w:w="9535" w:type="dxa"/>
          <w:tblLayout w:type="fixed"/>
          <w:tblCellMar>
            <w:left w:w="0" w:type="dxa"/>
            <w:right w:w="0" w:type="dxa"/>
          </w:tblCellMar>
          <w:tblLook w:val="01E0"/>
        </w:tblPrEx>
        <w:trPr>
          <w:cantSplit/>
        </w:trPr>
        <w:tc>
          <w:tcPr>
            <w:tcW w:w="2155" w:type="dxa"/>
            <w:tcMar>
              <w:left w:w="43" w:type="dxa"/>
              <w:right w:w="43" w:type="dxa"/>
            </w:tcMar>
            <w:vAlign w:val="center"/>
          </w:tcPr>
          <w:p w:rsidR="00BF2880" w:rsidRPr="00D94F41" w:rsidP="001C1985" w14:paraId="32BD2BE9" w14:textId="53FE0A6D">
            <w:pPr>
              <w:pStyle w:val="TableParagraph"/>
              <w:tabs>
                <w:tab w:val="left" w:pos="666"/>
              </w:tabs>
              <w:spacing w:before="60" w:after="60"/>
              <w:ind w:left="40"/>
              <w:rPr>
                <w:b/>
                <w:bCs/>
              </w:rPr>
            </w:pPr>
            <w:r w:rsidRPr="00D94F41">
              <w:rPr>
                <w:b/>
                <w:bCs/>
              </w:rPr>
              <w:t>85+</w:t>
            </w:r>
          </w:p>
        </w:tc>
        <w:tc>
          <w:tcPr>
            <w:tcW w:w="1054" w:type="dxa"/>
            <w:tcMar>
              <w:left w:w="43" w:type="dxa"/>
              <w:right w:w="43" w:type="dxa"/>
            </w:tcMar>
            <w:vAlign w:val="center"/>
          </w:tcPr>
          <w:p w:rsidR="00BF2880" w:rsidRPr="00D94F41" w:rsidP="001C1985" w14:paraId="46CE4D9D" w14:textId="22E50098">
            <w:pPr>
              <w:pStyle w:val="TableParagraph"/>
              <w:spacing w:before="60" w:after="60"/>
              <w:ind w:right="20"/>
              <w:jc w:val="right"/>
            </w:pPr>
            <w:r w:rsidRPr="00D94F41">
              <w:t>7,001.80</w:t>
            </w:r>
          </w:p>
        </w:tc>
        <w:tc>
          <w:tcPr>
            <w:tcW w:w="1054" w:type="dxa"/>
            <w:tcMar>
              <w:left w:w="43" w:type="dxa"/>
              <w:right w:w="43" w:type="dxa"/>
            </w:tcMar>
            <w:vAlign w:val="center"/>
          </w:tcPr>
          <w:p w:rsidR="00BF2880" w:rsidRPr="00D94F41" w:rsidP="001C1985" w14:paraId="4550BC23" w14:textId="2F9CB179">
            <w:pPr>
              <w:pStyle w:val="TableParagraph"/>
              <w:spacing w:before="60" w:after="60"/>
              <w:ind w:left="-110" w:right="90"/>
              <w:jc w:val="right"/>
            </w:pPr>
            <w:r w:rsidRPr="00D94F41">
              <w:rPr>
                <w:color w:val="000000"/>
              </w:rPr>
              <w:t>7,052.58</w:t>
            </w:r>
          </w:p>
        </w:tc>
        <w:tc>
          <w:tcPr>
            <w:tcW w:w="1054" w:type="dxa"/>
            <w:tcMar>
              <w:left w:w="43" w:type="dxa"/>
              <w:right w:w="43" w:type="dxa"/>
            </w:tcMar>
            <w:vAlign w:val="center"/>
          </w:tcPr>
          <w:p w:rsidR="00BF2880" w:rsidRPr="00D94F41" w:rsidP="001C1985" w14:paraId="065893B0" w14:textId="7AA23828">
            <w:pPr>
              <w:pStyle w:val="TableParagraph"/>
              <w:spacing w:before="60" w:after="60"/>
              <w:ind w:right="60"/>
              <w:jc w:val="right"/>
            </w:pPr>
            <w:r w:rsidRPr="00D94F41">
              <w:t>7,099.28</w:t>
            </w:r>
          </w:p>
        </w:tc>
        <w:tc>
          <w:tcPr>
            <w:tcW w:w="1055" w:type="dxa"/>
            <w:tcMar>
              <w:left w:w="43" w:type="dxa"/>
              <w:right w:w="43" w:type="dxa"/>
            </w:tcMar>
            <w:vAlign w:val="center"/>
          </w:tcPr>
          <w:p w:rsidR="00BF2880" w:rsidRPr="00D94F41" w:rsidP="001C1985" w14:paraId="0E720793" w14:textId="18487B47">
            <w:pPr>
              <w:pStyle w:val="TableParagraph"/>
              <w:spacing w:before="60" w:after="60"/>
              <w:ind w:right="30"/>
              <w:jc w:val="right"/>
              <w:rPr>
                <w:color w:val="000000"/>
              </w:rPr>
            </w:pPr>
            <w:r w:rsidRPr="00D94F41">
              <w:t>6,902.06</w:t>
            </w:r>
          </w:p>
        </w:tc>
        <w:tc>
          <w:tcPr>
            <w:tcW w:w="1054" w:type="dxa"/>
            <w:vAlign w:val="center"/>
          </w:tcPr>
          <w:p w:rsidR="00BF2880" w:rsidRPr="00D94F41" w:rsidP="001C1985" w14:paraId="150C6659" w14:textId="24FC0615">
            <w:pPr>
              <w:pStyle w:val="TableParagraph"/>
              <w:spacing w:before="60" w:after="60"/>
              <w:ind w:right="50"/>
              <w:jc w:val="right"/>
            </w:pPr>
            <w:r w:rsidRPr="00BA086A">
              <w:t>6,966.30</w:t>
            </w:r>
          </w:p>
        </w:tc>
        <w:tc>
          <w:tcPr>
            <w:tcW w:w="1054" w:type="dxa"/>
            <w:vAlign w:val="center"/>
          </w:tcPr>
          <w:p w:rsidR="00BF2880" w:rsidRPr="00BA086A" w:rsidP="001C1985" w14:paraId="094996D2" w14:textId="65B1E854">
            <w:pPr>
              <w:pStyle w:val="TableParagraph"/>
              <w:spacing w:before="60" w:after="60"/>
              <w:ind w:right="110"/>
              <w:jc w:val="right"/>
            </w:pPr>
            <w:r w:rsidRPr="00E83DA5">
              <w:t>7,062.08</w:t>
            </w:r>
          </w:p>
        </w:tc>
        <w:tc>
          <w:tcPr>
            <w:tcW w:w="1055" w:type="dxa"/>
            <w:vAlign w:val="center"/>
          </w:tcPr>
          <w:p w:rsidR="00BF2880" w:rsidRPr="00E83DA5" w:rsidP="001C1985" w14:paraId="7CDC2F5C" w14:textId="5DE1AA14">
            <w:pPr>
              <w:pStyle w:val="TableParagraph"/>
              <w:spacing w:before="60" w:after="60"/>
              <w:ind w:right="90"/>
              <w:jc w:val="right"/>
            </w:pPr>
            <w:r w:rsidRPr="008E3459">
              <w:t>7</w:t>
            </w:r>
            <w:r>
              <w:t>,</w:t>
            </w:r>
            <w:r w:rsidRPr="008E3459">
              <w:t>204.38</w:t>
            </w:r>
          </w:p>
        </w:tc>
      </w:tr>
      <w:tr w14:paraId="16E4D31E" w14:textId="2611CA4E" w:rsidTr="001C1985">
        <w:tblPrEx>
          <w:tblW w:w="9535" w:type="dxa"/>
          <w:tblLayout w:type="fixed"/>
          <w:tblCellMar>
            <w:left w:w="0" w:type="dxa"/>
            <w:right w:w="0" w:type="dxa"/>
          </w:tblCellMar>
          <w:tblLook w:val="01E0"/>
        </w:tblPrEx>
        <w:trPr>
          <w:cantSplit/>
        </w:trPr>
        <w:tc>
          <w:tcPr>
            <w:tcW w:w="2155" w:type="dxa"/>
            <w:tcMar>
              <w:left w:w="43" w:type="dxa"/>
              <w:right w:w="43" w:type="dxa"/>
            </w:tcMar>
            <w:vAlign w:val="center"/>
          </w:tcPr>
          <w:p w:rsidR="00BF2880" w:rsidRPr="00D94F41" w:rsidP="001C1985" w14:paraId="6486DB24" w14:textId="23AD0CB2">
            <w:pPr>
              <w:pStyle w:val="TableParagraph"/>
              <w:spacing w:before="60" w:after="60"/>
              <w:ind w:left="40"/>
              <w:rPr>
                <w:b/>
                <w:bCs/>
              </w:rPr>
            </w:pPr>
            <w:r w:rsidRPr="00D94F41">
              <w:rPr>
                <w:b/>
                <w:bCs/>
              </w:rPr>
              <w:t>Total</w:t>
            </w:r>
            <w:r>
              <w:rPr>
                <w:b/>
                <w:bCs/>
              </w:rPr>
              <w:t xml:space="preserve"> (64 and under)</w:t>
            </w:r>
          </w:p>
        </w:tc>
        <w:tc>
          <w:tcPr>
            <w:tcW w:w="1054" w:type="dxa"/>
            <w:tcMar>
              <w:left w:w="43" w:type="dxa"/>
              <w:right w:w="43" w:type="dxa"/>
            </w:tcMar>
            <w:vAlign w:val="center"/>
          </w:tcPr>
          <w:p w:rsidR="00BF2880" w:rsidRPr="00D94F41" w:rsidP="001C1985" w14:paraId="66BDD426" w14:textId="0B54A95C">
            <w:pPr>
              <w:pStyle w:val="TableParagraph"/>
              <w:spacing w:before="60" w:after="60"/>
              <w:ind w:right="20"/>
              <w:jc w:val="right"/>
            </w:pPr>
            <w:r w:rsidRPr="00D94F41">
              <w:t>8,695.24</w:t>
            </w:r>
          </w:p>
        </w:tc>
        <w:tc>
          <w:tcPr>
            <w:tcW w:w="1054" w:type="dxa"/>
            <w:tcMar>
              <w:left w:w="43" w:type="dxa"/>
              <w:right w:w="43" w:type="dxa"/>
            </w:tcMar>
            <w:vAlign w:val="center"/>
          </w:tcPr>
          <w:p w:rsidR="00BF2880" w:rsidRPr="00D94F41" w:rsidP="001C1985" w14:paraId="1B80A7C6" w14:textId="49F1D6F5">
            <w:pPr>
              <w:pStyle w:val="TableParagraph"/>
              <w:spacing w:before="60" w:after="60"/>
              <w:ind w:left="-110" w:right="90"/>
              <w:jc w:val="right"/>
              <w:rPr>
                <w:color w:val="000000"/>
              </w:rPr>
            </w:pPr>
            <w:r w:rsidRPr="00D94F41">
              <w:rPr>
                <w:color w:val="000000"/>
              </w:rPr>
              <w:t>8,544.64</w:t>
            </w:r>
          </w:p>
        </w:tc>
        <w:tc>
          <w:tcPr>
            <w:tcW w:w="1054" w:type="dxa"/>
            <w:tcMar>
              <w:left w:w="43" w:type="dxa"/>
              <w:right w:w="43" w:type="dxa"/>
            </w:tcMar>
            <w:vAlign w:val="center"/>
          </w:tcPr>
          <w:p w:rsidR="00BF2880" w:rsidRPr="00D94F41" w:rsidP="001C1985" w14:paraId="31B114F9" w14:textId="5DD0591B">
            <w:pPr>
              <w:pStyle w:val="TableParagraph"/>
              <w:spacing w:before="60" w:after="60"/>
              <w:ind w:right="60"/>
              <w:jc w:val="right"/>
            </w:pPr>
            <w:r w:rsidRPr="00D94F41">
              <w:t>8,386.12</w:t>
            </w:r>
          </w:p>
        </w:tc>
        <w:tc>
          <w:tcPr>
            <w:tcW w:w="1055" w:type="dxa"/>
            <w:tcMar>
              <w:left w:w="43" w:type="dxa"/>
              <w:right w:w="43" w:type="dxa"/>
            </w:tcMar>
            <w:vAlign w:val="center"/>
          </w:tcPr>
          <w:p w:rsidR="00BF2880" w:rsidRPr="00D94F41" w:rsidP="001C1985" w14:paraId="717E5737" w14:textId="1CF7546D">
            <w:pPr>
              <w:pStyle w:val="TableParagraph"/>
              <w:spacing w:before="60" w:after="60"/>
              <w:ind w:right="30"/>
              <w:jc w:val="right"/>
            </w:pPr>
            <w:r w:rsidRPr="00D94F41">
              <w:t>8,127.32</w:t>
            </w:r>
          </w:p>
        </w:tc>
        <w:tc>
          <w:tcPr>
            <w:tcW w:w="1054" w:type="dxa"/>
            <w:vAlign w:val="center"/>
          </w:tcPr>
          <w:p w:rsidR="00BF2880" w:rsidRPr="00D94F41" w:rsidP="001C1985" w14:paraId="1B097A77" w14:textId="6398ABF4">
            <w:pPr>
              <w:pStyle w:val="TableParagraph"/>
              <w:spacing w:before="60" w:after="60"/>
              <w:ind w:right="50"/>
              <w:jc w:val="right"/>
            </w:pPr>
            <w:r w:rsidRPr="00BA086A">
              <w:t>7,800.54</w:t>
            </w:r>
          </w:p>
        </w:tc>
        <w:tc>
          <w:tcPr>
            <w:tcW w:w="1054" w:type="dxa"/>
            <w:vAlign w:val="center"/>
          </w:tcPr>
          <w:p w:rsidR="00BF2880" w:rsidRPr="00BA086A" w:rsidP="001C1985" w14:paraId="0EEEEEF8" w14:textId="4A659DDA">
            <w:pPr>
              <w:pStyle w:val="TableParagraph"/>
              <w:spacing w:before="60" w:after="60"/>
              <w:ind w:right="110"/>
              <w:jc w:val="right"/>
            </w:pPr>
            <w:r w:rsidRPr="00966B4F">
              <w:t xml:space="preserve">7,482.80 </w:t>
            </w:r>
          </w:p>
        </w:tc>
        <w:tc>
          <w:tcPr>
            <w:tcW w:w="1055" w:type="dxa"/>
            <w:vAlign w:val="center"/>
          </w:tcPr>
          <w:p w:rsidR="00BF2880" w:rsidRPr="00966B4F" w:rsidP="001C1985" w14:paraId="138AD074" w14:textId="7094AD0E">
            <w:pPr>
              <w:pStyle w:val="TableParagraph"/>
              <w:spacing w:before="60" w:after="60"/>
              <w:ind w:right="90"/>
              <w:jc w:val="right"/>
            </w:pPr>
            <w:r>
              <w:t>7,186.36</w:t>
            </w:r>
          </w:p>
        </w:tc>
      </w:tr>
      <w:tr w14:paraId="3AA41A45" w14:textId="4F6BBBDF" w:rsidTr="001C1985">
        <w:tblPrEx>
          <w:tblW w:w="9535" w:type="dxa"/>
          <w:tblLayout w:type="fixed"/>
          <w:tblCellMar>
            <w:left w:w="0" w:type="dxa"/>
            <w:right w:w="0" w:type="dxa"/>
          </w:tblCellMar>
          <w:tblLook w:val="01E0"/>
        </w:tblPrEx>
        <w:trPr>
          <w:cantSplit/>
        </w:trPr>
        <w:tc>
          <w:tcPr>
            <w:tcW w:w="2155" w:type="dxa"/>
            <w:tcMar>
              <w:left w:w="43" w:type="dxa"/>
              <w:right w:w="43" w:type="dxa"/>
            </w:tcMar>
            <w:vAlign w:val="center"/>
          </w:tcPr>
          <w:p w:rsidR="00BF2880" w:rsidRPr="00D94F41" w:rsidP="001C1985" w14:paraId="369B6201" w14:textId="1503E2FA">
            <w:pPr>
              <w:pStyle w:val="TableParagraph"/>
              <w:spacing w:before="60" w:after="60"/>
              <w:ind w:left="40"/>
              <w:rPr>
                <w:b/>
                <w:bCs/>
              </w:rPr>
            </w:pPr>
            <w:r w:rsidRPr="00D94F41">
              <w:rPr>
                <w:b/>
                <w:bCs/>
              </w:rPr>
              <w:t>Total</w:t>
            </w:r>
            <w:r>
              <w:rPr>
                <w:b/>
                <w:bCs/>
              </w:rPr>
              <w:t xml:space="preserve"> (65 and over)</w:t>
            </w:r>
          </w:p>
        </w:tc>
        <w:tc>
          <w:tcPr>
            <w:tcW w:w="1054" w:type="dxa"/>
            <w:tcMar>
              <w:left w:w="43" w:type="dxa"/>
              <w:right w:w="43" w:type="dxa"/>
            </w:tcMar>
            <w:vAlign w:val="center"/>
          </w:tcPr>
          <w:p w:rsidR="00BF2880" w:rsidRPr="00D94F41" w:rsidP="001C1985" w14:paraId="6EA7E90A" w14:textId="356C0860">
            <w:pPr>
              <w:pStyle w:val="TableParagraph"/>
              <w:spacing w:before="60" w:after="60"/>
              <w:ind w:right="20"/>
              <w:jc w:val="right"/>
            </w:pPr>
            <w:r w:rsidRPr="00D94F41">
              <w:t>52,392.26</w:t>
            </w:r>
          </w:p>
        </w:tc>
        <w:tc>
          <w:tcPr>
            <w:tcW w:w="1054" w:type="dxa"/>
            <w:tcMar>
              <w:left w:w="43" w:type="dxa"/>
              <w:right w:w="43" w:type="dxa"/>
            </w:tcMar>
            <w:vAlign w:val="center"/>
          </w:tcPr>
          <w:p w:rsidR="00BF2880" w:rsidRPr="00D94F41" w:rsidP="001C1985" w14:paraId="692FC761" w14:textId="29513E02">
            <w:pPr>
              <w:pStyle w:val="TableParagraph"/>
              <w:spacing w:before="60" w:after="60"/>
              <w:ind w:left="-110" w:right="90"/>
              <w:jc w:val="right"/>
            </w:pPr>
            <w:r w:rsidRPr="00D94F41">
              <w:rPr>
                <w:color w:val="000000"/>
              </w:rPr>
              <w:t>54,006.46</w:t>
            </w:r>
          </w:p>
        </w:tc>
        <w:tc>
          <w:tcPr>
            <w:tcW w:w="1054" w:type="dxa"/>
            <w:tcMar>
              <w:left w:w="43" w:type="dxa"/>
              <w:right w:w="43" w:type="dxa"/>
            </w:tcMar>
            <w:vAlign w:val="center"/>
          </w:tcPr>
          <w:p w:rsidR="00BF2880" w:rsidRPr="00D94F41" w:rsidP="001C1985" w14:paraId="53A5D57F" w14:textId="3C5155E9">
            <w:pPr>
              <w:pStyle w:val="TableParagraph"/>
              <w:spacing w:before="60" w:after="60"/>
              <w:ind w:right="60"/>
              <w:jc w:val="right"/>
            </w:pPr>
            <w:r w:rsidRPr="00D94F41">
              <w:t>55,690.44</w:t>
            </w:r>
          </w:p>
        </w:tc>
        <w:tc>
          <w:tcPr>
            <w:tcW w:w="1055" w:type="dxa"/>
            <w:tcMar>
              <w:left w:w="43" w:type="dxa"/>
              <w:right w:w="43" w:type="dxa"/>
            </w:tcMar>
            <w:vAlign w:val="center"/>
          </w:tcPr>
          <w:p w:rsidR="00BF2880" w:rsidRPr="00D94F41" w:rsidP="001C1985" w14:paraId="60C6BBA1" w14:textId="4BCBA1D0">
            <w:pPr>
              <w:pStyle w:val="TableParagraph"/>
              <w:spacing w:before="60" w:after="60"/>
              <w:ind w:right="30"/>
              <w:jc w:val="right"/>
              <w:rPr>
                <w:color w:val="000000"/>
              </w:rPr>
            </w:pPr>
            <w:r w:rsidRPr="00D94F41">
              <w:t>56,308.20</w:t>
            </w:r>
          </w:p>
        </w:tc>
        <w:tc>
          <w:tcPr>
            <w:tcW w:w="1054" w:type="dxa"/>
            <w:vAlign w:val="center"/>
          </w:tcPr>
          <w:p w:rsidR="00BF2880" w:rsidRPr="00D94F41" w:rsidP="001C1985" w14:paraId="40141F58" w14:textId="540DD5C3">
            <w:pPr>
              <w:pStyle w:val="TableParagraph"/>
              <w:spacing w:before="60" w:after="60"/>
              <w:ind w:right="50"/>
              <w:jc w:val="right"/>
            </w:pPr>
            <w:r w:rsidRPr="00BA086A">
              <w:t>57,788.56</w:t>
            </w:r>
          </w:p>
        </w:tc>
        <w:tc>
          <w:tcPr>
            <w:tcW w:w="1054" w:type="dxa"/>
            <w:vAlign w:val="center"/>
          </w:tcPr>
          <w:p w:rsidR="00BF2880" w:rsidRPr="00BA086A" w:rsidP="001C1985" w14:paraId="135FE518" w14:textId="0879A64F">
            <w:pPr>
              <w:pStyle w:val="TableParagraph"/>
              <w:spacing w:before="60" w:after="60"/>
              <w:ind w:right="110"/>
              <w:jc w:val="right"/>
            </w:pPr>
            <w:r w:rsidRPr="00966B4F">
              <w:t xml:space="preserve">59,468.76 </w:t>
            </w:r>
          </w:p>
        </w:tc>
        <w:tc>
          <w:tcPr>
            <w:tcW w:w="1055" w:type="dxa"/>
            <w:vAlign w:val="center"/>
          </w:tcPr>
          <w:p w:rsidR="00BF2880" w:rsidRPr="00966B4F" w:rsidP="001C1985" w14:paraId="731329A8" w14:textId="39D2308C">
            <w:pPr>
              <w:pStyle w:val="TableParagraph"/>
              <w:spacing w:before="60" w:after="60"/>
              <w:ind w:right="90"/>
              <w:jc w:val="right"/>
            </w:pPr>
            <w:r>
              <w:t>61,144.54</w:t>
            </w:r>
          </w:p>
        </w:tc>
      </w:tr>
      <w:tr w14:paraId="3A0DEAF2" w14:textId="41321575" w:rsidTr="001C1985">
        <w:tblPrEx>
          <w:tblW w:w="9535" w:type="dxa"/>
          <w:tblLayout w:type="fixed"/>
          <w:tblCellMar>
            <w:left w:w="0" w:type="dxa"/>
            <w:right w:w="0" w:type="dxa"/>
          </w:tblCellMar>
          <w:tblLook w:val="01E0"/>
        </w:tblPrEx>
        <w:trPr>
          <w:cantSplit/>
        </w:trPr>
        <w:tc>
          <w:tcPr>
            <w:tcW w:w="2155" w:type="dxa"/>
            <w:tcMar>
              <w:left w:w="43" w:type="dxa"/>
              <w:right w:w="43" w:type="dxa"/>
            </w:tcMar>
            <w:vAlign w:val="center"/>
          </w:tcPr>
          <w:p w:rsidR="00BF2880" w:rsidRPr="00316E8E" w:rsidP="001C1985" w14:paraId="4490A9CD" w14:textId="3240BDDC">
            <w:pPr>
              <w:pStyle w:val="TableParagraph"/>
              <w:spacing w:before="60" w:after="60"/>
              <w:ind w:left="40"/>
              <w:rPr>
                <w:b/>
                <w:bCs/>
                <w:color w:val="FFFFFF" w:themeColor="background1"/>
              </w:rPr>
            </w:pPr>
            <w:r w:rsidRPr="00D94F41">
              <w:rPr>
                <w:b/>
                <w:bCs/>
              </w:rPr>
              <w:t>Total</w:t>
            </w:r>
            <w:r>
              <w:rPr>
                <w:b/>
                <w:bCs/>
              </w:rPr>
              <w:t xml:space="preserve"> (All)</w:t>
            </w:r>
          </w:p>
        </w:tc>
        <w:tc>
          <w:tcPr>
            <w:tcW w:w="1054" w:type="dxa"/>
            <w:tcMar>
              <w:left w:w="43" w:type="dxa"/>
              <w:right w:w="43" w:type="dxa"/>
            </w:tcMar>
            <w:vAlign w:val="center"/>
          </w:tcPr>
          <w:p w:rsidR="00BF2880" w:rsidRPr="00D94F41" w:rsidP="001C1985" w14:paraId="2398DAC8" w14:textId="29817FBC">
            <w:pPr>
              <w:pStyle w:val="TableParagraph"/>
              <w:spacing w:before="60" w:after="60"/>
              <w:ind w:right="20"/>
              <w:jc w:val="right"/>
            </w:pPr>
            <w:r w:rsidRPr="00D94F41">
              <w:t>61,087.50</w:t>
            </w:r>
          </w:p>
        </w:tc>
        <w:tc>
          <w:tcPr>
            <w:tcW w:w="1054" w:type="dxa"/>
            <w:tcMar>
              <w:left w:w="43" w:type="dxa"/>
              <w:right w:w="43" w:type="dxa"/>
            </w:tcMar>
            <w:vAlign w:val="center"/>
          </w:tcPr>
          <w:p w:rsidR="00BF2880" w:rsidRPr="00D94F41" w:rsidP="001C1985" w14:paraId="5E16D96A" w14:textId="2CC49E68">
            <w:pPr>
              <w:pStyle w:val="TableParagraph"/>
              <w:spacing w:before="60" w:after="60"/>
              <w:ind w:left="-110" w:right="90"/>
              <w:jc w:val="right"/>
            </w:pPr>
            <w:r w:rsidRPr="00D94F41">
              <w:rPr>
                <w:color w:val="000000"/>
              </w:rPr>
              <w:t>62,551.10</w:t>
            </w:r>
          </w:p>
        </w:tc>
        <w:tc>
          <w:tcPr>
            <w:tcW w:w="1054" w:type="dxa"/>
            <w:tcMar>
              <w:left w:w="43" w:type="dxa"/>
              <w:right w:w="43" w:type="dxa"/>
            </w:tcMar>
            <w:vAlign w:val="center"/>
          </w:tcPr>
          <w:p w:rsidR="00BF2880" w:rsidRPr="00D94F41" w:rsidP="001C1985" w14:paraId="3862D9D4" w14:textId="17599D65">
            <w:pPr>
              <w:pStyle w:val="TableParagraph"/>
              <w:spacing w:before="60" w:after="60"/>
              <w:ind w:right="60"/>
              <w:jc w:val="right"/>
            </w:pPr>
            <w:r w:rsidRPr="00D94F41">
              <w:t>64,076.56</w:t>
            </w:r>
          </w:p>
        </w:tc>
        <w:tc>
          <w:tcPr>
            <w:tcW w:w="1055" w:type="dxa"/>
            <w:tcMar>
              <w:left w:w="43" w:type="dxa"/>
              <w:right w:w="43" w:type="dxa"/>
            </w:tcMar>
            <w:vAlign w:val="center"/>
          </w:tcPr>
          <w:p w:rsidR="00BF2880" w:rsidRPr="00D94F41" w:rsidP="001C1985" w14:paraId="3028F141" w14:textId="28F89C75">
            <w:pPr>
              <w:pStyle w:val="TableParagraph"/>
              <w:spacing w:before="60" w:after="60"/>
              <w:ind w:right="30"/>
              <w:jc w:val="right"/>
              <w:rPr>
                <w:color w:val="000000"/>
              </w:rPr>
            </w:pPr>
            <w:r w:rsidRPr="00D94F41">
              <w:t>64,435.52</w:t>
            </w:r>
          </w:p>
        </w:tc>
        <w:tc>
          <w:tcPr>
            <w:tcW w:w="1054" w:type="dxa"/>
            <w:vAlign w:val="center"/>
          </w:tcPr>
          <w:p w:rsidR="00BF2880" w:rsidRPr="00D94F41" w:rsidP="001C1985" w14:paraId="1CC051B6" w14:textId="5ADF0D5C">
            <w:pPr>
              <w:pStyle w:val="TableParagraph"/>
              <w:spacing w:before="60" w:after="60"/>
              <w:ind w:right="50"/>
              <w:jc w:val="right"/>
            </w:pPr>
            <w:r w:rsidRPr="00BA086A">
              <w:t>65,589.10</w:t>
            </w:r>
          </w:p>
        </w:tc>
        <w:tc>
          <w:tcPr>
            <w:tcW w:w="1054" w:type="dxa"/>
            <w:vAlign w:val="center"/>
          </w:tcPr>
          <w:p w:rsidR="00BF2880" w:rsidRPr="00BA086A" w:rsidP="001C1985" w14:paraId="3B331B5A" w14:textId="5FC1D79C">
            <w:pPr>
              <w:pStyle w:val="TableParagraph"/>
              <w:spacing w:before="60" w:after="60"/>
              <w:ind w:right="110"/>
              <w:jc w:val="right"/>
            </w:pPr>
            <w:r w:rsidRPr="00966B4F">
              <w:t xml:space="preserve">66,951.56 </w:t>
            </w:r>
          </w:p>
        </w:tc>
        <w:tc>
          <w:tcPr>
            <w:tcW w:w="1055" w:type="dxa"/>
            <w:vAlign w:val="center"/>
          </w:tcPr>
          <w:p w:rsidR="00BF2880" w:rsidRPr="00966B4F" w:rsidP="001C1985" w14:paraId="396DF40F" w14:textId="7688C8E5">
            <w:pPr>
              <w:pStyle w:val="TableParagraph"/>
              <w:spacing w:before="60" w:after="60"/>
              <w:ind w:right="90"/>
              <w:jc w:val="right"/>
            </w:pPr>
            <w:r>
              <w:t>68,330.90</w:t>
            </w:r>
          </w:p>
        </w:tc>
      </w:tr>
    </w:tbl>
    <w:p w:rsidR="0088452B" w:rsidRPr="003E486D" w:rsidP="001C1985" w14:paraId="361DCAE0" w14:textId="060430CC">
      <w:pPr>
        <w:pStyle w:val="Note"/>
        <w:spacing w:before="40" w:after="40"/>
      </w:pPr>
      <w:r w:rsidRPr="003E486D">
        <w:rPr>
          <w:b/>
          <w:bCs/>
        </w:rPr>
        <w:t>Source:</w:t>
      </w:r>
      <w:r w:rsidRPr="003E486D">
        <w:t xml:space="preserve"> </w:t>
      </w:r>
      <w:r w:rsidRPr="003E486D" w:rsidR="00C00C81">
        <w:t>Universe</w:t>
      </w:r>
      <w:r w:rsidRPr="003E486D">
        <w:t xml:space="preserve"> counts are based on a 5-percent extract of the Medicare administrative records and are computed as 20 times the extract</w:t>
      </w:r>
      <w:r w:rsidRPr="003E486D" w:rsidR="00D03F5A">
        <w:t xml:space="preserve"> </w:t>
      </w:r>
      <w:r w:rsidRPr="003E486D">
        <w:t>counts.</w:t>
      </w:r>
    </w:p>
    <w:p w:rsidR="0088452B" w:rsidRPr="003E486D" w:rsidP="001C1985" w14:paraId="2FFCB4F0" w14:textId="2CB652EA">
      <w:pPr>
        <w:pStyle w:val="Note"/>
        <w:spacing w:before="40" w:after="40"/>
      </w:pPr>
      <w:r w:rsidRPr="003E486D">
        <w:rPr>
          <w:b/>
          <w:bCs/>
        </w:rPr>
        <w:t>Notes:</w:t>
      </w:r>
      <w:r w:rsidRPr="003E486D">
        <w:t xml:space="preserve"> Puerto Rico beneficiaries are excluded from</w:t>
      </w:r>
      <w:r w:rsidRPr="003E486D" w:rsidR="00B9296F">
        <w:t xml:space="preserve"> </w:t>
      </w:r>
      <w:r w:rsidRPr="003E486D">
        <w:t>sample design</w:t>
      </w:r>
      <w:r w:rsidR="00681CB0">
        <w:t xml:space="preserve"> counts</w:t>
      </w:r>
      <w:r w:rsidRPr="003E486D">
        <w:t xml:space="preserve">. </w:t>
      </w:r>
    </w:p>
    <w:p w:rsidR="0088452B" w:rsidRPr="003E486D" w:rsidP="001C1985" w14:paraId="0CB6328F" w14:textId="77777777">
      <w:pPr>
        <w:pStyle w:val="Note"/>
        <w:spacing w:before="40" w:after="40"/>
      </w:pPr>
      <w:r w:rsidRPr="003E486D">
        <w:t>Totals do not necessarily equal the sum of rounded components.</w:t>
      </w:r>
    </w:p>
    <w:p w:rsidR="0088452B" w:rsidRPr="00D94F41" w:rsidP="003E486D" w14:paraId="522FB3FA" w14:textId="71E6B0D2">
      <w:pPr>
        <w:pStyle w:val="BodyText"/>
        <w:spacing w:before="240"/>
      </w:pPr>
      <w:r>
        <w:t>Regardless of design, t</w:t>
      </w:r>
      <w:r w:rsidRPr="00D94F41" w:rsidR="004112E2">
        <w:t xml:space="preserve">he target sample size of the MCBS </w:t>
      </w:r>
      <w:r w:rsidR="00F11CA0">
        <w:t xml:space="preserve">varies slightly each year. Most recently, it </w:t>
      </w:r>
      <w:r w:rsidRPr="00D94F41" w:rsidR="004112E2">
        <w:t xml:space="preserve">has been designed to yield </w:t>
      </w:r>
      <w:r w:rsidR="00193901">
        <w:t>8,</w:t>
      </w:r>
      <w:r w:rsidR="00932A15">
        <w:t>200-8,500</w:t>
      </w:r>
      <w:r w:rsidRPr="00D94F41" w:rsidR="00932A15">
        <w:rPr>
          <w:sz w:val="16"/>
        </w:rPr>
        <w:t xml:space="preserve"> </w:t>
      </w:r>
      <w:r w:rsidRPr="00D94F41" w:rsidR="004112E2">
        <w:t xml:space="preserve">completed cases providing Cost Supplement data per year (approximately </w:t>
      </w:r>
      <w:r w:rsidR="00932A15">
        <w:t>17-18 percent of these being</w:t>
      </w:r>
      <w:r w:rsidRPr="00D94F41" w:rsidR="004112E2">
        <w:t xml:space="preserve"> disabled enrollees under the age of 65, </w:t>
      </w:r>
      <w:r w:rsidR="00932A15">
        <w:t xml:space="preserve">approximately 48-49 percent being age 65 to 79, </w:t>
      </w:r>
      <w:r w:rsidRPr="00D94F41" w:rsidR="004112E2">
        <w:t xml:space="preserve">and </w:t>
      </w:r>
      <w:r w:rsidR="00932A15">
        <w:t>approximately 33-34 percent being</w:t>
      </w:r>
      <w:r w:rsidRPr="00D94F41" w:rsidR="004112E2">
        <w:t xml:space="preserve"> </w:t>
      </w:r>
      <w:r w:rsidRPr="00D94F41" w:rsidR="004112E2">
        <w:t xml:space="preserve">enrollees </w:t>
      </w:r>
      <w:r w:rsidR="00932A15">
        <w:t>80 years of age and older</w:t>
      </w:r>
      <w:r w:rsidRPr="00D94F41" w:rsidR="004112E2">
        <w:t>)</w:t>
      </w:r>
      <w:r w:rsidRPr="00D94F41" w:rsidR="00184C23">
        <w:t xml:space="preserve"> from 2023 onwards</w:t>
      </w:r>
      <w:r w:rsidRPr="00D94F41" w:rsidR="004112E2">
        <w:t>.</w:t>
      </w:r>
      <w:r w:rsidR="00157DE6">
        <w:t xml:space="preserve"> The redesigned sample from 2026 onward will maintain approximately the same overall targets.</w:t>
      </w:r>
    </w:p>
    <w:p w:rsidR="0088452B" w:rsidRPr="00D94F41" w:rsidP="004D6EBE" w14:paraId="0B18660D" w14:textId="4B8BBAE1">
      <w:pPr>
        <w:pStyle w:val="BodyText"/>
      </w:pPr>
      <w:r w:rsidRPr="00D94F41">
        <w:t xml:space="preserve">To achieve the desired number of completed cases, the MCBS selects new sample beneficiaries each year (referred to as the </w:t>
      </w:r>
      <w:r w:rsidRPr="00D94F41" w:rsidR="00505BED">
        <w:t>I</w:t>
      </w:r>
      <w:r w:rsidRPr="00D94F41">
        <w:t xml:space="preserve">ncoming </w:t>
      </w:r>
      <w:r w:rsidRPr="00D94F41" w:rsidR="00505BED">
        <w:t>P</w:t>
      </w:r>
      <w:r w:rsidRPr="00D94F41">
        <w:t xml:space="preserve">anel) to compensate for nonresponse, attrition, and retirement of sampled beneficiaries in the oldest panel (referred to as the exit panel) and to include the </w:t>
      </w:r>
      <w:r w:rsidRPr="00D94F41" w:rsidR="00BC219E">
        <w:t>current-year enrollees</w:t>
      </w:r>
      <w:r w:rsidRPr="00D94F41">
        <w:t xml:space="preserve">, while continuing to interview the non-retired portion of the continuing sample. The </w:t>
      </w:r>
      <w:r w:rsidRPr="00D94F41" w:rsidR="00505BED">
        <w:t>I</w:t>
      </w:r>
      <w:r w:rsidRPr="00D94F41">
        <w:t xml:space="preserve">ncoming </w:t>
      </w:r>
      <w:r w:rsidRPr="00D94F41" w:rsidR="00505BED">
        <w:t>P</w:t>
      </w:r>
      <w:r w:rsidRPr="00D94F41">
        <w:t xml:space="preserve">anel is always added in the Fall round (also referred to as the </w:t>
      </w:r>
      <w:r w:rsidRPr="00D94F41" w:rsidR="000A248B">
        <w:t>B</w:t>
      </w:r>
      <w:r w:rsidRPr="00D94F41">
        <w:t xml:space="preserve">aseline interview); the retiring or exit panel occurs in the </w:t>
      </w:r>
      <w:r w:rsidRPr="00D94F41" w:rsidR="00505BED">
        <w:t>W</w:t>
      </w:r>
      <w:r w:rsidRPr="00D94F41">
        <w:t xml:space="preserve">inter round (and is the </w:t>
      </w:r>
      <w:r w:rsidR="00A5794F">
        <w:t>11</w:t>
      </w:r>
      <w:r w:rsidRPr="009008A5" w:rsidR="00A5794F">
        <w:rPr>
          <w:vertAlign w:val="superscript"/>
        </w:rPr>
        <w:t>th</w:t>
      </w:r>
      <w:r w:rsidR="00A5794F">
        <w:t xml:space="preserve"> </w:t>
      </w:r>
      <w:r w:rsidRPr="00D94F41">
        <w:t>and final interview for all respondents).</w:t>
      </w:r>
    </w:p>
    <w:p w:rsidR="0088452B" w:rsidRPr="00632E4F" w:rsidP="004D6EBE" w14:paraId="420FA73C" w14:textId="7AAB379E">
      <w:pPr>
        <w:pStyle w:val="BodyText"/>
        <w:rPr>
          <w:spacing w:val="-2"/>
        </w:rPr>
      </w:pPr>
      <w:r w:rsidRPr="00632E4F">
        <w:rPr>
          <w:spacing w:val="-2"/>
        </w:rPr>
        <w:t xml:space="preserve">Each year, an analysis of non-response and attrition is conducted to determine the optimal sample size for the </w:t>
      </w:r>
      <w:r w:rsidRPr="00632E4F" w:rsidR="00505BED">
        <w:rPr>
          <w:spacing w:val="-2"/>
        </w:rPr>
        <w:t>F</w:t>
      </w:r>
      <w:r w:rsidRPr="00632E4F">
        <w:rPr>
          <w:spacing w:val="-2"/>
        </w:rPr>
        <w:t xml:space="preserve">all round </w:t>
      </w:r>
      <w:r w:rsidRPr="00632E4F" w:rsidR="00505BED">
        <w:rPr>
          <w:spacing w:val="-2"/>
        </w:rPr>
        <w:t>I</w:t>
      </w:r>
      <w:r w:rsidRPr="00632E4F">
        <w:rPr>
          <w:spacing w:val="-2"/>
        </w:rPr>
        <w:t xml:space="preserve">ncoming </w:t>
      </w:r>
      <w:r w:rsidRPr="00632E4F" w:rsidR="00505BED">
        <w:rPr>
          <w:spacing w:val="-2"/>
        </w:rPr>
        <w:t>P</w:t>
      </w:r>
      <w:r w:rsidRPr="00632E4F">
        <w:rPr>
          <w:spacing w:val="-2"/>
        </w:rPr>
        <w:t xml:space="preserve">anel. Through 2009, approximately 6,500 beneficiaries were added to the sample in the </w:t>
      </w:r>
      <w:r w:rsidRPr="00632E4F" w:rsidR="00505BED">
        <w:rPr>
          <w:spacing w:val="-2"/>
        </w:rPr>
        <w:t>F</w:t>
      </w:r>
      <w:r w:rsidRPr="00632E4F">
        <w:rPr>
          <w:spacing w:val="-2"/>
        </w:rPr>
        <w:t xml:space="preserve">all (September – December) round each year to replace the </w:t>
      </w:r>
      <w:r w:rsidRPr="00632E4F">
        <w:rPr>
          <w:spacing w:val="-2"/>
        </w:rPr>
        <w:t>exiting</w:t>
      </w:r>
      <w:r w:rsidRPr="00632E4F">
        <w:rPr>
          <w:spacing w:val="-2"/>
        </w:rPr>
        <w:t xml:space="preserve"> panel and to offset sample losses due to non-response and attrition. Beginning in the </w:t>
      </w:r>
      <w:r w:rsidRPr="00632E4F" w:rsidR="00505BED">
        <w:rPr>
          <w:spacing w:val="-2"/>
        </w:rPr>
        <w:t>F</w:t>
      </w:r>
      <w:r w:rsidRPr="00632E4F">
        <w:rPr>
          <w:spacing w:val="-2"/>
        </w:rPr>
        <w:t>all round of 2010</w:t>
      </w:r>
      <w:r w:rsidRPr="00632E4F" w:rsidR="001F4EC1">
        <w:rPr>
          <w:spacing w:val="-2"/>
        </w:rPr>
        <w:t xml:space="preserve"> and continuing through the decade</w:t>
      </w:r>
      <w:r w:rsidRPr="00632E4F">
        <w:rPr>
          <w:spacing w:val="-2"/>
        </w:rPr>
        <w:t xml:space="preserve">, the number of beneficiaries included in the </w:t>
      </w:r>
      <w:r w:rsidRPr="00632E4F" w:rsidR="00505BED">
        <w:rPr>
          <w:spacing w:val="-2"/>
        </w:rPr>
        <w:t>Incoming Panel</w:t>
      </w:r>
      <w:r w:rsidRPr="00632E4F">
        <w:rPr>
          <w:spacing w:val="-2"/>
        </w:rPr>
        <w:t xml:space="preserve"> </w:t>
      </w:r>
      <w:r w:rsidRPr="00632E4F" w:rsidR="001F4EC1">
        <w:rPr>
          <w:spacing w:val="-2"/>
        </w:rPr>
        <w:t xml:space="preserve">sample </w:t>
      </w:r>
      <w:r w:rsidRPr="00632E4F" w:rsidR="001F4EC1">
        <w:rPr>
          <w:spacing w:val="-2"/>
        </w:rPr>
        <w:t xml:space="preserve">release </w:t>
      </w:r>
      <w:r w:rsidRPr="00632E4F">
        <w:rPr>
          <w:spacing w:val="-2"/>
        </w:rPr>
        <w:t>was</w:t>
      </w:r>
      <w:r w:rsidRPr="00632E4F">
        <w:rPr>
          <w:spacing w:val="-2"/>
        </w:rPr>
        <w:t xml:space="preserve"> </w:t>
      </w:r>
      <w:r w:rsidRPr="00632E4F" w:rsidR="001F4EC1">
        <w:rPr>
          <w:spacing w:val="-2"/>
        </w:rPr>
        <w:t xml:space="preserve">gradually </w:t>
      </w:r>
      <w:r w:rsidRPr="00632E4F">
        <w:rPr>
          <w:spacing w:val="-2"/>
        </w:rPr>
        <w:t xml:space="preserve">increased to compensate for declining response rates. </w:t>
      </w:r>
      <w:r w:rsidRPr="00632E4F" w:rsidR="001F4EC1">
        <w:rPr>
          <w:spacing w:val="-2"/>
        </w:rPr>
        <w:t>B</w:t>
      </w:r>
      <w:r w:rsidRPr="00632E4F" w:rsidR="00DC250E">
        <w:rPr>
          <w:spacing w:val="-2"/>
        </w:rPr>
        <w:t xml:space="preserve">eginning in 2020 when interviewing shifted from in-person to telephone due to the COVID-19 pandemic, the </w:t>
      </w:r>
      <w:r w:rsidRPr="00632E4F" w:rsidR="00505BED">
        <w:rPr>
          <w:spacing w:val="-2"/>
        </w:rPr>
        <w:t>Incoming Panel</w:t>
      </w:r>
      <w:r w:rsidRPr="00632E4F" w:rsidR="00DC250E">
        <w:rPr>
          <w:spacing w:val="-2"/>
        </w:rPr>
        <w:t xml:space="preserve"> sample size </w:t>
      </w:r>
      <w:r w:rsidRPr="00632E4F" w:rsidR="001F4EC1">
        <w:rPr>
          <w:spacing w:val="-2"/>
        </w:rPr>
        <w:t>was</w:t>
      </w:r>
      <w:r w:rsidRPr="00632E4F" w:rsidR="00DC250E">
        <w:rPr>
          <w:spacing w:val="-2"/>
        </w:rPr>
        <w:t xml:space="preserve"> approximately 15,</w:t>
      </w:r>
      <w:r w:rsidR="00420B0B">
        <w:rPr>
          <w:spacing w:val="-2"/>
        </w:rPr>
        <w:t>1</w:t>
      </w:r>
      <w:r w:rsidRPr="00632E4F" w:rsidR="00DC250E">
        <w:rPr>
          <w:spacing w:val="-2"/>
        </w:rPr>
        <w:t xml:space="preserve">00. This increase </w:t>
      </w:r>
      <w:r w:rsidRPr="00632E4F" w:rsidR="00DC250E">
        <w:rPr>
          <w:spacing w:val="-2"/>
        </w:rPr>
        <w:t>is a reflection of</w:t>
      </w:r>
      <w:r w:rsidRPr="00632E4F" w:rsidR="00DC250E">
        <w:rPr>
          <w:spacing w:val="-2"/>
        </w:rPr>
        <w:t xml:space="preserve"> the </w:t>
      </w:r>
      <w:r w:rsidRPr="00632E4F" w:rsidR="001F4EC1">
        <w:rPr>
          <w:spacing w:val="-2"/>
        </w:rPr>
        <w:t xml:space="preserve">continued decline in response rates </w:t>
      </w:r>
      <w:r w:rsidRPr="00632E4F" w:rsidR="00DC250E">
        <w:rPr>
          <w:spacing w:val="-2"/>
        </w:rPr>
        <w:t xml:space="preserve">and </w:t>
      </w:r>
      <w:r w:rsidRPr="00632E4F" w:rsidR="00B1563D">
        <w:rPr>
          <w:spacing w:val="-2"/>
        </w:rPr>
        <w:t xml:space="preserve">the </w:t>
      </w:r>
      <w:r w:rsidRPr="00632E4F" w:rsidR="00DC250E">
        <w:rPr>
          <w:spacing w:val="-2"/>
        </w:rPr>
        <w:t xml:space="preserve">additional difficulty </w:t>
      </w:r>
      <w:r w:rsidRPr="00632E4F" w:rsidR="00B1563D">
        <w:rPr>
          <w:spacing w:val="-2"/>
        </w:rPr>
        <w:t xml:space="preserve">of </w:t>
      </w:r>
      <w:r w:rsidRPr="00632E4F" w:rsidR="00DC250E">
        <w:rPr>
          <w:spacing w:val="-2"/>
        </w:rPr>
        <w:t>locating respondents via telephone</w:t>
      </w:r>
      <w:r>
        <w:rPr>
          <w:rStyle w:val="FootnoteReference"/>
          <w:spacing w:val="-2"/>
        </w:rPr>
        <w:footnoteReference w:id="4"/>
      </w:r>
      <w:r w:rsidRPr="00632E4F" w:rsidR="00DC250E">
        <w:rPr>
          <w:spacing w:val="-2"/>
        </w:rPr>
        <w:t xml:space="preserve">. </w:t>
      </w:r>
      <w:r w:rsidRPr="00632E4F">
        <w:rPr>
          <w:spacing w:val="-2"/>
        </w:rPr>
        <w:t xml:space="preserve">The sample size results in </w:t>
      </w:r>
      <w:r w:rsidRPr="00632E4F" w:rsidR="00184C23">
        <w:rPr>
          <w:spacing w:val="-2"/>
        </w:rPr>
        <w:t xml:space="preserve">over </w:t>
      </w:r>
      <w:r w:rsidRPr="00632E4F" w:rsidR="00960270">
        <w:rPr>
          <w:spacing w:val="-2"/>
        </w:rPr>
        <w:t>3</w:t>
      </w:r>
      <w:r w:rsidR="00420B0B">
        <w:rPr>
          <w:spacing w:val="-2"/>
        </w:rPr>
        <w:t>4</w:t>
      </w:r>
      <w:r w:rsidRPr="00632E4F">
        <w:rPr>
          <w:spacing w:val="-2"/>
        </w:rPr>
        <w:t>,000 interviews completed per year.</w:t>
      </w:r>
    </w:p>
    <w:p w:rsidR="00DA3C6D" w:rsidRPr="001C1985" w14:paraId="08616162" w14:textId="77777777">
      <w:pPr>
        <w:pStyle w:val="BodyText"/>
        <w:rPr>
          <w:spacing w:val="6"/>
        </w:rPr>
      </w:pPr>
      <w:bookmarkStart w:id="10" w:name="OLE_LINK12"/>
      <w:r w:rsidRPr="00D94F41">
        <w:t xml:space="preserve">The methodology for drawing the samples is described later in this document. The number of cases to be selected each year for the </w:t>
      </w:r>
      <w:r w:rsidRPr="00D94F41" w:rsidR="00505BED">
        <w:t>Incoming Panel</w:t>
      </w:r>
      <w:r w:rsidRPr="00D94F41">
        <w:t xml:space="preserve"> (designated sample sizes)</w:t>
      </w:r>
      <w:r w:rsidRPr="001C1985">
        <w:rPr>
          <w:spacing w:val="6"/>
        </w:rPr>
        <w:t xml:space="preserve"> </w:t>
      </w:r>
      <w:r w:rsidRPr="001C1985">
        <w:rPr>
          <w:spacing w:val="6"/>
        </w:rPr>
        <w:t>are</w:t>
      </w:r>
      <w:r w:rsidRPr="001C1985">
        <w:rPr>
          <w:spacing w:val="6"/>
        </w:rPr>
        <w:t xml:space="preserve"> larger than the targeted number of completes to compensate for non-response, ineligibility, and attrition. </w:t>
      </w:r>
      <w:r w:rsidRPr="001C1985" w:rsidR="005045CE">
        <w:rPr>
          <w:spacing w:val="6"/>
        </w:rPr>
        <w:t xml:space="preserve">Beginning in 2020 and through 2022, </w:t>
      </w:r>
      <w:r w:rsidRPr="001C1985" w:rsidR="00F15F4B">
        <w:rPr>
          <w:spacing w:val="6"/>
        </w:rPr>
        <w:t xml:space="preserve">more </w:t>
      </w:r>
      <w:r w:rsidRPr="001C1985" w:rsidR="00F15F4B">
        <w:rPr>
          <w:spacing w:val="6"/>
        </w:rPr>
        <w:t xml:space="preserve">sample </w:t>
      </w:r>
      <w:r w:rsidRPr="001C1985" w:rsidR="005045CE">
        <w:rPr>
          <w:spacing w:val="6"/>
        </w:rPr>
        <w:t>was</w:t>
      </w:r>
      <w:r w:rsidRPr="001C1985" w:rsidR="005045CE">
        <w:rPr>
          <w:spacing w:val="6"/>
        </w:rPr>
        <w:t xml:space="preserve"> necessary </w:t>
      </w:r>
      <w:r w:rsidRPr="001C1985" w:rsidR="00F15F4B">
        <w:rPr>
          <w:spacing w:val="6"/>
        </w:rPr>
        <w:t xml:space="preserve">to </w:t>
      </w:r>
      <w:r w:rsidRPr="001C1985" w:rsidR="00EE460F">
        <w:rPr>
          <w:spacing w:val="6"/>
        </w:rPr>
        <w:t>compensate</w:t>
      </w:r>
      <w:r w:rsidRPr="001C1985" w:rsidR="00F15F4B">
        <w:rPr>
          <w:spacing w:val="6"/>
        </w:rPr>
        <w:t xml:space="preserve"> for a switch from in-person interviewing to </w:t>
      </w:r>
      <w:r w:rsidRPr="001C1985" w:rsidR="005045CE">
        <w:rPr>
          <w:spacing w:val="6"/>
        </w:rPr>
        <w:t>telephone</w:t>
      </w:r>
      <w:r w:rsidRPr="001C1985" w:rsidR="00332765">
        <w:rPr>
          <w:spacing w:val="6"/>
        </w:rPr>
        <w:t xml:space="preserve"> interviewing</w:t>
      </w:r>
      <w:r w:rsidRPr="001C1985" w:rsidR="005045CE">
        <w:rPr>
          <w:spacing w:val="6"/>
        </w:rPr>
        <w:t xml:space="preserve"> and the expected lower response rates associated with that mode</w:t>
      </w:r>
      <w:r w:rsidRPr="001C1985" w:rsidR="00F15F4B">
        <w:rPr>
          <w:spacing w:val="6"/>
        </w:rPr>
        <w:t>.</w:t>
      </w:r>
      <w:r w:rsidRPr="001C1985" w:rsidR="005045CE">
        <w:rPr>
          <w:spacing w:val="6"/>
        </w:rPr>
        <w:t xml:space="preserve"> With the reintroduction </w:t>
      </w:r>
      <w:r w:rsidRPr="001C1985" w:rsidR="00AF2D71">
        <w:rPr>
          <w:spacing w:val="6"/>
        </w:rPr>
        <w:t>of</w:t>
      </w:r>
      <w:r w:rsidRPr="001C1985" w:rsidR="005045CE">
        <w:rPr>
          <w:spacing w:val="6"/>
        </w:rPr>
        <w:t xml:space="preserve"> </w:t>
      </w:r>
      <w:r w:rsidRPr="001C1985" w:rsidR="00550BE2">
        <w:rPr>
          <w:spacing w:val="6"/>
        </w:rPr>
        <w:t xml:space="preserve">some </w:t>
      </w:r>
      <w:r w:rsidRPr="001C1985" w:rsidR="005045CE">
        <w:rPr>
          <w:spacing w:val="6"/>
        </w:rPr>
        <w:t>in-person interviewing</w:t>
      </w:r>
      <w:r w:rsidRPr="001C1985" w:rsidR="00AF2D71">
        <w:rPr>
          <w:spacing w:val="6"/>
        </w:rPr>
        <w:t xml:space="preserve"> in late 2021, and the shift to multimode data collection, these additional </w:t>
      </w:r>
      <w:r w:rsidRPr="001C1985" w:rsidR="00AF2D71">
        <w:rPr>
          <w:spacing w:val="6"/>
        </w:rPr>
        <w:t>increases have</w:t>
      </w:r>
      <w:r w:rsidRPr="001C1985" w:rsidR="00AF2D71">
        <w:rPr>
          <w:spacing w:val="6"/>
        </w:rPr>
        <w:t xml:space="preserve"> no longer been needed.</w:t>
      </w:r>
      <w:r w:rsidRPr="001C1985" w:rsidR="005045CE">
        <w:rPr>
          <w:spacing w:val="6"/>
        </w:rPr>
        <w:t xml:space="preserve"> </w:t>
      </w:r>
    </w:p>
    <w:bookmarkEnd w:id="10"/>
    <w:p w:rsidR="00853A05" w:rsidP="00AA0354" w14:paraId="2A8B08CF" w14:textId="0396E96B">
      <w:pPr>
        <w:pStyle w:val="BodyText"/>
        <w:spacing w:before="180"/>
      </w:pPr>
      <w:r>
        <w:t xml:space="preserve">Proxy interviews are attempted for deceased sample persons. If data are collected through the date of death, then these cases are counted as completed interviews. Sampled beneficiaries remain in the survey when they are unavailable for an interview </w:t>
      </w:r>
      <w:r>
        <w:t>in a given</w:t>
      </w:r>
      <w:r>
        <w:t xml:space="preserve"> round; that is, they are carried forward into the next round. For these individuals, the reference period for their next interview is longer as it covers the period since their last interview. This ensures that there will not be a gap in coverage of utilization and expenditure data. If a sampled beneficiary is not interviewed for two consecutive rounds, they are not scheduled for any further interviews and are removed from case management. Such cases are treated as nonresponding cases.</w:t>
      </w:r>
    </w:p>
    <w:p w:rsidR="003614E7" w:rsidRPr="00D94F41" w:rsidP="003614E7" w14:paraId="3D3AA433" w14:textId="7E41ADD2">
      <w:pPr>
        <w:pStyle w:val="BodyText"/>
        <w:spacing w:before="120"/>
      </w:pPr>
      <w:r w:rsidRPr="2D735B17">
        <w:rPr>
          <w:b/>
          <w:bCs/>
        </w:rPr>
        <w:t xml:space="preserve">Cross-sectional sample sizes for other domains. </w:t>
      </w:r>
      <w:r>
        <w:t>There are multiple domains of interest in the MCBS (for example, respondents with end-stage renal disease, persons residing in nursing homes, managed care enrollees, Medicaid recipients, and beneficiaries aligned to a provider participating in accountable care organizations). Under the</w:t>
      </w:r>
      <w:r w:rsidR="00E778E5">
        <w:t xml:space="preserve"> Fall</w:t>
      </w:r>
      <w:r>
        <w:t xml:space="preserve"> 2026 redesign</w:t>
      </w:r>
      <w:r w:rsidR="00E778E5">
        <w:t xml:space="preserve"> of the MCBS sampling</w:t>
      </w:r>
      <w:r>
        <w:t xml:space="preserve">, the MCBS will continue to maintain a minimum target of 8,200 to 8,500 completed </w:t>
      </w:r>
      <w:r>
        <w:t>responses in the annual Cost Supplement file to ensure that analysis can be performed on MCBS data for many domains of interest.</w:t>
      </w:r>
    </w:p>
    <w:p w:rsidR="0088452B" w:rsidRPr="00D94F41" w:rsidP="00995E09" w14:paraId="73554824" w14:textId="189BE74B">
      <w:pPr>
        <w:pStyle w:val="BodyText"/>
      </w:pPr>
      <w:r w:rsidRPr="00D94F41">
        <w:rPr>
          <w:b/>
        </w:rPr>
        <w:t>Sample sizes for longitudinal analyses</w:t>
      </w:r>
      <w:r w:rsidRPr="00D94F41">
        <w:t xml:space="preserve">. Beginning in 2018, under the rotating panel design specified for the MCBS, respondents remain in the sample for up to eleven rounds of data collection over a </w:t>
      </w:r>
      <w:r w:rsidRPr="00D94F41" w:rsidR="00261F87">
        <w:t>four-year</w:t>
      </w:r>
      <w:r w:rsidRPr="00D94F41">
        <w:t xml:space="preserve"> period; prior to 2018, respondents remained in the sample for up to twelve rounds of data collection</w:t>
      </w:r>
      <w:r w:rsidRPr="00D94F41" w:rsidR="002C2466">
        <w:t>.</w:t>
      </w:r>
      <w:r w:rsidRPr="00D94F41">
        <w:t xml:space="preserve"> The historical response rates and attrition rates observed in the MCBS are used to determine the rotational sample size and configuration of each new </w:t>
      </w:r>
      <w:r w:rsidRPr="00D94F41" w:rsidR="00505BED">
        <w:t>Incoming Panel</w:t>
      </w:r>
      <w:r w:rsidRPr="00D94F41">
        <w:t>. The rotational sample design attempts to achieve consistency in subgroup sample sizes across all panels comprising a particular calendar year.</w:t>
      </w:r>
    </w:p>
    <w:p w:rsidR="0088452B" w:rsidRPr="001C1985" w:rsidP="00995E09" w14:paraId="644FBE07" w14:textId="45C4BC70">
      <w:pPr>
        <w:pStyle w:val="BodyText"/>
        <w:rPr>
          <w:spacing w:val="-6"/>
        </w:rPr>
      </w:pPr>
      <w:r w:rsidRPr="00D94F41">
        <w:t xml:space="preserve">Table B.3 (in section B2 below) presents the round-by-round conditional and unconditional response rates as of Round </w:t>
      </w:r>
      <w:r w:rsidR="00360F12">
        <w:t>9</w:t>
      </w:r>
      <w:r w:rsidR="000C3246">
        <w:t>7</w:t>
      </w:r>
      <w:r w:rsidRPr="00D94F41">
        <w:t xml:space="preserve"> (Fall round of 20</w:t>
      </w:r>
      <w:r w:rsidR="00FD7D3A">
        <w:t>2</w:t>
      </w:r>
      <w:r w:rsidR="000C3246">
        <w:t>3</w:t>
      </w:r>
      <w:r w:rsidRPr="00D94F41">
        <w:t>) for the samples (referred to in the table as “panels”) selected in 20</w:t>
      </w:r>
      <w:r w:rsidRPr="00D94F41" w:rsidR="00C00C81">
        <w:t>1</w:t>
      </w:r>
      <w:r w:rsidR="007030AC">
        <w:t>5</w:t>
      </w:r>
      <w:r w:rsidRPr="00D94F41">
        <w:t xml:space="preserve"> through 20</w:t>
      </w:r>
      <w:r w:rsidR="00FD7D3A">
        <w:t>2</w:t>
      </w:r>
      <w:r w:rsidR="000C3246">
        <w:t>3</w:t>
      </w:r>
      <w:r w:rsidRPr="00D94F41">
        <w:t xml:space="preserve">. For example, from the bottom part of the table, it can be seen that by the 10th round of data collection for the </w:t>
      </w:r>
      <w:r w:rsidRPr="00D94F41" w:rsidR="00A672EA">
        <w:t>20</w:t>
      </w:r>
      <w:r w:rsidR="000C3246">
        <w:t>20</w:t>
      </w:r>
      <w:r w:rsidRPr="00D94F41" w:rsidR="00A672EA">
        <w:t xml:space="preserve"> </w:t>
      </w:r>
      <w:r w:rsidRPr="00D94F41">
        <w:t xml:space="preserve">panel, </w:t>
      </w:r>
      <w:r w:rsidR="007030AC">
        <w:t>1</w:t>
      </w:r>
      <w:r w:rsidR="000C3246">
        <w:t>2</w:t>
      </w:r>
      <w:r w:rsidR="007030AC">
        <w:t>.</w:t>
      </w:r>
      <w:r w:rsidR="000C3246">
        <w:t>3</w:t>
      </w:r>
      <w:r w:rsidRPr="00D94F41">
        <w:t xml:space="preserve"> percent of the </w:t>
      </w:r>
      <w:r w:rsidRPr="00D94F41" w:rsidR="00A672EA">
        <w:t>20</w:t>
      </w:r>
      <w:r w:rsidR="000C3246">
        <w:t>20</w:t>
      </w:r>
      <w:r w:rsidRPr="00D94F41" w:rsidR="00A672EA">
        <w:t xml:space="preserve"> </w:t>
      </w:r>
      <w:r w:rsidRPr="00D94F41">
        <w:t>panel were still in a formal responding status (that is, either the sampled beneficiary was alive and still participating in the study or had died but a cooperative proxy was found</w:t>
      </w:r>
      <w:r w:rsidRPr="001C1985">
        <w:rPr>
          <w:spacing w:val="-6"/>
        </w:rPr>
        <w:t xml:space="preserve"> for the collection of data on the last months of life) or had participated in the survey until death, leaving enough data to estimate the last months of life. For the </w:t>
      </w:r>
      <w:r w:rsidRPr="001C1985" w:rsidR="00A672EA">
        <w:rPr>
          <w:spacing w:val="-6"/>
        </w:rPr>
        <w:t>20</w:t>
      </w:r>
      <w:r w:rsidRPr="001C1985" w:rsidR="000C3246">
        <w:rPr>
          <w:spacing w:val="-6"/>
        </w:rPr>
        <w:t>21</w:t>
      </w:r>
      <w:r w:rsidRPr="001C1985" w:rsidR="00A672EA">
        <w:rPr>
          <w:spacing w:val="-6"/>
        </w:rPr>
        <w:t xml:space="preserve"> </w:t>
      </w:r>
      <w:r w:rsidRPr="001C1985">
        <w:rPr>
          <w:spacing w:val="-6"/>
        </w:rPr>
        <w:t xml:space="preserve">and </w:t>
      </w:r>
      <w:r w:rsidRPr="001C1985" w:rsidR="00A672EA">
        <w:rPr>
          <w:spacing w:val="-6"/>
        </w:rPr>
        <w:t>20</w:t>
      </w:r>
      <w:r w:rsidRPr="001C1985" w:rsidR="00360F12">
        <w:rPr>
          <w:spacing w:val="-6"/>
        </w:rPr>
        <w:t>2</w:t>
      </w:r>
      <w:r w:rsidRPr="001C1985" w:rsidR="000C3246">
        <w:rPr>
          <w:spacing w:val="-6"/>
        </w:rPr>
        <w:t>2</w:t>
      </w:r>
      <w:r w:rsidRPr="001C1985" w:rsidR="00A672EA">
        <w:rPr>
          <w:spacing w:val="-6"/>
        </w:rPr>
        <w:t xml:space="preserve"> </w:t>
      </w:r>
      <w:r w:rsidRPr="001C1985">
        <w:rPr>
          <w:spacing w:val="-6"/>
        </w:rPr>
        <w:t xml:space="preserve">panels, the unconditional response rates as of Round </w:t>
      </w:r>
      <w:r w:rsidRPr="001C1985" w:rsidR="00360F12">
        <w:rPr>
          <w:spacing w:val="-6"/>
        </w:rPr>
        <w:t>9</w:t>
      </w:r>
      <w:r w:rsidRPr="001C1985" w:rsidR="000C3246">
        <w:rPr>
          <w:spacing w:val="-6"/>
        </w:rPr>
        <w:t>7</w:t>
      </w:r>
      <w:r w:rsidRPr="001C1985" w:rsidR="00A672EA">
        <w:rPr>
          <w:spacing w:val="-6"/>
        </w:rPr>
        <w:t xml:space="preserve"> </w:t>
      </w:r>
      <w:r w:rsidRPr="001C1985">
        <w:rPr>
          <w:spacing w:val="-6"/>
        </w:rPr>
        <w:t xml:space="preserve">were </w:t>
      </w:r>
      <w:r w:rsidRPr="001C1985" w:rsidR="000C3246">
        <w:rPr>
          <w:spacing w:val="-6"/>
        </w:rPr>
        <w:t>14</w:t>
      </w:r>
      <w:r w:rsidRPr="001C1985" w:rsidR="00255E53">
        <w:rPr>
          <w:spacing w:val="-6"/>
        </w:rPr>
        <w:t>.</w:t>
      </w:r>
      <w:r w:rsidRPr="001C1985" w:rsidR="000C3246">
        <w:rPr>
          <w:spacing w:val="-6"/>
        </w:rPr>
        <w:t>6</w:t>
      </w:r>
      <w:r w:rsidRPr="001C1985">
        <w:rPr>
          <w:spacing w:val="-6"/>
        </w:rPr>
        <w:t xml:space="preserve"> percent (through the 7th round of data collection) and </w:t>
      </w:r>
      <w:r w:rsidRPr="001C1985" w:rsidR="007030AC">
        <w:rPr>
          <w:spacing w:val="-6"/>
        </w:rPr>
        <w:t>2</w:t>
      </w:r>
      <w:r w:rsidRPr="001C1985" w:rsidR="000C3246">
        <w:rPr>
          <w:spacing w:val="-6"/>
        </w:rPr>
        <w:t>0</w:t>
      </w:r>
      <w:r w:rsidRPr="001C1985" w:rsidR="00255E53">
        <w:rPr>
          <w:spacing w:val="-6"/>
        </w:rPr>
        <w:t>.</w:t>
      </w:r>
      <w:r w:rsidRPr="001C1985" w:rsidR="000C3246">
        <w:rPr>
          <w:spacing w:val="-6"/>
        </w:rPr>
        <w:t>4</w:t>
      </w:r>
      <w:r w:rsidRPr="001C1985">
        <w:rPr>
          <w:spacing w:val="-6"/>
        </w:rPr>
        <w:t xml:space="preserve"> percent (through the 4th round of data collection), respectively. The </w:t>
      </w:r>
      <w:r w:rsidRPr="001C1985" w:rsidR="00255E53">
        <w:rPr>
          <w:spacing w:val="-6"/>
        </w:rPr>
        <w:t>202</w:t>
      </w:r>
      <w:r w:rsidRPr="001C1985" w:rsidR="000C3246">
        <w:rPr>
          <w:spacing w:val="-6"/>
        </w:rPr>
        <w:t>3</w:t>
      </w:r>
      <w:r w:rsidRPr="001C1985" w:rsidR="00255E53">
        <w:rPr>
          <w:spacing w:val="-6"/>
        </w:rPr>
        <w:t xml:space="preserve"> </w:t>
      </w:r>
      <w:r w:rsidRPr="001C1985">
        <w:rPr>
          <w:spacing w:val="-6"/>
        </w:rPr>
        <w:t>panel (the new panel selected in Round</w:t>
      </w:r>
      <w:r w:rsidRPr="001C1985" w:rsidR="004D6EBE">
        <w:rPr>
          <w:spacing w:val="-6"/>
        </w:rPr>
        <w:t xml:space="preserve"> </w:t>
      </w:r>
      <w:r w:rsidRPr="001C1985" w:rsidR="00AE2936">
        <w:rPr>
          <w:spacing w:val="-6"/>
        </w:rPr>
        <w:t>9</w:t>
      </w:r>
      <w:r w:rsidRPr="001C1985" w:rsidR="000C3246">
        <w:rPr>
          <w:spacing w:val="-6"/>
        </w:rPr>
        <w:t>7</w:t>
      </w:r>
      <w:r w:rsidRPr="001C1985">
        <w:rPr>
          <w:spacing w:val="-6"/>
        </w:rPr>
        <w:t xml:space="preserve">) had an initial response rate of </w:t>
      </w:r>
      <w:r w:rsidRPr="001C1985" w:rsidR="000C3246">
        <w:rPr>
          <w:spacing w:val="-6"/>
        </w:rPr>
        <w:t>45.2</w:t>
      </w:r>
      <w:r w:rsidRPr="001C1985" w:rsidR="00A672EA">
        <w:rPr>
          <w:spacing w:val="-6"/>
        </w:rPr>
        <w:t xml:space="preserve"> </w:t>
      </w:r>
      <w:r w:rsidRPr="001C1985">
        <w:rPr>
          <w:spacing w:val="-6"/>
        </w:rPr>
        <w:t>percent in its first round of data collection.</w:t>
      </w:r>
    </w:p>
    <w:p w:rsidR="0088452B" w:rsidRPr="00D94F41" w:rsidP="00267F93" w14:paraId="4C6D6757" w14:textId="093F4D75">
      <w:pPr>
        <w:pStyle w:val="BodyText"/>
        <w:keepLines/>
      </w:pPr>
      <w:r>
        <w:t xml:space="preserve">Round 97 (Fall 2023) is the latest round for which MCBS data </w:t>
      </w:r>
      <w:r>
        <w:t>have</w:t>
      </w:r>
      <w:r>
        <w:t xml:space="preserve"> been fully processed. There were 1,896 interviews successfully completed at Round 97 with still-living members of the 2020 panel. For brevity, we refer to these 1,896 interviews as “live completes.” For the 2021 </w:t>
      </w:r>
      <w:bookmarkStart w:id="11" w:name="B2._Procedures_for_Collecting_Informatio"/>
      <w:bookmarkEnd w:id="11"/>
      <w:r>
        <w:t>and 2022 panels there were 2,190 and 3,259 live Round 97 completes, respectively. For the first round of data collection for the 2023 panel, there were 6,523 completes at Round 98.</w:t>
      </w:r>
    </w:p>
    <w:p w:rsidR="0088452B" w:rsidRPr="00D94F41" w:rsidP="004D6EBE" w14:paraId="6D27E610" w14:textId="69CE6CBD">
      <w:pPr>
        <w:pStyle w:val="BodyText"/>
      </w:pPr>
      <w:r>
        <w:t>The MCBS</w:t>
      </w:r>
      <w:r>
        <w:t xml:space="preserve"> has used a variety of techniques to maintain respondent participation in the survey and reduce attrition. These will be continued and adapted to comply with the time frames for initiating and implementing the continuing sample.</w:t>
      </w:r>
    </w:p>
    <w:p w:rsidR="0088452B" w:rsidRPr="00D94F41" w:rsidP="00CF2B93" w14:paraId="2EB1EEEC" w14:textId="3F4C0CE6">
      <w:pPr>
        <w:pStyle w:val="Heading3"/>
        <w:tabs>
          <w:tab w:val="left" w:pos="450"/>
        </w:tabs>
      </w:pPr>
      <w:bookmarkStart w:id="12" w:name="_Toc91154936"/>
      <w:bookmarkStart w:id="13" w:name="_Toc210636325"/>
      <w:r w:rsidRPr="00D94F41">
        <w:t>B2.</w:t>
      </w:r>
      <w:r w:rsidRPr="00D94F41" w:rsidR="00BB2D9F">
        <w:tab/>
      </w:r>
      <w:r w:rsidRPr="00D94F41">
        <w:t>Procedures for Collecting Information</w:t>
      </w:r>
      <w:bookmarkEnd w:id="12"/>
      <w:bookmarkEnd w:id="13"/>
    </w:p>
    <w:p w:rsidR="0088452B" w:rsidRPr="00D94F41" w:rsidP="004D6EBE" w14:paraId="7B2797FE" w14:textId="627035E0">
      <w:pPr>
        <w:pStyle w:val="BodyText"/>
      </w:pPr>
      <w:r>
        <w:t xml:space="preserve">This section describes the procedures used to select the samples for the national survey. It includes a general discussion of the redesign approach planned for Fall 2026 and its statistical methodology for stratification and rotational panel selection, estimation procedures, and the degree of precision needed. This is followed by a presentation of how instrument sections are used to enhance the analytic potential of the MCBS data. Rules for allowing proxy responses </w:t>
      </w:r>
      <w:r>
        <w:t>have</w:t>
      </w:r>
      <w:r>
        <w:t xml:space="preserve"> not changed under the 2026 redesign plan and are also described below.</w:t>
      </w:r>
    </w:p>
    <w:p w:rsidR="0088452B" w:rsidRPr="00D94F41" w:rsidP="00F53796" w14:paraId="38FED752" w14:textId="1BAB0123">
      <w:pPr>
        <w:pStyle w:val="Heading4"/>
      </w:pPr>
      <w:r w:rsidRPr="00D94F41">
        <w:t>Statistical Methodology for Stratification and Sample Selection</w:t>
      </w:r>
    </w:p>
    <w:p w:rsidR="0088452B" w:rsidRPr="00D94F41" w:rsidP="00BF5D64" w14:paraId="23973BEF" w14:textId="0F10D4F9">
      <w:pPr>
        <w:pStyle w:val="ListContinue"/>
      </w:pPr>
      <w:r w:rsidRPr="00D94F41">
        <w:t xml:space="preserve">This section opens with a </w:t>
      </w:r>
      <w:r w:rsidR="006317BB">
        <w:t>comparison of the current MCBS sample design to</w:t>
      </w:r>
      <w:r w:rsidRPr="00D94F41">
        <w:t xml:space="preserve"> the </w:t>
      </w:r>
      <w:r w:rsidR="002C473C">
        <w:t>2026</w:t>
      </w:r>
      <w:r w:rsidR="00693A78">
        <w:t xml:space="preserve"> re</w:t>
      </w:r>
      <w:r w:rsidRPr="00D94F41">
        <w:t xml:space="preserve">design. This is followed by a general discussion of the selection of the </w:t>
      </w:r>
      <w:r w:rsidRPr="00D94F41" w:rsidR="005770A6">
        <w:t xml:space="preserve">incoming </w:t>
      </w:r>
      <w:r w:rsidRPr="00D94F41">
        <w:t xml:space="preserve">samples </w:t>
      </w:r>
      <w:r w:rsidR="002C473C">
        <w:t xml:space="preserve">under the current design </w:t>
      </w:r>
      <w:r w:rsidR="002C473C">
        <w:t>and 2026</w:t>
      </w:r>
      <w:r w:rsidR="002C473C">
        <w:t xml:space="preserve"> </w:t>
      </w:r>
      <w:r w:rsidR="002C473C">
        <w:t>redesign</w:t>
      </w:r>
      <w:r w:rsidR="002C473C">
        <w:t xml:space="preserve">, </w:t>
      </w:r>
      <w:r w:rsidRPr="00D94F41">
        <w:t>and the use of Medicare administrative enrollment data each year to reduce problems associated with duplication of samples across the years.</w:t>
      </w:r>
    </w:p>
    <w:p w:rsidR="009F3E90" w:rsidP="008174B4" w14:paraId="1CECA94D" w14:textId="6BAF13B7">
      <w:pPr>
        <w:pStyle w:val="ListNumber"/>
        <w:tabs>
          <w:tab w:val="clear" w:pos="360"/>
        </w:tabs>
        <w:ind w:left="720"/>
      </w:pPr>
      <w:r w:rsidRPr="00B13DA1">
        <w:rPr>
          <w:i/>
          <w:iCs/>
        </w:rPr>
        <w:t xml:space="preserve">Current three-stage clustered design compared to the 2026 </w:t>
      </w:r>
      <w:r w:rsidRPr="00B13DA1" w:rsidR="004F0025">
        <w:rPr>
          <w:i/>
          <w:iCs/>
        </w:rPr>
        <w:t>State-stratified n</w:t>
      </w:r>
      <w:r w:rsidRPr="00B13DA1" w:rsidR="00693A78">
        <w:rPr>
          <w:i/>
          <w:iCs/>
        </w:rPr>
        <w:t xml:space="preserve">ational </w:t>
      </w:r>
      <w:r w:rsidRPr="00B13DA1">
        <w:rPr>
          <w:i/>
          <w:iCs/>
        </w:rPr>
        <w:t>re</w:t>
      </w:r>
      <w:r w:rsidRPr="00B13DA1" w:rsidR="00DF3926">
        <w:rPr>
          <w:i/>
          <w:iCs/>
        </w:rPr>
        <w:t>design</w:t>
      </w:r>
      <w:r w:rsidRPr="00B13DA1" w:rsidR="004112E2">
        <w:rPr>
          <w:i/>
          <w:iCs/>
        </w:rPr>
        <w:t>.</w:t>
      </w:r>
      <w:r w:rsidRPr="00D94F41" w:rsidR="004112E2">
        <w:t xml:space="preserve"> The MCBS </w:t>
      </w:r>
      <w:r w:rsidR="0014103D">
        <w:t xml:space="preserve">currently </w:t>
      </w:r>
      <w:r w:rsidRPr="00D94F41" w:rsidR="004112E2">
        <w:t xml:space="preserve">employs a complex multistage probability sample design. </w:t>
      </w:r>
      <w:r w:rsidRPr="00D94F41" w:rsidR="004112E2">
        <w:t>At the first stage of selection, the sample consists of 10</w:t>
      </w:r>
      <w:r w:rsidRPr="00D94F41" w:rsidR="00531702">
        <w:t>4</w:t>
      </w:r>
      <w:r>
        <w:rPr>
          <w:rStyle w:val="FootnoteReference"/>
        </w:rPr>
        <w:footnoteReference w:id="5"/>
      </w:r>
      <w:r w:rsidRPr="00D94F41" w:rsidR="004112E2">
        <w:t xml:space="preserve"> primary sampling units (PSUs</w:t>
      </w:r>
      <w:r>
        <w:rPr>
          <w:rStyle w:val="FootnoteReference"/>
        </w:rPr>
        <w:footnoteReference w:id="6"/>
      </w:r>
      <w:r w:rsidRPr="00D94F41" w:rsidR="004112E2">
        <w:t xml:space="preserve">) defined to be metropolitan areas and clusters of nonmetropolitan counties. At the second stage, </w:t>
      </w:r>
      <w:r w:rsidR="00DF3926">
        <w:t xml:space="preserve">a sample of 703 </w:t>
      </w:r>
      <w:r w:rsidR="0014103D">
        <w:t>secondary sampling units</w:t>
      </w:r>
      <w:r w:rsidRPr="00D94F41" w:rsidR="004112E2">
        <w:t xml:space="preserve"> </w:t>
      </w:r>
      <w:r w:rsidR="00970137">
        <w:t xml:space="preserve">consisting of </w:t>
      </w:r>
      <w:r w:rsidRPr="00970137" w:rsidR="00970137">
        <w:t>Census tracts</w:t>
      </w:r>
      <w:r w:rsidR="00970137">
        <w:t xml:space="preserve"> or groups of tracts </w:t>
      </w:r>
      <w:r w:rsidR="0014103D">
        <w:t>(SSUs</w:t>
      </w:r>
      <w:r>
        <w:rPr>
          <w:rStyle w:val="FootnoteReference"/>
        </w:rPr>
        <w:footnoteReference w:id="7"/>
      </w:r>
      <w:r w:rsidR="0014103D">
        <w:t xml:space="preserve">) </w:t>
      </w:r>
      <w:r w:rsidRPr="00D94F41" w:rsidR="00DF3926">
        <w:t xml:space="preserve">is </w:t>
      </w:r>
      <w:r w:rsidRPr="00D94F41" w:rsidR="004112E2">
        <w:t>selected within the sampled PSUs. At the third and final stage of selection, stratified samples of beneficiaries within the selected Census tracts are sampled</w:t>
      </w:r>
      <w:r w:rsidR="00DF3926">
        <w:t xml:space="preserve"> annually</w:t>
      </w:r>
      <w:r w:rsidRPr="00D94F41" w:rsidR="004112E2">
        <w:t xml:space="preserve"> at rates that depend on age group and </w:t>
      </w:r>
      <w:r w:rsidR="00B56BB1">
        <w:t xml:space="preserve">Hispanic or non-Hispanic </w:t>
      </w:r>
      <w:r w:rsidRPr="00D94F41" w:rsidR="004112E2">
        <w:t xml:space="preserve">ethnicity. </w:t>
      </w:r>
      <w:r>
        <w:t xml:space="preserve">The </w:t>
      </w:r>
      <w:r>
        <w:t>geographically-clustered</w:t>
      </w:r>
      <w:r>
        <w:t xml:space="preserve"> nature of the current design was developed to support in-person interviewing by ensuring that sampled beneficiaries are clustered into relatively small areas. Under this design, the sampled beneficiaries within each state are not representative of their </w:t>
      </w:r>
      <w:r>
        <w:t>state as a whole, and</w:t>
      </w:r>
      <w:r>
        <w:t xml:space="preserve"> </w:t>
      </w:r>
      <w:r w:rsidR="00BA3A43">
        <w:t xml:space="preserve">14 </w:t>
      </w:r>
      <w:r>
        <w:t xml:space="preserve">states contain </w:t>
      </w:r>
      <w:r w:rsidR="00BA3A43">
        <w:t xml:space="preserve">no PSUs </w:t>
      </w:r>
      <w:r w:rsidRPr="00BA3A43" w:rsidR="00BA3A43">
        <w:t>(and thus no beneficiaries selected for data collection)</w:t>
      </w:r>
      <w:r>
        <w:t xml:space="preserve">, </w:t>
      </w:r>
      <w:r w:rsidR="00B56BB1">
        <w:t xml:space="preserve">resulting in a </w:t>
      </w:r>
      <w:r>
        <w:t>design</w:t>
      </w:r>
      <w:r w:rsidR="00BA3A43">
        <w:t xml:space="preserve"> which</w:t>
      </w:r>
      <w:r>
        <w:t xml:space="preserve"> supports only national-level estimation.</w:t>
      </w:r>
      <w:r w:rsidR="00B56BB1">
        <w:t xml:space="preserve"> It is not possible to produce </w:t>
      </w:r>
      <w:r w:rsidR="00BA3A43">
        <w:t>representative</w:t>
      </w:r>
      <w:r w:rsidR="00B56BB1">
        <w:t xml:space="preserve"> estimates for states or </w:t>
      </w:r>
      <w:r w:rsidR="00BA3A43">
        <w:t xml:space="preserve">other </w:t>
      </w:r>
      <w:r w:rsidR="00B56BB1">
        <w:t>sub-national regions.</w:t>
      </w:r>
    </w:p>
    <w:p w:rsidR="009F3E90" w:rsidRPr="00D94F41" w:rsidP="00B70100" w14:paraId="1880AA97" w14:textId="6BF389BA">
      <w:pPr>
        <w:pStyle w:val="ListContinue2"/>
      </w:pPr>
      <w:r>
        <w:t xml:space="preserve">The </w:t>
      </w:r>
      <w:r w:rsidR="00BA3A43">
        <w:t xml:space="preserve">2026 </w:t>
      </w:r>
      <w:r>
        <w:t xml:space="preserve">redesign </w:t>
      </w:r>
      <w:r w:rsidR="00BA3A43">
        <w:t>will</w:t>
      </w:r>
      <w:r>
        <w:t xml:space="preserve"> employ a national frame</w:t>
      </w:r>
      <w:r w:rsidR="00EE73BD">
        <w:t xml:space="preserve">, </w:t>
      </w:r>
      <w:r w:rsidR="00BA3A43">
        <w:t>which</w:t>
      </w:r>
      <w:r w:rsidR="00EE73BD">
        <w:t xml:space="preserve"> cover</w:t>
      </w:r>
      <w:r w:rsidR="00BA3A43">
        <w:t xml:space="preserve">s all </w:t>
      </w:r>
      <w:r w:rsidR="00EE73BD">
        <w:t>50 states and the District of Columbia</w:t>
      </w:r>
      <w:r w:rsidR="00BA3A43">
        <w:t xml:space="preserve">. The sample will be </w:t>
      </w:r>
      <w:r w:rsidR="00EE73BD">
        <w:t>stratified by state</w:t>
      </w:r>
      <w:r>
        <w:rPr>
          <w:rStyle w:val="FootnoteReference"/>
        </w:rPr>
        <w:footnoteReference w:id="8"/>
      </w:r>
      <w:r w:rsidR="00BA3A43">
        <w:t xml:space="preserve"> to provide approximately equal numbers of beneficiary interviews within each state. The redesigned approach will no longer rely on PSUs or SSUs, and all beneficiaries in the United States will be eligible for sampling and recruitment. In place of the PSUs and SSUs, the national frame will be </w:t>
      </w:r>
      <w:r w:rsidR="000B7A89">
        <w:t>partitioned</w:t>
      </w:r>
      <w:r w:rsidR="00BA3A43">
        <w:t xml:space="preserve"> by state,</w:t>
      </w:r>
      <w:r w:rsidR="000B7A89">
        <w:t xml:space="preserve"> </w:t>
      </w:r>
      <w:r w:rsidR="00BA3A43">
        <w:t xml:space="preserve">and within each state, beneficiaries will be selected </w:t>
      </w:r>
      <w:r w:rsidR="000B7A89">
        <w:t>at</w:t>
      </w:r>
      <w:r w:rsidR="00BA3A43">
        <w:t xml:space="preserve"> rates designed to preserve adequate representation of the under-65 disabled population, beneficiaries 65-79 years of age, and beneficiaries 80 years </w:t>
      </w:r>
      <w:r w:rsidR="000B7A89">
        <w:t xml:space="preserve">of age </w:t>
      </w:r>
      <w:r w:rsidR="00BA3A43">
        <w:t>and older.</w:t>
      </w:r>
      <w:r w:rsidR="000B7A89">
        <w:t xml:space="preserve"> There will no longer be additional stratification based on ethnicity.</w:t>
      </w:r>
    </w:p>
    <w:p w:rsidR="002B4860" w:rsidP="00B70100" w14:paraId="3197CB9C" w14:textId="758C5910">
      <w:pPr>
        <w:pStyle w:val="ListContinue2"/>
      </w:pPr>
      <w:r>
        <w:t>While both the current design and the 2026 redesign yield nationally representative samples, the new design will include sampled beneficiaries and completed interviews in each of the 50 states and the District of Columbia. Once fully implemented, the 2026 redesign design will allow for state-level and sub-national region-level estimation, while continuing to support national-level estimation for the many domains of interest.</w:t>
      </w:r>
    </w:p>
    <w:p w:rsidR="0088452B" w:rsidRPr="00D94F41" w:rsidP="00B70100" w14:paraId="6506F585" w14:textId="0D11163B">
      <w:pPr>
        <w:pStyle w:val="ListContinue2"/>
      </w:pPr>
      <w:r>
        <w:t>When the 2026 redesign is fully implemented, the MCBS can expect to achieve similar response rates as seen under the current design. However, CMS will monitor national- and state-level response rates under the new design and adjust the sampling strategy as necessary if any changes are identified.</w:t>
      </w:r>
    </w:p>
    <w:p w:rsidR="00CC2F25" w:rsidP="00B13DA1" w14:paraId="7CAC48E2" w14:textId="77777777">
      <w:pPr>
        <w:ind w:left="720"/>
      </w:pPr>
    </w:p>
    <w:p w:rsidR="009F3E90" w14:paraId="3E7CB174" w14:textId="1B561199">
      <w:pPr>
        <w:sectPr w:rsidSect="00610910">
          <w:pgSz w:w="12240" w:h="15840" w:code="1"/>
          <w:pgMar w:top="1080" w:right="1440" w:bottom="1080" w:left="1440" w:header="720" w:footer="720" w:gutter="0"/>
          <w:pgNumType w:start="1"/>
          <w:cols w:space="720"/>
          <w:docGrid w:linePitch="299"/>
        </w:sectPr>
      </w:pPr>
    </w:p>
    <w:p w:rsidR="0088452B" w:rsidP="00AE5C2C" w14:paraId="1281409D" w14:textId="3FA1CBDE">
      <w:pPr>
        <w:pStyle w:val="Caption"/>
        <w:tabs>
          <w:tab w:val="left" w:pos="1170"/>
          <w:tab w:val="left" w:pos="1260"/>
        </w:tabs>
        <w:spacing w:before="180"/>
      </w:pPr>
      <w:r w:rsidRPr="00D94F41">
        <w:t>Table B.</w:t>
      </w:r>
      <w:r w:rsidR="00C7144C">
        <w:t>2</w:t>
      </w:r>
      <w:r w:rsidRPr="00D94F41">
        <w:t xml:space="preserve">: </w:t>
      </w:r>
      <w:r w:rsidR="00632E4F">
        <w:tab/>
      </w:r>
      <w:r w:rsidRPr="00D94F41">
        <w:t>Conditional</w:t>
      </w:r>
      <w:r w:rsidRPr="00D94F41">
        <w:t xml:space="preserve"> and Unconditional Response Rates as of the </w:t>
      </w:r>
      <w:r w:rsidR="00255E53">
        <w:t>202</w:t>
      </w:r>
      <w:r w:rsidR="008C7EDA">
        <w:t>3</w:t>
      </w:r>
      <w:r w:rsidRPr="00D94F41" w:rsidR="00255E53">
        <w:t xml:space="preserve"> </w:t>
      </w:r>
      <w:r w:rsidRPr="00D94F41">
        <w:t>Panel for Medicare Current Beneficiary Survey by Interview Round</w:t>
      </w:r>
    </w:p>
    <w:p w:rsidR="00F95C46" w:rsidRPr="00AF5787" w:rsidP="00AF5787" w14:paraId="17DC5404" w14:textId="136F9E27">
      <w:pPr>
        <w:pStyle w:val="Caption"/>
        <w:rPr>
          <w:sz w:val="22"/>
          <w:szCs w:val="20"/>
        </w:rPr>
      </w:pPr>
      <w:r w:rsidRPr="00AF5787">
        <w:rPr>
          <w:sz w:val="22"/>
          <w:szCs w:val="20"/>
        </w:rPr>
        <w:t>Conditional Response Rates (%) for Medicare Current Beneficiary Survey by Interview Round</w:t>
      </w:r>
    </w:p>
    <w:tbl>
      <w:tblPr>
        <w:tblDescription w:val="Conditional and Unconditional Response Rates as of the 2023 Panel for Medicare Current Beneficiary Survey by Interview Round, table 1 of 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700"/>
      </w:tblPr>
      <w:tblGrid>
        <w:gridCol w:w="1169"/>
        <w:gridCol w:w="1389"/>
        <w:gridCol w:w="1389"/>
        <w:gridCol w:w="1389"/>
        <w:gridCol w:w="1389"/>
        <w:gridCol w:w="1389"/>
        <w:gridCol w:w="1389"/>
        <w:gridCol w:w="1389"/>
        <w:gridCol w:w="1389"/>
        <w:gridCol w:w="1389"/>
      </w:tblGrid>
      <w:tr w14:paraId="1AE1BF6A" w14:textId="77777777" w:rsidTr="005D639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700"/>
        </w:tblPrEx>
        <w:trPr>
          <w:cantSplit/>
          <w:trHeight w:val="814"/>
          <w:tblHeader/>
          <w:jc w:val="center"/>
        </w:trPr>
        <w:tc>
          <w:tcPr>
            <w:tcW w:w="428" w:type="pct"/>
            <w:shd w:val="clear" w:color="auto" w:fill="DBDBDB"/>
            <w:noWrap/>
            <w:tcMar>
              <w:top w:w="29" w:type="dxa"/>
              <w:left w:w="115" w:type="dxa"/>
              <w:bottom w:w="29" w:type="dxa"/>
              <w:right w:w="115" w:type="dxa"/>
            </w:tcMar>
            <w:vAlign w:val="bottom"/>
            <w:hideMark/>
          </w:tcPr>
          <w:p w:rsidR="00F95C46" w:rsidRPr="00EA74DE" w:rsidP="00EA74DE" w14:paraId="7A8FE23C" w14:textId="711B6430">
            <w:pPr>
              <w:spacing w:before="60" w:after="60"/>
              <w:ind w:left="-120" w:right="-20"/>
              <w:jc w:val="center"/>
              <w:rPr>
                <w:b/>
                <w:bCs/>
              </w:rPr>
            </w:pPr>
            <w:bookmarkStart w:id="14" w:name="_Hlk130410733"/>
            <w:r w:rsidRPr="00EA74DE">
              <w:rPr>
                <w:b/>
                <w:bCs/>
              </w:rPr>
              <w:t xml:space="preserve">Time in </w:t>
            </w:r>
            <w:r w:rsidRPr="00EA74DE" w:rsidR="00EA74DE">
              <w:rPr>
                <w:b/>
                <w:bCs/>
              </w:rPr>
              <w:br/>
            </w:r>
            <w:r w:rsidRPr="00EA74DE">
              <w:rPr>
                <w:b/>
                <w:bCs/>
              </w:rPr>
              <w:t>Sample</w:t>
            </w:r>
          </w:p>
        </w:tc>
        <w:tc>
          <w:tcPr>
            <w:tcW w:w="508" w:type="pct"/>
            <w:shd w:val="clear" w:color="auto" w:fill="DBDBDB"/>
            <w:tcMar>
              <w:top w:w="29" w:type="dxa"/>
              <w:left w:w="115" w:type="dxa"/>
              <w:bottom w:w="29" w:type="dxa"/>
              <w:right w:w="115" w:type="dxa"/>
            </w:tcMar>
            <w:vAlign w:val="bottom"/>
            <w:hideMark/>
          </w:tcPr>
          <w:p w:rsidR="00F95C46" w:rsidRPr="00EA74DE" w:rsidP="00EA74DE" w14:paraId="6C3F7F08" w14:textId="6752AD46">
            <w:pPr>
              <w:spacing w:before="60" w:after="60"/>
              <w:jc w:val="center"/>
              <w:rPr>
                <w:b/>
                <w:bCs/>
              </w:rPr>
            </w:pPr>
            <w:r w:rsidRPr="00EA74DE">
              <w:rPr>
                <w:b/>
                <w:bCs/>
              </w:rPr>
              <w:t>2015 Panel</w:t>
            </w:r>
            <w:r w:rsidRPr="00EA74DE" w:rsidR="00AD0D2A">
              <w:rPr>
                <w:b/>
                <w:bCs/>
              </w:rPr>
              <w:t xml:space="preserve"> </w:t>
            </w:r>
            <w:r w:rsidRPr="00EA74DE" w:rsidR="00AD0D2A">
              <w:rPr>
                <w:b/>
                <w:bCs/>
              </w:rPr>
              <w:br/>
            </w:r>
            <w:r w:rsidRPr="00EA74DE">
              <w:rPr>
                <w:b/>
                <w:bCs/>
              </w:rPr>
              <w:t>(n at R73=</w:t>
            </w:r>
            <w:r w:rsidRPr="00EA74DE" w:rsidR="00AD0D2A">
              <w:rPr>
                <w:b/>
                <w:bCs/>
              </w:rPr>
              <w:t xml:space="preserve"> </w:t>
            </w:r>
            <w:r w:rsidRPr="00EA74DE" w:rsidR="00AD0D2A">
              <w:rPr>
                <w:b/>
                <w:bCs/>
              </w:rPr>
              <w:br/>
            </w:r>
            <w:r w:rsidRPr="00EA74DE">
              <w:rPr>
                <w:b/>
                <w:bCs/>
              </w:rPr>
              <w:t>8621)</w:t>
            </w:r>
          </w:p>
        </w:tc>
        <w:tc>
          <w:tcPr>
            <w:tcW w:w="508" w:type="pct"/>
            <w:shd w:val="clear" w:color="auto" w:fill="DBDBDB"/>
            <w:tcMar>
              <w:top w:w="29" w:type="dxa"/>
              <w:left w:w="115" w:type="dxa"/>
              <w:bottom w:w="29" w:type="dxa"/>
              <w:right w:w="115" w:type="dxa"/>
            </w:tcMar>
            <w:vAlign w:val="bottom"/>
            <w:hideMark/>
          </w:tcPr>
          <w:p w:rsidR="00F95C46" w:rsidRPr="00EA74DE" w:rsidP="00EA74DE" w14:paraId="4AEC5ABD" w14:textId="431B29C8">
            <w:pPr>
              <w:spacing w:before="60" w:after="60"/>
              <w:jc w:val="center"/>
              <w:rPr>
                <w:b/>
                <w:bCs/>
              </w:rPr>
            </w:pPr>
            <w:r w:rsidRPr="00EA74DE">
              <w:rPr>
                <w:b/>
                <w:bCs/>
              </w:rPr>
              <w:t>2016 Panel</w:t>
            </w:r>
            <w:r w:rsidRPr="00EA74DE" w:rsidR="00AD0D2A">
              <w:rPr>
                <w:b/>
                <w:bCs/>
              </w:rPr>
              <w:t xml:space="preserve"> </w:t>
            </w:r>
            <w:r w:rsidRPr="00EA74DE" w:rsidR="00AD0D2A">
              <w:rPr>
                <w:b/>
                <w:bCs/>
              </w:rPr>
              <w:br/>
            </w:r>
            <w:r w:rsidRPr="00EA74DE">
              <w:rPr>
                <w:b/>
                <w:bCs/>
              </w:rPr>
              <w:t>(n at R76=</w:t>
            </w:r>
            <w:r w:rsidRPr="00EA74DE" w:rsidR="00AD0D2A">
              <w:rPr>
                <w:b/>
                <w:bCs/>
              </w:rPr>
              <w:t xml:space="preserve"> </w:t>
            </w:r>
            <w:r w:rsidRPr="00EA74DE" w:rsidR="00AD0D2A">
              <w:rPr>
                <w:b/>
                <w:bCs/>
              </w:rPr>
              <w:br/>
            </w:r>
            <w:r w:rsidRPr="00EA74DE">
              <w:rPr>
                <w:b/>
                <w:bCs/>
              </w:rPr>
              <w:t>12145)</w:t>
            </w:r>
          </w:p>
        </w:tc>
        <w:tc>
          <w:tcPr>
            <w:tcW w:w="508" w:type="pct"/>
            <w:shd w:val="clear" w:color="auto" w:fill="DBDBDB"/>
            <w:tcMar>
              <w:top w:w="29" w:type="dxa"/>
              <w:left w:w="115" w:type="dxa"/>
              <w:bottom w:w="29" w:type="dxa"/>
              <w:right w:w="115" w:type="dxa"/>
            </w:tcMar>
            <w:vAlign w:val="bottom"/>
            <w:hideMark/>
          </w:tcPr>
          <w:p w:rsidR="00F95C46" w:rsidRPr="00EA74DE" w:rsidP="00EA74DE" w14:paraId="369897C9" w14:textId="0C66CA24">
            <w:pPr>
              <w:spacing w:before="60" w:after="60"/>
              <w:jc w:val="center"/>
              <w:rPr>
                <w:b/>
                <w:bCs/>
              </w:rPr>
            </w:pPr>
            <w:r w:rsidRPr="00EA74DE">
              <w:rPr>
                <w:b/>
                <w:bCs/>
              </w:rPr>
              <w:t>2017 Panel</w:t>
            </w:r>
            <w:r w:rsidRPr="00EA74DE" w:rsidR="00AD0D2A">
              <w:rPr>
                <w:b/>
                <w:bCs/>
              </w:rPr>
              <w:t xml:space="preserve"> </w:t>
            </w:r>
            <w:r w:rsidRPr="00EA74DE" w:rsidR="00AD0D2A">
              <w:rPr>
                <w:b/>
                <w:bCs/>
              </w:rPr>
              <w:br/>
            </w:r>
            <w:r w:rsidRPr="00EA74DE">
              <w:rPr>
                <w:b/>
                <w:bCs/>
              </w:rPr>
              <w:t>(n at R79=</w:t>
            </w:r>
            <w:r w:rsidRPr="00EA74DE" w:rsidR="00AD0D2A">
              <w:rPr>
                <w:b/>
                <w:bCs/>
              </w:rPr>
              <w:t xml:space="preserve"> </w:t>
            </w:r>
            <w:r w:rsidRPr="00EA74DE" w:rsidR="00AD0D2A">
              <w:rPr>
                <w:b/>
                <w:bCs/>
              </w:rPr>
              <w:br/>
            </w:r>
            <w:r w:rsidRPr="00EA74DE">
              <w:rPr>
                <w:b/>
                <w:bCs/>
              </w:rPr>
              <w:t>11623)</w:t>
            </w:r>
          </w:p>
        </w:tc>
        <w:tc>
          <w:tcPr>
            <w:tcW w:w="508" w:type="pct"/>
            <w:shd w:val="clear" w:color="auto" w:fill="DBDBDB"/>
            <w:vAlign w:val="bottom"/>
            <w:hideMark/>
          </w:tcPr>
          <w:p w:rsidR="00F95C46" w:rsidRPr="00EA74DE" w:rsidP="00EA74DE" w14:paraId="14B4A597" w14:textId="6370850F">
            <w:pPr>
              <w:spacing w:before="60" w:after="60"/>
              <w:jc w:val="center"/>
              <w:rPr>
                <w:b/>
                <w:bCs/>
              </w:rPr>
            </w:pPr>
            <w:r w:rsidRPr="00EA74DE">
              <w:rPr>
                <w:b/>
                <w:bCs/>
              </w:rPr>
              <w:t>2018 Panel</w:t>
            </w:r>
            <w:r w:rsidRPr="00EA74DE" w:rsidR="00AD0D2A">
              <w:rPr>
                <w:b/>
                <w:bCs/>
              </w:rPr>
              <w:t xml:space="preserve"> </w:t>
            </w:r>
            <w:r w:rsidRPr="00EA74DE" w:rsidR="00AD0D2A">
              <w:rPr>
                <w:b/>
                <w:bCs/>
              </w:rPr>
              <w:br/>
            </w:r>
            <w:r w:rsidRPr="00EA74DE">
              <w:rPr>
                <w:b/>
                <w:bCs/>
              </w:rPr>
              <w:t>(n at R82=</w:t>
            </w:r>
            <w:r w:rsidRPr="00EA74DE" w:rsidR="00AD0D2A">
              <w:rPr>
                <w:b/>
                <w:bCs/>
              </w:rPr>
              <w:t xml:space="preserve"> </w:t>
            </w:r>
            <w:r w:rsidRPr="00EA74DE" w:rsidR="00AD0D2A">
              <w:rPr>
                <w:b/>
                <w:bCs/>
              </w:rPr>
              <w:br/>
            </w:r>
            <w:r w:rsidRPr="00EA74DE">
              <w:rPr>
                <w:b/>
                <w:bCs/>
              </w:rPr>
              <w:t>11523)</w:t>
            </w:r>
          </w:p>
        </w:tc>
        <w:tc>
          <w:tcPr>
            <w:tcW w:w="508" w:type="pct"/>
            <w:shd w:val="clear" w:color="auto" w:fill="DBDBDB"/>
            <w:vAlign w:val="bottom"/>
            <w:hideMark/>
          </w:tcPr>
          <w:p w:rsidR="00F95C46" w:rsidRPr="00EA74DE" w:rsidP="00EA74DE" w14:paraId="184AD9A6" w14:textId="2805B342">
            <w:pPr>
              <w:spacing w:before="60" w:after="60"/>
              <w:jc w:val="center"/>
              <w:rPr>
                <w:b/>
                <w:bCs/>
              </w:rPr>
            </w:pPr>
            <w:r w:rsidRPr="00EA74DE">
              <w:rPr>
                <w:b/>
                <w:bCs/>
              </w:rPr>
              <w:t>2019 Panel</w:t>
            </w:r>
            <w:r w:rsidRPr="00EA74DE" w:rsidR="00AD0D2A">
              <w:rPr>
                <w:b/>
                <w:bCs/>
              </w:rPr>
              <w:t xml:space="preserve"> </w:t>
            </w:r>
            <w:r w:rsidRPr="00EA74DE" w:rsidR="00AD0D2A">
              <w:rPr>
                <w:b/>
                <w:bCs/>
              </w:rPr>
              <w:br/>
            </w:r>
            <w:r w:rsidRPr="00EA74DE">
              <w:rPr>
                <w:b/>
                <w:bCs/>
              </w:rPr>
              <w:t>(n at R85=</w:t>
            </w:r>
            <w:r w:rsidRPr="00EA74DE" w:rsidR="00AD0D2A">
              <w:rPr>
                <w:b/>
                <w:bCs/>
              </w:rPr>
              <w:t xml:space="preserve"> </w:t>
            </w:r>
            <w:r w:rsidRPr="00EA74DE" w:rsidR="00AD0D2A">
              <w:rPr>
                <w:b/>
                <w:bCs/>
              </w:rPr>
              <w:br/>
            </w:r>
            <w:r w:rsidRPr="00EA74DE">
              <w:rPr>
                <w:b/>
                <w:bCs/>
              </w:rPr>
              <w:t>11615)</w:t>
            </w:r>
          </w:p>
        </w:tc>
        <w:tc>
          <w:tcPr>
            <w:tcW w:w="508" w:type="pct"/>
            <w:shd w:val="clear" w:color="auto" w:fill="DBDBDB"/>
            <w:vAlign w:val="bottom"/>
            <w:hideMark/>
          </w:tcPr>
          <w:p w:rsidR="00F95C46" w:rsidRPr="00EA74DE" w:rsidP="00EA74DE" w14:paraId="0A8C6364" w14:textId="16DAF872">
            <w:pPr>
              <w:spacing w:before="60" w:after="60"/>
              <w:jc w:val="center"/>
              <w:rPr>
                <w:b/>
                <w:bCs/>
              </w:rPr>
            </w:pPr>
            <w:r w:rsidRPr="00EA74DE">
              <w:rPr>
                <w:b/>
                <w:bCs/>
              </w:rPr>
              <w:t xml:space="preserve">2020 Panel </w:t>
            </w:r>
            <w:r w:rsidRPr="00EA74DE" w:rsidR="00EA74DE">
              <w:rPr>
                <w:b/>
                <w:bCs/>
              </w:rPr>
              <w:br/>
            </w:r>
            <w:r w:rsidRPr="00EA74DE">
              <w:rPr>
                <w:b/>
                <w:bCs/>
              </w:rPr>
              <w:t>(n at R88= 15952)</w:t>
            </w:r>
          </w:p>
        </w:tc>
        <w:tc>
          <w:tcPr>
            <w:tcW w:w="508" w:type="pct"/>
            <w:shd w:val="clear" w:color="auto" w:fill="DBDBDB"/>
            <w:vAlign w:val="bottom"/>
            <w:hideMark/>
          </w:tcPr>
          <w:p w:rsidR="00F95C46" w:rsidRPr="00EA74DE" w:rsidP="00EA74DE" w14:paraId="46CD9BA4" w14:textId="6979F9B0">
            <w:pPr>
              <w:spacing w:before="60" w:after="60"/>
              <w:jc w:val="center"/>
              <w:rPr>
                <w:b/>
                <w:bCs/>
              </w:rPr>
            </w:pPr>
            <w:r w:rsidRPr="00EA74DE">
              <w:rPr>
                <w:b/>
                <w:bCs/>
              </w:rPr>
              <w:t xml:space="preserve">2021 Panel </w:t>
            </w:r>
            <w:r w:rsidRPr="00EA74DE" w:rsidR="00EA74DE">
              <w:rPr>
                <w:b/>
                <w:bCs/>
              </w:rPr>
              <w:br/>
            </w:r>
            <w:r w:rsidRPr="00EA74DE">
              <w:rPr>
                <w:b/>
                <w:bCs/>
              </w:rPr>
              <w:t>(n at R91=</w:t>
            </w:r>
            <w:r w:rsidRPr="00EA74DE" w:rsidR="00AD0D2A">
              <w:rPr>
                <w:b/>
                <w:bCs/>
              </w:rPr>
              <w:t xml:space="preserve"> </w:t>
            </w:r>
            <w:r w:rsidRPr="00EA74DE">
              <w:rPr>
                <w:b/>
                <w:bCs/>
              </w:rPr>
              <w:br/>
              <w:t>15950)</w:t>
            </w:r>
          </w:p>
        </w:tc>
        <w:tc>
          <w:tcPr>
            <w:tcW w:w="508" w:type="pct"/>
            <w:shd w:val="clear" w:color="auto" w:fill="DBDBDB"/>
            <w:vAlign w:val="bottom"/>
            <w:hideMark/>
          </w:tcPr>
          <w:p w:rsidR="00F95C46" w:rsidRPr="00EA74DE" w:rsidP="00EA74DE" w14:paraId="58D8B1C7" w14:textId="076CD1B2">
            <w:pPr>
              <w:spacing w:before="60" w:after="60"/>
              <w:jc w:val="center"/>
              <w:rPr>
                <w:b/>
                <w:bCs/>
              </w:rPr>
            </w:pPr>
            <w:r w:rsidRPr="00EA74DE">
              <w:rPr>
                <w:b/>
                <w:bCs/>
              </w:rPr>
              <w:t xml:space="preserve">2022 Panel </w:t>
            </w:r>
            <w:r w:rsidRPr="00EA74DE" w:rsidR="00EA74DE">
              <w:rPr>
                <w:b/>
                <w:bCs/>
              </w:rPr>
              <w:br/>
            </w:r>
            <w:r w:rsidRPr="00EA74DE">
              <w:rPr>
                <w:b/>
                <w:bCs/>
              </w:rPr>
              <w:t>(n at R94=</w:t>
            </w:r>
            <w:r w:rsidRPr="00EA74DE" w:rsidR="00AD0D2A">
              <w:rPr>
                <w:b/>
                <w:bCs/>
              </w:rPr>
              <w:t xml:space="preserve"> </w:t>
            </w:r>
            <w:r w:rsidRPr="00EA74DE">
              <w:rPr>
                <w:b/>
                <w:bCs/>
              </w:rPr>
              <w:br/>
              <w:t>17139)</w:t>
            </w:r>
          </w:p>
        </w:tc>
        <w:tc>
          <w:tcPr>
            <w:tcW w:w="508" w:type="pct"/>
            <w:shd w:val="clear" w:color="auto" w:fill="DBDBDB"/>
            <w:vAlign w:val="bottom"/>
            <w:hideMark/>
          </w:tcPr>
          <w:p w:rsidR="00F95C46" w:rsidRPr="00EA74DE" w:rsidP="00EA74DE" w14:paraId="0C28F8E9" w14:textId="74B55DB2">
            <w:pPr>
              <w:spacing w:before="60" w:after="60"/>
              <w:jc w:val="center"/>
              <w:rPr>
                <w:b/>
                <w:bCs/>
              </w:rPr>
            </w:pPr>
            <w:r w:rsidRPr="00EA74DE">
              <w:rPr>
                <w:b/>
                <w:bCs/>
              </w:rPr>
              <w:t xml:space="preserve">2023 Panel </w:t>
            </w:r>
            <w:r w:rsidRPr="00EA74DE" w:rsidR="00EA74DE">
              <w:rPr>
                <w:b/>
                <w:bCs/>
              </w:rPr>
              <w:br/>
            </w:r>
            <w:r w:rsidRPr="00EA74DE">
              <w:rPr>
                <w:b/>
                <w:bCs/>
              </w:rPr>
              <w:t>(n at R97=</w:t>
            </w:r>
            <w:r w:rsidRPr="00EA74DE" w:rsidR="00AD0D2A">
              <w:rPr>
                <w:b/>
                <w:bCs/>
              </w:rPr>
              <w:t xml:space="preserve"> </w:t>
            </w:r>
            <w:r w:rsidRPr="00EA74DE">
              <w:rPr>
                <w:b/>
                <w:bCs/>
              </w:rPr>
              <w:br/>
              <w:t>15077)</w:t>
            </w:r>
          </w:p>
        </w:tc>
        <w:bookmarkEnd w:id="14"/>
      </w:tr>
      <w:tr w14:paraId="7E1CE62C" w14:textId="77777777" w:rsidTr="005D639F">
        <w:tblPrEx>
          <w:tblW w:w="5000" w:type="pct"/>
          <w:jc w:val="center"/>
          <w:tblCellMar>
            <w:left w:w="0" w:type="dxa"/>
            <w:right w:w="0" w:type="dxa"/>
          </w:tblCellMar>
          <w:tblLook w:val="0700"/>
        </w:tblPrEx>
        <w:trPr>
          <w:cantSplit/>
          <w:trHeight w:val="195"/>
          <w:jc w:val="center"/>
        </w:trPr>
        <w:tc>
          <w:tcPr>
            <w:tcW w:w="428" w:type="pct"/>
            <w:noWrap/>
            <w:tcMar>
              <w:top w:w="29" w:type="dxa"/>
              <w:left w:w="115" w:type="dxa"/>
              <w:bottom w:w="29" w:type="dxa"/>
              <w:right w:w="115" w:type="dxa"/>
            </w:tcMar>
            <w:vAlign w:val="center"/>
            <w:hideMark/>
          </w:tcPr>
          <w:p w:rsidR="00F95C46" w:rsidRPr="00F95C46" w:rsidP="00EA74DE" w14:paraId="617904E5" w14:textId="77777777">
            <w:pPr>
              <w:spacing w:before="60" w:after="60"/>
              <w:ind w:left="-120" w:right="-20"/>
              <w:jc w:val="center"/>
            </w:pPr>
            <w:r w:rsidRPr="00F95C46">
              <w:t>1</w:t>
            </w:r>
          </w:p>
        </w:tc>
        <w:tc>
          <w:tcPr>
            <w:tcW w:w="508" w:type="pct"/>
            <w:noWrap/>
            <w:tcMar>
              <w:top w:w="29" w:type="dxa"/>
              <w:left w:w="115" w:type="dxa"/>
              <w:bottom w:w="29" w:type="dxa"/>
              <w:right w:w="115" w:type="dxa"/>
            </w:tcMar>
            <w:vAlign w:val="center"/>
            <w:hideMark/>
          </w:tcPr>
          <w:p w:rsidR="00F95C46" w:rsidRPr="00F95C46" w:rsidP="00EA74DE" w14:paraId="7ABDB8A7" w14:textId="77777777">
            <w:pPr>
              <w:spacing w:before="60" w:after="60"/>
              <w:jc w:val="center"/>
            </w:pPr>
            <w:r w:rsidRPr="00F95C46">
              <w:t>53.3</w:t>
            </w:r>
          </w:p>
        </w:tc>
        <w:tc>
          <w:tcPr>
            <w:tcW w:w="508" w:type="pct"/>
            <w:tcMar>
              <w:top w:w="29" w:type="dxa"/>
              <w:left w:w="115" w:type="dxa"/>
              <w:bottom w:w="29" w:type="dxa"/>
              <w:right w:w="115" w:type="dxa"/>
            </w:tcMar>
            <w:vAlign w:val="center"/>
            <w:hideMark/>
          </w:tcPr>
          <w:p w:rsidR="00F95C46" w:rsidRPr="00F95C46" w:rsidP="00EA74DE" w14:paraId="5B61DB59" w14:textId="77777777">
            <w:pPr>
              <w:spacing w:before="60" w:after="60"/>
              <w:jc w:val="center"/>
            </w:pPr>
            <w:r w:rsidRPr="00F95C46">
              <w:t>54.7</w:t>
            </w:r>
          </w:p>
        </w:tc>
        <w:tc>
          <w:tcPr>
            <w:tcW w:w="508" w:type="pct"/>
            <w:tcMar>
              <w:top w:w="29" w:type="dxa"/>
              <w:left w:w="115" w:type="dxa"/>
              <w:bottom w:w="29" w:type="dxa"/>
              <w:right w:w="115" w:type="dxa"/>
            </w:tcMar>
            <w:vAlign w:val="center"/>
            <w:hideMark/>
          </w:tcPr>
          <w:p w:rsidR="00F95C46" w:rsidRPr="00F95C46" w:rsidP="00EA74DE" w14:paraId="5428C8C3" w14:textId="77777777">
            <w:pPr>
              <w:spacing w:before="60" w:after="60"/>
              <w:jc w:val="center"/>
            </w:pPr>
            <w:r w:rsidRPr="00F95C46">
              <w:t>55.3</w:t>
            </w:r>
          </w:p>
        </w:tc>
        <w:tc>
          <w:tcPr>
            <w:tcW w:w="508" w:type="pct"/>
            <w:vAlign w:val="center"/>
            <w:hideMark/>
          </w:tcPr>
          <w:p w:rsidR="00F95C46" w:rsidRPr="00F95C46" w:rsidP="00EA74DE" w14:paraId="3BAABC1A" w14:textId="77777777">
            <w:pPr>
              <w:spacing w:before="60" w:after="60"/>
              <w:jc w:val="center"/>
            </w:pPr>
            <w:r w:rsidRPr="00F95C46">
              <w:t>55.9</w:t>
            </w:r>
          </w:p>
        </w:tc>
        <w:tc>
          <w:tcPr>
            <w:tcW w:w="508" w:type="pct"/>
            <w:vAlign w:val="center"/>
            <w:hideMark/>
          </w:tcPr>
          <w:p w:rsidR="00F95C46" w:rsidRPr="00F95C46" w:rsidP="00EA74DE" w14:paraId="1FFF146E" w14:textId="77777777">
            <w:pPr>
              <w:spacing w:before="60" w:after="60"/>
              <w:jc w:val="center"/>
            </w:pPr>
            <w:r w:rsidRPr="00F95C46">
              <w:t>55.1</w:t>
            </w:r>
          </w:p>
        </w:tc>
        <w:tc>
          <w:tcPr>
            <w:tcW w:w="508" w:type="pct"/>
            <w:vAlign w:val="center"/>
            <w:hideMark/>
          </w:tcPr>
          <w:p w:rsidR="00F95C46" w:rsidRPr="00F95C46" w:rsidP="00EA74DE" w14:paraId="17BF716B" w14:textId="77777777">
            <w:pPr>
              <w:spacing w:before="60" w:after="60"/>
              <w:jc w:val="center"/>
            </w:pPr>
            <w:r w:rsidRPr="00F95C46">
              <w:t>41.9</w:t>
            </w:r>
          </w:p>
        </w:tc>
        <w:tc>
          <w:tcPr>
            <w:tcW w:w="508" w:type="pct"/>
            <w:vAlign w:val="center"/>
            <w:hideMark/>
          </w:tcPr>
          <w:p w:rsidR="00F95C46" w:rsidRPr="00F95C46" w:rsidP="00EA74DE" w14:paraId="266EC4DA" w14:textId="77777777">
            <w:pPr>
              <w:spacing w:before="60" w:after="60"/>
              <w:jc w:val="center"/>
            </w:pPr>
            <w:r w:rsidRPr="00F95C46">
              <w:t>38.1</w:t>
            </w:r>
          </w:p>
        </w:tc>
        <w:tc>
          <w:tcPr>
            <w:tcW w:w="508" w:type="pct"/>
            <w:vAlign w:val="center"/>
            <w:hideMark/>
          </w:tcPr>
          <w:p w:rsidR="00F95C46" w:rsidRPr="00F95C46" w:rsidP="00EA74DE" w14:paraId="0282B4C4" w14:textId="77777777">
            <w:pPr>
              <w:spacing w:before="60" w:after="60"/>
              <w:jc w:val="center"/>
            </w:pPr>
            <w:r w:rsidRPr="00F95C46">
              <w:t>38.4</w:t>
            </w:r>
          </w:p>
        </w:tc>
        <w:tc>
          <w:tcPr>
            <w:tcW w:w="508" w:type="pct"/>
            <w:vAlign w:val="center"/>
            <w:hideMark/>
          </w:tcPr>
          <w:p w:rsidR="00F95C46" w:rsidRPr="00F95C46" w:rsidP="00EA74DE" w14:paraId="6B5D8750" w14:textId="77777777">
            <w:pPr>
              <w:spacing w:before="60" w:after="60"/>
              <w:jc w:val="center"/>
            </w:pPr>
            <w:r w:rsidRPr="00F95C46">
              <w:t>45.2</w:t>
            </w:r>
          </w:p>
        </w:tc>
      </w:tr>
      <w:tr w14:paraId="2E7C0C98" w14:textId="77777777" w:rsidTr="00686B8E">
        <w:tblPrEx>
          <w:tblW w:w="5000" w:type="pct"/>
          <w:jc w:val="center"/>
          <w:tblCellMar>
            <w:left w:w="0" w:type="dxa"/>
            <w:right w:w="0" w:type="dxa"/>
          </w:tblCellMar>
          <w:tblLook w:val="0700"/>
        </w:tblPrEx>
        <w:trPr>
          <w:cantSplit/>
          <w:trHeight w:val="263"/>
          <w:jc w:val="center"/>
        </w:trPr>
        <w:tc>
          <w:tcPr>
            <w:tcW w:w="428" w:type="pct"/>
            <w:noWrap/>
            <w:tcMar>
              <w:top w:w="29" w:type="dxa"/>
              <w:left w:w="115" w:type="dxa"/>
              <w:bottom w:w="29" w:type="dxa"/>
              <w:right w:w="115" w:type="dxa"/>
            </w:tcMar>
            <w:vAlign w:val="center"/>
            <w:hideMark/>
          </w:tcPr>
          <w:p w:rsidR="00AF5787" w:rsidRPr="00F95C46" w:rsidP="00AF5787" w14:paraId="35B71C4C" w14:textId="77777777">
            <w:pPr>
              <w:spacing w:before="60" w:after="60"/>
              <w:ind w:left="-120" w:right="-20"/>
              <w:jc w:val="center"/>
            </w:pPr>
            <w:r w:rsidRPr="00F95C46">
              <w:t>2</w:t>
            </w:r>
          </w:p>
        </w:tc>
        <w:tc>
          <w:tcPr>
            <w:tcW w:w="508" w:type="pct"/>
            <w:noWrap/>
            <w:tcMar>
              <w:top w:w="29" w:type="dxa"/>
              <w:left w:w="115" w:type="dxa"/>
              <w:bottom w:w="29" w:type="dxa"/>
              <w:right w:w="115" w:type="dxa"/>
            </w:tcMar>
            <w:vAlign w:val="center"/>
            <w:hideMark/>
          </w:tcPr>
          <w:p w:rsidR="00AF5787" w:rsidRPr="00F95C46" w:rsidP="00AF5787" w14:paraId="4CC56241" w14:textId="77777777">
            <w:pPr>
              <w:spacing w:before="60" w:after="60"/>
              <w:jc w:val="center"/>
            </w:pPr>
            <w:r w:rsidRPr="00F95C46">
              <w:t>83.2</w:t>
            </w:r>
          </w:p>
        </w:tc>
        <w:tc>
          <w:tcPr>
            <w:tcW w:w="508" w:type="pct"/>
            <w:tcMar>
              <w:top w:w="29" w:type="dxa"/>
              <w:left w:w="115" w:type="dxa"/>
              <w:bottom w:w="29" w:type="dxa"/>
              <w:right w:w="115" w:type="dxa"/>
            </w:tcMar>
            <w:vAlign w:val="center"/>
            <w:hideMark/>
          </w:tcPr>
          <w:p w:rsidR="00AF5787" w:rsidRPr="00F95C46" w:rsidP="00AF5787" w14:paraId="4B573EDD" w14:textId="77777777">
            <w:pPr>
              <w:spacing w:before="60" w:after="60"/>
              <w:jc w:val="center"/>
            </w:pPr>
            <w:r w:rsidRPr="00F95C46">
              <w:t>81.4</w:t>
            </w:r>
          </w:p>
        </w:tc>
        <w:tc>
          <w:tcPr>
            <w:tcW w:w="508" w:type="pct"/>
            <w:tcMar>
              <w:top w:w="29" w:type="dxa"/>
              <w:left w:w="115" w:type="dxa"/>
              <w:bottom w:w="29" w:type="dxa"/>
              <w:right w:w="115" w:type="dxa"/>
            </w:tcMar>
            <w:vAlign w:val="center"/>
            <w:hideMark/>
          </w:tcPr>
          <w:p w:rsidR="00AF5787" w:rsidRPr="00F95C46" w:rsidP="00AF5787" w14:paraId="6D1389A9" w14:textId="77777777">
            <w:pPr>
              <w:spacing w:before="60" w:after="60"/>
              <w:jc w:val="center"/>
            </w:pPr>
            <w:r w:rsidRPr="00F95C46">
              <w:t>79.9</w:t>
            </w:r>
          </w:p>
        </w:tc>
        <w:tc>
          <w:tcPr>
            <w:tcW w:w="508" w:type="pct"/>
            <w:vAlign w:val="center"/>
            <w:hideMark/>
          </w:tcPr>
          <w:p w:rsidR="00AF5787" w:rsidRPr="00F95C46" w:rsidP="00AF5787" w14:paraId="21950F62" w14:textId="77777777">
            <w:pPr>
              <w:spacing w:before="60" w:after="60"/>
              <w:jc w:val="center"/>
            </w:pPr>
            <w:r w:rsidRPr="00F95C46">
              <w:t>80.9</w:t>
            </w:r>
          </w:p>
        </w:tc>
        <w:tc>
          <w:tcPr>
            <w:tcW w:w="508" w:type="pct"/>
            <w:vAlign w:val="center"/>
            <w:hideMark/>
          </w:tcPr>
          <w:p w:rsidR="00AF5787" w:rsidRPr="00F95C46" w:rsidP="00AF5787" w14:paraId="6E7BE729" w14:textId="77777777">
            <w:pPr>
              <w:spacing w:before="60" w:after="60"/>
              <w:jc w:val="center"/>
            </w:pPr>
            <w:r w:rsidRPr="00F95C46">
              <w:t>73.4</w:t>
            </w:r>
          </w:p>
        </w:tc>
        <w:tc>
          <w:tcPr>
            <w:tcW w:w="508" w:type="pct"/>
            <w:vAlign w:val="center"/>
            <w:hideMark/>
          </w:tcPr>
          <w:p w:rsidR="00AF5787" w:rsidRPr="00F95C46" w:rsidP="00AF5787" w14:paraId="225FF174" w14:textId="77777777">
            <w:pPr>
              <w:spacing w:before="60" w:after="60"/>
              <w:jc w:val="center"/>
            </w:pPr>
            <w:r w:rsidRPr="00F95C46">
              <w:t>78.3</w:t>
            </w:r>
          </w:p>
        </w:tc>
        <w:tc>
          <w:tcPr>
            <w:tcW w:w="508" w:type="pct"/>
            <w:vAlign w:val="center"/>
            <w:hideMark/>
          </w:tcPr>
          <w:p w:rsidR="00AF5787" w:rsidRPr="00F95C46" w:rsidP="00AF5787" w14:paraId="55BEB5CC" w14:textId="77777777">
            <w:pPr>
              <w:spacing w:before="60" w:after="60"/>
              <w:jc w:val="center"/>
            </w:pPr>
            <w:r w:rsidRPr="00F95C46">
              <w:t>76.6</w:t>
            </w:r>
          </w:p>
        </w:tc>
        <w:tc>
          <w:tcPr>
            <w:tcW w:w="508" w:type="pct"/>
            <w:vAlign w:val="center"/>
            <w:hideMark/>
          </w:tcPr>
          <w:p w:rsidR="00AF5787" w:rsidRPr="00F95C46" w:rsidP="00AF5787" w14:paraId="105137F7" w14:textId="77777777">
            <w:pPr>
              <w:spacing w:before="60" w:after="60"/>
              <w:jc w:val="center"/>
            </w:pPr>
            <w:r w:rsidRPr="00F95C46">
              <w:t>77.8</w:t>
            </w:r>
          </w:p>
        </w:tc>
        <w:tc>
          <w:tcPr>
            <w:tcW w:w="508" w:type="pct"/>
          </w:tcPr>
          <w:p w:rsidR="00AF5787" w:rsidRPr="00AD63B8" w:rsidP="00AF5787" w14:paraId="16DCC4F1" w14:textId="3FCEF2DF">
            <w:pPr>
              <w:spacing w:before="60" w:after="60"/>
              <w:jc w:val="center"/>
              <w:rPr>
                <w:color w:val="FFFFFF" w:themeColor="background1"/>
              </w:rPr>
            </w:pPr>
            <w:r w:rsidRPr="009F0B58">
              <w:rPr>
                <w:color w:val="FFFFFF" w:themeColor="background1"/>
              </w:rPr>
              <w:t>N/A</w:t>
            </w:r>
          </w:p>
        </w:tc>
      </w:tr>
      <w:tr w14:paraId="17BEF769" w14:textId="77777777" w:rsidTr="00686B8E">
        <w:tblPrEx>
          <w:tblW w:w="5000" w:type="pct"/>
          <w:jc w:val="center"/>
          <w:tblCellMar>
            <w:left w:w="0" w:type="dxa"/>
            <w:right w:w="0" w:type="dxa"/>
          </w:tblCellMar>
          <w:tblLook w:val="0700"/>
        </w:tblPrEx>
        <w:trPr>
          <w:cantSplit/>
          <w:trHeight w:val="250"/>
          <w:jc w:val="center"/>
        </w:trPr>
        <w:tc>
          <w:tcPr>
            <w:tcW w:w="428" w:type="pct"/>
            <w:noWrap/>
            <w:tcMar>
              <w:top w:w="29" w:type="dxa"/>
              <w:left w:w="115" w:type="dxa"/>
              <w:bottom w:w="29" w:type="dxa"/>
              <w:right w:w="115" w:type="dxa"/>
            </w:tcMar>
            <w:vAlign w:val="center"/>
            <w:hideMark/>
          </w:tcPr>
          <w:p w:rsidR="00AF5787" w:rsidRPr="00F95C46" w:rsidP="00AF5787" w14:paraId="67FC0227" w14:textId="77777777">
            <w:pPr>
              <w:spacing w:before="60" w:after="60"/>
              <w:ind w:left="-120" w:right="-20"/>
              <w:jc w:val="center"/>
            </w:pPr>
            <w:r w:rsidRPr="00F95C46">
              <w:t>3</w:t>
            </w:r>
          </w:p>
        </w:tc>
        <w:tc>
          <w:tcPr>
            <w:tcW w:w="508" w:type="pct"/>
            <w:noWrap/>
            <w:tcMar>
              <w:top w:w="29" w:type="dxa"/>
              <w:left w:w="115" w:type="dxa"/>
              <w:bottom w:w="29" w:type="dxa"/>
              <w:right w:w="115" w:type="dxa"/>
            </w:tcMar>
            <w:vAlign w:val="center"/>
            <w:hideMark/>
          </w:tcPr>
          <w:p w:rsidR="00AF5787" w:rsidRPr="00F95C46" w:rsidP="00AF5787" w14:paraId="49EB7154" w14:textId="77777777">
            <w:pPr>
              <w:spacing w:before="60" w:after="60"/>
              <w:jc w:val="center"/>
            </w:pPr>
            <w:r w:rsidRPr="00F95C46">
              <w:t>82.7</w:t>
            </w:r>
          </w:p>
        </w:tc>
        <w:tc>
          <w:tcPr>
            <w:tcW w:w="508" w:type="pct"/>
            <w:tcMar>
              <w:top w:w="29" w:type="dxa"/>
              <w:left w:w="115" w:type="dxa"/>
              <w:bottom w:w="29" w:type="dxa"/>
              <w:right w:w="115" w:type="dxa"/>
            </w:tcMar>
            <w:vAlign w:val="center"/>
            <w:hideMark/>
          </w:tcPr>
          <w:p w:rsidR="00AF5787" w:rsidRPr="00F95C46" w:rsidP="00AF5787" w14:paraId="68677137" w14:textId="77777777">
            <w:pPr>
              <w:spacing w:before="60" w:after="60"/>
              <w:jc w:val="center"/>
            </w:pPr>
            <w:r w:rsidRPr="00F95C46">
              <w:t>83.9</w:t>
            </w:r>
          </w:p>
        </w:tc>
        <w:tc>
          <w:tcPr>
            <w:tcW w:w="508" w:type="pct"/>
            <w:tcMar>
              <w:top w:w="29" w:type="dxa"/>
              <w:left w:w="115" w:type="dxa"/>
              <w:bottom w:w="29" w:type="dxa"/>
              <w:right w:w="115" w:type="dxa"/>
            </w:tcMar>
            <w:vAlign w:val="center"/>
            <w:hideMark/>
          </w:tcPr>
          <w:p w:rsidR="00AF5787" w:rsidRPr="00F95C46" w:rsidP="00AF5787" w14:paraId="636F32AE" w14:textId="77777777">
            <w:pPr>
              <w:spacing w:before="60" w:after="60"/>
              <w:jc w:val="center"/>
            </w:pPr>
            <w:r w:rsidRPr="00F95C46">
              <w:t>83.1</w:t>
            </w:r>
          </w:p>
        </w:tc>
        <w:tc>
          <w:tcPr>
            <w:tcW w:w="508" w:type="pct"/>
            <w:vAlign w:val="center"/>
            <w:hideMark/>
          </w:tcPr>
          <w:p w:rsidR="00AF5787" w:rsidRPr="00F95C46" w:rsidP="00AF5787" w14:paraId="3BF82609" w14:textId="77777777">
            <w:pPr>
              <w:spacing w:before="60" w:after="60"/>
              <w:jc w:val="center"/>
            </w:pPr>
            <w:r w:rsidRPr="00F95C46">
              <w:t>82.2</w:t>
            </w:r>
          </w:p>
        </w:tc>
        <w:tc>
          <w:tcPr>
            <w:tcW w:w="508" w:type="pct"/>
            <w:vAlign w:val="center"/>
            <w:hideMark/>
          </w:tcPr>
          <w:p w:rsidR="00AF5787" w:rsidRPr="00F95C46" w:rsidP="00AF5787" w14:paraId="39D80588" w14:textId="77777777">
            <w:pPr>
              <w:spacing w:before="60" w:after="60"/>
              <w:jc w:val="center"/>
            </w:pPr>
            <w:r w:rsidRPr="00F95C46">
              <w:t>83.5</w:t>
            </w:r>
          </w:p>
        </w:tc>
        <w:tc>
          <w:tcPr>
            <w:tcW w:w="508" w:type="pct"/>
            <w:vAlign w:val="center"/>
            <w:hideMark/>
          </w:tcPr>
          <w:p w:rsidR="00AF5787" w:rsidRPr="00F95C46" w:rsidP="00AF5787" w14:paraId="2F58F937" w14:textId="77777777">
            <w:pPr>
              <w:spacing w:before="60" w:after="60"/>
              <w:jc w:val="center"/>
            </w:pPr>
            <w:r w:rsidRPr="00F95C46">
              <w:t>82.2</w:t>
            </w:r>
          </w:p>
        </w:tc>
        <w:tc>
          <w:tcPr>
            <w:tcW w:w="508" w:type="pct"/>
            <w:vAlign w:val="center"/>
            <w:hideMark/>
          </w:tcPr>
          <w:p w:rsidR="00AF5787" w:rsidRPr="00F95C46" w:rsidP="00AF5787" w14:paraId="035D7F69" w14:textId="77777777">
            <w:pPr>
              <w:spacing w:before="60" w:after="60"/>
              <w:jc w:val="center"/>
            </w:pPr>
            <w:r w:rsidRPr="00F95C46">
              <w:t>80.6</w:t>
            </w:r>
          </w:p>
        </w:tc>
        <w:tc>
          <w:tcPr>
            <w:tcW w:w="508" w:type="pct"/>
            <w:vAlign w:val="center"/>
            <w:hideMark/>
          </w:tcPr>
          <w:p w:rsidR="00AF5787" w:rsidRPr="00F95C46" w:rsidP="00AF5787" w14:paraId="34ED9D1C" w14:textId="77777777">
            <w:pPr>
              <w:spacing w:before="60" w:after="60"/>
              <w:jc w:val="center"/>
            </w:pPr>
            <w:r w:rsidRPr="00F95C46">
              <w:t>78.5</w:t>
            </w:r>
          </w:p>
        </w:tc>
        <w:tc>
          <w:tcPr>
            <w:tcW w:w="508" w:type="pct"/>
          </w:tcPr>
          <w:p w:rsidR="00AF5787" w:rsidRPr="00AD63B8" w:rsidP="00AF5787" w14:paraId="1AB11D55" w14:textId="014825A4">
            <w:pPr>
              <w:spacing w:before="60" w:after="60"/>
              <w:jc w:val="center"/>
              <w:rPr>
                <w:color w:val="FFFFFF" w:themeColor="background1"/>
              </w:rPr>
            </w:pPr>
            <w:r w:rsidRPr="009F0B58">
              <w:rPr>
                <w:color w:val="FFFFFF" w:themeColor="background1"/>
              </w:rPr>
              <w:t>N/A</w:t>
            </w:r>
          </w:p>
        </w:tc>
      </w:tr>
      <w:tr w14:paraId="5ADAEC68" w14:textId="77777777" w:rsidTr="00686B8E">
        <w:tblPrEx>
          <w:tblW w:w="5000" w:type="pct"/>
          <w:jc w:val="center"/>
          <w:tblCellMar>
            <w:left w:w="0" w:type="dxa"/>
            <w:right w:w="0" w:type="dxa"/>
          </w:tblCellMar>
          <w:tblLook w:val="0700"/>
        </w:tblPrEx>
        <w:trPr>
          <w:cantSplit/>
          <w:trHeight w:val="263"/>
          <w:jc w:val="center"/>
        </w:trPr>
        <w:tc>
          <w:tcPr>
            <w:tcW w:w="428" w:type="pct"/>
            <w:noWrap/>
            <w:tcMar>
              <w:top w:w="29" w:type="dxa"/>
              <w:left w:w="115" w:type="dxa"/>
              <w:bottom w:w="29" w:type="dxa"/>
              <w:right w:w="115" w:type="dxa"/>
            </w:tcMar>
            <w:vAlign w:val="center"/>
            <w:hideMark/>
          </w:tcPr>
          <w:p w:rsidR="00AF5787" w:rsidRPr="00F95C46" w:rsidP="00AF5787" w14:paraId="14262D19" w14:textId="77777777">
            <w:pPr>
              <w:spacing w:before="60" w:after="60"/>
              <w:ind w:left="-120" w:right="-20"/>
              <w:jc w:val="center"/>
            </w:pPr>
            <w:r w:rsidRPr="00F95C46">
              <w:t>4</w:t>
            </w:r>
          </w:p>
        </w:tc>
        <w:tc>
          <w:tcPr>
            <w:tcW w:w="508" w:type="pct"/>
            <w:noWrap/>
            <w:tcMar>
              <w:top w:w="29" w:type="dxa"/>
              <w:left w:w="115" w:type="dxa"/>
              <w:bottom w:w="29" w:type="dxa"/>
              <w:right w:w="115" w:type="dxa"/>
            </w:tcMar>
            <w:vAlign w:val="center"/>
            <w:hideMark/>
          </w:tcPr>
          <w:p w:rsidR="00AF5787" w:rsidRPr="00F95C46" w:rsidP="00AF5787" w14:paraId="179CC32B" w14:textId="77777777">
            <w:pPr>
              <w:spacing w:before="60" w:after="60"/>
              <w:jc w:val="center"/>
            </w:pPr>
            <w:r w:rsidRPr="00F95C46">
              <w:t>80.0</w:t>
            </w:r>
          </w:p>
        </w:tc>
        <w:tc>
          <w:tcPr>
            <w:tcW w:w="508" w:type="pct"/>
            <w:tcMar>
              <w:top w:w="29" w:type="dxa"/>
              <w:left w:w="115" w:type="dxa"/>
              <w:bottom w:w="29" w:type="dxa"/>
              <w:right w:w="115" w:type="dxa"/>
            </w:tcMar>
            <w:vAlign w:val="center"/>
            <w:hideMark/>
          </w:tcPr>
          <w:p w:rsidR="00AF5787" w:rsidRPr="00F95C46" w:rsidP="00AF5787" w14:paraId="73F80D1A" w14:textId="77777777">
            <w:pPr>
              <w:spacing w:before="60" w:after="60"/>
              <w:jc w:val="center"/>
            </w:pPr>
            <w:r w:rsidRPr="00F95C46">
              <w:t>84.2</w:t>
            </w:r>
          </w:p>
        </w:tc>
        <w:tc>
          <w:tcPr>
            <w:tcW w:w="508" w:type="pct"/>
            <w:tcMar>
              <w:top w:w="29" w:type="dxa"/>
              <w:left w:w="115" w:type="dxa"/>
              <w:bottom w:w="29" w:type="dxa"/>
              <w:right w:w="115" w:type="dxa"/>
            </w:tcMar>
            <w:vAlign w:val="center"/>
            <w:hideMark/>
          </w:tcPr>
          <w:p w:rsidR="00AF5787" w:rsidRPr="00F95C46" w:rsidP="00AF5787" w14:paraId="0E1B9F66" w14:textId="77777777">
            <w:pPr>
              <w:spacing w:before="60" w:after="60"/>
              <w:jc w:val="center"/>
            </w:pPr>
            <w:r w:rsidRPr="00F95C46">
              <w:t>85.1</w:t>
            </w:r>
          </w:p>
        </w:tc>
        <w:tc>
          <w:tcPr>
            <w:tcW w:w="508" w:type="pct"/>
            <w:vAlign w:val="center"/>
            <w:hideMark/>
          </w:tcPr>
          <w:p w:rsidR="00AF5787" w:rsidRPr="00F95C46" w:rsidP="00AF5787" w14:paraId="54BED6C2" w14:textId="77777777">
            <w:pPr>
              <w:spacing w:before="60" w:after="60"/>
              <w:jc w:val="center"/>
            </w:pPr>
            <w:r w:rsidRPr="00F95C46">
              <w:t>84.7</w:t>
            </w:r>
          </w:p>
        </w:tc>
        <w:tc>
          <w:tcPr>
            <w:tcW w:w="508" w:type="pct"/>
            <w:vAlign w:val="center"/>
            <w:hideMark/>
          </w:tcPr>
          <w:p w:rsidR="00AF5787" w:rsidRPr="00F95C46" w:rsidP="00AF5787" w14:paraId="3841ADFD" w14:textId="77777777">
            <w:pPr>
              <w:spacing w:before="60" w:after="60"/>
              <w:jc w:val="center"/>
            </w:pPr>
            <w:r w:rsidRPr="00F95C46">
              <w:t>83.9</w:t>
            </w:r>
          </w:p>
        </w:tc>
        <w:tc>
          <w:tcPr>
            <w:tcW w:w="508" w:type="pct"/>
            <w:vAlign w:val="center"/>
            <w:hideMark/>
          </w:tcPr>
          <w:p w:rsidR="00AF5787" w:rsidRPr="00F95C46" w:rsidP="00AF5787" w14:paraId="4ABC90C3" w14:textId="77777777">
            <w:pPr>
              <w:spacing w:before="60" w:after="60"/>
              <w:jc w:val="center"/>
            </w:pPr>
            <w:r w:rsidRPr="00F95C46">
              <w:t>81.9</w:t>
            </w:r>
          </w:p>
        </w:tc>
        <w:tc>
          <w:tcPr>
            <w:tcW w:w="508" w:type="pct"/>
            <w:vAlign w:val="center"/>
            <w:hideMark/>
          </w:tcPr>
          <w:p w:rsidR="00AF5787" w:rsidRPr="00F95C46" w:rsidP="00AF5787" w14:paraId="3F0A581D" w14:textId="77777777">
            <w:pPr>
              <w:spacing w:before="60" w:after="60"/>
              <w:jc w:val="center"/>
            </w:pPr>
            <w:r w:rsidRPr="00F95C46">
              <w:t>81.7</w:t>
            </w:r>
          </w:p>
        </w:tc>
        <w:tc>
          <w:tcPr>
            <w:tcW w:w="508" w:type="pct"/>
            <w:vAlign w:val="center"/>
            <w:hideMark/>
          </w:tcPr>
          <w:p w:rsidR="00AF5787" w:rsidRPr="00F95C46" w:rsidP="00AF5787" w14:paraId="0AE3311F" w14:textId="77777777">
            <w:pPr>
              <w:spacing w:before="60" w:after="60"/>
              <w:jc w:val="center"/>
            </w:pPr>
            <w:r w:rsidRPr="00F95C46">
              <w:t>81.1</w:t>
            </w:r>
          </w:p>
        </w:tc>
        <w:tc>
          <w:tcPr>
            <w:tcW w:w="508" w:type="pct"/>
          </w:tcPr>
          <w:p w:rsidR="00AF5787" w:rsidRPr="00AD63B8" w:rsidP="00AF5787" w14:paraId="48E02AE8" w14:textId="47D8A2C6">
            <w:pPr>
              <w:spacing w:before="60" w:after="60"/>
              <w:jc w:val="center"/>
              <w:rPr>
                <w:color w:val="FFFFFF" w:themeColor="background1"/>
              </w:rPr>
            </w:pPr>
            <w:r w:rsidRPr="009F0B58">
              <w:rPr>
                <w:color w:val="FFFFFF" w:themeColor="background1"/>
              </w:rPr>
              <w:t>N/A</w:t>
            </w:r>
          </w:p>
        </w:tc>
      </w:tr>
      <w:tr w14:paraId="4D8316C1" w14:textId="77777777" w:rsidTr="00686B8E">
        <w:tblPrEx>
          <w:tblW w:w="5000" w:type="pct"/>
          <w:jc w:val="center"/>
          <w:tblCellMar>
            <w:left w:w="0" w:type="dxa"/>
            <w:right w:w="0" w:type="dxa"/>
          </w:tblCellMar>
          <w:tblLook w:val="0700"/>
        </w:tblPrEx>
        <w:trPr>
          <w:cantSplit/>
          <w:trHeight w:val="263"/>
          <w:jc w:val="center"/>
        </w:trPr>
        <w:tc>
          <w:tcPr>
            <w:tcW w:w="428" w:type="pct"/>
            <w:noWrap/>
            <w:tcMar>
              <w:top w:w="29" w:type="dxa"/>
              <w:left w:w="115" w:type="dxa"/>
              <w:bottom w:w="29" w:type="dxa"/>
              <w:right w:w="115" w:type="dxa"/>
            </w:tcMar>
            <w:vAlign w:val="center"/>
            <w:hideMark/>
          </w:tcPr>
          <w:p w:rsidR="00AF5787" w:rsidRPr="00F95C46" w:rsidP="00AF5787" w14:paraId="1BAC41BA" w14:textId="77777777">
            <w:pPr>
              <w:spacing w:before="60" w:after="60"/>
              <w:ind w:left="-120" w:right="-20"/>
              <w:jc w:val="center"/>
            </w:pPr>
            <w:r w:rsidRPr="00F95C46">
              <w:t>5</w:t>
            </w:r>
          </w:p>
        </w:tc>
        <w:tc>
          <w:tcPr>
            <w:tcW w:w="508" w:type="pct"/>
            <w:noWrap/>
            <w:tcMar>
              <w:top w:w="29" w:type="dxa"/>
              <w:left w:w="115" w:type="dxa"/>
              <w:bottom w:w="29" w:type="dxa"/>
              <w:right w:w="115" w:type="dxa"/>
            </w:tcMar>
            <w:vAlign w:val="center"/>
            <w:hideMark/>
          </w:tcPr>
          <w:p w:rsidR="00AF5787" w:rsidRPr="00F95C46" w:rsidP="00AF5787" w14:paraId="3A623E48" w14:textId="77777777">
            <w:pPr>
              <w:spacing w:before="60" w:after="60"/>
              <w:jc w:val="center"/>
            </w:pPr>
            <w:r w:rsidRPr="00F95C46">
              <w:t>88.3</w:t>
            </w:r>
          </w:p>
        </w:tc>
        <w:tc>
          <w:tcPr>
            <w:tcW w:w="508" w:type="pct"/>
            <w:tcMar>
              <w:top w:w="29" w:type="dxa"/>
              <w:left w:w="115" w:type="dxa"/>
              <w:bottom w:w="29" w:type="dxa"/>
              <w:right w:w="115" w:type="dxa"/>
            </w:tcMar>
            <w:vAlign w:val="center"/>
            <w:hideMark/>
          </w:tcPr>
          <w:p w:rsidR="00AF5787" w:rsidRPr="00F95C46" w:rsidP="00AF5787" w14:paraId="65FC3575" w14:textId="77777777">
            <w:pPr>
              <w:spacing w:before="60" w:after="60"/>
              <w:jc w:val="center"/>
            </w:pPr>
            <w:r w:rsidRPr="00F95C46">
              <w:t>87.9</w:t>
            </w:r>
          </w:p>
        </w:tc>
        <w:tc>
          <w:tcPr>
            <w:tcW w:w="508" w:type="pct"/>
            <w:tcMar>
              <w:top w:w="29" w:type="dxa"/>
              <w:left w:w="115" w:type="dxa"/>
              <w:bottom w:w="29" w:type="dxa"/>
              <w:right w:w="115" w:type="dxa"/>
            </w:tcMar>
            <w:vAlign w:val="center"/>
            <w:hideMark/>
          </w:tcPr>
          <w:p w:rsidR="00AF5787" w:rsidRPr="00F95C46" w:rsidP="00AF5787" w14:paraId="179BB986" w14:textId="77777777">
            <w:pPr>
              <w:spacing w:before="60" w:after="60"/>
              <w:jc w:val="center"/>
            </w:pPr>
            <w:r w:rsidRPr="00F95C46">
              <w:t>88.1</w:t>
            </w:r>
          </w:p>
        </w:tc>
        <w:tc>
          <w:tcPr>
            <w:tcW w:w="508" w:type="pct"/>
            <w:vAlign w:val="center"/>
            <w:hideMark/>
          </w:tcPr>
          <w:p w:rsidR="00AF5787" w:rsidRPr="00F95C46" w:rsidP="00AF5787" w14:paraId="4C29125C" w14:textId="77777777">
            <w:pPr>
              <w:spacing w:before="60" w:after="60"/>
              <w:jc w:val="center"/>
            </w:pPr>
            <w:r w:rsidRPr="00F95C46">
              <w:t>74.9</w:t>
            </w:r>
          </w:p>
        </w:tc>
        <w:tc>
          <w:tcPr>
            <w:tcW w:w="508" w:type="pct"/>
            <w:vAlign w:val="center"/>
            <w:hideMark/>
          </w:tcPr>
          <w:p w:rsidR="00AF5787" w:rsidRPr="00F95C46" w:rsidP="00AF5787" w14:paraId="5EB2349A" w14:textId="77777777">
            <w:pPr>
              <w:spacing w:before="60" w:after="60"/>
              <w:jc w:val="center"/>
            </w:pPr>
            <w:r w:rsidRPr="00F95C46">
              <w:t>84.4</w:t>
            </w:r>
          </w:p>
        </w:tc>
        <w:tc>
          <w:tcPr>
            <w:tcW w:w="508" w:type="pct"/>
            <w:vAlign w:val="center"/>
            <w:hideMark/>
          </w:tcPr>
          <w:p w:rsidR="00AF5787" w:rsidRPr="00F95C46" w:rsidP="00AF5787" w14:paraId="7598E856" w14:textId="77777777">
            <w:pPr>
              <w:spacing w:before="60" w:after="60"/>
              <w:jc w:val="center"/>
            </w:pPr>
            <w:r w:rsidRPr="00F95C46">
              <w:t>86.5</w:t>
            </w:r>
          </w:p>
        </w:tc>
        <w:tc>
          <w:tcPr>
            <w:tcW w:w="508" w:type="pct"/>
            <w:vAlign w:val="center"/>
            <w:hideMark/>
          </w:tcPr>
          <w:p w:rsidR="00AF5787" w:rsidRPr="00F95C46" w:rsidP="00AF5787" w14:paraId="061616C5" w14:textId="77777777">
            <w:pPr>
              <w:spacing w:before="60" w:after="60"/>
              <w:jc w:val="center"/>
            </w:pPr>
            <w:r w:rsidRPr="00F95C46">
              <w:t>86.5</w:t>
            </w:r>
          </w:p>
        </w:tc>
        <w:tc>
          <w:tcPr>
            <w:tcW w:w="508" w:type="pct"/>
          </w:tcPr>
          <w:p w:rsidR="00AF5787" w:rsidRPr="00AD63B8" w:rsidP="00AF5787" w14:paraId="187429DC" w14:textId="54CF5301">
            <w:pPr>
              <w:spacing w:before="60" w:after="60"/>
              <w:jc w:val="center"/>
              <w:rPr>
                <w:color w:val="FFFFFF" w:themeColor="background1"/>
              </w:rPr>
            </w:pPr>
            <w:r w:rsidRPr="0017024A">
              <w:rPr>
                <w:color w:val="FFFFFF" w:themeColor="background1"/>
              </w:rPr>
              <w:t>N/A</w:t>
            </w:r>
          </w:p>
        </w:tc>
        <w:tc>
          <w:tcPr>
            <w:tcW w:w="508" w:type="pct"/>
          </w:tcPr>
          <w:p w:rsidR="00AF5787" w:rsidRPr="00AD63B8" w:rsidP="00AF5787" w14:paraId="3B76896E" w14:textId="5CE9677C">
            <w:pPr>
              <w:spacing w:before="60" w:after="60"/>
              <w:jc w:val="center"/>
              <w:rPr>
                <w:color w:val="FFFFFF" w:themeColor="background1"/>
              </w:rPr>
            </w:pPr>
            <w:r w:rsidRPr="009F0B58">
              <w:rPr>
                <w:color w:val="FFFFFF" w:themeColor="background1"/>
              </w:rPr>
              <w:t>N/A</w:t>
            </w:r>
          </w:p>
        </w:tc>
      </w:tr>
      <w:tr w14:paraId="768B72D8" w14:textId="77777777" w:rsidTr="00686B8E">
        <w:tblPrEx>
          <w:tblW w:w="5000" w:type="pct"/>
          <w:jc w:val="center"/>
          <w:tblCellMar>
            <w:left w:w="0" w:type="dxa"/>
            <w:right w:w="0" w:type="dxa"/>
          </w:tblCellMar>
          <w:tblLook w:val="0700"/>
        </w:tblPrEx>
        <w:trPr>
          <w:cantSplit/>
          <w:trHeight w:val="263"/>
          <w:jc w:val="center"/>
        </w:trPr>
        <w:tc>
          <w:tcPr>
            <w:tcW w:w="428" w:type="pct"/>
            <w:noWrap/>
            <w:tcMar>
              <w:top w:w="29" w:type="dxa"/>
              <w:left w:w="115" w:type="dxa"/>
              <w:bottom w:w="29" w:type="dxa"/>
              <w:right w:w="115" w:type="dxa"/>
            </w:tcMar>
            <w:vAlign w:val="center"/>
            <w:hideMark/>
          </w:tcPr>
          <w:p w:rsidR="00AF5787" w:rsidRPr="00F95C46" w:rsidP="00AF5787" w14:paraId="390CC321" w14:textId="77777777">
            <w:pPr>
              <w:spacing w:before="60" w:after="60"/>
              <w:ind w:left="-120" w:right="-20"/>
              <w:jc w:val="center"/>
            </w:pPr>
            <w:r w:rsidRPr="00F95C46">
              <w:t>6</w:t>
            </w:r>
          </w:p>
        </w:tc>
        <w:tc>
          <w:tcPr>
            <w:tcW w:w="508" w:type="pct"/>
            <w:noWrap/>
            <w:tcMar>
              <w:top w:w="29" w:type="dxa"/>
              <w:left w:w="115" w:type="dxa"/>
              <w:bottom w:w="29" w:type="dxa"/>
              <w:right w:w="115" w:type="dxa"/>
            </w:tcMar>
            <w:vAlign w:val="center"/>
            <w:hideMark/>
          </w:tcPr>
          <w:p w:rsidR="00AF5787" w:rsidRPr="00F95C46" w:rsidP="00AF5787" w14:paraId="39A69ABC" w14:textId="77777777">
            <w:pPr>
              <w:spacing w:before="60" w:after="60"/>
              <w:jc w:val="center"/>
            </w:pPr>
            <w:r w:rsidRPr="00F95C46">
              <w:t>88.0</w:t>
            </w:r>
          </w:p>
        </w:tc>
        <w:tc>
          <w:tcPr>
            <w:tcW w:w="508" w:type="pct"/>
            <w:tcMar>
              <w:top w:w="29" w:type="dxa"/>
              <w:left w:w="115" w:type="dxa"/>
              <w:bottom w:w="29" w:type="dxa"/>
              <w:right w:w="115" w:type="dxa"/>
            </w:tcMar>
            <w:vAlign w:val="center"/>
            <w:hideMark/>
          </w:tcPr>
          <w:p w:rsidR="00AF5787" w:rsidRPr="00F95C46" w:rsidP="00AF5787" w14:paraId="478AFEA8" w14:textId="77777777">
            <w:pPr>
              <w:spacing w:before="60" w:after="60"/>
              <w:jc w:val="center"/>
            </w:pPr>
            <w:r w:rsidRPr="00F95C46">
              <w:t>87.7</w:t>
            </w:r>
          </w:p>
        </w:tc>
        <w:tc>
          <w:tcPr>
            <w:tcW w:w="508" w:type="pct"/>
            <w:tcMar>
              <w:top w:w="29" w:type="dxa"/>
              <w:left w:w="115" w:type="dxa"/>
              <w:bottom w:w="29" w:type="dxa"/>
              <w:right w:w="115" w:type="dxa"/>
            </w:tcMar>
            <w:vAlign w:val="center"/>
            <w:hideMark/>
          </w:tcPr>
          <w:p w:rsidR="00AF5787" w:rsidRPr="00F95C46" w:rsidP="00AF5787" w14:paraId="3A583D23" w14:textId="77777777">
            <w:pPr>
              <w:spacing w:before="60" w:after="60"/>
              <w:jc w:val="center"/>
            </w:pPr>
            <w:r w:rsidRPr="00F95C46">
              <w:t>85.7</w:t>
            </w:r>
          </w:p>
        </w:tc>
        <w:tc>
          <w:tcPr>
            <w:tcW w:w="508" w:type="pct"/>
            <w:vAlign w:val="center"/>
            <w:hideMark/>
          </w:tcPr>
          <w:p w:rsidR="00AF5787" w:rsidRPr="00F95C46" w:rsidP="00AF5787" w14:paraId="662E33D7" w14:textId="77777777">
            <w:pPr>
              <w:spacing w:before="60" w:after="60"/>
              <w:jc w:val="center"/>
            </w:pPr>
            <w:r w:rsidRPr="00F95C46">
              <w:t>89.3</w:t>
            </w:r>
          </w:p>
        </w:tc>
        <w:tc>
          <w:tcPr>
            <w:tcW w:w="508" w:type="pct"/>
            <w:vAlign w:val="center"/>
            <w:hideMark/>
          </w:tcPr>
          <w:p w:rsidR="00AF5787" w:rsidRPr="00F95C46" w:rsidP="00AF5787" w14:paraId="1587ADED" w14:textId="77777777">
            <w:pPr>
              <w:spacing w:before="60" w:after="60"/>
              <w:jc w:val="center"/>
            </w:pPr>
            <w:r w:rsidRPr="00F95C46">
              <w:t>89.1</w:t>
            </w:r>
          </w:p>
        </w:tc>
        <w:tc>
          <w:tcPr>
            <w:tcW w:w="508" w:type="pct"/>
            <w:vAlign w:val="center"/>
            <w:hideMark/>
          </w:tcPr>
          <w:p w:rsidR="00AF5787" w:rsidRPr="00F95C46" w:rsidP="00AF5787" w14:paraId="11282961" w14:textId="77777777">
            <w:pPr>
              <w:spacing w:before="60" w:after="60"/>
              <w:jc w:val="center"/>
            </w:pPr>
            <w:r w:rsidRPr="00F95C46">
              <w:t>88.1</w:t>
            </w:r>
          </w:p>
        </w:tc>
        <w:tc>
          <w:tcPr>
            <w:tcW w:w="508" w:type="pct"/>
            <w:vAlign w:val="center"/>
            <w:hideMark/>
          </w:tcPr>
          <w:p w:rsidR="00AF5787" w:rsidRPr="00F95C46" w:rsidP="00AF5787" w14:paraId="4CC81E44" w14:textId="77777777">
            <w:pPr>
              <w:spacing w:before="60" w:after="60"/>
              <w:jc w:val="center"/>
            </w:pPr>
            <w:r w:rsidRPr="00F95C46">
              <w:t>87.7</w:t>
            </w:r>
          </w:p>
        </w:tc>
        <w:tc>
          <w:tcPr>
            <w:tcW w:w="508" w:type="pct"/>
          </w:tcPr>
          <w:p w:rsidR="00AF5787" w:rsidRPr="00AD63B8" w:rsidP="00AF5787" w14:paraId="343E011A" w14:textId="7429E18A">
            <w:pPr>
              <w:spacing w:before="60" w:after="60"/>
              <w:jc w:val="center"/>
              <w:rPr>
                <w:color w:val="FFFFFF" w:themeColor="background1"/>
              </w:rPr>
            </w:pPr>
            <w:r w:rsidRPr="0017024A">
              <w:rPr>
                <w:color w:val="FFFFFF" w:themeColor="background1"/>
              </w:rPr>
              <w:t>N/A</w:t>
            </w:r>
          </w:p>
        </w:tc>
        <w:tc>
          <w:tcPr>
            <w:tcW w:w="508" w:type="pct"/>
          </w:tcPr>
          <w:p w:rsidR="00AF5787" w:rsidRPr="00AD63B8" w:rsidP="00AF5787" w14:paraId="49BD1996" w14:textId="0133F863">
            <w:pPr>
              <w:spacing w:before="60" w:after="60"/>
              <w:jc w:val="center"/>
              <w:rPr>
                <w:color w:val="FFFFFF" w:themeColor="background1"/>
              </w:rPr>
            </w:pPr>
            <w:r w:rsidRPr="009F0B58">
              <w:rPr>
                <w:color w:val="FFFFFF" w:themeColor="background1"/>
              </w:rPr>
              <w:t>N/A</w:t>
            </w:r>
          </w:p>
        </w:tc>
      </w:tr>
      <w:tr w14:paraId="7584514B" w14:textId="77777777" w:rsidTr="00686B8E">
        <w:tblPrEx>
          <w:tblW w:w="5000" w:type="pct"/>
          <w:jc w:val="center"/>
          <w:tblCellMar>
            <w:left w:w="0" w:type="dxa"/>
            <w:right w:w="0" w:type="dxa"/>
          </w:tblCellMar>
          <w:tblLook w:val="0700"/>
        </w:tblPrEx>
        <w:trPr>
          <w:cantSplit/>
          <w:trHeight w:val="263"/>
          <w:jc w:val="center"/>
        </w:trPr>
        <w:tc>
          <w:tcPr>
            <w:tcW w:w="428" w:type="pct"/>
            <w:noWrap/>
            <w:tcMar>
              <w:top w:w="29" w:type="dxa"/>
              <w:left w:w="115" w:type="dxa"/>
              <w:bottom w:w="29" w:type="dxa"/>
              <w:right w:w="115" w:type="dxa"/>
            </w:tcMar>
            <w:vAlign w:val="center"/>
            <w:hideMark/>
          </w:tcPr>
          <w:p w:rsidR="00AF5787" w:rsidRPr="00F95C46" w:rsidP="00AF5787" w14:paraId="5EC1C320" w14:textId="77777777">
            <w:pPr>
              <w:spacing w:before="60" w:after="60"/>
              <w:ind w:left="-120" w:right="-20"/>
              <w:jc w:val="center"/>
            </w:pPr>
            <w:r w:rsidRPr="00F95C46">
              <w:t>7</w:t>
            </w:r>
          </w:p>
        </w:tc>
        <w:tc>
          <w:tcPr>
            <w:tcW w:w="508" w:type="pct"/>
            <w:noWrap/>
            <w:tcMar>
              <w:top w:w="29" w:type="dxa"/>
              <w:left w:w="115" w:type="dxa"/>
              <w:bottom w:w="29" w:type="dxa"/>
              <w:right w:w="115" w:type="dxa"/>
            </w:tcMar>
            <w:vAlign w:val="center"/>
            <w:hideMark/>
          </w:tcPr>
          <w:p w:rsidR="00AF5787" w:rsidRPr="00F95C46" w:rsidP="00AF5787" w14:paraId="4A6789CD" w14:textId="77777777">
            <w:pPr>
              <w:spacing w:before="60" w:after="60"/>
              <w:jc w:val="center"/>
            </w:pPr>
            <w:r w:rsidRPr="00F95C46">
              <w:t>87.7</w:t>
            </w:r>
          </w:p>
        </w:tc>
        <w:tc>
          <w:tcPr>
            <w:tcW w:w="508" w:type="pct"/>
            <w:tcMar>
              <w:top w:w="29" w:type="dxa"/>
              <w:left w:w="115" w:type="dxa"/>
              <w:bottom w:w="29" w:type="dxa"/>
              <w:right w:w="115" w:type="dxa"/>
            </w:tcMar>
            <w:vAlign w:val="center"/>
            <w:hideMark/>
          </w:tcPr>
          <w:p w:rsidR="00AF5787" w:rsidRPr="00F95C46" w:rsidP="00AF5787" w14:paraId="011E5BE3" w14:textId="77777777">
            <w:pPr>
              <w:spacing w:before="60" w:after="60"/>
              <w:jc w:val="center"/>
            </w:pPr>
            <w:r w:rsidRPr="00F95C46">
              <w:t>88.1</w:t>
            </w:r>
          </w:p>
        </w:tc>
        <w:tc>
          <w:tcPr>
            <w:tcW w:w="508" w:type="pct"/>
            <w:tcMar>
              <w:top w:w="29" w:type="dxa"/>
              <w:left w:w="115" w:type="dxa"/>
              <w:bottom w:w="29" w:type="dxa"/>
              <w:right w:w="115" w:type="dxa"/>
            </w:tcMar>
            <w:vAlign w:val="center"/>
            <w:hideMark/>
          </w:tcPr>
          <w:p w:rsidR="00AF5787" w:rsidRPr="00F95C46" w:rsidP="00AF5787" w14:paraId="04B7C1D9" w14:textId="77777777">
            <w:pPr>
              <w:spacing w:before="60" w:after="60"/>
              <w:jc w:val="center"/>
            </w:pPr>
            <w:r w:rsidRPr="00F95C46">
              <w:t>89.4</w:t>
            </w:r>
          </w:p>
        </w:tc>
        <w:tc>
          <w:tcPr>
            <w:tcW w:w="508" w:type="pct"/>
            <w:vAlign w:val="center"/>
            <w:hideMark/>
          </w:tcPr>
          <w:p w:rsidR="00AF5787" w:rsidRPr="00F95C46" w:rsidP="00AF5787" w14:paraId="18946605" w14:textId="77777777">
            <w:pPr>
              <w:spacing w:before="60" w:after="60"/>
              <w:jc w:val="center"/>
            </w:pPr>
            <w:r w:rsidRPr="00F95C46">
              <w:t>88.9</w:t>
            </w:r>
          </w:p>
        </w:tc>
        <w:tc>
          <w:tcPr>
            <w:tcW w:w="508" w:type="pct"/>
            <w:vAlign w:val="center"/>
            <w:hideMark/>
          </w:tcPr>
          <w:p w:rsidR="00AF5787" w:rsidRPr="00F95C46" w:rsidP="00AF5787" w14:paraId="101A9808" w14:textId="77777777">
            <w:pPr>
              <w:spacing w:before="60" w:after="60"/>
              <w:jc w:val="center"/>
            </w:pPr>
            <w:r w:rsidRPr="00F95C46">
              <w:t>86.1</w:t>
            </w:r>
          </w:p>
        </w:tc>
        <w:tc>
          <w:tcPr>
            <w:tcW w:w="508" w:type="pct"/>
            <w:vAlign w:val="center"/>
            <w:hideMark/>
          </w:tcPr>
          <w:p w:rsidR="00AF5787" w:rsidRPr="00F95C46" w:rsidP="00AF5787" w14:paraId="674726AE" w14:textId="77777777">
            <w:pPr>
              <w:spacing w:before="60" w:after="60"/>
              <w:jc w:val="center"/>
            </w:pPr>
            <w:r w:rsidRPr="00F95C46">
              <w:t>87.8</w:t>
            </w:r>
          </w:p>
        </w:tc>
        <w:tc>
          <w:tcPr>
            <w:tcW w:w="508" w:type="pct"/>
            <w:vAlign w:val="center"/>
            <w:hideMark/>
          </w:tcPr>
          <w:p w:rsidR="00AF5787" w:rsidRPr="00F95C46" w:rsidP="00AF5787" w14:paraId="2FA3C0F4" w14:textId="77777777">
            <w:pPr>
              <w:spacing w:before="60" w:after="60"/>
              <w:jc w:val="center"/>
            </w:pPr>
            <w:r w:rsidRPr="00F95C46">
              <w:t>87.6</w:t>
            </w:r>
          </w:p>
        </w:tc>
        <w:tc>
          <w:tcPr>
            <w:tcW w:w="508" w:type="pct"/>
          </w:tcPr>
          <w:p w:rsidR="00AF5787" w:rsidRPr="00AD63B8" w:rsidP="00AF5787" w14:paraId="382E113B" w14:textId="71BEBB4D">
            <w:pPr>
              <w:spacing w:before="60" w:after="60"/>
              <w:jc w:val="center"/>
              <w:rPr>
                <w:color w:val="FFFFFF" w:themeColor="background1"/>
              </w:rPr>
            </w:pPr>
            <w:r w:rsidRPr="0017024A">
              <w:rPr>
                <w:color w:val="FFFFFF" w:themeColor="background1"/>
              </w:rPr>
              <w:t>N/A</w:t>
            </w:r>
          </w:p>
        </w:tc>
        <w:tc>
          <w:tcPr>
            <w:tcW w:w="508" w:type="pct"/>
          </w:tcPr>
          <w:p w:rsidR="00AF5787" w:rsidRPr="00AD63B8" w:rsidP="00AF5787" w14:paraId="5A57CDF0" w14:textId="41CC9680">
            <w:pPr>
              <w:spacing w:before="60" w:after="60"/>
              <w:jc w:val="center"/>
              <w:rPr>
                <w:color w:val="FFFFFF" w:themeColor="background1"/>
              </w:rPr>
            </w:pPr>
            <w:r w:rsidRPr="009F0B58">
              <w:rPr>
                <w:color w:val="FFFFFF" w:themeColor="background1"/>
              </w:rPr>
              <w:t>N/A</w:t>
            </w:r>
          </w:p>
        </w:tc>
      </w:tr>
      <w:tr w14:paraId="02920A57" w14:textId="77777777" w:rsidTr="00686B8E">
        <w:tblPrEx>
          <w:tblW w:w="5000" w:type="pct"/>
          <w:jc w:val="center"/>
          <w:tblCellMar>
            <w:left w:w="0" w:type="dxa"/>
            <w:right w:w="0" w:type="dxa"/>
          </w:tblCellMar>
          <w:tblLook w:val="0700"/>
        </w:tblPrEx>
        <w:trPr>
          <w:cantSplit/>
          <w:trHeight w:val="263"/>
          <w:jc w:val="center"/>
        </w:trPr>
        <w:tc>
          <w:tcPr>
            <w:tcW w:w="428" w:type="pct"/>
            <w:noWrap/>
            <w:tcMar>
              <w:top w:w="29" w:type="dxa"/>
              <w:left w:w="115" w:type="dxa"/>
              <w:bottom w:w="29" w:type="dxa"/>
              <w:right w:w="115" w:type="dxa"/>
            </w:tcMar>
            <w:vAlign w:val="center"/>
            <w:hideMark/>
          </w:tcPr>
          <w:p w:rsidR="00AF5787" w:rsidRPr="00F95C46" w:rsidP="00AF5787" w14:paraId="702F93AB" w14:textId="77777777">
            <w:pPr>
              <w:spacing w:before="60" w:after="60"/>
              <w:ind w:left="-120" w:right="-20"/>
              <w:jc w:val="center"/>
            </w:pPr>
            <w:r w:rsidRPr="00F95C46">
              <w:t>8</w:t>
            </w:r>
          </w:p>
        </w:tc>
        <w:tc>
          <w:tcPr>
            <w:tcW w:w="508" w:type="pct"/>
            <w:noWrap/>
            <w:tcMar>
              <w:top w:w="29" w:type="dxa"/>
              <w:left w:w="115" w:type="dxa"/>
              <w:bottom w:w="29" w:type="dxa"/>
              <w:right w:w="115" w:type="dxa"/>
            </w:tcMar>
            <w:vAlign w:val="center"/>
            <w:hideMark/>
          </w:tcPr>
          <w:p w:rsidR="00AF5787" w:rsidRPr="00F95C46" w:rsidP="00AF5787" w14:paraId="6C40F6D6" w14:textId="77777777">
            <w:pPr>
              <w:spacing w:before="60" w:after="60"/>
              <w:jc w:val="center"/>
            </w:pPr>
            <w:r w:rsidRPr="00F95C46">
              <w:t>91.5</w:t>
            </w:r>
          </w:p>
        </w:tc>
        <w:tc>
          <w:tcPr>
            <w:tcW w:w="508" w:type="pct"/>
            <w:tcMar>
              <w:top w:w="29" w:type="dxa"/>
              <w:left w:w="115" w:type="dxa"/>
              <w:bottom w:w="29" w:type="dxa"/>
              <w:right w:w="115" w:type="dxa"/>
            </w:tcMar>
            <w:vAlign w:val="center"/>
            <w:hideMark/>
          </w:tcPr>
          <w:p w:rsidR="00AF5787" w:rsidRPr="00F95C46" w:rsidP="00AF5787" w14:paraId="134A695B" w14:textId="77777777">
            <w:pPr>
              <w:spacing w:before="60" w:after="60"/>
              <w:jc w:val="center"/>
            </w:pPr>
            <w:r w:rsidRPr="00F95C46">
              <w:t>90.9</w:t>
            </w:r>
          </w:p>
        </w:tc>
        <w:tc>
          <w:tcPr>
            <w:tcW w:w="508" w:type="pct"/>
            <w:tcMar>
              <w:top w:w="29" w:type="dxa"/>
              <w:left w:w="115" w:type="dxa"/>
              <w:bottom w:w="29" w:type="dxa"/>
              <w:right w:w="115" w:type="dxa"/>
            </w:tcMar>
            <w:vAlign w:val="center"/>
            <w:hideMark/>
          </w:tcPr>
          <w:p w:rsidR="00AF5787" w:rsidRPr="00F95C46" w:rsidP="00AF5787" w14:paraId="28B8740B" w14:textId="77777777">
            <w:pPr>
              <w:spacing w:before="60" w:after="60"/>
              <w:jc w:val="center"/>
            </w:pPr>
            <w:r w:rsidRPr="00F95C46">
              <w:t>80.3</w:t>
            </w:r>
          </w:p>
        </w:tc>
        <w:tc>
          <w:tcPr>
            <w:tcW w:w="508" w:type="pct"/>
            <w:vAlign w:val="center"/>
            <w:hideMark/>
          </w:tcPr>
          <w:p w:rsidR="00AF5787" w:rsidRPr="00F95C46" w:rsidP="00AF5787" w14:paraId="47489560" w14:textId="77777777">
            <w:pPr>
              <w:spacing w:before="60" w:after="60"/>
              <w:jc w:val="center"/>
            </w:pPr>
            <w:r w:rsidRPr="00F95C46">
              <w:t>89.9</w:t>
            </w:r>
          </w:p>
        </w:tc>
        <w:tc>
          <w:tcPr>
            <w:tcW w:w="508" w:type="pct"/>
            <w:vAlign w:val="center"/>
            <w:hideMark/>
          </w:tcPr>
          <w:p w:rsidR="00AF5787" w:rsidRPr="00F95C46" w:rsidP="00AF5787" w14:paraId="46975360" w14:textId="77777777">
            <w:pPr>
              <w:spacing w:before="60" w:after="60"/>
              <w:jc w:val="center"/>
            </w:pPr>
            <w:r w:rsidRPr="00F95C46">
              <w:t>90.5</w:t>
            </w:r>
          </w:p>
        </w:tc>
        <w:tc>
          <w:tcPr>
            <w:tcW w:w="508" w:type="pct"/>
            <w:vAlign w:val="center"/>
            <w:hideMark/>
          </w:tcPr>
          <w:p w:rsidR="00AF5787" w:rsidRPr="00F95C46" w:rsidP="00AF5787" w14:paraId="36665900" w14:textId="77777777">
            <w:pPr>
              <w:spacing w:before="60" w:after="60"/>
              <w:jc w:val="center"/>
            </w:pPr>
            <w:r w:rsidRPr="00F95C46">
              <w:t>89.0</w:t>
            </w:r>
          </w:p>
        </w:tc>
        <w:tc>
          <w:tcPr>
            <w:tcW w:w="508" w:type="pct"/>
          </w:tcPr>
          <w:p w:rsidR="00AF5787" w:rsidRPr="00AD63B8" w:rsidP="00AF5787" w14:paraId="0F7127A6" w14:textId="6E513EA0">
            <w:pPr>
              <w:spacing w:before="60" w:after="60"/>
              <w:jc w:val="center"/>
              <w:rPr>
                <w:color w:val="FFFFFF" w:themeColor="background1"/>
              </w:rPr>
            </w:pPr>
            <w:r w:rsidRPr="00FE1844">
              <w:rPr>
                <w:color w:val="FFFFFF" w:themeColor="background1"/>
              </w:rPr>
              <w:t>N/A</w:t>
            </w:r>
          </w:p>
        </w:tc>
        <w:tc>
          <w:tcPr>
            <w:tcW w:w="508" w:type="pct"/>
          </w:tcPr>
          <w:p w:rsidR="00AF5787" w:rsidRPr="00AD63B8" w:rsidP="00AF5787" w14:paraId="030ACC32" w14:textId="3A49B0AE">
            <w:pPr>
              <w:spacing w:before="60" w:after="60"/>
              <w:jc w:val="center"/>
              <w:rPr>
                <w:color w:val="FFFFFF" w:themeColor="background1"/>
              </w:rPr>
            </w:pPr>
            <w:r w:rsidRPr="0017024A">
              <w:rPr>
                <w:color w:val="FFFFFF" w:themeColor="background1"/>
              </w:rPr>
              <w:t>N/A</w:t>
            </w:r>
          </w:p>
        </w:tc>
        <w:tc>
          <w:tcPr>
            <w:tcW w:w="508" w:type="pct"/>
          </w:tcPr>
          <w:p w:rsidR="00AF5787" w:rsidRPr="00AD63B8" w:rsidP="00AF5787" w14:paraId="5048592E" w14:textId="60B6909B">
            <w:pPr>
              <w:spacing w:before="60" w:after="60"/>
              <w:jc w:val="center"/>
              <w:rPr>
                <w:color w:val="FFFFFF" w:themeColor="background1"/>
              </w:rPr>
            </w:pPr>
            <w:r w:rsidRPr="009F0B58">
              <w:rPr>
                <w:color w:val="FFFFFF" w:themeColor="background1"/>
              </w:rPr>
              <w:t>N/A</w:t>
            </w:r>
          </w:p>
        </w:tc>
      </w:tr>
      <w:tr w14:paraId="52EFA04E" w14:textId="77777777" w:rsidTr="00686B8E">
        <w:tblPrEx>
          <w:tblW w:w="5000" w:type="pct"/>
          <w:jc w:val="center"/>
          <w:tblCellMar>
            <w:left w:w="0" w:type="dxa"/>
            <w:right w:w="0" w:type="dxa"/>
          </w:tblCellMar>
          <w:tblLook w:val="0700"/>
        </w:tblPrEx>
        <w:trPr>
          <w:cantSplit/>
          <w:trHeight w:val="250"/>
          <w:jc w:val="center"/>
        </w:trPr>
        <w:tc>
          <w:tcPr>
            <w:tcW w:w="428" w:type="pct"/>
            <w:noWrap/>
            <w:tcMar>
              <w:top w:w="29" w:type="dxa"/>
              <w:left w:w="115" w:type="dxa"/>
              <w:bottom w:w="29" w:type="dxa"/>
              <w:right w:w="115" w:type="dxa"/>
            </w:tcMar>
            <w:vAlign w:val="center"/>
            <w:hideMark/>
          </w:tcPr>
          <w:p w:rsidR="00AF5787" w:rsidRPr="00F95C46" w:rsidP="00AF5787" w14:paraId="37A360CE" w14:textId="77777777">
            <w:pPr>
              <w:spacing w:before="60" w:after="60"/>
              <w:ind w:left="-120" w:right="-20"/>
              <w:jc w:val="center"/>
            </w:pPr>
            <w:r w:rsidRPr="00F95C46">
              <w:t>9</w:t>
            </w:r>
          </w:p>
        </w:tc>
        <w:tc>
          <w:tcPr>
            <w:tcW w:w="508" w:type="pct"/>
            <w:noWrap/>
            <w:tcMar>
              <w:top w:w="29" w:type="dxa"/>
              <w:left w:w="115" w:type="dxa"/>
              <w:bottom w:w="29" w:type="dxa"/>
              <w:right w:w="115" w:type="dxa"/>
            </w:tcMar>
            <w:vAlign w:val="center"/>
            <w:hideMark/>
          </w:tcPr>
          <w:p w:rsidR="00AF5787" w:rsidRPr="00F95C46" w:rsidP="00AF5787" w14:paraId="11C59755" w14:textId="77777777">
            <w:pPr>
              <w:spacing w:before="60" w:after="60"/>
              <w:jc w:val="center"/>
            </w:pPr>
            <w:r w:rsidRPr="00F95C46">
              <w:t>92.0</w:t>
            </w:r>
          </w:p>
        </w:tc>
        <w:tc>
          <w:tcPr>
            <w:tcW w:w="508" w:type="pct"/>
            <w:tcMar>
              <w:top w:w="29" w:type="dxa"/>
              <w:left w:w="115" w:type="dxa"/>
              <w:bottom w:w="29" w:type="dxa"/>
              <w:right w:w="115" w:type="dxa"/>
            </w:tcMar>
            <w:vAlign w:val="center"/>
            <w:hideMark/>
          </w:tcPr>
          <w:p w:rsidR="00AF5787" w:rsidRPr="00F95C46" w:rsidP="00AF5787" w14:paraId="644B4FD9" w14:textId="77777777">
            <w:pPr>
              <w:spacing w:before="60" w:after="60"/>
              <w:jc w:val="center"/>
            </w:pPr>
            <w:r w:rsidRPr="00F95C46">
              <w:t>89.2</w:t>
            </w:r>
          </w:p>
        </w:tc>
        <w:tc>
          <w:tcPr>
            <w:tcW w:w="508" w:type="pct"/>
            <w:tcMar>
              <w:top w:w="29" w:type="dxa"/>
              <w:left w:w="115" w:type="dxa"/>
              <w:bottom w:w="29" w:type="dxa"/>
              <w:right w:w="115" w:type="dxa"/>
            </w:tcMar>
            <w:vAlign w:val="center"/>
            <w:hideMark/>
          </w:tcPr>
          <w:p w:rsidR="00AF5787" w:rsidRPr="00F95C46" w:rsidP="00AF5787" w14:paraId="38432BF9" w14:textId="77777777">
            <w:pPr>
              <w:spacing w:before="60" w:after="60"/>
              <w:jc w:val="center"/>
            </w:pPr>
            <w:r w:rsidRPr="00F95C46">
              <w:t>92.7</w:t>
            </w:r>
          </w:p>
        </w:tc>
        <w:tc>
          <w:tcPr>
            <w:tcW w:w="508" w:type="pct"/>
            <w:vAlign w:val="center"/>
            <w:hideMark/>
          </w:tcPr>
          <w:p w:rsidR="00AF5787" w:rsidRPr="00F95C46" w:rsidP="00AF5787" w14:paraId="03FAB7C4" w14:textId="77777777">
            <w:pPr>
              <w:spacing w:before="60" w:after="60"/>
              <w:jc w:val="center"/>
            </w:pPr>
            <w:r w:rsidRPr="00F95C46">
              <w:t>92.4</w:t>
            </w:r>
          </w:p>
        </w:tc>
        <w:tc>
          <w:tcPr>
            <w:tcW w:w="508" w:type="pct"/>
            <w:vAlign w:val="center"/>
            <w:hideMark/>
          </w:tcPr>
          <w:p w:rsidR="00AF5787" w:rsidRPr="00F95C46" w:rsidP="00AF5787" w14:paraId="4468988B" w14:textId="77777777">
            <w:pPr>
              <w:spacing w:before="60" w:after="60"/>
              <w:jc w:val="center"/>
            </w:pPr>
            <w:r w:rsidRPr="00F95C46">
              <w:t>91.8</w:t>
            </w:r>
          </w:p>
        </w:tc>
        <w:tc>
          <w:tcPr>
            <w:tcW w:w="508" w:type="pct"/>
            <w:vAlign w:val="center"/>
            <w:hideMark/>
          </w:tcPr>
          <w:p w:rsidR="00AF5787" w:rsidRPr="00F95C46" w:rsidP="00AF5787" w14:paraId="7BB0EB21" w14:textId="77777777">
            <w:pPr>
              <w:spacing w:before="60" w:after="60"/>
              <w:jc w:val="center"/>
            </w:pPr>
            <w:r w:rsidRPr="00F95C46">
              <w:t>91.9</w:t>
            </w:r>
          </w:p>
        </w:tc>
        <w:tc>
          <w:tcPr>
            <w:tcW w:w="508" w:type="pct"/>
          </w:tcPr>
          <w:p w:rsidR="00AF5787" w:rsidRPr="00AD63B8" w:rsidP="00AF5787" w14:paraId="4D393AA3" w14:textId="4F1169D0">
            <w:pPr>
              <w:spacing w:before="60" w:after="60"/>
              <w:jc w:val="center"/>
              <w:rPr>
                <w:color w:val="FFFFFF" w:themeColor="background1"/>
              </w:rPr>
            </w:pPr>
            <w:r w:rsidRPr="00FE1844">
              <w:rPr>
                <w:color w:val="FFFFFF" w:themeColor="background1"/>
              </w:rPr>
              <w:t>N/A</w:t>
            </w:r>
          </w:p>
        </w:tc>
        <w:tc>
          <w:tcPr>
            <w:tcW w:w="508" w:type="pct"/>
          </w:tcPr>
          <w:p w:rsidR="00AF5787" w:rsidRPr="00AD63B8" w:rsidP="00AF5787" w14:paraId="278B5D8D" w14:textId="39AAB337">
            <w:pPr>
              <w:spacing w:before="60" w:after="60"/>
              <w:jc w:val="center"/>
              <w:rPr>
                <w:color w:val="FFFFFF" w:themeColor="background1"/>
              </w:rPr>
            </w:pPr>
            <w:r w:rsidRPr="0017024A">
              <w:rPr>
                <w:color w:val="FFFFFF" w:themeColor="background1"/>
              </w:rPr>
              <w:t>N/A</w:t>
            </w:r>
          </w:p>
        </w:tc>
        <w:tc>
          <w:tcPr>
            <w:tcW w:w="508" w:type="pct"/>
          </w:tcPr>
          <w:p w:rsidR="00AF5787" w:rsidRPr="00AD63B8" w:rsidP="00AF5787" w14:paraId="2890B800" w14:textId="56D66306">
            <w:pPr>
              <w:spacing w:before="60" w:after="60"/>
              <w:jc w:val="center"/>
              <w:rPr>
                <w:color w:val="FFFFFF" w:themeColor="background1"/>
              </w:rPr>
            </w:pPr>
            <w:r w:rsidRPr="009F0B58">
              <w:rPr>
                <w:color w:val="FFFFFF" w:themeColor="background1"/>
              </w:rPr>
              <w:t>N/A</w:t>
            </w:r>
          </w:p>
        </w:tc>
      </w:tr>
      <w:tr w14:paraId="105D2D37" w14:textId="77777777" w:rsidTr="00686B8E">
        <w:tblPrEx>
          <w:tblW w:w="5000" w:type="pct"/>
          <w:jc w:val="center"/>
          <w:tblCellMar>
            <w:left w:w="0" w:type="dxa"/>
            <w:right w:w="0" w:type="dxa"/>
          </w:tblCellMar>
          <w:tblLook w:val="0700"/>
        </w:tblPrEx>
        <w:trPr>
          <w:cantSplit/>
          <w:trHeight w:val="263"/>
          <w:jc w:val="center"/>
        </w:trPr>
        <w:tc>
          <w:tcPr>
            <w:tcW w:w="428" w:type="pct"/>
            <w:noWrap/>
            <w:tcMar>
              <w:top w:w="29" w:type="dxa"/>
              <w:left w:w="115" w:type="dxa"/>
              <w:bottom w:w="29" w:type="dxa"/>
              <w:right w:w="115" w:type="dxa"/>
            </w:tcMar>
            <w:vAlign w:val="center"/>
            <w:hideMark/>
          </w:tcPr>
          <w:p w:rsidR="00AF5787" w:rsidRPr="00F95C46" w:rsidP="00AF5787" w14:paraId="4DE5B50A" w14:textId="77777777">
            <w:pPr>
              <w:spacing w:before="60" w:after="60"/>
              <w:ind w:left="-120" w:right="-20"/>
              <w:jc w:val="center"/>
            </w:pPr>
            <w:r w:rsidRPr="00F95C46">
              <w:t>10</w:t>
            </w:r>
          </w:p>
        </w:tc>
        <w:tc>
          <w:tcPr>
            <w:tcW w:w="508" w:type="pct"/>
            <w:noWrap/>
            <w:tcMar>
              <w:top w:w="29" w:type="dxa"/>
              <w:left w:w="115" w:type="dxa"/>
              <w:bottom w:w="29" w:type="dxa"/>
              <w:right w:w="115" w:type="dxa"/>
            </w:tcMar>
            <w:vAlign w:val="center"/>
            <w:hideMark/>
          </w:tcPr>
          <w:p w:rsidR="00AF5787" w:rsidRPr="00F95C46" w:rsidP="00AF5787" w14:paraId="005F1F45" w14:textId="77777777">
            <w:pPr>
              <w:spacing w:before="60" w:after="60"/>
              <w:jc w:val="center"/>
            </w:pPr>
            <w:r w:rsidRPr="00F95C46">
              <w:t>91.9</w:t>
            </w:r>
          </w:p>
        </w:tc>
        <w:tc>
          <w:tcPr>
            <w:tcW w:w="508" w:type="pct"/>
            <w:tcMar>
              <w:top w:w="29" w:type="dxa"/>
              <w:left w:w="115" w:type="dxa"/>
              <w:bottom w:w="29" w:type="dxa"/>
              <w:right w:w="115" w:type="dxa"/>
            </w:tcMar>
            <w:vAlign w:val="center"/>
            <w:hideMark/>
          </w:tcPr>
          <w:p w:rsidR="00AF5787" w:rsidRPr="00F95C46" w:rsidP="00AF5787" w14:paraId="5C3F5D5A" w14:textId="77777777">
            <w:pPr>
              <w:spacing w:before="60" w:after="60"/>
              <w:jc w:val="center"/>
            </w:pPr>
            <w:r w:rsidRPr="00F95C46">
              <w:t>93.2</w:t>
            </w:r>
          </w:p>
        </w:tc>
        <w:tc>
          <w:tcPr>
            <w:tcW w:w="508" w:type="pct"/>
            <w:tcMar>
              <w:top w:w="29" w:type="dxa"/>
              <w:left w:w="115" w:type="dxa"/>
              <w:bottom w:w="29" w:type="dxa"/>
              <w:right w:w="115" w:type="dxa"/>
            </w:tcMar>
            <w:vAlign w:val="center"/>
            <w:hideMark/>
          </w:tcPr>
          <w:p w:rsidR="00AF5787" w:rsidRPr="00F95C46" w:rsidP="00AF5787" w14:paraId="05ED23E3" w14:textId="77777777">
            <w:pPr>
              <w:spacing w:before="60" w:after="60"/>
              <w:jc w:val="center"/>
            </w:pPr>
            <w:r w:rsidRPr="00F95C46">
              <w:t>91.4</w:t>
            </w:r>
          </w:p>
        </w:tc>
        <w:tc>
          <w:tcPr>
            <w:tcW w:w="508" w:type="pct"/>
            <w:vAlign w:val="center"/>
            <w:hideMark/>
          </w:tcPr>
          <w:p w:rsidR="00AF5787" w:rsidRPr="00F95C46" w:rsidP="00AF5787" w14:paraId="75866353" w14:textId="77777777">
            <w:pPr>
              <w:spacing w:before="60" w:after="60"/>
              <w:jc w:val="center"/>
            </w:pPr>
            <w:r w:rsidRPr="00F95C46">
              <w:t>89.7</w:t>
            </w:r>
          </w:p>
        </w:tc>
        <w:tc>
          <w:tcPr>
            <w:tcW w:w="508" w:type="pct"/>
            <w:vAlign w:val="center"/>
            <w:hideMark/>
          </w:tcPr>
          <w:p w:rsidR="00AF5787" w:rsidRPr="00F95C46" w:rsidP="00AF5787" w14:paraId="3F9D5945" w14:textId="77777777">
            <w:pPr>
              <w:spacing w:before="60" w:after="60"/>
              <w:jc w:val="center"/>
            </w:pPr>
            <w:r w:rsidRPr="00F95C46">
              <w:t>90.9</w:t>
            </w:r>
          </w:p>
        </w:tc>
        <w:tc>
          <w:tcPr>
            <w:tcW w:w="508" w:type="pct"/>
            <w:vAlign w:val="center"/>
            <w:hideMark/>
          </w:tcPr>
          <w:p w:rsidR="00AF5787" w:rsidRPr="00F95C46" w:rsidP="00AF5787" w14:paraId="1276781F" w14:textId="77777777">
            <w:pPr>
              <w:spacing w:before="60" w:after="60"/>
              <w:jc w:val="center"/>
            </w:pPr>
            <w:r w:rsidRPr="00F95C46">
              <w:t>92.4</w:t>
            </w:r>
          </w:p>
        </w:tc>
        <w:tc>
          <w:tcPr>
            <w:tcW w:w="508" w:type="pct"/>
          </w:tcPr>
          <w:p w:rsidR="00AF5787" w:rsidRPr="00AD63B8" w:rsidP="00AF5787" w14:paraId="65EAFEBF" w14:textId="4BAC04B3">
            <w:pPr>
              <w:spacing w:before="60" w:after="60"/>
              <w:jc w:val="center"/>
              <w:rPr>
                <w:color w:val="FFFFFF" w:themeColor="background1"/>
              </w:rPr>
            </w:pPr>
            <w:r w:rsidRPr="00FE1844">
              <w:rPr>
                <w:color w:val="FFFFFF" w:themeColor="background1"/>
              </w:rPr>
              <w:t>N/A</w:t>
            </w:r>
          </w:p>
        </w:tc>
        <w:tc>
          <w:tcPr>
            <w:tcW w:w="508" w:type="pct"/>
          </w:tcPr>
          <w:p w:rsidR="00AF5787" w:rsidRPr="00AD63B8" w:rsidP="00AF5787" w14:paraId="033BDC27" w14:textId="6C679BBA">
            <w:pPr>
              <w:spacing w:before="60" w:after="60"/>
              <w:jc w:val="center"/>
              <w:rPr>
                <w:color w:val="FFFFFF" w:themeColor="background1"/>
              </w:rPr>
            </w:pPr>
            <w:r w:rsidRPr="0017024A">
              <w:rPr>
                <w:color w:val="FFFFFF" w:themeColor="background1"/>
              </w:rPr>
              <w:t>N/A</w:t>
            </w:r>
          </w:p>
        </w:tc>
        <w:tc>
          <w:tcPr>
            <w:tcW w:w="508" w:type="pct"/>
          </w:tcPr>
          <w:p w:rsidR="00AF5787" w:rsidRPr="00AD63B8" w:rsidP="00AF5787" w14:paraId="2A7973D3" w14:textId="79A1B96A">
            <w:pPr>
              <w:spacing w:before="60" w:after="60"/>
              <w:jc w:val="center"/>
              <w:rPr>
                <w:color w:val="FFFFFF" w:themeColor="background1"/>
              </w:rPr>
            </w:pPr>
            <w:r w:rsidRPr="009F0B58">
              <w:rPr>
                <w:color w:val="FFFFFF" w:themeColor="background1"/>
              </w:rPr>
              <w:t>N/A</w:t>
            </w:r>
          </w:p>
        </w:tc>
      </w:tr>
      <w:tr w14:paraId="3F477047" w14:textId="77777777" w:rsidTr="00686B8E">
        <w:tblPrEx>
          <w:tblW w:w="5000" w:type="pct"/>
          <w:jc w:val="center"/>
          <w:tblCellMar>
            <w:left w:w="0" w:type="dxa"/>
            <w:right w:w="0" w:type="dxa"/>
          </w:tblCellMar>
          <w:tblLook w:val="0700"/>
        </w:tblPrEx>
        <w:trPr>
          <w:cantSplit/>
          <w:trHeight w:val="263"/>
          <w:jc w:val="center"/>
        </w:trPr>
        <w:tc>
          <w:tcPr>
            <w:tcW w:w="428" w:type="pct"/>
            <w:noWrap/>
            <w:tcMar>
              <w:top w:w="29" w:type="dxa"/>
              <w:left w:w="115" w:type="dxa"/>
              <w:bottom w:w="29" w:type="dxa"/>
              <w:right w:w="115" w:type="dxa"/>
            </w:tcMar>
            <w:vAlign w:val="center"/>
            <w:hideMark/>
          </w:tcPr>
          <w:p w:rsidR="00AF5787" w:rsidRPr="00F95C46" w:rsidP="00AF5787" w14:paraId="619C4D01" w14:textId="77777777">
            <w:pPr>
              <w:spacing w:before="60" w:after="60"/>
              <w:ind w:left="-120" w:right="-20"/>
              <w:jc w:val="center"/>
            </w:pPr>
            <w:r w:rsidRPr="00F95C46">
              <w:t>11</w:t>
            </w:r>
          </w:p>
        </w:tc>
        <w:tc>
          <w:tcPr>
            <w:tcW w:w="508" w:type="pct"/>
            <w:noWrap/>
            <w:tcMar>
              <w:top w:w="29" w:type="dxa"/>
              <w:left w:w="115" w:type="dxa"/>
              <w:bottom w:w="29" w:type="dxa"/>
              <w:right w:w="115" w:type="dxa"/>
            </w:tcMar>
            <w:vAlign w:val="center"/>
            <w:hideMark/>
          </w:tcPr>
          <w:p w:rsidR="00AF5787" w:rsidRPr="00F95C46" w:rsidP="00AF5787" w14:paraId="4442F7C7" w14:textId="77777777">
            <w:pPr>
              <w:spacing w:before="60" w:after="60"/>
              <w:jc w:val="center"/>
            </w:pPr>
            <w:r w:rsidRPr="00F95C46">
              <w:t>96.8</w:t>
            </w:r>
          </w:p>
        </w:tc>
        <w:tc>
          <w:tcPr>
            <w:tcW w:w="508" w:type="pct"/>
            <w:tcMar>
              <w:top w:w="29" w:type="dxa"/>
              <w:left w:w="115" w:type="dxa"/>
              <w:bottom w:w="29" w:type="dxa"/>
              <w:right w:w="115" w:type="dxa"/>
            </w:tcMar>
            <w:vAlign w:val="center"/>
            <w:hideMark/>
          </w:tcPr>
          <w:p w:rsidR="00AF5787" w:rsidRPr="00F95C46" w:rsidP="00AF5787" w14:paraId="58287405" w14:textId="77777777">
            <w:pPr>
              <w:spacing w:before="60" w:after="60"/>
              <w:jc w:val="center"/>
            </w:pPr>
            <w:r w:rsidRPr="00F95C46">
              <w:t>91.4</w:t>
            </w:r>
          </w:p>
        </w:tc>
        <w:tc>
          <w:tcPr>
            <w:tcW w:w="508" w:type="pct"/>
            <w:tcMar>
              <w:top w:w="29" w:type="dxa"/>
              <w:left w:w="115" w:type="dxa"/>
              <w:bottom w:w="29" w:type="dxa"/>
              <w:right w:w="115" w:type="dxa"/>
            </w:tcMar>
            <w:vAlign w:val="center"/>
            <w:hideMark/>
          </w:tcPr>
          <w:p w:rsidR="00AF5787" w:rsidRPr="00F95C46" w:rsidP="00AF5787" w14:paraId="22F7BEC8" w14:textId="77777777">
            <w:pPr>
              <w:spacing w:before="60" w:after="60"/>
              <w:jc w:val="center"/>
            </w:pPr>
            <w:r w:rsidRPr="00F95C46">
              <w:t>95.7</w:t>
            </w:r>
          </w:p>
        </w:tc>
        <w:tc>
          <w:tcPr>
            <w:tcW w:w="508" w:type="pct"/>
            <w:vAlign w:val="center"/>
            <w:hideMark/>
          </w:tcPr>
          <w:p w:rsidR="00AF5787" w:rsidRPr="00F95C46" w:rsidP="00AF5787" w14:paraId="155EC5C4" w14:textId="77777777">
            <w:pPr>
              <w:spacing w:before="60" w:after="60"/>
              <w:jc w:val="center"/>
            </w:pPr>
            <w:r w:rsidRPr="00F95C46">
              <w:t>96.5</w:t>
            </w:r>
          </w:p>
        </w:tc>
        <w:tc>
          <w:tcPr>
            <w:tcW w:w="508" w:type="pct"/>
            <w:vAlign w:val="center"/>
            <w:hideMark/>
          </w:tcPr>
          <w:p w:rsidR="00AF5787" w:rsidRPr="00F95C46" w:rsidP="00AF5787" w14:paraId="6FD5B223" w14:textId="77777777">
            <w:pPr>
              <w:spacing w:before="60" w:after="60"/>
              <w:jc w:val="center"/>
            </w:pPr>
            <w:r w:rsidRPr="00F95C46">
              <w:t>96.9</w:t>
            </w:r>
          </w:p>
        </w:tc>
        <w:tc>
          <w:tcPr>
            <w:tcW w:w="508" w:type="pct"/>
            <w:vAlign w:val="center"/>
          </w:tcPr>
          <w:p w:rsidR="00AF5787" w:rsidRPr="00F95C46" w:rsidP="00AF5787" w14:paraId="741FE2EC" w14:textId="688BDAD3">
            <w:pPr>
              <w:spacing w:before="60" w:after="60"/>
              <w:jc w:val="center"/>
            </w:pPr>
            <w:r w:rsidRPr="00AF5787">
              <w:rPr>
                <w:color w:val="FFFFFF" w:themeColor="background1"/>
              </w:rPr>
              <w:t>N/A</w:t>
            </w:r>
          </w:p>
        </w:tc>
        <w:tc>
          <w:tcPr>
            <w:tcW w:w="508" w:type="pct"/>
          </w:tcPr>
          <w:p w:rsidR="00AF5787" w:rsidRPr="00AD63B8" w:rsidP="00AF5787" w14:paraId="06515B78" w14:textId="3FAA2743">
            <w:pPr>
              <w:spacing w:before="60" w:after="60"/>
              <w:jc w:val="center"/>
              <w:rPr>
                <w:color w:val="FFFFFF" w:themeColor="background1"/>
              </w:rPr>
            </w:pPr>
            <w:r w:rsidRPr="00FE1844">
              <w:rPr>
                <w:color w:val="FFFFFF" w:themeColor="background1"/>
              </w:rPr>
              <w:t>N/A</w:t>
            </w:r>
          </w:p>
        </w:tc>
        <w:tc>
          <w:tcPr>
            <w:tcW w:w="508" w:type="pct"/>
          </w:tcPr>
          <w:p w:rsidR="00AF5787" w:rsidRPr="00AD63B8" w:rsidP="00AF5787" w14:paraId="7A2EB513" w14:textId="48896366">
            <w:pPr>
              <w:spacing w:before="60" w:after="60"/>
              <w:jc w:val="center"/>
              <w:rPr>
                <w:color w:val="FFFFFF" w:themeColor="background1"/>
              </w:rPr>
            </w:pPr>
            <w:r w:rsidRPr="0017024A">
              <w:rPr>
                <w:color w:val="FFFFFF" w:themeColor="background1"/>
              </w:rPr>
              <w:t>N/A</w:t>
            </w:r>
          </w:p>
        </w:tc>
        <w:tc>
          <w:tcPr>
            <w:tcW w:w="508" w:type="pct"/>
          </w:tcPr>
          <w:p w:rsidR="00AF5787" w:rsidRPr="00AD63B8" w:rsidP="00AF5787" w14:paraId="6CE599BA" w14:textId="4C530859">
            <w:pPr>
              <w:spacing w:before="60" w:after="60"/>
              <w:jc w:val="center"/>
              <w:rPr>
                <w:color w:val="FFFFFF" w:themeColor="background1"/>
              </w:rPr>
            </w:pPr>
            <w:r w:rsidRPr="009F0B58">
              <w:rPr>
                <w:color w:val="FFFFFF" w:themeColor="background1"/>
              </w:rPr>
              <w:t>N/A</w:t>
            </w:r>
          </w:p>
        </w:tc>
      </w:tr>
    </w:tbl>
    <w:p w:rsidR="00D8684D" w14:paraId="41AC06D0" w14:textId="77777777">
      <w:pPr>
        <w:rPr>
          <w:b/>
          <w:bCs/>
        </w:rPr>
      </w:pPr>
      <w:bookmarkStart w:id="15" w:name="_Hlk87358300"/>
      <w:r>
        <w:rPr>
          <w:b/>
          <w:bCs/>
        </w:rPr>
        <w:br w:type="page"/>
      </w:r>
    </w:p>
    <w:p w:rsidR="00B3066E" w:rsidRPr="00D94F41" w:rsidP="00EA74DE" w14:paraId="3A9BE935" w14:textId="3836E24B">
      <w:pPr>
        <w:pStyle w:val="TableParagraph"/>
        <w:spacing w:before="240" w:after="120"/>
        <w:rPr>
          <w:b/>
          <w:bCs/>
        </w:rPr>
      </w:pPr>
      <w:r w:rsidRPr="00D94F41">
        <w:rPr>
          <w:b/>
          <w:bCs/>
        </w:rPr>
        <w:t>Unconditional Response Rates (%) for Medicare Current Beneficiary Survey by Interview Round</w:t>
      </w:r>
    </w:p>
    <w:tbl>
      <w:tblPr>
        <w:tblDescription w:val="Conditional and Unconditional Response Rates as of the 2023 Panel for Medicare Current Beneficiary Survey by Interview Round, table 2 of 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700"/>
      </w:tblPr>
      <w:tblGrid>
        <w:gridCol w:w="1169"/>
        <w:gridCol w:w="1389"/>
        <w:gridCol w:w="1389"/>
        <w:gridCol w:w="1389"/>
        <w:gridCol w:w="1389"/>
        <w:gridCol w:w="1389"/>
        <w:gridCol w:w="1389"/>
        <w:gridCol w:w="1389"/>
        <w:gridCol w:w="1389"/>
        <w:gridCol w:w="1389"/>
      </w:tblGrid>
      <w:tr w14:paraId="4BDBBF87" w14:textId="77777777" w:rsidTr="005D639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700"/>
        </w:tblPrEx>
        <w:trPr>
          <w:cantSplit/>
          <w:tblHeader/>
        </w:trPr>
        <w:tc>
          <w:tcPr>
            <w:tcW w:w="428" w:type="pct"/>
            <w:shd w:val="clear" w:color="auto" w:fill="DBDBDB"/>
            <w:noWrap/>
            <w:tcMar>
              <w:top w:w="29" w:type="dxa"/>
              <w:left w:w="115" w:type="dxa"/>
              <w:bottom w:w="29" w:type="dxa"/>
              <w:right w:w="115" w:type="dxa"/>
            </w:tcMar>
            <w:vAlign w:val="bottom"/>
            <w:hideMark/>
          </w:tcPr>
          <w:p w:rsidR="00FA7D55" w:rsidRPr="00EA74DE" w:rsidP="004024CD" w14:paraId="6C22C91B" w14:textId="6D965474">
            <w:pPr>
              <w:spacing w:before="60" w:after="60" w:line="254" w:lineRule="auto"/>
              <w:ind w:left="-210" w:right="-110"/>
              <w:jc w:val="center"/>
              <w:rPr>
                <w:rFonts w:eastAsia="Calibri"/>
                <w:b/>
                <w:bCs/>
                <w:color w:val="000000"/>
              </w:rPr>
            </w:pPr>
            <w:bookmarkStart w:id="16" w:name="_Hlk87531193"/>
            <w:bookmarkEnd w:id="15"/>
            <w:r w:rsidRPr="00EA74DE">
              <w:rPr>
                <w:rFonts w:eastAsia="Calibri"/>
                <w:b/>
                <w:bCs/>
                <w:color w:val="000000"/>
              </w:rPr>
              <w:t xml:space="preserve">Time in </w:t>
            </w:r>
            <w:r w:rsidRPr="00EA74DE" w:rsidR="00AD0D2A">
              <w:rPr>
                <w:rFonts w:eastAsia="Calibri"/>
                <w:b/>
                <w:bCs/>
                <w:color w:val="000000"/>
              </w:rPr>
              <w:br/>
              <w:t>S</w:t>
            </w:r>
            <w:r w:rsidRPr="00EA74DE">
              <w:rPr>
                <w:rFonts w:eastAsia="Calibri"/>
                <w:b/>
                <w:bCs/>
                <w:color w:val="000000"/>
              </w:rPr>
              <w:t>ample</w:t>
            </w:r>
          </w:p>
        </w:tc>
        <w:tc>
          <w:tcPr>
            <w:tcW w:w="508" w:type="pct"/>
            <w:shd w:val="clear" w:color="auto" w:fill="DBDBDB"/>
            <w:tcMar>
              <w:top w:w="29" w:type="dxa"/>
              <w:left w:w="115" w:type="dxa"/>
              <w:bottom w:w="29" w:type="dxa"/>
              <w:right w:w="115" w:type="dxa"/>
            </w:tcMar>
            <w:vAlign w:val="center"/>
            <w:hideMark/>
          </w:tcPr>
          <w:p w:rsidR="00FA7D55" w:rsidRPr="00EA74DE" w:rsidP="00EA74DE" w14:paraId="6AE8767E" w14:textId="00731DAF">
            <w:pPr>
              <w:spacing w:before="60" w:after="60" w:line="252" w:lineRule="auto"/>
              <w:jc w:val="center"/>
              <w:rPr>
                <w:rFonts w:eastAsia="Calibri"/>
                <w:b/>
                <w:bCs/>
                <w:color w:val="000000"/>
              </w:rPr>
            </w:pPr>
            <w:r w:rsidRPr="00EA74DE">
              <w:rPr>
                <w:rFonts w:eastAsia="Calibri"/>
                <w:b/>
                <w:bCs/>
                <w:color w:val="000000"/>
              </w:rPr>
              <w:t>2015 Panel</w:t>
            </w:r>
            <w:r w:rsidRPr="00EA74DE" w:rsidR="00AD0D2A">
              <w:rPr>
                <w:rFonts w:eastAsia="Calibri"/>
                <w:b/>
                <w:bCs/>
                <w:color w:val="000000"/>
              </w:rPr>
              <w:t xml:space="preserve"> </w:t>
            </w:r>
            <w:r w:rsidRPr="00EA74DE" w:rsidR="00AD0D2A">
              <w:rPr>
                <w:rFonts w:eastAsia="Calibri"/>
                <w:b/>
                <w:bCs/>
                <w:color w:val="000000"/>
              </w:rPr>
              <w:br/>
            </w:r>
            <w:r w:rsidRPr="00EA74DE">
              <w:rPr>
                <w:rFonts w:eastAsia="Calibri"/>
                <w:b/>
                <w:bCs/>
                <w:color w:val="000000"/>
              </w:rPr>
              <w:t>(n at R73=</w:t>
            </w:r>
            <w:r w:rsidRPr="00EA74DE" w:rsidR="00AD0D2A">
              <w:rPr>
                <w:rFonts w:eastAsia="Calibri"/>
                <w:b/>
                <w:bCs/>
                <w:color w:val="000000"/>
              </w:rPr>
              <w:t xml:space="preserve"> </w:t>
            </w:r>
            <w:r w:rsidRPr="00EA74DE" w:rsidR="00AD0D2A">
              <w:rPr>
                <w:rFonts w:eastAsia="Calibri"/>
                <w:b/>
                <w:bCs/>
                <w:color w:val="000000"/>
              </w:rPr>
              <w:br/>
            </w:r>
            <w:r w:rsidRPr="00EA74DE">
              <w:rPr>
                <w:rFonts w:eastAsia="Calibri"/>
                <w:b/>
                <w:bCs/>
                <w:color w:val="000000"/>
              </w:rPr>
              <w:t>8621)</w:t>
            </w:r>
          </w:p>
        </w:tc>
        <w:tc>
          <w:tcPr>
            <w:tcW w:w="508" w:type="pct"/>
            <w:shd w:val="clear" w:color="auto" w:fill="DBDBDB"/>
            <w:tcMar>
              <w:top w:w="29" w:type="dxa"/>
              <w:left w:w="115" w:type="dxa"/>
              <w:bottom w:w="29" w:type="dxa"/>
              <w:right w:w="115" w:type="dxa"/>
            </w:tcMar>
            <w:vAlign w:val="center"/>
            <w:hideMark/>
          </w:tcPr>
          <w:p w:rsidR="00FA7D55" w:rsidRPr="00EA74DE" w:rsidP="00EA74DE" w14:paraId="2FB55164" w14:textId="1AB7195E">
            <w:pPr>
              <w:spacing w:before="60" w:after="60" w:line="252" w:lineRule="auto"/>
              <w:jc w:val="center"/>
              <w:rPr>
                <w:rFonts w:eastAsia="Calibri"/>
                <w:b/>
                <w:bCs/>
                <w:color w:val="000000"/>
              </w:rPr>
            </w:pPr>
            <w:r w:rsidRPr="00EA74DE">
              <w:rPr>
                <w:rFonts w:eastAsia="Calibri"/>
                <w:b/>
                <w:bCs/>
                <w:color w:val="000000"/>
              </w:rPr>
              <w:t>2016 Panel</w:t>
            </w:r>
            <w:r w:rsidRPr="00EA74DE" w:rsidR="00AD0D2A">
              <w:rPr>
                <w:rFonts w:eastAsia="Calibri"/>
                <w:b/>
                <w:bCs/>
                <w:color w:val="000000"/>
              </w:rPr>
              <w:t xml:space="preserve"> </w:t>
            </w:r>
            <w:r w:rsidRPr="00EA74DE" w:rsidR="00AD0D2A">
              <w:rPr>
                <w:rFonts w:eastAsia="Calibri"/>
                <w:b/>
                <w:bCs/>
                <w:color w:val="000000"/>
              </w:rPr>
              <w:br/>
            </w:r>
            <w:r w:rsidRPr="00EA74DE">
              <w:rPr>
                <w:rFonts w:eastAsia="Calibri"/>
                <w:b/>
                <w:bCs/>
                <w:color w:val="000000"/>
              </w:rPr>
              <w:t>(n at R76=</w:t>
            </w:r>
            <w:r w:rsidRPr="00EA74DE" w:rsidR="00AD0D2A">
              <w:rPr>
                <w:rFonts w:eastAsia="Calibri"/>
                <w:b/>
                <w:bCs/>
                <w:color w:val="000000"/>
              </w:rPr>
              <w:t xml:space="preserve"> </w:t>
            </w:r>
            <w:r w:rsidRPr="00EA74DE" w:rsidR="00AD0D2A">
              <w:rPr>
                <w:rFonts w:eastAsia="Calibri"/>
                <w:b/>
                <w:bCs/>
                <w:color w:val="000000"/>
              </w:rPr>
              <w:br/>
            </w:r>
            <w:r w:rsidRPr="00EA74DE">
              <w:rPr>
                <w:rFonts w:eastAsia="Calibri"/>
                <w:b/>
                <w:bCs/>
                <w:color w:val="000000"/>
              </w:rPr>
              <w:t>12145)</w:t>
            </w:r>
          </w:p>
        </w:tc>
        <w:tc>
          <w:tcPr>
            <w:tcW w:w="508" w:type="pct"/>
            <w:shd w:val="clear" w:color="auto" w:fill="DBDBDB"/>
            <w:tcMar>
              <w:top w:w="29" w:type="dxa"/>
              <w:left w:w="115" w:type="dxa"/>
              <w:bottom w:w="29" w:type="dxa"/>
              <w:right w:w="115" w:type="dxa"/>
            </w:tcMar>
            <w:vAlign w:val="center"/>
            <w:hideMark/>
          </w:tcPr>
          <w:p w:rsidR="00FA7D55" w:rsidRPr="00EA74DE" w:rsidP="00EA74DE" w14:paraId="224497D5" w14:textId="79D96837">
            <w:pPr>
              <w:spacing w:before="60" w:after="60" w:line="252" w:lineRule="auto"/>
              <w:jc w:val="center"/>
              <w:rPr>
                <w:rFonts w:eastAsia="Calibri"/>
                <w:b/>
                <w:bCs/>
                <w:color w:val="000000"/>
              </w:rPr>
            </w:pPr>
            <w:r w:rsidRPr="00EA74DE">
              <w:rPr>
                <w:rFonts w:eastAsia="Calibri"/>
                <w:b/>
                <w:bCs/>
                <w:color w:val="000000"/>
              </w:rPr>
              <w:t>2017 Panel</w:t>
            </w:r>
            <w:r w:rsidRPr="00EA74DE" w:rsidR="00AD0D2A">
              <w:rPr>
                <w:rFonts w:eastAsia="Calibri"/>
                <w:b/>
                <w:bCs/>
                <w:color w:val="000000"/>
              </w:rPr>
              <w:t xml:space="preserve"> </w:t>
            </w:r>
            <w:r w:rsidRPr="00EA74DE" w:rsidR="00AD0D2A">
              <w:rPr>
                <w:rFonts w:eastAsia="Calibri"/>
                <w:b/>
                <w:bCs/>
                <w:color w:val="000000"/>
              </w:rPr>
              <w:br/>
            </w:r>
            <w:r w:rsidRPr="00EA74DE">
              <w:rPr>
                <w:rFonts w:eastAsia="Calibri"/>
                <w:b/>
                <w:bCs/>
                <w:color w:val="000000"/>
              </w:rPr>
              <w:t>(n at R79=</w:t>
            </w:r>
            <w:r w:rsidRPr="00EA74DE" w:rsidR="00AD0D2A">
              <w:rPr>
                <w:rFonts w:eastAsia="Calibri"/>
                <w:b/>
                <w:bCs/>
                <w:color w:val="000000"/>
              </w:rPr>
              <w:t xml:space="preserve"> </w:t>
            </w:r>
            <w:r w:rsidRPr="00EA74DE" w:rsidR="00AD0D2A">
              <w:rPr>
                <w:rFonts w:eastAsia="Calibri"/>
                <w:b/>
                <w:bCs/>
                <w:color w:val="000000"/>
              </w:rPr>
              <w:br/>
            </w:r>
            <w:r w:rsidRPr="00EA74DE">
              <w:rPr>
                <w:rFonts w:eastAsia="Calibri"/>
                <w:b/>
                <w:bCs/>
                <w:color w:val="000000"/>
              </w:rPr>
              <w:t>11623)</w:t>
            </w:r>
          </w:p>
        </w:tc>
        <w:tc>
          <w:tcPr>
            <w:tcW w:w="508" w:type="pct"/>
            <w:shd w:val="clear" w:color="auto" w:fill="DBDBDB"/>
            <w:vAlign w:val="center"/>
            <w:hideMark/>
          </w:tcPr>
          <w:p w:rsidR="00FA7D55" w:rsidRPr="00EA74DE" w:rsidP="00EA74DE" w14:paraId="707FEFCA" w14:textId="0B9C6C0E">
            <w:pPr>
              <w:spacing w:before="60" w:after="60" w:line="252" w:lineRule="auto"/>
              <w:jc w:val="center"/>
              <w:rPr>
                <w:rFonts w:eastAsia="Calibri"/>
                <w:b/>
                <w:bCs/>
                <w:color w:val="000000"/>
              </w:rPr>
            </w:pPr>
            <w:r w:rsidRPr="00EA74DE">
              <w:rPr>
                <w:rFonts w:eastAsia="Calibri"/>
                <w:b/>
                <w:bCs/>
                <w:color w:val="000000"/>
              </w:rPr>
              <w:t>2018 Panel</w:t>
            </w:r>
            <w:r w:rsidRPr="00EA74DE" w:rsidR="00AD0D2A">
              <w:rPr>
                <w:rFonts w:eastAsia="Calibri"/>
                <w:b/>
                <w:bCs/>
                <w:color w:val="000000"/>
              </w:rPr>
              <w:t xml:space="preserve"> </w:t>
            </w:r>
            <w:r w:rsidRPr="00EA74DE" w:rsidR="00AD0D2A">
              <w:rPr>
                <w:rFonts w:eastAsia="Calibri"/>
                <w:b/>
                <w:bCs/>
                <w:color w:val="000000"/>
              </w:rPr>
              <w:br/>
            </w:r>
            <w:r w:rsidRPr="00EA74DE">
              <w:rPr>
                <w:rFonts w:eastAsia="Calibri"/>
                <w:b/>
                <w:bCs/>
                <w:color w:val="000000"/>
              </w:rPr>
              <w:t>(n at R82=</w:t>
            </w:r>
            <w:r w:rsidRPr="00EA74DE" w:rsidR="00AD0D2A">
              <w:rPr>
                <w:rFonts w:eastAsia="Calibri"/>
                <w:b/>
                <w:bCs/>
                <w:color w:val="000000"/>
              </w:rPr>
              <w:t xml:space="preserve"> </w:t>
            </w:r>
            <w:r w:rsidRPr="00EA74DE" w:rsidR="00AD0D2A">
              <w:rPr>
                <w:rFonts w:eastAsia="Calibri"/>
                <w:b/>
                <w:bCs/>
                <w:color w:val="000000"/>
              </w:rPr>
              <w:br/>
            </w:r>
            <w:r w:rsidRPr="00EA74DE">
              <w:rPr>
                <w:rFonts w:eastAsia="Calibri"/>
                <w:b/>
                <w:bCs/>
                <w:color w:val="000000"/>
              </w:rPr>
              <w:t>11523)</w:t>
            </w:r>
          </w:p>
        </w:tc>
        <w:tc>
          <w:tcPr>
            <w:tcW w:w="508" w:type="pct"/>
            <w:shd w:val="clear" w:color="auto" w:fill="DBDBDB"/>
            <w:vAlign w:val="center"/>
            <w:hideMark/>
          </w:tcPr>
          <w:p w:rsidR="00FA7D55" w:rsidRPr="00EA74DE" w:rsidP="00EA74DE" w14:paraId="66F65E43" w14:textId="72CCF0A9">
            <w:pPr>
              <w:spacing w:before="60" w:after="60" w:line="252" w:lineRule="auto"/>
              <w:jc w:val="center"/>
              <w:rPr>
                <w:rFonts w:eastAsia="Calibri"/>
                <w:b/>
                <w:bCs/>
                <w:color w:val="000000"/>
              </w:rPr>
            </w:pPr>
            <w:r w:rsidRPr="00EA74DE">
              <w:rPr>
                <w:rFonts w:eastAsia="Calibri"/>
                <w:b/>
                <w:bCs/>
                <w:color w:val="000000"/>
              </w:rPr>
              <w:t>2019 Panel</w:t>
            </w:r>
            <w:r w:rsidRPr="00EA74DE" w:rsidR="00AD0D2A">
              <w:rPr>
                <w:rFonts w:eastAsia="Calibri"/>
                <w:b/>
                <w:bCs/>
                <w:color w:val="000000"/>
              </w:rPr>
              <w:t xml:space="preserve"> </w:t>
            </w:r>
            <w:r w:rsidRPr="00EA74DE" w:rsidR="00AD0D2A">
              <w:rPr>
                <w:rFonts w:eastAsia="Calibri"/>
                <w:b/>
                <w:bCs/>
                <w:color w:val="000000"/>
              </w:rPr>
              <w:br/>
            </w:r>
            <w:r w:rsidRPr="00EA74DE">
              <w:rPr>
                <w:rFonts w:eastAsia="Calibri"/>
                <w:b/>
                <w:bCs/>
                <w:color w:val="000000"/>
              </w:rPr>
              <w:t>(n at R85=</w:t>
            </w:r>
            <w:r w:rsidRPr="00EA74DE" w:rsidR="00AD0D2A">
              <w:rPr>
                <w:rFonts w:eastAsia="Calibri"/>
                <w:b/>
                <w:bCs/>
                <w:color w:val="000000"/>
              </w:rPr>
              <w:t xml:space="preserve"> </w:t>
            </w:r>
            <w:r w:rsidRPr="00EA74DE" w:rsidR="00AD0D2A">
              <w:rPr>
                <w:rFonts w:eastAsia="Calibri"/>
                <w:b/>
                <w:bCs/>
                <w:color w:val="000000"/>
              </w:rPr>
              <w:br/>
            </w:r>
            <w:r w:rsidRPr="00EA74DE">
              <w:rPr>
                <w:rFonts w:eastAsia="Calibri"/>
                <w:b/>
                <w:bCs/>
                <w:color w:val="000000"/>
              </w:rPr>
              <w:t>11615)</w:t>
            </w:r>
          </w:p>
        </w:tc>
        <w:tc>
          <w:tcPr>
            <w:tcW w:w="508" w:type="pct"/>
            <w:shd w:val="clear" w:color="auto" w:fill="DBDBDB"/>
            <w:vAlign w:val="center"/>
            <w:hideMark/>
          </w:tcPr>
          <w:p w:rsidR="00FA7D55" w:rsidRPr="00EA74DE" w:rsidP="00EA74DE" w14:paraId="148B1978" w14:textId="6CD8732B">
            <w:pPr>
              <w:spacing w:before="60" w:after="60" w:line="254" w:lineRule="auto"/>
              <w:jc w:val="center"/>
              <w:rPr>
                <w:rFonts w:eastAsia="Calibri"/>
                <w:b/>
                <w:bCs/>
                <w:color w:val="000000"/>
              </w:rPr>
            </w:pPr>
            <w:r w:rsidRPr="00EA74DE">
              <w:rPr>
                <w:rFonts w:eastAsia="Calibri"/>
                <w:b/>
                <w:bCs/>
                <w:color w:val="000000"/>
              </w:rPr>
              <w:t xml:space="preserve">2020 Panel </w:t>
            </w:r>
            <w:r w:rsidRPr="00EA74DE" w:rsidR="00EA74DE">
              <w:rPr>
                <w:rFonts w:eastAsia="Calibri"/>
                <w:b/>
                <w:bCs/>
                <w:color w:val="000000"/>
              </w:rPr>
              <w:br/>
            </w:r>
            <w:r w:rsidRPr="00EA74DE">
              <w:rPr>
                <w:rFonts w:eastAsia="Calibri"/>
                <w:b/>
                <w:bCs/>
                <w:color w:val="000000"/>
              </w:rPr>
              <w:t>(n at R88= 15952)</w:t>
            </w:r>
          </w:p>
        </w:tc>
        <w:tc>
          <w:tcPr>
            <w:tcW w:w="508" w:type="pct"/>
            <w:shd w:val="clear" w:color="auto" w:fill="DBDBDB"/>
            <w:vAlign w:val="center"/>
            <w:hideMark/>
          </w:tcPr>
          <w:p w:rsidR="00FA7D55" w:rsidRPr="00EA74DE" w:rsidP="00EA74DE" w14:paraId="375CBE00" w14:textId="46C71C0D">
            <w:pPr>
              <w:spacing w:before="60" w:after="60" w:line="254" w:lineRule="auto"/>
              <w:jc w:val="center"/>
              <w:rPr>
                <w:rFonts w:eastAsia="Calibri"/>
                <w:b/>
                <w:bCs/>
                <w:color w:val="000000"/>
              </w:rPr>
            </w:pPr>
            <w:r w:rsidRPr="00EA74DE">
              <w:rPr>
                <w:rFonts w:eastAsia="Calibri"/>
                <w:b/>
                <w:bCs/>
                <w:color w:val="000000"/>
              </w:rPr>
              <w:t xml:space="preserve">2021 Panel </w:t>
            </w:r>
            <w:r w:rsidRPr="00EA74DE" w:rsidR="00EA74DE">
              <w:rPr>
                <w:rFonts w:eastAsia="Calibri"/>
                <w:b/>
                <w:bCs/>
                <w:color w:val="000000"/>
              </w:rPr>
              <w:br/>
            </w:r>
            <w:r w:rsidRPr="00EA74DE">
              <w:rPr>
                <w:rFonts w:eastAsia="Calibri"/>
                <w:b/>
                <w:bCs/>
                <w:color w:val="000000"/>
              </w:rPr>
              <w:t>(n at R91=</w:t>
            </w:r>
            <w:r w:rsidRPr="00EA74DE" w:rsidR="00AD0D2A">
              <w:rPr>
                <w:rFonts w:eastAsia="Calibri"/>
                <w:b/>
                <w:bCs/>
                <w:color w:val="000000"/>
              </w:rPr>
              <w:t xml:space="preserve"> </w:t>
            </w:r>
            <w:r w:rsidRPr="00EA74DE">
              <w:rPr>
                <w:rFonts w:eastAsia="Calibri"/>
                <w:b/>
                <w:bCs/>
                <w:color w:val="000000"/>
              </w:rPr>
              <w:br/>
              <w:t>15950)</w:t>
            </w:r>
          </w:p>
        </w:tc>
        <w:tc>
          <w:tcPr>
            <w:tcW w:w="508" w:type="pct"/>
            <w:shd w:val="clear" w:color="auto" w:fill="DBDBDB"/>
            <w:vAlign w:val="center"/>
            <w:hideMark/>
          </w:tcPr>
          <w:p w:rsidR="00FA7D55" w:rsidRPr="00EA74DE" w:rsidP="00EA74DE" w14:paraId="7BF1E2AF" w14:textId="5F8BFA0F">
            <w:pPr>
              <w:spacing w:before="60" w:after="60" w:line="254" w:lineRule="auto"/>
              <w:jc w:val="center"/>
              <w:rPr>
                <w:rFonts w:eastAsia="Calibri"/>
                <w:b/>
                <w:bCs/>
                <w:color w:val="000000"/>
              </w:rPr>
            </w:pPr>
            <w:r w:rsidRPr="00EA74DE">
              <w:rPr>
                <w:rFonts w:eastAsia="Calibri"/>
                <w:b/>
                <w:bCs/>
                <w:color w:val="000000"/>
              </w:rPr>
              <w:t xml:space="preserve">2022 Panel </w:t>
            </w:r>
            <w:r w:rsidRPr="00EA74DE" w:rsidR="00EA74DE">
              <w:rPr>
                <w:rFonts w:eastAsia="Calibri"/>
                <w:b/>
                <w:bCs/>
                <w:color w:val="000000"/>
              </w:rPr>
              <w:br/>
            </w:r>
            <w:r w:rsidRPr="00EA74DE">
              <w:rPr>
                <w:rFonts w:eastAsia="Calibri"/>
                <w:b/>
                <w:bCs/>
                <w:color w:val="000000"/>
              </w:rPr>
              <w:t>(n at R94=</w:t>
            </w:r>
            <w:r w:rsidRPr="00EA74DE" w:rsidR="00AD0D2A">
              <w:rPr>
                <w:rFonts w:eastAsia="Calibri"/>
                <w:b/>
                <w:bCs/>
                <w:color w:val="000000"/>
              </w:rPr>
              <w:t xml:space="preserve"> </w:t>
            </w:r>
            <w:r w:rsidRPr="00EA74DE">
              <w:rPr>
                <w:rFonts w:eastAsia="Calibri"/>
                <w:b/>
                <w:bCs/>
                <w:color w:val="000000"/>
              </w:rPr>
              <w:br/>
              <w:t>17139)</w:t>
            </w:r>
          </w:p>
        </w:tc>
        <w:tc>
          <w:tcPr>
            <w:tcW w:w="508" w:type="pct"/>
            <w:shd w:val="clear" w:color="auto" w:fill="DBDBDB"/>
            <w:vAlign w:val="center"/>
            <w:hideMark/>
          </w:tcPr>
          <w:p w:rsidR="00FA7D55" w:rsidRPr="00EA74DE" w:rsidP="00EA74DE" w14:paraId="099247DE" w14:textId="0E0909E3">
            <w:pPr>
              <w:spacing w:before="60" w:after="60" w:line="252" w:lineRule="auto"/>
              <w:jc w:val="center"/>
              <w:rPr>
                <w:rFonts w:eastAsia="Calibri"/>
                <w:b/>
                <w:bCs/>
                <w:color w:val="000000"/>
              </w:rPr>
            </w:pPr>
            <w:r w:rsidRPr="00EA74DE">
              <w:rPr>
                <w:rFonts w:eastAsia="Calibri"/>
                <w:b/>
                <w:bCs/>
                <w:color w:val="000000"/>
              </w:rPr>
              <w:t xml:space="preserve">2023 Panel </w:t>
            </w:r>
            <w:r w:rsidR="004024CD">
              <w:rPr>
                <w:rFonts w:eastAsia="Calibri"/>
                <w:b/>
                <w:bCs/>
                <w:color w:val="000000"/>
              </w:rPr>
              <w:br/>
            </w:r>
            <w:r w:rsidRPr="00EA74DE">
              <w:rPr>
                <w:rFonts w:eastAsia="Calibri"/>
                <w:b/>
                <w:bCs/>
                <w:color w:val="000000"/>
              </w:rPr>
              <w:t>(n at R97=</w:t>
            </w:r>
            <w:r w:rsidRPr="00EA74DE" w:rsidR="00AD0D2A">
              <w:rPr>
                <w:rFonts w:eastAsia="Calibri"/>
                <w:b/>
                <w:bCs/>
                <w:color w:val="000000"/>
              </w:rPr>
              <w:t xml:space="preserve"> </w:t>
            </w:r>
            <w:r w:rsidRPr="00EA74DE">
              <w:rPr>
                <w:rFonts w:eastAsia="Calibri"/>
                <w:b/>
                <w:bCs/>
                <w:color w:val="000000"/>
              </w:rPr>
              <w:br/>
              <w:t>15077)</w:t>
            </w:r>
          </w:p>
        </w:tc>
      </w:tr>
      <w:tr w14:paraId="0DF563F0" w14:textId="77777777" w:rsidTr="005D639F">
        <w:tblPrEx>
          <w:tblW w:w="5000" w:type="pct"/>
          <w:tblCellMar>
            <w:left w:w="0" w:type="dxa"/>
            <w:right w:w="0" w:type="dxa"/>
          </w:tblCellMar>
          <w:tblLook w:val="0700"/>
        </w:tblPrEx>
        <w:trPr>
          <w:cantSplit/>
        </w:trPr>
        <w:tc>
          <w:tcPr>
            <w:tcW w:w="428" w:type="pct"/>
            <w:noWrap/>
            <w:tcMar>
              <w:top w:w="29" w:type="dxa"/>
              <w:left w:w="115" w:type="dxa"/>
              <w:bottom w:w="29" w:type="dxa"/>
              <w:right w:w="115" w:type="dxa"/>
            </w:tcMar>
            <w:vAlign w:val="bottom"/>
            <w:hideMark/>
          </w:tcPr>
          <w:p w:rsidR="00FA7D55" w:rsidP="004024CD" w14:paraId="484F7A81" w14:textId="77777777">
            <w:pPr>
              <w:spacing w:before="60" w:after="60" w:line="254" w:lineRule="auto"/>
              <w:ind w:left="-210" w:right="-110"/>
              <w:jc w:val="center"/>
              <w:rPr>
                <w:rFonts w:eastAsia="Calibri"/>
                <w:color w:val="000000"/>
              </w:rPr>
            </w:pPr>
            <w:r>
              <w:rPr>
                <w:rFonts w:eastAsia="Calibri"/>
                <w:color w:val="000000"/>
              </w:rPr>
              <w:t>1</w:t>
            </w:r>
          </w:p>
        </w:tc>
        <w:tc>
          <w:tcPr>
            <w:tcW w:w="508" w:type="pct"/>
            <w:noWrap/>
            <w:tcMar>
              <w:top w:w="29" w:type="dxa"/>
              <w:left w:w="115" w:type="dxa"/>
              <w:bottom w:w="29" w:type="dxa"/>
              <w:right w:w="115" w:type="dxa"/>
            </w:tcMar>
            <w:vAlign w:val="center"/>
            <w:hideMark/>
          </w:tcPr>
          <w:p w:rsidR="00FA7D55" w:rsidP="00EA74DE" w14:paraId="2C1B8640" w14:textId="77777777">
            <w:pPr>
              <w:spacing w:before="60" w:after="60" w:line="254" w:lineRule="auto"/>
              <w:jc w:val="center"/>
              <w:rPr>
                <w:rFonts w:eastAsia="Calibri"/>
                <w:color w:val="000000"/>
              </w:rPr>
            </w:pPr>
            <w:r>
              <w:rPr>
                <w:rFonts w:eastAsia="Calibri"/>
                <w:color w:val="000000"/>
              </w:rPr>
              <w:t>53.3</w:t>
            </w:r>
          </w:p>
        </w:tc>
        <w:tc>
          <w:tcPr>
            <w:tcW w:w="508" w:type="pct"/>
            <w:tcMar>
              <w:top w:w="29" w:type="dxa"/>
              <w:left w:w="115" w:type="dxa"/>
              <w:bottom w:w="29" w:type="dxa"/>
              <w:right w:w="115" w:type="dxa"/>
            </w:tcMar>
            <w:vAlign w:val="center"/>
            <w:hideMark/>
          </w:tcPr>
          <w:p w:rsidR="00FA7D55" w:rsidP="00EA74DE" w14:paraId="36FA017E" w14:textId="77777777">
            <w:pPr>
              <w:spacing w:before="60" w:after="60" w:line="254" w:lineRule="auto"/>
              <w:jc w:val="center"/>
              <w:rPr>
                <w:rFonts w:eastAsia="Calibri"/>
                <w:color w:val="000000"/>
              </w:rPr>
            </w:pPr>
            <w:r>
              <w:rPr>
                <w:rFonts w:eastAsia="Calibri"/>
              </w:rPr>
              <w:t>54.7</w:t>
            </w:r>
          </w:p>
        </w:tc>
        <w:tc>
          <w:tcPr>
            <w:tcW w:w="508" w:type="pct"/>
            <w:tcMar>
              <w:top w:w="29" w:type="dxa"/>
              <w:left w:w="115" w:type="dxa"/>
              <w:bottom w:w="29" w:type="dxa"/>
              <w:right w:w="115" w:type="dxa"/>
            </w:tcMar>
            <w:vAlign w:val="center"/>
            <w:hideMark/>
          </w:tcPr>
          <w:p w:rsidR="00FA7D55" w:rsidP="00EA74DE" w14:paraId="30181A1D" w14:textId="77777777">
            <w:pPr>
              <w:spacing w:before="60" w:after="60" w:line="254" w:lineRule="auto"/>
              <w:jc w:val="center"/>
              <w:rPr>
                <w:rFonts w:eastAsia="Calibri"/>
                <w:color w:val="000000"/>
              </w:rPr>
            </w:pPr>
            <w:r>
              <w:rPr>
                <w:rFonts w:eastAsia="Calibri"/>
              </w:rPr>
              <w:t>55.3</w:t>
            </w:r>
          </w:p>
        </w:tc>
        <w:tc>
          <w:tcPr>
            <w:tcW w:w="508" w:type="pct"/>
            <w:vAlign w:val="center"/>
            <w:hideMark/>
          </w:tcPr>
          <w:p w:rsidR="00FA7D55" w:rsidP="00EA74DE" w14:paraId="27AE8E1F" w14:textId="77777777">
            <w:pPr>
              <w:spacing w:before="60" w:after="60" w:line="254" w:lineRule="auto"/>
              <w:jc w:val="center"/>
              <w:rPr>
                <w:rFonts w:eastAsia="Calibri"/>
                <w:color w:val="000000"/>
              </w:rPr>
            </w:pPr>
            <w:r>
              <w:rPr>
                <w:rFonts w:eastAsia="Calibri"/>
              </w:rPr>
              <w:t>55.9</w:t>
            </w:r>
          </w:p>
        </w:tc>
        <w:tc>
          <w:tcPr>
            <w:tcW w:w="508" w:type="pct"/>
            <w:vAlign w:val="center"/>
            <w:hideMark/>
          </w:tcPr>
          <w:p w:rsidR="00FA7D55" w:rsidP="00EA74DE" w14:paraId="6E8F0EF4" w14:textId="77777777">
            <w:pPr>
              <w:spacing w:before="60" w:after="60" w:line="254" w:lineRule="auto"/>
              <w:jc w:val="center"/>
              <w:rPr>
                <w:rFonts w:eastAsia="Calibri"/>
                <w:color w:val="000000"/>
              </w:rPr>
            </w:pPr>
            <w:r>
              <w:rPr>
                <w:rFonts w:eastAsia="Calibri"/>
              </w:rPr>
              <w:t>55.1</w:t>
            </w:r>
          </w:p>
        </w:tc>
        <w:tc>
          <w:tcPr>
            <w:tcW w:w="508" w:type="pct"/>
            <w:vAlign w:val="center"/>
            <w:hideMark/>
          </w:tcPr>
          <w:p w:rsidR="00FA7D55" w:rsidP="00EA74DE" w14:paraId="013DA2BA" w14:textId="77777777">
            <w:pPr>
              <w:spacing w:before="60" w:after="60" w:line="254" w:lineRule="auto"/>
              <w:jc w:val="center"/>
              <w:rPr>
                <w:rFonts w:eastAsia="Calibri"/>
                <w:color w:val="000000"/>
              </w:rPr>
            </w:pPr>
            <w:r>
              <w:rPr>
                <w:rFonts w:eastAsia="Calibri"/>
              </w:rPr>
              <w:t>41.9</w:t>
            </w:r>
          </w:p>
        </w:tc>
        <w:tc>
          <w:tcPr>
            <w:tcW w:w="508" w:type="pct"/>
            <w:vAlign w:val="center"/>
            <w:hideMark/>
          </w:tcPr>
          <w:p w:rsidR="00FA7D55" w:rsidP="00EA74DE" w14:paraId="34986541" w14:textId="77777777">
            <w:pPr>
              <w:spacing w:before="60" w:after="60" w:line="254" w:lineRule="auto"/>
              <w:jc w:val="center"/>
              <w:rPr>
                <w:rFonts w:eastAsia="Calibri"/>
              </w:rPr>
            </w:pPr>
            <w:r>
              <w:rPr>
                <w:rFonts w:eastAsia="Calibri"/>
              </w:rPr>
              <w:t>38.1</w:t>
            </w:r>
          </w:p>
        </w:tc>
        <w:tc>
          <w:tcPr>
            <w:tcW w:w="508" w:type="pct"/>
            <w:vAlign w:val="center"/>
            <w:hideMark/>
          </w:tcPr>
          <w:p w:rsidR="00FA7D55" w:rsidP="00EA74DE" w14:paraId="5571447B" w14:textId="77777777">
            <w:pPr>
              <w:spacing w:before="60" w:after="60" w:line="254" w:lineRule="auto"/>
              <w:jc w:val="center"/>
              <w:rPr>
                <w:rFonts w:eastAsia="Calibri"/>
              </w:rPr>
            </w:pPr>
            <w:r>
              <w:rPr>
                <w:rFonts w:eastAsia="Calibri"/>
              </w:rPr>
              <w:t>38.4</w:t>
            </w:r>
          </w:p>
        </w:tc>
        <w:tc>
          <w:tcPr>
            <w:tcW w:w="508" w:type="pct"/>
            <w:vAlign w:val="center"/>
            <w:hideMark/>
          </w:tcPr>
          <w:p w:rsidR="0086372F" w:rsidRPr="0086372F" w:rsidP="00EA74DE" w14:paraId="755D0E2A" w14:textId="4AD1FFDF">
            <w:pPr>
              <w:spacing w:before="60" w:after="60" w:line="254" w:lineRule="auto"/>
              <w:jc w:val="center"/>
              <w:rPr>
                <w:rFonts w:eastAsia="Calibri"/>
              </w:rPr>
            </w:pPr>
            <w:r>
              <w:rPr>
                <w:rFonts w:eastAsia="Calibri"/>
              </w:rPr>
              <w:t>45.2</w:t>
            </w:r>
          </w:p>
        </w:tc>
      </w:tr>
      <w:tr w14:paraId="27FE5714" w14:textId="77777777" w:rsidTr="0004475E">
        <w:tblPrEx>
          <w:tblW w:w="5000" w:type="pct"/>
          <w:tblCellMar>
            <w:left w:w="0" w:type="dxa"/>
            <w:right w:w="0" w:type="dxa"/>
          </w:tblCellMar>
          <w:tblLook w:val="0700"/>
        </w:tblPrEx>
        <w:trPr>
          <w:cantSplit/>
        </w:trPr>
        <w:tc>
          <w:tcPr>
            <w:tcW w:w="428" w:type="pct"/>
            <w:noWrap/>
            <w:tcMar>
              <w:top w:w="29" w:type="dxa"/>
              <w:left w:w="115" w:type="dxa"/>
              <w:bottom w:w="29" w:type="dxa"/>
              <w:right w:w="115" w:type="dxa"/>
            </w:tcMar>
            <w:vAlign w:val="bottom"/>
            <w:hideMark/>
          </w:tcPr>
          <w:p w:rsidR="00AF5787" w:rsidP="00AF5787" w14:paraId="1A079946" w14:textId="77777777">
            <w:pPr>
              <w:spacing w:before="60" w:after="60" w:line="254" w:lineRule="auto"/>
              <w:ind w:left="-210" w:right="-110"/>
              <w:jc w:val="center"/>
              <w:rPr>
                <w:rFonts w:eastAsia="Calibri"/>
                <w:color w:val="000000"/>
              </w:rPr>
            </w:pPr>
            <w:r>
              <w:rPr>
                <w:rFonts w:eastAsia="Calibri"/>
                <w:color w:val="000000"/>
              </w:rPr>
              <w:t>2</w:t>
            </w:r>
          </w:p>
        </w:tc>
        <w:tc>
          <w:tcPr>
            <w:tcW w:w="508" w:type="pct"/>
            <w:noWrap/>
            <w:tcMar>
              <w:top w:w="29" w:type="dxa"/>
              <w:left w:w="115" w:type="dxa"/>
              <w:bottom w:w="29" w:type="dxa"/>
              <w:right w:w="115" w:type="dxa"/>
            </w:tcMar>
            <w:vAlign w:val="center"/>
            <w:hideMark/>
          </w:tcPr>
          <w:p w:rsidR="00AF5787" w:rsidP="00AF5787" w14:paraId="308FD6EA" w14:textId="77777777">
            <w:pPr>
              <w:spacing w:before="60" w:after="60" w:line="254" w:lineRule="auto"/>
              <w:jc w:val="center"/>
              <w:rPr>
                <w:rFonts w:eastAsia="Calibri"/>
                <w:color w:val="000000"/>
              </w:rPr>
            </w:pPr>
            <w:r>
              <w:rPr>
                <w:rFonts w:eastAsia="Calibri"/>
              </w:rPr>
              <w:t>44.2</w:t>
            </w:r>
          </w:p>
        </w:tc>
        <w:tc>
          <w:tcPr>
            <w:tcW w:w="508" w:type="pct"/>
            <w:tcMar>
              <w:top w:w="29" w:type="dxa"/>
              <w:left w:w="115" w:type="dxa"/>
              <w:bottom w:w="29" w:type="dxa"/>
              <w:right w:w="115" w:type="dxa"/>
            </w:tcMar>
            <w:vAlign w:val="center"/>
            <w:hideMark/>
          </w:tcPr>
          <w:p w:rsidR="00AF5787" w:rsidP="00AF5787" w14:paraId="1934A999" w14:textId="77777777">
            <w:pPr>
              <w:spacing w:before="60" w:after="60" w:line="254" w:lineRule="auto"/>
              <w:jc w:val="center"/>
              <w:rPr>
                <w:rFonts w:eastAsia="Calibri"/>
                <w:color w:val="000000"/>
              </w:rPr>
            </w:pPr>
            <w:r>
              <w:rPr>
                <w:rFonts w:eastAsia="Calibri"/>
              </w:rPr>
              <w:t>44.3</w:t>
            </w:r>
          </w:p>
        </w:tc>
        <w:tc>
          <w:tcPr>
            <w:tcW w:w="508" w:type="pct"/>
            <w:tcMar>
              <w:top w:w="29" w:type="dxa"/>
              <w:left w:w="115" w:type="dxa"/>
              <w:bottom w:w="29" w:type="dxa"/>
              <w:right w:w="115" w:type="dxa"/>
            </w:tcMar>
            <w:vAlign w:val="center"/>
            <w:hideMark/>
          </w:tcPr>
          <w:p w:rsidR="00AF5787" w:rsidP="00AF5787" w14:paraId="145B1D37" w14:textId="77777777">
            <w:pPr>
              <w:spacing w:before="60" w:after="60" w:line="254" w:lineRule="auto"/>
              <w:jc w:val="center"/>
              <w:rPr>
                <w:rFonts w:eastAsia="Calibri"/>
                <w:color w:val="000000"/>
              </w:rPr>
            </w:pPr>
            <w:r>
              <w:rPr>
                <w:rFonts w:eastAsia="Calibri"/>
              </w:rPr>
              <w:t>43.7</w:t>
            </w:r>
          </w:p>
        </w:tc>
        <w:tc>
          <w:tcPr>
            <w:tcW w:w="508" w:type="pct"/>
            <w:vAlign w:val="center"/>
            <w:hideMark/>
          </w:tcPr>
          <w:p w:rsidR="00AF5787" w:rsidP="00AF5787" w14:paraId="067C772A" w14:textId="77777777">
            <w:pPr>
              <w:spacing w:before="60" w:after="60" w:line="254" w:lineRule="auto"/>
              <w:jc w:val="center"/>
              <w:rPr>
                <w:rFonts w:eastAsia="Calibri"/>
              </w:rPr>
            </w:pPr>
            <w:r>
              <w:rPr>
                <w:rFonts w:eastAsia="Calibri"/>
              </w:rPr>
              <w:t>44.8</w:t>
            </w:r>
          </w:p>
        </w:tc>
        <w:tc>
          <w:tcPr>
            <w:tcW w:w="508" w:type="pct"/>
            <w:vAlign w:val="center"/>
            <w:hideMark/>
          </w:tcPr>
          <w:p w:rsidR="00AF5787" w:rsidP="00AF5787" w14:paraId="6FF431DD" w14:textId="77777777">
            <w:pPr>
              <w:spacing w:before="60" w:after="60" w:line="254" w:lineRule="auto"/>
              <w:jc w:val="center"/>
              <w:rPr>
                <w:rFonts w:eastAsia="Calibri"/>
              </w:rPr>
            </w:pPr>
            <w:r>
              <w:rPr>
                <w:rFonts w:eastAsia="Calibri"/>
              </w:rPr>
              <w:t>40.2</w:t>
            </w:r>
          </w:p>
        </w:tc>
        <w:tc>
          <w:tcPr>
            <w:tcW w:w="508" w:type="pct"/>
            <w:vAlign w:val="center"/>
            <w:hideMark/>
          </w:tcPr>
          <w:p w:rsidR="00AF5787" w:rsidP="00AF5787" w14:paraId="0629E08D" w14:textId="77777777">
            <w:pPr>
              <w:spacing w:before="60" w:after="60" w:line="254" w:lineRule="auto"/>
              <w:jc w:val="center"/>
              <w:rPr>
                <w:rFonts w:eastAsia="Calibri"/>
              </w:rPr>
            </w:pPr>
            <w:r>
              <w:rPr>
                <w:rFonts w:eastAsia="Calibri"/>
              </w:rPr>
              <w:t>32.5</w:t>
            </w:r>
          </w:p>
        </w:tc>
        <w:tc>
          <w:tcPr>
            <w:tcW w:w="508" w:type="pct"/>
            <w:vAlign w:val="center"/>
            <w:hideMark/>
          </w:tcPr>
          <w:p w:rsidR="00AF5787" w:rsidP="00AF5787" w14:paraId="0F983F0B" w14:textId="77777777">
            <w:pPr>
              <w:spacing w:before="60" w:after="60" w:line="254" w:lineRule="auto"/>
              <w:jc w:val="center"/>
              <w:rPr>
                <w:rFonts w:eastAsia="Calibri"/>
              </w:rPr>
            </w:pPr>
            <w:r>
              <w:rPr>
                <w:rFonts w:eastAsia="Calibri"/>
              </w:rPr>
              <w:t>29.0</w:t>
            </w:r>
          </w:p>
        </w:tc>
        <w:tc>
          <w:tcPr>
            <w:tcW w:w="508" w:type="pct"/>
            <w:vAlign w:val="center"/>
            <w:hideMark/>
          </w:tcPr>
          <w:p w:rsidR="00AF5787" w:rsidP="00AF5787" w14:paraId="5EB736DA" w14:textId="77777777">
            <w:pPr>
              <w:spacing w:before="60" w:after="60" w:line="254" w:lineRule="auto"/>
              <w:jc w:val="center"/>
              <w:rPr>
                <w:rFonts w:eastAsia="Calibri"/>
              </w:rPr>
            </w:pPr>
            <w:r>
              <w:rPr>
                <w:rFonts w:eastAsia="Calibri"/>
                <w:color w:val="000000"/>
              </w:rPr>
              <w:t>29.5</w:t>
            </w:r>
          </w:p>
        </w:tc>
        <w:tc>
          <w:tcPr>
            <w:tcW w:w="508" w:type="pct"/>
          </w:tcPr>
          <w:p w:rsidR="00AF5787" w:rsidRPr="00AD63B8" w:rsidP="00AF5787" w14:paraId="35C02954" w14:textId="308D5C9A">
            <w:pPr>
              <w:spacing w:before="60" w:after="60"/>
              <w:jc w:val="center"/>
              <w:rPr>
                <w:rFonts w:eastAsia="Calibri"/>
                <w:color w:val="FFFFFF" w:themeColor="background1"/>
              </w:rPr>
            </w:pPr>
            <w:r w:rsidRPr="00D724C5">
              <w:rPr>
                <w:color w:val="FFFFFF" w:themeColor="background1"/>
              </w:rPr>
              <w:t>N/A</w:t>
            </w:r>
          </w:p>
        </w:tc>
      </w:tr>
      <w:tr w14:paraId="356B48CD" w14:textId="77777777" w:rsidTr="0004475E">
        <w:tblPrEx>
          <w:tblW w:w="5000" w:type="pct"/>
          <w:tblCellMar>
            <w:left w:w="0" w:type="dxa"/>
            <w:right w:w="0" w:type="dxa"/>
          </w:tblCellMar>
          <w:tblLook w:val="0700"/>
        </w:tblPrEx>
        <w:trPr>
          <w:cantSplit/>
        </w:trPr>
        <w:tc>
          <w:tcPr>
            <w:tcW w:w="428" w:type="pct"/>
            <w:noWrap/>
            <w:tcMar>
              <w:top w:w="29" w:type="dxa"/>
              <w:left w:w="115" w:type="dxa"/>
              <w:bottom w:w="29" w:type="dxa"/>
              <w:right w:w="115" w:type="dxa"/>
            </w:tcMar>
            <w:vAlign w:val="bottom"/>
            <w:hideMark/>
          </w:tcPr>
          <w:p w:rsidR="00AF5787" w:rsidP="00AF5787" w14:paraId="635F72C1" w14:textId="77777777">
            <w:pPr>
              <w:spacing w:before="60" w:after="60" w:line="254" w:lineRule="auto"/>
              <w:ind w:left="-210" w:right="-110"/>
              <w:jc w:val="center"/>
              <w:rPr>
                <w:rFonts w:eastAsia="Calibri"/>
                <w:color w:val="000000"/>
              </w:rPr>
            </w:pPr>
            <w:r>
              <w:rPr>
                <w:rFonts w:eastAsia="Calibri"/>
                <w:color w:val="000000"/>
              </w:rPr>
              <w:t>3</w:t>
            </w:r>
          </w:p>
        </w:tc>
        <w:tc>
          <w:tcPr>
            <w:tcW w:w="508" w:type="pct"/>
            <w:noWrap/>
            <w:tcMar>
              <w:top w:w="29" w:type="dxa"/>
              <w:left w:w="115" w:type="dxa"/>
              <w:bottom w:w="29" w:type="dxa"/>
              <w:right w:w="115" w:type="dxa"/>
            </w:tcMar>
            <w:vAlign w:val="center"/>
            <w:hideMark/>
          </w:tcPr>
          <w:p w:rsidR="00AF5787" w:rsidP="00AF5787" w14:paraId="5FC243CF" w14:textId="77777777">
            <w:pPr>
              <w:spacing w:before="60" w:after="60" w:line="254" w:lineRule="auto"/>
              <w:jc w:val="center"/>
              <w:rPr>
                <w:rFonts w:eastAsia="Calibri"/>
                <w:color w:val="000000"/>
              </w:rPr>
            </w:pPr>
            <w:r>
              <w:rPr>
                <w:rFonts w:eastAsia="Calibri"/>
              </w:rPr>
              <w:t>31.7</w:t>
            </w:r>
          </w:p>
        </w:tc>
        <w:tc>
          <w:tcPr>
            <w:tcW w:w="508" w:type="pct"/>
            <w:shd w:val="clear" w:color="auto" w:fill="DBDBDB"/>
            <w:tcMar>
              <w:top w:w="29" w:type="dxa"/>
              <w:left w:w="115" w:type="dxa"/>
              <w:bottom w:w="29" w:type="dxa"/>
              <w:right w:w="115" w:type="dxa"/>
            </w:tcMar>
            <w:vAlign w:val="center"/>
            <w:hideMark/>
          </w:tcPr>
          <w:p w:rsidR="00AF5787" w:rsidP="00AF5787" w14:paraId="3AB0330B" w14:textId="56EF9D98">
            <w:pPr>
              <w:spacing w:before="60" w:after="60" w:line="254" w:lineRule="auto"/>
              <w:jc w:val="center"/>
              <w:rPr>
                <w:rFonts w:eastAsia="Calibri"/>
              </w:rPr>
            </w:pPr>
            <w:r>
              <w:rPr>
                <w:rFonts w:eastAsia="Calibri"/>
              </w:rPr>
              <w:t>38.1*</w:t>
            </w:r>
          </w:p>
        </w:tc>
        <w:tc>
          <w:tcPr>
            <w:tcW w:w="508" w:type="pct"/>
            <w:tcMar>
              <w:top w:w="29" w:type="dxa"/>
              <w:left w:w="115" w:type="dxa"/>
              <w:bottom w:w="29" w:type="dxa"/>
              <w:right w:w="115" w:type="dxa"/>
            </w:tcMar>
            <w:vAlign w:val="center"/>
            <w:hideMark/>
          </w:tcPr>
          <w:p w:rsidR="00AF5787" w:rsidP="00AF5787" w14:paraId="14A2F47B" w14:textId="77777777">
            <w:pPr>
              <w:spacing w:before="60" w:after="60" w:line="254" w:lineRule="auto"/>
              <w:jc w:val="center"/>
              <w:rPr>
                <w:rFonts w:eastAsia="Calibri"/>
                <w:color w:val="000000"/>
              </w:rPr>
            </w:pPr>
            <w:r>
              <w:rPr>
                <w:rFonts w:eastAsia="Calibri"/>
              </w:rPr>
              <w:t>37.7</w:t>
            </w:r>
          </w:p>
        </w:tc>
        <w:tc>
          <w:tcPr>
            <w:tcW w:w="508" w:type="pct"/>
            <w:vAlign w:val="center"/>
            <w:hideMark/>
          </w:tcPr>
          <w:p w:rsidR="00AF5787" w:rsidP="00AF5787" w14:paraId="4A89D119" w14:textId="77777777">
            <w:pPr>
              <w:spacing w:before="60" w:after="60" w:line="254" w:lineRule="auto"/>
              <w:jc w:val="center"/>
              <w:rPr>
                <w:rFonts w:eastAsia="Calibri"/>
              </w:rPr>
            </w:pPr>
            <w:r>
              <w:rPr>
                <w:rFonts w:eastAsia="Calibri"/>
              </w:rPr>
              <w:t>37.6</w:t>
            </w:r>
          </w:p>
        </w:tc>
        <w:tc>
          <w:tcPr>
            <w:tcW w:w="508" w:type="pct"/>
            <w:vAlign w:val="center"/>
            <w:hideMark/>
          </w:tcPr>
          <w:p w:rsidR="00AF5787" w:rsidP="00AF5787" w14:paraId="242791B0" w14:textId="77777777">
            <w:pPr>
              <w:spacing w:before="60" w:after="60" w:line="254" w:lineRule="auto"/>
              <w:jc w:val="center"/>
              <w:rPr>
                <w:rFonts w:eastAsia="Calibri"/>
              </w:rPr>
            </w:pPr>
            <w:r>
              <w:rPr>
                <w:rFonts w:eastAsia="Calibri"/>
              </w:rPr>
              <w:t>37.9</w:t>
            </w:r>
          </w:p>
        </w:tc>
        <w:tc>
          <w:tcPr>
            <w:tcW w:w="508" w:type="pct"/>
            <w:vAlign w:val="center"/>
            <w:hideMark/>
          </w:tcPr>
          <w:p w:rsidR="00AF5787" w:rsidP="00AF5787" w14:paraId="1D0CCC1B" w14:textId="77777777">
            <w:pPr>
              <w:spacing w:before="60" w:after="60" w:line="254" w:lineRule="auto"/>
              <w:jc w:val="center"/>
              <w:rPr>
                <w:rFonts w:eastAsia="Calibri"/>
              </w:rPr>
            </w:pPr>
            <w:r>
              <w:rPr>
                <w:rFonts w:eastAsia="Calibri"/>
              </w:rPr>
              <w:t>27.2</w:t>
            </w:r>
          </w:p>
        </w:tc>
        <w:tc>
          <w:tcPr>
            <w:tcW w:w="508" w:type="pct"/>
            <w:vAlign w:val="center"/>
            <w:hideMark/>
          </w:tcPr>
          <w:p w:rsidR="00AF5787" w:rsidP="00AF5787" w14:paraId="0EFEE002" w14:textId="77777777">
            <w:pPr>
              <w:spacing w:before="60" w:after="60" w:line="254" w:lineRule="auto"/>
              <w:jc w:val="center"/>
              <w:rPr>
                <w:rFonts w:eastAsia="Calibri"/>
              </w:rPr>
            </w:pPr>
            <w:r>
              <w:rPr>
                <w:rFonts w:eastAsia="Calibri"/>
              </w:rPr>
              <w:t>23.5</w:t>
            </w:r>
          </w:p>
        </w:tc>
        <w:tc>
          <w:tcPr>
            <w:tcW w:w="508" w:type="pct"/>
            <w:vAlign w:val="center"/>
            <w:hideMark/>
          </w:tcPr>
          <w:p w:rsidR="00AF5787" w:rsidP="00AF5787" w14:paraId="62E4690B" w14:textId="77777777">
            <w:pPr>
              <w:spacing w:before="60" w:after="60" w:line="254" w:lineRule="auto"/>
              <w:jc w:val="center"/>
              <w:rPr>
                <w:rFonts w:eastAsia="Calibri"/>
              </w:rPr>
            </w:pPr>
            <w:r>
              <w:rPr>
                <w:rFonts w:eastAsia="Calibri"/>
                <w:color w:val="000000"/>
              </w:rPr>
              <w:t>24.0</w:t>
            </w:r>
          </w:p>
        </w:tc>
        <w:tc>
          <w:tcPr>
            <w:tcW w:w="508" w:type="pct"/>
          </w:tcPr>
          <w:p w:rsidR="00AF5787" w:rsidRPr="00AD63B8" w:rsidP="00AF5787" w14:paraId="6F9EAD4D" w14:textId="3A26530B">
            <w:pPr>
              <w:spacing w:before="60" w:after="60"/>
              <w:jc w:val="center"/>
              <w:rPr>
                <w:rFonts w:eastAsia="Calibri"/>
                <w:color w:val="FFFFFF" w:themeColor="background1"/>
              </w:rPr>
            </w:pPr>
            <w:r w:rsidRPr="00D724C5">
              <w:rPr>
                <w:color w:val="FFFFFF" w:themeColor="background1"/>
              </w:rPr>
              <w:t>N/A</w:t>
            </w:r>
          </w:p>
        </w:tc>
      </w:tr>
      <w:tr w14:paraId="6148B881" w14:textId="77777777" w:rsidTr="0004475E">
        <w:tblPrEx>
          <w:tblW w:w="5000" w:type="pct"/>
          <w:tblCellMar>
            <w:left w:w="0" w:type="dxa"/>
            <w:right w:w="0" w:type="dxa"/>
          </w:tblCellMar>
          <w:tblLook w:val="0700"/>
        </w:tblPrEx>
        <w:trPr>
          <w:cantSplit/>
        </w:trPr>
        <w:tc>
          <w:tcPr>
            <w:tcW w:w="428" w:type="pct"/>
            <w:noWrap/>
            <w:tcMar>
              <w:top w:w="29" w:type="dxa"/>
              <w:left w:w="115" w:type="dxa"/>
              <w:bottom w:w="29" w:type="dxa"/>
              <w:right w:w="115" w:type="dxa"/>
            </w:tcMar>
            <w:vAlign w:val="bottom"/>
            <w:hideMark/>
          </w:tcPr>
          <w:p w:rsidR="00AF5787" w:rsidP="00AF5787" w14:paraId="6FD4B49D" w14:textId="77777777">
            <w:pPr>
              <w:spacing w:before="60" w:after="60" w:line="254" w:lineRule="auto"/>
              <w:ind w:left="-210" w:right="-110"/>
              <w:jc w:val="center"/>
              <w:rPr>
                <w:rFonts w:eastAsia="Calibri"/>
                <w:color w:val="000000"/>
              </w:rPr>
            </w:pPr>
            <w:r>
              <w:rPr>
                <w:rFonts w:eastAsia="Calibri"/>
                <w:color w:val="000000"/>
              </w:rPr>
              <w:t>4</w:t>
            </w:r>
          </w:p>
        </w:tc>
        <w:tc>
          <w:tcPr>
            <w:tcW w:w="508" w:type="pct"/>
            <w:noWrap/>
            <w:tcMar>
              <w:top w:w="29" w:type="dxa"/>
              <w:left w:w="115" w:type="dxa"/>
              <w:bottom w:w="29" w:type="dxa"/>
              <w:right w:w="115" w:type="dxa"/>
            </w:tcMar>
            <w:vAlign w:val="center"/>
            <w:hideMark/>
          </w:tcPr>
          <w:p w:rsidR="00AF5787" w:rsidP="00AF5787" w14:paraId="4E21EA90" w14:textId="77777777">
            <w:pPr>
              <w:spacing w:before="60" w:after="60" w:line="254" w:lineRule="auto"/>
              <w:jc w:val="center"/>
              <w:rPr>
                <w:rFonts w:eastAsia="Calibri"/>
                <w:color w:val="000000"/>
              </w:rPr>
            </w:pPr>
            <w:r>
              <w:rPr>
                <w:rFonts w:eastAsia="Calibri"/>
              </w:rPr>
              <w:t>32.9</w:t>
            </w:r>
          </w:p>
        </w:tc>
        <w:tc>
          <w:tcPr>
            <w:tcW w:w="508" w:type="pct"/>
            <w:tcMar>
              <w:top w:w="29" w:type="dxa"/>
              <w:left w:w="115" w:type="dxa"/>
              <w:bottom w:w="29" w:type="dxa"/>
              <w:right w:w="115" w:type="dxa"/>
            </w:tcMar>
            <w:vAlign w:val="center"/>
            <w:hideMark/>
          </w:tcPr>
          <w:p w:rsidR="00AF5787" w:rsidP="00AF5787" w14:paraId="06307626" w14:textId="77777777">
            <w:pPr>
              <w:spacing w:before="60" w:after="60" w:line="254" w:lineRule="auto"/>
              <w:jc w:val="center"/>
              <w:rPr>
                <w:rFonts w:eastAsia="Calibri"/>
                <w:color w:val="000000"/>
              </w:rPr>
            </w:pPr>
            <w:r>
              <w:rPr>
                <w:rFonts w:eastAsia="Calibri"/>
              </w:rPr>
              <w:t>33.3</w:t>
            </w:r>
          </w:p>
        </w:tc>
        <w:tc>
          <w:tcPr>
            <w:tcW w:w="508" w:type="pct"/>
            <w:tcMar>
              <w:top w:w="29" w:type="dxa"/>
              <w:left w:w="115" w:type="dxa"/>
              <w:bottom w:w="29" w:type="dxa"/>
              <w:right w:w="115" w:type="dxa"/>
            </w:tcMar>
            <w:vAlign w:val="center"/>
            <w:hideMark/>
          </w:tcPr>
          <w:p w:rsidR="00AF5787" w:rsidP="00AF5787" w14:paraId="0C314F7F" w14:textId="77777777">
            <w:pPr>
              <w:spacing w:before="60" w:after="60" w:line="254" w:lineRule="auto"/>
              <w:jc w:val="center"/>
              <w:rPr>
                <w:rFonts w:eastAsia="Calibri"/>
                <w:color w:val="000000"/>
              </w:rPr>
            </w:pPr>
            <w:r>
              <w:rPr>
                <w:rFonts w:eastAsia="Calibri"/>
              </w:rPr>
              <w:t>33.7</w:t>
            </w:r>
          </w:p>
        </w:tc>
        <w:tc>
          <w:tcPr>
            <w:tcW w:w="508" w:type="pct"/>
            <w:vAlign w:val="center"/>
            <w:hideMark/>
          </w:tcPr>
          <w:p w:rsidR="00AF5787" w:rsidP="00AF5787" w14:paraId="5AC37DBF" w14:textId="77777777">
            <w:pPr>
              <w:spacing w:before="60" w:after="60" w:line="254" w:lineRule="auto"/>
              <w:jc w:val="center"/>
              <w:rPr>
                <w:rFonts w:eastAsia="Calibri"/>
              </w:rPr>
            </w:pPr>
            <w:r>
              <w:rPr>
                <w:rFonts w:eastAsia="Calibri"/>
              </w:rPr>
              <w:t>34.3</w:t>
            </w:r>
          </w:p>
        </w:tc>
        <w:tc>
          <w:tcPr>
            <w:tcW w:w="508" w:type="pct"/>
            <w:vAlign w:val="center"/>
            <w:hideMark/>
          </w:tcPr>
          <w:p w:rsidR="00AF5787" w:rsidP="00AF5787" w14:paraId="18BBF496" w14:textId="77777777">
            <w:pPr>
              <w:spacing w:before="60" w:after="60" w:line="254" w:lineRule="auto"/>
              <w:jc w:val="center"/>
              <w:rPr>
                <w:rFonts w:eastAsia="Calibri"/>
              </w:rPr>
            </w:pPr>
            <w:r>
              <w:rPr>
                <w:rFonts w:eastAsia="Calibri"/>
              </w:rPr>
              <w:t>32.1</w:t>
            </w:r>
          </w:p>
        </w:tc>
        <w:tc>
          <w:tcPr>
            <w:tcW w:w="508" w:type="pct"/>
            <w:vAlign w:val="center"/>
            <w:hideMark/>
          </w:tcPr>
          <w:p w:rsidR="00AF5787" w:rsidP="00AF5787" w14:paraId="7DA2DD0E" w14:textId="77777777">
            <w:pPr>
              <w:spacing w:before="60" w:after="60" w:line="254" w:lineRule="auto"/>
              <w:jc w:val="center"/>
              <w:rPr>
                <w:rFonts w:eastAsia="Calibri"/>
              </w:rPr>
            </w:pPr>
            <w:r>
              <w:rPr>
                <w:rFonts w:eastAsia="Calibri"/>
              </w:rPr>
              <w:t>22.8</w:t>
            </w:r>
          </w:p>
        </w:tc>
        <w:tc>
          <w:tcPr>
            <w:tcW w:w="508" w:type="pct"/>
            <w:vAlign w:val="center"/>
            <w:hideMark/>
          </w:tcPr>
          <w:p w:rsidR="00AF5787" w:rsidP="00AF5787" w14:paraId="6C07559F" w14:textId="77777777">
            <w:pPr>
              <w:spacing w:before="60" w:after="60" w:line="254" w:lineRule="auto"/>
              <w:jc w:val="center"/>
              <w:rPr>
                <w:rFonts w:eastAsia="Calibri"/>
              </w:rPr>
            </w:pPr>
            <w:r>
              <w:rPr>
                <w:rFonts w:eastAsia="Calibri"/>
              </w:rPr>
              <w:t>19.3</w:t>
            </w:r>
          </w:p>
        </w:tc>
        <w:tc>
          <w:tcPr>
            <w:tcW w:w="508" w:type="pct"/>
            <w:vAlign w:val="center"/>
            <w:hideMark/>
          </w:tcPr>
          <w:p w:rsidR="00AF5787" w:rsidP="00AF5787" w14:paraId="706CB88F" w14:textId="77777777">
            <w:pPr>
              <w:spacing w:before="60" w:after="60" w:line="254" w:lineRule="auto"/>
              <w:jc w:val="center"/>
              <w:rPr>
                <w:rFonts w:eastAsia="Calibri"/>
              </w:rPr>
            </w:pPr>
            <w:r>
              <w:rPr>
                <w:rFonts w:eastAsia="Calibri"/>
                <w:color w:val="000000"/>
              </w:rPr>
              <w:t>20.4</w:t>
            </w:r>
          </w:p>
        </w:tc>
        <w:tc>
          <w:tcPr>
            <w:tcW w:w="508" w:type="pct"/>
          </w:tcPr>
          <w:p w:rsidR="00AF5787" w:rsidRPr="00AD63B8" w:rsidP="00AF5787" w14:paraId="15F13346" w14:textId="6B4C9154">
            <w:pPr>
              <w:spacing w:before="60" w:after="60"/>
              <w:jc w:val="center"/>
              <w:rPr>
                <w:rFonts w:eastAsia="Calibri"/>
                <w:color w:val="FFFFFF" w:themeColor="background1"/>
              </w:rPr>
            </w:pPr>
            <w:r w:rsidRPr="00D724C5">
              <w:rPr>
                <w:color w:val="FFFFFF" w:themeColor="background1"/>
              </w:rPr>
              <w:t>N/A</w:t>
            </w:r>
          </w:p>
        </w:tc>
      </w:tr>
      <w:tr w14:paraId="260281CA" w14:textId="77777777" w:rsidTr="0036682F">
        <w:tblPrEx>
          <w:tblW w:w="5000" w:type="pct"/>
          <w:tblCellMar>
            <w:left w:w="0" w:type="dxa"/>
            <w:right w:w="0" w:type="dxa"/>
          </w:tblCellMar>
          <w:tblLook w:val="0700"/>
        </w:tblPrEx>
        <w:trPr>
          <w:cantSplit/>
        </w:trPr>
        <w:tc>
          <w:tcPr>
            <w:tcW w:w="428" w:type="pct"/>
            <w:noWrap/>
            <w:tcMar>
              <w:top w:w="29" w:type="dxa"/>
              <w:left w:w="115" w:type="dxa"/>
              <w:bottom w:w="29" w:type="dxa"/>
              <w:right w:w="115" w:type="dxa"/>
            </w:tcMar>
            <w:vAlign w:val="bottom"/>
            <w:hideMark/>
          </w:tcPr>
          <w:p w:rsidR="00AF5787" w:rsidP="00AF5787" w14:paraId="3DDB0FEB" w14:textId="77777777">
            <w:pPr>
              <w:spacing w:before="60" w:after="60" w:line="254" w:lineRule="auto"/>
              <w:ind w:left="-210" w:right="-110"/>
              <w:jc w:val="center"/>
              <w:rPr>
                <w:rFonts w:eastAsia="Calibri"/>
                <w:color w:val="000000"/>
              </w:rPr>
            </w:pPr>
            <w:r>
              <w:rPr>
                <w:rFonts w:eastAsia="Calibri"/>
                <w:color w:val="000000"/>
              </w:rPr>
              <w:t>5</w:t>
            </w:r>
          </w:p>
        </w:tc>
        <w:tc>
          <w:tcPr>
            <w:tcW w:w="508" w:type="pct"/>
            <w:noWrap/>
            <w:tcMar>
              <w:top w:w="29" w:type="dxa"/>
              <w:left w:w="115" w:type="dxa"/>
              <w:bottom w:w="29" w:type="dxa"/>
              <w:right w:w="115" w:type="dxa"/>
            </w:tcMar>
            <w:vAlign w:val="center"/>
            <w:hideMark/>
          </w:tcPr>
          <w:p w:rsidR="00AF5787" w:rsidP="00AF5787" w14:paraId="17FE8928" w14:textId="77777777">
            <w:pPr>
              <w:spacing w:before="60" w:after="60" w:line="254" w:lineRule="auto"/>
              <w:jc w:val="center"/>
              <w:rPr>
                <w:rFonts w:eastAsia="Calibri"/>
                <w:color w:val="000000"/>
              </w:rPr>
            </w:pPr>
            <w:r>
              <w:rPr>
                <w:rFonts w:eastAsia="Calibri"/>
              </w:rPr>
              <w:t>31.3</w:t>
            </w:r>
          </w:p>
        </w:tc>
        <w:tc>
          <w:tcPr>
            <w:tcW w:w="508" w:type="pct"/>
            <w:tcMar>
              <w:top w:w="29" w:type="dxa"/>
              <w:left w:w="115" w:type="dxa"/>
              <w:bottom w:w="29" w:type="dxa"/>
              <w:right w:w="115" w:type="dxa"/>
            </w:tcMar>
            <w:vAlign w:val="center"/>
            <w:hideMark/>
          </w:tcPr>
          <w:p w:rsidR="00AF5787" w:rsidP="00AF5787" w14:paraId="1AE094C2" w14:textId="77777777">
            <w:pPr>
              <w:spacing w:before="60" w:after="60" w:line="254" w:lineRule="auto"/>
              <w:jc w:val="center"/>
              <w:rPr>
                <w:rFonts w:eastAsia="Calibri"/>
                <w:color w:val="000000"/>
              </w:rPr>
            </w:pPr>
            <w:r>
              <w:rPr>
                <w:rFonts w:eastAsia="Calibri"/>
              </w:rPr>
              <w:t>29.0</w:t>
            </w:r>
          </w:p>
        </w:tc>
        <w:tc>
          <w:tcPr>
            <w:tcW w:w="508" w:type="pct"/>
            <w:shd w:val="clear" w:color="auto" w:fill="DBDBDB"/>
            <w:tcMar>
              <w:top w:w="29" w:type="dxa"/>
              <w:left w:w="115" w:type="dxa"/>
              <w:bottom w:w="29" w:type="dxa"/>
              <w:right w:w="115" w:type="dxa"/>
            </w:tcMar>
            <w:vAlign w:val="center"/>
            <w:hideMark/>
          </w:tcPr>
          <w:p w:rsidR="00AF5787" w:rsidP="00AF5787" w14:paraId="34B7860F" w14:textId="0EC65E0B">
            <w:pPr>
              <w:spacing w:before="60" w:after="60" w:line="254" w:lineRule="auto"/>
              <w:jc w:val="center"/>
              <w:rPr>
                <w:rFonts w:eastAsia="Calibri"/>
              </w:rPr>
            </w:pPr>
            <w:r>
              <w:rPr>
                <w:rFonts w:eastAsia="Calibri"/>
              </w:rPr>
              <w:t>28.2*</w:t>
            </w:r>
          </w:p>
        </w:tc>
        <w:tc>
          <w:tcPr>
            <w:tcW w:w="508" w:type="pct"/>
            <w:shd w:val="clear" w:color="auto" w:fill="DBDBDB"/>
            <w:vAlign w:val="center"/>
            <w:hideMark/>
          </w:tcPr>
          <w:p w:rsidR="00AF5787" w:rsidP="00AF5787" w14:paraId="7F9EAE09" w14:textId="6B1291D4">
            <w:pPr>
              <w:spacing w:before="60" w:after="60" w:line="254" w:lineRule="auto"/>
              <w:jc w:val="center"/>
              <w:rPr>
                <w:rFonts w:eastAsia="Calibri"/>
              </w:rPr>
            </w:pPr>
            <w:r>
              <w:rPr>
                <w:rFonts w:eastAsia="Calibri"/>
              </w:rPr>
              <w:t>26.7*</w:t>
            </w:r>
          </w:p>
        </w:tc>
        <w:tc>
          <w:tcPr>
            <w:tcW w:w="508" w:type="pct"/>
            <w:vAlign w:val="center"/>
            <w:hideMark/>
          </w:tcPr>
          <w:p w:rsidR="00AF5787" w:rsidP="00AF5787" w14:paraId="05877F24" w14:textId="77777777">
            <w:pPr>
              <w:spacing w:before="60" w:after="60" w:line="254" w:lineRule="auto"/>
              <w:jc w:val="center"/>
              <w:rPr>
                <w:rFonts w:eastAsia="Calibri"/>
                <w:color w:val="000000"/>
              </w:rPr>
            </w:pPr>
            <w:r>
              <w:rPr>
                <w:rFonts w:eastAsia="Calibri"/>
              </w:rPr>
              <w:t>28.0</w:t>
            </w:r>
          </w:p>
        </w:tc>
        <w:tc>
          <w:tcPr>
            <w:tcW w:w="508" w:type="pct"/>
            <w:vAlign w:val="center"/>
            <w:hideMark/>
          </w:tcPr>
          <w:p w:rsidR="00AF5787" w:rsidP="00AF5787" w14:paraId="3A2542E6" w14:textId="77777777">
            <w:pPr>
              <w:spacing w:before="60" w:after="60" w:line="254" w:lineRule="auto"/>
              <w:jc w:val="center"/>
              <w:rPr>
                <w:rFonts w:eastAsia="Calibri"/>
                <w:color w:val="000000"/>
              </w:rPr>
            </w:pPr>
            <w:r>
              <w:rPr>
                <w:rFonts w:eastAsia="Calibri"/>
              </w:rPr>
              <w:t>19.8</w:t>
            </w:r>
          </w:p>
        </w:tc>
        <w:tc>
          <w:tcPr>
            <w:tcW w:w="508" w:type="pct"/>
            <w:vAlign w:val="center"/>
            <w:hideMark/>
          </w:tcPr>
          <w:p w:rsidR="00AF5787" w:rsidP="00AF5787" w14:paraId="42843B96" w14:textId="77777777">
            <w:pPr>
              <w:spacing w:before="60" w:after="60" w:line="254" w:lineRule="auto"/>
              <w:jc w:val="center"/>
              <w:rPr>
                <w:rFonts w:eastAsia="Calibri"/>
                <w:color w:val="000000"/>
              </w:rPr>
            </w:pPr>
            <w:r>
              <w:rPr>
                <w:rFonts w:eastAsia="Calibri"/>
              </w:rPr>
              <w:t>17.9</w:t>
            </w:r>
          </w:p>
        </w:tc>
        <w:tc>
          <w:tcPr>
            <w:tcW w:w="508" w:type="pct"/>
          </w:tcPr>
          <w:p w:rsidR="00AF5787" w:rsidRPr="00AD63B8" w:rsidP="00AF5787" w14:paraId="65EEAEA6" w14:textId="31BC0F21">
            <w:pPr>
              <w:spacing w:before="60" w:after="60" w:line="254" w:lineRule="auto"/>
              <w:jc w:val="center"/>
              <w:rPr>
                <w:rFonts w:eastAsia="Calibri"/>
                <w:color w:val="FFFFFF" w:themeColor="background1"/>
              </w:rPr>
            </w:pPr>
            <w:r w:rsidRPr="00FC07C4">
              <w:rPr>
                <w:color w:val="FFFFFF" w:themeColor="background1"/>
              </w:rPr>
              <w:t>N/A</w:t>
            </w:r>
          </w:p>
        </w:tc>
        <w:tc>
          <w:tcPr>
            <w:tcW w:w="508" w:type="pct"/>
          </w:tcPr>
          <w:p w:rsidR="00AF5787" w:rsidRPr="00AD63B8" w:rsidP="00AF5787" w14:paraId="10AF093F" w14:textId="73703687">
            <w:pPr>
              <w:spacing w:before="60" w:after="60"/>
              <w:jc w:val="center"/>
              <w:rPr>
                <w:rFonts w:eastAsia="Calibri"/>
                <w:color w:val="FFFFFF" w:themeColor="background1"/>
              </w:rPr>
            </w:pPr>
            <w:r w:rsidRPr="00D724C5">
              <w:rPr>
                <w:color w:val="FFFFFF" w:themeColor="background1"/>
              </w:rPr>
              <w:t>N/A</w:t>
            </w:r>
          </w:p>
        </w:tc>
      </w:tr>
      <w:tr w14:paraId="1E79D2A1" w14:textId="77777777" w:rsidTr="0036682F">
        <w:tblPrEx>
          <w:tblW w:w="5000" w:type="pct"/>
          <w:tblCellMar>
            <w:left w:w="0" w:type="dxa"/>
            <w:right w:w="0" w:type="dxa"/>
          </w:tblCellMar>
          <w:tblLook w:val="0700"/>
        </w:tblPrEx>
        <w:trPr>
          <w:cantSplit/>
        </w:trPr>
        <w:tc>
          <w:tcPr>
            <w:tcW w:w="428" w:type="pct"/>
            <w:noWrap/>
            <w:tcMar>
              <w:top w:w="29" w:type="dxa"/>
              <w:left w:w="115" w:type="dxa"/>
              <w:bottom w:w="29" w:type="dxa"/>
              <w:right w:w="115" w:type="dxa"/>
            </w:tcMar>
            <w:vAlign w:val="bottom"/>
            <w:hideMark/>
          </w:tcPr>
          <w:p w:rsidR="00AF5787" w:rsidP="00AF5787" w14:paraId="4939FC4C" w14:textId="77777777">
            <w:pPr>
              <w:spacing w:before="60" w:after="60" w:line="254" w:lineRule="auto"/>
              <w:ind w:left="-210" w:right="-110"/>
              <w:jc w:val="center"/>
              <w:rPr>
                <w:rFonts w:eastAsia="Calibri"/>
                <w:color w:val="000000"/>
              </w:rPr>
            </w:pPr>
            <w:r>
              <w:rPr>
                <w:rFonts w:eastAsia="Calibri"/>
                <w:color w:val="000000"/>
              </w:rPr>
              <w:t>6</w:t>
            </w:r>
          </w:p>
        </w:tc>
        <w:tc>
          <w:tcPr>
            <w:tcW w:w="508" w:type="pct"/>
            <w:shd w:val="clear" w:color="auto" w:fill="DBDBDB"/>
            <w:noWrap/>
            <w:tcMar>
              <w:top w:w="29" w:type="dxa"/>
              <w:left w:w="115" w:type="dxa"/>
              <w:bottom w:w="29" w:type="dxa"/>
              <w:right w:w="115" w:type="dxa"/>
            </w:tcMar>
            <w:vAlign w:val="center"/>
            <w:hideMark/>
          </w:tcPr>
          <w:p w:rsidR="00AF5787" w:rsidP="00AF5787" w14:paraId="5090C840" w14:textId="15C204BD">
            <w:pPr>
              <w:spacing w:before="60" w:after="60" w:line="254" w:lineRule="auto"/>
              <w:jc w:val="center"/>
              <w:rPr>
                <w:rFonts w:eastAsia="Calibri"/>
              </w:rPr>
            </w:pPr>
            <w:r>
              <w:rPr>
                <w:rFonts w:eastAsia="Calibri"/>
              </w:rPr>
              <w:t>28.1*</w:t>
            </w:r>
          </w:p>
        </w:tc>
        <w:tc>
          <w:tcPr>
            <w:tcW w:w="508" w:type="pct"/>
            <w:shd w:val="clear" w:color="auto" w:fill="DBDBDB"/>
            <w:tcMar>
              <w:top w:w="29" w:type="dxa"/>
              <w:left w:w="115" w:type="dxa"/>
              <w:bottom w:w="29" w:type="dxa"/>
              <w:right w:w="115" w:type="dxa"/>
            </w:tcMar>
            <w:vAlign w:val="center"/>
            <w:hideMark/>
          </w:tcPr>
          <w:p w:rsidR="00AF5787" w:rsidP="00AF5787" w14:paraId="5D5F1484" w14:textId="417DB645">
            <w:pPr>
              <w:spacing w:before="60" w:after="60" w:line="254" w:lineRule="auto"/>
              <w:jc w:val="center"/>
              <w:rPr>
                <w:rFonts w:eastAsia="Calibri"/>
              </w:rPr>
            </w:pPr>
            <w:r>
              <w:rPr>
                <w:rFonts w:eastAsia="Calibri"/>
              </w:rPr>
              <w:t>27.5*</w:t>
            </w:r>
          </w:p>
        </w:tc>
        <w:tc>
          <w:tcPr>
            <w:tcW w:w="508" w:type="pct"/>
            <w:tcMar>
              <w:top w:w="29" w:type="dxa"/>
              <w:left w:w="115" w:type="dxa"/>
              <w:bottom w:w="29" w:type="dxa"/>
              <w:right w:w="115" w:type="dxa"/>
            </w:tcMar>
            <w:vAlign w:val="center"/>
            <w:hideMark/>
          </w:tcPr>
          <w:p w:rsidR="00AF5787" w:rsidP="00AF5787" w14:paraId="23A300EB" w14:textId="77777777">
            <w:pPr>
              <w:spacing w:before="60" w:after="60" w:line="254" w:lineRule="auto"/>
              <w:jc w:val="center"/>
              <w:rPr>
                <w:rFonts w:eastAsia="Calibri"/>
                <w:color w:val="000000"/>
              </w:rPr>
            </w:pPr>
            <w:r>
              <w:rPr>
                <w:rFonts w:eastAsia="Calibri"/>
              </w:rPr>
              <w:t>27.3</w:t>
            </w:r>
          </w:p>
        </w:tc>
        <w:tc>
          <w:tcPr>
            <w:tcW w:w="508" w:type="pct"/>
            <w:vAlign w:val="center"/>
            <w:hideMark/>
          </w:tcPr>
          <w:p w:rsidR="00AF5787" w:rsidP="00AF5787" w14:paraId="3F66FF9A" w14:textId="77777777">
            <w:pPr>
              <w:spacing w:before="60" w:after="60" w:line="254" w:lineRule="auto"/>
              <w:jc w:val="center"/>
              <w:rPr>
                <w:rFonts w:eastAsia="Calibri"/>
                <w:color w:val="000000"/>
              </w:rPr>
            </w:pPr>
            <w:r>
              <w:rPr>
                <w:rFonts w:eastAsia="Calibri"/>
              </w:rPr>
              <w:t>27.6</w:t>
            </w:r>
          </w:p>
        </w:tc>
        <w:tc>
          <w:tcPr>
            <w:tcW w:w="508" w:type="pct"/>
            <w:vAlign w:val="center"/>
            <w:hideMark/>
          </w:tcPr>
          <w:p w:rsidR="00AF5787" w:rsidP="00AF5787" w14:paraId="6D6894AE" w14:textId="77777777">
            <w:pPr>
              <w:spacing w:before="60" w:after="60" w:line="254" w:lineRule="auto"/>
              <w:jc w:val="center"/>
              <w:rPr>
                <w:rFonts w:eastAsia="Calibri"/>
                <w:color w:val="000000"/>
              </w:rPr>
            </w:pPr>
            <w:r>
              <w:rPr>
                <w:rFonts w:eastAsia="Calibri"/>
              </w:rPr>
              <w:t>25.2</w:t>
            </w:r>
          </w:p>
        </w:tc>
        <w:tc>
          <w:tcPr>
            <w:tcW w:w="508" w:type="pct"/>
            <w:vAlign w:val="center"/>
            <w:hideMark/>
          </w:tcPr>
          <w:p w:rsidR="00AF5787" w:rsidP="00AF5787" w14:paraId="601CB9F7" w14:textId="77777777">
            <w:pPr>
              <w:spacing w:before="60" w:after="60" w:line="254" w:lineRule="auto"/>
              <w:jc w:val="center"/>
              <w:rPr>
                <w:rFonts w:eastAsia="Calibri"/>
                <w:color w:val="000000"/>
              </w:rPr>
            </w:pPr>
            <w:r>
              <w:rPr>
                <w:rFonts w:eastAsia="Calibri"/>
              </w:rPr>
              <w:t>17.1</w:t>
            </w:r>
          </w:p>
        </w:tc>
        <w:tc>
          <w:tcPr>
            <w:tcW w:w="508" w:type="pct"/>
            <w:vAlign w:val="center"/>
            <w:hideMark/>
          </w:tcPr>
          <w:p w:rsidR="00AF5787" w:rsidP="00AF5787" w14:paraId="49172228" w14:textId="77777777">
            <w:pPr>
              <w:spacing w:before="60" w:after="60" w:line="254" w:lineRule="auto"/>
              <w:jc w:val="center"/>
              <w:rPr>
                <w:rFonts w:eastAsia="Calibri"/>
                <w:color w:val="000000"/>
              </w:rPr>
            </w:pPr>
            <w:r>
              <w:rPr>
                <w:rFonts w:eastAsia="Calibri"/>
              </w:rPr>
              <w:t>16.0</w:t>
            </w:r>
          </w:p>
        </w:tc>
        <w:tc>
          <w:tcPr>
            <w:tcW w:w="508" w:type="pct"/>
          </w:tcPr>
          <w:p w:rsidR="00AF5787" w:rsidRPr="00AD63B8" w:rsidP="00AF5787" w14:paraId="178621D0" w14:textId="169D3BE8">
            <w:pPr>
              <w:spacing w:before="60" w:after="60" w:line="254" w:lineRule="auto"/>
              <w:jc w:val="center"/>
              <w:rPr>
                <w:rFonts w:eastAsia="Calibri"/>
                <w:color w:val="FFFFFF" w:themeColor="background1"/>
              </w:rPr>
            </w:pPr>
            <w:r w:rsidRPr="00FC07C4">
              <w:rPr>
                <w:color w:val="FFFFFF" w:themeColor="background1"/>
              </w:rPr>
              <w:t>N/A</w:t>
            </w:r>
          </w:p>
        </w:tc>
        <w:tc>
          <w:tcPr>
            <w:tcW w:w="508" w:type="pct"/>
          </w:tcPr>
          <w:p w:rsidR="00AF5787" w:rsidRPr="00AD63B8" w:rsidP="00AF5787" w14:paraId="0FCBF4C5" w14:textId="32E8D25A">
            <w:pPr>
              <w:spacing w:before="60" w:after="60" w:line="254" w:lineRule="auto"/>
              <w:jc w:val="center"/>
              <w:rPr>
                <w:rFonts w:eastAsia="Calibri"/>
                <w:color w:val="FFFFFF" w:themeColor="background1"/>
              </w:rPr>
            </w:pPr>
            <w:r w:rsidRPr="00D724C5">
              <w:rPr>
                <w:color w:val="FFFFFF" w:themeColor="background1"/>
              </w:rPr>
              <w:t>N/A</w:t>
            </w:r>
          </w:p>
        </w:tc>
      </w:tr>
      <w:tr w14:paraId="355D16A8" w14:textId="77777777" w:rsidTr="0036682F">
        <w:tblPrEx>
          <w:tblW w:w="5000" w:type="pct"/>
          <w:tblCellMar>
            <w:left w:w="0" w:type="dxa"/>
            <w:right w:w="0" w:type="dxa"/>
          </w:tblCellMar>
          <w:tblLook w:val="0700"/>
        </w:tblPrEx>
        <w:trPr>
          <w:cantSplit/>
        </w:trPr>
        <w:tc>
          <w:tcPr>
            <w:tcW w:w="428" w:type="pct"/>
            <w:noWrap/>
            <w:tcMar>
              <w:top w:w="29" w:type="dxa"/>
              <w:left w:w="115" w:type="dxa"/>
              <w:bottom w:w="29" w:type="dxa"/>
              <w:right w:w="115" w:type="dxa"/>
            </w:tcMar>
            <w:vAlign w:val="bottom"/>
            <w:hideMark/>
          </w:tcPr>
          <w:p w:rsidR="00AF5787" w:rsidP="00AF5787" w14:paraId="429232A5" w14:textId="77777777">
            <w:pPr>
              <w:spacing w:before="60" w:after="60" w:line="254" w:lineRule="auto"/>
              <w:ind w:left="-210" w:right="-110"/>
              <w:jc w:val="center"/>
              <w:rPr>
                <w:rFonts w:eastAsia="Calibri"/>
                <w:color w:val="000000"/>
              </w:rPr>
            </w:pPr>
            <w:r>
              <w:rPr>
                <w:rFonts w:eastAsia="Calibri"/>
                <w:color w:val="000000"/>
              </w:rPr>
              <w:t>7</w:t>
            </w:r>
          </w:p>
        </w:tc>
        <w:tc>
          <w:tcPr>
            <w:tcW w:w="508" w:type="pct"/>
            <w:noWrap/>
            <w:tcMar>
              <w:top w:w="29" w:type="dxa"/>
              <w:left w:w="115" w:type="dxa"/>
              <w:bottom w:w="29" w:type="dxa"/>
              <w:right w:w="115" w:type="dxa"/>
            </w:tcMar>
            <w:vAlign w:val="center"/>
            <w:hideMark/>
          </w:tcPr>
          <w:p w:rsidR="00AF5787" w:rsidP="00AF5787" w14:paraId="7DADBAB4" w14:textId="77777777">
            <w:pPr>
              <w:spacing w:before="60" w:after="60" w:line="254" w:lineRule="auto"/>
              <w:jc w:val="center"/>
              <w:rPr>
                <w:rFonts w:eastAsia="Calibri"/>
                <w:color w:val="000000"/>
              </w:rPr>
            </w:pPr>
            <w:r>
              <w:rPr>
                <w:rFonts w:eastAsia="Calibri"/>
              </w:rPr>
              <w:t>25.6</w:t>
            </w:r>
          </w:p>
        </w:tc>
        <w:tc>
          <w:tcPr>
            <w:tcW w:w="508" w:type="pct"/>
            <w:tcMar>
              <w:top w:w="29" w:type="dxa"/>
              <w:left w:w="115" w:type="dxa"/>
              <w:bottom w:w="29" w:type="dxa"/>
              <w:right w:w="115" w:type="dxa"/>
            </w:tcMar>
            <w:vAlign w:val="center"/>
            <w:hideMark/>
          </w:tcPr>
          <w:p w:rsidR="00AF5787" w:rsidP="00AF5787" w14:paraId="0CE098A2" w14:textId="77777777">
            <w:pPr>
              <w:spacing w:before="60" w:after="60" w:line="254" w:lineRule="auto"/>
              <w:jc w:val="center"/>
              <w:rPr>
                <w:rFonts w:eastAsia="Calibri"/>
                <w:color w:val="000000"/>
              </w:rPr>
            </w:pPr>
            <w:r>
              <w:rPr>
                <w:rFonts w:eastAsia="Calibri"/>
              </w:rPr>
              <w:t>25.5</w:t>
            </w:r>
          </w:p>
        </w:tc>
        <w:tc>
          <w:tcPr>
            <w:tcW w:w="508" w:type="pct"/>
            <w:tcMar>
              <w:top w:w="29" w:type="dxa"/>
              <w:left w:w="115" w:type="dxa"/>
              <w:bottom w:w="29" w:type="dxa"/>
              <w:right w:w="115" w:type="dxa"/>
            </w:tcMar>
            <w:vAlign w:val="center"/>
            <w:hideMark/>
          </w:tcPr>
          <w:p w:rsidR="00AF5787" w:rsidP="00AF5787" w14:paraId="1F4C4177" w14:textId="77777777">
            <w:pPr>
              <w:spacing w:before="60" w:after="60" w:line="254" w:lineRule="auto"/>
              <w:jc w:val="center"/>
              <w:rPr>
                <w:rFonts w:eastAsia="Calibri"/>
                <w:color w:val="000000"/>
              </w:rPr>
            </w:pPr>
            <w:r>
              <w:rPr>
                <w:rFonts w:eastAsia="Calibri"/>
              </w:rPr>
              <w:t>26.2</w:t>
            </w:r>
          </w:p>
        </w:tc>
        <w:tc>
          <w:tcPr>
            <w:tcW w:w="508" w:type="pct"/>
            <w:vAlign w:val="center"/>
            <w:hideMark/>
          </w:tcPr>
          <w:p w:rsidR="00AF5787" w:rsidP="00AF5787" w14:paraId="4B783810" w14:textId="77777777">
            <w:pPr>
              <w:spacing w:before="60" w:after="60" w:line="254" w:lineRule="auto"/>
              <w:jc w:val="center"/>
              <w:rPr>
                <w:rFonts w:eastAsia="Calibri"/>
                <w:color w:val="000000"/>
              </w:rPr>
            </w:pPr>
            <w:r>
              <w:rPr>
                <w:rFonts w:eastAsia="Calibri"/>
              </w:rPr>
              <w:t>24.5</w:t>
            </w:r>
          </w:p>
        </w:tc>
        <w:tc>
          <w:tcPr>
            <w:tcW w:w="508" w:type="pct"/>
            <w:vAlign w:val="center"/>
            <w:hideMark/>
          </w:tcPr>
          <w:p w:rsidR="00AF5787" w:rsidP="00AF5787" w14:paraId="5E0BA2BD" w14:textId="77777777">
            <w:pPr>
              <w:spacing w:before="60" w:after="60" w:line="254" w:lineRule="auto"/>
              <w:jc w:val="center"/>
              <w:rPr>
                <w:rFonts w:eastAsia="Calibri"/>
                <w:color w:val="000000"/>
              </w:rPr>
            </w:pPr>
            <w:r>
              <w:rPr>
                <w:rFonts w:eastAsia="Calibri"/>
              </w:rPr>
              <w:t>21.9</w:t>
            </w:r>
          </w:p>
        </w:tc>
        <w:tc>
          <w:tcPr>
            <w:tcW w:w="508" w:type="pct"/>
            <w:vAlign w:val="center"/>
            <w:hideMark/>
          </w:tcPr>
          <w:p w:rsidR="00AF5787" w:rsidP="00AF5787" w14:paraId="7F6F2032" w14:textId="77777777">
            <w:pPr>
              <w:spacing w:before="60" w:after="60" w:line="254" w:lineRule="auto"/>
              <w:jc w:val="center"/>
              <w:rPr>
                <w:rFonts w:eastAsia="Calibri"/>
                <w:color w:val="000000"/>
              </w:rPr>
            </w:pPr>
            <w:r>
              <w:rPr>
                <w:rFonts w:eastAsia="Calibri"/>
              </w:rPr>
              <w:t>15.1</w:t>
            </w:r>
          </w:p>
        </w:tc>
        <w:tc>
          <w:tcPr>
            <w:tcW w:w="508" w:type="pct"/>
            <w:vAlign w:val="center"/>
            <w:hideMark/>
          </w:tcPr>
          <w:p w:rsidR="00AF5787" w:rsidP="00AF5787" w14:paraId="653321D0" w14:textId="77777777">
            <w:pPr>
              <w:spacing w:before="60" w:after="60" w:line="254" w:lineRule="auto"/>
              <w:jc w:val="center"/>
              <w:rPr>
                <w:rFonts w:eastAsia="Calibri"/>
                <w:color w:val="000000"/>
              </w:rPr>
            </w:pPr>
            <w:r>
              <w:rPr>
                <w:rFonts w:eastAsia="Calibri"/>
              </w:rPr>
              <w:t>14.6</w:t>
            </w:r>
          </w:p>
        </w:tc>
        <w:tc>
          <w:tcPr>
            <w:tcW w:w="508" w:type="pct"/>
          </w:tcPr>
          <w:p w:rsidR="00AF5787" w:rsidRPr="00AD63B8" w:rsidP="00AF5787" w14:paraId="75A507F1" w14:textId="291001BC">
            <w:pPr>
              <w:spacing w:before="60" w:after="60" w:line="254" w:lineRule="auto"/>
              <w:jc w:val="center"/>
              <w:rPr>
                <w:rFonts w:eastAsia="Calibri"/>
                <w:color w:val="FFFFFF" w:themeColor="background1"/>
              </w:rPr>
            </w:pPr>
            <w:r w:rsidRPr="00FC07C4">
              <w:rPr>
                <w:color w:val="FFFFFF" w:themeColor="background1"/>
              </w:rPr>
              <w:t>N/A</w:t>
            </w:r>
          </w:p>
        </w:tc>
        <w:tc>
          <w:tcPr>
            <w:tcW w:w="508" w:type="pct"/>
          </w:tcPr>
          <w:p w:rsidR="00AF5787" w:rsidRPr="00AD63B8" w:rsidP="00AF5787" w14:paraId="572EB185" w14:textId="28DAA389">
            <w:pPr>
              <w:spacing w:before="60" w:after="60" w:line="254" w:lineRule="auto"/>
              <w:jc w:val="center"/>
              <w:rPr>
                <w:rFonts w:eastAsia="Calibri"/>
                <w:color w:val="FFFFFF" w:themeColor="background1"/>
              </w:rPr>
            </w:pPr>
            <w:r w:rsidRPr="00D724C5">
              <w:rPr>
                <w:color w:val="FFFFFF" w:themeColor="background1"/>
              </w:rPr>
              <w:t>N/A</w:t>
            </w:r>
          </w:p>
        </w:tc>
      </w:tr>
      <w:tr w14:paraId="344DB48E" w14:textId="77777777" w:rsidTr="001D4AA4">
        <w:tblPrEx>
          <w:tblW w:w="5000" w:type="pct"/>
          <w:tblCellMar>
            <w:left w:w="0" w:type="dxa"/>
            <w:right w:w="0" w:type="dxa"/>
          </w:tblCellMar>
          <w:tblLook w:val="0700"/>
        </w:tblPrEx>
        <w:trPr>
          <w:cantSplit/>
        </w:trPr>
        <w:tc>
          <w:tcPr>
            <w:tcW w:w="428" w:type="pct"/>
            <w:noWrap/>
            <w:tcMar>
              <w:top w:w="29" w:type="dxa"/>
              <w:left w:w="115" w:type="dxa"/>
              <w:bottom w:w="29" w:type="dxa"/>
              <w:right w:w="115" w:type="dxa"/>
            </w:tcMar>
            <w:vAlign w:val="bottom"/>
            <w:hideMark/>
          </w:tcPr>
          <w:p w:rsidR="00AF5787" w:rsidP="00AF5787" w14:paraId="4F3AEE9E" w14:textId="77777777">
            <w:pPr>
              <w:spacing w:before="60" w:after="60" w:line="254" w:lineRule="auto"/>
              <w:ind w:left="-210" w:right="-110"/>
              <w:jc w:val="center"/>
              <w:rPr>
                <w:rFonts w:eastAsia="Calibri"/>
                <w:color w:val="000000"/>
              </w:rPr>
            </w:pPr>
            <w:r>
              <w:rPr>
                <w:rFonts w:eastAsia="Calibri"/>
                <w:color w:val="000000"/>
              </w:rPr>
              <w:t>8</w:t>
            </w:r>
          </w:p>
        </w:tc>
        <w:tc>
          <w:tcPr>
            <w:tcW w:w="508" w:type="pct"/>
            <w:noWrap/>
            <w:tcMar>
              <w:top w:w="29" w:type="dxa"/>
              <w:left w:w="115" w:type="dxa"/>
              <w:bottom w:w="29" w:type="dxa"/>
              <w:right w:w="115" w:type="dxa"/>
            </w:tcMar>
            <w:vAlign w:val="center"/>
            <w:hideMark/>
          </w:tcPr>
          <w:p w:rsidR="00AF5787" w:rsidP="00AF5787" w14:paraId="22E0F718" w14:textId="77777777">
            <w:pPr>
              <w:spacing w:before="60" w:after="60" w:line="254" w:lineRule="auto"/>
              <w:jc w:val="center"/>
              <w:rPr>
                <w:rFonts w:eastAsia="Calibri"/>
                <w:color w:val="000000"/>
              </w:rPr>
            </w:pPr>
            <w:r>
              <w:rPr>
                <w:rFonts w:eastAsia="Calibri"/>
              </w:rPr>
              <w:t>23.0</w:t>
            </w:r>
          </w:p>
        </w:tc>
        <w:tc>
          <w:tcPr>
            <w:tcW w:w="508" w:type="pct"/>
            <w:shd w:val="clear" w:color="auto" w:fill="DBDBDB"/>
            <w:tcMar>
              <w:top w:w="29" w:type="dxa"/>
              <w:left w:w="115" w:type="dxa"/>
              <w:bottom w:w="29" w:type="dxa"/>
              <w:right w:w="115" w:type="dxa"/>
            </w:tcMar>
            <w:vAlign w:val="center"/>
            <w:hideMark/>
          </w:tcPr>
          <w:p w:rsidR="00AF5787" w:rsidP="00AF5787" w14:paraId="2B742970" w14:textId="11214F2B">
            <w:pPr>
              <w:spacing w:before="60" w:after="60" w:line="254" w:lineRule="auto"/>
              <w:jc w:val="center"/>
              <w:rPr>
                <w:rFonts w:eastAsia="Calibri"/>
              </w:rPr>
            </w:pPr>
            <w:r>
              <w:rPr>
                <w:rFonts w:eastAsia="Calibri"/>
              </w:rPr>
              <w:t>21.9*</w:t>
            </w:r>
          </w:p>
        </w:tc>
        <w:tc>
          <w:tcPr>
            <w:tcW w:w="508" w:type="pct"/>
            <w:shd w:val="clear" w:color="auto" w:fill="DBDBDB"/>
            <w:tcMar>
              <w:top w:w="29" w:type="dxa"/>
              <w:left w:w="115" w:type="dxa"/>
              <w:bottom w:w="29" w:type="dxa"/>
              <w:right w:w="115" w:type="dxa"/>
            </w:tcMar>
            <w:vAlign w:val="center"/>
            <w:hideMark/>
          </w:tcPr>
          <w:p w:rsidR="00AF5787" w:rsidP="00AF5787" w14:paraId="22667FBC" w14:textId="427156F2">
            <w:pPr>
              <w:spacing w:before="60" w:after="60" w:line="254" w:lineRule="auto"/>
              <w:jc w:val="center"/>
              <w:rPr>
                <w:rFonts w:eastAsia="Calibri"/>
              </w:rPr>
            </w:pPr>
            <w:r>
              <w:rPr>
                <w:rFonts w:eastAsia="Calibri"/>
              </w:rPr>
              <w:t>21.6*</w:t>
            </w:r>
          </w:p>
        </w:tc>
        <w:tc>
          <w:tcPr>
            <w:tcW w:w="508" w:type="pct"/>
            <w:vAlign w:val="center"/>
            <w:hideMark/>
          </w:tcPr>
          <w:p w:rsidR="00AF5787" w:rsidP="00AF5787" w14:paraId="513F252A" w14:textId="77777777">
            <w:pPr>
              <w:spacing w:before="60" w:after="60" w:line="254" w:lineRule="auto"/>
              <w:jc w:val="center"/>
              <w:rPr>
                <w:rFonts w:eastAsia="Calibri"/>
                <w:color w:val="000000"/>
              </w:rPr>
            </w:pPr>
            <w:r>
              <w:rPr>
                <w:rFonts w:eastAsia="Calibri"/>
              </w:rPr>
              <w:t>22.5</w:t>
            </w:r>
          </w:p>
        </w:tc>
        <w:tc>
          <w:tcPr>
            <w:tcW w:w="508" w:type="pct"/>
            <w:vAlign w:val="center"/>
            <w:hideMark/>
          </w:tcPr>
          <w:p w:rsidR="00AF5787" w:rsidP="00AF5787" w14:paraId="7E819C3D" w14:textId="77777777">
            <w:pPr>
              <w:spacing w:before="60" w:after="60" w:line="254" w:lineRule="auto"/>
              <w:jc w:val="center"/>
              <w:rPr>
                <w:rFonts w:eastAsia="Calibri"/>
                <w:color w:val="000000"/>
              </w:rPr>
            </w:pPr>
            <w:r>
              <w:rPr>
                <w:rFonts w:eastAsia="Calibri"/>
              </w:rPr>
              <w:t>20.1</w:t>
            </w:r>
          </w:p>
        </w:tc>
        <w:tc>
          <w:tcPr>
            <w:tcW w:w="508" w:type="pct"/>
            <w:vAlign w:val="center"/>
            <w:hideMark/>
          </w:tcPr>
          <w:p w:rsidR="00AF5787" w:rsidP="00AF5787" w14:paraId="4D53C426" w14:textId="77777777">
            <w:pPr>
              <w:spacing w:before="60" w:after="60" w:line="254" w:lineRule="auto"/>
              <w:jc w:val="center"/>
              <w:rPr>
                <w:rFonts w:eastAsia="Calibri"/>
                <w:color w:val="000000"/>
              </w:rPr>
            </w:pPr>
            <w:r>
              <w:rPr>
                <w:rFonts w:eastAsia="Calibri"/>
              </w:rPr>
              <w:t>14.0</w:t>
            </w:r>
          </w:p>
        </w:tc>
        <w:tc>
          <w:tcPr>
            <w:tcW w:w="508" w:type="pct"/>
          </w:tcPr>
          <w:p w:rsidR="00AF5787" w:rsidRPr="00AD63B8" w:rsidP="00AF5787" w14:paraId="2198C68A" w14:textId="482F759B">
            <w:pPr>
              <w:spacing w:before="60" w:after="60" w:line="254" w:lineRule="auto"/>
              <w:jc w:val="center"/>
              <w:rPr>
                <w:rFonts w:eastAsia="Calibri"/>
                <w:color w:val="FFFFFF" w:themeColor="background1"/>
              </w:rPr>
            </w:pPr>
            <w:r w:rsidRPr="00AC76D6">
              <w:rPr>
                <w:color w:val="FFFFFF" w:themeColor="background1"/>
              </w:rPr>
              <w:t>N/A</w:t>
            </w:r>
          </w:p>
        </w:tc>
        <w:tc>
          <w:tcPr>
            <w:tcW w:w="508" w:type="pct"/>
          </w:tcPr>
          <w:p w:rsidR="00AF5787" w:rsidRPr="00AD63B8" w:rsidP="00AF5787" w14:paraId="7D0562B6" w14:textId="661F4397">
            <w:pPr>
              <w:spacing w:before="60" w:after="60" w:line="254" w:lineRule="auto"/>
              <w:jc w:val="center"/>
              <w:rPr>
                <w:rFonts w:eastAsia="Calibri"/>
                <w:color w:val="FFFFFF" w:themeColor="background1"/>
              </w:rPr>
            </w:pPr>
            <w:r w:rsidRPr="00FC07C4">
              <w:rPr>
                <w:color w:val="FFFFFF" w:themeColor="background1"/>
              </w:rPr>
              <w:t>N/A</w:t>
            </w:r>
          </w:p>
        </w:tc>
        <w:tc>
          <w:tcPr>
            <w:tcW w:w="508" w:type="pct"/>
          </w:tcPr>
          <w:p w:rsidR="00AF5787" w:rsidRPr="00AD63B8" w:rsidP="00AF5787" w14:paraId="52A8E45D" w14:textId="66C07444">
            <w:pPr>
              <w:spacing w:before="60" w:after="60" w:line="254" w:lineRule="auto"/>
              <w:jc w:val="center"/>
              <w:rPr>
                <w:rFonts w:eastAsia="Calibri"/>
                <w:color w:val="FFFFFF" w:themeColor="background1"/>
              </w:rPr>
            </w:pPr>
            <w:r w:rsidRPr="00D724C5">
              <w:rPr>
                <w:color w:val="FFFFFF" w:themeColor="background1"/>
              </w:rPr>
              <w:t>N/A</w:t>
            </w:r>
          </w:p>
        </w:tc>
      </w:tr>
      <w:tr w14:paraId="51A32E8F" w14:textId="77777777" w:rsidTr="001D4AA4">
        <w:tblPrEx>
          <w:tblW w:w="5000" w:type="pct"/>
          <w:tblCellMar>
            <w:left w:w="0" w:type="dxa"/>
            <w:right w:w="0" w:type="dxa"/>
          </w:tblCellMar>
          <w:tblLook w:val="0700"/>
        </w:tblPrEx>
        <w:trPr>
          <w:cantSplit/>
        </w:trPr>
        <w:tc>
          <w:tcPr>
            <w:tcW w:w="428" w:type="pct"/>
            <w:noWrap/>
            <w:tcMar>
              <w:top w:w="29" w:type="dxa"/>
              <w:left w:w="115" w:type="dxa"/>
              <w:bottom w:w="29" w:type="dxa"/>
              <w:right w:w="115" w:type="dxa"/>
            </w:tcMar>
            <w:vAlign w:val="bottom"/>
            <w:hideMark/>
          </w:tcPr>
          <w:p w:rsidR="00AF5787" w:rsidP="00AF5787" w14:paraId="24146D3A" w14:textId="77777777">
            <w:pPr>
              <w:spacing w:before="60" w:after="60" w:line="254" w:lineRule="auto"/>
              <w:ind w:left="-210" w:right="-110"/>
              <w:jc w:val="center"/>
              <w:rPr>
                <w:rFonts w:eastAsia="Calibri"/>
                <w:color w:val="000000"/>
              </w:rPr>
            </w:pPr>
            <w:r>
              <w:rPr>
                <w:rFonts w:eastAsia="Calibri"/>
                <w:color w:val="000000"/>
              </w:rPr>
              <w:t>9</w:t>
            </w:r>
          </w:p>
        </w:tc>
        <w:tc>
          <w:tcPr>
            <w:tcW w:w="508" w:type="pct"/>
            <w:shd w:val="clear" w:color="auto" w:fill="DBDBDB"/>
            <w:noWrap/>
            <w:tcMar>
              <w:top w:w="29" w:type="dxa"/>
              <w:left w:w="115" w:type="dxa"/>
              <w:bottom w:w="29" w:type="dxa"/>
              <w:right w:w="115" w:type="dxa"/>
            </w:tcMar>
            <w:vAlign w:val="center"/>
            <w:hideMark/>
          </w:tcPr>
          <w:p w:rsidR="00AF5787" w:rsidP="00AF5787" w14:paraId="3EAF020B" w14:textId="45E6E283">
            <w:pPr>
              <w:spacing w:before="60" w:after="60" w:line="254" w:lineRule="auto"/>
              <w:jc w:val="center"/>
              <w:rPr>
                <w:rFonts w:eastAsia="Calibri"/>
              </w:rPr>
            </w:pPr>
            <w:r>
              <w:rPr>
                <w:rFonts w:eastAsia="Calibri"/>
              </w:rPr>
              <w:t>22.7*</w:t>
            </w:r>
          </w:p>
        </w:tc>
        <w:tc>
          <w:tcPr>
            <w:tcW w:w="508" w:type="pct"/>
            <w:tcMar>
              <w:top w:w="29" w:type="dxa"/>
              <w:left w:w="115" w:type="dxa"/>
              <w:bottom w:w="29" w:type="dxa"/>
              <w:right w:w="115" w:type="dxa"/>
            </w:tcMar>
            <w:vAlign w:val="center"/>
            <w:hideMark/>
          </w:tcPr>
          <w:p w:rsidR="00AF5787" w:rsidP="00AF5787" w14:paraId="5AEE2DC5" w14:textId="77777777">
            <w:pPr>
              <w:spacing w:before="60" w:after="60" w:line="254" w:lineRule="auto"/>
              <w:jc w:val="center"/>
              <w:rPr>
                <w:rFonts w:eastAsia="Calibri"/>
                <w:color w:val="000000"/>
              </w:rPr>
            </w:pPr>
            <w:r>
              <w:rPr>
                <w:rFonts w:eastAsia="Calibri"/>
              </w:rPr>
              <w:t>22.1</w:t>
            </w:r>
          </w:p>
        </w:tc>
        <w:tc>
          <w:tcPr>
            <w:tcW w:w="508" w:type="pct"/>
            <w:tcMar>
              <w:top w:w="29" w:type="dxa"/>
              <w:left w:w="115" w:type="dxa"/>
              <w:bottom w:w="29" w:type="dxa"/>
              <w:right w:w="115" w:type="dxa"/>
            </w:tcMar>
            <w:vAlign w:val="center"/>
            <w:hideMark/>
          </w:tcPr>
          <w:p w:rsidR="00AF5787" w:rsidP="00AF5787" w14:paraId="7E5ECD3B" w14:textId="77777777">
            <w:pPr>
              <w:spacing w:before="60" w:after="60" w:line="254" w:lineRule="auto"/>
              <w:jc w:val="center"/>
              <w:rPr>
                <w:rFonts w:eastAsia="Calibri"/>
                <w:color w:val="000000"/>
              </w:rPr>
            </w:pPr>
            <w:r>
              <w:rPr>
                <w:rFonts w:eastAsia="Calibri"/>
              </w:rPr>
              <w:t>22.7</w:t>
            </w:r>
          </w:p>
        </w:tc>
        <w:tc>
          <w:tcPr>
            <w:tcW w:w="508" w:type="pct"/>
            <w:vAlign w:val="center"/>
            <w:hideMark/>
          </w:tcPr>
          <w:p w:rsidR="00AF5787" w:rsidP="00AF5787" w14:paraId="15F45B81" w14:textId="77777777">
            <w:pPr>
              <w:spacing w:before="60" w:after="60" w:line="254" w:lineRule="auto"/>
              <w:jc w:val="center"/>
              <w:rPr>
                <w:rFonts w:eastAsia="Calibri"/>
                <w:color w:val="000000"/>
              </w:rPr>
            </w:pPr>
            <w:r>
              <w:rPr>
                <w:rFonts w:eastAsia="Calibri"/>
              </w:rPr>
              <w:t>21.0</w:t>
            </w:r>
          </w:p>
        </w:tc>
        <w:tc>
          <w:tcPr>
            <w:tcW w:w="508" w:type="pct"/>
            <w:vAlign w:val="center"/>
            <w:hideMark/>
          </w:tcPr>
          <w:p w:rsidR="00AF5787" w:rsidP="00AF5787" w14:paraId="5A671C22" w14:textId="77777777">
            <w:pPr>
              <w:spacing w:before="60" w:after="60" w:line="254" w:lineRule="auto"/>
              <w:jc w:val="center"/>
              <w:rPr>
                <w:rFonts w:eastAsia="Calibri"/>
                <w:color w:val="000000"/>
              </w:rPr>
            </w:pPr>
            <w:r>
              <w:rPr>
                <w:rFonts w:eastAsia="Calibri"/>
              </w:rPr>
              <w:t>18.6</w:t>
            </w:r>
          </w:p>
        </w:tc>
        <w:tc>
          <w:tcPr>
            <w:tcW w:w="508" w:type="pct"/>
            <w:vAlign w:val="center"/>
            <w:hideMark/>
          </w:tcPr>
          <w:p w:rsidR="00AF5787" w:rsidP="00AF5787" w14:paraId="40AF2E00" w14:textId="77777777">
            <w:pPr>
              <w:spacing w:before="60" w:after="60" w:line="254" w:lineRule="auto"/>
              <w:jc w:val="center"/>
              <w:rPr>
                <w:rFonts w:eastAsia="Calibri"/>
                <w:color w:val="000000"/>
              </w:rPr>
            </w:pPr>
            <w:r>
              <w:rPr>
                <w:rFonts w:eastAsia="Calibri"/>
              </w:rPr>
              <w:t>13.0</w:t>
            </w:r>
          </w:p>
        </w:tc>
        <w:tc>
          <w:tcPr>
            <w:tcW w:w="508" w:type="pct"/>
          </w:tcPr>
          <w:p w:rsidR="00AF5787" w:rsidRPr="00AD63B8" w:rsidP="00AF5787" w14:paraId="1B849430" w14:textId="5FBF96F2">
            <w:pPr>
              <w:spacing w:before="60" w:after="60" w:line="254" w:lineRule="auto"/>
              <w:jc w:val="center"/>
              <w:rPr>
                <w:rFonts w:eastAsia="Calibri"/>
                <w:color w:val="FFFFFF" w:themeColor="background1"/>
              </w:rPr>
            </w:pPr>
            <w:r w:rsidRPr="00AC76D6">
              <w:rPr>
                <w:color w:val="FFFFFF" w:themeColor="background1"/>
              </w:rPr>
              <w:t>N/A</w:t>
            </w:r>
          </w:p>
        </w:tc>
        <w:tc>
          <w:tcPr>
            <w:tcW w:w="508" w:type="pct"/>
          </w:tcPr>
          <w:p w:rsidR="00AF5787" w:rsidRPr="00AD63B8" w:rsidP="00AF5787" w14:paraId="4835B547" w14:textId="5870DDD5">
            <w:pPr>
              <w:spacing w:before="60" w:after="60" w:line="254" w:lineRule="auto"/>
              <w:jc w:val="center"/>
              <w:rPr>
                <w:rFonts w:eastAsia="Calibri"/>
                <w:color w:val="FFFFFF" w:themeColor="background1"/>
              </w:rPr>
            </w:pPr>
            <w:r w:rsidRPr="00FC07C4">
              <w:rPr>
                <w:color w:val="FFFFFF" w:themeColor="background1"/>
              </w:rPr>
              <w:t>N/A</w:t>
            </w:r>
          </w:p>
        </w:tc>
        <w:tc>
          <w:tcPr>
            <w:tcW w:w="508" w:type="pct"/>
          </w:tcPr>
          <w:p w:rsidR="00AF5787" w:rsidRPr="00AD63B8" w:rsidP="00AF5787" w14:paraId="4F783557" w14:textId="00394912">
            <w:pPr>
              <w:spacing w:before="60" w:after="60" w:line="254" w:lineRule="auto"/>
              <w:jc w:val="center"/>
              <w:rPr>
                <w:rFonts w:eastAsia="Calibri"/>
                <w:color w:val="FFFFFF" w:themeColor="background1"/>
              </w:rPr>
            </w:pPr>
            <w:r w:rsidRPr="00D724C5">
              <w:rPr>
                <w:color w:val="FFFFFF" w:themeColor="background1"/>
              </w:rPr>
              <w:t>N/A</w:t>
            </w:r>
          </w:p>
        </w:tc>
      </w:tr>
      <w:tr w14:paraId="6BD6CCA3" w14:textId="77777777" w:rsidTr="001D4AA4">
        <w:tblPrEx>
          <w:tblW w:w="5000" w:type="pct"/>
          <w:tblCellMar>
            <w:left w:w="0" w:type="dxa"/>
            <w:right w:w="0" w:type="dxa"/>
          </w:tblCellMar>
          <w:tblLook w:val="0700"/>
        </w:tblPrEx>
        <w:trPr>
          <w:cantSplit/>
        </w:trPr>
        <w:tc>
          <w:tcPr>
            <w:tcW w:w="428" w:type="pct"/>
            <w:noWrap/>
            <w:tcMar>
              <w:top w:w="29" w:type="dxa"/>
              <w:left w:w="115" w:type="dxa"/>
              <w:bottom w:w="29" w:type="dxa"/>
              <w:right w:w="115" w:type="dxa"/>
            </w:tcMar>
            <w:vAlign w:val="bottom"/>
            <w:hideMark/>
          </w:tcPr>
          <w:p w:rsidR="00AF5787" w:rsidP="00AF5787" w14:paraId="7C3E09A0" w14:textId="77777777">
            <w:pPr>
              <w:spacing w:before="60" w:after="60" w:line="254" w:lineRule="auto"/>
              <w:ind w:left="-210" w:right="-110"/>
              <w:jc w:val="center"/>
              <w:rPr>
                <w:rFonts w:eastAsia="Calibri"/>
                <w:color w:val="000000"/>
              </w:rPr>
            </w:pPr>
            <w:r>
              <w:rPr>
                <w:rFonts w:eastAsia="Calibri"/>
                <w:color w:val="000000"/>
              </w:rPr>
              <w:t>10</w:t>
            </w:r>
          </w:p>
        </w:tc>
        <w:tc>
          <w:tcPr>
            <w:tcW w:w="508" w:type="pct"/>
            <w:noWrap/>
            <w:tcMar>
              <w:top w:w="29" w:type="dxa"/>
              <w:left w:w="115" w:type="dxa"/>
              <w:bottom w:w="29" w:type="dxa"/>
              <w:right w:w="115" w:type="dxa"/>
            </w:tcMar>
            <w:vAlign w:val="center"/>
            <w:hideMark/>
          </w:tcPr>
          <w:p w:rsidR="00AF5787" w:rsidP="00AF5787" w14:paraId="73042B9E" w14:textId="77777777">
            <w:pPr>
              <w:spacing w:before="60" w:after="60" w:line="254" w:lineRule="auto"/>
              <w:jc w:val="center"/>
              <w:rPr>
                <w:rFonts w:eastAsia="Calibri"/>
                <w:color w:val="000000"/>
              </w:rPr>
            </w:pPr>
            <w:r>
              <w:rPr>
                <w:rFonts w:eastAsia="Calibri"/>
              </w:rPr>
              <w:t>21.7</w:t>
            </w:r>
          </w:p>
        </w:tc>
        <w:tc>
          <w:tcPr>
            <w:tcW w:w="508" w:type="pct"/>
            <w:tcMar>
              <w:top w:w="29" w:type="dxa"/>
              <w:left w:w="115" w:type="dxa"/>
              <w:bottom w:w="29" w:type="dxa"/>
              <w:right w:w="115" w:type="dxa"/>
            </w:tcMar>
            <w:vAlign w:val="center"/>
            <w:hideMark/>
          </w:tcPr>
          <w:p w:rsidR="00AF5787" w:rsidP="00AF5787" w14:paraId="020A4D34" w14:textId="77777777">
            <w:pPr>
              <w:spacing w:before="60" w:after="60" w:line="254" w:lineRule="auto"/>
              <w:jc w:val="center"/>
              <w:rPr>
                <w:rFonts w:eastAsia="Calibri"/>
                <w:color w:val="000000"/>
              </w:rPr>
            </w:pPr>
            <w:r>
              <w:rPr>
                <w:rFonts w:eastAsia="Calibri"/>
              </w:rPr>
              <w:t>21.8</w:t>
            </w:r>
          </w:p>
        </w:tc>
        <w:tc>
          <w:tcPr>
            <w:tcW w:w="508" w:type="pct"/>
            <w:tcMar>
              <w:top w:w="29" w:type="dxa"/>
              <w:left w:w="115" w:type="dxa"/>
              <w:bottom w:w="29" w:type="dxa"/>
              <w:right w:w="115" w:type="dxa"/>
            </w:tcMar>
            <w:vAlign w:val="center"/>
            <w:hideMark/>
          </w:tcPr>
          <w:p w:rsidR="00AF5787" w:rsidP="00AF5787" w14:paraId="604080A8" w14:textId="77777777">
            <w:pPr>
              <w:spacing w:before="60" w:after="60" w:line="254" w:lineRule="auto"/>
              <w:jc w:val="center"/>
              <w:rPr>
                <w:rFonts w:eastAsia="Calibri"/>
                <w:color w:val="000000"/>
              </w:rPr>
            </w:pPr>
            <w:r>
              <w:rPr>
                <w:rFonts w:eastAsia="Calibri"/>
              </w:rPr>
              <w:t>20.7</w:t>
            </w:r>
          </w:p>
        </w:tc>
        <w:tc>
          <w:tcPr>
            <w:tcW w:w="508" w:type="pct"/>
            <w:vAlign w:val="center"/>
            <w:hideMark/>
          </w:tcPr>
          <w:p w:rsidR="00AF5787" w:rsidP="00AF5787" w14:paraId="259492CA" w14:textId="77777777">
            <w:pPr>
              <w:spacing w:before="60" w:after="60" w:line="254" w:lineRule="auto"/>
              <w:jc w:val="center"/>
              <w:rPr>
                <w:rFonts w:eastAsia="Calibri"/>
                <w:color w:val="000000"/>
              </w:rPr>
            </w:pPr>
            <w:r>
              <w:rPr>
                <w:rFonts w:eastAsia="Calibri"/>
              </w:rPr>
              <w:t>19.0</w:t>
            </w:r>
          </w:p>
        </w:tc>
        <w:tc>
          <w:tcPr>
            <w:tcW w:w="508" w:type="pct"/>
            <w:vAlign w:val="center"/>
            <w:hideMark/>
          </w:tcPr>
          <w:p w:rsidR="00AF5787" w:rsidP="00AF5787" w14:paraId="4FD00D20" w14:textId="77777777">
            <w:pPr>
              <w:spacing w:before="60" w:after="60" w:line="254" w:lineRule="auto"/>
              <w:jc w:val="center"/>
              <w:rPr>
                <w:rFonts w:eastAsia="Calibri"/>
                <w:color w:val="000000"/>
              </w:rPr>
            </w:pPr>
            <w:r>
              <w:rPr>
                <w:rFonts w:eastAsia="Calibri"/>
              </w:rPr>
              <w:t>17.1</w:t>
            </w:r>
          </w:p>
        </w:tc>
        <w:tc>
          <w:tcPr>
            <w:tcW w:w="508" w:type="pct"/>
            <w:vAlign w:val="center"/>
            <w:hideMark/>
          </w:tcPr>
          <w:p w:rsidR="00AF5787" w:rsidP="00AF5787" w14:paraId="7B9451DF" w14:textId="77777777">
            <w:pPr>
              <w:spacing w:before="60" w:after="60" w:line="254" w:lineRule="auto"/>
              <w:jc w:val="center"/>
              <w:rPr>
                <w:rFonts w:eastAsia="Calibri"/>
                <w:color w:val="000000"/>
              </w:rPr>
            </w:pPr>
            <w:r>
              <w:rPr>
                <w:rFonts w:eastAsia="Calibri"/>
              </w:rPr>
              <w:t>12.3</w:t>
            </w:r>
          </w:p>
        </w:tc>
        <w:tc>
          <w:tcPr>
            <w:tcW w:w="508" w:type="pct"/>
          </w:tcPr>
          <w:p w:rsidR="00AF5787" w:rsidRPr="00AD63B8" w:rsidP="00AF5787" w14:paraId="0415E2A2" w14:textId="540EA15F">
            <w:pPr>
              <w:spacing w:before="60" w:after="60" w:line="254" w:lineRule="auto"/>
              <w:jc w:val="center"/>
              <w:rPr>
                <w:rFonts w:eastAsia="Calibri"/>
                <w:color w:val="FFFFFF" w:themeColor="background1"/>
              </w:rPr>
            </w:pPr>
            <w:r w:rsidRPr="00AC76D6">
              <w:rPr>
                <w:color w:val="FFFFFF" w:themeColor="background1"/>
              </w:rPr>
              <w:t>N/A</w:t>
            </w:r>
          </w:p>
        </w:tc>
        <w:tc>
          <w:tcPr>
            <w:tcW w:w="508" w:type="pct"/>
          </w:tcPr>
          <w:p w:rsidR="00AF5787" w:rsidRPr="00AD63B8" w:rsidP="00AF5787" w14:paraId="56A415D3" w14:textId="7CFB1662">
            <w:pPr>
              <w:spacing w:before="60" w:after="60" w:line="254" w:lineRule="auto"/>
              <w:jc w:val="center"/>
              <w:rPr>
                <w:rFonts w:eastAsia="Calibri"/>
                <w:color w:val="FFFFFF" w:themeColor="background1"/>
              </w:rPr>
            </w:pPr>
            <w:r w:rsidRPr="00FC07C4">
              <w:rPr>
                <w:color w:val="FFFFFF" w:themeColor="background1"/>
              </w:rPr>
              <w:t>N/A</w:t>
            </w:r>
          </w:p>
        </w:tc>
        <w:tc>
          <w:tcPr>
            <w:tcW w:w="508" w:type="pct"/>
          </w:tcPr>
          <w:p w:rsidR="00AF5787" w:rsidRPr="00AD63B8" w:rsidP="00AF5787" w14:paraId="6FE62999" w14:textId="30B4EE63">
            <w:pPr>
              <w:spacing w:before="60" w:after="60" w:line="254" w:lineRule="auto"/>
              <w:jc w:val="center"/>
              <w:rPr>
                <w:rFonts w:eastAsia="Calibri"/>
                <w:color w:val="FFFFFF" w:themeColor="background1"/>
              </w:rPr>
            </w:pPr>
            <w:r w:rsidRPr="00D724C5">
              <w:rPr>
                <w:color w:val="FFFFFF" w:themeColor="background1"/>
              </w:rPr>
              <w:t>N/A</w:t>
            </w:r>
          </w:p>
        </w:tc>
      </w:tr>
      <w:tr w14:paraId="03A339E9" w14:textId="77777777" w:rsidTr="001D4AA4">
        <w:tblPrEx>
          <w:tblW w:w="5000" w:type="pct"/>
          <w:tblCellMar>
            <w:left w:w="0" w:type="dxa"/>
            <w:right w:w="0" w:type="dxa"/>
          </w:tblCellMar>
          <w:tblLook w:val="0700"/>
        </w:tblPrEx>
        <w:trPr>
          <w:cantSplit/>
        </w:trPr>
        <w:tc>
          <w:tcPr>
            <w:tcW w:w="428" w:type="pct"/>
            <w:noWrap/>
            <w:tcMar>
              <w:top w:w="29" w:type="dxa"/>
              <w:left w:w="115" w:type="dxa"/>
              <w:bottom w:w="29" w:type="dxa"/>
              <w:right w:w="115" w:type="dxa"/>
            </w:tcMar>
            <w:vAlign w:val="bottom"/>
            <w:hideMark/>
          </w:tcPr>
          <w:p w:rsidR="00AF5787" w:rsidP="00AF5787" w14:paraId="2A75855F" w14:textId="77777777">
            <w:pPr>
              <w:spacing w:before="60" w:after="60" w:line="254" w:lineRule="auto"/>
              <w:ind w:left="-210" w:right="-110"/>
              <w:jc w:val="center"/>
              <w:rPr>
                <w:rFonts w:eastAsia="Calibri"/>
                <w:color w:val="000000"/>
              </w:rPr>
            </w:pPr>
            <w:r>
              <w:rPr>
                <w:rFonts w:eastAsia="Calibri"/>
                <w:color w:val="000000"/>
              </w:rPr>
              <w:t>11</w:t>
            </w:r>
          </w:p>
        </w:tc>
        <w:tc>
          <w:tcPr>
            <w:tcW w:w="508" w:type="pct"/>
            <w:noWrap/>
            <w:tcMar>
              <w:top w:w="29" w:type="dxa"/>
              <w:left w:w="115" w:type="dxa"/>
              <w:bottom w:w="29" w:type="dxa"/>
              <w:right w:w="115" w:type="dxa"/>
            </w:tcMar>
            <w:vAlign w:val="center"/>
            <w:hideMark/>
          </w:tcPr>
          <w:p w:rsidR="00AF5787" w:rsidP="00AF5787" w14:paraId="798A6699" w14:textId="77777777">
            <w:pPr>
              <w:spacing w:before="60" w:after="60" w:line="254" w:lineRule="auto"/>
              <w:jc w:val="center"/>
              <w:rPr>
                <w:rFonts w:eastAsia="Calibri"/>
                <w:color w:val="000000"/>
              </w:rPr>
            </w:pPr>
            <w:r>
              <w:rPr>
                <w:rFonts w:eastAsia="Calibri"/>
                <w:color w:val="000000"/>
              </w:rPr>
              <w:t>21.7</w:t>
            </w:r>
          </w:p>
        </w:tc>
        <w:tc>
          <w:tcPr>
            <w:tcW w:w="508" w:type="pct"/>
            <w:tcMar>
              <w:top w:w="29" w:type="dxa"/>
              <w:left w:w="115" w:type="dxa"/>
              <w:bottom w:w="29" w:type="dxa"/>
              <w:right w:w="115" w:type="dxa"/>
            </w:tcMar>
            <w:vAlign w:val="center"/>
            <w:hideMark/>
          </w:tcPr>
          <w:p w:rsidR="00AF5787" w:rsidP="00AF5787" w14:paraId="4D8EFAA9" w14:textId="77777777">
            <w:pPr>
              <w:spacing w:before="60" w:after="60" w:line="254" w:lineRule="auto"/>
              <w:jc w:val="center"/>
              <w:rPr>
                <w:rFonts w:eastAsia="Calibri"/>
                <w:color w:val="000000"/>
              </w:rPr>
            </w:pPr>
            <w:r>
              <w:rPr>
                <w:rFonts w:eastAsia="Calibri"/>
              </w:rPr>
              <w:t>20.4</w:t>
            </w:r>
          </w:p>
        </w:tc>
        <w:tc>
          <w:tcPr>
            <w:tcW w:w="508" w:type="pct"/>
            <w:tcMar>
              <w:top w:w="29" w:type="dxa"/>
              <w:left w:w="115" w:type="dxa"/>
              <w:bottom w:w="29" w:type="dxa"/>
              <w:right w:w="115" w:type="dxa"/>
            </w:tcMar>
            <w:vAlign w:val="center"/>
            <w:hideMark/>
          </w:tcPr>
          <w:p w:rsidR="00AF5787" w:rsidP="00AF5787" w14:paraId="013301A3" w14:textId="77777777">
            <w:pPr>
              <w:spacing w:before="60" w:after="60" w:line="254" w:lineRule="auto"/>
              <w:jc w:val="center"/>
              <w:rPr>
                <w:rFonts w:eastAsia="Calibri"/>
                <w:color w:val="000000"/>
              </w:rPr>
            </w:pPr>
            <w:r>
              <w:rPr>
                <w:rFonts w:eastAsia="Calibri"/>
                <w:color w:val="000000"/>
              </w:rPr>
              <w:t>20.3</w:t>
            </w:r>
          </w:p>
        </w:tc>
        <w:tc>
          <w:tcPr>
            <w:tcW w:w="508" w:type="pct"/>
            <w:vAlign w:val="center"/>
            <w:hideMark/>
          </w:tcPr>
          <w:p w:rsidR="00AF5787" w:rsidP="00AF5787" w14:paraId="1CD26E55" w14:textId="77777777">
            <w:pPr>
              <w:spacing w:before="60" w:after="60" w:line="254" w:lineRule="auto"/>
              <w:jc w:val="center"/>
              <w:rPr>
                <w:rFonts w:eastAsia="Calibri"/>
                <w:color w:val="000000"/>
              </w:rPr>
            </w:pPr>
            <w:r>
              <w:rPr>
                <w:rFonts w:eastAsia="Calibri"/>
              </w:rPr>
              <w:t>18.8</w:t>
            </w:r>
          </w:p>
        </w:tc>
        <w:tc>
          <w:tcPr>
            <w:tcW w:w="508" w:type="pct"/>
            <w:vAlign w:val="center"/>
            <w:hideMark/>
          </w:tcPr>
          <w:p w:rsidR="00AF5787" w:rsidP="00AF5787" w14:paraId="4FDF7B7C" w14:textId="77777777">
            <w:pPr>
              <w:spacing w:before="60" w:after="60" w:line="254" w:lineRule="auto"/>
              <w:jc w:val="center"/>
              <w:rPr>
                <w:rFonts w:eastAsia="Calibri"/>
                <w:color w:val="000000"/>
              </w:rPr>
            </w:pPr>
            <w:r>
              <w:rPr>
                <w:rFonts w:eastAsia="Calibri"/>
              </w:rPr>
              <w:t>17.1</w:t>
            </w:r>
          </w:p>
        </w:tc>
        <w:tc>
          <w:tcPr>
            <w:tcW w:w="508" w:type="pct"/>
            <w:vAlign w:val="center"/>
          </w:tcPr>
          <w:p w:rsidR="00AF5787" w:rsidP="00AF5787" w14:paraId="4B9129C3" w14:textId="417FF25C">
            <w:pPr>
              <w:spacing w:before="60" w:after="60" w:line="254" w:lineRule="auto"/>
              <w:jc w:val="center"/>
              <w:rPr>
                <w:rFonts w:eastAsia="Calibri"/>
                <w:color w:val="000000"/>
              </w:rPr>
            </w:pPr>
            <w:r w:rsidRPr="00AF5787">
              <w:rPr>
                <w:rFonts w:eastAsia="Calibri"/>
                <w:color w:val="FFFFFF" w:themeColor="background1"/>
              </w:rPr>
              <w:t>N/A</w:t>
            </w:r>
          </w:p>
        </w:tc>
        <w:tc>
          <w:tcPr>
            <w:tcW w:w="508" w:type="pct"/>
          </w:tcPr>
          <w:p w:rsidR="00AF5787" w:rsidRPr="00AD63B8" w:rsidP="00AF5787" w14:paraId="1AFBFA9B" w14:textId="5051A316">
            <w:pPr>
              <w:spacing w:before="60" w:after="60" w:line="254" w:lineRule="auto"/>
              <w:jc w:val="center"/>
              <w:rPr>
                <w:rFonts w:eastAsia="Calibri"/>
                <w:color w:val="FFFFFF" w:themeColor="background1"/>
              </w:rPr>
            </w:pPr>
            <w:r w:rsidRPr="00AC76D6">
              <w:rPr>
                <w:color w:val="FFFFFF" w:themeColor="background1"/>
              </w:rPr>
              <w:t>N/A</w:t>
            </w:r>
          </w:p>
        </w:tc>
        <w:tc>
          <w:tcPr>
            <w:tcW w:w="508" w:type="pct"/>
          </w:tcPr>
          <w:p w:rsidR="00AF5787" w:rsidRPr="00AD63B8" w:rsidP="00AF5787" w14:paraId="4FC9BAD7" w14:textId="47969DEB">
            <w:pPr>
              <w:spacing w:before="60" w:after="60" w:line="254" w:lineRule="auto"/>
              <w:jc w:val="center"/>
              <w:rPr>
                <w:rFonts w:eastAsia="Calibri"/>
                <w:color w:val="FFFFFF" w:themeColor="background1"/>
              </w:rPr>
            </w:pPr>
            <w:r w:rsidRPr="00FC07C4">
              <w:rPr>
                <w:color w:val="FFFFFF" w:themeColor="background1"/>
              </w:rPr>
              <w:t>N/A</w:t>
            </w:r>
          </w:p>
        </w:tc>
        <w:tc>
          <w:tcPr>
            <w:tcW w:w="508" w:type="pct"/>
          </w:tcPr>
          <w:p w:rsidR="00AF5787" w:rsidRPr="00AD63B8" w:rsidP="00AF5787" w14:paraId="09119C3B" w14:textId="282A244F">
            <w:pPr>
              <w:spacing w:before="60" w:after="60" w:line="254" w:lineRule="auto"/>
              <w:jc w:val="center"/>
              <w:rPr>
                <w:rFonts w:eastAsia="Calibri"/>
                <w:color w:val="FFFFFF" w:themeColor="background1"/>
              </w:rPr>
            </w:pPr>
            <w:r w:rsidRPr="00D724C5">
              <w:rPr>
                <w:color w:val="FFFFFF" w:themeColor="background1"/>
              </w:rPr>
              <w:t>N/A</w:t>
            </w:r>
          </w:p>
        </w:tc>
      </w:tr>
    </w:tbl>
    <w:p w:rsidR="00D8684D" w:rsidP="00D8684D" w14:paraId="0F33F2A0" w14:textId="77777777">
      <w:pPr>
        <w:pStyle w:val="Note"/>
      </w:pPr>
      <w:r>
        <w:t xml:space="preserve">Note: </w:t>
      </w:r>
      <w:bookmarkEnd w:id="16"/>
      <w:r w:rsidRPr="00D94F41" w:rsidR="0077371E">
        <w:t>In rounds where some cases are intentionally not fielded</w:t>
      </w:r>
      <w:r w:rsidR="006362A6">
        <w:t>, or “not in round” (NIR)</w:t>
      </w:r>
      <w:r w:rsidRPr="00D94F41" w:rsidR="0077371E">
        <w:t>, unconditional response rates will be lower than they would have been if all eligible cases were fielded</w:t>
      </w:r>
      <w:r w:rsidR="006362A6">
        <w:t xml:space="preserve">. </w:t>
      </w:r>
    </w:p>
    <w:p w:rsidR="006938AE" w:rsidRPr="00D94F41" w:rsidP="00D8684D" w14:paraId="2B276C5A" w14:textId="28A0681F">
      <w:pPr>
        <w:pStyle w:val="Note"/>
        <w:spacing w:before="0"/>
      </w:pPr>
      <w:r w:rsidRPr="00D8684D">
        <w:t>*</w:t>
      </w:r>
      <w:r>
        <w:t xml:space="preserve"> C</w:t>
      </w:r>
      <w:r w:rsidR="006362A6">
        <w:t xml:space="preserve">ells reflect rounds that </w:t>
      </w:r>
      <w:r w:rsidR="006362A6">
        <w:t>included</w:t>
      </w:r>
      <w:r w:rsidR="006362A6">
        <w:t xml:space="preserve"> intentional NIRs.</w:t>
      </w:r>
    </w:p>
    <w:p w:rsidR="00CC2F25" w:rsidP="00CA1E06" w14:paraId="2CEDDA24" w14:textId="77777777">
      <w:pPr>
        <w:pStyle w:val="ListNumber"/>
        <w:numPr>
          <w:ilvl w:val="0"/>
          <w:numId w:val="0"/>
        </w:numPr>
      </w:pPr>
    </w:p>
    <w:p w:rsidR="00D8684D" w:rsidP="00CA1E06" w14:paraId="2AF2B7EE" w14:textId="77777777">
      <w:pPr>
        <w:pStyle w:val="ListNumber"/>
        <w:numPr>
          <w:ilvl w:val="0"/>
          <w:numId w:val="0"/>
        </w:numPr>
        <w:sectPr w:rsidSect="00610910">
          <w:footerReference w:type="default" r:id="rId9"/>
          <w:pgSz w:w="15840" w:h="12240" w:orient="landscape" w:code="1"/>
          <w:pgMar w:top="1080" w:right="1080" w:bottom="1080" w:left="1080" w:header="720" w:footer="720" w:gutter="0"/>
          <w:cols w:space="720"/>
          <w:docGrid w:linePitch="299"/>
        </w:sectPr>
      </w:pPr>
    </w:p>
    <w:p w:rsidR="0088452B" w:rsidRPr="00D94F41" w:rsidP="00B13DA1" w14:paraId="302AFB74" w14:textId="6571FC87">
      <w:pPr>
        <w:pStyle w:val="ListNumber"/>
        <w:tabs>
          <w:tab w:val="clear" w:pos="360"/>
        </w:tabs>
        <w:ind w:left="720"/>
      </w:pPr>
      <w:r w:rsidRPr="00B13DA1">
        <w:rPr>
          <w:i/>
          <w:iCs/>
        </w:rPr>
        <w:t>Selection of beneficiaries.</w:t>
      </w:r>
      <w:r w:rsidRPr="00D94F41">
        <w:t xml:space="preserve"> </w:t>
      </w:r>
      <w:bookmarkStart w:id="17" w:name="OLE_LINK9"/>
      <w:r w:rsidR="00535471">
        <w:t>A</w:t>
      </w:r>
      <w:r w:rsidR="00F11CA0">
        <w:t xml:space="preserve">n annual </w:t>
      </w:r>
      <w:r w:rsidRPr="00D94F41" w:rsidR="00505BED">
        <w:t>Incoming Panel</w:t>
      </w:r>
      <w:r w:rsidRPr="00D94F41">
        <w:t xml:space="preserve"> sample of beneficiaries </w:t>
      </w:r>
      <w:r w:rsidR="00F11CA0">
        <w:t xml:space="preserve">is </w:t>
      </w:r>
      <w:r w:rsidRPr="00D94F41">
        <w:t>selected from the Medicare administrative enrollment data</w:t>
      </w:r>
      <w:bookmarkEnd w:id="17"/>
      <w:r w:rsidRPr="00D94F41">
        <w:t xml:space="preserve">. </w:t>
      </w:r>
      <w:r w:rsidRPr="00D94F41" w:rsidR="00B84776">
        <w:t>Th</w:t>
      </w:r>
      <w:r w:rsidR="00B84776">
        <w:t>e</w:t>
      </w:r>
      <w:r w:rsidRPr="00D94F41" w:rsidR="00B84776">
        <w:t xml:space="preserve"> </w:t>
      </w:r>
      <w:r w:rsidR="00B84776">
        <w:t>2026 redesign</w:t>
      </w:r>
      <w:r w:rsidR="00C7144C">
        <w:t xml:space="preserve"> </w:t>
      </w:r>
      <w:r w:rsidR="009630D0">
        <w:t xml:space="preserve">national </w:t>
      </w:r>
      <w:r w:rsidRPr="00D94F41">
        <w:t xml:space="preserve">sample </w:t>
      </w:r>
      <w:r w:rsidR="00B84776">
        <w:t>will be</w:t>
      </w:r>
      <w:r w:rsidRPr="00D94F41">
        <w:t xml:space="preserve"> </w:t>
      </w:r>
      <w:r w:rsidR="00EE73BD">
        <w:t>stratified by state</w:t>
      </w:r>
      <w:r w:rsidRPr="00D94F41">
        <w:t xml:space="preserve"> and </w:t>
      </w:r>
      <w:r w:rsidR="00B84776">
        <w:t>by three age groups (beneficiaries under-65, 65-79, and 80 or older)</w:t>
      </w:r>
      <w:r w:rsidRPr="00D94F41">
        <w:t xml:space="preserve">. </w:t>
      </w:r>
      <w:r w:rsidR="00B84776">
        <w:t xml:space="preserve">Beneficiaries will be selected from within each state to achieve a minimum of 278 completed interviews, a target developed to achieve the desired level of precision in state-level estimates. Beneficiaries residing </w:t>
      </w:r>
      <w:r w:rsidR="00DB24D7">
        <w:t xml:space="preserve">in </w:t>
      </w:r>
      <w:r w:rsidR="00B84776">
        <w:t>the same state and who are in the same age-group strata will have equal probabilities of selection and equal design-based weights.</w:t>
      </w:r>
      <w:r w:rsidRPr="00D94F41">
        <w:t xml:space="preserve"> </w:t>
      </w:r>
      <w:r w:rsidR="00B84776">
        <w:t>Since</w:t>
      </w:r>
      <w:r w:rsidRPr="00D94F41">
        <w:t xml:space="preserve"> 2015</w:t>
      </w:r>
      <w:r w:rsidR="00B84776">
        <w:t>,</w:t>
      </w:r>
      <w:r w:rsidR="00B72334">
        <w:t xml:space="preserve"> and continuing under the redesign</w:t>
      </w:r>
      <w:r w:rsidRPr="00D94F41">
        <w:t xml:space="preserve">, beneficiaries eligible </w:t>
      </w:r>
      <w:r w:rsidRPr="00D94F41">
        <w:rPr>
          <w:i/>
        </w:rPr>
        <w:t xml:space="preserve">anytime </w:t>
      </w:r>
      <w:r w:rsidRPr="00D94F41">
        <w:t>during the sampling year are also included in the Medicare administrative enrollment sampling frame (referred to as</w:t>
      </w:r>
      <w:r w:rsidRPr="00D94F41" w:rsidR="00D56C58">
        <w:t xml:space="preserve"> current-year enrollees</w:t>
      </w:r>
      <w:r w:rsidRPr="00D94F41">
        <w:t xml:space="preserve">). Nursing home residents </w:t>
      </w:r>
      <w:r w:rsidR="00B72334">
        <w:t>will continue to be</w:t>
      </w:r>
      <w:r w:rsidRPr="00D94F41">
        <w:t xml:space="preserve"> drawn into the sample in </w:t>
      </w:r>
      <w:r w:rsidRPr="00D94F41">
        <w:t>exactly the same</w:t>
      </w:r>
      <w:r w:rsidRPr="00D94F41">
        <w:t xml:space="preserve"> manner as other beneficiaries residing in the community.</w:t>
      </w:r>
    </w:p>
    <w:p w:rsidR="0088452B" w:rsidRPr="00D94F41" w:rsidP="002D43C0" w14:paraId="7BFD504D" w14:textId="77777777">
      <w:pPr>
        <w:pStyle w:val="Heading4"/>
      </w:pPr>
      <w:r w:rsidRPr="00D94F41">
        <w:t>Estimation Procedure</w:t>
      </w:r>
    </w:p>
    <w:p w:rsidR="0088452B" w:rsidRPr="00D94F41" w:rsidP="00C07A97" w14:paraId="3FFE9EE5" w14:textId="2BB979A9">
      <w:pPr>
        <w:pStyle w:val="ListContinue"/>
        <w:ind w:left="288"/>
      </w:pPr>
      <w:bookmarkStart w:id="18" w:name="OLE_LINK1"/>
      <w:r>
        <w:t xml:space="preserve">To date, sampling weights have been calculated for each annual data release including the Survey File limited data sets </w:t>
      </w:r>
      <w:bookmarkEnd w:id="18"/>
      <w:r>
        <w:t xml:space="preserve">(previously referred to as the Access to Care files) and the Cost Supplement limited data sets (previously referred to as the Cost and Use files). In both cases, cross-sectional weights representing the ever-enrolled Medicare population, as well as longitudinal weights representing populations </w:t>
      </w:r>
      <w:r>
        <w:t>continuously-enrolled</w:t>
      </w:r>
      <w:r>
        <w:t xml:space="preserve"> for multiple years, have been calculated. Some questionnaire sections fielded in the Winter or Summer rounds have specific cross-sectional weights calculated for them as well. Beginning in 2024, new weights specific to the Fall round of data collection have also been released as part of the Survey File Early Release limited data sets. In all cases, weights reflect differential probabilities of selection and differential </w:t>
      </w:r>
      <w:r>
        <w:t>nonresponse, and</w:t>
      </w:r>
      <w:r>
        <w:t xml:space="preserve"> are adjusted to account for overlapping coverage of the panels included in the data files. Replicate weights were also calculated so that users could calculate standard errors using replication methods. In addition to the replicate weights, stratum and unit codes exist on each weight file for users who prefer to use Taylor Series methods to estimate variances. Under the 2026 redesign, </w:t>
      </w:r>
      <w:r>
        <w:t>all of</w:t>
      </w:r>
      <w:r>
        <w:t xml:space="preserve"> these weights will continue to be produced, and the analytical utility of the MCBS data will not be reduced. Data users will continue to be able to employ replication methods of variance estimation at the national </w:t>
      </w:r>
      <w:r>
        <w:t>level, and</w:t>
      </w:r>
      <w:r>
        <w:t xml:space="preserve"> will be able to produce new state-level estimates using Taylor Series methods.</w:t>
      </w:r>
    </w:p>
    <w:p w:rsidR="0088452B" w:rsidRPr="00D94F41" w:rsidP="00C07A97" w14:paraId="26229A06" w14:textId="60EDCABC">
      <w:pPr>
        <w:pStyle w:val="ListContinue"/>
      </w:pPr>
      <w:r w:rsidRPr="00D94F41">
        <w:t xml:space="preserve">Besides standard weighting and replicate weighting, another part of the estimation program includes imputation of the data to compensate for item non-response. Imputation procedures for charges for non-covered services and sources of payment for covered services in the Cost Supplement files and Survey File items where appropriate have been developed. </w:t>
      </w:r>
      <w:r w:rsidRPr="00D94F41" w:rsidR="00AC08A6">
        <w:t>Beginning with the 2015 data, unit-level imputation was also instituted to compensate for missing initial</w:t>
      </w:r>
      <w:r w:rsidRPr="00D94F41" w:rsidR="00A35F89">
        <w:t>-</w:t>
      </w:r>
      <w:r w:rsidRPr="00D94F41" w:rsidR="00AC08A6">
        <w:t xml:space="preserve">round </w:t>
      </w:r>
      <w:r w:rsidRPr="00D94F41" w:rsidR="00A35F89">
        <w:t xml:space="preserve">utilization and cost </w:t>
      </w:r>
      <w:r w:rsidRPr="00D94F41" w:rsidR="00AC08A6">
        <w:t>data</w:t>
      </w:r>
      <w:r>
        <w:rPr>
          <w:rStyle w:val="FootnoteReference"/>
        </w:rPr>
        <w:footnoteReference w:id="9"/>
      </w:r>
      <w:r w:rsidRPr="00D94F41" w:rsidR="00AC08A6">
        <w:t xml:space="preserve"> for </w:t>
      </w:r>
      <w:r w:rsidRPr="00D94F41" w:rsidR="00D56C58">
        <w:t>current-year enrollees</w:t>
      </w:r>
      <w:r w:rsidRPr="00D94F41" w:rsidR="00AC08A6">
        <w:t xml:space="preserve">. </w:t>
      </w:r>
      <w:r w:rsidRPr="00D94F41">
        <w:t>The weighting and imputation of data continue each year.</w:t>
      </w:r>
    </w:p>
    <w:p w:rsidR="0088452B" w:rsidRPr="00D94F41" w:rsidP="002D43C0" w14:paraId="187BA210" w14:textId="332E3353">
      <w:pPr>
        <w:pStyle w:val="Heading4"/>
      </w:pPr>
      <w:bookmarkStart w:id="19" w:name="OLE_LINK8"/>
      <w:r w:rsidRPr="00D94F41">
        <w:t xml:space="preserve">Degree of </w:t>
      </w:r>
      <w:r w:rsidR="00C7144C">
        <w:t>precision</w:t>
      </w:r>
      <w:r w:rsidRPr="00D94F41" w:rsidR="00C7144C">
        <w:t xml:space="preserve"> </w:t>
      </w:r>
      <w:r w:rsidRPr="00D94F41">
        <w:t>needed for the purpose described in the justification</w:t>
      </w:r>
    </w:p>
    <w:bookmarkEnd w:id="19"/>
    <w:p w:rsidR="0088452B" w:rsidRPr="00D94F41" w:rsidP="00C07A97" w14:paraId="5A04F709" w14:textId="53D730F9">
      <w:pPr>
        <w:pStyle w:val="ListContinue"/>
        <w:ind w:left="288"/>
      </w:pPr>
      <w:r w:rsidRPr="00D94F41">
        <w:t xml:space="preserve">A broad range of statistics are produced from </w:t>
      </w:r>
      <w:r w:rsidRPr="00D94F41">
        <w:t>the MCBS</w:t>
      </w:r>
      <w:r w:rsidRPr="00D94F41">
        <w:t xml:space="preserve">. There is no single attribute of beneficiaries and their medical expenses that stands out as the primary goal of the survey. Thus, there </w:t>
      </w:r>
      <w:r w:rsidR="00A25C6B">
        <w:t>has been no</w:t>
      </w:r>
      <w:r w:rsidRPr="00D94F41">
        <w:t xml:space="preserve"> simple criterion for the degree of reliability that statistics for each analytic domain should satisfy. Even with a </w:t>
      </w:r>
      <w:r w:rsidRPr="00D94F41" w:rsidR="002C2466">
        <w:t xml:space="preserve">larger </w:t>
      </w:r>
      <w:r w:rsidRPr="00D94F41">
        <w:t xml:space="preserve">sample size, </w:t>
      </w:r>
      <w:r w:rsidR="00DE14F3">
        <w:t>there are</w:t>
      </w:r>
      <w:r w:rsidRPr="00D94F41">
        <w:t xml:space="preserve"> many small domains of interest for which it </w:t>
      </w:r>
      <w:r w:rsidRPr="00D94F41" w:rsidR="000E343B">
        <w:t xml:space="preserve">would </w:t>
      </w:r>
      <w:r w:rsidRPr="00D94F41">
        <w:t>be necessary to use modeling techniques or to wait several years for sufficient data to accumulate.</w:t>
      </w:r>
    </w:p>
    <w:p w:rsidR="00A25C6B" w:rsidP="00C07A97" w14:paraId="038FC911" w14:textId="5BDE7D82">
      <w:pPr>
        <w:pStyle w:val="ListContinue"/>
        <w:ind w:left="288"/>
      </w:pPr>
      <w:r>
        <w:t xml:space="preserve">The 2026 MCBS redesign will employ a national, rather than clustered, approach to the selection of the sample. The sample will be stratified by state (50 states plus DC) and will also continue to be stratified by age domain, though it will use only three age strata (under-65, 65-79, and 80 or older) compared to the seven age groups under the current design. While the overall national number of completed interviews per year will be similar under the new design, state-level precision targets were established. These targets were designed to achieve a maximum </w:t>
      </w:r>
      <w:r>
        <w:t>coefficient of</w:t>
      </w:r>
      <w:r>
        <w:t xml:space="preserve"> variation of 7 percentage points on a hypothetical 50 percent top-line state-level estimate. This was done to eventually support state-level estimation after the redesign is fully implemented in 2029, with approximately 280-300 beneficiaries per state.</w:t>
      </w:r>
    </w:p>
    <w:p w:rsidR="00E47D6C" w:rsidRPr="00B13DA1" w:rsidP="00C07A97" w14:paraId="41504854" w14:textId="0DEE0B4C">
      <w:pPr>
        <w:pStyle w:val="ListContinue"/>
        <w:ind w:left="288"/>
        <w:rPr>
          <w:spacing w:val="-6"/>
        </w:rPr>
      </w:pPr>
      <w:r>
        <w:t>Although the number of age group strata will be reduced,</w:t>
      </w:r>
      <w:r w:rsidRPr="00B13DA1">
        <w:rPr>
          <w:spacing w:val="-6"/>
        </w:rPr>
        <w:t xml:space="preserve"> CMS anticipates maintaining representation of the under-65 disabled population at approximately the same level as is achieved under the current design. CMS anticipates approximately 17-18 percent of completed interviews to be allocated to the disabled beneficiaries who are not yet 65, resulting in about 2,500-2,550 such beneficiaries in the annual Survey File limited data sets and about 1,400-1,450 beneficiaries under 65 in the annual Cost Supplement limited data sets. This age category was selected because it indirectly reflects </w:t>
      </w:r>
      <w:r w:rsidRPr="00B13DA1">
        <w:rPr>
          <w:spacing w:val="-6"/>
        </w:rPr>
        <w:t>the means by which</w:t>
      </w:r>
      <w:r w:rsidRPr="00B13DA1">
        <w:rPr>
          <w:spacing w:val="-6"/>
        </w:rPr>
        <w:t xml:space="preserve"> the disabled person becomes eligible for Medicare. Under the 2026 redesign, all beneficiaries under 65 within a state will be selected together, minimizing the variability of estimations within this subgroup. For example, depending on the prevalence of the characteristic being estimated, the MCBS has achieved standard errors for estimates of percentages ranging from 2-3% or lower for subgroup estimates based on 1,000 respondents.</w:t>
      </w:r>
      <w:bookmarkStart w:id="20" w:name="_bookmark5"/>
      <w:bookmarkEnd w:id="20"/>
    </w:p>
    <w:p w:rsidR="0088452B" w:rsidP="00C07A97" w14:paraId="6B7BBEA1" w14:textId="40BFEC85">
      <w:pPr>
        <w:pStyle w:val="ListContinue"/>
        <w:ind w:left="288"/>
      </w:pPr>
      <w:r>
        <w:t>Similar to</w:t>
      </w:r>
      <w:r>
        <w:t xml:space="preserve"> the under-65 age group, the MCBS will continue to represent Medicare beneficiaries 65 and older as well, with oversampling to represent the oldest beneficiaries. CMS anticipates that beneficiaries 65-79 years of age will comprise approximately 48-50 percent of completed interviews, resulting in about 6,900-7,000 such beneficiaries in the annual Survey File limited data sets and about 3,900-4,000 beneficiaries aged 65-79 in the annual Cost Supplement limited data sets. Beneficiaries who are 80 years or older will be oversampled so that they comprise approximately 33-34 percent of beneficiaries with completed interviews resulting in about 4,750-4,800 such beneficiaries in the annual Survey File limited data sets and about 2,675-2,725 beneficiaries 80 or older in the annual Cost Supplement limited data sets. A major reason for oversampling the oldest beneficiaries is to obtain an adequate sample of nursing home stays. Variations in sampling weights across the age and state strata will inflate sampling errors, but the resulting effective sample sizes should be adequate for most analyses at the national level.</w:t>
      </w:r>
    </w:p>
    <w:p w:rsidR="00946F0A" w:rsidRPr="00946F0A" w:rsidP="00C07A97" w14:paraId="66C6198C" w14:textId="77777777">
      <w:pPr>
        <w:pStyle w:val="ListContinue"/>
        <w:ind w:left="288"/>
      </w:pPr>
      <w:r w:rsidRPr="00946F0A">
        <w:t xml:space="preserve">Since many of the cost and reimbursement statistics derived from the MCBS may be heavily </w:t>
      </w:r>
      <w:r w:rsidRPr="00B13DA1">
        <w:rPr>
          <w:spacing w:val="-6"/>
        </w:rPr>
        <w:t>right-skewed</w:t>
      </w:r>
      <w:r w:rsidRPr="00B13DA1">
        <w:rPr>
          <w:spacing w:val="-6"/>
        </w:rPr>
        <w:t xml:space="preserve"> (i.e., reflecting the higher end of the cost/reimbursement spectrum to a disproportionate degree), the accuracy may be lower in relative terms but still acceptable. </w:t>
      </w:r>
      <w:bookmarkStart w:id="21" w:name="OLE_LINK2"/>
      <w:r w:rsidRPr="00B13DA1">
        <w:rPr>
          <w:spacing w:val="-6"/>
        </w:rPr>
        <w:t>For example, the relative standard error of the mean total Medicare reimbursements derived from the MCBS has generally ranged from 2.0-2.5% for the total sample, and 4.0-8.0% for subgroups.</w:t>
      </w:r>
      <w:bookmarkEnd w:id="21"/>
    </w:p>
    <w:p w:rsidR="0088452B" w:rsidRPr="00D94F41" w:rsidP="003E486D" w14:paraId="054D17DC" w14:textId="2FF6F3B6">
      <w:pPr>
        <w:pStyle w:val="Heading4"/>
        <w:tabs>
          <w:tab w:val="clear" w:pos="341"/>
        </w:tabs>
      </w:pPr>
      <w:r w:rsidRPr="00D94F41">
        <w:t>Review of i</w:t>
      </w:r>
      <w:r w:rsidRPr="00D94F41" w:rsidR="004112E2">
        <w:t>nterview content for periodic data collection cycles to reduce burden.</w:t>
      </w:r>
    </w:p>
    <w:p w:rsidR="0088452B" w:rsidRPr="00B13DA1" w:rsidP="00B13DA1" w14:paraId="7998FFA7" w14:textId="77777777">
      <w:pPr>
        <w:pStyle w:val="ListNumber"/>
        <w:numPr>
          <w:ilvl w:val="0"/>
          <w:numId w:val="7"/>
        </w:numPr>
        <w:tabs>
          <w:tab w:val="clear" w:pos="360"/>
          <w:tab w:val="num" w:pos="720"/>
        </w:tabs>
        <w:spacing w:after="120"/>
        <w:ind w:left="720"/>
        <w:rPr>
          <w:i/>
          <w:iCs/>
        </w:rPr>
      </w:pPr>
      <w:r w:rsidRPr="00B13DA1">
        <w:rPr>
          <w:i/>
          <w:iCs/>
        </w:rPr>
        <w:t>Content and timing of instrument sections.</w:t>
      </w:r>
    </w:p>
    <w:p w:rsidR="0088452B" w:rsidRPr="00D94F41" w:rsidP="00B13DA1" w14:paraId="7D94945D" w14:textId="2637C006">
      <w:pPr>
        <w:pStyle w:val="ListContinue"/>
        <w:ind w:left="720"/>
      </w:pPr>
      <w:r w:rsidRPr="00D94F41">
        <w:t xml:space="preserve">The primary variables of interest for </w:t>
      </w:r>
      <w:r w:rsidRPr="00D94F41">
        <w:t>the MCBS</w:t>
      </w:r>
      <w:r w:rsidRPr="00D94F41">
        <w:t xml:space="preserve"> are the use and cost of health care services and associated sources and amounts of payment. While Medicare claims files supply information on billed amounts and Medicare payments for covered services, the survey provides important self-reported information on use of services not covered by Medicare and on payment sources and amounts for costs not reimbursed by Medicare. For both the Community and Facility components, the primary focus of the data </w:t>
      </w:r>
      <w:r w:rsidRPr="00D94F41">
        <w:t>collection is on use of services (dental</w:t>
      </w:r>
      <w:r w:rsidRPr="00D94F41" w:rsidR="00F8266B">
        <w:t>, hearing and vision care</w:t>
      </w:r>
      <w:r w:rsidRPr="00D94F41">
        <w:t xml:space="preserve">, hospital, physician, medical providers, prescription medication and other medical services), sources and amounts of payment, and health insurance coverage. The MCBS interview collects continuous information on these items through thrice-yearly interviews; that is, once a new respondent completes their </w:t>
      </w:r>
      <w:r w:rsidRPr="00D94F41" w:rsidR="000A248B">
        <w:t>B</w:t>
      </w:r>
      <w:r w:rsidRPr="00D94F41">
        <w:t>aseline interview, they are asked utilization and cost questions each round.</w:t>
      </w:r>
    </w:p>
    <w:p w:rsidR="0088452B" w:rsidRPr="00D94F41" w:rsidP="00B13DA1" w14:paraId="2867D96C" w14:textId="672587B5">
      <w:pPr>
        <w:pStyle w:val="ListContinue"/>
        <w:ind w:left="720"/>
      </w:pPr>
      <w:r w:rsidRPr="00D94F41">
        <w:t xml:space="preserve">Continuous data on utilization and expenditures are required for </w:t>
      </w:r>
      <w:r w:rsidRPr="00D94F41">
        <w:t>a number of</w:t>
      </w:r>
      <w:r w:rsidRPr="00D94F41">
        <w:t xml:space="preserve"> reasons. First, several of the distinct expenditure categories involve relatively rare medical events (inpatient hospital stays, use </w:t>
      </w:r>
      <w:r w:rsidRPr="00D94F41">
        <w:t>of home</w:t>
      </w:r>
      <w:r w:rsidRPr="00D94F41">
        <w:t xml:space="preserve"> health care, purchase of durable medical equipment, and so forth), so limiting the reference period would mean insufficient observations for annual estimates.</w:t>
      </w:r>
      <w:r w:rsidRPr="00D94F41" w:rsidR="000E343B">
        <w:t xml:space="preserve"> </w:t>
      </w:r>
      <w:r w:rsidRPr="00D94F41">
        <w:t>Second, episodes of medical care often consist of a series of services over weeks or months; data collected several times a year allow examination of the grouping of services and costs around particular episodes of care. Third, payment for medical services often occurs considerably later than the utilization, so collection of complete information about a particular event can often only be obtained sometime after the event occurs.</w:t>
      </w:r>
    </w:p>
    <w:p w:rsidR="0088452B" w:rsidRPr="00D94F41" w:rsidP="00B13DA1" w14:paraId="330CBAA2" w14:textId="611129AC">
      <w:pPr>
        <w:pStyle w:val="ListContinue"/>
        <w:ind w:left="720"/>
      </w:pPr>
      <w:r w:rsidRPr="00D94F41">
        <w:t xml:space="preserve">The administration of the instruments will continue to follow the established pattern of data collection. Baseline </w:t>
      </w:r>
      <w:r w:rsidRPr="00D94F41" w:rsidR="000A248B">
        <w:t>interviews</w:t>
      </w:r>
      <w:r w:rsidRPr="00D94F41">
        <w:t xml:space="preserve"> will be co</w:t>
      </w:r>
      <w:r w:rsidRPr="00D94F41" w:rsidR="000A248B">
        <w:t>nducted</w:t>
      </w:r>
      <w:r w:rsidRPr="00D94F41">
        <w:t xml:space="preserve"> in the initial interview with new </w:t>
      </w:r>
      <w:r w:rsidRPr="00D94F41" w:rsidR="00505BED">
        <w:t>Incoming Panel</w:t>
      </w:r>
      <w:r w:rsidRPr="00D94F41">
        <w:t xml:space="preserve"> respondents. This will be followed with 10 interviews to collect utilization, cost and other important topics</w:t>
      </w:r>
      <w:r w:rsidRPr="00D94F41" w:rsidR="000A248B">
        <w:t>, referred to a</w:t>
      </w:r>
      <w:r w:rsidRPr="00D94F41" w:rsidR="00C20992">
        <w:t>s</w:t>
      </w:r>
      <w:r w:rsidRPr="00D94F41" w:rsidR="000A248B">
        <w:t xml:space="preserve"> Continuing interviews</w:t>
      </w:r>
      <w:r w:rsidRPr="00D94F41">
        <w:t xml:space="preserve">. Since the </w:t>
      </w:r>
      <w:r w:rsidRPr="00D94F41" w:rsidR="000A248B">
        <w:t>Baseline</w:t>
      </w:r>
      <w:r w:rsidRPr="00D94F41">
        <w:t xml:space="preserve"> interview always occurs in the last </w:t>
      </w:r>
      <w:r w:rsidR="00681CB0">
        <w:t>five</w:t>
      </w:r>
      <w:r w:rsidRPr="00D94F41">
        <w:t xml:space="preserve"> months of a calendar year, collection of utilization and expenditure data in the second interview means the reference period will always begin prior to January 1st. This creates use and expenditure estimates on a calendar year basis.</w:t>
      </w:r>
    </w:p>
    <w:p w:rsidR="0088452B" w:rsidRPr="00D94F41" w:rsidP="00B13DA1" w14:paraId="38953A10" w14:textId="22CF6D50">
      <w:pPr>
        <w:pStyle w:val="ListContinue"/>
        <w:ind w:left="720"/>
      </w:pPr>
      <w:r w:rsidRPr="00D94F41">
        <w:t>The literature (initially reported by Neter and Waksberg in 1964</w:t>
      </w:r>
      <w:r>
        <w:rPr>
          <w:rStyle w:val="FootnoteReference"/>
        </w:rPr>
        <w:footnoteReference w:id="10"/>
      </w:r>
      <w:r w:rsidRPr="00D94F41">
        <w:t xml:space="preserve"> and confirmed in</w:t>
      </w:r>
      <w:r w:rsidRPr="00D94F41" w:rsidR="005F5E74">
        <w:t xml:space="preserve"> </w:t>
      </w:r>
      <w:r w:rsidRPr="00D94F41">
        <w:t xml:space="preserve">subsequent research by other analysts) indicates that collection of behavioral information in an unbounded recall period can result in large recall errors. The </w:t>
      </w:r>
      <w:r w:rsidRPr="00D94F41" w:rsidR="00505BED">
        <w:t>Incoming Panel</w:t>
      </w:r>
      <w:r w:rsidRPr="00D94F41">
        <w:t xml:space="preserve"> interviews covered in this clearance request - Fall 202</w:t>
      </w:r>
      <w:r w:rsidR="00F45944">
        <w:t>6</w:t>
      </w:r>
      <w:r w:rsidRPr="00D94F41" w:rsidR="005F5E74">
        <w:t xml:space="preserve"> (Round </w:t>
      </w:r>
      <w:r w:rsidR="00355E4B">
        <w:t>10</w:t>
      </w:r>
      <w:r w:rsidR="00F45944">
        <w:t>6</w:t>
      </w:r>
      <w:r w:rsidRPr="00D94F41">
        <w:t>), Fall 202</w:t>
      </w:r>
      <w:r w:rsidR="00F45944">
        <w:t>7</w:t>
      </w:r>
      <w:r w:rsidRPr="00D94F41" w:rsidR="005F5E74">
        <w:t xml:space="preserve"> (Round </w:t>
      </w:r>
      <w:r w:rsidRPr="00D94F41" w:rsidR="00177230">
        <w:t>10</w:t>
      </w:r>
      <w:r w:rsidR="00F45944">
        <w:t>9</w:t>
      </w:r>
      <w:r w:rsidRPr="00D94F41">
        <w:t>)</w:t>
      </w:r>
      <w:r w:rsidRPr="00D94F41" w:rsidR="0009032E">
        <w:t>, and Fall 202</w:t>
      </w:r>
      <w:r w:rsidR="00F45944">
        <w:t>8</w:t>
      </w:r>
      <w:r w:rsidRPr="00D94F41" w:rsidR="0009032E">
        <w:t xml:space="preserve"> (Round </w:t>
      </w:r>
      <w:r w:rsidRPr="00D94F41" w:rsidR="00177230">
        <w:t>10</w:t>
      </w:r>
      <w:r w:rsidR="00F45944">
        <w:t>12</w:t>
      </w:r>
      <w:r w:rsidRPr="00D94F41" w:rsidR="0009032E">
        <w:t>)</w:t>
      </w:r>
      <w:r w:rsidRPr="00D94F41">
        <w:t xml:space="preserve"> -</w:t>
      </w:r>
      <w:r w:rsidR="00FF2466">
        <w:t xml:space="preserve"> </w:t>
      </w:r>
      <w:r w:rsidRPr="00D94F41">
        <w:t xml:space="preserve">prepares the respondent for the collection of utilization and expenditure information in subsequent rounds, thus “bounding” the recall period for the next interview. During the </w:t>
      </w:r>
      <w:r w:rsidRPr="00D94F41" w:rsidR="000A248B">
        <w:t>B</w:t>
      </w:r>
      <w:r w:rsidRPr="00D94F41">
        <w:t xml:space="preserve">aseline interview, the respondent is provided with a </w:t>
      </w:r>
      <w:r w:rsidRPr="00D94F41">
        <w:t>calendar</w:t>
      </w:r>
      <w:r w:rsidRPr="00D94F41">
        <w:t xml:space="preserve"> and interviewers emphasize the importance of this tool for use in future interviews. This calendar marks the recall period for the respondent and serves as the means to record utilization as well as a prompt to retain statements and bills.</w:t>
      </w:r>
    </w:p>
    <w:p w:rsidR="0088452B" w:rsidRPr="00B13DA1" w:rsidP="00C07A97" w14:paraId="4FE153AD" w14:textId="3D1CE7F2">
      <w:pPr>
        <w:pStyle w:val="ListNumber"/>
        <w:tabs>
          <w:tab w:val="clear" w:pos="360"/>
        </w:tabs>
        <w:spacing w:after="120"/>
        <w:ind w:left="720"/>
        <w:rPr>
          <w:i/>
          <w:iCs/>
        </w:rPr>
      </w:pPr>
      <w:r w:rsidRPr="00B13DA1">
        <w:rPr>
          <w:i/>
          <w:iCs/>
        </w:rPr>
        <w:t xml:space="preserve">Content of the instruments, Rounds </w:t>
      </w:r>
      <w:r w:rsidRPr="00B13DA1" w:rsidR="00355E4B">
        <w:rPr>
          <w:i/>
          <w:iCs/>
        </w:rPr>
        <w:t>10</w:t>
      </w:r>
      <w:r w:rsidRPr="00B13DA1" w:rsidR="00AE2063">
        <w:rPr>
          <w:i/>
          <w:iCs/>
        </w:rPr>
        <w:t>6-114</w:t>
      </w:r>
      <w:r w:rsidRPr="00B13DA1">
        <w:rPr>
          <w:i/>
          <w:iCs/>
        </w:rPr>
        <w:t>.</w:t>
      </w:r>
    </w:p>
    <w:p w:rsidR="0088452B" w:rsidRPr="00D94F41" w:rsidP="00B13DA1" w14:paraId="1253E1DA" w14:textId="5065856F">
      <w:pPr>
        <w:pStyle w:val="ListContinue"/>
        <w:ind w:left="720"/>
      </w:pPr>
      <w:r w:rsidRPr="00D94F41">
        <w:t xml:space="preserve">Nearly </w:t>
      </w:r>
      <w:r w:rsidRPr="00D94F41">
        <w:t>all of</w:t>
      </w:r>
      <w:r w:rsidRPr="00D94F41">
        <w:t xml:space="preserve"> the instrument </w:t>
      </w:r>
      <w:r w:rsidRPr="00D94F41">
        <w:t>sections</w:t>
      </w:r>
      <w:r w:rsidRPr="00D94F41">
        <w:t xml:space="preserve"> as currently approved by </w:t>
      </w:r>
      <w:r w:rsidRPr="00D94F41">
        <w:t>OMB</w:t>
      </w:r>
      <w:r w:rsidRPr="00D94F41">
        <w:t xml:space="preserve"> are unchanged. Table B.</w:t>
      </w:r>
      <w:r w:rsidR="00946F0A">
        <w:t>3</w:t>
      </w:r>
      <w:r w:rsidRPr="00D94F41">
        <w:t xml:space="preserve"> presents the core and topical sections that comprise the MCBS Community instrument. As shown in the table, the content and order of administration varies based on season of data collection (Fall, Winter, Summer) and the type of interview (Baseline, Continuing). Those sections with an asterisk (*) include a revision contained in this clearance request (either adding or deleting questions).</w:t>
      </w:r>
      <w:r w:rsidRPr="00D94F41" w:rsidR="00780CCA">
        <w:t xml:space="preserve"> Occasionally an item may be moved from one questionnaire section to </w:t>
      </w:r>
      <w:r w:rsidRPr="00D94F41" w:rsidR="00CE54E3">
        <w:t xml:space="preserve">another to </w:t>
      </w:r>
      <w:r w:rsidRPr="00D94F41" w:rsidR="00780CCA">
        <w:t>improve the flow and use of the data, or for other operational or analytic purposes.</w:t>
      </w:r>
    </w:p>
    <w:p w:rsidR="0088452B" w:rsidRPr="00D94F41" w:rsidP="00AE5C2C" w14:paraId="670FC156" w14:textId="4C1AC21F">
      <w:pPr>
        <w:pStyle w:val="Caption"/>
        <w:tabs>
          <w:tab w:val="left" w:pos="1170"/>
        </w:tabs>
      </w:pPr>
      <w:r w:rsidRPr="00D94F41">
        <w:t>Table B.</w:t>
      </w:r>
      <w:r w:rsidR="00946F0A">
        <w:t>3</w:t>
      </w:r>
      <w:r w:rsidRPr="00D94F41">
        <w:t>:</w:t>
      </w:r>
      <w:r w:rsidR="00110F11">
        <w:tab/>
      </w:r>
      <w:r w:rsidRPr="00D94F41">
        <w:t>Community Instrument Sections and Order of Administration</w:t>
      </w:r>
    </w:p>
    <w:tbl>
      <w:tblPr>
        <w:tblStyle w:val="GridTableLight"/>
        <w:tblDescription w:val="Community Instrument Sections and Order of Administratio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1350"/>
        <w:gridCol w:w="3060"/>
        <w:gridCol w:w="1345"/>
      </w:tblGrid>
      <w:tr w14:paraId="29E4981C" w14:textId="77777777" w:rsidTr="00EA74D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3595" w:type="dxa"/>
            <w:shd w:val="clear" w:color="auto" w:fill="D9D9D9"/>
            <w:tcMar>
              <w:left w:w="86" w:type="dxa"/>
              <w:right w:w="86" w:type="dxa"/>
            </w:tcMar>
            <w:vAlign w:val="bottom"/>
          </w:tcPr>
          <w:p w:rsidR="0088452B" w:rsidRPr="00D94F41" w:rsidP="00803841" w14:paraId="061EF5BA" w14:textId="6EB97630">
            <w:pPr>
              <w:pStyle w:val="TableParagraph"/>
              <w:spacing w:before="30" w:after="30"/>
              <w:jc w:val="center"/>
            </w:pPr>
            <w:r w:rsidRPr="00D94F41">
              <w:rPr>
                <w:b/>
              </w:rPr>
              <w:t>Section</w:t>
            </w:r>
            <w:r w:rsidR="00AD0D2A">
              <w:rPr>
                <w:b/>
              </w:rPr>
              <w:t xml:space="preserve"> </w:t>
            </w:r>
            <w:r w:rsidR="00AD0D2A">
              <w:rPr>
                <w:b/>
              </w:rPr>
              <w:br/>
            </w:r>
            <w:r w:rsidRPr="00D94F41">
              <w:t>Listed in the order in which the section is administered.</w:t>
            </w:r>
          </w:p>
        </w:tc>
        <w:tc>
          <w:tcPr>
            <w:tcW w:w="1350" w:type="dxa"/>
            <w:shd w:val="clear" w:color="auto" w:fill="D9D9D9"/>
            <w:tcMar>
              <w:left w:w="86" w:type="dxa"/>
              <w:right w:w="86" w:type="dxa"/>
            </w:tcMar>
            <w:vAlign w:val="bottom"/>
          </w:tcPr>
          <w:p w:rsidR="0088452B" w:rsidRPr="00D94F41" w:rsidP="00803841" w14:paraId="6CC5A607" w14:textId="51BB2DDC">
            <w:pPr>
              <w:pStyle w:val="TableParagraph"/>
              <w:spacing w:before="30" w:after="30"/>
              <w:jc w:val="center"/>
            </w:pPr>
            <w:r w:rsidRPr="00D94F41">
              <w:rPr>
                <w:b/>
              </w:rPr>
              <w:t>Type</w:t>
            </w:r>
            <w:r w:rsidRPr="00D94F41" w:rsidR="00B41430">
              <w:rPr>
                <w:b/>
              </w:rPr>
              <w:t xml:space="preserve"> </w:t>
            </w:r>
            <w:r w:rsidRPr="00D94F41">
              <w:rPr>
                <w:b/>
              </w:rPr>
              <w:t xml:space="preserve">of Section </w:t>
            </w:r>
            <w:r w:rsidRPr="00D94F41">
              <w:t>(Core</w:t>
            </w:r>
            <w:r w:rsidRPr="00D94F41" w:rsidR="00861C1F">
              <w:t xml:space="preserve"> </w:t>
            </w:r>
            <w:r w:rsidRPr="00D94F41">
              <w:t>or Topica</w:t>
            </w:r>
            <w:r w:rsidRPr="00D94F41" w:rsidR="00861C1F">
              <w:t>l</w:t>
            </w:r>
            <w:r w:rsidRPr="00D94F41">
              <w:t>)</w:t>
            </w:r>
          </w:p>
        </w:tc>
        <w:tc>
          <w:tcPr>
            <w:tcW w:w="3060" w:type="dxa"/>
            <w:shd w:val="clear" w:color="auto" w:fill="D9D9D9"/>
            <w:tcMar>
              <w:left w:w="86" w:type="dxa"/>
              <w:right w:w="86" w:type="dxa"/>
            </w:tcMar>
            <w:vAlign w:val="bottom"/>
          </w:tcPr>
          <w:p w:rsidR="0088452B" w:rsidRPr="00D94F41" w:rsidP="00803841" w14:paraId="7F277050" w14:textId="04DF5738">
            <w:pPr>
              <w:pStyle w:val="TableParagraph"/>
              <w:spacing w:before="30" w:after="30"/>
              <w:jc w:val="center"/>
            </w:pPr>
            <w:r w:rsidRPr="00D94F41">
              <w:rPr>
                <w:b/>
              </w:rPr>
              <w:t>Season of Administration</w:t>
            </w:r>
            <w:r w:rsidR="00AD0D2A">
              <w:rPr>
                <w:b/>
              </w:rPr>
              <w:t xml:space="preserve"> </w:t>
            </w:r>
            <w:r w:rsidR="00AD0D2A">
              <w:rPr>
                <w:b/>
              </w:rPr>
              <w:br/>
            </w:r>
            <w:r w:rsidRPr="00D94F41">
              <w:t>(Rounds Administered)</w:t>
            </w:r>
          </w:p>
        </w:tc>
        <w:tc>
          <w:tcPr>
            <w:tcW w:w="1345" w:type="dxa"/>
            <w:shd w:val="clear" w:color="auto" w:fill="D9D9D9"/>
            <w:tcMar>
              <w:left w:w="86" w:type="dxa"/>
              <w:right w:w="86" w:type="dxa"/>
            </w:tcMar>
            <w:vAlign w:val="bottom"/>
          </w:tcPr>
          <w:p w:rsidR="0088452B" w:rsidRPr="00D94F41" w:rsidP="00803841" w14:paraId="270C9CB5" w14:textId="77777777">
            <w:pPr>
              <w:pStyle w:val="TableParagraph"/>
              <w:spacing w:before="30" w:after="30"/>
              <w:jc w:val="center"/>
            </w:pPr>
            <w:r w:rsidRPr="00D94F41">
              <w:rPr>
                <w:b/>
              </w:rPr>
              <w:t xml:space="preserve">Interview Type </w:t>
            </w:r>
            <w:r w:rsidRPr="00D94F41">
              <w:t>(Baseline, Continuing, Both)</w:t>
            </w:r>
          </w:p>
        </w:tc>
      </w:tr>
      <w:tr w14:paraId="4D0DD790" w14:textId="77777777" w:rsidTr="00B13DA1">
        <w:tblPrEx>
          <w:tblW w:w="5000" w:type="pct"/>
          <w:tblLayout w:type="fixed"/>
          <w:tblLook w:val="01E0"/>
        </w:tblPrEx>
        <w:trPr>
          <w:cantSplit/>
        </w:trPr>
        <w:tc>
          <w:tcPr>
            <w:tcW w:w="3595" w:type="dxa"/>
            <w:tcMar>
              <w:left w:w="86" w:type="dxa"/>
              <w:right w:w="86" w:type="dxa"/>
            </w:tcMar>
          </w:tcPr>
          <w:p w:rsidR="0088452B" w:rsidRPr="00D94F41" w:rsidP="00803841" w14:paraId="41AC212B" w14:textId="61E5DCC3">
            <w:pPr>
              <w:pStyle w:val="TableParagraph"/>
              <w:spacing w:before="30" w:after="30"/>
            </w:pPr>
            <w:r w:rsidRPr="00D94F41">
              <w:t>Introduction (INQ)</w:t>
            </w:r>
          </w:p>
        </w:tc>
        <w:tc>
          <w:tcPr>
            <w:tcW w:w="1350" w:type="dxa"/>
            <w:tcMar>
              <w:left w:w="86" w:type="dxa"/>
              <w:right w:w="86" w:type="dxa"/>
            </w:tcMar>
          </w:tcPr>
          <w:p w:rsidR="0088452B" w:rsidRPr="00D94F41" w:rsidP="00803841" w14:paraId="038154E7" w14:textId="77777777">
            <w:pPr>
              <w:pStyle w:val="TableParagraph"/>
              <w:spacing w:before="30" w:after="30"/>
            </w:pPr>
            <w:r w:rsidRPr="00D94F41">
              <w:t>Core</w:t>
            </w:r>
          </w:p>
        </w:tc>
        <w:tc>
          <w:tcPr>
            <w:tcW w:w="3060" w:type="dxa"/>
            <w:tcMar>
              <w:left w:w="86" w:type="dxa"/>
              <w:right w:w="86" w:type="dxa"/>
            </w:tcMar>
          </w:tcPr>
          <w:p w:rsidR="0088452B" w:rsidRPr="00D94F41" w:rsidP="00803841" w14:paraId="13A2D313" w14:textId="23D0A1FF">
            <w:pPr>
              <w:pStyle w:val="TableParagraph"/>
              <w:spacing w:before="30" w:after="30"/>
            </w:pPr>
            <w:bookmarkStart w:id="22" w:name="OLE_LINK10"/>
            <w:r w:rsidRPr="00D94F41">
              <w:t xml:space="preserve">All (Round </w:t>
            </w:r>
            <w:bookmarkStart w:id="23" w:name="OLE_LINK80"/>
            <w:r w:rsidR="00355E4B">
              <w:t>10</w:t>
            </w:r>
            <w:r w:rsidR="00C17A23">
              <w:t>6</w:t>
            </w:r>
            <w:r w:rsidRPr="00D94F41" w:rsidR="00177230">
              <w:t>-</w:t>
            </w:r>
            <w:bookmarkEnd w:id="23"/>
            <w:r w:rsidRPr="00D94F41" w:rsidR="00C17A23">
              <w:t>1</w:t>
            </w:r>
            <w:r w:rsidR="00C17A23">
              <w:t>14</w:t>
            </w:r>
            <w:r w:rsidRPr="00D94F41">
              <w:t>)</w:t>
            </w:r>
            <w:bookmarkEnd w:id="22"/>
          </w:p>
        </w:tc>
        <w:tc>
          <w:tcPr>
            <w:tcW w:w="1345" w:type="dxa"/>
            <w:tcMar>
              <w:left w:w="86" w:type="dxa"/>
              <w:right w:w="86" w:type="dxa"/>
            </w:tcMar>
          </w:tcPr>
          <w:p w:rsidR="0088452B" w:rsidRPr="00D94F41" w:rsidP="00803841" w14:paraId="6888395F" w14:textId="77777777">
            <w:pPr>
              <w:pStyle w:val="TableParagraph"/>
              <w:spacing w:before="30" w:after="30"/>
            </w:pPr>
            <w:r w:rsidRPr="00D94F41">
              <w:t>Both</w:t>
            </w:r>
          </w:p>
        </w:tc>
      </w:tr>
      <w:tr w14:paraId="7EBFE912" w14:textId="77777777" w:rsidTr="00B13DA1">
        <w:tblPrEx>
          <w:tblW w:w="5000" w:type="pct"/>
          <w:tblLayout w:type="fixed"/>
          <w:tblLook w:val="01E0"/>
        </w:tblPrEx>
        <w:trPr>
          <w:cantSplit/>
        </w:trPr>
        <w:tc>
          <w:tcPr>
            <w:tcW w:w="3595" w:type="dxa"/>
            <w:tcMar>
              <w:left w:w="86" w:type="dxa"/>
              <w:right w:w="86" w:type="dxa"/>
            </w:tcMar>
          </w:tcPr>
          <w:p w:rsidR="0088452B" w:rsidRPr="00D94F41" w:rsidP="00803841" w14:paraId="2713984A" w14:textId="77777777">
            <w:pPr>
              <w:pStyle w:val="TableParagraph"/>
              <w:spacing w:before="30" w:after="30"/>
            </w:pPr>
            <w:r w:rsidRPr="00D94F41">
              <w:t>Enumeration (ENS)</w:t>
            </w:r>
          </w:p>
        </w:tc>
        <w:tc>
          <w:tcPr>
            <w:tcW w:w="1350" w:type="dxa"/>
            <w:tcMar>
              <w:left w:w="86" w:type="dxa"/>
              <w:right w:w="86" w:type="dxa"/>
            </w:tcMar>
          </w:tcPr>
          <w:p w:rsidR="0088452B" w:rsidRPr="00D94F41" w:rsidP="00803841" w14:paraId="35C614B8" w14:textId="77777777">
            <w:pPr>
              <w:pStyle w:val="TableParagraph"/>
              <w:spacing w:before="30" w:after="30"/>
            </w:pPr>
            <w:r w:rsidRPr="00D94F41">
              <w:t>Core</w:t>
            </w:r>
          </w:p>
        </w:tc>
        <w:tc>
          <w:tcPr>
            <w:tcW w:w="3060" w:type="dxa"/>
            <w:tcMar>
              <w:left w:w="86" w:type="dxa"/>
              <w:right w:w="86" w:type="dxa"/>
            </w:tcMar>
          </w:tcPr>
          <w:p w:rsidR="0088452B" w:rsidRPr="00D94F41" w:rsidP="00803841" w14:paraId="0B15956A" w14:textId="21E96C87">
            <w:pPr>
              <w:pStyle w:val="TableParagraph"/>
              <w:spacing w:before="30" w:after="30"/>
            </w:pPr>
            <w:r>
              <w:t xml:space="preserve">All (Round </w:t>
            </w:r>
            <w:r w:rsidRPr="00C17A23" w:rsidR="00C17A23">
              <w:t>106-114</w:t>
            </w:r>
            <w:r>
              <w:t>)</w:t>
            </w:r>
          </w:p>
        </w:tc>
        <w:tc>
          <w:tcPr>
            <w:tcW w:w="1345" w:type="dxa"/>
            <w:tcMar>
              <w:left w:w="86" w:type="dxa"/>
              <w:right w:w="86" w:type="dxa"/>
            </w:tcMar>
          </w:tcPr>
          <w:p w:rsidR="0088452B" w:rsidRPr="00D94F41" w:rsidP="00803841" w14:paraId="5611AA52" w14:textId="77777777">
            <w:pPr>
              <w:pStyle w:val="TableParagraph"/>
              <w:spacing w:before="30" w:after="30"/>
            </w:pPr>
            <w:r w:rsidRPr="00D94F41">
              <w:t>Both</w:t>
            </w:r>
          </w:p>
        </w:tc>
      </w:tr>
      <w:tr w14:paraId="1873CCC1" w14:textId="77777777" w:rsidTr="00B13DA1">
        <w:tblPrEx>
          <w:tblW w:w="5000" w:type="pct"/>
          <w:tblLayout w:type="fixed"/>
          <w:tblLook w:val="01E0"/>
        </w:tblPrEx>
        <w:trPr>
          <w:cantSplit/>
        </w:trPr>
        <w:tc>
          <w:tcPr>
            <w:tcW w:w="3595" w:type="dxa"/>
            <w:tcMar>
              <w:left w:w="86" w:type="dxa"/>
              <w:right w:w="86" w:type="dxa"/>
            </w:tcMar>
          </w:tcPr>
          <w:p w:rsidR="0088452B" w:rsidRPr="00D94F41" w:rsidP="00803841" w14:paraId="235D5D37" w14:textId="7F86CDDB">
            <w:pPr>
              <w:pStyle w:val="TableParagraph"/>
              <w:spacing w:before="30" w:after="30"/>
            </w:pPr>
            <w:r w:rsidRPr="00D94F41">
              <w:t>Housing Characteristics (HAQ)</w:t>
            </w:r>
          </w:p>
        </w:tc>
        <w:tc>
          <w:tcPr>
            <w:tcW w:w="1350" w:type="dxa"/>
            <w:tcMar>
              <w:left w:w="86" w:type="dxa"/>
              <w:right w:w="86" w:type="dxa"/>
            </w:tcMar>
          </w:tcPr>
          <w:p w:rsidR="0088452B" w:rsidRPr="00D94F41" w:rsidP="00803841" w14:paraId="4FCDBC41" w14:textId="77777777">
            <w:pPr>
              <w:pStyle w:val="TableParagraph"/>
              <w:spacing w:before="30" w:after="30"/>
            </w:pPr>
            <w:r w:rsidRPr="00D94F41">
              <w:t>Topical</w:t>
            </w:r>
          </w:p>
        </w:tc>
        <w:tc>
          <w:tcPr>
            <w:tcW w:w="3060" w:type="dxa"/>
            <w:tcMar>
              <w:left w:w="86" w:type="dxa"/>
              <w:right w:w="86" w:type="dxa"/>
            </w:tcMar>
          </w:tcPr>
          <w:p w:rsidR="0088452B" w:rsidRPr="00D94F41" w:rsidP="00803841" w14:paraId="22BBE913" w14:textId="71AA54F9">
            <w:pPr>
              <w:pStyle w:val="TableParagraph"/>
              <w:spacing w:before="30" w:after="30"/>
            </w:pPr>
            <w:bookmarkStart w:id="24" w:name="OLE_LINK11"/>
            <w:r w:rsidRPr="00D94F41">
              <w:t xml:space="preserve">Fall (Rounds </w:t>
            </w:r>
            <w:r w:rsidR="00C17A23">
              <w:t>106</w:t>
            </w:r>
            <w:r w:rsidRPr="00D94F41">
              <w:t xml:space="preserve">, </w:t>
            </w:r>
            <w:r w:rsidRPr="00D94F41" w:rsidR="00C17A23">
              <w:t>10</w:t>
            </w:r>
            <w:r w:rsidR="00C17A23">
              <w:t>9</w:t>
            </w:r>
            <w:r w:rsidRPr="00D94F41" w:rsidR="00A61638">
              <w:t xml:space="preserve">, </w:t>
            </w:r>
            <w:r w:rsidRPr="00D94F41" w:rsidR="00C17A23">
              <w:t>1</w:t>
            </w:r>
            <w:r w:rsidR="00C17A23">
              <w:t>12</w:t>
            </w:r>
            <w:r w:rsidRPr="00D94F41">
              <w:t>)</w:t>
            </w:r>
            <w:bookmarkEnd w:id="24"/>
          </w:p>
        </w:tc>
        <w:tc>
          <w:tcPr>
            <w:tcW w:w="1345" w:type="dxa"/>
            <w:tcMar>
              <w:left w:w="86" w:type="dxa"/>
              <w:right w:w="86" w:type="dxa"/>
            </w:tcMar>
          </w:tcPr>
          <w:p w:rsidR="0088452B" w:rsidRPr="00D94F41" w:rsidP="00803841" w14:paraId="1DE9411E" w14:textId="77777777">
            <w:pPr>
              <w:pStyle w:val="TableParagraph"/>
              <w:spacing w:before="30" w:after="30"/>
            </w:pPr>
            <w:r w:rsidRPr="00D94F41">
              <w:t>Both</w:t>
            </w:r>
          </w:p>
        </w:tc>
      </w:tr>
      <w:tr w14:paraId="7A224B27" w14:textId="77777777" w:rsidTr="00B13DA1">
        <w:tblPrEx>
          <w:tblW w:w="5000" w:type="pct"/>
          <w:tblLayout w:type="fixed"/>
          <w:tblLook w:val="01E0"/>
        </w:tblPrEx>
        <w:trPr>
          <w:cantSplit/>
        </w:trPr>
        <w:tc>
          <w:tcPr>
            <w:tcW w:w="3595" w:type="dxa"/>
            <w:tcMar>
              <w:left w:w="86" w:type="dxa"/>
              <w:right w:w="86" w:type="dxa"/>
            </w:tcMar>
          </w:tcPr>
          <w:p w:rsidR="0088452B" w:rsidRPr="00D94F41" w:rsidP="00803841" w14:paraId="2D82CC13" w14:textId="51ABA5DE">
            <w:pPr>
              <w:pStyle w:val="TableParagraph"/>
              <w:spacing w:before="30" w:after="30"/>
            </w:pPr>
            <w:r w:rsidRPr="00D94F41">
              <w:t>Health Insurance (HIQ)</w:t>
            </w:r>
            <w:r w:rsidR="00083B97">
              <w:t>*</w:t>
            </w:r>
          </w:p>
        </w:tc>
        <w:tc>
          <w:tcPr>
            <w:tcW w:w="1350" w:type="dxa"/>
            <w:tcMar>
              <w:left w:w="86" w:type="dxa"/>
              <w:right w:w="86" w:type="dxa"/>
            </w:tcMar>
          </w:tcPr>
          <w:p w:rsidR="0088452B" w:rsidRPr="00D94F41" w:rsidP="00803841" w14:paraId="0DDBC514" w14:textId="77777777">
            <w:pPr>
              <w:pStyle w:val="TableParagraph"/>
              <w:spacing w:before="30" w:after="30"/>
            </w:pPr>
            <w:r w:rsidRPr="00D94F41">
              <w:t>Core</w:t>
            </w:r>
          </w:p>
        </w:tc>
        <w:tc>
          <w:tcPr>
            <w:tcW w:w="3060" w:type="dxa"/>
            <w:tcMar>
              <w:left w:w="86" w:type="dxa"/>
              <w:right w:w="86" w:type="dxa"/>
            </w:tcMar>
          </w:tcPr>
          <w:p w:rsidR="0088452B" w:rsidRPr="00D94F41" w:rsidP="00803841" w14:paraId="43245161" w14:textId="2E8AD842">
            <w:pPr>
              <w:pStyle w:val="TableParagraph"/>
              <w:spacing w:before="30" w:after="30"/>
            </w:pPr>
            <w:r>
              <w:t xml:space="preserve">All (Round </w:t>
            </w:r>
            <w:r w:rsidRPr="00C17A23" w:rsidR="00C17A23">
              <w:t>106-114</w:t>
            </w:r>
            <w:r>
              <w:t>)</w:t>
            </w:r>
          </w:p>
        </w:tc>
        <w:tc>
          <w:tcPr>
            <w:tcW w:w="1345" w:type="dxa"/>
            <w:tcMar>
              <w:left w:w="86" w:type="dxa"/>
              <w:right w:w="86" w:type="dxa"/>
            </w:tcMar>
          </w:tcPr>
          <w:p w:rsidR="0088452B" w:rsidRPr="00D94F41" w:rsidP="00803841" w14:paraId="6352CA28" w14:textId="77777777">
            <w:pPr>
              <w:pStyle w:val="TableParagraph"/>
              <w:spacing w:before="30" w:after="30"/>
            </w:pPr>
            <w:r w:rsidRPr="00D94F41">
              <w:t>Both</w:t>
            </w:r>
          </w:p>
        </w:tc>
      </w:tr>
      <w:tr w14:paraId="68B686ED" w14:textId="77777777" w:rsidTr="00B13DA1">
        <w:tblPrEx>
          <w:tblW w:w="5000" w:type="pct"/>
          <w:tblLayout w:type="fixed"/>
          <w:tblLook w:val="01E0"/>
        </w:tblPrEx>
        <w:trPr>
          <w:cantSplit/>
        </w:trPr>
        <w:tc>
          <w:tcPr>
            <w:tcW w:w="3595" w:type="dxa"/>
            <w:tcMar>
              <w:left w:w="86" w:type="dxa"/>
              <w:right w:w="86" w:type="dxa"/>
            </w:tcMar>
          </w:tcPr>
          <w:p w:rsidR="00524E48" w:rsidRPr="00D94F41" w:rsidP="00803841" w14:paraId="55213BDC" w14:textId="4E2F1951">
            <w:pPr>
              <w:pStyle w:val="TableParagraph"/>
              <w:spacing w:before="30" w:after="30"/>
            </w:pPr>
            <w:r w:rsidRPr="00D94F41">
              <w:t>Mobility of Beneficiaries (MBQ)</w:t>
            </w:r>
          </w:p>
        </w:tc>
        <w:tc>
          <w:tcPr>
            <w:tcW w:w="1350" w:type="dxa"/>
            <w:tcMar>
              <w:left w:w="86" w:type="dxa"/>
              <w:right w:w="86" w:type="dxa"/>
            </w:tcMar>
          </w:tcPr>
          <w:p w:rsidR="00524E48" w:rsidRPr="00D94F41" w:rsidP="00803841" w14:paraId="77023AC3" w14:textId="7FEB1F4C">
            <w:pPr>
              <w:pStyle w:val="TableParagraph"/>
              <w:spacing w:before="30" w:after="30"/>
            </w:pPr>
            <w:r w:rsidRPr="00D94F41">
              <w:t>Topical</w:t>
            </w:r>
          </w:p>
        </w:tc>
        <w:tc>
          <w:tcPr>
            <w:tcW w:w="3060" w:type="dxa"/>
            <w:tcMar>
              <w:left w:w="86" w:type="dxa"/>
              <w:right w:w="86" w:type="dxa"/>
            </w:tcMar>
          </w:tcPr>
          <w:p w:rsidR="00524E48" w:rsidRPr="00D94F41" w:rsidP="00803841" w14:paraId="2B9554DC" w14:textId="08426726">
            <w:pPr>
              <w:pStyle w:val="TableParagraph"/>
              <w:spacing w:before="30" w:after="30"/>
            </w:pPr>
            <w:r>
              <w:t xml:space="preserve">Fall (Rounds </w:t>
            </w:r>
            <w:r w:rsidRPr="00C17A23" w:rsidR="00C17A23">
              <w:t>106, 109, 112</w:t>
            </w:r>
            <w:r>
              <w:t>)</w:t>
            </w:r>
          </w:p>
        </w:tc>
        <w:tc>
          <w:tcPr>
            <w:tcW w:w="1345" w:type="dxa"/>
            <w:tcMar>
              <w:left w:w="86" w:type="dxa"/>
              <w:right w:w="86" w:type="dxa"/>
            </w:tcMar>
          </w:tcPr>
          <w:p w:rsidR="00524E48" w:rsidRPr="00D94F41" w:rsidP="00803841" w14:paraId="1AE545E1" w14:textId="3A7A113E">
            <w:pPr>
              <w:pStyle w:val="TableParagraph"/>
              <w:spacing w:before="30" w:after="30"/>
            </w:pPr>
            <w:r w:rsidRPr="00D94F41">
              <w:t>Both</w:t>
            </w:r>
          </w:p>
        </w:tc>
      </w:tr>
      <w:tr w14:paraId="795113CC" w14:textId="77777777" w:rsidTr="00B13DA1">
        <w:tblPrEx>
          <w:tblW w:w="5000" w:type="pct"/>
          <w:tblLayout w:type="fixed"/>
          <w:tblLook w:val="01E0"/>
        </w:tblPrEx>
        <w:trPr>
          <w:cantSplit/>
        </w:trPr>
        <w:tc>
          <w:tcPr>
            <w:tcW w:w="3595" w:type="dxa"/>
            <w:tcMar>
              <w:left w:w="86" w:type="dxa"/>
              <w:right w:w="86" w:type="dxa"/>
            </w:tcMar>
          </w:tcPr>
          <w:p w:rsidR="00524E48" w:rsidRPr="00D94F41" w:rsidP="00803841" w14:paraId="5606E012" w14:textId="28E50060">
            <w:pPr>
              <w:pStyle w:val="TableParagraph"/>
              <w:spacing w:before="30" w:after="30"/>
            </w:pPr>
            <w:r w:rsidRPr="00D94F41">
              <w:t>Preventive Care (PVQ)</w:t>
            </w:r>
            <w:r w:rsidR="00355E4B">
              <w:t>*</w:t>
            </w:r>
          </w:p>
        </w:tc>
        <w:tc>
          <w:tcPr>
            <w:tcW w:w="1350" w:type="dxa"/>
            <w:tcMar>
              <w:left w:w="86" w:type="dxa"/>
              <w:right w:w="86" w:type="dxa"/>
            </w:tcMar>
          </w:tcPr>
          <w:p w:rsidR="00524E48" w:rsidRPr="00D94F41" w:rsidP="00803841" w14:paraId="60CF04E1" w14:textId="6F6CD649">
            <w:pPr>
              <w:pStyle w:val="TableParagraph"/>
              <w:spacing w:before="30" w:after="30"/>
            </w:pPr>
            <w:r w:rsidRPr="00D94F41">
              <w:t>Topical</w:t>
            </w:r>
          </w:p>
        </w:tc>
        <w:tc>
          <w:tcPr>
            <w:tcW w:w="3060" w:type="dxa"/>
            <w:tcMar>
              <w:left w:w="86" w:type="dxa"/>
              <w:right w:w="86" w:type="dxa"/>
            </w:tcMar>
          </w:tcPr>
          <w:p w:rsidR="00524E48" w:rsidRPr="00D94F41" w:rsidP="00803841" w14:paraId="00FB0CA0" w14:textId="38C8B2BF">
            <w:pPr>
              <w:pStyle w:val="TableParagraph"/>
              <w:spacing w:before="30" w:after="30"/>
            </w:pPr>
            <w:r w:rsidRPr="00E778E5">
              <w:t>Fall (Rounds 106, 109, 112)</w:t>
            </w:r>
          </w:p>
        </w:tc>
        <w:tc>
          <w:tcPr>
            <w:tcW w:w="1345" w:type="dxa"/>
            <w:tcMar>
              <w:left w:w="86" w:type="dxa"/>
              <w:right w:w="86" w:type="dxa"/>
            </w:tcMar>
          </w:tcPr>
          <w:p w:rsidR="00524E48" w:rsidRPr="00D94F41" w:rsidP="00803841" w14:paraId="3A200448" w14:textId="015FBBC9">
            <w:pPr>
              <w:pStyle w:val="TableParagraph"/>
              <w:spacing w:before="30" w:after="30"/>
            </w:pPr>
            <w:r w:rsidRPr="00D94F41">
              <w:t>Both</w:t>
            </w:r>
          </w:p>
        </w:tc>
      </w:tr>
      <w:tr w14:paraId="7BECF64B"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3ACFBCE4" w14:textId="79EFA7BB">
            <w:pPr>
              <w:pStyle w:val="TableParagraph"/>
              <w:spacing w:before="30" w:after="30"/>
            </w:pPr>
            <w:r w:rsidRPr="00D94F41">
              <w:t>Health Status and Functioning (HFQ)</w:t>
            </w:r>
            <w:r w:rsidR="00F36FB5">
              <w:t>*</w:t>
            </w:r>
          </w:p>
        </w:tc>
        <w:tc>
          <w:tcPr>
            <w:tcW w:w="1350" w:type="dxa"/>
            <w:tcMar>
              <w:left w:w="86" w:type="dxa"/>
              <w:right w:w="86" w:type="dxa"/>
            </w:tcMar>
          </w:tcPr>
          <w:p w:rsidR="0015004D" w:rsidRPr="00D94F41" w:rsidP="00803841" w14:paraId="4E8E449A" w14:textId="1A581F38">
            <w:pPr>
              <w:pStyle w:val="TableParagraph"/>
              <w:spacing w:before="30" w:after="30"/>
            </w:pPr>
            <w:r w:rsidRPr="00D94F41">
              <w:t>Core</w:t>
            </w:r>
          </w:p>
        </w:tc>
        <w:tc>
          <w:tcPr>
            <w:tcW w:w="3060" w:type="dxa"/>
            <w:tcMar>
              <w:left w:w="86" w:type="dxa"/>
              <w:right w:w="86" w:type="dxa"/>
            </w:tcMar>
          </w:tcPr>
          <w:p w:rsidR="0015004D" w:rsidRPr="00D94F41" w:rsidP="00803841" w14:paraId="42EAB69D" w14:textId="23FE8640">
            <w:pPr>
              <w:pStyle w:val="TableParagraph"/>
              <w:spacing w:before="30" w:after="30"/>
            </w:pPr>
            <w:r>
              <w:t xml:space="preserve">Fall (Rounds </w:t>
            </w:r>
            <w:r w:rsidRPr="00C17A23" w:rsidR="00C17A23">
              <w:t>106, 109, 112</w:t>
            </w:r>
            <w:r>
              <w:t>)</w:t>
            </w:r>
          </w:p>
        </w:tc>
        <w:tc>
          <w:tcPr>
            <w:tcW w:w="1345" w:type="dxa"/>
            <w:tcMar>
              <w:left w:w="86" w:type="dxa"/>
              <w:right w:w="86" w:type="dxa"/>
            </w:tcMar>
          </w:tcPr>
          <w:p w:rsidR="0015004D" w:rsidRPr="00D94F41" w:rsidP="00803841" w14:paraId="416C89BD" w14:textId="73DFAA1C">
            <w:pPr>
              <w:pStyle w:val="TableParagraph"/>
              <w:spacing w:before="30" w:after="30"/>
            </w:pPr>
            <w:r w:rsidRPr="00D94F41">
              <w:t>Both</w:t>
            </w:r>
          </w:p>
        </w:tc>
      </w:tr>
      <w:tr w14:paraId="10B00A6D"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6F93F4E1" w14:textId="4707AB0A">
            <w:pPr>
              <w:pStyle w:val="TableParagraph"/>
              <w:spacing w:before="30" w:after="30"/>
            </w:pPr>
            <w:r w:rsidRPr="00D94F41">
              <w:t>Nicotine and Alcohol Use (NAQ)</w:t>
            </w:r>
          </w:p>
        </w:tc>
        <w:tc>
          <w:tcPr>
            <w:tcW w:w="1350" w:type="dxa"/>
            <w:tcMar>
              <w:left w:w="86" w:type="dxa"/>
              <w:right w:w="86" w:type="dxa"/>
            </w:tcMar>
          </w:tcPr>
          <w:p w:rsidR="0015004D" w:rsidRPr="00D94F41" w:rsidP="00803841" w14:paraId="1A26543A" w14:textId="0C396A50">
            <w:pPr>
              <w:pStyle w:val="TableParagraph"/>
              <w:spacing w:before="30" w:after="30"/>
            </w:pPr>
            <w:r w:rsidRPr="00D94F41">
              <w:t>Topical</w:t>
            </w:r>
          </w:p>
        </w:tc>
        <w:tc>
          <w:tcPr>
            <w:tcW w:w="3060" w:type="dxa"/>
            <w:tcMar>
              <w:left w:w="86" w:type="dxa"/>
              <w:right w:w="86" w:type="dxa"/>
            </w:tcMar>
          </w:tcPr>
          <w:p w:rsidR="0015004D" w:rsidRPr="00D94F41" w:rsidP="00803841" w14:paraId="4B79EB8B" w14:textId="29A42600">
            <w:pPr>
              <w:pStyle w:val="TableParagraph"/>
              <w:spacing w:before="30" w:after="30"/>
            </w:pPr>
            <w:r>
              <w:t xml:space="preserve">Fall (Rounds </w:t>
            </w:r>
            <w:r w:rsidRPr="00C17A23" w:rsidR="00C17A23">
              <w:t>106, 109, 112</w:t>
            </w:r>
            <w:r>
              <w:t>)</w:t>
            </w:r>
          </w:p>
        </w:tc>
        <w:tc>
          <w:tcPr>
            <w:tcW w:w="1345" w:type="dxa"/>
            <w:tcMar>
              <w:left w:w="86" w:type="dxa"/>
              <w:right w:w="86" w:type="dxa"/>
            </w:tcMar>
          </w:tcPr>
          <w:p w:rsidR="0015004D" w:rsidRPr="00D94F41" w:rsidP="00803841" w14:paraId="1F4E0F5C" w14:textId="32304B8B">
            <w:pPr>
              <w:pStyle w:val="TableParagraph"/>
              <w:spacing w:before="30" w:after="30"/>
            </w:pPr>
            <w:r w:rsidRPr="00D94F41">
              <w:t>Both</w:t>
            </w:r>
          </w:p>
        </w:tc>
      </w:tr>
      <w:tr w14:paraId="1FC7B6D8"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066C5558" w14:textId="119F2F1D">
            <w:pPr>
              <w:pStyle w:val="TableParagraph"/>
              <w:spacing w:before="30" w:after="30"/>
            </w:pPr>
            <w:r w:rsidRPr="00D94F41">
              <w:t>Satisfaction with Care (SCQ)</w:t>
            </w:r>
            <w:r w:rsidR="00692AAB">
              <w:t>*</w:t>
            </w:r>
          </w:p>
        </w:tc>
        <w:tc>
          <w:tcPr>
            <w:tcW w:w="1350" w:type="dxa"/>
            <w:tcMar>
              <w:left w:w="86" w:type="dxa"/>
              <w:right w:w="86" w:type="dxa"/>
            </w:tcMar>
          </w:tcPr>
          <w:p w:rsidR="0015004D" w:rsidRPr="00D94F41" w:rsidP="00803841" w14:paraId="0512B490" w14:textId="0DBC9805">
            <w:pPr>
              <w:pStyle w:val="TableParagraph"/>
              <w:spacing w:before="30" w:after="30"/>
            </w:pPr>
            <w:r w:rsidRPr="00D94F41">
              <w:t>Core</w:t>
            </w:r>
          </w:p>
        </w:tc>
        <w:tc>
          <w:tcPr>
            <w:tcW w:w="3060" w:type="dxa"/>
            <w:tcMar>
              <w:left w:w="86" w:type="dxa"/>
              <w:right w:w="86" w:type="dxa"/>
            </w:tcMar>
          </w:tcPr>
          <w:p w:rsidR="0015004D" w:rsidRPr="00D94F41" w:rsidP="00803841" w14:paraId="39A5B681" w14:textId="195296D5">
            <w:pPr>
              <w:pStyle w:val="TableParagraph"/>
              <w:spacing w:before="30" w:after="30"/>
            </w:pPr>
            <w:r>
              <w:t xml:space="preserve">Fall (Rounds </w:t>
            </w:r>
            <w:r w:rsidRPr="00C17A23" w:rsidR="00C17A23">
              <w:t>106, 109, 112</w:t>
            </w:r>
            <w:r>
              <w:t>)</w:t>
            </w:r>
          </w:p>
        </w:tc>
        <w:tc>
          <w:tcPr>
            <w:tcW w:w="1345" w:type="dxa"/>
            <w:tcMar>
              <w:left w:w="86" w:type="dxa"/>
              <w:right w:w="86" w:type="dxa"/>
            </w:tcMar>
          </w:tcPr>
          <w:p w:rsidR="0015004D" w:rsidRPr="00D94F41" w:rsidP="00803841" w14:paraId="25574390" w14:textId="5AF39271">
            <w:pPr>
              <w:pStyle w:val="TableParagraph"/>
              <w:spacing w:before="30" w:after="30"/>
            </w:pPr>
            <w:r w:rsidRPr="00D94F41">
              <w:t>Both</w:t>
            </w:r>
          </w:p>
        </w:tc>
      </w:tr>
      <w:tr w14:paraId="35726B2F"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1E6E58E9" w14:textId="107E56C0">
            <w:pPr>
              <w:pStyle w:val="TableParagraph"/>
              <w:spacing w:before="30" w:after="30"/>
            </w:pPr>
            <w:r w:rsidRPr="00D94F41">
              <w:t>Cognitive Measures (CMQ)</w:t>
            </w:r>
          </w:p>
        </w:tc>
        <w:tc>
          <w:tcPr>
            <w:tcW w:w="1350" w:type="dxa"/>
            <w:tcMar>
              <w:left w:w="86" w:type="dxa"/>
              <w:right w:w="86" w:type="dxa"/>
            </w:tcMar>
          </w:tcPr>
          <w:p w:rsidR="0015004D" w:rsidRPr="00D94F41" w:rsidP="00803841" w14:paraId="0A55AB2E" w14:textId="59D2C8E8">
            <w:pPr>
              <w:pStyle w:val="TableParagraph"/>
              <w:spacing w:before="30" w:after="30"/>
            </w:pPr>
            <w:r w:rsidRPr="00D94F41">
              <w:t xml:space="preserve">Core </w:t>
            </w:r>
          </w:p>
        </w:tc>
        <w:tc>
          <w:tcPr>
            <w:tcW w:w="3060" w:type="dxa"/>
            <w:tcMar>
              <w:left w:w="86" w:type="dxa"/>
              <w:right w:w="86" w:type="dxa"/>
            </w:tcMar>
          </w:tcPr>
          <w:p w:rsidR="0015004D" w:rsidRPr="00D94F41" w:rsidP="00803841" w14:paraId="1394B099" w14:textId="10713223">
            <w:pPr>
              <w:pStyle w:val="TableParagraph"/>
              <w:spacing w:before="30" w:after="30"/>
            </w:pPr>
            <w:r>
              <w:t xml:space="preserve">Fall (Rounds </w:t>
            </w:r>
            <w:r w:rsidRPr="00C17A23" w:rsidR="00C17A23">
              <w:t>106, 109, 112</w:t>
            </w:r>
            <w:r>
              <w:t>)</w:t>
            </w:r>
          </w:p>
        </w:tc>
        <w:tc>
          <w:tcPr>
            <w:tcW w:w="1345" w:type="dxa"/>
            <w:tcMar>
              <w:left w:w="86" w:type="dxa"/>
              <w:right w:w="86" w:type="dxa"/>
            </w:tcMar>
          </w:tcPr>
          <w:p w:rsidR="0015004D" w:rsidRPr="00D94F41" w:rsidP="00803841" w14:paraId="4A47897D" w14:textId="6CBBD99B">
            <w:pPr>
              <w:pStyle w:val="TableParagraph"/>
              <w:spacing w:before="30" w:after="30"/>
            </w:pPr>
            <w:r w:rsidRPr="00D94F41">
              <w:t>Both</w:t>
            </w:r>
          </w:p>
        </w:tc>
      </w:tr>
      <w:tr w14:paraId="082BBF0D"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1F4F3EBB" w14:textId="619D2A80">
            <w:pPr>
              <w:pStyle w:val="TableParagraph"/>
              <w:spacing w:before="30" w:after="30"/>
            </w:pPr>
            <w:r w:rsidRPr="00D94F41">
              <w:t>Demographics and Income (DIQ)</w:t>
            </w:r>
          </w:p>
        </w:tc>
        <w:tc>
          <w:tcPr>
            <w:tcW w:w="1350" w:type="dxa"/>
            <w:tcMar>
              <w:left w:w="86" w:type="dxa"/>
              <w:right w:w="86" w:type="dxa"/>
            </w:tcMar>
          </w:tcPr>
          <w:p w:rsidR="0015004D" w:rsidRPr="00D94F41" w:rsidP="00803841" w14:paraId="3E2644BB" w14:textId="38460FD0">
            <w:pPr>
              <w:pStyle w:val="TableParagraph"/>
              <w:spacing w:before="30" w:after="30"/>
            </w:pPr>
            <w:r w:rsidRPr="00D94F41">
              <w:t>Core</w:t>
            </w:r>
          </w:p>
        </w:tc>
        <w:tc>
          <w:tcPr>
            <w:tcW w:w="3060" w:type="dxa"/>
            <w:tcMar>
              <w:left w:w="86" w:type="dxa"/>
              <w:right w:w="86" w:type="dxa"/>
            </w:tcMar>
          </w:tcPr>
          <w:p w:rsidR="0015004D" w:rsidRPr="00D94F41" w:rsidP="00803841" w14:paraId="5D2787A2" w14:textId="65745CC5">
            <w:pPr>
              <w:pStyle w:val="TableParagraph"/>
              <w:spacing w:before="30" w:after="30"/>
            </w:pPr>
            <w:r>
              <w:t xml:space="preserve">Fall (Rounds </w:t>
            </w:r>
            <w:r w:rsidRPr="00C17A23" w:rsidR="00C17A23">
              <w:t>106, 109, 112</w:t>
            </w:r>
            <w:r>
              <w:t>)</w:t>
            </w:r>
          </w:p>
        </w:tc>
        <w:tc>
          <w:tcPr>
            <w:tcW w:w="1345" w:type="dxa"/>
            <w:tcMar>
              <w:left w:w="86" w:type="dxa"/>
              <w:right w:w="86" w:type="dxa"/>
            </w:tcMar>
          </w:tcPr>
          <w:p w:rsidR="0015004D" w:rsidRPr="00D94F41" w:rsidP="00803841" w14:paraId="508B398D" w14:textId="4EF60B2D">
            <w:pPr>
              <w:pStyle w:val="TableParagraph"/>
              <w:spacing w:before="30" w:after="30"/>
            </w:pPr>
            <w:r>
              <w:t>Baseline</w:t>
            </w:r>
          </w:p>
        </w:tc>
      </w:tr>
      <w:tr w14:paraId="27F87A90" w14:textId="77777777" w:rsidTr="00B13DA1">
        <w:tblPrEx>
          <w:tblW w:w="5000" w:type="pct"/>
          <w:tblLayout w:type="fixed"/>
          <w:tblLook w:val="01E0"/>
        </w:tblPrEx>
        <w:trPr>
          <w:cantSplit/>
        </w:trPr>
        <w:tc>
          <w:tcPr>
            <w:tcW w:w="359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rsidP="00803841" w14:paraId="385274A1" w14:textId="77777777">
            <w:pPr>
              <w:pStyle w:val="TableParagraph"/>
              <w:spacing w:before="30" w:after="30"/>
            </w:pPr>
            <w:r>
              <w:t>Immunization (IMQ)*</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rsidP="00803841" w14:paraId="4E5126F2" w14:textId="77777777">
            <w:pPr>
              <w:pStyle w:val="TableParagraph"/>
              <w:spacing w:before="30" w:after="30"/>
            </w:pPr>
            <w:r>
              <w:t>Topical</w:t>
            </w:r>
          </w:p>
        </w:tc>
        <w:tc>
          <w:tcPr>
            <w:tcW w:w="306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rsidP="00803841" w14:paraId="1A4FDF51" w14:textId="26457485">
            <w:pPr>
              <w:pStyle w:val="TableParagraph"/>
              <w:spacing w:before="30" w:after="30"/>
            </w:pPr>
            <w:r>
              <w:t xml:space="preserve">Winter (Round </w:t>
            </w:r>
            <w:r w:rsidRPr="00083B97" w:rsidR="00083B97">
              <w:t>107, 110, 113</w:t>
            </w:r>
            <w:r>
              <w:t>)</w:t>
            </w:r>
          </w:p>
        </w:tc>
        <w:tc>
          <w:tcPr>
            <w:tcW w:w="134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rsidP="00803841" w14:paraId="0536F242" w14:textId="77777777">
            <w:pPr>
              <w:pStyle w:val="TableParagraph"/>
              <w:spacing w:before="30" w:after="30"/>
            </w:pPr>
            <w:r>
              <w:t>Continuing</w:t>
            </w:r>
          </w:p>
        </w:tc>
      </w:tr>
      <w:tr w14:paraId="6833D2C9" w14:textId="77777777" w:rsidTr="00B13DA1">
        <w:tblPrEx>
          <w:tblW w:w="5000" w:type="pct"/>
          <w:tblLayout w:type="fixed"/>
          <w:tblLook w:val="01E0"/>
        </w:tblPrEx>
        <w:trPr>
          <w:cantSplit/>
        </w:trPr>
        <w:tc>
          <w:tcPr>
            <w:tcW w:w="3595" w:type="dxa"/>
            <w:tcMar>
              <w:left w:w="86" w:type="dxa"/>
              <w:right w:w="86" w:type="dxa"/>
            </w:tcMar>
          </w:tcPr>
          <w:p w:rsidR="00F70FE0" w:rsidRPr="00D94F41" w:rsidP="00803841" w14:paraId="610234EA" w14:textId="64CF5DE5">
            <w:pPr>
              <w:pStyle w:val="TableParagraph"/>
              <w:spacing w:before="30" w:after="30"/>
            </w:pPr>
            <w:r w:rsidRPr="00D94F41">
              <w:t>Beneficiary Knowledge and Information Needs (KNQ)</w:t>
            </w:r>
            <w:r w:rsidR="00B02E2E">
              <w:t>*</w:t>
            </w:r>
          </w:p>
        </w:tc>
        <w:tc>
          <w:tcPr>
            <w:tcW w:w="1350" w:type="dxa"/>
            <w:tcMar>
              <w:left w:w="86" w:type="dxa"/>
              <w:right w:w="86" w:type="dxa"/>
            </w:tcMar>
          </w:tcPr>
          <w:p w:rsidR="00F70FE0" w:rsidRPr="00D94F41" w:rsidP="00803841" w14:paraId="2CB4EB3F" w14:textId="0E3F1E51">
            <w:pPr>
              <w:pStyle w:val="TableParagraph"/>
              <w:spacing w:before="30" w:after="30"/>
            </w:pPr>
            <w:r w:rsidRPr="00D94F41">
              <w:t>Topical</w:t>
            </w:r>
          </w:p>
        </w:tc>
        <w:tc>
          <w:tcPr>
            <w:tcW w:w="3060" w:type="dxa"/>
            <w:tcMar>
              <w:left w:w="86" w:type="dxa"/>
              <w:right w:w="86" w:type="dxa"/>
            </w:tcMar>
          </w:tcPr>
          <w:p w:rsidR="00F70FE0" w:rsidRPr="00D94F41" w:rsidP="00803841" w14:paraId="33B1A921" w14:textId="5193EB08">
            <w:pPr>
              <w:pStyle w:val="TableParagraph"/>
              <w:spacing w:before="30" w:after="30"/>
            </w:pPr>
            <w:r>
              <w:t xml:space="preserve">Winter (Round </w:t>
            </w:r>
            <w:r w:rsidRPr="00083B97" w:rsidR="00083B97">
              <w:t>107, 110, 113</w:t>
            </w:r>
            <w:r>
              <w:t>)</w:t>
            </w:r>
          </w:p>
        </w:tc>
        <w:tc>
          <w:tcPr>
            <w:tcW w:w="1345" w:type="dxa"/>
            <w:tcMar>
              <w:left w:w="86" w:type="dxa"/>
              <w:right w:w="86" w:type="dxa"/>
            </w:tcMar>
          </w:tcPr>
          <w:p w:rsidR="00F70FE0" w:rsidRPr="00D94F41" w:rsidP="00803841" w14:paraId="41B21747" w14:textId="4C0FCE36">
            <w:pPr>
              <w:pStyle w:val="TableParagraph"/>
              <w:spacing w:before="30" w:after="30"/>
            </w:pPr>
            <w:r w:rsidRPr="00D94F41">
              <w:t>Continuing</w:t>
            </w:r>
          </w:p>
        </w:tc>
      </w:tr>
      <w:tr w14:paraId="458CFEB2" w14:textId="77777777" w:rsidTr="00B13DA1">
        <w:tblPrEx>
          <w:tblW w:w="5000" w:type="pct"/>
          <w:tblLayout w:type="fixed"/>
          <w:tblLook w:val="01E0"/>
        </w:tblPrEx>
        <w:trPr>
          <w:cantSplit/>
        </w:trPr>
        <w:tc>
          <w:tcPr>
            <w:tcW w:w="3595" w:type="dxa"/>
            <w:tcMar>
              <w:left w:w="86" w:type="dxa"/>
              <w:right w:w="86" w:type="dxa"/>
            </w:tcMar>
          </w:tcPr>
          <w:p w:rsidR="00F70FE0" w:rsidRPr="00D94F41" w:rsidP="00803841" w14:paraId="39661848" w14:textId="3117A40D">
            <w:pPr>
              <w:pStyle w:val="TableParagraph"/>
              <w:spacing w:before="30" w:after="30"/>
            </w:pPr>
            <w:r w:rsidRPr="00D94F41">
              <w:t>Usual Source of Care (USQ)</w:t>
            </w:r>
            <w:r w:rsidR="00622E3B">
              <w:t>*</w:t>
            </w:r>
          </w:p>
        </w:tc>
        <w:tc>
          <w:tcPr>
            <w:tcW w:w="1350" w:type="dxa"/>
            <w:tcMar>
              <w:left w:w="86" w:type="dxa"/>
              <w:right w:w="86" w:type="dxa"/>
            </w:tcMar>
          </w:tcPr>
          <w:p w:rsidR="00F70FE0" w:rsidRPr="00D94F41" w:rsidP="00803841" w14:paraId="1CBE4405" w14:textId="259F46EA">
            <w:pPr>
              <w:pStyle w:val="TableParagraph"/>
              <w:spacing w:before="30" w:after="30"/>
            </w:pPr>
            <w:r w:rsidRPr="00D94F41">
              <w:t>Core</w:t>
            </w:r>
          </w:p>
        </w:tc>
        <w:tc>
          <w:tcPr>
            <w:tcW w:w="3060" w:type="dxa"/>
            <w:tcMar>
              <w:left w:w="86" w:type="dxa"/>
              <w:right w:w="86" w:type="dxa"/>
            </w:tcMar>
          </w:tcPr>
          <w:p w:rsidR="00F70FE0" w:rsidRPr="00D94F41" w:rsidP="00803841" w14:paraId="4A4440B1" w14:textId="32AC6E25">
            <w:pPr>
              <w:pStyle w:val="TableParagraph"/>
              <w:spacing w:before="30" w:after="30"/>
            </w:pPr>
            <w:r>
              <w:t xml:space="preserve">Winter (Round </w:t>
            </w:r>
            <w:r w:rsidRPr="00083B97" w:rsidR="00083B97">
              <w:t>107, 110, 113</w:t>
            </w:r>
            <w:r>
              <w:t>)</w:t>
            </w:r>
          </w:p>
        </w:tc>
        <w:tc>
          <w:tcPr>
            <w:tcW w:w="1345" w:type="dxa"/>
            <w:tcMar>
              <w:left w:w="86" w:type="dxa"/>
              <w:right w:w="86" w:type="dxa"/>
            </w:tcMar>
          </w:tcPr>
          <w:p w:rsidR="00F70FE0" w:rsidRPr="00D94F41" w:rsidP="00803841" w14:paraId="3772AE14" w14:textId="7232D854">
            <w:pPr>
              <w:pStyle w:val="TableParagraph"/>
              <w:spacing w:before="30" w:after="30"/>
            </w:pPr>
            <w:r w:rsidRPr="00D94F41">
              <w:t>Continuing</w:t>
            </w:r>
          </w:p>
        </w:tc>
      </w:tr>
      <w:tr w14:paraId="684F74CB" w14:textId="77777777" w:rsidTr="00B13DA1">
        <w:tblPrEx>
          <w:tblW w:w="5000" w:type="pct"/>
          <w:tblLayout w:type="fixed"/>
          <w:tblLook w:val="01E0"/>
        </w:tblPrEx>
        <w:trPr>
          <w:cantSplit/>
        </w:trPr>
        <w:tc>
          <w:tcPr>
            <w:tcW w:w="3595" w:type="dxa"/>
            <w:tcMar>
              <w:left w:w="86" w:type="dxa"/>
              <w:right w:w="86" w:type="dxa"/>
            </w:tcMar>
          </w:tcPr>
          <w:p w:rsidR="00F70FE0" w:rsidRPr="00D94F41" w:rsidP="00803841" w14:paraId="6C6ED50D" w14:textId="5C72237E">
            <w:pPr>
              <w:pStyle w:val="TableParagraph"/>
              <w:spacing w:before="30" w:after="30"/>
            </w:pPr>
            <w:r w:rsidRPr="00D94F41">
              <w:t>Telemedicine (TLQ)</w:t>
            </w:r>
          </w:p>
        </w:tc>
        <w:tc>
          <w:tcPr>
            <w:tcW w:w="1350" w:type="dxa"/>
            <w:tcMar>
              <w:left w:w="86" w:type="dxa"/>
              <w:right w:w="86" w:type="dxa"/>
            </w:tcMar>
          </w:tcPr>
          <w:p w:rsidR="00F70FE0" w:rsidRPr="00D94F41" w:rsidP="00803841" w14:paraId="72F03B6C" w14:textId="1BFBB081">
            <w:pPr>
              <w:pStyle w:val="TableParagraph"/>
              <w:spacing w:before="30" w:after="30"/>
            </w:pPr>
            <w:r w:rsidRPr="00D94F41">
              <w:t>Topical</w:t>
            </w:r>
          </w:p>
        </w:tc>
        <w:tc>
          <w:tcPr>
            <w:tcW w:w="3060" w:type="dxa"/>
            <w:tcMar>
              <w:left w:w="86" w:type="dxa"/>
              <w:right w:w="86" w:type="dxa"/>
            </w:tcMar>
          </w:tcPr>
          <w:p w:rsidR="00F70FE0" w:rsidRPr="00D94F41" w:rsidP="00803841" w14:paraId="05248710" w14:textId="1C0A4BEC">
            <w:pPr>
              <w:pStyle w:val="TableParagraph"/>
              <w:spacing w:before="30" w:after="30"/>
            </w:pPr>
            <w:r>
              <w:t xml:space="preserve">Winter (Round </w:t>
            </w:r>
            <w:r w:rsidRPr="00083B97" w:rsidR="00083B97">
              <w:t>107, 110, 113</w:t>
            </w:r>
            <w:r>
              <w:t>)</w:t>
            </w:r>
          </w:p>
        </w:tc>
        <w:tc>
          <w:tcPr>
            <w:tcW w:w="1345" w:type="dxa"/>
            <w:tcMar>
              <w:left w:w="86" w:type="dxa"/>
              <w:right w:w="86" w:type="dxa"/>
            </w:tcMar>
          </w:tcPr>
          <w:p w:rsidR="00F70FE0" w:rsidRPr="00D94F41" w:rsidP="00803841" w14:paraId="655E28C8" w14:textId="55061EE6">
            <w:pPr>
              <w:pStyle w:val="TableParagraph"/>
              <w:spacing w:before="30" w:after="30"/>
            </w:pPr>
            <w:r w:rsidRPr="00D94F41">
              <w:t>Continuing</w:t>
            </w:r>
          </w:p>
        </w:tc>
      </w:tr>
      <w:tr w14:paraId="69F62CF7" w14:textId="77777777" w:rsidTr="00B13DA1">
        <w:tblPrEx>
          <w:tblW w:w="5000" w:type="pct"/>
          <w:tblLayout w:type="fixed"/>
          <w:tblLook w:val="01E0"/>
        </w:tblPrEx>
        <w:trPr>
          <w:cantSplit/>
        </w:trPr>
        <w:tc>
          <w:tcPr>
            <w:tcW w:w="3595" w:type="dxa"/>
            <w:tcMar>
              <w:left w:w="86" w:type="dxa"/>
              <w:right w:w="86" w:type="dxa"/>
            </w:tcMar>
          </w:tcPr>
          <w:p w:rsidR="00F70FE0" w:rsidRPr="00D94F41" w:rsidP="00803841" w14:paraId="6DCC5DB7" w14:textId="53FB4FBD">
            <w:pPr>
              <w:pStyle w:val="TableParagraph"/>
              <w:spacing w:before="30" w:after="30"/>
            </w:pPr>
            <w:r w:rsidRPr="00D94F41">
              <w:t>Chronic Pain (CPQ)</w:t>
            </w:r>
          </w:p>
        </w:tc>
        <w:tc>
          <w:tcPr>
            <w:tcW w:w="1350" w:type="dxa"/>
            <w:tcMar>
              <w:left w:w="86" w:type="dxa"/>
              <w:right w:w="86" w:type="dxa"/>
            </w:tcMar>
          </w:tcPr>
          <w:p w:rsidR="00F70FE0" w:rsidRPr="00D94F41" w:rsidP="00803841" w14:paraId="54341850" w14:textId="046D2497">
            <w:pPr>
              <w:pStyle w:val="TableParagraph"/>
              <w:spacing w:before="30" w:after="30"/>
            </w:pPr>
            <w:r w:rsidRPr="00D94F41">
              <w:t>Topical</w:t>
            </w:r>
          </w:p>
        </w:tc>
        <w:tc>
          <w:tcPr>
            <w:tcW w:w="3060" w:type="dxa"/>
            <w:tcMar>
              <w:left w:w="86" w:type="dxa"/>
              <w:right w:w="86" w:type="dxa"/>
            </w:tcMar>
          </w:tcPr>
          <w:p w:rsidR="00F70FE0" w:rsidRPr="00D94F41" w:rsidP="00803841" w14:paraId="6D9595F1" w14:textId="7C4C4164">
            <w:pPr>
              <w:pStyle w:val="TableParagraph"/>
              <w:spacing w:before="30" w:after="30"/>
            </w:pPr>
            <w:r w:rsidRPr="00D94F41">
              <w:t>Summer (Rounds 10</w:t>
            </w:r>
            <w:r w:rsidR="00083B97">
              <w:t>8</w:t>
            </w:r>
            <w:r w:rsidR="009D58E6">
              <w:t xml:space="preserve">, </w:t>
            </w:r>
            <w:r w:rsidR="00083B97">
              <w:t>111</w:t>
            </w:r>
            <w:r w:rsidR="00355E4B">
              <w:t xml:space="preserve">, </w:t>
            </w:r>
            <w:r w:rsidR="00083B97">
              <w:t>114</w:t>
            </w:r>
            <w:r w:rsidRPr="00D94F41">
              <w:t>)</w:t>
            </w:r>
          </w:p>
        </w:tc>
        <w:tc>
          <w:tcPr>
            <w:tcW w:w="1345" w:type="dxa"/>
            <w:tcMar>
              <w:left w:w="86" w:type="dxa"/>
              <w:right w:w="86" w:type="dxa"/>
            </w:tcMar>
          </w:tcPr>
          <w:p w:rsidR="00F70FE0" w:rsidRPr="00D94F41" w:rsidP="00803841" w14:paraId="1EA6396F" w14:textId="1CB82D0E">
            <w:pPr>
              <w:pStyle w:val="TableParagraph"/>
              <w:spacing w:before="30" w:after="30"/>
            </w:pPr>
            <w:r w:rsidRPr="00D94F41">
              <w:t>Continuing</w:t>
            </w:r>
          </w:p>
        </w:tc>
      </w:tr>
      <w:tr w14:paraId="3009FCE8" w14:textId="77777777" w:rsidTr="00B13DA1">
        <w:tblPrEx>
          <w:tblW w:w="5000" w:type="pct"/>
          <w:tblLayout w:type="fixed"/>
          <w:tblLook w:val="01E0"/>
        </w:tblPrEx>
        <w:trPr>
          <w:cantSplit/>
        </w:trPr>
        <w:tc>
          <w:tcPr>
            <w:tcW w:w="3595" w:type="dxa"/>
            <w:tcMar>
              <w:left w:w="86" w:type="dxa"/>
              <w:right w:w="86" w:type="dxa"/>
            </w:tcMar>
          </w:tcPr>
          <w:p w:rsidR="00F70FE0" w:rsidRPr="00D94F41" w:rsidP="00803841" w14:paraId="70F08014" w14:textId="14759A22">
            <w:pPr>
              <w:pStyle w:val="TableParagraph"/>
              <w:spacing w:before="30" w:after="30"/>
            </w:pPr>
            <w:r w:rsidRPr="00D94F41">
              <w:t>Income and Assets (IAQ)</w:t>
            </w:r>
          </w:p>
        </w:tc>
        <w:tc>
          <w:tcPr>
            <w:tcW w:w="1350" w:type="dxa"/>
            <w:tcMar>
              <w:left w:w="86" w:type="dxa"/>
              <w:right w:w="86" w:type="dxa"/>
            </w:tcMar>
          </w:tcPr>
          <w:p w:rsidR="00F70FE0" w:rsidRPr="00D94F41" w:rsidP="00803841" w14:paraId="556E635E" w14:textId="2C0BEF6C">
            <w:pPr>
              <w:pStyle w:val="TableParagraph"/>
              <w:spacing w:before="30" w:after="30"/>
            </w:pPr>
            <w:r w:rsidRPr="00D94F41">
              <w:t>Core</w:t>
            </w:r>
          </w:p>
        </w:tc>
        <w:tc>
          <w:tcPr>
            <w:tcW w:w="3060" w:type="dxa"/>
            <w:tcMar>
              <w:left w:w="86" w:type="dxa"/>
              <w:right w:w="86" w:type="dxa"/>
            </w:tcMar>
          </w:tcPr>
          <w:p w:rsidR="00F70FE0" w:rsidRPr="00D94F41" w:rsidP="00803841" w14:paraId="06E700C4" w14:textId="102C66EC">
            <w:pPr>
              <w:pStyle w:val="TableParagraph"/>
              <w:spacing w:before="30" w:after="30"/>
            </w:pPr>
            <w:r w:rsidRPr="00D94F41">
              <w:t xml:space="preserve">Summer (Rounds </w:t>
            </w:r>
            <w:r w:rsidRPr="00083B97" w:rsidR="00083B97">
              <w:t>108, 111, 114</w:t>
            </w:r>
            <w:r w:rsidRPr="00D94F41">
              <w:t>)</w:t>
            </w:r>
          </w:p>
        </w:tc>
        <w:tc>
          <w:tcPr>
            <w:tcW w:w="1345" w:type="dxa"/>
            <w:tcMar>
              <w:left w:w="86" w:type="dxa"/>
              <w:right w:w="86" w:type="dxa"/>
            </w:tcMar>
          </w:tcPr>
          <w:p w:rsidR="00F70FE0" w:rsidRPr="00D94F41" w:rsidP="00803841" w14:paraId="67151D18" w14:textId="76A19AA7">
            <w:pPr>
              <w:pStyle w:val="TableParagraph"/>
              <w:spacing w:before="30" w:after="30"/>
            </w:pPr>
            <w:r w:rsidRPr="00D94F41">
              <w:t>Continuing</w:t>
            </w:r>
          </w:p>
        </w:tc>
      </w:tr>
      <w:tr w14:paraId="3E41A3C8" w14:textId="77777777" w:rsidTr="00B13DA1">
        <w:tblPrEx>
          <w:tblW w:w="5000" w:type="pct"/>
          <w:tblLayout w:type="fixed"/>
          <w:tblLook w:val="01E0"/>
        </w:tblPrEx>
        <w:trPr>
          <w:cantSplit/>
        </w:trPr>
        <w:tc>
          <w:tcPr>
            <w:tcW w:w="3595" w:type="dxa"/>
            <w:tcMar>
              <w:left w:w="86" w:type="dxa"/>
              <w:right w:w="86" w:type="dxa"/>
            </w:tcMar>
          </w:tcPr>
          <w:p w:rsidR="00192210" w:rsidRPr="00D94F41" w:rsidP="00803841" w14:paraId="2D557E85" w14:textId="3C84D7F0">
            <w:pPr>
              <w:pStyle w:val="TableParagraph"/>
              <w:spacing w:before="30" w:after="30"/>
            </w:pPr>
            <w:r>
              <w:t>Debt (DBQ)</w:t>
            </w:r>
          </w:p>
        </w:tc>
        <w:tc>
          <w:tcPr>
            <w:tcW w:w="1350" w:type="dxa"/>
            <w:tcMar>
              <w:left w:w="86" w:type="dxa"/>
              <w:right w:w="86" w:type="dxa"/>
            </w:tcMar>
          </w:tcPr>
          <w:p w:rsidR="00192210" w:rsidRPr="00D94F41" w:rsidP="00803841" w14:paraId="43E3740B" w14:textId="27A67894">
            <w:pPr>
              <w:pStyle w:val="TableParagraph"/>
              <w:spacing w:before="30" w:after="30"/>
            </w:pPr>
            <w:r>
              <w:t>Core</w:t>
            </w:r>
          </w:p>
        </w:tc>
        <w:tc>
          <w:tcPr>
            <w:tcW w:w="3060" w:type="dxa"/>
            <w:tcMar>
              <w:left w:w="86" w:type="dxa"/>
              <w:right w:w="86" w:type="dxa"/>
            </w:tcMar>
          </w:tcPr>
          <w:p w:rsidR="00192210" w:rsidRPr="00D94F41" w:rsidP="00803841" w14:paraId="07E7A347" w14:textId="5BE6487B">
            <w:pPr>
              <w:pStyle w:val="TableParagraph"/>
              <w:spacing w:before="30" w:after="30"/>
            </w:pPr>
            <w:r>
              <w:t>Summer (Rounds 108, 111, 114)</w:t>
            </w:r>
          </w:p>
        </w:tc>
        <w:tc>
          <w:tcPr>
            <w:tcW w:w="1345" w:type="dxa"/>
            <w:tcMar>
              <w:left w:w="86" w:type="dxa"/>
              <w:right w:w="86" w:type="dxa"/>
            </w:tcMar>
          </w:tcPr>
          <w:p w:rsidR="00192210" w:rsidRPr="00D94F41" w:rsidP="00803841" w14:paraId="5C6F8B58" w14:textId="5FFBE279">
            <w:pPr>
              <w:pStyle w:val="TableParagraph"/>
              <w:spacing w:before="30" w:after="30"/>
            </w:pPr>
            <w:r>
              <w:t>Continuing</w:t>
            </w:r>
          </w:p>
        </w:tc>
      </w:tr>
      <w:tr w14:paraId="2A67B631" w14:textId="77777777" w:rsidTr="00B13DA1">
        <w:tblPrEx>
          <w:tblW w:w="5000" w:type="pct"/>
          <w:tblLayout w:type="fixed"/>
          <w:tblLook w:val="01E0"/>
        </w:tblPrEx>
        <w:trPr>
          <w:cantSplit/>
        </w:trPr>
        <w:tc>
          <w:tcPr>
            <w:tcW w:w="3595" w:type="dxa"/>
            <w:tcMar>
              <w:left w:w="86" w:type="dxa"/>
              <w:right w:w="86" w:type="dxa"/>
            </w:tcMar>
          </w:tcPr>
          <w:p w:rsidR="00F70FE0" w:rsidRPr="00D94F41" w:rsidP="00803841" w14:paraId="61EB9FD9" w14:textId="1BF69124">
            <w:pPr>
              <w:pStyle w:val="TableParagraph"/>
              <w:spacing w:before="30" w:after="30"/>
            </w:pPr>
            <w:r w:rsidRPr="00D94F41">
              <w:t xml:space="preserve">Drug Coverage (RXQ) </w:t>
            </w:r>
          </w:p>
        </w:tc>
        <w:tc>
          <w:tcPr>
            <w:tcW w:w="1350" w:type="dxa"/>
            <w:tcMar>
              <w:left w:w="86" w:type="dxa"/>
              <w:right w:w="86" w:type="dxa"/>
            </w:tcMar>
          </w:tcPr>
          <w:p w:rsidR="00F70FE0" w:rsidRPr="00D94F41" w:rsidP="00803841" w14:paraId="2760227F" w14:textId="7639F78C">
            <w:pPr>
              <w:pStyle w:val="TableParagraph"/>
              <w:spacing w:before="30" w:after="30"/>
            </w:pPr>
            <w:r w:rsidRPr="00D94F41">
              <w:t>Topical</w:t>
            </w:r>
          </w:p>
        </w:tc>
        <w:tc>
          <w:tcPr>
            <w:tcW w:w="3060" w:type="dxa"/>
            <w:tcMar>
              <w:left w:w="86" w:type="dxa"/>
              <w:right w:w="86" w:type="dxa"/>
            </w:tcMar>
          </w:tcPr>
          <w:p w:rsidR="00F70FE0" w:rsidRPr="00D94F41" w:rsidP="00803841" w14:paraId="2E1833BC" w14:textId="035A6B14">
            <w:pPr>
              <w:pStyle w:val="TableParagraph"/>
              <w:spacing w:before="30" w:after="30"/>
            </w:pPr>
            <w:r w:rsidRPr="00D94F41">
              <w:t xml:space="preserve">Summer (Rounds </w:t>
            </w:r>
            <w:r w:rsidRPr="00083B97" w:rsidR="00083B97">
              <w:t>108, 111, 114</w:t>
            </w:r>
            <w:r w:rsidRPr="00D94F41">
              <w:t>)</w:t>
            </w:r>
          </w:p>
        </w:tc>
        <w:tc>
          <w:tcPr>
            <w:tcW w:w="1345" w:type="dxa"/>
            <w:tcMar>
              <w:left w:w="86" w:type="dxa"/>
              <w:right w:w="86" w:type="dxa"/>
            </w:tcMar>
          </w:tcPr>
          <w:p w:rsidR="00F70FE0" w:rsidRPr="00D94F41" w:rsidP="00803841" w14:paraId="718585B7" w14:textId="67458FA0">
            <w:pPr>
              <w:pStyle w:val="TableParagraph"/>
              <w:spacing w:before="30" w:after="30"/>
            </w:pPr>
            <w:r w:rsidRPr="00D94F41">
              <w:t xml:space="preserve">Continuing </w:t>
            </w:r>
          </w:p>
        </w:tc>
      </w:tr>
      <w:tr w14:paraId="3D8EEE67"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10AA0338" w14:textId="12DE5D58">
            <w:pPr>
              <w:pStyle w:val="TableParagraph"/>
              <w:spacing w:before="30" w:after="30"/>
            </w:pPr>
            <w:r w:rsidRPr="00D94F41">
              <w:t>Dental, Vision, and Hearing Care Utilization (DVH)</w:t>
            </w:r>
          </w:p>
        </w:tc>
        <w:tc>
          <w:tcPr>
            <w:tcW w:w="1350" w:type="dxa"/>
            <w:tcMar>
              <w:left w:w="86" w:type="dxa"/>
              <w:right w:w="86" w:type="dxa"/>
            </w:tcMar>
          </w:tcPr>
          <w:p w:rsidR="0015004D" w:rsidRPr="00D94F41" w:rsidP="00803841" w14:paraId="654A2C1F" w14:textId="77777777">
            <w:pPr>
              <w:pStyle w:val="TableParagraph"/>
              <w:spacing w:before="30" w:after="30"/>
            </w:pPr>
            <w:r w:rsidRPr="00D94F41">
              <w:t>Core</w:t>
            </w:r>
          </w:p>
        </w:tc>
        <w:tc>
          <w:tcPr>
            <w:tcW w:w="3060" w:type="dxa"/>
            <w:tcMar>
              <w:left w:w="86" w:type="dxa"/>
              <w:right w:w="86" w:type="dxa"/>
            </w:tcMar>
          </w:tcPr>
          <w:p w:rsidR="0015004D" w:rsidRPr="00D94F41" w:rsidP="00803841" w14:paraId="698B849D" w14:textId="3ECA93D7">
            <w:pPr>
              <w:pStyle w:val="TableParagraph"/>
              <w:spacing w:before="30" w:after="30"/>
            </w:pPr>
            <w:r w:rsidRPr="007A7965">
              <w:t xml:space="preserve">All (Round </w:t>
            </w:r>
            <w:r w:rsidRPr="00C17A23" w:rsidR="00C17A23">
              <w:t>106-114</w:t>
            </w:r>
            <w:r w:rsidRPr="007A7965">
              <w:t>)</w:t>
            </w:r>
          </w:p>
        </w:tc>
        <w:tc>
          <w:tcPr>
            <w:tcW w:w="1345" w:type="dxa"/>
            <w:tcMar>
              <w:left w:w="86" w:type="dxa"/>
              <w:right w:w="86" w:type="dxa"/>
            </w:tcMar>
          </w:tcPr>
          <w:p w:rsidR="0015004D" w:rsidRPr="00D94F41" w:rsidP="00803841" w14:paraId="286B75B2" w14:textId="77777777">
            <w:pPr>
              <w:pStyle w:val="TableParagraph"/>
              <w:spacing w:before="30" w:after="30"/>
            </w:pPr>
            <w:r w:rsidRPr="00D94F41">
              <w:t>Continuing</w:t>
            </w:r>
          </w:p>
        </w:tc>
      </w:tr>
      <w:tr w14:paraId="012515C7"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2F5CBCDC" w14:textId="77777777">
            <w:pPr>
              <w:pStyle w:val="TableParagraph"/>
              <w:spacing w:before="30" w:after="30"/>
            </w:pPr>
            <w:r w:rsidRPr="00D94F41">
              <w:t>Emergency Room Utilization (ERQ)</w:t>
            </w:r>
          </w:p>
        </w:tc>
        <w:tc>
          <w:tcPr>
            <w:tcW w:w="1350" w:type="dxa"/>
            <w:tcMar>
              <w:left w:w="86" w:type="dxa"/>
              <w:right w:w="86" w:type="dxa"/>
            </w:tcMar>
          </w:tcPr>
          <w:p w:rsidR="0015004D" w:rsidRPr="00D94F41" w:rsidP="00803841" w14:paraId="13C61CCA" w14:textId="77777777">
            <w:pPr>
              <w:pStyle w:val="TableParagraph"/>
              <w:spacing w:before="30" w:after="30"/>
            </w:pPr>
            <w:r w:rsidRPr="00D94F41">
              <w:t>Core</w:t>
            </w:r>
          </w:p>
        </w:tc>
        <w:tc>
          <w:tcPr>
            <w:tcW w:w="3060" w:type="dxa"/>
            <w:tcMar>
              <w:left w:w="86" w:type="dxa"/>
              <w:right w:w="86" w:type="dxa"/>
            </w:tcMar>
          </w:tcPr>
          <w:p w:rsidR="0015004D" w:rsidRPr="00D94F41" w:rsidP="00803841" w14:paraId="324B3532" w14:textId="7C967412">
            <w:pPr>
              <w:pStyle w:val="TableParagraph"/>
              <w:spacing w:before="30" w:after="30"/>
            </w:pPr>
            <w:r>
              <w:t xml:space="preserve">All (Round </w:t>
            </w:r>
            <w:r w:rsidRPr="00C17A23" w:rsidR="00C17A23">
              <w:t>106-114</w:t>
            </w:r>
            <w:r>
              <w:t>)</w:t>
            </w:r>
          </w:p>
        </w:tc>
        <w:tc>
          <w:tcPr>
            <w:tcW w:w="1345" w:type="dxa"/>
            <w:tcMar>
              <w:left w:w="86" w:type="dxa"/>
              <w:right w:w="86" w:type="dxa"/>
            </w:tcMar>
          </w:tcPr>
          <w:p w:rsidR="0015004D" w:rsidRPr="00D94F41" w:rsidP="00803841" w14:paraId="0A448167" w14:textId="77777777">
            <w:pPr>
              <w:pStyle w:val="TableParagraph"/>
              <w:spacing w:before="30" w:after="30"/>
            </w:pPr>
            <w:r w:rsidRPr="00D94F41">
              <w:t>Continuing</w:t>
            </w:r>
          </w:p>
        </w:tc>
      </w:tr>
      <w:tr w14:paraId="5F0A66F8"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06C1201B" w14:textId="77777777">
            <w:pPr>
              <w:pStyle w:val="TableParagraph"/>
              <w:spacing w:before="30" w:after="30"/>
            </w:pPr>
            <w:r w:rsidRPr="00D94F41">
              <w:t>Inpatient Utilization (IPQ)</w:t>
            </w:r>
          </w:p>
        </w:tc>
        <w:tc>
          <w:tcPr>
            <w:tcW w:w="1350" w:type="dxa"/>
            <w:tcMar>
              <w:left w:w="86" w:type="dxa"/>
              <w:right w:w="86" w:type="dxa"/>
            </w:tcMar>
          </w:tcPr>
          <w:p w:rsidR="0015004D" w:rsidRPr="00D94F41" w:rsidP="00803841" w14:paraId="39F950C0" w14:textId="77777777">
            <w:pPr>
              <w:pStyle w:val="TableParagraph"/>
              <w:spacing w:before="30" w:after="30"/>
            </w:pPr>
            <w:r w:rsidRPr="00D94F41">
              <w:t>Core</w:t>
            </w:r>
          </w:p>
        </w:tc>
        <w:tc>
          <w:tcPr>
            <w:tcW w:w="3060" w:type="dxa"/>
            <w:tcMar>
              <w:left w:w="86" w:type="dxa"/>
              <w:right w:w="86" w:type="dxa"/>
            </w:tcMar>
          </w:tcPr>
          <w:p w:rsidR="0015004D" w:rsidRPr="00D94F41" w:rsidP="00803841" w14:paraId="2C9BA9C9" w14:textId="7606223C">
            <w:pPr>
              <w:pStyle w:val="TableParagraph"/>
              <w:spacing w:before="30" w:after="30"/>
            </w:pPr>
            <w:r>
              <w:t xml:space="preserve">All (Round </w:t>
            </w:r>
            <w:r w:rsidRPr="00C17A23" w:rsidR="00C17A23">
              <w:t>106-114</w:t>
            </w:r>
            <w:r>
              <w:t>)</w:t>
            </w:r>
          </w:p>
        </w:tc>
        <w:tc>
          <w:tcPr>
            <w:tcW w:w="1345" w:type="dxa"/>
            <w:tcMar>
              <w:left w:w="86" w:type="dxa"/>
              <w:right w:w="86" w:type="dxa"/>
            </w:tcMar>
          </w:tcPr>
          <w:p w:rsidR="0015004D" w:rsidRPr="00D94F41" w:rsidP="00803841" w14:paraId="6ACD3F83" w14:textId="77777777">
            <w:pPr>
              <w:pStyle w:val="TableParagraph"/>
              <w:spacing w:before="30" w:after="30"/>
            </w:pPr>
            <w:r w:rsidRPr="00D94F41">
              <w:t>Continuing</w:t>
            </w:r>
          </w:p>
        </w:tc>
      </w:tr>
      <w:tr w14:paraId="583CCB8B"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2D1D24F7" w14:textId="77777777">
            <w:pPr>
              <w:pStyle w:val="TableParagraph"/>
              <w:spacing w:before="30" w:after="30"/>
            </w:pPr>
            <w:r w:rsidRPr="00D94F41">
              <w:t>Outpatient Utilization (OPQ)</w:t>
            </w:r>
          </w:p>
        </w:tc>
        <w:tc>
          <w:tcPr>
            <w:tcW w:w="1350" w:type="dxa"/>
            <w:tcMar>
              <w:left w:w="86" w:type="dxa"/>
              <w:right w:w="86" w:type="dxa"/>
            </w:tcMar>
          </w:tcPr>
          <w:p w:rsidR="0015004D" w:rsidRPr="00D94F41" w:rsidP="00803841" w14:paraId="521FEEA6" w14:textId="77777777">
            <w:pPr>
              <w:pStyle w:val="TableParagraph"/>
              <w:spacing w:before="30" w:after="30"/>
            </w:pPr>
            <w:r w:rsidRPr="00D94F41">
              <w:t>Core</w:t>
            </w:r>
          </w:p>
        </w:tc>
        <w:tc>
          <w:tcPr>
            <w:tcW w:w="3060" w:type="dxa"/>
            <w:tcMar>
              <w:left w:w="86" w:type="dxa"/>
              <w:right w:w="86" w:type="dxa"/>
            </w:tcMar>
          </w:tcPr>
          <w:p w:rsidR="0015004D" w:rsidRPr="00D94F41" w:rsidP="00803841" w14:paraId="2E1324C2" w14:textId="45603448">
            <w:pPr>
              <w:pStyle w:val="TableParagraph"/>
              <w:spacing w:before="30" w:after="30"/>
            </w:pPr>
            <w:r>
              <w:t xml:space="preserve">All (Round </w:t>
            </w:r>
            <w:r w:rsidRPr="00C17A23" w:rsidR="00C17A23">
              <w:t>106-114</w:t>
            </w:r>
            <w:r>
              <w:t>)</w:t>
            </w:r>
          </w:p>
        </w:tc>
        <w:tc>
          <w:tcPr>
            <w:tcW w:w="1345" w:type="dxa"/>
            <w:tcMar>
              <w:left w:w="86" w:type="dxa"/>
              <w:right w:w="86" w:type="dxa"/>
            </w:tcMar>
          </w:tcPr>
          <w:p w:rsidR="0015004D" w:rsidRPr="00D94F41" w:rsidP="00803841" w14:paraId="2F75E0C6" w14:textId="77777777">
            <w:pPr>
              <w:pStyle w:val="TableParagraph"/>
              <w:spacing w:before="30" w:after="30"/>
            </w:pPr>
            <w:r w:rsidRPr="00D94F41">
              <w:t>Continuing</w:t>
            </w:r>
          </w:p>
        </w:tc>
      </w:tr>
      <w:tr w14:paraId="7B8FDF20"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2F597581" w14:textId="77777777">
            <w:pPr>
              <w:pStyle w:val="TableParagraph"/>
              <w:spacing w:before="30" w:after="30"/>
            </w:pPr>
            <w:r w:rsidRPr="00D94F41">
              <w:t>Institutional Utilization (IUQ)</w:t>
            </w:r>
          </w:p>
        </w:tc>
        <w:tc>
          <w:tcPr>
            <w:tcW w:w="1350" w:type="dxa"/>
            <w:tcMar>
              <w:left w:w="86" w:type="dxa"/>
              <w:right w:w="86" w:type="dxa"/>
            </w:tcMar>
          </w:tcPr>
          <w:p w:rsidR="0015004D" w:rsidRPr="00D94F41" w:rsidP="00803841" w14:paraId="15FD9FD2" w14:textId="77777777">
            <w:pPr>
              <w:pStyle w:val="TableParagraph"/>
              <w:spacing w:before="30" w:after="30"/>
            </w:pPr>
            <w:r w:rsidRPr="00D94F41">
              <w:t>Core</w:t>
            </w:r>
          </w:p>
        </w:tc>
        <w:tc>
          <w:tcPr>
            <w:tcW w:w="3060" w:type="dxa"/>
            <w:tcMar>
              <w:left w:w="86" w:type="dxa"/>
              <w:right w:w="86" w:type="dxa"/>
            </w:tcMar>
          </w:tcPr>
          <w:p w:rsidR="0015004D" w:rsidRPr="00D94F41" w:rsidP="00803841" w14:paraId="3DE8F97B" w14:textId="374C914C">
            <w:pPr>
              <w:pStyle w:val="TableParagraph"/>
              <w:spacing w:before="30" w:after="30"/>
            </w:pPr>
            <w:r>
              <w:t xml:space="preserve">All (Round </w:t>
            </w:r>
            <w:r w:rsidRPr="00C17A23" w:rsidR="00C17A23">
              <w:t>106-114</w:t>
            </w:r>
            <w:r>
              <w:t>)</w:t>
            </w:r>
          </w:p>
        </w:tc>
        <w:tc>
          <w:tcPr>
            <w:tcW w:w="1345" w:type="dxa"/>
            <w:tcMar>
              <w:left w:w="86" w:type="dxa"/>
              <w:right w:w="86" w:type="dxa"/>
            </w:tcMar>
          </w:tcPr>
          <w:p w:rsidR="0015004D" w:rsidRPr="00D94F41" w:rsidP="00803841" w14:paraId="2DB7B462" w14:textId="77777777">
            <w:pPr>
              <w:pStyle w:val="TableParagraph"/>
              <w:spacing w:before="30" w:after="30"/>
            </w:pPr>
            <w:r w:rsidRPr="00D94F41">
              <w:t>Continuing</w:t>
            </w:r>
          </w:p>
        </w:tc>
      </w:tr>
      <w:tr w14:paraId="44337D32"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47A78226" w14:textId="77777777">
            <w:pPr>
              <w:pStyle w:val="TableParagraph"/>
              <w:spacing w:before="30" w:after="30"/>
            </w:pPr>
            <w:r w:rsidRPr="00D94F41">
              <w:t>Home Health Utilization (HHQ)</w:t>
            </w:r>
          </w:p>
        </w:tc>
        <w:tc>
          <w:tcPr>
            <w:tcW w:w="1350" w:type="dxa"/>
            <w:tcMar>
              <w:left w:w="86" w:type="dxa"/>
              <w:right w:w="86" w:type="dxa"/>
            </w:tcMar>
          </w:tcPr>
          <w:p w:rsidR="0015004D" w:rsidRPr="00D94F41" w:rsidP="00803841" w14:paraId="0038C546" w14:textId="77777777">
            <w:pPr>
              <w:pStyle w:val="TableParagraph"/>
              <w:spacing w:before="30" w:after="30"/>
            </w:pPr>
            <w:r w:rsidRPr="00D94F41">
              <w:t>Core</w:t>
            </w:r>
          </w:p>
        </w:tc>
        <w:tc>
          <w:tcPr>
            <w:tcW w:w="3060" w:type="dxa"/>
            <w:tcMar>
              <w:left w:w="86" w:type="dxa"/>
              <w:right w:w="86" w:type="dxa"/>
            </w:tcMar>
          </w:tcPr>
          <w:p w:rsidR="0015004D" w:rsidRPr="00D94F41" w:rsidP="00803841" w14:paraId="1CF4BD43" w14:textId="1DBD1C2B">
            <w:pPr>
              <w:pStyle w:val="TableParagraph"/>
              <w:spacing w:before="30" w:after="30"/>
            </w:pPr>
            <w:r>
              <w:t xml:space="preserve">All (Round </w:t>
            </w:r>
            <w:r w:rsidRPr="00C17A23" w:rsidR="00C17A23">
              <w:t>106-114</w:t>
            </w:r>
            <w:r>
              <w:t>)</w:t>
            </w:r>
          </w:p>
        </w:tc>
        <w:tc>
          <w:tcPr>
            <w:tcW w:w="1345" w:type="dxa"/>
            <w:tcMar>
              <w:left w:w="86" w:type="dxa"/>
              <w:right w:w="86" w:type="dxa"/>
            </w:tcMar>
          </w:tcPr>
          <w:p w:rsidR="0015004D" w:rsidRPr="00D94F41" w:rsidP="00803841" w14:paraId="740D7AF8" w14:textId="77777777">
            <w:pPr>
              <w:pStyle w:val="TableParagraph"/>
              <w:spacing w:before="30" w:after="30"/>
            </w:pPr>
            <w:r w:rsidRPr="00D94F41">
              <w:t>Continuing</w:t>
            </w:r>
          </w:p>
        </w:tc>
      </w:tr>
      <w:tr w14:paraId="0361D19D"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0656BFCF" w14:textId="77777777">
            <w:pPr>
              <w:pStyle w:val="TableParagraph"/>
              <w:spacing w:before="30" w:after="30"/>
            </w:pPr>
            <w:r w:rsidRPr="00D94F41">
              <w:t>Medical Provider Utilization (MPQ)</w:t>
            </w:r>
          </w:p>
        </w:tc>
        <w:tc>
          <w:tcPr>
            <w:tcW w:w="1350" w:type="dxa"/>
            <w:tcMar>
              <w:left w:w="86" w:type="dxa"/>
              <w:right w:w="86" w:type="dxa"/>
            </w:tcMar>
          </w:tcPr>
          <w:p w:rsidR="0015004D" w:rsidRPr="00D94F41" w:rsidP="00803841" w14:paraId="4909171B" w14:textId="77777777">
            <w:pPr>
              <w:pStyle w:val="TableParagraph"/>
              <w:spacing w:before="30" w:after="30"/>
            </w:pPr>
            <w:r w:rsidRPr="00D94F41">
              <w:t>Core</w:t>
            </w:r>
          </w:p>
        </w:tc>
        <w:tc>
          <w:tcPr>
            <w:tcW w:w="3060" w:type="dxa"/>
            <w:tcMar>
              <w:left w:w="86" w:type="dxa"/>
              <w:right w:w="86" w:type="dxa"/>
            </w:tcMar>
          </w:tcPr>
          <w:p w:rsidR="0015004D" w:rsidRPr="00D94F41" w:rsidP="00803841" w14:paraId="7CC83568" w14:textId="5F1DEB46">
            <w:pPr>
              <w:pStyle w:val="TableParagraph"/>
              <w:spacing w:before="30" w:after="30"/>
            </w:pPr>
            <w:r>
              <w:t xml:space="preserve">All (Round </w:t>
            </w:r>
            <w:r w:rsidRPr="00C17A23" w:rsidR="00C17A23">
              <w:t>106-114</w:t>
            </w:r>
            <w:r>
              <w:t>)</w:t>
            </w:r>
          </w:p>
        </w:tc>
        <w:tc>
          <w:tcPr>
            <w:tcW w:w="1345" w:type="dxa"/>
            <w:tcMar>
              <w:left w:w="86" w:type="dxa"/>
              <w:right w:w="86" w:type="dxa"/>
            </w:tcMar>
          </w:tcPr>
          <w:p w:rsidR="0015004D" w:rsidRPr="00D94F41" w:rsidP="00803841" w14:paraId="27B5C561" w14:textId="77777777">
            <w:pPr>
              <w:pStyle w:val="TableParagraph"/>
              <w:spacing w:before="30" w:after="30"/>
            </w:pPr>
            <w:r w:rsidRPr="00D94F41">
              <w:t>Continuing</w:t>
            </w:r>
          </w:p>
        </w:tc>
      </w:tr>
      <w:tr w14:paraId="5021628F" w14:textId="77777777" w:rsidTr="00B13DA1">
        <w:tblPrEx>
          <w:tblW w:w="5000" w:type="pct"/>
          <w:tblLayout w:type="fixed"/>
          <w:tblLook w:val="01E0"/>
        </w:tblPrEx>
        <w:trPr>
          <w:cantSplit/>
        </w:trPr>
        <w:tc>
          <w:tcPr>
            <w:tcW w:w="3595" w:type="dxa"/>
            <w:tcMar>
              <w:left w:w="86" w:type="dxa"/>
              <w:right w:w="86" w:type="dxa"/>
            </w:tcMar>
          </w:tcPr>
          <w:p w:rsidR="00F70FE0" w:rsidRPr="00D94F41" w:rsidP="00803841" w14:paraId="5AB3306D" w14:textId="77777777">
            <w:pPr>
              <w:pStyle w:val="TableParagraph"/>
              <w:spacing w:before="30" w:after="30"/>
            </w:pPr>
            <w:r w:rsidRPr="00D94F41">
              <w:t>Access to Care (ACQ)</w:t>
            </w:r>
          </w:p>
        </w:tc>
        <w:tc>
          <w:tcPr>
            <w:tcW w:w="1350" w:type="dxa"/>
            <w:tcMar>
              <w:left w:w="86" w:type="dxa"/>
              <w:right w:w="86" w:type="dxa"/>
            </w:tcMar>
          </w:tcPr>
          <w:p w:rsidR="00F70FE0" w:rsidRPr="00D94F41" w:rsidP="00803841" w14:paraId="2755AEE0" w14:textId="77777777">
            <w:pPr>
              <w:pStyle w:val="TableParagraph"/>
              <w:spacing w:before="30" w:after="30"/>
            </w:pPr>
            <w:r w:rsidRPr="00D94F41">
              <w:t>Core</w:t>
            </w:r>
          </w:p>
        </w:tc>
        <w:tc>
          <w:tcPr>
            <w:tcW w:w="3060" w:type="dxa"/>
            <w:tcMar>
              <w:left w:w="86" w:type="dxa"/>
              <w:right w:w="86" w:type="dxa"/>
            </w:tcMar>
          </w:tcPr>
          <w:p w:rsidR="00F70FE0" w:rsidRPr="00D94F41" w:rsidP="00803841" w14:paraId="1D2282B8" w14:textId="0438DE14">
            <w:pPr>
              <w:pStyle w:val="TableParagraph"/>
              <w:spacing w:before="30" w:after="30"/>
            </w:pPr>
            <w:r>
              <w:t xml:space="preserve">Winter (Rounds </w:t>
            </w:r>
            <w:r w:rsidRPr="00083B97" w:rsidR="00083B97">
              <w:t>107, 110, 113</w:t>
            </w:r>
            <w:r>
              <w:t>)</w:t>
            </w:r>
          </w:p>
        </w:tc>
        <w:tc>
          <w:tcPr>
            <w:tcW w:w="1345" w:type="dxa"/>
            <w:tcMar>
              <w:left w:w="86" w:type="dxa"/>
              <w:right w:w="86" w:type="dxa"/>
            </w:tcMar>
          </w:tcPr>
          <w:p w:rsidR="00F70FE0" w:rsidRPr="00D94F41" w:rsidP="00803841" w14:paraId="4FFDA14A" w14:textId="77777777">
            <w:pPr>
              <w:pStyle w:val="TableParagraph"/>
              <w:spacing w:before="30" w:after="30"/>
            </w:pPr>
            <w:r w:rsidRPr="00D94F41">
              <w:t>Continuing</w:t>
            </w:r>
          </w:p>
        </w:tc>
      </w:tr>
      <w:tr w14:paraId="021B7438"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2BCED726" w14:textId="77777777">
            <w:pPr>
              <w:pStyle w:val="TableParagraph"/>
              <w:spacing w:before="30" w:after="30"/>
            </w:pPr>
            <w:r w:rsidRPr="00D94F41">
              <w:t>Prescribed Medicine Utilization (PMQ)</w:t>
            </w:r>
          </w:p>
        </w:tc>
        <w:tc>
          <w:tcPr>
            <w:tcW w:w="1350" w:type="dxa"/>
            <w:tcMar>
              <w:left w:w="86" w:type="dxa"/>
              <w:right w:w="86" w:type="dxa"/>
            </w:tcMar>
          </w:tcPr>
          <w:p w:rsidR="0015004D" w:rsidRPr="00D94F41" w:rsidP="00803841" w14:paraId="3920A66B" w14:textId="77777777">
            <w:pPr>
              <w:pStyle w:val="TableParagraph"/>
              <w:spacing w:before="30" w:after="30"/>
            </w:pPr>
            <w:r w:rsidRPr="00D94F41">
              <w:t>Core</w:t>
            </w:r>
          </w:p>
        </w:tc>
        <w:tc>
          <w:tcPr>
            <w:tcW w:w="3060" w:type="dxa"/>
            <w:tcMar>
              <w:left w:w="86" w:type="dxa"/>
              <w:right w:w="86" w:type="dxa"/>
            </w:tcMar>
          </w:tcPr>
          <w:p w:rsidR="0015004D" w:rsidRPr="00D94F41" w:rsidP="00803841" w14:paraId="349D3A01" w14:textId="49CBC246">
            <w:pPr>
              <w:pStyle w:val="TableParagraph"/>
              <w:spacing w:before="30" w:after="30"/>
            </w:pPr>
            <w:r>
              <w:t xml:space="preserve">All (Round </w:t>
            </w:r>
            <w:r w:rsidRPr="00C17A23" w:rsidR="00C17A23">
              <w:t>106-114</w:t>
            </w:r>
            <w:r>
              <w:t>)</w:t>
            </w:r>
          </w:p>
        </w:tc>
        <w:tc>
          <w:tcPr>
            <w:tcW w:w="1345" w:type="dxa"/>
            <w:tcMar>
              <w:left w:w="86" w:type="dxa"/>
              <w:right w:w="86" w:type="dxa"/>
            </w:tcMar>
          </w:tcPr>
          <w:p w:rsidR="0015004D" w:rsidRPr="00D94F41" w:rsidP="00803841" w14:paraId="0EC6F7C2" w14:textId="77777777">
            <w:pPr>
              <w:pStyle w:val="TableParagraph"/>
              <w:spacing w:before="30" w:after="30"/>
            </w:pPr>
            <w:r w:rsidRPr="00D94F41">
              <w:t>Continuing</w:t>
            </w:r>
          </w:p>
        </w:tc>
      </w:tr>
      <w:tr w14:paraId="47E6153C"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7246384C" w14:textId="77777777">
            <w:pPr>
              <w:pStyle w:val="TableParagraph"/>
              <w:spacing w:before="30" w:after="30"/>
            </w:pPr>
            <w:r w:rsidRPr="00D94F41">
              <w:t>Other Medical Expenses (OMQ)</w:t>
            </w:r>
          </w:p>
        </w:tc>
        <w:tc>
          <w:tcPr>
            <w:tcW w:w="1350" w:type="dxa"/>
            <w:tcMar>
              <w:left w:w="86" w:type="dxa"/>
              <w:right w:w="86" w:type="dxa"/>
            </w:tcMar>
          </w:tcPr>
          <w:p w:rsidR="0015004D" w:rsidRPr="00D94F41" w:rsidP="00803841" w14:paraId="0AEA9F0C" w14:textId="77777777">
            <w:pPr>
              <w:pStyle w:val="TableParagraph"/>
              <w:spacing w:before="30" w:after="30"/>
            </w:pPr>
            <w:r w:rsidRPr="00D94F41">
              <w:t>Core</w:t>
            </w:r>
          </w:p>
        </w:tc>
        <w:tc>
          <w:tcPr>
            <w:tcW w:w="3060" w:type="dxa"/>
            <w:tcMar>
              <w:left w:w="86" w:type="dxa"/>
              <w:right w:w="86" w:type="dxa"/>
            </w:tcMar>
          </w:tcPr>
          <w:p w:rsidR="0015004D" w:rsidRPr="00D94F41" w:rsidP="00803841" w14:paraId="65E434E5" w14:textId="58330CA7">
            <w:pPr>
              <w:pStyle w:val="TableParagraph"/>
              <w:spacing w:before="30" w:after="30"/>
            </w:pPr>
            <w:r>
              <w:t xml:space="preserve">All (Round </w:t>
            </w:r>
            <w:r w:rsidRPr="00C17A23" w:rsidR="00C17A23">
              <w:t>106-114</w:t>
            </w:r>
            <w:r>
              <w:t>)</w:t>
            </w:r>
          </w:p>
        </w:tc>
        <w:tc>
          <w:tcPr>
            <w:tcW w:w="1345" w:type="dxa"/>
            <w:tcMar>
              <w:left w:w="86" w:type="dxa"/>
              <w:right w:w="86" w:type="dxa"/>
            </w:tcMar>
          </w:tcPr>
          <w:p w:rsidR="0015004D" w:rsidRPr="00D94F41" w:rsidP="00803841" w14:paraId="7ECE3577" w14:textId="77777777">
            <w:pPr>
              <w:pStyle w:val="TableParagraph"/>
              <w:spacing w:before="30" w:after="30"/>
            </w:pPr>
            <w:r w:rsidRPr="00D94F41">
              <w:t>Continuing</w:t>
            </w:r>
          </w:p>
        </w:tc>
      </w:tr>
      <w:tr w14:paraId="5486E6A2"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60C97423" w14:textId="77777777">
            <w:pPr>
              <w:pStyle w:val="TableParagraph"/>
              <w:spacing w:before="30" w:after="30"/>
            </w:pPr>
            <w:r w:rsidRPr="00D94F41">
              <w:t>Statement Cost Series (STQ)</w:t>
            </w:r>
          </w:p>
        </w:tc>
        <w:tc>
          <w:tcPr>
            <w:tcW w:w="1350" w:type="dxa"/>
            <w:tcMar>
              <w:left w:w="86" w:type="dxa"/>
              <w:right w:w="86" w:type="dxa"/>
            </w:tcMar>
          </w:tcPr>
          <w:p w:rsidR="0015004D" w:rsidRPr="00D94F41" w:rsidP="00803841" w14:paraId="2B795EA6" w14:textId="77777777">
            <w:pPr>
              <w:pStyle w:val="TableParagraph"/>
              <w:spacing w:before="30" w:after="30"/>
            </w:pPr>
            <w:r w:rsidRPr="00D94F41">
              <w:t>Core</w:t>
            </w:r>
          </w:p>
        </w:tc>
        <w:tc>
          <w:tcPr>
            <w:tcW w:w="3060" w:type="dxa"/>
            <w:tcMar>
              <w:left w:w="86" w:type="dxa"/>
              <w:right w:w="86" w:type="dxa"/>
            </w:tcMar>
          </w:tcPr>
          <w:p w:rsidR="0015004D" w:rsidRPr="00D94F41" w:rsidP="00803841" w14:paraId="6A30CA6A" w14:textId="397935EA">
            <w:pPr>
              <w:pStyle w:val="TableParagraph"/>
              <w:spacing w:before="30" w:after="30"/>
            </w:pPr>
            <w:r>
              <w:t xml:space="preserve">All (Round </w:t>
            </w:r>
            <w:r w:rsidRPr="00C17A23" w:rsidR="00C17A23">
              <w:t>106-114</w:t>
            </w:r>
            <w:r>
              <w:t>)</w:t>
            </w:r>
          </w:p>
        </w:tc>
        <w:tc>
          <w:tcPr>
            <w:tcW w:w="1345" w:type="dxa"/>
            <w:tcMar>
              <w:left w:w="86" w:type="dxa"/>
              <w:right w:w="86" w:type="dxa"/>
            </w:tcMar>
          </w:tcPr>
          <w:p w:rsidR="0015004D" w:rsidRPr="00D94F41" w:rsidP="00803841" w14:paraId="6CD2229E" w14:textId="77777777">
            <w:pPr>
              <w:pStyle w:val="TableParagraph"/>
              <w:spacing w:before="30" w:after="30"/>
            </w:pPr>
            <w:r w:rsidRPr="00D94F41">
              <w:t>Continuing</w:t>
            </w:r>
          </w:p>
        </w:tc>
      </w:tr>
      <w:tr w14:paraId="237CEF1D"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564AA998" w14:textId="77777777">
            <w:pPr>
              <w:pStyle w:val="TableParagraph"/>
              <w:spacing w:before="30" w:after="30"/>
            </w:pPr>
            <w:r w:rsidRPr="00D94F41">
              <w:t>Post-Statement Cost (PSQ)</w:t>
            </w:r>
          </w:p>
        </w:tc>
        <w:tc>
          <w:tcPr>
            <w:tcW w:w="1350" w:type="dxa"/>
            <w:tcMar>
              <w:left w:w="86" w:type="dxa"/>
              <w:right w:w="86" w:type="dxa"/>
            </w:tcMar>
          </w:tcPr>
          <w:p w:rsidR="0015004D" w:rsidRPr="00D94F41" w:rsidP="00803841" w14:paraId="095916C5" w14:textId="77777777">
            <w:pPr>
              <w:pStyle w:val="TableParagraph"/>
              <w:spacing w:before="30" w:after="30"/>
            </w:pPr>
            <w:r w:rsidRPr="00D94F41">
              <w:t>Core</w:t>
            </w:r>
          </w:p>
        </w:tc>
        <w:tc>
          <w:tcPr>
            <w:tcW w:w="3060" w:type="dxa"/>
            <w:tcMar>
              <w:left w:w="86" w:type="dxa"/>
              <w:right w:w="86" w:type="dxa"/>
            </w:tcMar>
          </w:tcPr>
          <w:p w:rsidR="0015004D" w:rsidRPr="00D94F41" w:rsidP="00803841" w14:paraId="39CB4248" w14:textId="68484C3A">
            <w:pPr>
              <w:pStyle w:val="TableParagraph"/>
              <w:spacing w:before="30" w:after="30"/>
            </w:pPr>
            <w:r>
              <w:t xml:space="preserve">All (Round </w:t>
            </w:r>
            <w:r w:rsidRPr="00C17A23" w:rsidR="00C17A23">
              <w:t>106-114</w:t>
            </w:r>
            <w:r>
              <w:t>)</w:t>
            </w:r>
          </w:p>
        </w:tc>
        <w:tc>
          <w:tcPr>
            <w:tcW w:w="1345" w:type="dxa"/>
            <w:tcMar>
              <w:left w:w="86" w:type="dxa"/>
              <w:right w:w="86" w:type="dxa"/>
            </w:tcMar>
          </w:tcPr>
          <w:p w:rsidR="0015004D" w:rsidRPr="00D94F41" w:rsidP="00803841" w14:paraId="45BA9F45" w14:textId="77777777">
            <w:pPr>
              <w:pStyle w:val="TableParagraph"/>
              <w:spacing w:before="30" w:after="30"/>
            </w:pPr>
            <w:r w:rsidRPr="00D94F41">
              <w:t>Continuing</w:t>
            </w:r>
          </w:p>
        </w:tc>
      </w:tr>
      <w:tr w14:paraId="114768C7"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0AEDE53C" w14:textId="77777777">
            <w:pPr>
              <w:pStyle w:val="TableParagraph"/>
              <w:spacing w:before="30" w:after="30"/>
            </w:pPr>
            <w:r w:rsidRPr="00D94F41">
              <w:t>No Statement Cost Series (NSQ)</w:t>
            </w:r>
          </w:p>
        </w:tc>
        <w:tc>
          <w:tcPr>
            <w:tcW w:w="1350" w:type="dxa"/>
            <w:tcMar>
              <w:left w:w="86" w:type="dxa"/>
              <w:right w:w="86" w:type="dxa"/>
            </w:tcMar>
          </w:tcPr>
          <w:p w:rsidR="0015004D" w:rsidRPr="00D94F41" w:rsidP="00803841" w14:paraId="637FDD07" w14:textId="77777777">
            <w:pPr>
              <w:pStyle w:val="TableParagraph"/>
              <w:spacing w:before="30" w:after="30"/>
            </w:pPr>
            <w:r w:rsidRPr="00D94F41">
              <w:t>Core</w:t>
            </w:r>
          </w:p>
        </w:tc>
        <w:tc>
          <w:tcPr>
            <w:tcW w:w="3060" w:type="dxa"/>
            <w:tcMar>
              <w:left w:w="86" w:type="dxa"/>
              <w:right w:w="86" w:type="dxa"/>
            </w:tcMar>
          </w:tcPr>
          <w:p w:rsidR="0015004D" w:rsidRPr="00D94F41" w:rsidP="00803841" w14:paraId="3B4F3228" w14:textId="7183582D">
            <w:pPr>
              <w:pStyle w:val="TableParagraph"/>
              <w:spacing w:before="30" w:after="30"/>
            </w:pPr>
            <w:r>
              <w:t xml:space="preserve">All (Round </w:t>
            </w:r>
            <w:r w:rsidRPr="00C17A23" w:rsidR="00C17A23">
              <w:t>106-114</w:t>
            </w:r>
            <w:r>
              <w:t>)</w:t>
            </w:r>
          </w:p>
        </w:tc>
        <w:tc>
          <w:tcPr>
            <w:tcW w:w="1345" w:type="dxa"/>
            <w:tcMar>
              <w:left w:w="86" w:type="dxa"/>
              <w:right w:w="86" w:type="dxa"/>
            </w:tcMar>
          </w:tcPr>
          <w:p w:rsidR="0015004D" w:rsidRPr="00D94F41" w:rsidP="00803841" w14:paraId="6843EF7C" w14:textId="77777777">
            <w:pPr>
              <w:pStyle w:val="TableParagraph"/>
              <w:spacing w:before="30" w:after="30"/>
            </w:pPr>
            <w:r w:rsidRPr="00D94F41">
              <w:t>Continuing</w:t>
            </w:r>
          </w:p>
        </w:tc>
      </w:tr>
      <w:tr w14:paraId="63524CBF" w14:textId="77777777" w:rsidTr="00B13DA1">
        <w:tblPrEx>
          <w:tblW w:w="5000" w:type="pct"/>
          <w:tblLayout w:type="fixed"/>
          <w:tblLook w:val="01E0"/>
        </w:tblPrEx>
        <w:trPr>
          <w:cantSplit/>
        </w:trPr>
        <w:tc>
          <w:tcPr>
            <w:tcW w:w="3595" w:type="dxa"/>
            <w:tcMar>
              <w:left w:w="86" w:type="dxa"/>
              <w:right w:w="86" w:type="dxa"/>
            </w:tcMar>
          </w:tcPr>
          <w:p w:rsidR="0015004D" w:rsidRPr="00D94F41" w:rsidP="00803841" w14:paraId="7B8B5003" w14:textId="77777777">
            <w:pPr>
              <w:pStyle w:val="TableParagraph"/>
              <w:spacing w:before="30" w:after="30"/>
            </w:pPr>
            <w:r w:rsidRPr="00D94F41">
              <w:t>Cost Payment Summary (CPS)</w:t>
            </w:r>
          </w:p>
        </w:tc>
        <w:tc>
          <w:tcPr>
            <w:tcW w:w="1350" w:type="dxa"/>
            <w:tcMar>
              <w:left w:w="86" w:type="dxa"/>
              <w:right w:w="86" w:type="dxa"/>
            </w:tcMar>
          </w:tcPr>
          <w:p w:rsidR="0015004D" w:rsidRPr="00D94F41" w:rsidP="00803841" w14:paraId="2A898C5C" w14:textId="77777777">
            <w:pPr>
              <w:pStyle w:val="TableParagraph"/>
              <w:spacing w:before="30" w:after="30"/>
            </w:pPr>
            <w:r w:rsidRPr="00D94F41">
              <w:t>Core</w:t>
            </w:r>
          </w:p>
        </w:tc>
        <w:tc>
          <w:tcPr>
            <w:tcW w:w="3060" w:type="dxa"/>
            <w:tcMar>
              <w:left w:w="86" w:type="dxa"/>
              <w:right w:w="86" w:type="dxa"/>
            </w:tcMar>
          </w:tcPr>
          <w:p w:rsidR="0015004D" w:rsidRPr="00D94F41" w:rsidP="00803841" w14:paraId="79DA7644" w14:textId="56DA9F9F">
            <w:pPr>
              <w:pStyle w:val="TableParagraph"/>
              <w:spacing w:before="30" w:after="30"/>
            </w:pPr>
            <w:r>
              <w:t xml:space="preserve">All (Round </w:t>
            </w:r>
            <w:r w:rsidRPr="00C17A23" w:rsidR="00C17A23">
              <w:t>106-114</w:t>
            </w:r>
            <w:r>
              <w:t>)</w:t>
            </w:r>
          </w:p>
        </w:tc>
        <w:tc>
          <w:tcPr>
            <w:tcW w:w="1345" w:type="dxa"/>
            <w:tcMar>
              <w:left w:w="86" w:type="dxa"/>
              <w:right w:w="86" w:type="dxa"/>
            </w:tcMar>
          </w:tcPr>
          <w:p w:rsidR="0015004D" w:rsidRPr="00D94F41" w:rsidP="00803841" w14:paraId="4CF80E88" w14:textId="77777777">
            <w:pPr>
              <w:pStyle w:val="TableParagraph"/>
              <w:spacing w:before="30" w:after="30"/>
            </w:pPr>
            <w:r w:rsidRPr="00D94F41">
              <w:t>Continuing</w:t>
            </w:r>
          </w:p>
        </w:tc>
      </w:tr>
      <w:tr w14:paraId="764D427B" w14:textId="77777777" w:rsidTr="00B13DA1">
        <w:tblPrEx>
          <w:tblW w:w="5000" w:type="pct"/>
          <w:tblLayout w:type="fixed"/>
          <w:tblLook w:val="01E0"/>
        </w:tblPrEx>
        <w:trPr>
          <w:cantSplit/>
        </w:trPr>
        <w:tc>
          <w:tcPr>
            <w:tcW w:w="3595" w:type="dxa"/>
            <w:tcMar>
              <w:left w:w="86" w:type="dxa"/>
              <w:right w:w="86" w:type="dxa"/>
            </w:tcMar>
          </w:tcPr>
          <w:p w:rsidR="00803841" w:rsidRPr="00D94F41" w:rsidP="00803841" w14:paraId="2E341AF4" w14:textId="44F55DB2">
            <w:pPr>
              <w:pStyle w:val="TableParagraph"/>
              <w:spacing w:before="30" w:after="30"/>
            </w:pPr>
            <w:r w:rsidRPr="00803841">
              <w:t>End Section (END)</w:t>
            </w:r>
          </w:p>
        </w:tc>
        <w:tc>
          <w:tcPr>
            <w:tcW w:w="1350" w:type="dxa"/>
            <w:tcMar>
              <w:left w:w="86" w:type="dxa"/>
              <w:right w:w="86" w:type="dxa"/>
            </w:tcMar>
          </w:tcPr>
          <w:p w:rsidR="00803841" w:rsidRPr="00D94F41" w:rsidP="00803841" w14:paraId="1FFADCA2" w14:textId="333CD11C">
            <w:pPr>
              <w:pStyle w:val="TableParagraph"/>
              <w:spacing w:before="30" w:after="30"/>
            </w:pPr>
            <w:r w:rsidRPr="00803841">
              <w:t>Core</w:t>
            </w:r>
          </w:p>
        </w:tc>
        <w:tc>
          <w:tcPr>
            <w:tcW w:w="3060" w:type="dxa"/>
            <w:tcMar>
              <w:left w:w="86" w:type="dxa"/>
              <w:right w:w="86" w:type="dxa"/>
            </w:tcMar>
          </w:tcPr>
          <w:p w:rsidR="00803841" w:rsidP="00803841" w14:paraId="75EEEC18" w14:textId="1A1BFC97">
            <w:pPr>
              <w:pStyle w:val="TableParagraph"/>
              <w:spacing w:before="30" w:after="30"/>
            </w:pPr>
            <w:r w:rsidRPr="00803841">
              <w:t>All (Round 106-114)</w:t>
            </w:r>
          </w:p>
        </w:tc>
        <w:tc>
          <w:tcPr>
            <w:tcW w:w="1345" w:type="dxa"/>
            <w:tcMar>
              <w:left w:w="86" w:type="dxa"/>
              <w:right w:w="86" w:type="dxa"/>
            </w:tcMar>
          </w:tcPr>
          <w:p w:rsidR="00803841" w:rsidRPr="00D94F41" w:rsidP="00803841" w14:paraId="69E44C3A" w14:textId="3F2EFC62">
            <w:pPr>
              <w:pStyle w:val="TableParagraph"/>
              <w:spacing w:before="30" w:after="30"/>
            </w:pPr>
            <w:r>
              <w:t>Both</w:t>
            </w:r>
          </w:p>
        </w:tc>
      </w:tr>
    </w:tbl>
    <w:p w:rsidR="0088452B" w:rsidRPr="00D94F41" w:rsidP="00803841" w14:paraId="7C2BC27C" w14:textId="71423D4C">
      <w:pPr>
        <w:pStyle w:val="BodyText"/>
        <w:spacing w:before="180"/>
      </w:pPr>
      <w:r w:rsidRPr="00D94F41">
        <w:t>The Facility instrument collects information that is similar in content to the Community instrument. Table B.</w:t>
      </w:r>
      <w:r w:rsidR="00946F0A">
        <w:t>4</w:t>
      </w:r>
      <w:r w:rsidRPr="00D94F41">
        <w:t xml:space="preserve"> presents the </w:t>
      </w:r>
      <w:r w:rsidRPr="00D94F41" w:rsidR="005529C6">
        <w:t xml:space="preserve">core and topical </w:t>
      </w:r>
      <w:r w:rsidRPr="00D94F41">
        <w:t>sections that comprise the MCBS Facility instrument</w:t>
      </w:r>
      <w:r w:rsidRPr="00D94F41" w:rsidR="005529C6">
        <w:t>.</w:t>
      </w:r>
      <w:r w:rsidRPr="00D94F41">
        <w:t xml:space="preserve"> As with the Community instrument, the content and order of administration varies based on season of data collection (Fall, Winter, Summer) and the type of interview (</w:t>
      </w:r>
      <w:r w:rsidRPr="00D94F41" w:rsidR="000A248B">
        <w:t>B</w:t>
      </w:r>
      <w:r w:rsidRPr="00D94F41">
        <w:t xml:space="preserve">aseline, </w:t>
      </w:r>
      <w:r w:rsidRPr="00D94F41" w:rsidR="000A248B">
        <w:t>C</w:t>
      </w:r>
      <w:r w:rsidRPr="00D94F41">
        <w:t>ontinuing).</w:t>
      </w:r>
      <w:r w:rsidRPr="00D94F41" w:rsidR="005529C6">
        <w:t xml:space="preserve"> Those sections with an asterisk (*) include a revision contained in this clearance request (either adding or deleting questions).</w:t>
      </w:r>
    </w:p>
    <w:p w:rsidR="00715467" w:rsidRPr="00D94F41" w:rsidP="00AE5C2C" w14:paraId="27E9CF91" w14:textId="0F1E179F">
      <w:pPr>
        <w:pStyle w:val="Caption"/>
        <w:tabs>
          <w:tab w:val="left" w:pos="1170"/>
        </w:tabs>
      </w:pPr>
      <w:r w:rsidRPr="00D94F41">
        <w:t>Table B.</w:t>
      </w:r>
      <w:r w:rsidR="00946F0A">
        <w:t>4</w:t>
      </w:r>
      <w:r w:rsidRPr="00D94F41">
        <w:t>:</w:t>
      </w:r>
      <w:r w:rsidR="00110F11">
        <w:tab/>
      </w:r>
      <w:r w:rsidRPr="00D94F41">
        <w:t>Facility Instrument Sections and Order of Administration</w:t>
      </w:r>
    </w:p>
    <w:tbl>
      <w:tblPr>
        <w:tblStyle w:val="GridTableLight"/>
        <w:tblDescription w:val="Facility Instrument Sections and Order of Administratio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5"/>
        <w:gridCol w:w="1081"/>
        <w:gridCol w:w="2971"/>
        <w:gridCol w:w="1343"/>
      </w:tblGrid>
      <w:tr w14:paraId="4541B590" w14:textId="77777777" w:rsidTr="003E486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115" w:type="pct"/>
            <w:shd w:val="clear" w:color="auto" w:fill="D9D9D9"/>
            <w:vAlign w:val="bottom"/>
          </w:tcPr>
          <w:p w:rsidR="00E95785" w:rsidRPr="00D94F41" w:rsidP="001C1985" w14:paraId="2FA1E33E" w14:textId="77777777">
            <w:pPr>
              <w:pStyle w:val="TableParagraph"/>
              <w:spacing w:before="40" w:after="40"/>
              <w:jc w:val="center"/>
              <w:rPr>
                <w:b/>
              </w:rPr>
            </w:pPr>
            <w:r w:rsidRPr="00D94F41">
              <w:rPr>
                <w:b/>
              </w:rPr>
              <w:t>Section</w:t>
            </w:r>
          </w:p>
        </w:tc>
        <w:tc>
          <w:tcPr>
            <w:tcW w:w="578" w:type="pct"/>
            <w:shd w:val="clear" w:color="auto" w:fill="D9D9D9"/>
            <w:vAlign w:val="bottom"/>
          </w:tcPr>
          <w:p w:rsidR="005529C6" w:rsidRPr="00D94F41" w:rsidP="001C1985" w14:paraId="1C9B05FC" w14:textId="22D3F1B7">
            <w:pPr>
              <w:pStyle w:val="TableParagraph"/>
              <w:spacing w:before="40" w:after="40"/>
              <w:jc w:val="center"/>
              <w:rPr>
                <w:b/>
              </w:rPr>
            </w:pPr>
            <w:r w:rsidRPr="00D94F41">
              <w:rPr>
                <w:b/>
              </w:rPr>
              <w:t>Type of Section</w:t>
            </w:r>
          </w:p>
          <w:p w:rsidR="00E95785" w:rsidRPr="00D94F41" w:rsidP="001C1985" w14:paraId="0BEAC6E9" w14:textId="4B051247">
            <w:pPr>
              <w:pStyle w:val="TableParagraph"/>
              <w:spacing w:before="40" w:after="40"/>
              <w:jc w:val="center"/>
              <w:rPr>
                <w:b/>
              </w:rPr>
            </w:pPr>
            <w:r w:rsidRPr="00D94F41">
              <w:t>(Core or Topical)</w:t>
            </w:r>
          </w:p>
        </w:tc>
        <w:tc>
          <w:tcPr>
            <w:tcW w:w="1589" w:type="pct"/>
            <w:shd w:val="clear" w:color="auto" w:fill="D9D9D9"/>
            <w:vAlign w:val="bottom"/>
          </w:tcPr>
          <w:p w:rsidR="00C07A97" w:rsidP="001C1985" w14:paraId="3215D0F9" w14:textId="77777777">
            <w:pPr>
              <w:pStyle w:val="TableParagraph"/>
              <w:spacing w:before="40" w:after="40"/>
              <w:jc w:val="center"/>
              <w:rPr>
                <w:b/>
              </w:rPr>
            </w:pPr>
            <w:r w:rsidRPr="00D94F41">
              <w:rPr>
                <w:b/>
              </w:rPr>
              <w:t xml:space="preserve">Season of Administration </w:t>
            </w:r>
          </w:p>
          <w:p w:rsidR="00E95785" w:rsidRPr="00D94F41" w:rsidP="001C1985" w14:paraId="70977C1D" w14:textId="4CD8BEA0">
            <w:pPr>
              <w:pStyle w:val="TableParagraph"/>
              <w:spacing w:before="40" w:after="40"/>
              <w:jc w:val="center"/>
            </w:pPr>
            <w:r w:rsidRPr="00D94F41">
              <w:t>(Rounds Administered)</w:t>
            </w:r>
          </w:p>
        </w:tc>
        <w:tc>
          <w:tcPr>
            <w:tcW w:w="718" w:type="pct"/>
            <w:shd w:val="clear" w:color="auto" w:fill="D9D9D9"/>
            <w:vAlign w:val="bottom"/>
          </w:tcPr>
          <w:p w:rsidR="00C07A97" w:rsidP="001C1985" w14:paraId="697F1F18" w14:textId="77777777">
            <w:pPr>
              <w:pStyle w:val="TableParagraph"/>
              <w:spacing w:before="40" w:after="40"/>
              <w:jc w:val="center"/>
              <w:rPr>
                <w:b/>
              </w:rPr>
            </w:pPr>
            <w:r w:rsidRPr="00D94F41">
              <w:rPr>
                <w:b/>
              </w:rPr>
              <w:t xml:space="preserve">Interview Type </w:t>
            </w:r>
          </w:p>
          <w:p w:rsidR="00E95785" w:rsidRPr="00D94F41" w:rsidP="001C1985" w14:paraId="7E816662" w14:textId="41F4DAEA">
            <w:pPr>
              <w:pStyle w:val="TableParagraph"/>
              <w:spacing w:before="40" w:after="40"/>
              <w:jc w:val="center"/>
            </w:pPr>
            <w:r w:rsidRPr="00D94F41">
              <w:t>(Baseline, Continuing, Both)</w:t>
            </w:r>
          </w:p>
        </w:tc>
      </w:tr>
      <w:tr w14:paraId="394DEB7E" w14:textId="77777777" w:rsidTr="003E486D">
        <w:tblPrEx>
          <w:tblW w:w="5000" w:type="pct"/>
          <w:tblLook w:val="01E0"/>
        </w:tblPrEx>
        <w:trPr>
          <w:cantSplit/>
        </w:trPr>
        <w:tc>
          <w:tcPr>
            <w:tcW w:w="2115" w:type="pct"/>
          </w:tcPr>
          <w:p w:rsidR="0015004D" w:rsidRPr="00D94F41" w:rsidP="001C1985" w14:paraId="04DF27D0" w14:textId="3039BFA9">
            <w:pPr>
              <w:pStyle w:val="TableParagraph"/>
              <w:spacing w:before="40" w:after="40"/>
            </w:pPr>
            <w:r w:rsidRPr="00D94F41">
              <w:t>Facility Questionnaire (FQ)</w:t>
            </w:r>
          </w:p>
        </w:tc>
        <w:tc>
          <w:tcPr>
            <w:tcW w:w="578" w:type="pct"/>
          </w:tcPr>
          <w:p w:rsidR="0015004D" w:rsidRPr="00D94F41" w:rsidP="001C1985" w14:paraId="77BCA2C4" w14:textId="4FA56F01">
            <w:pPr>
              <w:pStyle w:val="TableParagraph"/>
              <w:spacing w:before="40" w:after="40"/>
            </w:pPr>
            <w:r w:rsidRPr="00D94F41">
              <w:t>Core</w:t>
            </w:r>
          </w:p>
        </w:tc>
        <w:tc>
          <w:tcPr>
            <w:tcW w:w="1589" w:type="pct"/>
          </w:tcPr>
          <w:p w:rsidR="0015004D" w:rsidRPr="00D94F41" w:rsidP="001C1985" w14:paraId="00070985" w14:textId="77C58205">
            <w:pPr>
              <w:pStyle w:val="TableParagraph"/>
              <w:spacing w:before="40" w:after="40"/>
            </w:pPr>
            <w:r w:rsidRPr="00614CA9">
              <w:t xml:space="preserve">All (Round </w:t>
            </w:r>
            <w:r w:rsidR="001E70F1">
              <w:t>106-114</w:t>
            </w:r>
            <w:r w:rsidRPr="00614CA9">
              <w:t>)</w:t>
            </w:r>
          </w:p>
        </w:tc>
        <w:tc>
          <w:tcPr>
            <w:tcW w:w="718" w:type="pct"/>
          </w:tcPr>
          <w:p w:rsidR="0015004D" w:rsidRPr="00D94F41" w:rsidP="001C1985" w14:paraId="2904D436" w14:textId="77777777">
            <w:pPr>
              <w:pStyle w:val="TableParagraph"/>
              <w:spacing w:before="40" w:after="40"/>
            </w:pPr>
            <w:r w:rsidRPr="00D94F41">
              <w:t>Both</w:t>
            </w:r>
          </w:p>
        </w:tc>
      </w:tr>
      <w:tr w14:paraId="0E92A6CA" w14:textId="77777777" w:rsidTr="003E486D">
        <w:tblPrEx>
          <w:tblW w:w="5000" w:type="pct"/>
          <w:tblLook w:val="01E0"/>
        </w:tblPrEx>
        <w:trPr>
          <w:cantSplit/>
        </w:trPr>
        <w:tc>
          <w:tcPr>
            <w:tcW w:w="2115" w:type="pct"/>
          </w:tcPr>
          <w:p w:rsidR="0015004D" w:rsidRPr="00D94F41" w:rsidP="001C1985" w14:paraId="7D501A02" w14:textId="77777777">
            <w:pPr>
              <w:pStyle w:val="TableParagraph"/>
              <w:spacing w:before="40" w:after="40"/>
            </w:pPr>
            <w:r w:rsidRPr="00D94F41">
              <w:t>Residence History (RH)</w:t>
            </w:r>
          </w:p>
        </w:tc>
        <w:tc>
          <w:tcPr>
            <w:tcW w:w="578" w:type="pct"/>
          </w:tcPr>
          <w:p w:rsidR="0015004D" w:rsidRPr="00D94F41" w:rsidP="001C1985" w14:paraId="65C959B3" w14:textId="55B049D7">
            <w:pPr>
              <w:pStyle w:val="TableParagraph"/>
              <w:spacing w:before="40" w:after="40"/>
            </w:pPr>
            <w:r w:rsidRPr="00D94F41">
              <w:t xml:space="preserve">Core </w:t>
            </w:r>
          </w:p>
        </w:tc>
        <w:tc>
          <w:tcPr>
            <w:tcW w:w="1589" w:type="pct"/>
          </w:tcPr>
          <w:p w:rsidR="0015004D" w:rsidRPr="00D94F41" w:rsidP="001C1985" w14:paraId="0502CBBF" w14:textId="6F19E9E8">
            <w:pPr>
              <w:pStyle w:val="TableParagraph"/>
              <w:spacing w:before="40" w:after="40"/>
            </w:pPr>
            <w:r w:rsidRPr="00614CA9">
              <w:t xml:space="preserve">All (Round </w:t>
            </w:r>
            <w:r w:rsidR="001E70F1">
              <w:t>106-114</w:t>
            </w:r>
            <w:r w:rsidRPr="00614CA9">
              <w:t>)</w:t>
            </w:r>
          </w:p>
        </w:tc>
        <w:tc>
          <w:tcPr>
            <w:tcW w:w="718" w:type="pct"/>
          </w:tcPr>
          <w:p w:rsidR="0015004D" w:rsidRPr="00D94F41" w:rsidP="001C1985" w14:paraId="574F0C2B" w14:textId="77777777">
            <w:pPr>
              <w:pStyle w:val="TableParagraph"/>
              <w:spacing w:before="40" w:after="40"/>
            </w:pPr>
            <w:r w:rsidRPr="00D94F41">
              <w:t>Both</w:t>
            </w:r>
          </w:p>
        </w:tc>
      </w:tr>
      <w:tr w14:paraId="0587EDCB" w14:textId="77777777" w:rsidTr="003E486D">
        <w:tblPrEx>
          <w:tblW w:w="5000" w:type="pct"/>
          <w:tblLook w:val="01E0"/>
        </w:tblPrEx>
        <w:trPr>
          <w:cantSplit/>
        </w:trPr>
        <w:tc>
          <w:tcPr>
            <w:tcW w:w="2115" w:type="pct"/>
          </w:tcPr>
          <w:p w:rsidR="00E95785" w:rsidRPr="00D94F41" w:rsidP="001C1985" w14:paraId="2B154CB4" w14:textId="327A8CCA">
            <w:pPr>
              <w:pStyle w:val="TableParagraph"/>
              <w:spacing w:before="40" w:after="40"/>
            </w:pPr>
            <w:r w:rsidRPr="00D94F41">
              <w:t>Background Questionnaire (BQ)</w:t>
            </w:r>
          </w:p>
        </w:tc>
        <w:tc>
          <w:tcPr>
            <w:tcW w:w="578" w:type="pct"/>
          </w:tcPr>
          <w:p w:rsidR="00E95785" w:rsidRPr="00D94F41" w:rsidP="001C1985" w14:paraId="57EAF0CA" w14:textId="7764DA71">
            <w:pPr>
              <w:pStyle w:val="TableParagraph"/>
              <w:spacing w:before="40" w:after="40"/>
            </w:pPr>
            <w:r w:rsidRPr="00D94F41">
              <w:t xml:space="preserve">Core </w:t>
            </w:r>
          </w:p>
        </w:tc>
        <w:tc>
          <w:tcPr>
            <w:tcW w:w="1589" w:type="pct"/>
          </w:tcPr>
          <w:p w:rsidR="00E95785" w:rsidRPr="00D94F41" w:rsidP="001C1985" w14:paraId="6B2C6D81" w14:textId="502F5F4B">
            <w:pPr>
              <w:pStyle w:val="TableParagraph"/>
              <w:spacing w:before="40" w:after="40"/>
            </w:pPr>
            <w:r>
              <w:t>Fall (Rounds 106</w:t>
            </w:r>
            <w:r w:rsidR="001E70F1">
              <w:t>, 109, 112</w:t>
            </w:r>
            <w:r>
              <w:t>)</w:t>
            </w:r>
          </w:p>
        </w:tc>
        <w:tc>
          <w:tcPr>
            <w:tcW w:w="718" w:type="pct"/>
          </w:tcPr>
          <w:p w:rsidR="00E95785" w:rsidRPr="00D94F41" w:rsidP="001C1985" w14:paraId="2271DF15" w14:textId="77777777">
            <w:pPr>
              <w:pStyle w:val="TableParagraph"/>
              <w:spacing w:before="40" w:after="40"/>
            </w:pPr>
            <w:r w:rsidRPr="00D94F41">
              <w:t>Baseline</w:t>
            </w:r>
          </w:p>
        </w:tc>
      </w:tr>
      <w:tr w14:paraId="02F468D4" w14:textId="77777777" w:rsidTr="003E486D">
        <w:tblPrEx>
          <w:tblW w:w="5000" w:type="pct"/>
          <w:tblLook w:val="01E0"/>
        </w:tblPrEx>
        <w:trPr>
          <w:cantSplit/>
        </w:trPr>
        <w:tc>
          <w:tcPr>
            <w:tcW w:w="2115" w:type="pct"/>
          </w:tcPr>
          <w:p w:rsidR="00E95785" w:rsidRPr="00D94F41" w:rsidP="001C1985" w14:paraId="4ABA2AF6" w14:textId="2277E56B">
            <w:pPr>
              <w:pStyle w:val="TableParagraph"/>
              <w:spacing w:before="40" w:after="40"/>
            </w:pPr>
            <w:r w:rsidRPr="00D94F41">
              <w:t>Health Insurance (IN)</w:t>
            </w:r>
          </w:p>
        </w:tc>
        <w:tc>
          <w:tcPr>
            <w:tcW w:w="578" w:type="pct"/>
          </w:tcPr>
          <w:p w:rsidR="00E95785" w:rsidRPr="00D94F41" w:rsidP="001C1985" w14:paraId="6CC63AF1" w14:textId="60BE0D95">
            <w:pPr>
              <w:pStyle w:val="TableParagraph"/>
              <w:spacing w:before="40" w:after="40"/>
            </w:pPr>
            <w:r w:rsidRPr="00D94F41">
              <w:t>Core</w:t>
            </w:r>
          </w:p>
        </w:tc>
        <w:tc>
          <w:tcPr>
            <w:tcW w:w="1589" w:type="pct"/>
          </w:tcPr>
          <w:p w:rsidR="00E95785" w:rsidRPr="00D94F41" w:rsidP="001C1985" w14:paraId="630EEB45" w14:textId="44679D62">
            <w:pPr>
              <w:pStyle w:val="TableParagraph"/>
              <w:spacing w:before="40" w:after="40"/>
            </w:pPr>
            <w:r>
              <w:t>Fall (Rounds 106</w:t>
            </w:r>
            <w:r w:rsidR="001E70F1">
              <w:t>, 109, 112</w:t>
            </w:r>
            <w:r>
              <w:t>)</w:t>
            </w:r>
          </w:p>
        </w:tc>
        <w:tc>
          <w:tcPr>
            <w:tcW w:w="718" w:type="pct"/>
          </w:tcPr>
          <w:p w:rsidR="00E95785" w:rsidRPr="00D94F41" w:rsidP="001C1985" w14:paraId="4E648FFB" w14:textId="77777777">
            <w:pPr>
              <w:pStyle w:val="TableParagraph"/>
              <w:spacing w:before="40" w:after="40"/>
            </w:pPr>
            <w:r w:rsidRPr="00D94F41">
              <w:t>Both</w:t>
            </w:r>
          </w:p>
        </w:tc>
      </w:tr>
      <w:tr w14:paraId="4DAC4A10" w14:textId="77777777" w:rsidTr="003E486D">
        <w:tblPrEx>
          <w:tblW w:w="5000" w:type="pct"/>
          <w:tblLook w:val="01E0"/>
        </w:tblPrEx>
        <w:trPr>
          <w:cantSplit/>
        </w:trPr>
        <w:tc>
          <w:tcPr>
            <w:tcW w:w="2115" w:type="pct"/>
          </w:tcPr>
          <w:p w:rsidR="0015004D" w:rsidRPr="00D94F41" w:rsidP="001C1985" w14:paraId="75663BEB" w14:textId="77777777">
            <w:pPr>
              <w:pStyle w:val="TableParagraph"/>
              <w:keepNext/>
              <w:spacing w:before="40" w:after="40"/>
            </w:pPr>
            <w:r w:rsidRPr="00D94F41">
              <w:t>Use of Health Services (US)</w:t>
            </w:r>
          </w:p>
        </w:tc>
        <w:tc>
          <w:tcPr>
            <w:tcW w:w="578" w:type="pct"/>
          </w:tcPr>
          <w:p w:rsidR="0015004D" w:rsidRPr="00D94F41" w:rsidP="001C1985" w14:paraId="4CDBCFD3" w14:textId="6F591F34">
            <w:pPr>
              <w:pStyle w:val="TableParagraph"/>
              <w:keepNext/>
              <w:spacing w:before="40" w:after="40"/>
            </w:pPr>
            <w:r w:rsidRPr="00D94F41">
              <w:t>Core</w:t>
            </w:r>
          </w:p>
        </w:tc>
        <w:tc>
          <w:tcPr>
            <w:tcW w:w="1589" w:type="pct"/>
          </w:tcPr>
          <w:p w:rsidR="0015004D" w:rsidRPr="00D94F41" w:rsidP="001C1985" w14:paraId="6E159B56" w14:textId="560D89F9">
            <w:pPr>
              <w:pStyle w:val="TableParagraph"/>
              <w:keepNext/>
              <w:spacing w:before="40" w:after="40"/>
            </w:pPr>
            <w:r w:rsidRPr="004D4FBE">
              <w:t>All (Round 106</w:t>
            </w:r>
            <w:r w:rsidR="001E70F1">
              <w:t>-114</w:t>
            </w:r>
            <w:r w:rsidRPr="004D4FBE">
              <w:t>)</w:t>
            </w:r>
          </w:p>
        </w:tc>
        <w:tc>
          <w:tcPr>
            <w:tcW w:w="718" w:type="pct"/>
          </w:tcPr>
          <w:p w:rsidR="0015004D" w:rsidRPr="00D94F41" w:rsidP="001C1985" w14:paraId="4DF5117A" w14:textId="77777777">
            <w:pPr>
              <w:pStyle w:val="TableParagraph"/>
              <w:keepNext/>
              <w:spacing w:before="40" w:after="40"/>
            </w:pPr>
            <w:r w:rsidRPr="00D94F41">
              <w:t>Continuing</w:t>
            </w:r>
          </w:p>
        </w:tc>
      </w:tr>
      <w:tr w14:paraId="6CC13914" w14:textId="77777777" w:rsidTr="003E486D">
        <w:tblPrEx>
          <w:tblW w:w="5000" w:type="pct"/>
          <w:tblLook w:val="01E0"/>
        </w:tblPrEx>
        <w:trPr>
          <w:cantSplit/>
        </w:trPr>
        <w:tc>
          <w:tcPr>
            <w:tcW w:w="2115" w:type="pct"/>
          </w:tcPr>
          <w:p w:rsidR="0015004D" w:rsidRPr="00D94F41" w:rsidP="001C1985" w14:paraId="65A2325C" w14:textId="7579B796">
            <w:pPr>
              <w:pStyle w:val="TableParagraph"/>
              <w:spacing w:before="40" w:after="40"/>
            </w:pPr>
            <w:r w:rsidRPr="00D94F41">
              <w:t>Expenditures (EX)</w:t>
            </w:r>
          </w:p>
        </w:tc>
        <w:tc>
          <w:tcPr>
            <w:tcW w:w="578" w:type="pct"/>
          </w:tcPr>
          <w:p w:rsidR="0015004D" w:rsidRPr="00D94F41" w:rsidP="001C1985" w14:paraId="2748DDE2" w14:textId="638A7FC3">
            <w:pPr>
              <w:pStyle w:val="TableParagraph"/>
              <w:spacing w:before="40" w:after="40"/>
            </w:pPr>
            <w:r w:rsidRPr="00D94F41">
              <w:t xml:space="preserve">Core </w:t>
            </w:r>
          </w:p>
        </w:tc>
        <w:tc>
          <w:tcPr>
            <w:tcW w:w="1589" w:type="pct"/>
          </w:tcPr>
          <w:p w:rsidR="0015004D" w:rsidRPr="00D94F41" w:rsidP="001C1985" w14:paraId="1A72D881" w14:textId="6072F956">
            <w:pPr>
              <w:pStyle w:val="TableParagraph"/>
              <w:spacing w:before="40" w:after="40"/>
            </w:pPr>
            <w:r w:rsidRPr="004D4FBE">
              <w:t>All (Round 106</w:t>
            </w:r>
            <w:r w:rsidR="001E70F1">
              <w:t>-114</w:t>
            </w:r>
            <w:r w:rsidRPr="004D4FBE">
              <w:t>)</w:t>
            </w:r>
          </w:p>
        </w:tc>
        <w:tc>
          <w:tcPr>
            <w:tcW w:w="718" w:type="pct"/>
          </w:tcPr>
          <w:p w:rsidR="0015004D" w:rsidRPr="00D94F41" w:rsidP="001C1985" w14:paraId="42E8819D" w14:textId="77777777">
            <w:pPr>
              <w:pStyle w:val="TableParagraph"/>
              <w:spacing w:before="40" w:after="40"/>
            </w:pPr>
            <w:r w:rsidRPr="00D94F41">
              <w:t>Continuing</w:t>
            </w:r>
          </w:p>
        </w:tc>
      </w:tr>
      <w:tr w14:paraId="0A53EEBE" w14:textId="77777777" w:rsidTr="003E486D">
        <w:tblPrEx>
          <w:tblW w:w="5000" w:type="pct"/>
          <w:tblLook w:val="01E0"/>
        </w:tblPrEx>
        <w:trPr>
          <w:cantSplit/>
        </w:trPr>
        <w:tc>
          <w:tcPr>
            <w:tcW w:w="2115" w:type="pct"/>
          </w:tcPr>
          <w:p w:rsidR="00E95785" w:rsidRPr="00D94F41" w:rsidP="001C1985" w14:paraId="4BB79453" w14:textId="60AC9648">
            <w:pPr>
              <w:pStyle w:val="TableParagraph"/>
              <w:spacing w:before="40" w:after="40"/>
            </w:pPr>
            <w:r w:rsidRPr="00D94F41">
              <w:t>Health Status (HS)</w:t>
            </w:r>
            <w:r w:rsidR="007F33D4">
              <w:t>*</w:t>
            </w:r>
          </w:p>
        </w:tc>
        <w:tc>
          <w:tcPr>
            <w:tcW w:w="578" w:type="pct"/>
          </w:tcPr>
          <w:p w:rsidR="00E95785" w:rsidRPr="00D94F41" w:rsidP="001C1985" w14:paraId="702AD54C" w14:textId="534CBA73">
            <w:pPr>
              <w:pStyle w:val="TableParagraph"/>
              <w:spacing w:before="40" w:after="40"/>
            </w:pPr>
            <w:r w:rsidRPr="00D94F41">
              <w:t>Core</w:t>
            </w:r>
          </w:p>
        </w:tc>
        <w:tc>
          <w:tcPr>
            <w:tcW w:w="1589" w:type="pct"/>
          </w:tcPr>
          <w:p w:rsidR="00E95785" w:rsidRPr="00D94F41" w:rsidP="001C1985" w14:paraId="5CC208E5" w14:textId="35D436F4">
            <w:pPr>
              <w:pStyle w:val="TableParagraph"/>
              <w:spacing w:before="40" w:after="40"/>
            </w:pPr>
            <w:r>
              <w:t>Fall (Rounds 106</w:t>
            </w:r>
            <w:r w:rsidR="001E70F1">
              <w:t>, 109, 112</w:t>
            </w:r>
            <w:r>
              <w:t>)</w:t>
            </w:r>
          </w:p>
        </w:tc>
        <w:tc>
          <w:tcPr>
            <w:tcW w:w="718" w:type="pct"/>
          </w:tcPr>
          <w:p w:rsidR="00E95785" w:rsidRPr="00D94F41" w:rsidP="001C1985" w14:paraId="1ADC23BE" w14:textId="77777777">
            <w:pPr>
              <w:pStyle w:val="TableParagraph"/>
              <w:spacing w:before="40" w:after="40"/>
            </w:pPr>
            <w:r w:rsidRPr="00D94F41">
              <w:t>Both</w:t>
            </w:r>
          </w:p>
        </w:tc>
      </w:tr>
      <w:tr w14:paraId="6197BB8C" w14:textId="77777777" w:rsidTr="003E486D">
        <w:tblPrEx>
          <w:tblW w:w="5000" w:type="pct"/>
          <w:tblLook w:val="01E0"/>
        </w:tblPrEx>
        <w:trPr>
          <w:cantSplit/>
        </w:trPr>
        <w:tc>
          <w:tcPr>
            <w:tcW w:w="2115" w:type="pct"/>
          </w:tcPr>
          <w:p w:rsidR="0015004D" w:rsidRPr="00D94F41" w:rsidP="001C1985" w14:paraId="50FAA3C6" w14:textId="77777777">
            <w:pPr>
              <w:pStyle w:val="TableParagraph"/>
              <w:spacing w:before="40" w:after="40"/>
              <w:rPr>
                <w:sz w:val="14"/>
              </w:rPr>
            </w:pPr>
            <w:r w:rsidRPr="00D94F41">
              <w:t>Facility Questionnaire Missing Data</w:t>
            </w:r>
            <w:r w:rsidRPr="008C0B63">
              <w:rPr>
                <w:b/>
                <w:bCs/>
                <w:position w:val="4"/>
                <w:sz w:val="16"/>
                <w:szCs w:val="16"/>
              </w:rPr>
              <w:t>^</w:t>
            </w:r>
          </w:p>
        </w:tc>
        <w:tc>
          <w:tcPr>
            <w:tcW w:w="578" w:type="pct"/>
          </w:tcPr>
          <w:p w:rsidR="0015004D" w:rsidRPr="00D94F41" w:rsidP="001C1985" w14:paraId="5AB48F87" w14:textId="187A42B4">
            <w:pPr>
              <w:pStyle w:val="TableParagraph"/>
              <w:spacing w:before="40" w:after="40"/>
            </w:pPr>
            <w:r w:rsidRPr="00D94F41">
              <w:t>Core</w:t>
            </w:r>
          </w:p>
        </w:tc>
        <w:tc>
          <w:tcPr>
            <w:tcW w:w="1589" w:type="pct"/>
          </w:tcPr>
          <w:p w:rsidR="0015004D" w:rsidRPr="00D94F41" w:rsidP="001C1985" w14:paraId="3A69B7F9" w14:textId="4421FB31">
            <w:pPr>
              <w:pStyle w:val="TableParagraph"/>
              <w:spacing w:before="40" w:after="40"/>
            </w:pPr>
            <w:r w:rsidRPr="0085382F">
              <w:t>All (Round 106</w:t>
            </w:r>
            <w:r w:rsidR="001E70F1">
              <w:t>-114</w:t>
            </w:r>
            <w:r w:rsidRPr="0085382F">
              <w:t>)</w:t>
            </w:r>
          </w:p>
        </w:tc>
        <w:tc>
          <w:tcPr>
            <w:tcW w:w="718" w:type="pct"/>
          </w:tcPr>
          <w:p w:rsidR="0015004D" w:rsidRPr="00D94F41" w:rsidP="001C1985" w14:paraId="04C3AB85" w14:textId="77777777">
            <w:pPr>
              <w:pStyle w:val="TableParagraph"/>
              <w:spacing w:before="40" w:after="40"/>
            </w:pPr>
            <w:r w:rsidRPr="00D94F41">
              <w:t>Both</w:t>
            </w:r>
          </w:p>
        </w:tc>
      </w:tr>
      <w:tr w14:paraId="12AF7D9A" w14:textId="77777777" w:rsidTr="003E486D">
        <w:tblPrEx>
          <w:tblW w:w="5000" w:type="pct"/>
          <w:tblLook w:val="01E0"/>
        </w:tblPrEx>
        <w:trPr>
          <w:cantSplit/>
        </w:trPr>
        <w:tc>
          <w:tcPr>
            <w:tcW w:w="2115" w:type="pct"/>
          </w:tcPr>
          <w:p w:rsidR="0015004D" w:rsidRPr="00D94F41" w:rsidP="001C1985" w14:paraId="1502C679" w14:textId="77777777">
            <w:pPr>
              <w:pStyle w:val="TableParagraph"/>
              <w:spacing w:before="40" w:after="40"/>
              <w:rPr>
                <w:sz w:val="14"/>
              </w:rPr>
            </w:pPr>
            <w:r w:rsidRPr="00D94F41">
              <w:t>Residence History Missing Data</w:t>
            </w:r>
            <w:r w:rsidRPr="008C0B63">
              <w:rPr>
                <w:b/>
                <w:bCs/>
                <w:position w:val="4"/>
                <w:sz w:val="14"/>
              </w:rPr>
              <w:t>^</w:t>
            </w:r>
          </w:p>
        </w:tc>
        <w:tc>
          <w:tcPr>
            <w:tcW w:w="578" w:type="pct"/>
          </w:tcPr>
          <w:p w:rsidR="0015004D" w:rsidRPr="00D94F41" w:rsidP="001C1985" w14:paraId="15B8D852" w14:textId="1C7B94D5">
            <w:pPr>
              <w:pStyle w:val="TableParagraph"/>
              <w:spacing w:before="40" w:after="40"/>
            </w:pPr>
            <w:r w:rsidRPr="00D94F41">
              <w:t>Core</w:t>
            </w:r>
          </w:p>
        </w:tc>
        <w:tc>
          <w:tcPr>
            <w:tcW w:w="1589" w:type="pct"/>
          </w:tcPr>
          <w:p w:rsidR="0015004D" w:rsidRPr="00D94F41" w:rsidP="001C1985" w14:paraId="2684D6EA" w14:textId="66AE53D3">
            <w:pPr>
              <w:pStyle w:val="TableParagraph"/>
              <w:spacing w:before="40" w:after="40"/>
            </w:pPr>
            <w:r w:rsidRPr="0085382F">
              <w:t>All (Round 106</w:t>
            </w:r>
            <w:r w:rsidR="001E70F1">
              <w:t>-114</w:t>
            </w:r>
            <w:r w:rsidRPr="0085382F">
              <w:t>)</w:t>
            </w:r>
          </w:p>
        </w:tc>
        <w:tc>
          <w:tcPr>
            <w:tcW w:w="718" w:type="pct"/>
          </w:tcPr>
          <w:p w:rsidR="0015004D" w:rsidRPr="00D94F41" w:rsidP="001C1985" w14:paraId="5135A95F" w14:textId="77777777">
            <w:pPr>
              <w:pStyle w:val="TableParagraph"/>
              <w:spacing w:before="40" w:after="40"/>
            </w:pPr>
            <w:r w:rsidRPr="00D94F41">
              <w:t>Both</w:t>
            </w:r>
          </w:p>
        </w:tc>
      </w:tr>
      <w:tr w14:paraId="4B55561D" w14:textId="77777777" w:rsidTr="003E486D">
        <w:tblPrEx>
          <w:tblW w:w="5000" w:type="pct"/>
          <w:tblLook w:val="01E0"/>
        </w:tblPrEx>
        <w:trPr>
          <w:cantSplit/>
        </w:trPr>
        <w:tc>
          <w:tcPr>
            <w:tcW w:w="2115" w:type="pct"/>
          </w:tcPr>
          <w:p w:rsidR="00E95785" w:rsidRPr="00D94F41" w:rsidP="001C1985" w14:paraId="7172397C" w14:textId="77777777">
            <w:pPr>
              <w:pStyle w:val="TableParagraph"/>
              <w:spacing w:before="40" w:after="40"/>
              <w:rPr>
                <w:sz w:val="14"/>
              </w:rPr>
            </w:pPr>
            <w:r w:rsidRPr="00D94F41">
              <w:t>Background Questionnaire Missing Data</w:t>
            </w:r>
            <w:r w:rsidRPr="008C0B63">
              <w:rPr>
                <w:b/>
                <w:bCs/>
                <w:position w:val="4"/>
                <w:sz w:val="14"/>
              </w:rPr>
              <w:t>^</w:t>
            </w:r>
          </w:p>
        </w:tc>
        <w:tc>
          <w:tcPr>
            <w:tcW w:w="578" w:type="pct"/>
          </w:tcPr>
          <w:p w:rsidR="00E95785" w:rsidRPr="00D94F41" w:rsidP="001C1985" w14:paraId="5604E6DE" w14:textId="1013481A">
            <w:pPr>
              <w:pStyle w:val="TableParagraph"/>
              <w:spacing w:before="40" w:after="40"/>
            </w:pPr>
            <w:r w:rsidRPr="00D94F41">
              <w:t xml:space="preserve">Core </w:t>
            </w:r>
          </w:p>
        </w:tc>
        <w:tc>
          <w:tcPr>
            <w:tcW w:w="1589" w:type="pct"/>
          </w:tcPr>
          <w:p w:rsidR="00E95785" w:rsidRPr="00D94F41" w:rsidP="001C1985" w14:paraId="46144142" w14:textId="48D2BB5D">
            <w:pPr>
              <w:pStyle w:val="TableParagraph"/>
              <w:spacing w:before="40" w:after="40"/>
            </w:pPr>
            <w:r>
              <w:t>Fall (Rounds 106</w:t>
            </w:r>
            <w:r w:rsidR="001E70F1">
              <w:t>, 109, 112</w:t>
            </w:r>
            <w:r>
              <w:t>)</w:t>
            </w:r>
          </w:p>
        </w:tc>
        <w:tc>
          <w:tcPr>
            <w:tcW w:w="718" w:type="pct"/>
          </w:tcPr>
          <w:p w:rsidR="00E95785" w:rsidRPr="00D94F41" w:rsidP="001C1985" w14:paraId="12185A85" w14:textId="77777777">
            <w:pPr>
              <w:pStyle w:val="TableParagraph"/>
              <w:spacing w:before="40" w:after="40"/>
            </w:pPr>
            <w:r w:rsidRPr="00D94F41">
              <w:t>Baseline</w:t>
            </w:r>
          </w:p>
        </w:tc>
      </w:tr>
    </w:tbl>
    <w:p w:rsidR="006938AE" w:rsidRPr="00D94F41" w:rsidP="00BF3DA4" w14:paraId="6C3D6F87" w14:textId="4C97A170">
      <w:pPr>
        <w:pStyle w:val="Note"/>
      </w:pPr>
      <w:r w:rsidRPr="008C0B63">
        <w:rPr>
          <w:b/>
          <w:bCs/>
          <w:position w:val="4"/>
          <w:sz w:val="16"/>
          <w:szCs w:val="16"/>
        </w:rPr>
        <w:t>^</w:t>
      </w:r>
      <w:r w:rsidRPr="00D94F41">
        <w:t>Section only activated and available for administration when critical data points from the FQ, RH, or BQ sections are marked as missing, Don’t Know, or Refused.</w:t>
      </w:r>
    </w:p>
    <w:p w:rsidR="002E73B3" w:rsidRPr="00D94F41" w:rsidP="00FB25F1" w14:paraId="0DAC8E29" w14:textId="468F18C9">
      <w:pPr>
        <w:pStyle w:val="BodyText"/>
        <w:spacing w:before="240"/>
      </w:pPr>
      <w:r w:rsidRPr="00D94F41">
        <w:t xml:space="preserve">The revision </w:t>
      </w:r>
      <w:r w:rsidRPr="00D94F41">
        <w:t>to</w:t>
      </w:r>
      <w:r w:rsidRPr="00D94F41">
        <w:t xml:space="preserve"> this OMB package includes the following content changes to the Community</w:t>
      </w:r>
      <w:r w:rsidR="00D926C8">
        <w:t xml:space="preserve"> </w:t>
      </w:r>
      <w:r w:rsidR="00845A99">
        <w:t xml:space="preserve">and Facility instruments. </w:t>
      </w:r>
    </w:p>
    <w:p w:rsidR="0088452B" w:rsidRPr="00125D35" w:rsidP="00224949" w14:paraId="2A0E78DE" w14:textId="1ABEEA3A">
      <w:pPr>
        <w:pStyle w:val="Heading5"/>
        <w:rPr>
          <w:sz w:val="24"/>
          <w:szCs w:val="24"/>
        </w:rPr>
      </w:pPr>
      <w:r w:rsidRPr="00125D35">
        <w:rPr>
          <w:sz w:val="24"/>
          <w:szCs w:val="24"/>
        </w:rPr>
        <w:t xml:space="preserve">Summary of instrument changes beginning in </w:t>
      </w:r>
      <w:r w:rsidRPr="00125D35" w:rsidR="001E70F1">
        <w:rPr>
          <w:sz w:val="24"/>
          <w:szCs w:val="24"/>
        </w:rPr>
        <w:t>Fall 2026 Round 106</w:t>
      </w:r>
      <w:r w:rsidRPr="00125D35">
        <w:rPr>
          <w:sz w:val="24"/>
          <w:szCs w:val="24"/>
        </w:rPr>
        <w:t xml:space="preserve"> through </w:t>
      </w:r>
      <w:r w:rsidRPr="00125D35" w:rsidR="001E70F1">
        <w:rPr>
          <w:sz w:val="24"/>
          <w:szCs w:val="24"/>
        </w:rPr>
        <w:t>Summer 2029 Round 114</w:t>
      </w:r>
      <w:r w:rsidRPr="00125D35" w:rsidR="00D926C8">
        <w:rPr>
          <w:sz w:val="24"/>
          <w:szCs w:val="24"/>
        </w:rPr>
        <w:t>:</w:t>
      </w:r>
    </w:p>
    <w:p w:rsidR="005B53E1" w:rsidP="005B53E1" w14:paraId="56C24AEF" w14:textId="410A9DE2">
      <w:pPr>
        <w:pStyle w:val="ListBullet2"/>
        <w:numPr>
          <w:ilvl w:val="0"/>
          <w:numId w:val="24"/>
        </w:numPr>
      </w:pPr>
      <w:r>
        <w:t xml:space="preserve">Adding </w:t>
      </w:r>
      <w:r w:rsidRPr="00193FE6" w:rsidR="00193FE6">
        <w:t>three new items to the Health Status and Functioning Questionnaire (HFQ) to measure the prevalence of sleep apnea, thyroid disease, and bowel disease, respectively</w:t>
      </w:r>
      <w:r>
        <w:t>.</w:t>
      </w:r>
    </w:p>
    <w:p w:rsidR="00125D35" w:rsidRPr="00125D35" w:rsidP="00125D35" w14:paraId="09DF8A15" w14:textId="5FA84C47">
      <w:pPr>
        <w:pStyle w:val="BodyText"/>
        <w:numPr>
          <w:ilvl w:val="0"/>
          <w:numId w:val="24"/>
        </w:numPr>
      </w:pPr>
      <w:r w:rsidRPr="005B53E1">
        <w:t>Streamlining the four-item arthritis series to two items</w:t>
      </w:r>
      <w:r w:rsidRPr="008C4031" w:rsidR="008C4031">
        <w:t>, r</w:t>
      </w:r>
      <w:r w:rsidRPr="00125D35">
        <w:t>emoving three items related to knowledge of colorectal cancer screening tests</w:t>
      </w:r>
      <w:r w:rsidR="00193FE6">
        <w:t>,</w:t>
      </w:r>
      <w:r w:rsidRPr="00125D35">
        <w:t xml:space="preserve"> and </w:t>
      </w:r>
      <w:r w:rsidRPr="00193FE6" w:rsidR="00193FE6">
        <w:t>streamlining</w:t>
      </w:r>
      <w:r w:rsidRPr="00193FE6" w:rsidR="00193FE6">
        <w:t xml:space="preserve"> </w:t>
      </w:r>
      <w:r w:rsidRPr="00125D35">
        <w:t xml:space="preserve">the collection of information about activities of daily living (ADLs) and instrumental activities of daily living (IADLs) in the Health Status and Functioning Questionnaire (HFQ). </w:t>
      </w:r>
    </w:p>
    <w:p w:rsidR="00125D35" w:rsidRPr="00125D35" w:rsidP="00125D35" w14:paraId="5FC0FD0D" w14:textId="0EB2460D">
      <w:pPr>
        <w:pStyle w:val="BodyText"/>
        <w:numPr>
          <w:ilvl w:val="0"/>
          <w:numId w:val="24"/>
        </w:numPr>
      </w:pPr>
      <w:r w:rsidRPr="00125D35">
        <w:t xml:space="preserve">Removing </w:t>
      </w:r>
      <w:r w:rsidR="005B53E1">
        <w:t>eleven</w:t>
      </w:r>
      <w:r w:rsidRPr="00125D35" w:rsidR="005B53E1">
        <w:t xml:space="preserve"> </w:t>
      </w:r>
      <w:r w:rsidRPr="00125D35">
        <w:t>items that collect follow-up detail about different types of health insurance plans in the Health Insurance Questionnaire (HIQ)</w:t>
      </w:r>
      <w:r w:rsidR="00193FE6">
        <w:t xml:space="preserve"> </w:t>
      </w:r>
      <w:r w:rsidRPr="00193FE6" w:rsidR="00193FE6">
        <w:t>to reduce respondent burden</w:t>
      </w:r>
      <w:r w:rsidRPr="00125D35">
        <w:t xml:space="preserve">. </w:t>
      </w:r>
    </w:p>
    <w:p w:rsidR="00125D35" w:rsidRPr="00125D35" w:rsidP="00125D35" w14:paraId="09B8C91F" w14:textId="1E1C8A55">
      <w:pPr>
        <w:pStyle w:val="BodyText"/>
        <w:numPr>
          <w:ilvl w:val="0"/>
          <w:numId w:val="24"/>
        </w:numPr>
      </w:pPr>
      <w:r w:rsidRPr="00125D35">
        <w:t xml:space="preserve">Removing </w:t>
      </w:r>
      <w:r w:rsidR="009733A8">
        <w:t>nine</w:t>
      </w:r>
      <w:r w:rsidRPr="00125D35">
        <w:t xml:space="preserve"> items about Medicare program knowledge, internet use, comparison of Medicare plans, and knowledge of the Inflation Reduction Act (IRA) of 2022 in the Beneficiary Knowledge and Information Needs Questionnaire (KNQ)</w:t>
      </w:r>
      <w:r w:rsidR="00193FE6">
        <w:t xml:space="preserve"> </w:t>
      </w:r>
      <w:r w:rsidRPr="00417E97" w:rsidR="00417E97">
        <w:t>that are either redundant with other survey content, do not perform well, or are no longer relevant</w:t>
      </w:r>
      <w:r w:rsidRPr="00125D35">
        <w:t xml:space="preserve">. </w:t>
      </w:r>
    </w:p>
    <w:p w:rsidR="00125D35" w:rsidRPr="00125D35" w:rsidP="00125D35" w14:paraId="1108653C" w14:textId="2EE7750F">
      <w:pPr>
        <w:pStyle w:val="BodyText"/>
        <w:numPr>
          <w:ilvl w:val="0"/>
          <w:numId w:val="24"/>
        </w:numPr>
      </w:pPr>
      <w:r w:rsidRPr="00125D35">
        <w:t>Removing the Physical Measures Questionnaire (PXQ)</w:t>
      </w:r>
      <w:r w:rsidR="00417E97">
        <w:t xml:space="preserve"> </w:t>
      </w:r>
      <w:r w:rsidRPr="00417E97" w:rsidR="00417E97">
        <w:t>to reduce respondent burden</w:t>
      </w:r>
      <w:r w:rsidRPr="00125D35">
        <w:t>.</w:t>
      </w:r>
    </w:p>
    <w:p w:rsidR="00125D35" w:rsidRPr="00125D35" w:rsidP="00125D35" w14:paraId="0A206067" w14:textId="43298D8C">
      <w:pPr>
        <w:pStyle w:val="BodyText"/>
        <w:numPr>
          <w:ilvl w:val="0"/>
          <w:numId w:val="24"/>
        </w:numPr>
      </w:pPr>
      <w:r w:rsidRPr="00125D35">
        <w:t xml:space="preserve">Streamlining the Satisfaction with Care Questionnaire (SCQ) by removing three </w:t>
      </w:r>
      <w:r w:rsidRPr="00417E97" w:rsidR="00417E97">
        <w:t xml:space="preserve">redundant </w:t>
      </w:r>
      <w:r w:rsidRPr="00125D35">
        <w:t xml:space="preserve">items and changing the administration schedule for 14 items to reduce respondent burden. </w:t>
      </w:r>
    </w:p>
    <w:p w:rsidR="00125D35" w:rsidRPr="00125D35" w:rsidP="00125D35" w14:paraId="171F0C56" w14:textId="2C27FEDD">
      <w:pPr>
        <w:pStyle w:val="BodyText"/>
        <w:numPr>
          <w:ilvl w:val="0"/>
          <w:numId w:val="24"/>
        </w:numPr>
      </w:pPr>
      <w:r w:rsidRPr="00125D35">
        <w:t xml:space="preserve">Removing </w:t>
      </w:r>
      <w:r w:rsidR="00E25084">
        <w:t>72</w:t>
      </w:r>
      <w:r w:rsidRPr="00125D35">
        <w:t xml:space="preserve"> items from the Usual Source of Care Questionnaire (USQ)</w:t>
      </w:r>
      <w:r w:rsidR="00417E97">
        <w:t xml:space="preserve"> </w:t>
      </w:r>
      <w:r w:rsidRPr="00417E97" w:rsidR="00417E97">
        <w:t>due to difficulty of administration, low number of affirmative responses, and decreased relevance</w:t>
      </w:r>
      <w:r w:rsidRPr="00125D35">
        <w:t xml:space="preserve">. </w:t>
      </w:r>
    </w:p>
    <w:p w:rsidR="007A1B04" w:rsidRPr="007A1B04" w:rsidP="007A1B04" w14:paraId="635517DA" w14:textId="77777777">
      <w:pPr>
        <w:pStyle w:val="BodyText"/>
      </w:pPr>
      <w:r w:rsidRPr="007A1B04">
        <w:rPr>
          <w:b/>
          <w:bCs/>
        </w:rPr>
        <w:t>Adding three new items on sleep apnea, thyroid disease, and bowel disease in the Health Status and Functioning Questionnaire (HFQ)</w:t>
      </w:r>
      <w:r>
        <w:rPr>
          <w:b/>
          <w:bCs/>
        </w:rPr>
        <w:t xml:space="preserve">. </w:t>
      </w:r>
      <w:r w:rsidRPr="007A1B04">
        <w:t>The MCBS collects extensive information on the prevalence of chronic conditions to provide a comprehensive view of Medicare beneficiary health status. Unlike administrative data, which only captures conditions when beneficiaries have healthcare contact, the MCBS is administered to beneficiaries regardless of care-seeking behavior, thereby providing robust self-report measures. This information is then used to derive a 'number of diagnosed chronic conditions' measure, which serves as a critical health status indicator used by the Office of the Actuary, the Center for Medicare and Medicaid Innovation (CMMI), and the Congressional Budget Office (CBO) for policy analysis, coverage analysis, and budget projections. To enhance this measure's completeness and policy relevance, MCBS is adding three items to measure high-impact chronic conditions that disproportionately affect Medicare beneficiaries:</w:t>
      </w:r>
    </w:p>
    <w:p w:rsidR="007A1B04" w:rsidRPr="007A1B04" w:rsidP="00C07A97" w14:paraId="5280EF3E" w14:textId="77777777">
      <w:pPr>
        <w:pStyle w:val="ListBullet2"/>
        <w:rPr>
          <w:i/>
          <w:iCs/>
        </w:rPr>
      </w:pPr>
      <w:r w:rsidRPr="007A1B04">
        <w:rPr>
          <w:b/>
          <w:bCs/>
          <w:i/>
          <w:iCs/>
        </w:rPr>
        <w:t>One item on the prevalence of sleep apnea</w:t>
      </w:r>
      <w:r w:rsidRPr="007A1B04">
        <w:rPr>
          <w:i/>
          <w:iCs/>
        </w:rPr>
        <w:t xml:space="preserve">, </w:t>
      </w:r>
      <w:r w:rsidRPr="007A1B04">
        <w:t>as most Americans over the age of 40 experience some degree of sleep apnea, and the risk of developing sleep apnea increases with age.</w:t>
      </w:r>
      <w:r>
        <w:rPr>
          <w:vertAlign w:val="superscript"/>
        </w:rPr>
        <w:footnoteReference w:id="11"/>
      </w:r>
    </w:p>
    <w:p w:rsidR="007A1B04" w:rsidRPr="007A1B04" w:rsidP="00C07A97" w14:paraId="376710B0" w14:textId="77777777">
      <w:pPr>
        <w:pStyle w:val="ListBullet2"/>
        <w:rPr>
          <w:i/>
          <w:iCs/>
        </w:rPr>
      </w:pPr>
      <w:r w:rsidRPr="007A1B04">
        <w:rPr>
          <w:b/>
          <w:bCs/>
          <w:i/>
          <w:iCs/>
        </w:rPr>
        <w:t>One item on the prevalence of thyroid disease</w:t>
      </w:r>
      <w:r w:rsidRPr="007A1B04">
        <w:rPr>
          <w:i/>
          <w:iCs/>
        </w:rPr>
        <w:t xml:space="preserve">, </w:t>
      </w:r>
      <w:r w:rsidRPr="007A1B04">
        <w:t>which affects 5-10% of US adults, and the prevalence increases with age.</w:t>
      </w:r>
      <w:r>
        <w:rPr>
          <w:vertAlign w:val="superscript"/>
        </w:rPr>
        <w:footnoteReference w:id="12"/>
      </w:r>
    </w:p>
    <w:p w:rsidR="007A1B04" w:rsidRPr="007A1B04" w:rsidP="00C07A97" w14:paraId="07F810C0" w14:textId="77777777">
      <w:pPr>
        <w:pStyle w:val="ListBullet2"/>
        <w:rPr>
          <w:i/>
          <w:iCs/>
        </w:rPr>
      </w:pPr>
      <w:r w:rsidRPr="007A1B04">
        <w:rPr>
          <w:b/>
          <w:bCs/>
          <w:i/>
          <w:iCs/>
        </w:rPr>
        <w:t>One item on the prevalence of bowel disease</w:t>
      </w:r>
      <w:r w:rsidRPr="007A1B04">
        <w:rPr>
          <w:i/>
          <w:iCs/>
        </w:rPr>
        <w:t>,</w:t>
      </w:r>
      <w:r w:rsidRPr="007A1B04">
        <w:t xml:space="preserve"> which affects a substantial percentage of older Americans, with </w:t>
      </w:r>
      <w:r w:rsidRPr="007A1B04">
        <w:t>Irritable Bowel Syndrome</w:t>
      </w:r>
      <w:r w:rsidRPr="007A1B04">
        <w:t xml:space="preserve"> (IBS) alone affecting 10-20% of older Americans.</w:t>
      </w:r>
      <w:r>
        <w:rPr>
          <w:vertAlign w:val="superscript"/>
        </w:rPr>
        <w:footnoteReference w:id="13"/>
      </w:r>
    </w:p>
    <w:p w:rsidR="007A1B04" w:rsidRPr="007A1B04" w:rsidP="00125D35" w14:paraId="084D91CA" w14:textId="18DFC3A8">
      <w:pPr>
        <w:pStyle w:val="BodyText"/>
      </w:pPr>
      <w:r w:rsidRPr="007A1B04">
        <w:t>The addition of these three items will provide a more accurate health status assessment and better inform coverage decisions, as demonstrated by recent CBO analysis of anti-obesity medication coverage</w:t>
      </w:r>
      <w:r>
        <w:rPr>
          <w:rStyle w:val="FootnoteReference"/>
        </w:rPr>
        <w:footnoteReference w:id="14"/>
      </w:r>
      <w:r w:rsidRPr="007A1B04">
        <w:t xml:space="preserve"> that relied heavily on MCBS chronic conditions data. As CMS continues to expand coverage for chronic disease management and preventive services, comprehensive data on these conditions will inform evidence-based policy decisions. </w:t>
      </w:r>
    </w:p>
    <w:p w:rsidR="00125D35" w:rsidRPr="00125D35" w:rsidP="00125D35" w14:paraId="5D138709" w14:textId="14EE9830">
      <w:pPr>
        <w:pStyle w:val="BodyText"/>
        <w:rPr>
          <w:b/>
          <w:bCs/>
        </w:rPr>
      </w:pPr>
      <w:r w:rsidRPr="00125D35">
        <w:rPr>
          <w:b/>
          <w:bCs/>
        </w:rPr>
        <w:t xml:space="preserve">Streamlining </w:t>
      </w:r>
      <w:r w:rsidR="000631FB">
        <w:rPr>
          <w:b/>
          <w:bCs/>
        </w:rPr>
        <w:t>three</w:t>
      </w:r>
      <w:r w:rsidRPr="00125D35" w:rsidR="000631FB">
        <w:rPr>
          <w:b/>
          <w:bCs/>
        </w:rPr>
        <w:t xml:space="preserve"> </w:t>
      </w:r>
      <w:r w:rsidRPr="00125D35">
        <w:rPr>
          <w:b/>
          <w:bCs/>
        </w:rPr>
        <w:t xml:space="preserve">series in the Health Status and Functioning Questionnaire (HFQ). </w:t>
      </w:r>
      <w:r w:rsidRPr="00125D35">
        <w:t xml:space="preserve">As part of the content reduction process, CMS identified </w:t>
      </w:r>
      <w:r w:rsidR="000631FB">
        <w:t>three</w:t>
      </w:r>
      <w:r w:rsidRPr="00125D35" w:rsidR="000631FB">
        <w:t xml:space="preserve"> </w:t>
      </w:r>
      <w:r w:rsidRPr="00125D35">
        <w:t>series within the HFQ that will be streamlined to reduce respondent burden while maintaining policy relevance:</w:t>
      </w:r>
    </w:p>
    <w:p w:rsidR="000631FB" w:rsidP="00C07A97" w14:paraId="63094DD4" w14:textId="77777777">
      <w:pPr>
        <w:pStyle w:val="ListBullet2"/>
      </w:pPr>
      <w:r>
        <w:rPr>
          <w:b/>
          <w:bCs/>
          <w:i/>
          <w:iCs/>
        </w:rPr>
        <w:t>Revise the arthritis series in the Health Status and Functioning Questionnaire (HFQ)</w:t>
      </w:r>
      <w:r>
        <w:t xml:space="preserve">: Currently, the arthritis series asks beneficiaries to identify specific arthritis types (rheumatoid, osteoarthritis, and other arthritis) in separate questions, which creates difficulties for beneficiaries who have been diagnosed with arthritis but are uncertain about the specific type. The revised question structure employs a two-step approach: first </w:t>
      </w:r>
      <w:r>
        <w:t xml:space="preserve">asking beneficiaries if they have been diagnosed with arthritis (any type), then asking about the specific type. This modification provides several critical data quality improvements, including reducing misclassification between rheumatoid and osteoarthritis, providing more accurate overall arthritis prevalence estimates by capturing all diagnosed cases regardless of beneficiary knowledge about subtypes, and enhancing analytical utility by distinguishing between "unknown arthritis type" and "no arthritis diagnosis." </w:t>
      </w:r>
    </w:p>
    <w:p w:rsidR="000631FB" w:rsidRPr="000631FB" w:rsidP="00C07A97" w14:paraId="45CBE0B8" w14:textId="5C915EFC">
      <w:pPr>
        <w:pStyle w:val="ListContinue2"/>
      </w:pPr>
      <w:r>
        <w:t xml:space="preserve">Accurate prevalence data </w:t>
      </w:r>
      <w:r w:rsidR="00417E97">
        <w:t>are</w:t>
      </w:r>
      <w:r>
        <w:t xml:space="preserve"> essential for CMS policy development and will inform coverage decisions for arthritis treatments, physical therapy services, and disease management programs. Additionally, this revision reduces respondent burden by minimizing the need for beneficiaries to make uncertain distinctions between arthritis types while still capturing valuable diagnostic information when known, ultimately improving the accuracy and utility of MCBS arthritis data for policy analysis and program planning.</w:t>
      </w:r>
    </w:p>
    <w:p w:rsidR="00125D35" w:rsidRPr="00125D35" w:rsidP="00C07A97" w14:paraId="5130485F" w14:textId="18490EDD">
      <w:pPr>
        <w:pStyle w:val="ListBullet2"/>
        <w:rPr>
          <w:b/>
          <w:bCs/>
        </w:rPr>
      </w:pPr>
      <w:r w:rsidRPr="00125D35">
        <w:rPr>
          <w:b/>
          <w:bCs/>
          <w:i/>
          <w:iCs/>
        </w:rPr>
        <w:t xml:space="preserve">Remove three knowledge items in the colorectal cancer series: </w:t>
      </w:r>
      <w:r w:rsidRPr="00125D35">
        <w:t>To reduce burden, three separate questions asking if the respondent has ever heard of 1) colorectal or colon cancer, 2) the fecal occult blood test, or 3) sigmoidoscopy or colonoscopy, will be removed</w:t>
      </w:r>
      <w:r w:rsidR="00D34D6C">
        <w:t xml:space="preserve"> </w:t>
      </w:r>
      <w:r w:rsidRPr="00D34D6C" w:rsidR="00D34D6C">
        <w:t>and</w:t>
      </w:r>
      <w:r w:rsidR="00D34D6C">
        <w:t>,</w:t>
      </w:r>
      <w:r w:rsidRPr="00D34D6C" w:rsidR="00D34D6C">
        <w:t xml:space="preserve"> as a result, two additional items will be revised to include new introductory text.</w:t>
      </w:r>
    </w:p>
    <w:p w:rsidR="00125D35" w:rsidRPr="00125D35" w:rsidP="00C07A97" w14:paraId="44555820" w14:textId="4A90EE25">
      <w:pPr>
        <w:pStyle w:val="ListBullet2"/>
      </w:pPr>
      <w:r w:rsidRPr="00C07A97">
        <w:rPr>
          <w:b/>
          <w:bCs/>
          <w:i/>
          <w:iCs/>
        </w:rPr>
        <w:t>Streamline collection of information related to instrumental activities of daily living (IADL) and activities of daily living (ADL):</w:t>
      </w:r>
      <w:r w:rsidRPr="00125D35">
        <w:t xml:space="preserve"> Currently, if a respondent indicates that they require help completing IADLs (such as using the telephone or doing housework) or ADLs (such as bathing, dressing, or using the toilet), the Community questionnaire collects the first and last name of this helper and their specific relationship to the respondent (e.g., child, spouse, etc.). </w:t>
      </w:r>
      <w:r w:rsidRPr="000631FB" w:rsidR="000631FB">
        <w:t xml:space="preserve">CMS has determined that collection of helper information at this level of detail is burdensome to respondents and has limited analytic utility. Collecting the basic category of relationship to the respondent provides valuable information for use in analytic products while balancing the need to provide a more streamlined </w:t>
      </w:r>
      <w:r w:rsidR="00417E97">
        <w:t>questionnaire</w:t>
      </w:r>
      <w:r w:rsidRPr="000631FB" w:rsidR="000631FB">
        <w:t xml:space="preserve"> for respondents. Starting in Fall 2026 Round 106, 12 items in the HFQ will be revised such that rather than collecting the detailed information for each individual who provides help with IADLs and ADLs, the questionnaire will ask for respondents to select whether the helper(s) fits into one of six categories: </w:t>
      </w:r>
      <w:r w:rsidRPr="00417E97" w:rsidR="00417E97">
        <w:t xml:space="preserve">1) Spouse, 2) Child, 3) Other Family member, 4) Friend, 5) Home health aide or home care worker, or 6) Homemaker or house cleaner. This results in deletion of 49 items that previously captured helpers’ first and last names and specific </w:t>
      </w:r>
      <w:r w:rsidRPr="00417E97" w:rsidR="00417E97">
        <w:t>relationship</w:t>
      </w:r>
      <w:r w:rsidRPr="00417E97" w:rsidR="00417E97">
        <w:t xml:space="preserve"> to the respondent</w:t>
      </w:r>
      <w:r w:rsidRPr="000631FB" w:rsidR="000631FB">
        <w:t>.</w:t>
      </w:r>
      <w:r w:rsidRPr="00125D35">
        <w:t xml:space="preserve"> </w:t>
      </w:r>
    </w:p>
    <w:p w:rsidR="00125D35" w:rsidRPr="00125D35" w:rsidP="00C07A97" w14:paraId="1922A7E2" w14:textId="1B55FB8D">
      <w:pPr>
        <w:pStyle w:val="ListContinue2"/>
      </w:pPr>
      <w:r w:rsidRPr="00125D35">
        <w:t xml:space="preserve">In addition, 12 detailed follow up questions </w:t>
      </w:r>
      <w:r w:rsidRPr="00417E97" w:rsidR="00417E97">
        <w:t>with a low number of affirmative responses, and therefore limited</w:t>
      </w:r>
      <w:r w:rsidR="00417E97">
        <w:t xml:space="preserve"> </w:t>
      </w:r>
      <w:r w:rsidRPr="00417E97" w:rsidR="00417E97">
        <w:t xml:space="preserve">analytic utility, </w:t>
      </w:r>
      <w:r w:rsidRPr="00125D35">
        <w:t xml:space="preserve">will be removed from the ADLs series to reduce respondent burden. The questionnaire will no longer ask 1) if someone stands close by while the respondent is performing the activity or 2) for how long they have needed help with the activity. </w:t>
      </w:r>
    </w:p>
    <w:p w:rsidR="00125D35" w:rsidRPr="00125D35" w:rsidP="00125D35" w14:paraId="4F47891C" w14:textId="77777777">
      <w:pPr>
        <w:pStyle w:val="BodyText"/>
        <w:rPr>
          <w:b/>
          <w:bCs/>
        </w:rPr>
      </w:pPr>
      <w:r w:rsidRPr="00125D35">
        <w:rPr>
          <w:b/>
          <w:bCs/>
        </w:rPr>
        <w:t>Streamlining the Satisfaction with Care Questionnaire (SCQ)</w:t>
      </w:r>
      <w:r w:rsidRPr="00125D35">
        <w:t>. The Satisfaction with Care Questionnaire (SCQ) is administered annually during the Fall round Baseline and Continuing interviews and collects important information on the quality of patient experience, health seeking behaviors, and patient activation. During CMS’ review of this section, CMS identified several items either to remove or collect on a less frequent administration schedule:</w:t>
      </w:r>
    </w:p>
    <w:p w:rsidR="00125D35" w:rsidRPr="00125D35" w:rsidP="00C07A97" w14:paraId="0663D31D" w14:textId="1569374F">
      <w:pPr>
        <w:pStyle w:val="ListBullet2"/>
        <w:rPr>
          <w:b/>
          <w:bCs/>
        </w:rPr>
      </w:pPr>
      <w:r w:rsidRPr="00125D35">
        <w:rPr>
          <w:b/>
          <w:bCs/>
          <w:i/>
          <w:iCs/>
        </w:rPr>
        <w:t xml:space="preserve">Remove three </w:t>
      </w:r>
      <w:r w:rsidRPr="00417E97" w:rsidR="00417E97">
        <w:rPr>
          <w:b/>
          <w:bCs/>
          <w:i/>
          <w:iCs/>
        </w:rPr>
        <w:t xml:space="preserve">redundant </w:t>
      </w:r>
      <w:r w:rsidRPr="00125D35">
        <w:rPr>
          <w:b/>
          <w:bCs/>
          <w:i/>
          <w:iCs/>
        </w:rPr>
        <w:t>items:</w:t>
      </w:r>
      <w:r w:rsidRPr="00125D35">
        <w:rPr>
          <w:b/>
          <w:bCs/>
        </w:rPr>
        <w:t xml:space="preserve"> </w:t>
      </w:r>
      <w:r w:rsidRPr="00125D35">
        <w:t>One item regarding satisfaction with information about health issues and two items regarding health care avoidance will be removed</w:t>
      </w:r>
      <w:r w:rsidR="00417E97">
        <w:t xml:space="preserve"> </w:t>
      </w:r>
      <w:r w:rsidRPr="00417E97" w:rsidR="00417E97">
        <w:t>as they are duplicative with other questions asked in this section</w:t>
      </w:r>
      <w:r w:rsidRPr="00125D35">
        <w:t>.</w:t>
      </w:r>
      <w:r w:rsidRPr="00125D35">
        <w:rPr>
          <w:b/>
          <w:bCs/>
        </w:rPr>
        <w:t xml:space="preserve"> </w:t>
      </w:r>
    </w:p>
    <w:p w:rsidR="00125D35" w:rsidRPr="00125D35" w:rsidP="00C07A97" w14:paraId="3EA6AE24" w14:textId="77777777">
      <w:pPr>
        <w:pStyle w:val="ListBullet2"/>
      </w:pPr>
      <w:r w:rsidRPr="00125D35">
        <w:rPr>
          <w:b/>
          <w:bCs/>
          <w:i/>
          <w:iCs/>
        </w:rPr>
        <w:t>Change administration schedule for 14 items to reduce respondent burden:</w:t>
      </w:r>
      <w:r w:rsidRPr="00125D35">
        <w:rPr>
          <w:b/>
          <w:bCs/>
        </w:rPr>
        <w:t xml:space="preserve"> </w:t>
      </w:r>
      <w:r w:rsidRPr="00125D35">
        <w:t xml:space="preserve">To reduce burden, 14 items that were previously asked once a year will now be asked only once, in the Fall round Baseline interview. These items collect important information on respondent attitudes and behavior but do not require annual fielding.  </w:t>
      </w:r>
    </w:p>
    <w:p w:rsidR="00125D35" w:rsidRPr="00125D35" w:rsidP="00125D35" w14:paraId="373C6E56" w14:textId="1F2C4FF3">
      <w:pPr>
        <w:pStyle w:val="BodyText"/>
        <w:rPr>
          <w:b/>
          <w:bCs/>
        </w:rPr>
      </w:pPr>
      <w:r w:rsidRPr="00125D35">
        <w:rPr>
          <w:b/>
          <w:bCs/>
        </w:rPr>
        <w:t xml:space="preserve">Removing items that are no longer relevant in the Health Insurance Questionnaire (HIQ). </w:t>
      </w:r>
      <w:r w:rsidRPr="00125D35">
        <w:t xml:space="preserve">In Winter 2023, CMS made several updates to improve the Health Insurance Questionnaire (HIQ), including aligning the collection of health insurance information across six different plan types and reducing respondent burden by discontinuing collection of detailed information about exact start and end dates for health insurance coverage. While reviewing the recently improved HIQ, CMS identified several additional items that are no longer relevant. In the </w:t>
      </w:r>
      <w:r w:rsidRPr="00125D35">
        <w:t>2026 survey year</w:t>
      </w:r>
      <w:r w:rsidRPr="00125D35">
        <w:t xml:space="preserve">, the following detailed items will be removed from the Community questionnaire: </w:t>
      </w:r>
    </w:p>
    <w:p w:rsidR="00A32942" w:rsidRPr="00A32942" w:rsidP="00C07A97" w14:paraId="21FC229B" w14:textId="77777777">
      <w:pPr>
        <w:pStyle w:val="ListBullet2"/>
      </w:pPr>
      <w:r w:rsidRPr="00A32942">
        <w:t xml:space="preserve">One item </w:t>
      </w:r>
      <w:r w:rsidRPr="00A32942">
        <w:t>asking</w:t>
      </w:r>
      <w:r w:rsidRPr="00A32942">
        <w:t xml:space="preserve"> respondents with Medicaid if their plan covers prescribed medicines. </w:t>
      </w:r>
    </w:p>
    <w:p w:rsidR="00A32942" w:rsidRPr="00A32942" w:rsidP="00C07A97" w14:paraId="60C851C0" w14:textId="77777777">
      <w:pPr>
        <w:pStyle w:val="ListBullet2"/>
      </w:pPr>
      <w:r w:rsidRPr="00A32942">
        <w:t>Two items for three different health insurance plan pathways, capturing the reason why a beneficiary disenrolled from their health insurance plans. </w:t>
      </w:r>
    </w:p>
    <w:p w:rsidR="00A32942" w:rsidRPr="00A32942" w:rsidP="00C07A97" w14:paraId="7FF50A7D" w14:textId="77777777">
      <w:pPr>
        <w:pStyle w:val="ListBullet2"/>
      </w:pPr>
      <w:r w:rsidRPr="00A32942">
        <w:t>One item capturing whether a plan is offered through a Health Insurance Marketplace.</w:t>
      </w:r>
    </w:p>
    <w:p w:rsidR="005B53E1" w:rsidP="00C07A97" w14:paraId="7A983074" w14:textId="77777777">
      <w:pPr>
        <w:pStyle w:val="ListBullet2"/>
      </w:pPr>
      <w:r w:rsidRPr="00A32942">
        <w:t xml:space="preserve">Two items capturing where beneficiaries enrolled in Tricare obtain medications. </w:t>
      </w:r>
    </w:p>
    <w:p w:rsidR="005B53E1" w:rsidRPr="00A32942" w:rsidP="00C07A97" w14:paraId="48B6A97F" w14:textId="09DF6CEC">
      <w:pPr>
        <w:pStyle w:val="ListBullet2"/>
      </w:pPr>
      <w:r w:rsidRPr="005B53E1">
        <w:t>One item capturing whether beneficiaries receive health care, health services, or</w:t>
      </w:r>
      <w:r w:rsidR="000631FB">
        <w:t xml:space="preserve"> </w:t>
      </w:r>
      <w:r w:rsidRPr="005B53E1">
        <w:t xml:space="preserve">prescribed medicines at a TRICARE Military Treatment Facility (MTF). </w:t>
      </w:r>
    </w:p>
    <w:p w:rsidR="00125D35" w:rsidRPr="00125D35" w:rsidP="00125D35" w14:paraId="65608873" w14:textId="6C1263BE">
      <w:pPr>
        <w:pStyle w:val="BodyText"/>
        <w:rPr>
          <w:b/>
          <w:bCs/>
        </w:rPr>
      </w:pPr>
      <w:r w:rsidRPr="00125D35">
        <w:rPr>
          <w:b/>
          <w:bCs/>
        </w:rPr>
        <w:t>Removing items that are no longer relevant in the Beneficiary Knowledge and Information Needs Questionnaire (KNQ)</w:t>
      </w:r>
      <w:r w:rsidRPr="00125D35">
        <w:t xml:space="preserve">. The KNQ is an important topical section in the Community questionnaire, which provides the CMS Office of Communications and other stakeholders with information about beneficiary knowledge of the Medicare program and beneficiary access to Medicare program resources and reference materials. Through a recent review of </w:t>
      </w:r>
      <w:r w:rsidRPr="00125D35">
        <w:t>the KNQ</w:t>
      </w:r>
      <w:r w:rsidRPr="00125D35">
        <w:t xml:space="preserve">, CMS identified several items that are </w:t>
      </w:r>
      <w:r w:rsidRPr="00417E97" w:rsidR="00417E97">
        <w:t xml:space="preserve">either redundant or </w:t>
      </w:r>
      <w:r w:rsidRPr="00125D35">
        <w:t xml:space="preserve">no longer relevant. Starting in Winter 2027, the following items will be removed from the Community questionnaire:  </w:t>
      </w:r>
    </w:p>
    <w:p w:rsidR="00125D35" w:rsidRPr="00125D35" w:rsidP="00C07A97" w14:paraId="435F9A3D" w14:textId="77777777">
      <w:pPr>
        <w:pStyle w:val="ListBullet2"/>
        <w:rPr>
          <w:b/>
          <w:bCs/>
        </w:rPr>
      </w:pPr>
      <w:r w:rsidRPr="00125D35">
        <w:t xml:space="preserve">Two redundant items related to interest in receiving information about the Medicare program and satisfaction with availability of information about the Medicare program. </w:t>
      </w:r>
    </w:p>
    <w:p w:rsidR="00125D35" w:rsidRPr="00125D35" w:rsidP="00C07A97" w14:paraId="45ACF6AB" w14:textId="098B63DA">
      <w:pPr>
        <w:pStyle w:val="ListBullet2"/>
        <w:rPr>
          <w:b/>
          <w:bCs/>
        </w:rPr>
      </w:pPr>
      <w:r>
        <w:rPr>
          <w:bCs/>
        </w:rPr>
        <w:t>One</w:t>
      </w:r>
      <w:r w:rsidR="00417E97">
        <w:rPr>
          <w:bCs/>
        </w:rPr>
        <w:t xml:space="preserve"> </w:t>
      </w:r>
      <w:r w:rsidRPr="00417E97" w:rsidR="00417E97">
        <w:rPr>
          <w:bCs/>
        </w:rPr>
        <w:t>redundant</w:t>
      </w:r>
      <w:r w:rsidRPr="00125D35">
        <w:rPr>
          <w:bCs/>
        </w:rPr>
        <w:t xml:space="preserve"> item related to use of the internet.</w:t>
      </w:r>
    </w:p>
    <w:p w:rsidR="00125D35" w:rsidRPr="00125D35" w:rsidP="00C07A97" w14:paraId="177FD62A" w14:textId="2FA5B5CE">
      <w:pPr>
        <w:pStyle w:val="ListBullet2"/>
        <w:rPr>
          <w:b/>
          <w:bCs/>
        </w:rPr>
      </w:pPr>
      <w:r w:rsidRPr="00125D35">
        <w:rPr>
          <w:bCs/>
        </w:rPr>
        <w:t xml:space="preserve">One item about the types of Medicare plans compared during the most recent Open Enrollment period. </w:t>
      </w:r>
      <w:r w:rsidRPr="00417E97" w:rsidR="00417E97">
        <w:rPr>
          <w:bCs/>
        </w:rPr>
        <w:t>Field interviewers regularly flagged this item as difficult to administer and frustrating to respondents</w:t>
      </w:r>
      <w:r w:rsidR="00417E97">
        <w:rPr>
          <w:bCs/>
        </w:rPr>
        <w:t>.</w:t>
      </w:r>
    </w:p>
    <w:p w:rsidR="00125D35" w:rsidRPr="00125D35" w:rsidP="00C07A97" w14:paraId="1E47CD25" w14:textId="77777777">
      <w:pPr>
        <w:pStyle w:val="ListBullet2"/>
        <w:rPr>
          <w:b/>
          <w:bCs/>
        </w:rPr>
      </w:pPr>
      <w:r w:rsidRPr="00125D35">
        <w:rPr>
          <w:bCs/>
        </w:rPr>
        <w:t xml:space="preserve">Five items about beneficiary knowledge of provisions from the Inflation Reduction Act (IRA) of 2022. </w:t>
      </w:r>
    </w:p>
    <w:p w:rsidR="00125D35" w:rsidRPr="00125D35" w:rsidP="00125D35" w14:paraId="4395CDA5" w14:textId="55BF0CBC">
      <w:pPr>
        <w:pStyle w:val="BodyText"/>
        <w:rPr>
          <w:b/>
          <w:bCs/>
        </w:rPr>
      </w:pPr>
      <w:r w:rsidRPr="00125D35">
        <w:rPr>
          <w:bCs/>
        </w:rPr>
        <w:t xml:space="preserve">Other important items related to Medicare program knowledge, access to and use of the internet for obtaining health information, </w:t>
      </w:r>
      <w:r w:rsidRPr="005D00F4" w:rsidR="005D00F4">
        <w:rPr>
          <w:bCs/>
        </w:rPr>
        <w:t xml:space="preserve">experiences with open enrollment </w:t>
      </w:r>
      <w:r w:rsidRPr="00125D35">
        <w:rPr>
          <w:bCs/>
        </w:rPr>
        <w:t xml:space="preserve">and cost transparency will be retained for use by CMS and key stakeholders. </w:t>
      </w:r>
    </w:p>
    <w:p w:rsidR="00125D35" w:rsidRPr="00125D35" w:rsidP="00125D35" w14:paraId="64FF1E89" w14:textId="2245BF65">
      <w:pPr>
        <w:pStyle w:val="BodyText"/>
        <w:rPr>
          <w:b/>
          <w:bCs/>
        </w:rPr>
      </w:pPr>
      <w:r w:rsidRPr="00125D35">
        <w:rPr>
          <w:b/>
          <w:bCs/>
        </w:rPr>
        <w:t xml:space="preserve">Removing items with low analytic utility from the Usual Source of Care Questionnaire (USQ). </w:t>
      </w:r>
      <w:r w:rsidRPr="00125D35">
        <w:t xml:space="preserve">The Usual Source of Care Questionnaire (USQ) is administered annually in the Winter round and collects information on whether the beneficiary has a provider or clinic they usually go to when sick or in search of health advice. Respondents without a usual provider or clinic receive a short series of follow-up questions to determine reasons for not having a usual source of care. Respondents who report having a usual source of care receive follow-up questions related to travel time and distance from their usual provider, whether they are accompanied to appointments and if so by whom, experiences with care from their usual provider, visits to specialists and hospitalizations, care coordination, and availability of test results. CMS reviewed the USQ and identified a total of </w:t>
      </w:r>
      <w:r w:rsidR="00E44B0B">
        <w:t>72</w:t>
      </w:r>
      <w:r w:rsidRPr="00125D35">
        <w:t xml:space="preserve"> items that could be removed starting in Winter 2027 Round 107, due to low item utility. These include the removal of: </w:t>
      </w:r>
    </w:p>
    <w:p w:rsidR="00125D35" w:rsidRPr="00125D35" w:rsidP="00C07A97" w14:paraId="2A4367AE" w14:textId="4473138B">
      <w:pPr>
        <w:pStyle w:val="ListBullet2"/>
        <w:rPr>
          <w:b/>
          <w:bCs/>
        </w:rPr>
      </w:pPr>
      <w:r>
        <w:t>Six</w:t>
      </w:r>
      <w:r w:rsidRPr="00125D35">
        <w:t xml:space="preserve"> items related to details about the usual source of care, including provider name and sex, which are no longer needed for operational purposes. </w:t>
      </w:r>
    </w:p>
    <w:p w:rsidR="00125D35" w:rsidRPr="00E44B0B" w:rsidP="00C07A97" w14:paraId="76ED45FD" w14:textId="17DE55EE">
      <w:pPr>
        <w:pStyle w:val="ListBullet2"/>
        <w:rPr>
          <w:b/>
          <w:bCs/>
        </w:rPr>
      </w:pPr>
      <w:r>
        <w:t>Five</w:t>
      </w:r>
      <w:r w:rsidRPr="00125D35">
        <w:t xml:space="preserve"> items related to health care experiences and health care communication of beneficiaries with limited English proficiency due to </w:t>
      </w:r>
      <w:r w:rsidRPr="000631FB" w:rsidR="000631FB">
        <w:t xml:space="preserve">limited affirmative response and concerns about </w:t>
      </w:r>
      <w:r w:rsidRPr="00125D35">
        <w:t xml:space="preserve">low analytic utility. </w:t>
      </w:r>
    </w:p>
    <w:p w:rsidR="00E44B0B" w:rsidRPr="00125D35" w:rsidP="00C07A97" w14:paraId="4A4607DE" w14:textId="0256CAB8">
      <w:pPr>
        <w:pStyle w:val="ListBullet2"/>
        <w:rPr>
          <w:b/>
          <w:bCs/>
        </w:rPr>
      </w:pPr>
      <w:r>
        <w:t xml:space="preserve">Two items about transportation methods to the beneficiary’s usual source of </w:t>
      </w:r>
      <w:r w:rsidRPr="000631FB" w:rsidR="000631FB">
        <w:t>care due to limited response variation and concerns about low analytic utility</w:t>
      </w:r>
      <w:r>
        <w:t xml:space="preserve">. </w:t>
      </w:r>
    </w:p>
    <w:p w:rsidR="00125D35" w:rsidRPr="001C1985" w:rsidP="00C07A97" w14:paraId="07A2FB91" w14:textId="1DF6B6E3">
      <w:pPr>
        <w:pStyle w:val="ListBullet2"/>
        <w:rPr>
          <w:b/>
          <w:bCs/>
          <w:spacing w:val="-4"/>
        </w:rPr>
      </w:pPr>
      <w:r w:rsidRPr="00125D35">
        <w:t xml:space="preserve">Five items that collect detailed information about companions accompanying </w:t>
      </w:r>
      <w:r w:rsidRPr="001C1985">
        <w:rPr>
          <w:spacing w:val="-4"/>
        </w:rPr>
        <w:t>the beneficiary to health care appointments. Detailed information including first and last name and relationship to the beneficiary were removed and replaced with a categorical item.</w:t>
      </w:r>
    </w:p>
    <w:p w:rsidR="00125D35" w:rsidRPr="00E44B0B" w:rsidP="00C07A97" w14:paraId="12999882" w14:textId="18896C4C">
      <w:pPr>
        <w:pStyle w:val="ListBullet2"/>
        <w:rPr>
          <w:b/>
          <w:bCs/>
        </w:rPr>
      </w:pPr>
      <w:r>
        <w:t>Fifty-four</w:t>
      </w:r>
      <w:r w:rsidRPr="00125D35">
        <w:t xml:space="preserve"> items related to experiences with care, specialists, hospitalization, availability of test results</w:t>
      </w:r>
      <w:r>
        <w:t>, and electronic health records</w:t>
      </w:r>
      <w:r w:rsidRPr="00125D35">
        <w:t xml:space="preserve">. </w:t>
      </w:r>
      <w:r w:rsidRPr="005D00F4" w:rsidR="005D00F4">
        <w:t>Field interviewers regularly flagged these items as being difficult to administer and frustrating to respondents who found them repetitive and often asked the questions to be read multiple times</w:t>
      </w:r>
      <w:r w:rsidRPr="00125D35">
        <w:t>.</w:t>
      </w:r>
    </w:p>
    <w:p w:rsidR="00E44B0B" w:rsidRPr="00E44B0B" w:rsidP="00E44B0B" w14:paraId="6C183AE6" w14:textId="59350982">
      <w:pPr>
        <w:pStyle w:val="BodyText"/>
      </w:pPr>
      <w:r w:rsidRPr="00E44B0B">
        <w:t>In addition, response options for two items were revised to collect less detailed information about provide</w:t>
      </w:r>
      <w:r w:rsidR="00E97681">
        <w:t>r</w:t>
      </w:r>
      <w:r w:rsidRPr="00E44B0B">
        <w:t xml:space="preserve"> specialty and accompaniment to appointments and text fills for 14 items were revised to refer to the beneficiary’s usual source of care more generally as opposed to by name.</w:t>
      </w:r>
    </w:p>
    <w:p w:rsidR="00125D35" w:rsidRPr="00125D35" w:rsidP="00125D35" w14:paraId="27821647" w14:textId="6B0C6092">
      <w:pPr>
        <w:pStyle w:val="BodyText"/>
        <w:rPr>
          <w:b/>
          <w:bCs/>
        </w:rPr>
      </w:pPr>
      <w:r w:rsidRPr="00125D35">
        <w:rPr>
          <w:b/>
          <w:bCs/>
        </w:rPr>
        <w:t xml:space="preserve">Removing the Physical Measures Questionnaire (PXQ). </w:t>
      </w:r>
      <w:r w:rsidRPr="00125D35">
        <w:t xml:space="preserve">In early 2022, CMS began the collection of four physical measures to assess physical functioning and frailty, including gait speed, balance test, chair stand, and grip strength. Due to in-person interviewing restrictions because of the COVID-19 pandemic, collection of these physical measures was limited. </w:t>
      </w:r>
      <w:r w:rsidRPr="00405995" w:rsidR="00405995">
        <w:t>Now that the majority of MCBS interviews are conducted via phone, there is limited opportunity to continue physical measures collection. Further, for the small number of cases completed in-person, these measures pose a high level of respondent burden.</w:t>
      </w:r>
      <w:r w:rsidRPr="00125D35">
        <w:t xml:space="preserve"> CMS plans to remove this section from the Community questionnaire permanently as of Summer 2027 Round 108. </w:t>
      </w:r>
    </w:p>
    <w:p w:rsidR="00125D35" w:rsidRPr="00125D35" w:rsidP="00125D35" w14:paraId="449D58CA" w14:textId="0CADC13C">
      <w:pPr>
        <w:pStyle w:val="BodyText"/>
      </w:pPr>
      <w:r>
        <w:t xml:space="preserve">CMS has also included two changes in this revision request that </w:t>
      </w:r>
      <w:r w:rsidRPr="00125D35">
        <w:t xml:space="preserve">will </w:t>
      </w:r>
      <w:r w:rsidRPr="00125D35">
        <w:rPr>
          <w:b/>
          <w:bCs/>
        </w:rPr>
        <w:t>improve operational efficiency</w:t>
      </w:r>
      <w:r w:rsidRPr="00125D35">
        <w:t xml:space="preserve">: </w:t>
      </w:r>
    </w:p>
    <w:p w:rsidR="00125D35" w:rsidRPr="00125D35" w:rsidP="00C07A97" w14:paraId="636423A8" w14:textId="54E1AD62">
      <w:pPr>
        <w:pStyle w:val="ListBullet2"/>
      </w:pPr>
      <w:r w:rsidRPr="00125D35">
        <w:rPr>
          <w:b/>
          <w:bCs/>
        </w:rPr>
        <w:t xml:space="preserve">Consolidating and streamlining immunization items in the Immunization Questionnaire (IMQ). </w:t>
      </w:r>
      <w:r w:rsidRPr="00125D35">
        <w:t xml:space="preserve">In Winter 2025, CMS introduced the IMQ to standardize the collection of most vaccine data in the MCBS Community questionnaire. In Winter 2027, the migration of remaining immunization items into IMQ will be complete such that vaccine collection is consolidated into a single MCBS survey section. Further, some </w:t>
      </w:r>
      <w:r w:rsidRPr="00125D35">
        <w:t>vaccine details will be removed as they are no longer relevant. The changes are described below.</w:t>
      </w:r>
    </w:p>
    <w:p w:rsidR="00125D35" w:rsidRPr="00125D35" w:rsidP="00C07A97" w14:paraId="13B8E1EA" w14:textId="3739674A">
      <w:pPr>
        <w:pStyle w:val="ListBullet3"/>
      </w:pPr>
      <w:r w:rsidRPr="007C21B0">
        <w:rPr>
          <w:b/>
          <w:bCs/>
          <w:i/>
          <w:iCs/>
        </w:rPr>
        <w:t>Migrate the existing flu and COVID-19 vaccination items from the Preventive Care Questionnaire (PVQ) and COVID-19 Questionnaire (CVQ), respectively, into the IMQ.</w:t>
      </w:r>
      <w:r w:rsidRPr="00125D35">
        <w:t xml:space="preserve"> To consolidate the collection of vaccination data, all relevant items found in PVQ and CVQ will be </w:t>
      </w:r>
      <w:r w:rsidR="00925F2F">
        <w:t xml:space="preserve">placed </w:t>
      </w:r>
      <w:r w:rsidRPr="00125D35">
        <w:t xml:space="preserve">in one section, IMQ. This section will be administered in the Winter round (and for some measures, in the </w:t>
      </w:r>
      <w:r w:rsidRPr="00125D35">
        <w:t>Summer</w:t>
      </w:r>
      <w:r w:rsidRPr="00125D35">
        <w:t xml:space="preserve"> round, only to Winter non-respondents). </w:t>
      </w:r>
    </w:p>
    <w:p w:rsidR="00125D35" w:rsidRPr="00125D35" w:rsidP="00C07A97" w14:paraId="36BF877B" w14:textId="70C57B9D">
      <w:pPr>
        <w:pStyle w:val="ListBullet3"/>
        <w:rPr>
          <w:b/>
          <w:bCs/>
        </w:rPr>
      </w:pPr>
      <w:r w:rsidRPr="00125D35">
        <w:rPr>
          <w:b/>
          <w:bCs/>
          <w:i/>
          <w:iCs/>
        </w:rPr>
        <w:t>Remove vaccination site follow up questions.</w:t>
      </w:r>
      <w:r w:rsidRPr="00125D35">
        <w:rPr>
          <w:b/>
          <w:bCs/>
        </w:rPr>
        <w:t xml:space="preserve"> </w:t>
      </w:r>
      <w:r w:rsidR="005D00F4">
        <w:t>Beneficiaries were asked where they received their vaccination (pharmacy, doctor’s office, etc.).</w:t>
      </w:r>
      <w:r w:rsidRPr="00125D35">
        <w:t xml:space="preserve"> This information is no longer </w:t>
      </w:r>
      <w:r w:rsidR="005D00F4">
        <w:t>needed</w:t>
      </w:r>
      <w:r w:rsidRPr="00125D35" w:rsidR="005D00F4">
        <w:t xml:space="preserve"> </w:t>
      </w:r>
      <w:r w:rsidRPr="00125D35">
        <w:t xml:space="preserve">and these items will be removed from the MCBS beginning in Winter 2027. </w:t>
      </w:r>
    </w:p>
    <w:p w:rsidR="00125D35" w:rsidRPr="00125D35" w:rsidP="007C21B0" w14:paraId="6CBD395F" w14:textId="4EFD5630">
      <w:pPr>
        <w:pStyle w:val="ListBullet2"/>
        <w:rPr>
          <w:b/>
          <w:bCs/>
        </w:rPr>
      </w:pPr>
      <w:r w:rsidRPr="00125D35">
        <w:rPr>
          <w:b/>
          <w:bCs/>
        </w:rPr>
        <w:t xml:space="preserve">Consolidating and streamlining immunization items in the Health Status (HS) section of the Facility Instrument. </w:t>
      </w:r>
      <w:r w:rsidRPr="00125D35">
        <w:t>CMS will remove the COVID-19 Beneficiary (CV) section in Winter 2027. One item on COVID-19 vaccination will be retained and migrated to the HS section to be administered alongside existing items about flu and pneumonia vaccination. To promote further efficiency, this remaining item will be revised to align with the Long-Term Care Minimum Data Set’s (MDS) item on COVID-19 vaccination status</w:t>
      </w:r>
      <w:r>
        <w:rPr>
          <w:vertAlign w:val="superscript"/>
        </w:rPr>
        <w:footnoteReference w:id="15"/>
      </w:r>
      <w:r w:rsidRPr="00125D35">
        <w:t xml:space="preserve">. This revised item will only be administered to approximately 50% of Facility cases where the beneficiary is residing a non-CMS-certified facility. For the remaining approximately 50% of cases where the beneficiary is residing in a CMS-certified facility, and for which a valid CMS Certification Number (CCN) is reported, this item will be skipped </w:t>
      </w:r>
      <w:r w:rsidRPr="00125D35">
        <w:t>altogether along</w:t>
      </w:r>
      <w:r w:rsidRPr="00125D35">
        <w:t xml:space="preserve"> with other eligible items in the HS section.  </w:t>
      </w:r>
    </w:p>
    <w:p w:rsidR="0088452B" w:rsidRPr="00946F0A" w:rsidP="00224949" w14:paraId="5510938C" w14:textId="2E8D0945">
      <w:pPr>
        <w:pStyle w:val="Heading5"/>
        <w:rPr>
          <w:sz w:val="24"/>
          <w:szCs w:val="24"/>
        </w:rPr>
      </w:pPr>
      <w:r w:rsidRPr="00946F0A">
        <w:rPr>
          <w:sz w:val="24"/>
          <w:szCs w:val="24"/>
        </w:rPr>
        <w:t xml:space="preserve">Rounds </w:t>
      </w:r>
      <w:r w:rsidR="00681CB0">
        <w:rPr>
          <w:sz w:val="24"/>
          <w:szCs w:val="24"/>
        </w:rPr>
        <w:t>106 through 114</w:t>
      </w:r>
      <w:r w:rsidRPr="00946F0A" w:rsidR="00105272">
        <w:rPr>
          <w:sz w:val="24"/>
          <w:szCs w:val="24"/>
        </w:rPr>
        <w:t xml:space="preserve"> </w:t>
      </w:r>
      <w:r w:rsidRPr="00946F0A" w:rsidR="00974F57">
        <w:rPr>
          <w:sz w:val="24"/>
          <w:szCs w:val="24"/>
        </w:rPr>
        <w:t>Data C</w:t>
      </w:r>
      <w:r w:rsidRPr="00946F0A">
        <w:rPr>
          <w:sz w:val="24"/>
          <w:szCs w:val="24"/>
        </w:rPr>
        <w:t xml:space="preserve">ollection </w:t>
      </w:r>
      <w:r w:rsidRPr="00946F0A" w:rsidR="00974F57">
        <w:rPr>
          <w:sz w:val="24"/>
          <w:szCs w:val="24"/>
        </w:rPr>
        <w:t>P</w:t>
      </w:r>
      <w:r w:rsidRPr="00946F0A">
        <w:rPr>
          <w:sz w:val="24"/>
          <w:szCs w:val="24"/>
        </w:rPr>
        <w:t>rocedures</w:t>
      </w:r>
    </w:p>
    <w:p w:rsidR="00E752DB" w:rsidRPr="007F2779" w:rsidP="00946F0A" w14:paraId="679D240B" w14:textId="4633D955">
      <w:pPr>
        <w:pStyle w:val="BodyText"/>
      </w:pPr>
      <w:r w:rsidRPr="007F2779">
        <w:t xml:space="preserve">MCBS is conducted primarily by telephone with supplemental in-person outreach and the use of video calls. Below we describe the data collection outreach process and related materials (found in Attachment 1). Outreach strategies and materials vary based on sample type: Incoming Panel sample requires more dedicated outreach to introduce beneficiaries to the survey and gain initial cooperation. </w:t>
      </w:r>
      <w:r w:rsidR="00586D22">
        <w:t xml:space="preserve">Outreach </w:t>
      </w:r>
      <w:r w:rsidR="008B16EF">
        <w:t>for</w:t>
      </w:r>
      <w:r w:rsidR="00586D22">
        <w:t xml:space="preserve"> s</w:t>
      </w:r>
      <w:r w:rsidRPr="007F2779">
        <w:t>ubsequent Continuing interviews serve</w:t>
      </w:r>
      <w:r w:rsidR="008B16EF">
        <w:t>s</w:t>
      </w:r>
      <w:r w:rsidRPr="007F2779">
        <w:t xml:space="preserve"> to remind beneficiaries of the importance of continued participation.</w:t>
      </w:r>
    </w:p>
    <w:p w:rsidR="00827B31" w:rsidRPr="00827B31" w:rsidP="00827B31" w14:paraId="78183A57" w14:textId="7517EBA5">
      <w:pPr>
        <w:pStyle w:val="BodyText"/>
      </w:pPr>
      <w:r w:rsidRPr="006513F9">
        <w:rPr>
          <w:b/>
          <w:bCs/>
          <w:i/>
          <w:iCs/>
        </w:rPr>
        <w:t xml:space="preserve">Outreach </w:t>
      </w:r>
      <w:r w:rsidRPr="006513F9" w:rsidR="007F2779">
        <w:rPr>
          <w:b/>
          <w:bCs/>
          <w:i/>
          <w:iCs/>
        </w:rPr>
        <w:t>to</w:t>
      </w:r>
      <w:r w:rsidRPr="006513F9">
        <w:rPr>
          <w:b/>
          <w:bCs/>
          <w:i/>
          <w:iCs/>
        </w:rPr>
        <w:t xml:space="preserve"> Incoming Panel sample </w:t>
      </w:r>
      <w:r w:rsidRPr="006513F9">
        <w:rPr>
          <w:b/>
          <w:bCs/>
          <w:i/>
          <w:iCs/>
        </w:rPr>
        <w:t>persons</w:t>
      </w:r>
      <w:r w:rsidRPr="006513F9">
        <w:rPr>
          <w:b/>
          <w:bCs/>
          <w:i/>
          <w:iCs/>
        </w:rPr>
        <w:t xml:space="preserve"> in the community.</w:t>
      </w:r>
      <w:r w:rsidRPr="007F2779">
        <w:t xml:space="preserve"> In the Fall rounds (Round 106, 109, 112), all newly selected beneficiaries will be mailed a </w:t>
      </w:r>
      <w:r w:rsidRPr="00946F0A">
        <w:rPr>
          <w:b/>
          <w:bCs/>
        </w:rPr>
        <w:t>Community Advance Letter</w:t>
      </w:r>
      <w:r w:rsidRPr="007F2779">
        <w:t xml:space="preserve"> from the Centers for Medicare and Medicaid Services. This letter serves to provide notification to the beneficiary that an interviewer will contact them to request an interview. </w:t>
      </w:r>
      <w:r w:rsidR="00426D8A">
        <w:t xml:space="preserve">It also includes a copy of the </w:t>
      </w:r>
      <w:r w:rsidRPr="00946F0A" w:rsidR="00426D8A">
        <w:rPr>
          <w:b/>
          <w:bCs/>
        </w:rPr>
        <w:t>MCBS Community Brochure</w:t>
      </w:r>
      <w:r w:rsidR="00426D8A">
        <w:t xml:space="preserve">. </w:t>
      </w:r>
      <w:r>
        <w:t xml:space="preserve">The letter is </w:t>
      </w:r>
      <w:r w:rsidR="00426D8A">
        <w:t>printed</w:t>
      </w:r>
      <w:r>
        <w:t xml:space="preserve"> in both English and Spanish to all </w:t>
      </w:r>
      <w:r>
        <w:t>beneficiaries</w:t>
      </w:r>
      <w:r>
        <w:t xml:space="preserve"> and a </w:t>
      </w:r>
      <w:r w:rsidR="00426D8A">
        <w:t>L</w:t>
      </w:r>
      <w:r>
        <w:t xml:space="preserve">anguage </w:t>
      </w:r>
      <w:r w:rsidR="00426D8A">
        <w:t>I</w:t>
      </w:r>
      <w:r>
        <w:t>nsert is</w:t>
      </w:r>
      <w:r w:rsidRPr="00827B31">
        <w:t xml:space="preserve"> included </w:t>
      </w:r>
      <w:r w:rsidR="00426D8A">
        <w:t>t</w:t>
      </w:r>
      <w:r w:rsidRPr="00827B31">
        <w:t xml:space="preserve">o provide an explanation of the survey for respondents who do not speak English or Spanish. </w:t>
      </w:r>
      <w:r w:rsidRPr="00426D8A" w:rsidR="00426D8A">
        <w:t>Following this letter, outreach is made by telephone to locate the beneficiary and begin the interview.</w:t>
      </w:r>
    </w:p>
    <w:p w:rsidR="00E752DB" w:rsidRPr="007F2779" w:rsidP="00946F0A" w14:paraId="0477353F" w14:textId="4BC26D2F">
      <w:pPr>
        <w:pStyle w:val="BodyText"/>
      </w:pPr>
      <w:r w:rsidRPr="00946F0A">
        <w:rPr>
          <w:b/>
          <w:bCs/>
        </w:rPr>
        <w:t>Refusal and Reminder Letters</w:t>
      </w:r>
      <w:r w:rsidRPr="007F2779">
        <w:t xml:space="preserve"> are sent as needed based on case disposition and call history. These materials may also contain the </w:t>
      </w:r>
      <w:r w:rsidRPr="00426D8A">
        <w:t xml:space="preserve">MCBS Community Brochure </w:t>
      </w:r>
      <w:r w:rsidRPr="007F2779">
        <w:t xml:space="preserve">and answers to frequently asked questions. </w:t>
      </w:r>
      <w:r w:rsidRPr="00946F0A">
        <w:rPr>
          <w:b/>
          <w:bCs/>
        </w:rPr>
        <w:t>Thank You Letters</w:t>
      </w:r>
      <w:r w:rsidRPr="007F2779">
        <w:t xml:space="preserve"> acknowledging participation provide additional ways to build rapport and gain cooperation with beneficiaries and further improve response rates.</w:t>
      </w:r>
      <w:r w:rsidR="00BA2FEB">
        <w:t xml:space="preserve"> Finally, </w:t>
      </w:r>
      <w:r w:rsidR="00BA2FEB">
        <w:t xml:space="preserve">an </w:t>
      </w:r>
      <w:r w:rsidRPr="00946F0A" w:rsidR="00BA2FEB">
        <w:rPr>
          <w:b/>
          <w:bCs/>
        </w:rPr>
        <w:t>MCBS Calendar</w:t>
      </w:r>
      <w:r w:rsidR="00BA2FEB">
        <w:t xml:space="preserve"> is available to respondents who would like to use it to track health care events and purchases. The calendar may be provided during an in-person interview or by mail.</w:t>
      </w:r>
    </w:p>
    <w:p w:rsidR="006A0B83" w:rsidP="00946F0A" w14:paraId="125DDD66" w14:textId="34773BFE">
      <w:pPr>
        <w:pStyle w:val="BodyText"/>
      </w:pPr>
      <w:r>
        <w:t>F</w:t>
      </w:r>
      <w:r w:rsidRPr="00D94F41" w:rsidR="00974F57">
        <w:t xml:space="preserve">ield </w:t>
      </w:r>
      <w:r w:rsidRPr="00D94F41" w:rsidR="004112E2">
        <w:t>interviewers</w:t>
      </w:r>
      <w:bookmarkStart w:id="25" w:name="B3._Methods_for_Maximizing_Response_Rate"/>
      <w:bookmarkEnd w:id="25"/>
      <w:r w:rsidRPr="00D94F41" w:rsidR="00974F57">
        <w:t xml:space="preserve"> </w:t>
      </w:r>
      <w:r>
        <w:t xml:space="preserve">also receive printed </w:t>
      </w:r>
      <w:r w:rsidRPr="00D94F41" w:rsidR="004112E2">
        <w:t xml:space="preserve">copies of </w:t>
      </w:r>
      <w:r w:rsidR="007F2779">
        <w:t xml:space="preserve">the </w:t>
      </w:r>
      <w:r>
        <w:t xml:space="preserve">respondent </w:t>
      </w:r>
      <w:r w:rsidRPr="00D94F41" w:rsidR="007B4872">
        <w:t xml:space="preserve">materials </w:t>
      </w:r>
      <w:r w:rsidR="007F2779">
        <w:t xml:space="preserve">described above </w:t>
      </w:r>
      <w:r>
        <w:t>which can be shown or mailed to</w:t>
      </w:r>
      <w:r w:rsidRPr="00D94F41" w:rsidR="004112E2">
        <w:t xml:space="preserve"> respondents who do not recall receiving </w:t>
      </w:r>
      <w:r w:rsidRPr="00D94F41" w:rsidR="007B4872">
        <w:t xml:space="preserve">them </w:t>
      </w:r>
      <w:r w:rsidRPr="00D94F41" w:rsidR="004112E2">
        <w:t>in the mail</w:t>
      </w:r>
      <w:r>
        <w:t xml:space="preserve">. </w:t>
      </w:r>
      <w:r w:rsidR="007864F6">
        <w:t xml:space="preserve">For limited </w:t>
      </w:r>
      <w:r>
        <w:t>in-person outreach,</w:t>
      </w:r>
      <w:r w:rsidR="007864F6">
        <w:t xml:space="preserve"> interviewers also have a</w:t>
      </w:r>
      <w:r w:rsidR="007F33D4">
        <w:t xml:space="preserve"> </w:t>
      </w:r>
      <w:r w:rsidRPr="007F33D4" w:rsidR="007F33D4">
        <w:rPr>
          <w:b/>
          <w:bCs/>
        </w:rPr>
        <w:t xml:space="preserve">Frequently Asked Questions document </w:t>
      </w:r>
      <w:r w:rsidRPr="007F33D4" w:rsidR="007F2779">
        <w:t>which contains answers to frequently</w:t>
      </w:r>
      <w:r w:rsidR="007F2779">
        <w:t xml:space="preserve"> asked questions and can be read to or by the respondent.</w:t>
      </w:r>
      <w:r w:rsidRPr="00D94F41" w:rsidR="00C00B83">
        <w:t xml:space="preserve"> </w:t>
      </w:r>
    </w:p>
    <w:p w:rsidR="007F2779" w:rsidRPr="007F2779" w:rsidP="007F2779" w14:paraId="1AEFBFB7" w14:textId="3ABBCEFF">
      <w:pPr>
        <w:pStyle w:val="BodyText"/>
      </w:pPr>
      <w:r w:rsidRPr="007F2779">
        <w:t>Regardless of mode of administration, Community interviews (Rounds 106-11</w:t>
      </w:r>
      <w:r w:rsidR="00845A99">
        <w:t>4</w:t>
      </w:r>
      <w:r w:rsidRPr="007F2779">
        <w:t>) will be administered to the respondent or a designated proxy using a CAI program on a laptop computer. Attachment 2 includes a copy of all questionnaire sections administered in the Baseline interview, the Continuing interview, and the Showcards used by the interviewer to assist in the interviewing process</w:t>
      </w:r>
      <w:r>
        <w:rPr>
          <w:rStyle w:val="FootnoteReference"/>
        </w:rPr>
        <w:footnoteReference w:id="16"/>
      </w:r>
      <w:r w:rsidRPr="007F2779">
        <w:t>.</w:t>
      </w:r>
      <w:r>
        <w:t xml:space="preserve"> </w:t>
      </w:r>
    </w:p>
    <w:p w:rsidR="007F2779" w:rsidP="00946F0A" w14:paraId="5C652C8E" w14:textId="08FB17F6">
      <w:pPr>
        <w:pStyle w:val="BodyText"/>
      </w:pPr>
      <w:r w:rsidRPr="006513F9">
        <w:rPr>
          <w:b/>
          <w:bCs/>
          <w:i/>
          <w:iCs/>
        </w:rPr>
        <w:t xml:space="preserve">Interviews with sample </w:t>
      </w:r>
      <w:r w:rsidRPr="006513F9">
        <w:rPr>
          <w:b/>
          <w:bCs/>
          <w:i/>
          <w:iCs/>
        </w:rPr>
        <w:t>persons</w:t>
      </w:r>
      <w:r w:rsidRPr="006513F9">
        <w:rPr>
          <w:b/>
          <w:bCs/>
          <w:i/>
          <w:iCs/>
        </w:rPr>
        <w:t xml:space="preserve"> in institutions. </w:t>
      </w:r>
      <w:r>
        <w:t>For all facility residents, the Facility Eligibility Screener is administered each time a respondent is found to have entered a facility, or in the case of Baseline respondents, is currently in a facility (Attachment 3). The Facility instrument to be used in Rounds 106-11</w:t>
      </w:r>
      <w:r w:rsidR="00845A99">
        <w:t>4</w:t>
      </w:r>
      <w:r>
        <w:t xml:space="preserve"> is shown in Attachment 4.</w:t>
      </w:r>
    </w:p>
    <w:p w:rsidR="007F2779" w:rsidP="00946F0A" w14:paraId="306B1F13" w14:textId="4156B3CE">
      <w:pPr>
        <w:pStyle w:val="BodyText"/>
      </w:pPr>
      <w:r>
        <w:t>An advance letter is sent to all facilities prior to an interview</w:t>
      </w:r>
      <w:r w:rsidR="00FF2466">
        <w:t>er</w:t>
      </w:r>
      <w:r>
        <w:t xml:space="preserve"> contacting the facility for an interview (Attachment 5). CMS has also developed additional materials to gain cooperation including providing information on how to prepare for the interview, introducing the study to staff at third-party billing offices who may provide additional survey responses, and thanking the facility staff for participation.</w:t>
      </w:r>
    </w:p>
    <w:p w:rsidR="007F2779" w:rsidP="00946F0A" w14:paraId="1893ED6D" w14:textId="77777777">
      <w:pPr>
        <w:pStyle w:val="BodyText"/>
      </w:pPr>
      <w:r>
        <w:t>Some facility administrators will require consent of the sample person or a next of kin before releasing any information. The data collection contractor will offer to obtain such written consent, using the Resident Consent Form, and Next of Kin Consent Form. These forms as well as a HIPAA letter are included in Attachment 5.</w:t>
      </w:r>
    </w:p>
    <w:p w:rsidR="0088452B" w:rsidRPr="00D94F41" w:rsidP="007C21B0" w14:paraId="36FB54A4" w14:textId="77777777">
      <w:pPr>
        <w:pStyle w:val="Heading4"/>
        <w:ind w:left="360" w:hanging="360"/>
      </w:pPr>
      <w:r w:rsidRPr="00D94F41">
        <w:t>Proxy rules.</w:t>
      </w:r>
    </w:p>
    <w:p w:rsidR="00D7763B" w:rsidRPr="00D94F41" w:rsidP="007C21B0" w14:paraId="18A8E652" w14:textId="11E64251">
      <w:pPr>
        <w:pStyle w:val="ListContinue"/>
      </w:pPr>
      <w:r w:rsidRPr="00D94F41">
        <w:t>For Community respondents, the preferred mode is self-response. Respondents are asked to designate proxy respondents. These are individuals who are knowledgeable about the respondent’s health care. In the MCBS, only those individuals who are designated by the respondents can serve as proxy respondents.</w:t>
      </w:r>
      <w:r w:rsidRPr="00D94F41">
        <w:t xml:space="preserve"> In addition, a proxy </w:t>
      </w:r>
      <w:r w:rsidRPr="00D94F41" w:rsidR="009D00DA">
        <w:t>is</w:t>
      </w:r>
      <w:r w:rsidRPr="00D94F41">
        <w:t xml:space="preserve"> utilized if a beneficiary had been reported as deceased during the current round’s reference period or if a beneficiary who was residing in the community in the previous round had since </w:t>
      </w:r>
      <w:r w:rsidRPr="00D94F41">
        <w:t>entered into</w:t>
      </w:r>
      <w:r w:rsidRPr="00D94F41">
        <w:t xml:space="preserve"> a long-term care facility. Proxy interviews are only used for the Community interview, as the Facility interview is conducted with a staff member located at the facility.</w:t>
      </w:r>
    </w:p>
    <w:p w:rsidR="0088452B" w:rsidRPr="00D94F41" w:rsidP="007C21B0" w14:paraId="676DC7DF" w14:textId="6044BECE">
      <w:pPr>
        <w:pStyle w:val="ListContinue"/>
      </w:pPr>
      <w:r w:rsidRPr="00D94F41">
        <w:t xml:space="preserve">Upon screening a facility where a </w:t>
      </w:r>
      <w:r w:rsidRPr="00D94F41" w:rsidR="00887C90">
        <w:t>sampled beneficiary is determined to be living</w:t>
      </w:r>
      <w:r w:rsidRPr="00D94F41">
        <w:t xml:space="preserve">, the interviewers </w:t>
      </w:r>
      <w:r w:rsidR="00845A99">
        <w:t>identify</w:t>
      </w:r>
      <w:r w:rsidRPr="00D94F41">
        <w:t xml:space="preserve"> the appropriate staff at the facility best able to respond. MCBS interviewers do not interview residents in a facility. Instead, interviewers are trained to determine and seek out the appropriate staff for </w:t>
      </w:r>
      <w:r w:rsidRPr="00D94F41" w:rsidR="005C37C0">
        <w:t xml:space="preserve">the interview. </w:t>
      </w:r>
      <w:r w:rsidRPr="00D94F41">
        <w:t xml:space="preserve">If a respondent is incarcerated, we do not seek </w:t>
      </w:r>
      <w:r w:rsidRPr="00D94F41" w:rsidR="00697525">
        <w:t>response.</w:t>
      </w:r>
    </w:p>
    <w:p w:rsidR="0088452B" w:rsidRPr="00D94F41" w:rsidP="00CF2B93" w14:paraId="180A3800" w14:textId="4B48BFDB">
      <w:pPr>
        <w:pStyle w:val="Heading3"/>
        <w:tabs>
          <w:tab w:val="left" w:pos="540"/>
        </w:tabs>
      </w:pPr>
      <w:bookmarkStart w:id="26" w:name="_Toc91154937"/>
      <w:bookmarkStart w:id="27" w:name="_Toc210636326"/>
      <w:r w:rsidRPr="00D94F41">
        <w:t>B3.</w:t>
      </w:r>
      <w:r w:rsidRPr="00D94F41" w:rsidR="00BB2D9F">
        <w:tab/>
      </w:r>
      <w:r w:rsidRPr="00D94F41">
        <w:t>Methods for Maximizing Response Rates and Dealing with Issues of Non-Response</w:t>
      </w:r>
      <w:bookmarkEnd w:id="26"/>
      <w:bookmarkEnd w:id="27"/>
    </w:p>
    <w:p w:rsidR="00CA0928" w:rsidRPr="00D94F41" w:rsidP="00BF3DA4" w14:paraId="713F8F56" w14:textId="72092B09">
      <w:pPr>
        <w:pStyle w:val="BodyText"/>
      </w:pPr>
      <w:r>
        <w:t xml:space="preserve">The sample for the MCBS is a heterogeneous population that presents a unique challenge for maximizing response rates. The survey selects respondents from two Medicare groups – those </w:t>
      </w:r>
      <w:r>
        <w:t>age 65 and over and those younger than 65 who have disabilities.</w:t>
      </w:r>
      <w:bookmarkStart w:id="28" w:name="OLE_LINK6"/>
      <w:r>
        <w:t xml:space="preserve"> </w:t>
      </w:r>
      <w:bookmarkEnd w:id="28"/>
      <w:r w:rsidR="00E778E5">
        <w:t>Advancing</w:t>
      </w:r>
      <w:r>
        <w:t xml:space="preserve"> age, poor health or poor health of a family member are common reasons for refusal. On the other hand, older </w:t>
      </w:r>
      <w:r>
        <w:t>persons</w:t>
      </w:r>
      <w:r>
        <w:t xml:space="preserve"> are the least mobile segment of the population and thus, for a longitudinal survey, there is generally a low instance of failing to locate respondents. </w:t>
      </w:r>
    </w:p>
    <w:p w:rsidR="00B10A10" w:rsidP="00B10A10" w14:paraId="69340ADC" w14:textId="1AB90CA0">
      <w:pPr>
        <w:pStyle w:val="BodyText"/>
      </w:pPr>
      <w:r>
        <w:t xml:space="preserve">Because this is a longitudinal survey, </w:t>
      </w:r>
      <w:r w:rsidR="00E778E5">
        <w:t xml:space="preserve">maximizing response rates is essential. </w:t>
      </w:r>
      <w:r>
        <w:t>When beneficiaries are selected from the enrollment database, name and address are available, but telephone numbers are not. Prefield locating activities (including electronic database searches using LexisNexis</w:t>
      </w:r>
      <w:r w:rsidRPr="6E8CB351">
        <w:rPr>
          <w:vertAlign w:val="superscript"/>
        </w:rPr>
        <w:t>®</w:t>
      </w:r>
      <w:r>
        <w:t xml:space="preserve"> Accurint</w:t>
      </w:r>
      <w:r w:rsidRPr="6E8CB351">
        <w:rPr>
          <w:vertAlign w:val="superscript"/>
        </w:rPr>
        <w:t>®</w:t>
      </w:r>
      <w:r>
        <w:t>, Verisk Marketing Solutions</w:t>
      </w:r>
      <w:r w:rsidRPr="6E8CB351">
        <w:rPr>
          <w:vertAlign w:val="superscript"/>
        </w:rPr>
        <w:t>®</w:t>
      </w:r>
      <w:r>
        <w:t>, and TransUnion</w:t>
      </w:r>
      <w:r w:rsidRPr="6E8CB351">
        <w:rPr>
          <w:vertAlign w:val="superscript"/>
        </w:rPr>
        <w:t>®</w:t>
      </w:r>
      <w:r>
        <w:t xml:space="preserve"> TLOxp batch processing) are used to verify or update selected sample addresses and to obtain telephone numbers when available. </w:t>
      </w:r>
    </w:p>
    <w:p w:rsidR="00B10A10" w:rsidP="00B10A10" w14:paraId="6E4C55B7" w14:textId="78BC02FC">
      <w:pPr>
        <w:pStyle w:val="BodyText"/>
      </w:pPr>
      <w:r>
        <w:t>D</w:t>
      </w:r>
      <w:r w:rsidRPr="00B10A10">
        <w:t xml:space="preserve">ata collection staff may use additional </w:t>
      </w:r>
      <w:r>
        <w:t xml:space="preserve">outreach strategies and </w:t>
      </w:r>
      <w:r w:rsidRPr="00B10A10">
        <w:t>resources to establish legitimacy</w:t>
      </w:r>
      <w:r w:rsidR="00586D22">
        <w:t xml:space="preserve"> and encourage cooperation</w:t>
      </w:r>
      <w:r w:rsidRPr="00B10A10">
        <w:t>. A community authority letter (Attachment 1) provides a summary of the survey to national organizations such as AARP and can be shared with regional or local groups (social service and health departments, area agencies on aging, and others) if interviewers or managers receive questions about the</w:t>
      </w:r>
      <w:r>
        <w:t xml:space="preserve"> legitimacy or purpose of the</w:t>
      </w:r>
      <w:r w:rsidRPr="00B10A10">
        <w:t xml:space="preserve"> survey. </w:t>
      </w:r>
      <w:r>
        <w:t xml:space="preserve">General information about </w:t>
      </w:r>
      <w:r>
        <w:t>the MCBS</w:t>
      </w:r>
      <w:r>
        <w:t xml:space="preserve"> is also made </w:t>
      </w:r>
      <w:r w:rsidRPr="00B10A10">
        <w:t xml:space="preserve">available </w:t>
      </w:r>
      <w:r w:rsidR="003D4D6D">
        <w:t>to</w:t>
      </w:r>
      <w:r w:rsidRPr="00B10A10">
        <w:t xml:space="preserve"> senior centers and other networks to which respondents are likely to belong or reach out (such as the 1-800-Medicare hotline)</w:t>
      </w:r>
      <w:r>
        <w:t xml:space="preserve">. </w:t>
      </w:r>
    </w:p>
    <w:p w:rsidR="00802BE0" w:rsidP="00802BE0" w14:paraId="6B42E337" w14:textId="1BA068AD">
      <w:pPr>
        <w:pStyle w:val="BodyText"/>
      </w:pPr>
      <w:r w:rsidRPr="00B10A10">
        <w:t>Additional mailings</w:t>
      </w:r>
      <w:r w:rsidR="003E551B">
        <w:t xml:space="preserve">, including </w:t>
      </w:r>
      <w:r w:rsidRPr="00B10A10">
        <w:t>reminder letters</w:t>
      </w:r>
      <w:r>
        <w:t xml:space="preserve"> or refusal conversion letters</w:t>
      </w:r>
      <w:r w:rsidR="003E551B">
        <w:t xml:space="preserve">, are sent </w:t>
      </w:r>
      <w:r>
        <w:t xml:space="preserve">to respondents </w:t>
      </w:r>
      <w:r w:rsidR="003E551B">
        <w:t xml:space="preserve">via regular or priority mail (FedEx or similar) </w:t>
      </w:r>
      <w:r>
        <w:t xml:space="preserve">to encourage their participation in the survey. Further, additional </w:t>
      </w:r>
      <w:r w:rsidRPr="00B10A10">
        <w:t xml:space="preserve">locating and tracing efforts </w:t>
      </w:r>
      <w:r>
        <w:t xml:space="preserve">may be used during data collection </w:t>
      </w:r>
      <w:r w:rsidRPr="00B10A10">
        <w:t>to maximize response</w:t>
      </w:r>
      <w:r w:rsidR="003E551B">
        <w:t xml:space="preserve"> and in some cases, interviewers may</w:t>
      </w:r>
      <w:r w:rsidRPr="00802BE0" w:rsidR="003E551B">
        <w:t xml:space="preserve"> suppleme</w:t>
      </w:r>
      <w:r w:rsidR="003E551B">
        <w:t>nt</w:t>
      </w:r>
      <w:r w:rsidRPr="00802BE0">
        <w:t xml:space="preserve"> phone interviews with video capability to build rapport and encourage longer term participation.</w:t>
      </w:r>
    </w:p>
    <w:p w:rsidR="0013229A" w:rsidRPr="0013229A" w:rsidP="0013229A" w14:paraId="0C28B561" w14:textId="77777777">
      <w:pPr>
        <w:pStyle w:val="BodyText"/>
      </w:pPr>
      <w:r w:rsidRPr="0013229A">
        <w:t>In addition to outreach, the following efforts remain in place to maintain a sense of validity and relevance among the survey participants.</w:t>
      </w:r>
    </w:p>
    <w:p w:rsidR="0013229A" w:rsidRPr="0013229A" w:rsidP="0013229A" w14:paraId="10C2FE04" w14:textId="25E81DFA">
      <w:pPr>
        <w:pStyle w:val="BodyText"/>
        <w:numPr>
          <w:ilvl w:val="0"/>
          <w:numId w:val="21"/>
        </w:numPr>
      </w:pPr>
      <w:r>
        <w:t>Interviewer training emphasizes effective approaches for communicating with older adults and people with disabilities and ways to overcome difficulties respondents may have in participating.</w:t>
      </w:r>
    </w:p>
    <w:p w:rsidR="0013229A" w:rsidRPr="0013229A" w:rsidP="0013229A" w14:paraId="2397A6A3" w14:textId="04E6ACE6">
      <w:pPr>
        <w:pStyle w:val="BodyText"/>
        <w:numPr>
          <w:ilvl w:val="0"/>
          <w:numId w:val="21"/>
        </w:numPr>
      </w:pPr>
      <w:r>
        <w:t xml:space="preserve">Experienced </w:t>
      </w:r>
      <w:r w:rsidRPr="0013229A">
        <w:t xml:space="preserve">NORC field management staff conduct specialized </w:t>
      </w:r>
      <w:r w:rsidRPr="0013229A">
        <w:t>follow up</w:t>
      </w:r>
      <w:r w:rsidRPr="0013229A">
        <w:t xml:space="preserve"> with respondents who express concerns about participating due to privacy or confidentiality questions.</w:t>
      </w:r>
    </w:p>
    <w:p w:rsidR="0013229A" w:rsidRPr="0013229A" w:rsidP="0013229A" w14:paraId="0BE08420" w14:textId="1069D657">
      <w:pPr>
        <w:pStyle w:val="BodyText"/>
        <w:numPr>
          <w:ilvl w:val="0"/>
          <w:numId w:val="21"/>
        </w:numPr>
      </w:pPr>
      <w:r w:rsidRPr="0013229A">
        <w:t>A dedicated project email address (</w:t>
      </w:r>
      <w:hyperlink r:id="rId10" w:tooltip="Email MCBS" w:history="1">
        <w:r w:rsidRPr="0013229A">
          <w:rPr>
            <w:rStyle w:val="Hyperlink"/>
          </w:rPr>
          <w:t xml:space="preserve">mcbs@norc.org) </w:t>
        </w:r>
      </w:hyperlink>
      <w:r w:rsidRPr="0013229A">
        <w:t xml:space="preserve">and toll-free number (1-844-777-2151) </w:t>
      </w:r>
      <w:r w:rsidR="00B060E0">
        <w:t>are</w:t>
      </w:r>
      <w:r w:rsidRPr="0013229A" w:rsidR="00B060E0">
        <w:t xml:space="preserve"> </w:t>
      </w:r>
      <w:r w:rsidRPr="0013229A">
        <w:t>available to answer respondent's questions. This information is listed on various materials provided to the respondent.</w:t>
      </w:r>
    </w:p>
    <w:p w:rsidR="0013229A" w:rsidRPr="0013229A" w:rsidP="0013229A" w14:paraId="3F3968FC" w14:textId="422C9B09">
      <w:pPr>
        <w:pStyle w:val="BodyText"/>
        <w:numPr>
          <w:ilvl w:val="0"/>
          <w:numId w:val="21"/>
        </w:numPr>
      </w:pPr>
      <w:r w:rsidRPr="0013229A">
        <w:t>A project website (</w:t>
      </w:r>
      <w:hyperlink r:id="rId11" w:tooltip="MCBS project home page" w:history="1">
        <w:r w:rsidRPr="00AF5CD4">
          <w:rPr>
            <w:rStyle w:val="Hyperlink"/>
          </w:rPr>
          <w:t>mcbs.norc.org</w:t>
        </w:r>
      </w:hyperlink>
      <w:r w:rsidRPr="0013229A">
        <w:t xml:space="preserve">) contains information for respondents on the project and has recently been updated to include a short explanatory video. Respondents are also informed about the CMS MCBS Project Page – </w:t>
      </w:r>
      <w:hyperlink r:id="rId12" w:tooltip="CMS MCBS Project Page" w:history="1">
        <w:r w:rsidRPr="0013229A">
          <w:rPr>
            <w:rStyle w:val="Hyperlink"/>
          </w:rPr>
          <w:t>www.cms.gov/mcbs</w:t>
        </w:r>
      </w:hyperlink>
      <w:r w:rsidRPr="0013229A">
        <w:t>.</w:t>
      </w:r>
    </w:p>
    <w:p w:rsidR="0013229A" w:rsidRPr="0013229A" w:rsidP="0013229A" w14:paraId="187D6F94" w14:textId="77777777">
      <w:pPr>
        <w:pStyle w:val="BodyText"/>
        <w:numPr>
          <w:ilvl w:val="0"/>
          <w:numId w:val="21"/>
        </w:numPr>
      </w:pPr>
      <w:r w:rsidRPr="0013229A">
        <w:t>Respondents receive an annual MCBS newsletter, which includes information about the survey as well as seasonal topics such as winter safety tips for seniors. Attachment 1 contains an example of a recent newsletter.</w:t>
      </w:r>
    </w:p>
    <w:p w:rsidR="0013229A" w:rsidRPr="0013229A" w:rsidP="0013229A" w14:paraId="1F2E470D" w14:textId="77777777">
      <w:pPr>
        <w:pStyle w:val="BodyText"/>
        <w:numPr>
          <w:ilvl w:val="0"/>
          <w:numId w:val="21"/>
        </w:numPr>
      </w:pPr>
      <w:r w:rsidRPr="0013229A">
        <w:t>Whenever possible, the respondent is paired with the same interviewer throughout the survey. This maintains rapport and establishes continuity of process in the interview, whether conducted by phone or in-person.</w:t>
      </w:r>
    </w:p>
    <w:p w:rsidR="0013229A" w:rsidRPr="0013229A" w:rsidP="0013229A" w14:paraId="4D687FBC" w14:textId="77777777">
      <w:pPr>
        <w:pStyle w:val="BodyText"/>
        <w:numPr>
          <w:ilvl w:val="0"/>
          <w:numId w:val="21"/>
        </w:numPr>
      </w:pPr>
      <w:r w:rsidRPr="0013229A">
        <w:t>Interviewers are encouraged to use personal touches such as thank you notes and birthday cards to maintain contact with respondents.</w:t>
      </w:r>
    </w:p>
    <w:p w:rsidR="00B41CCA" w:rsidRPr="00D94F41" w:rsidP="00BD72D7" w14:paraId="01F58D64" w14:textId="126041EF">
      <w:pPr>
        <w:pStyle w:val="BodyText"/>
      </w:pPr>
      <w:r w:rsidRPr="00D94F41">
        <w:t xml:space="preserve">CMS intensively monitors both unconditional and conditional response rates. The unconditional response rate is the percentage of </w:t>
      </w:r>
      <w:r w:rsidRPr="00D94F41">
        <w:t>sample</w:t>
      </w:r>
      <w:r w:rsidRPr="00D94F41">
        <w:t xml:space="preserve"> that were released during the fall round of the selection year and responded to the survey </w:t>
      </w:r>
      <w:r w:rsidRPr="00D94F41">
        <w:t>in a given year</w:t>
      </w:r>
      <w:r w:rsidRPr="00D94F41">
        <w:t xml:space="preserve">. The unconditional response rates, also called cumulative response rates, use the original selected sample size as the baseline in their calculation. Conditional response rates are the percentage of </w:t>
      </w:r>
      <w:r w:rsidRPr="00D94F41">
        <w:t>sample</w:t>
      </w:r>
      <w:r w:rsidRPr="00D94F41">
        <w:t xml:space="preserve"> that </w:t>
      </w:r>
      <w:r w:rsidRPr="00D94F41" w:rsidR="0077150C">
        <w:t xml:space="preserve">were </w:t>
      </w:r>
      <w:r w:rsidRPr="00D94F41" w:rsidR="0077150C">
        <w:rPr>
          <w:i/>
        </w:rPr>
        <w:t>eligible</w:t>
      </w:r>
      <w:r w:rsidRPr="00D94F41" w:rsidR="0077150C">
        <w:t xml:space="preserve"> at the beginning of </w:t>
      </w:r>
      <w:r w:rsidRPr="00D94F41" w:rsidR="00CB154A">
        <w:t xml:space="preserve">the </w:t>
      </w:r>
      <w:r w:rsidRPr="00D94F41" w:rsidR="00505BED">
        <w:t>F</w:t>
      </w:r>
      <w:r w:rsidRPr="00D94F41" w:rsidR="00CB154A">
        <w:t>all</w:t>
      </w:r>
      <w:r w:rsidRPr="00D94F41" w:rsidR="0077150C">
        <w:t xml:space="preserve"> round </w:t>
      </w:r>
      <w:r w:rsidRPr="00D94F41" w:rsidR="00CB154A">
        <w:t xml:space="preserve">of a particular year </w:t>
      </w:r>
      <w:r w:rsidRPr="00D94F41" w:rsidR="0077150C">
        <w:t xml:space="preserve">and </w:t>
      </w:r>
      <w:r w:rsidRPr="00D94F41">
        <w:t xml:space="preserve">responded </w:t>
      </w:r>
      <w:r w:rsidRPr="00D94F41" w:rsidR="00CB154A">
        <w:t>during</w:t>
      </w:r>
      <w:r w:rsidRPr="00D94F41" w:rsidR="0077150C">
        <w:t xml:space="preserve"> that </w:t>
      </w:r>
      <w:r w:rsidRPr="00D94F41" w:rsidR="00CB154A">
        <w:t>year</w:t>
      </w:r>
      <w:r w:rsidRPr="00D94F41">
        <w:t xml:space="preserve">. Conditional response rates use the sample who </w:t>
      </w:r>
      <w:r w:rsidRPr="00D94F41" w:rsidR="00CB154A">
        <w:t xml:space="preserve">are eligible to participate in the survey (a subset of the sample released in the </w:t>
      </w:r>
      <w:r w:rsidRPr="00D94F41" w:rsidR="00505BED">
        <w:t>F</w:t>
      </w:r>
      <w:r w:rsidRPr="00D94F41" w:rsidR="00CB154A">
        <w:t xml:space="preserve">all round of the selection year) </w:t>
      </w:r>
      <w:r w:rsidRPr="00D94F41">
        <w:t xml:space="preserve">as the baseline in their calculation. In other words, they are conditioned on </w:t>
      </w:r>
      <w:r w:rsidRPr="00D94F41" w:rsidR="00CB154A">
        <w:t>eligibility</w:t>
      </w:r>
      <w:r w:rsidRPr="00D94F41">
        <w:t>. Both indicators are very important for understanding trends about response rates and where interventions should optimally be targeted</w:t>
      </w:r>
      <w:r w:rsidRPr="00D94F41" w:rsidR="0043667E">
        <w:t xml:space="preserve">. These trends are monitored over the full historical span of the survey, providing important insights </w:t>
      </w:r>
      <w:r w:rsidRPr="00D94F41" w:rsidR="0043667E">
        <w:t>in</w:t>
      </w:r>
      <w:r w:rsidRPr="00D94F41" w:rsidR="0043667E">
        <w:t xml:space="preserve"> changes to response rates over time.</w:t>
      </w:r>
    </w:p>
    <w:p w:rsidR="006E0017" w:rsidRPr="00D94F41" w:rsidP="00BD72D7" w14:paraId="10C5E216" w14:textId="4521D0F1">
      <w:pPr>
        <w:pStyle w:val="BodyText"/>
      </w:pPr>
      <w:r w:rsidRPr="00D94F41">
        <w:t>Response is tracked throughout each round by a host of key indicators includ</w:t>
      </w:r>
      <w:r w:rsidRPr="00D94F41" w:rsidR="00CB154A">
        <w:t>ing</w:t>
      </w:r>
      <w:r w:rsidRPr="00D94F41">
        <w:t xml:space="preserve"> panel, HHS region, residential status (community or facility), current year Medicare enrollees or </w:t>
      </w:r>
      <w:r w:rsidRPr="00D94F41">
        <w:t>not</w:t>
      </w:r>
      <w:r w:rsidRPr="00D94F41">
        <w:t>-current year enrollees</w:t>
      </w:r>
      <w:r w:rsidR="00294C87">
        <w:t xml:space="preserve"> and demographic variables</w:t>
      </w:r>
      <w:r w:rsidRPr="00D94F41" w:rsidR="00536D54">
        <w:t>.</w:t>
      </w:r>
      <w:r w:rsidRPr="00D94F41">
        <w:t xml:space="preserve"> </w:t>
      </w:r>
      <w:r w:rsidRPr="00D94F41" w:rsidR="00B41CCA">
        <w:t>In addition, perfo</w:t>
      </w:r>
      <w:r w:rsidRPr="00D94F41" w:rsidR="0043667E">
        <w:t>rmance by field interviewers is</w:t>
      </w:r>
      <w:r w:rsidRPr="00D94F41" w:rsidR="00B41CCA">
        <w:t xml:space="preserve"> also tracked to identify any staff who need additional training or support</w:t>
      </w:r>
      <w:r w:rsidRPr="00D94F41" w:rsidR="0043667E">
        <w:t xml:space="preserve"> to improve their interview completion rates</w:t>
      </w:r>
      <w:r w:rsidRPr="00D94F41" w:rsidR="00B41CCA">
        <w:t xml:space="preserve">. </w:t>
      </w:r>
      <w:r w:rsidRPr="00D94F41" w:rsidR="00344404">
        <w:t>CMS continually analyzes response rates</w:t>
      </w:r>
      <w:r w:rsidR="00827B31">
        <w:t xml:space="preserve"> and uses an adaptive design approach to target additional outreach efforts where needed.</w:t>
      </w:r>
      <w:r w:rsidRPr="00D94F41" w:rsidR="00344404">
        <w:t xml:space="preserve"> </w:t>
      </w:r>
    </w:p>
    <w:p w:rsidR="00B41CCA" w:rsidRPr="00D94F41" w:rsidP="00BD72D7" w14:paraId="10560013" w14:textId="10769BE3">
      <w:pPr>
        <w:pStyle w:val="BodyText"/>
      </w:pPr>
      <w:bookmarkStart w:id="29" w:name="B4._Tests_of_Procedures_or_Methods"/>
      <w:bookmarkEnd w:id="29"/>
      <w:r w:rsidRPr="00D94F41">
        <w:t xml:space="preserve">A non-response bias analysis for the MCBS </w:t>
      </w:r>
      <w:r w:rsidR="00E920B7">
        <w:t xml:space="preserve">is conducted approximately every three years. The most recent </w:t>
      </w:r>
      <w:r w:rsidRPr="00D94F41">
        <w:t xml:space="preserve">non-response bias analysis for the MCBS </w:t>
      </w:r>
      <w:r w:rsidRPr="00D94F41" w:rsidR="005C125F">
        <w:t>wa</w:t>
      </w:r>
      <w:r w:rsidRPr="00D94F41">
        <w:t xml:space="preserve">s </w:t>
      </w:r>
      <w:r w:rsidRPr="00D94F41" w:rsidR="005C125F">
        <w:t>conducted</w:t>
      </w:r>
      <w:r w:rsidRPr="00D94F41">
        <w:t xml:space="preserve"> based on the 20</w:t>
      </w:r>
      <w:r w:rsidR="00B05459">
        <w:t>21</w:t>
      </w:r>
      <w:r w:rsidRPr="00D94F41">
        <w:t xml:space="preserve"> Panel and w</w:t>
      </w:r>
      <w:r w:rsidRPr="00D94F41" w:rsidR="005C125F">
        <w:t>as</w:t>
      </w:r>
      <w:r w:rsidRPr="00D94F41">
        <w:t xml:space="preserve"> released in the final 20</w:t>
      </w:r>
      <w:r w:rsidR="00B05459">
        <w:t>21</w:t>
      </w:r>
      <w:r w:rsidRPr="00D94F41">
        <w:t xml:space="preserve"> Methodology Report</w:t>
      </w:r>
      <w:r>
        <w:rPr>
          <w:rStyle w:val="FootnoteReference"/>
        </w:rPr>
        <w:footnoteReference w:id="17"/>
      </w:r>
      <w:r w:rsidRPr="00D94F41">
        <w:t xml:space="preserve">. </w:t>
      </w:r>
      <w:r w:rsidRPr="00D94F41" w:rsidR="005C125F">
        <w:t>This analysis also included beneficiaries who participated in COVID-19 surveys.</w:t>
      </w:r>
      <w:r w:rsidRPr="00D94F41" w:rsidR="006D6CFC">
        <w:t xml:space="preserve"> </w:t>
      </w:r>
      <w:r w:rsidRPr="00D94F41">
        <w:t xml:space="preserve">While non-response is carefully monitored every year, a complete non-response bias analysis is updated </w:t>
      </w:r>
      <w:r w:rsidRPr="00D94F41" w:rsidR="00A43772">
        <w:t>every</w:t>
      </w:r>
      <w:r w:rsidRPr="00D94F41">
        <w:t xml:space="preserve"> three years to ascertain trends both annually and for subpopulations.</w:t>
      </w:r>
      <w:r w:rsidR="002601C1">
        <w:t xml:space="preserve"> The next non-response bias analysis for </w:t>
      </w:r>
      <w:r w:rsidR="002601C1">
        <w:t>the MCBS</w:t>
      </w:r>
      <w:r w:rsidR="002601C1">
        <w:t xml:space="preserve"> will be conducted based on the 202</w:t>
      </w:r>
      <w:r w:rsidR="00B05459">
        <w:t>4</w:t>
      </w:r>
      <w:r w:rsidR="002601C1">
        <w:t xml:space="preserve"> Panel and released with the forthcoming 202</w:t>
      </w:r>
      <w:r w:rsidR="00B05459">
        <w:t>4</w:t>
      </w:r>
      <w:r w:rsidR="002601C1">
        <w:t xml:space="preserve"> </w:t>
      </w:r>
      <w:r w:rsidR="00B05459">
        <w:t>documentation</w:t>
      </w:r>
      <w:r w:rsidR="002601C1">
        <w:t xml:space="preserve">. </w:t>
      </w:r>
    </w:p>
    <w:p w:rsidR="00540AD0" w:rsidRPr="001C1985" w:rsidP="00F260D7" w14:paraId="1AAB7BD0" w14:textId="618CC8D7">
      <w:pPr>
        <w:pStyle w:val="BodyText"/>
        <w:rPr>
          <w:spacing w:val="-2"/>
        </w:rPr>
      </w:pPr>
      <w:r>
        <w:t xml:space="preserve">In the most recent non-response bias analysis, </w:t>
      </w:r>
      <w:r>
        <w:t>Fall</w:t>
      </w:r>
      <w:r>
        <w:t xml:space="preserve"> 2021 respondents and non-respondents were compared on various measures, including frame characteristics, Medicare claims payments, and chronic conditions, </w:t>
      </w:r>
      <w:r>
        <w:t>in order to</w:t>
      </w:r>
      <w:r>
        <w:t xml:space="preserve"> identify areas of potential bias. The effects of weighting on potential nonresponse bias were also investigated: unweighted and weighted proportions of respondents across select frame-level attributes were compared to corresponding benchmarks. Small but statistically significant differences were found across many of these measures. Among the demographic characteristics, Incoming Panel nonrespondents appeared more likely to be female and younger, but the differences were not large. Continuing Panel nonrespondents generally tended to skew older than the respondents and were more likely to be Hispanic. </w:t>
      </w:r>
      <w:r w:rsidRPr="001C1985">
        <w:rPr>
          <w:spacing w:val="-2"/>
        </w:rPr>
        <w:t xml:space="preserve">In all panels, there were proportionately more respondents than nonrespondents located in the Northeast. Some of these demographic differences, such as imbalances among the youngest age group of respondents, are related to lower phone match rates which make it more difficult to conduct interviews by phone. Significant differences were also found across various claims payment measures but were minimal and not consistently in the same direction (i.e., sometimes respondents had higher claims payments in certain settings, and other times non-respondents did). The same was true for beneficiaries with chronic conditions: Incoming Panel respondents in the Fall round were more likely to have a </w:t>
      </w:r>
      <w:r w:rsidRPr="001C1985">
        <w:rPr>
          <w:spacing w:val="-2"/>
        </w:rPr>
        <w:t>few of the</w:t>
      </w:r>
      <w:r w:rsidRPr="001C1985">
        <w:rPr>
          <w:spacing w:val="-2"/>
        </w:rPr>
        <w:t xml:space="preserve"> chronic conditions than nonrespondents, but in later rounds and for the continuing panels, nonrespondents were more likely to have some of the chronic </w:t>
      </w:r>
      <w:r w:rsidRPr="001C1985">
        <w:rPr>
          <w:spacing w:val="-2"/>
        </w:rPr>
        <w:t xml:space="preserve">conditions than were respondents. While many differences were found, most were not large in a practical sense. Furthermore, across most of these measures, weighted respondent distributions were closer to benchmarks than unweighted respondent distributions, suggesting that the potential bias identified via these analyses is expected to be minimized by the weighting procedures. </w:t>
      </w:r>
    </w:p>
    <w:p w:rsidR="00C8618E" w:rsidRPr="00D94F41" w:rsidP="00F260D7" w14:paraId="5D726062" w14:textId="7A776E2D">
      <w:pPr>
        <w:pStyle w:val="BodyText"/>
      </w:pPr>
      <w:r>
        <w:t xml:space="preserve">In contrast to most surveys, </w:t>
      </w:r>
      <w:r>
        <w:t>the MCBS</w:t>
      </w:r>
      <w:r>
        <w:t xml:space="preserve"> has a large amount of information to characterize nonrespondents. This information, including Medicare claims data, can be used for imputation if necessary. While the nonresponse bias analysis excluded Medicare Advantage (MA) enrollees from many analyses, it has been noted in recent years that MA beneficiaries are more likely to respond to the MCBS than beneficiaries enrolled in original Medicare. Beginning in 2017, CMS introduced additional nonresponse adjustments and calibration of the MCBS weights to match enrollment benchmarks by Fee-for-Service (FFS)/MA status, to reduce or eliminate any potential bias the differential response rates by enrollment status may have introduced.</w:t>
      </w:r>
    </w:p>
    <w:p w:rsidR="00B41CCA" w:rsidRPr="00D94F41" w:rsidP="006F001A" w14:paraId="41ECCBA7" w14:textId="57337DDF">
      <w:pPr>
        <w:pStyle w:val="BodyText"/>
      </w:pPr>
      <w:r w:rsidRPr="00D94F41">
        <w:t xml:space="preserve">Over the rounds, the following patterns of nonresponse have been observed, which have or have not changed over time. In the most recent three rounds for which a full analysis of response rates </w:t>
      </w:r>
      <w:r w:rsidRPr="00D94F41">
        <w:t>have</w:t>
      </w:r>
      <w:r w:rsidRPr="00D94F41">
        <w:t xml:space="preserve"> been completed, the round-level response rates for continuing panels </w:t>
      </w:r>
      <w:r w:rsidRPr="00D94F41">
        <w:t>remains</w:t>
      </w:r>
      <w:r w:rsidRPr="00D94F41">
        <w:t xml:space="preserve"> high, ranging from </w:t>
      </w:r>
      <w:r w:rsidR="00B60125">
        <w:t>7</w:t>
      </w:r>
      <w:r w:rsidR="00C37FE2">
        <w:t>8</w:t>
      </w:r>
      <w:r w:rsidR="00B60125">
        <w:t>.</w:t>
      </w:r>
      <w:r w:rsidR="00C37FE2">
        <w:t>3</w:t>
      </w:r>
      <w:r w:rsidRPr="00D94F41">
        <w:t xml:space="preserve">% for the </w:t>
      </w:r>
      <w:r w:rsidRPr="00D94F41" w:rsidR="00B60125">
        <w:t>20</w:t>
      </w:r>
      <w:r w:rsidR="00C37FE2">
        <w:t>20</w:t>
      </w:r>
      <w:r w:rsidRPr="00D94F41" w:rsidR="00B60125">
        <w:t xml:space="preserve"> </w:t>
      </w:r>
      <w:r w:rsidRPr="00D94F41">
        <w:t xml:space="preserve">panel in Round </w:t>
      </w:r>
      <w:r w:rsidR="00B60125">
        <w:t>8</w:t>
      </w:r>
      <w:r w:rsidR="00C37FE2">
        <w:t>9</w:t>
      </w:r>
      <w:r w:rsidRPr="00D94F41" w:rsidR="00B60125">
        <w:t xml:space="preserve"> </w:t>
      </w:r>
      <w:r w:rsidRPr="00D94F41">
        <w:t xml:space="preserve">to </w:t>
      </w:r>
      <w:r w:rsidRPr="00D94F41" w:rsidR="00B60125">
        <w:t>9</w:t>
      </w:r>
      <w:r w:rsidR="00C37FE2">
        <w:t>5</w:t>
      </w:r>
      <w:r w:rsidRPr="00D94F41">
        <w:t>.</w:t>
      </w:r>
      <w:r w:rsidR="00B60125">
        <w:t>7</w:t>
      </w:r>
      <w:r w:rsidRPr="00D94F41">
        <w:t xml:space="preserve">% for the </w:t>
      </w:r>
      <w:r w:rsidR="00B60125">
        <w:t>2017</w:t>
      </w:r>
      <w:r w:rsidRPr="00D94F41" w:rsidR="00B60125">
        <w:t xml:space="preserve"> </w:t>
      </w:r>
      <w:r w:rsidRPr="00D94F41">
        <w:t xml:space="preserve">panel in Round </w:t>
      </w:r>
      <w:r w:rsidR="00C37FE2">
        <w:t>89</w:t>
      </w:r>
      <w:r w:rsidRPr="00D94F41">
        <w:t xml:space="preserve">. Despite these high rates, each year continuing panels are subjected to a nonresponse adjustment based on new response propensity models by panel. </w:t>
      </w:r>
      <w:r w:rsidRPr="00D94F41" w:rsidR="00505BED">
        <w:t>Incoming Panel</w:t>
      </w:r>
      <w:r w:rsidRPr="00D94F41">
        <w:t xml:space="preserve">s at the first interview (e.g., the </w:t>
      </w:r>
      <w:r w:rsidRPr="00D94F41" w:rsidR="00B60125">
        <w:t>20</w:t>
      </w:r>
      <w:r w:rsidR="00B60125">
        <w:t>2</w:t>
      </w:r>
      <w:r w:rsidR="00846489">
        <w:t>1</w:t>
      </w:r>
      <w:r w:rsidRPr="00D94F41" w:rsidR="00B60125">
        <w:t xml:space="preserve"> </w:t>
      </w:r>
      <w:r w:rsidRPr="00D94F41">
        <w:t xml:space="preserve">panel at Round </w:t>
      </w:r>
      <w:r w:rsidR="00846489">
        <w:t>91</w:t>
      </w:r>
      <w:r w:rsidRPr="00D94F41">
        <w:t xml:space="preserve">) show a larger propensity for nonresponse due to having never been reached prior to the first interview. In Round </w:t>
      </w:r>
      <w:r w:rsidR="00846489">
        <w:t>91</w:t>
      </w:r>
      <w:r w:rsidRPr="00D94F41" w:rsidR="00B60125">
        <w:t xml:space="preserve"> </w:t>
      </w:r>
      <w:r w:rsidRPr="00D94F41">
        <w:t xml:space="preserve">the response rate for the </w:t>
      </w:r>
      <w:r w:rsidRPr="00D94F41" w:rsidR="00B60125">
        <w:t>20</w:t>
      </w:r>
      <w:r w:rsidR="00B60125">
        <w:t>2</w:t>
      </w:r>
      <w:r w:rsidR="00846489">
        <w:t>1</w:t>
      </w:r>
      <w:r w:rsidRPr="00D94F41" w:rsidR="00B60125">
        <w:t xml:space="preserve"> </w:t>
      </w:r>
      <w:r w:rsidRPr="00D94F41" w:rsidR="00505BED">
        <w:t>Incoming Panel</w:t>
      </w:r>
      <w:r w:rsidRPr="00D94F41">
        <w:t xml:space="preserve"> was </w:t>
      </w:r>
      <w:r w:rsidR="00846489">
        <w:t>38</w:t>
      </w:r>
      <w:r w:rsidR="00B60125">
        <w:t>.</w:t>
      </w:r>
      <w:r w:rsidR="00846489">
        <w:t>1</w:t>
      </w:r>
      <w:r w:rsidRPr="00D94F41">
        <w:t xml:space="preserve">%. Once </w:t>
      </w:r>
      <w:r w:rsidRPr="00D94F41" w:rsidR="00261F87">
        <w:t>again,</w:t>
      </w:r>
      <w:r w:rsidRPr="00D94F41">
        <w:t xml:space="preserve"> we rely on cells derived from response propensity models to account for differential effects of demographic and geographic characteristics on the resulting data. By accounting for these characteristics in constructing the adjustment cells, we reduce the potential for nonresponse bias that could arise due to these differential factors.</w:t>
      </w:r>
      <w:r w:rsidRPr="00D94F41">
        <w:t xml:space="preserve"> </w:t>
      </w:r>
    </w:p>
    <w:p w:rsidR="00A8726C" w:rsidRPr="00D94F41" w:rsidP="00BD72D7" w14:paraId="78F456C8" w14:textId="77777777">
      <w:pPr>
        <w:pStyle w:val="BodyText"/>
      </w:pPr>
      <w:r w:rsidRPr="00D94F41">
        <w:t xml:space="preserve">Adaptive design methods have also been applied to measure the representativeness of the MCBS incoming sample. In 2017, CMS conducted a review of the Representativity Indicators (R- indicators) or metrics for the Fall 2017 Baseline interview to monitor the representativeness of the achieved sample. The R-indicators provided a quantitative assessment of which segments of the sample were over/under producing and causing the achieved sample to be imbalanced in terms of sample representativeness. </w:t>
      </w:r>
    </w:p>
    <w:p w:rsidR="00A8726C" w:rsidRPr="00D94F41" w:rsidP="00BD72D7" w14:paraId="5CBF0C65" w14:textId="0C23C377">
      <w:pPr>
        <w:pStyle w:val="BodyText"/>
      </w:pPr>
      <w:r w:rsidRPr="00D94F41">
        <w:t xml:space="preserve">A sample R-indictor as well as two partial R-indicators (variable and category) are used to monitor representativeness of the panel. The variable R-indicator measures the representativeness of the sample associated with each variable (looking at the strength of each co-variate subpopulation such as race, ethnicity, age, sex, region) to predict response propensity. The category R-indicator then looks at the categories of each variable to measure representativeness of the responding sample.  </w:t>
      </w:r>
    </w:p>
    <w:p w:rsidR="00E2475C" w:rsidP="00BD72D7" w14:paraId="1B15D40A" w14:textId="3DDE5C27">
      <w:pPr>
        <w:pStyle w:val="BodyText"/>
      </w:pPr>
      <w:r w:rsidRPr="00D94F41">
        <w:t>Since their inception,</w:t>
      </w:r>
      <w:r w:rsidRPr="00D94F41" w:rsidR="004112E2">
        <w:t xml:space="preserve"> R-indicators </w:t>
      </w:r>
      <w:r w:rsidRPr="00D94F41">
        <w:t xml:space="preserve">have </w:t>
      </w:r>
      <w:r w:rsidRPr="00D94F41" w:rsidR="004112E2">
        <w:t xml:space="preserve">not </w:t>
      </w:r>
      <w:r w:rsidRPr="00D94F41">
        <w:t xml:space="preserve">been </w:t>
      </w:r>
      <w:r w:rsidRPr="00D94F41" w:rsidR="004112E2">
        <w:t>observed outside these thresholds; consequently, no data collection interventions were needed to improve the representativ</w:t>
      </w:r>
      <w:r w:rsidRPr="00D94F41" w:rsidR="00B46BA7">
        <w:t>eness</w:t>
      </w:r>
      <w:r w:rsidRPr="00D94F41" w:rsidR="004112E2">
        <w:t xml:space="preserve"> of the achieved sample.</w:t>
      </w:r>
      <w:r w:rsidRPr="00D94F41" w:rsidR="00A8726C">
        <w:t xml:space="preserve"> Use of R-indicators, along with </w:t>
      </w:r>
      <w:r w:rsidRPr="00D94F41" w:rsidR="00CB154A">
        <w:t xml:space="preserve">a </w:t>
      </w:r>
      <w:r w:rsidRPr="00D94F41" w:rsidR="00A8726C">
        <w:t xml:space="preserve">continual review of annual and historical response rates and non-response bias analysis are important tools in understanding response and ensuring that the </w:t>
      </w:r>
      <w:r w:rsidRPr="00D94F41" w:rsidR="00A8726C">
        <w:t>sample as a whole, as well as</w:t>
      </w:r>
      <w:r w:rsidRPr="00D94F41" w:rsidR="00A8726C">
        <w:t xml:space="preserve"> subpopulations</w:t>
      </w:r>
      <w:r w:rsidRPr="00D94F41" w:rsidR="00CB154A">
        <w:t>,</w:t>
      </w:r>
      <w:r w:rsidRPr="00D94F41" w:rsidR="00A8726C">
        <w:t xml:space="preserve"> are represented to produce high quality data.</w:t>
      </w:r>
      <w:r w:rsidRPr="00D94F41" w:rsidR="00FE750A">
        <w:t xml:space="preserve"> </w:t>
      </w:r>
    </w:p>
    <w:p w:rsidR="00412AD2" w:rsidP="00412AD2" w14:paraId="0D74789E" w14:textId="2A9A8FBC">
      <w:pPr>
        <w:pStyle w:val="Heading4"/>
        <w:numPr>
          <w:ilvl w:val="0"/>
          <w:numId w:val="0"/>
        </w:numPr>
        <w:ind w:left="245" w:hanging="245"/>
      </w:pPr>
      <w:r>
        <w:t xml:space="preserve">Multimode </w:t>
      </w:r>
      <w:r>
        <w:t>Survey Administration</w:t>
      </w:r>
    </w:p>
    <w:p w:rsidR="00412AD2" w:rsidP="00D73AA4" w14:paraId="5E36622E" w14:textId="195ADEBC">
      <w:pPr>
        <w:pStyle w:val="BodyText"/>
      </w:pPr>
      <w:r>
        <w:t>NORC interviewers conduct phone</w:t>
      </w:r>
      <w:r w:rsidR="00540AD0">
        <w:t xml:space="preserve"> </w:t>
      </w:r>
      <w:r w:rsidR="00540AD0">
        <w:t>interviewing</w:t>
      </w:r>
      <w:r w:rsidR="00540AD0">
        <w:t>,</w:t>
      </w:r>
      <w:r w:rsidR="00C77658">
        <w:t xml:space="preserve"> supplemented by in-person </w:t>
      </w:r>
      <w:r w:rsidR="00540AD0">
        <w:t>outreach where feasible within the budget constraints</w:t>
      </w:r>
      <w:r w:rsidR="00C77658">
        <w:t xml:space="preserve">. Phone interviews may </w:t>
      </w:r>
      <w:r w:rsidR="00540AD0">
        <w:t xml:space="preserve">also </w:t>
      </w:r>
      <w:r w:rsidR="00C77658">
        <w:t xml:space="preserve">be </w:t>
      </w:r>
      <w:r w:rsidR="00540AD0">
        <w:t>enhanced</w:t>
      </w:r>
      <w:r w:rsidR="00C77658">
        <w:t xml:space="preserve"> with video calling </w:t>
      </w:r>
      <w:r w:rsidR="00C77658">
        <w:t xml:space="preserve">when respondents </w:t>
      </w:r>
      <w:r w:rsidR="00CD3F90">
        <w:t>are interested and can access</w:t>
      </w:r>
      <w:r w:rsidR="00C77658">
        <w:t xml:space="preserve"> this technology</w:t>
      </w:r>
      <w:r>
        <w:t xml:space="preserve">. </w:t>
      </w:r>
      <w:r>
        <w:t xml:space="preserve">CMS also assumes </w:t>
      </w:r>
      <w:r>
        <w:t>a majority of</w:t>
      </w:r>
      <w:r>
        <w:t xml:space="preserve"> Facility interviews will take place over the </w:t>
      </w:r>
      <w:r w:rsidR="00573DF3">
        <w:t xml:space="preserve">phone with a </w:t>
      </w:r>
      <w:r>
        <w:t xml:space="preserve">small proportion </w:t>
      </w:r>
      <w:r w:rsidR="00573DF3">
        <w:t xml:space="preserve">conducted </w:t>
      </w:r>
      <w:r>
        <w:t>in-person</w:t>
      </w:r>
      <w:r w:rsidR="00CD3F90">
        <w:t>, based on location.</w:t>
      </w:r>
      <w:r w:rsidR="00426D8A">
        <w:t xml:space="preserve"> </w:t>
      </w:r>
      <w:r w:rsidRPr="00426D8A" w:rsidR="00426D8A">
        <w:t xml:space="preserve">Results of several in-depth analyses along with feedback from field staff have shown that phone data collection works well for </w:t>
      </w:r>
      <w:r w:rsidRPr="00426D8A" w:rsidR="00426D8A">
        <w:t>a majority of</w:t>
      </w:r>
      <w:r w:rsidRPr="00426D8A" w:rsidR="00426D8A">
        <w:t xml:space="preserve"> </w:t>
      </w:r>
      <w:r w:rsidRPr="00426D8A" w:rsidR="00426D8A">
        <w:t>interviews</w:t>
      </w:r>
      <w:r w:rsidRPr="00426D8A" w:rsidR="00426D8A">
        <w:t xml:space="preserve">, maintaining stability in representativeness and data quality. The phone mode also offers a cost-effective option for both contacting and interviewing. </w:t>
      </w:r>
      <w:r w:rsidR="00426D8A">
        <w:t xml:space="preserve">Limited in-person interviews are generally used for locating respondents where phone outreach has failed, non-response follow-up, and to administer the interview to beneficiaries with high levels of utilization or difficulty using the phone. </w:t>
      </w:r>
    </w:p>
    <w:p w:rsidR="0088452B" w:rsidRPr="00D94F41" w:rsidP="00CF2B93" w14:paraId="5464AC65" w14:textId="25153A84">
      <w:pPr>
        <w:pStyle w:val="Heading3"/>
        <w:tabs>
          <w:tab w:val="left" w:pos="540"/>
        </w:tabs>
      </w:pPr>
      <w:bookmarkStart w:id="30" w:name="_Toc91154938"/>
      <w:bookmarkStart w:id="31" w:name="_Toc210636327"/>
      <w:r w:rsidRPr="00D94F41">
        <w:t>B4.</w:t>
      </w:r>
      <w:r w:rsidRPr="00D94F41" w:rsidR="00BB2D9F">
        <w:tab/>
      </w:r>
      <w:r w:rsidRPr="00D94F41">
        <w:t>Tests of Procedures or Methods</w:t>
      </w:r>
      <w:bookmarkEnd w:id="30"/>
      <w:bookmarkEnd w:id="31"/>
    </w:p>
    <w:p w:rsidR="0088452B" w:rsidRPr="00D94F41" w:rsidP="008437C5" w14:paraId="353674A3" w14:textId="64160A2B">
      <w:pPr>
        <w:pStyle w:val="BodyText"/>
      </w:pPr>
      <w:r w:rsidRPr="00D94F41">
        <w:t xml:space="preserve">MCBS’ generic clearance for Questionnaire Testing and Methodological Research for the MCBS was </w:t>
      </w:r>
      <w:r w:rsidRPr="00D94F41" w:rsidR="00A26470">
        <w:t xml:space="preserve">first </w:t>
      </w:r>
      <w:r w:rsidRPr="00D94F41">
        <w:t>approved by OMB in May 2015</w:t>
      </w:r>
      <w:r w:rsidRPr="00D94F41" w:rsidR="00A26470">
        <w:t xml:space="preserve"> and most recently received approval for revision on June 2</w:t>
      </w:r>
      <w:r w:rsidR="00D16682">
        <w:t>6</w:t>
      </w:r>
      <w:r w:rsidRPr="00D94F41" w:rsidR="00A26470">
        <w:t xml:space="preserve">, </w:t>
      </w:r>
      <w:r w:rsidR="00D16682">
        <w:t>2024</w:t>
      </w:r>
      <w:r w:rsidR="00072F5E">
        <w:t xml:space="preserve"> </w:t>
      </w:r>
      <w:r w:rsidRPr="00D94F41">
        <w:t>(OMB No. 0938-1275, expiration 0</w:t>
      </w:r>
      <w:r w:rsidRPr="00D94F41" w:rsidR="00A26470">
        <w:t>6</w:t>
      </w:r>
      <w:r w:rsidRPr="00D94F41">
        <w:t>/3</w:t>
      </w:r>
      <w:r w:rsidRPr="00D94F41" w:rsidR="00A26470">
        <w:t>0</w:t>
      </w:r>
      <w:r w:rsidRPr="00D94F41">
        <w:t>/20</w:t>
      </w:r>
      <w:r w:rsidRPr="00D94F41" w:rsidR="00F60E6D">
        <w:t>2</w:t>
      </w:r>
      <w:r w:rsidR="00D16682">
        <w:t>7</w:t>
      </w:r>
      <w:r w:rsidRPr="00D94F41">
        <w:t xml:space="preserve">). </w:t>
      </w:r>
      <w:r w:rsidRPr="00D94F41">
        <w:t>The generic</w:t>
      </w:r>
      <w:r w:rsidRPr="00D94F41">
        <w:t xml:space="preserve"> clearance encompasses development and testing of MCBS </w:t>
      </w:r>
      <w:r w:rsidRPr="008437C5">
        <w:t>questionnaires</w:t>
      </w:r>
      <w:r w:rsidRPr="00D94F41">
        <w:t xml:space="preserve">, instrumentation, and methodological experiments. It contains approval for </w:t>
      </w:r>
      <w:r w:rsidRPr="00D94F41" w:rsidR="00A26470">
        <w:t xml:space="preserve">six </w:t>
      </w:r>
      <w:r w:rsidRPr="00D94F41">
        <w:t>types of potential research activities:</w:t>
      </w:r>
    </w:p>
    <w:p w:rsidR="00072F5E" w:rsidP="007D2229" w14:paraId="1A6C2073" w14:textId="77777777">
      <w:pPr>
        <w:pStyle w:val="BodyText"/>
      </w:pPr>
      <w:r w:rsidRPr="00D94F41">
        <w:t>1) cognitive interviewing, 2) focus groups, 3) usability testing, 4) field testing</w:t>
      </w:r>
      <w:r w:rsidRPr="00D94F41" w:rsidR="00A26470">
        <w:t xml:space="preserve"> (both within and outside the MCBS production environment)</w:t>
      </w:r>
      <w:r w:rsidRPr="00D94F41">
        <w:t xml:space="preserve">, 5) respondent debriefing questionnaire, and </w:t>
      </w:r>
      <w:r w:rsidRPr="00D94F41" w:rsidR="00A26470">
        <w:t>6</w:t>
      </w:r>
      <w:r w:rsidRPr="00D94F41">
        <w:t>) research about incentives. Any future changes to the MCBS instrumentation, data collection methods, or procedures that require testing will be submitted as individual collection requests under the generic clearance.</w:t>
      </w:r>
      <w:bookmarkStart w:id="32" w:name="B5._Individuals_Consulted_on_Statistical"/>
      <w:bookmarkStart w:id="33" w:name="A1._Circumstances_Making_the_Collection_"/>
      <w:bookmarkStart w:id="34" w:name="A2._Purpose_and_Use_of_Information_Colle"/>
      <w:bookmarkStart w:id="35" w:name="_Toc91154939"/>
      <w:bookmarkEnd w:id="32"/>
      <w:bookmarkEnd w:id="33"/>
      <w:bookmarkEnd w:id="34"/>
    </w:p>
    <w:p w:rsidR="00626323" w:rsidP="007D2229" w14:paraId="4745CA74" w14:textId="5CF50938">
      <w:pPr>
        <w:pStyle w:val="BodyText"/>
      </w:pPr>
      <w:r>
        <w:t xml:space="preserve">In February and March 2024, CMS conducted a small number of usability tests (nine) with respondents using video calling capabilities to enhance the interview. Interviewers and respondents gave positive feedback to the experience, indicating </w:t>
      </w:r>
      <w:r w:rsidR="00DE1787">
        <w:t xml:space="preserve">that for telephone interviews, using </w:t>
      </w:r>
      <w:r>
        <w:t>video</w:t>
      </w:r>
      <w:r w:rsidR="00DE1787">
        <w:t xml:space="preserve"> technology</w:t>
      </w:r>
      <w:r>
        <w:t xml:space="preserve"> may be helpful for rapport-building and long-term participation</w:t>
      </w:r>
      <w:r w:rsidR="00DE1787">
        <w:t xml:space="preserve">. </w:t>
      </w:r>
    </w:p>
    <w:p w:rsidR="0088452B" w:rsidRPr="00D94F41" w:rsidP="00CF2B93" w14:paraId="7AFF8BB6" w14:textId="3CE826B3">
      <w:pPr>
        <w:pStyle w:val="Heading3"/>
        <w:tabs>
          <w:tab w:val="left" w:pos="540"/>
        </w:tabs>
      </w:pPr>
      <w:bookmarkStart w:id="36" w:name="_Toc210636328"/>
      <w:r w:rsidRPr="00D94F41">
        <w:t>B5.</w:t>
      </w:r>
      <w:r w:rsidRPr="00D94F41">
        <w:tab/>
      </w:r>
      <w:r w:rsidRPr="00D94F41" w:rsidR="004112E2">
        <w:t>Individuals Consulted on Statistical Aspects of Design</w:t>
      </w:r>
      <w:bookmarkEnd w:id="35"/>
      <w:bookmarkEnd w:id="36"/>
    </w:p>
    <w:p w:rsidR="0088452B" w:rsidRPr="00D94F41" w:rsidP="00BB2D9F" w14:paraId="60F7D3D9" w14:textId="5F63CD8F">
      <w:pPr>
        <w:pStyle w:val="BodyText"/>
      </w:pPr>
      <w:r w:rsidRPr="00D94F41">
        <w:t xml:space="preserve">The person responsible for statistical aspects of design </w:t>
      </w:r>
      <w:r w:rsidRPr="00D94F41">
        <w:t>is</w:t>
      </w:r>
      <w:r w:rsidRPr="00D94F41">
        <w:t>:</w:t>
      </w:r>
    </w:p>
    <w:p w:rsidR="0088452B" w:rsidRPr="00D94F41" w:rsidP="00BD72D7" w14:paraId="1E87255E" w14:textId="40772859">
      <w:pPr>
        <w:pStyle w:val="BodyText"/>
        <w:spacing w:after="0"/>
        <w:ind w:left="720"/>
      </w:pPr>
      <w:r w:rsidRPr="00D94F41">
        <w:t>Edward Mulrow</w:t>
      </w:r>
      <w:r w:rsidRPr="00D94F41" w:rsidR="004112E2">
        <w:t>, Ph.D.</w:t>
      </w:r>
      <w:r w:rsidR="007D1E05">
        <w:t>,</w:t>
      </w:r>
      <w:r w:rsidRPr="00D94F41" w:rsidR="004112E2">
        <w:t xml:space="preserve"> Vice President</w:t>
      </w:r>
    </w:p>
    <w:p w:rsidR="00F60E6D" w:rsidRPr="00D94F41" w:rsidP="00BD72D7" w14:paraId="1B09B940" w14:textId="77777777">
      <w:pPr>
        <w:pStyle w:val="BodyText"/>
        <w:spacing w:after="0"/>
        <w:ind w:left="720"/>
      </w:pPr>
      <w:r w:rsidRPr="00D94F41">
        <w:t xml:space="preserve">NORC at the University of Chicago </w:t>
      </w:r>
    </w:p>
    <w:p w:rsidR="008174FC" w:rsidRPr="00D94F41" w:rsidP="00BD72D7" w14:paraId="49057F0D" w14:textId="5923F7E7">
      <w:pPr>
        <w:pStyle w:val="BodyText"/>
        <w:spacing w:after="0"/>
        <w:ind w:left="720"/>
      </w:pPr>
      <w:r w:rsidRPr="002E7F6E">
        <w:t>1828 L Street NW, 9th Fl </w:t>
      </w:r>
    </w:p>
    <w:p w:rsidR="0088452B" w:rsidRPr="00D94F41" w:rsidP="00BD72D7" w14:paraId="4AB4F4AC" w14:textId="67949288">
      <w:pPr>
        <w:pStyle w:val="BodyText"/>
        <w:spacing w:after="0"/>
        <w:ind w:left="720"/>
      </w:pPr>
      <w:r w:rsidRPr="002E7F6E">
        <w:t>Washington, DC 20036</w:t>
      </w:r>
    </w:p>
    <w:p w:rsidR="0088452B" w:rsidRPr="00D94F41" w:rsidP="00BD72D7" w14:paraId="1B1B3DBB" w14:textId="6DE5859D">
      <w:pPr>
        <w:pStyle w:val="BodyText"/>
        <w:spacing w:after="0"/>
        <w:ind w:left="720"/>
      </w:pPr>
      <w:r w:rsidRPr="00D94F41">
        <w:t>(301) 634-9441</w:t>
      </w:r>
    </w:p>
    <w:p w:rsidR="0088452B" w:rsidRPr="00D94F41" w:rsidP="00BD72D7" w14:paraId="7F1C0134" w14:textId="74AEFCD1">
      <w:pPr>
        <w:pStyle w:val="BodyText"/>
        <w:spacing w:after="0"/>
        <w:ind w:left="720"/>
      </w:pPr>
      <w:hyperlink r:id="rId13" w:tooltip="Email Edward Mulrow" w:history="1">
        <w:r w:rsidRPr="00D94F41">
          <w:rPr>
            <w:rStyle w:val="Hyperlink"/>
          </w:rPr>
          <w:t>Mulrow-Edward@norc.org</w:t>
        </w:r>
      </w:hyperlink>
      <w:r w:rsidRPr="00D94F41">
        <w:t xml:space="preserve"> </w:t>
      </w:r>
    </w:p>
    <w:p w:rsidR="0088452B" w:rsidRPr="00D94F41" w:rsidP="00BD72D7" w14:paraId="706712A9" w14:textId="77777777">
      <w:pPr>
        <w:pStyle w:val="BodyText"/>
        <w:spacing w:before="240"/>
      </w:pPr>
      <w:r w:rsidRPr="00D94F41">
        <w:t>The contractor collecting the information is NORC at the University of Chicago.</w:t>
      </w:r>
    </w:p>
    <w:sectPr w:rsidSect="00156176">
      <w:pgSz w:w="12240" w:h="15840" w:code="1"/>
      <w:pgMar w:top="1080" w:right="1440" w:bottom="10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F8" w:rsidRPr="00200E3E" w:rsidP="00200E3E" w14:paraId="5D996B32" w14:textId="48BA973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F8" w:rsidRPr="00200E3E" w:rsidP="00200E3E" w14:paraId="10CC06CF" w14:textId="7E3D8ABC">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24</w:t>
    </w:r>
    <w:r w:rsidRPr="00200E3E">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140" w:rsidRPr="00200E3E" w:rsidP="00200E3E" w14:paraId="6EFCC066" w14:textId="77777777">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24</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28CE" w14:paraId="304AEEF6" w14:textId="77777777">
      <w:r>
        <w:separator/>
      </w:r>
    </w:p>
  </w:footnote>
  <w:footnote w:type="continuationSeparator" w:id="1">
    <w:p w:rsidR="002A28CE" w14:paraId="2AF60625" w14:textId="77777777">
      <w:r>
        <w:continuationSeparator/>
      </w:r>
    </w:p>
  </w:footnote>
  <w:footnote w:type="continuationNotice" w:id="2">
    <w:p w:rsidR="002A28CE" w14:paraId="0057C59F" w14:textId="77777777"/>
  </w:footnote>
  <w:footnote w:id="3">
    <w:p w:rsidR="008D7A5E" w:rsidP="008D7A5E" w14:paraId="29FDA791" w14:textId="5901D0DB">
      <w:pPr>
        <w:pStyle w:val="FootnoteText"/>
      </w:pPr>
      <w:r>
        <w:rPr>
          <w:rStyle w:val="FootnoteReference"/>
        </w:rPr>
        <w:footnoteRef/>
      </w:r>
      <w:r>
        <w:t xml:space="preserve"> </w:t>
      </w:r>
      <w:hyperlink r:id="rId1" w:tooltip="Updated Statistical Policy Directive No. 15 Released by OMB" w:history="1">
        <w:r w:rsidRPr="00AD0D2A">
          <w:rPr>
            <w:rStyle w:val="Hyperlink"/>
          </w:rPr>
          <w:t>https://spd15revision.gov/</w:t>
        </w:r>
      </w:hyperlink>
    </w:p>
  </w:footnote>
  <w:footnote w:id="4">
    <w:p w:rsidR="00F10BF8" w:rsidRPr="00110F11" w:rsidP="00110F11" w14:paraId="0990C4D7" w14:textId="77606591">
      <w:pPr>
        <w:pStyle w:val="FootnoteText"/>
        <w:spacing w:after="40"/>
      </w:pPr>
      <w:r w:rsidRPr="00110F11">
        <w:rPr>
          <w:rStyle w:val="FootnoteReference"/>
        </w:rPr>
        <w:footnoteRef/>
      </w:r>
      <w:r w:rsidRPr="00110F11">
        <w:t xml:space="preserve"> Note that telephone numbers for beneficiaries are not available in the CMS administrative data used for sampling. Telephone numbers were appended to sampled addresses using vendor matching software; these numbers only sometimes reached the intended respondent. Additional manual locating was conducted by the field team to improve locating rates.</w:t>
      </w:r>
    </w:p>
  </w:footnote>
  <w:footnote w:id="5">
    <w:p w:rsidR="00F10BF8" w:rsidRPr="00110F11" w:rsidP="00110F11" w14:paraId="228A449D" w14:textId="4EE6A997">
      <w:pPr>
        <w:pStyle w:val="FootnoteText"/>
        <w:spacing w:after="40"/>
      </w:pPr>
      <w:r w:rsidRPr="00110F11">
        <w:rPr>
          <w:rStyle w:val="FootnoteReference"/>
        </w:rPr>
        <w:footnoteRef/>
      </w:r>
      <w:r w:rsidRPr="00110F11">
        <w:t xml:space="preserve"> Note that prior to 2017, 107 PSUs were used for sampling for the MCBS. These included three PSUs in Puerto Rico. Beginning in 2017, Puerto Rico was removed from the MCBS sampling frame.</w:t>
      </w:r>
    </w:p>
  </w:footnote>
  <w:footnote w:id="6">
    <w:p w:rsidR="0014103D" w14:paraId="469A4EBA" w14:textId="2B5702DC">
      <w:pPr>
        <w:pStyle w:val="FootnoteText"/>
      </w:pPr>
      <w:r>
        <w:rPr>
          <w:rStyle w:val="FootnoteReference"/>
        </w:rPr>
        <w:footnoteRef/>
      </w:r>
      <w:r>
        <w:t xml:space="preserve"> </w:t>
      </w:r>
      <w:r w:rsidRPr="0014103D">
        <w:t>The strata used for selection of the PSUs covers the 50 states and the District of Columbia. Since PSUs were selected randomly with probabilities proportionate to size, there are some states without any sample PSUs within their boundaries. Within major strata defined by region and metropolitan status, PSUs were sorted by percent of beneficiaries enrolled in HMOs and/or percent of beneficiaries who are minorities based on data in CMS administrative files. Substrata of roughly equal size were created from the ordered list for sample selection.</w:t>
      </w:r>
    </w:p>
  </w:footnote>
  <w:footnote w:id="7">
    <w:p w:rsidR="0014103D" w14:paraId="2249B408" w14:textId="7E8E7434">
      <w:pPr>
        <w:pStyle w:val="FootnoteText"/>
      </w:pPr>
      <w:r>
        <w:rPr>
          <w:rStyle w:val="FootnoteReference"/>
        </w:rPr>
        <w:footnoteRef/>
      </w:r>
      <w:r>
        <w:t xml:space="preserve"> </w:t>
      </w:r>
      <w:r w:rsidR="00970137">
        <w:t>The</w:t>
      </w:r>
      <w:r w:rsidRPr="0014103D">
        <w:t xml:space="preserve"> second-stage units (SSUs) consis</w:t>
      </w:r>
      <w:r w:rsidR="00970137">
        <w:t>t</w:t>
      </w:r>
      <w:r w:rsidRPr="0014103D">
        <w:t xml:space="preserve"> of Census tracts or clusters of adjacent tracts. A minimum measure of size was used to determine whether a Census tract was large enough (i.e., had enough Medicare beneficiaries) to stand on its own as an SSU or would need to be combined with one or more adjacent tracts. A frame of 24,212 SSUs was constructed, and a sample of 703 SSUs was selected using systematic probability proportional to size. These SSUs have been used for sampling MCBS beneficiaries since 2014</w:t>
      </w:r>
      <w:r w:rsidRPr="0014103D">
        <w:rPr>
          <w:vertAlign w:val="superscript"/>
        </w:rPr>
        <w:footnoteRef/>
      </w:r>
      <w:r w:rsidRPr="0014103D">
        <w:t xml:space="preserve"> and were sized to be used for up to 20 years. An additional sample of 339 reserve SSUs was also selected to support an expansion of the sample or the study of special rare populations in future years. To date, these reserve SSUs have not yet been used for sampling for the MCBS. </w:t>
      </w:r>
    </w:p>
  </w:footnote>
  <w:footnote w:id="8">
    <w:p w:rsidR="00EE73BD" w14:paraId="3ED813D4" w14:textId="51A2CD11">
      <w:pPr>
        <w:pStyle w:val="FootnoteText"/>
      </w:pPr>
      <w:r>
        <w:rPr>
          <w:rStyle w:val="FootnoteReference"/>
        </w:rPr>
        <w:footnoteRef/>
      </w:r>
      <w:r>
        <w:t xml:space="preserve"> A total of 51 strata that include the 50 states and the District of Columbia.</w:t>
      </w:r>
    </w:p>
  </w:footnote>
  <w:footnote w:id="9">
    <w:p w:rsidR="00F10BF8" w:rsidRPr="00110F11" w:rsidP="00110F11" w14:paraId="21685C76" w14:textId="3D610CA1">
      <w:pPr>
        <w:pStyle w:val="FootnoteText"/>
        <w:spacing w:after="40"/>
      </w:pPr>
      <w:r w:rsidRPr="00110F11">
        <w:rPr>
          <w:rStyle w:val="FootnoteReference"/>
        </w:rPr>
        <w:footnoteRef/>
      </w:r>
      <w:r w:rsidRPr="00110F11">
        <w:t xml:space="preserve"> Events and costs incurred after enrollment in Medicare but prior to the first interview.</w:t>
      </w:r>
    </w:p>
  </w:footnote>
  <w:footnote w:id="10">
    <w:p w:rsidR="00F10BF8" w:rsidRPr="00110F11" w:rsidP="00110F11" w14:paraId="25414731" w14:textId="072A1E5B">
      <w:pPr>
        <w:pStyle w:val="FootnoteText"/>
        <w:spacing w:after="40"/>
      </w:pPr>
      <w:r w:rsidRPr="00110F11">
        <w:rPr>
          <w:rStyle w:val="FootnoteReference"/>
        </w:rPr>
        <w:footnoteRef/>
      </w:r>
      <w:r w:rsidRPr="00110F11">
        <w:t xml:space="preserve"> Neter J. Waksberg J. A Study of Response Errors in Expenditures Data from Household Interviews. Psychology. Journal of the American Statistical Association. March 1964. </w:t>
      </w:r>
    </w:p>
  </w:footnote>
  <w:footnote w:id="11">
    <w:p w:rsidR="007A1B04" w:rsidP="007A1B04" w14:paraId="1A91988F" w14:textId="79BA61FE">
      <w:pPr>
        <w:pStyle w:val="FootnoteText"/>
      </w:pPr>
      <w:r>
        <w:rPr>
          <w:rStyle w:val="FootnoteReference"/>
        </w:rPr>
        <w:footnoteRef/>
      </w:r>
      <w:r>
        <w:t xml:space="preserve"> </w:t>
      </w:r>
      <w:hyperlink r:id="rId2" w:history="1">
        <w:r w:rsidRPr="00E97681">
          <w:rPr>
            <w:rStyle w:val="Hyperlink"/>
          </w:rPr>
          <w:t>https://www.thelancet.com/journals/lanres/article/PIIS2213-2600(16)00006-0/fulltext</w:t>
        </w:r>
      </w:hyperlink>
    </w:p>
  </w:footnote>
  <w:footnote w:id="12">
    <w:p w:rsidR="007A1B04" w:rsidP="007A1B04" w14:paraId="5E965467" w14:textId="559F5D33">
      <w:pPr>
        <w:pStyle w:val="FootnoteText"/>
      </w:pPr>
      <w:r>
        <w:rPr>
          <w:rStyle w:val="FootnoteReference"/>
        </w:rPr>
        <w:footnoteRef/>
      </w:r>
      <w:r>
        <w:t xml:space="preserve"> </w:t>
      </w:r>
      <w:hyperlink r:id="rId3" w:history="1">
        <w:r w:rsidRPr="00E97681">
          <w:rPr>
            <w:rStyle w:val="Hyperlink"/>
          </w:rPr>
          <w:t>https://www.sciencedirect.com/science/article/pii/S1530891X23005281</w:t>
        </w:r>
      </w:hyperlink>
    </w:p>
  </w:footnote>
  <w:footnote w:id="13">
    <w:p w:rsidR="007A1B04" w:rsidP="007A1B04" w14:paraId="4830E4EF" w14:textId="4E51379A">
      <w:pPr>
        <w:pStyle w:val="FootnoteText"/>
      </w:pPr>
      <w:r>
        <w:rPr>
          <w:rStyle w:val="FootnoteReference"/>
        </w:rPr>
        <w:footnoteRef/>
      </w:r>
      <w:r>
        <w:t xml:space="preserve"> </w:t>
      </w:r>
      <w:hyperlink r:id="rId4" w:history="1">
        <w:r w:rsidRPr="00E97681">
          <w:rPr>
            <w:rStyle w:val="Hyperlink"/>
          </w:rPr>
          <w:t>https://www.tandfonline.com/doi/full/10.2147/CLEP.S40245</w:t>
        </w:r>
      </w:hyperlink>
    </w:p>
  </w:footnote>
  <w:footnote w:id="14">
    <w:p w:rsidR="0087781C" w14:paraId="5B61B33C" w14:textId="00AD2A6B">
      <w:pPr>
        <w:pStyle w:val="FootnoteText"/>
      </w:pPr>
      <w:r>
        <w:rPr>
          <w:rStyle w:val="FootnoteReference"/>
        </w:rPr>
        <w:footnoteRef/>
      </w:r>
      <w:r>
        <w:t xml:space="preserve"> </w:t>
      </w:r>
      <w:hyperlink r:id="rId5" w:history="1">
        <w:r w:rsidRPr="00E97681">
          <w:rPr>
            <w:rStyle w:val="Hyperlink"/>
          </w:rPr>
          <w:t>https://www.cbo.gov/publication/60816</w:t>
        </w:r>
      </w:hyperlink>
    </w:p>
  </w:footnote>
  <w:footnote w:id="15">
    <w:p w:rsidR="00125D35" w:rsidP="00125D35" w14:paraId="324EDA7D" w14:textId="7A2F1627">
      <w:pPr>
        <w:pStyle w:val="FootnoteText"/>
      </w:pPr>
      <w:r>
        <w:rPr>
          <w:rStyle w:val="FootnoteReference"/>
        </w:rPr>
        <w:footnoteRef/>
      </w:r>
      <w:r>
        <w:t xml:space="preserve"> </w:t>
      </w:r>
      <w:hyperlink r:id="rId6" w:tooltip="Minimum Data Set (MDS) 3.0 Resident Assessment Instrument (RAI) Manual" w:history="1">
        <w:r>
          <w:rPr>
            <w:rStyle w:val="Hyperlink"/>
          </w:rPr>
          <w:t>https://www.cms.gov/medicare/quality/nursing-home-improvement/resident-assessment-instrument-manual</w:t>
        </w:r>
      </w:hyperlink>
    </w:p>
  </w:footnote>
  <w:footnote w:id="16">
    <w:p w:rsidR="00845A99" w14:paraId="1E9DB867" w14:textId="60A68F31">
      <w:pPr>
        <w:pStyle w:val="FootnoteText"/>
      </w:pPr>
      <w:r>
        <w:rPr>
          <w:rStyle w:val="FootnoteReference"/>
        </w:rPr>
        <w:footnoteRef/>
      </w:r>
      <w:r>
        <w:t xml:space="preserve"> </w:t>
      </w:r>
      <w:r w:rsidRPr="00845A99">
        <w:t xml:space="preserve">Showcards are available to respondents to download </w:t>
      </w:r>
      <w:r w:rsidRPr="00845A99">
        <w:t>in order to</w:t>
      </w:r>
      <w:r w:rsidRPr="00845A99">
        <w:t xml:space="preserve"> follow along during phone interviews. </w:t>
      </w:r>
    </w:p>
  </w:footnote>
  <w:footnote w:id="17">
    <w:p w:rsidR="00F10BF8" w:rsidRPr="00110F11" w:rsidP="00110F11" w14:paraId="01EC3963" w14:textId="0A2FE275">
      <w:pPr>
        <w:pStyle w:val="FootnoteText"/>
        <w:spacing w:after="40"/>
      </w:pPr>
      <w:r w:rsidRPr="00110F11">
        <w:rPr>
          <w:rStyle w:val="FootnoteReference"/>
        </w:rPr>
        <w:footnoteRef/>
      </w:r>
      <w:r w:rsidRPr="00110F11">
        <w:t xml:space="preserve"> </w:t>
      </w:r>
      <w:hyperlink r:id="rId7" w:tooltip="2021 METHODOLOGY REPORT" w:history="1">
        <w:r w:rsidRPr="002531CB" w:rsidR="00B05459">
          <w:rPr>
            <w:rStyle w:val="Hyperlink"/>
          </w:rPr>
          <w:t>https://www.cms.gov/files/document/2021-mcbs-methodology-report.pdf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1">
    <w:nsid w:val="FFFFFF88"/>
    <w:multiLevelType w:val="singleLevel"/>
    <w:tmpl w:val="65909C62"/>
    <w:lvl w:ilvl="0">
      <w:start w:val="1"/>
      <w:numFmt w:val="decimal"/>
      <w:pStyle w:val="ListNumber"/>
      <w:lvlText w:val="%1."/>
      <w:lvlJc w:val="left"/>
      <w:pPr>
        <w:tabs>
          <w:tab w:val="num" w:pos="360"/>
        </w:tabs>
        <w:ind w:left="360" w:hanging="360"/>
      </w:pPr>
      <w:rPr>
        <w:b w:val="0"/>
        <w:bCs w:val="0"/>
        <w:i w:val="0"/>
        <w:iCs w:val="0"/>
      </w:rPr>
    </w:lvl>
  </w:abstractNum>
  <w:abstractNum w:abstractNumId="2">
    <w:nsid w:val="174B3C08"/>
    <w:multiLevelType w:val="hybridMultilevel"/>
    <w:tmpl w:val="3C9A4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3A3F37"/>
    <w:multiLevelType w:val="hybridMultilevel"/>
    <w:tmpl w:val="A6DA8904"/>
    <w:lvl w:ilvl="0">
      <w:start w:val="1"/>
      <w:numFmt w:val="bullet"/>
      <w:pStyle w:val="ListBullet3"/>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29F315ED"/>
    <w:multiLevelType w:val="hybridMultilevel"/>
    <w:tmpl w:val="2EC80F60"/>
    <w:lvl w:ilvl="0">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start w:val="0"/>
      <w:numFmt w:val="bullet"/>
      <w:lvlText w:val="•"/>
      <w:lvlJc w:val="left"/>
      <w:pPr>
        <w:ind w:left="1833" w:hanging="360"/>
      </w:pPr>
      <w:rPr>
        <w:rFonts w:hint="default"/>
      </w:rPr>
    </w:lvl>
    <w:lvl w:ilvl="3">
      <w:start w:val="0"/>
      <w:numFmt w:val="bullet"/>
      <w:lvlText w:val="•"/>
      <w:lvlJc w:val="left"/>
      <w:pPr>
        <w:ind w:left="2826" w:hanging="360"/>
      </w:pPr>
      <w:rPr>
        <w:rFonts w:hint="default"/>
      </w:rPr>
    </w:lvl>
    <w:lvl w:ilvl="4">
      <w:start w:val="0"/>
      <w:numFmt w:val="bullet"/>
      <w:lvlText w:val="•"/>
      <w:lvlJc w:val="left"/>
      <w:pPr>
        <w:ind w:left="3820" w:hanging="360"/>
      </w:pPr>
      <w:rPr>
        <w:rFonts w:hint="default"/>
      </w:rPr>
    </w:lvl>
    <w:lvl w:ilvl="5">
      <w:start w:val="0"/>
      <w:numFmt w:val="bullet"/>
      <w:lvlText w:val="•"/>
      <w:lvlJc w:val="left"/>
      <w:pPr>
        <w:ind w:left="4813" w:hanging="360"/>
      </w:pPr>
      <w:rPr>
        <w:rFonts w:hint="default"/>
      </w:rPr>
    </w:lvl>
    <w:lvl w:ilvl="6">
      <w:start w:val="0"/>
      <w:numFmt w:val="bullet"/>
      <w:lvlText w:val="•"/>
      <w:lvlJc w:val="left"/>
      <w:pPr>
        <w:ind w:left="580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93" w:hanging="360"/>
      </w:pPr>
      <w:rPr>
        <w:rFonts w:hint="default"/>
      </w:rPr>
    </w:lvl>
  </w:abstractNum>
  <w:abstractNum w:abstractNumId="5">
    <w:nsid w:val="30FE2A31"/>
    <w:multiLevelType w:val="hybridMultilevel"/>
    <w:tmpl w:val="40509D2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632EAD"/>
    <w:multiLevelType w:val="hybridMultilevel"/>
    <w:tmpl w:val="7FDCB9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4C7695"/>
    <w:multiLevelType w:val="hybridMultilevel"/>
    <w:tmpl w:val="89C6DEF4"/>
    <w:lvl w:ilvl="0">
      <w:start w:val="2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8F01FB"/>
    <w:multiLevelType w:val="hybridMultilevel"/>
    <w:tmpl w:val="4BFA0C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F2082A"/>
    <w:multiLevelType w:val="hybridMultilevel"/>
    <w:tmpl w:val="497208BE"/>
    <w:lvl w:ilvl="0">
      <w:start w:val="1"/>
      <w:numFmt w:val="bullet"/>
      <w:lvlText w:val="o"/>
      <w:lvlJc w:val="left"/>
      <w:pPr>
        <w:ind w:left="1140" w:hanging="360"/>
      </w:pPr>
      <w:rPr>
        <w:rFonts w:ascii="Courier New" w:hAnsi="Courier New" w:cs="Courier New"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0">
    <w:nsid w:val="4BB22ACB"/>
    <w:multiLevelType w:val="hybridMultilevel"/>
    <w:tmpl w:val="42A0754E"/>
    <w:lvl w:ilvl="0">
      <w:start w:val="2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953F8F"/>
    <w:multiLevelType w:val="hybridMultilevel"/>
    <w:tmpl w:val="ED4AB014"/>
    <w:lvl w:ilvl="0">
      <w:start w:val="1"/>
      <w:numFmt w:val="lowerLetter"/>
      <w:pStyle w:val="ListNumber2"/>
      <w:lvlText w:val="%1."/>
      <w:lvlJc w:val="left"/>
      <w:pPr>
        <w:ind w:left="920" w:hanging="360"/>
      </w:pPr>
      <w:rPr>
        <w:rFonts w:ascii="Times New Roman" w:eastAsia="Times New Roman" w:hAnsi="Times New Roman" w:cs="Times New Roman" w:hint="default"/>
        <w:spacing w:val="0"/>
        <w:w w:val="100"/>
        <w:sz w:val="24"/>
        <w:szCs w:val="24"/>
      </w:rPr>
    </w:lvl>
    <w:lvl w:ilvl="1">
      <w:start w:val="0"/>
      <w:numFmt w:val="bullet"/>
      <w:lvlText w:val="•"/>
      <w:lvlJc w:val="left"/>
      <w:pPr>
        <w:ind w:left="1806" w:hanging="360"/>
      </w:pPr>
      <w:rPr>
        <w:rFonts w:hint="default"/>
      </w:rPr>
    </w:lvl>
    <w:lvl w:ilvl="2">
      <w:start w:val="0"/>
      <w:numFmt w:val="bullet"/>
      <w:lvlText w:val="•"/>
      <w:lvlJc w:val="left"/>
      <w:pPr>
        <w:ind w:left="2692" w:hanging="360"/>
      </w:pPr>
      <w:rPr>
        <w:rFonts w:hint="default"/>
      </w:rPr>
    </w:lvl>
    <w:lvl w:ilvl="3">
      <w:start w:val="0"/>
      <w:numFmt w:val="bullet"/>
      <w:lvlText w:val="•"/>
      <w:lvlJc w:val="left"/>
      <w:pPr>
        <w:ind w:left="3578" w:hanging="360"/>
      </w:pPr>
      <w:rPr>
        <w:rFonts w:hint="default"/>
      </w:rPr>
    </w:lvl>
    <w:lvl w:ilvl="4">
      <w:start w:val="0"/>
      <w:numFmt w:val="bullet"/>
      <w:lvlText w:val="•"/>
      <w:lvlJc w:val="left"/>
      <w:pPr>
        <w:ind w:left="4464" w:hanging="360"/>
      </w:pPr>
      <w:rPr>
        <w:rFonts w:hint="default"/>
      </w:rPr>
    </w:lvl>
    <w:lvl w:ilvl="5">
      <w:start w:val="0"/>
      <w:numFmt w:val="bullet"/>
      <w:lvlText w:val="•"/>
      <w:lvlJc w:val="left"/>
      <w:pPr>
        <w:ind w:left="5350" w:hanging="360"/>
      </w:pPr>
      <w:rPr>
        <w:rFonts w:hint="default"/>
      </w:rPr>
    </w:lvl>
    <w:lvl w:ilvl="6">
      <w:start w:val="0"/>
      <w:numFmt w:val="bullet"/>
      <w:lvlText w:val="•"/>
      <w:lvlJc w:val="left"/>
      <w:pPr>
        <w:ind w:left="6236" w:hanging="360"/>
      </w:pPr>
      <w:rPr>
        <w:rFonts w:hint="default"/>
      </w:rPr>
    </w:lvl>
    <w:lvl w:ilvl="7">
      <w:start w:val="0"/>
      <w:numFmt w:val="bullet"/>
      <w:lvlText w:val="•"/>
      <w:lvlJc w:val="left"/>
      <w:pPr>
        <w:ind w:left="7122" w:hanging="360"/>
      </w:pPr>
      <w:rPr>
        <w:rFonts w:hint="default"/>
      </w:rPr>
    </w:lvl>
    <w:lvl w:ilvl="8">
      <w:start w:val="0"/>
      <w:numFmt w:val="bullet"/>
      <w:lvlText w:val="•"/>
      <w:lvlJc w:val="left"/>
      <w:pPr>
        <w:ind w:left="8008" w:hanging="360"/>
      </w:pPr>
      <w:rPr>
        <w:rFonts w:hint="default"/>
      </w:rPr>
    </w:lvl>
  </w:abstractNum>
  <w:abstractNum w:abstractNumId="12">
    <w:nsid w:val="5C3775D5"/>
    <w:multiLevelType w:val="hybridMultilevel"/>
    <w:tmpl w:val="99DC3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B71741"/>
    <w:multiLevelType w:val="hybridMultilevel"/>
    <w:tmpl w:val="B6A45CCA"/>
    <w:lvl w:ilvl="0">
      <w:start w:val="2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5E96BD3"/>
    <w:multiLevelType w:val="hybridMultilevel"/>
    <w:tmpl w:val="851AC9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67B726C1"/>
    <w:multiLevelType w:val="hybridMultilevel"/>
    <w:tmpl w:val="FF167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1AF1A10"/>
    <w:multiLevelType w:val="hybridMultilevel"/>
    <w:tmpl w:val="DDAC90DA"/>
    <w:lvl w:ilvl="0">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start w:val="0"/>
      <w:numFmt w:val="bullet"/>
      <w:lvlText w:val=""/>
      <w:lvlJc w:val="left"/>
      <w:pPr>
        <w:ind w:left="940" w:hanging="310"/>
      </w:pPr>
      <w:rPr>
        <w:rFonts w:ascii="Symbol" w:eastAsia="Symbol" w:hAnsi="Symbol" w:cs="Symbol" w:hint="default"/>
        <w:w w:val="100"/>
        <w:sz w:val="24"/>
        <w:szCs w:val="24"/>
      </w:rPr>
    </w:lvl>
    <w:lvl w:ilvl="2">
      <w:start w:val="0"/>
      <w:numFmt w:val="bullet"/>
      <w:lvlText w:val="•"/>
      <w:lvlJc w:val="left"/>
      <w:pPr>
        <w:ind w:left="1924" w:hanging="310"/>
      </w:pPr>
      <w:rPr>
        <w:rFonts w:hint="default"/>
      </w:rPr>
    </w:lvl>
    <w:lvl w:ilvl="3">
      <w:start w:val="0"/>
      <w:numFmt w:val="bullet"/>
      <w:lvlText w:val="•"/>
      <w:lvlJc w:val="left"/>
      <w:pPr>
        <w:ind w:left="2908" w:hanging="310"/>
      </w:pPr>
      <w:rPr>
        <w:rFonts w:hint="default"/>
      </w:rPr>
    </w:lvl>
    <w:lvl w:ilvl="4">
      <w:start w:val="0"/>
      <w:numFmt w:val="bullet"/>
      <w:lvlText w:val="•"/>
      <w:lvlJc w:val="left"/>
      <w:pPr>
        <w:ind w:left="3893" w:hanging="310"/>
      </w:pPr>
      <w:rPr>
        <w:rFonts w:hint="default"/>
      </w:rPr>
    </w:lvl>
    <w:lvl w:ilvl="5">
      <w:start w:val="0"/>
      <w:numFmt w:val="bullet"/>
      <w:lvlText w:val="•"/>
      <w:lvlJc w:val="left"/>
      <w:pPr>
        <w:ind w:left="4877" w:hanging="310"/>
      </w:pPr>
      <w:rPr>
        <w:rFonts w:hint="default"/>
      </w:rPr>
    </w:lvl>
    <w:lvl w:ilvl="6">
      <w:start w:val="0"/>
      <w:numFmt w:val="bullet"/>
      <w:lvlText w:val="•"/>
      <w:lvlJc w:val="left"/>
      <w:pPr>
        <w:ind w:left="5862" w:hanging="310"/>
      </w:pPr>
      <w:rPr>
        <w:rFonts w:hint="default"/>
      </w:rPr>
    </w:lvl>
    <w:lvl w:ilvl="7">
      <w:start w:val="0"/>
      <w:numFmt w:val="bullet"/>
      <w:lvlText w:val="•"/>
      <w:lvlJc w:val="left"/>
      <w:pPr>
        <w:ind w:left="6846" w:hanging="310"/>
      </w:pPr>
      <w:rPr>
        <w:rFonts w:hint="default"/>
      </w:rPr>
    </w:lvl>
    <w:lvl w:ilvl="8">
      <w:start w:val="0"/>
      <w:numFmt w:val="bullet"/>
      <w:lvlText w:val="•"/>
      <w:lvlJc w:val="left"/>
      <w:pPr>
        <w:ind w:left="7831" w:hanging="310"/>
      </w:pPr>
      <w:rPr>
        <w:rFonts w:hint="default"/>
      </w:rPr>
    </w:lvl>
  </w:abstractNum>
  <w:num w:numId="1" w16cid:durableId="1279066202">
    <w:abstractNumId w:val="11"/>
  </w:num>
  <w:num w:numId="2" w16cid:durableId="944456080">
    <w:abstractNumId w:val="4"/>
  </w:num>
  <w:num w:numId="3" w16cid:durableId="793518113">
    <w:abstractNumId w:val="16"/>
  </w:num>
  <w:num w:numId="4" w16cid:durableId="1558664294">
    <w:abstractNumId w:val="0"/>
  </w:num>
  <w:num w:numId="5" w16cid:durableId="1441099882">
    <w:abstractNumId w:val="1"/>
  </w:num>
  <w:num w:numId="6" w16cid:durableId="538976161">
    <w:abstractNumId w:val="3"/>
  </w:num>
  <w:num w:numId="7" w16cid:durableId="1806199280">
    <w:abstractNumId w:val="1"/>
    <w:lvlOverride w:ilvl="0">
      <w:startOverride w:val="1"/>
    </w:lvlOverride>
  </w:num>
  <w:num w:numId="8" w16cid:durableId="343702957">
    <w:abstractNumId w:val="1"/>
    <w:lvlOverride w:ilvl="0">
      <w:startOverride w:val="1"/>
    </w:lvlOverride>
  </w:num>
  <w:num w:numId="9" w16cid:durableId="549271237">
    <w:abstractNumId w:val="0"/>
  </w:num>
  <w:num w:numId="10" w16cid:durableId="1081878790">
    <w:abstractNumId w:val="5"/>
  </w:num>
  <w:num w:numId="11" w16cid:durableId="1098059996">
    <w:abstractNumId w:val="0"/>
  </w:num>
  <w:num w:numId="12" w16cid:durableId="1940798327">
    <w:abstractNumId w:val="0"/>
  </w:num>
  <w:num w:numId="13" w16cid:durableId="31809838">
    <w:abstractNumId w:val="14"/>
  </w:num>
  <w:num w:numId="14" w16cid:durableId="1987926476">
    <w:abstractNumId w:val="6"/>
  </w:num>
  <w:num w:numId="15" w16cid:durableId="1630011660">
    <w:abstractNumId w:val="9"/>
  </w:num>
  <w:num w:numId="16" w16cid:durableId="716590554">
    <w:abstractNumId w:val="0"/>
  </w:num>
  <w:num w:numId="17" w16cid:durableId="344020127">
    <w:abstractNumId w:val="0"/>
  </w:num>
  <w:num w:numId="18" w16cid:durableId="566847361">
    <w:abstractNumId w:val="14"/>
  </w:num>
  <w:num w:numId="19" w16cid:durableId="333148896">
    <w:abstractNumId w:val="0"/>
  </w:num>
  <w:num w:numId="20" w16cid:durableId="938945292">
    <w:abstractNumId w:val="14"/>
  </w:num>
  <w:num w:numId="21" w16cid:durableId="1601915693">
    <w:abstractNumId w:val="8"/>
  </w:num>
  <w:num w:numId="22" w16cid:durableId="43913435">
    <w:abstractNumId w:val="0"/>
  </w:num>
  <w:num w:numId="23" w16cid:durableId="1520465974">
    <w:abstractNumId w:val="15"/>
  </w:num>
  <w:num w:numId="24" w16cid:durableId="375740261">
    <w:abstractNumId w:val="2"/>
  </w:num>
  <w:num w:numId="25" w16cid:durableId="1016276012">
    <w:abstractNumId w:val="12"/>
  </w:num>
  <w:num w:numId="26" w16cid:durableId="814953745">
    <w:abstractNumId w:val="14"/>
  </w:num>
  <w:num w:numId="27" w16cid:durableId="979654656">
    <w:abstractNumId w:val="14"/>
  </w:num>
  <w:num w:numId="28" w16cid:durableId="1463385917">
    <w:abstractNumId w:val="10"/>
  </w:num>
  <w:num w:numId="29" w16cid:durableId="889732912">
    <w:abstractNumId w:val="13"/>
  </w:num>
  <w:num w:numId="30" w16cid:durableId="42295350">
    <w:abstractNumId w:val="7"/>
  </w:num>
  <w:num w:numId="31" w16cid:durableId="795179490">
    <w:abstractNumId w:val="14"/>
  </w:num>
  <w:num w:numId="32" w16cid:durableId="90013930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52B"/>
    <w:rsid w:val="00000631"/>
    <w:rsid w:val="00002CA4"/>
    <w:rsid w:val="00006816"/>
    <w:rsid w:val="000101BD"/>
    <w:rsid w:val="00011174"/>
    <w:rsid w:val="00012CA7"/>
    <w:rsid w:val="000144C7"/>
    <w:rsid w:val="00015740"/>
    <w:rsid w:val="00015C99"/>
    <w:rsid w:val="0001688D"/>
    <w:rsid w:val="00020EC0"/>
    <w:rsid w:val="000237D6"/>
    <w:rsid w:val="00023D84"/>
    <w:rsid w:val="000247E3"/>
    <w:rsid w:val="0002576F"/>
    <w:rsid w:val="000300D9"/>
    <w:rsid w:val="0003030E"/>
    <w:rsid w:val="00030B08"/>
    <w:rsid w:val="000313F9"/>
    <w:rsid w:val="00032D21"/>
    <w:rsid w:val="00034FF8"/>
    <w:rsid w:val="0003529C"/>
    <w:rsid w:val="00042219"/>
    <w:rsid w:val="000448B7"/>
    <w:rsid w:val="00044971"/>
    <w:rsid w:val="00045542"/>
    <w:rsid w:val="000461AC"/>
    <w:rsid w:val="000461B1"/>
    <w:rsid w:val="00047632"/>
    <w:rsid w:val="00051346"/>
    <w:rsid w:val="00054512"/>
    <w:rsid w:val="0005551B"/>
    <w:rsid w:val="0006207F"/>
    <w:rsid w:val="00062A6F"/>
    <w:rsid w:val="000631FB"/>
    <w:rsid w:val="00066A29"/>
    <w:rsid w:val="00066B99"/>
    <w:rsid w:val="00067A33"/>
    <w:rsid w:val="00072F5E"/>
    <w:rsid w:val="00074953"/>
    <w:rsid w:val="00077669"/>
    <w:rsid w:val="00080D41"/>
    <w:rsid w:val="00083B97"/>
    <w:rsid w:val="00084291"/>
    <w:rsid w:val="00084C3D"/>
    <w:rsid w:val="0009032E"/>
    <w:rsid w:val="00094042"/>
    <w:rsid w:val="000944BB"/>
    <w:rsid w:val="0009546A"/>
    <w:rsid w:val="000975E5"/>
    <w:rsid w:val="000978CE"/>
    <w:rsid w:val="000A248B"/>
    <w:rsid w:val="000A723E"/>
    <w:rsid w:val="000B17A2"/>
    <w:rsid w:val="000B1EAA"/>
    <w:rsid w:val="000B315E"/>
    <w:rsid w:val="000B4728"/>
    <w:rsid w:val="000B520E"/>
    <w:rsid w:val="000B7184"/>
    <w:rsid w:val="000B767D"/>
    <w:rsid w:val="000B7A89"/>
    <w:rsid w:val="000C29E3"/>
    <w:rsid w:val="000C3246"/>
    <w:rsid w:val="000C384A"/>
    <w:rsid w:val="000C5174"/>
    <w:rsid w:val="000D1953"/>
    <w:rsid w:val="000D3542"/>
    <w:rsid w:val="000D7D89"/>
    <w:rsid w:val="000E1D3A"/>
    <w:rsid w:val="000E2349"/>
    <w:rsid w:val="000E343B"/>
    <w:rsid w:val="000E49C8"/>
    <w:rsid w:val="000E5CDB"/>
    <w:rsid w:val="000E76B1"/>
    <w:rsid w:val="000F32AB"/>
    <w:rsid w:val="000F4D55"/>
    <w:rsid w:val="000F5739"/>
    <w:rsid w:val="000F716A"/>
    <w:rsid w:val="000F7647"/>
    <w:rsid w:val="000F776C"/>
    <w:rsid w:val="00101EE1"/>
    <w:rsid w:val="00104136"/>
    <w:rsid w:val="00105272"/>
    <w:rsid w:val="001052BF"/>
    <w:rsid w:val="00105F0E"/>
    <w:rsid w:val="001060F5"/>
    <w:rsid w:val="00110F11"/>
    <w:rsid w:val="0012130C"/>
    <w:rsid w:val="00123866"/>
    <w:rsid w:val="001252B9"/>
    <w:rsid w:val="00125D35"/>
    <w:rsid w:val="001274F5"/>
    <w:rsid w:val="00127AEA"/>
    <w:rsid w:val="0013229A"/>
    <w:rsid w:val="001327D1"/>
    <w:rsid w:val="0013326A"/>
    <w:rsid w:val="00133BF9"/>
    <w:rsid w:val="00134BCE"/>
    <w:rsid w:val="0014103D"/>
    <w:rsid w:val="0014189B"/>
    <w:rsid w:val="00143CB5"/>
    <w:rsid w:val="0014427B"/>
    <w:rsid w:val="00144C6B"/>
    <w:rsid w:val="00147C92"/>
    <w:rsid w:val="0015004D"/>
    <w:rsid w:val="00150B2F"/>
    <w:rsid w:val="00151EB4"/>
    <w:rsid w:val="001520B1"/>
    <w:rsid w:val="0015306E"/>
    <w:rsid w:val="00156176"/>
    <w:rsid w:val="00157DE6"/>
    <w:rsid w:val="00163703"/>
    <w:rsid w:val="00164243"/>
    <w:rsid w:val="0016778E"/>
    <w:rsid w:val="0017024A"/>
    <w:rsid w:val="00170939"/>
    <w:rsid w:val="001716BE"/>
    <w:rsid w:val="00172C65"/>
    <w:rsid w:val="00175146"/>
    <w:rsid w:val="00175803"/>
    <w:rsid w:val="00175C84"/>
    <w:rsid w:val="00176B52"/>
    <w:rsid w:val="00176F2C"/>
    <w:rsid w:val="00177230"/>
    <w:rsid w:val="001802DB"/>
    <w:rsid w:val="0018049F"/>
    <w:rsid w:val="00181A36"/>
    <w:rsid w:val="00181DA7"/>
    <w:rsid w:val="00183353"/>
    <w:rsid w:val="00184C23"/>
    <w:rsid w:val="00186915"/>
    <w:rsid w:val="0018751B"/>
    <w:rsid w:val="00192210"/>
    <w:rsid w:val="0019228C"/>
    <w:rsid w:val="00193464"/>
    <w:rsid w:val="00193901"/>
    <w:rsid w:val="00193FE6"/>
    <w:rsid w:val="001A0325"/>
    <w:rsid w:val="001A1C5D"/>
    <w:rsid w:val="001A598E"/>
    <w:rsid w:val="001A7112"/>
    <w:rsid w:val="001A7DA8"/>
    <w:rsid w:val="001B141B"/>
    <w:rsid w:val="001B47CD"/>
    <w:rsid w:val="001B573C"/>
    <w:rsid w:val="001B5D55"/>
    <w:rsid w:val="001B663C"/>
    <w:rsid w:val="001B7704"/>
    <w:rsid w:val="001C1642"/>
    <w:rsid w:val="001C1985"/>
    <w:rsid w:val="001C2387"/>
    <w:rsid w:val="001C4F0F"/>
    <w:rsid w:val="001C4F5B"/>
    <w:rsid w:val="001C5F58"/>
    <w:rsid w:val="001C6175"/>
    <w:rsid w:val="001D1A42"/>
    <w:rsid w:val="001D318D"/>
    <w:rsid w:val="001D3ACF"/>
    <w:rsid w:val="001D3E4D"/>
    <w:rsid w:val="001D6CAE"/>
    <w:rsid w:val="001E06AE"/>
    <w:rsid w:val="001E6768"/>
    <w:rsid w:val="001E70F1"/>
    <w:rsid w:val="001E7469"/>
    <w:rsid w:val="001F1584"/>
    <w:rsid w:val="001F1DDE"/>
    <w:rsid w:val="001F4EC1"/>
    <w:rsid w:val="001F5027"/>
    <w:rsid w:val="001F55CC"/>
    <w:rsid w:val="001F5FAC"/>
    <w:rsid w:val="00200E3E"/>
    <w:rsid w:val="00203BFE"/>
    <w:rsid w:val="00207FA8"/>
    <w:rsid w:val="002103E3"/>
    <w:rsid w:val="00210822"/>
    <w:rsid w:val="00211360"/>
    <w:rsid w:val="002113AD"/>
    <w:rsid w:val="002130FE"/>
    <w:rsid w:val="00221BEC"/>
    <w:rsid w:val="002229E3"/>
    <w:rsid w:val="00223040"/>
    <w:rsid w:val="00224949"/>
    <w:rsid w:val="00225736"/>
    <w:rsid w:val="00230B3A"/>
    <w:rsid w:val="00231FE4"/>
    <w:rsid w:val="00232471"/>
    <w:rsid w:val="002338A1"/>
    <w:rsid w:val="00234E89"/>
    <w:rsid w:val="00234EC5"/>
    <w:rsid w:val="0024114C"/>
    <w:rsid w:val="00241F2F"/>
    <w:rsid w:val="00242599"/>
    <w:rsid w:val="00243B17"/>
    <w:rsid w:val="002457CD"/>
    <w:rsid w:val="00246E2F"/>
    <w:rsid w:val="00247140"/>
    <w:rsid w:val="002519D9"/>
    <w:rsid w:val="002531CB"/>
    <w:rsid w:val="00254B1A"/>
    <w:rsid w:val="00254DA2"/>
    <w:rsid w:val="00255E53"/>
    <w:rsid w:val="002575A8"/>
    <w:rsid w:val="00257889"/>
    <w:rsid w:val="002601C1"/>
    <w:rsid w:val="00261177"/>
    <w:rsid w:val="00261F87"/>
    <w:rsid w:val="002629FF"/>
    <w:rsid w:val="0026648D"/>
    <w:rsid w:val="00267F93"/>
    <w:rsid w:val="00275A0E"/>
    <w:rsid w:val="00277503"/>
    <w:rsid w:val="002860FB"/>
    <w:rsid w:val="00287739"/>
    <w:rsid w:val="0029042C"/>
    <w:rsid w:val="0029045C"/>
    <w:rsid w:val="002934C7"/>
    <w:rsid w:val="00293E8C"/>
    <w:rsid w:val="00294C87"/>
    <w:rsid w:val="002A2015"/>
    <w:rsid w:val="002A28CE"/>
    <w:rsid w:val="002A3732"/>
    <w:rsid w:val="002A3D24"/>
    <w:rsid w:val="002A4BDB"/>
    <w:rsid w:val="002A6CA7"/>
    <w:rsid w:val="002B033C"/>
    <w:rsid w:val="002B0401"/>
    <w:rsid w:val="002B4860"/>
    <w:rsid w:val="002B6147"/>
    <w:rsid w:val="002C0CDB"/>
    <w:rsid w:val="002C2466"/>
    <w:rsid w:val="002C473C"/>
    <w:rsid w:val="002D02BA"/>
    <w:rsid w:val="002D2A0C"/>
    <w:rsid w:val="002D3F09"/>
    <w:rsid w:val="002D43C0"/>
    <w:rsid w:val="002D4FED"/>
    <w:rsid w:val="002D649B"/>
    <w:rsid w:val="002D73C9"/>
    <w:rsid w:val="002E0091"/>
    <w:rsid w:val="002E1BBE"/>
    <w:rsid w:val="002E2860"/>
    <w:rsid w:val="002E73B3"/>
    <w:rsid w:val="002E7C47"/>
    <w:rsid w:val="002E7F6E"/>
    <w:rsid w:val="002F059F"/>
    <w:rsid w:val="002F06B3"/>
    <w:rsid w:val="002F2D36"/>
    <w:rsid w:val="002F41A4"/>
    <w:rsid w:val="002F4EBC"/>
    <w:rsid w:val="002F4F3F"/>
    <w:rsid w:val="002F52B9"/>
    <w:rsid w:val="002F7632"/>
    <w:rsid w:val="002F76D6"/>
    <w:rsid w:val="0030138B"/>
    <w:rsid w:val="00303F54"/>
    <w:rsid w:val="00304B1C"/>
    <w:rsid w:val="00305381"/>
    <w:rsid w:val="003066E9"/>
    <w:rsid w:val="00310894"/>
    <w:rsid w:val="003135A3"/>
    <w:rsid w:val="00313C09"/>
    <w:rsid w:val="003143AF"/>
    <w:rsid w:val="0031657F"/>
    <w:rsid w:val="003169B3"/>
    <w:rsid w:val="00316E8E"/>
    <w:rsid w:val="003212C4"/>
    <w:rsid w:val="00321A0C"/>
    <w:rsid w:val="00323D4C"/>
    <w:rsid w:val="00324808"/>
    <w:rsid w:val="003269CF"/>
    <w:rsid w:val="00326BF1"/>
    <w:rsid w:val="00330FB9"/>
    <w:rsid w:val="0033227E"/>
    <w:rsid w:val="00332765"/>
    <w:rsid w:val="00333774"/>
    <w:rsid w:val="003338A5"/>
    <w:rsid w:val="00337D90"/>
    <w:rsid w:val="00340310"/>
    <w:rsid w:val="00341A9B"/>
    <w:rsid w:val="00342162"/>
    <w:rsid w:val="00342E6F"/>
    <w:rsid w:val="003430D6"/>
    <w:rsid w:val="003442CF"/>
    <w:rsid w:val="00344404"/>
    <w:rsid w:val="00345110"/>
    <w:rsid w:val="00350255"/>
    <w:rsid w:val="0035191D"/>
    <w:rsid w:val="003533FC"/>
    <w:rsid w:val="00355CCE"/>
    <w:rsid w:val="00355E4B"/>
    <w:rsid w:val="00356678"/>
    <w:rsid w:val="00360F12"/>
    <w:rsid w:val="003614C9"/>
    <w:rsid w:val="003614E7"/>
    <w:rsid w:val="00364216"/>
    <w:rsid w:val="003642D3"/>
    <w:rsid w:val="00375351"/>
    <w:rsid w:val="00375978"/>
    <w:rsid w:val="00376CDC"/>
    <w:rsid w:val="00377EFD"/>
    <w:rsid w:val="00383200"/>
    <w:rsid w:val="003839DB"/>
    <w:rsid w:val="003870E2"/>
    <w:rsid w:val="003874A3"/>
    <w:rsid w:val="00390ADE"/>
    <w:rsid w:val="00391CBF"/>
    <w:rsid w:val="003937EF"/>
    <w:rsid w:val="00395042"/>
    <w:rsid w:val="003975A0"/>
    <w:rsid w:val="00397D2B"/>
    <w:rsid w:val="003A0E54"/>
    <w:rsid w:val="003A414D"/>
    <w:rsid w:val="003A427E"/>
    <w:rsid w:val="003A7753"/>
    <w:rsid w:val="003B0DC7"/>
    <w:rsid w:val="003B0E01"/>
    <w:rsid w:val="003B1F56"/>
    <w:rsid w:val="003B2872"/>
    <w:rsid w:val="003B3FF5"/>
    <w:rsid w:val="003B5735"/>
    <w:rsid w:val="003B695E"/>
    <w:rsid w:val="003B7873"/>
    <w:rsid w:val="003C0E08"/>
    <w:rsid w:val="003C1495"/>
    <w:rsid w:val="003C1744"/>
    <w:rsid w:val="003C37E2"/>
    <w:rsid w:val="003C3E04"/>
    <w:rsid w:val="003C52AC"/>
    <w:rsid w:val="003C6A00"/>
    <w:rsid w:val="003C7124"/>
    <w:rsid w:val="003D34C2"/>
    <w:rsid w:val="003D4D6D"/>
    <w:rsid w:val="003E1EC0"/>
    <w:rsid w:val="003E481D"/>
    <w:rsid w:val="003E486D"/>
    <w:rsid w:val="003E52AA"/>
    <w:rsid w:val="003E551B"/>
    <w:rsid w:val="003E5A5E"/>
    <w:rsid w:val="003F17CF"/>
    <w:rsid w:val="003F3610"/>
    <w:rsid w:val="003F4D5F"/>
    <w:rsid w:val="003F4FEC"/>
    <w:rsid w:val="004024CD"/>
    <w:rsid w:val="00403684"/>
    <w:rsid w:val="0040456E"/>
    <w:rsid w:val="00405995"/>
    <w:rsid w:val="00407D79"/>
    <w:rsid w:val="00407EBB"/>
    <w:rsid w:val="004108C0"/>
    <w:rsid w:val="004112E2"/>
    <w:rsid w:val="00412AD2"/>
    <w:rsid w:val="004143C7"/>
    <w:rsid w:val="00415AE3"/>
    <w:rsid w:val="00417E97"/>
    <w:rsid w:val="00420827"/>
    <w:rsid w:val="00420B0B"/>
    <w:rsid w:val="00421346"/>
    <w:rsid w:val="00423868"/>
    <w:rsid w:val="00426D8A"/>
    <w:rsid w:val="004352C0"/>
    <w:rsid w:val="00435579"/>
    <w:rsid w:val="00435A97"/>
    <w:rsid w:val="004364EB"/>
    <w:rsid w:val="0043667E"/>
    <w:rsid w:val="00436836"/>
    <w:rsid w:val="00437332"/>
    <w:rsid w:val="0044006A"/>
    <w:rsid w:val="00440EBF"/>
    <w:rsid w:val="00442A91"/>
    <w:rsid w:val="0044386F"/>
    <w:rsid w:val="00444AB8"/>
    <w:rsid w:val="004451A0"/>
    <w:rsid w:val="00445929"/>
    <w:rsid w:val="00446DC8"/>
    <w:rsid w:val="004470FD"/>
    <w:rsid w:val="00450740"/>
    <w:rsid w:val="004510D6"/>
    <w:rsid w:val="00453B4F"/>
    <w:rsid w:val="0045458B"/>
    <w:rsid w:val="0045532F"/>
    <w:rsid w:val="00460098"/>
    <w:rsid w:val="00464389"/>
    <w:rsid w:val="00470849"/>
    <w:rsid w:val="0047177B"/>
    <w:rsid w:val="004719DE"/>
    <w:rsid w:val="00473191"/>
    <w:rsid w:val="00473873"/>
    <w:rsid w:val="004739F8"/>
    <w:rsid w:val="00473E69"/>
    <w:rsid w:val="004741AE"/>
    <w:rsid w:val="0047465A"/>
    <w:rsid w:val="0047474C"/>
    <w:rsid w:val="00475547"/>
    <w:rsid w:val="00475846"/>
    <w:rsid w:val="00475DEB"/>
    <w:rsid w:val="004803C1"/>
    <w:rsid w:val="00485C02"/>
    <w:rsid w:val="00491616"/>
    <w:rsid w:val="00492FC2"/>
    <w:rsid w:val="00495C2D"/>
    <w:rsid w:val="00496196"/>
    <w:rsid w:val="00496A3F"/>
    <w:rsid w:val="004A0A07"/>
    <w:rsid w:val="004A187A"/>
    <w:rsid w:val="004A2105"/>
    <w:rsid w:val="004A3958"/>
    <w:rsid w:val="004A3CEF"/>
    <w:rsid w:val="004A6345"/>
    <w:rsid w:val="004A7F92"/>
    <w:rsid w:val="004B2A78"/>
    <w:rsid w:val="004B5379"/>
    <w:rsid w:val="004B5583"/>
    <w:rsid w:val="004B6782"/>
    <w:rsid w:val="004C1221"/>
    <w:rsid w:val="004C6055"/>
    <w:rsid w:val="004C63F5"/>
    <w:rsid w:val="004D4AE9"/>
    <w:rsid w:val="004D4FBE"/>
    <w:rsid w:val="004D548B"/>
    <w:rsid w:val="004D628F"/>
    <w:rsid w:val="004D6EBE"/>
    <w:rsid w:val="004D7000"/>
    <w:rsid w:val="004E046B"/>
    <w:rsid w:val="004E1371"/>
    <w:rsid w:val="004E28E1"/>
    <w:rsid w:val="004E2ACD"/>
    <w:rsid w:val="004E3A72"/>
    <w:rsid w:val="004F0025"/>
    <w:rsid w:val="004F12AE"/>
    <w:rsid w:val="004F1ECC"/>
    <w:rsid w:val="004F4B4F"/>
    <w:rsid w:val="004F5471"/>
    <w:rsid w:val="004F5F7E"/>
    <w:rsid w:val="0050063F"/>
    <w:rsid w:val="00500A19"/>
    <w:rsid w:val="00501205"/>
    <w:rsid w:val="0050236E"/>
    <w:rsid w:val="005027D1"/>
    <w:rsid w:val="00502B6C"/>
    <w:rsid w:val="005037C7"/>
    <w:rsid w:val="005045CE"/>
    <w:rsid w:val="00504D69"/>
    <w:rsid w:val="00505BED"/>
    <w:rsid w:val="0050626C"/>
    <w:rsid w:val="00507E58"/>
    <w:rsid w:val="00511088"/>
    <w:rsid w:val="00512E20"/>
    <w:rsid w:val="00514F67"/>
    <w:rsid w:val="005216E9"/>
    <w:rsid w:val="00522115"/>
    <w:rsid w:val="00522C26"/>
    <w:rsid w:val="00523F6E"/>
    <w:rsid w:val="0052463F"/>
    <w:rsid w:val="00524E48"/>
    <w:rsid w:val="00525ADA"/>
    <w:rsid w:val="00526639"/>
    <w:rsid w:val="00531702"/>
    <w:rsid w:val="0053175A"/>
    <w:rsid w:val="00531A4A"/>
    <w:rsid w:val="00535471"/>
    <w:rsid w:val="00536D54"/>
    <w:rsid w:val="00540AD0"/>
    <w:rsid w:val="005424CB"/>
    <w:rsid w:val="00542614"/>
    <w:rsid w:val="00542AE0"/>
    <w:rsid w:val="00542DDA"/>
    <w:rsid w:val="0054487F"/>
    <w:rsid w:val="00545151"/>
    <w:rsid w:val="00547E1D"/>
    <w:rsid w:val="00550BE2"/>
    <w:rsid w:val="005529C6"/>
    <w:rsid w:val="00555729"/>
    <w:rsid w:val="00555832"/>
    <w:rsid w:val="00556D78"/>
    <w:rsid w:val="005628E5"/>
    <w:rsid w:val="00566BE2"/>
    <w:rsid w:val="00573DF3"/>
    <w:rsid w:val="00573E44"/>
    <w:rsid w:val="00574146"/>
    <w:rsid w:val="005770A6"/>
    <w:rsid w:val="005811C2"/>
    <w:rsid w:val="0058282B"/>
    <w:rsid w:val="005842CD"/>
    <w:rsid w:val="00584D49"/>
    <w:rsid w:val="00586D22"/>
    <w:rsid w:val="005970FE"/>
    <w:rsid w:val="005A1214"/>
    <w:rsid w:val="005A15AC"/>
    <w:rsid w:val="005A1F0A"/>
    <w:rsid w:val="005A2930"/>
    <w:rsid w:val="005A4789"/>
    <w:rsid w:val="005B29A6"/>
    <w:rsid w:val="005B34C7"/>
    <w:rsid w:val="005B4C30"/>
    <w:rsid w:val="005B53E1"/>
    <w:rsid w:val="005B554D"/>
    <w:rsid w:val="005B5F27"/>
    <w:rsid w:val="005B761F"/>
    <w:rsid w:val="005C05E0"/>
    <w:rsid w:val="005C125F"/>
    <w:rsid w:val="005C17EA"/>
    <w:rsid w:val="005C37C0"/>
    <w:rsid w:val="005C3E3F"/>
    <w:rsid w:val="005C4838"/>
    <w:rsid w:val="005C67E5"/>
    <w:rsid w:val="005C6803"/>
    <w:rsid w:val="005C728A"/>
    <w:rsid w:val="005C7EB1"/>
    <w:rsid w:val="005C7F78"/>
    <w:rsid w:val="005D00F4"/>
    <w:rsid w:val="005D242F"/>
    <w:rsid w:val="005D5D51"/>
    <w:rsid w:val="005D639F"/>
    <w:rsid w:val="005D6A87"/>
    <w:rsid w:val="005D6BE6"/>
    <w:rsid w:val="005E0E67"/>
    <w:rsid w:val="005E30CC"/>
    <w:rsid w:val="005E4A5F"/>
    <w:rsid w:val="005E50E1"/>
    <w:rsid w:val="005E6984"/>
    <w:rsid w:val="005F10FB"/>
    <w:rsid w:val="005F29DD"/>
    <w:rsid w:val="005F2E1D"/>
    <w:rsid w:val="005F553E"/>
    <w:rsid w:val="005F5B12"/>
    <w:rsid w:val="005F5E74"/>
    <w:rsid w:val="005F6EBF"/>
    <w:rsid w:val="00600BD5"/>
    <w:rsid w:val="0060100A"/>
    <w:rsid w:val="0060143F"/>
    <w:rsid w:val="00602230"/>
    <w:rsid w:val="00602FE9"/>
    <w:rsid w:val="00605AB9"/>
    <w:rsid w:val="006075C5"/>
    <w:rsid w:val="00610910"/>
    <w:rsid w:val="00612879"/>
    <w:rsid w:val="00612F01"/>
    <w:rsid w:val="00614CA9"/>
    <w:rsid w:val="00616CC0"/>
    <w:rsid w:val="006217E2"/>
    <w:rsid w:val="006225EA"/>
    <w:rsid w:val="00622A4F"/>
    <w:rsid w:val="00622E3B"/>
    <w:rsid w:val="00625A83"/>
    <w:rsid w:val="006260F7"/>
    <w:rsid w:val="00626323"/>
    <w:rsid w:val="00626708"/>
    <w:rsid w:val="0062699F"/>
    <w:rsid w:val="006317BB"/>
    <w:rsid w:val="006329C4"/>
    <w:rsid w:val="00632E4F"/>
    <w:rsid w:val="00633FB4"/>
    <w:rsid w:val="006362A6"/>
    <w:rsid w:val="006377C7"/>
    <w:rsid w:val="00640B85"/>
    <w:rsid w:val="00642734"/>
    <w:rsid w:val="00645D93"/>
    <w:rsid w:val="00647510"/>
    <w:rsid w:val="00650751"/>
    <w:rsid w:val="006508A0"/>
    <w:rsid w:val="006513F9"/>
    <w:rsid w:val="00653C03"/>
    <w:rsid w:val="00656770"/>
    <w:rsid w:val="00664097"/>
    <w:rsid w:val="006709B6"/>
    <w:rsid w:val="00672345"/>
    <w:rsid w:val="0067247B"/>
    <w:rsid w:val="006728E7"/>
    <w:rsid w:val="006779E9"/>
    <w:rsid w:val="00680982"/>
    <w:rsid w:val="00680E29"/>
    <w:rsid w:val="00681CB0"/>
    <w:rsid w:val="0068257D"/>
    <w:rsid w:val="00682933"/>
    <w:rsid w:val="00685245"/>
    <w:rsid w:val="006853DF"/>
    <w:rsid w:val="00690C30"/>
    <w:rsid w:val="00690D8A"/>
    <w:rsid w:val="00691ED2"/>
    <w:rsid w:val="00692AAB"/>
    <w:rsid w:val="006938AE"/>
    <w:rsid w:val="00693A78"/>
    <w:rsid w:val="00694DB8"/>
    <w:rsid w:val="00697525"/>
    <w:rsid w:val="006A0B83"/>
    <w:rsid w:val="006A20BF"/>
    <w:rsid w:val="006A2F27"/>
    <w:rsid w:val="006A3992"/>
    <w:rsid w:val="006A4E68"/>
    <w:rsid w:val="006A752E"/>
    <w:rsid w:val="006A7803"/>
    <w:rsid w:val="006B0CDE"/>
    <w:rsid w:val="006B1CEE"/>
    <w:rsid w:val="006B2D85"/>
    <w:rsid w:val="006B39D5"/>
    <w:rsid w:val="006B595E"/>
    <w:rsid w:val="006B60F8"/>
    <w:rsid w:val="006B72D2"/>
    <w:rsid w:val="006B76A2"/>
    <w:rsid w:val="006C0576"/>
    <w:rsid w:val="006C2977"/>
    <w:rsid w:val="006C32F4"/>
    <w:rsid w:val="006C506D"/>
    <w:rsid w:val="006C6619"/>
    <w:rsid w:val="006C681A"/>
    <w:rsid w:val="006D22BC"/>
    <w:rsid w:val="006D3F5D"/>
    <w:rsid w:val="006D6635"/>
    <w:rsid w:val="006D6CFC"/>
    <w:rsid w:val="006E0017"/>
    <w:rsid w:val="006E08C3"/>
    <w:rsid w:val="006E5B67"/>
    <w:rsid w:val="006E6947"/>
    <w:rsid w:val="006F001A"/>
    <w:rsid w:val="006F2768"/>
    <w:rsid w:val="006F2A7F"/>
    <w:rsid w:val="006F44BD"/>
    <w:rsid w:val="00700118"/>
    <w:rsid w:val="0070112B"/>
    <w:rsid w:val="007013A2"/>
    <w:rsid w:val="00702F01"/>
    <w:rsid w:val="007030AC"/>
    <w:rsid w:val="007043F8"/>
    <w:rsid w:val="00704BE0"/>
    <w:rsid w:val="007060C3"/>
    <w:rsid w:val="00714524"/>
    <w:rsid w:val="007152E2"/>
    <w:rsid w:val="00715467"/>
    <w:rsid w:val="00715B3F"/>
    <w:rsid w:val="00721235"/>
    <w:rsid w:val="00721722"/>
    <w:rsid w:val="00724A44"/>
    <w:rsid w:val="00724F41"/>
    <w:rsid w:val="00725DF0"/>
    <w:rsid w:val="00726F22"/>
    <w:rsid w:val="00727629"/>
    <w:rsid w:val="0073069A"/>
    <w:rsid w:val="00730FAA"/>
    <w:rsid w:val="00732CD0"/>
    <w:rsid w:val="00732D8A"/>
    <w:rsid w:val="00733EAB"/>
    <w:rsid w:val="007342F6"/>
    <w:rsid w:val="00734E72"/>
    <w:rsid w:val="00735ED0"/>
    <w:rsid w:val="0073766C"/>
    <w:rsid w:val="007427B5"/>
    <w:rsid w:val="00743FA8"/>
    <w:rsid w:val="0074606C"/>
    <w:rsid w:val="0075105A"/>
    <w:rsid w:val="00756870"/>
    <w:rsid w:val="007612D1"/>
    <w:rsid w:val="00765667"/>
    <w:rsid w:val="007700F3"/>
    <w:rsid w:val="007712B1"/>
    <w:rsid w:val="0077150C"/>
    <w:rsid w:val="0077170B"/>
    <w:rsid w:val="00771ABD"/>
    <w:rsid w:val="00771E3A"/>
    <w:rsid w:val="007733E2"/>
    <w:rsid w:val="0077365B"/>
    <w:rsid w:val="0077371E"/>
    <w:rsid w:val="00774FC1"/>
    <w:rsid w:val="007757B3"/>
    <w:rsid w:val="0077700F"/>
    <w:rsid w:val="00780CCA"/>
    <w:rsid w:val="00782BCA"/>
    <w:rsid w:val="00783B29"/>
    <w:rsid w:val="007864F6"/>
    <w:rsid w:val="00786FC2"/>
    <w:rsid w:val="00787FE2"/>
    <w:rsid w:val="00791A9B"/>
    <w:rsid w:val="00792997"/>
    <w:rsid w:val="00795F14"/>
    <w:rsid w:val="00796917"/>
    <w:rsid w:val="007A186D"/>
    <w:rsid w:val="007A1B04"/>
    <w:rsid w:val="007A2956"/>
    <w:rsid w:val="007A4D0F"/>
    <w:rsid w:val="007A7965"/>
    <w:rsid w:val="007B208A"/>
    <w:rsid w:val="007B3904"/>
    <w:rsid w:val="007B3C62"/>
    <w:rsid w:val="007B4872"/>
    <w:rsid w:val="007B5538"/>
    <w:rsid w:val="007B642B"/>
    <w:rsid w:val="007B6FB2"/>
    <w:rsid w:val="007C13CB"/>
    <w:rsid w:val="007C1D5F"/>
    <w:rsid w:val="007C21B0"/>
    <w:rsid w:val="007D1E05"/>
    <w:rsid w:val="007D2229"/>
    <w:rsid w:val="007D2DA2"/>
    <w:rsid w:val="007D2FDE"/>
    <w:rsid w:val="007D3A83"/>
    <w:rsid w:val="007D3BA4"/>
    <w:rsid w:val="007D46BE"/>
    <w:rsid w:val="007D5B6B"/>
    <w:rsid w:val="007D5D48"/>
    <w:rsid w:val="007D75BC"/>
    <w:rsid w:val="007E0440"/>
    <w:rsid w:val="007E07E4"/>
    <w:rsid w:val="007E126D"/>
    <w:rsid w:val="007E1A64"/>
    <w:rsid w:val="007E6DE7"/>
    <w:rsid w:val="007E751D"/>
    <w:rsid w:val="007E7941"/>
    <w:rsid w:val="007F1043"/>
    <w:rsid w:val="007F129B"/>
    <w:rsid w:val="007F1E51"/>
    <w:rsid w:val="007F2779"/>
    <w:rsid w:val="007F33D4"/>
    <w:rsid w:val="007F516C"/>
    <w:rsid w:val="007F6AE1"/>
    <w:rsid w:val="007F6E34"/>
    <w:rsid w:val="00802BE0"/>
    <w:rsid w:val="00803841"/>
    <w:rsid w:val="00803FF3"/>
    <w:rsid w:val="00804CFA"/>
    <w:rsid w:val="0080512A"/>
    <w:rsid w:val="00811BEC"/>
    <w:rsid w:val="00814743"/>
    <w:rsid w:val="00815091"/>
    <w:rsid w:val="008163AB"/>
    <w:rsid w:val="008174B4"/>
    <w:rsid w:val="008174FC"/>
    <w:rsid w:val="008237CD"/>
    <w:rsid w:val="00827B31"/>
    <w:rsid w:val="00832B9C"/>
    <w:rsid w:val="00835459"/>
    <w:rsid w:val="00836126"/>
    <w:rsid w:val="00842C06"/>
    <w:rsid w:val="008437C5"/>
    <w:rsid w:val="00843C7D"/>
    <w:rsid w:val="00844164"/>
    <w:rsid w:val="00844281"/>
    <w:rsid w:val="00845A99"/>
    <w:rsid w:val="00846489"/>
    <w:rsid w:val="00850994"/>
    <w:rsid w:val="0085141C"/>
    <w:rsid w:val="00851C58"/>
    <w:rsid w:val="0085382F"/>
    <w:rsid w:val="00853A05"/>
    <w:rsid w:val="008549D5"/>
    <w:rsid w:val="00855861"/>
    <w:rsid w:val="00855EF3"/>
    <w:rsid w:val="00856ADE"/>
    <w:rsid w:val="00860A8C"/>
    <w:rsid w:val="0086179C"/>
    <w:rsid w:val="00861C1F"/>
    <w:rsid w:val="0086372F"/>
    <w:rsid w:val="00863D59"/>
    <w:rsid w:val="008647DB"/>
    <w:rsid w:val="008657F7"/>
    <w:rsid w:val="008677F6"/>
    <w:rsid w:val="0087006A"/>
    <w:rsid w:val="00871A7A"/>
    <w:rsid w:val="008764E5"/>
    <w:rsid w:val="0087781C"/>
    <w:rsid w:val="00880973"/>
    <w:rsid w:val="00881E8D"/>
    <w:rsid w:val="0088452B"/>
    <w:rsid w:val="00885EED"/>
    <w:rsid w:val="00887C90"/>
    <w:rsid w:val="008911CB"/>
    <w:rsid w:val="008922D1"/>
    <w:rsid w:val="00893119"/>
    <w:rsid w:val="00893F9B"/>
    <w:rsid w:val="00897878"/>
    <w:rsid w:val="008A1EAC"/>
    <w:rsid w:val="008A3DA3"/>
    <w:rsid w:val="008A3E55"/>
    <w:rsid w:val="008B0777"/>
    <w:rsid w:val="008B0870"/>
    <w:rsid w:val="008B16EF"/>
    <w:rsid w:val="008B3E80"/>
    <w:rsid w:val="008B4A58"/>
    <w:rsid w:val="008B52B9"/>
    <w:rsid w:val="008B52C7"/>
    <w:rsid w:val="008B6728"/>
    <w:rsid w:val="008B705D"/>
    <w:rsid w:val="008C09A7"/>
    <w:rsid w:val="008C0B63"/>
    <w:rsid w:val="008C374F"/>
    <w:rsid w:val="008C4031"/>
    <w:rsid w:val="008C51E9"/>
    <w:rsid w:val="008C5570"/>
    <w:rsid w:val="008C614A"/>
    <w:rsid w:val="008C622A"/>
    <w:rsid w:val="008C65AA"/>
    <w:rsid w:val="008C66A1"/>
    <w:rsid w:val="008C6F83"/>
    <w:rsid w:val="008C6FF4"/>
    <w:rsid w:val="008C7EDA"/>
    <w:rsid w:val="008D0E8E"/>
    <w:rsid w:val="008D363D"/>
    <w:rsid w:val="008D5838"/>
    <w:rsid w:val="008D7A5E"/>
    <w:rsid w:val="008E18A6"/>
    <w:rsid w:val="008E2CAE"/>
    <w:rsid w:val="008E3459"/>
    <w:rsid w:val="008E67A7"/>
    <w:rsid w:val="008E6B2F"/>
    <w:rsid w:val="008E76A6"/>
    <w:rsid w:val="008F10D8"/>
    <w:rsid w:val="008F1BDB"/>
    <w:rsid w:val="008F342E"/>
    <w:rsid w:val="008F3871"/>
    <w:rsid w:val="008F464E"/>
    <w:rsid w:val="008F6A14"/>
    <w:rsid w:val="009008A5"/>
    <w:rsid w:val="00900B96"/>
    <w:rsid w:val="00902C63"/>
    <w:rsid w:val="0090331E"/>
    <w:rsid w:val="00905616"/>
    <w:rsid w:val="009058CF"/>
    <w:rsid w:val="0091283D"/>
    <w:rsid w:val="00914FC8"/>
    <w:rsid w:val="00917249"/>
    <w:rsid w:val="009173C6"/>
    <w:rsid w:val="00920970"/>
    <w:rsid w:val="009209B4"/>
    <w:rsid w:val="0092468D"/>
    <w:rsid w:val="00925965"/>
    <w:rsid w:val="00925F2F"/>
    <w:rsid w:val="00927032"/>
    <w:rsid w:val="00930507"/>
    <w:rsid w:val="0093055E"/>
    <w:rsid w:val="00930F58"/>
    <w:rsid w:val="009310DD"/>
    <w:rsid w:val="00931DDE"/>
    <w:rsid w:val="00932A15"/>
    <w:rsid w:val="0093354D"/>
    <w:rsid w:val="00935D95"/>
    <w:rsid w:val="0094170A"/>
    <w:rsid w:val="00943421"/>
    <w:rsid w:val="00944084"/>
    <w:rsid w:val="00944849"/>
    <w:rsid w:val="00944999"/>
    <w:rsid w:val="00946F0A"/>
    <w:rsid w:val="0095084D"/>
    <w:rsid w:val="0095274C"/>
    <w:rsid w:val="00955089"/>
    <w:rsid w:val="00955EB5"/>
    <w:rsid w:val="009568AB"/>
    <w:rsid w:val="00960270"/>
    <w:rsid w:val="0096133C"/>
    <w:rsid w:val="009619B0"/>
    <w:rsid w:val="00961BD7"/>
    <w:rsid w:val="009630D0"/>
    <w:rsid w:val="0096357B"/>
    <w:rsid w:val="00963E20"/>
    <w:rsid w:val="009641B8"/>
    <w:rsid w:val="00965083"/>
    <w:rsid w:val="00966B4F"/>
    <w:rsid w:val="00970137"/>
    <w:rsid w:val="009733A8"/>
    <w:rsid w:val="00973462"/>
    <w:rsid w:val="00974F57"/>
    <w:rsid w:val="00975BF8"/>
    <w:rsid w:val="009761B1"/>
    <w:rsid w:val="00977087"/>
    <w:rsid w:val="009808A8"/>
    <w:rsid w:val="00980951"/>
    <w:rsid w:val="00981BA8"/>
    <w:rsid w:val="0098243E"/>
    <w:rsid w:val="00984576"/>
    <w:rsid w:val="00985761"/>
    <w:rsid w:val="009871B4"/>
    <w:rsid w:val="0099019D"/>
    <w:rsid w:val="0099029C"/>
    <w:rsid w:val="00991739"/>
    <w:rsid w:val="009926E6"/>
    <w:rsid w:val="00993474"/>
    <w:rsid w:val="00993F01"/>
    <w:rsid w:val="0099595E"/>
    <w:rsid w:val="00995DE8"/>
    <w:rsid w:val="00995E09"/>
    <w:rsid w:val="009A55E5"/>
    <w:rsid w:val="009A644B"/>
    <w:rsid w:val="009A6DB8"/>
    <w:rsid w:val="009A7F69"/>
    <w:rsid w:val="009B0327"/>
    <w:rsid w:val="009B0FDA"/>
    <w:rsid w:val="009B2E1D"/>
    <w:rsid w:val="009B5882"/>
    <w:rsid w:val="009C59ED"/>
    <w:rsid w:val="009C6E7C"/>
    <w:rsid w:val="009D00DA"/>
    <w:rsid w:val="009D0EB7"/>
    <w:rsid w:val="009D1D6A"/>
    <w:rsid w:val="009D44C1"/>
    <w:rsid w:val="009D4B3F"/>
    <w:rsid w:val="009D58E6"/>
    <w:rsid w:val="009E01E1"/>
    <w:rsid w:val="009E184C"/>
    <w:rsid w:val="009E3220"/>
    <w:rsid w:val="009E5484"/>
    <w:rsid w:val="009F0B58"/>
    <w:rsid w:val="009F0EFD"/>
    <w:rsid w:val="009F1FCB"/>
    <w:rsid w:val="009F3E90"/>
    <w:rsid w:val="009F55C2"/>
    <w:rsid w:val="009F5BB5"/>
    <w:rsid w:val="009F6F9D"/>
    <w:rsid w:val="00A00553"/>
    <w:rsid w:val="00A00657"/>
    <w:rsid w:val="00A015D7"/>
    <w:rsid w:val="00A03CF9"/>
    <w:rsid w:val="00A04364"/>
    <w:rsid w:val="00A05A57"/>
    <w:rsid w:val="00A12E2C"/>
    <w:rsid w:val="00A12FBC"/>
    <w:rsid w:val="00A13F15"/>
    <w:rsid w:val="00A1465B"/>
    <w:rsid w:val="00A16557"/>
    <w:rsid w:val="00A16DF1"/>
    <w:rsid w:val="00A20B93"/>
    <w:rsid w:val="00A2218A"/>
    <w:rsid w:val="00A24ED6"/>
    <w:rsid w:val="00A25C6B"/>
    <w:rsid w:val="00A26470"/>
    <w:rsid w:val="00A30A9B"/>
    <w:rsid w:val="00A32942"/>
    <w:rsid w:val="00A33FCC"/>
    <w:rsid w:val="00A34C9B"/>
    <w:rsid w:val="00A35741"/>
    <w:rsid w:val="00A35A0E"/>
    <w:rsid w:val="00A35E62"/>
    <w:rsid w:val="00A35F89"/>
    <w:rsid w:val="00A378B6"/>
    <w:rsid w:val="00A4097D"/>
    <w:rsid w:val="00A41C24"/>
    <w:rsid w:val="00A42DA8"/>
    <w:rsid w:val="00A43273"/>
    <w:rsid w:val="00A43772"/>
    <w:rsid w:val="00A51BB4"/>
    <w:rsid w:val="00A528D4"/>
    <w:rsid w:val="00A53717"/>
    <w:rsid w:val="00A53F0D"/>
    <w:rsid w:val="00A5794F"/>
    <w:rsid w:val="00A60E26"/>
    <w:rsid w:val="00A61638"/>
    <w:rsid w:val="00A61BD1"/>
    <w:rsid w:val="00A62703"/>
    <w:rsid w:val="00A63990"/>
    <w:rsid w:val="00A63A40"/>
    <w:rsid w:val="00A641A7"/>
    <w:rsid w:val="00A64B49"/>
    <w:rsid w:val="00A6517A"/>
    <w:rsid w:val="00A66B6C"/>
    <w:rsid w:val="00A672EA"/>
    <w:rsid w:val="00A710C4"/>
    <w:rsid w:val="00A766F7"/>
    <w:rsid w:val="00A76CE3"/>
    <w:rsid w:val="00A76CE8"/>
    <w:rsid w:val="00A7710A"/>
    <w:rsid w:val="00A77A74"/>
    <w:rsid w:val="00A80E5E"/>
    <w:rsid w:val="00A8346E"/>
    <w:rsid w:val="00A834AF"/>
    <w:rsid w:val="00A8353C"/>
    <w:rsid w:val="00A83B3C"/>
    <w:rsid w:val="00A84348"/>
    <w:rsid w:val="00A84681"/>
    <w:rsid w:val="00A85C02"/>
    <w:rsid w:val="00A85C80"/>
    <w:rsid w:val="00A8726C"/>
    <w:rsid w:val="00A924DE"/>
    <w:rsid w:val="00A927A7"/>
    <w:rsid w:val="00A92C76"/>
    <w:rsid w:val="00A96037"/>
    <w:rsid w:val="00A979AB"/>
    <w:rsid w:val="00AA0354"/>
    <w:rsid w:val="00AA07E5"/>
    <w:rsid w:val="00AA22B0"/>
    <w:rsid w:val="00AA3C1D"/>
    <w:rsid w:val="00AA5F67"/>
    <w:rsid w:val="00AB112B"/>
    <w:rsid w:val="00AB2554"/>
    <w:rsid w:val="00AB2D56"/>
    <w:rsid w:val="00AB3380"/>
    <w:rsid w:val="00AB499D"/>
    <w:rsid w:val="00AB4AAF"/>
    <w:rsid w:val="00AB4E49"/>
    <w:rsid w:val="00AB50CA"/>
    <w:rsid w:val="00AB76F4"/>
    <w:rsid w:val="00AB7AB3"/>
    <w:rsid w:val="00AC08A6"/>
    <w:rsid w:val="00AC2DA5"/>
    <w:rsid w:val="00AC33F3"/>
    <w:rsid w:val="00AC355B"/>
    <w:rsid w:val="00AC4CC1"/>
    <w:rsid w:val="00AC4F81"/>
    <w:rsid w:val="00AC76D6"/>
    <w:rsid w:val="00AC79EC"/>
    <w:rsid w:val="00AD0D2A"/>
    <w:rsid w:val="00AD2BAF"/>
    <w:rsid w:val="00AD425B"/>
    <w:rsid w:val="00AD4395"/>
    <w:rsid w:val="00AD63B8"/>
    <w:rsid w:val="00AE2063"/>
    <w:rsid w:val="00AE2936"/>
    <w:rsid w:val="00AE32A7"/>
    <w:rsid w:val="00AE3C9E"/>
    <w:rsid w:val="00AE5B08"/>
    <w:rsid w:val="00AE5C2C"/>
    <w:rsid w:val="00AE68D3"/>
    <w:rsid w:val="00AE6BFA"/>
    <w:rsid w:val="00AE7D21"/>
    <w:rsid w:val="00AF0C2B"/>
    <w:rsid w:val="00AF0D61"/>
    <w:rsid w:val="00AF2D71"/>
    <w:rsid w:val="00AF3BF2"/>
    <w:rsid w:val="00AF5787"/>
    <w:rsid w:val="00AF5AD2"/>
    <w:rsid w:val="00AF5CD4"/>
    <w:rsid w:val="00B01836"/>
    <w:rsid w:val="00B02E2E"/>
    <w:rsid w:val="00B05459"/>
    <w:rsid w:val="00B060E0"/>
    <w:rsid w:val="00B07DBD"/>
    <w:rsid w:val="00B1062F"/>
    <w:rsid w:val="00B10996"/>
    <w:rsid w:val="00B10A10"/>
    <w:rsid w:val="00B11C3D"/>
    <w:rsid w:val="00B13C80"/>
    <w:rsid w:val="00B13DA1"/>
    <w:rsid w:val="00B14106"/>
    <w:rsid w:val="00B14D41"/>
    <w:rsid w:val="00B1563D"/>
    <w:rsid w:val="00B164C8"/>
    <w:rsid w:val="00B16654"/>
    <w:rsid w:val="00B21125"/>
    <w:rsid w:val="00B21A04"/>
    <w:rsid w:val="00B22F5B"/>
    <w:rsid w:val="00B236C5"/>
    <w:rsid w:val="00B23F7C"/>
    <w:rsid w:val="00B2437A"/>
    <w:rsid w:val="00B2688A"/>
    <w:rsid w:val="00B3066E"/>
    <w:rsid w:val="00B31B7D"/>
    <w:rsid w:val="00B32668"/>
    <w:rsid w:val="00B34B01"/>
    <w:rsid w:val="00B34FC9"/>
    <w:rsid w:val="00B368D4"/>
    <w:rsid w:val="00B401ED"/>
    <w:rsid w:val="00B41430"/>
    <w:rsid w:val="00B41CCA"/>
    <w:rsid w:val="00B436DC"/>
    <w:rsid w:val="00B43B45"/>
    <w:rsid w:val="00B43FDF"/>
    <w:rsid w:val="00B44AB6"/>
    <w:rsid w:val="00B45B10"/>
    <w:rsid w:val="00B46BA7"/>
    <w:rsid w:val="00B512BD"/>
    <w:rsid w:val="00B5197D"/>
    <w:rsid w:val="00B52FB9"/>
    <w:rsid w:val="00B539F7"/>
    <w:rsid w:val="00B55D62"/>
    <w:rsid w:val="00B56BB1"/>
    <w:rsid w:val="00B60125"/>
    <w:rsid w:val="00B607A1"/>
    <w:rsid w:val="00B62AAF"/>
    <w:rsid w:val="00B62BF0"/>
    <w:rsid w:val="00B63093"/>
    <w:rsid w:val="00B6312A"/>
    <w:rsid w:val="00B637E7"/>
    <w:rsid w:val="00B63D3C"/>
    <w:rsid w:val="00B6488A"/>
    <w:rsid w:val="00B652D1"/>
    <w:rsid w:val="00B6631E"/>
    <w:rsid w:val="00B6652A"/>
    <w:rsid w:val="00B70100"/>
    <w:rsid w:val="00B71648"/>
    <w:rsid w:val="00B72334"/>
    <w:rsid w:val="00B74326"/>
    <w:rsid w:val="00B749A0"/>
    <w:rsid w:val="00B76263"/>
    <w:rsid w:val="00B7686F"/>
    <w:rsid w:val="00B770CD"/>
    <w:rsid w:val="00B77A1A"/>
    <w:rsid w:val="00B81F5A"/>
    <w:rsid w:val="00B826FE"/>
    <w:rsid w:val="00B84776"/>
    <w:rsid w:val="00B851A6"/>
    <w:rsid w:val="00B867EB"/>
    <w:rsid w:val="00B91691"/>
    <w:rsid w:val="00B9296F"/>
    <w:rsid w:val="00B930E5"/>
    <w:rsid w:val="00B94A64"/>
    <w:rsid w:val="00B95B94"/>
    <w:rsid w:val="00B96551"/>
    <w:rsid w:val="00BA086A"/>
    <w:rsid w:val="00BA103C"/>
    <w:rsid w:val="00BA222E"/>
    <w:rsid w:val="00BA226A"/>
    <w:rsid w:val="00BA2FEB"/>
    <w:rsid w:val="00BA3A43"/>
    <w:rsid w:val="00BA3CBE"/>
    <w:rsid w:val="00BA5FB3"/>
    <w:rsid w:val="00BA7372"/>
    <w:rsid w:val="00BB07E7"/>
    <w:rsid w:val="00BB2D9F"/>
    <w:rsid w:val="00BB526D"/>
    <w:rsid w:val="00BB6C1D"/>
    <w:rsid w:val="00BC039B"/>
    <w:rsid w:val="00BC104A"/>
    <w:rsid w:val="00BC219E"/>
    <w:rsid w:val="00BC2BB6"/>
    <w:rsid w:val="00BC7F82"/>
    <w:rsid w:val="00BD03A8"/>
    <w:rsid w:val="00BD0687"/>
    <w:rsid w:val="00BD3851"/>
    <w:rsid w:val="00BD4A99"/>
    <w:rsid w:val="00BD5964"/>
    <w:rsid w:val="00BD5B15"/>
    <w:rsid w:val="00BD72D7"/>
    <w:rsid w:val="00BE16DF"/>
    <w:rsid w:val="00BE3AD9"/>
    <w:rsid w:val="00BE52DC"/>
    <w:rsid w:val="00BE5A40"/>
    <w:rsid w:val="00BF03C2"/>
    <w:rsid w:val="00BF2880"/>
    <w:rsid w:val="00BF37B9"/>
    <w:rsid w:val="00BF3DA4"/>
    <w:rsid w:val="00BF43E3"/>
    <w:rsid w:val="00BF5D64"/>
    <w:rsid w:val="00BF6EAC"/>
    <w:rsid w:val="00BF721A"/>
    <w:rsid w:val="00C00B83"/>
    <w:rsid w:val="00C00C81"/>
    <w:rsid w:val="00C02029"/>
    <w:rsid w:val="00C035D2"/>
    <w:rsid w:val="00C06ACB"/>
    <w:rsid w:val="00C07A97"/>
    <w:rsid w:val="00C10F2F"/>
    <w:rsid w:val="00C12184"/>
    <w:rsid w:val="00C122EC"/>
    <w:rsid w:val="00C130BD"/>
    <w:rsid w:val="00C142FF"/>
    <w:rsid w:val="00C14FB5"/>
    <w:rsid w:val="00C15327"/>
    <w:rsid w:val="00C15676"/>
    <w:rsid w:val="00C15DCD"/>
    <w:rsid w:val="00C16C2D"/>
    <w:rsid w:val="00C170DB"/>
    <w:rsid w:val="00C17A23"/>
    <w:rsid w:val="00C20992"/>
    <w:rsid w:val="00C2141C"/>
    <w:rsid w:val="00C23437"/>
    <w:rsid w:val="00C24C03"/>
    <w:rsid w:val="00C26C79"/>
    <w:rsid w:val="00C27049"/>
    <w:rsid w:val="00C27A57"/>
    <w:rsid w:val="00C30380"/>
    <w:rsid w:val="00C30835"/>
    <w:rsid w:val="00C3086C"/>
    <w:rsid w:val="00C3351B"/>
    <w:rsid w:val="00C33AB6"/>
    <w:rsid w:val="00C35E52"/>
    <w:rsid w:val="00C37FE2"/>
    <w:rsid w:val="00C43A46"/>
    <w:rsid w:val="00C452A3"/>
    <w:rsid w:val="00C50631"/>
    <w:rsid w:val="00C54FEF"/>
    <w:rsid w:val="00C557D4"/>
    <w:rsid w:val="00C560CE"/>
    <w:rsid w:val="00C61436"/>
    <w:rsid w:val="00C648BC"/>
    <w:rsid w:val="00C65D98"/>
    <w:rsid w:val="00C7066E"/>
    <w:rsid w:val="00C70706"/>
    <w:rsid w:val="00C7144C"/>
    <w:rsid w:val="00C760C4"/>
    <w:rsid w:val="00C77658"/>
    <w:rsid w:val="00C816EB"/>
    <w:rsid w:val="00C818ED"/>
    <w:rsid w:val="00C82E50"/>
    <w:rsid w:val="00C8618E"/>
    <w:rsid w:val="00C87AA7"/>
    <w:rsid w:val="00C87B16"/>
    <w:rsid w:val="00C87E27"/>
    <w:rsid w:val="00C91997"/>
    <w:rsid w:val="00C92C03"/>
    <w:rsid w:val="00C95254"/>
    <w:rsid w:val="00C97697"/>
    <w:rsid w:val="00C97781"/>
    <w:rsid w:val="00C97F7C"/>
    <w:rsid w:val="00CA0928"/>
    <w:rsid w:val="00CA14A6"/>
    <w:rsid w:val="00CA1E06"/>
    <w:rsid w:val="00CA25A8"/>
    <w:rsid w:val="00CA6B67"/>
    <w:rsid w:val="00CA75A8"/>
    <w:rsid w:val="00CA75F4"/>
    <w:rsid w:val="00CB08A2"/>
    <w:rsid w:val="00CB0CCE"/>
    <w:rsid w:val="00CB154A"/>
    <w:rsid w:val="00CB1DBA"/>
    <w:rsid w:val="00CB3A81"/>
    <w:rsid w:val="00CB683B"/>
    <w:rsid w:val="00CC0DE2"/>
    <w:rsid w:val="00CC2333"/>
    <w:rsid w:val="00CC2F25"/>
    <w:rsid w:val="00CC4DE7"/>
    <w:rsid w:val="00CC53F6"/>
    <w:rsid w:val="00CC5BD4"/>
    <w:rsid w:val="00CC5D9D"/>
    <w:rsid w:val="00CD209E"/>
    <w:rsid w:val="00CD3F90"/>
    <w:rsid w:val="00CD4D23"/>
    <w:rsid w:val="00CD5C48"/>
    <w:rsid w:val="00CE03D8"/>
    <w:rsid w:val="00CE0DAD"/>
    <w:rsid w:val="00CE1CD6"/>
    <w:rsid w:val="00CE243C"/>
    <w:rsid w:val="00CE5493"/>
    <w:rsid w:val="00CE54E3"/>
    <w:rsid w:val="00CE6411"/>
    <w:rsid w:val="00CF0BA2"/>
    <w:rsid w:val="00CF2247"/>
    <w:rsid w:val="00CF2B93"/>
    <w:rsid w:val="00CF4177"/>
    <w:rsid w:val="00CF4E16"/>
    <w:rsid w:val="00CF65EF"/>
    <w:rsid w:val="00CF6DE7"/>
    <w:rsid w:val="00D0057E"/>
    <w:rsid w:val="00D03F5A"/>
    <w:rsid w:val="00D04471"/>
    <w:rsid w:val="00D04B37"/>
    <w:rsid w:val="00D05FAC"/>
    <w:rsid w:val="00D105F6"/>
    <w:rsid w:val="00D1197E"/>
    <w:rsid w:val="00D13B1C"/>
    <w:rsid w:val="00D13D8B"/>
    <w:rsid w:val="00D16682"/>
    <w:rsid w:val="00D176BD"/>
    <w:rsid w:val="00D22DE3"/>
    <w:rsid w:val="00D23E69"/>
    <w:rsid w:val="00D271BD"/>
    <w:rsid w:val="00D27E05"/>
    <w:rsid w:val="00D27EA8"/>
    <w:rsid w:val="00D31CF7"/>
    <w:rsid w:val="00D31DF6"/>
    <w:rsid w:val="00D34D6C"/>
    <w:rsid w:val="00D35671"/>
    <w:rsid w:val="00D376A5"/>
    <w:rsid w:val="00D40CA4"/>
    <w:rsid w:val="00D416EF"/>
    <w:rsid w:val="00D4207F"/>
    <w:rsid w:val="00D43A2D"/>
    <w:rsid w:val="00D43BB9"/>
    <w:rsid w:val="00D448D1"/>
    <w:rsid w:val="00D457FC"/>
    <w:rsid w:val="00D465AB"/>
    <w:rsid w:val="00D47044"/>
    <w:rsid w:val="00D47FB3"/>
    <w:rsid w:val="00D501C5"/>
    <w:rsid w:val="00D524B8"/>
    <w:rsid w:val="00D53D2B"/>
    <w:rsid w:val="00D55A28"/>
    <w:rsid w:val="00D56524"/>
    <w:rsid w:val="00D5679F"/>
    <w:rsid w:val="00D56C58"/>
    <w:rsid w:val="00D60017"/>
    <w:rsid w:val="00D6069A"/>
    <w:rsid w:val="00D60AA1"/>
    <w:rsid w:val="00D62CF3"/>
    <w:rsid w:val="00D65EBD"/>
    <w:rsid w:val="00D669C9"/>
    <w:rsid w:val="00D70D5F"/>
    <w:rsid w:val="00D724C5"/>
    <w:rsid w:val="00D724CC"/>
    <w:rsid w:val="00D73AA4"/>
    <w:rsid w:val="00D74230"/>
    <w:rsid w:val="00D7763B"/>
    <w:rsid w:val="00D814F7"/>
    <w:rsid w:val="00D841B0"/>
    <w:rsid w:val="00D8684D"/>
    <w:rsid w:val="00D906DC"/>
    <w:rsid w:val="00D9180E"/>
    <w:rsid w:val="00D918BA"/>
    <w:rsid w:val="00D9191A"/>
    <w:rsid w:val="00D91CFE"/>
    <w:rsid w:val="00D926C8"/>
    <w:rsid w:val="00D93A77"/>
    <w:rsid w:val="00D94F41"/>
    <w:rsid w:val="00DA048C"/>
    <w:rsid w:val="00DA2626"/>
    <w:rsid w:val="00DA3C6D"/>
    <w:rsid w:val="00DA76E7"/>
    <w:rsid w:val="00DA7FA5"/>
    <w:rsid w:val="00DB0887"/>
    <w:rsid w:val="00DB088D"/>
    <w:rsid w:val="00DB10D4"/>
    <w:rsid w:val="00DB24D7"/>
    <w:rsid w:val="00DB3C44"/>
    <w:rsid w:val="00DB3CAD"/>
    <w:rsid w:val="00DB4437"/>
    <w:rsid w:val="00DB6BE8"/>
    <w:rsid w:val="00DB6DA8"/>
    <w:rsid w:val="00DB7A2C"/>
    <w:rsid w:val="00DB7A6C"/>
    <w:rsid w:val="00DC250E"/>
    <w:rsid w:val="00DC68F4"/>
    <w:rsid w:val="00DC7380"/>
    <w:rsid w:val="00DC7AB4"/>
    <w:rsid w:val="00DD1771"/>
    <w:rsid w:val="00DD4BC9"/>
    <w:rsid w:val="00DD7F37"/>
    <w:rsid w:val="00DE0131"/>
    <w:rsid w:val="00DE098F"/>
    <w:rsid w:val="00DE14F3"/>
    <w:rsid w:val="00DE1787"/>
    <w:rsid w:val="00DE2377"/>
    <w:rsid w:val="00DE2BDB"/>
    <w:rsid w:val="00DE360C"/>
    <w:rsid w:val="00DE384F"/>
    <w:rsid w:val="00DE4567"/>
    <w:rsid w:val="00DE6332"/>
    <w:rsid w:val="00DE6F87"/>
    <w:rsid w:val="00DF1C0C"/>
    <w:rsid w:val="00DF2CE3"/>
    <w:rsid w:val="00DF3926"/>
    <w:rsid w:val="00DF3F7E"/>
    <w:rsid w:val="00DF4FC6"/>
    <w:rsid w:val="00DF57CD"/>
    <w:rsid w:val="00DF67A9"/>
    <w:rsid w:val="00DF6C84"/>
    <w:rsid w:val="00DF7377"/>
    <w:rsid w:val="00DF7721"/>
    <w:rsid w:val="00DF79C0"/>
    <w:rsid w:val="00E00E3D"/>
    <w:rsid w:val="00E02117"/>
    <w:rsid w:val="00E07F78"/>
    <w:rsid w:val="00E1094D"/>
    <w:rsid w:val="00E11138"/>
    <w:rsid w:val="00E12AD9"/>
    <w:rsid w:val="00E146E1"/>
    <w:rsid w:val="00E219CE"/>
    <w:rsid w:val="00E2367E"/>
    <w:rsid w:val="00E2475C"/>
    <w:rsid w:val="00E25084"/>
    <w:rsid w:val="00E251E2"/>
    <w:rsid w:val="00E25CED"/>
    <w:rsid w:val="00E25F9D"/>
    <w:rsid w:val="00E26CE7"/>
    <w:rsid w:val="00E26E96"/>
    <w:rsid w:val="00E270E2"/>
    <w:rsid w:val="00E27D9E"/>
    <w:rsid w:val="00E33049"/>
    <w:rsid w:val="00E33085"/>
    <w:rsid w:val="00E36D6D"/>
    <w:rsid w:val="00E402EE"/>
    <w:rsid w:val="00E4287B"/>
    <w:rsid w:val="00E4431B"/>
    <w:rsid w:val="00E44B0B"/>
    <w:rsid w:val="00E47D6C"/>
    <w:rsid w:val="00E50C32"/>
    <w:rsid w:val="00E51898"/>
    <w:rsid w:val="00E525DC"/>
    <w:rsid w:val="00E52A94"/>
    <w:rsid w:val="00E53680"/>
    <w:rsid w:val="00E54072"/>
    <w:rsid w:val="00E543C8"/>
    <w:rsid w:val="00E54D2F"/>
    <w:rsid w:val="00E55A77"/>
    <w:rsid w:val="00E62841"/>
    <w:rsid w:val="00E63942"/>
    <w:rsid w:val="00E63D64"/>
    <w:rsid w:val="00E6551B"/>
    <w:rsid w:val="00E66EC1"/>
    <w:rsid w:val="00E6712B"/>
    <w:rsid w:val="00E730B6"/>
    <w:rsid w:val="00E752DB"/>
    <w:rsid w:val="00E75EDB"/>
    <w:rsid w:val="00E77310"/>
    <w:rsid w:val="00E77393"/>
    <w:rsid w:val="00E778E5"/>
    <w:rsid w:val="00E8088A"/>
    <w:rsid w:val="00E83DA5"/>
    <w:rsid w:val="00E85594"/>
    <w:rsid w:val="00E860DC"/>
    <w:rsid w:val="00E920B7"/>
    <w:rsid w:val="00E92E25"/>
    <w:rsid w:val="00E95785"/>
    <w:rsid w:val="00E959B5"/>
    <w:rsid w:val="00E95E7E"/>
    <w:rsid w:val="00E97681"/>
    <w:rsid w:val="00EA1F4F"/>
    <w:rsid w:val="00EA1FDA"/>
    <w:rsid w:val="00EA66BC"/>
    <w:rsid w:val="00EA74DE"/>
    <w:rsid w:val="00EA7602"/>
    <w:rsid w:val="00EB00AF"/>
    <w:rsid w:val="00EB05D9"/>
    <w:rsid w:val="00EB1202"/>
    <w:rsid w:val="00EB5306"/>
    <w:rsid w:val="00EB5691"/>
    <w:rsid w:val="00EB76C8"/>
    <w:rsid w:val="00EC3422"/>
    <w:rsid w:val="00EC4ED3"/>
    <w:rsid w:val="00EC7AD6"/>
    <w:rsid w:val="00EC7DF5"/>
    <w:rsid w:val="00ED65A1"/>
    <w:rsid w:val="00EE0221"/>
    <w:rsid w:val="00EE0BE3"/>
    <w:rsid w:val="00EE1A7B"/>
    <w:rsid w:val="00EE1F7F"/>
    <w:rsid w:val="00EE23BB"/>
    <w:rsid w:val="00EE460F"/>
    <w:rsid w:val="00EE73BD"/>
    <w:rsid w:val="00EE73BF"/>
    <w:rsid w:val="00EF1998"/>
    <w:rsid w:val="00EF3225"/>
    <w:rsid w:val="00EF442A"/>
    <w:rsid w:val="00EF7FD8"/>
    <w:rsid w:val="00F001B7"/>
    <w:rsid w:val="00F03BAD"/>
    <w:rsid w:val="00F03E68"/>
    <w:rsid w:val="00F0748C"/>
    <w:rsid w:val="00F10486"/>
    <w:rsid w:val="00F10BF8"/>
    <w:rsid w:val="00F11CA0"/>
    <w:rsid w:val="00F15F4B"/>
    <w:rsid w:val="00F2289C"/>
    <w:rsid w:val="00F22EC4"/>
    <w:rsid w:val="00F24C60"/>
    <w:rsid w:val="00F260D7"/>
    <w:rsid w:val="00F323C1"/>
    <w:rsid w:val="00F3665B"/>
    <w:rsid w:val="00F36FB5"/>
    <w:rsid w:val="00F41EFA"/>
    <w:rsid w:val="00F45944"/>
    <w:rsid w:val="00F46066"/>
    <w:rsid w:val="00F5190B"/>
    <w:rsid w:val="00F5306C"/>
    <w:rsid w:val="00F53796"/>
    <w:rsid w:val="00F550BE"/>
    <w:rsid w:val="00F55CD4"/>
    <w:rsid w:val="00F578AA"/>
    <w:rsid w:val="00F60718"/>
    <w:rsid w:val="00F607CD"/>
    <w:rsid w:val="00F60853"/>
    <w:rsid w:val="00F6087D"/>
    <w:rsid w:val="00F60E6D"/>
    <w:rsid w:val="00F62BA3"/>
    <w:rsid w:val="00F66F42"/>
    <w:rsid w:val="00F7007E"/>
    <w:rsid w:val="00F70FE0"/>
    <w:rsid w:val="00F73B3C"/>
    <w:rsid w:val="00F751C2"/>
    <w:rsid w:val="00F758E5"/>
    <w:rsid w:val="00F75B5D"/>
    <w:rsid w:val="00F800C4"/>
    <w:rsid w:val="00F80E85"/>
    <w:rsid w:val="00F8266B"/>
    <w:rsid w:val="00F85178"/>
    <w:rsid w:val="00F85C55"/>
    <w:rsid w:val="00F90E76"/>
    <w:rsid w:val="00F92A30"/>
    <w:rsid w:val="00F93657"/>
    <w:rsid w:val="00F9588E"/>
    <w:rsid w:val="00F95C46"/>
    <w:rsid w:val="00FA069B"/>
    <w:rsid w:val="00FA17A4"/>
    <w:rsid w:val="00FA3977"/>
    <w:rsid w:val="00FA5465"/>
    <w:rsid w:val="00FA7C6F"/>
    <w:rsid w:val="00FA7D55"/>
    <w:rsid w:val="00FA7FFB"/>
    <w:rsid w:val="00FB1EC4"/>
    <w:rsid w:val="00FB25F1"/>
    <w:rsid w:val="00FB2EC6"/>
    <w:rsid w:val="00FB328E"/>
    <w:rsid w:val="00FB53D7"/>
    <w:rsid w:val="00FB6D7C"/>
    <w:rsid w:val="00FB767B"/>
    <w:rsid w:val="00FC07C4"/>
    <w:rsid w:val="00FC1161"/>
    <w:rsid w:val="00FC15DB"/>
    <w:rsid w:val="00FC1C1B"/>
    <w:rsid w:val="00FC30DF"/>
    <w:rsid w:val="00FC5D94"/>
    <w:rsid w:val="00FC61BB"/>
    <w:rsid w:val="00FD040E"/>
    <w:rsid w:val="00FD2232"/>
    <w:rsid w:val="00FD2483"/>
    <w:rsid w:val="00FD3342"/>
    <w:rsid w:val="00FD372D"/>
    <w:rsid w:val="00FD3B3C"/>
    <w:rsid w:val="00FD4AC6"/>
    <w:rsid w:val="00FD4CE0"/>
    <w:rsid w:val="00FD5249"/>
    <w:rsid w:val="00FD6A18"/>
    <w:rsid w:val="00FD7A13"/>
    <w:rsid w:val="00FD7D3A"/>
    <w:rsid w:val="00FE05E6"/>
    <w:rsid w:val="00FE084B"/>
    <w:rsid w:val="00FE1844"/>
    <w:rsid w:val="00FE2D84"/>
    <w:rsid w:val="00FE750A"/>
    <w:rsid w:val="00FF00B6"/>
    <w:rsid w:val="00FF2466"/>
    <w:rsid w:val="00FF2721"/>
    <w:rsid w:val="00FF4B17"/>
    <w:rsid w:val="00FF5B17"/>
    <w:rsid w:val="00FF6DCC"/>
    <w:rsid w:val="00FF74EE"/>
    <w:rsid w:val="00FF7BF7"/>
    <w:rsid w:val="0E66B744"/>
    <w:rsid w:val="16971414"/>
    <w:rsid w:val="1ADD96AA"/>
    <w:rsid w:val="237B9690"/>
    <w:rsid w:val="24B1E477"/>
    <w:rsid w:val="25ACF8D9"/>
    <w:rsid w:val="2D735B17"/>
    <w:rsid w:val="30663190"/>
    <w:rsid w:val="386DBB2B"/>
    <w:rsid w:val="397FF73F"/>
    <w:rsid w:val="430677EE"/>
    <w:rsid w:val="44558A9E"/>
    <w:rsid w:val="548CBF80"/>
    <w:rsid w:val="5C56C3D1"/>
    <w:rsid w:val="5E96B329"/>
    <w:rsid w:val="6E8CB3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8B822E"/>
  <w15:docId w15:val="{CB050561-F7ED-4C4B-9001-BFB725A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F5D64"/>
    <w:rPr>
      <w:rFonts w:ascii="Times New Roman" w:eastAsia="Times New Roman" w:hAnsi="Times New Roman" w:cs="Times New Roman"/>
    </w:rPr>
  </w:style>
  <w:style w:type="paragraph" w:styleId="Heading1">
    <w:name w:val="heading 1"/>
    <w:basedOn w:val="Normal"/>
    <w:uiPriority w:val="1"/>
    <w:qFormat/>
    <w:rsid w:val="00AA22B0"/>
    <w:pPr>
      <w:spacing w:before="68" w:after="720"/>
      <w:ind w:left="130" w:right="130"/>
      <w:jc w:val="center"/>
      <w:outlineLvl w:val="0"/>
    </w:pPr>
    <w:rPr>
      <w:b/>
      <w:sz w:val="36"/>
    </w:rPr>
  </w:style>
  <w:style w:type="paragraph" w:styleId="Heading2">
    <w:name w:val="heading 2"/>
    <w:basedOn w:val="ListParagraph"/>
    <w:next w:val="Normal"/>
    <w:link w:val="Heading2Char"/>
    <w:uiPriority w:val="9"/>
    <w:unhideWhenUsed/>
    <w:qFormat/>
    <w:rsid w:val="002D43C0"/>
    <w:pPr>
      <w:numPr>
        <w:numId w:val="3"/>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2D43C0"/>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F53796"/>
    <w:pPr>
      <w:numPr>
        <w:numId w:val="2"/>
      </w:numPr>
      <w:tabs>
        <w:tab w:val="left" w:pos="341"/>
      </w:tabs>
      <w:spacing w:before="202" w:after="120"/>
      <w:ind w:left="245" w:hanging="245"/>
      <w:outlineLvl w:val="3"/>
    </w:pPr>
    <w:rPr>
      <w:b/>
      <w:sz w:val="24"/>
    </w:rPr>
  </w:style>
  <w:style w:type="paragraph" w:styleId="Heading5">
    <w:name w:val="heading 5"/>
    <w:basedOn w:val="Normal"/>
    <w:next w:val="Normal"/>
    <w:link w:val="Heading5Char"/>
    <w:uiPriority w:val="5"/>
    <w:qFormat/>
    <w:rsid w:val="00E860DC"/>
    <w:pPr>
      <w:keepNext/>
      <w:widowControl/>
      <w:autoSpaceDE/>
      <w:autoSpaceDN/>
      <w:spacing w:before="320" w:after="120"/>
      <w:outlineLvl w:val="4"/>
    </w:pPr>
    <w:rPr>
      <w:b/>
      <w:bCs/>
      <w:iCs/>
      <w:szCs w:val="26"/>
    </w:rPr>
  </w:style>
  <w:style w:type="paragraph" w:styleId="Heading6">
    <w:name w:val="heading 6"/>
    <w:basedOn w:val="Normal"/>
    <w:next w:val="Normal"/>
    <w:link w:val="Heading6Char"/>
    <w:uiPriority w:val="9"/>
    <w:unhideWhenUsed/>
    <w:qFormat/>
    <w:rsid w:val="00A60E2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F1C0C"/>
    <w:pPr>
      <w:tabs>
        <w:tab w:val="left" w:pos="450"/>
        <w:tab w:val="right" w:leader="dot" w:pos="9350"/>
      </w:tabs>
      <w:spacing w:before="269"/>
      <w:ind w:left="100"/>
    </w:pPr>
    <w:rPr>
      <w:noProof/>
      <w:sz w:val="24"/>
    </w:rPr>
  </w:style>
  <w:style w:type="paragraph" w:styleId="TOC2">
    <w:name w:val="toc 2"/>
    <w:basedOn w:val="Normal"/>
    <w:uiPriority w:val="39"/>
    <w:qFormat/>
    <w:rsid w:val="00D94F41"/>
    <w:pPr>
      <w:tabs>
        <w:tab w:val="left" w:pos="1350"/>
        <w:tab w:val="right" w:leader="dot" w:pos="9350"/>
      </w:tabs>
      <w:spacing w:before="99"/>
      <w:ind w:left="1350" w:hanging="630"/>
    </w:pPr>
    <w:rPr>
      <w:noProof/>
      <w:sz w:val="24"/>
    </w:rPr>
  </w:style>
  <w:style w:type="paragraph" w:styleId="BodyText">
    <w:name w:val="Body Text"/>
    <w:basedOn w:val="Normal"/>
    <w:link w:val="BodyTextChar"/>
    <w:uiPriority w:val="1"/>
    <w:qFormat/>
    <w:rsid w:val="007D1E05"/>
    <w:pPr>
      <w:widowControl/>
      <w:spacing w:after="180"/>
    </w:pPr>
    <w:rPr>
      <w:sz w:val="24"/>
      <w:szCs w:val="24"/>
    </w:rPr>
  </w:style>
  <w:style w:type="paragraph" w:styleId="ListParagraph">
    <w:name w:val="List Paragraph"/>
    <w:basedOn w:val="Normal"/>
    <w:link w:val="ListParagraphChar"/>
    <w:uiPriority w:val="34"/>
    <w:qFormat/>
    <w:rsid w:val="002D43C0"/>
    <w:pPr>
      <w:keepLines/>
      <w:widowControl/>
      <w:ind w:left="936" w:hanging="360"/>
    </w:pPr>
  </w:style>
  <w:style w:type="paragraph" w:customStyle="1" w:styleId="TableParagraph">
    <w:name w:val="Table Paragraph"/>
    <w:basedOn w:val="Normal"/>
    <w:uiPriority w:val="1"/>
    <w:qFormat/>
    <w:rsid w:val="002D43C0"/>
    <w:pPr>
      <w:spacing w:before="38"/>
    </w:pPr>
  </w:style>
  <w:style w:type="character" w:styleId="CommentReference">
    <w:name w:val="annotation reference"/>
    <w:basedOn w:val="DefaultParagraphFont"/>
    <w:uiPriority w:val="99"/>
    <w:unhideWhenUsed/>
    <w:rsid w:val="002D43C0"/>
    <w:rPr>
      <w:sz w:val="16"/>
      <w:szCs w:val="16"/>
    </w:rPr>
  </w:style>
  <w:style w:type="paragraph" w:styleId="CommentText">
    <w:name w:val="annotation text"/>
    <w:basedOn w:val="Normal"/>
    <w:link w:val="CommentTextChar"/>
    <w:uiPriority w:val="99"/>
    <w:unhideWhenUsed/>
    <w:rsid w:val="002D43C0"/>
    <w:rPr>
      <w:sz w:val="20"/>
      <w:szCs w:val="20"/>
    </w:rPr>
  </w:style>
  <w:style w:type="character" w:customStyle="1" w:styleId="CommentTextChar">
    <w:name w:val="Comment Text Char"/>
    <w:basedOn w:val="DefaultParagraphFont"/>
    <w:link w:val="CommentText"/>
    <w:uiPriority w:val="99"/>
    <w:rsid w:val="002D43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3C0"/>
    <w:rPr>
      <w:b/>
      <w:bCs/>
    </w:rPr>
  </w:style>
  <w:style w:type="character" w:customStyle="1" w:styleId="CommentSubjectChar">
    <w:name w:val="Comment Subject Char"/>
    <w:basedOn w:val="CommentTextChar"/>
    <w:link w:val="CommentSubject"/>
    <w:uiPriority w:val="99"/>
    <w:semiHidden/>
    <w:rsid w:val="002D43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C0"/>
    <w:rPr>
      <w:rFonts w:ascii="Segoe UI" w:eastAsia="Times New Roman" w:hAnsi="Segoe UI" w:cs="Segoe UI"/>
      <w:sz w:val="18"/>
      <w:szCs w:val="18"/>
    </w:rPr>
  </w:style>
  <w:style w:type="character" w:styleId="Hyperlink">
    <w:name w:val="Hyperlink"/>
    <w:basedOn w:val="DefaultParagraphFont"/>
    <w:uiPriority w:val="99"/>
    <w:unhideWhenUsed/>
    <w:rsid w:val="002D43C0"/>
    <w:rPr>
      <w:color w:val="0000FF" w:themeColor="hyperlink"/>
      <w:u w:val="single"/>
    </w:rPr>
  </w:style>
  <w:style w:type="paragraph" w:styleId="FootnoteText">
    <w:name w:val="footnote text"/>
    <w:basedOn w:val="Normal"/>
    <w:link w:val="FootnoteTextChar"/>
    <w:uiPriority w:val="99"/>
    <w:unhideWhenUsed/>
    <w:rsid w:val="002D43C0"/>
    <w:rPr>
      <w:sz w:val="20"/>
      <w:szCs w:val="20"/>
    </w:rPr>
  </w:style>
  <w:style w:type="character" w:customStyle="1" w:styleId="FootnoteTextChar">
    <w:name w:val="Footnote Text Char"/>
    <w:basedOn w:val="DefaultParagraphFont"/>
    <w:link w:val="FootnoteText"/>
    <w:uiPriority w:val="99"/>
    <w:rsid w:val="002D43C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D43C0"/>
    <w:rPr>
      <w:vertAlign w:val="superscript"/>
    </w:rPr>
  </w:style>
  <w:style w:type="character" w:customStyle="1" w:styleId="tp-label">
    <w:name w:val="tp-label"/>
    <w:basedOn w:val="DefaultParagraphFont"/>
    <w:rsid w:val="002D43C0"/>
  </w:style>
  <w:style w:type="character" w:customStyle="1" w:styleId="Heading5Char">
    <w:name w:val="Heading 5 Char"/>
    <w:basedOn w:val="DefaultParagraphFont"/>
    <w:link w:val="Heading5"/>
    <w:uiPriority w:val="5"/>
    <w:rsid w:val="00E860DC"/>
    <w:rPr>
      <w:rFonts w:ascii="Times New Roman" w:eastAsia="Times New Roman" w:hAnsi="Times New Roman" w:cs="Times New Roman"/>
      <w:b/>
      <w:bCs/>
      <w:iCs/>
      <w:szCs w:val="26"/>
    </w:rPr>
  </w:style>
  <w:style w:type="paragraph" w:customStyle="1" w:styleId="Default">
    <w:name w:val="Default"/>
    <w:rsid w:val="002D43C0"/>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2D43C0"/>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2D43C0"/>
    <w:rPr>
      <w:rFonts w:ascii="Times New Roman" w:hAnsi="Times New Roman" w:eastAsiaTheme="majorEastAsia" w:cstheme="majorBidi"/>
      <w:b/>
      <w:i/>
      <w:color w:val="000000" w:themeColor="text1"/>
      <w:sz w:val="24"/>
      <w:szCs w:val="24"/>
    </w:rPr>
  </w:style>
  <w:style w:type="paragraph" w:styleId="NormalWeb">
    <w:name w:val="Normal (Web)"/>
    <w:basedOn w:val="Normal"/>
    <w:uiPriority w:val="99"/>
    <w:semiHidden/>
    <w:unhideWhenUsed/>
    <w:rsid w:val="002D43C0"/>
    <w:pPr>
      <w:widowControl/>
      <w:autoSpaceDE/>
      <w:autoSpaceDN/>
      <w:spacing w:before="100" w:beforeAutospacing="1" w:after="100" w:afterAutospacing="1"/>
    </w:pPr>
    <w:rPr>
      <w:rFonts w:eastAsiaTheme="minorHAnsi"/>
      <w:sz w:val="24"/>
      <w:szCs w:val="24"/>
    </w:rPr>
  </w:style>
  <w:style w:type="character" w:styleId="Emphasis">
    <w:name w:val="Emphasis"/>
    <w:basedOn w:val="DefaultParagraphFont"/>
    <w:uiPriority w:val="20"/>
    <w:qFormat/>
    <w:rsid w:val="002D43C0"/>
    <w:rPr>
      <w:i/>
      <w:iCs/>
    </w:rPr>
  </w:style>
  <w:style w:type="character" w:customStyle="1" w:styleId="BodyTextChar">
    <w:name w:val="Body Text Char"/>
    <w:basedOn w:val="DefaultParagraphFont"/>
    <w:link w:val="BodyText"/>
    <w:uiPriority w:val="1"/>
    <w:rsid w:val="007D1E0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D43C0"/>
    <w:rPr>
      <w:sz w:val="20"/>
      <w:szCs w:val="20"/>
    </w:rPr>
  </w:style>
  <w:style w:type="character" w:customStyle="1" w:styleId="EndnoteTextChar">
    <w:name w:val="Endnote Text Char"/>
    <w:basedOn w:val="DefaultParagraphFont"/>
    <w:link w:val="EndnoteText"/>
    <w:uiPriority w:val="99"/>
    <w:semiHidden/>
    <w:rsid w:val="002D43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43C0"/>
    <w:rPr>
      <w:vertAlign w:val="superscript"/>
    </w:rPr>
  </w:style>
  <w:style w:type="paragraph" w:styleId="Header">
    <w:name w:val="header"/>
    <w:basedOn w:val="Normal"/>
    <w:link w:val="HeaderChar"/>
    <w:uiPriority w:val="99"/>
    <w:unhideWhenUsed/>
    <w:rsid w:val="002D43C0"/>
    <w:pPr>
      <w:tabs>
        <w:tab w:val="center" w:pos="4680"/>
        <w:tab w:val="right" w:pos="9360"/>
      </w:tabs>
    </w:pPr>
  </w:style>
  <w:style w:type="character" w:customStyle="1" w:styleId="HeaderChar">
    <w:name w:val="Header Char"/>
    <w:basedOn w:val="DefaultParagraphFont"/>
    <w:link w:val="Header"/>
    <w:uiPriority w:val="99"/>
    <w:rsid w:val="002D43C0"/>
    <w:rPr>
      <w:rFonts w:ascii="Times New Roman" w:eastAsia="Times New Roman" w:hAnsi="Times New Roman" w:cs="Times New Roman"/>
    </w:rPr>
  </w:style>
  <w:style w:type="paragraph" w:styleId="Footer">
    <w:name w:val="footer"/>
    <w:basedOn w:val="Normal"/>
    <w:link w:val="FooterChar"/>
    <w:uiPriority w:val="99"/>
    <w:unhideWhenUsed/>
    <w:rsid w:val="002D43C0"/>
    <w:pPr>
      <w:tabs>
        <w:tab w:val="center" w:pos="4680"/>
        <w:tab w:val="right" w:pos="9360"/>
      </w:tabs>
    </w:pPr>
  </w:style>
  <w:style w:type="character" w:customStyle="1" w:styleId="FooterChar">
    <w:name w:val="Footer Char"/>
    <w:basedOn w:val="DefaultParagraphFont"/>
    <w:link w:val="Footer"/>
    <w:uiPriority w:val="99"/>
    <w:rsid w:val="002D43C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D43C0"/>
    <w:rPr>
      <w:rFonts w:ascii="Times New Roman" w:eastAsia="Times New Roman" w:hAnsi="Times New Roman" w:cs="Times New Roman"/>
      <w:b/>
      <w:sz w:val="26"/>
    </w:rPr>
  </w:style>
  <w:style w:type="paragraph" w:styleId="Caption">
    <w:name w:val="caption"/>
    <w:basedOn w:val="Normal"/>
    <w:next w:val="Normal"/>
    <w:uiPriority w:val="35"/>
    <w:unhideWhenUsed/>
    <w:qFormat/>
    <w:rsid w:val="002D43C0"/>
    <w:pPr>
      <w:keepNext/>
      <w:keepLines/>
      <w:widowControl/>
      <w:spacing w:before="240" w:after="120"/>
    </w:pPr>
    <w:rPr>
      <w:b/>
      <w:sz w:val="24"/>
    </w:rPr>
  </w:style>
  <w:style w:type="paragraph" w:styleId="TOC3">
    <w:name w:val="toc 3"/>
    <w:basedOn w:val="Normal"/>
    <w:next w:val="Normal"/>
    <w:autoRedefine/>
    <w:uiPriority w:val="39"/>
    <w:unhideWhenUsed/>
    <w:rsid w:val="002D43C0"/>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hAnsi="Times New Roman" w:eastAsiaTheme="majorEastAsia" w:cstheme="majorBidi"/>
      <w:spacing w:val="-10"/>
      <w:kern w:val="28"/>
      <w:sz w:val="36"/>
      <w:szCs w:val="56"/>
    </w:rPr>
  </w:style>
  <w:style w:type="character" w:customStyle="1" w:styleId="Heading4Char">
    <w:name w:val="Heading 4 Char"/>
    <w:basedOn w:val="DefaultParagraphFont"/>
    <w:link w:val="Heading4"/>
    <w:uiPriority w:val="9"/>
    <w:rsid w:val="00F53796"/>
    <w:rPr>
      <w:rFonts w:ascii="Times New Roman" w:eastAsia="Times New Roman" w:hAnsi="Times New Roman" w:cs="Times New Roman"/>
      <w:b/>
      <w:sz w:val="24"/>
    </w:rPr>
  </w:style>
  <w:style w:type="paragraph" w:styleId="ListBullet">
    <w:name w:val="List Bullet"/>
    <w:basedOn w:val="Normal"/>
    <w:uiPriority w:val="99"/>
    <w:unhideWhenUsed/>
    <w:rsid w:val="004D6EBE"/>
    <w:pPr>
      <w:tabs>
        <w:tab w:val="num" w:pos="360"/>
      </w:tabs>
      <w:ind w:left="360" w:hanging="360"/>
      <w:contextualSpacing/>
    </w:pPr>
  </w:style>
  <w:style w:type="paragraph" w:styleId="ListBullet2">
    <w:name w:val="List Bullet 2"/>
    <w:basedOn w:val="Normal"/>
    <w:uiPriority w:val="99"/>
    <w:unhideWhenUsed/>
    <w:rsid w:val="00AA0354"/>
    <w:pPr>
      <w:widowControl/>
      <w:numPr>
        <w:numId w:val="4"/>
      </w:numPr>
      <w:spacing w:after="180"/>
    </w:pPr>
    <w:rPr>
      <w:sz w:val="24"/>
    </w:rPr>
  </w:style>
  <w:style w:type="paragraph" w:styleId="BodyTextIndent">
    <w:name w:val="Body Text Indent"/>
    <w:basedOn w:val="BodyText"/>
    <w:link w:val="BodyTextIndentChar"/>
    <w:uiPriority w:val="99"/>
    <w:unhideWhenUsed/>
    <w:rsid w:val="00F53796"/>
    <w:pPr>
      <w:spacing w:before="180"/>
      <w:ind w:left="360"/>
    </w:pPr>
  </w:style>
  <w:style w:type="character" w:customStyle="1" w:styleId="BodyTextIndentChar">
    <w:name w:val="Body Text Indent Char"/>
    <w:basedOn w:val="DefaultParagraphFont"/>
    <w:link w:val="BodyTextIndent"/>
    <w:uiPriority w:val="99"/>
    <w:rsid w:val="00F5379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3C0"/>
    <w:rPr>
      <w:color w:val="800080" w:themeColor="followedHyperlink"/>
      <w:u w:val="single"/>
    </w:rPr>
  </w:style>
  <w:style w:type="paragraph" w:styleId="ListBullet3">
    <w:name w:val="List Bullet 3"/>
    <w:basedOn w:val="Normal"/>
    <w:uiPriority w:val="99"/>
    <w:unhideWhenUsed/>
    <w:rsid w:val="008437C5"/>
    <w:pPr>
      <w:widowControl/>
      <w:numPr>
        <w:numId w:val="6"/>
      </w:numPr>
      <w:spacing w:after="120"/>
      <w:ind w:left="1440"/>
    </w:pPr>
    <w:rPr>
      <w:sz w:val="24"/>
    </w:rPr>
  </w:style>
  <w:style w:type="paragraph" w:styleId="Revision">
    <w:name w:val="Revision"/>
    <w:hidden/>
    <w:uiPriority w:val="99"/>
    <w:semiHidden/>
    <w:rsid w:val="00A00553"/>
    <w:pPr>
      <w:widowControl/>
      <w:autoSpaceDE/>
      <w:autoSpaceDN/>
    </w:pPr>
    <w:rPr>
      <w:rFonts w:ascii="Times New Roman" w:eastAsia="Times New Roman" w:hAnsi="Times New Roman" w:cs="Times New Roman"/>
    </w:rPr>
  </w:style>
  <w:style w:type="paragraph" w:customStyle="1" w:styleId="Heading2-NoTOC">
    <w:name w:val="Heading 2 - No TOC"/>
    <w:basedOn w:val="Heading2"/>
    <w:uiPriority w:val="1"/>
    <w:qFormat/>
    <w:rsid w:val="00AA22B0"/>
    <w:pPr>
      <w:numPr>
        <w:numId w:val="0"/>
      </w:numPr>
      <w:spacing w:before="0"/>
      <w:ind w:left="418" w:hanging="317"/>
    </w:pPr>
    <w:rPr>
      <w:b w:val="0"/>
      <w:sz w:val="32"/>
      <w:szCs w:val="32"/>
    </w:rPr>
  </w:style>
  <w:style w:type="character" w:customStyle="1" w:styleId="Heading6Char">
    <w:name w:val="Heading 6 Char"/>
    <w:basedOn w:val="DefaultParagraphFont"/>
    <w:link w:val="Heading6"/>
    <w:uiPriority w:val="9"/>
    <w:rsid w:val="00A60E26"/>
    <w:rPr>
      <w:rFonts w:asciiTheme="majorHAnsi" w:eastAsiaTheme="majorEastAsia" w:hAnsiTheme="majorHAnsi" w:cstheme="majorBidi"/>
      <w:color w:val="243F60" w:themeColor="accent1" w:themeShade="7F"/>
    </w:rPr>
  </w:style>
  <w:style w:type="paragraph" w:styleId="ListNumber">
    <w:name w:val="List Number"/>
    <w:basedOn w:val="Normal"/>
    <w:uiPriority w:val="99"/>
    <w:unhideWhenUsed/>
    <w:rsid w:val="004E1371"/>
    <w:pPr>
      <w:widowControl/>
      <w:numPr>
        <w:numId w:val="5"/>
      </w:numPr>
      <w:spacing w:after="180"/>
      <w:contextualSpacing/>
    </w:pPr>
    <w:rPr>
      <w:sz w:val="24"/>
    </w:rPr>
  </w:style>
  <w:style w:type="paragraph" w:styleId="ListContinue2">
    <w:name w:val="List Continue 2"/>
    <w:basedOn w:val="Normal"/>
    <w:uiPriority w:val="99"/>
    <w:unhideWhenUsed/>
    <w:rsid w:val="00B70100"/>
    <w:pPr>
      <w:spacing w:after="160"/>
      <w:ind w:left="720"/>
    </w:pPr>
    <w:rPr>
      <w:sz w:val="24"/>
    </w:rPr>
  </w:style>
  <w:style w:type="paragraph" w:styleId="ListContinue">
    <w:name w:val="List Continue"/>
    <w:basedOn w:val="Normal"/>
    <w:uiPriority w:val="99"/>
    <w:unhideWhenUsed/>
    <w:rsid w:val="004E1371"/>
    <w:pPr>
      <w:widowControl/>
      <w:spacing w:after="180"/>
      <w:ind w:left="360"/>
    </w:pPr>
    <w:rPr>
      <w:sz w:val="24"/>
    </w:rPr>
  </w:style>
  <w:style w:type="paragraph" w:customStyle="1" w:styleId="Note">
    <w:name w:val="Note"/>
    <w:basedOn w:val="Normal"/>
    <w:uiPriority w:val="1"/>
    <w:qFormat/>
    <w:rsid w:val="00FD4AC6"/>
    <w:pPr>
      <w:widowControl/>
      <w:spacing w:before="60" w:after="60"/>
    </w:pPr>
    <w:rPr>
      <w:sz w:val="20"/>
      <w:szCs w:val="20"/>
    </w:rPr>
  </w:style>
  <w:style w:type="character" w:styleId="UnresolvedMention">
    <w:name w:val="Unresolved Mention"/>
    <w:basedOn w:val="DefaultParagraphFont"/>
    <w:uiPriority w:val="99"/>
    <w:semiHidden/>
    <w:unhideWhenUsed/>
    <w:rsid w:val="00FB25F1"/>
    <w:rPr>
      <w:color w:val="605E5C"/>
      <w:shd w:val="clear" w:color="auto" w:fill="E1DFDD"/>
    </w:rPr>
  </w:style>
  <w:style w:type="table" w:styleId="GridTableLight">
    <w:name w:val="Grid Table Light"/>
    <w:basedOn w:val="TableNormal"/>
    <w:uiPriority w:val="40"/>
    <w:rsid w:val="00D94F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Continue4">
    <w:name w:val="List Continue 4"/>
    <w:basedOn w:val="Normal"/>
    <w:uiPriority w:val="99"/>
    <w:semiHidden/>
    <w:unhideWhenUsed/>
    <w:rsid w:val="00893119"/>
    <w:pPr>
      <w:spacing w:after="120"/>
      <w:ind w:left="1440"/>
      <w:contextualSpacing/>
    </w:pPr>
  </w:style>
  <w:style w:type="paragraph" w:styleId="ListBullet4">
    <w:name w:val="List Bullet 4"/>
    <w:basedOn w:val="ListBullet2"/>
    <w:uiPriority w:val="99"/>
    <w:semiHidden/>
    <w:unhideWhenUsed/>
    <w:rsid w:val="00893119"/>
    <w:pPr>
      <w:numPr>
        <w:numId w:val="0"/>
      </w:numPr>
      <w:ind w:left="2160" w:hanging="360"/>
    </w:pPr>
  </w:style>
  <w:style w:type="character" w:customStyle="1" w:styleId="cf01">
    <w:name w:val="cf01"/>
    <w:basedOn w:val="DefaultParagraphFont"/>
    <w:rsid w:val="00E11138"/>
    <w:rPr>
      <w:rFonts w:ascii="Segoe UI" w:hAnsi="Segoe UI" w:cs="Segoe UI" w:hint="default"/>
      <w:sz w:val="18"/>
      <w:szCs w:val="18"/>
    </w:rPr>
  </w:style>
  <w:style w:type="paragraph" w:customStyle="1" w:styleId="pf0">
    <w:name w:val="pf0"/>
    <w:basedOn w:val="Normal"/>
    <w:rsid w:val="00B6652A"/>
    <w:pPr>
      <w:widowControl/>
      <w:autoSpaceDE/>
      <w:autoSpaceDN/>
      <w:spacing w:before="100" w:beforeAutospacing="1" w:after="100" w:afterAutospacing="1"/>
    </w:pPr>
    <w:rPr>
      <w:sz w:val="24"/>
      <w:szCs w:val="24"/>
    </w:rPr>
  </w:style>
  <w:style w:type="paragraph" w:styleId="ListNumber2">
    <w:name w:val="List Number 2"/>
    <w:basedOn w:val="ListParagraph"/>
    <w:uiPriority w:val="99"/>
    <w:unhideWhenUsed/>
    <w:rsid w:val="008437C5"/>
    <w:pPr>
      <w:numPr>
        <w:numId w:val="1"/>
      </w:numPr>
      <w:tabs>
        <w:tab w:val="left" w:pos="920"/>
      </w:tabs>
      <w:spacing w:after="180"/>
      <w:ind w:left="720"/>
      <w:contextualSpacing/>
    </w:pPr>
    <w:rPr>
      <w:sz w:val="24"/>
      <w:szCs w:val="24"/>
    </w:rPr>
  </w:style>
  <w:style w:type="table" w:styleId="TableGrid">
    <w:name w:val="Table Grid"/>
    <w:basedOn w:val="TableNormal"/>
    <w:uiPriority w:val="59"/>
    <w:rsid w:val="0084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E0091"/>
  </w:style>
  <w:style w:type="character" w:customStyle="1" w:styleId="ListParagraphChar">
    <w:name w:val="List Paragraph Char"/>
    <w:basedOn w:val="DefaultParagraphFont"/>
    <w:link w:val="ListParagraph"/>
    <w:uiPriority w:val="34"/>
    <w:locked/>
    <w:rsid w:val="00D841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cbs@norc.org)" TargetMode="External" /><Relationship Id="rId11" Type="http://schemas.openxmlformats.org/officeDocument/2006/relationships/hyperlink" Target="https://www.norc.org" TargetMode="External" /><Relationship Id="rId12" Type="http://schemas.openxmlformats.org/officeDocument/2006/relationships/hyperlink" Target="http://www.cms.gov/mcbs" TargetMode="External" /><Relationship Id="rId13" Type="http://schemas.openxmlformats.org/officeDocument/2006/relationships/hyperlink" Target="mailto:Mulrow-Edward@norc.org"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william.long@cms.hhs.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notes.xml.rels><?xml version="1.0" encoding="utf-8" standalone="yes"?><Relationships xmlns="http://schemas.openxmlformats.org/package/2006/relationships"><Relationship Id="rId1" Type="http://schemas.openxmlformats.org/officeDocument/2006/relationships/hyperlink" Target="https://spd15revision.gov/" TargetMode="External" /><Relationship Id="rId2" Type="http://schemas.openxmlformats.org/officeDocument/2006/relationships/hyperlink" Target="https://www.thelancet.com/journals/lanres/article/PIIS2213-2600(16)00006-0/fulltext" TargetMode="External" /><Relationship Id="rId3" Type="http://schemas.openxmlformats.org/officeDocument/2006/relationships/hyperlink" Target="https://www.sciencedirect.com/science/article/pii/S1530891X23005281" TargetMode="External" /><Relationship Id="rId4" Type="http://schemas.openxmlformats.org/officeDocument/2006/relationships/hyperlink" Target="https://www.tandfonline.com/doi/full/10.2147/CLEP.S40245" TargetMode="External" /><Relationship Id="rId5" Type="http://schemas.openxmlformats.org/officeDocument/2006/relationships/hyperlink" Target="https://www.cbo.gov/publication/60816" TargetMode="External" /><Relationship Id="rId6" Type="http://schemas.openxmlformats.org/officeDocument/2006/relationships/hyperlink" Target="https://nam10.safelinks.protection.outlook.com/?url=https%3A%2F%2Fwww.cms.gov%2Fmedicare%2Fquality%2Fnursing-home-improvement%2Fresident-assessment-instrument-manual&amp;data=05%7C02%7CMayfield-Andrea%40norc.org%7Cdf267b19fa3a40ce4e9e08dda3b35ba7%7C5795b23fd38b4afbafd856cf37040b81%7C0%7C0%7C638846712922155342%7CUnknown%7CTWFpbGZsb3d8eyJFbXB0eU1hcGkiOnRydWUsIlYiOiIwLjAuMDAwMCIsIlAiOiJXaW4zMiIsIkFOIjoiTWFpbCIsIldUIjoyfQ%3D%3D%7C0%7C%7C%7C&amp;sdata=SMOb9Rwl%2BFW4mhUk3hWkvJMEvKN2q70rXkm7jxXO18U%3D&amp;reserved=0" TargetMode="External" /><Relationship Id="rId7" Type="http://schemas.openxmlformats.org/officeDocument/2006/relationships/hyperlink" Target="https://www.cms.gov/files/document/2021-mcbs-methodology-repor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C980-DEF5-4262-B111-A88DCC24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25</Pages>
  <Words>10634</Words>
  <Characters>59445</Characters>
  <Application>Microsoft Office Word</Application>
  <DocSecurity>0</DocSecurity>
  <Lines>3963</Lines>
  <Paragraphs>2189</Paragraphs>
  <ScaleCrop>false</ScaleCrop>
  <HeadingPairs>
    <vt:vector size="2" baseType="variant">
      <vt:variant>
        <vt:lpstr>Title</vt:lpstr>
      </vt:variant>
      <vt:variant>
        <vt:i4>1</vt:i4>
      </vt:variant>
    </vt:vector>
  </HeadingPairs>
  <TitlesOfParts>
    <vt:vector size="1" baseType="lpstr">
      <vt:lpstr>CMS P-0015A 0938-0568_SSB</vt:lpstr>
    </vt:vector>
  </TitlesOfParts>
  <Company>NORC</Company>
  <LinksUpToDate>false</LinksUpToDate>
  <CharactersWithSpaces>67890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P-0015A 0938-0568_SSB</dc:title>
  <dc:subject>MCBS 2025 Full Clearance Revision</dc:subject>
  <dc:creator>NORC</dc:creator>
  <cp:keywords>MCBS; ICR package; OMB clearance; supporting statement</cp:keywords>
  <cp:lastModifiedBy>Amanda Lynch</cp:lastModifiedBy>
  <cp:revision>11</cp:revision>
  <cp:lastPrinted>2019-03-15T19:40:00Z</cp:lastPrinted>
  <dcterms:created xsi:type="dcterms:W3CDTF">2025-09-26T20:35:00Z</dcterms:created>
  <dcterms:modified xsi:type="dcterms:W3CDTF">2025-10-07T05:08:00Z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DocHome">
    <vt:i4>-254999852</vt:i4>
  </property>
  <property fmtid="{D5CDD505-2E9C-101B-9397-08002B2CF9AE}" pid="6" name="_NewReviewCycle">
    <vt:lpwstr/>
  </property>
</Properties>
</file>