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2A9B" w:rsidRPr="00862A9B" w:rsidP="00862A9B" w14:paraId="12B8A637" w14:textId="2CCCD542">
      <w:pPr>
        <w:spacing w:before="600" w:after="200"/>
        <w:jc w:val="center"/>
        <w:rPr>
          <w:rFonts w:ascii="Times New Roman" w:eastAsia="Times New Roman" w:hAnsi="Times New Roman" w:cs="Times New Roman"/>
          <w:b/>
          <w:bCs/>
          <w:smallCaps/>
          <w:color w:val="000000"/>
          <w:kern w:val="36"/>
          <w:sz w:val="28"/>
        </w:rPr>
      </w:pPr>
      <w:r>
        <w:rPr>
          <w:rFonts w:ascii="Times New Roman" w:eastAsia="Times New Roman" w:hAnsi="Times New Roman" w:cs="Times New Roman"/>
          <w:b/>
          <w:bCs/>
          <w:smallCaps/>
          <w:color w:val="000000"/>
          <w:kern w:val="36"/>
          <w:sz w:val="28"/>
        </w:rPr>
        <w:t>E</w:t>
      </w:r>
      <w:r w:rsidRPr="00862A9B">
        <w:rPr>
          <w:rFonts w:ascii="Times New Roman" w:eastAsia="Times New Roman" w:hAnsi="Times New Roman" w:cs="Times New Roman"/>
          <w:b/>
          <w:bCs/>
          <w:smallCaps/>
          <w:color w:val="000000"/>
          <w:kern w:val="36"/>
          <w:sz w:val="28"/>
        </w:rPr>
        <w:t>ntitlement Funding For State Courts To Assess and Improve Handling of Proceedings Relating to Foster Care and Adoption</w:t>
      </w:r>
      <w:r>
        <w:rPr>
          <w:rFonts w:ascii="Times New Roman" w:eastAsia="Times New Roman" w:hAnsi="Times New Roman" w:cs="Times New Roman"/>
          <w:bCs/>
          <w:color w:val="000000"/>
          <w:kern w:val="36"/>
          <w:sz w:val="28"/>
          <w:vertAlign w:val="superscript"/>
        </w:rPr>
        <w:footnoteReference w:id="2"/>
      </w:r>
    </w:p>
    <w:p w:rsidR="00862A9B" w:rsidRPr="00862A9B" w:rsidP="00862A9B" w14:paraId="50CD58EE" w14:textId="77777777">
      <w:pPr>
        <w:rPr>
          <w:rFonts w:ascii="Times New Roman" w:eastAsia="Times New Roman" w:hAnsi="Times New Roman" w:cs="Times New Roman"/>
          <w:color w:val="000000"/>
          <w:szCs w:val="22"/>
        </w:rPr>
      </w:pPr>
      <w:bookmarkStart w:id="0" w:name="sec438"/>
      <w:r w:rsidRPr="00862A9B">
        <w:rPr>
          <w:rFonts w:ascii="Times New Roman" w:eastAsia="Times New Roman" w:hAnsi="Times New Roman" w:cs="Times New Roman"/>
          <w:color w:val="000000"/>
          <w:szCs w:val="22"/>
        </w:rPr>
        <w:t xml:space="preserve">SEC. 438. </w:t>
      </w:r>
      <w:bookmarkEnd w:id="0"/>
      <w:r w:rsidRPr="00862A9B">
        <w:rPr>
          <w:rFonts w:ascii="Times New Roman" w:eastAsia="Times New Roman" w:hAnsi="Times New Roman" w:cs="Times New Roman"/>
          <w:color w:val="000000"/>
          <w:szCs w:val="22"/>
        </w:rPr>
        <w:t>[42 U.S.C. 629h] (a) IN GENERAL</w:t>
      </w:r>
      <w:r w:rsidRPr="00862A9B">
        <w:rPr>
          <w:rFonts w:ascii="Times New Roman" w:eastAsia="Calibri" w:hAnsi="Times New Roman" w:cs="Times New Roman"/>
          <w:color w:val="000000"/>
          <w:szCs w:val="22"/>
        </w:rPr>
        <w:t>.—</w:t>
      </w:r>
      <w:r w:rsidRPr="00862A9B">
        <w:rPr>
          <w:rFonts w:ascii="Times New Roman" w:eastAsia="Times New Roman" w:hAnsi="Times New Roman" w:cs="Times New Roman"/>
          <w:color w:val="000000"/>
          <w:szCs w:val="22"/>
        </w:rPr>
        <w:t>The Secretary shall make grants, in accordance with this section, to the highest State courts in States participating in the program under part E, for the purpose of enabling such courts</w:t>
      </w:r>
      <w:r w:rsidRPr="00862A9B">
        <w:rPr>
          <w:rFonts w:ascii="Times New Roman" w:eastAsia="Calibri" w:hAnsi="Times New Roman" w:cs="Times New Roman"/>
          <w:color w:val="000000"/>
          <w:szCs w:val="22"/>
        </w:rPr>
        <w:t>—</w:t>
      </w:r>
    </w:p>
    <w:p w:rsidR="00862A9B" w:rsidRPr="00862A9B" w:rsidP="00862A9B" w14:paraId="70D99134" w14:textId="77777777">
      <w:pPr>
        <w:ind w:firstLine="144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(1) to conduct assessments, in accordance with such requirements as the Secretary shall publish, of the role, responsibilities, and effectiveness of State courts in carrying out State laws requiring proceedings (conducted by or under the supervision of the courts)– – </w:t>
      </w:r>
    </w:p>
    <w:p w:rsidR="00862A9B" w:rsidRPr="00862A9B" w:rsidP="00862A9B" w14:paraId="65A46390"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(A) that implement parts B and </w:t>
      </w:r>
      <w:r w:rsidRPr="00862A9B">
        <w:rPr>
          <w:rFonts w:ascii="Times New Roman" w:eastAsia="Times New Roman" w:hAnsi="Times New Roman" w:cs="Times New Roman"/>
          <w:color w:val="000000"/>
          <w:szCs w:val="22"/>
        </w:rPr>
        <w:t>E;</w:t>
      </w:r>
    </w:p>
    <w:p w:rsidR="00862A9B" w:rsidRPr="00862A9B" w:rsidP="00862A9B" w14:paraId="6E8C65E6"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(B) that determine the advisability or appropriateness of foster care </w:t>
      </w:r>
      <w:r w:rsidRPr="00862A9B">
        <w:rPr>
          <w:rFonts w:ascii="Times New Roman" w:eastAsia="Times New Roman" w:hAnsi="Times New Roman" w:cs="Times New Roman"/>
          <w:color w:val="000000"/>
          <w:szCs w:val="22"/>
        </w:rPr>
        <w:t>placement;</w:t>
      </w:r>
    </w:p>
    <w:p w:rsidR="00862A9B" w:rsidRPr="00862A9B" w:rsidP="00862A9B" w14:paraId="1B2E198D"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(C) that determine whether to terminate parental </w:t>
      </w:r>
      <w:r w:rsidRPr="00862A9B">
        <w:rPr>
          <w:rFonts w:ascii="Times New Roman" w:eastAsia="Times New Roman" w:hAnsi="Times New Roman" w:cs="Times New Roman"/>
          <w:color w:val="000000"/>
          <w:szCs w:val="22"/>
        </w:rPr>
        <w:t>rights;</w:t>
      </w:r>
    </w:p>
    <w:p w:rsidR="00862A9B" w:rsidRPr="00862A9B" w:rsidP="00862A9B" w14:paraId="5296E667"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(D) that determine whether to approve the adoption or other permanent placement of a child; and</w:t>
      </w:r>
    </w:p>
    <w:p w:rsidR="00862A9B" w:rsidRPr="00862A9B" w:rsidP="00862A9B" w14:paraId="0211CF65"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(E) that determine the best strategy to use to expedite the interstate placement of children, including–– </w:t>
      </w:r>
    </w:p>
    <w:p w:rsidR="00862A9B" w:rsidRPr="00862A9B" w:rsidP="00862A9B" w14:paraId="004DFE3B" w14:textId="77777777">
      <w:pPr>
        <w:ind w:left="216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w:t>
      </w:r>
      <w:r w:rsidRPr="00862A9B">
        <w:rPr>
          <w:rFonts w:ascii="Times New Roman" w:eastAsia="Times New Roman" w:hAnsi="Times New Roman" w:cs="Times New Roman"/>
          <w:color w:val="000000"/>
          <w:szCs w:val="22"/>
        </w:rPr>
        <w:t>i</w:t>
      </w:r>
      <w:r w:rsidRPr="00862A9B">
        <w:rPr>
          <w:rFonts w:ascii="Times New Roman" w:eastAsia="Times New Roman" w:hAnsi="Times New Roman" w:cs="Times New Roman"/>
          <w:color w:val="000000"/>
          <w:szCs w:val="22"/>
        </w:rPr>
        <w:t xml:space="preserve">) requiring courts in different States to cooperate in the sharing of </w:t>
      </w:r>
      <w:r w:rsidRPr="00862A9B">
        <w:rPr>
          <w:rFonts w:ascii="Times New Roman" w:eastAsia="Times New Roman" w:hAnsi="Times New Roman" w:cs="Times New Roman"/>
          <w:color w:val="000000"/>
          <w:szCs w:val="22"/>
        </w:rPr>
        <w:t>information;</w:t>
      </w:r>
    </w:p>
    <w:p w:rsidR="00862A9B" w:rsidRPr="00862A9B" w:rsidP="00862A9B" w14:paraId="4B1EDB2D" w14:textId="77777777">
      <w:pPr>
        <w:ind w:left="216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(ii) authorizing courts to obtain information and testimony from agencies and parties in other States without requiring interstate travel by the agencies and parties; and</w:t>
      </w:r>
    </w:p>
    <w:p w:rsidR="00862A9B" w:rsidP="00862A9B" w14:paraId="79CB3198" w14:textId="77777777">
      <w:pPr>
        <w:ind w:left="216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(iii) permitting the participation of parents, children, other necessary parties, and attorneys in cases involving interstate placement without requiring their interstate travel; and</w:t>
      </w:r>
    </w:p>
    <w:p w:rsidR="003E4216" w:rsidRPr="00862A9B" w:rsidP="003E4216" w14:paraId="4F710C60" w14:textId="4ABFCA41">
      <w:pPr>
        <w:ind w:left="1440" w:firstLine="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(F) </w:t>
      </w:r>
      <w:r w:rsidRPr="003E4216">
        <w:rPr>
          <w:rFonts w:ascii="Times New Roman" w:eastAsia="Times New Roman" w:hAnsi="Times New Roman" w:cs="Times New Roman"/>
          <w:color w:val="000000"/>
          <w:szCs w:val="22"/>
        </w:rPr>
        <w:t>that determine the appropriateness and best practices for use of technology to conduct remote hearings, subject to participant consent, including to ensure maximum participation of individuals involved in proceedings and to enable courts to maintain operations in times of public health or other emergencie</w:t>
      </w:r>
      <w:r>
        <w:rPr>
          <w:rFonts w:ascii="Times New Roman" w:eastAsia="Times New Roman" w:hAnsi="Times New Roman" w:cs="Times New Roman"/>
          <w:color w:val="000000"/>
          <w:szCs w:val="22"/>
        </w:rPr>
        <w:t>s; and</w:t>
      </w:r>
    </w:p>
    <w:p w:rsidR="00862A9B" w:rsidRPr="00862A9B" w:rsidP="00862A9B" w14:paraId="033A8584" w14:textId="7777777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(2) to implement improvements the highest state </w:t>
      </w:r>
      <w:r w:rsidRPr="00862A9B">
        <w:rPr>
          <w:rFonts w:ascii="Times New Roman" w:eastAsia="Times New Roman" w:hAnsi="Times New Roman" w:cs="Times New Roman"/>
          <w:color w:val="000000"/>
          <w:szCs w:val="22"/>
        </w:rPr>
        <w:t>courts</w:t>
      </w:r>
      <w:r w:rsidRPr="00862A9B">
        <w:rPr>
          <w:rFonts w:ascii="Times New Roman" w:eastAsia="Times New Roman" w:hAnsi="Times New Roman" w:cs="Times New Roman"/>
          <w:color w:val="000000"/>
          <w:szCs w:val="22"/>
        </w:rPr>
        <w:t xml:space="preserve"> deem necessary as a result of the assessments, including–– </w:t>
      </w:r>
    </w:p>
    <w:p w:rsidR="00862A9B" w:rsidRPr="00862A9B" w:rsidP="00862A9B" w14:paraId="7720BEA4"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(A) to provide for the safety, well-being, and permanence of children in foster care</w:t>
      </w:r>
      <w:r w:rsidR="007A6FB5">
        <w:rPr>
          <w:rFonts w:ascii="Times New Roman" w:eastAsia="Times New Roman" w:hAnsi="Times New Roman" w:cs="Times New Roman"/>
          <w:color w:val="000000"/>
          <w:szCs w:val="22"/>
        </w:rPr>
        <w:t>, as set forth</w:t>
      </w:r>
      <w:r w:rsidRPr="00862A9B">
        <w:rPr>
          <w:rFonts w:ascii="Times New Roman" w:eastAsia="Times New Roman" w:hAnsi="Times New Roman" w:cs="Times New Roman"/>
          <w:color w:val="000000"/>
          <w:szCs w:val="22"/>
        </w:rPr>
        <w:t xml:space="preserve">, as set forth in the Adoption and Safe Families Act of 1997 (Public Law 105- 89), including the requirements in the Act related to concurrent </w:t>
      </w:r>
      <w:r w:rsidRPr="00862A9B">
        <w:rPr>
          <w:rFonts w:ascii="Times New Roman" w:eastAsia="Times New Roman" w:hAnsi="Times New Roman" w:cs="Times New Roman"/>
          <w:color w:val="000000"/>
          <w:szCs w:val="22"/>
        </w:rPr>
        <w:t>planning;</w:t>
      </w:r>
    </w:p>
    <w:p w:rsidR="00862A9B" w:rsidRPr="00862A9B" w:rsidP="00862A9B" w14:paraId="3E3E816E"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(B) to implement a corrective action plan, as necessary, resulting from reviews of child and family service programs under section 1123A of this Act; and</w:t>
      </w:r>
    </w:p>
    <w:p w:rsidR="00862A9B" w:rsidRPr="00862A9B" w:rsidP="0057795B" w14:paraId="7EF8406F" w14:textId="17404523">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(C) to increase and improve engagement of the entire family in court processes relating to child welfare, family preservation, family reunification, and </w:t>
      </w:r>
      <w:r w:rsidRPr="00862A9B">
        <w:rPr>
          <w:rFonts w:ascii="Times New Roman" w:eastAsia="Times New Roman" w:hAnsi="Times New Roman" w:cs="Times New Roman"/>
          <w:color w:val="000000"/>
          <w:szCs w:val="22"/>
        </w:rPr>
        <w:t>adoption</w:t>
      </w:r>
      <w:r w:rsidR="007A6FB5">
        <w:rPr>
          <w:rFonts w:ascii="Times New Roman" w:eastAsia="Times New Roman" w:hAnsi="Times New Roman" w:cs="Times New Roman"/>
          <w:color w:val="000000"/>
          <w:szCs w:val="22"/>
        </w:rPr>
        <w:t xml:space="preserve">, including by training judges, attorneys, and other legal </w:t>
      </w:r>
      <w:r w:rsidRPr="0057795B" w:rsidR="0057795B">
        <w:rPr>
          <w:rFonts w:ascii="Times New Roman" w:eastAsia="Times New Roman" w:hAnsi="Times New Roman" w:cs="Times New Roman"/>
          <w:color w:val="000000"/>
          <w:szCs w:val="22"/>
        </w:rPr>
        <w:t>personnel and supporting optimal use of remote hearing technology; and</w:t>
      </w:r>
    </w:p>
    <w:p w:rsidR="00862A9B" w:rsidRPr="00862A9B" w:rsidP="00862A9B" w14:paraId="14CCDC9C" w14:textId="7777777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(3) to ensure that the safety, permanence, and well-being needs of children are met in a timely and complete manner; and</w:t>
      </w:r>
    </w:p>
    <w:p w:rsidR="00862A9B" w:rsidRPr="00862A9B" w:rsidP="00862A9B" w14:paraId="123810EF" w14:textId="7777777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(4)(A) to provide for the training of judges, attorneys and other legal personnel in child welfare cases.</w:t>
      </w:r>
    </w:p>
    <w:p w:rsidR="00862A9B" w:rsidP="00862A9B" w14:paraId="0BEE6683" w14:textId="77777777">
      <w:pPr>
        <w:ind w:left="144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(B) to increase and improve engagement of the entire family in court processes relating to child welfare, family preservation, family reunification, and </w:t>
      </w:r>
      <w:r w:rsidRPr="00862A9B">
        <w:rPr>
          <w:rFonts w:ascii="Times New Roman" w:eastAsia="Times New Roman" w:hAnsi="Times New Roman" w:cs="Times New Roman"/>
          <w:color w:val="000000"/>
          <w:szCs w:val="22"/>
        </w:rPr>
        <w:t>adoption;</w:t>
      </w:r>
    </w:p>
    <w:p w:rsidR="00990AE0" w:rsidRPr="00990AE0" w:rsidP="00990AE0" w14:paraId="5C161B16" w14:textId="4E2AA12B">
      <w:pPr>
        <w:ind w:left="720" w:firstLine="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(5) </w:t>
      </w:r>
      <w:r w:rsidRPr="00990AE0">
        <w:rPr>
          <w:rFonts w:ascii="Times New Roman" w:eastAsia="Times New Roman" w:hAnsi="Times New Roman" w:cs="Times New Roman"/>
          <w:color w:val="000000"/>
          <w:szCs w:val="22"/>
        </w:rPr>
        <w:t>to ensure continuity of needed court services, prevent disruption of the services, and enable their recovery from threats such as public health crises, natural disasters or cyberattacks, including through--</w:t>
      </w:r>
    </w:p>
    <w:p w:rsidR="00990AE0" w:rsidRPr="00990AE0" w:rsidP="00990AE0" w14:paraId="32599258" w14:textId="4D6513CE">
      <w:pPr>
        <w:ind w:left="1440" w:firstLine="720"/>
        <w:rPr>
          <w:rFonts w:ascii="Times New Roman" w:eastAsia="Times New Roman" w:hAnsi="Times New Roman" w:cs="Times New Roman"/>
          <w:color w:val="000000"/>
          <w:szCs w:val="22"/>
        </w:rPr>
      </w:pPr>
      <w:r w:rsidRPr="00990AE0">
        <w:rPr>
          <w:rFonts w:ascii="Times New Roman" w:eastAsia="Times New Roman" w:hAnsi="Times New Roman" w:cs="Times New Roman"/>
          <w:color w:val="000000"/>
          <w:szCs w:val="22"/>
        </w:rPr>
        <w:t xml:space="preserve">(A) support for technology that allows court proceedings to occur remotely subject to participant consent, including hearings and legal </w:t>
      </w:r>
      <w:r w:rsidRPr="00990AE0">
        <w:rPr>
          <w:rFonts w:ascii="Times New Roman" w:eastAsia="Times New Roman" w:hAnsi="Times New Roman" w:cs="Times New Roman"/>
          <w:color w:val="000000"/>
          <w:szCs w:val="22"/>
        </w:rPr>
        <w:t>representation;</w:t>
      </w:r>
    </w:p>
    <w:p w:rsidR="00990AE0" w:rsidRPr="00990AE0" w:rsidP="00990AE0" w14:paraId="7CFD2671" w14:textId="12B3F9A8">
      <w:pPr>
        <w:ind w:left="1440" w:firstLine="720"/>
        <w:rPr>
          <w:rFonts w:ascii="Times New Roman" w:eastAsia="Times New Roman" w:hAnsi="Times New Roman" w:cs="Times New Roman"/>
          <w:color w:val="000000"/>
          <w:szCs w:val="22"/>
        </w:rPr>
      </w:pPr>
      <w:r w:rsidRPr="00990AE0">
        <w:rPr>
          <w:rFonts w:ascii="Times New Roman" w:eastAsia="Times New Roman" w:hAnsi="Times New Roman" w:cs="Times New Roman"/>
          <w:color w:val="000000"/>
          <w:szCs w:val="22"/>
        </w:rPr>
        <w:t xml:space="preserve"> (B) the development of guidance and protocols for responding to the occurrences and coordinating with other agencies; and</w:t>
      </w:r>
    </w:p>
    <w:p w:rsidR="00990AE0" w:rsidRPr="00862A9B" w:rsidP="00990AE0" w14:paraId="069D0905" w14:textId="7097F9EF">
      <w:pPr>
        <w:ind w:left="1440" w:firstLine="720"/>
        <w:rPr>
          <w:rFonts w:ascii="Times New Roman" w:eastAsia="Times New Roman" w:hAnsi="Times New Roman" w:cs="Times New Roman"/>
          <w:color w:val="000000"/>
          <w:szCs w:val="22"/>
        </w:rPr>
      </w:pPr>
      <w:r w:rsidRPr="00990AE0">
        <w:rPr>
          <w:rFonts w:ascii="Times New Roman" w:eastAsia="Times New Roman" w:hAnsi="Times New Roman" w:cs="Times New Roman"/>
          <w:color w:val="000000"/>
          <w:szCs w:val="22"/>
        </w:rPr>
        <w:t xml:space="preserve"> (C) other activities carried out to ensure backup systems are in place.</w:t>
      </w:r>
    </w:p>
    <w:p w:rsidR="00862A9B" w:rsidRPr="00862A9B" w:rsidP="00FC4282" w14:paraId="3B7B19C3" w14:textId="59F4A224">
      <w:pPr>
        <w:ind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(b) APPLICATIONS.––In order to be eligible to receive a grant under this section, a highest State court shall have in effect a rule requiring State courts to ensure that foster parents, pre- adoptive parents, and relative caregivers of a child in foster care under the responsibility of the State are notified of any proceeding to be held with respect to the child, </w:t>
      </w:r>
      <w:r w:rsidRPr="00862A9B">
        <w:rPr>
          <w:rFonts w:ascii="Times New Roman" w:eastAsia="Calibri" w:hAnsi="Times New Roman" w:cs="Times New Roman"/>
          <w:color w:val="000000"/>
          <w:szCs w:val="22"/>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Pr="00862A9B">
        <w:rPr>
          <w:rFonts w:ascii="Times New Roman" w:eastAsia="Times New Roman" w:hAnsi="Times New Roman" w:cs="Times New Roman"/>
          <w:color w:val="000000"/>
          <w:szCs w:val="22"/>
        </w:rPr>
        <w:t xml:space="preserve"> and shall submit to the Secretary an application at such time, in such form, and including such information and assurances as the Secretary may require, including–</w:t>
      </w:r>
    </w:p>
    <w:p w:rsidR="00862A9B" w:rsidRPr="00862A9B" w:rsidP="00FC4282" w14:paraId="7C982A5F" w14:textId="3292110A">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w:t>
      </w:r>
      <w:r w:rsidR="0096464A">
        <w:rPr>
          <w:rFonts w:ascii="Times New Roman" w:eastAsia="Times New Roman" w:hAnsi="Times New Roman" w:cs="Times New Roman"/>
          <w:color w:val="000000"/>
          <w:szCs w:val="22"/>
        </w:rPr>
        <w:t>1</w:t>
      </w:r>
      <w:r w:rsidRPr="00862A9B">
        <w:rPr>
          <w:rFonts w:ascii="Times New Roman" w:eastAsia="Times New Roman" w:hAnsi="Times New Roman" w:cs="Times New Roman"/>
          <w:color w:val="000000"/>
          <w:szCs w:val="22"/>
        </w:rPr>
        <w:t xml:space="preserve">) a description of how courts and child welfare agencies on the local and State levels will </w:t>
      </w:r>
      <w:r w:rsidR="0096464A">
        <w:rPr>
          <w:rFonts w:ascii="Times New Roman" w:eastAsia="Times New Roman" w:hAnsi="Times New Roman" w:cs="Times New Roman"/>
          <w:color w:val="000000"/>
          <w:szCs w:val="22"/>
        </w:rPr>
        <w:t xml:space="preserve">use not less than 30 percent of grant funds to </w:t>
      </w:r>
      <w:r w:rsidRPr="00862A9B">
        <w:rPr>
          <w:rFonts w:ascii="Times New Roman" w:eastAsia="Times New Roman" w:hAnsi="Times New Roman" w:cs="Times New Roman"/>
          <w:color w:val="000000"/>
          <w:szCs w:val="22"/>
        </w:rPr>
        <w:t>collaborate and jointly plan for the collection and sharing of all relevant data and information to demonstrate how improved case tracking and analysis of child abuse and neglect cases will produce safe and timely permanency decisions;</w:t>
      </w:r>
    </w:p>
    <w:p w:rsidR="00862A9B" w:rsidRPr="00862A9B" w:rsidP="00FC4282" w14:paraId="749E8B39" w14:textId="5A02003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w:t>
      </w:r>
      <w:r w:rsidR="0096464A">
        <w:rPr>
          <w:rFonts w:ascii="Times New Roman" w:eastAsia="Times New Roman" w:hAnsi="Times New Roman" w:cs="Times New Roman"/>
          <w:color w:val="000000"/>
          <w:szCs w:val="22"/>
        </w:rPr>
        <w:t>2</w:t>
      </w:r>
      <w:r w:rsidRPr="00862A9B">
        <w:rPr>
          <w:rFonts w:ascii="Times New Roman" w:eastAsia="Times New Roman" w:hAnsi="Times New Roman" w:cs="Times New Roman"/>
          <w:color w:val="000000"/>
          <w:szCs w:val="22"/>
        </w:rPr>
        <w:t>) a demonstration that a portion of the grant will be used for cross-training initiatives that are jointly planned and executed with the State agency or any other agency under contract with the State to administer the State program under the State plan under subpart 1, the State plan approved under section 434, or the State plan approved under part E; and</w:t>
      </w:r>
    </w:p>
    <w:p w:rsidR="00862A9B" w:rsidRPr="00862A9B" w:rsidP="00FC4282" w14:paraId="01500EB5" w14:textId="3BBA237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w:t>
      </w:r>
      <w:r w:rsidR="0096464A">
        <w:rPr>
          <w:rFonts w:ascii="Times New Roman" w:eastAsia="Times New Roman" w:hAnsi="Times New Roman" w:cs="Times New Roman"/>
          <w:color w:val="000000"/>
          <w:szCs w:val="22"/>
        </w:rPr>
        <w:t>3</w:t>
      </w:r>
      <w:r w:rsidRPr="00862A9B">
        <w:rPr>
          <w:rFonts w:ascii="Times New Roman" w:eastAsia="Times New Roman" w:hAnsi="Times New Roman" w:cs="Times New Roman"/>
          <w:color w:val="000000"/>
          <w:szCs w:val="22"/>
        </w:rPr>
        <w:t>) a demonstration of meaningful and ongoing collaboration among the courts in the State, the State agency or any other agency under contract with the State who is responsible for administering the State program under part B or E, and, where applicable, Indian tribes.</w:t>
      </w:r>
    </w:p>
    <w:p w:rsidR="00862A9B" w:rsidRPr="00862A9B" w:rsidP="00FC4282" w14:paraId="37AA6220" w14:textId="4B4D94B4">
      <w:pPr>
        <w:ind w:left="720" w:firstLine="720"/>
        <w:rPr>
          <w:rFonts w:ascii="Times New Roman" w:eastAsia="Times New Roman" w:hAnsi="Times New Roman" w:cs="Times New Roman"/>
          <w:color w:val="000000"/>
          <w:szCs w:val="22"/>
        </w:rPr>
      </w:pPr>
    </w:p>
    <w:p w:rsidR="00862A9B" w:rsidRPr="00862A9B" w:rsidP="00862A9B" w14:paraId="1E8345E9" w14:textId="77777777">
      <w:pPr>
        <w:ind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(c) AMOUNT OF GRANT</w:t>
      </w:r>
      <w:r w:rsidRPr="00862A9B">
        <w:rPr>
          <w:rFonts w:ascii="Times New Roman" w:eastAsia="Calibri" w:hAnsi="Times New Roman" w:cs="Times New Roman"/>
          <w:color w:val="000000"/>
          <w:szCs w:val="22"/>
        </w:rPr>
        <w:t>.—</w:t>
      </w:r>
    </w:p>
    <w:p w:rsidR="0096464A" w:rsidP="00862A9B" w14:paraId="2D1DBEC8" w14:textId="097C6157">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(1) IN </w:t>
      </w:r>
      <w:r w:rsidRPr="00862A9B">
        <w:rPr>
          <w:rFonts w:ascii="Times New Roman" w:eastAsia="Times New Roman" w:hAnsi="Times New Roman" w:cs="Times New Roman"/>
          <w:color w:val="000000"/>
          <w:szCs w:val="22"/>
        </w:rPr>
        <w:t>GENERAL.––</w:t>
      </w:r>
      <w:r w:rsidRPr="00862A9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From the amounts reserved under sections 436(b)(2) and 437(b)(2) for a fiscal year, </w:t>
      </w:r>
      <w:r w:rsidRPr="00862A9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each </w:t>
      </w:r>
      <w:r w:rsidRPr="00862A9B">
        <w:rPr>
          <w:rFonts w:ascii="Times New Roman" w:eastAsia="Times New Roman" w:hAnsi="Times New Roman" w:cs="Times New Roman"/>
          <w:color w:val="000000"/>
          <w:szCs w:val="22"/>
        </w:rPr>
        <w:t xml:space="preserve">highest State court </w:t>
      </w:r>
      <w:r>
        <w:rPr>
          <w:rFonts w:ascii="Times New Roman" w:eastAsia="Times New Roman" w:hAnsi="Times New Roman" w:cs="Times New Roman"/>
          <w:color w:val="000000"/>
          <w:szCs w:val="22"/>
        </w:rPr>
        <w:t xml:space="preserve">that has an application </w:t>
      </w:r>
      <w:r w:rsidRPr="00862A9B">
        <w:rPr>
          <w:rFonts w:ascii="Times New Roman" w:eastAsia="Times New Roman" w:hAnsi="Times New Roman" w:cs="Times New Roman"/>
          <w:color w:val="000000"/>
          <w:szCs w:val="22"/>
        </w:rPr>
        <w:t xml:space="preserve">approved </w:t>
      </w:r>
      <w:r w:rsidRPr="00862A9B">
        <w:rPr>
          <w:rFonts w:ascii="Times New Roman" w:eastAsia="Times New Roman" w:hAnsi="Times New Roman" w:cs="Times New Roman"/>
          <w:color w:val="000000"/>
          <w:szCs w:val="22"/>
        </w:rPr>
        <w:t>under this section</w:t>
      </w:r>
      <w:r>
        <w:rPr>
          <w:rFonts w:ascii="Times New Roman" w:eastAsia="Times New Roman" w:hAnsi="Times New Roman" w:cs="Times New Roman"/>
          <w:color w:val="000000"/>
          <w:szCs w:val="22"/>
        </w:rPr>
        <w:t xml:space="preserve"> for the fiscal year</w:t>
      </w:r>
      <w:r w:rsidRPr="00862A9B">
        <w:rPr>
          <w:rFonts w:ascii="Times New Roman" w:eastAsia="Times New Roman" w:hAnsi="Times New Roman" w:cs="Times New Roman"/>
          <w:color w:val="000000"/>
          <w:szCs w:val="22"/>
        </w:rPr>
        <w:t xml:space="preserve">, shall be entitled to payment of an amount equal to </w:t>
      </w:r>
      <w:r>
        <w:rPr>
          <w:rFonts w:ascii="Times New Roman" w:eastAsia="Times New Roman" w:hAnsi="Times New Roman" w:cs="Times New Roman"/>
          <w:color w:val="000000"/>
          <w:szCs w:val="22"/>
        </w:rPr>
        <w:t>the sum of—</w:t>
      </w:r>
    </w:p>
    <w:p w:rsidR="0096464A" w:rsidP="00862A9B" w14:paraId="692CCEE7" w14:textId="6BFEBAD0">
      <w:pPr>
        <w:ind w:left="720" w:firstLine="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(A) </w:t>
      </w:r>
      <w:r w:rsidRPr="00862A9B" w:rsidR="00862A9B">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255</w:t>
      </w:r>
      <w:r w:rsidRPr="00862A9B" w:rsidR="00862A9B">
        <w:rPr>
          <w:rFonts w:ascii="Times New Roman" w:eastAsia="Times New Roman" w:hAnsi="Times New Roman" w:cs="Times New Roman"/>
          <w:color w:val="000000"/>
          <w:szCs w:val="22"/>
        </w:rPr>
        <w:t>,000</w:t>
      </w:r>
      <w:r>
        <w:rPr>
          <w:rFonts w:ascii="Times New Roman" w:eastAsia="Times New Roman" w:hAnsi="Times New Roman" w:cs="Times New Roman"/>
          <w:color w:val="000000"/>
          <w:szCs w:val="22"/>
        </w:rPr>
        <w:t xml:space="preserve">; and </w:t>
      </w:r>
    </w:p>
    <w:p w:rsidR="00862A9B" w:rsidRPr="00862A9B" w:rsidP="00862A9B" w14:paraId="770A625C" w14:textId="28AA9CCC">
      <w:pPr>
        <w:ind w:left="720" w:firstLine="72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(B) </w:t>
      </w:r>
      <w:r w:rsidRPr="00862A9B">
        <w:rPr>
          <w:rFonts w:ascii="Times New Roman" w:eastAsia="Times New Roman" w:hAnsi="Times New Roman" w:cs="Times New Roman"/>
          <w:color w:val="000000"/>
          <w:szCs w:val="22"/>
        </w:rPr>
        <w:t xml:space="preserve">the amount described in paragraph (2) with respect to the </w:t>
      </w:r>
      <w:r>
        <w:rPr>
          <w:rFonts w:ascii="Times New Roman" w:eastAsia="Times New Roman" w:hAnsi="Times New Roman" w:cs="Times New Roman"/>
          <w:color w:val="000000"/>
          <w:szCs w:val="22"/>
        </w:rPr>
        <w:t>court and the fiscal year</w:t>
      </w:r>
      <w:r w:rsidRPr="00862A9B">
        <w:rPr>
          <w:rFonts w:ascii="Times New Roman" w:eastAsia="Times New Roman" w:hAnsi="Times New Roman" w:cs="Times New Roman"/>
          <w:color w:val="000000"/>
          <w:szCs w:val="22"/>
        </w:rPr>
        <w:t>.</w:t>
      </w:r>
    </w:p>
    <w:p w:rsidR="00862A9B" w:rsidRPr="00862A9B" w:rsidP="00862A9B" w14:paraId="646C5995" w14:textId="34F568B5">
      <w:pPr>
        <w:ind w:left="720" w:firstLine="720"/>
        <w:rPr>
          <w:rFonts w:ascii="Times New Roman" w:eastAsia="Times New Roman" w:hAnsi="Times New Roman" w:cs="Times New Roman"/>
          <w:color w:val="000000"/>
          <w:szCs w:val="22"/>
        </w:rPr>
      </w:pPr>
      <w:r w:rsidRPr="00862A9B">
        <w:rPr>
          <w:rFonts w:ascii="Times New Roman" w:eastAsia="Times New Roman" w:hAnsi="Times New Roman" w:cs="Times New Roman"/>
          <w:color w:val="000000"/>
          <w:szCs w:val="22"/>
        </w:rPr>
        <w:t xml:space="preserve">(2) AMOUNT DESCRIBED.–– The amount described in this paragraph with respect to </w:t>
      </w:r>
      <w:r w:rsidR="001608E6">
        <w:rPr>
          <w:rFonts w:ascii="Times New Roman" w:eastAsia="Times New Roman" w:hAnsi="Times New Roman" w:cs="Times New Roman"/>
          <w:color w:val="000000"/>
          <w:szCs w:val="22"/>
        </w:rPr>
        <w:t xml:space="preserve">a court and a fiscal year </w:t>
      </w:r>
      <w:r w:rsidRPr="00862A9B">
        <w:rPr>
          <w:rFonts w:ascii="Times New Roman" w:eastAsia="Times New Roman" w:hAnsi="Times New Roman" w:cs="Times New Roman"/>
          <w:color w:val="000000"/>
          <w:szCs w:val="22"/>
        </w:rPr>
        <w:t xml:space="preserve">is the amount that bears the same ratio to the total of the amounts </w:t>
      </w:r>
      <w:r w:rsidR="001608E6">
        <w:rPr>
          <w:rFonts w:ascii="Times New Roman" w:eastAsia="Times New Roman" w:hAnsi="Times New Roman" w:cs="Times New Roman"/>
          <w:color w:val="000000"/>
          <w:szCs w:val="22"/>
        </w:rPr>
        <w:t xml:space="preserve">reserved under sections 436(b)(2) and 437(b)(2) </w:t>
      </w:r>
      <w:r w:rsidRPr="00862A9B">
        <w:rPr>
          <w:rFonts w:ascii="Times New Roman" w:eastAsia="Times New Roman" w:hAnsi="Times New Roman" w:cs="Times New Roman"/>
          <w:color w:val="000000"/>
          <w:szCs w:val="22"/>
        </w:rPr>
        <w:t xml:space="preserve">for grants </w:t>
      </w:r>
      <w:r w:rsidR="001608E6">
        <w:rPr>
          <w:rFonts w:ascii="Times New Roman" w:eastAsia="Times New Roman" w:hAnsi="Times New Roman" w:cs="Times New Roman"/>
          <w:color w:val="000000"/>
          <w:szCs w:val="22"/>
        </w:rPr>
        <w:t xml:space="preserve">under this section for the fiscal year (after applying paragraphs (1)(A) and (3) of this subsection) </w:t>
      </w:r>
      <w:r w:rsidRPr="00862A9B">
        <w:rPr>
          <w:rFonts w:ascii="Times New Roman" w:eastAsia="Times New Roman" w:hAnsi="Times New Roman" w:cs="Times New Roman"/>
          <w:color w:val="000000"/>
          <w:szCs w:val="22"/>
        </w:rPr>
        <w:t xml:space="preserve">as the number of individuals in the State </w:t>
      </w:r>
      <w:r w:rsidR="001608E6">
        <w:rPr>
          <w:rFonts w:ascii="Times New Roman" w:eastAsia="Times New Roman" w:hAnsi="Times New Roman" w:cs="Times New Roman"/>
          <w:color w:val="000000"/>
          <w:szCs w:val="22"/>
        </w:rPr>
        <w:t xml:space="preserve">in which the court is located </w:t>
      </w:r>
      <w:r w:rsidRPr="00862A9B">
        <w:rPr>
          <w:rFonts w:ascii="Times New Roman" w:eastAsia="Times New Roman" w:hAnsi="Times New Roman" w:cs="Times New Roman"/>
          <w:color w:val="000000"/>
          <w:szCs w:val="22"/>
        </w:rPr>
        <w:t xml:space="preserve">who have not attained 21 years of age bears to the total number of such individuals in all States </w:t>
      </w:r>
      <w:r w:rsidR="001608E6">
        <w:rPr>
          <w:rFonts w:ascii="Times New Roman" w:eastAsia="Times New Roman" w:hAnsi="Times New Roman" w:cs="Times New Roman"/>
          <w:color w:val="000000"/>
          <w:szCs w:val="22"/>
        </w:rPr>
        <w:t>with a</w:t>
      </w:r>
      <w:r w:rsidRPr="00862A9B">
        <w:rPr>
          <w:rFonts w:ascii="Times New Roman" w:eastAsia="Times New Roman" w:hAnsi="Times New Roman" w:cs="Times New Roman"/>
          <w:color w:val="000000"/>
          <w:szCs w:val="22"/>
        </w:rPr>
        <w:t xml:space="preserve"> highest State court </w:t>
      </w:r>
      <w:r w:rsidR="001608E6">
        <w:rPr>
          <w:rFonts w:ascii="Times New Roman" w:eastAsia="Times New Roman" w:hAnsi="Times New Roman" w:cs="Times New Roman"/>
          <w:color w:val="000000"/>
          <w:szCs w:val="22"/>
        </w:rPr>
        <w:t>that has an</w:t>
      </w:r>
      <w:r w:rsidRPr="00862A9B">
        <w:rPr>
          <w:rFonts w:ascii="Times New Roman" w:eastAsia="Times New Roman" w:hAnsi="Times New Roman" w:cs="Times New Roman"/>
          <w:color w:val="000000"/>
          <w:szCs w:val="22"/>
        </w:rPr>
        <w:t xml:space="preserve"> approved application under this section for the </w:t>
      </w:r>
      <w:r w:rsidR="001608E6">
        <w:rPr>
          <w:rFonts w:ascii="Times New Roman" w:eastAsia="Times New Roman" w:hAnsi="Times New Roman" w:cs="Times New Roman"/>
          <w:color w:val="000000"/>
          <w:szCs w:val="22"/>
        </w:rPr>
        <w:t>fiscal year</w:t>
      </w:r>
      <w:r w:rsidRPr="00862A9B">
        <w:rPr>
          <w:rFonts w:ascii="Times New Roman" w:eastAsia="Times New Roman" w:hAnsi="Times New Roman" w:cs="Times New Roman"/>
          <w:color w:val="000000"/>
          <w:szCs w:val="22"/>
        </w:rPr>
        <w:t>.</w:t>
      </w:r>
    </w:p>
    <w:p w:rsidR="00862A9B" w:rsidRPr="00862A9B" w:rsidP="00862A9B" w14:paraId="2BB59434" w14:textId="796B046E">
      <w:pPr>
        <w:autoSpaceDE w:val="0"/>
        <w:autoSpaceDN w:val="0"/>
        <w:adjustRightInd w:val="0"/>
        <w:ind w:firstLine="1440"/>
        <w:rPr>
          <w:rFonts w:ascii="Times New Roman" w:eastAsia="Calibri" w:hAnsi="Times New Roman" w:cs="Times New Roman"/>
          <w:color w:val="000000"/>
          <w:szCs w:val="22"/>
        </w:rPr>
      </w:pPr>
      <w:r w:rsidRPr="00862A9B">
        <w:rPr>
          <w:rFonts w:ascii="Times New Roman" w:eastAsia="Times New Roman" w:hAnsi="Times New Roman" w:cs="Times New Roman"/>
          <w:color w:val="000000"/>
          <w:szCs w:val="22"/>
        </w:rPr>
        <w:t xml:space="preserve">(3) </w:t>
      </w:r>
      <w:r w:rsidR="001608E6">
        <w:rPr>
          <w:rFonts w:ascii="Times New Roman" w:eastAsia="Calibri" w:hAnsi="Times New Roman" w:cs="Times New Roman"/>
          <w:color w:val="000000"/>
          <w:szCs w:val="22"/>
        </w:rPr>
        <w:t xml:space="preserve">INDIAN </w:t>
      </w:r>
      <w:r w:rsidR="001608E6">
        <w:rPr>
          <w:rFonts w:ascii="Times New Roman" w:eastAsia="Calibri" w:hAnsi="Times New Roman" w:cs="Times New Roman"/>
          <w:color w:val="000000"/>
          <w:szCs w:val="22"/>
        </w:rPr>
        <w:t>TRIBES</w:t>
      </w:r>
      <w:r w:rsidRPr="00862A9B">
        <w:rPr>
          <w:rFonts w:ascii="Times New Roman" w:eastAsia="Calibri" w:hAnsi="Times New Roman" w:cs="Times New Roman"/>
          <w:color w:val="000000"/>
          <w:szCs w:val="22"/>
        </w:rPr>
        <w:t>.—</w:t>
      </w:r>
      <w:r w:rsidR="001608E6">
        <w:rPr>
          <w:rFonts w:ascii="Times New Roman" w:eastAsia="Calibri" w:hAnsi="Times New Roman" w:cs="Times New Roman"/>
          <w:color w:val="000000"/>
          <w:szCs w:val="22"/>
        </w:rPr>
        <w:t>From the amounts reserved under section 436(b)(2) for a fiscal year, the Secretary shall, before applying paragraph (1) of this subsection, allocate $</w:t>
      </w:r>
      <w:r w:rsidR="003405CE">
        <w:rPr>
          <w:rFonts w:ascii="Times New Roman" w:eastAsia="Calibri" w:hAnsi="Times New Roman" w:cs="Times New Roman"/>
          <w:color w:val="000000"/>
          <w:szCs w:val="22"/>
        </w:rPr>
        <w:t>2</w:t>
      </w:r>
      <w:r w:rsidR="001608E6">
        <w:rPr>
          <w:rFonts w:ascii="Times New Roman" w:eastAsia="Calibri" w:hAnsi="Times New Roman" w:cs="Times New Roman"/>
          <w:color w:val="000000"/>
          <w:szCs w:val="22"/>
        </w:rPr>
        <w:t xml:space="preserve">,000,000 for grants to be </w:t>
      </w:r>
    </w:p>
    <w:p w:rsidR="00862A9B" w:rsidRPr="00862A9B" w:rsidP="001608E6" w14:paraId="174ADAF9" w14:textId="0D58A9F3">
      <w:pPr>
        <w:autoSpaceDE w:val="0"/>
        <w:autoSpaceDN w:val="0"/>
        <w:adjustRightInd w:val="0"/>
        <w:ind w:left="2160" w:firstLine="720"/>
        <w:rPr>
          <w:rFonts w:ascii="Times New Roman" w:eastAsia="Calibri" w:hAnsi="Times New Roman" w:cs="Times New Roman"/>
          <w:color w:val="000000"/>
          <w:szCs w:val="22"/>
        </w:rPr>
      </w:pPr>
      <w:r w:rsidRPr="00862A9B">
        <w:rPr>
          <w:rFonts w:ascii="Times New Roman" w:eastAsia="Calibri" w:hAnsi="Times New Roman" w:cs="Times New Roman"/>
          <w:color w:val="000000"/>
          <w:szCs w:val="22"/>
        </w:rPr>
        <w:t xml:space="preserve"> to be awarded on a competitive basis among the highest courts of Indian tribes or tribal consortia that—</w:t>
      </w:r>
    </w:p>
    <w:p w:rsidR="00862A9B" w:rsidRPr="00862A9B" w:rsidP="00FC4282" w14:paraId="2DBF4632" w14:textId="1D7C7BCA">
      <w:pPr>
        <w:autoSpaceDE w:val="0"/>
        <w:autoSpaceDN w:val="0"/>
        <w:adjustRightInd w:val="0"/>
        <w:ind w:left="2160"/>
        <w:rPr>
          <w:rFonts w:ascii="Times New Roman" w:eastAsia="Calibri" w:hAnsi="Times New Roman" w:cs="Times New Roman"/>
          <w:color w:val="000000"/>
          <w:szCs w:val="22"/>
        </w:rPr>
      </w:pPr>
      <w:r w:rsidRPr="00862A9B">
        <w:rPr>
          <w:rFonts w:ascii="Times New Roman" w:eastAsia="Calibri" w:hAnsi="Times New Roman" w:cs="Times New Roman"/>
          <w:color w:val="000000"/>
          <w:szCs w:val="22"/>
        </w:rPr>
        <w:t>(</w:t>
      </w:r>
      <w:r w:rsidR="001608E6">
        <w:rPr>
          <w:rFonts w:ascii="Times New Roman" w:eastAsia="Calibri" w:hAnsi="Times New Roman" w:cs="Times New Roman"/>
          <w:color w:val="000000"/>
          <w:szCs w:val="22"/>
        </w:rPr>
        <w:t>A</w:t>
      </w:r>
      <w:r w:rsidRPr="00862A9B">
        <w:rPr>
          <w:rFonts w:ascii="Times New Roman" w:eastAsia="Calibri" w:hAnsi="Times New Roman" w:cs="Times New Roman"/>
          <w:color w:val="000000"/>
          <w:szCs w:val="22"/>
        </w:rPr>
        <w:t xml:space="preserve">) are operating a program under part E, in accordance with section </w:t>
      </w:r>
      <w:r w:rsidRPr="00862A9B">
        <w:rPr>
          <w:rFonts w:ascii="Times New Roman" w:eastAsia="Calibri" w:hAnsi="Times New Roman" w:cs="Times New Roman"/>
          <w:color w:val="000000"/>
          <w:szCs w:val="22"/>
        </w:rPr>
        <w:t>479B;</w:t>
      </w:r>
    </w:p>
    <w:p w:rsidR="00862A9B" w:rsidRPr="00862A9B" w:rsidP="00FC4282" w14:paraId="1DF4A76F" w14:textId="4BA5A3D0">
      <w:pPr>
        <w:autoSpaceDE w:val="0"/>
        <w:autoSpaceDN w:val="0"/>
        <w:adjustRightInd w:val="0"/>
        <w:ind w:left="2160"/>
        <w:rPr>
          <w:rFonts w:ascii="Times New Roman" w:eastAsia="Calibri" w:hAnsi="Times New Roman" w:cs="Times New Roman"/>
          <w:color w:val="000000"/>
          <w:szCs w:val="22"/>
        </w:rPr>
      </w:pPr>
      <w:r w:rsidRPr="00862A9B">
        <w:rPr>
          <w:rFonts w:ascii="Times New Roman" w:eastAsia="Calibri" w:hAnsi="Times New Roman" w:cs="Times New Roman"/>
          <w:color w:val="000000"/>
          <w:szCs w:val="22"/>
        </w:rPr>
        <w:t>(</w:t>
      </w:r>
      <w:r w:rsidR="001608E6">
        <w:rPr>
          <w:rFonts w:ascii="Times New Roman" w:eastAsia="Calibri" w:hAnsi="Times New Roman" w:cs="Times New Roman"/>
          <w:color w:val="000000"/>
          <w:szCs w:val="22"/>
        </w:rPr>
        <w:t>B</w:t>
      </w:r>
      <w:r w:rsidRPr="00862A9B">
        <w:rPr>
          <w:rFonts w:ascii="Times New Roman" w:eastAsia="Calibri" w:hAnsi="Times New Roman" w:cs="Times New Roman"/>
          <w:color w:val="000000"/>
          <w:szCs w:val="22"/>
        </w:rPr>
        <w:t>) are seeking to operate a program under part E and have received an implementation grant under section 476; or</w:t>
      </w:r>
    </w:p>
    <w:p w:rsidR="00862A9B" w:rsidRPr="00862A9B" w:rsidP="00FC4282" w14:paraId="4DC81ACD" w14:textId="2C8A3B94">
      <w:pPr>
        <w:autoSpaceDE w:val="0"/>
        <w:autoSpaceDN w:val="0"/>
        <w:adjustRightInd w:val="0"/>
        <w:ind w:left="2160"/>
        <w:rPr>
          <w:rFonts w:ascii="Times New Roman" w:eastAsia="Calibri" w:hAnsi="Times New Roman" w:cs="Times New Roman"/>
          <w:color w:val="000000"/>
          <w:szCs w:val="22"/>
        </w:rPr>
      </w:pPr>
      <w:r w:rsidRPr="00862A9B">
        <w:rPr>
          <w:rFonts w:ascii="Times New Roman" w:eastAsia="Calibri" w:hAnsi="Times New Roman" w:cs="Times New Roman"/>
          <w:color w:val="000000"/>
          <w:szCs w:val="22"/>
        </w:rPr>
        <w:t>(</w:t>
      </w:r>
      <w:r w:rsidR="001608E6">
        <w:rPr>
          <w:rFonts w:ascii="Times New Roman" w:eastAsia="Calibri" w:hAnsi="Times New Roman" w:cs="Times New Roman"/>
          <w:color w:val="000000"/>
          <w:szCs w:val="22"/>
        </w:rPr>
        <w:t>C</w:t>
      </w:r>
      <w:r w:rsidRPr="00862A9B">
        <w:rPr>
          <w:rFonts w:ascii="Times New Roman" w:eastAsia="Calibri" w:hAnsi="Times New Roman" w:cs="Times New Roman"/>
          <w:color w:val="000000"/>
          <w:szCs w:val="22"/>
        </w:rPr>
        <w:t>) has a court responsible for proceedings related to foster care or adoption.</w:t>
      </w:r>
    </w:p>
    <w:p w:rsidR="00862A9B" w:rsidP="00862A9B" w14:paraId="23D90EE5" w14:textId="08EC3C4C">
      <w:pPr>
        <w:ind w:firstLine="720"/>
        <w:rPr>
          <w:rFonts w:ascii="Times New Roman" w:eastAsia="Times New Roman" w:hAnsi="Times New Roman" w:cs="Times New Roman"/>
          <w:color w:val="000000"/>
          <w:szCs w:val="22"/>
        </w:rPr>
      </w:pPr>
      <w:r w:rsidRPr="00862A9B">
        <w:rPr>
          <w:rFonts w:ascii="Times New Roman" w:eastAsia="Calibri" w:hAnsi="Times New Roman" w:cs="Times New Roman"/>
          <w:color w:val="000000"/>
          <w:szCs w:val="22"/>
        </w:rPr>
        <w:t xml:space="preserve"> </w:t>
      </w:r>
      <w:r w:rsidRPr="00862A9B">
        <w:rPr>
          <w:rFonts w:ascii="Times New Roman" w:eastAsia="Times New Roman" w:hAnsi="Times New Roman" w:cs="Times New Roman"/>
          <w:color w:val="000000"/>
          <w:szCs w:val="22"/>
        </w:rPr>
        <w:t xml:space="preserve">(d) EXTENSION OF FEDERAL </w:t>
      </w:r>
      <w:r w:rsidRPr="00862A9B">
        <w:rPr>
          <w:rFonts w:ascii="Times New Roman" w:eastAsia="Times New Roman" w:hAnsi="Times New Roman" w:cs="Times New Roman"/>
          <w:color w:val="000000"/>
          <w:szCs w:val="22"/>
        </w:rPr>
        <w:t>SHARE.––</w:t>
      </w:r>
      <w:r w:rsidRPr="00862A9B">
        <w:rPr>
          <w:rFonts w:ascii="Times New Roman" w:eastAsia="Times New Roman" w:hAnsi="Times New Roman" w:cs="Times New Roman"/>
          <w:color w:val="000000"/>
          <w:szCs w:val="22"/>
        </w:rPr>
        <w:t xml:space="preserve"> </w:t>
      </w:r>
      <w:r w:rsidRPr="00F000E4">
        <w:rPr>
          <w:rFonts w:ascii="Times New Roman" w:eastAsia="Times New Roman" w:hAnsi="Times New Roman" w:cs="Times New Roman"/>
          <w:color w:val="000000"/>
          <w:szCs w:val="22"/>
        </w:rPr>
        <w:t>Each highest State court which receives funds paid under this section may use such funds to pay not more than 75 percent of the cost of activities under this section in each of fiscal years 20</w:t>
      </w:r>
      <w:r w:rsidRPr="00F000E4" w:rsidR="00F000E4">
        <w:rPr>
          <w:rFonts w:ascii="Times New Roman" w:eastAsia="Times New Roman" w:hAnsi="Times New Roman" w:cs="Times New Roman"/>
          <w:color w:val="000000"/>
          <w:szCs w:val="22"/>
        </w:rPr>
        <w:t>25</w:t>
      </w:r>
      <w:r w:rsidRPr="00F000E4">
        <w:rPr>
          <w:rFonts w:ascii="Times New Roman" w:eastAsia="Times New Roman" w:hAnsi="Times New Roman" w:cs="Times New Roman"/>
          <w:color w:val="000000"/>
          <w:szCs w:val="22"/>
        </w:rPr>
        <w:t xml:space="preserve"> </w:t>
      </w:r>
      <w:r w:rsidRPr="00F000E4" w:rsidR="00F000E4">
        <w:rPr>
          <w:rFonts w:ascii="Times New Roman" w:eastAsia="Times New Roman" w:hAnsi="Times New Roman" w:cs="Times New Roman"/>
          <w:color w:val="000000"/>
          <w:szCs w:val="22"/>
        </w:rPr>
        <w:t>and each succeeding year</w:t>
      </w:r>
      <w:r w:rsidRPr="00F000E4">
        <w:rPr>
          <w:rFonts w:ascii="Times New Roman" w:eastAsia="Times New Roman" w:hAnsi="Times New Roman" w:cs="Times New Roman"/>
          <w:color w:val="000000"/>
          <w:szCs w:val="22"/>
        </w:rPr>
        <w:t>.</w:t>
      </w:r>
    </w:p>
    <w:p w:rsidR="005E6984" w:rsidP="00862A9B" w14:paraId="2ABCA543" w14:textId="77777777">
      <w:pPr>
        <w:ind w:firstLine="720"/>
        <w:rPr>
          <w:rFonts w:ascii="Times New Roman" w:eastAsia="Times New Roman" w:hAnsi="Times New Roman" w:cs="Times New Roman"/>
          <w:color w:val="000000"/>
          <w:szCs w:val="22"/>
        </w:rPr>
      </w:pPr>
    </w:p>
    <w:p w:rsidR="005E6984" w:rsidRPr="001D0FC1" w:rsidP="00F000E4" w14:paraId="7175B9DE" w14:textId="77777777">
      <w:pPr>
        <w:rPr>
          <w:rFonts w:ascii="Times New Roman" w:eastAsia="Times New Roman" w:hAnsi="Times New Roman" w:cs="Times New Roman"/>
          <w:color w:val="000000"/>
          <w:szCs w:val="22"/>
        </w:rPr>
      </w:pPr>
    </w:p>
    <w:p w:rsidR="005E6984" w:rsidRPr="001D0FC1" w:rsidP="001D0FC1" w14:paraId="59E9A012" w14:textId="77777777">
      <w:pPr>
        <w:rPr>
          <w:rFonts w:ascii="Times New Roman" w:eastAsia="Calibri" w:hAnsi="Times New Roman" w:cs="Times New Roman"/>
          <w:color w:val="000000"/>
          <w:szCs w:val="22"/>
        </w:rPr>
      </w:pPr>
    </w:p>
    <w:p w:rsidR="005E6984" w:rsidRPr="001D0FC1" w:rsidP="005E6984" w14:paraId="1C528763" w14:textId="6946E4E2">
      <w:pPr>
        <w:rPr>
          <w:rFonts w:ascii="Times New Roman" w:hAnsi="Times New Roman" w:cs="Times New Roman"/>
        </w:rPr>
      </w:pPr>
      <w:r w:rsidRPr="001D0FC1">
        <w:rPr>
          <w:rFonts w:ascii="Times New Roman" w:hAnsi="Times New Roman" w:cs="Times New Roman"/>
        </w:rPr>
        <w:t>Also</w:t>
      </w:r>
      <w:r w:rsidRPr="001D0FC1">
        <w:rPr>
          <w:rFonts w:ascii="Times New Roman" w:hAnsi="Times New Roman" w:cs="Times New Roman"/>
        </w:rPr>
        <w:t xml:space="preserve"> in </w:t>
      </w:r>
      <w:r w:rsidRPr="001D0FC1" w:rsidR="001D0FC1">
        <w:rPr>
          <w:rFonts w:ascii="Times New Roman" w:hAnsi="Times New Roman" w:cs="Times New Roman"/>
        </w:rPr>
        <w:t>Supporting America's Children and Families Act, P.L. 118-258, which was signed into law on Jan 4</w:t>
      </w:r>
      <w:r w:rsidRPr="001D0FC1" w:rsidR="001D0FC1">
        <w:rPr>
          <w:rFonts w:ascii="Times New Roman" w:hAnsi="Times New Roman" w:cs="Times New Roman"/>
          <w:vertAlign w:val="superscript"/>
        </w:rPr>
        <w:t>th</w:t>
      </w:r>
      <w:r w:rsidRPr="001D0FC1" w:rsidR="001D0FC1">
        <w:rPr>
          <w:rFonts w:ascii="Times New Roman" w:hAnsi="Times New Roman" w:cs="Times New Roman"/>
        </w:rPr>
        <w:t>, 2025</w:t>
      </w:r>
    </w:p>
    <w:p w:rsidR="005E6984" w:rsidRPr="001D0FC1" w:rsidP="005E6984" w14:paraId="71555D68" w14:textId="77777777">
      <w:pPr>
        <w:rPr>
          <w:rFonts w:ascii="Times New Roman" w:hAnsi="Times New Roman" w:cs="Times New Roman"/>
        </w:rPr>
      </w:pPr>
    </w:p>
    <w:p w:rsidR="00862A9B" w:rsidRPr="001D0FC1" w:rsidP="005E6984" w14:paraId="591D1DF6" w14:textId="2520AB39">
      <w:pPr>
        <w:rPr>
          <w:rFonts w:ascii="Times New Roman" w:hAnsi="Times New Roman" w:cs="Times New Roman"/>
        </w:rPr>
      </w:pPr>
      <w:r w:rsidRPr="001D0FC1">
        <w:rPr>
          <w:rFonts w:ascii="Times New Roman" w:hAnsi="Times New Roman" w:cs="Times New Roman"/>
        </w:rPr>
        <w:t>“Enhancements to the court improvement program. (a) Increase in reservation of funds</w:t>
      </w:r>
      <w:r w:rsidRPr="001D0FC1">
        <w:rPr>
          <w:rFonts w:ascii="Times New Roman" w:hAnsi="Times New Roman" w:cs="Times New Roman"/>
        </w:rPr>
        <w:t>…(</w:t>
      </w:r>
      <w:r w:rsidRPr="001D0FC1">
        <w:rPr>
          <w:rFonts w:ascii="Times New Roman" w:hAnsi="Times New Roman" w:cs="Times New Roman"/>
        </w:rPr>
        <w:t>42 U.S.C. 629f(b)(2)) is amended by inserting [$30,000,000] “for fiscal year 2025 and $40,000,000 for fiscal year 2026 and each succeeding fiscal year” before “for grants”.” Section 104</w:t>
      </w:r>
    </w:p>
    <w:p w:rsidR="003405CE" w14:paraId="2545AE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966" w:rsidP="00862A9B" w14:paraId="0457A4C7" w14:textId="77777777">
      <w:r>
        <w:separator/>
      </w:r>
    </w:p>
  </w:footnote>
  <w:footnote w:type="continuationSeparator" w:id="1">
    <w:p w:rsidR="00BD7966" w:rsidP="00862A9B" w14:paraId="40B77DD4" w14:textId="77777777">
      <w:r>
        <w:continuationSeparator/>
      </w:r>
    </w:p>
  </w:footnote>
  <w:footnote w:id="2">
    <w:p w:rsidR="00862A9B" w:rsidP="00862A9B" w14:paraId="586DAD44" w14:textId="77777777">
      <w:pPr>
        <w:pStyle w:val="FootnoteText"/>
      </w:pPr>
      <w:r>
        <w:rPr>
          <w:rStyle w:val="FootnoteReference"/>
        </w:rPr>
        <w:footnoteRef/>
      </w:r>
      <w:r>
        <w:t xml:space="preserve"> </w:t>
      </w:r>
      <w:r w:rsidRPr="000616C8">
        <w:t xml:space="preserve">Sec. 107(e) </w:t>
      </w:r>
      <w:r>
        <w:t xml:space="preserve">of P.L. </w:t>
      </w:r>
      <w:r w:rsidRPr="008F50DD">
        <w:t>107-133, amended and re</w:t>
      </w:r>
      <w:r>
        <w:t>-</w:t>
      </w:r>
      <w:r w:rsidRPr="008F50DD">
        <w:t xml:space="preserve">designated </w:t>
      </w:r>
      <w:r>
        <w:t>s</w:t>
      </w:r>
      <w:r w:rsidRPr="008F50DD">
        <w:t xml:space="preserve">ection 13712 of the </w:t>
      </w:r>
      <w:r w:rsidRPr="008F50DD">
        <w:rPr>
          <w:i/>
        </w:rPr>
        <w:t>Omnibus Budget Reconciliation Act of 1993</w:t>
      </w:r>
      <w:r w:rsidRPr="008F50DD">
        <w:t xml:space="preserve"> (42 U.S.C. 670 note) as section 438 of the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85988"/>
    <w:multiLevelType w:val="hybridMultilevel"/>
    <w:tmpl w:val="21F64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D0E90"/>
    <w:multiLevelType w:val="hybridMultilevel"/>
    <w:tmpl w:val="B998A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C22BE6"/>
    <w:multiLevelType w:val="hybridMultilevel"/>
    <w:tmpl w:val="B6B24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CD3B22"/>
    <w:multiLevelType w:val="multilevel"/>
    <w:tmpl w:val="8AAE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0D4F65"/>
    <w:multiLevelType w:val="hybridMultilevel"/>
    <w:tmpl w:val="B468887C"/>
    <w:lvl w:ilvl="0">
      <w:start w:val="1"/>
      <w:numFmt w:val="upperRoman"/>
      <w:lvlText w:val="(%1)"/>
      <w:lvlJc w:val="left"/>
      <w:pPr>
        <w:ind w:left="5040" w:hanging="72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5">
    <w:nsid w:val="5BD95875"/>
    <w:multiLevelType w:val="hybridMultilevel"/>
    <w:tmpl w:val="471EC5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3A50EF0"/>
    <w:multiLevelType w:val="hybridMultilevel"/>
    <w:tmpl w:val="7BC6E9CE"/>
    <w:lvl w:ilvl="0">
      <w:start w:val="1"/>
      <w:numFmt w:val="upperRoman"/>
      <w:lvlText w:val="(%1)"/>
      <w:lvlJc w:val="left"/>
      <w:pPr>
        <w:ind w:left="4620" w:hanging="102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num w:numId="1" w16cid:durableId="1342974121">
    <w:abstractNumId w:val="3"/>
  </w:num>
  <w:num w:numId="2" w16cid:durableId="1229998814">
    <w:abstractNumId w:val="6"/>
  </w:num>
  <w:num w:numId="3" w16cid:durableId="250087582">
    <w:abstractNumId w:val="1"/>
  </w:num>
  <w:num w:numId="4" w16cid:durableId="29644980">
    <w:abstractNumId w:val="2"/>
  </w:num>
  <w:num w:numId="5" w16cid:durableId="648943612">
    <w:abstractNumId w:val="5"/>
  </w:num>
  <w:num w:numId="6" w16cid:durableId="1939217068">
    <w:abstractNumId w:val="4"/>
  </w:num>
  <w:num w:numId="7" w16cid:durableId="29382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9B"/>
    <w:rsid w:val="000616C8"/>
    <w:rsid w:val="00067DB7"/>
    <w:rsid w:val="001608E6"/>
    <w:rsid w:val="001D0FC1"/>
    <w:rsid w:val="002109FA"/>
    <w:rsid w:val="003405CE"/>
    <w:rsid w:val="003E4216"/>
    <w:rsid w:val="00543400"/>
    <w:rsid w:val="00544414"/>
    <w:rsid w:val="00545316"/>
    <w:rsid w:val="0057795B"/>
    <w:rsid w:val="005E6984"/>
    <w:rsid w:val="005F74AF"/>
    <w:rsid w:val="0067609E"/>
    <w:rsid w:val="00752BB3"/>
    <w:rsid w:val="00793313"/>
    <w:rsid w:val="007A6FB5"/>
    <w:rsid w:val="00862A9B"/>
    <w:rsid w:val="008F50DD"/>
    <w:rsid w:val="0096464A"/>
    <w:rsid w:val="0097220F"/>
    <w:rsid w:val="00990AE0"/>
    <w:rsid w:val="00997CDB"/>
    <w:rsid w:val="00A561D9"/>
    <w:rsid w:val="00A7149A"/>
    <w:rsid w:val="00AE1573"/>
    <w:rsid w:val="00AF7A12"/>
    <w:rsid w:val="00B16193"/>
    <w:rsid w:val="00BB5FCE"/>
    <w:rsid w:val="00BD7966"/>
    <w:rsid w:val="00D121A0"/>
    <w:rsid w:val="00DC3111"/>
    <w:rsid w:val="00DD1D9B"/>
    <w:rsid w:val="00DF3808"/>
    <w:rsid w:val="00E2323A"/>
    <w:rsid w:val="00E332E4"/>
    <w:rsid w:val="00F000E4"/>
    <w:rsid w:val="00FC4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210695"/>
  <w15:chartTrackingRefBased/>
  <w15:docId w15:val="{D0D375B1-9491-4D79-A954-6380C59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hAnsi="Franklin Gothic Book"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62A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62A9B"/>
    <w:pPr>
      <w:keepNext/>
      <w:keepLines/>
      <w:spacing w:before="4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1"/>
    <w:uiPriority w:val="9"/>
    <w:semiHidden/>
    <w:unhideWhenUsed/>
    <w:qFormat/>
    <w:rsid w:val="00862A9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62A9B"/>
    <w:pPr>
      <w:keepNext/>
      <w:keepLines/>
      <w:spacing w:before="480" w:line="276" w:lineRule="auto"/>
      <w:outlineLvl w:val="0"/>
    </w:pPr>
    <w:rPr>
      <w:rFonts w:ascii="Cambria" w:eastAsia="MS Gothic" w:hAnsi="Cambria" w:cs="Times New Roman"/>
      <w:b/>
      <w:bCs/>
      <w:color w:val="365F91"/>
      <w:sz w:val="28"/>
      <w:szCs w:val="28"/>
    </w:rPr>
  </w:style>
  <w:style w:type="paragraph" w:customStyle="1" w:styleId="Heading21">
    <w:name w:val="Heading 21"/>
    <w:basedOn w:val="Normal"/>
    <w:next w:val="Normal"/>
    <w:uiPriority w:val="9"/>
    <w:semiHidden/>
    <w:unhideWhenUsed/>
    <w:qFormat/>
    <w:rsid w:val="00862A9B"/>
    <w:pPr>
      <w:keepNext/>
      <w:keepLines/>
      <w:spacing w:before="200" w:line="276"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link w:val="Heading3Char"/>
    <w:uiPriority w:val="9"/>
    <w:semiHidden/>
    <w:unhideWhenUsed/>
    <w:qFormat/>
    <w:rsid w:val="00862A9B"/>
    <w:pPr>
      <w:keepNext/>
      <w:keepLines/>
      <w:spacing w:before="200" w:line="276"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862A9B"/>
  </w:style>
  <w:style w:type="paragraph" w:customStyle="1" w:styleId="tocpart">
    <w:name w:val="tocpart"/>
    <w:basedOn w:val="Normal"/>
    <w:rsid w:val="00862A9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rsid w:val="00862A9B"/>
    <w:rPr>
      <w:b/>
      <w:bCs/>
    </w:rPr>
  </w:style>
  <w:style w:type="paragraph" w:customStyle="1" w:styleId="tocsubpart">
    <w:name w:val="tocsubpart"/>
    <w:basedOn w:val="Normal"/>
    <w:rsid w:val="00862A9B"/>
    <w:pPr>
      <w:spacing w:before="100" w:beforeAutospacing="1" w:after="100" w:afterAutospacing="1"/>
    </w:pPr>
    <w:rPr>
      <w:rFonts w:ascii="Times New Roman" w:eastAsia="Times New Roman" w:hAnsi="Times New Roman" w:cs="Times New Roman"/>
    </w:rPr>
  </w:style>
  <w:style w:type="paragraph" w:customStyle="1" w:styleId="smallcaps">
    <w:name w:val="small caps"/>
    <w:basedOn w:val="Normal"/>
    <w:link w:val="smallcapsChar1"/>
    <w:qFormat/>
    <w:rsid w:val="00862A9B"/>
    <w:pPr>
      <w:jc w:val="center"/>
    </w:pPr>
    <w:rPr>
      <w:rFonts w:ascii="Times New Roman" w:eastAsia="Times New Roman" w:hAnsi="Times New Roman" w:cs="Times New Roman"/>
      <w:b/>
      <w:bCs/>
      <w:smallCaps/>
      <w:sz w:val="28"/>
    </w:rPr>
  </w:style>
  <w:style w:type="paragraph" w:styleId="EndnoteText">
    <w:name w:val="endnote text"/>
    <w:basedOn w:val="Normal"/>
    <w:link w:val="EndnoteTextChar"/>
    <w:unhideWhenUsed/>
    <w:rsid w:val="00862A9B"/>
    <w:rPr>
      <w:rFonts w:ascii="Times New Roman" w:eastAsia="Calibri" w:hAnsi="Times New Roman" w:cs="Times New Roman"/>
      <w:sz w:val="20"/>
      <w:szCs w:val="20"/>
    </w:rPr>
  </w:style>
  <w:style w:type="character" w:customStyle="1" w:styleId="EndnoteTextChar">
    <w:name w:val="Endnote Text Char"/>
    <w:basedOn w:val="DefaultParagraphFont"/>
    <w:link w:val="EndnoteText"/>
    <w:rsid w:val="00862A9B"/>
    <w:rPr>
      <w:rFonts w:ascii="Times New Roman" w:eastAsia="Calibri" w:hAnsi="Times New Roman" w:cs="Times New Roman"/>
      <w:sz w:val="20"/>
      <w:szCs w:val="20"/>
    </w:rPr>
  </w:style>
  <w:style w:type="character" w:styleId="EndnoteReference">
    <w:name w:val="endnote reference"/>
    <w:basedOn w:val="DefaultParagraphFont"/>
    <w:semiHidden/>
    <w:unhideWhenUsed/>
    <w:rsid w:val="00862A9B"/>
    <w:rPr>
      <w:vertAlign w:val="superscript"/>
    </w:rPr>
  </w:style>
  <w:style w:type="character" w:customStyle="1" w:styleId="Hyperlink1">
    <w:name w:val="Hyperlink1"/>
    <w:basedOn w:val="DefaultParagraphFont"/>
    <w:uiPriority w:val="99"/>
    <w:unhideWhenUsed/>
    <w:rsid w:val="00862A9B"/>
    <w:rPr>
      <w:color w:val="0000FF"/>
      <w:u w:val="single"/>
    </w:rPr>
  </w:style>
  <w:style w:type="character" w:customStyle="1" w:styleId="FollowedHyperlink1">
    <w:name w:val="FollowedHyperlink1"/>
    <w:basedOn w:val="DefaultParagraphFont"/>
    <w:uiPriority w:val="99"/>
    <w:semiHidden/>
    <w:unhideWhenUsed/>
    <w:rsid w:val="00862A9B"/>
    <w:rPr>
      <w:color w:val="800080"/>
      <w:u w:val="single"/>
    </w:rPr>
  </w:style>
  <w:style w:type="paragraph" w:customStyle="1" w:styleId="cellthree1">
    <w:name w:val="cellthree1"/>
    <w:basedOn w:val="Normal"/>
    <w:rsid w:val="00862A9B"/>
    <w:pPr>
      <w:spacing w:after="192"/>
    </w:pPr>
    <w:rPr>
      <w:rFonts w:ascii="Verdana" w:eastAsia="Times New Roman" w:hAnsi="Verdana" w:cs="Times New Roman"/>
    </w:rPr>
  </w:style>
  <w:style w:type="paragraph" w:styleId="NoSpacing">
    <w:name w:val="No Spacing"/>
    <w:qFormat/>
    <w:rsid w:val="00862A9B"/>
    <w:rPr>
      <w:rFonts w:ascii="Times New Roman" w:eastAsia="Calibri" w:hAnsi="Times New Roman" w:cs="Times New Roman"/>
      <w:szCs w:val="22"/>
    </w:rPr>
  </w:style>
  <w:style w:type="character" w:customStyle="1" w:styleId="sc">
    <w:name w:val="sc"/>
    <w:basedOn w:val="DefaultParagraphFont"/>
    <w:rsid w:val="00862A9B"/>
  </w:style>
  <w:style w:type="character" w:customStyle="1" w:styleId="smallcapsChar">
    <w:name w:val="small caps Char"/>
    <w:basedOn w:val="DefaultParagraphFont"/>
    <w:rsid w:val="00862A9B"/>
    <w:rPr>
      <w:rFonts w:ascii="Times New Roman" w:eastAsia="Times New Roman" w:hAnsi="Times New Roman" w:cs="Times New Roman"/>
      <w:b/>
      <w:bCs/>
      <w:smallCaps/>
      <w:sz w:val="28"/>
      <w:szCs w:val="24"/>
    </w:rPr>
  </w:style>
  <w:style w:type="paragraph" w:customStyle="1" w:styleId="section">
    <w:name w:val="section"/>
    <w:basedOn w:val="Normal"/>
    <w:rsid w:val="00862A9B"/>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862A9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62A9B"/>
    <w:pPr>
      <w:tabs>
        <w:tab w:val="center" w:pos="4680"/>
        <w:tab w:val="right" w:pos="9360"/>
      </w:tabs>
    </w:pPr>
    <w:rPr>
      <w:rFonts w:ascii="Times New Roman" w:eastAsia="Calibri" w:hAnsi="Times New Roman" w:cs="Times New Roman"/>
      <w:szCs w:val="22"/>
    </w:rPr>
  </w:style>
  <w:style w:type="character" w:customStyle="1" w:styleId="HeaderChar">
    <w:name w:val="Header Char"/>
    <w:basedOn w:val="DefaultParagraphFont"/>
    <w:link w:val="Header"/>
    <w:uiPriority w:val="99"/>
    <w:rsid w:val="00862A9B"/>
    <w:rPr>
      <w:rFonts w:ascii="Times New Roman" w:eastAsia="Calibri" w:hAnsi="Times New Roman" w:cs="Times New Roman"/>
      <w:szCs w:val="22"/>
    </w:rPr>
  </w:style>
  <w:style w:type="paragraph" w:styleId="Footer">
    <w:name w:val="footer"/>
    <w:basedOn w:val="Normal"/>
    <w:link w:val="FooterChar"/>
    <w:uiPriority w:val="99"/>
    <w:unhideWhenUsed/>
    <w:rsid w:val="00862A9B"/>
    <w:pPr>
      <w:tabs>
        <w:tab w:val="center" w:pos="4680"/>
        <w:tab w:val="right" w:pos="9360"/>
      </w:tabs>
    </w:pPr>
    <w:rPr>
      <w:rFonts w:ascii="Times New Roman" w:eastAsia="Calibri" w:hAnsi="Times New Roman" w:cs="Times New Roman"/>
      <w:szCs w:val="22"/>
    </w:rPr>
  </w:style>
  <w:style w:type="character" w:customStyle="1" w:styleId="FooterChar">
    <w:name w:val="Footer Char"/>
    <w:basedOn w:val="DefaultParagraphFont"/>
    <w:link w:val="Footer"/>
    <w:uiPriority w:val="99"/>
    <w:rsid w:val="00862A9B"/>
    <w:rPr>
      <w:rFonts w:ascii="Times New Roman" w:eastAsia="Calibri" w:hAnsi="Times New Roman" w:cs="Times New Roman"/>
      <w:szCs w:val="22"/>
    </w:rPr>
  </w:style>
  <w:style w:type="paragraph" w:styleId="FootnoteText">
    <w:name w:val="footnote text"/>
    <w:basedOn w:val="Normal"/>
    <w:link w:val="FootnoteTextChar"/>
    <w:uiPriority w:val="99"/>
    <w:unhideWhenUsed/>
    <w:rsid w:val="00862A9B"/>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862A9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62A9B"/>
    <w:rPr>
      <w:vertAlign w:val="superscript"/>
    </w:rPr>
  </w:style>
  <w:style w:type="character" w:styleId="CommentReference">
    <w:name w:val="annotation reference"/>
    <w:basedOn w:val="DefaultParagraphFont"/>
    <w:semiHidden/>
    <w:unhideWhenUsed/>
    <w:rsid w:val="00862A9B"/>
    <w:rPr>
      <w:sz w:val="16"/>
      <w:szCs w:val="16"/>
    </w:rPr>
  </w:style>
  <w:style w:type="paragraph" w:styleId="CommentText">
    <w:name w:val="annotation text"/>
    <w:basedOn w:val="Normal"/>
    <w:link w:val="CommentTextChar"/>
    <w:unhideWhenUsed/>
    <w:rsid w:val="00862A9B"/>
    <w:pPr>
      <w:spacing w:after="20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862A9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2A9B"/>
    <w:rPr>
      <w:b/>
      <w:bCs/>
    </w:rPr>
  </w:style>
  <w:style w:type="character" w:customStyle="1" w:styleId="CommentSubjectChar">
    <w:name w:val="Comment Subject Char"/>
    <w:basedOn w:val="CommentTextChar"/>
    <w:link w:val="CommentSubject"/>
    <w:uiPriority w:val="99"/>
    <w:semiHidden/>
    <w:rsid w:val="00862A9B"/>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62A9B"/>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862A9B"/>
    <w:rPr>
      <w:rFonts w:ascii="Tahoma" w:eastAsia="Calibri" w:hAnsi="Tahoma" w:cs="Times New Roman"/>
      <w:sz w:val="16"/>
      <w:szCs w:val="16"/>
    </w:rPr>
  </w:style>
  <w:style w:type="paragraph" w:styleId="ListParagraph">
    <w:name w:val="List Paragraph"/>
    <w:basedOn w:val="Normal"/>
    <w:uiPriority w:val="34"/>
    <w:qFormat/>
    <w:rsid w:val="00862A9B"/>
    <w:pPr>
      <w:spacing w:after="200" w:line="276" w:lineRule="auto"/>
      <w:ind w:left="720"/>
      <w:contextualSpacing/>
    </w:pPr>
    <w:rPr>
      <w:rFonts w:ascii="Times New Roman" w:eastAsia="Calibri" w:hAnsi="Times New Roman" w:cs="Times New Roman"/>
      <w:szCs w:val="22"/>
    </w:rPr>
  </w:style>
  <w:style w:type="paragraph" w:styleId="Revision">
    <w:name w:val="Revision"/>
    <w:hidden/>
    <w:uiPriority w:val="99"/>
    <w:semiHidden/>
    <w:rsid w:val="00862A9B"/>
    <w:rPr>
      <w:rFonts w:ascii="Times New Roman" w:eastAsia="Calibri" w:hAnsi="Times New Roman" w:cs="Times New Roman"/>
      <w:szCs w:val="22"/>
    </w:rPr>
  </w:style>
  <w:style w:type="paragraph" w:customStyle="1" w:styleId="H3">
    <w:name w:val="H3"/>
    <w:basedOn w:val="smallcaps"/>
    <w:next w:val="Heading3"/>
    <w:link w:val="H3Char"/>
    <w:qFormat/>
    <w:rsid w:val="00862A9B"/>
    <w:pPr>
      <w:spacing w:before="600" w:after="200"/>
    </w:pPr>
    <w:rPr>
      <w:kern w:val="36"/>
    </w:rPr>
  </w:style>
  <w:style w:type="paragraph" w:customStyle="1" w:styleId="H1">
    <w:name w:val="H1"/>
    <w:basedOn w:val="Normal"/>
    <w:next w:val="Heading1"/>
    <w:link w:val="H1Char"/>
    <w:qFormat/>
    <w:rsid w:val="00862A9B"/>
    <w:pPr>
      <w:spacing w:line="276" w:lineRule="auto"/>
      <w:jc w:val="center"/>
    </w:pPr>
    <w:rPr>
      <w:rFonts w:ascii="Times New Roman" w:eastAsia="Calibri" w:hAnsi="Times New Roman" w:cs="Times New Roman"/>
      <w:b/>
      <w:sz w:val="36"/>
      <w:szCs w:val="22"/>
    </w:rPr>
  </w:style>
  <w:style w:type="character" w:customStyle="1" w:styleId="smallcapsChar1">
    <w:name w:val="small caps Char1"/>
    <w:basedOn w:val="DefaultParagraphFont"/>
    <w:link w:val="smallcaps"/>
    <w:rsid w:val="00862A9B"/>
    <w:rPr>
      <w:rFonts w:ascii="Times New Roman" w:eastAsia="Times New Roman" w:hAnsi="Times New Roman" w:cs="Times New Roman"/>
      <w:b/>
      <w:bCs/>
      <w:smallCaps/>
      <w:sz w:val="28"/>
    </w:rPr>
  </w:style>
  <w:style w:type="character" w:customStyle="1" w:styleId="H3Char">
    <w:name w:val="H3 Char"/>
    <w:basedOn w:val="smallcapsChar1"/>
    <w:link w:val="H3"/>
    <w:rsid w:val="00862A9B"/>
    <w:rPr>
      <w:rFonts w:ascii="Times New Roman" w:eastAsia="Times New Roman" w:hAnsi="Times New Roman" w:cs="Times New Roman"/>
      <w:b/>
      <w:bCs/>
      <w:smallCaps/>
      <w:kern w:val="36"/>
      <w:sz w:val="28"/>
    </w:rPr>
  </w:style>
  <w:style w:type="paragraph" w:customStyle="1" w:styleId="H2">
    <w:name w:val="H2"/>
    <w:basedOn w:val="H3"/>
    <w:link w:val="H2Char"/>
    <w:qFormat/>
    <w:rsid w:val="00862A9B"/>
    <w:rPr>
      <w:sz w:val="32"/>
    </w:rPr>
  </w:style>
  <w:style w:type="character" w:customStyle="1" w:styleId="Heading1Char">
    <w:name w:val="Heading 1 Char"/>
    <w:basedOn w:val="DefaultParagraphFont"/>
    <w:link w:val="Heading11"/>
    <w:uiPriority w:val="9"/>
    <w:rsid w:val="00862A9B"/>
    <w:rPr>
      <w:rFonts w:ascii="Cambria" w:eastAsia="MS Gothic" w:hAnsi="Cambria" w:cs="Times New Roman"/>
      <w:b/>
      <w:bCs/>
      <w:color w:val="365F91"/>
      <w:sz w:val="28"/>
      <w:szCs w:val="28"/>
    </w:rPr>
  </w:style>
  <w:style w:type="character" w:customStyle="1" w:styleId="H1Char">
    <w:name w:val="H1 Char"/>
    <w:basedOn w:val="DefaultParagraphFont"/>
    <w:link w:val="H1"/>
    <w:rsid w:val="00862A9B"/>
    <w:rPr>
      <w:rFonts w:ascii="Times New Roman" w:eastAsia="Calibri" w:hAnsi="Times New Roman" w:cs="Times New Roman"/>
      <w:b/>
      <w:sz w:val="36"/>
      <w:szCs w:val="22"/>
    </w:rPr>
  </w:style>
  <w:style w:type="character" w:customStyle="1" w:styleId="Heading2Char">
    <w:name w:val="Heading 2 Char"/>
    <w:basedOn w:val="DefaultParagraphFont"/>
    <w:link w:val="Heading2"/>
    <w:uiPriority w:val="9"/>
    <w:semiHidden/>
    <w:rsid w:val="00862A9B"/>
    <w:rPr>
      <w:rFonts w:ascii="Cambria" w:eastAsia="MS Gothic" w:hAnsi="Cambria" w:cs="Times New Roman"/>
      <w:b/>
      <w:bCs/>
      <w:color w:val="4F81BD"/>
      <w:sz w:val="26"/>
      <w:szCs w:val="26"/>
    </w:rPr>
  </w:style>
  <w:style w:type="character" w:customStyle="1" w:styleId="Heading3Char">
    <w:name w:val="Heading 3 Char"/>
    <w:basedOn w:val="DefaultParagraphFont"/>
    <w:link w:val="Heading31"/>
    <w:uiPriority w:val="9"/>
    <w:semiHidden/>
    <w:rsid w:val="00862A9B"/>
    <w:rPr>
      <w:rFonts w:ascii="Cambria" w:eastAsia="MS Gothic" w:hAnsi="Cambria" w:cs="Times New Roman"/>
      <w:b/>
      <w:bCs/>
      <w:color w:val="4F81BD"/>
      <w:sz w:val="24"/>
    </w:rPr>
  </w:style>
  <w:style w:type="character" w:customStyle="1" w:styleId="H2Char">
    <w:name w:val="H2 Char"/>
    <w:basedOn w:val="H3Char"/>
    <w:link w:val="H2"/>
    <w:rsid w:val="00862A9B"/>
    <w:rPr>
      <w:rFonts w:ascii="Times New Roman" w:eastAsia="Times New Roman" w:hAnsi="Times New Roman" w:cs="Times New Roman"/>
      <w:b/>
      <w:bCs/>
      <w:smallCaps/>
      <w:kern w:val="36"/>
      <w:sz w:val="32"/>
    </w:rPr>
  </w:style>
  <w:style w:type="table" w:styleId="TableGrid">
    <w:name w:val="Table Grid"/>
    <w:basedOn w:val="TableNormal"/>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62A9B"/>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bexsectionlevelolcnuclear1">
    <w:name w:val="lbexsectionlevelolcnuclear1"/>
    <w:basedOn w:val="DefaultParagraphFont"/>
    <w:rsid w:val="00862A9B"/>
    <w:rPr>
      <w:smallCaps/>
      <w:spacing w:val="15"/>
    </w:rPr>
  </w:style>
  <w:style w:type="character" w:customStyle="1" w:styleId="lbexsmalltext1">
    <w:name w:val="lbexsmalltext1"/>
    <w:basedOn w:val="DefaultParagraphFont"/>
    <w:rsid w:val="00862A9B"/>
    <w:rPr>
      <w:sz w:val="24"/>
      <w:szCs w:val="24"/>
    </w:rPr>
  </w:style>
  <w:style w:type="paragraph" w:customStyle="1" w:styleId="lbexindent">
    <w:name w:val="lbexindent"/>
    <w:basedOn w:val="Normal"/>
    <w:rsid w:val="00862A9B"/>
    <w:pPr>
      <w:spacing w:before="100" w:beforeAutospacing="1" w:after="100" w:afterAutospacing="1"/>
      <w:ind w:firstLine="480"/>
    </w:pPr>
    <w:rPr>
      <w:rFonts w:ascii="Times New Roman" w:eastAsia="Times New Roman" w:hAnsi="Times New Roman" w:cs="Times New Roman"/>
    </w:rPr>
  </w:style>
  <w:style w:type="paragraph" w:customStyle="1" w:styleId="lbexindentparagraph">
    <w:name w:val="lbexindentparagraph"/>
    <w:basedOn w:val="Normal"/>
    <w:rsid w:val="00862A9B"/>
    <w:pPr>
      <w:spacing w:before="100" w:beforeAutospacing="1" w:after="100" w:afterAutospacing="1"/>
      <w:ind w:left="480" w:firstLine="480"/>
    </w:pPr>
    <w:rPr>
      <w:rFonts w:ascii="Times New Roman" w:eastAsia="Times New Roman" w:hAnsi="Times New Roman" w:cs="Times New Roman"/>
    </w:rPr>
  </w:style>
  <w:style w:type="character" w:customStyle="1" w:styleId="lbexallcap1">
    <w:name w:val="lbexallcap1"/>
    <w:basedOn w:val="DefaultParagraphFont"/>
    <w:rsid w:val="00862A9B"/>
    <w:rPr>
      <w:caps/>
    </w:rPr>
  </w:style>
  <w:style w:type="numbering" w:customStyle="1" w:styleId="NoList11">
    <w:name w:val="No List11"/>
    <w:next w:val="NoList"/>
    <w:uiPriority w:val="99"/>
    <w:semiHidden/>
    <w:unhideWhenUsed/>
    <w:rsid w:val="00862A9B"/>
  </w:style>
  <w:style w:type="table" w:customStyle="1" w:styleId="TableGrid1">
    <w:name w:val="Table Grid1"/>
    <w:basedOn w:val="TableNormal"/>
    <w:next w:val="TableGrid"/>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62A9B"/>
  </w:style>
  <w:style w:type="table" w:customStyle="1" w:styleId="TableGrid2">
    <w:name w:val="Table Grid2"/>
    <w:basedOn w:val="TableNormal"/>
    <w:next w:val="TableGrid"/>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862A9B"/>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62A9B"/>
  </w:style>
  <w:style w:type="table" w:customStyle="1" w:styleId="TableGrid3">
    <w:name w:val="Table Grid3"/>
    <w:basedOn w:val="TableNormal"/>
    <w:next w:val="TableGrid"/>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862A9B"/>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862A9B"/>
  </w:style>
  <w:style w:type="table" w:customStyle="1" w:styleId="TableGrid4">
    <w:name w:val="Table Grid4"/>
    <w:basedOn w:val="TableNormal"/>
    <w:next w:val="TableGrid"/>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862A9B"/>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862A9B"/>
  </w:style>
  <w:style w:type="table" w:customStyle="1" w:styleId="TableGrid5">
    <w:name w:val="Table Grid5"/>
    <w:basedOn w:val="TableNormal"/>
    <w:next w:val="TableGrid"/>
    <w:uiPriority w:val="59"/>
    <w:rsid w:val="00862A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862A9B"/>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bexsectionlevelolcnuclear">
    <w:name w:val="lbexsectionlevelolcnuclear"/>
    <w:basedOn w:val="DefaultParagraphFont"/>
    <w:rsid w:val="00862A9B"/>
  </w:style>
  <w:style w:type="character" w:styleId="Hyperlink">
    <w:name w:val="Hyperlink"/>
    <w:basedOn w:val="DefaultParagraphFont"/>
    <w:uiPriority w:val="99"/>
    <w:semiHidden/>
    <w:unhideWhenUsed/>
    <w:rsid w:val="00862A9B"/>
    <w:rPr>
      <w:color w:val="0000FF" w:themeColor="hyperlink"/>
      <w:u w:val="single"/>
    </w:rPr>
  </w:style>
  <w:style w:type="character" w:styleId="FollowedHyperlink">
    <w:name w:val="FollowedHyperlink"/>
    <w:basedOn w:val="DefaultParagraphFont"/>
    <w:uiPriority w:val="99"/>
    <w:semiHidden/>
    <w:unhideWhenUsed/>
    <w:rsid w:val="00862A9B"/>
    <w:rPr>
      <w:color w:val="800080" w:themeColor="followedHyperlink"/>
      <w:u w:val="single"/>
    </w:rPr>
  </w:style>
  <w:style w:type="character" w:customStyle="1" w:styleId="Heading3Char1">
    <w:name w:val="Heading 3 Char1"/>
    <w:basedOn w:val="DefaultParagraphFont"/>
    <w:link w:val="Heading3"/>
    <w:uiPriority w:val="9"/>
    <w:semiHidden/>
    <w:rsid w:val="00862A9B"/>
    <w:rPr>
      <w:rFonts w:asciiTheme="majorHAnsi" w:eastAsiaTheme="majorEastAsia" w:hAnsiTheme="majorHAnsi" w:cstheme="majorBidi"/>
      <w:color w:val="243F60" w:themeColor="accent1" w:themeShade="7F"/>
    </w:rPr>
  </w:style>
  <w:style w:type="character" w:customStyle="1" w:styleId="Heading1Char1">
    <w:name w:val="Heading 1 Char1"/>
    <w:basedOn w:val="DefaultParagraphFont"/>
    <w:link w:val="Heading1"/>
    <w:uiPriority w:val="9"/>
    <w:rsid w:val="00862A9B"/>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862A9B"/>
    <w:rPr>
      <w:rFonts w:asciiTheme="majorHAnsi" w:eastAsiaTheme="majorEastAsia" w:hAnsiTheme="majorHAnsi" w:cstheme="majorBidi"/>
      <w:color w:val="365F91" w:themeColor="accent1" w:themeShade="BF"/>
      <w:sz w:val="26"/>
      <w:szCs w:val="26"/>
    </w:rPr>
  </w:style>
  <w:style w:type="table" w:styleId="LightShading">
    <w:name w:val="Light Shading"/>
    <w:basedOn w:val="TableNormal"/>
    <w:uiPriority w:val="60"/>
    <w:semiHidden/>
    <w:unhideWhenUsed/>
    <w:rsid w:val="00862A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Bertucci</dc:creator>
  <cp:lastModifiedBy>Trowbridge, Scott (ACF)</cp:lastModifiedBy>
  <cp:revision>2</cp:revision>
  <dcterms:created xsi:type="dcterms:W3CDTF">2025-11-14T14:04:00Z</dcterms:created>
  <dcterms:modified xsi:type="dcterms:W3CDTF">2025-11-14T14:04:00Z</dcterms:modified>
</cp:coreProperties>
</file>