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2011" w:rsidP="00750C4A" w14:paraId="162C1140" w14:textId="4F5D52F6">
      <w:pPr>
        <w:rPr>
          <w:rFonts w:ascii="Calibri" w:hAnsi="Calibri" w:cs="Calibri"/>
        </w:rPr>
      </w:pPr>
      <w:r>
        <w:rPr>
          <w:rFonts w:ascii="Calibri" w:hAnsi="Calibri" w:cs="Calibri"/>
        </w:rPr>
        <w:t>Mary C. Jones</w:t>
      </w:r>
    </w:p>
    <w:p w:rsidR="001F2011" w:rsidP="00750C4A" w14:paraId="2DDBD8FB" w14:textId="6E3A47E0">
      <w:pPr>
        <w:rPr>
          <w:rFonts w:ascii="Calibri" w:hAnsi="Calibri" w:cs="Calibri"/>
        </w:rPr>
      </w:pPr>
      <w:r>
        <w:rPr>
          <w:rFonts w:ascii="Calibri" w:hAnsi="Calibri" w:cs="Calibri"/>
        </w:rPr>
        <w:t>ACF/OPRE Certifying Officer</w:t>
      </w:r>
    </w:p>
    <w:p w:rsidR="001F2011" w:rsidP="00750C4A" w14:paraId="6F88CBF8" w14:textId="4D34D916">
      <w:pPr>
        <w:rPr>
          <w:rFonts w:ascii="Calibri" w:hAnsi="Calibri" w:cs="Calibri"/>
        </w:rPr>
      </w:pPr>
      <w:r>
        <w:rPr>
          <w:rFonts w:ascii="Calibri" w:hAnsi="Calibri" w:cs="Calibri"/>
        </w:rPr>
        <w:t>Department of Health and Human Services</w:t>
      </w:r>
    </w:p>
    <w:p w:rsidR="001F2011" w:rsidP="00750C4A" w14:paraId="5DD9FEF5" w14:textId="5C911598">
      <w:pPr>
        <w:rPr>
          <w:rFonts w:ascii="Calibri" w:hAnsi="Calibri" w:cs="Calibri"/>
        </w:rPr>
      </w:pPr>
      <w:r>
        <w:rPr>
          <w:rFonts w:ascii="Calibri" w:hAnsi="Calibri" w:cs="Calibri"/>
        </w:rPr>
        <w:t xml:space="preserve">Washington, DC </w:t>
      </w:r>
    </w:p>
    <w:p w:rsidR="001F2011" w:rsidRPr="001F2011" w:rsidP="00750C4A" w14:paraId="3A2AFEC3" w14:textId="41F4E46E">
      <w:pPr>
        <w:rPr>
          <w:rFonts w:ascii="Calibri" w:hAnsi="Calibri" w:cs="Calibri"/>
          <w:b/>
          <w:bCs/>
          <w:i/>
          <w:iCs/>
        </w:rPr>
      </w:pPr>
      <w:r>
        <w:rPr>
          <w:rFonts w:ascii="Calibri" w:hAnsi="Calibri" w:cs="Calibri"/>
          <w:b/>
          <w:bCs/>
          <w:i/>
          <w:iCs/>
        </w:rPr>
        <w:t xml:space="preserve">Via Email: </w:t>
      </w:r>
      <w:hyperlink r:id="rId5" w:history="1">
        <w:r w:rsidR="00A5163E">
          <w:rPr>
            <w:rStyle w:val="Hyperlink"/>
            <w:i/>
            <w:iCs/>
          </w:rPr>
          <w:t>opreinfocollection@acf.hhs.gov</w:t>
        </w:r>
      </w:hyperlink>
    </w:p>
    <w:p w:rsidR="71BD4ECE" w:rsidP="71BD4ECE" w14:paraId="4AD29742" w14:textId="5C8BC315">
      <w:pPr>
        <w:rPr>
          <w:rFonts w:ascii="Calibri" w:hAnsi="Calibri" w:cs="Calibri"/>
        </w:rPr>
      </w:pPr>
    </w:p>
    <w:p w:rsidR="71BD4ECE" w:rsidP="71BD4ECE" w14:paraId="45B08479" w14:textId="283BE643">
      <w:pPr>
        <w:rPr>
          <w:rFonts w:ascii="Calibri" w:hAnsi="Calibri" w:cs="Calibri"/>
        </w:rPr>
      </w:pPr>
      <w:r w:rsidRPr="71BD4ECE">
        <w:rPr>
          <w:rFonts w:ascii="Calibri" w:hAnsi="Calibri" w:cs="Calibri"/>
        </w:rPr>
        <w:t>October 30, 2025</w:t>
      </w:r>
    </w:p>
    <w:p w:rsidR="00750C4A" w:rsidRPr="00047896" w:rsidP="00CB5A8A" w14:paraId="17F6FCB9" w14:textId="73272381">
      <w:pPr>
        <w:rPr>
          <w:rFonts w:ascii="Calibri" w:eastAsia="Times New Roman" w:hAnsi="Calibri" w:cs="Calibri"/>
          <w:b/>
          <w:bCs/>
          <w:color w:val="000000"/>
        </w:rPr>
      </w:pPr>
      <w:r w:rsidRPr="00047896">
        <w:rPr>
          <w:rFonts w:ascii="Calibri" w:eastAsia="Times New Roman" w:hAnsi="Calibri" w:cs="Calibri"/>
          <w:color w:val="000000"/>
        </w:rPr>
        <w:br/>
      </w:r>
      <w:r w:rsidRPr="00047896">
        <w:rPr>
          <w:rFonts w:ascii="Calibri" w:eastAsia="Times New Roman" w:hAnsi="Calibri" w:cs="Calibri"/>
          <w:b/>
          <w:bCs/>
          <w:color w:val="000000"/>
        </w:rPr>
        <w:t xml:space="preserve">Re: </w:t>
      </w:r>
      <w:r w:rsidR="00A5163E">
        <w:rPr>
          <w:rFonts w:ascii="Calibri" w:eastAsia="Times New Roman" w:hAnsi="Calibri" w:cs="Calibri"/>
          <w:b/>
          <w:bCs/>
          <w:color w:val="000000"/>
        </w:rPr>
        <w:t>Proposed Information Collection Activity</w:t>
      </w:r>
      <w:r w:rsidRPr="001F2011" w:rsidR="001F2011">
        <w:rPr>
          <w:rFonts w:ascii="Calibri" w:eastAsia="Times New Roman" w:hAnsi="Calibri" w:cs="Calibri"/>
          <w:b/>
          <w:bCs/>
          <w:color w:val="000000"/>
        </w:rPr>
        <w:t>;</w:t>
      </w:r>
      <w:r w:rsidRPr="001F2011">
        <w:rPr>
          <w:rFonts w:ascii="Calibri" w:eastAsia="Times New Roman" w:hAnsi="Calibri" w:cs="Calibri"/>
          <w:b/>
          <w:bCs/>
          <w:color w:val="000000"/>
        </w:rPr>
        <w:t xml:space="preserve"> </w:t>
      </w:r>
      <w:r w:rsidR="00A5163E">
        <w:rPr>
          <w:rFonts w:ascii="Calibri" w:eastAsia="Times New Roman" w:hAnsi="Calibri" w:cs="Calibri"/>
          <w:b/>
          <w:bCs/>
          <w:color w:val="000000"/>
        </w:rPr>
        <w:t xml:space="preserve">State Court Improvement Program </w:t>
      </w:r>
      <w:r w:rsidRPr="001F2011">
        <w:rPr>
          <w:rFonts w:ascii="Calibri" w:eastAsia="Times New Roman" w:hAnsi="Calibri" w:cs="Calibri"/>
          <w:b/>
          <w:bCs/>
          <w:color w:val="000000"/>
        </w:rPr>
        <w:t>[</w:t>
      </w:r>
      <w:r w:rsidRPr="001F2011" w:rsidR="001F2011">
        <w:rPr>
          <w:b/>
          <w:bCs/>
        </w:rPr>
        <w:t>Docket #ACF-2025-</w:t>
      </w:r>
      <w:r w:rsidR="00A5163E">
        <w:rPr>
          <w:b/>
          <w:bCs/>
        </w:rPr>
        <w:t>17275</w:t>
      </w:r>
      <w:r w:rsidRPr="001F2011" w:rsidR="001F2011">
        <w:rPr>
          <w:b/>
          <w:bCs/>
        </w:rPr>
        <w:t>]</w:t>
      </w:r>
    </w:p>
    <w:p w:rsidR="00CB5A8A" w:rsidRPr="00047896" w:rsidP="00CB5A8A" w14:paraId="0C5328B5" w14:textId="77777777">
      <w:pPr>
        <w:rPr>
          <w:rFonts w:ascii="Calibri" w:hAnsi="Calibri" w:cs="Calibri"/>
        </w:rPr>
      </w:pPr>
    </w:p>
    <w:p w:rsidR="00047896" w:rsidRPr="00A5163E" w:rsidP="00047896" w14:paraId="0D5FEAEE" w14:textId="199C207C">
      <w:pPr>
        <w:rPr>
          <w:rFonts w:ascii="Calibri" w:eastAsia="Times New Roman" w:hAnsi="Calibri" w:cs="Calibri"/>
          <w:color w:val="000000"/>
        </w:rPr>
      </w:pPr>
      <w:r w:rsidRPr="00A5163E">
        <w:rPr>
          <w:rFonts w:ascii="Calibri" w:eastAsia="Times New Roman" w:hAnsi="Calibri" w:cs="Calibri"/>
          <w:color w:val="000000"/>
        </w:rPr>
        <w:t xml:space="preserve">Dear </w:t>
      </w:r>
      <w:r w:rsidRPr="00A5163E" w:rsidR="00A5163E">
        <w:rPr>
          <w:rFonts w:ascii="Calibri" w:eastAsia="Times New Roman" w:hAnsi="Calibri" w:cs="Calibri"/>
          <w:color w:val="000000"/>
        </w:rPr>
        <w:t>Ms. Jones:</w:t>
      </w:r>
    </w:p>
    <w:p w:rsidR="00047896" w:rsidRPr="00A5163E" w:rsidP="00047896" w14:paraId="219DC358" w14:textId="77777777">
      <w:pPr>
        <w:rPr>
          <w:rFonts w:ascii="Calibri" w:eastAsia="Times New Roman" w:hAnsi="Calibri" w:cs="Calibri"/>
          <w:color w:val="000000"/>
        </w:rPr>
      </w:pPr>
    </w:p>
    <w:p w:rsidR="00047896" w:rsidRPr="00A5163E" w:rsidP="00047896" w14:paraId="33C45440" w14:textId="38174BA8">
      <w:pPr>
        <w:jc w:val="both"/>
        <w:rPr>
          <w:rFonts w:ascii="Calibri" w:hAnsi="Calibri" w:cs="Calibri"/>
          <w:color w:val="000000" w:themeColor="text1"/>
        </w:rPr>
      </w:pPr>
      <w:r w:rsidRPr="71BD4ECE">
        <w:rPr>
          <w:rFonts w:ascii="Calibri" w:hAnsi="Calibri" w:cs="Calibri"/>
          <w:color w:val="000000" w:themeColor="text1"/>
        </w:rPr>
        <w:t xml:space="preserve">Pursuant to notice published in the Federal Register, the </w:t>
      </w:r>
      <w:hyperlink r:id="rId6">
        <w:r w:rsidRPr="71BD4ECE">
          <w:rPr>
            <w:rStyle w:val="Hyperlink"/>
            <w:rFonts w:ascii="Calibri" w:hAnsi="Calibri" w:cs="Calibri"/>
          </w:rPr>
          <w:t>National Association of Counsel for Children</w:t>
        </w:r>
      </w:hyperlink>
      <w:r w:rsidRPr="71BD4ECE">
        <w:rPr>
          <w:rFonts w:ascii="Calibri" w:hAnsi="Calibri" w:cs="Calibri"/>
          <w:color w:val="000000" w:themeColor="text1"/>
        </w:rPr>
        <w:t xml:space="preserve"> (NACC) submits these comments regarding the proposed three-year extension of the State Court Improvement Program’s (SCIP) Strategic Plan Template and Annual Self-Assessment. </w:t>
      </w:r>
    </w:p>
    <w:p w:rsidR="00047896" w:rsidRPr="00A5163E" w:rsidP="00047896" w14:paraId="0DE0E00A" w14:textId="77777777">
      <w:pPr>
        <w:jc w:val="both"/>
        <w:rPr>
          <w:rFonts w:ascii="Calibri" w:eastAsia="Times New Roman" w:hAnsi="Calibri" w:cs="Calibri"/>
        </w:rPr>
      </w:pPr>
    </w:p>
    <w:p w:rsidR="00B52DC7" w:rsidRPr="007E1F52" w:rsidP="007E1F52" w14:paraId="4576F99A" w14:textId="3F1B4597">
      <w:pPr>
        <w:jc w:val="both"/>
        <w:rPr>
          <w:rFonts w:ascii="Calibri" w:hAnsi="Calibri" w:cs="Calibri"/>
          <w:color w:val="000000" w:themeColor="text1"/>
        </w:rPr>
      </w:pPr>
      <w:r w:rsidRPr="71BD4ECE">
        <w:rPr>
          <w:rFonts w:ascii="Calibri" w:hAnsi="Calibri" w:cs="Calibri"/>
          <w:color w:val="000000" w:themeColor="text1"/>
        </w:rPr>
        <w:t xml:space="preserve">NACC is a non-profit membership association that </w:t>
      </w:r>
      <w:r w:rsidRPr="71BD4ECE">
        <w:rPr>
          <w:rFonts w:ascii="Calibri" w:hAnsi="Calibri" w:cs="Calibri"/>
        </w:rPr>
        <w:t>advances children’s and parents’ rights by supporting child welfare lawyers who provide zealous legal representation in foster care court proceedings</w:t>
      </w:r>
      <w:r w:rsidRPr="71BD4ECE">
        <w:rPr>
          <w:rFonts w:ascii="Calibri" w:hAnsi="Calibri" w:cs="Calibri"/>
          <w:color w:val="000000" w:themeColor="text1"/>
        </w:rPr>
        <w:t xml:space="preserve">.  Our members include attorneys who represent children, parents, and agencies in these cases, as well as judges, academic experts, CASAs, social workers, and pediatricians. NACC has nearly five decades of expertise in this arena, including extensive recent work </w:t>
      </w:r>
      <w:hyperlink r:id="rId7">
        <w:r w:rsidRPr="71BD4ECE">
          <w:rPr>
            <w:rStyle w:val="Hyperlink"/>
            <w:rFonts w:ascii="Calibri" w:hAnsi="Calibri" w:cs="Calibri"/>
          </w:rPr>
          <w:t>supporting access to Title IV-E funding</w:t>
        </w:r>
      </w:hyperlink>
      <w:r w:rsidRPr="71BD4ECE">
        <w:rPr>
          <w:rFonts w:ascii="Calibri" w:hAnsi="Calibri" w:cs="Calibri"/>
        </w:rPr>
        <w:t xml:space="preserve"> for child welfare legal representation.</w:t>
      </w:r>
    </w:p>
    <w:p w:rsidR="007E1F52" w:rsidRPr="007E1F52" w:rsidP="007E1F52" w14:paraId="6972D583" w14:textId="77777777">
      <w:pPr>
        <w:jc w:val="both"/>
        <w:rPr>
          <w:rFonts w:ascii="Calibri" w:hAnsi="Calibri" w:cs="Calibri"/>
          <w:color w:val="000000" w:themeColor="text1"/>
        </w:rPr>
      </w:pPr>
    </w:p>
    <w:p w:rsidR="007E1F52" w:rsidP="007E1F52" w14:paraId="28C0076D" w14:textId="6232D66E">
      <w:pPr>
        <w:pStyle w:val="p1"/>
        <w:jc w:val="both"/>
        <w:rPr>
          <w:rFonts w:ascii="Calibri" w:hAnsi="Calibri" w:cs="Calibri"/>
          <w:sz w:val="24"/>
          <w:szCs w:val="24"/>
        </w:rPr>
      </w:pPr>
      <w:r w:rsidRPr="26F8BA10">
        <w:rPr>
          <w:rFonts w:ascii="Calibri" w:hAnsi="Calibri" w:cs="Calibri"/>
          <w:sz w:val="24"/>
          <w:szCs w:val="24"/>
        </w:rPr>
        <w:t>Through our technical assistance to states, NACC has observed firsthand the common themes, challenges, and frequently asked questions that arise as Title IV-E grantees seek to draw down federal funding to support high-quality legal representation.  One persistent gray area surrounds access to quality data on this topic – information that is often held by local courts, but is not easily accessible to Title IV-E grantee agencies and other stakeholders interested in systemic improvement. To this end, NACC writes to specifically respond to question (e), which asks:</w:t>
      </w:r>
    </w:p>
    <w:p w:rsidR="0024718D" w:rsidP="007E1F52" w14:paraId="73D3DA54" w14:textId="77777777">
      <w:pPr>
        <w:pStyle w:val="p1"/>
        <w:jc w:val="both"/>
        <w:rPr>
          <w:rFonts w:ascii="Calibri" w:hAnsi="Calibri" w:cs="Calibri"/>
          <w:sz w:val="24"/>
          <w:szCs w:val="24"/>
        </w:rPr>
      </w:pPr>
    </w:p>
    <w:p w:rsidR="0024718D" w:rsidRPr="00F86D4A" w:rsidP="12DB3470" w14:paraId="3BAA52ED" w14:textId="6CACBE9C">
      <w:pPr>
        <w:pStyle w:val="p1"/>
        <w:ind w:left="720" w:right="720"/>
        <w:jc w:val="both"/>
        <w:rPr>
          <w:rFonts w:ascii="Calibri" w:hAnsi="Calibri" w:cs="Calibri"/>
          <w:i/>
          <w:iCs/>
          <w:sz w:val="24"/>
          <w:szCs w:val="24"/>
        </w:rPr>
      </w:pPr>
      <w:r w:rsidRPr="12DB3470">
        <w:rPr>
          <w:rFonts w:ascii="Calibri" w:hAnsi="Calibri" w:cs="Calibri"/>
          <w:i/>
          <w:iCs/>
          <w:sz w:val="24"/>
          <w:szCs w:val="24"/>
        </w:rPr>
        <w:t xml:space="preserve">(e) Regarding IV-E legal representation funding, in addition to asking an open-ended question about this topic in the Self-Assessment, would additional data elements around type of attorneys funded </w:t>
      </w:r>
      <w:r w:rsidRPr="12DB3470" w:rsidR="00270692">
        <w:rPr>
          <w:rFonts w:ascii="Calibri" w:hAnsi="Calibri" w:cs="Calibri"/>
          <w:i/>
          <w:iCs/>
          <w:sz w:val="24"/>
          <w:szCs w:val="24"/>
        </w:rPr>
        <w:t>(</w:t>
      </w:r>
      <w:r w:rsidRPr="12DB3470" w:rsidR="00270692">
        <w:rPr>
          <w:rStyle w:val="apple-converted-space"/>
          <w:rFonts w:ascii="Calibri" w:hAnsi="Calibri" w:cs="Calibri"/>
          <w:i/>
          <w:iCs/>
          <w:sz w:val="24"/>
          <w:szCs w:val="24"/>
        </w:rPr>
        <w:t>e.g.</w:t>
      </w:r>
      <w:r w:rsidRPr="12DB3470">
        <w:rPr>
          <w:rStyle w:val="Emphasis"/>
          <w:rFonts w:ascii="Calibri" w:hAnsi="Calibri" w:cs="Calibri"/>
          <w:i w:val="0"/>
          <w:iCs w:val="0"/>
          <w:sz w:val="24"/>
          <w:szCs w:val="24"/>
        </w:rPr>
        <w:t>,</w:t>
      </w:r>
      <w:r w:rsidRPr="12DB3470">
        <w:rPr>
          <w:rStyle w:val="apple-converted-space"/>
          <w:rFonts w:ascii="Calibri" w:hAnsi="Calibri" w:cs="Calibri"/>
          <w:i/>
          <w:iCs/>
          <w:sz w:val="24"/>
          <w:szCs w:val="24"/>
        </w:rPr>
        <w:t xml:space="preserve"> agency, kin) or type of cases </w:t>
      </w:r>
      <w:r w:rsidRPr="12DB3470" w:rsidR="00270692">
        <w:rPr>
          <w:rStyle w:val="apple-converted-space"/>
          <w:rFonts w:ascii="Calibri" w:hAnsi="Calibri" w:cs="Calibri"/>
          <w:i/>
          <w:iCs/>
          <w:sz w:val="24"/>
          <w:szCs w:val="24"/>
        </w:rPr>
        <w:t>(e.g.</w:t>
      </w:r>
      <w:r w:rsidRPr="12DB3470">
        <w:rPr>
          <w:rStyle w:val="Emphasis"/>
          <w:rFonts w:ascii="Calibri" w:hAnsi="Calibri" w:cs="Calibri"/>
          <w:i w:val="0"/>
          <w:iCs w:val="0"/>
          <w:sz w:val="24"/>
          <w:szCs w:val="24"/>
        </w:rPr>
        <w:t xml:space="preserve">, </w:t>
      </w:r>
      <w:r w:rsidRPr="12DB3470">
        <w:rPr>
          <w:rFonts w:ascii="Calibri" w:hAnsi="Calibri" w:cs="Calibri"/>
          <w:i/>
          <w:iCs/>
          <w:sz w:val="24"/>
          <w:szCs w:val="24"/>
        </w:rPr>
        <w:t>only in foster care, in other civil matters) be useful? These data are not needed for SCIP application approval by CB but could be compiled and shared back with grantees to support peer learning and connections. From your cost/benefit vantage, would this be worth including?</w:t>
      </w:r>
    </w:p>
    <w:p w:rsidR="007E1F52" w:rsidP="26F8BA10" w14:paraId="09FD9675" w14:textId="42ACBD1B">
      <w:pPr>
        <w:pStyle w:val="p1"/>
        <w:jc w:val="both"/>
        <w:rPr>
          <w:rFonts w:ascii="Calibri" w:hAnsi="Calibri" w:cs="Calibri"/>
          <w:b/>
          <w:bCs/>
          <w:sz w:val="24"/>
          <w:szCs w:val="24"/>
        </w:rPr>
      </w:pPr>
    </w:p>
    <w:p w:rsidR="0024718D" w:rsidP="007E1F52" w14:paraId="57FFD600" w14:textId="705B8E4E">
      <w:pPr>
        <w:pStyle w:val="p1"/>
        <w:jc w:val="both"/>
        <w:rPr>
          <w:rFonts w:ascii="Calibri" w:hAnsi="Calibri" w:cs="Calibri"/>
          <w:sz w:val="24"/>
          <w:szCs w:val="24"/>
        </w:rPr>
      </w:pPr>
      <w:r w:rsidRPr="26F8BA10">
        <w:rPr>
          <w:rFonts w:ascii="Calibri" w:hAnsi="Calibri" w:cs="Calibri"/>
          <w:b/>
          <w:bCs/>
          <w:sz w:val="24"/>
          <w:szCs w:val="24"/>
        </w:rPr>
        <w:t xml:space="preserve">The answer is a resounding "yes.” </w:t>
      </w:r>
      <w:r w:rsidRPr="26F8BA10">
        <w:rPr>
          <w:rFonts w:ascii="Calibri" w:hAnsi="Calibri" w:cs="Calibri"/>
          <w:sz w:val="24"/>
          <w:szCs w:val="24"/>
        </w:rPr>
        <w:t xml:space="preserve"> Without more data from the courts, child welfare systems can neither stay apace with the needs of the field nor compliant with federal mandates (See, e.g., Office of the Inspector General’s 2021 Report – “</w:t>
      </w:r>
      <w:hyperlink r:id="rId8">
        <w:r w:rsidRPr="26F8BA10">
          <w:rPr>
            <w:rStyle w:val="Hyperlink"/>
            <w:rFonts w:ascii="Calibri" w:hAnsi="Calibri" w:cs="Calibri"/>
            <w:sz w:val="24"/>
            <w:szCs w:val="24"/>
          </w:rPr>
          <w:t xml:space="preserve">ACF Cannot Ensure That All Child Victims of Abuse and </w:t>
        </w:r>
        <w:r w:rsidRPr="26F8BA10">
          <w:rPr>
            <w:rStyle w:val="Hyperlink"/>
            <w:rFonts w:ascii="Calibri" w:hAnsi="Calibri" w:cs="Calibri"/>
            <w:sz w:val="24"/>
            <w:szCs w:val="24"/>
          </w:rPr>
          <w:t>Neglect Have Court Representation</w:t>
        </w:r>
      </w:hyperlink>
      <w:r w:rsidRPr="26F8BA10">
        <w:rPr>
          <w:rFonts w:ascii="Calibri" w:hAnsi="Calibri" w:cs="Calibri"/>
          <w:sz w:val="24"/>
          <w:szCs w:val="24"/>
        </w:rPr>
        <w:t>”). To help remedy this, NACC recommends that Court Improvement Program report add the following data elements on an annual basis:</w:t>
      </w:r>
    </w:p>
    <w:p w:rsidR="00CC761F" w:rsidRPr="00CC761F" w:rsidP="00CC761F" w14:paraId="40FE9950" w14:textId="4BB39E99">
      <w:pPr>
        <w:pStyle w:val="p1"/>
        <w:numPr>
          <w:ilvl w:val="0"/>
          <w:numId w:val="3"/>
        </w:numPr>
        <w:jc w:val="both"/>
        <w:rPr>
          <w:rFonts w:ascii="Calibri" w:hAnsi="Calibri" w:cs="Calibri"/>
          <w:sz w:val="24"/>
          <w:szCs w:val="24"/>
        </w:rPr>
      </w:pPr>
      <w:r w:rsidRPr="71BD4ECE">
        <w:rPr>
          <w:rFonts w:ascii="Calibri" w:hAnsi="Calibri" w:cs="Calibri"/>
          <w:sz w:val="24"/>
          <w:szCs w:val="24"/>
        </w:rPr>
        <w:t>Number of parents, children, kin, tribal custodians, and tribes represented by attorneys in dependency matters;</w:t>
      </w:r>
    </w:p>
    <w:p w:rsidR="00CC761F" w:rsidP="0024718D" w14:paraId="6A55E7A4" w14:textId="7224377B">
      <w:pPr>
        <w:pStyle w:val="p1"/>
        <w:numPr>
          <w:ilvl w:val="0"/>
          <w:numId w:val="3"/>
        </w:numPr>
        <w:jc w:val="both"/>
        <w:rPr>
          <w:rFonts w:ascii="Calibri" w:hAnsi="Calibri" w:cs="Calibri"/>
          <w:sz w:val="24"/>
          <w:szCs w:val="24"/>
        </w:rPr>
      </w:pPr>
      <w:r w:rsidRPr="26F8BA10">
        <w:rPr>
          <w:rFonts w:ascii="Calibri" w:hAnsi="Calibri" w:cs="Calibri"/>
          <w:sz w:val="24"/>
          <w:szCs w:val="24"/>
        </w:rPr>
        <w:t>Average caseload and payment scale of attorneys representing parents, children and kin in dependency matters and appeals;</w:t>
      </w:r>
    </w:p>
    <w:p w:rsidR="00F86D4A" w:rsidP="0024718D" w14:paraId="0349B284" w14:textId="52089363">
      <w:pPr>
        <w:pStyle w:val="p1"/>
        <w:numPr>
          <w:ilvl w:val="0"/>
          <w:numId w:val="3"/>
        </w:numPr>
        <w:jc w:val="both"/>
        <w:rPr>
          <w:rFonts w:ascii="Calibri" w:hAnsi="Calibri" w:cs="Calibri"/>
          <w:sz w:val="24"/>
          <w:szCs w:val="24"/>
        </w:rPr>
      </w:pPr>
      <w:r w:rsidRPr="26F8BA10">
        <w:rPr>
          <w:rFonts w:ascii="Calibri" w:hAnsi="Calibri" w:cs="Calibri"/>
          <w:sz w:val="24"/>
          <w:szCs w:val="24"/>
        </w:rPr>
        <w:t>Mandatory training requirements for attorneys practicing in dependency courts;</w:t>
      </w:r>
    </w:p>
    <w:p w:rsidR="00CC761F" w:rsidP="0024718D" w14:paraId="02D56E33" w14:textId="3E0D8BC0">
      <w:pPr>
        <w:pStyle w:val="p1"/>
        <w:numPr>
          <w:ilvl w:val="0"/>
          <w:numId w:val="3"/>
        </w:numPr>
        <w:jc w:val="both"/>
        <w:rPr>
          <w:rFonts w:ascii="Calibri" w:hAnsi="Calibri" w:cs="Calibri"/>
          <w:sz w:val="24"/>
          <w:szCs w:val="24"/>
        </w:rPr>
      </w:pPr>
      <w:r>
        <w:rPr>
          <w:rFonts w:ascii="Calibri" w:hAnsi="Calibri" w:cs="Calibri"/>
          <w:sz w:val="24"/>
          <w:szCs w:val="24"/>
        </w:rPr>
        <w:t xml:space="preserve">At what stage of the case does appointment of legal counsel for parents, children and kin typically begin and end? For example, </w:t>
      </w:r>
      <w:r w:rsidR="00F86D4A">
        <w:rPr>
          <w:rFonts w:ascii="Calibri" w:hAnsi="Calibri" w:cs="Calibri"/>
          <w:sz w:val="24"/>
          <w:szCs w:val="24"/>
        </w:rPr>
        <w:t xml:space="preserve">are attorneys appointed </w:t>
      </w:r>
      <w:r>
        <w:rPr>
          <w:rFonts w:ascii="Calibri" w:hAnsi="Calibri" w:cs="Calibri"/>
          <w:sz w:val="24"/>
          <w:szCs w:val="24"/>
        </w:rPr>
        <w:t xml:space="preserve">prior to the initial/ shelter hearing, before adjudication, </w:t>
      </w:r>
      <w:r w:rsidR="00F86D4A">
        <w:rPr>
          <w:rFonts w:ascii="Calibri" w:hAnsi="Calibri" w:cs="Calibri"/>
          <w:sz w:val="24"/>
          <w:szCs w:val="24"/>
        </w:rPr>
        <w:t>or at</w:t>
      </w:r>
      <w:r>
        <w:rPr>
          <w:rFonts w:ascii="Calibri" w:hAnsi="Calibri" w:cs="Calibri"/>
          <w:sz w:val="24"/>
          <w:szCs w:val="24"/>
        </w:rPr>
        <w:t xml:space="preserve"> </w:t>
      </w:r>
      <w:r w:rsidR="00F86D4A">
        <w:rPr>
          <w:rFonts w:ascii="Calibri" w:hAnsi="Calibri" w:cs="Calibri"/>
          <w:sz w:val="24"/>
          <w:szCs w:val="24"/>
        </w:rPr>
        <w:t>the permanency phase?</w:t>
      </w:r>
    </w:p>
    <w:p w:rsidR="00CC761F" w:rsidP="00CC761F" w14:paraId="4FB97496" w14:textId="7B0E1071">
      <w:pPr>
        <w:pStyle w:val="p1"/>
        <w:numPr>
          <w:ilvl w:val="0"/>
          <w:numId w:val="3"/>
        </w:numPr>
        <w:jc w:val="both"/>
        <w:rPr>
          <w:rFonts w:ascii="Calibri" w:hAnsi="Calibri" w:cs="Calibri"/>
          <w:sz w:val="24"/>
          <w:szCs w:val="24"/>
        </w:rPr>
      </w:pPr>
      <w:r>
        <w:rPr>
          <w:rFonts w:ascii="Calibri" w:hAnsi="Calibri" w:cs="Calibri"/>
          <w:sz w:val="24"/>
          <w:szCs w:val="24"/>
        </w:rPr>
        <w:t>Number and scope of agreements for Title IV-E funding for legal representation</w:t>
      </w:r>
      <w:r w:rsidR="00F86D4A">
        <w:rPr>
          <w:rFonts w:ascii="Calibri" w:hAnsi="Calibri" w:cs="Calibri"/>
          <w:sz w:val="24"/>
          <w:szCs w:val="24"/>
        </w:rPr>
        <w:t>, with specific inquiries such as:</w:t>
      </w:r>
    </w:p>
    <w:p w:rsidR="00CC761F" w:rsidP="00CC761F" w14:paraId="76BF39F3" w14:textId="6DE66674">
      <w:pPr>
        <w:pStyle w:val="p1"/>
        <w:numPr>
          <w:ilvl w:val="1"/>
          <w:numId w:val="3"/>
        </w:numPr>
        <w:jc w:val="both"/>
        <w:rPr>
          <w:rFonts w:ascii="Calibri" w:hAnsi="Calibri" w:cs="Calibri"/>
          <w:sz w:val="24"/>
          <w:szCs w:val="24"/>
        </w:rPr>
      </w:pPr>
      <w:r w:rsidRPr="71BD4ECE">
        <w:rPr>
          <w:rFonts w:ascii="Calibri" w:hAnsi="Calibri" w:cs="Calibri"/>
          <w:sz w:val="24"/>
          <w:szCs w:val="24"/>
        </w:rPr>
        <w:t xml:space="preserve">Are these agreements statewide, </w:t>
      </w:r>
      <w:r w:rsidRPr="71BD4ECE" w:rsidR="00270692">
        <w:rPr>
          <w:rFonts w:ascii="Calibri" w:hAnsi="Calibri" w:cs="Calibri"/>
          <w:sz w:val="24"/>
          <w:szCs w:val="24"/>
        </w:rPr>
        <w:t>county-wide,</w:t>
      </w:r>
      <w:r w:rsidRPr="71BD4ECE">
        <w:rPr>
          <w:rFonts w:ascii="Calibri" w:hAnsi="Calibri" w:cs="Calibri"/>
          <w:sz w:val="24"/>
          <w:szCs w:val="24"/>
        </w:rPr>
        <w:t xml:space="preserve"> or city-wide?</w:t>
      </w:r>
    </w:p>
    <w:p w:rsidR="00CC761F" w:rsidP="00CC761F" w14:paraId="7EC8E23D" w14:textId="2544BAE9">
      <w:pPr>
        <w:pStyle w:val="p1"/>
        <w:numPr>
          <w:ilvl w:val="1"/>
          <w:numId w:val="3"/>
        </w:numPr>
        <w:jc w:val="both"/>
        <w:rPr>
          <w:rFonts w:ascii="Calibri" w:hAnsi="Calibri" w:cs="Calibri"/>
          <w:sz w:val="24"/>
          <w:szCs w:val="24"/>
        </w:rPr>
      </w:pPr>
      <w:r w:rsidRPr="71BD4ECE">
        <w:rPr>
          <w:rFonts w:ascii="Calibri" w:hAnsi="Calibri" w:cs="Calibri"/>
          <w:sz w:val="24"/>
          <w:szCs w:val="24"/>
        </w:rPr>
        <w:t>What types of cases are funded by Title IV-E legal representation dollars (Ex. dependency, pre-petition civil legal matters, ancillary civil legal matters);</w:t>
      </w:r>
    </w:p>
    <w:p w:rsidR="00B52DC7" w:rsidP="00CC761F" w14:paraId="7115282D" w14:textId="7A18EB5F">
      <w:pPr>
        <w:pStyle w:val="p1"/>
        <w:numPr>
          <w:ilvl w:val="1"/>
          <w:numId w:val="3"/>
        </w:numPr>
        <w:jc w:val="both"/>
        <w:rPr>
          <w:rFonts w:ascii="Calibri" w:hAnsi="Calibri" w:cs="Calibri"/>
          <w:sz w:val="24"/>
          <w:szCs w:val="24"/>
        </w:rPr>
      </w:pPr>
      <w:r w:rsidRPr="00CC761F">
        <w:rPr>
          <w:rFonts w:ascii="Calibri" w:hAnsi="Calibri" w:cs="Calibri"/>
          <w:sz w:val="24"/>
          <w:szCs w:val="24"/>
        </w:rPr>
        <w:t>How is Title IV-E funding being utilized to enhance the quality of legal representation? (Ex. training, certification, recruitment and retention strategies, multidisciplinary teams, etc</w:t>
      </w:r>
      <w:r w:rsidR="00F86D4A">
        <w:rPr>
          <w:rFonts w:ascii="Calibri" w:hAnsi="Calibri" w:cs="Calibri"/>
          <w:sz w:val="24"/>
          <w:szCs w:val="24"/>
        </w:rPr>
        <w:t>.)</w:t>
      </w:r>
    </w:p>
    <w:p w:rsidR="00CC761F" w:rsidP="00CC761F" w14:paraId="7A6DE147" w14:textId="77777777">
      <w:pPr>
        <w:pStyle w:val="p1"/>
        <w:jc w:val="both"/>
        <w:rPr>
          <w:rFonts w:ascii="Calibri" w:hAnsi="Calibri" w:cs="Calibri"/>
          <w:sz w:val="24"/>
          <w:szCs w:val="24"/>
        </w:rPr>
      </w:pPr>
    </w:p>
    <w:p w:rsidR="00CC761F" w:rsidRPr="00CC761F" w:rsidP="00CC761F" w14:paraId="113EA0C1" w14:textId="354D35EA">
      <w:pPr>
        <w:pStyle w:val="p1"/>
        <w:jc w:val="both"/>
        <w:rPr>
          <w:rFonts w:ascii="Calibri" w:hAnsi="Calibri" w:cs="Calibri"/>
          <w:sz w:val="24"/>
          <w:szCs w:val="24"/>
        </w:rPr>
      </w:pPr>
      <w:r w:rsidRPr="26F8BA10">
        <w:rPr>
          <w:rFonts w:ascii="Calibri" w:hAnsi="Calibri" w:cs="Calibri"/>
          <w:sz w:val="24"/>
          <w:szCs w:val="24"/>
        </w:rPr>
        <w:t xml:space="preserve">Collecting data of this nature would parallel the Department of Justice </w:t>
      </w:r>
      <w:hyperlink r:id="rId9">
        <w:r w:rsidRPr="26F8BA10">
          <w:rPr>
            <w:rStyle w:val="Hyperlink"/>
            <w:rFonts w:ascii="Calibri" w:hAnsi="Calibri" w:cs="Calibri"/>
            <w:sz w:val="24"/>
            <w:szCs w:val="24"/>
          </w:rPr>
          <w:t>public defender workforce census</w:t>
        </w:r>
      </w:hyperlink>
      <w:r w:rsidRPr="26F8BA10">
        <w:rPr>
          <w:rFonts w:ascii="Calibri" w:hAnsi="Calibri" w:cs="Calibri"/>
          <w:sz w:val="24"/>
          <w:szCs w:val="24"/>
        </w:rPr>
        <w:t>, for which there is no current equivalency in child welfare legal representation.</w:t>
      </w:r>
    </w:p>
    <w:p w:rsidR="0074297F" w:rsidRPr="004C7A3E" w:rsidP="004C7A3E" w14:paraId="094DC6DB" w14:textId="3D68ACB7">
      <w:pPr>
        <w:spacing w:before="240" w:after="240"/>
        <w:jc w:val="both"/>
        <w:rPr>
          <w:rFonts w:ascii="Calibri" w:eastAsia="Times New Roman" w:hAnsi="Calibri" w:cs="Calibri"/>
          <w:color w:val="000000"/>
        </w:rPr>
      </w:pPr>
      <w:r>
        <w:rPr>
          <w:rFonts w:ascii="Calibri" w:eastAsia="Times New Roman" w:hAnsi="Calibri" w:cs="Calibri"/>
          <w:color w:val="000000"/>
        </w:rPr>
        <w:t xml:space="preserve">We look forward to continuing collaboration with Children’s Bureau and Court Improvement Programs nationwide. </w:t>
      </w:r>
      <w:r w:rsidRPr="00CB5A8A" w:rsidR="00CB5A8A">
        <w:rPr>
          <w:rFonts w:ascii="Calibri" w:eastAsia="Times New Roman" w:hAnsi="Calibri" w:cs="Calibri"/>
          <w:color w:val="000000"/>
        </w:rPr>
        <w:t xml:space="preserve">Thank you for considering these </w:t>
      </w:r>
      <w:r>
        <w:rPr>
          <w:rFonts w:ascii="Calibri" w:eastAsia="Times New Roman" w:hAnsi="Calibri" w:cs="Calibri"/>
          <w:color w:val="000000"/>
        </w:rPr>
        <w:t>additions</w:t>
      </w:r>
      <w:r w:rsidRPr="00CB5A8A" w:rsidR="00CB5A8A">
        <w:rPr>
          <w:rFonts w:ascii="Calibri" w:eastAsia="Times New Roman" w:hAnsi="Calibri" w:cs="Calibri"/>
          <w:color w:val="000000"/>
        </w:rPr>
        <w:t xml:space="preserve"> and for your commitment to improving the lives of </w:t>
      </w:r>
      <w:r w:rsidR="009A18B4">
        <w:rPr>
          <w:rFonts w:ascii="Calibri" w:eastAsia="Times New Roman" w:hAnsi="Calibri" w:cs="Calibri"/>
          <w:color w:val="000000"/>
        </w:rPr>
        <w:t>children</w:t>
      </w:r>
      <w:r w:rsidRPr="00CB5A8A" w:rsidR="00CB5A8A">
        <w:rPr>
          <w:rFonts w:ascii="Calibri" w:eastAsia="Times New Roman" w:hAnsi="Calibri" w:cs="Calibri"/>
          <w:color w:val="000000"/>
        </w:rPr>
        <w:t>.</w:t>
      </w:r>
    </w:p>
    <w:p w:rsidR="00607AEC" w:rsidRPr="00047896" w:rsidP="00607AEC" w14:paraId="403B9D3F" w14:textId="77777777">
      <w:pPr>
        <w:ind w:left="-720" w:firstLine="720"/>
        <w:jc w:val="both"/>
        <w:rPr>
          <w:rFonts w:ascii="Calibri" w:hAnsi="Calibri" w:cs="Calibri"/>
          <w:color w:val="000000" w:themeColor="text1"/>
        </w:rPr>
      </w:pPr>
      <w:r w:rsidRPr="00047896">
        <w:rPr>
          <w:rFonts w:ascii="Calibri" w:hAnsi="Calibri" w:cs="Calibri"/>
          <w:color w:val="000000" w:themeColor="text1"/>
        </w:rPr>
        <w:t>Sincerely,</w:t>
      </w:r>
    </w:p>
    <w:p w:rsidR="00607AEC" w:rsidRPr="00047896" w:rsidP="00607AEC" w14:paraId="4A0C5839" w14:textId="77777777">
      <w:pPr>
        <w:jc w:val="both"/>
        <w:rPr>
          <w:rFonts w:ascii="Calibri" w:hAnsi="Calibri" w:cs="Calibri"/>
          <w:color w:val="000000" w:themeColor="text1"/>
        </w:rPr>
      </w:pPr>
    </w:p>
    <w:p w:rsidR="00607AEC" w:rsidRPr="00047896" w:rsidP="00607AEC" w14:paraId="56A1507B" w14:textId="77777777">
      <w:pPr>
        <w:jc w:val="both"/>
        <w:rPr>
          <w:rFonts w:ascii="Calibri" w:hAnsi="Calibri" w:cs="Calibri"/>
          <w:color w:val="000000" w:themeColor="text1"/>
        </w:rPr>
      </w:pPr>
      <w:r w:rsidRPr="00047896">
        <w:rPr>
          <w:rFonts w:ascii="Calibri" w:hAnsi="Calibri" w:cs="Calibri"/>
          <w:noProof/>
          <w:color w:val="000000" w:themeColor="text1"/>
        </w:rPr>
        <w:drawing>
          <wp:inline distT="0" distB="0" distL="0" distR="0">
            <wp:extent cx="2463800" cy="495300"/>
            <wp:effectExtent l="12700" t="76200" r="12700" b="76200"/>
            <wp:docPr id="225152424" name="Picture 1" descr="A black handwritten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52424" name="Picture 1" descr="A black handwritten letter&#10;&#10;Description automatically generated with medium confidenc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rot="197504">
                      <a:off x="0" y="0"/>
                      <a:ext cx="2463800" cy="495300"/>
                    </a:xfrm>
                    <a:prstGeom prst="rect">
                      <a:avLst/>
                    </a:prstGeom>
                  </pic:spPr>
                </pic:pic>
              </a:graphicData>
            </a:graphic>
          </wp:inline>
        </w:drawing>
      </w:r>
    </w:p>
    <w:p w:rsidR="00607AEC" w:rsidRPr="00047896" w:rsidP="00607AEC" w14:paraId="6B16D649" w14:textId="04DD83F8">
      <w:pPr>
        <w:pStyle w:val="PlainText"/>
        <w:spacing w:before="0" w:beforeAutospacing="0" w:after="0" w:afterAutospacing="0"/>
        <w:jc w:val="both"/>
        <w:rPr>
          <w:rFonts w:ascii="Calibri" w:hAnsi="Calibri" w:cs="Calibri"/>
          <w:color w:val="000000" w:themeColor="text1"/>
        </w:rPr>
      </w:pPr>
      <w:r w:rsidRPr="00047896">
        <w:rPr>
          <w:rFonts w:ascii="Calibri" w:hAnsi="Calibri" w:cs="Calibri"/>
          <w:color w:val="000000" w:themeColor="text1"/>
        </w:rPr>
        <w:t>Allison Green, JD, CWLS</w:t>
      </w:r>
    </w:p>
    <w:p w:rsidR="00607AEC" w:rsidRPr="00047896" w:rsidP="00607AEC" w14:paraId="6A04FA66" w14:textId="65FA2625">
      <w:pPr>
        <w:pStyle w:val="PlainText"/>
        <w:spacing w:before="0" w:beforeAutospacing="0" w:after="0" w:afterAutospacing="0"/>
        <w:jc w:val="both"/>
        <w:rPr>
          <w:rFonts w:ascii="Calibri" w:hAnsi="Calibri" w:cs="Calibri"/>
          <w:color w:val="000000" w:themeColor="text1"/>
        </w:rPr>
      </w:pPr>
      <w:r>
        <w:rPr>
          <w:rFonts w:ascii="Calibri" w:hAnsi="Calibri" w:cs="Calibri"/>
          <w:color w:val="000000" w:themeColor="text1"/>
        </w:rPr>
        <w:t>Chief Legal Officer</w:t>
      </w:r>
      <w:r w:rsidRPr="00047896">
        <w:rPr>
          <w:rFonts w:ascii="Calibri" w:hAnsi="Calibri" w:cs="Calibri"/>
          <w:color w:val="000000" w:themeColor="text1"/>
        </w:rPr>
        <w:t>. National Association of Counsel for Children</w:t>
      </w:r>
    </w:p>
    <w:p w:rsidR="00607AEC" w:rsidRPr="00047896" w:rsidP="00607AEC" w14:paraId="5C06F9B0" w14:textId="77777777">
      <w:pPr>
        <w:pStyle w:val="PlainText"/>
        <w:spacing w:before="0" w:beforeAutospacing="0" w:after="0" w:afterAutospacing="0"/>
        <w:jc w:val="both"/>
        <w:rPr>
          <w:rFonts w:ascii="Calibri" w:hAnsi="Calibri" w:cs="Calibri"/>
          <w:color w:val="000000" w:themeColor="text1"/>
        </w:rPr>
      </w:pPr>
      <w:r w:rsidRPr="00047896">
        <w:rPr>
          <w:rFonts w:ascii="Calibri" w:hAnsi="Calibri" w:cs="Calibri"/>
          <w:color w:val="000000" w:themeColor="text1"/>
        </w:rPr>
        <w:t xml:space="preserve">www.NACCchildlaw.org </w:t>
      </w:r>
    </w:p>
    <w:p w:rsidR="00607AEC" w:rsidRPr="00047896" w:rsidP="00607AEC" w14:paraId="12A5BE97" w14:textId="77777777">
      <w:pPr>
        <w:pStyle w:val="PlainText"/>
        <w:spacing w:before="0" w:beforeAutospacing="0" w:after="0" w:afterAutospacing="0"/>
        <w:jc w:val="both"/>
        <w:rPr>
          <w:rFonts w:ascii="Calibri" w:hAnsi="Calibri" w:cs="Calibri"/>
          <w:color w:val="000000"/>
        </w:rPr>
      </w:pPr>
      <w:r w:rsidRPr="00047896">
        <w:rPr>
          <w:rFonts w:ascii="Calibri" w:hAnsi="Calibri" w:cs="Calibri"/>
          <w:color w:val="000000" w:themeColor="text1"/>
        </w:rPr>
        <w:t>Allison.Green@NACCchildlaw.org</w:t>
      </w:r>
    </w:p>
    <w:p w:rsidR="00C810E8" w:rsidRPr="00047896" w:rsidP="00750C4A" w14:paraId="425DC7E1" w14:textId="2C3B21F2">
      <w:pPr>
        <w:rPr>
          <w:rFonts w:ascii="Calibri" w:hAnsi="Calibri" w:cs="Calibri"/>
        </w:rPr>
      </w:pPr>
    </w:p>
    <w:sectPr w:rsidSect="006832B4">
      <w:headerReference w:type="first" r:id="rId11"/>
      <w:footerReference w:type="first" r:id="rId12"/>
      <w:pgSz w:w="12240" w:h="15840"/>
      <w:pgMar w:top="864" w:right="1440" w:bottom="1008" w:left="1080" w:header="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3DF" w14:paraId="422B78CD" w14:textId="09AF2AEA">
    <w:pPr>
      <w:pStyle w:val="Footer"/>
    </w:pPr>
    <w:r>
      <w:rPr>
        <w:noProof/>
      </w:rPr>
      <w:drawing>
        <wp:anchor distT="0" distB="0" distL="114300" distR="114300" simplePos="0" relativeHeight="251658240" behindDoc="1" locked="0" layoutInCell="1" allowOverlap="1">
          <wp:simplePos x="0" y="0"/>
          <wp:positionH relativeFrom="page">
            <wp:posOffset>461117</wp:posOffset>
          </wp:positionH>
          <wp:positionV relativeFrom="page">
            <wp:posOffset>9526954</wp:posOffset>
          </wp:positionV>
          <wp:extent cx="6592805" cy="278391"/>
          <wp:effectExtent l="0" t="0" r="0" b="1270"/>
          <wp:wrapNone/>
          <wp:docPr id="345354248" name="Picture 34535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54248" name="Picture 34535424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592805" cy="278391"/>
                  </a:xfrm>
                  <a:prstGeom prst="rect">
                    <a:avLst/>
                  </a:prstGeom>
                </pic:spPr>
              </pic:pic>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6CA7" w:rsidP="004B0E1C" w14:paraId="224CB87B" w14:textId="77777777">
    <w:pPr>
      <w:pStyle w:val="Header"/>
      <w:spacing w:after="1900"/>
    </w:pPr>
    <w:r>
      <w:rPr>
        <w:noProof/>
      </w:rPr>
      <w:drawing>
        <wp:anchor distT="0" distB="0" distL="114300" distR="114300" simplePos="0" relativeHeight="251658240" behindDoc="1" locked="0" layoutInCell="1" allowOverlap="1">
          <wp:simplePos x="0" y="0"/>
          <wp:positionH relativeFrom="page">
            <wp:posOffset>570523</wp:posOffset>
          </wp:positionH>
          <wp:positionV relativeFrom="page">
            <wp:posOffset>398585</wp:posOffset>
          </wp:positionV>
          <wp:extent cx="6635595" cy="713230"/>
          <wp:effectExtent l="0" t="0" r="0" b="0"/>
          <wp:wrapNone/>
          <wp:docPr id="1821204633" name="Picture 182120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04633" name="Picture 182120463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635595" cy="7132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4A2659"/>
    <w:multiLevelType w:val="hybridMultilevel"/>
    <w:tmpl w:val="9C62C8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E71620"/>
    <w:multiLevelType w:val="multilevel"/>
    <w:tmpl w:val="07E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E7116F"/>
    <w:multiLevelType w:val="multilevel"/>
    <w:tmpl w:val="1AE05C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5878424">
    <w:abstractNumId w:val="1"/>
  </w:num>
  <w:num w:numId="2" w16cid:durableId="985549457">
    <w:abstractNumId w:val="2"/>
  </w:num>
  <w:num w:numId="3" w16cid:durableId="25205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4A"/>
    <w:rsid w:val="00014E7D"/>
    <w:rsid w:val="00025AB7"/>
    <w:rsid w:val="00030BFD"/>
    <w:rsid w:val="0003407F"/>
    <w:rsid w:val="00047896"/>
    <w:rsid w:val="0007346E"/>
    <w:rsid w:val="00082833"/>
    <w:rsid w:val="000C311E"/>
    <w:rsid w:val="000D0380"/>
    <w:rsid w:val="000E64DD"/>
    <w:rsid w:val="000F63D4"/>
    <w:rsid w:val="001D7478"/>
    <w:rsid w:val="001E68B4"/>
    <w:rsid w:val="001F2011"/>
    <w:rsid w:val="001F2A2D"/>
    <w:rsid w:val="00203195"/>
    <w:rsid w:val="00210983"/>
    <w:rsid w:val="002154B9"/>
    <w:rsid w:val="002262ED"/>
    <w:rsid w:val="0024718D"/>
    <w:rsid w:val="00265CCA"/>
    <w:rsid w:val="00270692"/>
    <w:rsid w:val="00284A39"/>
    <w:rsid w:val="00295362"/>
    <w:rsid w:val="002B063C"/>
    <w:rsid w:val="002E2A6B"/>
    <w:rsid w:val="003117F4"/>
    <w:rsid w:val="003348C4"/>
    <w:rsid w:val="003A1325"/>
    <w:rsid w:val="003F4E91"/>
    <w:rsid w:val="004612C0"/>
    <w:rsid w:val="004B0E1C"/>
    <w:rsid w:val="004C7A3E"/>
    <w:rsid w:val="0050368A"/>
    <w:rsid w:val="005A4D0B"/>
    <w:rsid w:val="005C7887"/>
    <w:rsid w:val="005D7C2B"/>
    <w:rsid w:val="005E38BA"/>
    <w:rsid w:val="006002AE"/>
    <w:rsid w:val="00607AEC"/>
    <w:rsid w:val="00611108"/>
    <w:rsid w:val="00633133"/>
    <w:rsid w:val="00652B99"/>
    <w:rsid w:val="006832B4"/>
    <w:rsid w:val="006B6A45"/>
    <w:rsid w:val="0074297F"/>
    <w:rsid w:val="007433DF"/>
    <w:rsid w:val="00750C4A"/>
    <w:rsid w:val="00780D5C"/>
    <w:rsid w:val="007E1F52"/>
    <w:rsid w:val="007E450A"/>
    <w:rsid w:val="00854171"/>
    <w:rsid w:val="008735E9"/>
    <w:rsid w:val="008B6576"/>
    <w:rsid w:val="0094217F"/>
    <w:rsid w:val="00950996"/>
    <w:rsid w:val="00956CA7"/>
    <w:rsid w:val="009A18B4"/>
    <w:rsid w:val="009C7FBD"/>
    <w:rsid w:val="00A22995"/>
    <w:rsid w:val="00A5163E"/>
    <w:rsid w:val="00A951FA"/>
    <w:rsid w:val="00AF533A"/>
    <w:rsid w:val="00B02EBA"/>
    <w:rsid w:val="00B221E5"/>
    <w:rsid w:val="00B52DC7"/>
    <w:rsid w:val="00B9214D"/>
    <w:rsid w:val="00BD497D"/>
    <w:rsid w:val="00BE38AC"/>
    <w:rsid w:val="00C428E9"/>
    <w:rsid w:val="00C565D6"/>
    <w:rsid w:val="00C72F5E"/>
    <w:rsid w:val="00C7779B"/>
    <w:rsid w:val="00C810E8"/>
    <w:rsid w:val="00C909B9"/>
    <w:rsid w:val="00C9573F"/>
    <w:rsid w:val="00CA72F0"/>
    <w:rsid w:val="00CB5A8A"/>
    <w:rsid w:val="00CC68BA"/>
    <w:rsid w:val="00CC761F"/>
    <w:rsid w:val="00CD5FD3"/>
    <w:rsid w:val="00CE16E6"/>
    <w:rsid w:val="00D04F3D"/>
    <w:rsid w:val="00E161C7"/>
    <w:rsid w:val="00E679B3"/>
    <w:rsid w:val="00E92DE4"/>
    <w:rsid w:val="00EA0464"/>
    <w:rsid w:val="00EA20AD"/>
    <w:rsid w:val="00F112DE"/>
    <w:rsid w:val="00F5147F"/>
    <w:rsid w:val="00F666D9"/>
    <w:rsid w:val="00F74E22"/>
    <w:rsid w:val="00F86D4A"/>
    <w:rsid w:val="12DB3470"/>
    <w:rsid w:val="26F8BA10"/>
    <w:rsid w:val="572E9F24"/>
    <w:rsid w:val="6BEA007F"/>
    <w:rsid w:val="71BD4ECE"/>
    <w:rsid w:val="71D584B2"/>
    <w:rsid w:val="7655F3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98BEE2"/>
  <w15:chartTrackingRefBased/>
  <w15:docId w15:val="{1F3CBE3E-616C-1F44-833E-2B9A8D89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C4A"/>
    <w:pPr>
      <w:tabs>
        <w:tab w:val="center" w:pos="4680"/>
        <w:tab w:val="right" w:pos="9360"/>
      </w:tabs>
    </w:pPr>
  </w:style>
  <w:style w:type="character" w:customStyle="1" w:styleId="HeaderChar">
    <w:name w:val="Header Char"/>
    <w:basedOn w:val="DefaultParagraphFont"/>
    <w:link w:val="Header"/>
    <w:uiPriority w:val="99"/>
    <w:rsid w:val="00750C4A"/>
  </w:style>
  <w:style w:type="paragraph" w:styleId="Footer">
    <w:name w:val="footer"/>
    <w:basedOn w:val="Normal"/>
    <w:link w:val="FooterChar"/>
    <w:uiPriority w:val="99"/>
    <w:unhideWhenUsed/>
    <w:rsid w:val="00750C4A"/>
    <w:pPr>
      <w:tabs>
        <w:tab w:val="center" w:pos="4680"/>
        <w:tab w:val="right" w:pos="9360"/>
      </w:tabs>
    </w:pPr>
  </w:style>
  <w:style w:type="character" w:customStyle="1" w:styleId="FooterChar">
    <w:name w:val="Footer Char"/>
    <w:basedOn w:val="DefaultParagraphFont"/>
    <w:link w:val="Footer"/>
    <w:uiPriority w:val="99"/>
    <w:rsid w:val="00750C4A"/>
  </w:style>
  <w:style w:type="paragraph" w:styleId="PlainText">
    <w:name w:val="Plain Text"/>
    <w:basedOn w:val="Normal"/>
    <w:link w:val="PlainTextChar"/>
    <w:uiPriority w:val="99"/>
    <w:unhideWhenUsed/>
    <w:rsid w:val="00607AEC"/>
    <w:pPr>
      <w:spacing w:before="100" w:beforeAutospacing="1" w:after="100" w:afterAutospacing="1"/>
    </w:pPr>
    <w:rPr>
      <w:rFonts w:ascii="Times New Roman" w:eastAsia="Times New Roman" w:hAnsi="Times New Roman" w:cs="Times New Roman"/>
    </w:rPr>
  </w:style>
  <w:style w:type="character" w:customStyle="1" w:styleId="PlainTextChar">
    <w:name w:val="Plain Text Char"/>
    <w:basedOn w:val="DefaultParagraphFont"/>
    <w:link w:val="PlainText"/>
    <w:uiPriority w:val="99"/>
    <w:rsid w:val="00607AEC"/>
    <w:rPr>
      <w:rFonts w:ascii="Times New Roman" w:eastAsia="Times New Roman" w:hAnsi="Times New Roman" w:cs="Times New Roman"/>
    </w:rPr>
  </w:style>
  <w:style w:type="paragraph" w:styleId="NormalWeb">
    <w:name w:val="Normal (Web)"/>
    <w:basedOn w:val="Normal"/>
    <w:uiPriority w:val="99"/>
    <w:semiHidden/>
    <w:unhideWhenUsed/>
    <w:rsid w:val="00CB5A8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B5A8A"/>
    <w:rPr>
      <w:color w:val="0000FF"/>
      <w:u w:val="single"/>
    </w:rPr>
  </w:style>
  <w:style w:type="paragraph" w:styleId="FootnoteText">
    <w:name w:val="footnote text"/>
    <w:link w:val="FootnoteTextChar"/>
    <w:uiPriority w:val="99"/>
    <w:unhideWhenUsed/>
    <w:rsid w:val="00F112DE"/>
    <w:pPr>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F112DE"/>
    <w:rPr>
      <w:rFonts w:ascii="Times New Roman" w:hAnsi="Times New Roman" w:cs="Times New Roman"/>
      <w:sz w:val="20"/>
      <w:szCs w:val="20"/>
    </w:rPr>
  </w:style>
  <w:style w:type="character" w:styleId="FootnoteReference">
    <w:name w:val="footnote reference"/>
    <w:aliases w:val="16 Point,4_G,Appel note de bas de page,Appel note de bas de...,BVI fnr,Footnote number,Footnotes refss,Ref,Ref. de nota al pi,Ref. de nota al pie 2,Superscript 6 Point,Texto de nota al pie,de nota al pie,f,ftref,referencia nota al pie"/>
    <w:basedOn w:val="DefaultParagraphFont"/>
    <w:uiPriority w:val="99"/>
    <w:unhideWhenUsed/>
    <w:qFormat/>
    <w:rsid w:val="00F112DE"/>
    <w:rPr>
      <w:vertAlign w:val="superscript"/>
    </w:rPr>
  </w:style>
  <w:style w:type="character" w:styleId="Emphasis">
    <w:name w:val="Emphasis"/>
    <w:basedOn w:val="DefaultParagraphFont"/>
    <w:uiPriority w:val="20"/>
    <w:qFormat/>
    <w:rsid w:val="001F2011"/>
    <w:rPr>
      <w:i/>
      <w:iCs/>
    </w:rPr>
  </w:style>
  <w:style w:type="character" w:styleId="FollowedHyperlink">
    <w:name w:val="FollowedHyperlink"/>
    <w:basedOn w:val="DefaultParagraphFont"/>
    <w:uiPriority w:val="99"/>
    <w:semiHidden/>
    <w:unhideWhenUsed/>
    <w:rsid w:val="00CE16E6"/>
    <w:rPr>
      <w:color w:val="954F72" w:themeColor="followedHyperlink"/>
      <w:u w:val="single"/>
    </w:rPr>
  </w:style>
  <w:style w:type="character" w:styleId="UnresolvedMention">
    <w:name w:val="Unresolved Mention"/>
    <w:basedOn w:val="DefaultParagraphFont"/>
    <w:uiPriority w:val="99"/>
    <w:semiHidden/>
    <w:unhideWhenUsed/>
    <w:rsid w:val="00780D5C"/>
    <w:rPr>
      <w:color w:val="605E5C"/>
      <w:shd w:val="clear" w:color="auto" w:fill="E1DFDD"/>
    </w:rPr>
  </w:style>
  <w:style w:type="character" w:styleId="CommentReference">
    <w:name w:val="annotation reference"/>
    <w:basedOn w:val="DefaultParagraphFont"/>
    <w:uiPriority w:val="99"/>
    <w:semiHidden/>
    <w:unhideWhenUsed/>
    <w:rsid w:val="00A5163E"/>
    <w:rPr>
      <w:sz w:val="16"/>
      <w:szCs w:val="16"/>
    </w:rPr>
  </w:style>
  <w:style w:type="paragraph" w:styleId="CommentText">
    <w:name w:val="annotation text"/>
    <w:basedOn w:val="Normal"/>
    <w:link w:val="CommentTextChar"/>
    <w:uiPriority w:val="99"/>
    <w:unhideWhenUsed/>
    <w:rsid w:val="00A5163E"/>
    <w:rPr>
      <w:sz w:val="20"/>
      <w:szCs w:val="20"/>
    </w:rPr>
  </w:style>
  <w:style w:type="character" w:customStyle="1" w:styleId="CommentTextChar">
    <w:name w:val="Comment Text Char"/>
    <w:basedOn w:val="DefaultParagraphFont"/>
    <w:link w:val="CommentText"/>
    <w:uiPriority w:val="99"/>
    <w:rsid w:val="00A5163E"/>
    <w:rPr>
      <w:sz w:val="20"/>
      <w:szCs w:val="20"/>
    </w:rPr>
  </w:style>
  <w:style w:type="paragraph" w:styleId="CommentSubject">
    <w:name w:val="annotation subject"/>
    <w:basedOn w:val="CommentText"/>
    <w:next w:val="CommentText"/>
    <w:link w:val="CommentSubjectChar"/>
    <w:uiPriority w:val="99"/>
    <w:semiHidden/>
    <w:unhideWhenUsed/>
    <w:rsid w:val="00A5163E"/>
    <w:rPr>
      <w:b/>
      <w:bCs/>
    </w:rPr>
  </w:style>
  <w:style w:type="character" w:customStyle="1" w:styleId="CommentSubjectChar">
    <w:name w:val="Comment Subject Char"/>
    <w:basedOn w:val="CommentTextChar"/>
    <w:link w:val="CommentSubject"/>
    <w:uiPriority w:val="99"/>
    <w:semiHidden/>
    <w:rsid w:val="00A5163E"/>
    <w:rPr>
      <w:b/>
      <w:bCs/>
      <w:sz w:val="20"/>
      <w:szCs w:val="20"/>
    </w:rPr>
  </w:style>
  <w:style w:type="character" w:customStyle="1" w:styleId="apple-converted-space">
    <w:name w:val="apple-converted-space"/>
    <w:basedOn w:val="DefaultParagraphFont"/>
    <w:rsid w:val="00A5163E"/>
  </w:style>
  <w:style w:type="paragraph" w:customStyle="1" w:styleId="p1">
    <w:name w:val="p1"/>
    <w:basedOn w:val="Normal"/>
    <w:rsid w:val="007E1F52"/>
    <w:rPr>
      <w:rFonts w:ascii="Helvetica" w:eastAsia="Times New Roman" w:hAnsi="Helvetica" w:cs="Times New Roman"/>
      <w:color w:val="000000"/>
      <w:sz w:val="18"/>
      <w:szCs w:val="18"/>
    </w:rPr>
  </w:style>
  <w:style w:type="paragraph" w:styleId="Revision">
    <w:name w:val="Revision"/>
    <w:hidden/>
    <w:uiPriority w:val="99"/>
    <w:semiHidden/>
    <w:rsid w:val="001D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preinfocollection@acf.hhs.gov" TargetMode="External" /><Relationship Id="rId6" Type="http://schemas.openxmlformats.org/officeDocument/2006/relationships/hyperlink" Target="https://naccchildlaw.org/" TargetMode="External" /><Relationship Id="rId7" Type="http://schemas.openxmlformats.org/officeDocument/2006/relationships/hyperlink" Target="https://naccchildlaw.org/wp-content/uploads/2024/08/NACC-T4E-FLY-2408-r2.pdf" TargetMode="External" /><Relationship Id="rId8" Type="http://schemas.openxmlformats.org/officeDocument/2006/relationships/hyperlink" Target="https://oig.hhs.gov/reports/all/2021/acf-cannot-ensure-that-all-child-victims-of-abuse-and-neglect-have-court-representation/" TargetMode="External" /><Relationship Id="rId9" Type="http://schemas.openxmlformats.org/officeDocument/2006/relationships/hyperlink" Target="https://bjs.ojp.gov/announcement/public-comments-requested-reinstating-previously-approved-data-collection-changes-0?utm_content=default&amp;utm_medium=email&amp;utm_source=govdelivery"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5C9AB-0E6E-E148-8ED5-22A26E81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Lorne Hobbs</dc:creator>
  <cp:lastModifiedBy>Allison Green</cp:lastModifiedBy>
  <cp:revision>42</cp:revision>
  <cp:lastPrinted>2024-01-03T19:00:00Z</cp:lastPrinted>
  <dcterms:created xsi:type="dcterms:W3CDTF">2024-01-03T20:33:00Z</dcterms:created>
  <dcterms:modified xsi:type="dcterms:W3CDTF">2025-10-30T19:30:00Z</dcterms:modified>
</cp:coreProperties>
</file>