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E4B" w:rsidRPr="007312E2" w:rsidP="0032291E" w14:paraId="65F8F615" w14:textId="77777777">
      <w:pPr>
        <w:pStyle w:val="CM40"/>
        <w:spacing w:before="480" w:after="100" w:afterAutospacing="1"/>
        <w:contextualSpacing/>
        <w:jc w:val="center"/>
        <w:rPr>
          <w:b/>
          <w:bCs/>
        </w:rPr>
      </w:pPr>
      <w:r w:rsidRPr="007312E2">
        <w:rPr>
          <w:b/>
          <w:bCs/>
        </w:rPr>
        <w:t>Department of Justice</w:t>
      </w:r>
    </w:p>
    <w:p w:rsidR="00F34783" w:rsidRPr="007312E2" w:rsidP="007312E2" w14:paraId="1B0581F6" w14:textId="1AE93B24">
      <w:pPr>
        <w:pStyle w:val="CM40"/>
        <w:contextualSpacing/>
        <w:jc w:val="center"/>
      </w:pPr>
      <w:r w:rsidRPr="007312E2">
        <w:rPr>
          <w:b/>
          <w:bCs/>
        </w:rPr>
        <w:t xml:space="preserve"> Bureau of Alcohol, Tobacco,</w:t>
      </w:r>
      <w:r w:rsidRPr="007312E2" w:rsidR="00801E4B">
        <w:rPr>
          <w:b/>
          <w:bCs/>
        </w:rPr>
        <w:t xml:space="preserve"> </w:t>
      </w:r>
      <w:r w:rsidRPr="007312E2">
        <w:rPr>
          <w:b/>
          <w:bCs/>
        </w:rPr>
        <w:t xml:space="preserve">Firearms and Explosives </w:t>
      </w:r>
      <w:r w:rsidR="00F14833">
        <w:rPr>
          <w:b/>
          <w:bCs/>
        </w:rPr>
        <w:t>(ATF)</w:t>
      </w:r>
    </w:p>
    <w:p w:rsidR="00F34783" w:rsidRPr="007312E2" w:rsidP="007312E2" w14:paraId="3D577749" w14:textId="2C7D58BD">
      <w:pPr>
        <w:pStyle w:val="CM43"/>
        <w:contextualSpacing/>
        <w:jc w:val="center"/>
        <w:rPr>
          <w:b/>
          <w:bCs/>
        </w:rPr>
      </w:pPr>
      <w:r>
        <w:rPr>
          <w:b/>
          <w:bCs/>
        </w:rPr>
        <w:t>Information Collection Request (ICR)</w:t>
      </w:r>
    </w:p>
    <w:p w:rsidR="00541D6A" w:rsidRPr="007312E2" w:rsidP="00E73083" w14:paraId="5F87F8D8" w14:textId="77777777">
      <w:pPr>
        <w:pStyle w:val="CM6"/>
        <w:jc w:val="center"/>
        <w:rPr>
          <w:b/>
          <w:bCs/>
        </w:rPr>
      </w:pPr>
      <w:r w:rsidRPr="007312E2">
        <w:rPr>
          <w:b/>
          <w:bCs/>
        </w:rPr>
        <w:t xml:space="preserve">OMB </w:t>
      </w:r>
      <w:r w:rsidRPr="007312E2" w:rsidR="00F34783">
        <w:rPr>
          <w:b/>
          <w:bCs/>
        </w:rPr>
        <w:t>1140-0006</w:t>
      </w:r>
    </w:p>
    <w:p w:rsidR="00F905D7" w:rsidP="00F905D7" w14:paraId="057BF270" w14:textId="0A30F091">
      <w:pPr>
        <w:pStyle w:val="CM6"/>
        <w:spacing w:line="240" w:lineRule="auto"/>
        <w:jc w:val="center"/>
        <w:rPr>
          <w:b/>
          <w:bCs/>
        </w:rPr>
      </w:pPr>
      <w:r w:rsidRPr="007312E2">
        <w:rPr>
          <w:b/>
          <w:bCs/>
        </w:rPr>
        <w:t xml:space="preserve">Application and Permit </w:t>
      </w:r>
      <w:r w:rsidR="00985AA5">
        <w:rPr>
          <w:b/>
          <w:bCs/>
        </w:rPr>
        <w:t>to Import</w:t>
      </w:r>
      <w:r w:rsidRPr="007312E2">
        <w:rPr>
          <w:b/>
          <w:bCs/>
        </w:rPr>
        <w:t xml:space="preserve"> Firearms, Ammunition</w:t>
      </w:r>
      <w:r>
        <w:rPr>
          <w:b/>
          <w:bCs/>
        </w:rPr>
        <w:t>,</w:t>
      </w:r>
      <w:r w:rsidRPr="007312E2">
        <w:rPr>
          <w:b/>
          <w:bCs/>
        </w:rPr>
        <w:t xml:space="preserve"> and </w:t>
      </w:r>
      <w:r w:rsidRPr="007312E2" w:rsidR="007021B8">
        <w:rPr>
          <w:b/>
          <w:bCs/>
        </w:rPr>
        <w:t>Defense Articles</w:t>
      </w:r>
      <w:r w:rsidRPr="007312E2" w:rsidR="000A0A55">
        <w:rPr>
          <w:b/>
          <w:bCs/>
        </w:rPr>
        <w:t xml:space="preserve"> </w:t>
      </w:r>
    </w:p>
    <w:p w:rsidR="00801E4B" w:rsidP="000058E1" w14:paraId="7E6261B0" w14:textId="484AF3C2">
      <w:pPr>
        <w:pStyle w:val="CM6"/>
        <w:spacing w:after="240" w:line="240" w:lineRule="auto"/>
        <w:jc w:val="center"/>
        <w:rPr>
          <w:b/>
          <w:bCs/>
        </w:rPr>
      </w:pPr>
      <w:r>
        <w:rPr>
          <w:b/>
          <w:bCs/>
        </w:rPr>
        <w:t>(</w:t>
      </w:r>
      <w:r w:rsidRPr="007312E2" w:rsidR="000A0A55">
        <w:rPr>
          <w:b/>
          <w:bCs/>
        </w:rPr>
        <w:t>ATF 5330.3B</w:t>
      </w:r>
      <w:r w:rsidR="009D7B30">
        <w:rPr>
          <w:b/>
          <w:bCs/>
        </w:rPr>
        <w:t xml:space="preserve"> (</w:t>
      </w:r>
      <w:r w:rsidR="00E952F8">
        <w:rPr>
          <w:b/>
          <w:bCs/>
        </w:rPr>
        <w:t>“</w:t>
      </w:r>
      <w:r w:rsidRPr="007312E2" w:rsidR="009D7B30">
        <w:rPr>
          <w:b/>
          <w:bCs/>
        </w:rPr>
        <w:t>Form 6</w:t>
      </w:r>
      <w:r w:rsidR="009D7B30">
        <w:rPr>
          <w:b/>
          <w:bCs/>
        </w:rPr>
        <w:t>,</w:t>
      </w:r>
      <w:r w:rsidRPr="007312E2" w:rsidR="009D7B30">
        <w:rPr>
          <w:b/>
          <w:bCs/>
        </w:rPr>
        <w:t xml:space="preserve"> </w:t>
      </w:r>
      <w:r w:rsidR="009D7B30">
        <w:rPr>
          <w:b/>
          <w:bCs/>
        </w:rPr>
        <w:t>p</w:t>
      </w:r>
      <w:r w:rsidRPr="007312E2" w:rsidR="009D7B30">
        <w:rPr>
          <w:b/>
          <w:bCs/>
        </w:rPr>
        <w:t>art II</w:t>
      </w:r>
      <w:r w:rsidR="00A55319">
        <w:rPr>
          <w:b/>
          <w:bCs/>
        </w:rPr>
        <w:t>”</w:t>
      </w:r>
      <w:r w:rsidR="009D7B30">
        <w:rPr>
          <w:b/>
          <w:bCs/>
        </w:rPr>
        <w:t>)</w:t>
      </w:r>
      <w:r>
        <w:rPr>
          <w:b/>
          <w:bCs/>
        </w:rPr>
        <w:t>)</w:t>
      </w:r>
    </w:p>
    <w:p w:rsidR="00F34783" w:rsidRPr="000058E1" w:rsidP="000058E1" w14:paraId="1F4A9A5F" w14:textId="16D101EE">
      <w:pPr>
        <w:pStyle w:val="CM6"/>
        <w:jc w:val="center"/>
        <w:rPr>
          <w:b/>
          <w:bCs/>
        </w:rPr>
      </w:pPr>
      <w:r>
        <w:rPr>
          <w:b/>
          <w:bCs/>
        </w:rPr>
        <w:t>SUPPORTING STATEMENT</w:t>
      </w:r>
    </w:p>
    <w:p w:rsidR="00B90FDA" w:rsidP="00B90FDA" w14:paraId="2597BDF9" w14:textId="77777777">
      <w:pPr>
        <w:pStyle w:val="CM40"/>
        <w:rPr>
          <w:b/>
        </w:rPr>
      </w:pPr>
    </w:p>
    <w:p w:rsidR="00F34783" w:rsidRPr="007312E2" w:rsidP="00F2169B" w14:paraId="0C10E4B0" w14:textId="6CD75EC9">
      <w:pPr>
        <w:pStyle w:val="CM40"/>
        <w:spacing w:after="240"/>
        <w:rPr>
          <w:b/>
        </w:rPr>
      </w:pPr>
      <w:r>
        <w:rPr>
          <w:b/>
        </w:rPr>
        <w:t>A.</w:t>
      </w:r>
      <w:r w:rsidR="005A661F">
        <w:rPr>
          <w:b/>
        </w:rPr>
        <w:tab/>
      </w:r>
      <w:r w:rsidRPr="007312E2" w:rsidR="008455EE">
        <w:rPr>
          <w:b/>
        </w:rPr>
        <w:t>JUSTIFICATION</w:t>
      </w:r>
      <w:r w:rsidRPr="007312E2">
        <w:rPr>
          <w:b/>
        </w:rPr>
        <w:t xml:space="preserve"> </w:t>
      </w:r>
    </w:p>
    <w:p w:rsidR="00E70A26" w:rsidRPr="00EA1F7B" w:rsidP="00F2169B" w14:paraId="65386816" w14:textId="1C3A6515">
      <w:pPr>
        <w:pStyle w:val="CM40"/>
        <w:spacing w:after="240"/>
        <w:rPr>
          <w:b/>
          <w:bCs/>
        </w:rPr>
      </w:pPr>
      <w:r w:rsidRPr="00EA1F7B">
        <w:rPr>
          <w:b/>
          <w:bCs/>
        </w:rPr>
        <w:t xml:space="preserve">1. </w:t>
      </w:r>
      <w:r w:rsidRPr="00EA1F7B">
        <w:rPr>
          <w:b/>
          <w:bCs/>
        </w:rPr>
        <w:t>Explain the circumstances that make the information collection necessary.</w:t>
      </w:r>
    </w:p>
    <w:p w:rsidR="009F4CB9" w:rsidP="006F28D2" w14:paraId="702F24FB" w14:textId="4E073C8A">
      <w:pPr>
        <w:pStyle w:val="CM40"/>
        <w:spacing w:after="240"/>
      </w:pPr>
      <w:r>
        <w:t xml:space="preserve">18 U.S.C. </w:t>
      </w:r>
      <w:r w:rsidR="006D79EE">
        <w:t xml:space="preserve">§ </w:t>
      </w:r>
      <w:r w:rsidR="00BF18AC">
        <w:t>925(</w:t>
      </w:r>
      <w:r w:rsidR="006D79EE">
        <w:t>a</w:t>
      </w:r>
      <w:r w:rsidR="00BF18AC">
        <w:t>)</w:t>
      </w:r>
      <w:r w:rsidR="006D79EE">
        <w:t>(4</w:t>
      </w:r>
      <w:r w:rsidR="00BF18AC">
        <w:t xml:space="preserve">) </w:t>
      </w:r>
      <w:r w:rsidR="007472E1">
        <w:t>permits the Attorney General to authorize</w:t>
      </w:r>
      <w:r w:rsidR="00845111">
        <w:t xml:space="preserve">, under certain conditions, </w:t>
      </w:r>
      <w:r w:rsidR="001C2777">
        <w:t>a member of the U.S. Armed Forces on active duty outside the U.S.</w:t>
      </w:r>
      <w:r w:rsidR="00F7600B">
        <w:t xml:space="preserve"> (or who has been on active duty outside the United States within the sixty-day period immediately preceding the importation) to import</w:t>
      </w:r>
      <w:r w:rsidR="001C2777">
        <w:t xml:space="preserve"> </w:t>
      </w:r>
      <w:r w:rsidR="00432D38">
        <w:t>firearms and ammunition</w:t>
      </w:r>
      <w:r w:rsidR="007472E1">
        <w:t xml:space="preserve"> into the </w:t>
      </w:r>
      <w:r w:rsidR="00F7600B">
        <w:t>U.S</w:t>
      </w:r>
      <w:r w:rsidR="000A4581">
        <w:t xml:space="preserve">. </w:t>
      </w:r>
      <w:r w:rsidR="0083792C">
        <w:t>T</w:t>
      </w:r>
      <w:r w:rsidRPr="007312E2" w:rsidR="0083792C">
        <w:t xml:space="preserve">he </w:t>
      </w:r>
      <w:r w:rsidRPr="007312E2" w:rsidR="00F34783">
        <w:t>implementing</w:t>
      </w:r>
      <w:r w:rsidRPr="007312E2" w:rsidR="00F34783">
        <w:t xml:space="preserve"> regulations </w:t>
      </w:r>
      <w:r w:rsidR="00D52FC2">
        <w:t>at</w:t>
      </w:r>
      <w:r w:rsidR="00FB34E6">
        <w:t xml:space="preserve"> </w:t>
      </w:r>
      <w:r w:rsidRPr="007312E2" w:rsidR="00F34783">
        <w:t>27 CFR 478</w:t>
      </w:r>
      <w:r w:rsidR="00E31F23">
        <w:t>.114</w:t>
      </w:r>
      <w:r w:rsidRPr="007312E2" w:rsidR="00F34783">
        <w:t xml:space="preserve"> prescribe the forms and procedures necessary to accomplish the import permit requirements. </w:t>
      </w:r>
    </w:p>
    <w:p w:rsidR="00C24AC5" w:rsidRPr="00EA1F7B" w:rsidP="00F2169B" w14:paraId="37023FD4" w14:textId="33E3525A">
      <w:pPr>
        <w:pStyle w:val="Default"/>
        <w:spacing w:after="240"/>
        <w:rPr>
          <w:b/>
          <w:bCs/>
          <w:color w:val="auto"/>
        </w:rPr>
      </w:pPr>
      <w:r w:rsidRPr="00EA1F7B">
        <w:rPr>
          <w:b/>
          <w:bCs/>
          <w:color w:val="auto"/>
        </w:rPr>
        <w:t xml:space="preserve">2. </w:t>
      </w:r>
      <w:r w:rsidRPr="00EA1F7B">
        <w:rPr>
          <w:b/>
          <w:bCs/>
          <w:color w:val="auto"/>
        </w:rPr>
        <w:t>Indicate how, by whom, and for what purpose</w:t>
      </w:r>
      <w:r w:rsidRPr="00EA1F7B" w:rsidR="009F4CB9">
        <w:rPr>
          <w:b/>
          <w:bCs/>
          <w:color w:val="auto"/>
        </w:rPr>
        <w:t xml:space="preserve"> the information </w:t>
      </w:r>
      <w:r w:rsidR="005A661F">
        <w:rPr>
          <w:b/>
          <w:bCs/>
          <w:color w:val="auto"/>
        </w:rPr>
        <w:t>will</w:t>
      </w:r>
      <w:r w:rsidRPr="00EA1F7B" w:rsidR="009F4CB9">
        <w:rPr>
          <w:b/>
          <w:bCs/>
          <w:color w:val="auto"/>
        </w:rPr>
        <w:t xml:space="preserve"> be used.</w:t>
      </w:r>
    </w:p>
    <w:p w:rsidR="00F34783" w:rsidRPr="007312E2" w:rsidP="00F2169B" w14:paraId="595194EA" w14:textId="5AD29020">
      <w:pPr>
        <w:pStyle w:val="Default"/>
        <w:spacing w:after="240"/>
        <w:rPr>
          <w:color w:val="auto"/>
        </w:rPr>
      </w:pPr>
      <w:r>
        <w:rPr>
          <w:color w:val="auto"/>
        </w:rPr>
        <w:t>ATF uses this</w:t>
      </w:r>
      <w:r w:rsidR="00FD76A8">
        <w:rPr>
          <w:color w:val="auto"/>
        </w:rPr>
        <w:t xml:space="preserve"> information collection </w:t>
      </w:r>
      <w:r w:rsidRPr="007312E2">
        <w:rPr>
          <w:color w:val="auto"/>
        </w:rPr>
        <w:t xml:space="preserve">to </w:t>
      </w:r>
      <w:r w:rsidR="008460F0">
        <w:rPr>
          <w:color w:val="auto"/>
        </w:rPr>
        <w:t xml:space="preserve">verify the applicant’s status as a member of the Armed Forces and to </w:t>
      </w:r>
      <w:r w:rsidRPr="007312E2">
        <w:rPr>
          <w:color w:val="auto"/>
        </w:rPr>
        <w:t xml:space="preserve">determine </w:t>
      </w:r>
      <w:r w:rsidR="008460F0">
        <w:rPr>
          <w:color w:val="auto"/>
        </w:rPr>
        <w:t>whether the</w:t>
      </w:r>
      <w:r w:rsidRPr="007312E2" w:rsidR="00541D6A">
        <w:rPr>
          <w:color w:val="auto"/>
        </w:rPr>
        <w:t xml:space="preserve"> </w:t>
      </w:r>
      <w:r w:rsidR="00F04D01">
        <w:rPr>
          <w:color w:val="auto"/>
        </w:rPr>
        <w:t>article(s)</w:t>
      </w:r>
      <w:r w:rsidRPr="007312E2" w:rsidR="00F04D01">
        <w:rPr>
          <w:color w:val="auto"/>
        </w:rPr>
        <w:t xml:space="preserve"> </w:t>
      </w:r>
      <w:r w:rsidRPr="007312E2">
        <w:rPr>
          <w:color w:val="auto"/>
        </w:rPr>
        <w:t>listed</w:t>
      </w:r>
      <w:r w:rsidRPr="007312E2" w:rsidR="00EA2412">
        <w:rPr>
          <w:color w:val="auto"/>
        </w:rPr>
        <w:t xml:space="preserve"> on the </w:t>
      </w:r>
      <w:r w:rsidR="007D3162">
        <w:rPr>
          <w:color w:val="auto"/>
        </w:rPr>
        <w:t>application</w:t>
      </w:r>
      <w:r w:rsidRPr="007312E2" w:rsidR="007D3162">
        <w:rPr>
          <w:color w:val="auto"/>
        </w:rPr>
        <w:t xml:space="preserve"> </w:t>
      </w:r>
      <w:r w:rsidR="00EA49DC">
        <w:rPr>
          <w:color w:val="auto"/>
        </w:rPr>
        <w:t>are</w:t>
      </w:r>
      <w:r w:rsidR="00EA49DC">
        <w:rPr>
          <w:color w:val="auto"/>
        </w:rPr>
        <w:t xml:space="preserve"> allowed to be imported</w:t>
      </w:r>
      <w:r w:rsidRPr="007312E2">
        <w:rPr>
          <w:color w:val="auto"/>
        </w:rPr>
        <w:t xml:space="preserve">. The approved </w:t>
      </w:r>
      <w:r w:rsidR="00791DFB">
        <w:rPr>
          <w:color w:val="auto"/>
        </w:rPr>
        <w:t>application</w:t>
      </w:r>
      <w:r w:rsidRPr="007312E2" w:rsidR="00791DFB">
        <w:rPr>
          <w:color w:val="auto"/>
        </w:rPr>
        <w:t xml:space="preserve"> </w:t>
      </w:r>
      <w:r w:rsidR="00EA49DC">
        <w:rPr>
          <w:color w:val="auto"/>
        </w:rPr>
        <w:t xml:space="preserve">then </w:t>
      </w:r>
      <w:r w:rsidRPr="007312E2">
        <w:rPr>
          <w:color w:val="auto"/>
        </w:rPr>
        <w:t xml:space="preserve">serves as </w:t>
      </w:r>
      <w:r w:rsidR="00B96920">
        <w:rPr>
          <w:color w:val="auto"/>
        </w:rPr>
        <w:t xml:space="preserve">a permit </w:t>
      </w:r>
      <w:r w:rsidR="00D41571">
        <w:rPr>
          <w:color w:val="auto"/>
        </w:rPr>
        <w:t xml:space="preserve">for the applicant </w:t>
      </w:r>
      <w:r w:rsidR="00B96920">
        <w:rPr>
          <w:color w:val="auto"/>
        </w:rPr>
        <w:t>to import the article(s) described on the form</w:t>
      </w:r>
      <w:r w:rsidRPr="007312E2">
        <w:rPr>
          <w:color w:val="auto"/>
        </w:rPr>
        <w:t xml:space="preserve">. </w:t>
      </w:r>
    </w:p>
    <w:p w:rsidR="004A365A" w:rsidRPr="00EA1F7B" w:rsidP="00F2169B" w14:paraId="0ED9C2B8" w14:textId="2B11F775">
      <w:pPr>
        <w:pStyle w:val="Default"/>
        <w:spacing w:after="240"/>
        <w:rPr>
          <w:b/>
          <w:bCs/>
          <w:color w:val="auto"/>
        </w:rPr>
      </w:pPr>
      <w:r w:rsidRPr="00EA1F7B">
        <w:rPr>
          <w:b/>
          <w:bCs/>
          <w:color w:val="auto"/>
        </w:rPr>
        <w:t>3.</w:t>
      </w:r>
      <w:r w:rsidRPr="00EA1F7B" w:rsidR="00B11769">
        <w:rPr>
          <w:b/>
          <w:bCs/>
          <w:color w:val="auto"/>
        </w:rPr>
        <w:t xml:space="preserve"> Describe whether, and to what extent, the information collection involves using automated, electronic, mechanical, or other technological collection techniques or other forms of information technology</w:t>
      </w:r>
      <w:r w:rsidRPr="00EA1F7B" w:rsidR="00EA1F7B">
        <w:rPr>
          <w:b/>
          <w:bCs/>
          <w:color w:val="auto"/>
        </w:rPr>
        <w:t xml:space="preserve">, </w:t>
      </w:r>
      <w:r w:rsidRPr="00EA1F7B" w:rsidR="00EA1F7B">
        <w:rPr>
          <w:b/>
          <w:bCs/>
          <w:i/>
          <w:iCs/>
          <w:color w:val="auto"/>
        </w:rPr>
        <w:t>e.g.</w:t>
      </w:r>
      <w:r w:rsidRPr="00EA1F7B" w:rsidR="00EA1F7B">
        <w:rPr>
          <w:b/>
          <w:bCs/>
          <w:color w:val="auto"/>
        </w:rPr>
        <w:t xml:space="preserve">, permitting electronic submission of responses, and the basis for the decision </w:t>
      </w:r>
      <w:r w:rsidRPr="00EA1F7B" w:rsidR="00EA1F7B">
        <w:rPr>
          <w:b/>
          <w:bCs/>
          <w:color w:val="auto"/>
        </w:rPr>
        <w:t>for adopting</w:t>
      </w:r>
      <w:r w:rsidRPr="00EA1F7B" w:rsidR="00EA1F7B">
        <w:rPr>
          <w:b/>
          <w:bCs/>
          <w:color w:val="auto"/>
        </w:rPr>
        <w:t xml:space="preserve"> this means of collection.</w:t>
      </w:r>
    </w:p>
    <w:p w:rsidR="00F34783" w:rsidRPr="007312E2" w:rsidP="00F2169B" w14:paraId="29CAC268" w14:textId="63D71855">
      <w:pPr>
        <w:pStyle w:val="Default"/>
        <w:spacing w:after="240"/>
        <w:rPr>
          <w:color w:val="auto"/>
        </w:rPr>
      </w:pPr>
      <w:r w:rsidRPr="29CD2E11">
        <w:rPr>
          <w:color w:val="auto"/>
        </w:rPr>
        <w:t xml:space="preserve">Respondents can </w:t>
      </w:r>
      <w:r w:rsidRPr="29CD2E11" w:rsidR="0B1569B6">
        <w:rPr>
          <w:color w:val="auto"/>
        </w:rPr>
        <w:t>complete</w:t>
      </w:r>
      <w:r w:rsidRPr="29CD2E11">
        <w:rPr>
          <w:color w:val="auto"/>
        </w:rPr>
        <w:t xml:space="preserve"> the </w:t>
      </w:r>
      <w:r w:rsidR="00537901">
        <w:rPr>
          <w:color w:val="auto"/>
        </w:rPr>
        <w:t xml:space="preserve">ATF Form </w:t>
      </w:r>
      <w:r w:rsidR="00537901">
        <w:rPr>
          <w:color w:val="auto"/>
        </w:rPr>
        <w:t xml:space="preserve">5330.3B </w:t>
      </w:r>
      <w:r w:rsidR="00A55319">
        <w:rPr>
          <w:color w:val="auto"/>
        </w:rPr>
        <w:t xml:space="preserve"> (</w:t>
      </w:r>
      <w:r w:rsidR="00A55319">
        <w:rPr>
          <w:color w:val="auto"/>
        </w:rPr>
        <w:t xml:space="preserve">“Form 6, part II”) </w:t>
      </w:r>
      <w:r w:rsidRPr="29CD2E11" w:rsidR="3721AB37">
        <w:rPr>
          <w:color w:val="auto"/>
        </w:rPr>
        <w:t xml:space="preserve">entirely </w:t>
      </w:r>
      <w:r w:rsidRPr="29CD2E11" w:rsidR="240E574A">
        <w:rPr>
          <w:color w:val="auto"/>
        </w:rPr>
        <w:t>electronically</w:t>
      </w:r>
      <w:r w:rsidRPr="007312E2" w:rsidR="00B72999">
        <w:rPr>
          <w:color w:val="auto"/>
        </w:rPr>
        <w:t xml:space="preserve"> and submit </w:t>
      </w:r>
      <w:r w:rsidRPr="29CD2E11" w:rsidR="240E574A">
        <w:rPr>
          <w:color w:val="auto"/>
        </w:rPr>
        <w:t>it</w:t>
      </w:r>
      <w:r w:rsidRPr="29CD2E11" w:rsidR="00591EE6">
        <w:rPr>
          <w:color w:val="auto"/>
        </w:rPr>
        <w:t xml:space="preserve"> </w:t>
      </w:r>
      <w:r w:rsidRPr="29CD2E11" w:rsidR="0063409C">
        <w:rPr>
          <w:color w:val="auto"/>
        </w:rPr>
        <w:t xml:space="preserve">by </w:t>
      </w:r>
      <w:r w:rsidRPr="29CD2E11" w:rsidR="006D79EE">
        <w:rPr>
          <w:color w:val="auto"/>
        </w:rPr>
        <w:t>email</w:t>
      </w:r>
      <w:r w:rsidRPr="29CD2E11" w:rsidR="00D41571">
        <w:rPr>
          <w:color w:val="auto"/>
        </w:rPr>
        <w:t xml:space="preserve"> </w:t>
      </w:r>
      <w:r w:rsidRPr="007312E2" w:rsidR="007B2251">
        <w:rPr>
          <w:color w:val="auto"/>
        </w:rPr>
        <w:t>for processing</w:t>
      </w:r>
      <w:r w:rsidRPr="007312E2">
        <w:rPr>
          <w:color w:val="auto"/>
        </w:rPr>
        <w:t xml:space="preserve">. </w:t>
      </w:r>
    </w:p>
    <w:p w:rsidR="00EA1F7B" w:rsidRPr="00E51AD5" w:rsidP="00F2169B" w14:paraId="5982CADD" w14:textId="37053E93">
      <w:pPr>
        <w:pStyle w:val="Default"/>
        <w:spacing w:after="240"/>
        <w:rPr>
          <w:b/>
          <w:bCs/>
          <w:color w:val="auto"/>
        </w:rPr>
      </w:pPr>
      <w:r>
        <w:rPr>
          <w:b/>
          <w:bCs/>
          <w:color w:val="auto"/>
        </w:rPr>
        <w:t>4. Describe efforts to identify duplication.</w:t>
      </w:r>
    </w:p>
    <w:p w:rsidR="00F34783" w:rsidRPr="007312E2" w:rsidP="00F2169B" w14:paraId="6290CABF" w14:textId="070D0871">
      <w:pPr>
        <w:pStyle w:val="Default"/>
        <w:spacing w:after="240"/>
        <w:rPr>
          <w:color w:val="auto"/>
        </w:rPr>
      </w:pPr>
      <w:r>
        <w:rPr>
          <w:color w:val="auto"/>
        </w:rPr>
        <w:t>This information is not duplicative</w:t>
      </w:r>
      <w:r w:rsidR="00B06143">
        <w:rPr>
          <w:color w:val="auto"/>
        </w:rPr>
        <w:t xml:space="preserve">. </w:t>
      </w:r>
      <w:r w:rsidR="006337CC">
        <w:rPr>
          <w:color w:val="auto"/>
        </w:rPr>
        <w:t xml:space="preserve">Only members of the U.S. </w:t>
      </w:r>
      <w:r w:rsidR="00AE52F8">
        <w:rPr>
          <w:color w:val="auto"/>
        </w:rPr>
        <w:t>Armed Forces</w:t>
      </w:r>
      <w:r w:rsidR="006337CC">
        <w:rPr>
          <w:color w:val="auto"/>
        </w:rPr>
        <w:t xml:space="preserve"> use this form to request </w:t>
      </w:r>
      <w:r w:rsidR="004C2CEB">
        <w:rPr>
          <w:color w:val="auto"/>
        </w:rPr>
        <w:t>permission</w:t>
      </w:r>
      <w:r w:rsidR="0076221A">
        <w:rPr>
          <w:color w:val="auto"/>
        </w:rPr>
        <w:t xml:space="preserve"> to permane</w:t>
      </w:r>
      <w:r w:rsidR="00F62C5D">
        <w:rPr>
          <w:color w:val="auto"/>
        </w:rPr>
        <w:t>ntly import firearms</w:t>
      </w:r>
      <w:r w:rsidR="006D79EE">
        <w:rPr>
          <w:color w:val="auto"/>
        </w:rPr>
        <w:t>, ammunition</w:t>
      </w:r>
      <w:r w:rsidR="006337CC">
        <w:rPr>
          <w:color w:val="auto"/>
        </w:rPr>
        <w:t>,</w:t>
      </w:r>
      <w:r w:rsidR="006D79EE">
        <w:rPr>
          <w:color w:val="auto"/>
        </w:rPr>
        <w:t xml:space="preserve"> and/or defense articles</w:t>
      </w:r>
      <w:r w:rsidR="006337CC">
        <w:rPr>
          <w:color w:val="auto"/>
        </w:rPr>
        <w:t xml:space="preserve">, and </w:t>
      </w:r>
      <w:r w:rsidR="00FC3D71">
        <w:rPr>
          <w:color w:val="auto"/>
        </w:rPr>
        <w:t xml:space="preserve">the information on each request – including the person’s identification information – but be </w:t>
      </w:r>
      <w:r w:rsidR="00207D85">
        <w:rPr>
          <w:color w:val="auto"/>
        </w:rPr>
        <w:t>verified on a case-by-case basis per request</w:t>
      </w:r>
      <w:r w:rsidR="00E44B08">
        <w:rPr>
          <w:color w:val="auto"/>
        </w:rPr>
        <w:t xml:space="preserve">. </w:t>
      </w:r>
      <w:r w:rsidR="00207D85">
        <w:rPr>
          <w:color w:val="auto"/>
        </w:rPr>
        <w:t xml:space="preserve">Therefore, previously submitted information cannot be used for any subsequent requests. The information is used for law enforcement purposes. </w:t>
      </w:r>
      <w:r w:rsidRPr="007312E2">
        <w:rPr>
          <w:color w:val="auto"/>
        </w:rPr>
        <w:t xml:space="preserve">ATF uses a uniform subject classification system </w:t>
      </w:r>
      <w:r w:rsidR="00DA45CC">
        <w:rPr>
          <w:color w:val="auto"/>
        </w:rPr>
        <w:t xml:space="preserve">for forms </w:t>
      </w:r>
      <w:r w:rsidRPr="007312E2">
        <w:rPr>
          <w:color w:val="auto"/>
        </w:rPr>
        <w:t>to identify duplication and to ensure that any similar information already available cannot be used or modified for use for the purpose of</w:t>
      </w:r>
      <w:r w:rsidRPr="007312E2" w:rsidR="00B4088A">
        <w:rPr>
          <w:color w:val="auto"/>
        </w:rPr>
        <w:t xml:space="preserve"> </w:t>
      </w:r>
      <w:r w:rsidRPr="007312E2">
        <w:rPr>
          <w:color w:val="auto"/>
        </w:rPr>
        <w:t>this information</w:t>
      </w:r>
      <w:r w:rsidRPr="007312E2" w:rsidR="006E03DC">
        <w:rPr>
          <w:color w:val="auto"/>
        </w:rPr>
        <w:t xml:space="preserve"> collection</w:t>
      </w:r>
      <w:r w:rsidRPr="007312E2">
        <w:rPr>
          <w:color w:val="auto"/>
        </w:rPr>
        <w:t xml:space="preserve">. </w:t>
      </w:r>
      <w:r w:rsidRPr="29CD2E11" w:rsidR="149B5998">
        <w:rPr>
          <w:color w:val="auto"/>
        </w:rPr>
        <w:t xml:space="preserve"> </w:t>
      </w:r>
    </w:p>
    <w:p w:rsidR="00DE075C" w:rsidRPr="00DE075C" w:rsidP="00F2169B" w14:paraId="023CC441" w14:textId="5990D25C">
      <w:pPr>
        <w:pStyle w:val="Default"/>
        <w:spacing w:after="240"/>
        <w:rPr>
          <w:b/>
          <w:bCs/>
          <w:color w:val="auto"/>
        </w:rPr>
      </w:pPr>
      <w:r>
        <w:rPr>
          <w:b/>
          <w:bCs/>
          <w:color w:val="auto"/>
        </w:rPr>
        <w:t xml:space="preserve">5. If the information collection impacts small </w:t>
      </w:r>
      <w:r w:rsidR="004509C3">
        <w:rPr>
          <w:b/>
          <w:bCs/>
          <w:color w:val="auto"/>
        </w:rPr>
        <w:t>businesses or other small entities, describe any methods used to minimize burden.</w:t>
      </w:r>
    </w:p>
    <w:p w:rsidR="00F34783" w:rsidRPr="007312E2" w:rsidP="00F2169B" w14:paraId="67BEFFB7" w14:textId="13D322FF">
      <w:pPr>
        <w:pStyle w:val="Default"/>
        <w:spacing w:after="240"/>
        <w:rPr>
          <w:color w:val="auto"/>
        </w:rPr>
      </w:pPr>
      <w:bookmarkStart w:id="0" w:name="_Hlk104880650"/>
      <w:r>
        <w:rPr>
          <w:color w:val="auto"/>
        </w:rPr>
        <w:t>This information collection does not have a significant impact on small entities</w:t>
      </w:r>
      <w:r w:rsidRPr="007312E2">
        <w:rPr>
          <w:color w:val="auto"/>
        </w:rPr>
        <w:t xml:space="preserve">. </w:t>
      </w:r>
      <w:bookmarkEnd w:id="0"/>
    </w:p>
    <w:p w:rsidR="00752469" w:rsidRPr="00752469" w:rsidP="00F2169B" w14:paraId="2869B7B7" w14:textId="2D161378">
      <w:pPr>
        <w:pStyle w:val="Default"/>
        <w:spacing w:after="240"/>
        <w:rPr>
          <w:b/>
          <w:bCs/>
          <w:color w:val="auto"/>
        </w:rPr>
      </w:pPr>
      <w:r>
        <w:rPr>
          <w:b/>
          <w:bCs/>
          <w:color w:val="auto"/>
        </w:rPr>
        <w:t xml:space="preserve">6. </w:t>
      </w:r>
      <w:r w:rsidR="00F7392C">
        <w:rPr>
          <w:b/>
          <w:bCs/>
          <w:color w:val="auto"/>
        </w:rPr>
        <w:t>Describe the consequence</w:t>
      </w:r>
      <w:r w:rsidR="004F06FA">
        <w:rPr>
          <w:b/>
          <w:bCs/>
          <w:color w:val="auto"/>
        </w:rPr>
        <w:t>s</w:t>
      </w:r>
      <w:r w:rsidR="00F7392C">
        <w:rPr>
          <w:b/>
          <w:bCs/>
          <w:color w:val="auto"/>
        </w:rPr>
        <w:t xml:space="preserve"> </w:t>
      </w:r>
      <w:r w:rsidR="00F7392C">
        <w:rPr>
          <w:b/>
          <w:bCs/>
          <w:color w:val="auto"/>
        </w:rPr>
        <w:t>to</w:t>
      </w:r>
      <w:r w:rsidR="00F7392C">
        <w:rPr>
          <w:b/>
          <w:bCs/>
          <w:color w:val="auto"/>
        </w:rPr>
        <w:t xml:space="preserve"> federal programs or policy activities if the collection is not conducted or is conducted less frequently, as well as any technical or legal obstacles to re</w:t>
      </w:r>
      <w:r w:rsidR="004F06FA">
        <w:rPr>
          <w:b/>
          <w:bCs/>
          <w:color w:val="auto"/>
        </w:rPr>
        <w:t>d</w:t>
      </w:r>
      <w:r w:rsidR="00F7392C">
        <w:rPr>
          <w:b/>
          <w:bCs/>
          <w:color w:val="auto"/>
        </w:rPr>
        <w:t>u</w:t>
      </w:r>
      <w:r w:rsidR="004F06FA">
        <w:rPr>
          <w:b/>
          <w:bCs/>
          <w:color w:val="auto"/>
        </w:rPr>
        <w:t>c</w:t>
      </w:r>
      <w:r w:rsidR="00F7392C">
        <w:rPr>
          <w:b/>
          <w:bCs/>
          <w:color w:val="auto"/>
        </w:rPr>
        <w:t>ing burden</w:t>
      </w:r>
      <w:r w:rsidR="004F06FA">
        <w:rPr>
          <w:b/>
          <w:bCs/>
          <w:color w:val="auto"/>
        </w:rPr>
        <w:t>.</w:t>
      </w:r>
    </w:p>
    <w:p w:rsidR="00F34783" w:rsidRPr="007312E2" w:rsidP="00F2169B" w14:paraId="2564F2C3" w14:textId="015E3603">
      <w:pPr>
        <w:pStyle w:val="Default"/>
        <w:spacing w:after="240"/>
        <w:rPr>
          <w:color w:val="auto"/>
        </w:rPr>
      </w:pPr>
      <w:r w:rsidRPr="007312E2">
        <w:rPr>
          <w:color w:val="auto"/>
        </w:rPr>
        <w:t>Less frequent</w:t>
      </w:r>
      <w:r w:rsidR="00A55319">
        <w:rPr>
          <w:color w:val="auto"/>
        </w:rPr>
        <w:t>ly</w:t>
      </w:r>
      <w:r w:rsidRPr="007312E2">
        <w:rPr>
          <w:color w:val="auto"/>
        </w:rPr>
        <w:t xml:space="preserve"> </w:t>
      </w:r>
      <w:r w:rsidR="00A543F6">
        <w:rPr>
          <w:color w:val="auto"/>
        </w:rPr>
        <w:t>collecting the information on Form 6, part II</w:t>
      </w:r>
      <w:r w:rsidRPr="007312E2" w:rsidR="00591EE6">
        <w:rPr>
          <w:color w:val="auto"/>
        </w:rPr>
        <w:t xml:space="preserve"> </w:t>
      </w:r>
      <w:r w:rsidRPr="007312E2">
        <w:rPr>
          <w:color w:val="auto"/>
        </w:rPr>
        <w:t xml:space="preserve">would substantially increase the potential for </w:t>
      </w:r>
      <w:r w:rsidRPr="007312E2" w:rsidR="007B2251">
        <w:rPr>
          <w:color w:val="auto"/>
        </w:rPr>
        <w:t>firearms, ammunition</w:t>
      </w:r>
      <w:r w:rsidR="00A543F6">
        <w:rPr>
          <w:color w:val="auto"/>
        </w:rPr>
        <w:t>,</w:t>
      </w:r>
      <w:r w:rsidRPr="007312E2" w:rsidR="007B2251">
        <w:rPr>
          <w:color w:val="auto"/>
        </w:rPr>
        <w:t xml:space="preserve"> </w:t>
      </w:r>
      <w:r w:rsidR="00902719">
        <w:rPr>
          <w:color w:val="auto"/>
        </w:rPr>
        <w:t>or defense articles</w:t>
      </w:r>
      <w:r w:rsidRPr="007312E2" w:rsidR="007B2251">
        <w:rPr>
          <w:color w:val="auto"/>
        </w:rPr>
        <w:t xml:space="preserve"> </w:t>
      </w:r>
      <w:r w:rsidR="00420191">
        <w:rPr>
          <w:color w:val="auto"/>
        </w:rPr>
        <w:t xml:space="preserve">to be illegally introduced </w:t>
      </w:r>
      <w:r w:rsidRPr="007312E2">
        <w:rPr>
          <w:color w:val="auto"/>
        </w:rPr>
        <w:t xml:space="preserve">into domestic commerce. This would pose a threat to the public safety by exacerbating crime and violence, </w:t>
      </w:r>
      <w:r w:rsidRPr="007312E2" w:rsidR="007B2251">
        <w:rPr>
          <w:color w:val="auto"/>
        </w:rPr>
        <w:t xml:space="preserve">while </w:t>
      </w:r>
      <w:r w:rsidRPr="007312E2">
        <w:rPr>
          <w:color w:val="auto"/>
        </w:rPr>
        <w:t xml:space="preserve">undermining </w:t>
      </w:r>
      <w:r w:rsidR="00B11072">
        <w:rPr>
          <w:color w:val="auto"/>
        </w:rPr>
        <w:t xml:space="preserve">U.S. </w:t>
      </w:r>
      <w:r w:rsidRPr="007312E2">
        <w:rPr>
          <w:color w:val="auto"/>
        </w:rPr>
        <w:t>law enforcement, foreign policy, and revenue</w:t>
      </w:r>
      <w:r w:rsidR="00B11072">
        <w:rPr>
          <w:color w:val="auto"/>
        </w:rPr>
        <w:t xml:space="preserve"> interests</w:t>
      </w:r>
      <w:r w:rsidRPr="007312E2">
        <w:rPr>
          <w:color w:val="auto"/>
        </w:rPr>
        <w:t xml:space="preserve">. </w:t>
      </w:r>
    </w:p>
    <w:p w:rsidR="004F06FA" w:rsidRPr="007151D1" w:rsidP="00F2169B" w14:paraId="3A09D55D" w14:textId="75DC10A8">
      <w:pPr>
        <w:pStyle w:val="Default"/>
        <w:spacing w:after="240"/>
        <w:rPr>
          <w:b/>
          <w:bCs/>
          <w:color w:val="auto"/>
        </w:rPr>
      </w:pPr>
      <w:r>
        <w:rPr>
          <w:b/>
          <w:bCs/>
          <w:color w:val="auto"/>
        </w:rPr>
        <w:t>7. Explain any special circumstances that would cause the information collection to be conducted in a manner inconsistent with 5 CFR 1320.6.</w:t>
      </w:r>
    </w:p>
    <w:p w:rsidR="00F34783" w:rsidRPr="007312E2" w:rsidP="00F2169B" w14:paraId="2CC1F02B" w14:textId="4DA8BD3F">
      <w:pPr>
        <w:pStyle w:val="Default"/>
        <w:spacing w:after="240"/>
        <w:rPr>
          <w:color w:val="auto"/>
        </w:rPr>
      </w:pPr>
      <w:r>
        <w:rPr>
          <w:color w:val="auto"/>
        </w:rPr>
        <w:t xml:space="preserve">There are no special circumstances associated with this information collection, which is </w:t>
      </w:r>
      <w:r w:rsidR="0024492C">
        <w:rPr>
          <w:color w:val="auto"/>
        </w:rPr>
        <w:t>conducted in a manner consistent with</w:t>
      </w:r>
      <w:r w:rsidRPr="007312E2">
        <w:rPr>
          <w:color w:val="auto"/>
        </w:rPr>
        <w:t xml:space="preserve"> 5 CFR</w:t>
      </w:r>
      <w:r w:rsidRPr="007312E2" w:rsidR="004F58FA">
        <w:t xml:space="preserve"> </w:t>
      </w:r>
      <w:r w:rsidRPr="007312E2">
        <w:rPr>
          <w:color w:val="auto"/>
        </w:rPr>
        <w:t xml:space="preserve">1320.6. </w:t>
      </w:r>
    </w:p>
    <w:p w:rsidR="00891170" w:rsidRPr="00891170" w:rsidP="00F2169B" w14:paraId="214FF736" w14:textId="1AB82172">
      <w:pPr>
        <w:pStyle w:val="Default"/>
        <w:spacing w:after="240"/>
        <w:rPr>
          <w:b/>
          <w:bCs/>
          <w:color w:val="auto"/>
        </w:rPr>
      </w:pPr>
      <w:r>
        <w:rPr>
          <w:b/>
          <w:bCs/>
          <w:color w:val="auto"/>
        </w:rPr>
        <w:t xml:space="preserve">8. If applicable, provide a copy, and identify the date and page number, of the agency’s notice published in the </w:t>
      </w:r>
      <w:r>
        <w:rPr>
          <w:b/>
          <w:bCs/>
          <w:i/>
          <w:iCs/>
          <w:color w:val="auto"/>
        </w:rPr>
        <w:t>Federal Register</w:t>
      </w:r>
      <w:r w:rsidR="00B30C69">
        <w:rPr>
          <w:b/>
          <w:bCs/>
          <w:color w:val="auto"/>
        </w:rPr>
        <w:t>, as required by 5 CFR 1320.8(d), soliciting comments on the information collection prior to submission to OMB.</w:t>
      </w:r>
    </w:p>
    <w:p w:rsidR="00B95464" w:rsidRPr="007312E2" w:rsidP="00F2169B" w14:paraId="2D9353C0" w14:textId="5E4296BD">
      <w:pPr>
        <w:pStyle w:val="Default"/>
        <w:spacing w:after="240"/>
        <w:rPr>
          <w:color w:val="auto"/>
        </w:rPr>
      </w:pPr>
      <w:r>
        <w:rPr>
          <w:color w:val="auto"/>
        </w:rPr>
        <w:t>The 60-Day</w:t>
      </w:r>
      <w:r w:rsidR="00D66EB6">
        <w:rPr>
          <w:color w:val="auto"/>
        </w:rPr>
        <w:t xml:space="preserve"> Notice was published in the </w:t>
      </w:r>
      <w:r w:rsidR="00D66EB6">
        <w:rPr>
          <w:i/>
          <w:iCs/>
          <w:color w:val="auto"/>
        </w:rPr>
        <w:t xml:space="preserve">Federal </w:t>
      </w:r>
      <w:r w:rsidRPr="001E6775" w:rsidR="00D66EB6">
        <w:rPr>
          <w:i/>
          <w:iCs/>
          <w:color w:val="auto"/>
        </w:rPr>
        <w:t>Register</w:t>
      </w:r>
      <w:r w:rsidRPr="001E6775" w:rsidR="00D66EB6">
        <w:rPr>
          <w:color w:val="auto"/>
        </w:rPr>
        <w:t xml:space="preserve"> on </w:t>
      </w:r>
      <w:r w:rsidRPr="001E6775" w:rsidR="001E6775">
        <w:rPr>
          <w:color w:val="auto"/>
        </w:rPr>
        <w:t>August 05, 2025</w:t>
      </w:r>
      <w:r w:rsidRPr="001E6775" w:rsidR="00D66EB6">
        <w:rPr>
          <w:color w:val="auto"/>
        </w:rPr>
        <w:t xml:space="preserve"> (</w:t>
      </w:r>
      <w:r w:rsidRPr="001E6775" w:rsidR="001E6775">
        <w:rPr>
          <w:color w:val="auto"/>
        </w:rPr>
        <w:t>90</w:t>
      </w:r>
      <w:r w:rsidRPr="001E6775" w:rsidR="00D66EB6">
        <w:rPr>
          <w:color w:val="auto"/>
        </w:rPr>
        <w:t xml:space="preserve"> FR </w:t>
      </w:r>
      <w:r w:rsidRPr="001E6775" w:rsidR="001E6775">
        <w:rPr>
          <w:color w:val="auto"/>
        </w:rPr>
        <w:t>37568</w:t>
      </w:r>
      <w:r w:rsidRPr="001E6775" w:rsidR="00D66EB6">
        <w:rPr>
          <w:color w:val="auto"/>
        </w:rPr>
        <w:t>)</w:t>
      </w:r>
      <w:r w:rsidRPr="001E6775" w:rsidR="001D222B">
        <w:rPr>
          <w:color w:val="auto"/>
        </w:rPr>
        <w:t>.</w:t>
      </w:r>
      <w:r w:rsidRPr="007312E2" w:rsidR="001D222B">
        <w:rPr>
          <w:color w:val="auto"/>
        </w:rPr>
        <w:t xml:space="preserve"> </w:t>
      </w:r>
      <w:r w:rsidR="00D66EB6">
        <w:rPr>
          <w:color w:val="auto"/>
        </w:rPr>
        <w:t xml:space="preserve">The comment period ended </w:t>
      </w:r>
      <w:r w:rsidRPr="001E6775" w:rsidR="00D66EB6">
        <w:rPr>
          <w:color w:val="auto"/>
        </w:rPr>
        <w:t xml:space="preserve">on </w:t>
      </w:r>
      <w:r w:rsidRPr="001E6775" w:rsidR="001E6775">
        <w:rPr>
          <w:color w:val="auto"/>
        </w:rPr>
        <w:t>October 6, 2025</w:t>
      </w:r>
      <w:r w:rsidRPr="001E6775" w:rsidR="00E62217">
        <w:rPr>
          <w:color w:val="auto"/>
        </w:rPr>
        <w:t>.</w:t>
      </w:r>
      <w:r w:rsidR="00E62217">
        <w:rPr>
          <w:color w:val="auto"/>
        </w:rPr>
        <w:t xml:space="preserve"> ATF received no comments.</w:t>
      </w:r>
    </w:p>
    <w:p w:rsidR="007F66E9" w:rsidRPr="007F66E9" w:rsidP="00F2169B" w14:paraId="1401ACC8" w14:textId="77705BA2">
      <w:pPr>
        <w:pStyle w:val="Default"/>
        <w:spacing w:after="240"/>
        <w:rPr>
          <w:b/>
          <w:bCs/>
          <w:color w:val="auto"/>
        </w:rPr>
      </w:pPr>
      <w:r>
        <w:rPr>
          <w:b/>
          <w:bCs/>
          <w:color w:val="auto"/>
        </w:rPr>
        <w:t>9. Explain any decision to provide any payments or gifts to respondents, other than remuneration of contractors or grantees.</w:t>
      </w:r>
    </w:p>
    <w:p w:rsidR="00F34783" w:rsidRPr="007312E2" w:rsidP="00F2169B" w14:paraId="0800C924" w14:textId="235054E8">
      <w:pPr>
        <w:pStyle w:val="Default"/>
        <w:spacing w:after="240"/>
        <w:rPr>
          <w:color w:val="auto"/>
        </w:rPr>
      </w:pPr>
      <w:r w:rsidRPr="007312E2">
        <w:rPr>
          <w:color w:val="auto"/>
        </w:rPr>
        <w:t xml:space="preserve">No payment or gift is associated with this </w:t>
      </w:r>
      <w:r w:rsidR="00F44DD9">
        <w:rPr>
          <w:color w:val="auto"/>
        </w:rPr>
        <w:t xml:space="preserve">information </w:t>
      </w:r>
      <w:r w:rsidRPr="007312E2">
        <w:rPr>
          <w:color w:val="auto"/>
        </w:rPr>
        <w:t xml:space="preserve">collection. </w:t>
      </w:r>
    </w:p>
    <w:p w:rsidR="007F66E9" w:rsidRPr="007F66E9" w:rsidP="00F2169B" w14:paraId="5A8F1B16" w14:textId="22506EF6">
      <w:pPr>
        <w:pStyle w:val="Default"/>
        <w:spacing w:after="240"/>
        <w:rPr>
          <w:b/>
          <w:bCs/>
          <w:color w:val="auto"/>
        </w:rPr>
      </w:pPr>
      <w:r>
        <w:rPr>
          <w:b/>
          <w:bCs/>
          <w:color w:val="auto"/>
        </w:rPr>
        <w:t>10. Describe any assurance of confid</w:t>
      </w:r>
      <w:r w:rsidR="00147127">
        <w:rPr>
          <w:b/>
          <w:bCs/>
          <w:color w:val="auto"/>
        </w:rPr>
        <w:t>e</w:t>
      </w:r>
      <w:r>
        <w:rPr>
          <w:b/>
          <w:bCs/>
          <w:color w:val="auto"/>
        </w:rPr>
        <w:t>ntiality provided to respondents and the basis for the assurance in statute, regulation, or agency policy.</w:t>
      </w:r>
    </w:p>
    <w:p w:rsidR="00F34783" w:rsidRPr="007312E2" w:rsidP="00F2169B" w14:paraId="21311C22" w14:textId="226A042A">
      <w:pPr>
        <w:pStyle w:val="Default"/>
        <w:spacing w:after="240"/>
        <w:rPr>
          <w:color w:val="auto"/>
        </w:rPr>
      </w:pPr>
      <w:r>
        <w:rPr>
          <w:color w:val="auto"/>
        </w:rPr>
        <w:t>ATF has not assured respondents of confidentiality</w:t>
      </w:r>
      <w:r w:rsidRPr="007312E2">
        <w:rPr>
          <w:color w:val="auto"/>
        </w:rPr>
        <w:t>.</w:t>
      </w:r>
      <w:r w:rsidR="009B5892">
        <w:rPr>
          <w:color w:val="auto"/>
        </w:rPr>
        <w:t xml:space="preserve"> However, the information </w:t>
      </w:r>
      <w:r w:rsidR="009B5892">
        <w:rPr>
          <w:color w:val="auto"/>
        </w:rPr>
        <w:t>being collected</w:t>
      </w:r>
      <w:r w:rsidR="009B5892">
        <w:rPr>
          <w:color w:val="auto"/>
        </w:rPr>
        <w:t xml:space="preserve"> includes PII and is thus protected by the Privacy Act. The information</w:t>
      </w:r>
      <w:r w:rsidR="00D05711">
        <w:rPr>
          <w:color w:val="auto"/>
        </w:rPr>
        <w:t xml:space="preserve"> is maintained by ATF in a system of records, Justice/ATF</w:t>
      </w:r>
      <w:r w:rsidRPr="005E35C8" w:rsidR="00B1175B">
        <w:t>-008</w:t>
      </w:r>
      <w:r w:rsidR="00B1175B">
        <w:t>,</w:t>
      </w:r>
      <w:r w:rsidRPr="005E35C8" w:rsidR="00B1175B">
        <w:t xml:space="preserve"> Regulatory Enforcement Record System</w:t>
      </w:r>
      <w:r w:rsidR="00D94AB3">
        <w:rPr>
          <w:color w:val="auto"/>
        </w:rPr>
        <w:t xml:space="preserve">. The form that accompanies this ICR includes a Privacy Act </w:t>
      </w:r>
      <w:r w:rsidR="00A3280E">
        <w:rPr>
          <w:color w:val="auto"/>
        </w:rPr>
        <w:t>statement that covers this information and informs respondents of the system of records, routine uses, etc.</w:t>
      </w:r>
    </w:p>
    <w:p w:rsidR="00147127" w:rsidRPr="00147127" w:rsidP="00F2169B" w14:paraId="0DA54CCC" w14:textId="23631E44">
      <w:pPr>
        <w:pStyle w:val="Default"/>
        <w:spacing w:after="240"/>
        <w:rPr>
          <w:b/>
          <w:bCs/>
          <w:color w:val="auto"/>
        </w:rPr>
      </w:pPr>
      <w:r>
        <w:rPr>
          <w:b/>
          <w:bCs/>
          <w:color w:val="auto"/>
        </w:rPr>
        <w:t>11. Provide additional justification for any questions of a sensitive nature, such as sexual behavior and attitudes, religious beliefs, and other matters that are commonly considered private.</w:t>
      </w:r>
    </w:p>
    <w:p w:rsidR="00F34783" w:rsidRPr="007312E2" w:rsidP="00F2169B" w14:paraId="741104B6" w14:textId="1ABF0E58">
      <w:pPr>
        <w:pStyle w:val="Default"/>
        <w:spacing w:after="240"/>
        <w:rPr>
          <w:color w:val="auto"/>
        </w:rPr>
      </w:pPr>
      <w:r>
        <w:rPr>
          <w:color w:val="auto"/>
        </w:rPr>
        <w:t>This information collection does not ask questions or require information of a sensitive nature</w:t>
      </w:r>
      <w:r w:rsidRPr="007312E2">
        <w:rPr>
          <w:color w:val="auto"/>
        </w:rPr>
        <w:t xml:space="preserve">. </w:t>
      </w:r>
    </w:p>
    <w:p w:rsidR="00844204" w:rsidRPr="00C51FD7" w:rsidP="00F2169B" w14:paraId="1CF5051F" w14:textId="387B5B35">
      <w:pPr>
        <w:pStyle w:val="Default"/>
        <w:spacing w:after="240"/>
        <w:rPr>
          <w:b/>
          <w:bCs/>
          <w:color w:val="auto"/>
        </w:rPr>
      </w:pPr>
      <w:r>
        <w:rPr>
          <w:b/>
          <w:bCs/>
          <w:color w:val="auto"/>
        </w:rPr>
        <w:t>12. Provide estimates of the information collection’s hour burden.</w:t>
      </w:r>
    </w:p>
    <w:p w:rsidR="00F60A4E" w:rsidP="00F2169B" w14:paraId="25A7C8B7" w14:textId="14AED8CF">
      <w:pPr>
        <w:pStyle w:val="Default"/>
        <w:spacing w:after="240"/>
        <w:rPr>
          <w:color w:val="auto"/>
        </w:rPr>
      </w:pPr>
      <w:r>
        <w:rPr>
          <w:color w:val="auto"/>
        </w:rPr>
        <w:t>Based on recent ATF data</w:t>
      </w:r>
      <w:r w:rsidR="00312707">
        <w:rPr>
          <w:color w:val="auto"/>
        </w:rPr>
        <w:t xml:space="preserve"> on the number of responses we’ve received each of the past three years</w:t>
      </w:r>
      <w:r>
        <w:rPr>
          <w:color w:val="auto"/>
        </w:rPr>
        <w:t xml:space="preserve">, </w:t>
      </w:r>
      <w:r w:rsidR="00312707">
        <w:rPr>
          <w:color w:val="auto"/>
        </w:rPr>
        <w:t>the annual average number of respondents is</w:t>
      </w:r>
      <w:r w:rsidR="00B7699F">
        <w:rPr>
          <w:color w:val="auto"/>
        </w:rPr>
        <w:t xml:space="preserve"> 31</w:t>
      </w:r>
      <w:r w:rsidR="005832DF">
        <w:rPr>
          <w:color w:val="auto"/>
        </w:rPr>
        <w:t>2</w:t>
      </w:r>
      <w:r w:rsidR="00312707">
        <w:rPr>
          <w:color w:val="auto"/>
        </w:rPr>
        <w:t>,</w:t>
      </w:r>
      <w:r w:rsidR="00321EE0">
        <w:rPr>
          <w:color w:val="auto"/>
        </w:rPr>
        <w:t xml:space="preserve"> as presented in the table below:</w:t>
      </w:r>
    </w:p>
    <w:p w:rsidR="009C1A83" w:rsidRPr="003F73B2" w:rsidP="009C1A83" w14:paraId="2C764938" w14:textId="6516A49B">
      <w:pPr>
        <w:jc w:val="center"/>
        <w:rPr>
          <w:rFonts w:ascii="Times New Roman" w:hAnsi="Times New Roman"/>
          <w:i/>
        </w:rPr>
      </w:pPr>
      <w:r w:rsidRPr="00D54320">
        <w:rPr>
          <w:rFonts w:ascii="Times New Roman" w:hAnsi="Times New Roman"/>
          <w:b/>
          <w:bCs/>
        </w:rPr>
        <w:t>Table</w:t>
      </w:r>
      <w:r w:rsidR="00395CEE">
        <w:rPr>
          <w:rFonts w:ascii="Times New Roman" w:hAnsi="Times New Roman"/>
          <w:b/>
          <w:bCs/>
        </w:rPr>
        <w:t xml:space="preserve"> 1</w:t>
      </w:r>
      <w:r w:rsidRPr="00D54320">
        <w:rPr>
          <w:rFonts w:ascii="Times New Roman" w:hAnsi="Times New Roman"/>
          <w:b/>
          <w:bCs/>
        </w:rPr>
        <w:t xml:space="preserve">. </w:t>
      </w:r>
      <w:r>
        <w:rPr>
          <w:rFonts w:ascii="Times New Roman" w:hAnsi="Times New Roman"/>
          <w:b/>
          <w:bCs/>
        </w:rPr>
        <w:t>Three</w:t>
      </w:r>
      <w:r w:rsidR="00312707">
        <w:rPr>
          <w:rFonts w:ascii="Times New Roman" w:hAnsi="Times New Roman"/>
          <w:b/>
          <w:bCs/>
        </w:rPr>
        <w:t>-</w:t>
      </w:r>
      <w:r>
        <w:rPr>
          <w:rFonts w:ascii="Times New Roman" w:hAnsi="Times New Roman"/>
          <w:b/>
          <w:bCs/>
        </w:rPr>
        <w:t xml:space="preserve">year average </w:t>
      </w:r>
      <w:r w:rsidR="005832DF">
        <w:rPr>
          <w:rFonts w:ascii="Times New Roman" w:hAnsi="Times New Roman"/>
          <w:b/>
          <w:bCs/>
        </w:rPr>
        <w:t>respondents</w:t>
      </w:r>
    </w:p>
    <w:tbl>
      <w:tblPr>
        <w:tblW w:w="2420" w:type="dxa"/>
        <w:jc w:val="center"/>
        <w:tblLook w:val="04A0"/>
      </w:tblPr>
      <w:tblGrid>
        <w:gridCol w:w="1130"/>
        <w:gridCol w:w="1290"/>
      </w:tblGrid>
      <w:tr w14:paraId="00552809" w14:textId="77777777" w:rsidTr="00654985">
        <w:tblPrEx>
          <w:tblW w:w="2420" w:type="dxa"/>
          <w:jc w:val="center"/>
          <w:tblLook w:val="04A0"/>
        </w:tblPrEx>
        <w:trPr>
          <w:trHeight w:val="300"/>
          <w:jc w:val="center"/>
        </w:trPr>
        <w:tc>
          <w:tcPr>
            <w:tcW w:w="1130" w:type="dxa"/>
            <w:tcBorders>
              <w:top w:val="single" w:sz="8" w:space="0" w:color="auto"/>
              <w:left w:val="single" w:sz="8" w:space="0" w:color="auto"/>
              <w:bottom w:val="nil"/>
              <w:right w:val="single" w:sz="8" w:space="0" w:color="auto"/>
            </w:tcBorders>
            <w:noWrap/>
            <w:vAlign w:val="center"/>
            <w:hideMark/>
          </w:tcPr>
          <w:p w:rsidR="00321EE0" w:rsidRPr="00E66E30" w:rsidP="00654985" w14:paraId="6B7E6989"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2022</w:t>
            </w:r>
          </w:p>
        </w:tc>
        <w:tc>
          <w:tcPr>
            <w:tcW w:w="1290" w:type="dxa"/>
            <w:tcBorders>
              <w:top w:val="single" w:sz="8" w:space="0" w:color="auto"/>
              <w:left w:val="nil"/>
              <w:bottom w:val="nil"/>
              <w:right w:val="single" w:sz="8" w:space="0" w:color="auto"/>
            </w:tcBorders>
            <w:noWrap/>
            <w:vAlign w:val="center"/>
            <w:hideMark/>
          </w:tcPr>
          <w:p w:rsidR="00321EE0" w:rsidRPr="00E66E30" w:rsidP="00654985" w14:paraId="6BA3A746"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338</w:t>
            </w:r>
          </w:p>
        </w:tc>
      </w:tr>
      <w:tr w14:paraId="48FF8D6B" w14:textId="77777777" w:rsidTr="00654985">
        <w:tblPrEx>
          <w:tblW w:w="2420" w:type="dxa"/>
          <w:jc w:val="center"/>
          <w:tblLook w:val="04A0"/>
        </w:tblPrEx>
        <w:trPr>
          <w:trHeight w:val="300"/>
          <w:jc w:val="center"/>
        </w:trPr>
        <w:tc>
          <w:tcPr>
            <w:tcW w:w="1130" w:type="dxa"/>
            <w:tcBorders>
              <w:top w:val="nil"/>
              <w:left w:val="single" w:sz="8" w:space="0" w:color="auto"/>
              <w:bottom w:val="nil"/>
              <w:right w:val="single" w:sz="8" w:space="0" w:color="auto"/>
            </w:tcBorders>
            <w:noWrap/>
            <w:vAlign w:val="center"/>
            <w:hideMark/>
          </w:tcPr>
          <w:p w:rsidR="00321EE0" w:rsidRPr="00E66E30" w:rsidP="00654985" w14:paraId="5DEDA1A2"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2023</w:t>
            </w:r>
          </w:p>
        </w:tc>
        <w:tc>
          <w:tcPr>
            <w:tcW w:w="1290" w:type="dxa"/>
            <w:tcBorders>
              <w:top w:val="nil"/>
              <w:left w:val="nil"/>
              <w:bottom w:val="nil"/>
              <w:right w:val="single" w:sz="8" w:space="0" w:color="auto"/>
            </w:tcBorders>
            <w:noWrap/>
            <w:vAlign w:val="center"/>
            <w:hideMark/>
          </w:tcPr>
          <w:p w:rsidR="00321EE0" w:rsidRPr="00E66E30" w:rsidP="00654985" w14:paraId="005E9ED2"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273</w:t>
            </w:r>
          </w:p>
        </w:tc>
      </w:tr>
      <w:tr w14:paraId="0475EFD7" w14:textId="77777777" w:rsidTr="00654985">
        <w:tblPrEx>
          <w:tblW w:w="2420" w:type="dxa"/>
          <w:jc w:val="center"/>
          <w:tblLook w:val="04A0"/>
        </w:tblPrEx>
        <w:trPr>
          <w:trHeight w:val="315"/>
          <w:jc w:val="center"/>
        </w:trPr>
        <w:tc>
          <w:tcPr>
            <w:tcW w:w="1130" w:type="dxa"/>
            <w:tcBorders>
              <w:top w:val="nil"/>
              <w:left w:val="single" w:sz="8" w:space="0" w:color="auto"/>
              <w:bottom w:val="single" w:sz="8" w:space="0" w:color="auto"/>
              <w:right w:val="single" w:sz="8" w:space="0" w:color="auto"/>
            </w:tcBorders>
            <w:noWrap/>
            <w:vAlign w:val="center"/>
            <w:hideMark/>
          </w:tcPr>
          <w:p w:rsidR="00321EE0" w:rsidRPr="00E66E30" w:rsidP="00654985" w14:paraId="0EE12561"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2024</w:t>
            </w:r>
          </w:p>
        </w:tc>
        <w:tc>
          <w:tcPr>
            <w:tcW w:w="1290" w:type="dxa"/>
            <w:tcBorders>
              <w:top w:val="nil"/>
              <w:left w:val="nil"/>
              <w:bottom w:val="single" w:sz="8" w:space="0" w:color="auto"/>
              <w:right w:val="single" w:sz="8" w:space="0" w:color="auto"/>
            </w:tcBorders>
            <w:noWrap/>
            <w:vAlign w:val="center"/>
            <w:hideMark/>
          </w:tcPr>
          <w:p w:rsidR="00321EE0" w:rsidRPr="00E66E30" w:rsidP="00654985" w14:paraId="6E63C47D"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324</w:t>
            </w:r>
          </w:p>
        </w:tc>
      </w:tr>
      <w:tr w14:paraId="5086560E" w14:textId="77777777" w:rsidTr="00654985">
        <w:tblPrEx>
          <w:tblW w:w="2420" w:type="dxa"/>
          <w:jc w:val="center"/>
          <w:tblLook w:val="04A0"/>
        </w:tblPrEx>
        <w:trPr>
          <w:trHeight w:val="457"/>
          <w:jc w:val="center"/>
        </w:trPr>
        <w:tc>
          <w:tcPr>
            <w:tcW w:w="1130" w:type="dxa"/>
            <w:tcBorders>
              <w:top w:val="nil"/>
              <w:left w:val="single" w:sz="8" w:space="0" w:color="auto"/>
              <w:bottom w:val="single" w:sz="8" w:space="0" w:color="auto"/>
              <w:right w:val="single" w:sz="8" w:space="0" w:color="auto"/>
            </w:tcBorders>
            <w:noWrap/>
            <w:vAlign w:val="center"/>
            <w:hideMark/>
          </w:tcPr>
          <w:p w:rsidR="00321EE0" w:rsidRPr="00E66E30" w:rsidP="00654985" w14:paraId="3B7ECB78" w14:textId="77777777">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Average</w:t>
            </w:r>
          </w:p>
        </w:tc>
        <w:tc>
          <w:tcPr>
            <w:tcW w:w="1290" w:type="dxa"/>
            <w:tcBorders>
              <w:top w:val="nil"/>
              <w:left w:val="nil"/>
              <w:bottom w:val="single" w:sz="8" w:space="0" w:color="auto"/>
              <w:right w:val="single" w:sz="8" w:space="0" w:color="auto"/>
            </w:tcBorders>
            <w:noWrap/>
            <w:vAlign w:val="center"/>
            <w:hideMark/>
          </w:tcPr>
          <w:p w:rsidR="00321EE0" w:rsidRPr="00E66E30" w:rsidP="00654985" w14:paraId="0A50958F" w14:textId="6E8E6DAD">
            <w:pPr>
              <w:spacing w:after="0" w:line="240" w:lineRule="auto"/>
              <w:jc w:val="center"/>
              <w:rPr>
                <w:rFonts w:ascii="Times New Roman" w:eastAsia="Times New Roman" w:hAnsi="Times New Roman" w:cs="Times New Roman"/>
                <w:color w:val="000000"/>
              </w:rPr>
            </w:pPr>
            <w:r w:rsidRPr="00E66E30">
              <w:rPr>
                <w:rFonts w:ascii="Times New Roman" w:eastAsia="Times New Roman" w:hAnsi="Times New Roman" w:cs="Times New Roman"/>
                <w:color w:val="000000"/>
              </w:rPr>
              <w:t>312</w:t>
            </w:r>
          </w:p>
        </w:tc>
      </w:tr>
    </w:tbl>
    <w:p w:rsidR="00321EE0" w:rsidP="00F2169B" w14:paraId="36D20813" w14:textId="77777777">
      <w:pPr>
        <w:pStyle w:val="Default"/>
        <w:spacing w:after="240"/>
        <w:rPr>
          <w:color w:val="auto"/>
        </w:rPr>
      </w:pPr>
    </w:p>
    <w:p w:rsidR="00F34783" w:rsidP="00F2169B" w14:paraId="4BEEBB71" w14:textId="79FAEEE8">
      <w:pPr>
        <w:pStyle w:val="Default"/>
        <w:spacing w:after="240"/>
        <w:rPr>
          <w:color w:val="auto"/>
        </w:rPr>
      </w:pPr>
      <w:r w:rsidRPr="648C06B1">
        <w:rPr>
          <w:color w:val="auto"/>
        </w:rPr>
        <w:t xml:space="preserve">Because each respondent submits the </w:t>
      </w:r>
      <w:r w:rsidRPr="648C06B1" w:rsidR="008229FC">
        <w:rPr>
          <w:color w:val="auto"/>
        </w:rPr>
        <w:t xml:space="preserve">request one time, the number of respondents is equal to the number of responses. </w:t>
      </w:r>
      <w:r w:rsidRPr="648C06B1">
        <w:rPr>
          <w:color w:val="auto"/>
        </w:rPr>
        <w:t>ATF estimates that it takes 30 minutes to complete the form. The</w:t>
      </w:r>
      <w:r w:rsidRPr="648C06B1" w:rsidR="008D1ED2">
        <w:rPr>
          <w:color w:val="auto"/>
        </w:rPr>
        <w:t>refore,</w:t>
      </w:r>
      <w:r w:rsidRPr="648C06B1">
        <w:rPr>
          <w:color w:val="auto"/>
        </w:rPr>
        <w:t xml:space="preserve"> </w:t>
      </w:r>
      <w:r w:rsidRPr="648C06B1" w:rsidR="008229FC">
        <w:rPr>
          <w:color w:val="auto"/>
        </w:rPr>
        <w:t xml:space="preserve">the </w:t>
      </w:r>
      <w:r w:rsidRPr="648C06B1">
        <w:rPr>
          <w:color w:val="auto"/>
        </w:rPr>
        <w:t>total</w:t>
      </w:r>
      <w:r w:rsidRPr="648C06B1" w:rsidR="008229FC">
        <w:rPr>
          <w:color w:val="auto"/>
        </w:rPr>
        <w:t xml:space="preserve"> time</w:t>
      </w:r>
      <w:r w:rsidRPr="648C06B1">
        <w:rPr>
          <w:color w:val="auto"/>
        </w:rPr>
        <w:t xml:space="preserve"> burden for this information collection is </w:t>
      </w:r>
      <w:r w:rsidRPr="648C06B1" w:rsidR="00A62057">
        <w:rPr>
          <w:color w:val="auto"/>
        </w:rPr>
        <w:t>15</w:t>
      </w:r>
      <w:r w:rsidRPr="648C06B1" w:rsidR="005B3125">
        <w:rPr>
          <w:color w:val="auto"/>
        </w:rPr>
        <w:t>6</w:t>
      </w:r>
      <w:r w:rsidRPr="648C06B1" w:rsidR="0099299C">
        <w:rPr>
          <w:color w:val="auto"/>
        </w:rPr>
        <w:t xml:space="preserve"> hours</w:t>
      </w:r>
      <w:r w:rsidRPr="648C06B1" w:rsidR="00311A44">
        <w:rPr>
          <w:color w:val="auto"/>
        </w:rPr>
        <w:t>.</w:t>
      </w:r>
      <w:r w:rsidRPr="648C06B1">
        <w:rPr>
          <w:color w:val="auto"/>
        </w:rPr>
        <w:t xml:space="preserve"> </w:t>
      </w:r>
    </w:p>
    <w:p w:rsidR="0E2ECD0F" w:rsidP="648C06B1" w14:paraId="2E53181B" w14:textId="47CCAD1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Times New Roman" w:eastAsia="Times New Roman" w:hAnsi="Times New Roman" w:cs="Times New Roman"/>
          <w:color w:val="000000" w:themeColor="text1"/>
          <w:sz w:val="24"/>
          <w:szCs w:val="24"/>
        </w:rPr>
      </w:pPr>
      <w:r w:rsidRPr="648C06B1">
        <w:rPr>
          <w:rFonts w:ascii="Times New Roman" w:eastAsia="Times New Roman" w:hAnsi="Times New Roman" w:cs="Times New Roman"/>
          <w:color w:val="000000" w:themeColor="text1"/>
          <w:sz w:val="24"/>
          <w:szCs w:val="24"/>
        </w:rPr>
        <w:t xml:space="preserve">The Department estimates that the opportunity </w:t>
      </w:r>
      <w:r w:rsidRPr="648C06B1">
        <w:rPr>
          <w:rFonts w:ascii="Times New Roman" w:eastAsia="Times New Roman" w:hAnsi="Times New Roman" w:cs="Times New Roman"/>
          <w:color w:val="000000" w:themeColor="text1"/>
          <w:sz w:val="24"/>
          <w:szCs w:val="24"/>
        </w:rPr>
        <w:t>costs of</w:t>
      </w:r>
      <w:r w:rsidRPr="648C06B1">
        <w:rPr>
          <w:rFonts w:ascii="Times New Roman" w:eastAsia="Times New Roman" w:hAnsi="Times New Roman" w:cs="Times New Roman"/>
          <w:color w:val="000000" w:themeColor="text1"/>
          <w:sz w:val="24"/>
          <w:szCs w:val="24"/>
        </w:rPr>
        <w:t xml:space="preserve"> completing the required paperwork. The Department calculated the monetized value of that time using a standard wage formula. For the applicant’s rate calculation, ATF relied on a methodology developed by the Department of Health and Human Services (HHS) for calculating the hourly leisure wage. Because HHS’s methodology relies on Bureau of Labor Statistics (BLS) data that is updated </w:t>
      </w:r>
      <w:r w:rsidRPr="648C06B1">
        <w:rPr>
          <w:rFonts w:ascii="Times New Roman" w:eastAsia="Times New Roman" w:hAnsi="Times New Roman" w:cs="Times New Roman"/>
          <w:color w:val="000000" w:themeColor="text1"/>
          <w:sz w:val="24"/>
          <w:szCs w:val="24"/>
        </w:rPr>
        <w:t>on a monthly basis</w:t>
      </w:r>
      <w:r w:rsidRPr="648C06B1">
        <w:rPr>
          <w:rFonts w:ascii="Times New Roman" w:eastAsia="Times New Roman" w:hAnsi="Times New Roman" w:cs="Times New Roman"/>
          <w:color w:val="000000" w:themeColor="text1"/>
          <w:sz w:val="24"/>
          <w:szCs w:val="24"/>
        </w:rPr>
        <w:t xml:space="preserve">, we did not need to use an inflation-adjusted wage rate. Accordingly, consistent with HHS’s methodology, we used the BLS median weekly income for full-time employees as the </w:t>
      </w:r>
      <w:r w:rsidRPr="648C06B1">
        <w:rPr>
          <w:rFonts w:ascii="Times New Roman" w:eastAsia="Times New Roman" w:hAnsi="Times New Roman" w:cs="Times New Roman"/>
          <w:color w:val="000000" w:themeColor="text1"/>
          <w:sz w:val="24"/>
          <w:szCs w:val="24"/>
        </w:rPr>
        <w:t>base</w:t>
      </w:r>
      <w:r w:rsidRPr="648C06B1">
        <w:rPr>
          <w:rFonts w:ascii="Times New Roman" w:eastAsia="Times New Roman" w:hAnsi="Times New Roman" w:cs="Times New Roman"/>
          <w:color w:val="000000" w:themeColor="text1"/>
          <w:sz w:val="24"/>
          <w:szCs w:val="24"/>
        </w:rPr>
        <w:t xml:space="preserve"> for calculating the hourly wage. </w:t>
      </w:r>
      <w:r w:rsidRPr="648C06B1">
        <w:rPr>
          <w:rFonts w:ascii="Times New Roman" w:eastAsia="Times New Roman" w:hAnsi="Times New Roman" w:cs="Times New Roman"/>
          <w:color w:val="000000" w:themeColor="text1"/>
          <w:sz w:val="24"/>
          <w:szCs w:val="24"/>
        </w:rPr>
        <w:t>Based</w:t>
      </w:r>
      <w:r w:rsidRPr="648C06B1">
        <w:rPr>
          <w:rFonts w:ascii="Times New Roman" w:eastAsia="Times New Roman" w:hAnsi="Times New Roman" w:cs="Times New Roman"/>
          <w:color w:val="000000" w:themeColor="text1"/>
          <w:sz w:val="24"/>
          <w:szCs w:val="24"/>
        </w:rPr>
        <w:t xml:space="preserve"> this methodology, ATF attributes a rounded value of $23 per hour for time spent by respondents completing the application form.</w:t>
      </w:r>
    </w:p>
    <w:p w:rsidR="648C06B1" w:rsidP="648C06B1" w14:paraId="65C8239A" w14:textId="4FB25C6C">
      <w:pPr>
        <w:spacing w:after="120"/>
        <w:rPr>
          <w:rFonts w:ascii="Times New Roman" w:eastAsia="Times New Roman" w:hAnsi="Times New Roman" w:cs="Times New Roman"/>
          <w:color w:val="000000" w:themeColor="text1"/>
          <w:sz w:val="24"/>
          <w:szCs w:val="24"/>
        </w:rPr>
      </w:pPr>
    </w:p>
    <w:p w:rsidR="0E2ECD0F" w:rsidP="648C06B1" w14:paraId="0B2ED8A8" w14:textId="7DA7E4FC">
      <w:pPr>
        <w:spacing w:after="120"/>
        <w:rPr>
          <w:rFonts w:ascii="Times New Roman" w:eastAsia="Times New Roman" w:hAnsi="Times New Roman" w:cs="Times New Roman"/>
          <w:color w:val="000000" w:themeColor="text1"/>
          <w:sz w:val="24"/>
          <w:szCs w:val="24"/>
        </w:rPr>
      </w:pPr>
      <w:r w:rsidRPr="648C06B1">
        <w:rPr>
          <w:rFonts w:ascii="Times New Roman" w:eastAsia="Times New Roman" w:hAnsi="Times New Roman" w:cs="Times New Roman"/>
          <w:color w:val="000000" w:themeColor="text1"/>
          <w:sz w:val="24"/>
          <w:szCs w:val="24"/>
        </w:rPr>
        <w:t>The Department then multiplied each of the</w:t>
      </w:r>
      <w:r w:rsidRPr="648C06B1" w:rsidR="7A654F63">
        <w:rPr>
          <w:rFonts w:ascii="Times New Roman" w:eastAsia="Times New Roman" w:hAnsi="Times New Roman" w:cs="Times New Roman"/>
          <w:color w:val="000000" w:themeColor="text1"/>
          <w:sz w:val="24"/>
          <w:szCs w:val="24"/>
        </w:rPr>
        <w:t xml:space="preserve"> 156</w:t>
      </w:r>
      <w:r w:rsidRPr="648C06B1">
        <w:rPr>
          <w:rFonts w:ascii="Times New Roman" w:eastAsia="Times New Roman" w:hAnsi="Times New Roman" w:cs="Times New Roman"/>
          <w:color w:val="000000" w:themeColor="text1"/>
          <w:sz w:val="24"/>
          <w:szCs w:val="24"/>
        </w:rPr>
        <w:t xml:space="preserve"> hourly burdens by the $23 hourly wage rate to account for the value of time spent completing Form </w:t>
      </w:r>
      <w:r w:rsidRPr="648C06B1" w:rsidR="533E7F09">
        <w:rPr>
          <w:rFonts w:ascii="Times New Roman" w:eastAsia="Times New Roman" w:hAnsi="Times New Roman" w:cs="Times New Roman"/>
          <w:color w:val="000000" w:themeColor="text1"/>
          <w:sz w:val="24"/>
          <w:szCs w:val="24"/>
        </w:rPr>
        <w:t>6</w:t>
      </w:r>
      <w:r w:rsidRPr="648C06B1">
        <w:rPr>
          <w:rFonts w:ascii="Times New Roman" w:eastAsia="Times New Roman" w:hAnsi="Times New Roman" w:cs="Times New Roman"/>
          <w:color w:val="000000" w:themeColor="text1"/>
          <w:sz w:val="24"/>
          <w:szCs w:val="24"/>
        </w:rPr>
        <w:t>.</w:t>
      </w:r>
    </w:p>
    <w:p w:rsidR="648C06B1" w:rsidP="648C06B1" w14:paraId="6BD8158A" w14:textId="08880953">
      <w:pPr>
        <w:pStyle w:val="Default"/>
        <w:spacing w:after="240"/>
        <w:rPr>
          <w:color w:val="auto"/>
        </w:rPr>
      </w:pPr>
    </w:p>
    <w:p w:rsidR="00622B66" w:rsidRPr="003F73B2" w:rsidP="00322B78" w14:paraId="2D24EB11" w14:textId="75603FC8">
      <w:pPr>
        <w:spacing w:after="0" w:line="240" w:lineRule="auto"/>
        <w:jc w:val="center"/>
        <w:rPr>
          <w:rFonts w:ascii="Times New Roman" w:hAnsi="Times New Roman"/>
          <w:i/>
        </w:rPr>
      </w:pPr>
      <w:r w:rsidRPr="00D54320">
        <w:rPr>
          <w:rFonts w:ascii="Times New Roman" w:hAnsi="Times New Roman"/>
          <w:b/>
          <w:bCs/>
        </w:rPr>
        <w:t>Table</w:t>
      </w:r>
      <w:r w:rsidR="00395CEE">
        <w:rPr>
          <w:rFonts w:ascii="Times New Roman" w:hAnsi="Times New Roman"/>
          <w:b/>
          <w:bCs/>
        </w:rPr>
        <w:t xml:space="preserve"> 2</w:t>
      </w:r>
      <w:r w:rsidRPr="00D54320">
        <w:rPr>
          <w:rFonts w:ascii="Times New Roman" w:hAnsi="Times New Roman"/>
          <w:b/>
          <w:bCs/>
        </w:rPr>
        <w:t xml:space="preserve">. </w:t>
      </w:r>
      <w:r w:rsidRPr="00E60FB0">
        <w:rPr>
          <w:rFonts w:ascii="Times New Roman" w:hAnsi="Times New Roman"/>
          <w:b/>
        </w:rPr>
        <w:t xml:space="preserve">Estimated </w:t>
      </w:r>
      <w:r>
        <w:rPr>
          <w:rFonts w:ascii="Times New Roman" w:hAnsi="Times New Roman"/>
          <w:b/>
        </w:rPr>
        <w:t>a</w:t>
      </w:r>
      <w:r w:rsidRPr="00E60FB0">
        <w:rPr>
          <w:rFonts w:ascii="Times New Roman" w:hAnsi="Times New Roman"/>
          <w:b/>
        </w:rPr>
        <w:t xml:space="preserve">nnualized </w:t>
      </w:r>
      <w:r>
        <w:rPr>
          <w:rFonts w:ascii="Times New Roman" w:hAnsi="Times New Roman"/>
          <w:b/>
        </w:rPr>
        <w:t>r</w:t>
      </w:r>
      <w:r w:rsidRPr="00E60FB0">
        <w:rPr>
          <w:rFonts w:ascii="Times New Roman" w:hAnsi="Times New Roman"/>
          <w:b/>
        </w:rPr>
        <w:t xml:space="preserve">espondent </w:t>
      </w:r>
      <w:r>
        <w:rPr>
          <w:rFonts w:ascii="Times New Roman" w:hAnsi="Times New Roman"/>
          <w:b/>
        </w:rPr>
        <w:t>c</w:t>
      </w:r>
      <w:r w:rsidRPr="00E60FB0">
        <w:rPr>
          <w:rFonts w:ascii="Times New Roman" w:hAnsi="Times New Roman"/>
          <w:b/>
        </w:rPr>
        <w:t xml:space="preserve">ost and </w:t>
      </w:r>
      <w:r>
        <w:rPr>
          <w:rFonts w:ascii="Times New Roman" w:hAnsi="Times New Roman"/>
          <w:b/>
        </w:rPr>
        <w:t>h</w:t>
      </w:r>
      <w:r w:rsidRPr="00E60FB0">
        <w:rPr>
          <w:rFonts w:ascii="Times New Roman" w:hAnsi="Times New Roman"/>
          <w:b/>
        </w:rPr>
        <w:t xml:space="preserve">our </w:t>
      </w:r>
      <w:r>
        <w:rPr>
          <w:rFonts w:ascii="Times New Roman" w:hAnsi="Times New Roman"/>
          <w:b/>
        </w:rPr>
        <w:t>b</w:t>
      </w:r>
      <w:r w:rsidRPr="00E60FB0">
        <w:rPr>
          <w:rFonts w:ascii="Times New Roman" w:hAnsi="Times New Roman"/>
          <w:b/>
        </w:rPr>
        <w:t>urden</w:t>
      </w:r>
    </w:p>
    <w:tbl>
      <w:tblPr>
        <w:tblW w:w="94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8"/>
        <w:gridCol w:w="1298"/>
        <w:gridCol w:w="1060"/>
        <w:gridCol w:w="1154"/>
        <w:gridCol w:w="1047"/>
        <w:gridCol w:w="974"/>
        <w:gridCol w:w="973"/>
        <w:gridCol w:w="1067"/>
      </w:tblGrid>
      <w:tr w14:paraId="4D20DF60" w14:textId="77777777" w:rsidTr="648C06B1">
        <w:tblPrEx>
          <w:tblW w:w="94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3"/>
          <w:jc w:val="center"/>
        </w:trPr>
        <w:tc>
          <w:tcPr>
            <w:tcW w:w="189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7C5AA71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Activity</w:t>
            </w:r>
          </w:p>
        </w:tc>
        <w:tc>
          <w:tcPr>
            <w:tcW w:w="130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3CCA0FB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Number of respondents</w:t>
            </w:r>
          </w:p>
        </w:tc>
        <w:tc>
          <w:tcPr>
            <w:tcW w:w="1062"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2ECA26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Frequency</w:t>
            </w:r>
          </w:p>
        </w:tc>
        <w:tc>
          <w:tcPr>
            <w:tcW w:w="1163"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1C3C13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Total annual responses</w:t>
            </w:r>
          </w:p>
        </w:tc>
        <w:tc>
          <w:tcPr>
            <w:tcW w:w="105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47CA80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Time per response</w:t>
            </w:r>
            <w:r>
              <w:rPr>
                <w:rFonts w:ascii="Times New Roman" w:hAnsi="Times New Roman"/>
                <w:b/>
              </w:rPr>
              <w:t xml:space="preserve"> (hours)</w:t>
            </w:r>
          </w:p>
        </w:tc>
        <w:tc>
          <w:tcPr>
            <w:tcW w:w="98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622B66" w:rsidRPr="003D77F1" w14:paraId="3EB5523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Total annual burden (hours)</w:t>
            </w:r>
          </w:p>
        </w:tc>
        <w:tc>
          <w:tcPr>
            <w:tcW w:w="98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648C06B1" w:rsidP="648C06B1" w14:paraId="03FC1CD4" w14:textId="5541DDDC">
            <w:pPr>
              <w:jc w:val="center"/>
              <w:rPr>
                <w:rFonts w:ascii="Times New Roman" w:eastAsia="Calibri" w:hAnsi="Times New Roman"/>
                <w:b/>
                <w:bCs/>
                <w:color w:val="000000" w:themeColor="text1"/>
              </w:rPr>
            </w:pPr>
            <w:r w:rsidRPr="648C06B1">
              <w:rPr>
                <w:rStyle w:val="normaltextrun"/>
                <w:rFonts w:ascii="Times New Roman" w:eastAsia="Calibri" w:hAnsi="Times New Roman"/>
                <w:b/>
                <w:bCs/>
                <w:color w:val="000000" w:themeColor="text1"/>
              </w:rPr>
              <w:t>Hourly rate</w:t>
            </w:r>
          </w:p>
        </w:tc>
        <w:tc>
          <w:tcPr>
            <w:tcW w:w="98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648C06B1" w:rsidP="648C06B1" w14:paraId="1BB2044E" w14:textId="19C13358">
            <w:pPr>
              <w:jc w:val="center"/>
              <w:rPr>
                <w:rFonts w:ascii="Times New Roman" w:eastAsia="Calibri" w:hAnsi="Times New Roman"/>
                <w:b/>
                <w:bCs/>
                <w:color w:val="000000" w:themeColor="text1"/>
              </w:rPr>
            </w:pPr>
            <w:r w:rsidRPr="648C06B1">
              <w:rPr>
                <w:rStyle w:val="normaltextrun"/>
                <w:rFonts w:ascii="Times New Roman" w:eastAsia="Calibri" w:hAnsi="Times New Roman"/>
                <w:b/>
                <w:bCs/>
                <w:color w:val="000000" w:themeColor="text1"/>
              </w:rPr>
              <w:t>Monetized value of respondent time</w:t>
            </w:r>
          </w:p>
        </w:tc>
      </w:tr>
      <w:tr w14:paraId="1F7CEE09" w14:textId="77777777" w:rsidTr="00BB1043">
        <w:tblPrEx>
          <w:tblW w:w="9431" w:type="dxa"/>
          <w:jc w:val="center"/>
          <w:tblCellMar>
            <w:left w:w="0" w:type="dxa"/>
            <w:right w:w="0" w:type="dxa"/>
          </w:tblCellMar>
          <w:tblLook w:val="04A0"/>
        </w:tblPrEx>
        <w:trPr>
          <w:trHeight w:val="313"/>
          <w:jc w:val="center"/>
        </w:trPr>
        <w:tc>
          <w:tcPr>
            <w:tcW w:w="1895" w:type="dxa"/>
            <w:tcBorders>
              <w:top w:val="single" w:sz="6" w:space="0" w:color="auto"/>
              <w:left w:val="single" w:sz="6" w:space="0" w:color="auto"/>
              <w:bottom w:val="single" w:sz="6" w:space="0" w:color="auto"/>
              <w:right w:val="single" w:sz="6" w:space="0" w:color="auto"/>
            </w:tcBorders>
            <w:vAlign w:val="center"/>
          </w:tcPr>
          <w:p w:rsidR="00622B66" w:rsidRPr="003F73B2" w:rsidP="00BB1043" w14:paraId="0A976641" w14:textId="6F43AB4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color w:val="000000" w:themeColor="text1"/>
              </w:rPr>
              <w:t>Complete and submit Form 6 – Part II</w:t>
            </w:r>
          </w:p>
        </w:tc>
        <w:tc>
          <w:tcPr>
            <w:tcW w:w="1304" w:type="dxa"/>
            <w:tcBorders>
              <w:top w:val="single" w:sz="6" w:space="0" w:color="auto"/>
              <w:left w:val="single" w:sz="6" w:space="0" w:color="auto"/>
              <w:bottom w:val="single" w:sz="6" w:space="0" w:color="auto"/>
              <w:right w:val="single" w:sz="6" w:space="0" w:color="auto"/>
            </w:tcBorders>
            <w:vAlign w:val="center"/>
          </w:tcPr>
          <w:p w:rsidR="00622B66" w:rsidRPr="003F73B2" w:rsidP="00BB1043" w14:paraId="6D3A71F9" w14:textId="7A5E1DB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31</w:t>
            </w:r>
            <w:r w:rsidR="005832DF">
              <w:rPr>
                <w:rFonts w:ascii="Times New Roman" w:hAnsi="Times New Roman"/>
              </w:rPr>
              <w:t>2</w:t>
            </w:r>
          </w:p>
        </w:tc>
        <w:tc>
          <w:tcPr>
            <w:tcW w:w="1062" w:type="dxa"/>
            <w:tcBorders>
              <w:top w:val="single" w:sz="6" w:space="0" w:color="auto"/>
              <w:left w:val="single" w:sz="6" w:space="0" w:color="auto"/>
              <w:bottom w:val="single" w:sz="6" w:space="0" w:color="auto"/>
              <w:right w:val="single" w:sz="6" w:space="0" w:color="auto"/>
            </w:tcBorders>
            <w:vAlign w:val="center"/>
          </w:tcPr>
          <w:p w:rsidR="00622B66" w:rsidRPr="003F73B2" w:rsidP="00BB1043" w14:paraId="76335DA8" w14:textId="3B6FED3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163" w:type="dxa"/>
            <w:tcBorders>
              <w:top w:val="single" w:sz="6" w:space="0" w:color="auto"/>
              <w:left w:val="single" w:sz="6" w:space="0" w:color="auto"/>
              <w:bottom w:val="single" w:sz="6" w:space="0" w:color="auto"/>
              <w:right w:val="single" w:sz="6" w:space="0" w:color="auto"/>
            </w:tcBorders>
            <w:vAlign w:val="center"/>
          </w:tcPr>
          <w:p w:rsidR="00622B66" w:rsidRPr="003F73B2" w:rsidP="00BB1043" w14:paraId="2B9CEE25" w14:textId="0EAC8F5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31</w:t>
            </w:r>
            <w:r w:rsidR="005832DF">
              <w:rPr>
                <w:rFonts w:ascii="Times New Roman" w:hAnsi="Times New Roman"/>
              </w:rPr>
              <w:t>2</w:t>
            </w:r>
          </w:p>
        </w:tc>
        <w:tc>
          <w:tcPr>
            <w:tcW w:w="1055" w:type="dxa"/>
            <w:tcBorders>
              <w:top w:val="single" w:sz="6" w:space="0" w:color="auto"/>
              <w:left w:val="single" w:sz="6" w:space="0" w:color="auto"/>
              <w:bottom w:val="single" w:sz="6" w:space="0" w:color="auto"/>
              <w:right w:val="single" w:sz="6" w:space="0" w:color="auto"/>
            </w:tcBorders>
            <w:vAlign w:val="center"/>
          </w:tcPr>
          <w:p w:rsidR="00622B66" w:rsidRPr="003F73B2" w:rsidP="00BB1043" w14:paraId="52EE61A9" w14:textId="0A976ADD">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2861C87">
              <w:rPr>
                <w:rFonts w:ascii="Times New Roman" w:hAnsi="Times New Roman"/>
              </w:rPr>
              <w:t>0.</w:t>
            </w:r>
            <w:r w:rsidR="009D7B30">
              <w:rPr>
                <w:rFonts w:ascii="Times New Roman" w:hAnsi="Times New Roman"/>
              </w:rPr>
              <w:t>5</w:t>
            </w:r>
          </w:p>
        </w:tc>
        <w:tc>
          <w:tcPr>
            <w:tcW w:w="984" w:type="dxa"/>
            <w:tcBorders>
              <w:top w:val="single" w:sz="6" w:space="0" w:color="auto"/>
              <w:left w:val="single" w:sz="6" w:space="0" w:color="auto"/>
              <w:bottom w:val="single" w:sz="6" w:space="0" w:color="auto"/>
              <w:right w:val="single" w:sz="6" w:space="0" w:color="auto"/>
            </w:tcBorders>
            <w:vAlign w:val="center"/>
          </w:tcPr>
          <w:p w:rsidR="00622B66" w:rsidRPr="00970E1B" w:rsidP="00BB1043" w14:paraId="1E257EC4" w14:textId="3EF8EE52">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648C06B1">
              <w:rPr>
                <w:rFonts w:ascii="Times New Roman" w:hAnsi="Times New Roman"/>
              </w:rPr>
              <w:t>15</w:t>
            </w:r>
            <w:r w:rsidRPr="648C06B1" w:rsidR="007D5E5C">
              <w:rPr>
                <w:rFonts w:ascii="Times New Roman" w:hAnsi="Times New Roman"/>
              </w:rPr>
              <w:t>6</w:t>
            </w:r>
          </w:p>
        </w:tc>
        <w:tc>
          <w:tcPr>
            <w:tcW w:w="984" w:type="dxa"/>
            <w:tcBorders>
              <w:top w:val="single" w:sz="6" w:space="0" w:color="auto"/>
              <w:left w:val="single" w:sz="6" w:space="0" w:color="auto"/>
              <w:bottom w:val="single" w:sz="6" w:space="0" w:color="auto"/>
              <w:right w:val="single" w:sz="6" w:space="0" w:color="auto"/>
            </w:tcBorders>
            <w:vAlign w:val="center"/>
          </w:tcPr>
          <w:p w:rsidR="648C06B1" w:rsidP="00BB1043" w14:paraId="0DE71797" w14:textId="3BD2BCFE">
            <w:pPr>
              <w:jc w:val="center"/>
              <w:rPr>
                <w:rFonts w:ascii="Times New Roman" w:eastAsia="Calibri" w:hAnsi="Times New Roman"/>
                <w:color w:val="000000" w:themeColor="text1"/>
              </w:rPr>
            </w:pPr>
            <w:r w:rsidRPr="648C06B1">
              <w:rPr>
                <w:rStyle w:val="eop"/>
                <w:rFonts w:ascii="Times New Roman" w:eastAsia="Calibri" w:hAnsi="Times New Roman"/>
                <w:color w:val="000000" w:themeColor="text1"/>
              </w:rPr>
              <w:t>$23</w:t>
            </w:r>
          </w:p>
        </w:tc>
        <w:tc>
          <w:tcPr>
            <w:tcW w:w="984" w:type="dxa"/>
            <w:tcBorders>
              <w:top w:val="single" w:sz="6" w:space="0" w:color="auto"/>
              <w:left w:val="single" w:sz="6" w:space="0" w:color="auto"/>
              <w:bottom w:val="single" w:sz="6" w:space="0" w:color="auto"/>
              <w:right w:val="single" w:sz="6" w:space="0" w:color="auto"/>
            </w:tcBorders>
            <w:vAlign w:val="center"/>
          </w:tcPr>
          <w:p w:rsidR="648C06B1" w:rsidP="00BB1043" w14:paraId="7339B35C" w14:textId="3226792B">
            <w:pPr>
              <w:jc w:val="center"/>
              <w:rPr>
                <w:rStyle w:val="eop"/>
                <w:rFonts w:ascii="Times New Roman" w:eastAsia="Calibri" w:hAnsi="Times New Roman"/>
                <w:color w:val="000000" w:themeColor="text1"/>
              </w:rPr>
            </w:pPr>
            <w:r w:rsidRPr="648C06B1">
              <w:rPr>
                <w:rStyle w:val="eop"/>
                <w:rFonts w:ascii="Times New Roman" w:eastAsia="Calibri" w:hAnsi="Times New Roman"/>
                <w:color w:val="000000" w:themeColor="text1"/>
              </w:rPr>
              <w:t>$3,</w:t>
            </w:r>
            <w:r w:rsidRPr="648C06B1" w:rsidR="0AB758A9">
              <w:rPr>
                <w:rStyle w:val="eop"/>
                <w:rFonts w:ascii="Times New Roman" w:eastAsia="Calibri" w:hAnsi="Times New Roman"/>
                <w:color w:val="000000" w:themeColor="text1"/>
              </w:rPr>
              <w:t>588</w:t>
            </w:r>
          </w:p>
        </w:tc>
      </w:tr>
    </w:tbl>
    <w:p w:rsidR="00622B66" w:rsidRPr="006F1D3D" w:rsidP="006F1D3D" w14:paraId="26C66FCF" w14:textId="582915D6">
      <w:pPr>
        <w:spacing w:before="240" w:after="240"/>
      </w:pPr>
    </w:p>
    <w:p w:rsidR="00622B66" w:rsidRPr="006F1D3D" w:rsidP="648C06B1" w14:paraId="3A7DE700" w14:textId="14622084">
      <w:pPr>
        <w:spacing w:after="120"/>
        <w:rPr>
          <w:rFonts w:ascii="Times New Roman" w:hAnsi="Times New Roman"/>
          <w:color w:val="000000" w:themeColor="text1"/>
        </w:rPr>
      </w:pPr>
      <w:r w:rsidRPr="648C06B1">
        <w:rPr>
          <w:rFonts w:ascii="Times New Roman" w:eastAsia="Times New Roman" w:hAnsi="Times New Roman" w:cs="Times New Roman"/>
          <w:color w:val="000000" w:themeColor="text1"/>
          <w:sz w:val="24"/>
          <w:szCs w:val="24"/>
        </w:rPr>
        <w:t xml:space="preserve">The total monetized value of the time burden associated with this collection is $3,588 (156 total hours * $23 per hour). </w:t>
      </w:r>
      <w:r w:rsidRPr="648C06B1">
        <w:rPr>
          <w:rFonts w:eastAsiaTheme="minorEastAsia"/>
          <w:color w:val="000000" w:themeColor="text1"/>
          <w:sz w:val="24"/>
          <w:szCs w:val="24"/>
        </w:rPr>
        <w:t>Over the three-ye</w:t>
      </w:r>
      <w:r w:rsidRPr="648C06B1">
        <w:rPr>
          <w:rFonts w:ascii="Times New Roman" w:hAnsi="Times New Roman"/>
          <w:color w:val="000000" w:themeColor="text1"/>
        </w:rPr>
        <w:t xml:space="preserve">ar renewal period for this ICR, the time burden (due to annual collections and notices) would be </w:t>
      </w:r>
      <w:r w:rsidRPr="648C06B1" w:rsidR="0094460F">
        <w:rPr>
          <w:rFonts w:ascii="Times New Roman" w:hAnsi="Times New Roman"/>
          <w:color w:val="000000" w:themeColor="text1"/>
        </w:rPr>
        <w:t>46</w:t>
      </w:r>
      <w:r w:rsidRPr="648C06B1" w:rsidR="007D5E5C">
        <w:rPr>
          <w:rFonts w:ascii="Times New Roman" w:hAnsi="Times New Roman"/>
          <w:color w:val="000000" w:themeColor="text1"/>
        </w:rPr>
        <w:t>8</w:t>
      </w:r>
      <w:r w:rsidRPr="648C06B1">
        <w:rPr>
          <w:rFonts w:ascii="Times New Roman" w:hAnsi="Times New Roman"/>
          <w:color w:val="000000" w:themeColor="text1"/>
        </w:rPr>
        <w:t xml:space="preserve"> hours, </w:t>
      </w:r>
      <w:r w:rsidRPr="648C06B1" w:rsidR="00654820">
        <w:rPr>
          <w:rFonts w:ascii="Times New Roman" w:hAnsi="Times New Roman"/>
          <w:color w:val="000000" w:themeColor="text1"/>
        </w:rPr>
        <w:t>based on</w:t>
      </w:r>
      <w:r w:rsidRPr="648C06B1">
        <w:rPr>
          <w:rFonts w:ascii="Times New Roman" w:hAnsi="Times New Roman"/>
          <w:color w:val="000000" w:themeColor="text1"/>
        </w:rPr>
        <w:t xml:space="preserve"> an annual time burden of </w:t>
      </w:r>
      <w:r w:rsidRPr="648C06B1" w:rsidR="00D64FAA">
        <w:rPr>
          <w:rFonts w:ascii="Times New Roman" w:hAnsi="Times New Roman"/>
          <w:color w:val="000000" w:themeColor="text1"/>
        </w:rPr>
        <w:t>15</w:t>
      </w:r>
      <w:r w:rsidRPr="648C06B1" w:rsidR="007D5E5C">
        <w:rPr>
          <w:rFonts w:ascii="Times New Roman" w:hAnsi="Times New Roman"/>
          <w:color w:val="000000" w:themeColor="text1"/>
        </w:rPr>
        <w:t>6</w:t>
      </w:r>
      <w:r w:rsidRPr="648C06B1">
        <w:rPr>
          <w:rFonts w:ascii="Times New Roman" w:hAnsi="Times New Roman"/>
          <w:color w:val="000000" w:themeColor="text1"/>
        </w:rPr>
        <w:t xml:space="preserve"> hours. </w:t>
      </w:r>
    </w:p>
    <w:p w:rsidR="0004614A" w:rsidRPr="0061799F" w:rsidP="00F2169B" w14:paraId="4BC751C2" w14:textId="5E75826E">
      <w:pPr>
        <w:pStyle w:val="Default"/>
        <w:spacing w:after="240"/>
        <w:rPr>
          <w:b/>
          <w:bCs/>
          <w:color w:val="auto"/>
        </w:rPr>
      </w:pPr>
      <w:r>
        <w:rPr>
          <w:b/>
          <w:bCs/>
          <w:color w:val="auto"/>
        </w:rPr>
        <w:t xml:space="preserve">13. Provide an </w:t>
      </w:r>
      <w:r w:rsidR="001D3588">
        <w:rPr>
          <w:b/>
          <w:bCs/>
          <w:color w:val="auto"/>
        </w:rPr>
        <w:t>estimate</w:t>
      </w:r>
      <w:r>
        <w:rPr>
          <w:b/>
          <w:bCs/>
          <w:color w:val="auto"/>
        </w:rPr>
        <w:t xml:space="preserve"> of the total annual cost burden to respondents or recordkeepers resulting from the information collection. (Do not include the cost of any hour burden shown in Items 12 and 14</w:t>
      </w:r>
      <w:r w:rsidR="001D3588">
        <w:rPr>
          <w:b/>
          <w:bCs/>
          <w:color w:val="auto"/>
        </w:rPr>
        <w:t>).</w:t>
      </w:r>
    </w:p>
    <w:p w:rsidR="00F34783" w:rsidRPr="007312E2" w:rsidP="00F2169B" w14:paraId="2099CBAC" w14:textId="5CCAC04E">
      <w:pPr>
        <w:pStyle w:val="Default"/>
        <w:spacing w:after="240"/>
        <w:rPr>
          <w:color w:val="auto"/>
        </w:rPr>
      </w:pPr>
      <w:r w:rsidRPr="00222852">
        <w:rPr>
          <w:color w:val="auto"/>
        </w:rPr>
        <w:t>There are no additional costs associated with this information collection. </w:t>
      </w:r>
      <w:r w:rsidRPr="29CD2E11" w:rsidR="3FE8A469">
        <w:rPr>
          <w:color w:val="auto"/>
        </w:rPr>
        <w:t xml:space="preserve"> </w:t>
      </w:r>
    </w:p>
    <w:p w:rsidR="00F32B1E" w:rsidRPr="00F32B1E" w:rsidP="00F2169B" w14:paraId="6B94AFE2" w14:textId="1CD84CB2">
      <w:pPr>
        <w:pStyle w:val="Default"/>
        <w:spacing w:after="240"/>
        <w:contextualSpacing/>
        <w:rPr>
          <w:b/>
          <w:bCs/>
          <w:color w:val="auto"/>
        </w:rPr>
      </w:pPr>
      <w:r>
        <w:rPr>
          <w:b/>
          <w:bCs/>
          <w:color w:val="auto"/>
        </w:rPr>
        <w:t>14. Provide estimates of the annualized cost to the federal government.</w:t>
      </w:r>
    </w:p>
    <w:p w:rsidR="00F32B1E" w:rsidP="00F2169B" w14:paraId="632F00C4" w14:textId="77777777">
      <w:pPr>
        <w:pStyle w:val="Default"/>
        <w:spacing w:after="240"/>
        <w:contextualSpacing/>
        <w:rPr>
          <w:color w:val="auto"/>
        </w:rPr>
      </w:pPr>
    </w:p>
    <w:p w:rsidR="0099299C" w:rsidRPr="007312E2" w:rsidP="00F2169B" w14:paraId="0722B136" w14:textId="48D535F6">
      <w:pPr>
        <w:pStyle w:val="Default"/>
        <w:spacing w:after="240"/>
        <w:contextualSpacing/>
        <w:rPr>
          <w:color w:val="auto"/>
        </w:rPr>
      </w:pPr>
      <w:r w:rsidRPr="00F861E0">
        <w:rPr>
          <w:color w:val="auto"/>
        </w:rPr>
        <w:t xml:space="preserve">There are no </w:t>
      </w:r>
      <w:r>
        <w:rPr>
          <w:color w:val="auto"/>
        </w:rPr>
        <w:t xml:space="preserve">additional </w:t>
      </w:r>
      <w:r w:rsidRPr="00F861E0">
        <w:rPr>
          <w:color w:val="auto"/>
        </w:rPr>
        <w:t>costs to the federal government.</w:t>
      </w:r>
    </w:p>
    <w:p w:rsidR="29CD2E11" w:rsidP="29CD2E11" w14:paraId="3DC34F2C" w14:textId="612FB82E">
      <w:pPr>
        <w:pStyle w:val="Default"/>
        <w:spacing w:after="240"/>
        <w:contextualSpacing/>
        <w:rPr>
          <w:color w:val="auto"/>
        </w:rPr>
      </w:pPr>
    </w:p>
    <w:p w:rsidR="00F32B1E" w:rsidRPr="00F32B1E" w:rsidP="00F2169B" w14:paraId="2F325AC2" w14:textId="11317A32">
      <w:pPr>
        <w:pStyle w:val="Default"/>
        <w:spacing w:after="240"/>
        <w:rPr>
          <w:b/>
          <w:bCs/>
          <w:color w:val="auto"/>
        </w:rPr>
      </w:pPr>
      <w:r>
        <w:rPr>
          <w:b/>
          <w:bCs/>
          <w:color w:val="auto"/>
        </w:rPr>
        <w:t>15.</w:t>
      </w:r>
      <w:r w:rsidR="004F273E">
        <w:rPr>
          <w:b/>
          <w:bCs/>
          <w:color w:val="auto"/>
        </w:rPr>
        <w:t xml:space="preserve"> Explain the reasons for any program changes or adjustments.</w:t>
      </w:r>
    </w:p>
    <w:p w:rsidR="006C0909" w:rsidRPr="007312E2" w:rsidP="00F2169B" w14:paraId="4B027606" w14:textId="25E6CF16">
      <w:pPr>
        <w:pStyle w:val="Default"/>
        <w:spacing w:after="240"/>
        <w:rPr>
          <w:color w:val="auto"/>
        </w:rPr>
      </w:pPr>
      <w:r w:rsidRPr="056B7B32">
        <w:rPr>
          <w:color w:val="auto"/>
        </w:rPr>
        <w:t>There are no program changes or adjustments associated with this information collection.</w:t>
      </w:r>
      <w:r w:rsidRPr="056B7B32" w:rsidR="00D0627C">
        <w:rPr>
          <w:color w:val="auto"/>
        </w:rPr>
        <w:t xml:space="preserve"> </w:t>
      </w:r>
      <w:r w:rsidRPr="056B7B32" w:rsidR="08746F6D">
        <w:rPr>
          <w:color w:val="auto"/>
        </w:rPr>
        <w:t xml:space="preserve">However, the number of respondents has decreased since the last renewal, from </w:t>
      </w:r>
      <w:r w:rsidRPr="056B7B32" w:rsidR="00395CEE">
        <w:rPr>
          <w:color w:val="auto"/>
        </w:rPr>
        <w:t xml:space="preserve">400 down to 312 </w:t>
      </w:r>
      <w:r w:rsidRPr="056B7B32" w:rsidR="47E628C8">
        <w:rPr>
          <w:color w:val="auto"/>
        </w:rPr>
        <w:t>per year, a decrease of 88. This has also resulted in a decrease in the t</w:t>
      </w:r>
      <w:r w:rsidRPr="056B7B32" w:rsidR="11F222E0">
        <w:rPr>
          <w:color w:val="auto"/>
        </w:rPr>
        <w:t xml:space="preserve">otal hourly burden </w:t>
      </w:r>
      <w:r w:rsidRPr="056B7B32" w:rsidR="008229FC">
        <w:rPr>
          <w:color w:val="auto"/>
        </w:rPr>
        <w:t xml:space="preserve">from 200 to </w:t>
      </w:r>
      <w:r w:rsidRPr="056B7B32" w:rsidR="005B3125">
        <w:rPr>
          <w:color w:val="auto"/>
        </w:rPr>
        <w:t>156</w:t>
      </w:r>
      <w:r w:rsidRPr="056B7B32" w:rsidR="008229FC">
        <w:rPr>
          <w:color w:val="auto"/>
        </w:rPr>
        <w:t xml:space="preserve"> </w:t>
      </w:r>
      <w:r w:rsidRPr="056B7B32" w:rsidR="1D7E9E00">
        <w:rPr>
          <w:color w:val="auto"/>
        </w:rPr>
        <w:t>total annual hours</w:t>
      </w:r>
      <w:r w:rsidRPr="056B7B32" w:rsidR="008229FC">
        <w:rPr>
          <w:color w:val="auto"/>
        </w:rPr>
        <w:t>.</w:t>
      </w:r>
    </w:p>
    <w:p w:rsidR="004F273E" w:rsidRPr="004F273E" w:rsidP="00F2169B" w14:paraId="2AD3504B" w14:textId="6DC9CBD4">
      <w:pPr>
        <w:pStyle w:val="Default"/>
        <w:spacing w:after="240"/>
        <w:rPr>
          <w:b/>
          <w:bCs/>
          <w:color w:val="auto"/>
        </w:rPr>
      </w:pPr>
      <w:r>
        <w:rPr>
          <w:b/>
          <w:bCs/>
          <w:color w:val="auto"/>
        </w:rPr>
        <w:t>16. For information collections whose results will be published, outline plans for tabulations and publication.</w:t>
      </w:r>
    </w:p>
    <w:p w:rsidR="00F34783" w:rsidRPr="007312E2" w:rsidP="00F2169B" w14:paraId="3876A896" w14:textId="3007C14F">
      <w:pPr>
        <w:pStyle w:val="Default"/>
        <w:spacing w:after="240"/>
        <w:rPr>
          <w:color w:val="auto"/>
        </w:rPr>
      </w:pPr>
      <w:r>
        <w:rPr>
          <w:color w:val="auto"/>
        </w:rPr>
        <w:t>ATF will not publish the results of the collection</w:t>
      </w:r>
      <w:r w:rsidRPr="007312E2">
        <w:rPr>
          <w:color w:val="auto"/>
        </w:rPr>
        <w:t xml:space="preserve">. </w:t>
      </w:r>
    </w:p>
    <w:p w:rsidR="004F273E" w:rsidRPr="004F273E" w:rsidP="00F2169B" w14:paraId="3342B940" w14:textId="38316E80">
      <w:pPr>
        <w:pStyle w:val="Default"/>
        <w:spacing w:after="240"/>
        <w:rPr>
          <w:b/>
          <w:bCs/>
          <w:color w:val="auto"/>
        </w:rPr>
      </w:pPr>
      <w:r>
        <w:rPr>
          <w:b/>
          <w:bCs/>
          <w:color w:val="auto"/>
        </w:rPr>
        <w:t>17.</w:t>
      </w:r>
      <w:r w:rsidR="003567CD">
        <w:rPr>
          <w:b/>
          <w:bCs/>
          <w:color w:val="auto"/>
        </w:rPr>
        <w:t xml:space="preserve"> If seeking approval to not display the expiration date for OMB approval of the information collection, explain the reasons that display would be inappropriate.</w:t>
      </w:r>
    </w:p>
    <w:p w:rsidR="00F34783" w:rsidRPr="007312E2" w:rsidP="00F2169B" w14:paraId="3B2E4541" w14:textId="5F8AB5F7">
      <w:pPr>
        <w:pStyle w:val="Default"/>
        <w:spacing w:after="240"/>
        <w:rPr>
          <w:color w:val="auto"/>
        </w:rPr>
      </w:pPr>
      <w:r w:rsidRPr="007312E2">
        <w:rPr>
          <w:color w:val="auto"/>
        </w:rPr>
        <w:t xml:space="preserve">ATF </w:t>
      </w:r>
      <w:r w:rsidR="009837F7">
        <w:rPr>
          <w:color w:val="auto"/>
        </w:rPr>
        <w:t>intends to display the OMB expiration date for this information collection</w:t>
      </w:r>
      <w:r w:rsidRPr="007312E2">
        <w:rPr>
          <w:color w:val="auto"/>
        </w:rPr>
        <w:t xml:space="preserve">. </w:t>
      </w:r>
    </w:p>
    <w:p w:rsidR="003567CD" w:rsidRPr="00551197" w:rsidP="00F2169B" w14:paraId="15B70455" w14:textId="1E61AB56">
      <w:pPr>
        <w:pStyle w:val="Default"/>
        <w:spacing w:after="240"/>
        <w:rPr>
          <w:b/>
          <w:bCs/>
          <w:color w:val="auto"/>
        </w:rPr>
      </w:pPr>
      <w:r>
        <w:rPr>
          <w:b/>
          <w:bCs/>
          <w:color w:val="auto"/>
        </w:rPr>
        <w:t>18. Explain each exception to the certification statement.</w:t>
      </w:r>
    </w:p>
    <w:p w:rsidR="00F34783" w:rsidRPr="007312E2" w:rsidP="00F2169B" w14:paraId="67196649" w14:textId="0D827C96">
      <w:pPr>
        <w:pStyle w:val="Default"/>
        <w:spacing w:after="240"/>
        <w:rPr>
          <w:color w:val="auto"/>
        </w:rPr>
      </w:pPr>
      <w:r>
        <w:rPr>
          <w:color w:val="auto"/>
        </w:rPr>
        <w:t>This information collection does not include any exceptions to the certification statement</w:t>
      </w:r>
      <w:r w:rsidRPr="007312E2">
        <w:rPr>
          <w:color w:val="auto"/>
        </w:rPr>
        <w:t xml:space="preserve">. </w:t>
      </w:r>
    </w:p>
    <w:p w:rsidR="008365DD" w:rsidP="008365DD" w14:paraId="5CEB25E6" w14:textId="77777777">
      <w:pPr>
        <w:pStyle w:val="Default"/>
        <w:tabs>
          <w:tab w:val="left" w:pos="450"/>
        </w:tabs>
        <w:spacing w:line="480" w:lineRule="auto"/>
        <w:rPr>
          <w:b/>
          <w:color w:val="auto"/>
        </w:rPr>
      </w:pPr>
      <w:r>
        <w:rPr>
          <w:b/>
          <w:color w:val="auto"/>
        </w:rPr>
        <w:t>B.</w:t>
      </w:r>
      <w:r w:rsidR="006F1D3D">
        <w:rPr>
          <w:b/>
          <w:color w:val="auto"/>
        </w:rPr>
        <w:tab/>
      </w:r>
      <w:r>
        <w:rPr>
          <w:b/>
          <w:color w:val="auto"/>
        </w:rPr>
        <w:t>INFORMATION COLLECTIONS EMPLOYING STATISTICAL METHODS.</w:t>
      </w:r>
    </w:p>
    <w:p w:rsidR="00F34783" w:rsidRPr="008365DD" w:rsidP="008365DD" w14:paraId="5475F2E2" w14:textId="5DE95EEA">
      <w:pPr>
        <w:pStyle w:val="Default"/>
        <w:tabs>
          <w:tab w:val="left" w:pos="450"/>
        </w:tabs>
        <w:spacing w:line="480" w:lineRule="auto"/>
        <w:rPr>
          <w:b/>
          <w:color w:val="auto"/>
        </w:rPr>
      </w:pPr>
      <w:r w:rsidRPr="00551197">
        <w:rPr>
          <w:bCs/>
          <w:color w:val="auto"/>
        </w:rPr>
        <w:t xml:space="preserve">This </w:t>
      </w:r>
      <w:r w:rsidR="00497D02">
        <w:rPr>
          <w:bCs/>
          <w:color w:val="auto"/>
        </w:rPr>
        <w:t>collection does not employ statistical methods</w:t>
      </w:r>
      <w:r w:rsidRPr="00551197" w:rsidR="00497D02">
        <w:rPr>
          <w:bCs/>
          <w:color w:val="auto"/>
        </w:rPr>
        <w:t>.</w:t>
      </w:r>
      <w:r w:rsidRPr="00551197" w:rsidR="00497D02">
        <w:rPr>
          <w:bCs/>
          <w:color w:val="auto"/>
          <w:sz w:val="22"/>
          <w:szCs w:val="22"/>
        </w:rPr>
        <w:t xml:space="preserve"> </w:t>
      </w:r>
    </w:p>
    <w:sectPr w:rsidSect="00E73083">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434467"/>
      <w:docPartObj>
        <w:docPartGallery w:val="Page Numbers (Bottom of Page)"/>
        <w:docPartUnique/>
      </w:docPartObj>
    </w:sdtPr>
    <w:sdtEndPr>
      <w:rPr>
        <w:noProof/>
      </w:rPr>
    </w:sdtEndPr>
    <w:sdtContent>
      <w:p w:rsidR="00556036" w14:paraId="45755654" w14:textId="77777777">
        <w:pPr>
          <w:pStyle w:val="Footer"/>
          <w:jc w:val="center"/>
        </w:pPr>
        <w:r>
          <w:fldChar w:fldCharType="begin"/>
        </w:r>
        <w:r>
          <w:instrText xml:space="preserve"> PAGE   \* MERGEFORMAT </w:instrText>
        </w:r>
        <w:r>
          <w:fldChar w:fldCharType="separate"/>
        </w:r>
        <w:r w:rsidR="00F71E79">
          <w:rPr>
            <w:noProof/>
          </w:rPr>
          <w:t>2</w:t>
        </w:r>
        <w:r>
          <w:rPr>
            <w:noProof/>
          </w:rPr>
          <w:fldChar w:fldCharType="end"/>
        </w:r>
      </w:p>
    </w:sdtContent>
  </w:sdt>
  <w:p w:rsidR="00556036" w14:paraId="417D9E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184" w:rsidRPr="00D31DF2" w14:paraId="585C9AD5" w14:textId="01F034BB">
    <w:pPr>
      <w:pStyle w:val="Header"/>
      <w:rPr>
        <w:rFonts w:ascii="Times New Roman" w:hAnsi="Times New Roman" w:cs="Times New Roman"/>
        <w:sz w:val="20"/>
        <w:szCs w:val="20"/>
      </w:rPr>
    </w:pPr>
    <w:r w:rsidRPr="00D31DF2">
      <w:rPr>
        <w:rFonts w:ascii="Times New Roman" w:hAnsi="Times New Roman" w:cs="Times New Roman"/>
        <w:sz w:val="20"/>
        <w:szCs w:val="20"/>
      </w:rPr>
      <w:t>Application and Permit for Importation of Firearms, Ammunition and Defense Articles</w:t>
    </w:r>
  </w:p>
  <w:p w:rsidR="00091DDC" w:rsidRPr="00D31DF2" w14:paraId="16667B54" w14:textId="7F6D22D2">
    <w:pPr>
      <w:pStyle w:val="Header"/>
      <w:rPr>
        <w:rFonts w:ascii="Times New Roman" w:hAnsi="Times New Roman" w:cs="Times New Roman"/>
        <w:sz w:val="20"/>
        <w:szCs w:val="20"/>
      </w:rPr>
    </w:pPr>
    <w:r w:rsidRPr="00D31DF2">
      <w:rPr>
        <w:rFonts w:ascii="Times New Roman" w:hAnsi="Times New Roman" w:cs="Times New Roman"/>
        <w:sz w:val="20"/>
        <w:szCs w:val="20"/>
      </w:rPr>
      <w:t>OMB Control Number</w:t>
    </w:r>
    <w:r w:rsidRPr="00D31DF2" w:rsidR="000F1470">
      <w:rPr>
        <w:rFonts w:ascii="Times New Roman" w:hAnsi="Times New Roman" w:cs="Times New Roman"/>
        <w:sz w:val="20"/>
        <w:szCs w:val="20"/>
      </w:rPr>
      <w:t xml:space="preserve"> 1140-0006</w:t>
    </w:r>
  </w:p>
  <w:p w:rsidR="009C0B62" w:rsidRPr="00D31DF2" w14:paraId="2EFC1B2D" w14:textId="7DD8F9C6">
    <w:pPr>
      <w:pStyle w:val="Header"/>
      <w:rPr>
        <w:rFonts w:ascii="Times New Roman" w:hAnsi="Times New Roman" w:cs="Times New Roman"/>
        <w:sz w:val="20"/>
        <w:szCs w:val="20"/>
      </w:rPr>
    </w:pPr>
    <w:r w:rsidRPr="00D31DF2">
      <w:rPr>
        <w:rFonts w:ascii="Times New Roman" w:hAnsi="Times New Roman" w:cs="Times New Roman"/>
        <w:sz w:val="20"/>
        <w:szCs w:val="20"/>
      </w:rPr>
      <w:t xml:space="preserve">OMB Expiration Date: </w:t>
    </w:r>
    <w:r w:rsidRPr="00D31DF2" w:rsidR="00DD46D4">
      <w:rPr>
        <w:rFonts w:ascii="Times New Roman" w:hAnsi="Times New Roman" w:cs="Times New Roman"/>
        <w:sz w:val="20"/>
        <w:szCs w:val="20"/>
      </w:rPr>
      <w:t>11/30/2025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DE24F8"/>
    <w:multiLevelType w:val="hybridMultilevel"/>
    <w:tmpl w:val="C16B132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815CC7"/>
    <w:multiLevelType w:val="hybridMultilevel"/>
    <w:tmpl w:val="D3D29EB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8919B0"/>
    <w:multiLevelType w:val="hybridMultilevel"/>
    <w:tmpl w:val="03D0BFB4"/>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B3F81"/>
    <w:multiLevelType w:val="hybridMultilevel"/>
    <w:tmpl w:val="CB8C34B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3E7023"/>
    <w:multiLevelType w:val="hybridMultilevel"/>
    <w:tmpl w:val="93583B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FC6E80"/>
    <w:multiLevelType w:val="hybridMultilevel"/>
    <w:tmpl w:val="49E6528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127346"/>
    <w:multiLevelType w:val="hybridMultilevel"/>
    <w:tmpl w:val="39E2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E06089"/>
    <w:multiLevelType w:val="hybridMultilevel"/>
    <w:tmpl w:val="5F26B5F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E8371E"/>
    <w:multiLevelType w:val="hybridMultilevel"/>
    <w:tmpl w:val="FB964A3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C40654"/>
    <w:multiLevelType w:val="hybridMultilevel"/>
    <w:tmpl w:val="01CEA97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9C2A2E"/>
    <w:multiLevelType w:val="hybridMultilevel"/>
    <w:tmpl w:val="DFC65B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A46AF1"/>
    <w:multiLevelType w:val="hybridMultilevel"/>
    <w:tmpl w:val="671C26D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FA50F1"/>
    <w:multiLevelType w:val="hybridMultilevel"/>
    <w:tmpl w:val="0312427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B351D8"/>
    <w:multiLevelType w:val="hybridMultilevel"/>
    <w:tmpl w:val="28D4D5B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5A0D5B"/>
    <w:multiLevelType w:val="hybridMultilevel"/>
    <w:tmpl w:val="2636704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D10"/>
    <w:multiLevelType w:val="hybridMultilevel"/>
    <w:tmpl w:val="EAA4336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685DEE"/>
    <w:multiLevelType w:val="hybridMultilevel"/>
    <w:tmpl w:val="9D9E4B46"/>
    <w:lvl w:ilvl="0">
      <w:start w:val="1"/>
      <w:numFmt w:val="upperLetter"/>
      <w:lvlText w:val="%1."/>
      <w:lvlJc w:val="left"/>
      <w:pPr>
        <w:ind w:left="360" w:hanging="360"/>
      </w:pPr>
      <w:rPr>
        <w:b/>
        <w:bCs/>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0E2F80"/>
    <w:multiLevelType w:val="hybridMultilevel"/>
    <w:tmpl w:val="15FCE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C31887"/>
    <w:multiLevelType w:val="hybridMultilevel"/>
    <w:tmpl w:val="CF9629D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1A960D"/>
    <w:multiLevelType w:val="hybridMultilevel"/>
    <w:tmpl w:val="2378FA2E"/>
    <w:lvl w:ilvl="0">
      <w:start w:val="1"/>
      <w:numFmt w:val="decimal"/>
      <w:lvlText w:val="%1."/>
      <w:lvlJc w:val="left"/>
      <w:rPr>
        <w:rFonts w:ascii="Times New Roman" w:hAnsi="Times New Roman" w:eastAsiaTheme="minorHAnsi"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CB229E5"/>
    <w:multiLevelType w:val="hybridMultilevel"/>
    <w:tmpl w:val="82D216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F61E78"/>
    <w:multiLevelType w:val="hybridMultilevel"/>
    <w:tmpl w:val="CB7258A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1286AD5"/>
    <w:multiLevelType w:val="hybridMultilevel"/>
    <w:tmpl w:val="303E2AF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DD2581"/>
    <w:multiLevelType w:val="hybridMultilevel"/>
    <w:tmpl w:val="382A33DE"/>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56E5897"/>
    <w:multiLevelType w:val="hybridMultilevel"/>
    <w:tmpl w:val="D4322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811EB3"/>
    <w:multiLevelType w:val="hybridMultilevel"/>
    <w:tmpl w:val="52C8525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E83517"/>
    <w:multiLevelType w:val="hybridMultilevel"/>
    <w:tmpl w:val="DFFEBE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FBD5CA4"/>
    <w:multiLevelType w:val="hybridMultilevel"/>
    <w:tmpl w:val="AF0A80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5709872">
    <w:abstractNumId w:val="19"/>
  </w:num>
  <w:num w:numId="2" w16cid:durableId="2054424480">
    <w:abstractNumId w:val="0"/>
  </w:num>
  <w:num w:numId="3" w16cid:durableId="285476970">
    <w:abstractNumId w:val="8"/>
  </w:num>
  <w:num w:numId="4" w16cid:durableId="2063214895">
    <w:abstractNumId w:val="18"/>
  </w:num>
  <w:num w:numId="5" w16cid:durableId="1259220526">
    <w:abstractNumId w:val="14"/>
  </w:num>
  <w:num w:numId="6" w16cid:durableId="901522441">
    <w:abstractNumId w:val="25"/>
  </w:num>
  <w:num w:numId="7" w16cid:durableId="1697807164">
    <w:abstractNumId w:val="5"/>
  </w:num>
  <w:num w:numId="8" w16cid:durableId="264196937">
    <w:abstractNumId w:val="22"/>
  </w:num>
  <w:num w:numId="9" w16cid:durableId="958338833">
    <w:abstractNumId w:val="11"/>
  </w:num>
  <w:num w:numId="10" w16cid:durableId="1699695114">
    <w:abstractNumId w:val="12"/>
  </w:num>
  <w:num w:numId="11" w16cid:durableId="909386956">
    <w:abstractNumId w:val="23"/>
  </w:num>
  <w:num w:numId="12" w16cid:durableId="411970082">
    <w:abstractNumId w:val="3"/>
  </w:num>
  <w:num w:numId="13" w16cid:durableId="1680884958">
    <w:abstractNumId w:val="15"/>
  </w:num>
  <w:num w:numId="14" w16cid:durableId="917325095">
    <w:abstractNumId w:val="7"/>
  </w:num>
  <w:num w:numId="15" w16cid:durableId="543559441">
    <w:abstractNumId w:val="13"/>
  </w:num>
  <w:num w:numId="16" w16cid:durableId="1294091514">
    <w:abstractNumId w:val="1"/>
  </w:num>
  <w:num w:numId="17" w16cid:durableId="744886966">
    <w:abstractNumId w:val="2"/>
  </w:num>
  <w:num w:numId="18" w16cid:durableId="1658919747">
    <w:abstractNumId w:val="24"/>
  </w:num>
  <w:num w:numId="19" w16cid:durableId="715856386">
    <w:abstractNumId w:val="6"/>
  </w:num>
  <w:num w:numId="20" w16cid:durableId="132336370">
    <w:abstractNumId w:val="4"/>
  </w:num>
  <w:num w:numId="21" w16cid:durableId="723480084">
    <w:abstractNumId w:val="17"/>
  </w:num>
  <w:num w:numId="22" w16cid:durableId="306861585">
    <w:abstractNumId w:val="16"/>
  </w:num>
  <w:num w:numId="23" w16cid:durableId="1611887728">
    <w:abstractNumId w:val="20"/>
  </w:num>
  <w:num w:numId="24" w16cid:durableId="761027779">
    <w:abstractNumId w:val="21"/>
  </w:num>
  <w:num w:numId="25" w16cid:durableId="1876578776">
    <w:abstractNumId w:val="27"/>
  </w:num>
  <w:num w:numId="26" w16cid:durableId="496773474">
    <w:abstractNumId w:val="10"/>
  </w:num>
  <w:num w:numId="27" w16cid:durableId="1749880213">
    <w:abstractNumId w:val="9"/>
  </w:num>
  <w:num w:numId="28" w16cid:durableId="1337541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01976"/>
    <w:rsid w:val="00002B7D"/>
    <w:rsid w:val="000058E1"/>
    <w:rsid w:val="000174EC"/>
    <w:rsid w:val="000224DD"/>
    <w:rsid w:val="00040D55"/>
    <w:rsid w:val="0004614A"/>
    <w:rsid w:val="00050572"/>
    <w:rsid w:val="00051763"/>
    <w:rsid w:val="00055526"/>
    <w:rsid w:val="0008616D"/>
    <w:rsid w:val="00091DDC"/>
    <w:rsid w:val="00092F5E"/>
    <w:rsid w:val="000A0A55"/>
    <w:rsid w:val="000A26F1"/>
    <w:rsid w:val="000A4581"/>
    <w:rsid w:val="000A6F62"/>
    <w:rsid w:val="000B0030"/>
    <w:rsid w:val="000C3F40"/>
    <w:rsid w:val="000D55DE"/>
    <w:rsid w:val="000F1470"/>
    <w:rsid w:val="00102E9B"/>
    <w:rsid w:val="001048A8"/>
    <w:rsid w:val="001058CD"/>
    <w:rsid w:val="00132782"/>
    <w:rsid w:val="001406B8"/>
    <w:rsid w:val="00147127"/>
    <w:rsid w:val="00161DFF"/>
    <w:rsid w:val="00190FC3"/>
    <w:rsid w:val="00191C61"/>
    <w:rsid w:val="001A52E8"/>
    <w:rsid w:val="001C2777"/>
    <w:rsid w:val="001D222B"/>
    <w:rsid w:val="001D3588"/>
    <w:rsid w:val="001E3534"/>
    <w:rsid w:val="001E6775"/>
    <w:rsid w:val="001E79D8"/>
    <w:rsid w:val="0020449D"/>
    <w:rsid w:val="00207D85"/>
    <w:rsid w:val="00213481"/>
    <w:rsid w:val="00222852"/>
    <w:rsid w:val="00230184"/>
    <w:rsid w:val="00235A05"/>
    <w:rsid w:val="00236874"/>
    <w:rsid w:val="0024492C"/>
    <w:rsid w:val="002553F9"/>
    <w:rsid w:val="00277D11"/>
    <w:rsid w:val="00280609"/>
    <w:rsid w:val="002A3FBF"/>
    <w:rsid w:val="002B1C40"/>
    <w:rsid w:val="002B1E1C"/>
    <w:rsid w:val="002B7384"/>
    <w:rsid w:val="002C452E"/>
    <w:rsid w:val="002D2F61"/>
    <w:rsid w:val="002F4323"/>
    <w:rsid w:val="003118A7"/>
    <w:rsid w:val="00311A44"/>
    <w:rsid w:val="00312707"/>
    <w:rsid w:val="00314C51"/>
    <w:rsid w:val="00316D50"/>
    <w:rsid w:val="00321EE0"/>
    <w:rsid w:val="0032291E"/>
    <w:rsid w:val="00322B78"/>
    <w:rsid w:val="00337FC6"/>
    <w:rsid w:val="003567CD"/>
    <w:rsid w:val="00384242"/>
    <w:rsid w:val="0038644A"/>
    <w:rsid w:val="00390412"/>
    <w:rsid w:val="003919F3"/>
    <w:rsid w:val="00395CEE"/>
    <w:rsid w:val="003B7E6F"/>
    <w:rsid w:val="003C0EE5"/>
    <w:rsid w:val="003D77F1"/>
    <w:rsid w:val="003E077E"/>
    <w:rsid w:val="003F73B2"/>
    <w:rsid w:val="00404C5D"/>
    <w:rsid w:val="00420191"/>
    <w:rsid w:val="00432D38"/>
    <w:rsid w:val="004509C3"/>
    <w:rsid w:val="00450E5B"/>
    <w:rsid w:val="00452C73"/>
    <w:rsid w:val="00484454"/>
    <w:rsid w:val="0049729F"/>
    <w:rsid w:val="00497D02"/>
    <w:rsid w:val="004A365A"/>
    <w:rsid w:val="004A4294"/>
    <w:rsid w:val="004C0138"/>
    <w:rsid w:val="004C2CEB"/>
    <w:rsid w:val="004C459D"/>
    <w:rsid w:val="004D618A"/>
    <w:rsid w:val="004F06FA"/>
    <w:rsid w:val="004F273E"/>
    <w:rsid w:val="004F58FA"/>
    <w:rsid w:val="005077DB"/>
    <w:rsid w:val="00537901"/>
    <w:rsid w:val="00541D6A"/>
    <w:rsid w:val="00551197"/>
    <w:rsid w:val="00556036"/>
    <w:rsid w:val="00557B8B"/>
    <w:rsid w:val="00575E1F"/>
    <w:rsid w:val="005825CA"/>
    <w:rsid w:val="005832DF"/>
    <w:rsid w:val="00591EE6"/>
    <w:rsid w:val="005A1FAB"/>
    <w:rsid w:val="005A5697"/>
    <w:rsid w:val="005A5C04"/>
    <w:rsid w:val="005A661F"/>
    <w:rsid w:val="005B3125"/>
    <w:rsid w:val="005E35C8"/>
    <w:rsid w:val="005E5721"/>
    <w:rsid w:val="005F338B"/>
    <w:rsid w:val="005F504C"/>
    <w:rsid w:val="006165A2"/>
    <w:rsid w:val="0061799F"/>
    <w:rsid w:val="006221B2"/>
    <w:rsid w:val="00622B66"/>
    <w:rsid w:val="006337CC"/>
    <w:rsid w:val="0063409C"/>
    <w:rsid w:val="00634282"/>
    <w:rsid w:val="00641BF6"/>
    <w:rsid w:val="00654820"/>
    <w:rsid w:val="00654985"/>
    <w:rsid w:val="006875D9"/>
    <w:rsid w:val="006C0909"/>
    <w:rsid w:val="006C4482"/>
    <w:rsid w:val="006D79EE"/>
    <w:rsid w:val="006E03DC"/>
    <w:rsid w:val="006E6AC7"/>
    <w:rsid w:val="006F0AFF"/>
    <w:rsid w:val="006F1D3D"/>
    <w:rsid w:val="006F28D2"/>
    <w:rsid w:val="006F7A61"/>
    <w:rsid w:val="007021B8"/>
    <w:rsid w:val="007065D4"/>
    <w:rsid w:val="007151D1"/>
    <w:rsid w:val="0072075B"/>
    <w:rsid w:val="00721845"/>
    <w:rsid w:val="00723E78"/>
    <w:rsid w:val="007277CA"/>
    <w:rsid w:val="007312E2"/>
    <w:rsid w:val="00732666"/>
    <w:rsid w:val="0074086C"/>
    <w:rsid w:val="00740982"/>
    <w:rsid w:val="007428FD"/>
    <w:rsid w:val="007472E1"/>
    <w:rsid w:val="00752469"/>
    <w:rsid w:val="0076221A"/>
    <w:rsid w:val="00772D05"/>
    <w:rsid w:val="0077532A"/>
    <w:rsid w:val="00777AEA"/>
    <w:rsid w:val="00791DFB"/>
    <w:rsid w:val="007A0230"/>
    <w:rsid w:val="007B2251"/>
    <w:rsid w:val="007D3162"/>
    <w:rsid w:val="007D5E5C"/>
    <w:rsid w:val="007F66E9"/>
    <w:rsid w:val="00800715"/>
    <w:rsid w:val="00801936"/>
    <w:rsid w:val="00801E4B"/>
    <w:rsid w:val="008070E6"/>
    <w:rsid w:val="008229FC"/>
    <w:rsid w:val="008365DD"/>
    <w:rsid w:val="0083792C"/>
    <w:rsid w:val="00844204"/>
    <w:rsid w:val="00845111"/>
    <w:rsid w:val="008455EE"/>
    <w:rsid w:val="008460F0"/>
    <w:rsid w:val="00846BD5"/>
    <w:rsid w:val="00860D4A"/>
    <w:rsid w:val="00891170"/>
    <w:rsid w:val="008C6550"/>
    <w:rsid w:val="008D1ED2"/>
    <w:rsid w:val="008D7D03"/>
    <w:rsid w:val="00902719"/>
    <w:rsid w:val="0090603F"/>
    <w:rsid w:val="009115B2"/>
    <w:rsid w:val="00916755"/>
    <w:rsid w:val="00926F97"/>
    <w:rsid w:val="00941303"/>
    <w:rsid w:val="00941D39"/>
    <w:rsid w:val="0094460F"/>
    <w:rsid w:val="00970E1B"/>
    <w:rsid w:val="009837F7"/>
    <w:rsid w:val="00984240"/>
    <w:rsid w:val="009856B1"/>
    <w:rsid w:val="00985AA5"/>
    <w:rsid w:val="00985E86"/>
    <w:rsid w:val="0099299C"/>
    <w:rsid w:val="009B5892"/>
    <w:rsid w:val="009C0B62"/>
    <w:rsid w:val="009C1A83"/>
    <w:rsid w:val="009D7B30"/>
    <w:rsid w:val="009F3A4A"/>
    <w:rsid w:val="009F4CB9"/>
    <w:rsid w:val="00A3280E"/>
    <w:rsid w:val="00A33075"/>
    <w:rsid w:val="00A438E2"/>
    <w:rsid w:val="00A50F94"/>
    <w:rsid w:val="00A543F6"/>
    <w:rsid w:val="00A55319"/>
    <w:rsid w:val="00A62057"/>
    <w:rsid w:val="00A80A87"/>
    <w:rsid w:val="00A8170D"/>
    <w:rsid w:val="00A84638"/>
    <w:rsid w:val="00A86325"/>
    <w:rsid w:val="00AB14C8"/>
    <w:rsid w:val="00AB5B9C"/>
    <w:rsid w:val="00AE52F8"/>
    <w:rsid w:val="00AE6F0D"/>
    <w:rsid w:val="00B0478D"/>
    <w:rsid w:val="00B04CCA"/>
    <w:rsid w:val="00B06143"/>
    <w:rsid w:val="00B073CA"/>
    <w:rsid w:val="00B11072"/>
    <w:rsid w:val="00B1175B"/>
    <w:rsid w:val="00B11769"/>
    <w:rsid w:val="00B1208F"/>
    <w:rsid w:val="00B30C69"/>
    <w:rsid w:val="00B4088A"/>
    <w:rsid w:val="00B572B1"/>
    <w:rsid w:val="00B619EE"/>
    <w:rsid w:val="00B62DA4"/>
    <w:rsid w:val="00B6436C"/>
    <w:rsid w:val="00B714E4"/>
    <w:rsid w:val="00B72999"/>
    <w:rsid w:val="00B7699F"/>
    <w:rsid w:val="00B81321"/>
    <w:rsid w:val="00B83F64"/>
    <w:rsid w:val="00B90FDA"/>
    <w:rsid w:val="00B95464"/>
    <w:rsid w:val="00B96920"/>
    <w:rsid w:val="00BB1043"/>
    <w:rsid w:val="00BB54AC"/>
    <w:rsid w:val="00BC2A3B"/>
    <w:rsid w:val="00BF18AC"/>
    <w:rsid w:val="00C24AC5"/>
    <w:rsid w:val="00C26D2F"/>
    <w:rsid w:val="00C42C06"/>
    <w:rsid w:val="00C4499A"/>
    <w:rsid w:val="00C51FD7"/>
    <w:rsid w:val="00C54B9C"/>
    <w:rsid w:val="00C54E27"/>
    <w:rsid w:val="00C611A2"/>
    <w:rsid w:val="00C76D64"/>
    <w:rsid w:val="00C83D42"/>
    <w:rsid w:val="00CB3015"/>
    <w:rsid w:val="00CB6BCF"/>
    <w:rsid w:val="00D03D58"/>
    <w:rsid w:val="00D05711"/>
    <w:rsid w:val="00D0627C"/>
    <w:rsid w:val="00D16CA5"/>
    <w:rsid w:val="00D20D00"/>
    <w:rsid w:val="00D31DF2"/>
    <w:rsid w:val="00D337FA"/>
    <w:rsid w:val="00D41571"/>
    <w:rsid w:val="00D52FC2"/>
    <w:rsid w:val="00D54320"/>
    <w:rsid w:val="00D56BA2"/>
    <w:rsid w:val="00D62B04"/>
    <w:rsid w:val="00D64FAA"/>
    <w:rsid w:val="00D66EB6"/>
    <w:rsid w:val="00D71DE6"/>
    <w:rsid w:val="00D73154"/>
    <w:rsid w:val="00D754B9"/>
    <w:rsid w:val="00D86D93"/>
    <w:rsid w:val="00D94AB3"/>
    <w:rsid w:val="00DA45CC"/>
    <w:rsid w:val="00DA48F4"/>
    <w:rsid w:val="00DB0D58"/>
    <w:rsid w:val="00DB2271"/>
    <w:rsid w:val="00DC6676"/>
    <w:rsid w:val="00DC69B5"/>
    <w:rsid w:val="00DD46D4"/>
    <w:rsid w:val="00DE075C"/>
    <w:rsid w:val="00DF0582"/>
    <w:rsid w:val="00E07583"/>
    <w:rsid w:val="00E20038"/>
    <w:rsid w:val="00E31F23"/>
    <w:rsid w:val="00E32E6D"/>
    <w:rsid w:val="00E41B43"/>
    <w:rsid w:val="00E44B08"/>
    <w:rsid w:val="00E50512"/>
    <w:rsid w:val="00E51AD5"/>
    <w:rsid w:val="00E57D2E"/>
    <w:rsid w:val="00E60FB0"/>
    <w:rsid w:val="00E62217"/>
    <w:rsid w:val="00E665A3"/>
    <w:rsid w:val="00E66E30"/>
    <w:rsid w:val="00E70A26"/>
    <w:rsid w:val="00E729A1"/>
    <w:rsid w:val="00E73083"/>
    <w:rsid w:val="00E77B12"/>
    <w:rsid w:val="00E952F8"/>
    <w:rsid w:val="00EA1F7B"/>
    <w:rsid w:val="00EA2412"/>
    <w:rsid w:val="00EA49DC"/>
    <w:rsid w:val="00EC00D0"/>
    <w:rsid w:val="00ED04D7"/>
    <w:rsid w:val="00ED6C98"/>
    <w:rsid w:val="00EF705E"/>
    <w:rsid w:val="00F04D01"/>
    <w:rsid w:val="00F14833"/>
    <w:rsid w:val="00F2169B"/>
    <w:rsid w:val="00F23629"/>
    <w:rsid w:val="00F27AE4"/>
    <w:rsid w:val="00F3088C"/>
    <w:rsid w:val="00F32B1E"/>
    <w:rsid w:val="00F32B2F"/>
    <w:rsid w:val="00F34783"/>
    <w:rsid w:val="00F44DD9"/>
    <w:rsid w:val="00F52054"/>
    <w:rsid w:val="00F5381E"/>
    <w:rsid w:val="00F53E10"/>
    <w:rsid w:val="00F60A4E"/>
    <w:rsid w:val="00F62C5D"/>
    <w:rsid w:val="00F71E79"/>
    <w:rsid w:val="00F7392C"/>
    <w:rsid w:val="00F7600B"/>
    <w:rsid w:val="00F76B93"/>
    <w:rsid w:val="00F817AF"/>
    <w:rsid w:val="00F861E0"/>
    <w:rsid w:val="00F905D7"/>
    <w:rsid w:val="00F914E4"/>
    <w:rsid w:val="00FA50CF"/>
    <w:rsid w:val="00FB34E6"/>
    <w:rsid w:val="00FB3927"/>
    <w:rsid w:val="00FB561D"/>
    <w:rsid w:val="00FB6774"/>
    <w:rsid w:val="00FB725F"/>
    <w:rsid w:val="00FB79C9"/>
    <w:rsid w:val="00FC3D71"/>
    <w:rsid w:val="00FD76A8"/>
    <w:rsid w:val="00FE6BD0"/>
    <w:rsid w:val="00FF3E1D"/>
    <w:rsid w:val="01081928"/>
    <w:rsid w:val="02861C87"/>
    <w:rsid w:val="056B7B32"/>
    <w:rsid w:val="08746F6D"/>
    <w:rsid w:val="0AB758A9"/>
    <w:rsid w:val="0B1569B6"/>
    <w:rsid w:val="0C1C1A71"/>
    <w:rsid w:val="0E2ECD0F"/>
    <w:rsid w:val="0F69F23D"/>
    <w:rsid w:val="11F222E0"/>
    <w:rsid w:val="149B5998"/>
    <w:rsid w:val="151B4088"/>
    <w:rsid w:val="18B1BA32"/>
    <w:rsid w:val="1B5D9636"/>
    <w:rsid w:val="1D7E9E00"/>
    <w:rsid w:val="214E2208"/>
    <w:rsid w:val="240E574A"/>
    <w:rsid w:val="29CD2E11"/>
    <w:rsid w:val="2ECE753B"/>
    <w:rsid w:val="3580D216"/>
    <w:rsid w:val="3721AB37"/>
    <w:rsid w:val="3BD8FA75"/>
    <w:rsid w:val="3FE8A469"/>
    <w:rsid w:val="404339C5"/>
    <w:rsid w:val="4383B8A6"/>
    <w:rsid w:val="47E628C8"/>
    <w:rsid w:val="4A1135CC"/>
    <w:rsid w:val="4BB306D9"/>
    <w:rsid w:val="51B0C055"/>
    <w:rsid w:val="533E7F09"/>
    <w:rsid w:val="581870A5"/>
    <w:rsid w:val="58E9D449"/>
    <w:rsid w:val="5CDA38B7"/>
    <w:rsid w:val="648C06B1"/>
    <w:rsid w:val="65885FE7"/>
    <w:rsid w:val="66E0AB75"/>
    <w:rsid w:val="74429B70"/>
    <w:rsid w:val="78F8D707"/>
    <w:rsid w:val="7A654F63"/>
    <w:rsid w:val="7E0EF5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9CD58"/>
  <w15:docId w15:val="{262B4A1B-6EE2-4FA7-A80C-96013D0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 w:type="paragraph" w:styleId="BalloonText">
    <w:name w:val="Balloon Text"/>
    <w:basedOn w:val="Normal"/>
    <w:link w:val="BalloonTextChar"/>
    <w:uiPriority w:val="99"/>
    <w:semiHidden/>
    <w:unhideWhenUsed/>
    <w:rsid w:val="00A5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94"/>
    <w:rPr>
      <w:rFonts w:ascii="Segoe UI" w:hAnsi="Segoe UI" w:cs="Segoe UI"/>
      <w:sz w:val="18"/>
      <w:szCs w:val="18"/>
    </w:rPr>
  </w:style>
  <w:style w:type="paragraph" w:styleId="Revision">
    <w:name w:val="Revision"/>
    <w:hidden/>
    <w:uiPriority w:val="99"/>
    <w:semiHidden/>
    <w:rsid w:val="00A50F94"/>
    <w:pPr>
      <w:spacing w:after="0" w:line="240" w:lineRule="auto"/>
    </w:pPr>
  </w:style>
  <w:style w:type="paragraph" w:styleId="Header">
    <w:name w:val="header"/>
    <w:basedOn w:val="Normal"/>
    <w:link w:val="HeaderChar"/>
    <w:uiPriority w:val="99"/>
    <w:unhideWhenUsed/>
    <w:rsid w:val="0055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36"/>
  </w:style>
  <w:style w:type="paragraph" w:styleId="Footer">
    <w:name w:val="footer"/>
    <w:basedOn w:val="Normal"/>
    <w:link w:val="FooterChar"/>
    <w:uiPriority w:val="99"/>
    <w:unhideWhenUsed/>
    <w:rsid w:val="0055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36"/>
  </w:style>
  <w:style w:type="character" w:styleId="CommentReference">
    <w:name w:val="annotation reference"/>
    <w:basedOn w:val="DefaultParagraphFont"/>
    <w:uiPriority w:val="99"/>
    <w:semiHidden/>
    <w:unhideWhenUsed/>
    <w:rsid w:val="001048A8"/>
    <w:rPr>
      <w:sz w:val="16"/>
      <w:szCs w:val="16"/>
    </w:rPr>
  </w:style>
  <w:style w:type="paragraph" w:styleId="CommentText">
    <w:name w:val="annotation text"/>
    <w:basedOn w:val="Normal"/>
    <w:link w:val="CommentTextChar"/>
    <w:uiPriority w:val="99"/>
    <w:unhideWhenUsed/>
    <w:rsid w:val="001048A8"/>
    <w:pPr>
      <w:spacing w:line="240" w:lineRule="auto"/>
    </w:pPr>
    <w:rPr>
      <w:sz w:val="20"/>
      <w:szCs w:val="20"/>
    </w:rPr>
  </w:style>
  <w:style w:type="character" w:customStyle="1" w:styleId="CommentTextChar">
    <w:name w:val="Comment Text Char"/>
    <w:basedOn w:val="DefaultParagraphFont"/>
    <w:link w:val="CommentText"/>
    <w:uiPriority w:val="99"/>
    <w:rsid w:val="001048A8"/>
    <w:rPr>
      <w:sz w:val="20"/>
      <w:szCs w:val="20"/>
    </w:rPr>
  </w:style>
  <w:style w:type="paragraph" w:styleId="CommentSubject">
    <w:name w:val="annotation subject"/>
    <w:basedOn w:val="CommentText"/>
    <w:next w:val="CommentText"/>
    <w:link w:val="CommentSubjectChar"/>
    <w:uiPriority w:val="99"/>
    <w:semiHidden/>
    <w:unhideWhenUsed/>
    <w:rsid w:val="001048A8"/>
    <w:rPr>
      <w:b/>
      <w:bCs/>
    </w:rPr>
  </w:style>
  <w:style w:type="character" w:customStyle="1" w:styleId="CommentSubjectChar">
    <w:name w:val="Comment Subject Char"/>
    <w:basedOn w:val="CommentTextChar"/>
    <w:link w:val="CommentSubject"/>
    <w:uiPriority w:val="99"/>
    <w:semiHidden/>
    <w:rsid w:val="001048A8"/>
    <w:rPr>
      <w:b/>
      <w:bCs/>
      <w:sz w:val="20"/>
      <w:szCs w:val="20"/>
    </w:rPr>
  </w:style>
  <w:style w:type="character" w:styleId="Mention">
    <w:name w:val="Mention"/>
    <w:basedOn w:val="DefaultParagraphFont"/>
    <w:uiPriority w:val="99"/>
    <w:unhideWhenUsed/>
    <w:rsid w:val="00F53E10"/>
    <w:rPr>
      <w:color w:val="2B579A"/>
      <w:shd w:val="clear" w:color="auto" w:fill="E1DFDD"/>
    </w:rPr>
  </w:style>
  <w:style w:type="character" w:customStyle="1" w:styleId="normaltextrun">
    <w:name w:val="normaltextrun"/>
    <w:basedOn w:val="DefaultParagraphFont"/>
    <w:uiPriority w:val="1"/>
    <w:rsid w:val="648C06B1"/>
    <w:rPr>
      <w:rFonts w:asciiTheme="minorHAnsi" w:eastAsiaTheme="minorEastAsia" w:hAnsiTheme="minorHAnsi" w:cstheme="minorBidi"/>
      <w:sz w:val="22"/>
      <w:szCs w:val="22"/>
    </w:rPr>
  </w:style>
  <w:style w:type="character" w:customStyle="1" w:styleId="eop">
    <w:name w:val="eop"/>
    <w:basedOn w:val="DefaultParagraphFont"/>
    <w:uiPriority w:val="1"/>
    <w:rsid w:val="648C06B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02AE-A6A7-4CC0-B601-76B72D406BF8}">
  <ds:schemaRefs>
    <ds:schemaRef ds:uri="http://schemas.microsoft.com/sharepoint/v3/contenttype/forms"/>
  </ds:schemaRefs>
</ds:datastoreItem>
</file>

<file path=customXml/itemProps2.xml><?xml version="1.0" encoding="utf-8"?>
<ds:datastoreItem xmlns:ds="http://schemas.openxmlformats.org/officeDocument/2006/customXml" ds:itemID="{C4241A09-FD4F-425D-B3B6-DBF346EBCDC4}">
  <ds:schemaRefs>
    <ds:schemaRef ds:uri="http://schemas.openxmlformats.org/officeDocument/2006/bibliography"/>
  </ds:schemaRefs>
</ds:datastoreItem>
</file>

<file path=customXml/itemProps3.xml><?xml version="1.0" encoding="utf-8"?>
<ds:datastoreItem xmlns:ds="http://schemas.openxmlformats.org/officeDocument/2006/customXml" ds:itemID="{05BE4B2C-F0B7-4637-8399-34F2C34E56F9}">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4.xml><?xml version="1.0" encoding="utf-8"?>
<ds:datastoreItem xmlns:ds="http://schemas.openxmlformats.org/officeDocument/2006/customXml" ds:itemID="{ACD24089-FC9E-4AFE-9F7C-45A6D4FA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1272</Words>
  <Characters>7253</Characters>
  <Application>Microsoft Office Word</Application>
  <DocSecurity>0</DocSecurity>
  <Lines>60</Lines>
  <Paragraphs>17</Paragraphs>
  <ScaleCrop>false</ScaleCrop>
  <Company>ATF</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Holmes-Brooks, Colette N. (ATF) (CTR)</cp:lastModifiedBy>
  <cp:revision>2</cp:revision>
  <dcterms:created xsi:type="dcterms:W3CDTF">2025-11-03T17:43:00Z</dcterms:created>
  <dcterms:modified xsi:type="dcterms:W3CDTF">2025-11-03T17:43:00Z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