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0DC3" w:rsidP="00A96D53" w14:paraId="58469B89" w14:textId="0989A7CB">
      <w:pPr>
        <w:pStyle w:val="Title"/>
        <w:jc w:val="left"/>
      </w:pPr>
    </w:p>
    <w:p w:rsidR="009D756C" w:rsidRPr="00A47DA7" w:rsidP="00334156" w14:paraId="6AE6C9F0" w14:textId="7AEA6398">
      <w:pPr>
        <w:tabs>
          <w:tab w:val="left" w:pos="720"/>
          <w:tab w:val="center" w:pos="4608"/>
          <w:tab w:val="right" w:pos="9936"/>
        </w:tabs>
        <w:ind w:left="720" w:hanging="1440"/>
        <w:rPr>
          <w:b/>
          <w:bCs/>
        </w:rPr>
      </w:pPr>
      <w:r>
        <w:rPr>
          <w:b/>
          <w:bCs/>
        </w:rPr>
        <w:tab/>
      </w:r>
      <w:r>
        <w:rPr>
          <w:b/>
          <w:bCs/>
        </w:rPr>
        <w:tab/>
      </w:r>
      <w:r w:rsidRPr="00A47DA7">
        <w:rPr>
          <w:b/>
          <w:bCs/>
        </w:rPr>
        <w:t>SUPPORTING STATEMENT FOR</w:t>
      </w:r>
      <w:r>
        <w:rPr>
          <w:b/>
          <w:bCs/>
        </w:rPr>
        <w:tab/>
      </w:r>
    </w:p>
    <w:p w:rsidR="009D756C" w:rsidP="009D756C" w14:paraId="32DDFF17" w14:textId="06191ABC">
      <w:pPr>
        <w:jc w:val="center"/>
        <w:rPr>
          <w:b/>
          <w:bCs/>
        </w:rPr>
      </w:pPr>
      <w:r>
        <w:rPr>
          <w:b/>
          <w:bCs/>
        </w:rPr>
        <w:t xml:space="preserve"> THE CONSUMER EXPENDITURE SURVEYS</w:t>
      </w:r>
    </w:p>
    <w:p w:rsidR="00673B1B" w:rsidP="00673B1B" w14:paraId="27C9B0FC" w14:textId="45454643">
      <w:pPr>
        <w:pStyle w:val="Title"/>
      </w:pPr>
    </w:p>
    <w:p w:rsidR="009D756C" w:rsidP="00673B1B" w14:paraId="01A9B338" w14:textId="77777777">
      <w:pPr>
        <w:pStyle w:val="Title"/>
      </w:pPr>
    </w:p>
    <w:p w:rsidR="009D756C" w:rsidP="00673B1B" w14:paraId="664D1E98" w14:textId="326221BF">
      <w:pPr>
        <w:pStyle w:val="Title"/>
        <w:rPr>
          <w:b/>
        </w:rPr>
      </w:pPr>
      <w:r w:rsidRPr="00E570DF">
        <w:rPr>
          <w:b/>
        </w:rPr>
        <w:t>OMB CONTROL NO. 1220-0050</w:t>
      </w:r>
    </w:p>
    <w:p w:rsidR="009D756C" w:rsidP="00673B1B" w14:paraId="79B5788C" w14:textId="77777777">
      <w:pPr>
        <w:pStyle w:val="Title"/>
        <w:rPr>
          <w:b/>
        </w:rPr>
      </w:pPr>
    </w:p>
    <w:p w:rsidR="009D756C" w:rsidRPr="006C05FC" w:rsidP="00E570DF" w14:paraId="41DE7CBC" w14:textId="465BF42A">
      <w:pPr>
        <w:pStyle w:val="Title"/>
        <w:jc w:val="both"/>
      </w:pPr>
      <w:r w:rsidRPr="006C05FC">
        <w:t xml:space="preserve">This </w:t>
      </w:r>
      <w:r w:rsidR="00A938EA">
        <w:t>Information Collection Re</w:t>
      </w:r>
      <w:r w:rsidR="000B6E16">
        <w:t>quest</w:t>
      </w:r>
      <w:r w:rsidRPr="006C05FC">
        <w:t xml:space="preserve"> </w:t>
      </w:r>
      <w:r w:rsidR="00A938EA">
        <w:t>(</w:t>
      </w:r>
      <w:r w:rsidRPr="006C05FC">
        <w:t>ICR</w:t>
      </w:r>
      <w:r w:rsidR="00A938EA">
        <w:t>)</w:t>
      </w:r>
      <w:r w:rsidRPr="006C05FC">
        <w:t xml:space="preserve"> seeks to obtain clearance for a revision of the Consumer Expenditure (CE) Surveys</w:t>
      </w:r>
      <w:r w:rsidR="007A29E4">
        <w:t xml:space="preserve">. </w:t>
      </w:r>
      <w:r w:rsidRPr="006C05FC" w:rsidR="00413F89">
        <w:t xml:space="preserve">This request is seeking continuation of the CE Surveys and approval to </w:t>
      </w:r>
      <w:r w:rsidR="004750C6">
        <w:t xml:space="preserve">make modifications to the </w:t>
      </w:r>
      <w:r w:rsidR="008B654B">
        <w:t xml:space="preserve">Interview </w:t>
      </w:r>
      <w:r w:rsidR="00733DCB">
        <w:t>S</w:t>
      </w:r>
      <w:r w:rsidR="008B654B">
        <w:t>urvey to</w:t>
      </w:r>
      <w:r w:rsidR="00462B67">
        <w:t xml:space="preserve"> </w:t>
      </w:r>
      <w:r w:rsidR="00B871CF">
        <w:t>make minor wording clarifications</w:t>
      </w:r>
      <w:r w:rsidR="00F7641D">
        <w:t xml:space="preserve">, </w:t>
      </w:r>
      <w:r w:rsidR="00FF2F06">
        <w:t>delete supplementary research questions</w:t>
      </w:r>
      <w:r w:rsidR="00F7641D">
        <w:t>, and add a new mode for respondent materials</w:t>
      </w:r>
      <w:r w:rsidR="00462B67">
        <w:t>.</w:t>
      </w:r>
      <w:r w:rsidR="008B654B">
        <w:t xml:space="preserve"> </w:t>
      </w:r>
      <w:r w:rsidR="00F7641D">
        <w:t xml:space="preserve">Additionally, we seek approval of revisions to the Interview and Diary Survey advanced letters that are mailed to sampled addresses prior to each interview. </w:t>
      </w:r>
      <w:r w:rsidR="00462B67">
        <w:t>These changes</w:t>
      </w:r>
      <w:r w:rsidR="00F1453E">
        <w:t xml:space="preserve"> are described below and</w:t>
      </w:r>
      <w:r w:rsidR="00462B67">
        <w:t xml:space="preserve"> if approved, </w:t>
      </w:r>
      <w:r w:rsidR="005F724F">
        <w:t>are planned to</w:t>
      </w:r>
      <w:r w:rsidR="00462B67">
        <w:t xml:space="preserve"> be implemented </w:t>
      </w:r>
      <w:r w:rsidR="00D86255">
        <w:t xml:space="preserve">in </w:t>
      </w:r>
      <w:r w:rsidR="00B871CF">
        <w:t>April 202</w:t>
      </w:r>
      <w:r w:rsidR="00FF2F06">
        <w:t>6</w:t>
      </w:r>
      <w:r w:rsidR="007A29E4">
        <w:t xml:space="preserve">. </w:t>
      </w:r>
    </w:p>
    <w:p w:rsidR="00673B1B" w:rsidP="00673B1B" w14:paraId="7F9781B2" w14:textId="77777777">
      <w:pPr>
        <w:tabs>
          <w:tab w:val="left" w:pos="1176"/>
          <w:tab w:val="left" w:pos="1656"/>
          <w:tab w:val="left" w:pos="6696"/>
          <w:tab w:val="left" w:pos="8256"/>
        </w:tabs>
      </w:pPr>
    </w:p>
    <w:p w:rsidR="0060704D" w:rsidRPr="00E570DF" w:rsidP="00673B1B" w14:paraId="23FECADB" w14:textId="411D0AD8">
      <w:pPr>
        <w:pStyle w:val="Subtitle"/>
        <w:rPr>
          <w:b/>
          <w:caps/>
        </w:rPr>
      </w:pPr>
      <w:r w:rsidRPr="00E570DF">
        <w:rPr>
          <w:b/>
          <w:caps/>
        </w:rPr>
        <w:t>A</w:t>
      </w:r>
      <w:r w:rsidR="007A29E4">
        <w:rPr>
          <w:b/>
          <w:caps/>
        </w:rPr>
        <w:t xml:space="preserve">. </w:t>
      </w:r>
      <w:r w:rsidRPr="00E570DF">
        <w:rPr>
          <w:b/>
          <w:caps/>
        </w:rPr>
        <w:t>Justification</w:t>
      </w:r>
    </w:p>
    <w:p w:rsidR="0060704D" w:rsidP="00673B1B" w14:paraId="00B8EC0F" w14:textId="77777777">
      <w:pPr>
        <w:pStyle w:val="Subtitle"/>
      </w:pPr>
    </w:p>
    <w:p w:rsidR="009D756C" w:rsidRPr="00D53DEB" w:rsidP="009D756C" w14:paraId="78A70127" w14:textId="0DA541A0">
      <w:pPr>
        <w:rPr>
          <w:b/>
          <w:bCs/>
        </w:rPr>
      </w:pPr>
      <w:r>
        <w:t xml:space="preserve">     </w:t>
      </w:r>
    </w:p>
    <w:p w:rsidR="009D756C" w:rsidRPr="00D53DEB" w:rsidP="00E570DF" w14:paraId="2963E723" w14:textId="6154368D">
      <w:pPr>
        <w:ind w:left="360" w:hanging="360"/>
      </w:pPr>
      <w:r w:rsidRPr="00D53DEB">
        <w:rPr>
          <w:b/>
          <w:bCs/>
        </w:rPr>
        <w:t>1</w:t>
      </w:r>
      <w:r w:rsidR="007A29E4">
        <w:rPr>
          <w:b/>
          <w:bCs/>
        </w:rPr>
        <w:t xml:space="preserve">. </w:t>
      </w:r>
      <w:r w:rsidR="009B6B95">
        <w:rPr>
          <w:b/>
          <w:bCs/>
        </w:rPr>
        <w:t xml:space="preserve"> </w:t>
      </w:r>
      <w:r w:rsidRPr="00D53DEB">
        <w:rPr>
          <w:b/>
          <w:bCs/>
        </w:rPr>
        <w:t>Explain the circumstances that make the collection of information necessary</w:t>
      </w:r>
      <w:r w:rsidR="007A29E4">
        <w:rPr>
          <w:b/>
          <w:bCs/>
        </w:rPr>
        <w:t xml:space="preserve">. </w:t>
      </w:r>
      <w:r w:rsidRPr="00D53DEB">
        <w:rPr>
          <w:b/>
          <w:bCs/>
        </w:rPr>
        <w:t>Identify any legal or administrative requirements that necessitate the collection</w:t>
      </w:r>
      <w:r w:rsidR="007A29E4">
        <w:rPr>
          <w:b/>
          <w:bCs/>
        </w:rPr>
        <w:t xml:space="preserve">. </w:t>
      </w:r>
      <w:r w:rsidRPr="00D53DEB">
        <w:rPr>
          <w:b/>
          <w:bCs/>
        </w:rPr>
        <w:t>Attach a copy of the appropriate section of each statute and regulation mandating or authorizing the collection of information.</w:t>
      </w:r>
    </w:p>
    <w:p w:rsidR="0060704D" w:rsidP="00D17A87" w14:paraId="03ACCFD4" w14:textId="77777777">
      <w:pPr>
        <w:pStyle w:val="Subtitle"/>
        <w:rPr>
          <w:b/>
        </w:rPr>
      </w:pPr>
    </w:p>
    <w:p w:rsidR="00B51EFD" w:rsidP="00664D7B" w14:paraId="1C91AD88" w14:textId="64BC746E">
      <w:pPr>
        <w:tabs>
          <w:tab w:val="left" w:pos="1176"/>
          <w:tab w:val="left" w:pos="1656"/>
          <w:tab w:val="left" w:pos="6696"/>
          <w:tab w:val="left" w:pos="8256"/>
        </w:tabs>
        <w:ind w:left="480"/>
      </w:pPr>
      <w:r>
        <w:t>The CE Surveys include</w:t>
      </w:r>
      <w:r w:rsidR="00673B1B">
        <w:t xml:space="preserve"> the</w:t>
      </w:r>
      <w:r w:rsidR="0060704D">
        <w:t xml:space="preserve"> </w:t>
      </w:r>
      <w:r w:rsidR="00673B1B">
        <w:t>Intervie</w:t>
      </w:r>
      <w:r w:rsidR="002C0D7B">
        <w:t>w Survey and the Diary Survey</w:t>
      </w:r>
      <w:r w:rsidR="007A29E4">
        <w:t xml:space="preserve">. </w:t>
      </w:r>
    </w:p>
    <w:p w:rsidR="00925CC7" w:rsidP="00A74207" w14:paraId="289BA79A" w14:textId="77777777">
      <w:pPr>
        <w:tabs>
          <w:tab w:val="left" w:pos="1176"/>
          <w:tab w:val="left" w:pos="1656"/>
          <w:tab w:val="left" w:pos="6696"/>
          <w:tab w:val="left" w:pos="8256"/>
        </w:tabs>
        <w:ind w:left="480"/>
      </w:pPr>
    </w:p>
    <w:p w:rsidR="00E525B7" w:rsidP="001B55AF" w14:paraId="14208C3B" w14:textId="50B2DC94">
      <w:pPr>
        <w:tabs>
          <w:tab w:val="left" w:pos="1176"/>
          <w:tab w:val="left" w:pos="1656"/>
          <w:tab w:val="left" w:pos="6696"/>
          <w:tab w:val="left" w:pos="8256"/>
        </w:tabs>
        <w:ind w:left="480"/>
      </w:pPr>
      <w:r>
        <w:t>The Census</w:t>
      </w:r>
      <w:r w:rsidR="00722C00">
        <w:t xml:space="preserve"> Bureau</w:t>
      </w:r>
      <w:r>
        <w:t xml:space="preserve"> conducts the CE Surveys for the Bureau of Labor Statistics (BLS) in support of the Consumer Price Index (CPI) program</w:t>
      </w:r>
      <w:r w:rsidR="00195BE4">
        <w:t xml:space="preserve">. </w:t>
      </w:r>
      <w:r>
        <w:t xml:space="preserve">The continuing CE Surveys provide a constant measurement of changes in consumer expenditure patterns for economic analysis and obtain data for future CPI revisions. </w:t>
      </w:r>
      <w:r w:rsidRPr="00334156">
        <w:t xml:space="preserve">The CE also collects point of purchase </w:t>
      </w:r>
      <w:r w:rsidRPr="00334156" w:rsidR="00722C00">
        <w:t xml:space="preserve">data </w:t>
      </w:r>
      <w:r w:rsidRPr="00334156">
        <w:t>in support of the CPI program</w:t>
      </w:r>
      <w:r w:rsidR="007A29E4">
        <w:t xml:space="preserve">. </w:t>
      </w:r>
    </w:p>
    <w:p w:rsidR="00E525B7" w:rsidP="007162C7" w14:paraId="43AB83E9" w14:textId="77777777">
      <w:pPr>
        <w:tabs>
          <w:tab w:val="left" w:pos="1176"/>
          <w:tab w:val="left" w:pos="1656"/>
          <w:tab w:val="left" w:pos="6696"/>
          <w:tab w:val="left" w:pos="8256"/>
        </w:tabs>
        <w:ind w:left="480"/>
      </w:pPr>
    </w:p>
    <w:p w:rsidR="00FF2F06" w:rsidRPr="00FF2F06" w:rsidP="00FF2F06" w14:paraId="0CED5C06" w14:textId="3243197B">
      <w:pPr>
        <w:ind w:left="480"/>
      </w:pPr>
      <w:r>
        <w:t>The BLS conducts the CE Surveys under the authority of Title 29, Section 2</w:t>
      </w:r>
      <w:r w:rsidR="002C54E4">
        <w:t>,</w:t>
      </w:r>
      <w:r w:rsidRPr="00E00166" w:rsidR="00E00166">
        <w:t xml:space="preserve"> Collection, Collation and Reports of Labor Statistics</w:t>
      </w:r>
      <w:r w:rsidR="00E00166">
        <w:t>,</w:t>
      </w:r>
      <w:r>
        <w:t xml:space="preserve"> of the United States Code. The Census Bureau collects the CE Surveys under the authority of Title 13, United States Code, Section 8b, </w:t>
      </w:r>
    </w:p>
    <w:p w:rsidR="004F4BE2" w:rsidP="004F689C" w14:paraId="1BD3E3BB" w14:textId="67141385">
      <w:pPr>
        <w:ind w:left="480"/>
      </w:pPr>
      <w:r w:rsidRPr="00FF2F06">
        <w:t>Authenticated transcripts or copies of certain returns; other data; restriction on use; disposition of fees received</w:t>
      </w:r>
      <w:r w:rsidR="00AC0734">
        <w:t xml:space="preserve">, </w:t>
      </w:r>
      <w:r w:rsidR="00304AD2">
        <w:t>that allows the Census Bureau to undertake surveys for other agencies.</w:t>
      </w:r>
    </w:p>
    <w:p w:rsidR="00376275" w:rsidRPr="00D63F3C" w:rsidP="007E7B13" w14:paraId="7C77592C" w14:textId="77777777">
      <w:pPr>
        <w:tabs>
          <w:tab w:val="left" w:pos="1176"/>
          <w:tab w:val="left" w:pos="1656"/>
          <w:tab w:val="left" w:pos="6696"/>
          <w:tab w:val="left" w:pos="8256"/>
        </w:tabs>
        <w:ind w:left="480"/>
      </w:pPr>
    </w:p>
    <w:p w:rsidR="00673B1B" w:rsidP="00673B1B" w14:paraId="2C9D2805" w14:textId="46CE1E4E">
      <w:pPr>
        <w:tabs>
          <w:tab w:val="left" w:pos="1176"/>
          <w:tab w:val="left" w:pos="1656"/>
          <w:tab w:val="left" w:pos="6696"/>
          <w:tab w:val="left" w:pos="8256"/>
        </w:tabs>
      </w:pPr>
    </w:p>
    <w:p w:rsidR="00C45BD1" w:rsidRPr="00D53DEB" w:rsidP="00E570DF" w14:paraId="7B7DE52B" w14:textId="5F3F4E3D">
      <w:pPr>
        <w:ind w:left="360" w:hanging="360"/>
      </w:pPr>
      <w:r>
        <w:t>2</w:t>
      </w:r>
      <w:r w:rsidR="007A29E4">
        <w:rPr>
          <w:b/>
          <w:bCs/>
        </w:rPr>
        <w:t xml:space="preserve">. </w:t>
      </w:r>
      <w:r w:rsidR="009B6B95">
        <w:rPr>
          <w:b/>
          <w:bCs/>
        </w:rPr>
        <w:t xml:space="preserve"> </w:t>
      </w:r>
      <w:r w:rsidRPr="00D53DEB">
        <w:rPr>
          <w:b/>
          <w:bCs/>
        </w:rPr>
        <w:t>Indicate how, by whom, and for what purpose the information is to be used</w:t>
      </w:r>
      <w:r w:rsidR="007A29E4">
        <w:rPr>
          <w:b/>
          <w:bCs/>
        </w:rPr>
        <w:t xml:space="preserve">. </w:t>
      </w:r>
      <w:r w:rsidRPr="00D53DEB">
        <w:rPr>
          <w:b/>
          <w:bCs/>
        </w:rPr>
        <w:t>Except for a new collection, indicate the actual use the agency has made of the information received from the current collection.</w:t>
      </w:r>
    </w:p>
    <w:p w:rsidR="00ED38BB" w:rsidRPr="006A6F11" w:rsidP="00ED38BB" w14:paraId="2415239B" w14:textId="06DB125E">
      <w:pPr>
        <w:tabs>
          <w:tab w:val="left" w:pos="540"/>
          <w:tab w:val="left" w:pos="1656"/>
          <w:tab w:val="left" w:pos="6696"/>
          <w:tab w:val="left" w:pos="8256"/>
        </w:tabs>
        <w:ind w:left="432" w:hanging="576"/>
      </w:pPr>
      <w:r>
        <w:br/>
      </w:r>
    </w:p>
    <w:p w:rsidR="00673B1B" w:rsidP="00ED38BB" w14:paraId="5A03B857" w14:textId="6D72B0E2">
      <w:pPr>
        <w:tabs>
          <w:tab w:val="left" w:pos="1176"/>
          <w:tab w:val="left" w:pos="1656"/>
          <w:tab w:val="left" w:pos="6696"/>
          <w:tab w:val="left" w:pos="8256"/>
        </w:tabs>
        <w:ind w:left="480"/>
      </w:pPr>
      <w:r w:rsidRPr="006A6F11">
        <w:t xml:space="preserve">The BLS </w:t>
      </w:r>
      <w:r w:rsidR="00B03B5C">
        <w:t>uses</w:t>
      </w:r>
      <w:r w:rsidRPr="006A6F11">
        <w:t xml:space="preserve"> data collected in the CE Surveys to 1) provide data required for </w:t>
      </w:r>
      <w:r w:rsidRPr="006A6F11" w:rsidR="004253BD">
        <w:t>updating cost-weights used to calculate the CPI</w:t>
      </w:r>
      <w:r w:rsidRPr="006A6F11">
        <w:t xml:space="preserve">; 2) provide a continuous flow of data on income and expenditure patterns for use in economic analysis and policy formulation; and 3) provide a </w:t>
      </w:r>
      <w:r w:rsidRPr="006A6F11">
        <w:t xml:space="preserve">flexible consumer survey vehicle that is available for use by other </w:t>
      </w:r>
      <w:r w:rsidR="0090638C">
        <w:t>f</w:t>
      </w:r>
      <w:r w:rsidRPr="006A6F11">
        <w:t xml:space="preserve">ederal </w:t>
      </w:r>
      <w:r w:rsidR="0090638C">
        <w:t>g</w:t>
      </w:r>
      <w:r w:rsidRPr="006A6F11">
        <w:t>overnment agencies. Public and private users of price statistics, including Congress and the economic policymaking agencies of the executive branch, rely on data collected in the CPI in their day</w:t>
      </w:r>
      <w:r w:rsidRPr="006A6F11">
        <w:noBreakHyphen/>
        <w:t>to</w:t>
      </w:r>
      <w:r w:rsidRPr="006A6F11">
        <w:noBreakHyphen/>
        <w:t>day activities</w:t>
      </w:r>
      <w:r w:rsidR="007A29E4">
        <w:t xml:space="preserve">. </w:t>
      </w:r>
      <w:r w:rsidRPr="006A6F11" w:rsidR="004253BD">
        <w:t>Data</w:t>
      </w:r>
      <w:r w:rsidRPr="006A6F11">
        <w:t xml:space="preserve"> users and policymakers widely accept the need to </w:t>
      </w:r>
      <w:r w:rsidRPr="006A6F11" w:rsidR="004253BD">
        <w:t>regularly update the weights used in the CPI</w:t>
      </w:r>
      <w:r w:rsidRPr="006A6F11">
        <w:t>.</w:t>
      </w:r>
    </w:p>
    <w:p w:rsidR="00195BE4" w:rsidP="00ED38BB" w14:paraId="420A44A0" w14:textId="77777777">
      <w:pPr>
        <w:tabs>
          <w:tab w:val="left" w:pos="1176"/>
          <w:tab w:val="left" w:pos="1656"/>
          <w:tab w:val="left" w:pos="6696"/>
          <w:tab w:val="left" w:pos="8256"/>
        </w:tabs>
        <w:ind w:left="480"/>
      </w:pPr>
    </w:p>
    <w:p w:rsidR="00195BE4" w:rsidP="00195BE4" w14:paraId="7FB73C8C" w14:textId="78C4F420">
      <w:pPr>
        <w:autoSpaceDE w:val="0"/>
        <w:autoSpaceDN w:val="0"/>
        <w:adjustRightInd w:val="0"/>
        <w:ind w:left="450"/>
      </w:pPr>
      <w:r>
        <w:t xml:space="preserve">The Consumer Expenditure Interview Survey is designed as a rotating panel consisting of 4 interviews of a given household at 3 month intervals. There are several advantages to the panel nature of the survey including the ability to measure year to year changes in income, assets, and </w:t>
      </w:r>
      <w:r w:rsidRPr="00C4675D">
        <w:t>liabilities; the measurement of changes to expenditure behavior over time; measurement of infrequently purchased items; as an aid in recall; and to eliminate reported expenditures that are out of scope. </w:t>
      </w:r>
      <w:r>
        <w:t>Measurements of changes in income, assets, and liabilities require recollection of these items at a 12 month interval. Though the interview is repeated every three months, respondent burden is minimized as income, assets, and liabilities are only collected at the first and final interviews. Likewise, measurements of changes to expenditure behavior over time require repeated measurement of the same household in order to correlate changes in a given household’s spending over time. Additionally, purchases of durable goods may be missed by surveying only at a particular moment in time as compared to a panel survey. Furthermore, misreports of expenditure data can be corrected in subsequent interviews</w:t>
      </w:r>
      <w:r w:rsidRPr="009751DE">
        <w:t>. </w:t>
      </w:r>
      <w:r w:rsidRPr="00C4675D">
        <w:t>Errors in recollection as to the exact timing of expenditures can lead to reporting of expenditures outside of the reference period. By using a panel survey, these out of scope expenditures can be eliminated.</w:t>
      </w:r>
      <w:r w:rsidRPr="009751DE">
        <w:t> Other benefits include the familiarity that respondents gain with collection and instructions provided on collecting records, enabling respondents to prepare for subsequent interview</w:t>
      </w:r>
      <w:r w:rsidR="007A29E4">
        <w:t xml:space="preserve">. </w:t>
      </w:r>
    </w:p>
    <w:p w:rsidR="00195BE4" w:rsidP="00195BE4" w14:paraId="339ACAF6" w14:textId="77777777">
      <w:pPr>
        <w:autoSpaceDE w:val="0"/>
        <w:autoSpaceDN w:val="0"/>
        <w:adjustRightInd w:val="0"/>
        <w:ind w:left="450"/>
      </w:pPr>
    </w:p>
    <w:p w:rsidR="00195BE4" w:rsidP="00195BE4" w14:paraId="0AE662DC" w14:textId="22F701D4">
      <w:pPr>
        <w:tabs>
          <w:tab w:val="left" w:pos="1176"/>
          <w:tab w:val="left" w:pos="1656"/>
          <w:tab w:val="left" w:pos="6696"/>
          <w:tab w:val="left" w:pos="8256"/>
        </w:tabs>
        <w:ind w:left="480"/>
      </w:pPr>
      <w:r>
        <w:t xml:space="preserve">Consumer Expenditure data is collected and prepared according to established methodologies that are documented and available to the public. Any changes to methodologies are evaluated by experts and cleared prior to implementation in order to prevent </w:t>
      </w:r>
      <w:r w:rsidR="00881ADC">
        <w:t>non-statistical</w:t>
      </w:r>
      <w:r>
        <w:t xml:space="preserve"> or other sources of bias</w:t>
      </w:r>
      <w:r w:rsidR="009C5688">
        <w:t>.</w:t>
      </w:r>
    </w:p>
    <w:p w:rsidR="00FA67D7" w:rsidP="001B55AF" w14:paraId="563C0B0E" w14:textId="77777777">
      <w:pPr>
        <w:tabs>
          <w:tab w:val="left" w:pos="1176"/>
          <w:tab w:val="left" w:pos="1656"/>
          <w:tab w:val="left" w:pos="6696"/>
          <w:tab w:val="left" w:pos="8256"/>
        </w:tabs>
      </w:pPr>
    </w:p>
    <w:p w:rsidR="001B55AF" w:rsidP="00FA67D7" w14:paraId="308F3E63" w14:textId="5BE325E2">
      <w:pPr>
        <w:tabs>
          <w:tab w:val="left" w:pos="1176"/>
          <w:tab w:val="left" w:pos="1656"/>
          <w:tab w:val="left" w:pos="6696"/>
          <w:tab w:val="left" w:pos="8256"/>
        </w:tabs>
        <w:ind w:left="480"/>
      </w:pPr>
      <w:r>
        <w:t xml:space="preserve">The </w:t>
      </w:r>
      <w:r w:rsidR="00733DCB">
        <w:t>Interview Survey</w:t>
      </w:r>
      <w:r>
        <w:t xml:space="preserve"> uses the CE Computer Assisted Personal Interview (CAPI) instrument to collect data. The </w:t>
      </w:r>
      <w:r w:rsidR="00733DCB">
        <w:t>Interview Survey</w:t>
      </w:r>
      <w:r>
        <w:t xml:space="preserve"> CAPI instrument is the major collection tool used for the </w:t>
      </w:r>
      <w:r w:rsidR="00733DCB">
        <w:t>Interview Survey</w:t>
      </w:r>
      <w:r>
        <w:t xml:space="preserve"> and collects the characteristics of the household, consumer unit (CU), and information on the CU’s expenditures including point of purchase through a series of four personal interviews</w:t>
      </w:r>
      <w:r w:rsidR="007A29E4">
        <w:t xml:space="preserve">. </w:t>
      </w:r>
    </w:p>
    <w:p w:rsidR="001B55AF" w:rsidP="00ED38BB" w14:paraId="27365466" w14:textId="77777777">
      <w:pPr>
        <w:tabs>
          <w:tab w:val="left" w:pos="1176"/>
          <w:tab w:val="left" w:pos="1656"/>
          <w:tab w:val="left" w:pos="6696"/>
          <w:tab w:val="left" w:pos="8256"/>
        </w:tabs>
        <w:ind w:left="480"/>
      </w:pPr>
    </w:p>
    <w:p w:rsidR="00E8675D" w:rsidP="00E8675D" w14:paraId="44D6DA88" w14:textId="31489E2C">
      <w:pPr>
        <w:tabs>
          <w:tab w:val="left" w:pos="1176"/>
          <w:tab w:val="left" w:pos="1656"/>
          <w:tab w:val="left" w:pos="6696"/>
          <w:tab w:val="left" w:pos="8256"/>
        </w:tabs>
        <w:ind w:left="480"/>
      </w:pPr>
      <w:r>
        <w:rPr>
          <w:rFonts w:eastAsia="Calibri"/>
        </w:rPr>
        <w:t xml:space="preserve">For a full list of questions in the </w:t>
      </w:r>
      <w:r w:rsidR="00733DCB">
        <w:t>Interview Survey</w:t>
      </w:r>
      <w:r>
        <w:rPr>
          <w:rFonts w:eastAsia="Calibri"/>
        </w:rPr>
        <w:t xml:space="preserve"> CAPI instrument, see Attachment A</w:t>
      </w:r>
      <w:r w:rsidR="00A90DEC">
        <w:rPr>
          <w:rFonts w:eastAsia="Calibri"/>
        </w:rPr>
        <w:t>(a)</w:t>
      </w:r>
      <w:r>
        <w:rPr>
          <w:rFonts w:eastAsia="Calibri"/>
        </w:rPr>
        <w:t xml:space="preserve">. </w:t>
      </w:r>
      <w:r>
        <w:t xml:space="preserve">In the Interview Survey, wording changes have been made to clarify answer choices and add examples in the Owned Living Quarters, Appliances, Home Furnishings, Vehicle Operating Expenses, </w:t>
      </w:r>
      <w:r w:rsidRPr="007A257E">
        <w:t>Subscriptions, Memberships, Books, and Entertainment Expenses</w:t>
      </w:r>
      <w:r>
        <w:t xml:space="preserve">, Miscellaneous Expenses, and Expense Patterns sections. In the last section of the survey, several questions </w:t>
      </w:r>
      <w:r w:rsidR="00A90DEC">
        <w:t xml:space="preserve">have been removed which are only used for research. These include questions </w:t>
      </w:r>
      <w:r>
        <w:t>that assess respondent burden</w:t>
      </w:r>
      <w:r w:rsidR="008C45FF">
        <w:t xml:space="preserve"> (difficulty, sensitivity</w:t>
      </w:r>
      <w:r w:rsidR="00A90DEC">
        <w:t>,</w:t>
      </w:r>
      <w:r w:rsidR="008C45FF">
        <w:t xml:space="preserve"> and length of the survey) and questions that </w:t>
      </w:r>
      <w:r w:rsidR="00A90DEC">
        <w:t>i</w:t>
      </w:r>
      <w:r w:rsidR="008C45FF">
        <w:t>nterviewer</w:t>
      </w:r>
      <w:r w:rsidR="00A90DEC">
        <w:t>s</w:t>
      </w:r>
      <w:r w:rsidR="008C45FF">
        <w:t xml:space="preserve"> answer on time spent on </w:t>
      </w:r>
      <w:r w:rsidR="00A90DEC">
        <w:t>the case and respondent</w:t>
      </w:r>
      <w:r>
        <w:t xml:space="preserve"> record use.</w:t>
      </w:r>
      <w:r w:rsidR="00A90DEC">
        <w:t xml:space="preserve"> Attachment A(b) contains a full list of changes to the Interview Survey </w:t>
      </w:r>
      <w:r w:rsidR="0092487C">
        <w:t xml:space="preserve">CAPI </w:t>
      </w:r>
      <w:r w:rsidR="00A90DEC">
        <w:t>instrument</w:t>
      </w:r>
      <w:r w:rsidR="007A29E4">
        <w:t xml:space="preserve">. </w:t>
      </w:r>
    </w:p>
    <w:p w:rsidR="001B55AF" w:rsidP="001B55AF" w14:paraId="42E843A2" w14:textId="018A5B57">
      <w:pPr>
        <w:tabs>
          <w:tab w:val="left" w:pos="1176"/>
          <w:tab w:val="left" w:pos="1656"/>
          <w:tab w:val="left" w:pos="6696"/>
          <w:tab w:val="left" w:pos="8256"/>
        </w:tabs>
        <w:ind w:left="480"/>
        <w:rPr>
          <w:rFonts w:eastAsia="Calibri"/>
        </w:rPr>
      </w:pPr>
    </w:p>
    <w:p w:rsidR="001B55AF" w:rsidP="001B55AF" w14:paraId="63776601" w14:textId="77777777">
      <w:pPr>
        <w:tabs>
          <w:tab w:val="left" w:pos="1176"/>
          <w:tab w:val="left" w:pos="1656"/>
          <w:tab w:val="left" w:pos="6696"/>
          <w:tab w:val="left" w:pos="8256"/>
        </w:tabs>
        <w:ind w:left="480"/>
      </w:pPr>
    </w:p>
    <w:p w:rsidR="001B55AF" w:rsidP="002721D3" w14:paraId="3B2495A7" w14:textId="14C503A9">
      <w:pPr>
        <w:tabs>
          <w:tab w:val="left" w:pos="1176"/>
          <w:tab w:val="left" w:pos="1656"/>
          <w:tab w:val="left" w:pos="6696"/>
          <w:tab w:val="left" w:pos="8256"/>
        </w:tabs>
        <w:ind w:left="480"/>
      </w:pPr>
      <w:r w:rsidRPr="0064258D">
        <w:t xml:space="preserve">The </w:t>
      </w:r>
      <w:r w:rsidR="0045027D">
        <w:t>Diary Survey</w:t>
      </w:r>
      <w:r w:rsidRPr="0064258D">
        <w:t xml:space="preserve"> uses both a CAPI instrument (see Attachment </w:t>
      </w:r>
      <w:r>
        <w:t xml:space="preserve">B </w:t>
      </w:r>
      <w:r w:rsidRPr="0064258D">
        <w:t>for the 20</w:t>
      </w:r>
      <w:r>
        <w:t>2</w:t>
      </w:r>
      <w:r w:rsidRPr="004F689C" w:rsidR="00D6655B">
        <w:t>6</w:t>
      </w:r>
      <w:r w:rsidRPr="0064258D">
        <w:t xml:space="preserve"> Diary Instrument specifications) and </w:t>
      </w:r>
      <w:r w:rsidR="002721D3">
        <w:t>a</w:t>
      </w:r>
      <w:r w:rsidRPr="0064258D" w:rsidR="002721D3">
        <w:t xml:space="preserve"> </w:t>
      </w:r>
      <w:r w:rsidRPr="0064258D">
        <w:t xml:space="preserve">paper </w:t>
      </w:r>
      <w:r>
        <w:t>diary</w:t>
      </w:r>
      <w:r w:rsidR="002721D3">
        <w:t>,</w:t>
      </w:r>
      <w:r>
        <w:t xml:space="preserve"> </w:t>
      </w:r>
      <w:r w:rsidRPr="0064258D">
        <w:t xml:space="preserve">CE-801, Record of Your Daily Expenses (Attachment </w:t>
      </w:r>
      <w:r>
        <w:t>C</w:t>
      </w:r>
      <w:r w:rsidRPr="0064258D">
        <w:t xml:space="preserve">). </w:t>
      </w:r>
      <w:r>
        <w:t xml:space="preserve">CE implemented </w:t>
      </w:r>
      <w:r w:rsidR="00840041">
        <w:t>an</w:t>
      </w:r>
      <w:r>
        <w:t xml:space="preserve"> Online diary for data collection in July 2022 (see Attachment D(a) for Online Diary specifications). As part of Online Diary collection, users are provided</w:t>
      </w:r>
      <w:r w:rsidR="007A29E4">
        <w:t xml:space="preserve"> with</w:t>
      </w:r>
      <w:r>
        <w:t xml:space="preserve"> an Online Diary User Guide (see Attachment D(b)) at placement as well as an electronic link </w:t>
      </w:r>
      <w:r w:rsidR="002721D3">
        <w:t xml:space="preserve">to </w:t>
      </w:r>
      <w:r>
        <w:t>the Online diary. Additionally, respondents who complete the Online Diary and provide an email address are sent a ‘Welcome’ email approximately 24 hours after placement and a ‘Reminder’ email on the 8</w:t>
      </w:r>
      <w:r w:rsidRPr="00334156">
        <w:rPr>
          <w:vertAlign w:val="superscript"/>
        </w:rPr>
        <w:t>th</w:t>
      </w:r>
      <w:r>
        <w:t xml:space="preserve"> day after placement (see Attachment D(c)</w:t>
      </w:r>
      <w:r w:rsidR="002721D3">
        <w:t>)</w:t>
      </w:r>
      <w:r w:rsidR="007A29E4">
        <w:t xml:space="preserve">. </w:t>
      </w:r>
    </w:p>
    <w:p w:rsidR="001B55AF" w:rsidP="001B55AF" w14:paraId="15E82B5C" w14:textId="77777777">
      <w:pPr>
        <w:tabs>
          <w:tab w:val="left" w:pos="1176"/>
          <w:tab w:val="left" w:pos="1656"/>
          <w:tab w:val="left" w:pos="6696"/>
          <w:tab w:val="left" w:pos="8256"/>
        </w:tabs>
        <w:ind w:left="480"/>
      </w:pPr>
    </w:p>
    <w:p w:rsidR="001B55AF" w:rsidP="001B55AF" w14:paraId="21D8E475" w14:textId="085622EF">
      <w:pPr>
        <w:tabs>
          <w:tab w:val="left" w:pos="1176"/>
          <w:tab w:val="left" w:pos="1656"/>
          <w:tab w:val="left" w:pos="6696"/>
          <w:tab w:val="left" w:pos="8256"/>
        </w:tabs>
        <w:ind w:left="480"/>
      </w:pPr>
      <w:r>
        <w:t xml:space="preserve">The </w:t>
      </w:r>
      <w:r w:rsidR="0045027D">
        <w:t>Diary Survey</w:t>
      </w:r>
      <w:r>
        <w:t xml:space="preserve"> </w:t>
      </w:r>
      <w:r w:rsidR="0045027D">
        <w:t>d</w:t>
      </w:r>
      <w:r>
        <w:t xml:space="preserve">iary collects information on CU expenditures by asking each selected sample unit to keep two </w:t>
      </w:r>
      <w:r w:rsidR="00FA67D7">
        <w:t xml:space="preserve">consecutive </w:t>
      </w:r>
      <w:r>
        <w:t>one-week diaries of all expenditures</w:t>
      </w:r>
      <w:r w:rsidR="007A29E4">
        <w:t xml:space="preserve">. </w:t>
      </w:r>
      <w:r>
        <w:t>The Diary is necessary to collect expenditures that respondents may not be able to recall in a retrospective interview</w:t>
      </w:r>
      <w:r w:rsidR="007A29E4">
        <w:t xml:space="preserve">. </w:t>
      </w:r>
    </w:p>
    <w:p w:rsidR="00304AD2" w:rsidP="001B55AF" w14:paraId="2A44E7AC" w14:textId="77777777">
      <w:pPr>
        <w:tabs>
          <w:tab w:val="left" w:pos="1176"/>
          <w:tab w:val="left" w:pos="1656"/>
          <w:tab w:val="left" w:pos="6696"/>
          <w:tab w:val="left" w:pos="8256"/>
        </w:tabs>
        <w:ind w:left="480"/>
      </w:pPr>
    </w:p>
    <w:p w:rsidR="008D68D1" w:rsidP="00304AD2" w14:paraId="79E8F158" w14:textId="31992C84">
      <w:pPr>
        <w:tabs>
          <w:tab w:val="left" w:pos="1176"/>
          <w:tab w:val="left" w:pos="1656"/>
          <w:tab w:val="left" w:pos="6696"/>
          <w:tab w:val="left" w:pos="8256"/>
        </w:tabs>
        <w:ind w:left="480"/>
      </w:pPr>
      <w:r>
        <w:t xml:space="preserve">The </w:t>
      </w:r>
      <w:r w:rsidR="0045027D">
        <w:t>Diary Survey</w:t>
      </w:r>
      <w:r>
        <w:t xml:space="preserve"> CAPI instrument collects information</w:t>
      </w:r>
      <w:r w:rsidRPr="008D68D1">
        <w:t xml:space="preserve"> </w:t>
      </w:r>
      <w:r>
        <w:t>through a personal interview at the time the two one-week paper diaries are placed. Demographic, income and financial interdependence questions are asked in order to assign households to a CU (see Supporting Statement Part B for additional information on CUs)</w:t>
      </w:r>
      <w:r w:rsidR="00486E0C">
        <w:t xml:space="preserve"> and measure aggregate CU expenditures across different cross-sections of the population.</w:t>
      </w:r>
    </w:p>
    <w:p w:rsidR="00304AD2" w:rsidP="00304AD2" w14:paraId="0A2EA602" w14:textId="77777777">
      <w:pPr>
        <w:tabs>
          <w:tab w:val="left" w:pos="1176"/>
          <w:tab w:val="left" w:pos="1656"/>
          <w:tab w:val="left" w:pos="6696"/>
          <w:tab w:val="left" w:pos="8256"/>
        </w:tabs>
        <w:ind w:left="480"/>
      </w:pPr>
    </w:p>
    <w:p w:rsidR="001B55AF" w:rsidP="001B55AF" w14:paraId="45AAF286" w14:textId="2ED31FAD">
      <w:pPr>
        <w:tabs>
          <w:tab w:val="left" w:pos="1176"/>
          <w:tab w:val="left" w:pos="1656"/>
          <w:tab w:val="left" w:pos="6696"/>
          <w:tab w:val="left" w:pos="8256"/>
        </w:tabs>
        <w:ind w:left="480"/>
      </w:pPr>
      <w:r w:rsidRPr="00C65418">
        <w:t xml:space="preserve">For </w:t>
      </w:r>
      <w:r w:rsidRPr="00664D7B">
        <w:t xml:space="preserve">both </w:t>
      </w:r>
      <w:r w:rsidR="00733DCB">
        <w:t>Interview Survey</w:t>
      </w:r>
      <w:r w:rsidRPr="00664D7B">
        <w:t xml:space="preserve"> and </w:t>
      </w:r>
      <w:r w:rsidR="0045027D">
        <w:t>Diary Survey</w:t>
      </w:r>
      <w:r w:rsidRPr="00664D7B">
        <w:t xml:space="preserve">, wording </w:t>
      </w:r>
      <w:r>
        <w:t xml:space="preserve">is included in the CAPI instruments </w:t>
      </w:r>
      <w:r w:rsidRPr="00664D7B">
        <w:t xml:space="preserve">regarding receipt of the </w:t>
      </w:r>
      <w:r w:rsidRPr="00224724">
        <w:t xml:space="preserve">advance letter </w:t>
      </w:r>
      <w:r w:rsidRPr="00664D7B">
        <w:t xml:space="preserve">in order to ensure communication of the confidentiality and Paperwork Reduction Act statements to respondents who may not have received the </w:t>
      </w:r>
      <w:r w:rsidRPr="00224724">
        <w:t>advance</w:t>
      </w:r>
      <w:r w:rsidRPr="004F689C">
        <w:rPr>
          <w:strike/>
        </w:rPr>
        <w:t>d</w:t>
      </w:r>
      <w:r w:rsidRPr="00224724">
        <w:t xml:space="preserve"> letter</w:t>
      </w:r>
      <w:r w:rsidR="007A29E4">
        <w:t xml:space="preserve">. </w:t>
      </w:r>
      <w:r w:rsidRPr="00664D7B">
        <w:t xml:space="preserve">(See Attachment </w:t>
      </w:r>
      <w:r>
        <w:t xml:space="preserve">H </w:t>
      </w:r>
      <w:r w:rsidRPr="00664D7B">
        <w:t>- Respondent Contact Procedures and Email Template for additional information</w:t>
      </w:r>
      <w:r w:rsidRPr="000460A4">
        <w:t>.</w:t>
      </w:r>
      <w:r>
        <w:t>)</w:t>
      </w:r>
    </w:p>
    <w:p w:rsidR="001B55AF" w:rsidP="001B55AF" w14:paraId="4A26CBEE" w14:textId="77777777">
      <w:pPr>
        <w:tabs>
          <w:tab w:val="left" w:pos="1176"/>
          <w:tab w:val="left" w:pos="1656"/>
          <w:tab w:val="left" w:pos="6696"/>
          <w:tab w:val="left" w:pos="8256"/>
        </w:tabs>
        <w:ind w:left="480"/>
      </w:pPr>
    </w:p>
    <w:p w:rsidR="001B55AF" w:rsidP="001B55AF" w14:paraId="4D6A4DB7" w14:textId="343126EB">
      <w:pPr>
        <w:tabs>
          <w:tab w:val="left" w:pos="1176"/>
          <w:tab w:val="left" w:pos="1656"/>
          <w:tab w:val="left" w:pos="6696"/>
          <w:tab w:val="left" w:pos="8256"/>
        </w:tabs>
        <w:ind w:left="480"/>
      </w:pPr>
      <w:r w:rsidRPr="001E7B52">
        <w:t xml:space="preserve">Before the interviewer’s visit, each </w:t>
      </w:r>
      <w:r w:rsidR="00733DCB">
        <w:t>Interview Survey</w:t>
      </w:r>
      <w:r w:rsidRPr="001E7B52">
        <w:t xml:space="preserve"> and </w:t>
      </w:r>
      <w:r w:rsidR="0045027D">
        <w:t>Diary Survey</w:t>
      </w:r>
      <w:r w:rsidRPr="001E7B52">
        <w:t xml:space="preserve"> sample household receives an </w:t>
      </w:r>
      <w:r w:rsidRPr="00224724">
        <w:t>Advance Letter,</w:t>
      </w:r>
      <w:r w:rsidRPr="001E7B52">
        <w:t xml:space="preserve"> the CE</w:t>
      </w:r>
      <w:r w:rsidRPr="001E7B52">
        <w:noBreakHyphen/>
        <w:t>303</w:t>
      </w:r>
      <w:r>
        <w:t xml:space="preserve"> </w:t>
      </w:r>
      <w:r w:rsidRPr="001E7B52">
        <w:t>L1, 2</w:t>
      </w:r>
      <w:r>
        <w:t>,</w:t>
      </w:r>
      <w:r w:rsidRPr="001E7B52">
        <w:t xml:space="preserve"> </w:t>
      </w:r>
      <w:r w:rsidR="00AD7BE2">
        <w:t>2R</w:t>
      </w:r>
      <w:r w:rsidRPr="001E7B52">
        <w:t xml:space="preserve">, or 4 (Attachment </w:t>
      </w:r>
      <w:r>
        <w:t>E</w:t>
      </w:r>
      <w:r w:rsidRPr="001E7B52">
        <w:t>(a-d)</w:t>
      </w:r>
      <w:r>
        <w:t xml:space="preserve"> </w:t>
      </w:r>
      <w:r w:rsidRPr="001E7B52">
        <w:t xml:space="preserve">or CE-803(L) (Attachment </w:t>
      </w:r>
      <w:r>
        <w:t>E</w:t>
      </w:r>
      <w:r w:rsidRPr="001E7B52">
        <w:t>(e))</w:t>
      </w:r>
      <w:r w:rsidR="007A29E4">
        <w:t xml:space="preserve">. </w:t>
      </w:r>
      <w:r w:rsidRPr="001E7B52">
        <w:t xml:space="preserve">These letters explain the nature of the information the BLS wants to collect and the uses of the </w:t>
      </w:r>
      <w:r w:rsidR="00733DCB">
        <w:t xml:space="preserve">Interview Survey </w:t>
      </w:r>
      <w:r w:rsidRPr="001E7B52">
        <w:t xml:space="preserve">or the </w:t>
      </w:r>
      <w:r w:rsidR="0045027D">
        <w:t>Diary Survey</w:t>
      </w:r>
      <w:r w:rsidRPr="001E7B52">
        <w:t xml:space="preserve"> data, as appropriate; inform the respondents of the confidential treatment of all identifying information they provide; request the respondents’ participation in the survey; describe the survey’s compliance with the relevant provisions of the Privacy Act and the Office of Management and Budget (OMB) disclosure requirements; and provide a link to the address of the respondent’s informational webpage. </w:t>
      </w:r>
      <w:r w:rsidR="00E8675D">
        <w:t xml:space="preserve">Advance letters have been revised to improve </w:t>
      </w:r>
      <w:r w:rsidR="00AD7BE2">
        <w:t xml:space="preserve">visual </w:t>
      </w:r>
      <w:r w:rsidR="00E8675D">
        <w:t xml:space="preserve">clarity and readability </w:t>
      </w:r>
      <w:r w:rsidR="00AD7BE2">
        <w:t xml:space="preserve">by </w:t>
      </w:r>
      <w:r w:rsidR="007A29E4">
        <w:t>using</w:t>
      </w:r>
      <w:r w:rsidR="00AD7BE2">
        <w:t xml:space="preserve"> simpler language, shorter sentences, varying fonts</w:t>
      </w:r>
      <w:r w:rsidR="00E8675D">
        <w:t xml:space="preserve">, </w:t>
      </w:r>
      <w:r w:rsidR="00AD7BE2">
        <w:t>and add</w:t>
      </w:r>
      <w:r w:rsidR="008C45FF">
        <w:t xml:space="preserve">ed </w:t>
      </w:r>
      <w:r w:rsidR="00AD7BE2">
        <w:t xml:space="preserve">information in the FAQs about the legitimacy of the survey. The advance letters have been reworded so that they will not require the signature of the Census Bureau Director. Letters being sent to respondents who completed earlier waves also include a list of records they could bring to the interview to help them report expenses more accurately. This list has been </w:t>
      </w:r>
      <w:r w:rsidR="008C45FF">
        <w:t>redesigned to improve visual clarity and readability.</w:t>
      </w:r>
      <w:r w:rsidRPr="001E7B52">
        <w:t xml:space="preserve"> Each of </w:t>
      </w:r>
      <w:r w:rsidRPr="00224724">
        <w:t>the advance letters</w:t>
      </w:r>
      <w:r w:rsidRPr="001E7B52">
        <w:t xml:space="preserve"> and several of the brochures in the portfolio are available in the following languages:  Arabic, Chinese, Korean, Spanish, Russian, Vietnamese, and Polish.</w:t>
      </w:r>
      <w:r>
        <w:t xml:space="preserve"> </w:t>
      </w:r>
      <w:r w:rsidRPr="00271767">
        <w:t>In order</w:t>
      </w:r>
      <w:r>
        <w:t xml:space="preserve"> to encourage cooperation, letters are also sent to respondents who were reluctant, or refused to participate, or were unable to be contacted, or whose contact attempt did not result in a complete interview (Attachment F (a-i))</w:t>
      </w:r>
      <w:r w:rsidR="007A29E4">
        <w:t xml:space="preserve">. </w:t>
      </w:r>
      <w:r>
        <w:t>Respondents can also be offered a postcard with general information about CE and its uses (Attachment G).</w:t>
      </w:r>
    </w:p>
    <w:p w:rsidR="00673B1B" w:rsidP="00673B1B" w14:paraId="5BC3C2F0" w14:textId="77777777">
      <w:pPr>
        <w:tabs>
          <w:tab w:val="left" w:pos="1176"/>
          <w:tab w:val="left" w:pos="1656"/>
          <w:tab w:val="left" w:pos="6696"/>
          <w:tab w:val="left" w:pos="8256"/>
        </w:tabs>
      </w:pPr>
    </w:p>
    <w:p w:rsidR="001B55AF" w:rsidP="001B55AF" w14:paraId="7C5D3454" w14:textId="6EE7BC13">
      <w:pPr>
        <w:tabs>
          <w:tab w:val="left" w:pos="1176"/>
          <w:tab w:val="left" w:pos="1656"/>
          <w:tab w:val="left" w:pos="6696"/>
          <w:tab w:val="left" w:pos="8256"/>
        </w:tabs>
        <w:ind w:left="450"/>
      </w:pPr>
      <w:r w:rsidRPr="00A8191E">
        <w:t xml:space="preserve">A subsample of approximately </w:t>
      </w:r>
      <w:r>
        <w:t>12</w:t>
      </w:r>
      <w:r w:rsidRPr="00A8191E">
        <w:t xml:space="preserve"> percent of households in the Interview Survey</w:t>
      </w:r>
      <w:r>
        <w:t xml:space="preserve"> </w:t>
      </w:r>
      <w:r w:rsidRPr="00A8191E">
        <w:t xml:space="preserve">and </w:t>
      </w:r>
      <w:r w:rsidR="00B37059">
        <w:t>14.5</w:t>
      </w:r>
      <w:r>
        <w:t xml:space="preserve"> percent in the Diary Survey will participate in an additional CAPI interview, referred to as </w:t>
      </w:r>
      <w:r w:rsidRPr="00D36270">
        <w:t>reinterview, for the purpose of instituting quality control over the performance of the interviewing staff.</w:t>
      </w:r>
      <w:r>
        <w:t xml:space="preserve"> (See the</w:t>
      </w:r>
      <w:r w:rsidR="00D6655B">
        <w:t xml:space="preserve"> </w:t>
      </w:r>
      <w:r w:rsidRPr="00B1245B">
        <w:t>202</w:t>
      </w:r>
      <w:r w:rsidRPr="004F689C" w:rsidR="005D3CE2">
        <w:t>6</w:t>
      </w:r>
      <w:r w:rsidRPr="00D36270">
        <w:t xml:space="preserve"> Interview CAPI Reinterview instrument (Attachment </w:t>
      </w:r>
      <w:r>
        <w:t>I(a)</w:t>
      </w:r>
      <w:r w:rsidRPr="00D36270">
        <w:t xml:space="preserve"> -</w:t>
      </w:r>
      <w:r>
        <w:t xml:space="preserve"> </w:t>
      </w:r>
      <w:r w:rsidRPr="00D36270">
        <w:t xml:space="preserve">Final </w:t>
      </w:r>
      <w:r w:rsidR="00733DCB">
        <w:t xml:space="preserve">Interview Survey </w:t>
      </w:r>
      <w:r w:rsidR="007A29E4">
        <w:t>-</w:t>
      </w:r>
      <w:r w:rsidR="009C5688">
        <w:t xml:space="preserve"> </w:t>
      </w:r>
      <w:r w:rsidRPr="00D36270">
        <w:t>RI Instrument Specs)</w:t>
      </w:r>
      <w:r>
        <w:t xml:space="preserve"> and t</w:t>
      </w:r>
      <w:r w:rsidRPr="00D36270">
        <w:t xml:space="preserve">he Diary Reinterview Instrument </w:t>
      </w:r>
      <w:r>
        <w:t xml:space="preserve">(Attachment I(b) </w:t>
      </w:r>
      <w:r w:rsidR="0045027D">
        <w:t>Diary Survey</w:t>
      </w:r>
      <w:r w:rsidRPr="0064258D" w:rsidR="0045027D">
        <w:t xml:space="preserve"> </w:t>
      </w:r>
      <w:r>
        <w:t>RI Instrument Specs)</w:t>
      </w:r>
      <w:r w:rsidR="00E060A2">
        <w:t>.</w:t>
      </w:r>
    </w:p>
    <w:p w:rsidR="001B55AF" w:rsidP="001B55AF" w14:paraId="112E2E77" w14:textId="77777777">
      <w:pPr>
        <w:tabs>
          <w:tab w:val="left" w:pos="1176"/>
          <w:tab w:val="left" w:pos="1656"/>
          <w:tab w:val="left" w:pos="6696"/>
          <w:tab w:val="left" w:pos="8256"/>
        </w:tabs>
        <w:ind w:left="450"/>
      </w:pPr>
    </w:p>
    <w:p w:rsidR="001B55AF" w:rsidRPr="00710637" w:rsidP="001B55AF" w14:paraId="29A6DC86" w14:textId="486EEDE9">
      <w:pPr>
        <w:tabs>
          <w:tab w:val="left" w:pos="1176"/>
          <w:tab w:val="left" w:pos="1656"/>
          <w:tab w:val="left" w:pos="6696"/>
          <w:tab w:val="left" w:pos="8256"/>
        </w:tabs>
        <w:ind w:left="480"/>
      </w:pPr>
      <w:r w:rsidRPr="00710637">
        <w:t xml:space="preserve">Beginning in 2023, a combined Information Booklet </w:t>
      </w:r>
      <w:r>
        <w:t>(Attachment J</w:t>
      </w:r>
      <w:r w:rsidR="00B56342">
        <w:t>(a)</w:t>
      </w:r>
      <w:r>
        <w:t xml:space="preserve">) </w:t>
      </w:r>
      <w:r w:rsidRPr="00710637">
        <w:t xml:space="preserve">was used for both the </w:t>
      </w:r>
      <w:r w:rsidR="00733DCB">
        <w:t xml:space="preserve">Interview </w:t>
      </w:r>
      <w:r w:rsidRPr="00710637">
        <w:t xml:space="preserve">and </w:t>
      </w:r>
      <w:r w:rsidR="0045027D">
        <w:t>Diary Survey</w:t>
      </w:r>
      <w:r w:rsidRPr="0064258D" w:rsidR="0045027D">
        <w:t xml:space="preserve"> </w:t>
      </w:r>
      <w:r w:rsidRPr="00710637">
        <w:t xml:space="preserve">surveys in order to save on </w:t>
      </w:r>
      <w:r w:rsidRPr="00710637">
        <w:rPr>
          <w:rStyle w:val="ui-provider"/>
        </w:rPr>
        <w:t>printing costs, reduce the number of materials to maintain, and reduce duplication for FRs.</w:t>
      </w:r>
      <w:r w:rsidRPr="00710637">
        <w:t xml:space="preserve"> </w:t>
      </w:r>
      <w:r w:rsidR="00FA67D7">
        <w:t xml:space="preserve">Updates were made to the </w:t>
      </w:r>
      <w:r>
        <w:t>c</w:t>
      </w:r>
      <w:r w:rsidRPr="00710637">
        <w:t>ombined Survey Information Booklet CE</w:t>
      </w:r>
      <w:r w:rsidRPr="00710637">
        <w:noBreakHyphen/>
        <w:t>305/CE-805</w:t>
      </w:r>
      <w:r w:rsidR="00FA67D7">
        <w:t xml:space="preserve"> </w:t>
      </w:r>
      <w:r w:rsidR="00B56342">
        <w:t xml:space="preserve">for 2026 </w:t>
      </w:r>
      <w:r w:rsidR="00FA67D7">
        <w:t>to make it consistent with question wording changes in the Interview Survey instrument and provide more useful examples</w:t>
      </w:r>
      <w:r w:rsidRPr="00710637">
        <w:t>.</w:t>
      </w:r>
      <w:r w:rsidR="00B56342">
        <w:t xml:space="preserve"> Additionally</w:t>
      </w:r>
      <w:r w:rsidR="00FA67D7">
        <w:t>, an online version of the Information Booklet is being introduced</w:t>
      </w:r>
      <w:r w:rsidR="00B56342">
        <w:t xml:space="preserve"> in 2026 which can be accessed through a link on the Census webpage. The content of the online version closely follows the existing paper version of the combined Information Booklet</w:t>
      </w:r>
      <w:r w:rsidR="0092487C">
        <w:t xml:space="preserve"> with some differences due to the content being online</w:t>
      </w:r>
      <w:r w:rsidR="00E35944">
        <w:t xml:space="preserve">. For our online public facing material, </w:t>
      </w:r>
      <w:r w:rsidRPr="00E35944" w:rsidR="00E35944">
        <w:t xml:space="preserve">a new disclaimer was added stating </w:t>
      </w:r>
      <w:r w:rsidR="00E35944">
        <w:t>that examples and brand names used in the Consumer Expenditure Survey questionnaire and materials are solely based on publicly available sources</w:t>
      </w:r>
      <w:r w:rsidR="00B56342">
        <w:t>.</w:t>
      </w:r>
      <w:r w:rsidRPr="00710637">
        <w:t xml:space="preserve"> </w:t>
      </w:r>
      <w:r w:rsidRPr="00B1245B" w:rsidR="00B56342">
        <w:t>Attachment J (b)</w:t>
      </w:r>
      <w:r w:rsidR="00B56342">
        <w:t xml:space="preserve"> includes screenshots of the Online Information Booklet</w:t>
      </w:r>
      <w:r w:rsidR="007A29E4">
        <w:t xml:space="preserve">. </w:t>
      </w:r>
    </w:p>
    <w:p w:rsidR="001B55AF" w:rsidRPr="00710637" w:rsidP="001B55AF" w14:paraId="0166D846" w14:textId="77777777">
      <w:pPr>
        <w:tabs>
          <w:tab w:val="left" w:pos="1176"/>
          <w:tab w:val="left" w:pos="1656"/>
          <w:tab w:val="left" w:pos="6696"/>
          <w:tab w:val="left" w:pos="8256"/>
        </w:tabs>
        <w:ind w:left="480"/>
      </w:pPr>
    </w:p>
    <w:p w:rsidR="001B55AF" w:rsidRPr="00710637" w:rsidP="001B55AF" w14:paraId="6183B5DE" w14:textId="426773F8">
      <w:pPr>
        <w:tabs>
          <w:tab w:val="left" w:pos="1176"/>
          <w:tab w:val="left" w:pos="1656"/>
          <w:tab w:val="left" w:pos="6696"/>
          <w:tab w:val="left" w:pos="8256"/>
        </w:tabs>
        <w:ind w:left="480"/>
      </w:pPr>
      <w:r w:rsidRPr="00710637">
        <w:t xml:space="preserve">At the first interview for both the </w:t>
      </w:r>
      <w:r w:rsidR="00733DCB">
        <w:t>Interview Survey</w:t>
      </w:r>
      <w:r w:rsidRPr="00710637">
        <w:t xml:space="preserve"> and </w:t>
      </w:r>
      <w:r w:rsidR="0045027D">
        <w:t>Diary Survey</w:t>
      </w:r>
      <w:r w:rsidRPr="00710637">
        <w:t xml:space="preserve">, the field representative (FR) gives the respondent a portfolio filled with information on CE, CPI and the Census Bureau (Attachment </w:t>
      </w:r>
      <w:r>
        <w:t>K</w:t>
      </w:r>
      <w:r w:rsidRPr="00710637">
        <w:t>(a-d)</w:t>
      </w:r>
      <w:r w:rsidR="004430C3">
        <w:t>)</w:t>
      </w:r>
      <w:r w:rsidRPr="00710637">
        <w:t xml:space="preserve">. </w:t>
      </w:r>
      <w:r>
        <w:t>Additionally, the FR may leave a business card with a sticker attached informing the respondent that the FR tried to reach them and asking the respondent to call the FR (Attachment L)</w:t>
      </w:r>
      <w:r w:rsidR="007A29E4">
        <w:t xml:space="preserve">. </w:t>
      </w:r>
      <w:r w:rsidRPr="0026180D">
        <w:t xml:space="preserve">Also available to respondents is the </w:t>
      </w:r>
      <w:r w:rsidRPr="005D3CE2">
        <w:t xml:space="preserve">respondent </w:t>
      </w:r>
      <w:r w:rsidRPr="004F689C" w:rsidR="00A65006">
        <w:t>w</w:t>
      </w:r>
      <w:r w:rsidRPr="005D3CE2">
        <w:t>eb</w:t>
      </w:r>
      <w:r w:rsidRPr="0026180D">
        <w:t xml:space="preserve"> page, expenditure summaries showing expenditures by various characteristics (</w:t>
      </w:r>
      <w:r w:rsidRPr="00B1245B">
        <w:t>Attachment M(a-</w:t>
      </w:r>
      <w:r w:rsidRPr="004F689C" w:rsidR="003D77D0">
        <w:t>b</w:t>
      </w:r>
      <w:r w:rsidRPr="00B1245B">
        <w:t>)),</w:t>
      </w:r>
      <w:r w:rsidRPr="0026180D">
        <w:t xml:space="preserve"> and an endorsement from the Federal Reserve Board of Governors (Attachment </w:t>
      </w:r>
      <w:r>
        <w:t>N</w:t>
      </w:r>
      <w:r w:rsidRPr="0026180D">
        <w:t>)</w:t>
      </w:r>
      <w:r w:rsidR="007A29E4">
        <w:t xml:space="preserve">. </w:t>
      </w:r>
      <w:r w:rsidRPr="00710637">
        <w:t xml:space="preserve">The respondent </w:t>
      </w:r>
      <w:r w:rsidRPr="005D3CE2">
        <w:t>web</w:t>
      </w:r>
      <w:r w:rsidRPr="00710637">
        <w:t xml:space="preserve"> page contains information about the CE surveys, frequently asked questions, and links to the most recent CE data. The respondent handouts contain spending summaries for various demographic characteristics and expenditures on pets</w:t>
      </w:r>
      <w:r w:rsidR="007A29E4">
        <w:t xml:space="preserve">. </w:t>
      </w:r>
      <w:r w:rsidRPr="00710637">
        <w:t>Respondents who participate in the Interview Survey are also provided with a “</w:t>
      </w:r>
      <w:r w:rsidRPr="005D3CE2">
        <w:t>Home File” i</w:t>
      </w:r>
      <w:r w:rsidRPr="00710637">
        <w:t xml:space="preserve">n which to save their bills and receipts for use at the next </w:t>
      </w:r>
      <w:r w:rsidR="00733DCB">
        <w:t>Interview Survey</w:t>
      </w:r>
      <w:r w:rsidRPr="00710637">
        <w:t xml:space="preserve"> interview.</w:t>
      </w:r>
    </w:p>
    <w:p w:rsidR="001B55AF" w:rsidRPr="00710637" w:rsidP="001B55AF" w14:paraId="14E4E795" w14:textId="77777777">
      <w:pPr>
        <w:tabs>
          <w:tab w:val="left" w:pos="1176"/>
          <w:tab w:val="left" w:pos="1656"/>
          <w:tab w:val="left" w:pos="6696"/>
          <w:tab w:val="left" w:pos="8256"/>
        </w:tabs>
        <w:ind w:left="480"/>
      </w:pPr>
    </w:p>
    <w:p w:rsidR="001B55AF" w:rsidRPr="00710637" w:rsidP="001B55AF" w14:paraId="2C950D95" w14:textId="74B5DAD4">
      <w:pPr>
        <w:tabs>
          <w:tab w:val="left" w:pos="1176"/>
          <w:tab w:val="left" w:pos="1656"/>
          <w:tab w:val="left" w:pos="6696"/>
          <w:tab w:val="left" w:pos="8256"/>
        </w:tabs>
        <w:ind w:left="480"/>
      </w:pPr>
      <w:r w:rsidRPr="00710637">
        <w:t xml:space="preserve">After each interview for the </w:t>
      </w:r>
      <w:r w:rsidR="00733DCB">
        <w:t>Interview Survey</w:t>
      </w:r>
      <w:r w:rsidRPr="00710637">
        <w:t xml:space="preserve"> or after completion of the week 2 Diary, each participating household receives a </w:t>
      </w:r>
      <w:r w:rsidR="002A624D">
        <w:t xml:space="preserve">preprinted or </w:t>
      </w:r>
      <w:r w:rsidR="00D060A3">
        <w:t>blank</w:t>
      </w:r>
      <w:r w:rsidRPr="00B1245B">
        <w:t>Thank You postcard (Attachment O (a-</w:t>
      </w:r>
      <w:r w:rsidRPr="004F689C" w:rsidR="003D77D0">
        <w:t>b</w:t>
      </w:r>
      <w:r w:rsidRPr="00B1245B">
        <w:t>))</w:t>
      </w:r>
      <w:r w:rsidRPr="00710637">
        <w:t xml:space="preserve"> as well as a certificate of appreciation, CE-900 (Attachment </w:t>
      </w:r>
      <w:r>
        <w:t>P</w:t>
      </w:r>
      <w:r w:rsidRPr="00710637">
        <w:t>)</w:t>
      </w:r>
      <w:r w:rsidR="007A29E4">
        <w:t xml:space="preserve">. </w:t>
      </w:r>
    </w:p>
    <w:p w:rsidR="001B55AF" w:rsidRPr="00710637" w:rsidP="001B55AF" w14:paraId="6D36C76C" w14:textId="77777777">
      <w:pPr>
        <w:tabs>
          <w:tab w:val="left" w:pos="1176"/>
          <w:tab w:val="left" w:pos="1656"/>
          <w:tab w:val="left" w:pos="6696"/>
          <w:tab w:val="left" w:pos="8256"/>
        </w:tabs>
        <w:ind w:left="480"/>
      </w:pPr>
    </w:p>
    <w:p w:rsidR="001B55AF" w:rsidP="001B55AF" w14:paraId="698D6036" w14:textId="49D52379">
      <w:pPr>
        <w:tabs>
          <w:tab w:val="left" w:pos="1176"/>
          <w:tab w:val="left" w:pos="1656"/>
          <w:tab w:val="left" w:pos="6696"/>
          <w:tab w:val="left" w:pos="8256"/>
        </w:tabs>
        <w:ind w:left="480"/>
      </w:pPr>
      <w:r w:rsidRPr="00E32F8A">
        <w:t>As appropriate, Census Field representatives may also provide supplemental flyers on the Interview or the Diary Survey (Attachments</w:t>
      </w:r>
      <w:r>
        <w:t xml:space="preserve"> Q</w:t>
      </w:r>
      <w:r w:rsidRPr="00E32F8A">
        <w:t xml:space="preserve"> and </w:t>
      </w:r>
      <w:r>
        <w:t>R</w:t>
      </w:r>
      <w:r w:rsidRPr="00E32F8A">
        <w:t>).</w:t>
      </w:r>
    </w:p>
    <w:p w:rsidR="00195BE4" w:rsidP="00195BE4" w14:paraId="6BE78455" w14:textId="1B693043">
      <w:pPr>
        <w:tabs>
          <w:tab w:val="left" w:pos="1176"/>
          <w:tab w:val="left" w:pos="1656"/>
          <w:tab w:val="left" w:pos="6696"/>
          <w:tab w:val="left" w:pos="8256"/>
        </w:tabs>
        <w:ind w:left="480"/>
      </w:pPr>
    </w:p>
    <w:p w:rsidR="001B55AF" w:rsidP="00E31C53" w14:paraId="45506D33" w14:textId="77777777">
      <w:pPr>
        <w:tabs>
          <w:tab w:val="left" w:pos="1176"/>
          <w:tab w:val="left" w:pos="1656"/>
          <w:tab w:val="left" w:pos="6696"/>
          <w:tab w:val="left" w:pos="8256"/>
        </w:tabs>
        <w:ind w:left="450"/>
      </w:pPr>
    </w:p>
    <w:p w:rsidR="009B6B95" w:rsidRPr="00E570DF" w:rsidP="00E570DF" w14:paraId="2CD27683" w14:textId="39C0D3A2">
      <w:pPr>
        <w:pStyle w:val="ListParagraph"/>
        <w:numPr>
          <w:ilvl w:val="0"/>
          <w:numId w:val="11"/>
        </w:numPr>
        <w:spacing w:after="0" w:line="240" w:lineRule="auto"/>
        <w:ind w:left="450"/>
      </w:pPr>
      <w:r>
        <w:rPr>
          <w:rFonts w:ascii="Times New Roman" w:hAnsi="Times New Roman" w:cs="Times New Roman"/>
          <w:b/>
          <w:bCs/>
          <w:sz w:val="24"/>
          <w:szCs w:val="24"/>
        </w:rPr>
        <w:t xml:space="preserve"> </w:t>
      </w:r>
      <w:r w:rsidRPr="00E570DF" w:rsidR="00C45BD1">
        <w:rPr>
          <w:rFonts w:ascii="Times New Roman" w:hAnsi="Times New Roman" w:cs="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7A29E4">
        <w:rPr>
          <w:rFonts w:ascii="Times New Roman" w:hAnsi="Times New Roman" w:cs="Times New Roman"/>
          <w:b/>
          <w:bCs/>
          <w:sz w:val="24"/>
          <w:szCs w:val="24"/>
        </w:rPr>
        <w:t xml:space="preserve">. </w:t>
      </w:r>
      <w:r w:rsidRPr="00E570DF" w:rsidR="00C45BD1">
        <w:rPr>
          <w:rFonts w:ascii="Times New Roman" w:hAnsi="Times New Roman" w:cs="Times New Roman"/>
          <w:b/>
          <w:bCs/>
          <w:sz w:val="24"/>
          <w:szCs w:val="24"/>
        </w:rPr>
        <w:t>Also, describe any consideration of using information technology to reduce burden.</w:t>
      </w:r>
    </w:p>
    <w:p w:rsidR="00673B1B" w:rsidRPr="00413F89" w:rsidP="00E570DF" w14:paraId="001A4928" w14:textId="2AF4C9A5">
      <w:pPr>
        <w:pStyle w:val="ListParagraph"/>
        <w:spacing w:after="0" w:line="240" w:lineRule="auto"/>
        <w:ind w:left="450"/>
      </w:pPr>
      <w:r w:rsidRPr="00E570DF">
        <w:rPr>
          <w:rFonts w:ascii="Times New Roman" w:hAnsi="Times New Roman" w:cs="Times New Roman"/>
          <w:b/>
          <w:bCs/>
          <w:sz w:val="24"/>
          <w:szCs w:val="24"/>
        </w:rPr>
        <w:br/>
      </w:r>
      <w:r w:rsidRPr="00E570DF" w:rsidR="001930A9">
        <w:rPr>
          <w:rFonts w:ascii="Times New Roman" w:hAnsi="Times New Roman"/>
          <w:sz w:val="24"/>
        </w:rPr>
        <w:t xml:space="preserve">Since </w:t>
      </w:r>
      <w:r w:rsidRPr="00E570DF">
        <w:rPr>
          <w:rFonts w:ascii="Times New Roman" w:hAnsi="Times New Roman"/>
          <w:sz w:val="24"/>
        </w:rPr>
        <w:t xml:space="preserve">April 2003, </w:t>
      </w:r>
      <w:r w:rsidRPr="00733DCB">
        <w:rPr>
          <w:rFonts w:ascii="Times New Roman" w:hAnsi="Times New Roman" w:cs="Times New Roman"/>
          <w:sz w:val="24"/>
          <w:szCs w:val="24"/>
        </w:rPr>
        <w:t xml:space="preserve">the </w:t>
      </w:r>
      <w:r w:rsidRPr="004F689C" w:rsidR="00733DCB">
        <w:rPr>
          <w:rFonts w:ascii="Times New Roman" w:hAnsi="Times New Roman" w:cs="Times New Roman"/>
          <w:sz w:val="24"/>
          <w:szCs w:val="24"/>
        </w:rPr>
        <w:t xml:space="preserve">Interview Survey </w:t>
      </w:r>
      <w:r w:rsidR="007A29E4">
        <w:rPr>
          <w:rFonts w:ascii="Times New Roman" w:hAnsi="Times New Roman" w:cs="Times New Roman"/>
          <w:sz w:val="24"/>
          <w:szCs w:val="24"/>
        </w:rPr>
        <w:t xml:space="preserve">has been </w:t>
      </w:r>
      <w:r w:rsidRPr="00E570DF">
        <w:rPr>
          <w:rFonts w:ascii="Times New Roman" w:hAnsi="Times New Roman"/>
          <w:sz w:val="24"/>
        </w:rPr>
        <w:t xml:space="preserve">collected using CAPI. The CAPI instrument </w:t>
      </w:r>
      <w:r w:rsidR="00573EAB">
        <w:rPr>
          <w:rFonts w:ascii="Times New Roman" w:hAnsi="Times New Roman"/>
          <w:sz w:val="24"/>
        </w:rPr>
        <w:t xml:space="preserve">is on the </w:t>
      </w:r>
      <w:r w:rsidR="00500C28">
        <w:rPr>
          <w:rFonts w:ascii="Times New Roman" w:hAnsi="Times New Roman"/>
          <w:sz w:val="24"/>
        </w:rPr>
        <w:t xml:space="preserve">Census </w:t>
      </w:r>
      <w:r w:rsidR="00573EAB">
        <w:rPr>
          <w:rFonts w:ascii="Times New Roman" w:hAnsi="Times New Roman"/>
          <w:sz w:val="24"/>
        </w:rPr>
        <w:t xml:space="preserve">Field </w:t>
      </w:r>
      <w:r w:rsidR="00500C28">
        <w:rPr>
          <w:rFonts w:ascii="Times New Roman" w:hAnsi="Times New Roman"/>
          <w:sz w:val="24"/>
        </w:rPr>
        <w:t>R</w:t>
      </w:r>
      <w:r w:rsidR="00573EAB">
        <w:rPr>
          <w:rFonts w:ascii="Times New Roman" w:hAnsi="Times New Roman"/>
          <w:sz w:val="24"/>
        </w:rPr>
        <w:t>epresentatives</w:t>
      </w:r>
      <w:r w:rsidR="00500C28">
        <w:rPr>
          <w:rFonts w:ascii="Times New Roman" w:hAnsi="Times New Roman"/>
          <w:sz w:val="24"/>
        </w:rPr>
        <w:t>’</w:t>
      </w:r>
      <w:r w:rsidR="00573EAB">
        <w:rPr>
          <w:rFonts w:ascii="Times New Roman" w:hAnsi="Times New Roman"/>
          <w:sz w:val="24"/>
        </w:rPr>
        <w:t xml:space="preserve"> </w:t>
      </w:r>
      <w:r w:rsidR="00500C28">
        <w:rPr>
          <w:rFonts w:ascii="Times New Roman" w:hAnsi="Times New Roman"/>
          <w:sz w:val="24"/>
        </w:rPr>
        <w:t xml:space="preserve">(FR) </w:t>
      </w:r>
      <w:r w:rsidR="00573EAB">
        <w:rPr>
          <w:rFonts w:ascii="Times New Roman" w:hAnsi="Times New Roman"/>
          <w:sz w:val="24"/>
        </w:rPr>
        <w:t>laptops and response</w:t>
      </w:r>
      <w:r w:rsidR="00500C28">
        <w:rPr>
          <w:rFonts w:ascii="Times New Roman" w:hAnsi="Times New Roman"/>
          <w:sz w:val="24"/>
        </w:rPr>
        <w:t>s</w:t>
      </w:r>
      <w:r w:rsidR="00573EAB">
        <w:rPr>
          <w:rFonts w:ascii="Times New Roman" w:hAnsi="Times New Roman"/>
          <w:sz w:val="24"/>
        </w:rPr>
        <w:t xml:space="preserve"> are entered by the </w:t>
      </w:r>
      <w:r w:rsidR="00500C28">
        <w:rPr>
          <w:rFonts w:ascii="Times New Roman" w:hAnsi="Times New Roman"/>
          <w:sz w:val="24"/>
        </w:rPr>
        <w:t>FRs</w:t>
      </w:r>
      <w:r w:rsidR="00573EAB">
        <w:rPr>
          <w:rFonts w:ascii="Times New Roman" w:hAnsi="Times New Roman"/>
          <w:sz w:val="24"/>
        </w:rPr>
        <w:t xml:space="preserve"> during collection. CAPI </w:t>
      </w:r>
      <w:r w:rsidRPr="00E570DF">
        <w:rPr>
          <w:rFonts w:ascii="Times New Roman" w:hAnsi="Times New Roman"/>
          <w:sz w:val="24"/>
        </w:rPr>
        <w:t xml:space="preserve">has streamlined the interviewing process and improved accuracy by eliminating the need for interviewers to make difficult decisions about correct branching and skip patterns during the interview. Where appropriate, screening questions in the instrument are used to determine eligibility for </w:t>
      </w:r>
      <w:r w:rsidRPr="00E570DF" w:rsidR="00903D14">
        <w:rPr>
          <w:rFonts w:ascii="Times New Roman" w:hAnsi="Times New Roman"/>
          <w:sz w:val="24"/>
        </w:rPr>
        <w:t>the administration of more detailed questions to each respondent</w:t>
      </w:r>
      <w:r w:rsidRPr="00E570DF">
        <w:rPr>
          <w:rFonts w:ascii="Times New Roman" w:hAnsi="Times New Roman"/>
          <w:sz w:val="24"/>
        </w:rPr>
        <w:t>. CAPI implementation for the Diary Household Characteristics Survey occurred in January 2004.</w:t>
      </w:r>
      <w:r w:rsidRPr="00E570DF" w:rsidR="00AB1521">
        <w:rPr>
          <w:rFonts w:ascii="Times New Roman" w:hAnsi="Times New Roman"/>
          <w:sz w:val="24"/>
        </w:rPr>
        <w:t xml:space="preserve"> Edit checks alert the Field Representative to irreconcilable data during the interview so that the correct data can be obtained</w:t>
      </w:r>
      <w:r w:rsidRPr="00E570DF" w:rsidR="00F721B6">
        <w:rPr>
          <w:rFonts w:ascii="Times New Roman" w:hAnsi="Times New Roman"/>
          <w:sz w:val="24"/>
        </w:rPr>
        <w:t xml:space="preserve"> </w:t>
      </w:r>
      <w:r w:rsidRPr="00E570DF" w:rsidR="00593419">
        <w:rPr>
          <w:rFonts w:ascii="Times New Roman" w:hAnsi="Times New Roman"/>
          <w:sz w:val="24"/>
        </w:rPr>
        <w:t xml:space="preserve">and verified by </w:t>
      </w:r>
      <w:r w:rsidRPr="00E570DF" w:rsidR="00F721B6">
        <w:rPr>
          <w:rFonts w:ascii="Times New Roman" w:hAnsi="Times New Roman"/>
          <w:sz w:val="24"/>
        </w:rPr>
        <w:t>the respondent</w:t>
      </w:r>
      <w:r w:rsidRPr="00E570DF" w:rsidR="00AB1521">
        <w:rPr>
          <w:rFonts w:ascii="Times New Roman" w:hAnsi="Times New Roman"/>
          <w:sz w:val="24"/>
        </w:rPr>
        <w:t>.</w:t>
      </w:r>
      <w:r w:rsidRPr="00E570DF" w:rsidR="006454E0">
        <w:rPr>
          <w:rFonts w:ascii="Times New Roman" w:hAnsi="Times New Roman"/>
          <w:sz w:val="24"/>
        </w:rPr>
        <w:t xml:space="preserve"> Additionally, online Diaries were introduced as part of the Large Scale Feasibility test in April 2020</w:t>
      </w:r>
      <w:r w:rsidR="00530317">
        <w:rPr>
          <w:rFonts w:ascii="Times New Roman" w:hAnsi="Times New Roman"/>
          <w:sz w:val="24"/>
        </w:rPr>
        <w:t>,</w:t>
      </w:r>
      <w:r w:rsidRPr="00E570DF" w:rsidR="006454E0">
        <w:rPr>
          <w:rFonts w:ascii="Times New Roman" w:hAnsi="Times New Roman"/>
          <w:sz w:val="24"/>
        </w:rPr>
        <w:t xml:space="preserve"> implemented in production as needed due to the coronavirus pandemic in April 2021</w:t>
      </w:r>
      <w:r w:rsidR="00530317">
        <w:rPr>
          <w:rFonts w:ascii="Times New Roman" w:hAnsi="Times New Roman"/>
          <w:sz w:val="24"/>
        </w:rPr>
        <w:t>, and fully implemented in July 2022</w:t>
      </w:r>
      <w:r w:rsidRPr="00E570DF" w:rsidR="006454E0">
        <w:rPr>
          <w:rFonts w:ascii="Times New Roman" w:hAnsi="Times New Roman"/>
          <w:sz w:val="24"/>
        </w:rPr>
        <w:t xml:space="preserve">. </w:t>
      </w:r>
    </w:p>
    <w:p w:rsidR="00673B1B" w:rsidP="00673B1B" w14:paraId="0B754074" w14:textId="77777777"/>
    <w:p w:rsidR="0076284D" w:rsidRPr="0076284D" w:rsidP="0076284D" w14:paraId="7B882021" w14:textId="1B06A92F">
      <w:pPr>
        <w:tabs>
          <w:tab w:val="left" w:pos="1176"/>
          <w:tab w:val="left" w:pos="1656"/>
          <w:tab w:val="left" w:pos="6696"/>
          <w:tab w:val="left" w:pos="8256"/>
        </w:tabs>
        <w:ind w:left="480" w:hanging="480"/>
      </w:pPr>
      <w:r>
        <w:t>4.</w:t>
      </w:r>
      <w:r>
        <w:tab/>
      </w:r>
      <w:r w:rsidRPr="00E570DF">
        <w:rPr>
          <w:b/>
        </w:rPr>
        <w:t>De</w:t>
      </w:r>
      <w:r w:rsidRPr="00E77209">
        <w:rPr>
          <w:b/>
          <w:bCs/>
        </w:rPr>
        <w:t>scribe</w:t>
      </w:r>
      <w:r w:rsidRPr="0076284D">
        <w:rPr>
          <w:b/>
          <w:bCs/>
        </w:rPr>
        <w:t xml:space="preserve"> efforts to identify duplication</w:t>
      </w:r>
      <w:r w:rsidR="007A29E4">
        <w:rPr>
          <w:b/>
          <w:bCs/>
        </w:rPr>
        <w:t xml:space="preserve">. </w:t>
      </w:r>
      <w:r w:rsidRPr="0076284D">
        <w:rPr>
          <w:b/>
          <w:bCs/>
        </w:rPr>
        <w:t>Show specifically why any similar information already available cannot be used or modified for use for the purposes described in Item A.2 above.</w:t>
      </w:r>
    </w:p>
    <w:p w:rsidR="00673B1B" w:rsidP="00673B1B" w14:paraId="2C36491B" w14:textId="462BE68A">
      <w:pPr>
        <w:tabs>
          <w:tab w:val="left" w:pos="1176"/>
          <w:tab w:val="left" w:pos="1656"/>
          <w:tab w:val="left" w:pos="6696"/>
          <w:tab w:val="left" w:pos="8256"/>
        </w:tabs>
        <w:ind w:left="480" w:hanging="480"/>
      </w:pPr>
      <w:r>
        <w:br/>
        <w:t xml:space="preserve">To our knowledge, no other </w:t>
      </w:r>
      <w:r w:rsidR="00500C28">
        <w:t>f</w:t>
      </w:r>
      <w:r>
        <w:t>ederal agency is collecting this information.</w:t>
      </w:r>
    </w:p>
    <w:p w:rsidR="00673B1B" w:rsidP="00673B1B" w14:paraId="399F640C" w14:textId="77777777">
      <w:pPr>
        <w:tabs>
          <w:tab w:val="left" w:pos="1176"/>
          <w:tab w:val="left" w:pos="1656"/>
          <w:tab w:val="left" w:pos="6696"/>
          <w:tab w:val="left" w:pos="8256"/>
        </w:tabs>
      </w:pPr>
    </w:p>
    <w:p w:rsidR="00673B1B" w:rsidP="00673B1B" w14:paraId="32CDE362" w14:textId="0C847990">
      <w:pPr>
        <w:tabs>
          <w:tab w:val="left" w:pos="1176"/>
          <w:tab w:val="left" w:pos="1656"/>
          <w:tab w:val="left" w:pos="6696"/>
          <w:tab w:val="left" w:pos="8256"/>
        </w:tabs>
        <w:ind w:left="480"/>
      </w:pPr>
      <w:r>
        <w:t>Similar information with or without modifications does not exist. The CPI requires consumer expenditure data in order to produce item cost</w:t>
      </w:r>
      <w:r>
        <w:noBreakHyphen/>
        <w:t xml:space="preserve">weights estimates for the </w:t>
      </w:r>
      <w:smartTag w:uri="urn:schemas-microsoft-com:office:smarttags" w:element="place">
        <w:smartTag w:uri="urn:schemas-microsoft-com:office:smarttags" w:element="country-region">
          <w:r>
            <w:t>U.S.</w:t>
          </w:r>
        </w:smartTag>
      </w:smartTag>
      <w:r>
        <w:t xml:space="preserve"> urban population, and for several major metropolitan areas. Additionally, to estimate cost weights for the population covered by the </w:t>
      </w:r>
      <w:r w:rsidRPr="00E3685C" w:rsidR="000556E5">
        <w:t>“</w:t>
      </w:r>
      <w:r>
        <w:t>CPI for Urban Wage Earners and Clerical Workers</w:t>
      </w:r>
      <w:r w:rsidRPr="00E3685C">
        <w:t>,</w:t>
      </w:r>
      <w:r w:rsidRPr="00E3685C" w:rsidR="000556E5">
        <w:t>”</w:t>
      </w:r>
      <w:r>
        <w:t xml:space="preserve"> the BLS needs occupation and income from respondents to determine if we should use their expenditures in this index.</w:t>
      </w:r>
    </w:p>
    <w:p w:rsidR="00673B1B" w:rsidP="00673B1B" w14:paraId="1F98FF9E" w14:textId="77777777">
      <w:pPr>
        <w:tabs>
          <w:tab w:val="left" w:pos="1176"/>
          <w:tab w:val="left" w:pos="1656"/>
          <w:tab w:val="left" w:pos="6696"/>
          <w:tab w:val="left" w:pos="8256"/>
        </w:tabs>
      </w:pPr>
    </w:p>
    <w:p w:rsidR="00673B1B" w:rsidP="00673B1B" w14:paraId="4B932225" w14:textId="75BA6077">
      <w:pPr>
        <w:tabs>
          <w:tab w:val="left" w:pos="1176"/>
          <w:tab w:val="left" w:pos="1656"/>
          <w:tab w:val="left" w:pos="6696"/>
          <w:tab w:val="left" w:pos="8256"/>
        </w:tabs>
        <w:ind w:left="480"/>
      </w:pPr>
      <w:r>
        <w:t>The only data source that approaches the CPI needs is the Personal Consumption Expenditures (PCE) published by the Bureau of Economic Analysis. However, these data do not allow the BLS to tabulate by the demographic characteristics and geograph</w:t>
      </w:r>
      <w:r w:rsidR="002A0B99">
        <w:t>ic areas</w:t>
      </w:r>
      <w:r>
        <w:t xml:space="preserve"> necessary for producing estimates of cost weights for indexes published by the BLS</w:t>
      </w:r>
      <w:r w:rsidR="004253BD">
        <w:t xml:space="preserve"> as well as for many other analytical uses of the data</w:t>
      </w:r>
      <w:r>
        <w:t>. The PCE estimates, in addition to being too aggregated and lacking the statistical qualities</w:t>
      </w:r>
      <w:r w:rsidR="00222B10">
        <w:t xml:space="preserve"> of the CE</w:t>
      </w:r>
      <w:r>
        <w:t>, also cover the institutional population that is out</w:t>
      </w:r>
      <w:r>
        <w:noBreakHyphen/>
        <w:t>of</w:t>
      </w:r>
      <w:r>
        <w:noBreakHyphen/>
        <w:t>scope for the CPI.</w:t>
      </w:r>
    </w:p>
    <w:p w:rsidR="00673B1B" w:rsidP="00673B1B" w14:paraId="6691C5CC" w14:textId="77777777">
      <w:pPr>
        <w:tabs>
          <w:tab w:val="left" w:pos="1176"/>
          <w:tab w:val="left" w:pos="1656"/>
          <w:tab w:val="left" w:pos="6696"/>
          <w:tab w:val="left" w:pos="8256"/>
        </w:tabs>
      </w:pPr>
    </w:p>
    <w:p w:rsidR="0076284D" w:rsidRPr="0076284D" w:rsidP="00E570DF" w14:paraId="7098E905" w14:textId="6843380A">
      <w:pPr>
        <w:tabs>
          <w:tab w:val="left" w:pos="1176"/>
          <w:tab w:val="left" w:pos="1656"/>
          <w:tab w:val="left" w:pos="6696"/>
          <w:tab w:val="left" w:pos="8256"/>
        </w:tabs>
        <w:ind w:left="360" w:hanging="360"/>
        <w:rPr>
          <w:b/>
          <w:bCs/>
        </w:rPr>
      </w:pPr>
      <w:r>
        <w:t>5.</w:t>
      </w:r>
      <w:r>
        <w:tab/>
      </w:r>
      <w:r w:rsidRPr="0076284D">
        <w:rPr>
          <w:b/>
          <w:bCs/>
        </w:rPr>
        <w:t>If the collection of information impacts small businesses or other small entities, describe any methods used to minimize burden.</w:t>
      </w:r>
    </w:p>
    <w:p w:rsidR="00673B1B" w:rsidP="00673B1B" w14:paraId="015E1395" w14:textId="4D406784">
      <w:pPr>
        <w:tabs>
          <w:tab w:val="left" w:pos="1176"/>
          <w:tab w:val="left" w:pos="1656"/>
          <w:tab w:val="left" w:pos="6696"/>
          <w:tab w:val="left" w:pos="8256"/>
        </w:tabs>
        <w:ind w:left="480" w:hanging="480"/>
      </w:pPr>
      <w:r>
        <w:br/>
      </w:r>
      <w:r w:rsidR="00A06770">
        <w:t>T</w:t>
      </w:r>
      <w:r>
        <w:t>he collection of information on the CE questionnaires involves individuals or households, not small businesses.</w:t>
      </w:r>
    </w:p>
    <w:p w:rsidR="00673B1B" w:rsidP="00673B1B" w14:paraId="1121E0E5" w14:textId="77777777">
      <w:pPr>
        <w:tabs>
          <w:tab w:val="left" w:pos="1176"/>
          <w:tab w:val="left" w:pos="1656"/>
          <w:tab w:val="left" w:pos="6696"/>
          <w:tab w:val="left" w:pos="8256"/>
        </w:tabs>
      </w:pPr>
    </w:p>
    <w:p w:rsidR="0076284D" w:rsidRPr="00D53DEB" w:rsidP="00E570DF" w14:paraId="1E2482E8" w14:textId="1A566054">
      <w:pPr>
        <w:ind w:left="360" w:hanging="360"/>
        <w:rPr>
          <w:b/>
          <w:bCs/>
        </w:rPr>
      </w:pPr>
      <w:r>
        <w:t>6</w:t>
      </w:r>
      <w:r w:rsidR="007A29E4">
        <w:t xml:space="preserve">. </w:t>
      </w:r>
      <w:r>
        <w:t xml:space="preserve"> </w:t>
      </w:r>
      <w:r w:rsidRPr="00D53DEB">
        <w:rPr>
          <w:b/>
          <w:bCs/>
        </w:rPr>
        <w:t>Describe the consequence to federal program or policy activities if the collection is not conducted or is conducted less frequently, as well as any technical or legal obstacles to reducing burden.</w:t>
      </w:r>
    </w:p>
    <w:p w:rsidR="00673B1B" w:rsidP="00673B1B" w14:paraId="5BBD79A6" w14:textId="0286E8DE">
      <w:pPr>
        <w:tabs>
          <w:tab w:val="left" w:pos="1176"/>
          <w:tab w:val="left" w:pos="1656"/>
          <w:tab w:val="left" w:pos="6696"/>
          <w:tab w:val="left" w:pos="8256"/>
        </w:tabs>
        <w:ind w:left="480" w:hanging="480"/>
      </w:pPr>
      <w:r>
        <w:br/>
        <w:t>Before 1979, the BLS collected consumer income and expenditure data every 10 to 15 years as a major component of large</w:t>
      </w:r>
      <w:r>
        <w:noBreakHyphen/>
        <w:t>scale periodic projects to update and revise the CPI. By conducting the consumer expenditure surveys continuously, the BLS is able to provide more frequent, up to date data</w:t>
      </w:r>
      <w:r w:rsidR="00F1508C">
        <w:t>,</w:t>
      </w:r>
      <w:r>
        <w:t xml:space="preserve"> thereby increasing the overall quality and efficiency of the CPI revisions. If the BLS does </w:t>
      </w:r>
      <w:r>
        <w:t xml:space="preserve">not conduct the CE Surveys on a continuing basis, current information necessary for timely </w:t>
      </w:r>
      <w:r w:rsidR="00366AA6">
        <w:t>and</w:t>
      </w:r>
      <w:r>
        <w:t xml:space="preserve"> accurate updating of the CPI would not be available. In addition, the BLS would not be able to respond to the continuing demand</w:t>
      </w:r>
      <w:r>
        <w:noBreakHyphen/>
        <w:t>from the public and private sectors</w:t>
      </w:r>
      <w:r>
        <w:noBreakHyphen/>
        <w:t>for current information on consumer spending and income.</w:t>
      </w:r>
    </w:p>
    <w:p w:rsidR="00673B1B" w:rsidP="00673B1B" w14:paraId="0EF0AD16" w14:textId="77777777">
      <w:pPr>
        <w:tabs>
          <w:tab w:val="left" w:pos="1176"/>
          <w:tab w:val="left" w:pos="1656"/>
          <w:tab w:val="left" w:pos="6696"/>
          <w:tab w:val="left" w:pos="8256"/>
        </w:tabs>
        <w:ind w:left="480"/>
      </w:pPr>
    </w:p>
    <w:p w:rsidR="00673B1B" w:rsidP="00673B1B" w14:paraId="422CE3A2" w14:textId="0CA03809">
      <w:pPr>
        <w:tabs>
          <w:tab w:val="left" w:pos="1176"/>
          <w:tab w:val="left" w:pos="1656"/>
          <w:tab w:val="left" w:pos="6696"/>
          <w:tab w:val="left" w:pos="8256"/>
        </w:tabs>
        <w:ind w:left="480"/>
      </w:pPr>
      <w:r>
        <w:t>Data from the CE are the basis for determining the market basket of the CPI. The CPI market basket is updated approximately every two years</w:t>
      </w:r>
      <w:r w:rsidR="00900DD6">
        <w:t>,</w:t>
      </w:r>
      <w:r>
        <w:t xml:space="preserve"> and the updated market</w:t>
      </w:r>
      <w:r w:rsidR="0093617F">
        <w:t xml:space="preserve"> basket</w:t>
      </w:r>
      <w:r>
        <w:t xml:space="preserve"> is two years old at the time of introduction.</w:t>
      </w:r>
    </w:p>
    <w:p w:rsidR="00673B1B" w:rsidP="00673B1B" w14:paraId="4F2591FF" w14:textId="77777777">
      <w:pPr>
        <w:tabs>
          <w:tab w:val="left" w:pos="1176"/>
          <w:tab w:val="left" w:pos="1656"/>
          <w:tab w:val="left" w:pos="6696"/>
          <w:tab w:val="left" w:pos="8256"/>
        </w:tabs>
        <w:ind w:left="480"/>
      </w:pPr>
    </w:p>
    <w:p w:rsidR="00673B1B" w:rsidP="00673B1B" w14:paraId="6F5EBCCC" w14:textId="3EB7B47F">
      <w:pPr>
        <w:tabs>
          <w:tab w:val="left" w:pos="1176"/>
          <w:tab w:val="left" w:pos="1656"/>
          <w:tab w:val="left" w:pos="6696"/>
          <w:tab w:val="left" w:pos="8256"/>
        </w:tabs>
        <w:ind w:left="480"/>
      </w:pPr>
      <w:r>
        <w:t xml:space="preserve">In addition, the </w:t>
      </w:r>
      <w:r w:rsidR="006170FC">
        <w:t xml:space="preserve">CE’s </w:t>
      </w:r>
      <w:r>
        <w:t xml:space="preserve">current sample size and rapid data processing </w:t>
      </w:r>
      <w:r w:rsidR="002502B2">
        <w:t>allow the BLS to produce superlative</w:t>
      </w:r>
      <w:r>
        <w:t xml:space="preserve"> measures of consumer price trends much closer to real time than would be possible in the absence of a large sample. Su</w:t>
      </w:r>
      <w:r w:rsidR="002502B2">
        <w:t>ch indexes</w:t>
      </w:r>
      <w:r>
        <w:t xml:space="preserve"> are widely regarded as closer approximations to a cost-of-living index than the current CPI.</w:t>
      </w:r>
    </w:p>
    <w:p w:rsidR="006F4286" w:rsidP="00F721B6" w14:paraId="207DE429" w14:textId="77777777">
      <w:pPr>
        <w:tabs>
          <w:tab w:val="left" w:pos="1176"/>
          <w:tab w:val="left" w:pos="1656"/>
          <w:tab w:val="left" w:pos="6696"/>
          <w:tab w:val="left" w:pos="8256"/>
        </w:tabs>
      </w:pPr>
    </w:p>
    <w:p w:rsidR="00E77209" w:rsidRPr="00E77209" w:rsidP="00E77209" w14:paraId="6E90AEFB" w14:textId="33E2CEC4">
      <w:pPr>
        <w:tabs>
          <w:tab w:val="left" w:pos="1176"/>
          <w:tab w:val="left" w:pos="1656"/>
          <w:tab w:val="left" w:pos="6696"/>
          <w:tab w:val="left" w:pos="8256"/>
        </w:tabs>
        <w:ind w:left="432" w:hanging="432"/>
      </w:pPr>
      <w:r>
        <w:t>7.</w:t>
      </w:r>
      <w:r>
        <w:tab/>
      </w:r>
      <w:r w:rsidRPr="00E77209">
        <w:rPr>
          <w:b/>
          <w:bCs/>
        </w:rPr>
        <w:t>Explain any special circumstances that would cause an information collection to be conducted in a manner:</w:t>
      </w:r>
    </w:p>
    <w:p w:rsidR="00E77209" w:rsidRPr="00E77209" w:rsidP="00E77209" w14:paraId="3F95BBDC" w14:textId="77777777">
      <w:pPr>
        <w:numPr>
          <w:ilvl w:val="0"/>
          <w:numId w:val="57"/>
        </w:numPr>
        <w:tabs>
          <w:tab w:val="left" w:pos="1176"/>
          <w:tab w:val="left" w:pos="1656"/>
          <w:tab w:val="left" w:pos="6696"/>
          <w:tab w:val="left" w:pos="8256"/>
        </w:tabs>
        <w:rPr>
          <w:b/>
          <w:bCs/>
        </w:rPr>
      </w:pPr>
      <w:r w:rsidRPr="00E77209">
        <w:rPr>
          <w:b/>
          <w:bCs/>
        </w:rPr>
        <w:t>requiring respondents to report information to the agency more often than quarterly;</w:t>
      </w:r>
    </w:p>
    <w:p w:rsidR="00E77209" w:rsidRPr="00E77209" w:rsidP="00E77209" w14:paraId="6E54B751" w14:textId="77777777">
      <w:pPr>
        <w:numPr>
          <w:ilvl w:val="0"/>
          <w:numId w:val="57"/>
        </w:numPr>
        <w:tabs>
          <w:tab w:val="left" w:pos="1176"/>
          <w:tab w:val="left" w:pos="1656"/>
          <w:tab w:val="left" w:pos="6696"/>
          <w:tab w:val="left" w:pos="8256"/>
        </w:tabs>
        <w:rPr>
          <w:b/>
          <w:bCs/>
        </w:rPr>
      </w:pPr>
      <w:r w:rsidRPr="00E77209">
        <w:rPr>
          <w:b/>
          <w:bCs/>
        </w:rPr>
        <w:t>requiring respondents to prepare a written response to a collection of information in fewer than 30 days after receipt of it;</w:t>
      </w:r>
    </w:p>
    <w:p w:rsidR="00E77209" w:rsidRPr="00E77209" w:rsidP="00E77209" w14:paraId="43099ACF" w14:textId="77777777">
      <w:pPr>
        <w:numPr>
          <w:ilvl w:val="0"/>
          <w:numId w:val="57"/>
        </w:numPr>
        <w:tabs>
          <w:tab w:val="left" w:pos="1176"/>
          <w:tab w:val="left" w:pos="1656"/>
          <w:tab w:val="left" w:pos="6696"/>
          <w:tab w:val="left" w:pos="8256"/>
        </w:tabs>
        <w:rPr>
          <w:b/>
          <w:bCs/>
        </w:rPr>
      </w:pPr>
      <w:r w:rsidRPr="00E77209">
        <w:rPr>
          <w:b/>
          <w:bCs/>
        </w:rPr>
        <w:t>requiring respondents to submit more than an original and two copies of any document;</w:t>
      </w:r>
    </w:p>
    <w:p w:rsidR="00E77209" w:rsidRPr="00E77209" w:rsidP="00E77209" w14:paraId="6284BEC1" w14:textId="77777777">
      <w:pPr>
        <w:numPr>
          <w:ilvl w:val="0"/>
          <w:numId w:val="57"/>
        </w:numPr>
        <w:tabs>
          <w:tab w:val="left" w:pos="1176"/>
          <w:tab w:val="left" w:pos="1656"/>
          <w:tab w:val="left" w:pos="6696"/>
          <w:tab w:val="left" w:pos="8256"/>
        </w:tabs>
        <w:rPr>
          <w:b/>
          <w:bCs/>
        </w:rPr>
      </w:pPr>
      <w:r w:rsidRPr="00E77209">
        <w:rPr>
          <w:b/>
          <w:bCs/>
        </w:rPr>
        <w:t>requiring respondents to retain records, other than health, medical, government contract, grant-in-aid, or tax records for more than three years;</w:t>
      </w:r>
    </w:p>
    <w:p w:rsidR="00E77209" w:rsidRPr="00E77209" w:rsidP="00E77209" w14:paraId="1996DDDD" w14:textId="77777777">
      <w:pPr>
        <w:numPr>
          <w:ilvl w:val="0"/>
          <w:numId w:val="57"/>
        </w:numPr>
        <w:tabs>
          <w:tab w:val="left" w:pos="1176"/>
          <w:tab w:val="left" w:pos="1656"/>
          <w:tab w:val="left" w:pos="6696"/>
          <w:tab w:val="left" w:pos="8256"/>
        </w:tabs>
        <w:rPr>
          <w:b/>
          <w:bCs/>
        </w:rPr>
      </w:pPr>
      <w:r w:rsidRPr="00E77209">
        <w:rPr>
          <w:b/>
          <w:bCs/>
        </w:rPr>
        <w:t>in connection with a statistical survey, that is not designed to produce valid and reliable results that can be generalized to the universe of study;</w:t>
      </w:r>
    </w:p>
    <w:p w:rsidR="00E77209" w:rsidRPr="00E77209" w:rsidP="00E77209" w14:paraId="4BCA2267" w14:textId="77777777">
      <w:pPr>
        <w:numPr>
          <w:ilvl w:val="0"/>
          <w:numId w:val="57"/>
        </w:numPr>
        <w:tabs>
          <w:tab w:val="left" w:pos="1176"/>
          <w:tab w:val="left" w:pos="1656"/>
          <w:tab w:val="left" w:pos="6696"/>
          <w:tab w:val="left" w:pos="8256"/>
        </w:tabs>
        <w:rPr>
          <w:b/>
          <w:bCs/>
        </w:rPr>
      </w:pPr>
      <w:r w:rsidRPr="00E77209">
        <w:rPr>
          <w:b/>
          <w:bCs/>
        </w:rPr>
        <w:t>requiring the use of statistical data classification that has not been reviewed and approved by OMB;</w:t>
      </w:r>
    </w:p>
    <w:p w:rsidR="00E77209" w:rsidRPr="00E77209" w:rsidP="00E77209" w14:paraId="2496AF53" w14:textId="77777777">
      <w:pPr>
        <w:numPr>
          <w:ilvl w:val="0"/>
          <w:numId w:val="57"/>
        </w:numPr>
        <w:tabs>
          <w:tab w:val="left" w:pos="1176"/>
          <w:tab w:val="left" w:pos="1656"/>
          <w:tab w:val="left" w:pos="6696"/>
          <w:tab w:val="left" w:pos="8256"/>
        </w:tabs>
        <w:rPr>
          <w:b/>
          <w:bCs/>
        </w:rPr>
      </w:pPr>
      <w:r w:rsidRPr="00E77209">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77209" w:rsidRPr="00E77209" w:rsidP="00E77209" w14:paraId="43D0B7D4" w14:textId="77777777">
      <w:pPr>
        <w:numPr>
          <w:ilvl w:val="0"/>
          <w:numId w:val="57"/>
        </w:numPr>
        <w:tabs>
          <w:tab w:val="left" w:pos="1176"/>
          <w:tab w:val="left" w:pos="1656"/>
          <w:tab w:val="left" w:pos="6696"/>
          <w:tab w:val="left" w:pos="8256"/>
        </w:tabs>
        <w:rPr>
          <w:b/>
          <w:bCs/>
        </w:rPr>
      </w:pPr>
      <w:r w:rsidRPr="00E77209">
        <w:rPr>
          <w:b/>
          <w:bCs/>
        </w:rPr>
        <w:t>requiring respondents to submit proprietary trade secret, or other confidential information unless the agency can demonstrate that it has instituted procedures to protect the information's confidentially to the extent permitted by law.</w:t>
      </w:r>
    </w:p>
    <w:p w:rsidR="00673B1B" w:rsidP="00F721B6" w14:paraId="18A6AAB9" w14:textId="0BE893B0">
      <w:pPr>
        <w:tabs>
          <w:tab w:val="left" w:pos="1176"/>
          <w:tab w:val="left" w:pos="1656"/>
          <w:tab w:val="left" w:pos="6696"/>
          <w:tab w:val="left" w:pos="8256"/>
        </w:tabs>
        <w:ind w:left="432" w:hanging="432"/>
      </w:pPr>
      <w:r>
        <w:br/>
        <w:t xml:space="preserve">The </w:t>
      </w:r>
      <w:r w:rsidR="0045027D">
        <w:t>Diary Survey</w:t>
      </w:r>
      <w:r>
        <w:t xml:space="preserve"> requests that each selected sample unit keep two one-week diaries of expenditures over two consecutive weeks</w:t>
      </w:r>
      <w:r w:rsidR="007A29E4">
        <w:t xml:space="preserve">. </w:t>
      </w:r>
      <w:r>
        <w:t xml:space="preserve">The </w:t>
      </w:r>
      <w:r w:rsidR="0045027D">
        <w:t>Diary Survey</w:t>
      </w:r>
      <w:r>
        <w:t xml:space="preserve"> collects information on small, relatively inexpensive items that respondents may not be able to recall in a retrospective survey. Given the type of data collected, the </w:t>
      </w:r>
      <w:r w:rsidR="00B77DE4">
        <w:t>BLS</w:t>
      </w:r>
      <w:r>
        <w:t xml:space="preserve"> requests</w:t>
      </w:r>
      <w:r w:rsidR="00B77DE4">
        <w:t xml:space="preserve"> Diary Survey</w:t>
      </w:r>
      <w:r>
        <w:t xml:space="preserve"> respondents to record responses in fewer than 30 days after </w:t>
      </w:r>
      <w:r w:rsidR="007A29E4">
        <w:t>receiving</w:t>
      </w:r>
      <w:r>
        <w:t xml:space="preserve"> it.</w:t>
      </w:r>
    </w:p>
    <w:p w:rsidR="004A73C4" w:rsidP="00F721B6" w14:paraId="540FD4C5" w14:textId="77777777">
      <w:pPr>
        <w:tabs>
          <w:tab w:val="left" w:pos="1176"/>
          <w:tab w:val="left" w:pos="1656"/>
          <w:tab w:val="left" w:pos="6696"/>
          <w:tab w:val="left" w:pos="8256"/>
        </w:tabs>
        <w:ind w:left="432" w:hanging="432"/>
      </w:pPr>
    </w:p>
    <w:p w:rsidR="00DA55C9" w:rsidRPr="00DA55C9" w:rsidP="0095528E" w14:paraId="240F7450" w14:textId="1DC537B1">
      <w:pPr>
        <w:tabs>
          <w:tab w:val="left" w:pos="1176"/>
          <w:tab w:val="left" w:pos="1656"/>
          <w:tab w:val="left" w:pos="6696"/>
          <w:tab w:val="left" w:pos="8256"/>
        </w:tabs>
        <w:ind w:left="360"/>
      </w:pPr>
      <w:r>
        <w:t>P</w:t>
      </w:r>
      <w:r w:rsidRPr="005D3CE2" w:rsidR="00304AD2">
        <w:t xml:space="preserve">er the OMB Statistical Policy Directive (SPD) No. 15, CE is researching the implementation of the new race and ethnicity questions. CE is developing a plan to implement these changes into data collection, processing, and publication. CE will communicate </w:t>
      </w:r>
      <w:r>
        <w:t>the</w:t>
      </w:r>
      <w:r w:rsidRPr="005D3CE2" w:rsidR="00304AD2">
        <w:t xml:space="preserve"> plan throughout the process to all stakeholders</w:t>
      </w:r>
      <w:r w:rsidR="007A29E4">
        <w:t xml:space="preserve">. </w:t>
      </w:r>
      <w:r w:rsidRPr="005D3CE2" w:rsidR="00304AD2">
        <w:t xml:space="preserve">CE plans to add the new questions to the production data collection instruments in the </w:t>
      </w:r>
      <w:r w:rsidRPr="005D3CE2" w:rsidR="0045027D">
        <w:t>Diary Survey</w:t>
      </w:r>
      <w:r w:rsidRPr="005D3CE2" w:rsidR="00304AD2">
        <w:t xml:space="preserve"> by January of 2027 and in </w:t>
      </w:r>
      <w:r w:rsidRPr="005D3CE2" w:rsidR="00733DCB">
        <w:t>the Interview Survey</w:t>
      </w:r>
      <w:r w:rsidRPr="005D3CE2" w:rsidR="00304AD2">
        <w:t xml:space="preserve"> by April of 2027</w:t>
      </w:r>
      <w:r w:rsidR="007A29E4">
        <w:t xml:space="preserve">. </w:t>
      </w:r>
      <w:r>
        <w:t xml:space="preserve">This data will be </w:t>
      </w:r>
      <w:r>
        <w:t xml:space="preserve">published in </w:t>
      </w:r>
      <w:r w:rsidR="00A90DEC">
        <w:t>Fall</w:t>
      </w:r>
      <w:r w:rsidR="00E8675D">
        <w:t xml:space="preserve"> 2028</w:t>
      </w:r>
      <w:r w:rsidRPr="005D3CE2" w:rsidR="00304AD2">
        <w:t xml:space="preserve"> ahead of the required implementation date of March 28, 2029 for the publication of estimates that reflect the new race/ethnicity questions. CE plans to coordinate an implementation date with the Current Population Survey (CPS), due to the use of CPS data in CE processing, and an interest in aligning implementation schedules for the two surveys. CE's plans will be documented in DOL's SPD 15 Action Plan as well as in any interim CE Information Collection Requests. </w:t>
      </w:r>
    </w:p>
    <w:p w:rsidR="004A73C4" w:rsidRPr="00D76BA4" w:rsidP="00F721B6" w14:paraId="79116DE1" w14:textId="77777777">
      <w:pPr>
        <w:tabs>
          <w:tab w:val="left" w:pos="1176"/>
          <w:tab w:val="left" w:pos="1656"/>
          <w:tab w:val="left" w:pos="6696"/>
          <w:tab w:val="left" w:pos="8256"/>
        </w:tabs>
        <w:ind w:left="432" w:hanging="432"/>
      </w:pPr>
    </w:p>
    <w:p w:rsidR="00673B1B" w:rsidP="00673B1B" w14:paraId="4CF04D07" w14:textId="77777777">
      <w:pPr>
        <w:tabs>
          <w:tab w:val="left" w:pos="1176"/>
          <w:tab w:val="left" w:pos="1656"/>
          <w:tab w:val="left" w:pos="6696"/>
          <w:tab w:val="left" w:pos="8256"/>
        </w:tabs>
      </w:pPr>
    </w:p>
    <w:p w:rsidR="00E83CE9" w:rsidP="00E83CE9" w14:paraId="39C7ECDF" w14:textId="77777777">
      <w:pPr>
        <w:tabs>
          <w:tab w:val="left" w:pos="1176"/>
          <w:tab w:val="left" w:pos="1656"/>
          <w:tab w:val="left" w:pos="6696"/>
          <w:tab w:val="left" w:pos="8256"/>
        </w:tabs>
        <w:ind w:left="2253"/>
      </w:pPr>
    </w:p>
    <w:p w:rsidR="00E77209" w:rsidRPr="00E570DF" w:rsidP="00E570DF" w14:paraId="055B0007" w14:textId="1629A18B">
      <w:pPr>
        <w:autoSpaceDE w:val="0"/>
        <w:autoSpaceDN w:val="0"/>
        <w:adjustRightInd w:val="0"/>
        <w:ind w:left="360" w:hanging="360"/>
        <w:rPr>
          <w:b/>
        </w:rPr>
      </w:pPr>
      <w:r w:rsidRPr="00E570DF">
        <w:rPr>
          <w:b/>
        </w:rPr>
        <w:t>8.</w:t>
      </w:r>
      <w:r w:rsidRPr="00E570DF" w:rsidR="00222B10">
        <w:rPr>
          <w:b/>
        </w:rPr>
        <w:tab/>
      </w:r>
      <w:r w:rsidRPr="005D3CE2">
        <w:rPr>
          <w:b/>
        </w:rPr>
        <w:t>If a</w:t>
      </w:r>
      <w:r w:rsidRPr="005D3CE2">
        <w:rPr>
          <w:b/>
          <w:bCs/>
        </w:rPr>
        <w:t xml:space="preserve">pplicable, provide a copy and identify the date and page number of publication in the </w:t>
      </w:r>
      <w:r w:rsidRPr="005D3CE2">
        <w:rPr>
          <w:b/>
          <w:bCs/>
          <w:i/>
          <w:iCs/>
        </w:rPr>
        <w:t>Federal Register</w:t>
      </w:r>
      <w:r w:rsidRPr="005D3CE2">
        <w:rPr>
          <w:b/>
          <w:bCs/>
        </w:rPr>
        <w:t xml:space="preserve"> of the agency's notice, required by 5 CFR 1320.8(d), soliciting comments on the information collection prior to submission to OMB. Summarize public comments received in response to that notice and describe actions</w:t>
      </w:r>
      <w:r w:rsidRPr="00E77209">
        <w:rPr>
          <w:b/>
          <w:bCs/>
        </w:rPr>
        <w:t xml:space="preserve"> taken by the agency in response to these comments. </w:t>
      </w:r>
      <w:r w:rsidR="00881ADC">
        <w:rPr>
          <w:b/>
          <w:bCs/>
        </w:rPr>
        <w:t>S</w:t>
      </w:r>
      <w:r w:rsidRPr="00E77209">
        <w:rPr>
          <w:b/>
          <w:bCs/>
        </w:rPr>
        <w:t>pecifically address comments received on cost and hour burden.</w:t>
      </w:r>
    </w:p>
    <w:p w:rsidR="00E77209" w:rsidRPr="00E77209" w:rsidP="00E570DF" w14:paraId="0F1CBD40" w14:textId="7976C484">
      <w:pPr>
        <w:autoSpaceDE w:val="0"/>
        <w:autoSpaceDN w:val="0"/>
        <w:adjustRightInd w:val="0"/>
        <w:ind w:left="432"/>
        <w:rPr>
          <w:b/>
          <w:bCs/>
        </w:rPr>
      </w:pPr>
      <w:r>
        <w:rPr>
          <w:b/>
          <w:bCs/>
        </w:rPr>
        <w:br/>
      </w:r>
      <w:r w:rsidRPr="00E77209">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77209" w:rsidRPr="00E77209" w:rsidP="00E570DF" w14:paraId="5C94F646" w14:textId="55A8F90D">
      <w:pPr>
        <w:autoSpaceDE w:val="0"/>
        <w:autoSpaceDN w:val="0"/>
        <w:adjustRightInd w:val="0"/>
        <w:ind w:left="432"/>
      </w:pPr>
      <w:r>
        <w:rPr>
          <w:b/>
          <w:bCs/>
        </w:rPr>
        <w:br/>
      </w:r>
      <w:r w:rsidRPr="00E77209">
        <w:rPr>
          <w:b/>
          <w:bCs/>
        </w:rPr>
        <w:t>Consultation with representatives of those from whom information is to be obtained or those who must compile records should occur at least once every 3 years -- even if the collection-of-information activity is the same as in prior periods</w:t>
      </w:r>
      <w:r w:rsidR="007A29E4">
        <w:rPr>
          <w:b/>
          <w:bCs/>
        </w:rPr>
        <w:t xml:space="preserve">. </w:t>
      </w:r>
      <w:r w:rsidRPr="00E77209">
        <w:rPr>
          <w:b/>
          <w:bCs/>
        </w:rPr>
        <w:t>There may be circumstances that may preclude consultation in a specific situation</w:t>
      </w:r>
      <w:r w:rsidR="007A29E4">
        <w:rPr>
          <w:b/>
          <w:bCs/>
        </w:rPr>
        <w:t xml:space="preserve">. </w:t>
      </w:r>
      <w:r w:rsidRPr="00E77209">
        <w:rPr>
          <w:b/>
          <w:bCs/>
        </w:rPr>
        <w:t>These circumstances should be explained.</w:t>
      </w:r>
    </w:p>
    <w:p w:rsidR="002305EC" w:rsidP="002305EC" w14:paraId="24D75339" w14:textId="5494E73A">
      <w:pPr>
        <w:autoSpaceDE w:val="0"/>
        <w:autoSpaceDN w:val="0"/>
        <w:adjustRightInd w:val="0"/>
        <w:ind w:left="450" w:hanging="450"/>
      </w:pPr>
    </w:p>
    <w:p w:rsidR="00600466" w:rsidP="00D060A3" w14:paraId="39A9000F" w14:textId="7AE3E375">
      <w:pPr>
        <w:autoSpaceDE w:val="0"/>
        <w:autoSpaceDN w:val="0"/>
        <w:adjustRightInd w:val="0"/>
        <w:ind w:left="450"/>
      </w:pPr>
      <w:r>
        <w:t>Two comments</w:t>
      </w:r>
      <w:r w:rsidRPr="00573F8C" w:rsidR="00D060A3">
        <w:t xml:space="preserve"> w</w:t>
      </w:r>
      <w:r>
        <w:t>ere</w:t>
      </w:r>
      <w:r w:rsidRPr="00573F8C" w:rsidR="00D060A3">
        <w:t xml:space="preserve"> received on the Federal Register Notice published </w:t>
      </w:r>
      <w:r>
        <w:t>in 90 FR 47343 on Octob</w:t>
      </w:r>
      <w:r w:rsidR="00D060A3">
        <w:t>er 1, 2025</w:t>
      </w:r>
      <w:r w:rsidR="00E97820">
        <w:t>.</w:t>
      </w:r>
      <w:r w:rsidR="007A29E4">
        <w:t xml:space="preserve"> </w:t>
      </w:r>
      <w:r w:rsidR="00D060A3">
        <w:t xml:space="preserve"> </w:t>
      </w:r>
    </w:p>
    <w:p w:rsidR="00600466" w:rsidP="00D060A3" w14:paraId="5720A253" w14:textId="77777777">
      <w:pPr>
        <w:autoSpaceDE w:val="0"/>
        <w:autoSpaceDN w:val="0"/>
        <w:adjustRightInd w:val="0"/>
        <w:ind w:left="450"/>
      </w:pPr>
    </w:p>
    <w:p w:rsidR="00D060A3" w:rsidP="00D060A3" w14:paraId="4E71C778" w14:textId="1399F837">
      <w:pPr>
        <w:autoSpaceDE w:val="0"/>
        <w:autoSpaceDN w:val="0"/>
        <w:adjustRightInd w:val="0"/>
        <w:ind w:left="450"/>
      </w:pPr>
      <w:r>
        <w:t>Th</w:t>
      </w:r>
      <w:r w:rsidR="00600466">
        <w:t>e first</w:t>
      </w:r>
      <w:r>
        <w:t xml:space="preserve"> commenter was concerned with the accuracy of the survey and suggested reducing the frequency of interviews in the Interview Survey from quarterly to every six months to reduce costs. </w:t>
      </w:r>
    </w:p>
    <w:p w:rsidR="00600466" w:rsidP="00D060A3" w14:paraId="02C88599" w14:textId="77777777">
      <w:pPr>
        <w:autoSpaceDE w:val="0"/>
        <w:autoSpaceDN w:val="0"/>
        <w:adjustRightInd w:val="0"/>
        <w:ind w:left="450"/>
      </w:pPr>
    </w:p>
    <w:p w:rsidR="00600466" w:rsidRPr="00600466" w:rsidP="00600466" w14:paraId="7454625F" w14:textId="77777777">
      <w:pPr>
        <w:autoSpaceDE w:val="0"/>
        <w:autoSpaceDN w:val="0"/>
        <w:adjustRightInd w:val="0"/>
        <w:ind w:left="450"/>
      </w:pPr>
      <w:r w:rsidRPr="00600466">
        <w:t>Consumer Expenditure data are collected and prepared according to established methodologies and collected by highly trained interviewers, which ensures a high level of accuracy in the data. These methodologies are documented and available to the public. Any changes to methodologies are evaluated by experts and cleared prior to implementation in order to prevent non-statistical or other sources of bias.</w:t>
      </w:r>
    </w:p>
    <w:p w:rsidR="00600466" w:rsidRPr="00600466" w:rsidP="00600466" w14:paraId="644ED523" w14:textId="77777777">
      <w:pPr>
        <w:autoSpaceDE w:val="0"/>
        <w:autoSpaceDN w:val="0"/>
        <w:adjustRightInd w:val="0"/>
        <w:ind w:left="450"/>
      </w:pPr>
    </w:p>
    <w:p w:rsidR="00600466" w:rsidRPr="00600466" w:rsidP="00600466" w14:paraId="3F539F05" w14:textId="77777777">
      <w:pPr>
        <w:autoSpaceDE w:val="0"/>
        <w:autoSpaceDN w:val="0"/>
        <w:adjustRightInd w:val="0"/>
        <w:ind w:left="450"/>
      </w:pPr>
      <w:r w:rsidRPr="00600466">
        <w:t xml:space="preserve">The Consumer Expenditure Interview Survey is designed as a rotating panel consisting of 4 interviews of a given household at 3-month intervals. Quarterly interviews allow respondents to recall their expenses over the past three months rather than over six months, lowering the possibility of missed expenses due to the length of the recall period. Reducing the frequency of data collection would likely have an adverse impact on the quality of the data collected. Collecting the data less frequently may also lead to a loss of continuity for the field interviewers conducting the survey and will require bigger training efforts before each round of data collection. Though the </w:t>
      </w:r>
      <w:r w:rsidRPr="00600466">
        <w:t xml:space="preserve">interview is repeated every three months, respondent burden is minimized as income, assets, and liabilities are only collected at the first and final interviews. </w:t>
      </w:r>
    </w:p>
    <w:p w:rsidR="00600466" w:rsidP="00D060A3" w14:paraId="57158EF7" w14:textId="77777777">
      <w:pPr>
        <w:autoSpaceDE w:val="0"/>
        <w:autoSpaceDN w:val="0"/>
        <w:adjustRightInd w:val="0"/>
        <w:ind w:left="450"/>
      </w:pPr>
    </w:p>
    <w:p w:rsidR="00D060A3" w:rsidP="00D060A3" w14:paraId="18E4575C" w14:textId="61CAB8FB">
      <w:pPr>
        <w:ind w:left="450"/>
      </w:pPr>
      <w:r>
        <w:t xml:space="preserve">The </w:t>
      </w:r>
      <w:r>
        <w:t xml:space="preserve">other </w:t>
      </w:r>
      <w:r w:rsidRPr="00294116">
        <w:t xml:space="preserve">comment </w:t>
      </w:r>
      <w:r>
        <w:t>from the Bureau of Economic Analysis support</w:t>
      </w:r>
      <w:r>
        <w:t>s</w:t>
      </w:r>
      <w:r>
        <w:t xml:space="preserve"> the continued collection of the Consumer Expenditure data</w:t>
      </w:r>
      <w:r>
        <w:t>.</w:t>
      </w:r>
      <w:r>
        <w:t>.</w:t>
      </w:r>
    </w:p>
    <w:p w:rsidR="00D060A3" w:rsidP="00D060A3" w14:paraId="6F37707E" w14:textId="77777777">
      <w:pPr>
        <w:autoSpaceDE w:val="0"/>
        <w:autoSpaceDN w:val="0"/>
        <w:adjustRightInd w:val="0"/>
        <w:ind w:left="450"/>
      </w:pPr>
    </w:p>
    <w:p w:rsidR="00673B1B" w:rsidP="00A52EC2" w14:paraId="2DB98A20" w14:textId="2847BB31">
      <w:pPr>
        <w:autoSpaceDE w:val="0"/>
        <w:autoSpaceDN w:val="0"/>
        <w:adjustRightInd w:val="0"/>
        <w:ind w:left="450" w:hanging="450"/>
      </w:pPr>
      <w:r>
        <w:tab/>
        <w:t>In the past year, the BLS has consulted with the following persons by correspondence and telephone conversations:</w:t>
      </w:r>
    </w:p>
    <w:p w:rsidR="00673B1B" w:rsidP="00673B1B" w14:paraId="41F4C5E4" w14:textId="77777777">
      <w:pPr>
        <w:tabs>
          <w:tab w:val="left" w:pos="1176"/>
          <w:tab w:val="left" w:pos="1656"/>
          <w:tab w:val="left" w:pos="6696"/>
          <w:tab w:val="left" w:pos="8256"/>
        </w:tabs>
      </w:pPr>
    </w:p>
    <w:p w:rsidR="00B82D76" w:rsidRPr="00334156" w:rsidP="00B82D76" w14:paraId="787A605F" w14:textId="77777777">
      <w:pPr>
        <w:pStyle w:val="xxmsonormal"/>
        <w:shd w:val="clear" w:color="auto" w:fill="FFFFFF"/>
        <w:ind w:left="720"/>
        <w:rPr>
          <w:rFonts w:ascii="Times New Roman" w:eastAsia="Times New Roman" w:hAnsi="Times New Roman" w:cs="Times New Roman"/>
          <w:sz w:val="24"/>
          <w:szCs w:val="24"/>
        </w:rPr>
      </w:pPr>
      <w:bookmarkStart w:id="0" w:name="_Hlk144104478"/>
      <w:r w:rsidRPr="00334156">
        <w:rPr>
          <w:rFonts w:ascii="Times New Roman" w:eastAsia="Times New Roman" w:hAnsi="Times New Roman" w:cs="Times New Roman"/>
          <w:sz w:val="24"/>
          <w:szCs w:val="24"/>
        </w:rPr>
        <w:t>Jennifer Epps</w:t>
      </w:r>
    </w:p>
    <w:p w:rsidR="00B82D76" w:rsidRPr="00334156" w:rsidP="00B82D76" w14:paraId="09D02197" w14:textId="1C871573">
      <w:pPr>
        <w:pStyle w:val="xxmsonormal"/>
        <w:shd w:val="clear" w:color="auto" w:fill="FFFFFF"/>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Survey Director</w:t>
      </w:r>
    </w:p>
    <w:p w:rsidR="00B82D76" w:rsidRPr="00334156" w:rsidP="007229F7" w14:paraId="2ED81674" w14:textId="054E9D72">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Census Bureau</w:t>
      </w:r>
    </w:p>
    <w:p w:rsidR="00B82D76" w:rsidRPr="00334156" w:rsidP="007229F7" w14:paraId="36CD2C6B" w14:textId="77777777">
      <w:pPr>
        <w:pStyle w:val="xxmsonormal"/>
        <w:shd w:val="clear" w:color="auto" w:fill="FFFFFF"/>
        <w:ind w:left="720"/>
        <w:rPr>
          <w:rFonts w:ascii="Times New Roman" w:eastAsia="Times New Roman" w:hAnsi="Times New Roman" w:cs="Times New Roman"/>
          <w:sz w:val="24"/>
          <w:szCs w:val="24"/>
        </w:rPr>
      </w:pPr>
    </w:p>
    <w:p w:rsidR="00B82D76" w:rsidRPr="00334156" w:rsidP="00B82D76" w14:paraId="1A59E96C" w14:textId="42725254">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Michael Bagley</w:t>
      </w:r>
    </w:p>
    <w:p w:rsidR="00400DB5" w:rsidRPr="00334156" w:rsidP="00B82D76" w14:paraId="78C10A75" w14:textId="4C833CB7">
      <w:pPr>
        <w:pStyle w:val="xxmsonormal"/>
        <w:shd w:val="clear" w:color="auto" w:fill="FFFFFF"/>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Assistant Survey Director</w:t>
      </w:r>
    </w:p>
    <w:p w:rsidR="00B82D76" w:rsidRPr="00334156" w:rsidP="00B82D76" w14:paraId="28B4ECEF" w14:textId="77777777">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Census Bureau</w:t>
      </w:r>
    </w:p>
    <w:p w:rsidR="00B82D76" w:rsidRPr="00334156" w:rsidP="00B82D76" w14:paraId="3FF2604B" w14:textId="4A3EDFBA">
      <w:pPr>
        <w:pStyle w:val="xxmsonormal"/>
        <w:shd w:val="clear" w:color="auto" w:fill="FFFFFF"/>
        <w:ind w:left="720"/>
        <w:rPr>
          <w:rFonts w:ascii="Times New Roman" w:eastAsia="Times New Roman" w:hAnsi="Times New Roman" w:cs="Times New Roman"/>
          <w:sz w:val="24"/>
          <w:szCs w:val="24"/>
        </w:rPr>
      </w:pPr>
    </w:p>
    <w:p w:rsidR="0068314D" w:rsidP="00B82D76" w14:paraId="6ADDAAE7" w14:textId="77777777">
      <w:pPr>
        <w:pStyle w:val="xxmsonormal"/>
        <w:shd w:val="clear" w:color="auto" w:fill="FFFFFF"/>
        <w:ind w:left="720"/>
        <w:rPr>
          <w:rFonts w:ascii="Times New Roman" w:eastAsia="Times New Roman" w:hAnsi="Times New Roman" w:cs="Times New Roman"/>
          <w:sz w:val="24"/>
          <w:szCs w:val="24"/>
        </w:rPr>
      </w:pPr>
      <w:r w:rsidRPr="004F689C">
        <w:rPr>
          <w:rFonts w:ascii="Times New Roman" w:hAnsi="Times New Roman" w:cs="Times New Roman"/>
          <w:sz w:val="24"/>
          <w:szCs w:val="24"/>
        </w:rPr>
        <w:t>Matthew Herbstritt</w:t>
      </w:r>
    </w:p>
    <w:p w:rsidR="00B82D76" w:rsidRPr="0068314D" w:rsidP="00B82D76" w14:paraId="4E6781A5" w14:textId="77777777">
      <w:pPr>
        <w:pStyle w:val="xxmsonormal"/>
        <w:shd w:val="clear" w:color="auto" w:fill="FFFFFF"/>
        <w:ind w:left="720"/>
        <w:rPr>
          <w:rFonts w:ascii="Times New Roman" w:eastAsia="Times New Roman" w:hAnsi="Times New Roman" w:cs="Times New Roman"/>
          <w:sz w:val="24"/>
          <w:szCs w:val="24"/>
        </w:rPr>
      </w:pPr>
      <w:r w:rsidRPr="0068314D">
        <w:rPr>
          <w:rFonts w:ascii="Times New Roman" w:eastAsia="Times New Roman" w:hAnsi="Times New Roman" w:cs="Times New Roman"/>
          <w:sz w:val="24"/>
          <w:szCs w:val="24"/>
        </w:rPr>
        <w:t>Demographic Statistical Methods Division</w:t>
      </w:r>
    </w:p>
    <w:p w:rsidR="00B82D76" w:rsidRPr="00B1245B" w:rsidP="00B82D76" w14:paraId="73E56BAF" w14:textId="77777777">
      <w:pPr>
        <w:pStyle w:val="xxmsonormal"/>
        <w:shd w:val="clear" w:color="auto" w:fill="FFFFFF"/>
        <w:ind w:left="720"/>
        <w:rPr>
          <w:rFonts w:ascii="Times New Roman" w:eastAsia="Times New Roman" w:hAnsi="Times New Roman" w:cs="Times New Roman"/>
          <w:sz w:val="24"/>
          <w:szCs w:val="24"/>
        </w:rPr>
      </w:pPr>
      <w:r w:rsidRPr="00B1245B">
        <w:rPr>
          <w:rFonts w:ascii="Times New Roman" w:eastAsia="Times New Roman" w:hAnsi="Times New Roman" w:cs="Times New Roman"/>
          <w:sz w:val="24"/>
          <w:szCs w:val="24"/>
        </w:rPr>
        <w:t>Census Bureau</w:t>
      </w:r>
    </w:p>
    <w:p w:rsidR="00B82D76" w:rsidRPr="00B1245B" w:rsidP="00B82D76" w14:paraId="4361031F" w14:textId="77777777">
      <w:pPr>
        <w:pStyle w:val="xxmsonormal"/>
        <w:shd w:val="clear" w:color="auto" w:fill="FFFFFF"/>
        <w:ind w:left="720"/>
        <w:rPr>
          <w:rFonts w:ascii="Times New Roman" w:eastAsia="Times New Roman" w:hAnsi="Times New Roman" w:cs="Times New Roman"/>
          <w:sz w:val="24"/>
          <w:szCs w:val="24"/>
        </w:rPr>
      </w:pPr>
      <w:r w:rsidRPr="00B1245B">
        <w:rPr>
          <w:rFonts w:ascii="Times New Roman" w:eastAsia="Times New Roman" w:hAnsi="Times New Roman" w:cs="Times New Roman"/>
          <w:sz w:val="24"/>
          <w:szCs w:val="24"/>
        </w:rPr>
        <w:t> </w:t>
      </w:r>
    </w:p>
    <w:p w:rsidR="005C69FC" w:rsidP="004F689C" w14:paraId="634440E6" w14:textId="53A151B8">
      <w:pPr>
        <w:pStyle w:val="xxmsonormal"/>
        <w:shd w:val="clear" w:color="auto" w:fill="FFFFFF"/>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Julia Coombs</w:t>
      </w:r>
    </w:p>
    <w:p w:rsidR="005C69FC" w:rsidP="00B82D76" w14:paraId="60C14ACB" w14:textId="422170A2">
      <w:pPr>
        <w:pStyle w:val="xxmsonormal"/>
        <w:shd w:val="clear" w:color="auto" w:fill="FFFFFF"/>
        <w:ind w:left="720"/>
        <w:rPr>
          <w:rFonts w:ascii="Times New Roman" w:eastAsia="Times New Roman" w:hAnsi="Times New Roman" w:cs="Times New Roman"/>
          <w:sz w:val="24"/>
          <w:szCs w:val="24"/>
        </w:rPr>
      </w:pPr>
      <w:r w:rsidRPr="0068314D">
        <w:rPr>
          <w:rFonts w:ascii="Times New Roman" w:eastAsia="Times New Roman" w:hAnsi="Times New Roman" w:cs="Times New Roman"/>
          <w:sz w:val="24"/>
          <w:szCs w:val="24"/>
        </w:rPr>
        <w:t>Demographic Statistical Methods Division</w:t>
      </w:r>
    </w:p>
    <w:p w:rsidR="00B82D76" w:rsidRPr="00334156" w:rsidP="004F689C" w14:paraId="65D978D1" w14:textId="2DAF5994">
      <w:pPr>
        <w:pStyle w:val="xxmsonormal"/>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1245B" w:rsidR="00304AD2">
        <w:rPr>
          <w:rFonts w:ascii="Times New Roman" w:eastAsia="Times New Roman" w:hAnsi="Times New Roman" w:cs="Times New Roman"/>
          <w:sz w:val="24"/>
          <w:szCs w:val="24"/>
        </w:rPr>
        <w:t>Census Bureau</w:t>
      </w:r>
    </w:p>
    <w:bookmarkEnd w:id="0"/>
    <w:p w:rsidR="00673B1B" w:rsidP="00673B1B" w14:paraId="6DE34843" w14:textId="77777777">
      <w:pPr>
        <w:tabs>
          <w:tab w:val="left" w:pos="1176"/>
          <w:tab w:val="left" w:pos="1656"/>
          <w:tab w:val="left" w:pos="6696"/>
          <w:tab w:val="left" w:pos="8256"/>
        </w:tabs>
      </w:pPr>
    </w:p>
    <w:p w:rsidR="00673B1B" w:rsidP="00673B1B" w14:paraId="435832FE" w14:textId="77777777">
      <w:pPr>
        <w:tabs>
          <w:tab w:val="left" w:pos="1176"/>
          <w:tab w:val="left" w:pos="1656"/>
          <w:tab w:val="left" w:pos="6696"/>
          <w:tab w:val="left" w:pos="8256"/>
        </w:tabs>
        <w:ind w:left="480"/>
        <w:outlineLvl w:val="0"/>
      </w:pPr>
      <w:r>
        <w:t>Consultations with these persons continue as specific problems arise.</w:t>
      </w:r>
    </w:p>
    <w:p w:rsidR="00673B1B" w:rsidP="00673B1B" w14:paraId="29A90F78" w14:textId="77777777">
      <w:pPr>
        <w:tabs>
          <w:tab w:val="left" w:pos="1176"/>
          <w:tab w:val="left" w:pos="1656"/>
          <w:tab w:val="left" w:pos="6696"/>
          <w:tab w:val="left" w:pos="8256"/>
        </w:tabs>
        <w:ind w:left="1656"/>
      </w:pPr>
    </w:p>
    <w:p w:rsidR="00E77209" w:rsidRPr="00E77209" w:rsidP="00E570DF" w14:paraId="303D2807" w14:textId="0D97BEB0">
      <w:pPr>
        <w:ind w:left="475" w:hanging="475"/>
        <w:rPr>
          <w:b/>
          <w:bCs/>
        </w:rPr>
      </w:pPr>
      <w:r w:rsidRPr="002D486C">
        <w:t>9</w:t>
      </w:r>
      <w:r w:rsidRPr="002D486C" w:rsidR="00673B1B">
        <w:t>.</w:t>
      </w:r>
      <w:r w:rsidR="002D486C">
        <w:rPr>
          <w:b/>
        </w:rPr>
        <w:tab/>
      </w:r>
      <w:r w:rsidRPr="00E77209">
        <w:rPr>
          <w:b/>
          <w:bCs/>
        </w:rPr>
        <w:t>Explain any decision to provide any payments or gifts to respondents, other than remuneration of contractors or grantees.</w:t>
      </w:r>
    </w:p>
    <w:p w:rsidR="00F5353D" w:rsidP="00F5353D" w14:paraId="4029F483" w14:textId="5914CAC7">
      <w:pPr>
        <w:ind w:left="480"/>
        <w:rPr>
          <w:sz w:val="22"/>
          <w:szCs w:val="22"/>
        </w:rPr>
      </w:pPr>
      <w:r>
        <w:br/>
      </w:r>
      <w:r w:rsidR="0064266E">
        <w:t>No payments or gifts will be provided to respondents.</w:t>
      </w:r>
    </w:p>
    <w:p w:rsidR="00673B1B" w:rsidP="00175F43" w14:paraId="619CDB98" w14:textId="77777777">
      <w:pPr>
        <w:tabs>
          <w:tab w:val="left" w:pos="1176"/>
          <w:tab w:val="left" w:pos="1656"/>
          <w:tab w:val="left" w:pos="6696"/>
          <w:tab w:val="left" w:pos="8256"/>
        </w:tabs>
        <w:ind w:left="480" w:hanging="480"/>
      </w:pPr>
    </w:p>
    <w:p w:rsidR="00E77209" w:rsidRPr="00E77209" w:rsidP="00E77209" w14:paraId="726EEEC6" w14:textId="75588534">
      <w:pPr>
        <w:tabs>
          <w:tab w:val="left" w:pos="1176"/>
          <w:tab w:val="left" w:pos="1656"/>
          <w:tab w:val="left" w:pos="6696"/>
          <w:tab w:val="left" w:pos="8256"/>
        </w:tabs>
        <w:ind w:left="480" w:hanging="480"/>
        <w:rPr>
          <w:b/>
          <w:bCs/>
        </w:rPr>
      </w:pPr>
      <w:r>
        <w:t>10</w:t>
      </w:r>
      <w:r w:rsidR="00673B1B">
        <w:t>.</w:t>
      </w:r>
      <w:r w:rsidR="00673B1B">
        <w:tab/>
      </w:r>
      <w:r w:rsidRPr="00E77209">
        <w:rPr>
          <w:b/>
          <w:bCs/>
        </w:rPr>
        <w:t>Describe any assurance of confidentiality provided to respondents and the basis for the assurance in statute, regulation, or agency policy.</w:t>
      </w:r>
    </w:p>
    <w:p w:rsidR="00741401" w:rsidP="00673B1B" w14:paraId="5DF88B85" w14:textId="075EE0B0">
      <w:pPr>
        <w:tabs>
          <w:tab w:val="left" w:pos="1176"/>
          <w:tab w:val="left" w:pos="1656"/>
          <w:tab w:val="left" w:pos="6696"/>
          <w:tab w:val="left" w:pos="8256"/>
        </w:tabs>
        <w:ind w:left="480" w:hanging="480"/>
      </w:pPr>
      <w:r>
        <w:br/>
      </w:r>
      <w:r w:rsidR="007110BC">
        <w:t xml:space="preserve">The Census Bureau collects data on behalf of CE. </w:t>
      </w:r>
      <w:r w:rsidRPr="004A5140" w:rsidR="00673B1B">
        <w:t xml:space="preserve">The </w:t>
      </w:r>
      <w:bookmarkStart w:id="1" w:name="OLE_LINK1"/>
      <w:bookmarkStart w:id="2" w:name="OLE_LINK2"/>
      <w:r w:rsidRPr="004A5140" w:rsidR="00194FE3">
        <w:t>Census Bureau interviewers</w:t>
      </w:r>
      <w:r w:rsidRPr="00293590" w:rsidR="001B6C2E">
        <w:t xml:space="preserve">, </w:t>
      </w:r>
      <w:r w:rsidRPr="00293590" w:rsidR="00673B1B">
        <w:t xml:space="preserve">Census Bureau </w:t>
      </w:r>
      <w:r w:rsidRPr="00293590" w:rsidR="001B6C2E">
        <w:t xml:space="preserve">employees, </w:t>
      </w:r>
      <w:r w:rsidRPr="00293590" w:rsidR="00194FE3">
        <w:t>and BLS employees with access to CE data</w:t>
      </w:r>
      <w:r w:rsidRPr="006A6F11" w:rsidR="00673B1B">
        <w:t xml:space="preserve"> </w:t>
      </w:r>
      <w:bookmarkEnd w:id="1"/>
      <w:bookmarkEnd w:id="2"/>
      <w:r w:rsidRPr="006A6F11" w:rsidR="00673B1B">
        <w:t xml:space="preserve">hold all information that respondents provide in strict confidence in accordance with Title 13, United States Code, Section 9. </w:t>
      </w:r>
      <w:r w:rsidRPr="006A6F11" w:rsidR="00194FE3">
        <w:t xml:space="preserve">Census Bureau </w:t>
      </w:r>
      <w:r w:rsidRPr="006A6F11" w:rsidR="00673B1B">
        <w:t>interviewer</w:t>
      </w:r>
      <w:r w:rsidRPr="006A6F11" w:rsidR="00194FE3">
        <w:t>s, Census Bureau employees</w:t>
      </w:r>
      <w:r w:rsidRPr="006A6F11" w:rsidR="001B6C2E">
        <w:t>,</w:t>
      </w:r>
      <w:r w:rsidRPr="006A6F11" w:rsidR="00194FE3">
        <w:t xml:space="preserve"> and BLS employees with access to CE data</w:t>
      </w:r>
      <w:r w:rsidRPr="006A6F11" w:rsidR="00673B1B">
        <w:t xml:space="preserve"> ha</w:t>
      </w:r>
      <w:r w:rsidRPr="006A6F11" w:rsidR="00194FE3">
        <w:t>ve</w:t>
      </w:r>
      <w:r w:rsidRPr="006A6F11" w:rsidR="00673B1B">
        <w:t xml:space="preserve"> </w:t>
      </w:r>
      <w:r w:rsidRPr="006A6F11" w:rsidR="00194FE3">
        <w:t xml:space="preserve">each </w:t>
      </w:r>
      <w:r w:rsidRPr="006A6F11" w:rsidR="00673B1B">
        <w:t>taken an oath to this effect, and if convicted of disclosing any information given by the respondent</w:t>
      </w:r>
      <w:r w:rsidR="00257D23">
        <w:t>,</w:t>
      </w:r>
      <w:r w:rsidRPr="006A6F11" w:rsidR="00673B1B">
        <w:t xml:space="preserve"> may be fined up to $</w:t>
      </w:r>
      <w:r w:rsidRPr="006A6F11" w:rsidR="008A2D20">
        <w:t>2</w:t>
      </w:r>
      <w:r w:rsidRPr="006A6F11" w:rsidR="00673B1B">
        <w:t>5</w:t>
      </w:r>
      <w:r w:rsidRPr="006A6F11" w:rsidR="008A2D20">
        <w:t>0</w:t>
      </w:r>
      <w:r w:rsidRPr="006A6F11" w:rsidR="00673B1B">
        <w:t xml:space="preserve">,000 and/or imprisoned </w:t>
      </w:r>
      <w:r w:rsidR="007A29E4">
        <w:t xml:space="preserve">for </w:t>
      </w:r>
      <w:r w:rsidRPr="006A6F11" w:rsidR="00673B1B">
        <w:t>up to 5 years</w:t>
      </w:r>
      <w:r w:rsidR="007A29E4">
        <w:t xml:space="preserve">. </w:t>
      </w:r>
    </w:p>
    <w:p w:rsidR="00741401" w:rsidP="00673B1B" w14:paraId="524F7A18" w14:textId="77777777">
      <w:pPr>
        <w:tabs>
          <w:tab w:val="left" w:pos="1176"/>
          <w:tab w:val="left" w:pos="1656"/>
          <w:tab w:val="left" w:pos="6696"/>
          <w:tab w:val="left" w:pos="8256"/>
        </w:tabs>
        <w:ind w:left="480" w:hanging="480"/>
      </w:pPr>
    </w:p>
    <w:p w:rsidR="00673B1B" w:rsidP="00673B1B" w14:paraId="59A13C7F" w14:textId="54E2D618">
      <w:pPr>
        <w:tabs>
          <w:tab w:val="left" w:pos="1176"/>
          <w:tab w:val="left" w:pos="1656"/>
          <w:tab w:val="left" w:pos="6696"/>
          <w:tab w:val="left" w:pos="8256"/>
        </w:tabs>
        <w:ind w:left="480" w:hanging="480"/>
      </w:pPr>
      <w:r>
        <w:tab/>
      </w:r>
      <w:r w:rsidRPr="006A6F11">
        <w:t xml:space="preserve">In addition, Title 13 prohibits </w:t>
      </w:r>
      <w:r w:rsidRPr="006A6F11" w:rsidR="00194FE3">
        <w:t>Census Bureau interviewers</w:t>
      </w:r>
      <w:r w:rsidRPr="006A6F11" w:rsidR="001B6C2E">
        <w:t xml:space="preserve">, </w:t>
      </w:r>
      <w:r w:rsidRPr="006A6F11" w:rsidR="00194FE3">
        <w:t xml:space="preserve">Census Bureau </w:t>
      </w:r>
      <w:r w:rsidRPr="006A6F11" w:rsidR="001B6C2E">
        <w:t xml:space="preserve">employees, </w:t>
      </w:r>
      <w:r w:rsidRPr="006A6F11" w:rsidR="00194FE3">
        <w:t>and BLS employees with access to CE data</w:t>
      </w:r>
      <w:r w:rsidRPr="006A6F11">
        <w:t xml:space="preserve"> from disclosing information identifying any individual(s) in the CE Surveys to anyone other than sworn Census </w:t>
      </w:r>
      <w:r w:rsidRPr="006A6F11" w:rsidR="00194FE3">
        <w:t xml:space="preserve">or BLS </w:t>
      </w:r>
      <w:r w:rsidRPr="006A6F11">
        <w:t>employees. Before the interviewer</w:t>
      </w:r>
      <w:r w:rsidRPr="006A6F11" w:rsidR="000556E5">
        <w:t>’</w:t>
      </w:r>
      <w:r w:rsidRPr="006A6F11">
        <w:t xml:space="preserve">s visit, </w:t>
      </w:r>
      <w:r w:rsidR="00733DCB">
        <w:t>Interview Survey</w:t>
      </w:r>
      <w:r w:rsidRPr="006A6F11">
        <w:t xml:space="preserve"> or </w:t>
      </w:r>
      <w:r w:rsidR="0045027D">
        <w:t>Diary Survey</w:t>
      </w:r>
      <w:r w:rsidRPr="006A6F11">
        <w:t xml:space="preserve"> respondents will receive the CE-303(L) or CE-803(L</w:t>
      </w:r>
      <w:r w:rsidRPr="0045027D">
        <w:t>) Advance Letters respectively,</w:t>
      </w:r>
      <w:bookmarkStart w:id="3" w:name="STET"/>
      <w:bookmarkEnd w:id="3"/>
      <w:r w:rsidRPr="0045027D">
        <w:t xml:space="preserve"> informing them of the confidentiality of the survey data.</w:t>
      </w:r>
    </w:p>
    <w:p w:rsidR="007110BC" w:rsidP="00673B1B" w14:paraId="21FDBCDE" w14:textId="77777777">
      <w:pPr>
        <w:tabs>
          <w:tab w:val="left" w:pos="1176"/>
          <w:tab w:val="left" w:pos="1656"/>
          <w:tab w:val="left" w:pos="6696"/>
          <w:tab w:val="left" w:pos="8256"/>
        </w:tabs>
        <w:ind w:left="480" w:hanging="480"/>
      </w:pPr>
    </w:p>
    <w:p w:rsidR="00673B1B" w:rsidP="00673B1B" w14:paraId="199AABA8" w14:textId="77777777">
      <w:pPr>
        <w:tabs>
          <w:tab w:val="left" w:pos="1176"/>
          <w:tab w:val="left" w:pos="1656"/>
          <w:tab w:val="left" w:pos="6696"/>
          <w:tab w:val="left" w:pos="8256"/>
        </w:tabs>
      </w:pPr>
    </w:p>
    <w:p w:rsidR="00E77209" w:rsidRPr="00E77209" w:rsidP="00E77209" w14:paraId="09A19516" w14:textId="1D3C3CB3">
      <w:pPr>
        <w:tabs>
          <w:tab w:val="left" w:pos="1176"/>
          <w:tab w:val="left" w:pos="1656"/>
          <w:tab w:val="left" w:pos="6696"/>
          <w:tab w:val="left" w:pos="8256"/>
        </w:tabs>
        <w:ind w:left="480" w:hanging="480"/>
        <w:rPr>
          <w:b/>
          <w:bCs/>
        </w:rPr>
      </w:pPr>
      <w:r>
        <w:t>11.</w:t>
      </w:r>
      <w:r>
        <w:tab/>
      </w:r>
      <w:r w:rsidRPr="00E77209">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73B1B" w:rsidP="00673B1B" w14:paraId="5DB80580" w14:textId="74303DE4">
      <w:pPr>
        <w:tabs>
          <w:tab w:val="left" w:pos="1176"/>
          <w:tab w:val="left" w:pos="1656"/>
          <w:tab w:val="left" w:pos="6696"/>
          <w:tab w:val="left" w:pos="8256"/>
        </w:tabs>
        <w:ind w:left="480" w:hanging="480"/>
      </w:pPr>
      <w:r>
        <w:br/>
        <w:t>The CE Surveys do not include any questions of a sensitive nature.</w:t>
      </w:r>
    </w:p>
    <w:p w:rsidR="00673B1B" w:rsidP="00673B1B" w14:paraId="77B7E58D" w14:textId="77777777">
      <w:pPr>
        <w:tabs>
          <w:tab w:val="left" w:pos="1176"/>
          <w:tab w:val="left" w:pos="1656"/>
          <w:tab w:val="left" w:pos="6696"/>
          <w:tab w:val="left" w:pos="8256"/>
        </w:tabs>
      </w:pPr>
    </w:p>
    <w:p w:rsidR="00E77209" w:rsidRPr="00E77209" w:rsidP="00E77209" w14:paraId="545133F7" w14:textId="788FEAE5">
      <w:pPr>
        <w:tabs>
          <w:tab w:val="left" w:pos="1176"/>
          <w:tab w:val="left" w:pos="1656"/>
          <w:tab w:val="left" w:pos="6696"/>
          <w:tab w:val="left" w:pos="8256"/>
        </w:tabs>
        <w:rPr>
          <w:b/>
          <w:bCs/>
        </w:rPr>
      </w:pPr>
      <w:r>
        <w:t>12</w:t>
      </w:r>
      <w:r w:rsidR="007A29E4">
        <w:t xml:space="preserve">. </w:t>
      </w:r>
      <w:r w:rsidRPr="00E77209">
        <w:rPr>
          <w:b/>
          <w:bCs/>
        </w:rPr>
        <w:t>Provide estimates of the hour burden of the collection of information. The statement should:</w:t>
      </w:r>
    </w:p>
    <w:p w:rsidR="00E77209" w:rsidRPr="00E77209" w:rsidP="00E77209" w14:paraId="4A4373DB" w14:textId="42A6443C">
      <w:pPr>
        <w:numPr>
          <w:ilvl w:val="0"/>
          <w:numId w:val="57"/>
        </w:numPr>
        <w:tabs>
          <w:tab w:val="left" w:pos="1176"/>
          <w:tab w:val="left" w:pos="1656"/>
          <w:tab w:val="left" w:pos="6696"/>
          <w:tab w:val="left" w:pos="8256"/>
        </w:tabs>
        <w:rPr>
          <w:b/>
          <w:bCs/>
        </w:rPr>
      </w:pPr>
      <w:r w:rsidRPr="00E77209">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E51E53">
        <w:rPr>
          <w:b/>
          <w:bCs/>
        </w:rPr>
        <w:t>ly</w:t>
      </w:r>
      <w:r w:rsidRPr="00E77209">
        <w:rPr>
          <w:b/>
          <w:bCs/>
        </w:rPr>
        <w:t>, estimates should not include burden hours for customary and usual business practices.</w:t>
      </w:r>
    </w:p>
    <w:p w:rsidR="00E77209" w:rsidRPr="00E77209" w:rsidP="00E77209" w14:paraId="18C06C55" w14:textId="49FFDA4D">
      <w:pPr>
        <w:numPr>
          <w:ilvl w:val="0"/>
          <w:numId w:val="57"/>
        </w:numPr>
        <w:tabs>
          <w:tab w:val="left" w:pos="1176"/>
          <w:tab w:val="left" w:pos="1656"/>
          <w:tab w:val="left" w:pos="6696"/>
          <w:tab w:val="left" w:pos="8256"/>
        </w:tabs>
      </w:pPr>
      <w:r w:rsidRPr="00E77209">
        <w:rPr>
          <w:b/>
          <w:bCs/>
        </w:rPr>
        <w:t>If this request for approval covers more than one form, provide separate hour burden estimates for each form</w:t>
      </w:r>
      <w:r w:rsidR="00E51E53">
        <w:rPr>
          <w:b/>
          <w:bCs/>
        </w:rPr>
        <w:t>.</w:t>
      </w:r>
    </w:p>
    <w:p w:rsidR="00E77209" w:rsidRPr="00E77209" w:rsidP="00E77209" w14:paraId="2908AF34" w14:textId="7E165266">
      <w:pPr>
        <w:numPr>
          <w:ilvl w:val="0"/>
          <w:numId w:val="57"/>
        </w:numPr>
        <w:tabs>
          <w:tab w:val="left" w:pos="1176"/>
          <w:tab w:val="left" w:pos="1656"/>
          <w:tab w:val="left" w:pos="6696"/>
          <w:tab w:val="left" w:pos="8256"/>
        </w:tabs>
        <w:rPr>
          <w:b/>
          <w:bCs/>
        </w:rPr>
      </w:pPr>
      <w:r w:rsidRPr="00E77209">
        <w:rPr>
          <w:b/>
          <w:bCs/>
        </w:rPr>
        <w:t>Provide estimates of annualized cost to respondents for the hour burdens for collections of information, identifying and using appropriate wage rate categories</w:t>
      </w:r>
      <w:r w:rsidR="007A29E4">
        <w:rPr>
          <w:b/>
          <w:bCs/>
        </w:rPr>
        <w:t xml:space="preserve">. </w:t>
      </w:r>
      <w:r w:rsidRPr="00E77209">
        <w:rPr>
          <w:b/>
          <w:bCs/>
        </w:rPr>
        <w:t>The cost of contracting out or paying outside parties for information collection activities should not be included here. Instead, this cost should be included in Item 14.</w:t>
      </w:r>
    </w:p>
    <w:p w:rsidR="005D106D" w:rsidRPr="00585E44" w:rsidP="003F7588" w14:paraId="4C07648C" w14:textId="77777777">
      <w:pPr>
        <w:tabs>
          <w:tab w:val="left" w:pos="1176"/>
          <w:tab w:val="left" w:pos="1656"/>
          <w:tab w:val="left" w:pos="6696"/>
          <w:tab w:val="left" w:pos="8256"/>
        </w:tabs>
        <w:rPr>
          <w:b/>
        </w:rPr>
      </w:pPr>
    </w:p>
    <w:p w:rsidR="00230C54" w:rsidRPr="00C03080" w:rsidP="00230C54" w14:paraId="0196B7AE" w14:textId="68FB2CC2">
      <w:pPr>
        <w:ind w:left="480"/>
      </w:pPr>
      <w:r w:rsidRPr="00C03080">
        <w:t xml:space="preserve">CE </w:t>
      </w:r>
      <w:r w:rsidR="00F507F6">
        <w:t>estimates</w:t>
      </w:r>
      <w:r w:rsidRPr="00C03080" w:rsidR="00293590">
        <w:t xml:space="preserve"> the </w:t>
      </w:r>
      <w:r w:rsidRPr="00C03080">
        <w:t xml:space="preserve">average length of the </w:t>
      </w:r>
      <w:r w:rsidR="00733DCB">
        <w:t>Interview Survey</w:t>
      </w:r>
      <w:r w:rsidRPr="00C03080">
        <w:t xml:space="preserve"> interview</w:t>
      </w:r>
      <w:r w:rsidR="00A55EB3">
        <w:t xml:space="preserve"> to be a</w:t>
      </w:r>
      <w:r w:rsidR="001C20C1">
        <w:t>pproximately</w:t>
      </w:r>
      <w:r w:rsidR="00A55EB3">
        <w:t xml:space="preserve"> 67 minutes, which is an increase of 4 minutes from the prior estimate of </w:t>
      </w:r>
      <w:r w:rsidRPr="00C03080" w:rsidR="003E7D9F">
        <w:t>6</w:t>
      </w:r>
      <w:r w:rsidR="00EC2424">
        <w:t>3</w:t>
      </w:r>
      <w:r w:rsidRPr="00C03080" w:rsidR="003E7D9F">
        <w:t xml:space="preserve"> </w:t>
      </w:r>
      <w:r w:rsidRPr="00C03080" w:rsidR="00F1453E">
        <w:t>minutes</w:t>
      </w:r>
      <w:r w:rsidR="00E51E53">
        <w:t>.</w:t>
      </w:r>
      <w:r w:rsidR="005F0E53">
        <w:t xml:space="preserve"> </w:t>
      </w:r>
      <w:r w:rsidR="00A55EB3">
        <w:t xml:space="preserve">The changes to the questionnaire are expected to </w:t>
      </w:r>
      <w:r w:rsidR="007520B7">
        <w:t xml:space="preserve">have a minimal impact on </w:t>
      </w:r>
      <w:r w:rsidR="00A55EB3">
        <w:t>the time to complete the interview.</w:t>
      </w:r>
    </w:p>
    <w:p w:rsidR="00230C54" w:rsidRPr="00C03080" w:rsidP="00230C54" w14:paraId="0E113F4B" w14:textId="77777777">
      <w:pPr>
        <w:ind w:left="480"/>
      </w:pPr>
      <w:r w:rsidRPr="00C03080">
        <w:t xml:space="preserve"> </w:t>
      </w:r>
    </w:p>
    <w:p w:rsidR="006C05FC" w:rsidRPr="00C03080" w:rsidP="00EF4A62" w14:paraId="11466597" w14:textId="720040F3">
      <w:pPr>
        <w:ind w:left="480"/>
      </w:pPr>
      <w:r>
        <w:t xml:space="preserve">In 2026, </w:t>
      </w:r>
      <w:r w:rsidRPr="005D3CE2" w:rsidR="00304AD2">
        <w:t xml:space="preserve">BLS will conduct the </w:t>
      </w:r>
      <w:r w:rsidRPr="005D3CE2" w:rsidR="00733DCB">
        <w:t>Interview Survey</w:t>
      </w:r>
      <w:r w:rsidRPr="005D3CE2" w:rsidR="00304AD2">
        <w:t xml:space="preserve"> at approximately </w:t>
      </w:r>
      <w:r w:rsidRPr="004F689C" w:rsidR="00EC5C5D">
        <w:t>50,000</w:t>
      </w:r>
      <w:r w:rsidRPr="004F689C" w:rsidR="00F02856">
        <w:t xml:space="preserve"> </w:t>
      </w:r>
      <w:r w:rsidRPr="005D3CE2" w:rsidR="00304AD2">
        <w:t xml:space="preserve">designated addresses, which will result in an </w:t>
      </w:r>
      <w:r w:rsidRPr="00B1245B" w:rsidR="00304AD2">
        <w:t>estimated</w:t>
      </w:r>
      <w:r w:rsidRPr="00B1245B" w:rsidR="00B5531C">
        <w:t xml:space="preserve"> </w:t>
      </w:r>
      <w:r w:rsidRPr="004F689C" w:rsidR="00B57886">
        <w:t>4</w:t>
      </w:r>
      <w:r w:rsidRPr="004F689C" w:rsidR="00921326">
        <w:t>,</w:t>
      </w:r>
      <w:r w:rsidRPr="004F689C" w:rsidR="00B57886">
        <w:t xml:space="preserve">250 </w:t>
      </w:r>
      <w:r w:rsidRPr="00B1245B" w:rsidR="00B54A45">
        <w:t>respondents and</w:t>
      </w:r>
      <w:r w:rsidRPr="00B1245B" w:rsidR="00304AD2">
        <w:t xml:space="preserve"> </w:t>
      </w:r>
      <w:r w:rsidRPr="00B1245B" w:rsidR="005922B6">
        <w:t>17,</w:t>
      </w:r>
      <w:r w:rsidRPr="004F689C" w:rsidR="005D3CE2">
        <w:t>000</w:t>
      </w:r>
      <w:r w:rsidRPr="00B1245B" w:rsidR="00DD6BF6">
        <w:t xml:space="preserve"> </w:t>
      </w:r>
      <w:r w:rsidRPr="00B1245B" w:rsidR="00304AD2">
        <w:t>completed interviews</w:t>
      </w:r>
      <w:r w:rsidR="007A29E4">
        <w:t xml:space="preserve">. </w:t>
      </w:r>
      <w:r w:rsidRPr="00B1245B" w:rsidR="00B2033F">
        <w:t xml:space="preserve">This is a decrease of </w:t>
      </w:r>
      <w:r w:rsidRPr="004F689C" w:rsidR="00B57886">
        <w:t>568</w:t>
      </w:r>
      <w:r w:rsidRPr="00B1245B" w:rsidR="005922B6">
        <w:t xml:space="preserve"> </w:t>
      </w:r>
      <w:r w:rsidRPr="00B1245B" w:rsidR="00B2033F">
        <w:t>complete interviews as a result of continued decreases in response rates</w:t>
      </w:r>
      <w:r w:rsidRPr="00B1245B" w:rsidR="005922B6">
        <w:t xml:space="preserve"> and decreases in the number of addresses in sample</w:t>
      </w:r>
      <w:r w:rsidR="007A29E4">
        <w:t xml:space="preserve">. </w:t>
      </w:r>
      <w:r w:rsidRPr="00B1245B" w:rsidR="00304AD2">
        <w:t xml:space="preserve">Reinterviews will be conducted on approximately 12 percent of the completed interviews, for a total of </w:t>
      </w:r>
      <w:r w:rsidRPr="004F689C" w:rsidR="005D3CE2">
        <w:t>2040</w:t>
      </w:r>
      <w:r w:rsidRPr="004F689C" w:rsidR="005D3CE2">
        <w:rPr>
          <w:color w:val="00B050"/>
        </w:rPr>
        <w:t xml:space="preserve"> </w:t>
      </w:r>
      <w:r w:rsidRPr="00B1245B" w:rsidR="00304AD2">
        <w:t>completed reinterviews yearly</w:t>
      </w:r>
      <w:r w:rsidR="007A29E4">
        <w:t xml:space="preserve">. </w:t>
      </w:r>
      <w:r w:rsidRPr="00B1245B" w:rsidR="00304AD2">
        <w:t>The average time to complete the survey</w:t>
      </w:r>
      <w:r w:rsidRPr="004F689C" w:rsidR="003D77D0">
        <w:t xml:space="preserve"> based on actual timing from recent years</w:t>
      </w:r>
      <w:r w:rsidRPr="00B1245B" w:rsidR="00304AD2">
        <w:t xml:space="preserve"> is </w:t>
      </w:r>
      <w:r w:rsidRPr="00400DB5" w:rsidR="00E27343">
        <w:t>6</w:t>
      </w:r>
      <w:r w:rsidRPr="004F689C" w:rsidR="003D77D0">
        <w:t>7</w:t>
      </w:r>
      <w:r w:rsidRPr="00400DB5" w:rsidR="00423D91">
        <w:t xml:space="preserve"> </w:t>
      </w:r>
      <w:r w:rsidRPr="00400DB5" w:rsidR="00304AD2">
        <w:t xml:space="preserve">minutes </w:t>
      </w:r>
      <w:r w:rsidRPr="00B1245B" w:rsidR="00304AD2">
        <w:t>for the regular interview, and 10 minutes for the reinterview</w:t>
      </w:r>
      <w:r w:rsidR="007A29E4">
        <w:t xml:space="preserve">. </w:t>
      </w:r>
      <w:r w:rsidRPr="00B1245B" w:rsidR="00304AD2">
        <w:t xml:space="preserve">This results in an annual response burden (in terms of interview length) of </w:t>
      </w:r>
      <w:r w:rsidRPr="00B1245B" w:rsidR="005922B6">
        <w:t>1</w:t>
      </w:r>
      <w:r w:rsidR="00141C30">
        <w:t>9,323</w:t>
      </w:r>
      <w:r w:rsidRPr="00B1245B" w:rsidR="00B5531C">
        <w:t xml:space="preserve"> </w:t>
      </w:r>
      <w:r w:rsidRPr="00B1245B" w:rsidR="00304AD2">
        <w:t>hours yearly.</w:t>
      </w:r>
    </w:p>
    <w:p w:rsidR="006C05FC" w:rsidRPr="00B90A43" w14:paraId="753C7B27" w14:textId="2164E384"/>
    <w:tbl>
      <w:tblPr>
        <w:tblW w:w="10161" w:type="dxa"/>
        <w:tblCellMar>
          <w:left w:w="0" w:type="dxa"/>
        </w:tblCellMar>
        <w:tblLook w:val="04A0"/>
      </w:tblPr>
      <w:tblGrid>
        <w:gridCol w:w="1841"/>
        <w:gridCol w:w="1815"/>
        <w:gridCol w:w="1601"/>
        <w:gridCol w:w="1848"/>
        <w:gridCol w:w="1508"/>
        <w:gridCol w:w="1548"/>
      </w:tblGrid>
      <w:tr w14:paraId="44438339" w14:textId="77777777" w:rsidTr="00F52EF6">
        <w:tblPrEx>
          <w:tblW w:w="10161" w:type="dxa"/>
          <w:tblCellMar>
            <w:left w:w="0" w:type="dxa"/>
          </w:tblCellMar>
          <w:tblLook w:val="04A0"/>
        </w:tblPrEx>
        <w:trPr>
          <w:trHeight w:val="645"/>
        </w:trPr>
        <w:tc>
          <w:tcPr>
            <w:tcW w:w="10161" w:type="dxa"/>
            <w:gridSpan w:val="6"/>
            <w:tcBorders>
              <w:top w:val="single" w:sz="8" w:space="0" w:color="auto"/>
              <w:left w:val="single" w:sz="8" w:space="0" w:color="auto"/>
              <w:bottom w:val="single" w:sz="8" w:space="0" w:color="auto"/>
              <w:right w:val="single" w:sz="8" w:space="0" w:color="000000"/>
            </w:tcBorders>
            <w:vAlign w:val="center"/>
            <w:hideMark/>
          </w:tcPr>
          <w:p w:rsidR="005117A9" w:rsidRPr="00470432" w:rsidP="005A46BB" w14:paraId="1567A577" w14:textId="77777777">
            <w:pPr>
              <w:ind w:left="480"/>
            </w:pPr>
            <w:bookmarkStart w:id="4" w:name="_Hlk165530838"/>
            <w:r w:rsidRPr="00470432">
              <w:t>Response Burden for the Interview Survey</w:t>
            </w:r>
          </w:p>
        </w:tc>
      </w:tr>
      <w:tr w14:paraId="5A4ECD7D" w14:textId="77777777" w:rsidTr="00F52EF6">
        <w:tblPrEx>
          <w:tblW w:w="10161" w:type="dxa"/>
          <w:tblCellMar>
            <w:left w:w="0" w:type="dxa"/>
          </w:tblCellMar>
          <w:tblLook w:val="04A0"/>
        </w:tblPrEx>
        <w:trPr>
          <w:trHeight w:val="645"/>
        </w:trPr>
        <w:tc>
          <w:tcPr>
            <w:tcW w:w="1841" w:type="dxa"/>
            <w:tcBorders>
              <w:top w:val="nil"/>
              <w:left w:val="single" w:sz="8" w:space="0" w:color="auto"/>
              <w:bottom w:val="nil"/>
              <w:right w:val="single" w:sz="8" w:space="0" w:color="auto"/>
            </w:tcBorders>
            <w:vAlign w:val="center"/>
            <w:hideMark/>
          </w:tcPr>
          <w:p w:rsidR="005117A9" w:rsidRPr="00470432" w:rsidP="005A46BB" w14:paraId="6D0DF600" w14:textId="77777777">
            <w:pPr>
              <w:ind w:left="480"/>
            </w:pPr>
            <w:r w:rsidRPr="00470432">
              <w:t> </w:t>
            </w:r>
          </w:p>
        </w:tc>
        <w:tc>
          <w:tcPr>
            <w:tcW w:w="1815" w:type="dxa"/>
            <w:vMerge w:val="restart"/>
            <w:tcBorders>
              <w:top w:val="nil"/>
              <w:left w:val="single" w:sz="8" w:space="0" w:color="auto"/>
              <w:bottom w:val="single" w:sz="8" w:space="0" w:color="000000"/>
              <w:right w:val="single" w:sz="8" w:space="0" w:color="auto"/>
            </w:tcBorders>
            <w:vAlign w:val="center"/>
            <w:hideMark/>
          </w:tcPr>
          <w:p w:rsidR="005117A9" w:rsidRPr="00470432" w:rsidP="0036199A" w14:paraId="4BA3451A" w14:textId="77777777">
            <w:pPr>
              <w:ind w:left="480"/>
            </w:pPr>
            <w:r w:rsidRPr="00470432">
              <w:t>Total Respondents</w:t>
            </w:r>
          </w:p>
        </w:tc>
        <w:tc>
          <w:tcPr>
            <w:tcW w:w="1601" w:type="dxa"/>
            <w:vMerge w:val="restart"/>
            <w:tcBorders>
              <w:top w:val="nil"/>
              <w:left w:val="single" w:sz="8" w:space="0" w:color="auto"/>
              <w:bottom w:val="single" w:sz="8" w:space="0" w:color="000000"/>
              <w:right w:val="single" w:sz="8" w:space="0" w:color="auto"/>
            </w:tcBorders>
            <w:vAlign w:val="center"/>
            <w:hideMark/>
          </w:tcPr>
          <w:p w:rsidR="005117A9" w:rsidRPr="00470432" w:rsidP="0036199A" w14:paraId="519ECDE3" w14:textId="77777777">
            <w:pPr>
              <w:ind w:left="480"/>
            </w:pPr>
            <w:r w:rsidRPr="00470432">
              <w:t>Frequency</w:t>
            </w:r>
          </w:p>
        </w:tc>
        <w:tc>
          <w:tcPr>
            <w:tcW w:w="1848" w:type="dxa"/>
            <w:vMerge w:val="restart"/>
            <w:tcBorders>
              <w:top w:val="nil"/>
              <w:left w:val="single" w:sz="8" w:space="0" w:color="auto"/>
              <w:bottom w:val="single" w:sz="8" w:space="0" w:color="000000"/>
              <w:right w:val="single" w:sz="8" w:space="0" w:color="auto"/>
            </w:tcBorders>
            <w:vAlign w:val="center"/>
            <w:hideMark/>
          </w:tcPr>
          <w:p w:rsidR="005117A9" w:rsidRPr="00470432" w:rsidP="0036199A" w14:paraId="544D5654" w14:textId="77777777">
            <w:pPr>
              <w:ind w:left="480"/>
            </w:pPr>
            <w:r w:rsidRPr="00470432">
              <w:t>Total Responses</w:t>
            </w:r>
          </w:p>
        </w:tc>
        <w:tc>
          <w:tcPr>
            <w:tcW w:w="1508" w:type="dxa"/>
            <w:tcBorders>
              <w:top w:val="nil"/>
              <w:left w:val="nil"/>
              <w:bottom w:val="nil"/>
              <w:right w:val="single" w:sz="8" w:space="0" w:color="auto"/>
            </w:tcBorders>
            <w:vAlign w:val="center"/>
            <w:hideMark/>
          </w:tcPr>
          <w:p w:rsidR="005117A9" w:rsidRPr="00470432" w:rsidP="0036199A" w14:paraId="35F5BEB1" w14:textId="77777777">
            <w:pPr>
              <w:ind w:left="480"/>
            </w:pPr>
            <w:r w:rsidRPr="00470432">
              <w:t>Average</w:t>
            </w:r>
          </w:p>
        </w:tc>
        <w:tc>
          <w:tcPr>
            <w:tcW w:w="1548" w:type="dxa"/>
            <w:tcBorders>
              <w:top w:val="nil"/>
              <w:left w:val="nil"/>
              <w:bottom w:val="nil"/>
              <w:right w:val="single" w:sz="8" w:space="0" w:color="auto"/>
            </w:tcBorders>
            <w:vAlign w:val="center"/>
            <w:hideMark/>
          </w:tcPr>
          <w:p w:rsidR="005117A9" w:rsidRPr="00470432" w:rsidP="0036199A" w14:paraId="2FA14E8A" w14:textId="77777777">
            <w:pPr>
              <w:ind w:left="480"/>
            </w:pPr>
            <w:r w:rsidRPr="00470432">
              <w:t>Estimated</w:t>
            </w:r>
          </w:p>
        </w:tc>
      </w:tr>
      <w:tr w14:paraId="09C2FECF" w14:textId="77777777" w:rsidTr="00F52EF6">
        <w:tblPrEx>
          <w:tblW w:w="10161" w:type="dxa"/>
          <w:tblCellMar>
            <w:left w:w="0" w:type="dxa"/>
          </w:tblCellMar>
          <w:tblLook w:val="04A0"/>
        </w:tblPrEx>
        <w:trPr>
          <w:trHeight w:val="960"/>
        </w:trPr>
        <w:tc>
          <w:tcPr>
            <w:tcW w:w="1841" w:type="dxa"/>
            <w:tcBorders>
              <w:top w:val="nil"/>
              <w:left w:val="single" w:sz="8" w:space="0" w:color="auto"/>
              <w:bottom w:val="nil"/>
              <w:right w:val="single" w:sz="8" w:space="0" w:color="auto"/>
            </w:tcBorders>
            <w:vAlign w:val="center"/>
            <w:hideMark/>
          </w:tcPr>
          <w:p w:rsidR="005117A9" w:rsidRPr="00470432" w:rsidP="005A46BB" w14:paraId="1C2E0795" w14:textId="77777777">
            <w:pPr>
              <w:ind w:left="480"/>
            </w:pPr>
            <w:r w:rsidRPr="00470432">
              <w:t>Form</w:t>
            </w:r>
          </w:p>
        </w:tc>
        <w:tc>
          <w:tcPr>
            <w:tcW w:w="1815" w:type="dxa"/>
            <w:vMerge/>
            <w:tcBorders>
              <w:top w:val="nil"/>
              <w:left w:val="single" w:sz="8" w:space="0" w:color="auto"/>
              <w:bottom w:val="single" w:sz="8" w:space="0" w:color="000000"/>
              <w:right w:val="single" w:sz="8" w:space="0" w:color="auto"/>
            </w:tcBorders>
            <w:vAlign w:val="center"/>
            <w:hideMark/>
          </w:tcPr>
          <w:p w:rsidR="005117A9" w:rsidRPr="00470432" w:rsidP="0036199A" w14:paraId="2CE5AA6F" w14:textId="77777777">
            <w:pPr>
              <w:ind w:left="480"/>
            </w:pPr>
          </w:p>
        </w:tc>
        <w:tc>
          <w:tcPr>
            <w:tcW w:w="1601" w:type="dxa"/>
            <w:vMerge/>
            <w:tcBorders>
              <w:top w:val="nil"/>
              <w:left w:val="single" w:sz="8" w:space="0" w:color="auto"/>
              <w:bottom w:val="single" w:sz="8" w:space="0" w:color="000000"/>
              <w:right w:val="single" w:sz="8" w:space="0" w:color="auto"/>
            </w:tcBorders>
            <w:vAlign w:val="center"/>
            <w:hideMark/>
          </w:tcPr>
          <w:p w:rsidR="005117A9" w:rsidRPr="00470432" w:rsidP="0036199A" w14:paraId="01C82CDC" w14:textId="77777777">
            <w:pPr>
              <w:ind w:left="480"/>
            </w:pPr>
          </w:p>
        </w:tc>
        <w:tc>
          <w:tcPr>
            <w:tcW w:w="1848" w:type="dxa"/>
            <w:vMerge/>
            <w:tcBorders>
              <w:top w:val="nil"/>
              <w:left w:val="single" w:sz="8" w:space="0" w:color="auto"/>
              <w:bottom w:val="single" w:sz="8" w:space="0" w:color="000000"/>
              <w:right w:val="single" w:sz="8" w:space="0" w:color="auto"/>
            </w:tcBorders>
            <w:vAlign w:val="center"/>
            <w:hideMark/>
          </w:tcPr>
          <w:p w:rsidR="005117A9" w:rsidRPr="00470432" w:rsidP="0036199A" w14:paraId="776DA0CD" w14:textId="77777777">
            <w:pPr>
              <w:ind w:left="480"/>
            </w:pPr>
          </w:p>
        </w:tc>
        <w:tc>
          <w:tcPr>
            <w:tcW w:w="1508" w:type="dxa"/>
            <w:tcBorders>
              <w:top w:val="nil"/>
              <w:left w:val="nil"/>
              <w:bottom w:val="nil"/>
              <w:right w:val="single" w:sz="8" w:space="0" w:color="auto"/>
            </w:tcBorders>
            <w:vAlign w:val="center"/>
            <w:hideMark/>
          </w:tcPr>
          <w:p w:rsidR="005117A9" w:rsidRPr="00470432" w:rsidP="0036199A" w14:paraId="43BED11C" w14:textId="2DF98E0A">
            <w:pPr>
              <w:ind w:left="480"/>
            </w:pPr>
            <w:r w:rsidRPr="00470432">
              <w:t>Time per Response</w:t>
            </w:r>
            <w:r w:rsidR="00CF18F3">
              <w:t xml:space="preserve"> (min)</w:t>
            </w:r>
          </w:p>
        </w:tc>
        <w:tc>
          <w:tcPr>
            <w:tcW w:w="1548" w:type="dxa"/>
            <w:tcBorders>
              <w:top w:val="nil"/>
              <w:left w:val="nil"/>
              <w:bottom w:val="nil"/>
              <w:right w:val="single" w:sz="8" w:space="0" w:color="auto"/>
            </w:tcBorders>
            <w:vAlign w:val="center"/>
            <w:hideMark/>
          </w:tcPr>
          <w:p w:rsidR="005117A9" w:rsidRPr="00470432" w:rsidP="0036199A" w14:paraId="0A68FAAA" w14:textId="03976F06">
            <w:pPr>
              <w:ind w:left="480"/>
            </w:pPr>
            <w:r w:rsidRPr="00470432">
              <w:t>Total</w:t>
            </w:r>
            <w:r w:rsidRPr="00470432" w:rsidR="003D77D0">
              <w:t xml:space="preserve"> Burden</w:t>
            </w:r>
          </w:p>
        </w:tc>
      </w:tr>
      <w:tr w14:paraId="471B5DCF" w14:textId="77777777" w:rsidTr="00F52EF6">
        <w:tblPrEx>
          <w:tblW w:w="10161" w:type="dxa"/>
          <w:tblCellMar>
            <w:left w:w="0" w:type="dxa"/>
          </w:tblCellMar>
          <w:tblLook w:val="04A0"/>
        </w:tblPrEx>
        <w:trPr>
          <w:trHeight w:val="330"/>
        </w:trPr>
        <w:tc>
          <w:tcPr>
            <w:tcW w:w="1841" w:type="dxa"/>
            <w:tcBorders>
              <w:top w:val="nil"/>
              <w:left w:val="single" w:sz="8" w:space="0" w:color="auto"/>
              <w:bottom w:val="single" w:sz="8" w:space="0" w:color="auto"/>
              <w:right w:val="single" w:sz="8" w:space="0" w:color="auto"/>
            </w:tcBorders>
            <w:hideMark/>
          </w:tcPr>
          <w:p w:rsidR="005117A9" w:rsidRPr="00470432" w:rsidP="005A46BB" w14:paraId="546160D3" w14:textId="77777777">
            <w:pPr>
              <w:ind w:left="480"/>
            </w:pPr>
            <w:r w:rsidRPr="00470432">
              <w:t> </w:t>
            </w:r>
          </w:p>
        </w:tc>
        <w:tc>
          <w:tcPr>
            <w:tcW w:w="1815" w:type="dxa"/>
            <w:vMerge/>
            <w:tcBorders>
              <w:top w:val="nil"/>
              <w:left w:val="single" w:sz="8" w:space="0" w:color="auto"/>
              <w:bottom w:val="single" w:sz="8" w:space="0" w:color="000000"/>
              <w:right w:val="single" w:sz="8" w:space="0" w:color="auto"/>
            </w:tcBorders>
            <w:vAlign w:val="center"/>
            <w:hideMark/>
          </w:tcPr>
          <w:p w:rsidR="005117A9" w:rsidRPr="00470432" w:rsidP="0036199A" w14:paraId="36CC5532" w14:textId="77777777">
            <w:pPr>
              <w:ind w:left="480"/>
            </w:pPr>
          </w:p>
        </w:tc>
        <w:tc>
          <w:tcPr>
            <w:tcW w:w="1601" w:type="dxa"/>
            <w:vMerge/>
            <w:tcBorders>
              <w:top w:val="nil"/>
              <w:left w:val="single" w:sz="8" w:space="0" w:color="auto"/>
              <w:bottom w:val="single" w:sz="8" w:space="0" w:color="000000"/>
              <w:right w:val="single" w:sz="8" w:space="0" w:color="auto"/>
            </w:tcBorders>
            <w:vAlign w:val="center"/>
            <w:hideMark/>
          </w:tcPr>
          <w:p w:rsidR="005117A9" w:rsidRPr="00470432" w:rsidP="0036199A" w14:paraId="57ED3122" w14:textId="77777777">
            <w:pPr>
              <w:ind w:left="480"/>
            </w:pPr>
          </w:p>
        </w:tc>
        <w:tc>
          <w:tcPr>
            <w:tcW w:w="1848" w:type="dxa"/>
            <w:vMerge/>
            <w:tcBorders>
              <w:top w:val="nil"/>
              <w:left w:val="single" w:sz="8" w:space="0" w:color="auto"/>
              <w:bottom w:val="single" w:sz="8" w:space="0" w:color="000000"/>
              <w:right w:val="single" w:sz="8" w:space="0" w:color="auto"/>
            </w:tcBorders>
            <w:vAlign w:val="center"/>
            <w:hideMark/>
          </w:tcPr>
          <w:p w:rsidR="005117A9" w:rsidRPr="00470432" w:rsidP="0036199A" w14:paraId="4182DA9D" w14:textId="77777777">
            <w:pPr>
              <w:ind w:left="480"/>
            </w:pPr>
          </w:p>
        </w:tc>
        <w:tc>
          <w:tcPr>
            <w:tcW w:w="1508" w:type="dxa"/>
            <w:tcBorders>
              <w:top w:val="nil"/>
              <w:left w:val="nil"/>
              <w:bottom w:val="single" w:sz="8" w:space="0" w:color="auto"/>
              <w:right w:val="single" w:sz="8" w:space="0" w:color="auto"/>
            </w:tcBorders>
            <w:hideMark/>
          </w:tcPr>
          <w:p w:rsidR="005117A9" w:rsidRPr="00470432" w:rsidP="0036199A" w14:paraId="54099D23" w14:textId="77777777">
            <w:pPr>
              <w:ind w:left="480"/>
            </w:pPr>
            <w:r w:rsidRPr="00470432">
              <w:t> </w:t>
            </w:r>
          </w:p>
        </w:tc>
        <w:tc>
          <w:tcPr>
            <w:tcW w:w="1548" w:type="dxa"/>
            <w:tcBorders>
              <w:top w:val="nil"/>
              <w:left w:val="nil"/>
              <w:bottom w:val="single" w:sz="8" w:space="0" w:color="auto"/>
              <w:right w:val="single" w:sz="8" w:space="0" w:color="auto"/>
            </w:tcBorders>
            <w:vAlign w:val="center"/>
            <w:hideMark/>
          </w:tcPr>
          <w:p w:rsidR="005117A9" w:rsidRPr="00470432" w:rsidP="0036199A" w14:paraId="0FDE3B55" w14:textId="3F1437E5">
            <w:pPr>
              <w:ind w:left="480"/>
            </w:pPr>
            <w:r>
              <w:t>(</w:t>
            </w:r>
            <w:r w:rsidR="003D77D0">
              <w:t>hours</w:t>
            </w:r>
            <w:r>
              <w:t>)</w:t>
            </w:r>
          </w:p>
        </w:tc>
      </w:tr>
      <w:tr w14:paraId="718CC962" w14:textId="77777777" w:rsidTr="00F52EF6">
        <w:tblPrEx>
          <w:tblW w:w="10161" w:type="dxa"/>
          <w:tblCellMar>
            <w:left w:w="0" w:type="dxa"/>
          </w:tblCellMar>
          <w:tblLook w:val="04A0"/>
        </w:tblPrEx>
        <w:trPr>
          <w:trHeight w:val="645"/>
        </w:trPr>
        <w:tc>
          <w:tcPr>
            <w:tcW w:w="1841" w:type="dxa"/>
            <w:tcBorders>
              <w:top w:val="nil"/>
              <w:left w:val="single" w:sz="8" w:space="0" w:color="auto"/>
              <w:bottom w:val="single" w:sz="8" w:space="0" w:color="auto"/>
              <w:right w:val="single" w:sz="8" w:space="0" w:color="auto"/>
            </w:tcBorders>
            <w:vAlign w:val="center"/>
            <w:hideMark/>
          </w:tcPr>
          <w:p w:rsidR="00F52EF6" w:rsidRPr="00470432" w:rsidP="00F52EF6" w14:paraId="479305C1" w14:textId="77777777">
            <w:pPr>
              <w:ind w:left="480"/>
            </w:pPr>
            <w:r w:rsidRPr="00470432">
              <w:t>Interview</w:t>
            </w:r>
          </w:p>
        </w:tc>
        <w:tc>
          <w:tcPr>
            <w:tcW w:w="1815" w:type="dxa"/>
            <w:tcBorders>
              <w:top w:val="nil"/>
              <w:left w:val="nil"/>
              <w:bottom w:val="single" w:sz="8" w:space="0" w:color="auto"/>
              <w:right w:val="single" w:sz="8" w:space="0" w:color="auto"/>
            </w:tcBorders>
            <w:vAlign w:val="center"/>
            <w:hideMark/>
          </w:tcPr>
          <w:p w:rsidR="00F52EF6" w:rsidRPr="00470432" w:rsidP="00F52EF6" w14:paraId="6E50991F" w14:textId="081FFF89">
            <w:pPr>
              <w:ind w:left="480"/>
            </w:pPr>
            <w:r>
              <w:rPr>
                <w:color w:val="000000"/>
              </w:rPr>
              <w:t>4,250</w:t>
            </w:r>
          </w:p>
        </w:tc>
        <w:tc>
          <w:tcPr>
            <w:tcW w:w="1601" w:type="dxa"/>
            <w:tcBorders>
              <w:top w:val="nil"/>
              <w:left w:val="nil"/>
              <w:bottom w:val="single" w:sz="8" w:space="0" w:color="auto"/>
              <w:right w:val="single" w:sz="8" w:space="0" w:color="auto"/>
            </w:tcBorders>
            <w:vAlign w:val="center"/>
            <w:hideMark/>
          </w:tcPr>
          <w:p w:rsidR="00F52EF6" w:rsidRPr="00470432" w:rsidP="00F52EF6" w14:paraId="250F3C90" w14:textId="77777777">
            <w:pPr>
              <w:ind w:left="480"/>
            </w:pPr>
            <w:r w:rsidRPr="00470432">
              <w:t>4</w:t>
            </w:r>
          </w:p>
        </w:tc>
        <w:tc>
          <w:tcPr>
            <w:tcW w:w="1848" w:type="dxa"/>
            <w:tcBorders>
              <w:top w:val="nil"/>
              <w:left w:val="nil"/>
              <w:bottom w:val="single" w:sz="8" w:space="0" w:color="auto"/>
              <w:right w:val="single" w:sz="8" w:space="0" w:color="auto"/>
            </w:tcBorders>
            <w:vAlign w:val="center"/>
            <w:hideMark/>
          </w:tcPr>
          <w:p w:rsidR="00F52EF6" w:rsidRPr="00470432" w:rsidP="00F52EF6" w14:paraId="5493355B" w14:textId="4E9ADED8">
            <w:pPr>
              <w:ind w:left="480"/>
            </w:pPr>
            <w:r>
              <w:rPr>
                <w:color w:val="000000"/>
              </w:rPr>
              <w:t>17,</w:t>
            </w:r>
            <w:r w:rsidR="005D3CE2">
              <w:rPr>
                <w:color w:val="000000"/>
              </w:rPr>
              <w:t>000</w:t>
            </w:r>
          </w:p>
        </w:tc>
        <w:tc>
          <w:tcPr>
            <w:tcW w:w="1508" w:type="dxa"/>
            <w:tcBorders>
              <w:top w:val="nil"/>
              <w:left w:val="nil"/>
              <w:bottom w:val="single" w:sz="8" w:space="0" w:color="auto"/>
              <w:right w:val="single" w:sz="8" w:space="0" w:color="auto"/>
            </w:tcBorders>
            <w:vAlign w:val="center"/>
            <w:hideMark/>
          </w:tcPr>
          <w:p w:rsidR="00F52EF6" w:rsidRPr="00B1245B" w:rsidP="00F52EF6" w14:paraId="2E72C41E" w14:textId="2663F307">
            <w:pPr>
              <w:ind w:left="480"/>
            </w:pPr>
            <w:r w:rsidRPr="00B1245B">
              <w:t>6</w:t>
            </w:r>
            <w:r w:rsidRPr="004F689C" w:rsidR="003D77D0">
              <w:t>7</w:t>
            </w:r>
          </w:p>
        </w:tc>
        <w:tc>
          <w:tcPr>
            <w:tcW w:w="1548" w:type="dxa"/>
            <w:tcBorders>
              <w:top w:val="nil"/>
              <w:left w:val="nil"/>
              <w:bottom w:val="single" w:sz="8" w:space="0" w:color="auto"/>
              <w:right w:val="single" w:sz="8" w:space="0" w:color="auto"/>
            </w:tcBorders>
            <w:vAlign w:val="center"/>
            <w:hideMark/>
          </w:tcPr>
          <w:p w:rsidR="00F52EF6" w:rsidRPr="00B1245B" w:rsidP="00F52EF6" w14:paraId="03DA877F" w14:textId="636F1A93">
            <w:pPr>
              <w:ind w:left="480"/>
            </w:pPr>
            <w:r w:rsidRPr="00B1245B">
              <w:rPr>
                <w:color w:val="000000"/>
              </w:rPr>
              <w:t>18,</w:t>
            </w:r>
            <w:r w:rsidRPr="00B1245B" w:rsidR="003D77D0">
              <w:rPr>
                <w:color w:val="000000"/>
              </w:rPr>
              <w:t>983</w:t>
            </w:r>
          </w:p>
        </w:tc>
      </w:tr>
      <w:tr w14:paraId="30F12C59" w14:textId="77777777" w:rsidTr="00F52EF6">
        <w:tblPrEx>
          <w:tblW w:w="10161" w:type="dxa"/>
          <w:tblCellMar>
            <w:left w:w="0" w:type="dxa"/>
          </w:tblCellMar>
          <w:tblLook w:val="04A0"/>
        </w:tblPrEx>
        <w:trPr>
          <w:trHeight w:val="889"/>
        </w:trPr>
        <w:tc>
          <w:tcPr>
            <w:tcW w:w="1841" w:type="dxa"/>
            <w:tcBorders>
              <w:top w:val="nil"/>
              <w:left w:val="single" w:sz="8" w:space="0" w:color="auto"/>
              <w:bottom w:val="single" w:sz="8" w:space="0" w:color="auto"/>
              <w:right w:val="single" w:sz="8" w:space="0" w:color="auto"/>
            </w:tcBorders>
            <w:vAlign w:val="center"/>
            <w:hideMark/>
          </w:tcPr>
          <w:p w:rsidR="00F52EF6" w:rsidRPr="00470432" w:rsidP="00F52EF6" w14:paraId="4116A1EC" w14:textId="77777777">
            <w:pPr>
              <w:ind w:left="480"/>
            </w:pPr>
            <w:r w:rsidRPr="00470432">
              <w:t>Reinterview</w:t>
            </w:r>
            <w:r w:rsidRPr="00470432">
              <w:rPr>
                <w:color w:val="000000"/>
                <w:vertAlign w:val="superscript"/>
              </w:rPr>
              <w:t>1</w:t>
            </w:r>
          </w:p>
        </w:tc>
        <w:tc>
          <w:tcPr>
            <w:tcW w:w="1815" w:type="dxa"/>
            <w:tcBorders>
              <w:top w:val="nil"/>
              <w:left w:val="nil"/>
              <w:bottom w:val="single" w:sz="8" w:space="0" w:color="auto"/>
              <w:right w:val="single" w:sz="8" w:space="0" w:color="auto"/>
            </w:tcBorders>
            <w:vAlign w:val="center"/>
            <w:hideMark/>
          </w:tcPr>
          <w:p w:rsidR="00F52EF6" w:rsidRPr="00470432" w:rsidP="00F52EF6" w14:paraId="1C4EB52D" w14:textId="61186274">
            <w:pPr>
              <w:ind w:left="480"/>
            </w:pPr>
            <w:r>
              <w:rPr>
                <w:color w:val="000000"/>
              </w:rPr>
              <w:t>2,040</w:t>
            </w:r>
          </w:p>
        </w:tc>
        <w:tc>
          <w:tcPr>
            <w:tcW w:w="1601" w:type="dxa"/>
            <w:tcBorders>
              <w:top w:val="nil"/>
              <w:left w:val="nil"/>
              <w:bottom w:val="single" w:sz="8" w:space="0" w:color="auto"/>
              <w:right w:val="single" w:sz="8" w:space="0" w:color="auto"/>
            </w:tcBorders>
            <w:vAlign w:val="center"/>
            <w:hideMark/>
          </w:tcPr>
          <w:p w:rsidR="00F52EF6" w:rsidRPr="00470432" w:rsidP="00F52EF6" w14:paraId="12893C0B" w14:textId="77777777">
            <w:pPr>
              <w:ind w:left="480"/>
            </w:pPr>
            <w:r w:rsidRPr="00470432">
              <w:t>1</w:t>
            </w:r>
          </w:p>
        </w:tc>
        <w:tc>
          <w:tcPr>
            <w:tcW w:w="1848" w:type="dxa"/>
            <w:tcBorders>
              <w:top w:val="nil"/>
              <w:left w:val="nil"/>
              <w:bottom w:val="single" w:sz="8" w:space="0" w:color="auto"/>
              <w:right w:val="single" w:sz="8" w:space="0" w:color="auto"/>
            </w:tcBorders>
            <w:vAlign w:val="center"/>
            <w:hideMark/>
          </w:tcPr>
          <w:p w:rsidR="00F52EF6" w:rsidRPr="00470432" w:rsidP="00F52EF6" w14:paraId="35D12A6B" w14:textId="16E7A017">
            <w:pPr>
              <w:ind w:left="480"/>
            </w:pPr>
            <w:r>
              <w:rPr>
                <w:color w:val="000000"/>
              </w:rPr>
              <w:t>2,040</w:t>
            </w:r>
          </w:p>
        </w:tc>
        <w:tc>
          <w:tcPr>
            <w:tcW w:w="1508" w:type="dxa"/>
            <w:tcBorders>
              <w:top w:val="nil"/>
              <w:left w:val="nil"/>
              <w:bottom w:val="single" w:sz="8" w:space="0" w:color="auto"/>
              <w:right w:val="single" w:sz="8" w:space="0" w:color="auto"/>
            </w:tcBorders>
            <w:vAlign w:val="center"/>
            <w:hideMark/>
          </w:tcPr>
          <w:p w:rsidR="00F52EF6" w:rsidRPr="00470432" w:rsidP="00F52EF6" w14:paraId="34551C18" w14:textId="77777777">
            <w:pPr>
              <w:ind w:left="480"/>
            </w:pPr>
            <w:r w:rsidRPr="00470432">
              <w:t>10</w:t>
            </w:r>
          </w:p>
        </w:tc>
        <w:tc>
          <w:tcPr>
            <w:tcW w:w="1548" w:type="dxa"/>
            <w:tcBorders>
              <w:top w:val="nil"/>
              <w:left w:val="nil"/>
              <w:bottom w:val="single" w:sz="8" w:space="0" w:color="auto"/>
              <w:right w:val="single" w:sz="8" w:space="0" w:color="auto"/>
            </w:tcBorders>
            <w:vAlign w:val="center"/>
            <w:hideMark/>
          </w:tcPr>
          <w:p w:rsidR="00F52EF6" w:rsidRPr="00470432" w:rsidP="00F52EF6" w14:paraId="40239AA9" w14:textId="4EF55737">
            <w:pPr>
              <w:ind w:left="480"/>
            </w:pPr>
            <w:r>
              <w:rPr>
                <w:color w:val="000000"/>
              </w:rPr>
              <w:t>340</w:t>
            </w:r>
          </w:p>
        </w:tc>
      </w:tr>
      <w:tr w14:paraId="2C9F4AA7" w14:textId="77777777" w:rsidTr="00F52EF6">
        <w:tblPrEx>
          <w:tblW w:w="10161" w:type="dxa"/>
          <w:tblCellMar>
            <w:left w:w="0" w:type="dxa"/>
          </w:tblCellMar>
          <w:tblLook w:val="04A0"/>
        </w:tblPrEx>
        <w:trPr>
          <w:trHeight w:val="938"/>
        </w:trPr>
        <w:tc>
          <w:tcPr>
            <w:tcW w:w="1841" w:type="dxa"/>
            <w:tcBorders>
              <w:top w:val="nil"/>
              <w:left w:val="single" w:sz="8" w:space="0" w:color="auto"/>
              <w:bottom w:val="single" w:sz="8" w:space="0" w:color="auto"/>
              <w:right w:val="single" w:sz="8" w:space="0" w:color="auto"/>
            </w:tcBorders>
            <w:vAlign w:val="center"/>
            <w:hideMark/>
          </w:tcPr>
          <w:p w:rsidR="00F52EF6" w:rsidRPr="00470432" w:rsidP="00F52EF6" w14:paraId="2F3F1BD7" w14:textId="77777777">
            <w:pPr>
              <w:ind w:left="480"/>
            </w:pPr>
            <w:r w:rsidRPr="00470432">
              <w:t>TOTALS</w:t>
            </w:r>
          </w:p>
        </w:tc>
        <w:tc>
          <w:tcPr>
            <w:tcW w:w="1815" w:type="dxa"/>
            <w:tcBorders>
              <w:top w:val="nil"/>
              <w:left w:val="nil"/>
              <w:bottom w:val="single" w:sz="8" w:space="0" w:color="auto"/>
              <w:right w:val="single" w:sz="8" w:space="0" w:color="auto"/>
            </w:tcBorders>
            <w:vAlign w:val="center"/>
            <w:hideMark/>
          </w:tcPr>
          <w:p w:rsidR="00F52EF6" w:rsidRPr="00470432" w:rsidP="00F52EF6" w14:paraId="231BC1DA" w14:textId="351FB00C">
            <w:pPr>
              <w:ind w:left="480"/>
            </w:pPr>
            <w:r>
              <w:rPr>
                <w:color w:val="000000"/>
              </w:rPr>
              <w:t>4,250</w:t>
            </w:r>
          </w:p>
        </w:tc>
        <w:tc>
          <w:tcPr>
            <w:tcW w:w="1601" w:type="dxa"/>
            <w:tcBorders>
              <w:top w:val="nil"/>
              <w:left w:val="nil"/>
              <w:bottom w:val="single" w:sz="8" w:space="0" w:color="auto"/>
              <w:right w:val="single" w:sz="8" w:space="0" w:color="auto"/>
            </w:tcBorders>
            <w:vAlign w:val="center"/>
            <w:hideMark/>
          </w:tcPr>
          <w:p w:rsidR="00F52EF6" w:rsidRPr="00470432" w:rsidP="00F52EF6" w14:paraId="7AE88B41" w14:textId="77777777">
            <w:pPr>
              <w:ind w:left="480"/>
            </w:pPr>
            <w:r w:rsidRPr="00470432">
              <w:t>/////////</w:t>
            </w:r>
          </w:p>
        </w:tc>
        <w:tc>
          <w:tcPr>
            <w:tcW w:w="1848" w:type="dxa"/>
            <w:tcBorders>
              <w:top w:val="nil"/>
              <w:left w:val="nil"/>
              <w:bottom w:val="single" w:sz="8" w:space="0" w:color="auto"/>
              <w:right w:val="single" w:sz="8" w:space="0" w:color="auto"/>
            </w:tcBorders>
            <w:vAlign w:val="center"/>
            <w:hideMark/>
          </w:tcPr>
          <w:p w:rsidR="00F52EF6" w:rsidRPr="00470432" w:rsidP="00F52EF6" w14:paraId="46332C42" w14:textId="1BB198C0">
            <w:pPr>
              <w:ind w:left="480"/>
            </w:pPr>
            <w:r>
              <w:rPr>
                <w:color w:val="000000"/>
              </w:rPr>
              <w:t>19,040</w:t>
            </w:r>
          </w:p>
        </w:tc>
        <w:tc>
          <w:tcPr>
            <w:tcW w:w="1508" w:type="dxa"/>
            <w:tcBorders>
              <w:top w:val="nil"/>
              <w:left w:val="nil"/>
              <w:bottom w:val="single" w:sz="8" w:space="0" w:color="auto"/>
              <w:right w:val="single" w:sz="8" w:space="0" w:color="auto"/>
            </w:tcBorders>
            <w:vAlign w:val="center"/>
            <w:hideMark/>
          </w:tcPr>
          <w:p w:rsidR="00F52EF6" w:rsidRPr="00470432" w:rsidP="00F52EF6" w14:paraId="3435AC54" w14:textId="77777777">
            <w:pPr>
              <w:ind w:left="480"/>
            </w:pPr>
            <w:r w:rsidRPr="00470432">
              <w:t>////////</w:t>
            </w:r>
          </w:p>
        </w:tc>
        <w:tc>
          <w:tcPr>
            <w:tcW w:w="1548" w:type="dxa"/>
            <w:tcBorders>
              <w:top w:val="nil"/>
              <w:left w:val="nil"/>
              <w:bottom w:val="single" w:sz="8" w:space="0" w:color="auto"/>
              <w:right w:val="single" w:sz="8" w:space="0" w:color="auto"/>
            </w:tcBorders>
            <w:vAlign w:val="center"/>
            <w:hideMark/>
          </w:tcPr>
          <w:p w:rsidR="00F52EF6" w:rsidRPr="00470432" w:rsidP="00F52EF6" w14:paraId="0A20EFE1" w14:textId="073DAFCE">
            <w:pPr>
              <w:ind w:left="480"/>
            </w:pPr>
            <w:r>
              <w:rPr>
                <w:color w:val="000000"/>
              </w:rPr>
              <w:t>1</w:t>
            </w:r>
            <w:r w:rsidR="003D77D0">
              <w:rPr>
                <w:color w:val="000000"/>
              </w:rPr>
              <w:t>9,323</w:t>
            </w:r>
          </w:p>
        </w:tc>
      </w:tr>
      <w:tr w14:paraId="6F7CAAE8" w14:textId="77777777" w:rsidTr="00F52EF6">
        <w:tblPrEx>
          <w:tblW w:w="10161" w:type="dxa"/>
          <w:tblCellMar>
            <w:left w:w="0" w:type="dxa"/>
          </w:tblCellMar>
          <w:tblLook w:val="04A0"/>
        </w:tblPrEx>
        <w:trPr>
          <w:trHeight w:val="683"/>
        </w:trPr>
        <w:tc>
          <w:tcPr>
            <w:tcW w:w="10161" w:type="dxa"/>
            <w:gridSpan w:val="6"/>
            <w:tcBorders>
              <w:top w:val="single" w:sz="8" w:space="0" w:color="auto"/>
              <w:left w:val="single" w:sz="8" w:space="0" w:color="auto"/>
              <w:bottom w:val="nil"/>
              <w:right w:val="single" w:sz="8" w:space="0" w:color="000000"/>
            </w:tcBorders>
            <w:vAlign w:val="center"/>
            <w:hideMark/>
          </w:tcPr>
          <w:p w:rsidR="005117A9" w:rsidRPr="00470432" w:rsidP="005A46BB" w14:paraId="75FFC02E" w14:textId="77777777">
            <w:pPr>
              <w:ind w:left="480"/>
            </w:pPr>
            <w:r w:rsidRPr="00470432">
              <w:t> </w:t>
            </w:r>
          </w:p>
        </w:tc>
      </w:tr>
      <w:tr w14:paraId="770CC1CC" w14:textId="77777777" w:rsidTr="00F52EF6">
        <w:tblPrEx>
          <w:tblW w:w="10161" w:type="dxa"/>
          <w:tblCellMar>
            <w:left w:w="0" w:type="dxa"/>
          </w:tblCellMar>
          <w:tblLook w:val="04A0"/>
        </w:tblPrEx>
        <w:trPr>
          <w:trHeight w:val="375"/>
        </w:trPr>
        <w:tc>
          <w:tcPr>
            <w:tcW w:w="10161" w:type="dxa"/>
            <w:gridSpan w:val="6"/>
            <w:tcBorders>
              <w:top w:val="nil"/>
              <w:left w:val="single" w:sz="8" w:space="0" w:color="auto"/>
              <w:bottom w:val="nil"/>
              <w:right w:val="single" w:sz="8" w:space="0" w:color="000000"/>
            </w:tcBorders>
            <w:vAlign w:val="center"/>
            <w:hideMark/>
          </w:tcPr>
          <w:p w:rsidR="005117A9" w:rsidP="005A46BB" w14:paraId="1CB56C69" w14:textId="5652265E">
            <w:pPr>
              <w:rPr>
                <w:color w:val="000000"/>
              </w:rPr>
            </w:pPr>
            <w:r>
              <w:rPr>
                <w:color w:val="000000"/>
                <w:vertAlign w:val="superscript"/>
              </w:rPr>
              <w:t>1</w:t>
            </w:r>
            <w:r>
              <w:rPr>
                <w:color w:val="000000"/>
              </w:rPr>
              <w:t>Reinterviews are done on a subset of the original respondents</w:t>
            </w:r>
            <w:r w:rsidR="00CF18F3">
              <w:rPr>
                <w:color w:val="000000"/>
              </w:rPr>
              <w:t>.</w:t>
            </w:r>
          </w:p>
        </w:tc>
      </w:tr>
      <w:tr w14:paraId="51871F80" w14:textId="77777777" w:rsidTr="00F52EF6">
        <w:tblPrEx>
          <w:tblW w:w="10161" w:type="dxa"/>
          <w:tblCellMar>
            <w:left w:w="0" w:type="dxa"/>
          </w:tblCellMar>
          <w:tblLook w:val="04A0"/>
        </w:tblPrEx>
        <w:trPr>
          <w:trHeight w:val="330"/>
        </w:trPr>
        <w:tc>
          <w:tcPr>
            <w:tcW w:w="10161" w:type="dxa"/>
            <w:gridSpan w:val="6"/>
            <w:tcBorders>
              <w:top w:val="nil"/>
              <w:left w:val="single" w:sz="8" w:space="0" w:color="auto"/>
              <w:bottom w:val="single" w:sz="8" w:space="0" w:color="auto"/>
              <w:right w:val="single" w:sz="8" w:space="0" w:color="000000"/>
            </w:tcBorders>
            <w:vAlign w:val="center"/>
            <w:hideMark/>
          </w:tcPr>
          <w:p w:rsidR="005117A9" w:rsidP="005A46BB" w14:paraId="3F739E27" w14:textId="77777777">
            <w:pPr>
              <w:rPr>
                <w:color w:val="000000"/>
              </w:rPr>
            </w:pPr>
            <w:r>
              <w:rPr>
                <w:color w:val="000000"/>
              </w:rPr>
              <w:t> </w:t>
            </w:r>
          </w:p>
        </w:tc>
      </w:tr>
      <w:bookmarkEnd w:id="4"/>
    </w:tbl>
    <w:p w:rsidR="00EF4A62" w:rsidRPr="00C03080" w:rsidP="008A4450" w14:paraId="1079E9F7" w14:textId="77777777"/>
    <w:p w:rsidR="00765DEE" w:rsidRPr="00C03080" w:rsidP="004F689C" w14:paraId="0B45F5DD" w14:textId="6B46AE80">
      <w:r w:rsidRPr="0079051B">
        <w:t xml:space="preserve">The BLS will conduct the </w:t>
      </w:r>
      <w:r w:rsidRPr="0079051B" w:rsidR="0045027D">
        <w:t xml:space="preserve">Diary Survey </w:t>
      </w:r>
      <w:r w:rsidRPr="0079051B">
        <w:t xml:space="preserve">at approximately </w:t>
      </w:r>
      <w:r w:rsidRPr="004F689C" w:rsidR="00B57886">
        <w:t xml:space="preserve">16,700 </w:t>
      </w:r>
      <w:r w:rsidRPr="0079051B">
        <w:t xml:space="preserve">designated addresses per year, </w:t>
      </w:r>
      <w:r w:rsidRPr="0079051B" w:rsidR="00C34E7F">
        <w:t xml:space="preserve">resulting in an estimated </w:t>
      </w:r>
      <w:r w:rsidRPr="004F689C" w:rsidR="00B57886">
        <w:t>5</w:t>
      </w:r>
      <w:r w:rsidRPr="004F689C" w:rsidR="001B5981">
        <w:t>,</w:t>
      </w:r>
      <w:r w:rsidR="00A82E11">
        <w:t>7</w:t>
      </w:r>
      <w:r w:rsidRPr="004F689C" w:rsidR="00B57886">
        <w:t xml:space="preserve">00 </w:t>
      </w:r>
      <w:r w:rsidRPr="0079051B" w:rsidR="00B54A45">
        <w:t>respondents</w:t>
      </w:r>
      <w:r w:rsidR="007A29E4">
        <w:t xml:space="preserve">. </w:t>
      </w:r>
      <w:r w:rsidRPr="0079051B">
        <w:t xml:space="preserve"> Respondents complete 2 weekly diaries, resulting in </w:t>
      </w:r>
      <w:r w:rsidR="00A82E11">
        <w:t>11,400</w:t>
      </w:r>
      <w:r w:rsidRPr="004F689C" w:rsidR="00B57886">
        <w:t xml:space="preserve"> </w:t>
      </w:r>
      <w:r w:rsidRPr="0079051B">
        <w:t>weekly diaries being completed per year</w:t>
      </w:r>
      <w:r w:rsidR="007A29E4">
        <w:t xml:space="preserve">. </w:t>
      </w:r>
      <w:r w:rsidRPr="0079051B">
        <w:t>Reinterviews will be conducted on approximately 1</w:t>
      </w:r>
      <w:r w:rsidR="00A82E11">
        <w:t>4.5</w:t>
      </w:r>
      <w:r w:rsidRPr="0079051B">
        <w:t xml:space="preserve"> percent of the weekly diaries for a total of </w:t>
      </w:r>
      <w:r w:rsidRPr="004F689C" w:rsidR="001B5981">
        <w:t>1,</w:t>
      </w:r>
      <w:r w:rsidR="00A82E11">
        <w:t>653</w:t>
      </w:r>
      <w:r w:rsidRPr="004F689C" w:rsidR="001B5981">
        <w:t xml:space="preserve"> </w:t>
      </w:r>
      <w:r w:rsidRPr="0079051B">
        <w:t>reinterviews</w:t>
      </w:r>
      <w:r w:rsidR="007A29E4">
        <w:t xml:space="preserve">. </w:t>
      </w:r>
      <w:r w:rsidRPr="0079051B" w:rsidR="00DE620A">
        <w:t xml:space="preserve">CE expects recordkeeping activity to </w:t>
      </w:r>
      <w:r w:rsidRPr="0079051B" w:rsidR="009B0DA3">
        <w:t>remain unchanged at</w:t>
      </w:r>
      <w:r w:rsidRPr="0079051B" w:rsidR="00DE620A">
        <w:t xml:space="preserve"> 60 minutes</w:t>
      </w:r>
      <w:r w:rsidR="007A29E4">
        <w:t xml:space="preserve">. </w:t>
      </w:r>
      <w:r w:rsidRPr="0079051B">
        <w:t xml:space="preserve">Respondents spend approximately </w:t>
      </w:r>
      <w:r w:rsidRPr="0079051B" w:rsidR="00081DB8">
        <w:t>6</w:t>
      </w:r>
      <w:r w:rsidRPr="0079051B" w:rsidR="00DB2764">
        <w:t>0</w:t>
      </w:r>
      <w:r w:rsidRPr="0079051B">
        <w:t xml:space="preserve"> minutes completing each weekly diary, for a total of </w:t>
      </w:r>
      <w:r w:rsidR="00A82E11">
        <w:t>11,400</w:t>
      </w:r>
      <w:r w:rsidRPr="004F689C" w:rsidR="001B5981">
        <w:t xml:space="preserve"> </w:t>
      </w:r>
      <w:r w:rsidRPr="0079051B">
        <w:t>hours of record-keeping</w:t>
      </w:r>
      <w:r w:rsidR="007A29E4">
        <w:t xml:space="preserve">. </w:t>
      </w:r>
      <w:r w:rsidRPr="0079051B">
        <w:t xml:space="preserve">In addition to record-keeping, </w:t>
      </w:r>
      <w:r w:rsidRPr="0079051B" w:rsidR="008F5C1B">
        <w:t>it takes an average of 19 minutes for respondents to complete each of the interviews</w:t>
      </w:r>
      <w:r w:rsidR="007A29E4">
        <w:t xml:space="preserve">. </w:t>
      </w:r>
      <w:r w:rsidRPr="0079051B" w:rsidR="008F5C1B">
        <w:t xml:space="preserve">This results in a total </w:t>
      </w:r>
      <w:r w:rsidRPr="0079051B">
        <w:t xml:space="preserve">of </w:t>
      </w:r>
      <w:r w:rsidR="00A82E11">
        <w:t xml:space="preserve">3,610 </w:t>
      </w:r>
      <w:r w:rsidRPr="0079051B">
        <w:t>hours of interviewing</w:t>
      </w:r>
      <w:r w:rsidR="007A29E4">
        <w:t xml:space="preserve">. </w:t>
      </w:r>
      <w:r w:rsidRPr="0079051B" w:rsidR="008F5C1B">
        <w:t>Additionally, an estimated 1</w:t>
      </w:r>
      <w:r w:rsidR="00A82E11">
        <w:t>4.5</w:t>
      </w:r>
      <w:r w:rsidRPr="0079051B" w:rsidR="008F5C1B">
        <w:t xml:space="preserve">% of </w:t>
      </w:r>
      <w:r w:rsidR="00C22A9F">
        <w:t xml:space="preserve">completed diaries </w:t>
      </w:r>
      <w:r w:rsidRPr="0079051B" w:rsidR="008F5C1B">
        <w:t>(for each week) will be contacted for</w:t>
      </w:r>
      <w:r w:rsidRPr="0079051B" w:rsidR="00EC2424">
        <w:t xml:space="preserve"> a</w:t>
      </w:r>
      <w:r w:rsidRPr="0079051B" w:rsidR="008F5C1B">
        <w:t xml:space="preserve"> reinterview resulting in an additional </w:t>
      </w:r>
      <w:r w:rsidR="00A82E11">
        <w:t>276</w:t>
      </w:r>
      <w:r w:rsidRPr="005D3CE2" w:rsidR="000C7852">
        <w:t xml:space="preserve"> </w:t>
      </w:r>
      <w:r w:rsidRPr="005D3CE2">
        <w:t>hou</w:t>
      </w:r>
      <w:r w:rsidRPr="0079051B">
        <w:t>rs of reinterview</w:t>
      </w:r>
      <w:r w:rsidR="007A29E4">
        <w:t xml:space="preserve">. </w:t>
      </w:r>
      <w:r w:rsidRPr="0079051B" w:rsidR="00AD0DD8">
        <w:t>Total burden hour</w:t>
      </w:r>
      <w:r w:rsidRPr="004F689C" w:rsidR="001B5981">
        <w:t>s</w:t>
      </w:r>
      <w:r w:rsidRPr="0079051B" w:rsidR="00AD0DD8">
        <w:t xml:space="preserve"> for the Diary Survey</w:t>
      </w:r>
      <w:r w:rsidRPr="0079051B" w:rsidR="00964A5B">
        <w:t xml:space="preserve"> is </w:t>
      </w:r>
      <w:r w:rsidR="00A82E11">
        <w:t>15,286</w:t>
      </w:r>
      <w:r w:rsidRPr="004F689C" w:rsidR="001B5981">
        <w:t xml:space="preserve"> </w:t>
      </w:r>
      <w:r w:rsidRPr="0079051B" w:rsidR="00964A5B">
        <w:t>hours per year.</w:t>
      </w:r>
    </w:p>
    <w:p w:rsidR="0006130E" w:rsidP="001B6134" w14:paraId="64C77898" w14:textId="77777777">
      <w:pPr>
        <w:ind w:left="1200"/>
        <w:rPr>
          <w:highlight w:val="yellow"/>
        </w:rPr>
      </w:pPr>
    </w:p>
    <w:tbl>
      <w:tblPr>
        <w:tblW w:w="8810" w:type="dxa"/>
        <w:tblLook w:val="04A0"/>
      </w:tblPr>
      <w:tblGrid>
        <w:gridCol w:w="1673"/>
        <w:gridCol w:w="1453"/>
        <w:gridCol w:w="1229"/>
        <w:gridCol w:w="1688"/>
        <w:gridCol w:w="1168"/>
        <w:gridCol w:w="1599"/>
      </w:tblGrid>
      <w:tr w14:paraId="2E5CF306" w14:textId="77777777" w:rsidTr="00CE79A9">
        <w:tblPrEx>
          <w:tblW w:w="8810" w:type="dxa"/>
          <w:tblLook w:val="04A0"/>
        </w:tblPrEx>
        <w:trPr>
          <w:trHeight w:val="330"/>
        </w:trPr>
        <w:tc>
          <w:tcPr>
            <w:tcW w:w="8810" w:type="dxa"/>
            <w:gridSpan w:val="6"/>
            <w:tcBorders>
              <w:top w:val="single" w:sz="8" w:space="0" w:color="auto"/>
              <w:left w:val="single" w:sz="8" w:space="0" w:color="auto"/>
              <w:bottom w:val="single" w:sz="8" w:space="0" w:color="auto"/>
              <w:right w:val="single" w:sz="8" w:space="0" w:color="000000"/>
            </w:tcBorders>
            <w:vAlign w:val="center"/>
            <w:hideMark/>
          </w:tcPr>
          <w:p w:rsidR="00CE79A9" w14:paraId="3BA46FAC" w14:textId="77777777">
            <w:pPr>
              <w:jc w:val="center"/>
              <w:rPr>
                <w:color w:val="000000"/>
              </w:rPr>
            </w:pPr>
            <w:r>
              <w:rPr>
                <w:color w:val="000000"/>
              </w:rPr>
              <w:t>Response Burden for the Diary Survey</w:t>
            </w:r>
          </w:p>
        </w:tc>
      </w:tr>
      <w:tr w14:paraId="1EE80C86" w14:textId="77777777" w:rsidTr="00CE79A9">
        <w:tblPrEx>
          <w:tblW w:w="8810" w:type="dxa"/>
          <w:tblLook w:val="04A0"/>
        </w:tblPrEx>
        <w:trPr>
          <w:trHeight w:val="538"/>
        </w:trPr>
        <w:tc>
          <w:tcPr>
            <w:tcW w:w="1673" w:type="dxa"/>
            <w:tcBorders>
              <w:top w:val="nil"/>
              <w:left w:val="single" w:sz="8" w:space="0" w:color="auto"/>
              <w:bottom w:val="nil"/>
              <w:right w:val="single" w:sz="8" w:space="0" w:color="auto"/>
            </w:tcBorders>
            <w:vAlign w:val="center"/>
            <w:hideMark/>
          </w:tcPr>
          <w:p w:rsidR="00CE79A9" w14:paraId="3EE40958" w14:textId="77777777">
            <w:pPr>
              <w:jc w:val="center"/>
              <w:rPr>
                <w:color w:val="000000"/>
              </w:rPr>
            </w:pPr>
            <w:bookmarkStart w:id="5" w:name="_Hlk208398461"/>
            <w:r>
              <w:rPr>
                <w:color w:val="000000"/>
              </w:rPr>
              <w:t> </w:t>
            </w:r>
          </w:p>
        </w:tc>
        <w:tc>
          <w:tcPr>
            <w:tcW w:w="1453" w:type="dxa"/>
            <w:vMerge w:val="restart"/>
            <w:tcBorders>
              <w:top w:val="nil"/>
              <w:left w:val="single" w:sz="8" w:space="0" w:color="auto"/>
              <w:bottom w:val="single" w:sz="8" w:space="0" w:color="000000"/>
              <w:right w:val="single" w:sz="8" w:space="0" w:color="auto"/>
            </w:tcBorders>
            <w:vAlign w:val="center"/>
            <w:hideMark/>
          </w:tcPr>
          <w:p w:rsidR="00CE79A9" w14:paraId="4D47387B" w14:textId="77777777">
            <w:pPr>
              <w:jc w:val="center"/>
              <w:rPr>
                <w:color w:val="000000"/>
              </w:rPr>
            </w:pPr>
            <w:r>
              <w:rPr>
                <w:color w:val="000000"/>
              </w:rPr>
              <w:t>Total Respondents</w:t>
            </w:r>
          </w:p>
        </w:tc>
        <w:tc>
          <w:tcPr>
            <w:tcW w:w="1229" w:type="dxa"/>
            <w:vMerge w:val="restart"/>
            <w:tcBorders>
              <w:top w:val="nil"/>
              <w:left w:val="single" w:sz="8" w:space="0" w:color="auto"/>
              <w:bottom w:val="single" w:sz="8" w:space="0" w:color="000000"/>
              <w:right w:val="single" w:sz="8" w:space="0" w:color="auto"/>
            </w:tcBorders>
            <w:vAlign w:val="center"/>
            <w:hideMark/>
          </w:tcPr>
          <w:p w:rsidR="00CE79A9" w14:paraId="404E9369" w14:textId="77777777">
            <w:pPr>
              <w:jc w:val="center"/>
              <w:rPr>
                <w:color w:val="000000"/>
              </w:rPr>
            </w:pPr>
            <w:r>
              <w:rPr>
                <w:color w:val="000000"/>
              </w:rPr>
              <w:t>Frequency</w:t>
            </w:r>
          </w:p>
        </w:tc>
        <w:tc>
          <w:tcPr>
            <w:tcW w:w="1688" w:type="dxa"/>
            <w:vMerge w:val="restart"/>
            <w:tcBorders>
              <w:top w:val="nil"/>
              <w:left w:val="single" w:sz="8" w:space="0" w:color="auto"/>
              <w:bottom w:val="single" w:sz="8" w:space="0" w:color="000000"/>
              <w:right w:val="single" w:sz="8" w:space="0" w:color="auto"/>
            </w:tcBorders>
            <w:vAlign w:val="center"/>
            <w:hideMark/>
          </w:tcPr>
          <w:p w:rsidR="00CE79A9" w14:paraId="2179FCFC" w14:textId="77777777">
            <w:pPr>
              <w:jc w:val="center"/>
              <w:rPr>
                <w:color w:val="000000"/>
              </w:rPr>
            </w:pPr>
            <w:r>
              <w:rPr>
                <w:color w:val="000000"/>
              </w:rPr>
              <w:t>Total Responses</w:t>
            </w:r>
          </w:p>
        </w:tc>
        <w:tc>
          <w:tcPr>
            <w:tcW w:w="1168" w:type="dxa"/>
            <w:tcBorders>
              <w:top w:val="nil"/>
              <w:left w:val="nil"/>
              <w:bottom w:val="nil"/>
              <w:right w:val="single" w:sz="8" w:space="0" w:color="auto"/>
            </w:tcBorders>
            <w:vAlign w:val="center"/>
            <w:hideMark/>
          </w:tcPr>
          <w:p w:rsidR="00CE79A9" w14:paraId="5FEB2138" w14:textId="77777777">
            <w:pPr>
              <w:jc w:val="center"/>
              <w:rPr>
                <w:color w:val="000000"/>
              </w:rPr>
            </w:pPr>
            <w:r>
              <w:rPr>
                <w:color w:val="000000"/>
              </w:rPr>
              <w:t>Average</w:t>
            </w:r>
          </w:p>
        </w:tc>
        <w:tc>
          <w:tcPr>
            <w:tcW w:w="1599" w:type="dxa"/>
            <w:tcBorders>
              <w:top w:val="nil"/>
              <w:left w:val="nil"/>
              <w:bottom w:val="nil"/>
              <w:right w:val="single" w:sz="8" w:space="0" w:color="auto"/>
            </w:tcBorders>
            <w:vAlign w:val="center"/>
            <w:hideMark/>
          </w:tcPr>
          <w:p w:rsidR="00CE79A9" w14:paraId="5A663ABB" w14:textId="77777777">
            <w:pPr>
              <w:jc w:val="center"/>
              <w:rPr>
                <w:color w:val="000000"/>
              </w:rPr>
            </w:pPr>
            <w:r>
              <w:rPr>
                <w:color w:val="000000"/>
              </w:rPr>
              <w:t>Estimated</w:t>
            </w:r>
          </w:p>
        </w:tc>
      </w:tr>
      <w:tr w14:paraId="3C6F4232" w14:textId="77777777" w:rsidTr="00CE79A9">
        <w:tblPrEx>
          <w:tblW w:w="8810" w:type="dxa"/>
          <w:tblLook w:val="04A0"/>
        </w:tblPrEx>
        <w:trPr>
          <w:trHeight w:val="630"/>
        </w:trPr>
        <w:tc>
          <w:tcPr>
            <w:tcW w:w="1673" w:type="dxa"/>
            <w:tcBorders>
              <w:top w:val="nil"/>
              <w:left w:val="single" w:sz="8" w:space="0" w:color="auto"/>
              <w:bottom w:val="nil"/>
              <w:right w:val="single" w:sz="8" w:space="0" w:color="auto"/>
            </w:tcBorders>
            <w:vAlign w:val="center"/>
            <w:hideMark/>
          </w:tcPr>
          <w:p w:rsidR="00CE79A9" w14:paraId="47353C6F" w14:textId="77777777">
            <w:pPr>
              <w:jc w:val="center"/>
              <w:rPr>
                <w:color w:val="000000"/>
              </w:rPr>
            </w:pPr>
            <w:r>
              <w:rPr>
                <w:color w:val="000000"/>
              </w:rPr>
              <w:t>Form</w:t>
            </w:r>
          </w:p>
        </w:tc>
        <w:tc>
          <w:tcPr>
            <w:tcW w:w="1453" w:type="dxa"/>
            <w:vMerge/>
            <w:tcBorders>
              <w:top w:val="nil"/>
              <w:left w:val="single" w:sz="8" w:space="0" w:color="auto"/>
              <w:bottom w:val="single" w:sz="8" w:space="0" w:color="000000"/>
              <w:right w:val="single" w:sz="8" w:space="0" w:color="auto"/>
            </w:tcBorders>
            <w:vAlign w:val="center"/>
            <w:hideMark/>
          </w:tcPr>
          <w:p w:rsidR="00CE79A9" w14:paraId="605C3A4D" w14:textId="77777777">
            <w:pPr>
              <w:rPr>
                <w:color w:val="000000"/>
              </w:rPr>
            </w:pPr>
          </w:p>
        </w:tc>
        <w:tc>
          <w:tcPr>
            <w:tcW w:w="1229" w:type="dxa"/>
            <w:vMerge/>
            <w:tcBorders>
              <w:top w:val="nil"/>
              <w:left w:val="single" w:sz="8" w:space="0" w:color="auto"/>
              <w:bottom w:val="single" w:sz="8" w:space="0" w:color="000000"/>
              <w:right w:val="single" w:sz="8" w:space="0" w:color="auto"/>
            </w:tcBorders>
            <w:vAlign w:val="center"/>
            <w:hideMark/>
          </w:tcPr>
          <w:p w:rsidR="00CE79A9" w14:paraId="4D357CDB" w14:textId="77777777">
            <w:pPr>
              <w:rPr>
                <w:color w:val="000000"/>
              </w:rPr>
            </w:pPr>
          </w:p>
        </w:tc>
        <w:tc>
          <w:tcPr>
            <w:tcW w:w="1688" w:type="dxa"/>
            <w:vMerge/>
            <w:tcBorders>
              <w:top w:val="nil"/>
              <w:left w:val="single" w:sz="8" w:space="0" w:color="auto"/>
              <w:bottom w:val="single" w:sz="8" w:space="0" w:color="000000"/>
              <w:right w:val="single" w:sz="8" w:space="0" w:color="auto"/>
            </w:tcBorders>
            <w:vAlign w:val="center"/>
            <w:hideMark/>
          </w:tcPr>
          <w:p w:rsidR="00CE79A9" w14:paraId="1803B215" w14:textId="77777777">
            <w:pPr>
              <w:rPr>
                <w:color w:val="000000"/>
              </w:rPr>
            </w:pPr>
          </w:p>
        </w:tc>
        <w:tc>
          <w:tcPr>
            <w:tcW w:w="1168" w:type="dxa"/>
            <w:tcBorders>
              <w:top w:val="nil"/>
              <w:left w:val="nil"/>
              <w:bottom w:val="nil"/>
              <w:right w:val="single" w:sz="8" w:space="0" w:color="auto"/>
            </w:tcBorders>
            <w:vAlign w:val="center"/>
            <w:hideMark/>
          </w:tcPr>
          <w:p w:rsidR="00CE79A9" w14:paraId="60D37EE8" w14:textId="77777777">
            <w:pPr>
              <w:jc w:val="center"/>
              <w:rPr>
                <w:color w:val="000000"/>
              </w:rPr>
            </w:pPr>
            <w:r>
              <w:rPr>
                <w:color w:val="000000"/>
              </w:rPr>
              <w:t>Time per Response</w:t>
            </w:r>
          </w:p>
        </w:tc>
        <w:tc>
          <w:tcPr>
            <w:tcW w:w="1599" w:type="dxa"/>
            <w:tcBorders>
              <w:top w:val="nil"/>
              <w:left w:val="nil"/>
              <w:bottom w:val="nil"/>
              <w:right w:val="single" w:sz="8" w:space="0" w:color="auto"/>
            </w:tcBorders>
            <w:vAlign w:val="center"/>
            <w:hideMark/>
          </w:tcPr>
          <w:p w:rsidR="00CE79A9" w14:paraId="2CB87BB9" w14:textId="77777777">
            <w:pPr>
              <w:jc w:val="center"/>
              <w:rPr>
                <w:color w:val="000000"/>
              </w:rPr>
            </w:pPr>
            <w:r>
              <w:rPr>
                <w:color w:val="000000"/>
              </w:rPr>
              <w:t>Total</w:t>
            </w:r>
          </w:p>
        </w:tc>
      </w:tr>
      <w:bookmarkEnd w:id="5"/>
      <w:tr w14:paraId="1AD81021" w14:textId="77777777" w:rsidTr="00CE79A9">
        <w:tblPrEx>
          <w:tblW w:w="8810" w:type="dxa"/>
          <w:tblLook w:val="04A0"/>
        </w:tblPrEx>
        <w:trPr>
          <w:trHeight w:val="330"/>
        </w:trPr>
        <w:tc>
          <w:tcPr>
            <w:tcW w:w="1673" w:type="dxa"/>
            <w:tcBorders>
              <w:top w:val="nil"/>
              <w:left w:val="single" w:sz="8" w:space="0" w:color="auto"/>
              <w:bottom w:val="single" w:sz="8" w:space="0" w:color="auto"/>
              <w:right w:val="single" w:sz="8" w:space="0" w:color="auto"/>
            </w:tcBorders>
            <w:hideMark/>
          </w:tcPr>
          <w:p w:rsidR="00CE79A9" w14:paraId="134B57C7" w14:textId="77777777">
            <w:pPr>
              <w:rPr>
                <w:rFonts w:ascii="Calibri" w:hAnsi="Calibri" w:cs="Calibri"/>
                <w:color w:val="000000"/>
                <w:sz w:val="22"/>
                <w:szCs w:val="22"/>
              </w:rPr>
            </w:pPr>
            <w:r>
              <w:rPr>
                <w:rFonts w:ascii="Calibri" w:hAnsi="Calibri" w:cs="Calibri"/>
                <w:color w:val="000000"/>
                <w:sz w:val="22"/>
                <w:szCs w:val="22"/>
              </w:rPr>
              <w:t> </w:t>
            </w:r>
          </w:p>
        </w:tc>
        <w:tc>
          <w:tcPr>
            <w:tcW w:w="1453" w:type="dxa"/>
            <w:vMerge/>
            <w:tcBorders>
              <w:top w:val="nil"/>
              <w:left w:val="single" w:sz="8" w:space="0" w:color="auto"/>
              <w:bottom w:val="single" w:sz="8" w:space="0" w:color="000000"/>
              <w:right w:val="single" w:sz="8" w:space="0" w:color="auto"/>
            </w:tcBorders>
            <w:vAlign w:val="center"/>
            <w:hideMark/>
          </w:tcPr>
          <w:p w:rsidR="00CE79A9" w14:paraId="4C731814" w14:textId="77777777">
            <w:pPr>
              <w:rPr>
                <w:color w:val="000000"/>
              </w:rPr>
            </w:pPr>
          </w:p>
        </w:tc>
        <w:tc>
          <w:tcPr>
            <w:tcW w:w="1229" w:type="dxa"/>
            <w:vMerge/>
            <w:tcBorders>
              <w:top w:val="nil"/>
              <w:left w:val="single" w:sz="8" w:space="0" w:color="auto"/>
              <w:bottom w:val="single" w:sz="8" w:space="0" w:color="000000"/>
              <w:right w:val="single" w:sz="8" w:space="0" w:color="auto"/>
            </w:tcBorders>
            <w:vAlign w:val="center"/>
            <w:hideMark/>
          </w:tcPr>
          <w:p w:rsidR="00CE79A9" w14:paraId="766F863D" w14:textId="77777777">
            <w:pPr>
              <w:rPr>
                <w:color w:val="000000"/>
              </w:rPr>
            </w:pPr>
          </w:p>
        </w:tc>
        <w:tc>
          <w:tcPr>
            <w:tcW w:w="1688" w:type="dxa"/>
            <w:vMerge/>
            <w:tcBorders>
              <w:top w:val="nil"/>
              <w:left w:val="single" w:sz="8" w:space="0" w:color="auto"/>
              <w:bottom w:val="single" w:sz="8" w:space="0" w:color="000000"/>
              <w:right w:val="single" w:sz="8" w:space="0" w:color="auto"/>
            </w:tcBorders>
            <w:vAlign w:val="center"/>
            <w:hideMark/>
          </w:tcPr>
          <w:p w:rsidR="00CE79A9" w14:paraId="2F7DBD3C" w14:textId="77777777">
            <w:pPr>
              <w:rPr>
                <w:color w:val="000000"/>
              </w:rPr>
            </w:pPr>
          </w:p>
        </w:tc>
        <w:tc>
          <w:tcPr>
            <w:tcW w:w="1168" w:type="dxa"/>
            <w:tcBorders>
              <w:top w:val="nil"/>
              <w:left w:val="nil"/>
              <w:bottom w:val="single" w:sz="8" w:space="0" w:color="auto"/>
              <w:right w:val="single" w:sz="8" w:space="0" w:color="auto"/>
            </w:tcBorders>
            <w:hideMark/>
          </w:tcPr>
          <w:p w:rsidR="00CE79A9" w:rsidRPr="00B61DC1" w14:paraId="05D17001" w14:textId="3B0DDE13">
            <w:pPr>
              <w:rPr>
                <w:color w:val="000000"/>
              </w:rPr>
            </w:pPr>
            <w:r w:rsidRPr="00B61DC1">
              <w:rPr>
                <w:color w:val="000000"/>
              </w:rPr>
              <w:t> </w:t>
            </w:r>
            <w:r w:rsidRPr="00B61DC1" w:rsidR="001B5981">
              <w:rPr>
                <w:color w:val="000000"/>
              </w:rPr>
              <w:t>(mins)</w:t>
            </w:r>
          </w:p>
        </w:tc>
        <w:tc>
          <w:tcPr>
            <w:tcW w:w="1599" w:type="dxa"/>
            <w:tcBorders>
              <w:top w:val="nil"/>
              <w:left w:val="nil"/>
              <w:bottom w:val="single" w:sz="8" w:space="0" w:color="auto"/>
              <w:right w:val="single" w:sz="8" w:space="0" w:color="auto"/>
            </w:tcBorders>
            <w:vAlign w:val="center"/>
            <w:hideMark/>
          </w:tcPr>
          <w:p w:rsidR="00CE79A9" w14:paraId="4EC29B99" w14:textId="09457101">
            <w:pPr>
              <w:jc w:val="center"/>
              <w:rPr>
                <w:color w:val="000000"/>
              </w:rPr>
            </w:pPr>
            <w:r>
              <w:rPr>
                <w:color w:val="000000"/>
              </w:rPr>
              <w:t>Burden</w:t>
            </w:r>
            <w:r w:rsidR="001B5981">
              <w:rPr>
                <w:color w:val="000000"/>
              </w:rPr>
              <w:t xml:space="preserve"> (hours)</w:t>
            </w:r>
          </w:p>
        </w:tc>
      </w:tr>
      <w:tr w14:paraId="241451F7" w14:textId="77777777" w:rsidTr="0095528E">
        <w:tblPrEx>
          <w:tblW w:w="8810" w:type="dxa"/>
          <w:tblLook w:val="04A0"/>
        </w:tblPrEx>
        <w:trPr>
          <w:trHeight w:val="645"/>
        </w:trPr>
        <w:tc>
          <w:tcPr>
            <w:tcW w:w="1673" w:type="dxa"/>
            <w:tcBorders>
              <w:top w:val="nil"/>
              <w:left w:val="single" w:sz="8" w:space="0" w:color="auto"/>
              <w:bottom w:val="single" w:sz="8" w:space="0" w:color="auto"/>
              <w:right w:val="single" w:sz="8" w:space="0" w:color="auto"/>
            </w:tcBorders>
            <w:vAlign w:val="center"/>
            <w:hideMark/>
          </w:tcPr>
          <w:p w:rsidR="00F52EF6" w:rsidP="00F52EF6" w14:paraId="6DEF89C4" w14:textId="77777777">
            <w:pPr>
              <w:jc w:val="center"/>
              <w:rPr>
                <w:color w:val="000000"/>
              </w:rPr>
            </w:pPr>
            <w:r>
              <w:rPr>
                <w:color w:val="000000"/>
              </w:rPr>
              <w:t>Record-keeping</w:t>
            </w:r>
          </w:p>
        </w:tc>
        <w:tc>
          <w:tcPr>
            <w:tcW w:w="1453" w:type="dxa"/>
            <w:tcBorders>
              <w:top w:val="nil"/>
              <w:left w:val="nil"/>
              <w:bottom w:val="single" w:sz="8" w:space="0" w:color="auto"/>
              <w:right w:val="single" w:sz="8" w:space="0" w:color="auto"/>
            </w:tcBorders>
            <w:vAlign w:val="center"/>
          </w:tcPr>
          <w:p w:rsidR="00F52EF6" w:rsidP="00F52EF6" w14:paraId="198524DC" w14:textId="3CFE8A8D">
            <w:pPr>
              <w:jc w:val="center"/>
              <w:rPr>
                <w:color w:val="000000"/>
              </w:rPr>
            </w:pPr>
            <w:r>
              <w:rPr>
                <w:color w:val="000000"/>
              </w:rPr>
              <w:t>5</w:t>
            </w:r>
            <w:r w:rsidR="001B5981">
              <w:rPr>
                <w:color w:val="000000"/>
              </w:rPr>
              <w:t>,</w:t>
            </w:r>
            <w:r w:rsidR="00A82E11">
              <w:rPr>
                <w:color w:val="000000"/>
              </w:rPr>
              <w:t>7</w:t>
            </w:r>
            <w:r>
              <w:rPr>
                <w:color w:val="000000"/>
              </w:rPr>
              <w:t>00</w:t>
            </w:r>
          </w:p>
        </w:tc>
        <w:tc>
          <w:tcPr>
            <w:tcW w:w="1229" w:type="dxa"/>
            <w:tcBorders>
              <w:top w:val="nil"/>
              <w:left w:val="nil"/>
              <w:bottom w:val="single" w:sz="8" w:space="0" w:color="auto"/>
              <w:right w:val="single" w:sz="8" w:space="0" w:color="auto"/>
            </w:tcBorders>
            <w:vAlign w:val="center"/>
            <w:hideMark/>
          </w:tcPr>
          <w:p w:rsidR="00F52EF6" w:rsidP="00F52EF6" w14:paraId="23E3BAC1" w14:textId="77777777">
            <w:pPr>
              <w:jc w:val="center"/>
              <w:rPr>
                <w:color w:val="000000"/>
              </w:rPr>
            </w:pPr>
            <w:r>
              <w:rPr>
                <w:color w:val="000000"/>
              </w:rPr>
              <w:t>2</w:t>
            </w:r>
          </w:p>
        </w:tc>
        <w:tc>
          <w:tcPr>
            <w:tcW w:w="1688" w:type="dxa"/>
            <w:tcBorders>
              <w:top w:val="nil"/>
              <w:left w:val="nil"/>
              <w:bottom w:val="single" w:sz="8" w:space="0" w:color="auto"/>
              <w:right w:val="single" w:sz="8" w:space="0" w:color="auto"/>
            </w:tcBorders>
            <w:vAlign w:val="center"/>
            <w:hideMark/>
          </w:tcPr>
          <w:p w:rsidR="00F52EF6" w:rsidP="00F52EF6" w14:paraId="728045BE" w14:textId="0C162814">
            <w:pPr>
              <w:jc w:val="center"/>
              <w:rPr>
                <w:color w:val="000000"/>
              </w:rPr>
            </w:pPr>
            <w:r>
              <w:rPr>
                <w:color w:val="000000"/>
              </w:rPr>
              <w:t>11,400</w:t>
            </w:r>
          </w:p>
        </w:tc>
        <w:tc>
          <w:tcPr>
            <w:tcW w:w="1168" w:type="dxa"/>
            <w:tcBorders>
              <w:top w:val="nil"/>
              <w:left w:val="nil"/>
              <w:bottom w:val="single" w:sz="8" w:space="0" w:color="auto"/>
              <w:right w:val="single" w:sz="8" w:space="0" w:color="auto"/>
            </w:tcBorders>
            <w:vAlign w:val="center"/>
            <w:hideMark/>
          </w:tcPr>
          <w:p w:rsidR="00F52EF6" w:rsidP="00F52EF6" w14:paraId="3E007CBD" w14:textId="77777777">
            <w:pPr>
              <w:jc w:val="center"/>
              <w:rPr>
                <w:color w:val="000000"/>
              </w:rPr>
            </w:pPr>
            <w:r>
              <w:rPr>
                <w:color w:val="000000"/>
              </w:rPr>
              <w:t>60</w:t>
            </w:r>
          </w:p>
        </w:tc>
        <w:tc>
          <w:tcPr>
            <w:tcW w:w="1599" w:type="dxa"/>
            <w:tcBorders>
              <w:top w:val="nil"/>
              <w:left w:val="nil"/>
              <w:bottom w:val="single" w:sz="8" w:space="0" w:color="auto"/>
              <w:right w:val="single" w:sz="8" w:space="0" w:color="auto"/>
            </w:tcBorders>
            <w:vAlign w:val="center"/>
            <w:hideMark/>
          </w:tcPr>
          <w:p w:rsidR="00F52EF6" w:rsidP="00F52EF6" w14:paraId="33BE3C19" w14:textId="490C4D79">
            <w:pPr>
              <w:jc w:val="center"/>
              <w:rPr>
                <w:color w:val="000000"/>
              </w:rPr>
            </w:pPr>
            <w:r>
              <w:rPr>
                <w:color w:val="000000"/>
              </w:rPr>
              <w:t>1</w:t>
            </w:r>
            <w:r w:rsidR="00A82E11">
              <w:rPr>
                <w:color w:val="000000"/>
              </w:rPr>
              <w:t>1,400</w:t>
            </w:r>
          </w:p>
        </w:tc>
      </w:tr>
      <w:tr w14:paraId="0AD316E0" w14:textId="77777777" w:rsidTr="0095528E">
        <w:tblPrEx>
          <w:tblW w:w="8810" w:type="dxa"/>
          <w:tblLook w:val="04A0"/>
        </w:tblPrEx>
        <w:trPr>
          <w:trHeight w:val="645"/>
        </w:trPr>
        <w:tc>
          <w:tcPr>
            <w:tcW w:w="1673" w:type="dxa"/>
            <w:tcBorders>
              <w:top w:val="nil"/>
              <w:left w:val="single" w:sz="8" w:space="0" w:color="auto"/>
              <w:bottom w:val="single" w:sz="8" w:space="0" w:color="auto"/>
              <w:right w:val="single" w:sz="8" w:space="0" w:color="auto"/>
            </w:tcBorders>
            <w:vAlign w:val="center"/>
            <w:hideMark/>
          </w:tcPr>
          <w:p w:rsidR="00F52EF6" w:rsidP="00F52EF6" w14:paraId="3A994420" w14:textId="77777777">
            <w:pPr>
              <w:jc w:val="center"/>
              <w:rPr>
                <w:color w:val="000000"/>
              </w:rPr>
            </w:pPr>
            <w:r>
              <w:rPr>
                <w:color w:val="000000"/>
              </w:rPr>
              <w:t>Interview</w:t>
            </w:r>
          </w:p>
        </w:tc>
        <w:tc>
          <w:tcPr>
            <w:tcW w:w="1453" w:type="dxa"/>
            <w:tcBorders>
              <w:top w:val="nil"/>
              <w:left w:val="nil"/>
              <w:bottom w:val="single" w:sz="8" w:space="0" w:color="auto"/>
              <w:right w:val="single" w:sz="8" w:space="0" w:color="auto"/>
            </w:tcBorders>
            <w:vAlign w:val="center"/>
          </w:tcPr>
          <w:p w:rsidR="00F52EF6" w:rsidP="00F52EF6" w14:paraId="24D75FD6" w14:textId="7804FC5C">
            <w:pPr>
              <w:jc w:val="center"/>
              <w:rPr>
                <w:color w:val="000000"/>
              </w:rPr>
            </w:pPr>
            <w:r>
              <w:rPr>
                <w:color w:val="000000"/>
              </w:rPr>
              <w:t>5</w:t>
            </w:r>
            <w:r w:rsidR="001B5981">
              <w:rPr>
                <w:color w:val="000000"/>
              </w:rPr>
              <w:t>,</w:t>
            </w:r>
            <w:r w:rsidR="00A82E11">
              <w:rPr>
                <w:color w:val="000000"/>
              </w:rPr>
              <w:t>7</w:t>
            </w:r>
            <w:r>
              <w:rPr>
                <w:color w:val="000000"/>
              </w:rPr>
              <w:t>00</w:t>
            </w:r>
          </w:p>
        </w:tc>
        <w:tc>
          <w:tcPr>
            <w:tcW w:w="1229" w:type="dxa"/>
            <w:tcBorders>
              <w:top w:val="nil"/>
              <w:left w:val="nil"/>
              <w:bottom w:val="single" w:sz="8" w:space="0" w:color="auto"/>
              <w:right w:val="single" w:sz="8" w:space="0" w:color="auto"/>
            </w:tcBorders>
            <w:vAlign w:val="center"/>
            <w:hideMark/>
          </w:tcPr>
          <w:p w:rsidR="00F52EF6" w:rsidP="00F52EF6" w14:paraId="758450E8" w14:textId="77777777">
            <w:pPr>
              <w:jc w:val="center"/>
              <w:rPr>
                <w:color w:val="000000"/>
              </w:rPr>
            </w:pPr>
            <w:r>
              <w:rPr>
                <w:color w:val="000000"/>
              </w:rPr>
              <w:t>2</w:t>
            </w:r>
          </w:p>
        </w:tc>
        <w:tc>
          <w:tcPr>
            <w:tcW w:w="1688" w:type="dxa"/>
            <w:tcBorders>
              <w:top w:val="nil"/>
              <w:left w:val="nil"/>
              <w:bottom w:val="single" w:sz="8" w:space="0" w:color="auto"/>
              <w:right w:val="single" w:sz="8" w:space="0" w:color="auto"/>
            </w:tcBorders>
            <w:vAlign w:val="center"/>
            <w:hideMark/>
          </w:tcPr>
          <w:p w:rsidR="00F52EF6" w:rsidP="00F52EF6" w14:paraId="7020CF03" w14:textId="72525AB7">
            <w:pPr>
              <w:jc w:val="center"/>
              <w:rPr>
                <w:color w:val="000000"/>
              </w:rPr>
            </w:pPr>
            <w:r>
              <w:rPr>
                <w:color w:val="000000"/>
              </w:rPr>
              <w:t>11,400</w:t>
            </w:r>
          </w:p>
        </w:tc>
        <w:tc>
          <w:tcPr>
            <w:tcW w:w="1168" w:type="dxa"/>
            <w:tcBorders>
              <w:top w:val="nil"/>
              <w:left w:val="nil"/>
              <w:bottom w:val="single" w:sz="8" w:space="0" w:color="auto"/>
              <w:right w:val="single" w:sz="8" w:space="0" w:color="auto"/>
            </w:tcBorders>
            <w:vAlign w:val="center"/>
            <w:hideMark/>
          </w:tcPr>
          <w:p w:rsidR="00F52EF6" w:rsidP="00F52EF6" w14:paraId="35B2944F" w14:textId="77777777">
            <w:pPr>
              <w:jc w:val="center"/>
              <w:rPr>
                <w:color w:val="000000"/>
              </w:rPr>
            </w:pPr>
            <w:r>
              <w:rPr>
                <w:color w:val="000000"/>
              </w:rPr>
              <w:t>19</w:t>
            </w:r>
          </w:p>
        </w:tc>
        <w:tc>
          <w:tcPr>
            <w:tcW w:w="1599" w:type="dxa"/>
            <w:tcBorders>
              <w:top w:val="nil"/>
              <w:left w:val="nil"/>
              <w:bottom w:val="single" w:sz="8" w:space="0" w:color="auto"/>
              <w:right w:val="single" w:sz="8" w:space="0" w:color="auto"/>
            </w:tcBorders>
            <w:vAlign w:val="center"/>
            <w:hideMark/>
          </w:tcPr>
          <w:p w:rsidR="00F52EF6" w:rsidP="00F52EF6" w14:paraId="1EF07C09" w14:textId="5C6F2414">
            <w:pPr>
              <w:jc w:val="center"/>
              <w:rPr>
                <w:color w:val="000000"/>
              </w:rPr>
            </w:pPr>
            <w:r>
              <w:rPr>
                <w:color w:val="000000"/>
              </w:rPr>
              <w:t>3,</w:t>
            </w:r>
            <w:r w:rsidR="00A82E11">
              <w:rPr>
                <w:color w:val="000000"/>
              </w:rPr>
              <w:t>610</w:t>
            </w:r>
          </w:p>
        </w:tc>
      </w:tr>
      <w:tr w14:paraId="606916C7" w14:textId="77777777" w:rsidTr="0095528E">
        <w:tblPrEx>
          <w:tblW w:w="8810" w:type="dxa"/>
          <w:tblLook w:val="04A0"/>
        </w:tblPrEx>
        <w:trPr>
          <w:trHeight w:val="960"/>
        </w:trPr>
        <w:tc>
          <w:tcPr>
            <w:tcW w:w="1673" w:type="dxa"/>
            <w:tcBorders>
              <w:top w:val="nil"/>
              <w:left w:val="single" w:sz="8" w:space="0" w:color="auto"/>
              <w:bottom w:val="single" w:sz="8" w:space="0" w:color="auto"/>
              <w:right w:val="single" w:sz="8" w:space="0" w:color="auto"/>
            </w:tcBorders>
            <w:vAlign w:val="center"/>
            <w:hideMark/>
          </w:tcPr>
          <w:p w:rsidR="00F52EF6" w:rsidP="00F52EF6" w14:paraId="5F214C4A" w14:textId="77777777">
            <w:pPr>
              <w:jc w:val="center"/>
              <w:rPr>
                <w:color w:val="000000"/>
              </w:rPr>
            </w:pPr>
            <w:r>
              <w:rPr>
                <w:color w:val="000000"/>
              </w:rPr>
              <w:t>Reinterview</w:t>
            </w:r>
          </w:p>
        </w:tc>
        <w:tc>
          <w:tcPr>
            <w:tcW w:w="1453" w:type="dxa"/>
            <w:tcBorders>
              <w:top w:val="nil"/>
              <w:left w:val="nil"/>
              <w:bottom w:val="single" w:sz="8" w:space="0" w:color="auto"/>
              <w:right w:val="single" w:sz="8" w:space="0" w:color="auto"/>
            </w:tcBorders>
            <w:vAlign w:val="center"/>
          </w:tcPr>
          <w:p w:rsidR="00F52EF6" w:rsidP="00F52EF6" w14:paraId="1B78A693" w14:textId="1FB02C2C">
            <w:pPr>
              <w:jc w:val="center"/>
              <w:rPr>
                <w:color w:val="000000"/>
              </w:rPr>
            </w:pPr>
            <w:r>
              <w:rPr>
                <w:color w:val="000000"/>
              </w:rPr>
              <w:t>1,653</w:t>
            </w:r>
          </w:p>
        </w:tc>
        <w:tc>
          <w:tcPr>
            <w:tcW w:w="1229" w:type="dxa"/>
            <w:tcBorders>
              <w:top w:val="nil"/>
              <w:left w:val="nil"/>
              <w:bottom w:val="single" w:sz="8" w:space="0" w:color="auto"/>
              <w:right w:val="single" w:sz="8" w:space="0" w:color="auto"/>
            </w:tcBorders>
            <w:vAlign w:val="center"/>
            <w:hideMark/>
          </w:tcPr>
          <w:p w:rsidR="00F52EF6" w:rsidP="00F52EF6" w14:paraId="7E9B1A42" w14:textId="77777777">
            <w:pPr>
              <w:jc w:val="center"/>
              <w:rPr>
                <w:color w:val="000000"/>
              </w:rPr>
            </w:pPr>
            <w:r>
              <w:rPr>
                <w:color w:val="000000"/>
              </w:rPr>
              <w:t>1</w:t>
            </w:r>
          </w:p>
        </w:tc>
        <w:tc>
          <w:tcPr>
            <w:tcW w:w="1688" w:type="dxa"/>
            <w:tcBorders>
              <w:top w:val="nil"/>
              <w:left w:val="nil"/>
              <w:bottom w:val="single" w:sz="8" w:space="0" w:color="auto"/>
              <w:right w:val="single" w:sz="8" w:space="0" w:color="auto"/>
            </w:tcBorders>
            <w:vAlign w:val="center"/>
            <w:hideMark/>
          </w:tcPr>
          <w:p w:rsidR="00F52EF6" w:rsidP="00F52EF6" w14:paraId="1F4B5369" w14:textId="461C7F46">
            <w:pPr>
              <w:jc w:val="center"/>
              <w:rPr>
                <w:color w:val="000000"/>
              </w:rPr>
            </w:pPr>
            <w:r>
              <w:rPr>
                <w:color w:val="000000"/>
              </w:rPr>
              <w:t>1,653</w:t>
            </w:r>
          </w:p>
        </w:tc>
        <w:tc>
          <w:tcPr>
            <w:tcW w:w="1168" w:type="dxa"/>
            <w:tcBorders>
              <w:top w:val="nil"/>
              <w:left w:val="nil"/>
              <w:bottom w:val="single" w:sz="8" w:space="0" w:color="auto"/>
              <w:right w:val="single" w:sz="8" w:space="0" w:color="auto"/>
            </w:tcBorders>
            <w:vAlign w:val="center"/>
            <w:hideMark/>
          </w:tcPr>
          <w:p w:rsidR="00F52EF6" w:rsidP="00F52EF6" w14:paraId="27CB9952" w14:textId="77777777">
            <w:pPr>
              <w:jc w:val="center"/>
              <w:rPr>
                <w:color w:val="000000"/>
              </w:rPr>
            </w:pPr>
            <w:r>
              <w:rPr>
                <w:color w:val="000000"/>
              </w:rPr>
              <w:t>10</w:t>
            </w:r>
          </w:p>
        </w:tc>
        <w:tc>
          <w:tcPr>
            <w:tcW w:w="1599" w:type="dxa"/>
            <w:tcBorders>
              <w:top w:val="nil"/>
              <w:left w:val="nil"/>
              <w:bottom w:val="single" w:sz="8" w:space="0" w:color="auto"/>
              <w:right w:val="single" w:sz="8" w:space="0" w:color="auto"/>
            </w:tcBorders>
            <w:vAlign w:val="center"/>
            <w:hideMark/>
          </w:tcPr>
          <w:p w:rsidR="00F52EF6" w:rsidP="00F52EF6" w14:paraId="48C59EC7" w14:textId="381989A6">
            <w:pPr>
              <w:jc w:val="center"/>
              <w:rPr>
                <w:color w:val="000000"/>
              </w:rPr>
            </w:pPr>
            <w:r>
              <w:rPr>
                <w:color w:val="000000"/>
              </w:rPr>
              <w:t>276</w:t>
            </w:r>
          </w:p>
        </w:tc>
      </w:tr>
      <w:tr w14:paraId="7F2A17B5" w14:textId="77777777" w:rsidTr="0095528E">
        <w:tblPrEx>
          <w:tblW w:w="8810" w:type="dxa"/>
          <w:tblLook w:val="04A0"/>
        </w:tblPrEx>
        <w:trPr>
          <w:trHeight w:val="330"/>
        </w:trPr>
        <w:tc>
          <w:tcPr>
            <w:tcW w:w="1673" w:type="dxa"/>
            <w:tcBorders>
              <w:top w:val="nil"/>
              <w:left w:val="single" w:sz="8" w:space="0" w:color="auto"/>
              <w:bottom w:val="single" w:sz="8" w:space="0" w:color="auto"/>
              <w:right w:val="single" w:sz="8" w:space="0" w:color="auto"/>
            </w:tcBorders>
            <w:vAlign w:val="center"/>
            <w:hideMark/>
          </w:tcPr>
          <w:p w:rsidR="00F52EF6" w:rsidP="00F52EF6" w14:paraId="3A9BAC01" w14:textId="77777777">
            <w:pPr>
              <w:jc w:val="center"/>
              <w:rPr>
                <w:color w:val="000000"/>
              </w:rPr>
            </w:pPr>
            <w:r>
              <w:rPr>
                <w:color w:val="000000"/>
              </w:rPr>
              <w:t>TOTALS</w:t>
            </w:r>
          </w:p>
        </w:tc>
        <w:tc>
          <w:tcPr>
            <w:tcW w:w="1453" w:type="dxa"/>
            <w:tcBorders>
              <w:top w:val="nil"/>
              <w:left w:val="nil"/>
              <w:bottom w:val="single" w:sz="8" w:space="0" w:color="auto"/>
              <w:right w:val="single" w:sz="8" w:space="0" w:color="auto"/>
            </w:tcBorders>
            <w:vAlign w:val="center"/>
          </w:tcPr>
          <w:p w:rsidR="00F52EF6" w:rsidP="00F52EF6" w14:paraId="012288CB" w14:textId="46C2855D">
            <w:pPr>
              <w:jc w:val="center"/>
              <w:rPr>
                <w:color w:val="000000"/>
              </w:rPr>
            </w:pPr>
            <w:r>
              <w:rPr>
                <w:color w:val="000000"/>
              </w:rPr>
              <w:t>5,</w:t>
            </w:r>
            <w:r w:rsidR="00A82E11">
              <w:rPr>
                <w:color w:val="000000"/>
              </w:rPr>
              <w:t>7</w:t>
            </w:r>
            <w:r>
              <w:rPr>
                <w:color w:val="000000"/>
              </w:rPr>
              <w:t>00</w:t>
            </w:r>
          </w:p>
        </w:tc>
        <w:tc>
          <w:tcPr>
            <w:tcW w:w="1229" w:type="dxa"/>
            <w:tcBorders>
              <w:top w:val="nil"/>
              <w:left w:val="nil"/>
              <w:bottom w:val="single" w:sz="8" w:space="0" w:color="auto"/>
              <w:right w:val="single" w:sz="8" w:space="0" w:color="auto"/>
            </w:tcBorders>
            <w:vAlign w:val="center"/>
            <w:hideMark/>
          </w:tcPr>
          <w:p w:rsidR="00F52EF6" w:rsidP="00F52EF6" w14:paraId="24E692D6" w14:textId="77777777">
            <w:pPr>
              <w:jc w:val="center"/>
              <w:rPr>
                <w:color w:val="000000"/>
              </w:rPr>
            </w:pPr>
            <w:r>
              <w:rPr>
                <w:color w:val="000000"/>
              </w:rPr>
              <w:t>/////////</w:t>
            </w:r>
          </w:p>
        </w:tc>
        <w:tc>
          <w:tcPr>
            <w:tcW w:w="1688" w:type="dxa"/>
            <w:tcBorders>
              <w:top w:val="nil"/>
              <w:left w:val="nil"/>
              <w:bottom w:val="single" w:sz="8" w:space="0" w:color="auto"/>
              <w:right w:val="single" w:sz="8" w:space="0" w:color="auto"/>
            </w:tcBorders>
            <w:vAlign w:val="center"/>
            <w:hideMark/>
          </w:tcPr>
          <w:p w:rsidR="00F52EF6" w:rsidP="00F52EF6" w14:paraId="3C9BF356" w14:textId="2F831561">
            <w:pPr>
              <w:jc w:val="center"/>
              <w:rPr>
                <w:color w:val="000000"/>
              </w:rPr>
            </w:pPr>
            <w:r>
              <w:rPr>
                <w:color w:val="000000"/>
              </w:rPr>
              <w:t>24,453</w:t>
            </w:r>
          </w:p>
        </w:tc>
        <w:tc>
          <w:tcPr>
            <w:tcW w:w="1168" w:type="dxa"/>
            <w:tcBorders>
              <w:top w:val="nil"/>
              <w:left w:val="nil"/>
              <w:bottom w:val="single" w:sz="8" w:space="0" w:color="auto"/>
              <w:right w:val="single" w:sz="8" w:space="0" w:color="auto"/>
            </w:tcBorders>
            <w:vAlign w:val="center"/>
            <w:hideMark/>
          </w:tcPr>
          <w:p w:rsidR="00F52EF6" w:rsidP="00F52EF6" w14:paraId="45D2F62F" w14:textId="77777777">
            <w:pPr>
              <w:jc w:val="center"/>
              <w:rPr>
                <w:color w:val="000000"/>
              </w:rPr>
            </w:pPr>
            <w:r>
              <w:rPr>
                <w:color w:val="000000"/>
              </w:rPr>
              <w:t>////////</w:t>
            </w:r>
          </w:p>
        </w:tc>
        <w:tc>
          <w:tcPr>
            <w:tcW w:w="1599" w:type="dxa"/>
            <w:tcBorders>
              <w:top w:val="nil"/>
              <w:left w:val="nil"/>
              <w:bottom w:val="single" w:sz="8" w:space="0" w:color="auto"/>
              <w:right w:val="single" w:sz="8" w:space="0" w:color="auto"/>
            </w:tcBorders>
            <w:vAlign w:val="center"/>
            <w:hideMark/>
          </w:tcPr>
          <w:p w:rsidR="00F52EF6" w:rsidP="00F52EF6" w14:paraId="493B3341" w14:textId="52D806D9">
            <w:pPr>
              <w:jc w:val="center"/>
              <w:rPr>
                <w:color w:val="000000"/>
              </w:rPr>
            </w:pPr>
            <w:r>
              <w:rPr>
                <w:color w:val="000000"/>
              </w:rPr>
              <w:t>15,286</w:t>
            </w:r>
          </w:p>
        </w:tc>
      </w:tr>
      <w:tr w14:paraId="7E2CDFCA" w14:textId="77777777" w:rsidTr="00CE79A9">
        <w:tblPrEx>
          <w:tblW w:w="8810" w:type="dxa"/>
          <w:tblLook w:val="04A0"/>
        </w:tblPrEx>
        <w:trPr>
          <w:trHeight w:val="645"/>
        </w:trPr>
        <w:tc>
          <w:tcPr>
            <w:tcW w:w="8810" w:type="dxa"/>
            <w:gridSpan w:val="6"/>
            <w:tcBorders>
              <w:top w:val="single" w:sz="8" w:space="0" w:color="auto"/>
              <w:left w:val="single" w:sz="8" w:space="0" w:color="auto"/>
              <w:bottom w:val="nil"/>
              <w:right w:val="single" w:sz="8" w:space="0" w:color="000000"/>
            </w:tcBorders>
            <w:vAlign w:val="center"/>
            <w:hideMark/>
          </w:tcPr>
          <w:p w:rsidR="00CE79A9" w14:paraId="0CDC6575" w14:textId="77777777">
            <w:pPr>
              <w:rPr>
                <w:rFonts w:ascii="Calibri" w:hAnsi="Calibri" w:cs="Calibri"/>
                <w:color w:val="000000"/>
                <w:sz w:val="22"/>
                <w:szCs w:val="22"/>
              </w:rPr>
            </w:pPr>
            <w:r>
              <w:rPr>
                <w:rFonts w:ascii="Calibri" w:hAnsi="Calibri" w:cs="Calibri"/>
                <w:color w:val="000000"/>
                <w:sz w:val="22"/>
                <w:szCs w:val="22"/>
              </w:rPr>
              <w:t> </w:t>
            </w:r>
          </w:p>
        </w:tc>
      </w:tr>
      <w:tr w14:paraId="77EC2057" w14:textId="77777777" w:rsidTr="00CE79A9">
        <w:tblPrEx>
          <w:tblW w:w="8810" w:type="dxa"/>
          <w:tblLook w:val="04A0"/>
        </w:tblPrEx>
        <w:trPr>
          <w:trHeight w:val="889"/>
        </w:trPr>
        <w:tc>
          <w:tcPr>
            <w:tcW w:w="8810" w:type="dxa"/>
            <w:gridSpan w:val="6"/>
            <w:tcBorders>
              <w:top w:val="nil"/>
              <w:left w:val="single" w:sz="8" w:space="0" w:color="auto"/>
              <w:bottom w:val="nil"/>
              <w:right w:val="single" w:sz="8" w:space="0" w:color="000000"/>
            </w:tcBorders>
            <w:vAlign w:val="center"/>
            <w:hideMark/>
          </w:tcPr>
          <w:p w:rsidR="00CE79A9" w14:paraId="1A92419F" w14:textId="76B289CB">
            <w:pPr>
              <w:rPr>
                <w:color w:val="000000"/>
              </w:rPr>
            </w:pPr>
            <w:r>
              <w:rPr>
                <w:color w:val="000000"/>
              </w:rPr>
              <w:t>(1) The total number of respondents for the Diary Survey is</w:t>
            </w:r>
            <w:r w:rsidR="005D3CE2">
              <w:rPr>
                <w:color w:val="000000"/>
              </w:rPr>
              <w:t xml:space="preserve"> </w:t>
            </w:r>
            <w:r w:rsidR="00B57886">
              <w:rPr>
                <w:color w:val="000000"/>
              </w:rPr>
              <w:t>5</w:t>
            </w:r>
            <w:r w:rsidR="001B5981">
              <w:rPr>
                <w:color w:val="000000"/>
              </w:rPr>
              <w:t>,</w:t>
            </w:r>
            <w:r w:rsidR="00A82E11">
              <w:rPr>
                <w:color w:val="000000"/>
              </w:rPr>
              <w:t>7</w:t>
            </w:r>
            <w:r w:rsidR="00B57886">
              <w:rPr>
                <w:color w:val="000000"/>
              </w:rPr>
              <w:t>00</w:t>
            </w:r>
            <w:r w:rsidR="007A29E4">
              <w:rPr>
                <w:color w:val="000000"/>
              </w:rPr>
              <w:t xml:space="preserve">. </w:t>
            </w:r>
            <w:r>
              <w:rPr>
                <w:color w:val="000000"/>
              </w:rPr>
              <w:t>The respondents who do the record-keeping are the same people who participate in the Diary interviews.</w:t>
            </w:r>
          </w:p>
        </w:tc>
      </w:tr>
      <w:tr w14:paraId="2933879B" w14:textId="77777777" w:rsidTr="00CE79A9">
        <w:tblPrEx>
          <w:tblW w:w="8810" w:type="dxa"/>
          <w:tblLook w:val="04A0"/>
        </w:tblPrEx>
        <w:trPr>
          <w:trHeight w:val="938"/>
        </w:trPr>
        <w:tc>
          <w:tcPr>
            <w:tcW w:w="8810" w:type="dxa"/>
            <w:gridSpan w:val="6"/>
            <w:tcBorders>
              <w:top w:val="nil"/>
              <w:left w:val="single" w:sz="8" w:space="0" w:color="auto"/>
              <w:bottom w:val="single" w:sz="8" w:space="0" w:color="auto"/>
              <w:right w:val="single" w:sz="8" w:space="0" w:color="000000"/>
            </w:tcBorders>
            <w:vAlign w:val="center"/>
            <w:hideMark/>
          </w:tcPr>
          <w:p w:rsidR="00CE79A9" w14:paraId="38A1908F" w14:textId="77777777">
            <w:pPr>
              <w:rPr>
                <w:color w:val="000000"/>
              </w:rPr>
            </w:pPr>
            <w:r>
              <w:rPr>
                <w:color w:val="000000"/>
              </w:rPr>
              <w:t>(2) Reinterviews are done on a subset of the original respondents. </w:t>
            </w:r>
          </w:p>
        </w:tc>
      </w:tr>
    </w:tbl>
    <w:p w:rsidR="00CE79A9" w:rsidRPr="000D1EFD" w:rsidP="001B6134" w14:paraId="06CCD8E8" w14:textId="77777777">
      <w:pPr>
        <w:ind w:left="1200"/>
        <w:rPr>
          <w:highlight w:val="yellow"/>
        </w:rPr>
      </w:pPr>
    </w:p>
    <w:p w:rsidR="00BD5ABC" w:rsidRPr="000D1EFD" w:rsidP="001B6134" w14:paraId="45513FE5" w14:textId="77777777">
      <w:pPr>
        <w:ind w:left="720"/>
        <w:rPr>
          <w:highlight w:val="yellow"/>
        </w:rPr>
      </w:pPr>
    </w:p>
    <w:p w:rsidR="00E9167E" w:rsidRPr="000D1EFD" w:rsidP="001B6134" w14:paraId="14070B92" w14:textId="695E8F4F">
      <w:pPr>
        <w:ind w:left="720"/>
        <w:rPr>
          <w:highlight w:val="yellow"/>
        </w:rPr>
      </w:pPr>
    </w:p>
    <w:tbl>
      <w:tblPr>
        <w:tblW w:w="9700" w:type="dxa"/>
        <w:tblLook w:val="04A0"/>
      </w:tblPr>
      <w:tblGrid>
        <w:gridCol w:w="1059"/>
        <w:gridCol w:w="1415"/>
        <w:gridCol w:w="1531"/>
        <w:gridCol w:w="1182"/>
        <w:gridCol w:w="1139"/>
        <w:gridCol w:w="972"/>
        <w:gridCol w:w="897"/>
        <w:gridCol w:w="1283"/>
        <w:gridCol w:w="222"/>
      </w:tblGrid>
      <w:tr w14:paraId="14C3E515" w14:textId="77777777" w:rsidTr="00350CD2">
        <w:tblPrEx>
          <w:tblW w:w="9700" w:type="dxa"/>
          <w:tblLook w:val="04A0"/>
        </w:tblPrEx>
        <w:trPr>
          <w:gridAfter w:val="1"/>
          <w:wAfter w:w="222" w:type="dxa"/>
          <w:trHeight w:val="300"/>
        </w:trPr>
        <w:tc>
          <w:tcPr>
            <w:tcW w:w="1059"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F52EF6" w14:paraId="17FA0EB0" w14:textId="77777777">
            <w:pPr>
              <w:jc w:val="center"/>
              <w:rPr>
                <w:b/>
                <w:bCs/>
                <w:color w:val="000000"/>
                <w:sz w:val="22"/>
                <w:szCs w:val="22"/>
              </w:rPr>
            </w:pPr>
            <w:r>
              <w:rPr>
                <w:b/>
                <w:bCs/>
                <w:color w:val="000000"/>
                <w:sz w:val="22"/>
                <w:szCs w:val="22"/>
              </w:rPr>
              <w:t>Activity</w:t>
            </w:r>
          </w:p>
        </w:tc>
        <w:tc>
          <w:tcPr>
            <w:tcW w:w="1415"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F52EF6" w14:paraId="6F12467C" w14:textId="77777777">
            <w:pPr>
              <w:jc w:val="center"/>
              <w:rPr>
                <w:b/>
                <w:bCs/>
                <w:color w:val="000000"/>
                <w:sz w:val="22"/>
                <w:szCs w:val="22"/>
              </w:rPr>
            </w:pPr>
            <w:r>
              <w:rPr>
                <w:b/>
                <w:bCs/>
                <w:color w:val="000000"/>
                <w:sz w:val="22"/>
                <w:szCs w:val="22"/>
              </w:rPr>
              <w:t>No. of Respondents</w:t>
            </w:r>
          </w:p>
        </w:tc>
        <w:tc>
          <w:tcPr>
            <w:tcW w:w="1531" w:type="dxa"/>
            <w:tcBorders>
              <w:top w:val="single" w:sz="8" w:space="0" w:color="auto"/>
              <w:left w:val="nil"/>
              <w:bottom w:val="nil"/>
              <w:right w:val="single" w:sz="8" w:space="0" w:color="auto"/>
            </w:tcBorders>
            <w:shd w:val="clear" w:color="000000" w:fill="8DB3E2"/>
            <w:vAlign w:val="center"/>
            <w:hideMark/>
          </w:tcPr>
          <w:p w:rsidR="00F52EF6" w14:paraId="2B26E701" w14:textId="77777777">
            <w:pPr>
              <w:jc w:val="center"/>
              <w:rPr>
                <w:b/>
                <w:bCs/>
                <w:color w:val="000000"/>
                <w:sz w:val="22"/>
                <w:szCs w:val="22"/>
              </w:rPr>
            </w:pPr>
            <w:r>
              <w:rPr>
                <w:b/>
                <w:bCs/>
                <w:color w:val="000000"/>
                <w:sz w:val="22"/>
                <w:szCs w:val="22"/>
              </w:rPr>
              <w:t xml:space="preserve">No. of Responses </w:t>
            </w:r>
          </w:p>
        </w:tc>
        <w:tc>
          <w:tcPr>
            <w:tcW w:w="1182"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F52EF6" w14:paraId="0E78D0D5" w14:textId="77777777">
            <w:pPr>
              <w:jc w:val="center"/>
              <w:rPr>
                <w:b/>
                <w:bCs/>
                <w:color w:val="000000"/>
                <w:sz w:val="22"/>
                <w:szCs w:val="22"/>
              </w:rPr>
            </w:pPr>
            <w:r>
              <w:rPr>
                <w:b/>
                <w:bCs/>
                <w:color w:val="000000"/>
                <w:sz w:val="22"/>
                <w:szCs w:val="22"/>
              </w:rPr>
              <w:t>Total Responses</w:t>
            </w:r>
          </w:p>
        </w:tc>
        <w:tc>
          <w:tcPr>
            <w:tcW w:w="1139"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F52EF6" w14:paraId="4BF02916" w14:textId="77777777">
            <w:pPr>
              <w:jc w:val="center"/>
              <w:rPr>
                <w:b/>
                <w:bCs/>
                <w:color w:val="000000"/>
                <w:sz w:val="22"/>
                <w:szCs w:val="22"/>
              </w:rPr>
            </w:pPr>
            <w:r>
              <w:rPr>
                <w:b/>
                <w:bCs/>
                <w:color w:val="000000"/>
                <w:sz w:val="22"/>
                <w:szCs w:val="22"/>
              </w:rPr>
              <w:t>Average Burden (minutes)</w:t>
            </w:r>
          </w:p>
        </w:tc>
        <w:tc>
          <w:tcPr>
            <w:tcW w:w="972"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F52EF6" w14:paraId="57650330" w14:textId="77777777">
            <w:pPr>
              <w:jc w:val="center"/>
              <w:rPr>
                <w:b/>
                <w:bCs/>
                <w:color w:val="000000"/>
                <w:sz w:val="22"/>
                <w:szCs w:val="22"/>
              </w:rPr>
            </w:pPr>
            <w:r>
              <w:rPr>
                <w:b/>
                <w:bCs/>
                <w:color w:val="000000"/>
                <w:sz w:val="22"/>
                <w:szCs w:val="22"/>
              </w:rPr>
              <w:t>Total Burden (hours)</w:t>
            </w:r>
          </w:p>
        </w:tc>
        <w:tc>
          <w:tcPr>
            <w:tcW w:w="897" w:type="dxa"/>
            <w:tcBorders>
              <w:top w:val="single" w:sz="8" w:space="0" w:color="auto"/>
              <w:left w:val="nil"/>
              <w:bottom w:val="nil"/>
              <w:right w:val="single" w:sz="8" w:space="0" w:color="auto"/>
            </w:tcBorders>
            <w:shd w:val="clear" w:color="000000" w:fill="8DB3E2"/>
            <w:vAlign w:val="center"/>
            <w:hideMark/>
          </w:tcPr>
          <w:p w:rsidR="00F52EF6" w14:paraId="59382C3E" w14:textId="77777777">
            <w:pPr>
              <w:jc w:val="center"/>
              <w:rPr>
                <w:b/>
                <w:bCs/>
                <w:color w:val="000000"/>
                <w:sz w:val="22"/>
                <w:szCs w:val="22"/>
              </w:rPr>
            </w:pPr>
            <w:r>
              <w:rPr>
                <w:b/>
                <w:bCs/>
                <w:color w:val="000000"/>
                <w:sz w:val="22"/>
                <w:szCs w:val="22"/>
              </w:rPr>
              <w:t>Hourly</w:t>
            </w:r>
          </w:p>
        </w:tc>
        <w:tc>
          <w:tcPr>
            <w:tcW w:w="1283"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F52EF6" w14:paraId="5B061E43" w14:textId="77777777">
            <w:pPr>
              <w:jc w:val="center"/>
              <w:rPr>
                <w:b/>
                <w:bCs/>
                <w:color w:val="000000"/>
                <w:sz w:val="22"/>
                <w:szCs w:val="22"/>
              </w:rPr>
            </w:pPr>
            <w:r>
              <w:rPr>
                <w:b/>
                <w:bCs/>
                <w:color w:val="000000"/>
                <w:sz w:val="22"/>
                <w:szCs w:val="22"/>
              </w:rPr>
              <w:t>Total Burden Cost</w:t>
            </w:r>
          </w:p>
        </w:tc>
      </w:tr>
      <w:tr w14:paraId="6B791BCF" w14:textId="77777777" w:rsidTr="00350CD2">
        <w:tblPrEx>
          <w:tblW w:w="9700" w:type="dxa"/>
          <w:tblLook w:val="04A0"/>
        </w:tblPrEx>
        <w:trPr>
          <w:gridAfter w:val="1"/>
          <w:wAfter w:w="222" w:type="dxa"/>
          <w:trHeight w:val="585"/>
        </w:trPr>
        <w:tc>
          <w:tcPr>
            <w:tcW w:w="1059" w:type="dxa"/>
            <w:vMerge/>
            <w:tcBorders>
              <w:top w:val="single" w:sz="8" w:space="0" w:color="auto"/>
              <w:left w:val="single" w:sz="8" w:space="0" w:color="auto"/>
              <w:bottom w:val="single" w:sz="8" w:space="0" w:color="000000"/>
              <w:right w:val="single" w:sz="8" w:space="0" w:color="auto"/>
            </w:tcBorders>
            <w:vAlign w:val="center"/>
            <w:hideMark/>
          </w:tcPr>
          <w:p w:rsidR="00F52EF6" w14:paraId="3A3809F5" w14:textId="77777777">
            <w:pPr>
              <w:rPr>
                <w:b/>
                <w:bCs/>
                <w:color w:val="000000"/>
                <w:sz w:val="22"/>
                <w:szCs w:val="22"/>
              </w:rPr>
            </w:pPr>
          </w:p>
        </w:tc>
        <w:tc>
          <w:tcPr>
            <w:tcW w:w="1415" w:type="dxa"/>
            <w:vMerge/>
            <w:tcBorders>
              <w:top w:val="single" w:sz="8" w:space="0" w:color="auto"/>
              <w:left w:val="single" w:sz="8" w:space="0" w:color="auto"/>
              <w:bottom w:val="single" w:sz="8" w:space="0" w:color="000000"/>
              <w:right w:val="single" w:sz="8" w:space="0" w:color="auto"/>
            </w:tcBorders>
            <w:vAlign w:val="center"/>
            <w:hideMark/>
          </w:tcPr>
          <w:p w:rsidR="00F52EF6" w14:paraId="12E2BFBE" w14:textId="77777777">
            <w:pPr>
              <w:rPr>
                <w:b/>
                <w:bCs/>
                <w:color w:val="000000"/>
                <w:sz w:val="22"/>
                <w:szCs w:val="22"/>
              </w:rPr>
            </w:pPr>
          </w:p>
        </w:tc>
        <w:tc>
          <w:tcPr>
            <w:tcW w:w="1531" w:type="dxa"/>
            <w:tcBorders>
              <w:top w:val="nil"/>
              <w:left w:val="nil"/>
              <w:bottom w:val="single" w:sz="8" w:space="0" w:color="auto"/>
              <w:right w:val="single" w:sz="8" w:space="0" w:color="auto"/>
            </w:tcBorders>
            <w:shd w:val="clear" w:color="000000" w:fill="8DB3E2"/>
            <w:vAlign w:val="center"/>
            <w:hideMark/>
          </w:tcPr>
          <w:p w:rsidR="00F52EF6" w14:paraId="1FE2974B" w14:textId="77777777">
            <w:pPr>
              <w:jc w:val="center"/>
              <w:rPr>
                <w:b/>
                <w:bCs/>
                <w:color w:val="000000"/>
                <w:sz w:val="22"/>
                <w:szCs w:val="22"/>
              </w:rPr>
            </w:pPr>
            <w:r>
              <w:rPr>
                <w:b/>
                <w:bCs/>
                <w:color w:val="000000"/>
                <w:sz w:val="22"/>
                <w:szCs w:val="22"/>
              </w:rPr>
              <w:t>per Respondent</w:t>
            </w:r>
          </w:p>
        </w:tc>
        <w:tc>
          <w:tcPr>
            <w:tcW w:w="1182" w:type="dxa"/>
            <w:vMerge/>
            <w:tcBorders>
              <w:top w:val="single" w:sz="8" w:space="0" w:color="auto"/>
              <w:left w:val="single" w:sz="8" w:space="0" w:color="auto"/>
              <w:bottom w:val="single" w:sz="8" w:space="0" w:color="000000"/>
              <w:right w:val="single" w:sz="8" w:space="0" w:color="auto"/>
            </w:tcBorders>
            <w:vAlign w:val="center"/>
            <w:hideMark/>
          </w:tcPr>
          <w:p w:rsidR="00F52EF6" w14:paraId="52D2E5B9" w14:textId="77777777">
            <w:pPr>
              <w:rPr>
                <w:b/>
                <w:bCs/>
                <w:color w:val="000000"/>
                <w:sz w:val="22"/>
                <w:szCs w:val="22"/>
              </w:rPr>
            </w:pPr>
          </w:p>
        </w:tc>
        <w:tc>
          <w:tcPr>
            <w:tcW w:w="1139" w:type="dxa"/>
            <w:vMerge/>
            <w:tcBorders>
              <w:top w:val="single" w:sz="8" w:space="0" w:color="auto"/>
              <w:left w:val="single" w:sz="8" w:space="0" w:color="auto"/>
              <w:bottom w:val="single" w:sz="8" w:space="0" w:color="000000"/>
              <w:right w:val="single" w:sz="8" w:space="0" w:color="auto"/>
            </w:tcBorders>
            <w:vAlign w:val="center"/>
            <w:hideMark/>
          </w:tcPr>
          <w:p w:rsidR="00F52EF6" w14:paraId="7FC3BD00" w14:textId="77777777">
            <w:pPr>
              <w:rPr>
                <w:b/>
                <w:bCs/>
                <w:color w:val="000000"/>
                <w:sz w:val="22"/>
                <w:szCs w:val="22"/>
              </w:rPr>
            </w:pPr>
          </w:p>
        </w:tc>
        <w:tc>
          <w:tcPr>
            <w:tcW w:w="972" w:type="dxa"/>
            <w:vMerge/>
            <w:tcBorders>
              <w:top w:val="single" w:sz="8" w:space="0" w:color="auto"/>
              <w:left w:val="single" w:sz="8" w:space="0" w:color="auto"/>
              <w:bottom w:val="single" w:sz="8" w:space="0" w:color="000000"/>
              <w:right w:val="single" w:sz="8" w:space="0" w:color="auto"/>
            </w:tcBorders>
            <w:vAlign w:val="center"/>
            <w:hideMark/>
          </w:tcPr>
          <w:p w:rsidR="00F52EF6" w14:paraId="13369E31" w14:textId="77777777">
            <w:pPr>
              <w:rPr>
                <w:b/>
                <w:bCs/>
                <w:color w:val="000000"/>
                <w:sz w:val="22"/>
                <w:szCs w:val="22"/>
              </w:rPr>
            </w:pPr>
          </w:p>
        </w:tc>
        <w:tc>
          <w:tcPr>
            <w:tcW w:w="897" w:type="dxa"/>
            <w:tcBorders>
              <w:top w:val="nil"/>
              <w:left w:val="nil"/>
              <w:bottom w:val="single" w:sz="8" w:space="0" w:color="auto"/>
              <w:right w:val="single" w:sz="8" w:space="0" w:color="auto"/>
            </w:tcBorders>
            <w:shd w:val="clear" w:color="000000" w:fill="8DB3E2"/>
            <w:vAlign w:val="center"/>
            <w:hideMark/>
          </w:tcPr>
          <w:p w:rsidR="00F52EF6" w14:paraId="315F7493" w14:textId="77777777">
            <w:pPr>
              <w:jc w:val="center"/>
              <w:rPr>
                <w:b/>
                <w:bCs/>
                <w:color w:val="000000"/>
                <w:sz w:val="22"/>
                <w:szCs w:val="22"/>
              </w:rPr>
            </w:pPr>
            <w:r>
              <w:rPr>
                <w:b/>
                <w:bCs/>
                <w:color w:val="000000"/>
                <w:sz w:val="22"/>
                <w:szCs w:val="22"/>
              </w:rPr>
              <w:t>Wage Rate*</w:t>
            </w:r>
          </w:p>
        </w:tc>
        <w:tc>
          <w:tcPr>
            <w:tcW w:w="1283" w:type="dxa"/>
            <w:vMerge/>
            <w:tcBorders>
              <w:top w:val="single" w:sz="8" w:space="0" w:color="auto"/>
              <w:left w:val="single" w:sz="8" w:space="0" w:color="auto"/>
              <w:bottom w:val="single" w:sz="8" w:space="0" w:color="000000"/>
              <w:right w:val="single" w:sz="8" w:space="0" w:color="auto"/>
            </w:tcBorders>
            <w:vAlign w:val="center"/>
            <w:hideMark/>
          </w:tcPr>
          <w:p w:rsidR="00F52EF6" w14:paraId="3607FCC7" w14:textId="77777777">
            <w:pPr>
              <w:rPr>
                <w:b/>
                <w:bCs/>
                <w:color w:val="000000"/>
                <w:sz w:val="22"/>
                <w:szCs w:val="22"/>
              </w:rPr>
            </w:pPr>
          </w:p>
        </w:tc>
      </w:tr>
      <w:tr w14:paraId="54D98762" w14:textId="77777777" w:rsidTr="00350CD2">
        <w:tblPrEx>
          <w:tblW w:w="9700" w:type="dxa"/>
          <w:tblLook w:val="04A0"/>
        </w:tblPrEx>
        <w:trPr>
          <w:gridAfter w:val="1"/>
          <w:wAfter w:w="222" w:type="dxa"/>
          <w:trHeight w:val="300"/>
        </w:trPr>
        <w:tc>
          <w:tcPr>
            <w:tcW w:w="1059" w:type="dxa"/>
            <w:vMerge w:val="restart"/>
            <w:tcBorders>
              <w:top w:val="nil"/>
              <w:left w:val="single" w:sz="8" w:space="0" w:color="auto"/>
              <w:bottom w:val="single" w:sz="8" w:space="0" w:color="000000"/>
              <w:right w:val="single" w:sz="8" w:space="0" w:color="auto"/>
            </w:tcBorders>
            <w:vAlign w:val="center"/>
            <w:hideMark/>
          </w:tcPr>
          <w:p w:rsidR="00350CD2" w:rsidRPr="00B1245B" w:rsidP="00350CD2" w14:paraId="202CB2E9" w14:textId="594A5508">
            <w:pPr>
              <w:jc w:val="center"/>
              <w:rPr>
                <w:color w:val="000000"/>
                <w:sz w:val="22"/>
                <w:szCs w:val="22"/>
              </w:rPr>
            </w:pPr>
            <w:r>
              <w:rPr>
                <w:color w:val="000000"/>
                <w:sz w:val="22"/>
                <w:szCs w:val="22"/>
              </w:rPr>
              <w:t>Interview</w:t>
            </w:r>
          </w:p>
        </w:tc>
        <w:tc>
          <w:tcPr>
            <w:tcW w:w="1415" w:type="dxa"/>
            <w:vMerge w:val="restart"/>
            <w:tcBorders>
              <w:top w:val="nil"/>
              <w:left w:val="single" w:sz="8" w:space="0" w:color="auto"/>
              <w:bottom w:val="single" w:sz="8" w:space="0" w:color="000000"/>
              <w:right w:val="single" w:sz="8" w:space="0" w:color="auto"/>
            </w:tcBorders>
            <w:vAlign w:val="center"/>
            <w:hideMark/>
          </w:tcPr>
          <w:p w:rsidR="00350CD2" w:rsidRPr="00B1245B" w:rsidP="00350CD2" w14:paraId="6DD85EE5" w14:textId="326533F5">
            <w:pPr>
              <w:jc w:val="center"/>
              <w:rPr>
                <w:color w:val="000000"/>
                <w:sz w:val="22"/>
                <w:szCs w:val="22"/>
              </w:rPr>
            </w:pPr>
            <w:r w:rsidRPr="004F689C">
              <w:rPr>
                <w:color w:val="000000"/>
                <w:sz w:val="22"/>
                <w:szCs w:val="22"/>
              </w:rPr>
              <w:t>4,250</w:t>
            </w:r>
          </w:p>
        </w:tc>
        <w:tc>
          <w:tcPr>
            <w:tcW w:w="1531" w:type="dxa"/>
            <w:vMerge w:val="restart"/>
            <w:tcBorders>
              <w:top w:val="nil"/>
              <w:left w:val="single" w:sz="8" w:space="0" w:color="auto"/>
              <w:bottom w:val="single" w:sz="8" w:space="0" w:color="000000"/>
              <w:right w:val="single" w:sz="8" w:space="0" w:color="auto"/>
            </w:tcBorders>
            <w:vAlign w:val="center"/>
            <w:hideMark/>
          </w:tcPr>
          <w:p w:rsidR="00350CD2" w:rsidRPr="00B1245B" w:rsidP="00350CD2" w14:paraId="20BD779F" w14:textId="6457FBE6">
            <w:pPr>
              <w:jc w:val="center"/>
              <w:rPr>
                <w:color w:val="000000"/>
                <w:sz w:val="22"/>
                <w:szCs w:val="22"/>
              </w:rPr>
            </w:pPr>
            <w:r w:rsidRPr="00B1245B">
              <w:rPr>
                <w:color w:val="000000"/>
                <w:sz w:val="22"/>
                <w:szCs w:val="22"/>
              </w:rPr>
              <w:t>4.</w:t>
            </w:r>
            <w:r w:rsidR="00B13BFD">
              <w:rPr>
                <w:color w:val="000000"/>
                <w:sz w:val="22"/>
                <w:szCs w:val="22"/>
              </w:rPr>
              <w:t>48</w:t>
            </w:r>
          </w:p>
        </w:tc>
        <w:tc>
          <w:tcPr>
            <w:tcW w:w="1182" w:type="dxa"/>
            <w:vMerge w:val="restart"/>
            <w:tcBorders>
              <w:top w:val="nil"/>
              <w:left w:val="single" w:sz="8" w:space="0" w:color="auto"/>
              <w:bottom w:val="single" w:sz="8" w:space="0" w:color="000000"/>
              <w:right w:val="single" w:sz="8" w:space="0" w:color="auto"/>
            </w:tcBorders>
            <w:vAlign w:val="center"/>
            <w:hideMark/>
          </w:tcPr>
          <w:p w:rsidR="00350CD2" w:rsidRPr="00B1245B" w:rsidP="00350CD2" w14:paraId="1FA2CF21" w14:textId="6F871657">
            <w:pPr>
              <w:jc w:val="center"/>
              <w:rPr>
                <w:color w:val="000000"/>
                <w:sz w:val="22"/>
                <w:szCs w:val="22"/>
              </w:rPr>
            </w:pPr>
            <w:r w:rsidRPr="004F689C">
              <w:rPr>
                <w:color w:val="000000"/>
                <w:sz w:val="22"/>
                <w:szCs w:val="22"/>
              </w:rPr>
              <w:t>19,040</w:t>
            </w:r>
          </w:p>
        </w:tc>
        <w:tc>
          <w:tcPr>
            <w:tcW w:w="1139" w:type="dxa"/>
            <w:vMerge w:val="restart"/>
            <w:tcBorders>
              <w:top w:val="nil"/>
              <w:left w:val="single" w:sz="8" w:space="0" w:color="auto"/>
              <w:bottom w:val="single" w:sz="8" w:space="0" w:color="000000"/>
              <w:right w:val="single" w:sz="8" w:space="0" w:color="auto"/>
            </w:tcBorders>
            <w:vAlign w:val="center"/>
            <w:hideMark/>
          </w:tcPr>
          <w:p w:rsidR="00350CD2" w:rsidRPr="00B1245B" w:rsidP="00350CD2" w14:paraId="43F0D997" w14:textId="2C710DBB">
            <w:pPr>
              <w:jc w:val="center"/>
              <w:rPr>
                <w:color w:val="000000"/>
                <w:sz w:val="22"/>
                <w:szCs w:val="22"/>
              </w:rPr>
            </w:pPr>
            <w:r w:rsidRPr="004F689C">
              <w:rPr>
                <w:color w:val="000000"/>
                <w:sz w:val="22"/>
                <w:szCs w:val="22"/>
              </w:rPr>
              <w:t>60.892</w:t>
            </w:r>
          </w:p>
        </w:tc>
        <w:tc>
          <w:tcPr>
            <w:tcW w:w="972" w:type="dxa"/>
            <w:vMerge w:val="restart"/>
            <w:tcBorders>
              <w:top w:val="nil"/>
              <w:left w:val="single" w:sz="8" w:space="0" w:color="auto"/>
              <w:bottom w:val="single" w:sz="8" w:space="0" w:color="000000"/>
              <w:right w:val="single" w:sz="8" w:space="0" w:color="auto"/>
            </w:tcBorders>
            <w:vAlign w:val="center"/>
            <w:hideMark/>
          </w:tcPr>
          <w:p w:rsidR="00350CD2" w:rsidRPr="00B1245B" w:rsidP="00350CD2" w14:paraId="09D83CF7" w14:textId="082877CF">
            <w:pPr>
              <w:jc w:val="center"/>
              <w:rPr>
                <w:color w:val="000000"/>
                <w:sz w:val="22"/>
                <w:szCs w:val="22"/>
              </w:rPr>
            </w:pPr>
            <w:r w:rsidRPr="004F689C">
              <w:rPr>
                <w:color w:val="000000"/>
                <w:sz w:val="22"/>
                <w:szCs w:val="22"/>
              </w:rPr>
              <w:t>19,323</w:t>
            </w:r>
          </w:p>
        </w:tc>
        <w:tc>
          <w:tcPr>
            <w:tcW w:w="897" w:type="dxa"/>
            <w:vMerge w:val="restart"/>
            <w:tcBorders>
              <w:top w:val="nil"/>
              <w:left w:val="single" w:sz="8" w:space="0" w:color="auto"/>
              <w:bottom w:val="single" w:sz="8" w:space="0" w:color="000000"/>
              <w:right w:val="single" w:sz="8" w:space="0" w:color="auto"/>
            </w:tcBorders>
            <w:vAlign w:val="center"/>
            <w:hideMark/>
          </w:tcPr>
          <w:p w:rsidR="00350CD2" w:rsidRPr="00B1245B" w:rsidP="00350CD2" w14:paraId="47A791AB" w14:textId="0732AE72">
            <w:pPr>
              <w:jc w:val="center"/>
              <w:rPr>
                <w:color w:val="000000"/>
                <w:sz w:val="22"/>
                <w:szCs w:val="22"/>
              </w:rPr>
            </w:pPr>
            <w:r w:rsidRPr="00B1245B">
              <w:rPr>
                <w:color w:val="000000"/>
                <w:sz w:val="22"/>
                <w:szCs w:val="22"/>
              </w:rPr>
              <w:t>$</w:t>
            </w:r>
            <w:r w:rsidRPr="00B1245B" w:rsidR="001B5981">
              <w:rPr>
                <w:color w:val="000000"/>
                <w:sz w:val="22"/>
                <w:szCs w:val="22"/>
              </w:rPr>
              <w:t>20.03</w:t>
            </w:r>
          </w:p>
        </w:tc>
        <w:tc>
          <w:tcPr>
            <w:tcW w:w="1283" w:type="dxa"/>
            <w:vMerge w:val="restart"/>
            <w:tcBorders>
              <w:top w:val="nil"/>
              <w:left w:val="single" w:sz="8" w:space="0" w:color="auto"/>
              <w:bottom w:val="single" w:sz="8" w:space="0" w:color="000000"/>
              <w:right w:val="single" w:sz="8" w:space="0" w:color="auto"/>
            </w:tcBorders>
            <w:vAlign w:val="center"/>
            <w:hideMark/>
          </w:tcPr>
          <w:p w:rsidR="00350CD2" w:rsidRPr="00B1245B" w:rsidP="00350CD2" w14:paraId="028C20F8" w14:textId="2F41C7C9">
            <w:pPr>
              <w:jc w:val="center"/>
              <w:rPr>
                <w:color w:val="000000"/>
                <w:sz w:val="22"/>
                <w:szCs w:val="22"/>
              </w:rPr>
            </w:pPr>
            <w:r>
              <w:rPr>
                <w:color w:val="000000"/>
                <w:sz w:val="22"/>
                <w:szCs w:val="22"/>
              </w:rPr>
              <w:t>$</w:t>
            </w:r>
            <w:r w:rsidR="00D8010F">
              <w:rPr>
                <w:color w:val="000000"/>
                <w:sz w:val="22"/>
                <w:szCs w:val="22"/>
              </w:rPr>
              <w:t>387,040</w:t>
            </w:r>
          </w:p>
        </w:tc>
      </w:tr>
      <w:tr w14:paraId="0DF744AD" w14:textId="77777777" w:rsidTr="00350CD2">
        <w:tblPrEx>
          <w:tblW w:w="9700" w:type="dxa"/>
          <w:tblLook w:val="04A0"/>
        </w:tblPrEx>
        <w:trPr>
          <w:trHeight w:val="315"/>
        </w:trPr>
        <w:tc>
          <w:tcPr>
            <w:tcW w:w="1059" w:type="dxa"/>
            <w:vMerge/>
            <w:tcBorders>
              <w:top w:val="nil"/>
              <w:left w:val="single" w:sz="8" w:space="0" w:color="auto"/>
              <w:bottom w:val="single" w:sz="8" w:space="0" w:color="000000"/>
              <w:right w:val="single" w:sz="8" w:space="0" w:color="auto"/>
            </w:tcBorders>
            <w:vAlign w:val="center"/>
            <w:hideMark/>
          </w:tcPr>
          <w:p w:rsidR="00350CD2" w:rsidRPr="00B1245B" w:rsidP="00350CD2" w14:paraId="382BAAC6" w14:textId="77777777">
            <w:pPr>
              <w:rPr>
                <w:color w:val="000000"/>
                <w:sz w:val="22"/>
                <w:szCs w:val="22"/>
              </w:rPr>
            </w:pPr>
          </w:p>
        </w:tc>
        <w:tc>
          <w:tcPr>
            <w:tcW w:w="1415" w:type="dxa"/>
            <w:vMerge/>
            <w:tcBorders>
              <w:top w:val="nil"/>
              <w:left w:val="single" w:sz="8" w:space="0" w:color="auto"/>
              <w:bottom w:val="single" w:sz="8" w:space="0" w:color="000000"/>
              <w:right w:val="single" w:sz="8" w:space="0" w:color="auto"/>
            </w:tcBorders>
            <w:vAlign w:val="center"/>
            <w:hideMark/>
          </w:tcPr>
          <w:p w:rsidR="00350CD2" w:rsidRPr="00B1245B" w:rsidP="00350CD2" w14:paraId="7E43352F" w14:textId="77777777">
            <w:pPr>
              <w:rPr>
                <w:color w:val="000000"/>
                <w:sz w:val="22"/>
                <w:szCs w:val="22"/>
              </w:rPr>
            </w:pPr>
          </w:p>
        </w:tc>
        <w:tc>
          <w:tcPr>
            <w:tcW w:w="1531" w:type="dxa"/>
            <w:vMerge/>
            <w:tcBorders>
              <w:top w:val="nil"/>
              <w:left w:val="single" w:sz="8" w:space="0" w:color="auto"/>
              <w:bottom w:val="single" w:sz="8" w:space="0" w:color="000000"/>
              <w:right w:val="single" w:sz="8" w:space="0" w:color="auto"/>
            </w:tcBorders>
            <w:vAlign w:val="center"/>
            <w:hideMark/>
          </w:tcPr>
          <w:p w:rsidR="00350CD2" w:rsidRPr="00B1245B" w:rsidP="00350CD2" w14:paraId="735C424F" w14:textId="77777777">
            <w:pPr>
              <w:rPr>
                <w:color w:val="000000"/>
                <w:sz w:val="22"/>
                <w:szCs w:val="22"/>
              </w:rPr>
            </w:pPr>
          </w:p>
        </w:tc>
        <w:tc>
          <w:tcPr>
            <w:tcW w:w="1182" w:type="dxa"/>
            <w:vMerge/>
            <w:tcBorders>
              <w:top w:val="nil"/>
              <w:left w:val="single" w:sz="8" w:space="0" w:color="auto"/>
              <w:bottom w:val="single" w:sz="8" w:space="0" w:color="000000"/>
              <w:right w:val="single" w:sz="8" w:space="0" w:color="auto"/>
            </w:tcBorders>
            <w:vAlign w:val="center"/>
            <w:hideMark/>
          </w:tcPr>
          <w:p w:rsidR="00350CD2" w:rsidRPr="00B1245B" w:rsidP="00350CD2" w14:paraId="3568C2D1" w14:textId="77777777">
            <w:pPr>
              <w:rPr>
                <w:color w:val="000000"/>
                <w:sz w:val="22"/>
                <w:szCs w:val="22"/>
              </w:rPr>
            </w:pPr>
          </w:p>
        </w:tc>
        <w:tc>
          <w:tcPr>
            <w:tcW w:w="1139" w:type="dxa"/>
            <w:vMerge/>
            <w:tcBorders>
              <w:top w:val="nil"/>
              <w:left w:val="single" w:sz="8" w:space="0" w:color="auto"/>
              <w:bottom w:val="single" w:sz="8" w:space="0" w:color="000000"/>
              <w:right w:val="single" w:sz="8" w:space="0" w:color="auto"/>
            </w:tcBorders>
            <w:vAlign w:val="center"/>
            <w:hideMark/>
          </w:tcPr>
          <w:p w:rsidR="00350CD2" w:rsidRPr="00B1245B" w:rsidP="00350CD2" w14:paraId="0F0697FB" w14:textId="77777777">
            <w:pPr>
              <w:rPr>
                <w:color w:val="000000"/>
                <w:sz w:val="22"/>
                <w:szCs w:val="22"/>
              </w:rPr>
            </w:pPr>
          </w:p>
        </w:tc>
        <w:tc>
          <w:tcPr>
            <w:tcW w:w="972" w:type="dxa"/>
            <w:vMerge/>
            <w:tcBorders>
              <w:top w:val="nil"/>
              <w:left w:val="single" w:sz="8" w:space="0" w:color="auto"/>
              <w:bottom w:val="single" w:sz="8" w:space="0" w:color="000000"/>
              <w:right w:val="single" w:sz="8" w:space="0" w:color="auto"/>
            </w:tcBorders>
            <w:vAlign w:val="center"/>
            <w:hideMark/>
          </w:tcPr>
          <w:p w:rsidR="00350CD2" w:rsidRPr="00B1245B" w:rsidP="00350CD2" w14:paraId="0B0139AD" w14:textId="77777777">
            <w:pPr>
              <w:rPr>
                <w:color w:val="000000"/>
                <w:sz w:val="22"/>
                <w:szCs w:val="22"/>
              </w:rPr>
            </w:pPr>
          </w:p>
        </w:tc>
        <w:tc>
          <w:tcPr>
            <w:tcW w:w="897" w:type="dxa"/>
            <w:vMerge/>
            <w:tcBorders>
              <w:top w:val="nil"/>
              <w:left w:val="single" w:sz="8" w:space="0" w:color="auto"/>
              <w:bottom w:val="single" w:sz="8" w:space="0" w:color="000000"/>
              <w:right w:val="single" w:sz="8" w:space="0" w:color="auto"/>
            </w:tcBorders>
            <w:vAlign w:val="center"/>
            <w:hideMark/>
          </w:tcPr>
          <w:p w:rsidR="00350CD2" w:rsidRPr="00B1245B" w:rsidP="00350CD2" w14:paraId="490E4BE2" w14:textId="77777777">
            <w:pPr>
              <w:rPr>
                <w:color w:val="000000"/>
                <w:sz w:val="22"/>
                <w:szCs w:val="22"/>
              </w:rPr>
            </w:pPr>
          </w:p>
        </w:tc>
        <w:tc>
          <w:tcPr>
            <w:tcW w:w="1283" w:type="dxa"/>
            <w:vMerge/>
            <w:tcBorders>
              <w:top w:val="nil"/>
              <w:left w:val="single" w:sz="8" w:space="0" w:color="auto"/>
              <w:bottom w:val="single" w:sz="8" w:space="0" w:color="000000"/>
              <w:right w:val="single" w:sz="8" w:space="0" w:color="auto"/>
            </w:tcBorders>
            <w:vAlign w:val="center"/>
            <w:hideMark/>
          </w:tcPr>
          <w:p w:rsidR="00350CD2" w:rsidRPr="00B1245B" w:rsidP="00350CD2" w14:paraId="4481F31F" w14:textId="77777777">
            <w:pPr>
              <w:rPr>
                <w:color w:val="000000"/>
                <w:sz w:val="22"/>
                <w:szCs w:val="22"/>
              </w:rPr>
            </w:pPr>
          </w:p>
        </w:tc>
        <w:tc>
          <w:tcPr>
            <w:tcW w:w="222" w:type="dxa"/>
            <w:tcBorders>
              <w:top w:val="nil"/>
              <w:left w:val="nil"/>
              <w:bottom w:val="nil"/>
              <w:right w:val="nil"/>
            </w:tcBorders>
            <w:noWrap/>
            <w:vAlign w:val="bottom"/>
            <w:hideMark/>
          </w:tcPr>
          <w:p w:rsidR="00350CD2" w:rsidP="00350CD2" w14:paraId="4858B3D1" w14:textId="77777777">
            <w:pPr>
              <w:jc w:val="center"/>
              <w:rPr>
                <w:color w:val="000000"/>
                <w:sz w:val="22"/>
                <w:szCs w:val="22"/>
              </w:rPr>
            </w:pPr>
          </w:p>
        </w:tc>
      </w:tr>
      <w:tr w14:paraId="109C0201" w14:textId="77777777" w:rsidTr="00350CD2">
        <w:tblPrEx>
          <w:tblW w:w="9700" w:type="dxa"/>
          <w:tblLook w:val="04A0"/>
        </w:tblPrEx>
        <w:trPr>
          <w:trHeight w:val="315"/>
        </w:trPr>
        <w:tc>
          <w:tcPr>
            <w:tcW w:w="1059" w:type="dxa"/>
            <w:tcBorders>
              <w:top w:val="nil"/>
              <w:left w:val="single" w:sz="8" w:space="0" w:color="auto"/>
              <w:bottom w:val="single" w:sz="8" w:space="0" w:color="auto"/>
              <w:right w:val="single" w:sz="8" w:space="0" w:color="auto"/>
            </w:tcBorders>
            <w:vAlign w:val="center"/>
            <w:hideMark/>
          </w:tcPr>
          <w:p w:rsidR="00350CD2" w:rsidRPr="00B1245B" w:rsidP="00350CD2" w14:paraId="62125BF7" w14:textId="77777777">
            <w:pPr>
              <w:jc w:val="center"/>
              <w:rPr>
                <w:color w:val="000000"/>
                <w:sz w:val="22"/>
                <w:szCs w:val="22"/>
              </w:rPr>
            </w:pPr>
            <w:r w:rsidRPr="00B1245B">
              <w:rPr>
                <w:color w:val="000000"/>
                <w:sz w:val="22"/>
                <w:szCs w:val="22"/>
              </w:rPr>
              <w:t>Diary</w:t>
            </w:r>
          </w:p>
        </w:tc>
        <w:tc>
          <w:tcPr>
            <w:tcW w:w="1415" w:type="dxa"/>
            <w:tcBorders>
              <w:top w:val="nil"/>
              <w:left w:val="nil"/>
              <w:bottom w:val="single" w:sz="8" w:space="0" w:color="auto"/>
              <w:right w:val="single" w:sz="8" w:space="0" w:color="auto"/>
            </w:tcBorders>
            <w:vAlign w:val="center"/>
            <w:hideMark/>
          </w:tcPr>
          <w:p w:rsidR="00350CD2" w:rsidRPr="00B1245B" w:rsidP="00350CD2" w14:paraId="755EF8A1" w14:textId="0E12CFAF">
            <w:pPr>
              <w:jc w:val="center"/>
              <w:rPr>
                <w:color w:val="000000"/>
                <w:sz w:val="22"/>
                <w:szCs w:val="22"/>
              </w:rPr>
            </w:pPr>
            <w:r w:rsidRPr="00B1245B">
              <w:rPr>
                <w:color w:val="000000"/>
                <w:sz w:val="22"/>
                <w:szCs w:val="22"/>
              </w:rPr>
              <w:t>5,</w:t>
            </w:r>
            <w:r w:rsidR="00D8010F">
              <w:rPr>
                <w:color w:val="000000"/>
                <w:sz w:val="22"/>
                <w:szCs w:val="22"/>
              </w:rPr>
              <w:t>7</w:t>
            </w:r>
            <w:r w:rsidRPr="00B1245B" w:rsidR="001B5981">
              <w:rPr>
                <w:color w:val="000000"/>
                <w:sz w:val="22"/>
                <w:szCs w:val="22"/>
              </w:rPr>
              <w:t>00</w:t>
            </w:r>
          </w:p>
        </w:tc>
        <w:tc>
          <w:tcPr>
            <w:tcW w:w="1531" w:type="dxa"/>
            <w:tcBorders>
              <w:top w:val="nil"/>
              <w:left w:val="nil"/>
              <w:bottom w:val="single" w:sz="8" w:space="0" w:color="auto"/>
              <w:right w:val="single" w:sz="8" w:space="0" w:color="auto"/>
            </w:tcBorders>
            <w:vAlign w:val="center"/>
            <w:hideMark/>
          </w:tcPr>
          <w:p w:rsidR="00350CD2" w:rsidRPr="00B1245B" w:rsidP="00350CD2" w14:paraId="577539E3" w14:textId="695E51EC">
            <w:pPr>
              <w:jc w:val="center"/>
              <w:rPr>
                <w:color w:val="000000"/>
                <w:sz w:val="22"/>
                <w:szCs w:val="22"/>
              </w:rPr>
            </w:pPr>
            <w:r w:rsidRPr="00B1245B">
              <w:rPr>
                <w:color w:val="000000"/>
                <w:sz w:val="22"/>
                <w:szCs w:val="22"/>
              </w:rPr>
              <w:t>4.2</w:t>
            </w:r>
            <w:r w:rsidR="00FB2ACA">
              <w:rPr>
                <w:color w:val="000000"/>
                <w:sz w:val="22"/>
                <w:szCs w:val="22"/>
              </w:rPr>
              <w:t>9</w:t>
            </w:r>
          </w:p>
        </w:tc>
        <w:tc>
          <w:tcPr>
            <w:tcW w:w="1182" w:type="dxa"/>
            <w:tcBorders>
              <w:top w:val="nil"/>
              <w:left w:val="nil"/>
              <w:bottom w:val="single" w:sz="8" w:space="0" w:color="auto"/>
              <w:right w:val="single" w:sz="8" w:space="0" w:color="auto"/>
            </w:tcBorders>
            <w:vAlign w:val="center"/>
            <w:hideMark/>
          </w:tcPr>
          <w:p w:rsidR="00350CD2" w:rsidRPr="00B1245B" w:rsidP="00350CD2" w14:paraId="473AADFA" w14:textId="02B61710">
            <w:pPr>
              <w:jc w:val="center"/>
              <w:rPr>
                <w:color w:val="000000"/>
                <w:sz w:val="22"/>
                <w:szCs w:val="22"/>
              </w:rPr>
            </w:pPr>
            <w:r>
              <w:rPr>
                <w:color w:val="000000"/>
                <w:sz w:val="22"/>
                <w:szCs w:val="22"/>
              </w:rPr>
              <w:t>2</w:t>
            </w:r>
            <w:r w:rsidR="00FB2ACA">
              <w:rPr>
                <w:color w:val="000000"/>
                <w:sz w:val="22"/>
                <w:szCs w:val="22"/>
              </w:rPr>
              <w:t>4,453</w:t>
            </w:r>
          </w:p>
        </w:tc>
        <w:tc>
          <w:tcPr>
            <w:tcW w:w="1139" w:type="dxa"/>
            <w:tcBorders>
              <w:top w:val="nil"/>
              <w:left w:val="nil"/>
              <w:bottom w:val="single" w:sz="8" w:space="0" w:color="auto"/>
              <w:right w:val="single" w:sz="8" w:space="0" w:color="auto"/>
            </w:tcBorders>
            <w:vAlign w:val="center"/>
            <w:hideMark/>
          </w:tcPr>
          <w:p w:rsidR="00350CD2" w:rsidRPr="00B1245B" w:rsidP="00350CD2" w14:paraId="31313AF8" w14:textId="1E9F73EA">
            <w:pPr>
              <w:jc w:val="center"/>
              <w:rPr>
                <w:color w:val="000000"/>
                <w:sz w:val="22"/>
                <w:szCs w:val="22"/>
              </w:rPr>
            </w:pPr>
            <w:r>
              <w:rPr>
                <w:color w:val="000000"/>
                <w:sz w:val="22"/>
                <w:szCs w:val="22"/>
              </w:rPr>
              <w:t>37.507</w:t>
            </w:r>
          </w:p>
        </w:tc>
        <w:tc>
          <w:tcPr>
            <w:tcW w:w="972" w:type="dxa"/>
            <w:tcBorders>
              <w:top w:val="nil"/>
              <w:left w:val="nil"/>
              <w:bottom w:val="single" w:sz="8" w:space="0" w:color="auto"/>
              <w:right w:val="single" w:sz="8" w:space="0" w:color="auto"/>
            </w:tcBorders>
            <w:vAlign w:val="center"/>
            <w:hideMark/>
          </w:tcPr>
          <w:p w:rsidR="00350CD2" w:rsidRPr="00B1245B" w:rsidP="00350CD2" w14:paraId="48B00C31" w14:textId="662EAD34">
            <w:pPr>
              <w:jc w:val="center"/>
              <w:rPr>
                <w:color w:val="000000"/>
                <w:sz w:val="22"/>
                <w:szCs w:val="22"/>
              </w:rPr>
            </w:pPr>
            <w:r>
              <w:rPr>
                <w:color w:val="000000"/>
                <w:sz w:val="22"/>
                <w:szCs w:val="22"/>
              </w:rPr>
              <w:t>15,286</w:t>
            </w:r>
          </w:p>
        </w:tc>
        <w:tc>
          <w:tcPr>
            <w:tcW w:w="897" w:type="dxa"/>
            <w:tcBorders>
              <w:top w:val="nil"/>
              <w:left w:val="nil"/>
              <w:bottom w:val="single" w:sz="8" w:space="0" w:color="auto"/>
              <w:right w:val="single" w:sz="8" w:space="0" w:color="auto"/>
            </w:tcBorders>
            <w:vAlign w:val="center"/>
            <w:hideMark/>
          </w:tcPr>
          <w:p w:rsidR="00350CD2" w:rsidRPr="00B1245B" w:rsidP="00350CD2" w14:paraId="24D0944F" w14:textId="07A4F1E8">
            <w:pPr>
              <w:jc w:val="center"/>
              <w:rPr>
                <w:color w:val="000000"/>
                <w:sz w:val="22"/>
                <w:szCs w:val="22"/>
              </w:rPr>
            </w:pPr>
            <w:r w:rsidRPr="00B1245B">
              <w:rPr>
                <w:color w:val="000000"/>
                <w:sz w:val="22"/>
                <w:szCs w:val="22"/>
              </w:rPr>
              <w:t>$</w:t>
            </w:r>
            <w:r w:rsidRPr="00B1245B" w:rsidR="001B5981">
              <w:rPr>
                <w:color w:val="000000"/>
                <w:sz w:val="22"/>
                <w:szCs w:val="22"/>
              </w:rPr>
              <w:t>20.03</w:t>
            </w:r>
          </w:p>
        </w:tc>
        <w:tc>
          <w:tcPr>
            <w:tcW w:w="1283" w:type="dxa"/>
            <w:tcBorders>
              <w:top w:val="nil"/>
              <w:left w:val="nil"/>
              <w:bottom w:val="single" w:sz="8" w:space="0" w:color="auto"/>
              <w:right w:val="single" w:sz="8" w:space="0" w:color="auto"/>
            </w:tcBorders>
            <w:vAlign w:val="center"/>
            <w:hideMark/>
          </w:tcPr>
          <w:p w:rsidR="00350CD2" w:rsidRPr="00B1245B" w:rsidP="00350CD2" w14:paraId="70D672BD" w14:textId="27B78287">
            <w:pPr>
              <w:jc w:val="center"/>
              <w:rPr>
                <w:color w:val="000000"/>
                <w:sz w:val="22"/>
                <w:szCs w:val="22"/>
              </w:rPr>
            </w:pPr>
            <w:r w:rsidRPr="00B1245B">
              <w:rPr>
                <w:color w:val="000000"/>
                <w:sz w:val="22"/>
                <w:szCs w:val="22"/>
              </w:rPr>
              <w:t>$</w:t>
            </w:r>
            <w:r w:rsidR="00D8010F">
              <w:rPr>
                <w:color w:val="000000"/>
                <w:sz w:val="22"/>
                <w:szCs w:val="22"/>
              </w:rPr>
              <w:t>306,179</w:t>
            </w:r>
          </w:p>
        </w:tc>
        <w:tc>
          <w:tcPr>
            <w:tcW w:w="222" w:type="dxa"/>
            <w:vAlign w:val="center"/>
            <w:hideMark/>
          </w:tcPr>
          <w:p w:rsidR="00350CD2" w:rsidP="00350CD2" w14:paraId="6DFCA6E8" w14:textId="77777777">
            <w:pPr>
              <w:rPr>
                <w:sz w:val="20"/>
                <w:szCs w:val="20"/>
              </w:rPr>
            </w:pPr>
          </w:p>
        </w:tc>
      </w:tr>
      <w:tr w14:paraId="6A319A0F" w14:textId="77777777" w:rsidTr="00350CD2">
        <w:tblPrEx>
          <w:tblW w:w="9700" w:type="dxa"/>
          <w:tblLook w:val="04A0"/>
        </w:tblPrEx>
        <w:trPr>
          <w:trHeight w:val="315"/>
        </w:trPr>
        <w:tc>
          <w:tcPr>
            <w:tcW w:w="1059" w:type="dxa"/>
            <w:tcBorders>
              <w:top w:val="nil"/>
              <w:left w:val="single" w:sz="8" w:space="0" w:color="auto"/>
              <w:bottom w:val="single" w:sz="8" w:space="0" w:color="auto"/>
              <w:right w:val="single" w:sz="8" w:space="0" w:color="auto"/>
            </w:tcBorders>
            <w:vAlign w:val="center"/>
            <w:hideMark/>
          </w:tcPr>
          <w:p w:rsidR="00350CD2" w:rsidRPr="00B1245B" w:rsidP="00350CD2" w14:paraId="4C058D3F" w14:textId="00770B79">
            <w:pPr>
              <w:jc w:val="center"/>
              <w:rPr>
                <w:b/>
                <w:bCs/>
                <w:color w:val="000000"/>
                <w:sz w:val="22"/>
                <w:szCs w:val="22"/>
              </w:rPr>
            </w:pPr>
            <w:r w:rsidRPr="00B1245B">
              <w:rPr>
                <w:b/>
                <w:bCs/>
                <w:color w:val="000000"/>
                <w:sz w:val="22"/>
                <w:szCs w:val="22"/>
              </w:rPr>
              <w:t>Totals</w:t>
            </w:r>
          </w:p>
        </w:tc>
        <w:tc>
          <w:tcPr>
            <w:tcW w:w="1415" w:type="dxa"/>
            <w:tcBorders>
              <w:top w:val="nil"/>
              <w:left w:val="nil"/>
              <w:bottom w:val="single" w:sz="8" w:space="0" w:color="auto"/>
              <w:right w:val="single" w:sz="8" w:space="0" w:color="auto"/>
            </w:tcBorders>
            <w:vAlign w:val="center"/>
            <w:hideMark/>
          </w:tcPr>
          <w:p w:rsidR="00350CD2" w:rsidRPr="00B1245B" w:rsidP="00350CD2" w14:paraId="0C087C29" w14:textId="46173854">
            <w:pPr>
              <w:jc w:val="center"/>
              <w:rPr>
                <w:b/>
                <w:bCs/>
                <w:color w:val="000000"/>
                <w:sz w:val="22"/>
                <w:szCs w:val="22"/>
              </w:rPr>
            </w:pPr>
            <w:r w:rsidRPr="004F689C">
              <w:rPr>
                <w:b/>
                <w:bCs/>
                <w:color w:val="000000"/>
                <w:sz w:val="22"/>
                <w:szCs w:val="22"/>
              </w:rPr>
              <w:t>9,</w:t>
            </w:r>
            <w:r w:rsidR="00D8010F">
              <w:rPr>
                <w:b/>
                <w:bCs/>
                <w:color w:val="000000"/>
                <w:sz w:val="22"/>
                <w:szCs w:val="22"/>
              </w:rPr>
              <w:t>9</w:t>
            </w:r>
            <w:r w:rsidRPr="004F689C">
              <w:rPr>
                <w:b/>
                <w:bCs/>
                <w:color w:val="000000"/>
                <w:sz w:val="22"/>
                <w:szCs w:val="22"/>
              </w:rPr>
              <w:t>50</w:t>
            </w:r>
          </w:p>
        </w:tc>
        <w:tc>
          <w:tcPr>
            <w:tcW w:w="1531" w:type="dxa"/>
            <w:tcBorders>
              <w:top w:val="nil"/>
              <w:left w:val="nil"/>
              <w:bottom w:val="single" w:sz="8" w:space="0" w:color="auto"/>
              <w:right w:val="single" w:sz="8" w:space="0" w:color="auto"/>
            </w:tcBorders>
            <w:shd w:val="clear" w:color="auto" w:fill="000000" w:themeFill="text1"/>
            <w:vAlign w:val="center"/>
            <w:hideMark/>
          </w:tcPr>
          <w:p w:rsidR="00350CD2" w:rsidRPr="004F689C" w:rsidP="00350CD2" w14:paraId="3C8FF54E" w14:textId="71FFDE52">
            <w:pPr>
              <w:jc w:val="center"/>
              <w:rPr>
                <w:b/>
                <w:bCs/>
                <w:color w:val="000000"/>
                <w:sz w:val="22"/>
                <w:szCs w:val="22"/>
                <w:highlight w:val="yellow"/>
              </w:rPr>
            </w:pPr>
          </w:p>
        </w:tc>
        <w:tc>
          <w:tcPr>
            <w:tcW w:w="1182" w:type="dxa"/>
            <w:tcBorders>
              <w:top w:val="nil"/>
              <w:left w:val="nil"/>
              <w:bottom w:val="single" w:sz="8" w:space="0" w:color="auto"/>
              <w:right w:val="single" w:sz="8" w:space="0" w:color="auto"/>
            </w:tcBorders>
            <w:vAlign w:val="center"/>
            <w:hideMark/>
          </w:tcPr>
          <w:p w:rsidR="00350CD2" w:rsidRPr="00B1245B" w:rsidP="00350CD2" w14:paraId="79C284F4" w14:textId="03D8CCB4">
            <w:pPr>
              <w:jc w:val="center"/>
              <w:rPr>
                <w:b/>
                <w:bCs/>
                <w:color w:val="000000"/>
                <w:sz w:val="22"/>
                <w:szCs w:val="22"/>
              </w:rPr>
            </w:pPr>
            <w:r>
              <w:rPr>
                <w:b/>
                <w:bCs/>
                <w:color w:val="000000"/>
                <w:sz w:val="22"/>
                <w:szCs w:val="22"/>
              </w:rPr>
              <w:t>4</w:t>
            </w:r>
            <w:r w:rsidR="00FB2ACA">
              <w:rPr>
                <w:b/>
                <w:bCs/>
                <w:color w:val="000000"/>
                <w:sz w:val="22"/>
                <w:szCs w:val="22"/>
              </w:rPr>
              <w:t>3,493</w:t>
            </w:r>
          </w:p>
        </w:tc>
        <w:tc>
          <w:tcPr>
            <w:tcW w:w="1139" w:type="dxa"/>
            <w:tcBorders>
              <w:top w:val="nil"/>
              <w:left w:val="nil"/>
              <w:bottom w:val="single" w:sz="8" w:space="0" w:color="auto"/>
              <w:right w:val="single" w:sz="8" w:space="0" w:color="auto"/>
            </w:tcBorders>
            <w:shd w:val="clear" w:color="auto" w:fill="000000" w:themeFill="text1"/>
            <w:vAlign w:val="center"/>
            <w:hideMark/>
          </w:tcPr>
          <w:p w:rsidR="00350CD2" w:rsidRPr="00B1245B" w:rsidP="00350CD2" w14:paraId="367379C1" w14:textId="0000E6EE">
            <w:pPr>
              <w:jc w:val="center"/>
              <w:rPr>
                <w:b/>
                <w:bCs/>
                <w:color w:val="000000"/>
                <w:sz w:val="22"/>
                <w:szCs w:val="22"/>
              </w:rPr>
            </w:pPr>
          </w:p>
        </w:tc>
        <w:tc>
          <w:tcPr>
            <w:tcW w:w="972" w:type="dxa"/>
            <w:tcBorders>
              <w:top w:val="nil"/>
              <w:left w:val="nil"/>
              <w:bottom w:val="single" w:sz="8" w:space="0" w:color="auto"/>
              <w:right w:val="single" w:sz="8" w:space="0" w:color="auto"/>
            </w:tcBorders>
            <w:vAlign w:val="center"/>
            <w:hideMark/>
          </w:tcPr>
          <w:p w:rsidR="00350CD2" w:rsidRPr="00B1245B" w:rsidP="00350CD2" w14:paraId="0712B75C" w14:textId="2F31D53B">
            <w:pPr>
              <w:jc w:val="center"/>
              <w:rPr>
                <w:b/>
                <w:bCs/>
                <w:color w:val="000000"/>
                <w:sz w:val="22"/>
                <w:szCs w:val="22"/>
              </w:rPr>
            </w:pPr>
            <w:r>
              <w:rPr>
                <w:b/>
                <w:bCs/>
                <w:color w:val="000000"/>
                <w:sz w:val="22"/>
                <w:szCs w:val="22"/>
              </w:rPr>
              <w:t>34,609</w:t>
            </w:r>
          </w:p>
        </w:tc>
        <w:tc>
          <w:tcPr>
            <w:tcW w:w="897" w:type="dxa"/>
            <w:tcBorders>
              <w:top w:val="nil"/>
              <w:left w:val="nil"/>
              <w:bottom w:val="single" w:sz="8" w:space="0" w:color="auto"/>
              <w:right w:val="single" w:sz="8" w:space="0" w:color="auto"/>
            </w:tcBorders>
            <w:shd w:val="clear" w:color="auto" w:fill="000000" w:themeFill="text1"/>
            <w:vAlign w:val="center"/>
            <w:hideMark/>
          </w:tcPr>
          <w:p w:rsidR="00350CD2" w:rsidRPr="00B1245B" w:rsidP="00350CD2" w14:paraId="7410FA84" w14:textId="057F209F">
            <w:pPr>
              <w:jc w:val="center"/>
              <w:rPr>
                <w:b/>
                <w:bCs/>
                <w:color w:val="000000"/>
                <w:sz w:val="22"/>
                <w:szCs w:val="22"/>
              </w:rPr>
            </w:pPr>
          </w:p>
        </w:tc>
        <w:tc>
          <w:tcPr>
            <w:tcW w:w="1283" w:type="dxa"/>
            <w:tcBorders>
              <w:top w:val="nil"/>
              <w:left w:val="nil"/>
              <w:bottom w:val="single" w:sz="8" w:space="0" w:color="auto"/>
              <w:right w:val="single" w:sz="8" w:space="0" w:color="auto"/>
            </w:tcBorders>
            <w:vAlign w:val="center"/>
            <w:hideMark/>
          </w:tcPr>
          <w:p w:rsidR="00350CD2" w:rsidRPr="00B1245B" w:rsidP="00350CD2" w14:paraId="4A679FB3" w14:textId="25CE08FC">
            <w:pPr>
              <w:jc w:val="center"/>
              <w:rPr>
                <w:b/>
                <w:bCs/>
                <w:color w:val="000000"/>
                <w:sz w:val="22"/>
                <w:szCs w:val="22"/>
              </w:rPr>
            </w:pPr>
            <w:r w:rsidRPr="00B1245B">
              <w:rPr>
                <w:b/>
                <w:bCs/>
                <w:color w:val="000000"/>
                <w:sz w:val="22"/>
                <w:szCs w:val="22"/>
              </w:rPr>
              <w:t>$</w:t>
            </w:r>
            <w:r w:rsidR="00D8010F">
              <w:rPr>
                <w:b/>
                <w:bCs/>
                <w:color w:val="000000"/>
                <w:sz w:val="22"/>
                <w:szCs w:val="22"/>
              </w:rPr>
              <w:t>693,219</w:t>
            </w:r>
          </w:p>
        </w:tc>
        <w:tc>
          <w:tcPr>
            <w:tcW w:w="222" w:type="dxa"/>
            <w:vAlign w:val="center"/>
            <w:hideMark/>
          </w:tcPr>
          <w:p w:rsidR="00350CD2" w:rsidP="00350CD2" w14:paraId="046678B6" w14:textId="77777777">
            <w:pPr>
              <w:rPr>
                <w:sz w:val="20"/>
                <w:szCs w:val="20"/>
              </w:rPr>
            </w:pPr>
          </w:p>
        </w:tc>
      </w:tr>
    </w:tbl>
    <w:p w:rsidR="00350CD2" w:rsidP="00350CD2" w14:paraId="32A923A4" w14:textId="6C128B17">
      <w:pPr>
        <w:tabs>
          <w:tab w:val="left" w:pos="1176"/>
          <w:tab w:val="left" w:pos="1656"/>
          <w:tab w:val="left" w:pos="5016"/>
          <w:tab w:val="left" w:pos="6696"/>
          <w:tab w:val="left" w:pos="8256"/>
        </w:tabs>
      </w:pPr>
      <w:r w:rsidRPr="00C03080">
        <w:t>*</w:t>
      </w:r>
      <w:r w:rsidRPr="00E22BAB">
        <w:t>This estimate assumes a wage rate of $</w:t>
      </w:r>
      <w:r w:rsidR="00C10607">
        <w:t>20.03</w:t>
      </w:r>
      <w:r w:rsidRPr="00E22BAB">
        <w:t xml:space="preserve"> an hour </w:t>
      </w:r>
      <w:r w:rsidR="00722F16">
        <w:t>which is t</w:t>
      </w:r>
      <w:r w:rsidRPr="00E22BAB">
        <w:t>he median hourly wage for 202</w:t>
      </w:r>
      <w:r w:rsidR="00341886">
        <w:t>4</w:t>
      </w:r>
      <w:r w:rsidR="00722F16">
        <w:t xml:space="preserve"> from the </w:t>
      </w:r>
      <w:hyperlink r:id="rId6" w:history="1">
        <w:r w:rsidRPr="00722F16" w:rsidR="00722F16">
          <w:rPr>
            <w:rStyle w:val="Hyperlink"/>
          </w:rPr>
          <w:t>Current Po</w:t>
        </w:r>
        <w:r w:rsidR="00722F16">
          <w:rPr>
            <w:rStyle w:val="Hyperlink"/>
          </w:rPr>
          <w:t>p</w:t>
        </w:r>
        <w:r w:rsidRPr="00722F16" w:rsidR="00722F16">
          <w:rPr>
            <w:rStyle w:val="Hyperlink"/>
          </w:rPr>
          <w:t>ulation Survey</w:t>
        </w:r>
      </w:hyperlink>
      <w:r w:rsidRPr="00E22BAB">
        <w:t xml:space="preserve"> for all respondents regardless of whether they are employed, unemployed, or not in the labor force. </w:t>
      </w:r>
    </w:p>
    <w:p w:rsidR="00CD1D9F" w:rsidP="003044E9" w14:paraId="7F31FA5B" w14:textId="0E980AA0">
      <w:pPr>
        <w:tabs>
          <w:tab w:val="left" w:pos="1176"/>
          <w:tab w:val="left" w:pos="1656"/>
          <w:tab w:val="left" w:pos="5016"/>
          <w:tab w:val="left" w:pos="6696"/>
          <w:tab w:val="left" w:pos="8256"/>
        </w:tabs>
      </w:pPr>
    </w:p>
    <w:p w:rsidR="00E77209" w:rsidRPr="00E77209" w:rsidP="00E77209" w14:paraId="09AAEFDD" w14:textId="239ED270">
      <w:pPr>
        <w:tabs>
          <w:tab w:val="left" w:pos="1176"/>
          <w:tab w:val="left" w:pos="1656"/>
          <w:tab w:val="left" w:pos="5016"/>
          <w:tab w:val="left" w:pos="6696"/>
          <w:tab w:val="left" w:pos="8256"/>
        </w:tabs>
        <w:ind w:left="480" w:hanging="480"/>
        <w:rPr>
          <w:b/>
        </w:rPr>
      </w:pPr>
      <w:r>
        <w:t>13.</w:t>
      </w:r>
      <w:r>
        <w:tab/>
      </w:r>
      <w:r w:rsidRPr="00E77209">
        <w:rPr>
          <w:b/>
        </w:rPr>
        <w:t>Provide an estimate of the total annual cost burden to respondents or recordkeepers resulting from the collection of information</w:t>
      </w:r>
      <w:r w:rsidR="007A29E4">
        <w:rPr>
          <w:b/>
        </w:rPr>
        <w:t xml:space="preserve">. </w:t>
      </w:r>
      <w:r w:rsidRPr="00E77209">
        <w:rPr>
          <w:b/>
        </w:rPr>
        <w:t>(Do not include the cost of any hour burden shown in Items 12 and 14).</w:t>
      </w:r>
    </w:p>
    <w:p w:rsidR="00E77209" w:rsidRPr="00E77209" w:rsidP="00E77209" w14:paraId="7DC0B95D" w14:textId="62599590">
      <w:pPr>
        <w:numPr>
          <w:ilvl w:val="0"/>
          <w:numId w:val="57"/>
        </w:numPr>
        <w:tabs>
          <w:tab w:val="left" w:pos="1176"/>
          <w:tab w:val="left" w:pos="1656"/>
          <w:tab w:val="left" w:pos="5016"/>
          <w:tab w:val="left" w:pos="6696"/>
          <w:tab w:val="left" w:pos="8256"/>
        </w:tabs>
        <w:rPr>
          <w:b/>
        </w:rPr>
      </w:pPr>
      <w:r w:rsidRPr="00E77209">
        <w:rPr>
          <w:b/>
          <w:bCs/>
        </w:rPr>
        <w:t>The cost estimate should be split into two components: (a) a total capital and start up cost component (annualized over its expected useful life); and (b) a total operation and maintenance and purchase of service component</w:t>
      </w:r>
      <w:r w:rsidR="007A29E4">
        <w:rPr>
          <w:b/>
          <w:bCs/>
        </w:rPr>
        <w:t xml:space="preserve">. </w:t>
      </w:r>
      <w:r w:rsidRPr="00E77209">
        <w:rPr>
          <w:b/>
          <w:bCs/>
        </w:rPr>
        <w:t>The estimates should take into account costs associated with generating, maintaining, and disclosing or providing the information</w:t>
      </w:r>
      <w:r w:rsidR="007A29E4">
        <w:rPr>
          <w:b/>
          <w:bCs/>
        </w:rPr>
        <w:t xml:space="preserve">. </w:t>
      </w:r>
      <w:r w:rsidRPr="00E77209">
        <w:rPr>
          <w:b/>
          <w:bCs/>
        </w:rPr>
        <w:t>Include descriptions of methods used to estimate major cost factors including system and technology acquisition, expected useful life of capital equipment, the discount rate(s), and the time period over which costs will be incurred</w:t>
      </w:r>
      <w:r w:rsidR="007A29E4">
        <w:rPr>
          <w:b/>
          <w:bCs/>
        </w:rPr>
        <w:t xml:space="preserve">. </w:t>
      </w:r>
      <w:r w:rsidRPr="00E77209">
        <w:rPr>
          <w:b/>
          <w:bCs/>
        </w:rPr>
        <w:t>Capital and start-up costs include, among other items, preparations for collecting information such as purchasing computers and software; monitoring, sampling, drilling and testing equipment; and record storage facilities.</w:t>
      </w:r>
    </w:p>
    <w:p w:rsidR="00E77209" w:rsidRPr="00E77209" w:rsidP="00E77209" w14:paraId="65941AF2" w14:textId="76BB4FAC">
      <w:pPr>
        <w:numPr>
          <w:ilvl w:val="0"/>
          <w:numId w:val="57"/>
        </w:numPr>
        <w:tabs>
          <w:tab w:val="left" w:pos="1176"/>
          <w:tab w:val="left" w:pos="1656"/>
          <w:tab w:val="left" w:pos="5016"/>
          <w:tab w:val="left" w:pos="6696"/>
          <w:tab w:val="left" w:pos="8256"/>
        </w:tabs>
      </w:pPr>
      <w:r w:rsidRPr="00E77209">
        <w:rPr>
          <w:b/>
          <w:bCs/>
        </w:rPr>
        <w:t>If cost estimates are expected to vary widely, agencies should present ranges of cost burdens and explain the reasons for the variance</w:t>
      </w:r>
      <w:r w:rsidR="007A29E4">
        <w:rPr>
          <w:b/>
          <w:bCs/>
        </w:rPr>
        <w:t xml:space="preserve">. </w:t>
      </w:r>
      <w:r w:rsidRPr="00E77209">
        <w:rPr>
          <w:b/>
          <w:bCs/>
        </w:rPr>
        <w:t xml:space="preserve">The cost of purchasing or contracting out information collection services should be a part of this cost burden </w:t>
      </w:r>
      <w:r w:rsidRPr="00E77209">
        <w:rPr>
          <w:b/>
          <w:bCs/>
        </w:rPr>
        <w:t>estimate</w:t>
      </w:r>
      <w:r w:rsidR="007A29E4">
        <w:rPr>
          <w:b/>
          <w:bCs/>
        </w:rPr>
        <w:t xml:space="preserve">. </w:t>
      </w:r>
      <w:r w:rsidRPr="00E77209">
        <w:rPr>
          <w:b/>
          <w:bCs/>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77209" w:rsidRPr="00E77209" w:rsidP="00E77209" w14:paraId="7DDAA0FC" w14:textId="77777777">
      <w:pPr>
        <w:numPr>
          <w:ilvl w:val="0"/>
          <w:numId w:val="57"/>
        </w:numPr>
        <w:tabs>
          <w:tab w:val="left" w:pos="1176"/>
          <w:tab w:val="left" w:pos="1656"/>
          <w:tab w:val="left" w:pos="5016"/>
          <w:tab w:val="left" w:pos="6696"/>
          <w:tab w:val="left" w:pos="8256"/>
        </w:tabs>
        <w:rPr>
          <w:b/>
          <w:bCs/>
        </w:rPr>
      </w:pPr>
      <w:r w:rsidRPr="00E77209">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73B1B" w:rsidP="00673B1B" w14:paraId="16FD1303" w14:textId="67FA666C">
      <w:pPr>
        <w:tabs>
          <w:tab w:val="left" w:pos="1176"/>
          <w:tab w:val="left" w:pos="1656"/>
          <w:tab w:val="left" w:pos="5016"/>
          <w:tab w:val="left" w:pos="6696"/>
          <w:tab w:val="left" w:pos="8256"/>
        </w:tabs>
        <w:ind w:left="480" w:hanging="480"/>
      </w:pPr>
      <w:r>
        <w:br/>
        <w:t>There are no capital and start-up costs and no operational, maintenance, or service costs required of respondents.</w:t>
      </w:r>
    </w:p>
    <w:p w:rsidR="007007AF" w:rsidP="007007AF" w14:paraId="7E36CD02" w14:textId="77777777">
      <w:pPr>
        <w:tabs>
          <w:tab w:val="left" w:pos="1176"/>
          <w:tab w:val="left" w:pos="1656"/>
          <w:tab w:val="left" w:pos="5016"/>
          <w:tab w:val="left" w:pos="6696"/>
          <w:tab w:val="left" w:pos="8256"/>
        </w:tabs>
      </w:pPr>
    </w:p>
    <w:p w:rsidR="00E77209" w:rsidRPr="00E77209" w:rsidP="00E77209" w14:paraId="377DF35B" w14:textId="65F2A2DC">
      <w:pPr>
        <w:pStyle w:val="BodyTextIndent3"/>
        <w:tabs>
          <w:tab w:val="left" w:pos="720"/>
        </w:tabs>
        <w:ind w:left="450" w:hanging="450"/>
        <w:rPr>
          <w:b/>
        </w:rPr>
      </w:pPr>
      <w:r w:rsidRPr="00D17A87">
        <w:t>14.</w:t>
      </w:r>
      <w:r>
        <w:rPr>
          <w:b/>
        </w:rPr>
        <w:tab/>
      </w:r>
      <w:r w:rsidRPr="00E77209">
        <w:rPr>
          <w:b/>
          <w:bCs/>
        </w:rPr>
        <w:t>Provide estimates of the annualized cost to the Federal Government</w:t>
      </w:r>
      <w:r w:rsidR="007A29E4">
        <w:rPr>
          <w:b/>
          <w:bCs/>
        </w:rPr>
        <w:t xml:space="preserve">. </w:t>
      </w:r>
      <w:r w:rsidRPr="00E77209">
        <w:rPr>
          <w:b/>
          <w:bCs/>
        </w:rPr>
        <w:t>Also, provide a description of the method used to estimate cost, which should include quantification of hours, operational expenses (such as equipment, overhead, printing, and support staff), any other expense that would not have been incurred</w:t>
      </w:r>
      <w:r w:rsidRPr="00E77209">
        <w:rPr>
          <w:b/>
        </w:rPr>
        <w:t xml:space="preserve"> </w:t>
      </w:r>
      <w:r w:rsidRPr="00E77209">
        <w:rPr>
          <w:b/>
          <w:bCs/>
        </w:rPr>
        <w:t>without this collection of information</w:t>
      </w:r>
      <w:r w:rsidR="007A29E4">
        <w:rPr>
          <w:b/>
          <w:bCs/>
        </w:rPr>
        <w:t xml:space="preserve">. </w:t>
      </w:r>
      <w:r w:rsidRPr="00E77209">
        <w:rPr>
          <w:b/>
          <w:bCs/>
        </w:rPr>
        <w:t>Agencies also may aggregate cost estimates from Items 12, 13, and 14 into a single table.</w:t>
      </w:r>
    </w:p>
    <w:p w:rsidR="00D81C59" w:rsidRPr="00334156" w:rsidP="00D81C59" w14:paraId="110A0EA5" w14:textId="77777777">
      <w:pPr>
        <w:pStyle w:val="BodyTextIndent2"/>
        <w:ind w:left="450"/>
      </w:pPr>
      <w:r>
        <w:br/>
      </w:r>
      <w:bookmarkStart w:id="6" w:name="_Hlk112137158"/>
    </w:p>
    <w:bookmarkEnd w:id="6"/>
    <w:p w:rsidR="009E3774" w:rsidP="009E3774" w14:paraId="7A00852F" w14:textId="6CF0AA23">
      <w:pPr>
        <w:pStyle w:val="BodyTextIndent2"/>
        <w:ind w:left="450"/>
      </w:pPr>
      <w:r w:rsidRPr="00D81C59">
        <w:t xml:space="preserve">The annual cost to the </w:t>
      </w:r>
      <w:r w:rsidR="004915F9">
        <w:t>f</w:t>
      </w:r>
      <w:r w:rsidRPr="00D81C59" w:rsidR="004915F9">
        <w:t xml:space="preserve">ederal </w:t>
      </w:r>
      <w:r w:rsidR="004915F9">
        <w:t>g</w:t>
      </w:r>
      <w:r w:rsidRPr="00D81C59" w:rsidR="004915F9">
        <w:t xml:space="preserve">overnment </w:t>
      </w:r>
      <w:r w:rsidRPr="00D81C59">
        <w:t xml:space="preserve">of collecting, processing, reviewing, and publishing the data collected in the CE </w:t>
      </w:r>
      <w:r w:rsidRPr="00C256EA">
        <w:t xml:space="preserve">Surveys </w:t>
      </w:r>
      <w:r w:rsidR="00C070F1">
        <w:t>was</w:t>
      </w:r>
      <w:r w:rsidRPr="00B61DC1">
        <w:t xml:space="preserve"> approximately $</w:t>
      </w:r>
      <w:r w:rsidRPr="00B61DC1" w:rsidR="00C256EA">
        <w:t>49</w:t>
      </w:r>
      <w:r w:rsidRPr="00B61DC1">
        <w:t xml:space="preserve"> million in fiscal year</w:t>
      </w:r>
      <w:r w:rsidRPr="00C256EA">
        <w:t xml:space="preserve"> </w:t>
      </w:r>
      <w:r w:rsidRPr="00B61DC1" w:rsidR="00B13BFD">
        <w:t>202</w:t>
      </w:r>
      <w:r w:rsidR="00B13BFD">
        <w:t>5</w:t>
      </w:r>
      <w:r w:rsidR="007A29E4">
        <w:t xml:space="preserve">. </w:t>
      </w:r>
      <w:r w:rsidRPr="00400DB5">
        <w:t>This included approximately $</w:t>
      </w:r>
      <w:r w:rsidRPr="00400DB5" w:rsidR="00B13BFD">
        <w:t>3</w:t>
      </w:r>
      <w:r w:rsidR="00B13BFD">
        <w:t>5</w:t>
      </w:r>
      <w:r w:rsidRPr="00400DB5" w:rsidR="00B13BFD">
        <w:t xml:space="preserve"> </w:t>
      </w:r>
      <w:r w:rsidRPr="00400DB5">
        <w:t>million in costs incurred by the Census Bureau for</w:t>
      </w:r>
      <w:r w:rsidRPr="00D81C59">
        <w:t xml:space="preserve"> collecting and processing the data, operational costs associated with maintaining the survey, and development costs. The BLS portion of approximately </w:t>
      </w:r>
      <w:r w:rsidRPr="00B61DC1">
        <w:t>$</w:t>
      </w:r>
      <w:r w:rsidRPr="00B61DC1" w:rsidR="00B13BFD">
        <w:t>1</w:t>
      </w:r>
      <w:r w:rsidR="00B13BFD">
        <w:t>4</w:t>
      </w:r>
      <w:r w:rsidRPr="00B61DC1" w:rsidR="00B13BFD">
        <w:t xml:space="preserve"> </w:t>
      </w:r>
      <w:r w:rsidRPr="00B61DC1">
        <w:t>million</w:t>
      </w:r>
      <w:r w:rsidRPr="00D81C59">
        <w:t xml:space="preserve"> was for costs incurred by the BLS in personnel and other related costs associated with managing the survey, processing the data upon receipt from the Census Bureau, reviewing, and publishing the data, and for research and development.</w:t>
      </w:r>
    </w:p>
    <w:p w:rsidR="006C05FC" w:rsidRPr="00E570DF" w:rsidP="0068660D" w14:paraId="31806031" w14:textId="77777777">
      <w:pPr>
        <w:pStyle w:val="BodyTextIndent2"/>
        <w:ind w:left="450"/>
        <w:rPr>
          <w:b/>
          <w:bCs/>
        </w:rPr>
      </w:pPr>
    </w:p>
    <w:p w:rsidR="00411F2A" w:rsidRPr="00D17A87" w:rsidP="004F4BE2" w14:paraId="13A37DA9" w14:textId="6D82AA41">
      <w:pPr>
        <w:pStyle w:val="BodyTextIndent2"/>
        <w:numPr>
          <w:ilvl w:val="0"/>
          <w:numId w:val="52"/>
        </w:numPr>
      </w:pPr>
      <w:r w:rsidRPr="00E77209">
        <w:rPr>
          <w:b/>
        </w:rPr>
        <w:t>Explain the reasons for any program changes or adjustments</w:t>
      </w:r>
      <w:r w:rsidR="00866809">
        <w:rPr>
          <w:b/>
        </w:rPr>
        <w:t xml:space="preserve"> </w:t>
      </w:r>
      <w:r w:rsidRPr="00B36781" w:rsidR="007007AF">
        <w:rPr>
          <w:b/>
        </w:rPr>
        <w:t>in Respondent Burden</w:t>
      </w:r>
    </w:p>
    <w:p w:rsidR="00F02856" w:rsidP="00CE2732" w14:paraId="05C8FE52" w14:textId="6A13824F">
      <w:pPr>
        <w:pStyle w:val="BodyTextIndent2"/>
        <w:ind w:left="450"/>
      </w:pPr>
      <w:r w:rsidRPr="0004428D">
        <w:br/>
      </w:r>
      <w:bookmarkStart w:id="7" w:name="_Hlk94706546"/>
      <w:r w:rsidRPr="00400DB5" w:rsidR="00974675">
        <w:t xml:space="preserve">Reporting burden has decreased from </w:t>
      </w:r>
      <w:r w:rsidRPr="00400DB5" w:rsidR="00B35E4D">
        <w:rPr>
          <w:color w:val="000000"/>
        </w:rPr>
        <w:t>3</w:t>
      </w:r>
      <w:r w:rsidR="00C070F1">
        <w:rPr>
          <w:color w:val="000000"/>
        </w:rPr>
        <w:t>4,619</w:t>
      </w:r>
      <w:r w:rsidRPr="00400DB5" w:rsidR="004864DA">
        <w:rPr>
          <w:color w:val="000000"/>
        </w:rPr>
        <w:t xml:space="preserve"> to </w:t>
      </w:r>
      <w:r w:rsidRPr="00400DB5" w:rsidR="000E1F23">
        <w:rPr>
          <w:color w:val="000000"/>
        </w:rPr>
        <w:t>34,</w:t>
      </w:r>
      <w:r w:rsidRPr="00400DB5" w:rsidR="008E6B6B">
        <w:rPr>
          <w:color w:val="000000"/>
        </w:rPr>
        <w:t>6</w:t>
      </w:r>
      <w:r w:rsidR="00D8010F">
        <w:rPr>
          <w:color w:val="000000"/>
        </w:rPr>
        <w:t>0</w:t>
      </w:r>
      <w:r w:rsidRPr="00400DB5" w:rsidR="008E6B6B">
        <w:rPr>
          <w:color w:val="000000"/>
        </w:rPr>
        <w:t>9</w:t>
      </w:r>
      <w:r>
        <w:rPr>
          <w:color w:val="000000"/>
        </w:rPr>
        <w:t xml:space="preserve"> hours</w:t>
      </w:r>
      <w:r w:rsidRPr="00710637" w:rsidR="00FF7B22">
        <w:rPr>
          <w:color w:val="000000"/>
        </w:rPr>
        <w:t xml:space="preserve"> </w:t>
      </w:r>
      <w:r w:rsidR="0097318E">
        <w:rPr>
          <w:color w:val="000000"/>
        </w:rPr>
        <w:t xml:space="preserve">primarily </w:t>
      </w:r>
      <w:r w:rsidRPr="00710637" w:rsidR="00974675">
        <w:t xml:space="preserve">due </w:t>
      </w:r>
      <w:r w:rsidRPr="00710637" w:rsidR="00C03080">
        <w:t>to decreasing response rates</w:t>
      </w:r>
      <w:r w:rsidR="000E1F23">
        <w:t xml:space="preserve"> and decreases in the sample size</w:t>
      </w:r>
      <w:r w:rsidRPr="00710637" w:rsidR="00FF7B22">
        <w:t>.</w:t>
      </w:r>
      <w:r w:rsidRPr="00710637" w:rsidR="00974675">
        <w:t xml:space="preserve"> (See Supporting Statement Part B for additional information on response rates</w:t>
      </w:r>
      <w:bookmarkEnd w:id="7"/>
      <w:r w:rsidR="00D8010F">
        <w:t>)</w:t>
      </w:r>
      <w:r w:rsidR="003D77D0">
        <w:t xml:space="preserve">. </w:t>
      </w:r>
      <w:r w:rsidR="00F37939">
        <w:t>We expect changes to the Interview Survey CAPI instrument to have a minimal impact on respondent burden.</w:t>
      </w:r>
    </w:p>
    <w:p w:rsidR="00F02856" w:rsidP="001B55AF" w14:paraId="14A40235" w14:textId="77777777">
      <w:pPr>
        <w:tabs>
          <w:tab w:val="left" w:pos="1176"/>
          <w:tab w:val="left" w:pos="1656"/>
          <w:tab w:val="left" w:pos="6696"/>
          <w:tab w:val="left" w:pos="8256"/>
        </w:tabs>
        <w:ind w:left="480"/>
      </w:pPr>
    </w:p>
    <w:p w:rsidR="00F02856" w:rsidP="001B55AF" w14:paraId="49F93A1F" w14:textId="5D21D7D2">
      <w:pPr>
        <w:tabs>
          <w:tab w:val="left" w:pos="1176"/>
          <w:tab w:val="left" w:pos="1656"/>
          <w:tab w:val="left" w:pos="6696"/>
          <w:tab w:val="left" w:pos="8256"/>
        </w:tabs>
        <w:ind w:left="480"/>
      </w:pPr>
      <w:r>
        <w:t xml:space="preserve">An </w:t>
      </w:r>
      <w:r w:rsidR="0079051B">
        <w:t xml:space="preserve">additional mode has been added for the Information Booklet. The </w:t>
      </w:r>
      <w:r>
        <w:t>Online Information Booklet</w:t>
      </w:r>
      <w:r w:rsidR="0079051B">
        <w:t>, which is available on the Census CE webpage will</w:t>
      </w:r>
      <w:r>
        <w:t xml:space="preserve"> allow respondents to access the Information Booklet on their </w:t>
      </w:r>
      <w:r w:rsidR="0079051B">
        <w:t xml:space="preserve">own </w:t>
      </w:r>
      <w:r>
        <w:t>devices.</w:t>
      </w:r>
      <w:r w:rsidR="007977EE">
        <w:t xml:space="preserve"> This does not impact respondent burden.</w:t>
      </w:r>
    </w:p>
    <w:p w:rsidR="00304AD2" w:rsidP="001B55AF" w14:paraId="66545468" w14:textId="77777777">
      <w:pPr>
        <w:tabs>
          <w:tab w:val="left" w:pos="1176"/>
          <w:tab w:val="left" w:pos="1656"/>
          <w:tab w:val="left" w:pos="6696"/>
          <w:tab w:val="left" w:pos="8256"/>
        </w:tabs>
        <w:ind w:left="480"/>
      </w:pPr>
    </w:p>
    <w:p w:rsidR="001B55AF" w:rsidP="001B55AF" w14:paraId="7D3A523D" w14:textId="77777777">
      <w:pPr>
        <w:tabs>
          <w:tab w:val="left" w:pos="1176"/>
          <w:tab w:val="left" w:pos="1656"/>
          <w:tab w:val="left" w:pos="6696"/>
          <w:tab w:val="left" w:pos="8256"/>
        </w:tabs>
        <w:ind w:left="480"/>
      </w:pPr>
    </w:p>
    <w:p w:rsidR="00E40D09" w:rsidP="00974675" w14:paraId="42EEB2D9" w14:textId="77777777">
      <w:pPr>
        <w:pStyle w:val="BodyTextIndent2"/>
        <w:ind w:left="450"/>
      </w:pPr>
    </w:p>
    <w:p w:rsidR="007F0096" w:rsidRPr="007F0096" w:rsidP="007F0096" w14:paraId="273F20D5" w14:textId="65010657">
      <w:pPr>
        <w:ind w:left="480" w:hanging="480"/>
      </w:pPr>
      <w:r w:rsidRPr="00175F43">
        <w:t>16.</w:t>
      </w:r>
      <w:r w:rsidRPr="00175F43">
        <w:tab/>
      </w:r>
      <w:r w:rsidRPr="007F0096">
        <w:rPr>
          <w:b/>
          <w:bCs/>
        </w:rPr>
        <w:t>For collections of information whose results will be published, outline plans for tabulations, and publication</w:t>
      </w:r>
      <w:r w:rsidR="007A29E4">
        <w:rPr>
          <w:b/>
          <w:bCs/>
        </w:rPr>
        <w:t xml:space="preserve">. </w:t>
      </w:r>
      <w:r w:rsidRPr="007F0096">
        <w:rPr>
          <w:b/>
          <w:bCs/>
        </w:rPr>
        <w:t>Address any complex analytical techniques that will be used</w:t>
      </w:r>
      <w:r w:rsidR="007A29E4">
        <w:rPr>
          <w:b/>
          <w:bCs/>
        </w:rPr>
        <w:t xml:space="preserve">. </w:t>
      </w:r>
      <w:r w:rsidRPr="007F0096">
        <w:rPr>
          <w:b/>
          <w:bCs/>
        </w:rPr>
        <w:t>Provide the time schedule for the entire project, including beginning and ending dates of the collection of information, completion of report, publication dates, and other actions</w:t>
      </w:r>
      <w:r w:rsidRPr="007F0096">
        <w:t>.</w:t>
      </w:r>
    </w:p>
    <w:p w:rsidR="0017508C" w:rsidP="0017508C" w14:paraId="315C531A" w14:textId="19A7198A">
      <w:pPr>
        <w:ind w:left="480" w:hanging="480"/>
      </w:pPr>
    </w:p>
    <w:p w:rsidR="0017508C" w:rsidRPr="00664D7B" w:rsidP="00664D7B" w14:paraId="275A7B7A" w14:textId="28672DC6">
      <w:pPr>
        <w:pStyle w:val="BodyTextIndent2"/>
        <w:ind w:left="450"/>
      </w:pPr>
      <w:r>
        <w:t xml:space="preserve">Data collection activities for the continuing surveys began in September 1979 for the Diary Survey and in October 1979 for the Interview Survey. The Census Bureau delivered the first edited and weighted data to the BLS in April 1981. Delivery is now scheduled with </w:t>
      </w:r>
      <w:r w:rsidR="00C070F1">
        <w:t xml:space="preserve">the </w:t>
      </w:r>
      <w:r>
        <w:t>Interview Survey data to be delivered three weeks after the interview month and Diary Survey data to be delivered two months after the interview month.</w:t>
      </w:r>
    </w:p>
    <w:p w:rsidR="0017508C" w:rsidP="00664D7B" w14:paraId="553FCEE9" w14:textId="77777777">
      <w:pPr>
        <w:pStyle w:val="BodyTextIndent2"/>
        <w:ind w:left="450"/>
      </w:pPr>
    </w:p>
    <w:p w:rsidR="0017508C" w:rsidP="00664D7B" w14:paraId="0BF1A773" w14:textId="1953C9F1">
      <w:pPr>
        <w:pStyle w:val="BodyTextIndent2"/>
        <w:ind w:left="450"/>
      </w:pPr>
      <w:r>
        <w:t>In May 1983, the BLS published the first tables from the continuing CE Surveys and selected data from the 1980</w:t>
      </w:r>
      <w:r>
        <w:noBreakHyphen/>
        <w:t>81 Diary Surveys. Also, microdata were made available for the first time in June 1983 for the Diary Survey and in October 1984 for the Interview Survey.</w:t>
      </w:r>
    </w:p>
    <w:p w:rsidR="0017508C" w:rsidP="00664D7B" w14:paraId="50B1A258" w14:textId="77777777">
      <w:pPr>
        <w:pStyle w:val="BodyTextIndent2"/>
        <w:ind w:left="450"/>
      </w:pPr>
      <w:bookmarkStart w:id="8" w:name="_Hlk90891389"/>
    </w:p>
    <w:p w:rsidR="00EA13A0" w:rsidP="00EA13A0" w14:paraId="78D1E8B9" w14:textId="3273696F">
      <w:pPr>
        <w:pStyle w:val="BodyTextIndent2"/>
        <w:ind w:left="450"/>
      </w:pPr>
      <w:bookmarkStart w:id="9" w:name="_Hlk143155160"/>
      <w:r w:rsidRPr="00776F03">
        <w:t>The BLS release</w:t>
      </w:r>
      <w:r w:rsidRPr="004F689C" w:rsidR="00D466F4">
        <w:t>d</w:t>
      </w:r>
      <w:r w:rsidRPr="00776F03">
        <w:t xml:space="preserve"> Diary and Interview Survey public use microdata for the first half of 202</w:t>
      </w:r>
      <w:r w:rsidRPr="004F689C" w:rsidR="00D466F4">
        <w:t>4</w:t>
      </w:r>
      <w:r w:rsidRPr="00776F03">
        <w:t xml:space="preserve"> in May 202</w:t>
      </w:r>
      <w:r w:rsidRPr="004F689C" w:rsidR="00D466F4">
        <w:t>5</w:t>
      </w:r>
      <w:r w:rsidR="007A29E4">
        <w:t xml:space="preserve">. </w:t>
      </w:r>
      <w:r w:rsidRPr="00776F03">
        <w:t>The 202</w:t>
      </w:r>
      <w:r w:rsidRPr="004F689C" w:rsidR="00D466F4">
        <w:t>4</w:t>
      </w:r>
      <w:r w:rsidRPr="00776F03">
        <w:t xml:space="preserve"> annual tabular data and the second half of public use microdata </w:t>
      </w:r>
      <w:r w:rsidR="00972359">
        <w:t>were</w:t>
      </w:r>
      <w:r w:rsidRPr="00776F03">
        <w:t xml:space="preserve"> released in </w:t>
      </w:r>
      <w:r w:rsidRPr="00600466" w:rsidR="00F527F8">
        <w:t xml:space="preserve">December </w:t>
      </w:r>
      <w:r w:rsidRPr="00263874">
        <w:t>202</w:t>
      </w:r>
      <w:r w:rsidRPr="00263874" w:rsidR="00D466F4">
        <w:t>5</w:t>
      </w:r>
      <w:r w:rsidRPr="00263874">
        <w:t>.</w:t>
      </w:r>
    </w:p>
    <w:bookmarkEnd w:id="8"/>
    <w:bookmarkEnd w:id="9"/>
    <w:p w:rsidR="0028518E" w:rsidRPr="00B36781" w:rsidP="0017508C" w14:paraId="7BF7C4F3" w14:textId="7B3F5874">
      <w:pPr>
        <w:tabs>
          <w:tab w:val="left" w:pos="1176"/>
          <w:tab w:val="left" w:pos="1656"/>
          <w:tab w:val="left" w:pos="5016"/>
          <w:tab w:val="left" w:pos="6696"/>
          <w:tab w:val="left" w:pos="8256"/>
        </w:tabs>
        <w:ind w:left="480" w:hanging="480"/>
      </w:pPr>
    </w:p>
    <w:p w:rsidR="00673B1B" w:rsidRPr="00B36781" w:rsidP="00673B1B" w14:paraId="3452ACC2" w14:textId="77777777">
      <w:pPr>
        <w:pStyle w:val="BodyText"/>
        <w:tabs>
          <w:tab w:val="left" w:pos="720"/>
          <w:tab w:val="clear" w:pos="1176"/>
          <w:tab w:val="clear" w:pos="1656"/>
          <w:tab w:val="clear" w:pos="6696"/>
          <w:tab w:val="clear" w:pos="8256"/>
        </w:tabs>
        <w:ind w:left="540"/>
        <w:rPr>
          <w:szCs w:val="24"/>
        </w:rPr>
      </w:pPr>
    </w:p>
    <w:p w:rsidR="007F0096" w:rsidRPr="007F0096" w:rsidP="00E570DF" w14:paraId="68AAB7BB" w14:textId="23FA7BAC">
      <w:pPr>
        <w:pStyle w:val="Title"/>
        <w:ind w:left="475" w:hanging="475"/>
        <w:jc w:val="left"/>
        <w:outlineLvl w:val="9"/>
        <w:rPr>
          <w:b/>
          <w:bCs/>
        </w:rPr>
      </w:pPr>
      <w:r w:rsidRPr="00B36781">
        <w:rPr>
          <w:szCs w:val="24"/>
        </w:rPr>
        <w:t>17</w:t>
      </w:r>
      <w:r w:rsidR="007A29E4">
        <w:rPr>
          <w:szCs w:val="24"/>
        </w:rPr>
        <w:t xml:space="preserve">. </w:t>
      </w:r>
      <w:r w:rsidRPr="007F0096">
        <w:rPr>
          <w:b/>
          <w:bCs/>
        </w:rPr>
        <w:t>If seeking approval to not display the expiration date for OMB approval of the information collection, explain the reasons that display would be inappropriate.</w:t>
      </w:r>
    </w:p>
    <w:p w:rsidR="00673B1B" w:rsidRPr="00B36781" w:rsidP="00B36781" w14:paraId="62BA4E8A" w14:textId="37F058B7">
      <w:pPr>
        <w:pStyle w:val="Title"/>
        <w:ind w:left="450" w:hanging="450"/>
        <w:jc w:val="left"/>
        <w:rPr>
          <w:szCs w:val="24"/>
        </w:rPr>
      </w:pPr>
      <w:r>
        <w:br/>
      </w:r>
      <w:r w:rsidRPr="00B36781">
        <w:rPr>
          <w:szCs w:val="24"/>
        </w:rPr>
        <w:t xml:space="preserve">The BLS </w:t>
      </w:r>
      <w:r w:rsidRPr="00B36781" w:rsidR="00017D68">
        <w:rPr>
          <w:szCs w:val="24"/>
        </w:rPr>
        <w:t>requests not</w:t>
      </w:r>
      <w:r w:rsidRPr="00B36781">
        <w:rPr>
          <w:szCs w:val="24"/>
        </w:rPr>
        <w:t xml:space="preserve"> to display the expiration date </w:t>
      </w:r>
      <w:r w:rsidR="005F0E53">
        <w:rPr>
          <w:szCs w:val="24"/>
        </w:rPr>
        <w:t xml:space="preserve"> on the </w:t>
      </w:r>
      <w:r w:rsidRPr="00B36781">
        <w:rPr>
          <w:szCs w:val="24"/>
        </w:rPr>
        <w:t>Interview and the Diary Household Characteristics instruments</w:t>
      </w:r>
      <w:r w:rsidR="005F0E53">
        <w:rPr>
          <w:szCs w:val="24"/>
        </w:rPr>
        <w:t>, as they</w:t>
      </w:r>
      <w:r w:rsidRPr="00B36781">
        <w:rPr>
          <w:szCs w:val="24"/>
        </w:rPr>
        <w:t xml:space="preserve"> are automated; the respondent, therefore, never sees the date. For the Diary CE-801 there is a significant costs savings in printing a large quantity of forms at one time due to the set</w:t>
      </w:r>
      <w:r w:rsidR="00881ADC">
        <w:rPr>
          <w:szCs w:val="24"/>
        </w:rPr>
        <w:t>-</w:t>
      </w:r>
      <w:r w:rsidRPr="00B36781">
        <w:rPr>
          <w:szCs w:val="24"/>
        </w:rPr>
        <w:t>up costs involved in printing for the survey instrument</w:t>
      </w:r>
      <w:r w:rsidR="007A29E4">
        <w:rPr>
          <w:szCs w:val="24"/>
        </w:rPr>
        <w:t xml:space="preserve">. </w:t>
      </w:r>
      <w:r w:rsidRPr="00B36781">
        <w:rPr>
          <w:szCs w:val="24"/>
        </w:rPr>
        <w:t>By not printing the date on the form the BLS w</w:t>
      </w:r>
      <w:r w:rsidRPr="00B36781" w:rsidR="004A1DD4">
        <w:rPr>
          <w:szCs w:val="24"/>
        </w:rPr>
        <w:t>ill</w:t>
      </w:r>
      <w:r w:rsidRPr="00B36781">
        <w:rPr>
          <w:szCs w:val="24"/>
        </w:rPr>
        <w:t xml:space="preserve"> be able to continue to use forms in stock, assuming no form changes, once the OMB clearance date has expired and a new expiration date has been approved. The BLS would save both time and money by not having to destroy the old questionnaires and </w:t>
      </w:r>
      <w:r w:rsidRPr="00B36781" w:rsidR="00475B5E">
        <w:rPr>
          <w:szCs w:val="24"/>
        </w:rPr>
        <w:t>prin</w:t>
      </w:r>
      <w:r w:rsidR="005F397D">
        <w:rPr>
          <w:szCs w:val="24"/>
        </w:rPr>
        <w:t>t</w:t>
      </w:r>
      <w:r w:rsidRPr="00B36781" w:rsidR="00475B5E">
        <w:rPr>
          <w:szCs w:val="24"/>
        </w:rPr>
        <w:t>ing new ones</w:t>
      </w:r>
      <w:r w:rsidR="007A29E4">
        <w:rPr>
          <w:szCs w:val="24"/>
        </w:rPr>
        <w:t xml:space="preserve">. </w:t>
      </w:r>
      <w:r w:rsidRPr="00B36781" w:rsidR="005F0E53">
        <w:rPr>
          <w:szCs w:val="24"/>
        </w:rPr>
        <w:t xml:space="preserve">The OMB control number for the CE Surveys is included in the </w:t>
      </w:r>
      <w:r w:rsidRPr="00D466F4" w:rsidR="005F0E53">
        <w:rPr>
          <w:szCs w:val="24"/>
        </w:rPr>
        <w:t>advance letter</w:t>
      </w:r>
      <w:r w:rsidRPr="00B36781" w:rsidR="005F0E53">
        <w:rPr>
          <w:szCs w:val="24"/>
        </w:rPr>
        <w:t xml:space="preserve"> given to respondents (see Attachment </w:t>
      </w:r>
      <w:r w:rsidR="005F0E53">
        <w:rPr>
          <w:szCs w:val="24"/>
        </w:rPr>
        <w:t>E</w:t>
      </w:r>
      <w:r w:rsidRPr="00B36781" w:rsidR="005F0E53">
        <w:rPr>
          <w:szCs w:val="24"/>
        </w:rPr>
        <w:t>)</w:t>
      </w:r>
      <w:r w:rsidR="007A29E4">
        <w:rPr>
          <w:szCs w:val="24"/>
        </w:rPr>
        <w:t xml:space="preserve">. </w:t>
      </w:r>
      <w:r w:rsidRPr="00B36781">
        <w:rPr>
          <w:szCs w:val="24"/>
        </w:rPr>
        <w:br/>
      </w:r>
    </w:p>
    <w:p w:rsidR="007F0096" w:rsidRPr="007F0096" w:rsidP="007F0096" w14:paraId="3CDFCB87" w14:textId="660AF1BE">
      <w:pPr>
        <w:tabs>
          <w:tab w:val="left" w:pos="1176"/>
          <w:tab w:val="left" w:pos="1656"/>
          <w:tab w:val="left" w:pos="5016"/>
          <w:tab w:val="left" w:pos="6696"/>
          <w:tab w:val="left" w:pos="8256"/>
        </w:tabs>
        <w:ind w:left="480" w:hanging="480"/>
        <w:rPr>
          <w:b/>
        </w:rPr>
      </w:pPr>
      <w:r>
        <w:t>18</w:t>
      </w:r>
      <w:r w:rsidR="007A29E4">
        <w:t xml:space="preserve">. </w:t>
      </w:r>
      <w:r>
        <w:t xml:space="preserve"> </w:t>
      </w:r>
      <w:r w:rsidRPr="007F0096">
        <w:rPr>
          <w:b/>
        </w:rPr>
        <w:t>Explain each exception to the certification statement.</w:t>
      </w:r>
    </w:p>
    <w:p w:rsidR="007801DB" w:rsidP="005E2032" w14:paraId="2063E997" w14:textId="6EFAC356">
      <w:pPr>
        <w:tabs>
          <w:tab w:val="left" w:pos="1176"/>
          <w:tab w:val="left" w:pos="1656"/>
          <w:tab w:val="left" w:pos="5016"/>
          <w:tab w:val="left" w:pos="6696"/>
          <w:tab w:val="left" w:pos="8256"/>
        </w:tabs>
        <w:ind w:left="480" w:hanging="480"/>
      </w:pPr>
      <w:r>
        <w:br/>
      </w:r>
      <w:r w:rsidR="00673B1B">
        <w:t>There are no exceptions to the certification statement.</w:t>
      </w:r>
    </w:p>
    <w:sectPr w:rsidSect="00B0054D">
      <w:headerReference w:type="default" r:id="rId7"/>
      <w:footerReference w:type="even" r:id="rId8"/>
      <w:footerReference w:type="default" r:id="rId9"/>
      <w:pgSz w:w="12240" w:h="15840" w:code="1"/>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97C" w14:paraId="640592E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D297C" w14:paraId="44E0C7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97C" w14:paraId="7E322FC9" w14:textId="77777777">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Pr>
        <w:rStyle w:val="PageNumber"/>
        <w:rFonts w:ascii="Courier" w:hAnsi="Courier"/>
        <w:sz w:val="24"/>
      </w:rPr>
      <w:instrText xml:space="preserve">PAGE  </w:instrText>
    </w:r>
    <w:r>
      <w:rPr>
        <w:rStyle w:val="PageNumber"/>
        <w:rFonts w:ascii="Courier" w:hAnsi="Courier"/>
        <w:sz w:val="24"/>
      </w:rPr>
      <w:fldChar w:fldCharType="separate"/>
    </w:r>
    <w:r w:rsidR="009A1DA6">
      <w:rPr>
        <w:rStyle w:val="PageNumber"/>
        <w:rFonts w:ascii="Courier" w:hAnsi="Courier"/>
        <w:noProof/>
        <w:sz w:val="24"/>
      </w:rPr>
      <w:t>15</w:t>
    </w:r>
    <w:r>
      <w:rPr>
        <w:rStyle w:val="PageNumber"/>
        <w:rFonts w:ascii="Courier" w:hAnsi="Courier"/>
        <w:sz w:val="24"/>
      </w:rPr>
      <w:fldChar w:fldCharType="end"/>
    </w:r>
  </w:p>
  <w:p w:rsidR="002D297C" w14:paraId="66601CC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97C" w14:paraId="546722D0" w14:textId="252D652A">
    <w:pPr>
      <w:pStyle w:val="Header"/>
    </w:pPr>
    <w:r>
      <w:t>Consumer Expenditure Surveys</w:t>
    </w:r>
  </w:p>
  <w:p w:rsidR="002D297C" w14:paraId="633DB503" w14:textId="5680C013">
    <w:pPr>
      <w:pStyle w:val="Header"/>
    </w:pPr>
    <w:r>
      <w:t>OMB Control Number</w:t>
    </w:r>
    <w:r w:rsidR="00161E6F">
      <w:t>:</w:t>
    </w:r>
    <w:r>
      <w:t xml:space="preserve"> 1220-0050</w:t>
    </w:r>
  </w:p>
  <w:p w:rsidR="002D297C" w14:paraId="04D8F4BD" w14:textId="18773ED6">
    <w:pPr>
      <w:pStyle w:val="Header"/>
    </w:pPr>
    <w:r>
      <w:t>OMB Expiration Date:</w:t>
    </w:r>
    <w:r w:rsidR="00926F7C">
      <w:t xml:space="preserve"> </w:t>
    </w:r>
    <w:r w:rsidR="00C04145">
      <w:t>March 31, 2027</w:t>
    </w:r>
  </w:p>
  <w:p w:rsidR="002D297C" w14:paraId="12BE54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B42D1"/>
    <w:multiLevelType w:val="hybridMultilevel"/>
    <w:tmpl w:val="0A92F046"/>
    <w:lvl w:ilvl="0">
      <w:start w:val="1"/>
      <w:numFmt w:val="decimal"/>
      <w:lvlText w:val="%1."/>
      <w:lvlJc w:val="left"/>
      <w:pPr>
        <w:tabs>
          <w:tab w:val="num" w:pos="1200"/>
        </w:tabs>
        <w:ind w:left="1200" w:hanging="360"/>
      </w:pPr>
    </w:lvl>
    <w:lvl w:ilvl="1" w:tentative="1">
      <w:start w:val="1"/>
      <w:numFmt w:val="lowerLetter"/>
      <w:lvlText w:val="%2."/>
      <w:lvlJc w:val="left"/>
      <w:pPr>
        <w:tabs>
          <w:tab w:val="num" w:pos="1920"/>
        </w:tabs>
        <w:ind w:left="1920" w:hanging="360"/>
      </w:pPr>
    </w:lvl>
    <w:lvl w:ilvl="2" w:tentative="1">
      <w:start w:val="1"/>
      <w:numFmt w:val="lowerRoman"/>
      <w:lvlText w:val="%3."/>
      <w:lvlJc w:val="right"/>
      <w:pPr>
        <w:tabs>
          <w:tab w:val="num" w:pos="2640"/>
        </w:tabs>
        <w:ind w:left="2640" w:hanging="180"/>
      </w:pPr>
    </w:lvl>
    <w:lvl w:ilvl="3" w:tentative="1">
      <w:start w:val="1"/>
      <w:numFmt w:val="decimal"/>
      <w:lvlText w:val="%4."/>
      <w:lvlJc w:val="left"/>
      <w:pPr>
        <w:tabs>
          <w:tab w:val="num" w:pos="3360"/>
        </w:tabs>
        <w:ind w:left="3360" w:hanging="360"/>
      </w:pPr>
    </w:lvl>
    <w:lvl w:ilvl="4" w:tentative="1">
      <w:start w:val="1"/>
      <w:numFmt w:val="lowerLetter"/>
      <w:lvlText w:val="%5."/>
      <w:lvlJc w:val="left"/>
      <w:pPr>
        <w:tabs>
          <w:tab w:val="num" w:pos="4080"/>
        </w:tabs>
        <w:ind w:left="4080" w:hanging="360"/>
      </w:pPr>
    </w:lvl>
    <w:lvl w:ilvl="5" w:tentative="1">
      <w:start w:val="1"/>
      <w:numFmt w:val="lowerRoman"/>
      <w:lvlText w:val="%6."/>
      <w:lvlJc w:val="right"/>
      <w:pPr>
        <w:tabs>
          <w:tab w:val="num" w:pos="4800"/>
        </w:tabs>
        <w:ind w:left="4800" w:hanging="180"/>
      </w:pPr>
    </w:lvl>
    <w:lvl w:ilvl="6" w:tentative="1">
      <w:start w:val="1"/>
      <w:numFmt w:val="decimal"/>
      <w:lvlText w:val="%7."/>
      <w:lvlJc w:val="left"/>
      <w:pPr>
        <w:tabs>
          <w:tab w:val="num" w:pos="5520"/>
        </w:tabs>
        <w:ind w:left="5520" w:hanging="360"/>
      </w:pPr>
    </w:lvl>
    <w:lvl w:ilvl="7" w:tentative="1">
      <w:start w:val="1"/>
      <w:numFmt w:val="lowerLetter"/>
      <w:lvlText w:val="%8."/>
      <w:lvlJc w:val="left"/>
      <w:pPr>
        <w:tabs>
          <w:tab w:val="num" w:pos="6240"/>
        </w:tabs>
        <w:ind w:left="6240" w:hanging="360"/>
      </w:pPr>
    </w:lvl>
    <w:lvl w:ilvl="8" w:tentative="1">
      <w:start w:val="1"/>
      <w:numFmt w:val="lowerRoman"/>
      <w:lvlText w:val="%9."/>
      <w:lvlJc w:val="right"/>
      <w:pPr>
        <w:tabs>
          <w:tab w:val="num" w:pos="6960"/>
        </w:tabs>
        <w:ind w:left="6960" w:hanging="180"/>
      </w:pPr>
    </w:lvl>
  </w:abstractNum>
  <w:abstractNum w:abstractNumId="1">
    <w:nsid w:val="070741A2"/>
    <w:multiLevelType w:val="hybridMultilevel"/>
    <w:tmpl w:val="699A9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4861A1"/>
    <w:multiLevelType w:val="hybridMultilevel"/>
    <w:tmpl w:val="80746E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AD711B3"/>
    <w:multiLevelType w:val="singleLevel"/>
    <w:tmpl w:val="79008246"/>
    <w:lvl w:ilvl="0">
      <w:start w:val="1"/>
      <w:numFmt w:val="upperLetter"/>
      <w:lvlText w:val="%1."/>
      <w:lvlJc w:val="left"/>
      <w:pPr>
        <w:tabs>
          <w:tab w:val="num" w:pos="720"/>
        </w:tabs>
        <w:ind w:left="720" w:hanging="720"/>
      </w:pPr>
      <w:rPr>
        <w:rFonts w:hint="default"/>
      </w:rPr>
    </w:lvl>
  </w:abstractNum>
  <w:abstractNum w:abstractNumId="4">
    <w:nsid w:val="0CCE70F1"/>
    <w:multiLevelType w:val="hybridMultilevel"/>
    <w:tmpl w:val="24BE169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0D423E13"/>
    <w:multiLevelType w:val="hybridMultilevel"/>
    <w:tmpl w:val="298AD7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63C2E55"/>
    <w:multiLevelType w:val="singleLevel"/>
    <w:tmpl w:val="284A1CC4"/>
    <w:lvl w:ilvl="0">
      <w:start w:val="1"/>
      <w:numFmt w:val="decimal"/>
      <w:lvlText w:val="%1."/>
      <w:lvlJc w:val="left"/>
      <w:pPr>
        <w:tabs>
          <w:tab w:val="num" w:pos="480"/>
        </w:tabs>
        <w:ind w:left="480" w:hanging="480"/>
      </w:pPr>
      <w:rPr>
        <w:rFonts w:hint="default"/>
        <w:u w:val="none"/>
      </w:rPr>
    </w:lvl>
  </w:abstractNum>
  <w:abstractNum w:abstractNumId="7">
    <w:nsid w:val="1A0D19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A804DC5"/>
    <w:multiLevelType w:val="hybridMultilevel"/>
    <w:tmpl w:val="8CE47A98"/>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B247553"/>
    <w:multiLevelType w:val="hybridMultilevel"/>
    <w:tmpl w:val="47FA9F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11">
    <w:nsid w:val="1BB8206B"/>
    <w:multiLevelType w:val="hybridMultilevel"/>
    <w:tmpl w:val="A3D22AFA"/>
    <w:lvl w:ilvl="0">
      <w:start w:val="17"/>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C337A68"/>
    <w:multiLevelType w:val="singleLevel"/>
    <w:tmpl w:val="0409000F"/>
    <w:lvl w:ilvl="0">
      <w:start w:val="1"/>
      <w:numFmt w:val="decimal"/>
      <w:lvlText w:val="%1."/>
      <w:lvlJc w:val="left"/>
      <w:pPr>
        <w:tabs>
          <w:tab w:val="num" w:pos="360"/>
        </w:tabs>
        <w:ind w:left="360" w:hanging="360"/>
      </w:pPr>
    </w:lvl>
  </w:abstractNum>
  <w:abstractNum w:abstractNumId="13">
    <w:nsid w:val="1ECE6C43"/>
    <w:multiLevelType w:val="hybridMultilevel"/>
    <w:tmpl w:val="18666F70"/>
    <w:lvl w:ilvl="0">
      <w:start w:val="1"/>
      <w:numFmt w:val="decimal"/>
      <w:lvlText w:val="%1)"/>
      <w:lvlJc w:val="left"/>
      <w:pPr>
        <w:tabs>
          <w:tab w:val="num" w:pos="840"/>
        </w:tabs>
        <w:ind w:left="840" w:hanging="360"/>
      </w:pPr>
      <w:rPr>
        <w:rFonts w:hint="default"/>
      </w:rPr>
    </w:lvl>
    <w:lvl w:ilvl="1" w:tentative="1">
      <w:start w:val="1"/>
      <w:numFmt w:val="bullet"/>
      <w:lvlText w:val="o"/>
      <w:lvlJc w:val="left"/>
      <w:pPr>
        <w:tabs>
          <w:tab w:val="num" w:pos="1920"/>
        </w:tabs>
        <w:ind w:left="1920" w:hanging="360"/>
      </w:pPr>
      <w:rPr>
        <w:rFonts w:ascii="Courier New" w:hAnsi="Courier New" w:cs="Courier New" w:hint="default"/>
      </w:rPr>
    </w:lvl>
    <w:lvl w:ilvl="2" w:tentative="1">
      <w:start w:val="1"/>
      <w:numFmt w:val="bullet"/>
      <w:lvlText w:val=""/>
      <w:lvlJc w:val="left"/>
      <w:pPr>
        <w:tabs>
          <w:tab w:val="num" w:pos="2640"/>
        </w:tabs>
        <w:ind w:left="2640" w:hanging="360"/>
      </w:pPr>
      <w:rPr>
        <w:rFonts w:ascii="Wingdings" w:hAnsi="Wingdings" w:hint="default"/>
      </w:rPr>
    </w:lvl>
    <w:lvl w:ilvl="3" w:tentative="1">
      <w:start w:val="1"/>
      <w:numFmt w:val="bullet"/>
      <w:lvlText w:val=""/>
      <w:lvlJc w:val="left"/>
      <w:pPr>
        <w:tabs>
          <w:tab w:val="num" w:pos="3360"/>
        </w:tabs>
        <w:ind w:left="3360" w:hanging="360"/>
      </w:pPr>
      <w:rPr>
        <w:rFonts w:ascii="Symbol" w:hAnsi="Symbol" w:hint="default"/>
      </w:rPr>
    </w:lvl>
    <w:lvl w:ilvl="4" w:tentative="1">
      <w:start w:val="1"/>
      <w:numFmt w:val="bullet"/>
      <w:lvlText w:val="o"/>
      <w:lvlJc w:val="left"/>
      <w:pPr>
        <w:tabs>
          <w:tab w:val="num" w:pos="4080"/>
        </w:tabs>
        <w:ind w:left="4080" w:hanging="360"/>
      </w:pPr>
      <w:rPr>
        <w:rFonts w:ascii="Courier New" w:hAnsi="Courier New" w:cs="Courier New" w:hint="default"/>
      </w:rPr>
    </w:lvl>
    <w:lvl w:ilvl="5" w:tentative="1">
      <w:start w:val="1"/>
      <w:numFmt w:val="bullet"/>
      <w:lvlText w:val=""/>
      <w:lvlJc w:val="left"/>
      <w:pPr>
        <w:tabs>
          <w:tab w:val="num" w:pos="4800"/>
        </w:tabs>
        <w:ind w:left="4800" w:hanging="360"/>
      </w:pPr>
      <w:rPr>
        <w:rFonts w:ascii="Wingdings" w:hAnsi="Wingdings" w:hint="default"/>
      </w:rPr>
    </w:lvl>
    <w:lvl w:ilvl="6" w:tentative="1">
      <w:start w:val="1"/>
      <w:numFmt w:val="bullet"/>
      <w:lvlText w:val=""/>
      <w:lvlJc w:val="left"/>
      <w:pPr>
        <w:tabs>
          <w:tab w:val="num" w:pos="5520"/>
        </w:tabs>
        <w:ind w:left="5520" w:hanging="360"/>
      </w:pPr>
      <w:rPr>
        <w:rFonts w:ascii="Symbol" w:hAnsi="Symbol" w:hint="default"/>
      </w:rPr>
    </w:lvl>
    <w:lvl w:ilvl="7" w:tentative="1">
      <w:start w:val="1"/>
      <w:numFmt w:val="bullet"/>
      <w:lvlText w:val="o"/>
      <w:lvlJc w:val="left"/>
      <w:pPr>
        <w:tabs>
          <w:tab w:val="num" w:pos="6240"/>
        </w:tabs>
        <w:ind w:left="6240" w:hanging="360"/>
      </w:pPr>
      <w:rPr>
        <w:rFonts w:ascii="Courier New" w:hAnsi="Courier New" w:cs="Courier New" w:hint="default"/>
      </w:rPr>
    </w:lvl>
    <w:lvl w:ilvl="8" w:tentative="1">
      <w:start w:val="1"/>
      <w:numFmt w:val="bullet"/>
      <w:lvlText w:val=""/>
      <w:lvlJc w:val="left"/>
      <w:pPr>
        <w:tabs>
          <w:tab w:val="num" w:pos="6960"/>
        </w:tabs>
        <w:ind w:left="6960" w:hanging="360"/>
      </w:pPr>
      <w:rPr>
        <w:rFonts w:ascii="Wingdings" w:hAnsi="Wingdings" w:hint="default"/>
      </w:rPr>
    </w:lvl>
  </w:abstractNum>
  <w:abstractNum w:abstractNumId="14">
    <w:nsid w:val="20AE7028"/>
    <w:multiLevelType w:val="singleLevel"/>
    <w:tmpl w:val="DC8EC006"/>
    <w:lvl w:ilvl="0">
      <w:start w:val="12"/>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5">
    <w:nsid w:val="21630EF6"/>
    <w:multiLevelType w:val="singleLevel"/>
    <w:tmpl w:val="284A1CC4"/>
    <w:lvl w:ilvl="0">
      <w:start w:val="17"/>
      <w:numFmt w:val="decimal"/>
      <w:lvlText w:val="%1."/>
      <w:lvlJc w:val="left"/>
      <w:pPr>
        <w:tabs>
          <w:tab w:val="num" w:pos="480"/>
        </w:tabs>
        <w:ind w:left="480" w:hanging="480"/>
      </w:pPr>
      <w:rPr>
        <w:rFonts w:hint="default"/>
      </w:rPr>
    </w:lvl>
  </w:abstractNum>
  <w:abstractNum w:abstractNumId="16">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17">
    <w:nsid w:val="243114B6"/>
    <w:multiLevelType w:val="hybridMultilevel"/>
    <w:tmpl w:val="0B68DB82"/>
    <w:lvl w:ilvl="0">
      <w:start w:val="1"/>
      <w:numFmt w:val="decimal"/>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8">
    <w:nsid w:val="24A579BD"/>
    <w:multiLevelType w:val="singleLevel"/>
    <w:tmpl w:val="4F42F6E6"/>
    <w:lvl w:ilvl="0">
      <w:start w:val="18"/>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9">
    <w:nsid w:val="250E3660"/>
    <w:multiLevelType w:val="hybridMultilevel"/>
    <w:tmpl w:val="6290C136"/>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0">
    <w:nsid w:val="28132369"/>
    <w:multiLevelType w:val="hybridMultilevel"/>
    <w:tmpl w:val="7BE8E78E"/>
    <w:lvl w:ilvl="0">
      <w:start w:val="9"/>
      <w:numFmt w:val="decimal"/>
      <w:lvlText w:val="%1."/>
      <w:lvlJc w:val="left"/>
      <w:pPr>
        <w:tabs>
          <w:tab w:val="num" w:pos="1335"/>
        </w:tabs>
        <w:ind w:left="1335"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D025DA2"/>
    <w:multiLevelType w:val="hybridMultilevel"/>
    <w:tmpl w:val="8FD8E7D4"/>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2F8D61B2"/>
    <w:multiLevelType w:val="hybridMultilevel"/>
    <w:tmpl w:val="08005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016740B"/>
    <w:multiLevelType w:val="hybridMultilevel"/>
    <w:tmpl w:val="56EE6406"/>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0B5456B"/>
    <w:multiLevelType w:val="hybridMultilevel"/>
    <w:tmpl w:val="9EF0C9EE"/>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1763B42"/>
    <w:multiLevelType w:val="hybridMultilevel"/>
    <w:tmpl w:val="3F0C16D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nsid w:val="326214EB"/>
    <w:multiLevelType w:val="hybridMultilevel"/>
    <w:tmpl w:val="611A97A4"/>
    <w:lvl w:ilvl="0">
      <w:start w:val="15"/>
      <w:numFmt w:val="decimal"/>
      <w:lvlText w:val="%1."/>
      <w:lvlJc w:val="left"/>
      <w:pPr>
        <w:ind w:left="450" w:hanging="360"/>
      </w:pPr>
      <w:rPr>
        <w:rFonts w:hint="default"/>
        <w:b w:val="0"/>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7">
    <w:nsid w:val="326F0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351E0509"/>
    <w:multiLevelType w:val="singleLevel"/>
    <w:tmpl w:val="0409000F"/>
    <w:lvl w:ilvl="0">
      <w:start w:val="1"/>
      <w:numFmt w:val="decimal"/>
      <w:lvlText w:val="%1."/>
      <w:lvlJc w:val="left"/>
      <w:pPr>
        <w:tabs>
          <w:tab w:val="num" w:pos="360"/>
        </w:tabs>
        <w:ind w:left="360" w:hanging="360"/>
      </w:pPr>
    </w:lvl>
  </w:abstractNum>
  <w:abstractNum w:abstractNumId="29">
    <w:nsid w:val="35C037AA"/>
    <w:multiLevelType w:val="hybridMultilevel"/>
    <w:tmpl w:val="75C46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C6660A4"/>
    <w:multiLevelType w:val="hybridMultilevel"/>
    <w:tmpl w:val="FDB8137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DD855AD"/>
    <w:multiLevelType w:val="hybridMultilevel"/>
    <w:tmpl w:val="1F30F644"/>
    <w:lvl w:ilvl="0">
      <w:start w:val="1"/>
      <w:numFmt w:val="bullet"/>
      <w:lvlText w:val=""/>
      <w:lvlJc w:val="left"/>
      <w:pPr>
        <w:tabs>
          <w:tab w:val="num" w:pos="1200"/>
        </w:tabs>
        <w:ind w:left="1200" w:hanging="360"/>
      </w:pPr>
      <w:rPr>
        <w:rFonts w:ascii="Symbol" w:hAnsi="Symbol" w:hint="default"/>
      </w:rPr>
    </w:lvl>
    <w:lvl w:ilvl="1" w:tentative="1">
      <w:start w:val="1"/>
      <w:numFmt w:val="bullet"/>
      <w:lvlText w:val="o"/>
      <w:lvlJc w:val="left"/>
      <w:pPr>
        <w:tabs>
          <w:tab w:val="num" w:pos="1920"/>
        </w:tabs>
        <w:ind w:left="1920" w:hanging="360"/>
      </w:pPr>
      <w:rPr>
        <w:rFonts w:ascii="Courier New" w:hAnsi="Courier New" w:cs="Courier New" w:hint="default"/>
      </w:rPr>
    </w:lvl>
    <w:lvl w:ilvl="2" w:tentative="1">
      <w:start w:val="1"/>
      <w:numFmt w:val="bullet"/>
      <w:lvlText w:val=""/>
      <w:lvlJc w:val="left"/>
      <w:pPr>
        <w:tabs>
          <w:tab w:val="num" w:pos="2640"/>
        </w:tabs>
        <w:ind w:left="2640" w:hanging="360"/>
      </w:pPr>
      <w:rPr>
        <w:rFonts w:ascii="Wingdings" w:hAnsi="Wingdings" w:hint="default"/>
      </w:rPr>
    </w:lvl>
    <w:lvl w:ilvl="3" w:tentative="1">
      <w:start w:val="1"/>
      <w:numFmt w:val="bullet"/>
      <w:lvlText w:val=""/>
      <w:lvlJc w:val="left"/>
      <w:pPr>
        <w:tabs>
          <w:tab w:val="num" w:pos="3360"/>
        </w:tabs>
        <w:ind w:left="3360" w:hanging="360"/>
      </w:pPr>
      <w:rPr>
        <w:rFonts w:ascii="Symbol" w:hAnsi="Symbol" w:hint="default"/>
      </w:rPr>
    </w:lvl>
    <w:lvl w:ilvl="4" w:tentative="1">
      <w:start w:val="1"/>
      <w:numFmt w:val="bullet"/>
      <w:lvlText w:val="o"/>
      <w:lvlJc w:val="left"/>
      <w:pPr>
        <w:tabs>
          <w:tab w:val="num" w:pos="4080"/>
        </w:tabs>
        <w:ind w:left="4080" w:hanging="360"/>
      </w:pPr>
      <w:rPr>
        <w:rFonts w:ascii="Courier New" w:hAnsi="Courier New" w:cs="Courier New" w:hint="default"/>
      </w:rPr>
    </w:lvl>
    <w:lvl w:ilvl="5" w:tentative="1">
      <w:start w:val="1"/>
      <w:numFmt w:val="bullet"/>
      <w:lvlText w:val=""/>
      <w:lvlJc w:val="left"/>
      <w:pPr>
        <w:tabs>
          <w:tab w:val="num" w:pos="4800"/>
        </w:tabs>
        <w:ind w:left="4800" w:hanging="360"/>
      </w:pPr>
      <w:rPr>
        <w:rFonts w:ascii="Wingdings" w:hAnsi="Wingdings" w:hint="default"/>
      </w:rPr>
    </w:lvl>
    <w:lvl w:ilvl="6" w:tentative="1">
      <w:start w:val="1"/>
      <w:numFmt w:val="bullet"/>
      <w:lvlText w:val=""/>
      <w:lvlJc w:val="left"/>
      <w:pPr>
        <w:tabs>
          <w:tab w:val="num" w:pos="5520"/>
        </w:tabs>
        <w:ind w:left="5520" w:hanging="360"/>
      </w:pPr>
      <w:rPr>
        <w:rFonts w:ascii="Symbol" w:hAnsi="Symbol" w:hint="default"/>
      </w:rPr>
    </w:lvl>
    <w:lvl w:ilvl="7" w:tentative="1">
      <w:start w:val="1"/>
      <w:numFmt w:val="bullet"/>
      <w:lvlText w:val="o"/>
      <w:lvlJc w:val="left"/>
      <w:pPr>
        <w:tabs>
          <w:tab w:val="num" w:pos="6240"/>
        </w:tabs>
        <w:ind w:left="6240" w:hanging="360"/>
      </w:pPr>
      <w:rPr>
        <w:rFonts w:ascii="Courier New" w:hAnsi="Courier New" w:cs="Courier New" w:hint="default"/>
      </w:rPr>
    </w:lvl>
    <w:lvl w:ilvl="8" w:tentative="1">
      <w:start w:val="1"/>
      <w:numFmt w:val="bullet"/>
      <w:lvlText w:val=""/>
      <w:lvlJc w:val="left"/>
      <w:pPr>
        <w:tabs>
          <w:tab w:val="num" w:pos="6960"/>
        </w:tabs>
        <w:ind w:left="6960" w:hanging="360"/>
      </w:pPr>
      <w:rPr>
        <w:rFonts w:ascii="Wingdings" w:hAnsi="Wingdings" w:hint="default"/>
      </w:rPr>
    </w:lvl>
  </w:abstractNum>
  <w:abstractNum w:abstractNumId="32">
    <w:nsid w:val="418D074F"/>
    <w:multiLevelType w:val="singleLevel"/>
    <w:tmpl w:val="969C5AF4"/>
    <w:lvl w:ilvl="0">
      <w:start w:val="15"/>
      <w:numFmt w:val="none"/>
      <w:lvlText w:val="15"/>
      <w:lvlJc w:val="left"/>
      <w:pPr>
        <w:tabs>
          <w:tab w:val="num" w:pos="450"/>
        </w:tabs>
        <w:ind w:left="450" w:hanging="450"/>
      </w:pPr>
      <w:rPr>
        <w:rFonts w:hint="default"/>
      </w:rPr>
    </w:lvl>
  </w:abstractNum>
  <w:abstractNum w:abstractNumId="33">
    <w:nsid w:val="42D92FB1"/>
    <w:multiLevelType w:val="hybridMultilevel"/>
    <w:tmpl w:val="8B804170"/>
    <w:lvl w:ilvl="0">
      <w:start w:val="1"/>
      <w:numFmt w:val="decimal"/>
      <w:lvlText w:val="%1."/>
      <w:lvlJc w:val="left"/>
      <w:pPr>
        <w:tabs>
          <w:tab w:val="num" w:pos="1170"/>
        </w:tabs>
        <w:ind w:left="1170" w:hanging="6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472F0B34"/>
    <w:multiLevelType w:val="hybridMultilevel"/>
    <w:tmpl w:val="D8FAAD5C"/>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4D7A10A6"/>
    <w:multiLevelType w:val="hybridMultilevel"/>
    <w:tmpl w:val="76DE89D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6">
    <w:nsid w:val="4F507306"/>
    <w:multiLevelType w:val="hybridMultilevel"/>
    <w:tmpl w:val="324E44F8"/>
    <w:lvl w:ilvl="0">
      <w:start w:val="1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505F0236"/>
    <w:multiLevelType w:val="singleLevel"/>
    <w:tmpl w:val="DCCE8A9E"/>
    <w:lvl w:ilvl="0">
      <w:start w:val="8"/>
      <w:numFmt w:val="decimal"/>
      <w:lvlText w:val="%1."/>
      <w:lvlJc w:val="left"/>
      <w:pPr>
        <w:tabs>
          <w:tab w:val="num" w:pos="1616"/>
        </w:tabs>
        <w:ind w:left="1616" w:hanging="435"/>
      </w:pPr>
      <w:rPr>
        <w:rFonts w:hint="default"/>
      </w:rPr>
    </w:lvl>
  </w:abstractNum>
  <w:abstractNum w:abstractNumId="38">
    <w:nsid w:val="51114477"/>
    <w:multiLevelType w:val="hybridMultilevel"/>
    <w:tmpl w:val="B54A6C04"/>
    <w:lvl w:ilvl="0">
      <w:start w:val="15"/>
      <w:numFmt w:val="decimal"/>
      <w:lvlText w:val="%1."/>
      <w:lvlJc w:val="left"/>
      <w:pPr>
        <w:tabs>
          <w:tab w:val="num" w:pos="1821"/>
        </w:tabs>
        <w:ind w:left="1821"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5132311C"/>
    <w:multiLevelType w:val="hybridMultilevel"/>
    <w:tmpl w:val="BFB86966"/>
    <w:lvl w:ilvl="0">
      <w:start w:val="1"/>
      <w:numFmt w:val="decimal"/>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40">
    <w:nsid w:val="540B7BA3"/>
    <w:multiLevelType w:val="hybridMultilevel"/>
    <w:tmpl w:val="E46487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B3841EB"/>
    <w:multiLevelType w:val="hybridMultilevel"/>
    <w:tmpl w:val="42869A7C"/>
    <w:lvl w:ilvl="0">
      <w:start w:val="8"/>
      <w:numFmt w:val="decimal"/>
      <w:lvlText w:val="%1."/>
      <w:lvlJc w:val="left"/>
      <w:pPr>
        <w:tabs>
          <w:tab w:val="num" w:pos="1335"/>
        </w:tabs>
        <w:ind w:left="1335"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5D972B75"/>
    <w:multiLevelType w:val="hybridMultilevel"/>
    <w:tmpl w:val="D01A116E"/>
    <w:lvl w:ilvl="0">
      <w:start w:val="9"/>
      <w:numFmt w:val="decimal"/>
      <w:lvlText w:val="%1."/>
      <w:lvlJc w:val="left"/>
      <w:pPr>
        <w:tabs>
          <w:tab w:val="num" w:pos="1335"/>
        </w:tabs>
        <w:ind w:left="1335"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5F532F57"/>
    <w:multiLevelType w:val="hybridMultilevel"/>
    <w:tmpl w:val="D2B869E4"/>
    <w:lvl w:ilvl="0">
      <w:start w:val="8"/>
      <w:numFmt w:val="decimal"/>
      <w:lvlText w:val="%1."/>
      <w:lvlJc w:val="left"/>
      <w:pPr>
        <w:tabs>
          <w:tab w:val="num" w:pos="2253"/>
        </w:tabs>
        <w:ind w:left="2253"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5">
    <w:nsid w:val="61641699"/>
    <w:multiLevelType w:val="singleLevel"/>
    <w:tmpl w:val="0409000F"/>
    <w:lvl w:ilvl="0">
      <w:start w:val="1"/>
      <w:numFmt w:val="decimal"/>
      <w:lvlText w:val="%1."/>
      <w:lvlJc w:val="left"/>
      <w:pPr>
        <w:tabs>
          <w:tab w:val="num" w:pos="360"/>
        </w:tabs>
        <w:ind w:left="360" w:hanging="360"/>
      </w:pPr>
    </w:lvl>
  </w:abstractNum>
  <w:abstractNum w:abstractNumId="46">
    <w:nsid w:val="6454477B"/>
    <w:multiLevelType w:val="hybridMultilevel"/>
    <w:tmpl w:val="3BC41E56"/>
    <w:lvl w:ilvl="0">
      <w:start w:val="1"/>
      <w:numFmt w:val="decimal"/>
      <w:lvlText w:val="%1."/>
      <w:lvlJc w:val="left"/>
      <w:pPr>
        <w:tabs>
          <w:tab w:val="num" w:pos="216"/>
        </w:tabs>
        <w:ind w:left="216" w:hanging="360"/>
      </w:pPr>
      <w:rPr>
        <w:rFonts w:hint="default"/>
      </w:rPr>
    </w:lvl>
    <w:lvl w:ilvl="1" w:tentative="1">
      <w:start w:val="1"/>
      <w:numFmt w:val="lowerLetter"/>
      <w:lvlText w:val="%2."/>
      <w:lvlJc w:val="left"/>
      <w:pPr>
        <w:tabs>
          <w:tab w:val="num" w:pos="936"/>
        </w:tabs>
        <w:ind w:left="936" w:hanging="360"/>
      </w:pPr>
    </w:lvl>
    <w:lvl w:ilvl="2" w:tentative="1">
      <w:start w:val="1"/>
      <w:numFmt w:val="lowerRoman"/>
      <w:lvlText w:val="%3."/>
      <w:lvlJc w:val="right"/>
      <w:pPr>
        <w:tabs>
          <w:tab w:val="num" w:pos="1656"/>
        </w:tabs>
        <w:ind w:left="1656" w:hanging="180"/>
      </w:pPr>
    </w:lvl>
    <w:lvl w:ilvl="3" w:tentative="1">
      <w:start w:val="1"/>
      <w:numFmt w:val="decimal"/>
      <w:lvlText w:val="%4."/>
      <w:lvlJc w:val="left"/>
      <w:pPr>
        <w:tabs>
          <w:tab w:val="num" w:pos="2376"/>
        </w:tabs>
        <w:ind w:left="2376" w:hanging="360"/>
      </w:pPr>
    </w:lvl>
    <w:lvl w:ilvl="4" w:tentative="1">
      <w:start w:val="1"/>
      <w:numFmt w:val="lowerLetter"/>
      <w:lvlText w:val="%5."/>
      <w:lvlJc w:val="left"/>
      <w:pPr>
        <w:tabs>
          <w:tab w:val="num" w:pos="3096"/>
        </w:tabs>
        <w:ind w:left="3096" w:hanging="360"/>
      </w:pPr>
    </w:lvl>
    <w:lvl w:ilvl="5" w:tentative="1">
      <w:start w:val="1"/>
      <w:numFmt w:val="lowerRoman"/>
      <w:lvlText w:val="%6."/>
      <w:lvlJc w:val="right"/>
      <w:pPr>
        <w:tabs>
          <w:tab w:val="num" w:pos="3816"/>
        </w:tabs>
        <w:ind w:left="3816" w:hanging="180"/>
      </w:pPr>
    </w:lvl>
    <w:lvl w:ilvl="6" w:tentative="1">
      <w:start w:val="1"/>
      <w:numFmt w:val="decimal"/>
      <w:lvlText w:val="%7."/>
      <w:lvlJc w:val="left"/>
      <w:pPr>
        <w:tabs>
          <w:tab w:val="num" w:pos="4536"/>
        </w:tabs>
        <w:ind w:left="4536" w:hanging="360"/>
      </w:pPr>
    </w:lvl>
    <w:lvl w:ilvl="7" w:tentative="1">
      <w:start w:val="1"/>
      <w:numFmt w:val="lowerLetter"/>
      <w:lvlText w:val="%8."/>
      <w:lvlJc w:val="left"/>
      <w:pPr>
        <w:tabs>
          <w:tab w:val="num" w:pos="5256"/>
        </w:tabs>
        <w:ind w:left="5256" w:hanging="360"/>
      </w:pPr>
    </w:lvl>
    <w:lvl w:ilvl="8" w:tentative="1">
      <w:start w:val="1"/>
      <w:numFmt w:val="lowerRoman"/>
      <w:lvlText w:val="%9."/>
      <w:lvlJc w:val="right"/>
      <w:pPr>
        <w:tabs>
          <w:tab w:val="num" w:pos="5976"/>
        </w:tabs>
        <w:ind w:left="5976" w:hanging="180"/>
      </w:pPr>
    </w:lvl>
  </w:abstractNum>
  <w:abstractNum w:abstractNumId="47">
    <w:nsid w:val="678C2395"/>
    <w:multiLevelType w:val="hybridMultilevel"/>
    <w:tmpl w:val="FA4821B8"/>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8">
    <w:nsid w:val="678C3DCB"/>
    <w:multiLevelType w:val="hybridMultilevel"/>
    <w:tmpl w:val="794486E2"/>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A8B2124"/>
    <w:multiLevelType w:val="multilevel"/>
    <w:tmpl w:val="D01A116E"/>
    <w:lvl w:ilvl="0">
      <w:start w:val="9"/>
      <w:numFmt w:val="decimal"/>
      <w:lvlText w:val="%1."/>
      <w:lvlJc w:val="left"/>
      <w:pPr>
        <w:tabs>
          <w:tab w:val="num" w:pos="1335"/>
        </w:tabs>
        <w:ind w:left="133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6B1A0C84"/>
    <w:multiLevelType w:val="singleLevel"/>
    <w:tmpl w:val="D9C02A58"/>
    <w:lvl w:ilvl="0">
      <w:start w:val="1"/>
      <w:numFmt w:val="none"/>
      <w:lvlText w:val="3."/>
      <w:lvlJc w:val="left"/>
      <w:pPr>
        <w:tabs>
          <w:tab w:val="num" w:pos="360"/>
        </w:tabs>
        <w:ind w:left="360" w:hanging="360"/>
      </w:pPr>
    </w:lvl>
  </w:abstractNum>
  <w:abstractNum w:abstractNumId="51">
    <w:nsid w:val="6BF61887"/>
    <w:multiLevelType w:val="hybridMultilevel"/>
    <w:tmpl w:val="7154433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nsid w:val="6F9D2B52"/>
    <w:multiLevelType w:val="singleLevel"/>
    <w:tmpl w:val="C922D49A"/>
    <w:lvl w:ilvl="0">
      <w:start w:val="3"/>
      <w:numFmt w:val="none"/>
      <w:lvlText w:val="3"/>
      <w:lvlJc w:val="left"/>
      <w:pPr>
        <w:tabs>
          <w:tab w:val="num" w:pos="360"/>
        </w:tabs>
        <w:ind w:left="360" w:hanging="360"/>
      </w:pPr>
    </w:lvl>
  </w:abstractNum>
  <w:abstractNum w:abstractNumId="53">
    <w:nsid w:val="717C0196"/>
    <w:multiLevelType w:val="singleLevel"/>
    <w:tmpl w:val="1C24F70C"/>
    <w:lvl w:ilvl="0">
      <w:start w:val="8"/>
      <w:numFmt w:val="decimal"/>
      <w:lvlText w:val="%1."/>
      <w:lvlJc w:val="left"/>
      <w:pPr>
        <w:tabs>
          <w:tab w:val="num" w:pos="1530"/>
        </w:tabs>
        <w:ind w:left="1530" w:hanging="360"/>
      </w:pPr>
      <w:rPr>
        <w:rFonts w:hint="default"/>
      </w:rPr>
    </w:lvl>
  </w:abstractNum>
  <w:abstractNum w:abstractNumId="54">
    <w:nsid w:val="758E0ED4"/>
    <w:multiLevelType w:val="hybridMultilevel"/>
    <w:tmpl w:val="CB78637E"/>
    <w:lvl w:ilvl="0">
      <w:start w:val="1"/>
      <w:numFmt w:val="decimal"/>
      <w:lvlText w:val="%1."/>
      <w:lvlJc w:val="left"/>
      <w:pPr>
        <w:tabs>
          <w:tab w:val="num" w:pos="1170"/>
        </w:tabs>
        <w:ind w:left="1170" w:hanging="69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55">
    <w:nsid w:val="7B8904C0"/>
    <w:multiLevelType w:val="singleLevel"/>
    <w:tmpl w:val="BBCACE62"/>
    <w:lvl w:ilvl="0">
      <w:start w:val="12"/>
      <w:numFmt w:val="decimal"/>
      <w:lvlText w:val="%1."/>
      <w:lvlJc w:val="left"/>
      <w:pPr>
        <w:tabs>
          <w:tab w:val="num" w:pos="480"/>
        </w:tabs>
        <w:ind w:left="480" w:hanging="480"/>
      </w:pPr>
      <w:rPr>
        <w:rFonts w:hint="default"/>
      </w:rPr>
    </w:lvl>
  </w:abstractNum>
  <w:num w:numId="1" w16cid:durableId="396368023">
    <w:abstractNumId w:val="14"/>
  </w:num>
  <w:num w:numId="2" w16cid:durableId="439182581">
    <w:abstractNumId w:val="18"/>
  </w:num>
  <w:num w:numId="3" w16cid:durableId="1072970655">
    <w:abstractNumId w:val="37"/>
  </w:num>
  <w:num w:numId="4" w16cid:durableId="1402293015">
    <w:abstractNumId w:val="15"/>
  </w:num>
  <w:num w:numId="5" w16cid:durableId="461507326">
    <w:abstractNumId w:val="53"/>
  </w:num>
  <w:num w:numId="6" w16cid:durableId="1488860665">
    <w:abstractNumId w:val="6"/>
  </w:num>
  <w:num w:numId="7" w16cid:durableId="1757822676">
    <w:abstractNumId w:val="27"/>
  </w:num>
  <w:num w:numId="8" w16cid:durableId="26638260">
    <w:abstractNumId w:val="55"/>
  </w:num>
  <w:num w:numId="9" w16cid:durableId="1300186845">
    <w:abstractNumId w:val="32"/>
  </w:num>
  <w:num w:numId="10" w16cid:durableId="1009794427">
    <w:abstractNumId w:val="52"/>
  </w:num>
  <w:num w:numId="11" w16cid:durableId="10187020">
    <w:abstractNumId w:val="50"/>
  </w:num>
  <w:num w:numId="12" w16cid:durableId="1940983161">
    <w:abstractNumId w:val="12"/>
  </w:num>
  <w:num w:numId="13" w16cid:durableId="1022248350">
    <w:abstractNumId w:val="28"/>
  </w:num>
  <w:num w:numId="14" w16cid:durableId="1417704288">
    <w:abstractNumId w:val="45"/>
  </w:num>
  <w:num w:numId="15" w16cid:durableId="1014921907">
    <w:abstractNumId w:val="7"/>
  </w:num>
  <w:num w:numId="16" w16cid:durableId="727613278">
    <w:abstractNumId w:val="3"/>
  </w:num>
  <w:num w:numId="17" w16cid:durableId="892817306">
    <w:abstractNumId w:val="11"/>
  </w:num>
  <w:num w:numId="18" w16cid:durableId="792215130">
    <w:abstractNumId w:val="36"/>
  </w:num>
  <w:num w:numId="19" w16cid:durableId="1298148108">
    <w:abstractNumId w:val="42"/>
  </w:num>
  <w:num w:numId="20" w16cid:durableId="828247670">
    <w:abstractNumId w:val="41"/>
  </w:num>
  <w:num w:numId="21" w16cid:durableId="303318372">
    <w:abstractNumId w:val="49"/>
  </w:num>
  <w:num w:numId="22" w16cid:durableId="720521247">
    <w:abstractNumId w:val="20"/>
  </w:num>
  <w:num w:numId="23" w16cid:durableId="605188273">
    <w:abstractNumId w:val="38"/>
  </w:num>
  <w:num w:numId="24" w16cid:durableId="1030297080">
    <w:abstractNumId w:val="43"/>
  </w:num>
  <w:num w:numId="25" w16cid:durableId="2086106751">
    <w:abstractNumId w:val="10"/>
  </w:num>
  <w:num w:numId="26" w16cid:durableId="1876892191">
    <w:abstractNumId w:val="16"/>
  </w:num>
  <w:num w:numId="27" w16cid:durableId="1641182421">
    <w:abstractNumId w:val="4"/>
  </w:num>
  <w:num w:numId="28" w16cid:durableId="1812793855">
    <w:abstractNumId w:val="51"/>
  </w:num>
  <w:num w:numId="29" w16cid:durableId="96760174">
    <w:abstractNumId w:val="2"/>
  </w:num>
  <w:num w:numId="30" w16cid:durableId="492526130">
    <w:abstractNumId w:val="54"/>
  </w:num>
  <w:num w:numId="31" w16cid:durableId="815535536">
    <w:abstractNumId w:val="33"/>
  </w:num>
  <w:num w:numId="32" w16cid:durableId="1388993756">
    <w:abstractNumId w:val="47"/>
  </w:num>
  <w:num w:numId="33" w16cid:durableId="1344013239">
    <w:abstractNumId w:val="21"/>
  </w:num>
  <w:num w:numId="34" w16cid:durableId="595669762">
    <w:abstractNumId w:val="8"/>
  </w:num>
  <w:num w:numId="35" w16cid:durableId="1483304284">
    <w:abstractNumId w:val="31"/>
  </w:num>
  <w:num w:numId="36" w16cid:durableId="1956520537">
    <w:abstractNumId w:val="13"/>
  </w:num>
  <w:num w:numId="37" w16cid:durableId="876238153">
    <w:abstractNumId w:val="34"/>
  </w:num>
  <w:num w:numId="38" w16cid:durableId="1314674298">
    <w:abstractNumId w:val="24"/>
  </w:num>
  <w:num w:numId="39" w16cid:durableId="1913351593">
    <w:abstractNumId w:val="46"/>
  </w:num>
  <w:num w:numId="40" w16cid:durableId="841163514">
    <w:abstractNumId w:val="9"/>
  </w:num>
  <w:num w:numId="41" w16cid:durableId="791825793">
    <w:abstractNumId w:val="0"/>
  </w:num>
  <w:num w:numId="42" w16cid:durableId="6088528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7797514">
    <w:abstractNumId w:val="1"/>
  </w:num>
  <w:num w:numId="44" w16cid:durableId="1741100051">
    <w:abstractNumId w:val="40"/>
  </w:num>
  <w:num w:numId="45" w16cid:durableId="1324968380">
    <w:abstractNumId w:val="19"/>
  </w:num>
  <w:num w:numId="46" w16cid:durableId="457913311">
    <w:abstractNumId w:val="30"/>
  </w:num>
  <w:num w:numId="47" w16cid:durableId="357854124">
    <w:abstractNumId w:val="3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05905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65558546">
    <w:abstractNumId w:val="48"/>
  </w:num>
  <w:num w:numId="50" w16cid:durableId="1683048722">
    <w:abstractNumId w:val="17"/>
  </w:num>
  <w:num w:numId="51" w16cid:durableId="1863206266">
    <w:abstractNumId w:val="25"/>
  </w:num>
  <w:num w:numId="52" w16cid:durableId="173959832">
    <w:abstractNumId w:val="26"/>
  </w:num>
  <w:num w:numId="53" w16cid:durableId="2064676238">
    <w:abstractNumId w:val="39"/>
  </w:num>
  <w:num w:numId="54" w16cid:durableId="1962498132">
    <w:abstractNumId w:val="35"/>
  </w:num>
  <w:num w:numId="55" w16cid:durableId="643390773">
    <w:abstractNumId w:val="35"/>
  </w:num>
  <w:num w:numId="56" w16cid:durableId="1864515999">
    <w:abstractNumId w:val="23"/>
  </w:num>
  <w:num w:numId="57" w16cid:durableId="1209224147">
    <w:abstractNumId w:val="44"/>
  </w:num>
  <w:num w:numId="58" w16cid:durableId="335304417">
    <w:abstractNumId w:val="5"/>
  </w:num>
  <w:num w:numId="59" w16cid:durableId="860440242">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FB"/>
    <w:rsid w:val="00000388"/>
    <w:rsid w:val="000008B5"/>
    <w:rsid w:val="0000379B"/>
    <w:rsid w:val="00004351"/>
    <w:rsid w:val="000044AE"/>
    <w:rsid w:val="00005D23"/>
    <w:rsid w:val="00010526"/>
    <w:rsid w:val="000137E3"/>
    <w:rsid w:val="00014C49"/>
    <w:rsid w:val="0001540E"/>
    <w:rsid w:val="00015D49"/>
    <w:rsid w:val="00017608"/>
    <w:rsid w:val="00017D68"/>
    <w:rsid w:val="00021206"/>
    <w:rsid w:val="00024F80"/>
    <w:rsid w:val="0002657A"/>
    <w:rsid w:val="00027D70"/>
    <w:rsid w:val="00030025"/>
    <w:rsid w:val="0003137C"/>
    <w:rsid w:val="00031FCC"/>
    <w:rsid w:val="000332C6"/>
    <w:rsid w:val="0003584A"/>
    <w:rsid w:val="000358D4"/>
    <w:rsid w:val="00035F53"/>
    <w:rsid w:val="00040C9E"/>
    <w:rsid w:val="00042D62"/>
    <w:rsid w:val="0004428D"/>
    <w:rsid w:val="00045379"/>
    <w:rsid w:val="000460A4"/>
    <w:rsid w:val="00046FF2"/>
    <w:rsid w:val="00050A7C"/>
    <w:rsid w:val="000556E5"/>
    <w:rsid w:val="0005755B"/>
    <w:rsid w:val="00060504"/>
    <w:rsid w:val="0006130E"/>
    <w:rsid w:val="00063CA0"/>
    <w:rsid w:val="00065DDC"/>
    <w:rsid w:val="00066270"/>
    <w:rsid w:val="00067ED0"/>
    <w:rsid w:val="00071349"/>
    <w:rsid w:val="00071E76"/>
    <w:rsid w:val="00072BA3"/>
    <w:rsid w:val="00075E59"/>
    <w:rsid w:val="00077A45"/>
    <w:rsid w:val="00081DB8"/>
    <w:rsid w:val="00084C59"/>
    <w:rsid w:val="00084C77"/>
    <w:rsid w:val="000878C4"/>
    <w:rsid w:val="000904CA"/>
    <w:rsid w:val="000A0A0E"/>
    <w:rsid w:val="000A116F"/>
    <w:rsid w:val="000A1C63"/>
    <w:rsid w:val="000A2CD0"/>
    <w:rsid w:val="000A2EED"/>
    <w:rsid w:val="000A42BB"/>
    <w:rsid w:val="000A461A"/>
    <w:rsid w:val="000A6627"/>
    <w:rsid w:val="000A7237"/>
    <w:rsid w:val="000B1A25"/>
    <w:rsid w:val="000B3A84"/>
    <w:rsid w:val="000B5F4C"/>
    <w:rsid w:val="000B632A"/>
    <w:rsid w:val="000B6E16"/>
    <w:rsid w:val="000C12FA"/>
    <w:rsid w:val="000C207E"/>
    <w:rsid w:val="000C216D"/>
    <w:rsid w:val="000C2F78"/>
    <w:rsid w:val="000C4C7C"/>
    <w:rsid w:val="000C595F"/>
    <w:rsid w:val="000C7852"/>
    <w:rsid w:val="000D1EFD"/>
    <w:rsid w:val="000D2CA2"/>
    <w:rsid w:val="000D3538"/>
    <w:rsid w:val="000D3819"/>
    <w:rsid w:val="000D5D56"/>
    <w:rsid w:val="000E0FED"/>
    <w:rsid w:val="000E1156"/>
    <w:rsid w:val="000E1F23"/>
    <w:rsid w:val="000E329B"/>
    <w:rsid w:val="000E46C3"/>
    <w:rsid w:val="000E488A"/>
    <w:rsid w:val="000E4EFB"/>
    <w:rsid w:val="000E5E37"/>
    <w:rsid w:val="000F2B87"/>
    <w:rsid w:val="000F3F22"/>
    <w:rsid w:val="0010027E"/>
    <w:rsid w:val="0010044E"/>
    <w:rsid w:val="00100B40"/>
    <w:rsid w:val="00101C64"/>
    <w:rsid w:val="00102CB7"/>
    <w:rsid w:val="0010351B"/>
    <w:rsid w:val="001041FE"/>
    <w:rsid w:val="00106C16"/>
    <w:rsid w:val="00111431"/>
    <w:rsid w:val="0011245F"/>
    <w:rsid w:val="00113B2A"/>
    <w:rsid w:val="00114AF0"/>
    <w:rsid w:val="00114C32"/>
    <w:rsid w:val="0012063A"/>
    <w:rsid w:val="001218AB"/>
    <w:rsid w:val="00121DAE"/>
    <w:rsid w:val="001226D4"/>
    <w:rsid w:val="00124118"/>
    <w:rsid w:val="001262BE"/>
    <w:rsid w:val="0012749D"/>
    <w:rsid w:val="001279BE"/>
    <w:rsid w:val="001306E7"/>
    <w:rsid w:val="001309A9"/>
    <w:rsid w:val="00130D0F"/>
    <w:rsid w:val="00131A91"/>
    <w:rsid w:val="00131EF2"/>
    <w:rsid w:val="00132F17"/>
    <w:rsid w:val="00135CF0"/>
    <w:rsid w:val="0013761A"/>
    <w:rsid w:val="0014116F"/>
    <w:rsid w:val="00141C30"/>
    <w:rsid w:val="00141CE6"/>
    <w:rsid w:val="00141D84"/>
    <w:rsid w:val="00141DDD"/>
    <w:rsid w:val="001426B7"/>
    <w:rsid w:val="00142847"/>
    <w:rsid w:val="00143484"/>
    <w:rsid w:val="00143D82"/>
    <w:rsid w:val="00145DF7"/>
    <w:rsid w:val="00146DC6"/>
    <w:rsid w:val="00147160"/>
    <w:rsid w:val="0015292E"/>
    <w:rsid w:val="0015452D"/>
    <w:rsid w:val="00157750"/>
    <w:rsid w:val="00161C98"/>
    <w:rsid w:val="00161E6F"/>
    <w:rsid w:val="00164269"/>
    <w:rsid w:val="00164BE9"/>
    <w:rsid w:val="00167224"/>
    <w:rsid w:val="00174EE8"/>
    <w:rsid w:val="0017508C"/>
    <w:rsid w:val="00175D12"/>
    <w:rsid w:val="00175F43"/>
    <w:rsid w:val="00176182"/>
    <w:rsid w:val="00177A87"/>
    <w:rsid w:val="00177C3C"/>
    <w:rsid w:val="00180FE7"/>
    <w:rsid w:val="0018113E"/>
    <w:rsid w:val="00184535"/>
    <w:rsid w:val="00184D9C"/>
    <w:rsid w:val="00187BFC"/>
    <w:rsid w:val="0019020D"/>
    <w:rsid w:val="00190C4F"/>
    <w:rsid w:val="00191B45"/>
    <w:rsid w:val="001930A9"/>
    <w:rsid w:val="00193FA6"/>
    <w:rsid w:val="0019402E"/>
    <w:rsid w:val="0019444C"/>
    <w:rsid w:val="00194FE3"/>
    <w:rsid w:val="00195BE4"/>
    <w:rsid w:val="001A05FB"/>
    <w:rsid w:val="001A1BBB"/>
    <w:rsid w:val="001A1F71"/>
    <w:rsid w:val="001A32FB"/>
    <w:rsid w:val="001A481D"/>
    <w:rsid w:val="001A509E"/>
    <w:rsid w:val="001A560C"/>
    <w:rsid w:val="001A6179"/>
    <w:rsid w:val="001A6C7A"/>
    <w:rsid w:val="001A6DF5"/>
    <w:rsid w:val="001B1DA1"/>
    <w:rsid w:val="001B217B"/>
    <w:rsid w:val="001B2AF0"/>
    <w:rsid w:val="001B4633"/>
    <w:rsid w:val="001B55AF"/>
    <w:rsid w:val="001B5981"/>
    <w:rsid w:val="001B6134"/>
    <w:rsid w:val="001B6A70"/>
    <w:rsid w:val="001B6C2E"/>
    <w:rsid w:val="001B7D60"/>
    <w:rsid w:val="001C20C1"/>
    <w:rsid w:val="001C3BEC"/>
    <w:rsid w:val="001C4EF7"/>
    <w:rsid w:val="001D18BA"/>
    <w:rsid w:val="001D3125"/>
    <w:rsid w:val="001D557B"/>
    <w:rsid w:val="001D5FF2"/>
    <w:rsid w:val="001D6ABA"/>
    <w:rsid w:val="001D7EE0"/>
    <w:rsid w:val="001E0BDB"/>
    <w:rsid w:val="001E0CFE"/>
    <w:rsid w:val="001E183A"/>
    <w:rsid w:val="001E2FEE"/>
    <w:rsid w:val="001E3F1A"/>
    <w:rsid w:val="001E7B52"/>
    <w:rsid w:val="001F309D"/>
    <w:rsid w:val="001F4333"/>
    <w:rsid w:val="001F537D"/>
    <w:rsid w:val="002045BB"/>
    <w:rsid w:val="00206931"/>
    <w:rsid w:val="0021219B"/>
    <w:rsid w:val="0021260F"/>
    <w:rsid w:val="002128BF"/>
    <w:rsid w:val="002129D8"/>
    <w:rsid w:val="00212E79"/>
    <w:rsid w:val="00213C16"/>
    <w:rsid w:val="0021510F"/>
    <w:rsid w:val="0021559C"/>
    <w:rsid w:val="002200BE"/>
    <w:rsid w:val="0022240D"/>
    <w:rsid w:val="00222B10"/>
    <w:rsid w:val="00223241"/>
    <w:rsid w:val="00223942"/>
    <w:rsid w:val="00223CC5"/>
    <w:rsid w:val="002243AF"/>
    <w:rsid w:val="00224724"/>
    <w:rsid w:val="00225901"/>
    <w:rsid w:val="00227421"/>
    <w:rsid w:val="00227F0F"/>
    <w:rsid w:val="002305EC"/>
    <w:rsid w:val="00230C54"/>
    <w:rsid w:val="00231D4C"/>
    <w:rsid w:val="002329E7"/>
    <w:rsid w:val="0023352D"/>
    <w:rsid w:val="002341AD"/>
    <w:rsid w:val="00235385"/>
    <w:rsid w:val="00236B8B"/>
    <w:rsid w:val="00237C5D"/>
    <w:rsid w:val="00240053"/>
    <w:rsid w:val="00241013"/>
    <w:rsid w:val="00241059"/>
    <w:rsid w:val="00241D58"/>
    <w:rsid w:val="0024461E"/>
    <w:rsid w:val="002502B2"/>
    <w:rsid w:val="0025102E"/>
    <w:rsid w:val="00251C7B"/>
    <w:rsid w:val="0025288C"/>
    <w:rsid w:val="00253A90"/>
    <w:rsid w:val="00255CCF"/>
    <w:rsid w:val="00256B9F"/>
    <w:rsid w:val="00257D23"/>
    <w:rsid w:val="00257E12"/>
    <w:rsid w:val="0026180D"/>
    <w:rsid w:val="00261C1A"/>
    <w:rsid w:val="00263874"/>
    <w:rsid w:val="00263BC5"/>
    <w:rsid w:val="00266B01"/>
    <w:rsid w:val="00271767"/>
    <w:rsid w:val="00271C7A"/>
    <w:rsid w:val="002721D3"/>
    <w:rsid w:val="00273892"/>
    <w:rsid w:val="00277C02"/>
    <w:rsid w:val="0028518E"/>
    <w:rsid w:val="00285302"/>
    <w:rsid w:val="002854C4"/>
    <w:rsid w:val="002858B7"/>
    <w:rsid w:val="00285E4E"/>
    <w:rsid w:val="00286174"/>
    <w:rsid w:val="002863FB"/>
    <w:rsid w:val="002866EB"/>
    <w:rsid w:val="00287C57"/>
    <w:rsid w:val="002920F5"/>
    <w:rsid w:val="00293590"/>
    <w:rsid w:val="00294116"/>
    <w:rsid w:val="002951D6"/>
    <w:rsid w:val="00295B82"/>
    <w:rsid w:val="002A03CF"/>
    <w:rsid w:val="002A0B99"/>
    <w:rsid w:val="002A17A6"/>
    <w:rsid w:val="002A3CB6"/>
    <w:rsid w:val="002A5A87"/>
    <w:rsid w:val="002A5F72"/>
    <w:rsid w:val="002A624D"/>
    <w:rsid w:val="002A6280"/>
    <w:rsid w:val="002A7031"/>
    <w:rsid w:val="002A70E6"/>
    <w:rsid w:val="002A7FD3"/>
    <w:rsid w:val="002B1873"/>
    <w:rsid w:val="002B433E"/>
    <w:rsid w:val="002B7C7E"/>
    <w:rsid w:val="002C0787"/>
    <w:rsid w:val="002C0D7B"/>
    <w:rsid w:val="002C264E"/>
    <w:rsid w:val="002C27EA"/>
    <w:rsid w:val="002C2DE5"/>
    <w:rsid w:val="002C54E4"/>
    <w:rsid w:val="002C612F"/>
    <w:rsid w:val="002C65B2"/>
    <w:rsid w:val="002C6DD7"/>
    <w:rsid w:val="002D1154"/>
    <w:rsid w:val="002D145D"/>
    <w:rsid w:val="002D1619"/>
    <w:rsid w:val="002D2724"/>
    <w:rsid w:val="002D297C"/>
    <w:rsid w:val="002D29FC"/>
    <w:rsid w:val="002D2A21"/>
    <w:rsid w:val="002D2A99"/>
    <w:rsid w:val="002D31C8"/>
    <w:rsid w:val="002D486C"/>
    <w:rsid w:val="002D73BE"/>
    <w:rsid w:val="002E1361"/>
    <w:rsid w:val="002E1E8F"/>
    <w:rsid w:val="002E2480"/>
    <w:rsid w:val="002E4B21"/>
    <w:rsid w:val="002F1960"/>
    <w:rsid w:val="002F1A9C"/>
    <w:rsid w:val="002F1E23"/>
    <w:rsid w:val="002F502F"/>
    <w:rsid w:val="002F59EF"/>
    <w:rsid w:val="002F61C1"/>
    <w:rsid w:val="002F7E84"/>
    <w:rsid w:val="00302B48"/>
    <w:rsid w:val="003044E9"/>
    <w:rsid w:val="00304AD2"/>
    <w:rsid w:val="00306184"/>
    <w:rsid w:val="003103A5"/>
    <w:rsid w:val="0032054D"/>
    <w:rsid w:val="00321E79"/>
    <w:rsid w:val="003227ED"/>
    <w:rsid w:val="00323B4B"/>
    <w:rsid w:val="00325AAD"/>
    <w:rsid w:val="003266A0"/>
    <w:rsid w:val="0032753D"/>
    <w:rsid w:val="00334156"/>
    <w:rsid w:val="0033578F"/>
    <w:rsid w:val="00335EEA"/>
    <w:rsid w:val="0033757E"/>
    <w:rsid w:val="00340351"/>
    <w:rsid w:val="00341886"/>
    <w:rsid w:val="00344FF4"/>
    <w:rsid w:val="003463E3"/>
    <w:rsid w:val="00347119"/>
    <w:rsid w:val="003479FC"/>
    <w:rsid w:val="00350CD2"/>
    <w:rsid w:val="003537F4"/>
    <w:rsid w:val="003547C2"/>
    <w:rsid w:val="00355D05"/>
    <w:rsid w:val="003565CA"/>
    <w:rsid w:val="00356F08"/>
    <w:rsid w:val="0036199A"/>
    <w:rsid w:val="00362610"/>
    <w:rsid w:val="003645F5"/>
    <w:rsid w:val="00366AA6"/>
    <w:rsid w:val="00367B8F"/>
    <w:rsid w:val="00367C62"/>
    <w:rsid w:val="0037051A"/>
    <w:rsid w:val="003708C7"/>
    <w:rsid w:val="0037174B"/>
    <w:rsid w:val="00371BD6"/>
    <w:rsid w:val="00372065"/>
    <w:rsid w:val="003733A4"/>
    <w:rsid w:val="003744DB"/>
    <w:rsid w:val="00376086"/>
    <w:rsid w:val="00376275"/>
    <w:rsid w:val="0037650B"/>
    <w:rsid w:val="003817C3"/>
    <w:rsid w:val="00385FC9"/>
    <w:rsid w:val="00391FDD"/>
    <w:rsid w:val="00394BD7"/>
    <w:rsid w:val="00394CD3"/>
    <w:rsid w:val="003967FA"/>
    <w:rsid w:val="003A331B"/>
    <w:rsid w:val="003A4DFA"/>
    <w:rsid w:val="003B0735"/>
    <w:rsid w:val="003B1A6E"/>
    <w:rsid w:val="003B3E9A"/>
    <w:rsid w:val="003B733C"/>
    <w:rsid w:val="003C2E7E"/>
    <w:rsid w:val="003C49C6"/>
    <w:rsid w:val="003C5124"/>
    <w:rsid w:val="003D2223"/>
    <w:rsid w:val="003D2701"/>
    <w:rsid w:val="003D355A"/>
    <w:rsid w:val="003D4EEA"/>
    <w:rsid w:val="003D77D0"/>
    <w:rsid w:val="003E2CF1"/>
    <w:rsid w:val="003E3C21"/>
    <w:rsid w:val="003E3FD2"/>
    <w:rsid w:val="003E7639"/>
    <w:rsid w:val="003E7B2F"/>
    <w:rsid w:val="003E7D9F"/>
    <w:rsid w:val="003F0D4B"/>
    <w:rsid w:val="003F0EC1"/>
    <w:rsid w:val="003F133B"/>
    <w:rsid w:val="003F3773"/>
    <w:rsid w:val="003F3FE0"/>
    <w:rsid w:val="003F60DD"/>
    <w:rsid w:val="003F7588"/>
    <w:rsid w:val="00400DB5"/>
    <w:rsid w:val="0040520D"/>
    <w:rsid w:val="00405B2A"/>
    <w:rsid w:val="00406BA9"/>
    <w:rsid w:val="00411D3C"/>
    <w:rsid w:val="00411F2A"/>
    <w:rsid w:val="0041220B"/>
    <w:rsid w:val="004129E1"/>
    <w:rsid w:val="00413F89"/>
    <w:rsid w:val="00416915"/>
    <w:rsid w:val="004224A1"/>
    <w:rsid w:val="004234F4"/>
    <w:rsid w:val="004235FD"/>
    <w:rsid w:val="00423D91"/>
    <w:rsid w:val="00425266"/>
    <w:rsid w:val="0042539F"/>
    <w:rsid w:val="004253BD"/>
    <w:rsid w:val="00426B9C"/>
    <w:rsid w:val="00430C87"/>
    <w:rsid w:val="00431338"/>
    <w:rsid w:val="00431FB5"/>
    <w:rsid w:val="00433DAD"/>
    <w:rsid w:val="00435386"/>
    <w:rsid w:val="00435732"/>
    <w:rsid w:val="00436B9C"/>
    <w:rsid w:val="004376C8"/>
    <w:rsid w:val="00442CFD"/>
    <w:rsid w:val="004430C3"/>
    <w:rsid w:val="0044436B"/>
    <w:rsid w:val="00444844"/>
    <w:rsid w:val="00447A2B"/>
    <w:rsid w:val="0045027D"/>
    <w:rsid w:val="00450788"/>
    <w:rsid w:val="004519E0"/>
    <w:rsid w:val="00461C7F"/>
    <w:rsid w:val="00461CA4"/>
    <w:rsid w:val="00462B67"/>
    <w:rsid w:val="00464DBE"/>
    <w:rsid w:val="00466BA0"/>
    <w:rsid w:val="00470432"/>
    <w:rsid w:val="00470C13"/>
    <w:rsid w:val="00474884"/>
    <w:rsid w:val="004750B8"/>
    <w:rsid w:val="004750C6"/>
    <w:rsid w:val="00475B5E"/>
    <w:rsid w:val="00475CD3"/>
    <w:rsid w:val="00482DCA"/>
    <w:rsid w:val="00483A1C"/>
    <w:rsid w:val="00485008"/>
    <w:rsid w:val="00485BF2"/>
    <w:rsid w:val="00485D5C"/>
    <w:rsid w:val="004864DA"/>
    <w:rsid w:val="00486E0C"/>
    <w:rsid w:val="00486FF3"/>
    <w:rsid w:val="00487CFF"/>
    <w:rsid w:val="004915F9"/>
    <w:rsid w:val="00491B3E"/>
    <w:rsid w:val="004922BC"/>
    <w:rsid w:val="00492F39"/>
    <w:rsid w:val="00494AA0"/>
    <w:rsid w:val="00495A44"/>
    <w:rsid w:val="00496C3B"/>
    <w:rsid w:val="004A0D6E"/>
    <w:rsid w:val="004A1543"/>
    <w:rsid w:val="004A160F"/>
    <w:rsid w:val="004A1DD4"/>
    <w:rsid w:val="004A23E4"/>
    <w:rsid w:val="004A5140"/>
    <w:rsid w:val="004A651E"/>
    <w:rsid w:val="004A73C4"/>
    <w:rsid w:val="004B0AD3"/>
    <w:rsid w:val="004B5A86"/>
    <w:rsid w:val="004C0A09"/>
    <w:rsid w:val="004C3B76"/>
    <w:rsid w:val="004D19F1"/>
    <w:rsid w:val="004D283E"/>
    <w:rsid w:val="004E1442"/>
    <w:rsid w:val="004E6C3F"/>
    <w:rsid w:val="004E6C9F"/>
    <w:rsid w:val="004E7E51"/>
    <w:rsid w:val="004F4BE2"/>
    <w:rsid w:val="004F5124"/>
    <w:rsid w:val="004F619A"/>
    <w:rsid w:val="004F689C"/>
    <w:rsid w:val="004F68DF"/>
    <w:rsid w:val="004F68F5"/>
    <w:rsid w:val="00500578"/>
    <w:rsid w:val="00500C28"/>
    <w:rsid w:val="005013F8"/>
    <w:rsid w:val="005043DC"/>
    <w:rsid w:val="005054E4"/>
    <w:rsid w:val="00506183"/>
    <w:rsid w:val="00506482"/>
    <w:rsid w:val="005079BB"/>
    <w:rsid w:val="005117A9"/>
    <w:rsid w:val="00513899"/>
    <w:rsid w:val="00514524"/>
    <w:rsid w:val="0051479C"/>
    <w:rsid w:val="00514BD8"/>
    <w:rsid w:val="00516F5D"/>
    <w:rsid w:val="005200B7"/>
    <w:rsid w:val="005217B8"/>
    <w:rsid w:val="00524063"/>
    <w:rsid w:val="005241DA"/>
    <w:rsid w:val="005249D1"/>
    <w:rsid w:val="00530317"/>
    <w:rsid w:val="005318CC"/>
    <w:rsid w:val="005340F9"/>
    <w:rsid w:val="00535657"/>
    <w:rsid w:val="00536B32"/>
    <w:rsid w:val="00537249"/>
    <w:rsid w:val="0054549B"/>
    <w:rsid w:val="005454D4"/>
    <w:rsid w:val="00545598"/>
    <w:rsid w:val="00552F84"/>
    <w:rsid w:val="00556FAD"/>
    <w:rsid w:val="0056329D"/>
    <w:rsid w:val="00566264"/>
    <w:rsid w:val="00566971"/>
    <w:rsid w:val="00567639"/>
    <w:rsid w:val="0057037C"/>
    <w:rsid w:val="00571A4D"/>
    <w:rsid w:val="00571F66"/>
    <w:rsid w:val="005729D6"/>
    <w:rsid w:val="00573EAB"/>
    <w:rsid w:val="00573F8C"/>
    <w:rsid w:val="00575100"/>
    <w:rsid w:val="005758D7"/>
    <w:rsid w:val="00581CEC"/>
    <w:rsid w:val="005859E3"/>
    <w:rsid w:val="00585E44"/>
    <w:rsid w:val="00587464"/>
    <w:rsid w:val="00587C5C"/>
    <w:rsid w:val="005922B6"/>
    <w:rsid w:val="00593419"/>
    <w:rsid w:val="005938B8"/>
    <w:rsid w:val="005945BD"/>
    <w:rsid w:val="00596D8B"/>
    <w:rsid w:val="005A095E"/>
    <w:rsid w:val="005A46BB"/>
    <w:rsid w:val="005B00CA"/>
    <w:rsid w:val="005B0487"/>
    <w:rsid w:val="005B518D"/>
    <w:rsid w:val="005B6A16"/>
    <w:rsid w:val="005B7063"/>
    <w:rsid w:val="005C0E61"/>
    <w:rsid w:val="005C5867"/>
    <w:rsid w:val="005C5961"/>
    <w:rsid w:val="005C69FC"/>
    <w:rsid w:val="005C7C43"/>
    <w:rsid w:val="005D106D"/>
    <w:rsid w:val="005D3CE2"/>
    <w:rsid w:val="005E1776"/>
    <w:rsid w:val="005E2032"/>
    <w:rsid w:val="005E378C"/>
    <w:rsid w:val="005E428D"/>
    <w:rsid w:val="005E4614"/>
    <w:rsid w:val="005F0E53"/>
    <w:rsid w:val="005F10F8"/>
    <w:rsid w:val="005F349E"/>
    <w:rsid w:val="005F397D"/>
    <w:rsid w:val="005F6174"/>
    <w:rsid w:val="005F724F"/>
    <w:rsid w:val="005F76B7"/>
    <w:rsid w:val="00600466"/>
    <w:rsid w:val="00600577"/>
    <w:rsid w:val="006010F6"/>
    <w:rsid w:val="0060704D"/>
    <w:rsid w:val="00610037"/>
    <w:rsid w:val="0061092B"/>
    <w:rsid w:val="0061234B"/>
    <w:rsid w:val="00612E82"/>
    <w:rsid w:val="00613666"/>
    <w:rsid w:val="00614C21"/>
    <w:rsid w:val="006170FC"/>
    <w:rsid w:val="00622A1A"/>
    <w:rsid w:val="00622F60"/>
    <w:rsid w:val="0062396A"/>
    <w:rsid w:val="0062495A"/>
    <w:rsid w:val="00626903"/>
    <w:rsid w:val="00627B59"/>
    <w:rsid w:val="00633ED8"/>
    <w:rsid w:val="00634655"/>
    <w:rsid w:val="00634A1E"/>
    <w:rsid w:val="00634CEE"/>
    <w:rsid w:val="00636757"/>
    <w:rsid w:val="0064258D"/>
    <w:rsid w:val="0064266E"/>
    <w:rsid w:val="006454E0"/>
    <w:rsid w:val="00647710"/>
    <w:rsid w:val="00651C9F"/>
    <w:rsid w:val="00653887"/>
    <w:rsid w:val="006607DD"/>
    <w:rsid w:val="0066089A"/>
    <w:rsid w:val="0066110F"/>
    <w:rsid w:val="00664D7B"/>
    <w:rsid w:val="0066587A"/>
    <w:rsid w:val="0067053B"/>
    <w:rsid w:val="006706FA"/>
    <w:rsid w:val="00671067"/>
    <w:rsid w:val="00671219"/>
    <w:rsid w:val="00673B1B"/>
    <w:rsid w:val="0067614C"/>
    <w:rsid w:val="00681CD0"/>
    <w:rsid w:val="00682FFB"/>
    <w:rsid w:val="0068314D"/>
    <w:rsid w:val="00683274"/>
    <w:rsid w:val="0068474D"/>
    <w:rsid w:val="006850AC"/>
    <w:rsid w:val="006852C1"/>
    <w:rsid w:val="0068660D"/>
    <w:rsid w:val="00696913"/>
    <w:rsid w:val="006A1AEA"/>
    <w:rsid w:val="006A6E0B"/>
    <w:rsid w:val="006A6F11"/>
    <w:rsid w:val="006A7F25"/>
    <w:rsid w:val="006B1B0A"/>
    <w:rsid w:val="006B1E81"/>
    <w:rsid w:val="006B66C3"/>
    <w:rsid w:val="006C05FC"/>
    <w:rsid w:val="006C264B"/>
    <w:rsid w:val="006C31B9"/>
    <w:rsid w:val="006C563C"/>
    <w:rsid w:val="006C6669"/>
    <w:rsid w:val="006D1BB3"/>
    <w:rsid w:val="006D2416"/>
    <w:rsid w:val="006D308A"/>
    <w:rsid w:val="006D53CD"/>
    <w:rsid w:val="006D783A"/>
    <w:rsid w:val="006D7B55"/>
    <w:rsid w:val="006E2CD2"/>
    <w:rsid w:val="006E46EC"/>
    <w:rsid w:val="006E62B9"/>
    <w:rsid w:val="006F167C"/>
    <w:rsid w:val="006F339D"/>
    <w:rsid w:val="006F4286"/>
    <w:rsid w:val="006F7586"/>
    <w:rsid w:val="007007AF"/>
    <w:rsid w:val="00705047"/>
    <w:rsid w:val="00706125"/>
    <w:rsid w:val="00707B51"/>
    <w:rsid w:val="00707FCD"/>
    <w:rsid w:val="00710637"/>
    <w:rsid w:val="007110BC"/>
    <w:rsid w:val="00714F6E"/>
    <w:rsid w:val="007151BC"/>
    <w:rsid w:val="00715284"/>
    <w:rsid w:val="0071628A"/>
    <w:rsid w:val="007162C7"/>
    <w:rsid w:val="00721F32"/>
    <w:rsid w:val="00722147"/>
    <w:rsid w:val="007229F7"/>
    <w:rsid w:val="00722C00"/>
    <w:rsid w:val="00722F16"/>
    <w:rsid w:val="00726D22"/>
    <w:rsid w:val="00732724"/>
    <w:rsid w:val="00732CAB"/>
    <w:rsid w:val="00733DCB"/>
    <w:rsid w:val="00735A19"/>
    <w:rsid w:val="007411DE"/>
    <w:rsid w:val="00741401"/>
    <w:rsid w:val="00741A2D"/>
    <w:rsid w:val="00741F6D"/>
    <w:rsid w:val="00742BAC"/>
    <w:rsid w:val="00746934"/>
    <w:rsid w:val="00747056"/>
    <w:rsid w:val="007475E3"/>
    <w:rsid w:val="00750AFB"/>
    <w:rsid w:val="007520B7"/>
    <w:rsid w:val="007560AD"/>
    <w:rsid w:val="0075796A"/>
    <w:rsid w:val="00757D20"/>
    <w:rsid w:val="00760107"/>
    <w:rsid w:val="00760E85"/>
    <w:rsid w:val="0076284D"/>
    <w:rsid w:val="007638FD"/>
    <w:rsid w:val="00763E85"/>
    <w:rsid w:val="00765DEE"/>
    <w:rsid w:val="00767C32"/>
    <w:rsid w:val="00767FBD"/>
    <w:rsid w:val="00770C55"/>
    <w:rsid w:val="00771429"/>
    <w:rsid w:val="0077258C"/>
    <w:rsid w:val="007753BC"/>
    <w:rsid w:val="00775964"/>
    <w:rsid w:val="00776F03"/>
    <w:rsid w:val="007801DB"/>
    <w:rsid w:val="00780D1B"/>
    <w:rsid w:val="00782571"/>
    <w:rsid w:val="00782BA9"/>
    <w:rsid w:val="0078359E"/>
    <w:rsid w:val="007839D8"/>
    <w:rsid w:val="0078739C"/>
    <w:rsid w:val="0079051B"/>
    <w:rsid w:val="00790746"/>
    <w:rsid w:val="007907B6"/>
    <w:rsid w:val="00791F49"/>
    <w:rsid w:val="0079370D"/>
    <w:rsid w:val="0079655D"/>
    <w:rsid w:val="00797477"/>
    <w:rsid w:val="007977EE"/>
    <w:rsid w:val="007A1D14"/>
    <w:rsid w:val="007A257E"/>
    <w:rsid w:val="007A29E4"/>
    <w:rsid w:val="007A2D7E"/>
    <w:rsid w:val="007A3675"/>
    <w:rsid w:val="007A45A8"/>
    <w:rsid w:val="007A62B8"/>
    <w:rsid w:val="007A662F"/>
    <w:rsid w:val="007B3489"/>
    <w:rsid w:val="007B5361"/>
    <w:rsid w:val="007B7D10"/>
    <w:rsid w:val="007C1915"/>
    <w:rsid w:val="007C3709"/>
    <w:rsid w:val="007C4716"/>
    <w:rsid w:val="007C7177"/>
    <w:rsid w:val="007C7660"/>
    <w:rsid w:val="007D326E"/>
    <w:rsid w:val="007D48AC"/>
    <w:rsid w:val="007D7146"/>
    <w:rsid w:val="007D7423"/>
    <w:rsid w:val="007E0C70"/>
    <w:rsid w:val="007E4015"/>
    <w:rsid w:val="007E5480"/>
    <w:rsid w:val="007E6CDB"/>
    <w:rsid w:val="007E7B13"/>
    <w:rsid w:val="007F0096"/>
    <w:rsid w:val="007F3CD3"/>
    <w:rsid w:val="007F7975"/>
    <w:rsid w:val="008031C1"/>
    <w:rsid w:val="00803914"/>
    <w:rsid w:val="00806D97"/>
    <w:rsid w:val="00811B8A"/>
    <w:rsid w:val="00812210"/>
    <w:rsid w:val="008125BA"/>
    <w:rsid w:val="0081306A"/>
    <w:rsid w:val="00815EB1"/>
    <w:rsid w:val="008165A2"/>
    <w:rsid w:val="008177A1"/>
    <w:rsid w:val="00821F4F"/>
    <w:rsid w:val="00824C9B"/>
    <w:rsid w:val="00824EA6"/>
    <w:rsid w:val="00826A14"/>
    <w:rsid w:val="00826B6E"/>
    <w:rsid w:val="00832784"/>
    <w:rsid w:val="008361EA"/>
    <w:rsid w:val="00837917"/>
    <w:rsid w:val="00840041"/>
    <w:rsid w:val="0084049E"/>
    <w:rsid w:val="00841DF9"/>
    <w:rsid w:val="00842406"/>
    <w:rsid w:val="00844AB9"/>
    <w:rsid w:val="00844F5F"/>
    <w:rsid w:val="00846577"/>
    <w:rsid w:val="00847A57"/>
    <w:rsid w:val="008506A8"/>
    <w:rsid w:val="00852DFA"/>
    <w:rsid w:val="00857A92"/>
    <w:rsid w:val="00861208"/>
    <w:rsid w:val="0086236F"/>
    <w:rsid w:val="00864C94"/>
    <w:rsid w:val="008663C1"/>
    <w:rsid w:val="008667BA"/>
    <w:rsid w:val="00866809"/>
    <w:rsid w:val="00870BD0"/>
    <w:rsid w:val="00870F1F"/>
    <w:rsid w:val="00872A27"/>
    <w:rsid w:val="008756C3"/>
    <w:rsid w:val="008768FC"/>
    <w:rsid w:val="0087690F"/>
    <w:rsid w:val="00876B10"/>
    <w:rsid w:val="00881066"/>
    <w:rsid w:val="00881ADC"/>
    <w:rsid w:val="008827F9"/>
    <w:rsid w:val="008858A9"/>
    <w:rsid w:val="00887623"/>
    <w:rsid w:val="00892382"/>
    <w:rsid w:val="00892720"/>
    <w:rsid w:val="00892F33"/>
    <w:rsid w:val="00893684"/>
    <w:rsid w:val="00893A65"/>
    <w:rsid w:val="00894A32"/>
    <w:rsid w:val="008A2D20"/>
    <w:rsid w:val="008A3775"/>
    <w:rsid w:val="008A4450"/>
    <w:rsid w:val="008A44EF"/>
    <w:rsid w:val="008A53E0"/>
    <w:rsid w:val="008A68A1"/>
    <w:rsid w:val="008A6C20"/>
    <w:rsid w:val="008A7FFA"/>
    <w:rsid w:val="008B367B"/>
    <w:rsid w:val="008B3933"/>
    <w:rsid w:val="008B3C59"/>
    <w:rsid w:val="008B5C1F"/>
    <w:rsid w:val="008B632E"/>
    <w:rsid w:val="008B654B"/>
    <w:rsid w:val="008B6AB3"/>
    <w:rsid w:val="008C02A3"/>
    <w:rsid w:val="008C1B77"/>
    <w:rsid w:val="008C3706"/>
    <w:rsid w:val="008C4049"/>
    <w:rsid w:val="008C45FF"/>
    <w:rsid w:val="008C5541"/>
    <w:rsid w:val="008D1E4F"/>
    <w:rsid w:val="008D3565"/>
    <w:rsid w:val="008D526C"/>
    <w:rsid w:val="008D58C8"/>
    <w:rsid w:val="008D5A74"/>
    <w:rsid w:val="008D68D1"/>
    <w:rsid w:val="008E2D07"/>
    <w:rsid w:val="008E6B6B"/>
    <w:rsid w:val="008E7E4A"/>
    <w:rsid w:val="008F2E47"/>
    <w:rsid w:val="008F2E9F"/>
    <w:rsid w:val="008F56FE"/>
    <w:rsid w:val="008F5C1B"/>
    <w:rsid w:val="008F7DD4"/>
    <w:rsid w:val="00900DD6"/>
    <w:rsid w:val="00903D14"/>
    <w:rsid w:val="0090638C"/>
    <w:rsid w:val="00906C87"/>
    <w:rsid w:val="009103F7"/>
    <w:rsid w:val="0091064A"/>
    <w:rsid w:val="00914394"/>
    <w:rsid w:val="00915193"/>
    <w:rsid w:val="00917991"/>
    <w:rsid w:val="00920BE2"/>
    <w:rsid w:val="00920FF5"/>
    <w:rsid w:val="00921326"/>
    <w:rsid w:val="00922A85"/>
    <w:rsid w:val="00923447"/>
    <w:rsid w:val="009246CE"/>
    <w:rsid w:val="0092487C"/>
    <w:rsid w:val="00925CC7"/>
    <w:rsid w:val="00926D53"/>
    <w:rsid w:val="00926F7C"/>
    <w:rsid w:val="00930255"/>
    <w:rsid w:val="009309E9"/>
    <w:rsid w:val="00930A65"/>
    <w:rsid w:val="00930FE6"/>
    <w:rsid w:val="00935ADA"/>
    <w:rsid w:val="0093617F"/>
    <w:rsid w:val="0093772B"/>
    <w:rsid w:val="00937ACE"/>
    <w:rsid w:val="009408CE"/>
    <w:rsid w:val="009410BE"/>
    <w:rsid w:val="00941D58"/>
    <w:rsid w:val="00943074"/>
    <w:rsid w:val="00945F78"/>
    <w:rsid w:val="00946C83"/>
    <w:rsid w:val="00951D52"/>
    <w:rsid w:val="00952666"/>
    <w:rsid w:val="009526A7"/>
    <w:rsid w:val="00953034"/>
    <w:rsid w:val="0095415E"/>
    <w:rsid w:val="009549F8"/>
    <w:rsid w:val="00954D4A"/>
    <w:rsid w:val="0095528E"/>
    <w:rsid w:val="00956E92"/>
    <w:rsid w:val="00960B06"/>
    <w:rsid w:val="009629D5"/>
    <w:rsid w:val="009637A1"/>
    <w:rsid w:val="00963C18"/>
    <w:rsid w:val="009645A5"/>
    <w:rsid w:val="00964A5B"/>
    <w:rsid w:val="009662E1"/>
    <w:rsid w:val="00971E29"/>
    <w:rsid w:val="00972359"/>
    <w:rsid w:val="009729D9"/>
    <w:rsid w:val="00972FAA"/>
    <w:rsid w:val="0097318E"/>
    <w:rsid w:val="00974675"/>
    <w:rsid w:val="009751DE"/>
    <w:rsid w:val="00975490"/>
    <w:rsid w:val="0097569B"/>
    <w:rsid w:val="00977D50"/>
    <w:rsid w:val="00980A85"/>
    <w:rsid w:val="009821AE"/>
    <w:rsid w:val="00987D12"/>
    <w:rsid w:val="00993A74"/>
    <w:rsid w:val="00994248"/>
    <w:rsid w:val="00994717"/>
    <w:rsid w:val="009955A8"/>
    <w:rsid w:val="00997A72"/>
    <w:rsid w:val="00997B16"/>
    <w:rsid w:val="009A1DA6"/>
    <w:rsid w:val="009A2ECD"/>
    <w:rsid w:val="009A400B"/>
    <w:rsid w:val="009A4785"/>
    <w:rsid w:val="009A6CC6"/>
    <w:rsid w:val="009B0DA3"/>
    <w:rsid w:val="009B14F3"/>
    <w:rsid w:val="009B2F2E"/>
    <w:rsid w:val="009B529C"/>
    <w:rsid w:val="009B5547"/>
    <w:rsid w:val="009B6B95"/>
    <w:rsid w:val="009B722C"/>
    <w:rsid w:val="009C0B4C"/>
    <w:rsid w:val="009C0E03"/>
    <w:rsid w:val="009C29A6"/>
    <w:rsid w:val="009C5688"/>
    <w:rsid w:val="009C64AF"/>
    <w:rsid w:val="009D5AE6"/>
    <w:rsid w:val="009D5FDB"/>
    <w:rsid w:val="009D756C"/>
    <w:rsid w:val="009D75C0"/>
    <w:rsid w:val="009E152F"/>
    <w:rsid w:val="009E3774"/>
    <w:rsid w:val="009E3DF1"/>
    <w:rsid w:val="009E5006"/>
    <w:rsid w:val="009E6319"/>
    <w:rsid w:val="009E688F"/>
    <w:rsid w:val="009E7D8D"/>
    <w:rsid w:val="009F448F"/>
    <w:rsid w:val="009F4530"/>
    <w:rsid w:val="009F4FAB"/>
    <w:rsid w:val="00A04A8A"/>
    <w:rsid w:val="00A06770"/>
    <w:rsid w:val="00A06F6C"/>
    <w:rsid w:val="00A07CA6"/>
    <w:rsid w:val="00A11492"/>
    <w:rsid w:val="00A121FC"/>
    <w:rsid w:val="00A1419E"/>
    <w:rsid w:val="00A17080"/>
    <w:rsid w:val="00A20222"/>
    <w:rsid w:val="00A20DB2"/>
    <w:rsid w:val="00A21B07"/>
    <w:rsid w:val="00A22445"/>
    <w:rsid w:val="00A23662"/>
    <w:rsid w:val="00A2665B"/>
    <w:rsid w:val="00A32C66"/>
    <w:rsid w:val="00A3315A"/>
    <w:rsid w:val="00A331E0"/>
    <w:rsid w:val="00A3372C"/>
    <w:rsid w:val="00A3390C"/>
    <w:rsid w:val="00A34830"/>
    <w:rsid w:val="00A364AF"/>
    <w:rsid w:val="00A36E6B"/>
    <w:rsid w:val="00A40778"/>
    <w:rsid w:val="00A4089F"/>
    <w:rsid w:val="00A40BB3"/>
    <w:rsid w:val="00A40F13"/>
    <w:rsid w:val="00A43215"/>
    <w:rsid w:val="00A43B6E"/>
    <w:rsid w:val="00A43D11"/>
    <w:rsid w:val="00A44FDC"/>
    <w:rsid w:val="00A46266"/>
    <w:rsid w:val="00A47DA7"/>
    <w:rsid w:val="00A50562"/>
    <w:rsid w:val="00A51195"/>
    <w:rsid w:val="00A51FB4"/>
    <w:rsid w:val="00A52EC2"/>
    <w:rsid w:val="00A55509"/>
    <w:rsid w:val="00A55C6F"/>
    <w:rsid w:val="00A55EB3"/>
    <w:rsid w:val="00A57AD7"/>
    <w:rsid w:val="00A61101"/>
    <w:rsid w:val="00A6271A"/>
    <w:rsid w:val="00A63052"/>
    <w:rsid w:val="00A65006"/>
    <w:rsid w:val="00A668C6"/>
    <w:rsid w:val="00A722B6"/>
    <w:rsid w:val="00A73009"/>
    <w:rsid w:val="00A74207"/>
    <w:rsid w:val="00A75780"/>
    <w:rsid w:val="00A7597C"/>
    <w:rsid w:val="00A75AA6"/>
    <w:rsid w:val="00A8191E"/>
    <w:rsid w:val="00A82E11"/>
    <w:rsid w:val="00A83EA4"/>
    <w:rsid w:val="00A85B83"/>
    <w:rsid w:val="00A90DEC"/>
    <w:rsid w:val="00A914F1"/>
    <w:rsid w:val="00A92334"/>
    <w:rsid w:val="00A93705"/>
    <w:rsid w:val="00A938EA"/>
    <w:rsid w:val="00A93EE7"/>
    <w:rsid w:val="00A95284"/>
    <w:rsid w:val="00A965CC"/>
    <w:rsid w:val="00A96D53"/>
    <w:rsid w:val="00AA043D"/>
    <w:rsid w:val="00AA13D9"/>
    <w:rsid w:val="00AA24B6"/>
    <w:rsid w:val="00AA3964"/>
    <w:rsid w:val="00AA4A51"/>
    <w:rsid w:val="00AA4D8A"/>
    <w:rsid w:val="00AA51D1"/>
    <w:rsid w:val="00AB0DA0"/>
    <w:rsid w:val="00AB1521"/>
    <w:rsid w:val="00AB2A07"/>
    <w:rsid w:val="00AB3512"/>
    <w:rsid w:val="00AB43D8"/>
    <w:rsid w:val="00AB5909"/>
    <w:rsid w:val="00AB5D7A"/>
    <w:rsid w:val="00AC0734"/>
    <w:rsid w:val="00AC300A"/>
    <w:rsid w:val="00AC3B90"/>
    <w:rsid w:val="00AC5A44"/>
    <w:rsid w:val="00AD0DD8"/>
    <w:rsid w:val="00AD6DC4"/>
    <w:rsid w:val="00AD7A67"/>
    <w:rsid w:val="00AD7BE2"/>
    <w:rsid w:val="00AE0264"/>
    <w:rsid w:val="00AE0BAD"/>
    <w:rsid w:val="00AE36B8"/>
    <w:rsid w:val="00AE3967"/>
    <w:rsid w:val="00AE4310"/>
    <w:rsid w:val="00AE61C7"/>
    <w:rsid w:val="00AF0774"/>
    <w:rsid w:val="00AF1BD0"/>
    <w:rsid w:val="00AF2605"/>
    <w:rsid w:val="00AF3A63"/>
    <w:rsid w:val="00AF3D0B"/>
    <w:rsid w:val="00AF400C"/>
    <w:rsid w:val="00AF412F"/>
    <w:rsid w:val="00AF5E60"/>
    <w:rsid w:val="00AF6676"/>
    <w:rsid w:val="00AF72A1"/>
    <w:rsid w:val="00B0054D"/>
    <w:rsid w:val="00B01ED9"/>
    <w:rsid w:val="00B02871"/>
    <w:rsid w:val="00B03B5C"/>
    <w:rsid w:val="00B041D9"/>
    <w:rsid w:val="00B04F8B"/>
    <w:rsid w:val="00B056BA"/>
    <w:rsid w:val="00B07981"/>
    <w:rsid w:val="00B10B6C"/>
    <w:rsid w:val="00B1245B"/>
    <w:rsid w:val="00B12F33"/>
    <w:rsid w:val="00B13BFD"/>
    <w:rsid w:val="00B14C9D"/>
    <w:rsid w:val="00B14FBF"/>
    <w:rsid w:val="00B15D26"/>
    <w:rsid w:val="00B16C8A"/>
    <w:rsid w:val="00B16EEC"/>
    <w:rsid w:val="00B17854"/>
    <w:rsid w:val="00B2033F"/>
    <w:rsid w:val="00B206A4"/>
    <w:rsid w:val="00B21EAB"/>
    <w:rsid w:val="00B2624E"/>
    <w:rsid w:val="00B274E5"/>
    <w:rsid w:val="00B27662"/>
    <w:rsid w:val="00B3022C"/>
    <w:rsid w:val="00B309C0"/>
    <w:rsid w:val="00B327DA"/>
    <w:rsid w:val="00B3346C"/>
    <w:rsid w:val="00B353BC"/>
    <w:rsid w:val="00B35E4D"/>
    <w:rsid w:val="00B36781"/>
    <w:rsid w:val="00B37059"/>
    <w:rsid w:val="00B37D91"/>
    <w:rsid w:val="00B401D0"/>
    <w:rsid w:val="00B41696"/>
    <w:rsid w:val="00B44EF2"/>
    <w:rsid w:val="00B4742B"/>
    <w:rsid w:val="00B50469"/>
    <w:rsid w:val="00B51EFD"/>
    <w:rsid w:val="00B5373F"/>
    <w:rsid w:val="00B53CB5"/>
    <w:rsid w:val="00B54A45"/>
    <w:rsid w:val="00B54A6C"/>
    <w:rsid w:val="00B5531C"/>
    <w:rsid w:val="00B56342"/>
    <w:rsid w:val="00B56A6E"/>
    <w:rsid w:val="00B57886"/>
    <w:rsid w:val="00B61DC1"/>
    <w:rsid w:val="00B626BD"/>
    <w:rsid w:val="00B62B4B"/>
    <w:rsid w:val="00B636AE"/>
    <w:rsid w:val="00B644A2"/>
    <w:rsid w:val="00B64EE2"/>
    <w:rsid w:val="00B65F6B"/>
    <w:rsid w:val="00B660BB"/>
    <w:rsid w:val="00B66F4B"/>
    <w:rsid w:val="00B703B9"/>
    <w:rsid w:val="00B70AF0"/>
    <w:rsid w:val="00B7733A"/>
    <w:rsid w:val="00B77DE4"/>
    <w:rsid w:val="00B8012C"/>
    <w:rsid w:val="00B815B2"/>
    <w:rsid w:val="00B82D76"/>
    <w:rsid w:val="00B84CE1"/>
    <w:rsid w:val="00B86A85"/>
    <w:rsid w:val="00B86F1D"/>
    <w:rsid w:val="00B871CF"/>
    <w:rsid w:val="00B87814"/>
    <w:rsid w:val="00B90A43"/>
    <w:rsid w:val="00B94036"/>
    <w:rsid w:val="00B94FB8"/>
    <w:rsid w:val="00B95B49"/>
    <w:rsid w:val="00B979B1"/>
    <w:rsid w:val="00BA022A"/>
    <w:rsid w:val="00BA0AE9"/>
    <w:rsid w:val="00BA16D6"/>
    <w:rsid w:val="00BA652C"/>
    <w:rsid w:val="00BB7053"/>
    <w:rsid w:val="00BB7904"/>
    <w:rsid w:val="00BC1128"/>
    <w:rsid w:val="00BC12A1"/>
    <w:rsid w:val="00BC3D54"/>
    <w:rsid w:val="00BC44D0"/>
    <w:rsid w:val="00BC6008"/>
    <w:rsid w:val="00BC620F"/>
    <w:rsid w:val="00BC6371"/>
    <w:rsid w:val="00BD16AD"/>
    <w:rsid w:val="00BD21AA"/>
    <w:rsid w:val="00BD33DA"/>
    <w:rsid w:val="00BD36AE"/>
    <w:rsid w:val="00BD3F1B"/>
    <w:rsid w:val="00BD5ABC"/>
    <w:rsid w:val="00BE06F7"/>
    <w:rsid w:val="00BE2D7F"/>
    <w:rsid w:val="00BE4C08"/>
    <w:rsid w:val="00BE59D7"/>
    <w:rsid w:val="00BE5D9D"/>
    <w:rsid w:val="00BE65E8"/>
    <w:rsid w:val="00BE6DDE"/>
    <w:rsid w:val="00BF652C"/>
    <w:rsid w:val="00C01325"/>
    <w:rsid w:val="00C0147F"/>
    <w:rsid w:val="00C01BC3"/>
    <w:rsid w:val="00C03080"/>
    <w:rsid w:val="00C03BD5"/>
    <w:rsid w:val="00C03D86"/>
    <w:rsid w:val="00C04145"/>
    <w:rsid w:val="00C070F1"/>
    <w:rsid w:val="00C10607"/>
    <w:rsid w:val="00C122E7"/>
    <w:rsid w:val="00C14504"/>
    <w:rsid w:val="00C15F8E"/>
    <w:rsid w:val="00C17DE8"/>
    <w:rsid w:val="00C20260"/>
    <w:rsid w:val="00C20A5F"/>
    <w:rsid w:val="00C22A9F"/>
    <w:rsid w:val="00C22CBF"/>
    <w:rsid w:val="00C24377"/>
    <w:rsid w:val="00C256EA"/>
    <w:rsid w:val="00C275B8"/>
    <w:rsid w:val="00C3132A"/>
    <w:rsid w:val="00C320D9"/>
    <w:rsid w:val="00C32C22"/>
    <w:rsid w:val="00C34E7F"/>
    <w:rsid w:val="00C34E8E"/>
    <w:rsid w:val="00C362E2"/>
    <w:rsid w:val="00C36B3A"/>
    <w:rsid w:val="00C40EED"/>
    <w:rsid w:val="00C412FE"/>
    <w:rsid w:val="00C41336"/>
    <w:rsid w:val="00C426BD"/>
    <w:rsid w:val="00C45BD1"/>
    <w:rsid w:val="00C45BE4"/>
    <w:rsid w:val="00C4667F"/>
    <w:rsid w:val="00C4675D"/>
    <w:rsid w:val="00C47015"/>
    <w:rsid w:val="00C47133"/>
    <w:rsid w:val="00C540D3"/>
    <w:rsid w:val="00C62B2A"/>
    <w:rsid w:val="00C64F6C"/>
    <w:rsid w:val="00C65418"/>
    <w:rsid w:val="00C65D0D"/>
    <w:rsid w:val="00C6626B"/>
    <w:rsid w:val="00C705B1"/>
    <w:rsid w:val="00C83324"/>
    <w:rsid w:val="00C834AA"/>
    <w:rsid w:val="00C8434B"/>
    <w:rsid w:val="00C846DC"/>
    <w:rsid w:val="00C85040"/>
    <w:rsid w:val="00C852F9"/>
    <w:rsid w:val="00C86B9F"/>
    <w:rsid w:val="00C87310"/>
    <w:rsid w:val="00C939CA"/>
    <w:rsid w:val="00C941CA"/>
    <w:rsid w:val="00C94327"/>
    <w:rsid w:val="00C97102"/>
    <w:rsid w:val="00CA1061"/>
    <w:rsid w:val="00CA2C06"/>
    <w:rsid w:val="00CA3EAE"/>
    <w:rsid w:val="00CA683A"/>
    <w:rsid w:val="00CB340C"/>
    <w:rsid w:val="00CB6757"/>
    <w:rsid w:val="00CB69B3"/>
    <w:rsid w:val="00CC05E8"/>
    <w:rsid w:val="00CC0626"/>
    <w:rsid w:val="00CD1D9F"/>
    <w:rsid w:val="00CD4EB8"/>
    <w:rsid w:val="00CD6B92"/>
    <w:rsid w:val="00CD6EE6"/>
    <w:rsid w:val="00CD720D"/>
    <w:rsid w:val="00CE0A4E"/>
    <w:rsid w:val="00CE2732"/>
    <w:rsid w:val="00CE465E"/>
    <w:rsid w:val="00CE62B7"/>
    <w:rsid w:val="00CE642F"/>
    <w:rsid w:val="00CE6E8B"/>
    <w:rsid w:val="00CE79A9"/>
    <w:rsid w:val="00CF18F3"/>
    <w:rsid w:val="00CF196C"/>
    <w:rsid w:val="00CF5155"/>
    <w:rsid w:val="00CF5327"/>
    <w:rsid w:val="00CF5898"/>
    <w:rsid w:val="00CF7060"/>
    <w:rsid w:val="00CF7199"/>
    <w:rsid w:val="00D00EB6"/>
    <w:rsid w:val="00D033C6"/>
    <w:rsid w:val="00D04AE1"/>
    <w:rsid w:val="00D060A3"/>
    <w:rsid w:val="00D125E0"/>
    <w:rsid w:val="00D12CA2"/>
    <w:rsid w:val="00D17A87"/>
    <w:rsid w:val="00D200F3"/>
    <w:rsid w:val="00D20C9E"/>
    <w:rsid w:val="00D27BEC"/>
    <w:rsid w:val="00D34E24"/>
    <w:rsid w:val="00D36270"/>
    <w:rsid w:val="00D36AFB"/>
    <w:rsid w:val="00D37E41"/>
    <w:rsid w:val="00D42FF8"/>
    <w:rsid w:val="00D44608"/>
    <w:rsid w:val="00D4467D"/>
    <w:rsid w:val="00D466F4"/>
    <w:rsid w:val="00D46B32"/>
    <w:rsid w:val="00D53DEB"/>
    <w:rsid w:val="00D541E0"/>
    <w:rsid w:val="00D55723"/>
    <w:rsid w:val="00D55A62"/>
    <w:rsid w:val="00D6021B"/>
    <w:rsid w:val="00D614AA"/>
    <w:rsid w:val="00D62184"/>
    <w:rsid w:val="00D63C05"/>
    <w:rsid w:val="00D63F3C"/>
    <w:rsid w:val="00D64F56"/>
    <w:rsid w:val="00D654C8"/>
    <w:rsid w:val="00D66064"/>
    <w:rsid w:val="00D66342"/>
    <w:rsid w:val="00D6655B"/>
    <w:rsid w:val="00D701C7"/>
    <w:rsid w:val="00D7112C"/>
    <w:rsid w:val="00D72FE7"/>
    <w:rsid w:val="00D76BA4"/>
    <w:rsid w:val="00D800B6"/>
    <w:rsid w:val="00D8010F"/>
    <w:rsid w:val="00D81077"/>
    <w:rsid w:val="00D815B5"/>
    <w:rsid w:val="00D81C59"/>
    <w:rsid w:val="00D82B0C"/>
    <w:rsid w:val="00D84045"/>
    <w:rsid w:val="00D84EC6"/>
    <w:rsid w:val="00D85CD1"/>
    <w:rsid w:val="00D86255"/>
    <w:rsid w:val="00D91232"/>
    <w:rsid w:val="00D95D91"/>
    <w:rsid w:val="00DA1829"/>
    <w:rsid w:val="00DA323F"/>
    <w:rsid w:val="00DA420A"/>
    <w:rsid w:val="00DA55C9"/>
    <w:rsid w:val="00DA5671"/>
    <w:rsid w:val="00DA6CA3"/>
    <w:rsid w:val="00DB2764"/>
    <w:rsid w:val="00DB3FDD"/>
    <w:rsid w:val="00DB58F4"/>
    <w:rsid w:val="00DB59FB"/>
    <w:rsid w:val="00DB5E07"/>
    <w:rsid w:val="00DC03FB"/>
    <w:rsid w:val="00DC4557"/>
    <w:rsid w:val="00DC60A3"/>
    <w:rsid w:val="00DC64DD"/>
    <w:rsid w:val="00DC7362"/>
    <w:rsid w:val="00DD0FD2"/>
    <w:rsid w:val="00DD3B58"/>
    <w:rsid w:val="00DD4B14"/>
    <w:rsid w:val="00DD671A"/>
    <w:rsid w:val="00DD6BF6"/>
    <w:rsid w:val="00DE1037"/>
    <w:rsid w:val="00DE199D"/>
    <w:rsid w:val="00DE2F80"/>
    <w:rsid w:val="00DE620A"/>
    <w:rsid w:val="00DE6B0F"/>
    <w:rsid w:val="00DF159B"/>
    <w:rsid w:val="00DF34B7"/>
    <w:rsid w:val="00E00166"/>
    <w:rsid w:val="00E023C6"/>
    <w:rsid w:val="00E060A2"/>
    <w:rsid w:val="00E07987"/>
    <w:rsid w:val="00E1165B"/>
    <w:rsid w:val="00E12D48"/>
    <w:rsid w:val="00E15779"/>
    <w:rsid w:val="00E2116A"/>
    <w:rsid w:val="00E2198C"/>
    <w:rsid w:val="00E22BAB"/>
    <w:rsid w:val="00E25014"/>
    <w:rsid w:val="00E26316"/>
    <w:rsid w:val="00E27343"/>
    <w:rsid w:val="00E27369"/>
    <w:rsid w:val="00E27F64"/>
    <w:rsid w:val="00E30779"/>
    <w:rsid w:val="00E31C53"/>
    <w:rsid w:val="00E31E43"/>
    <w:rsid w:val="00E32F8A"/>
    <w:rsid w:val="00E33F1A"/>
    <w:rsid w:val="00E35944"/>
    <w:rsid w:val="00E3685C"/>
    <w:rsid w:val="00E36DE1"/>
    <w:rsid w:val="00E400CD"/>
    <w:rsid w:val="00E40A50"/>
    <w:rsid w:val="00E40D09"/>
    <w:rsid w:val="00E4346B"/>
    <w:rsid w:val="00E44F1E"/>
    <w:rsid w:val="00E45DEA"/>
    <w:rsid w:val="00E51231"/>
    <w:rsid w:val="00E5133F"/>
    <w:rsid w:val="00E518F0"/>
    <w:rsid w:val="00E51E53"/>
    <w:rsid w:val="00E525B7"/>
    <w:rsid w:val="00E5450B"/>
    <w:rsid w:val="00E54FF7"/>
    <w:rsid w:val="00E570DF"/>
    <w:rsid w:val="00E66E14"/>
    <w:rsid w:val="00E72DC8"/>
    <w:rsid w:val="00E73546"/>
    <w:rsid w:val="00E75704"/>
    <w:rsid w:val="00E77209"/>
    <w:rsid w:val="00E77EED"/>
    <w:rsid w:val="00E80008"/>
    <w:rsid w:val="00E802A0"/>
    <w:rsid w:val="00E8147E"/>
    <w:rsid w:val="00E823C0"/>
    <w:rsid w:val="00E83CE9"/>
    <w:rsid w:val="00E84310"/>
    <w:rsid w:val="00E859AC"/>
    <w:rsid w:val="00E85BF8"/>
    <w:rsid w:val="00E866E9"/>
    <w:rsid w:val="00E8675D"/>
    <w:rsid w:val="00E869DA"/>
    <w:rsid w:val="00E86F93"/>
    <w:rsid w:val="00E9167E"/>
    <w:rsid w:val="00E92A29"/>
    <w:rsid w:val="00E95119"/>
    <w:rsid w:val="00E95873"/>
    <w:rsid w:val="00E97328"/>
    <w:rsid w:val="00E97820"/>
    <w:rsid w:val="00E97887"/>
    <w:rsid w:val="00EA059C"/>
    <w:rsid w:val="00EA09A5"/>
    <w:rsid w:val="00EA0AB1"/>
    <w:rsid w:val="00EA13A0"/>
    <w:rsid w:val="00EA263F"/>
    <w:rsid w:val="00EA5032"/>
    <w:rsid w:val="00EB5B53"/>
    <w:rsid w:val="00EB670C"/>
    <w:rsid w:val="00EC0789"/>
    <w:rsid w:val="00EC0DF7"/>
    <w:rsid w:val="00EC0DF8"/>
    <w:rsid w:val="00EC2424"/>
    <w:rsid w:val="00EC37DD"/>
    <w:rsid w:val="00EC458C"/>
    <w:rsid w:val="00EC5C5D"/>
    <w:rsid w:val="00EC6E56"/>
    <w:rsid w:val="00EC79B7"/>
    <w:rsid w:val="00ED07BD"/>
    <w:rsid w:val="00ED0D81"/>
    <w:rsid w:val="00ED262A"/>
    <w:rsid w:val="00ED2944"/>
    <w:rsid w:val="00ED2C8D"/>
    <w:rsid w:val="00ED38BB"/>
    <w:rsid w:val="00ED7648"/>
    <w:rsid w:val="00EE2A83"/>
    <w:rsid w:val="00EE7B82"/>
    <w:rsid w:val="00EF1C79"/>
    <w:rsid w:val="00EF4A62"/>
    <w:rsid w:val="00EF4CA7"/>
    <w:rsid w:val="00EF60EB"/>
    <w:rsid w:val="00F00E55"/>
    <w:rsid w:val="00F02856"/>
    <w:rsid w:val="00F02EAC"/>
    <w:rsid w:val="00F037FB"/>
    <w:rsid w:val="00F063D4"/>
    <w:rsid w:val="00F070C5"/>
    <w:rsid w:val="00F12244"/>
    <w:rsid w:val="00F1453E"/>
    <w:rsid w:val="00F149E9"/>
    <w:rsid w:val="00F1508C"/>
    <w:rsid w:val="00F20B0D"/>
    <w:rsid w:val="00F21097"/>
    <w:rsid w:val="00F21DC6"/>
    <w:rsid w:val="00F23024"/>
    <w:rsid w:val="00F23E74"/>
    <w:rsid w:val="00F240CB"/>
    <w:rsid w:val="00F25E26"/>
    <w:rsid w:val="00F30F7D"/>
    <w:rsid w:val="00F37939"/>
    <w:rsid w:val="00F40F9D"/>
    <w:rsid w:val="00F425D0"/>
    <w:rsid w:val="00F42DBB"/>
    <w:rsid w:val="00F43D8B"/>
    <w:rsid w:val="00F44900"/>
    <w:rsid w:val="00F45938"/>
    <w:rsid w:val="00F45AE7"/>
    <w:rsid w:val="00F46F32"/>
    <w:rsid w:val="00F507F6"/>
    <w:rsid w:val="00F512D5"/>
    <w:rsid w:val="00F51F40"/>
    <w:rsid w:val="00F527F8"/>
    <w:rsid w:val="00F52EF6"/>
    <w:rsid w:val="00F5353D"/>
    <w:rsid w:val="00F5681E"/>
    <w:rsid w:val="00F56DDF"/>
    <w:rsid w:val="00F609C7"/>
    <w:rsid w:val="00F610CC"/>
    <w:rsid w:val="00F61BDB"/>
    <w:rsid w:val="00F63DC0"/>
    <w:rsid w:val="00F654BD"/>
    <w:rsid w:val="00F65B95"/>
    <w:rsid w:val="00F66F76"/>
    <w:rsid w:val="00F7137B"/>
    <w:rsid w:val="00F721B6"/>
    <w:rsid w:val="00F7557A"/>
    <w:rsid w:val="00F7641D"/>
    <w:rsid w:val="00F80DC3"/>
    <w:rsid w:val="00F86D95"/>
    <w:rsid w:val="00F87DCE"/>
    <w:rsid w:val="00F90337"/>
    <w:rsid w:val="00F92CCB"/>
    <w:rsid w:val="00F93209"/>
    <w:rsid w:val="00F94658"/>
    <w:rsid w:val="00F951E2"/>
    <w:rsid w:val="00F952F7"/>
    <w:rsid w:val="00F96A53"/>
    <w:rsid w:val="00FA0A72"/>
    <w:rsid w:val="00FA0A99"/>
    <w:rsid w:val="00FA0E5B"/>
    <w:rsid w:val="00FA4ED5"/>
    <w:rsid w:val="00FA5F69"/>
    <w:rsid w:val="00FA67D7"/>
    <w:rsid w:val="00FB2A38"/>
    <w:rsid w:val="00FB2ACA"/>
    <w:rsid w:val="00FB47A9"/>
    <w:rsid w:val="00FB6C6E"/>
    <w:rsid w:val="00FB72AE"/>
    <w:rsid w:val="00FC2470"/>
    <w:rsid w:val="00FC378F"/>
    <w:rsid w:val="00FC3BE4"/>
    <w:rsid w:val="00FD1DF1"/>
    <w:rsid w:val="00FD3270"/>
    <w:rsid w:val="00FD3483"/>
    <w:rsid w:val="00FD4873"/>
    <w:rsid w:val="00FD48B0"/>
    <w:rsid w:val="00FD689B"/>
    <w:rsid w:val="00FE08A5"/>
    <w:rsid w:val="00FE0A5F"/>
    <w:rsid w:val="00FE0ED4"/>
    <w:rsid w:val="00FE1805"/>
    <w:rsid w:val="00FE1D56"/>
    <w:rsid w:val="00FE1E4D"/>
    <w:rsid w:val="00FE3262"/>
    <w:rsid w:val="00FE526C"/>
    <w:rsid w:val="00FE543F"/>
    <w:rsid w:val="00FE7ABC"/>
    <w:rsid w:val="00FF2599"/>
    <w:rsid w:val="00FF27C1"/>
    <w:rsid w:val="00FF2D09"/>
    <w:rsid w:val="00FF2F06"/>
    <w:rsid w:val="00FF319E"/>
    <w:rsid w:val="00FF7075"/>
    <w:rsid w:val="00FF7681"/>
    <w:rsid w:val="00FF7B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38B70C"/>
  <w15:docId w15:val="{F61914B2-0FFE-438C-B421-CED8E10A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link w:val="BodyTextIndent2Char"/>
    <w:rsid w:val="00B0054D"/>
    <w:pPr>
      <w:tabs>
        <w:tab w:val="left" w:pos="1176"/>
        <w:tab w:val="left" w:pos="1656"/>
        <w:tab w:val="left" w:pos="5016"/>
        <w:tab w:val="left" w:pos="6696"/>
        <w:tab w:val="left" w:pos="8256"/>
      </w:tabs>
      <w:ind w:left="480"/>
    </w:pPr>
  </w:style>
  <w:style w:type="paragraph" w:styleId="BodyTextIndent3">
    <w:name w:val="Body Text Indent 3"/>
    <w:basedOn w:val="Normal"/>
    <w:link w:val="BodyTextIndent3Char"/>
    <w:uiPriority w:val="99"/>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link w:val="FootnoteTextChar"/>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link w:val="HeaderChar"/>
    <w:uiPriority w:val="99"/>
    <w:rsid w:val="00AF412F"/>
    <w:pPr>
      <w:tabs>
        <w:tab w:val="center" w:pos="4320"/>
        <w:tab w:val="right" w:pos="8640"/>
      </w:tabs>
    </w:pPr>
  </w:style>
  <w:style w:type="table" w:styleId="TableGrid">
    <w:name w:val="Table Grid"/>
    <w:basedOn w:val="TableNormal"/>
    <w:uiPriority w:val="39"/>
    <w:rsid w:val="0052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character" w:customStyle="1" w:styleId="BodyTextIndent3Char">
    <w:name w:val="Body Text Indent 3 Char"/>
    <w:basedOn w:val="DefaultParagraphFont"/>
    <w:link w:val="BodyTextIndent3"/>
    <w:uiPriority w:val="99"/>
    <w:rsid w:val="00030025"/>
    <w:rPr>
      <w:sz w:val="24"/>
      <w:szCs w:val="24"/>
    </w:rPr>
  </w:style>
  <w:style w:type="paragraph" w:styleId="ListParagraph">
    <w:name w:val="List Paragraph"/>
    <w:basedOn w:val="Normal"/>
    <w:link w:val="ListParagraphChar"/>
    <w:uiPriority w:val="34"/>
    <w:qFormat/>
    <w:rsid w:val="00114C32"/>
    <w:pPr>
      <w:spacing w:after="200"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rsid w:val="00114C32"/>
    <w:rPr>
      <w:rFonts w:ascii="CG Times" w:hAnsi="CG Times"/>
    </w:rPr>
  </w:style>
  <w:style w:type="paragraph" w:styleId="NoSpacing">
    <w:name w:val="No Spacing"/>
    <w:uiPriority w:val="1"/>
    <w:qFormat/>
    <w:rsid w:val="00CF5155"/>
    <w:rPr>
      <w:rFonts w:ascii="Arial" w:hAnsi="Arial" w:eastAsiaTheme="minorHAnsi" w:cs="Arial"/>
    </w:rPr>
  </w:style>
  <w:style w:type="paragraph" w:styleId="NormalWeb">
    <w:name w:val="Normal (Web)"/>
    <w:basedOn w:val="Normal"/>
    <w:uiPriority w:val="99"/>
    <w:unhideWhenUsed/>
    <w:rsid w:val="0018113E"/>
    <w:rPr>
      <w:rFonts w:eastAsiaTheme="minorHAnsi"/>
    </w:rPr>
  </w:style>
  <w:style w:type="character" w:customStyle="1" w:styleId="BodyTextIndent2Char">
    <w:name w:val="Body Text Indent 2 Char"/>
    <w:basedOn w:val="DefaultParagraphFont"/>
    <w:link w:val="BodyTextIndent2"/>
    <w:rsid w:val="007007AF"/>
    <w:rPr>
      <w:sz w:val="24"/>
      <w:szCs w:val="24"/>
    </w:rPr>
  </w:style>
  <w:style w:type="paragraph" w:customStyle="1" w:styleId="FigureHeading">
    <w:name w:val="Figure Heading"/>
    <w:basedOn w:val="Normal"/>
    <w:rsid w:val="001D7EE0"/>
    <w:pPr>
      <w:spacing w:before="100" w:beforeAutospacing="1" w:after="100" w:afterAutospacing="1" w:line="480" w:lineRule="auto"/>
    </w:pPr>
  </w:style>
  <w:style w:type="character" w:customStyle="1" w:styleId="HeaderChar">
    <w:name w:val="Header Char"/>
    <w:basedOn w:val="DefaultParagraphFont"/>
    <w:link w:val="Header"/>
    <w:uiPriority w:val="99"/>
    <w:rsid w:val="00AB0DA0"/>
    <w:rPr>
      <w:sz w:val="24"/>
      <w:szCs w:val="24"/>
    </w:rPr>
  </w:style>
  <w:style w:type="character" w:customStyle="1" w:styleId="ListParagraphChar">
    <w:name w:val="List Paragraph Char"/>
    <w:link w:val="ListParagraph"/>
    <w:uiPriority w:val="34"/>
    <w:locked/>
    <w:rsid w:val="00A55509"/>
    <w:rPr>
      <w:rFonts w:asciiTheme="minorHAnsi" w:eastAsiaTheme="minorHAnsi" w:hAnsiTheme="minorHAnsi" w:cstheme="minorBidi"/>
      <w:sz w:val="22"/>
      <w:szCs w:val="22"/>
    </w:rPr>
  </w:style>
  <w:style w:type="paragraph" w:customStyle="1" w:styleId="Basic">
    <w:name w:val="Basic"/>
    <w:basedOn w:val="Normal"/>
    <w:qFormat/>
    <w:rsid w:val="00A55509"/>
    <w:rPr>
      <w:rFonts w:ascii="Calibri" w:hAnsi="Calibri"/>
    </w:rPr>
  </w:style>
  <w:style w:type="paragraph" w:customStyle="1" w:styleId="xxmsonormal">
    <w:name w:val="x_xmsonormal"/>
    <w:basedOn w:val="Normal"/>
    <w:rsid w:val="00B82D76"/>
    <w:rPr>
      <w:rFonts w:ascii="Calibri" w:hAnsi="Calibri" w:eastAsiaTheme="minorHAnsi" w:cs="Calibri"/>
      <w:sz w:val="22"/>
      <w:szCs w:val="22"/>
    </w:rPr>
  </w:style>
  <w:style w:type="character" w:customStyle="1" w:styleId="ui-provider">
    <w:name w:val="ui-provider"/>
    <w:basedOn w:val="DefaultParagraphFont"/>
    <w:rsid w:val="00257E12"/>
  </w:style>
  <w:style w:type="paragraph" w:customStyle="1" w:styleId="xmsonormal">
    <w:name w:val="x_msonormal"/>
    <w:basedOn w:val="Normal"/>
    <w:rsid w:val="00E15779"/>
    <w:rPr>
      <w:rFonts w:ascii="Aptos" w:hAnsi="Aptos" w:eastAsiaTheme="minorHAnsi" w:cs="Aptos"/>
      <w:sz w:val="22"/>
      <w:szCs w:val="22"/>
    </w:rPr>
  </w:style>
  <w:style w:type="character" w:customStyle="1" w:styleId="cf01">
    <w:name w:val="cf01"/>
    <w:basedOn w:val="DefaultParagraphFont"/>
    <w:rsid w:val="0023352D"/>
    <w:rPr>
      <w:rFonts w:ascii="Segoe UI" w:hAnsi="Segoe UI" w:cs="Segoe UI" w:hint="default"/>
      <w:sz w:val="18"/>
      <w:szCs w:val="18"/>
    </w:rPr>
  </w:style>
  <w:style w:type="character" w:styleId="UnresolvedMention">
    <w:name w:val="Unresolved Mention"/>
    <w:basedOn w:val="DefaultParagraphFont"/>
    <w:uiPriority w:val="99"/>
    <w:semiHidden/>
    <w:unhideWhenUsed/>
    <w:rsid w:val="00215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data.bls.gov/timeseries/LEU0207635200"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A3FB7-3C92-4680-AAA1-5DEDD1A3C021}">
  <ds:schemaRefs>
    <ds:schemaRef ds:uri="http://schemas.openxmlformats.org/officeDocument/2006/bibliography"/>
  </ds:schemaRefs>
</ds:datastoreItem>
</file>

<file path=customXml/itemProps2.xml><?xml version="1.0" encoding="utf-8"?>
<ds:datastoreItem xmlns:ds="http://schemas.openxmlformats.org/officeDocument/2006/customXml" ds:itemID="{A1C39B9E-D15A-4FE2-8183-6BF694F2C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5321</Words>
  <Characters>30335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Changes in section A</vt:lpstr>
    </vt:vector>
  </TitlesOfParts>
  <Company>U.S. Department Of Commerce</Company>
  <LinksUpToDate>false</LinksUpToDate>
  <CharactersWithSpaces>35585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section A</dc:title>
  <dc:creator>FRIEDLANDER_M</dc:creator>
  <cp:lastModifiedBy>Kincaid, Nora - BLS</cp:lastModifiedBy>
  <cp:revision>2</cp:revision>
  <cp:lastPrinted>2010-08-16T12:03:00Z</cp:lastPrinted>
  <dcterms:created xsi:type="dcterms:W3CDTF">2025-12-15T18:00:00Z</dcterms:created>
  <dcterms:modified xsi:type="dcterms:W3CDTF">2025-12-15T18:00:00Z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-510137977</vt:i4>
  </property>
</Properties>
</file>