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3B1B" w:rsidRPr="00B33073" w:rsidP="00E50881" w14:paraId="4F1BB748" w14:textId="405DD0A2">
      <w:pPr>
        <w:pStyle w:val="Title"/>
        <w:outlineLvl w:val="9"/>
        <w:rPr>
          <w:b/>
          <w:caps/>
        </w:rPr>
      </w:pPr>
      <w:bookmarkStart w:id="0" w:name="_Hlk205885176"/>
      <w:r w:rsidRPr="00B33073">
        <w:rPr>
          <w:b/>
          <w:caps/>
        </w:rPr>
        <w:t>Supp</w:t>
      </w:r>
      <w:r w:rsidRPr="00B33073" w:rsidR="005355D0">
        <w:rPr>
          <w:b/>
          <w:caps/>
        </w:rPr>
        <w:t>or</w:t>
      </w:r>
      <w:r w:rsidRPr="00B33073">
        <w:rPr>
          <w:b/>
          <w:caps/>
        </w:rPr>
        <w:t>ting Statement</w:t>
      </w:r>
      <w:r w:rsidRPr="00B33073" w:rsidR="00731BD6">
        <w:rPr>
          <w:b/>
          <w:caps/>
        </w:rPr>
        <w:t xml:space="preserve"> For</w:t>
      </w:r>
    </w:p>
    <w:p w:rsidR="00731BD6" w:rsidRPr="00B33073" w:rsidP="00E50881" w14:paraId="6A19AC44" w14:textId="75F2AF9A">
      <w:pPr>
        <w:pStyle w:val="Title"/>
        <w:outlineLvl w:val="9"/>
        <w:rPr>
          <w:b/>
          <w:caps/>
        </w:rPr>
      </w:pPr>
      <w:r w:rsidRPr="00B33073">
        <w:rPr>
          <w:b/>
          <w:caps/>
        </w:rPr>
        <w:t>the Consumer expenditure sureys</w:t>
      </w:r>
    </w:p>
    <w:p w:rsidR="00731BD6" w:rsidP="00E50881" w14:paraId="7A478D4B" w14:textId="77777777">
      <w:pPr>
        <w:pStyle w:val="Title"/>
        <w:outlineLvl w:val="9"/>
        <w:rPr>
          <w:caps/>
        </w:rPr>
      </w:pPr>
    </w:p>
    <w:p w:rsidR="00731BD6" w:rsidRPr="00B33073" w:rsidP="00E50881" w14:paraId="26047B3F" w14:textId="14F8E340">
      <w:pPr>
        <w:pStyle w:val="Title"/>
        <w:outlineLvl w:val="9"/>
        <w:rPr>
          <w:b/>
          <w:caps/>
        </w:rPr>
      </w:pPr>
      <w:r w:rsidRPr="00B33073">
        <w:rPr>
          <w:b/>
          <w:caps/>
        </w:rPr>
        <w:t>OMB Control NO. 1220-0050</w:t>
      </w:r>
    </w:p>
    <w:p w:rsidR="007801DB" w:rsidP="00E50881" w14:paraId="75532151" w14:textId="77777777">
      <w:pPr>
        <w:tabs>
          <w:tab w:val="left" w:pos="1176"/>
          <w:tab w:val="left" w:pos="1656"/>
          <w:tab w:val="left" w:pos="5016"/>
          <w:tab w:val="left" w:pos="6696"/>
          <w:tab w:val="left" w:pos="8256"/>
        </w:tabs>
      </w:pPr>
    </w:p>
    <w:p w:rsidR="007801DB" w:rsidRPr="00B33073" w:rsidP="00E50881" w14:paraId="11320A4D" w14:textId="2B32CD0B">
      <w:pPr>
        <w:tabs>
          <w:tab w:val="left" w:pos="1176"/>
          <w:tab w:val="left" w:pos="1656"/>
          <w:tab w:val="left" w:pos="5016"/>
          <w:tab w:val="left" w:pos="6696"/>
          <w:tab w:val="left" w:pos="8256"/>
        </w:tabs>
        <w:rPr>
          <w:b/>
          <w:caps/>
        </w:rPr>
      </w:pPr>
      <w:r w:rsidRPr="00B33073">
        <w:rPr>
          <w:b/>
          <w:caps/>
        </w:rPr>
        <w:t>B.</w:t>
      </w:r>
      <w:r w:rsidRPr="00B33073" w:rsidR="004878BE">
        <w:rPr>
          <w:b/>
          <w:caps/>
        </w:rPr>
        <w:t xml:space="preserve"> </w:t>
      </w:r>
      <w:r w:rsidRPr="00B33073">
        <w:rPr>
          <w:b/>
          <w:caps/>
        </w:rPr>
        <w:t>Collection</w:t>
      </w:r>
      <w:r w:rsidR="00731BD6">
        <w:rPr>
          <w:b/>
          <w:caps/>
        </w:rPr>
        <w:t>S</w:t>
      </w:r>
      <w:r w:rsidRPr="00B33073">
        <w:rPr>
          <w:b/>
          <w:caps/>
        </w:rPr>
        <w:t xml:space="preserve"> of Information Employing Statistical Methods</w:t>
      </w:r>
    </w:p>
    <w:p w:rsidR="007801DB" w:rsidP="00E50881" w14:paraId="47C1F8C6" w14:textId="77777777">
      <w:pPr>
        <w:tabs>
          <w:tab w:val="left" w:pos="1176"/>
          <w:tab w:val="left" w:pos="1656"/>
          <w:tab w:val="left" w:pos="5016"/>
          <w:tab w:val="left" w:pos="6696"/>
          <w:tab w:val="left" w:pos="8256"/>
        </w:tabs>
      </w:pPr>
    </w:p>
    <w:p w:rsidR="00731BD6" w:rsidRPr="00731BD6" w:rsidP="00731BD6" w14:paraId="076BFFC2" w14:textId="051867E7">
      <w:pPr>
        <w:rPr>
          <w:b/>
        </w:rPr>
      </w:pPr>
      <w:r w:rsidRPr="00731BD6">
        <w:rPr>
          <w:b/>
        </w:rPr>
        <w:t>1</w:t>
      </w:r>
      <w:r w:rsidR="005E57BF">
        <w:rPr>
          <w:b/>
        </w:rPr>
        <w:t xml:space="preserve">. </w:t>
      </w:r>
      <w:r w:rsidRPr="00731BD6">
        <w:rPr>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731BD6">
        <w:rPr>
          <w:b/>
        </w:rPr>
        <w:t>collection as a whole</w:t>
      </w:r>
      <w:r w:rsidRPr="00731BD6">
        <w:rPr>
          <w:b/>
        </w:rPr>
        <w:t>. If the collection had been conducted previously, include the actual response rate achieved during the last collection.</w:t>
      </w:r>
    </w:p>
    <w:p w:rsidR="004878BE" w:rsidP="004878BE" w14:paraId="7771A4BC" w14:textId="25EE3BA6">
      <w:pPr>
        <w:tabs>
          <w:tab w:val="left" w:pos="1176"/>
          <w:tab w:val="left" w:pos="1656"/>
          <w:tab w:val="left" w:pos="5016"/>
          <w:tab w:val="left" w:pos="6696"/>
          <w:tab w:val="left" w:pos="8256"/>
        </w:tabs>
        <w:rPr>
          <w:b/>
          <w:u w:val="single"/>
        </w:rPr>
      </w:pPr>
    </w:p>
    <w:p w:rsidR="00FF6091" w:rsidRPr="00FF6091" w:rsidP="00E50881" w14:paraId="5DC9B436" w14:textId="2ACEEAD1">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00CE767A">
        <w:t>households</w:t>
      </w:r>
      <w:r w:rsidR="008B59CD">
        <w:t xml:space="preserve"> in the United States</w:t>
      </w:r>
      <w:r w:rsidRPr="00FF6091">
        <w:t xml:space="preserve"> spend their money</w:t>
      </w:r>
      <w:r w:rsidR="005E57BF">
        <w:t xml:space="preserve">. </w:t>
      </w:r>
      <w:r w:rsidRPr="00FF6091">
        <w:t>The CE Survey consists of two sub-surveys</w:t>
      </w:r>
      <w:r w:rsidR="009818C8">
        <w:t xml:space="preserve">: </w:t>
      </w:r>
      <w:r w:rsidRPr="00FF6091">
        <w:t>a</w:t>
      </w:r>
      <w:r w:rsidR="00CE4292">
        <w:t>n</w:t>
      </w:r>
      <w:r>
        <w:t xml:space="preserve"> </w:t>
      </w:r>
      <w:r w:rsidRPr="00FF6091">
        <w:t xml:space="preserve">Interview </w:t>
      </w:r>
      <w:r w:rsidR="00291C69">
        <w:t>S</w:t>
      </w:r>
      <w:r w:rsidRPr="00FF6091">
        <w:t>urvey</w:t>
      </w:r>
      <w:r>
        <w:t>,</w:t>
      </w:r>
      <w:r w:rsidRPr="00FF6091">
        <w:t xml:space="preserve"> and a </w:t>
      </w:r>
      <w:r w:rsidR="00DA12E6">
        <w:t>two-week</w:t>
      </w:r>
      <w:r>
        <w:t xml:space="preserve"> </w:t>
      </w:r>
      <w:r w:rsidRPr="00FF6091">
        <w:t xml:space="preserve">Diary </w:t>
      </w:r>
      <w:r w:rsidR="00291C69">
        <w:t>S</w:t>
      </w:r>
      <w:r w:rsidRPr="00FF6091">
        <w:t>urvey</w:t>
      </w:r>
      <w:r w:rsidR="005E57BF">
        <w:t xml:space="preserve">. </w:t>
      </w:r>
      <w:r w:rsidRPr="00FF6091">
        <w:t xml:space="preserve">The Interview </w:t>
      </w:r>
      <w:r w:rsidR="00291C69">
        <w:t>S</w:t>
      </w:r>
      <w:r w:rsidRPr="00FF6091">
        <w:t xml:space="preserve">urvey collects detailed </w:t>
      </w:r>
      <w:r w:rsidR="00EA38CA">
        <w:t>information</w:t>
      </w:r>
      <w:r w:rsidRPr="00FF6091">
        <w:t xml:space="preserve"> on large expenditures such as property, automobiles, and major appliances</w:t>
      </w:r>
      <w:r w:rsidR="00E22157">
        <w:t>;</w:t>
      </w:r>
      <w:r w:rsidRPr="00FF6091">
        <w:t xml:space="preserve"> as well as on recurring expenditures such as rent, utilities, and insurance premiums</w:t>
      </w:r>
      <w:r w:rsidR="005E57BF">
        <w:t xml:space="preserve">. </w:t>
      </w:r>
      <w:r w:rsidRPr="00FF6091">
        <w:t xml:space="preserve">By contrast, the Diary </w:t>
      </w:r>
      <w:r w:rsidR="00291C69">
        <w:t>S</w:t>
      </w:r>
      <w:r w:rsidRPr="00FF6091">
        <w:t xml:space="preserve">urvey collects detailed </w:t>
      </w:r>
      <w:r w:rsidR="00EA38CA">
        <w:t>information</w:t>
      </w:r>
      <w:r w:rsidRPr="00FF6091">
        <w:t xml:space="preserve"> on small, frequently purchased items such as food and apparel</w:t>
      </w:r>
      <w:r w:rsidR="005E57BF">
        <w:t xml:space="preserve">. </w:t>
      </w:r>
      <w:r w:rsidRPr="00FF6091">
        <w:t>The data from the two surveys are then combined to provide a complete picture of consumer expenditures in the United States.</w:t>
      </w:r>
    </w:p>
    <w:p w:rsidR="00FF6091" w:rsidP="00E50881" w14:paraId="1E135575" w14:textId="77777777">
      <w:pPr>
        <w:tabs>
          <w:tab w:val="left" w:pos="1176"/>
          <w:tab w:val="left" w:pos="1656"/>
          <w:tab w:val="left" w:pos="5016"/>
          <w:tab w:val="left" w:pos="6696"/>
          <w:tab w:val="left" w:pos="8256"/>
        </w:tabs>
      </w:pPr>
    </w:p>
    <w:p w:rsidR="00573652" w:rsidP="00E50881" w14:paraId="66C23B2C" w14:textId="0A4C25E4">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w:t>
      </w:r>
      <w:r w:rsidR="009818C8">
        <w:t>cross</w:t>
      </w:r>
      <w:r>
        <w:t xml:space="preserve"> the </w:t>
      </w:r>
      <w:r w:rsidR="00A2454D">
        <w:t>United States</w:t>
      </w:r>
      <w:r w:rsidR="005E57BF">
        <w:t xml:space="preserve">. </w:t>
      </w:r>
      <w:r w:rsidR="004878BE">
        <w:t>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w:t>
      </w:r>
      <w:r w:rsidR="009818C8">
        <w:t>e design</w:t>
      </w:r>
      <w:r w:rsidR="005E57BF">
        <w:t xml:space="preserve">. </w:t>
      </w:r>
      <w:r>
        <w:t>In the first stage</w:t>
      </w:r>
      <w:r w:rsidR="00CD3BE4">
        <w:t>,</w:t>
      </w:r>
      <w:r>
        <w:t xml:space="preserve"> a representative sample of counties from a</w:t>
      </w:r>
      <w:r w:rsidR="009818C8">
        <w:t>cross</w:t>
      </w:r>
      <w:r>
        <w:t xml:space="preserve"> the United States is selected for the survey</w:t>
      </w:r>
      <w:r w:rsidR="005E57BF">
        <w:t xml:space="preserve">. </w:t>
      </w:r>
      <w:r w:rsidR="003C7343">
        <w:t>Then i</w:t>
      </w:r>
      <w:r>
        <w:t>n the second stage</w:t>
      </w:r>
      <w:r w:rsidR="009818C8">
        <w:t>,</w:t>
      </w:r>
      <w:r>
        <w:t xml:space="preserve"> a representative sample of households from those counties</w:t>
      </w:r>
      <w:r w:rsidR="000A1A44">
        <w:t xml:space="preserve"> is selected</w:t>
      </w:r>
      <w:r w:rsidR="005355D0">
        <w:t xml:space="preserve"> for the survey</w:t>
      </w:r>
      <w:r w:rsidR="005E57BF">
        <w:t xml:space="preserve">. </w:t>
      </w:r>
      <w:r>
        <w:t xml:space="preserve">This two-stage </w:t>
      </w:r>
      <w:r w:rsidR="00795545">
        <w:t>sampl</w:t>
      </w:r>
      <w:r w:rsidR="007C0627">
        <w:t>e design generates</w:t>
      </w:r>
      <w:r>
        <w:t xml:space="preserve"> a sample of households </w:t>
      </w:r>
      <w:r w:rsidR="00BD0D88">
        <w:t>in</w:t>
      </w:r>
      <w:r>
        <w:t xml:space="preserve"> which </w:t>
      </w:r>
      <w:r w:rsidR="00EA474D">
        <w:t xml:space="preserve">every geographic area, </w:t>
      </w:r>
      <w:r>
        <w:t xml:space="preserve">every </w:t>
      </w:r>
      <w:r w:rsidR="000A1A44">
        <w:t>demographic group</w:t>
      </w:r>
      <w:r w:rsidR="00EA474D">
        <w:t>,</w:t>
      </w:r>
      <w:r w:rsidR="000A1A44">
        <w:t xml:space="preserve"> </w:t>
      </w:r>
      <w:r w:rsidR="00D45EBC">
        <w:t xml:space="preserve">and every wealth level </w:t>
      </w:r>
      <w:r>
        <w:t>is</w:t>
      </w:r>
      <w:r>
        <w:t xml:space="preserve"> well-represented</w:t>
      </w:r>
      <w:r w:rsidR="005E57BF">
        <w:t xml:space="preserve">. </w:t>
      </w:r>
      <w:r>
        <w:t xml:space="preserve">The rest of this section describes the two sampling </w:t>
      </w:r>
      <w:r w:rsidR="005355D0">
        <w:t>processes</w:t>
      </w:r>
      <w:r>
        <w:t xml:space="preserve"> in more detail.</w:t>
      </w:r>
    </w:p>
    <w:p w:rsidR="002C0F1B" w:rsidP="00E50881" w14:paraId="446506BD" w14:textId="77777777">
      <w:pPr>
        <w:pStyle w:val="BlockText"/>
        <w:ind w:left="0" w:right="0"/>
      </w:pPr>
    </w:p>
    <w:p w:rsidR="002C0F1B" w:rsidP="00E50881" w14:paraId="72C04EE2" w14:textId="517302FF">
      <w:pPr>
        <w:tabs>
          <w:tab w:val="left" w:pos="1176"/>
          <w:tab w:val="left" w:pos="1656"/>
          <w:tab w:val="left" w:pos="5016"/>
          <w:tab w:val="left" w:pos="6696"/>
          <w:tab w:val="left" w:pos="8256"/>
        </w:tabs>
      </w:pPr>
      <w:r>
        <w:rPr>
          <w:u w:val="single"/>
        </w:rPr>
        <w:t xml:space="preserve">Sampling Geographic Areas </w:t>
      </w:r>
    </w:p>
    <w:p w:rsidR="00BD7AA0" w:rsidP="00E50881" w14:paraId="2E865B0A" w14:textId="6FE4978D">
      <w:pPr>
        <w:pStyle w:val="BodyTextIndent3"/>
        <w:ind w:left="0"/>
      </w:pPr>
      <w:r>
        <w:t>In the first stage of sampling</w:t>
      </w:r>
      <w:r w:rsidR="00CD3BE4">
        <w:t>,</w:t>
      </w:r>
      <w:r>
        <w:t xml:space="preserve"> all </w:t>
      </w:r>
      <w:r w:rsidR="00331247">
        <w:t>3,144</w:t>
      </w:r>
      <w:r>
        <w:t xml:space="preserve"> counties </w:t>
      </w:r>
      <w:r w:rsidR="00AC1D96">
        <w:t xml:space="preserve">or county equivalents in </w:t>
      </w:r>
      <w:r>
        <w:t xml:space="preserve">the United States are partitioned into </w:t>
      </w:r>
      <w:r w:rsidR="00331247">
        <w:t>1,492</w:t>
      </w:r>
      <w:r w:rsidR="004C43C8">
        <w:t xml:space="preserve"> </w:t>
      </w:r>
      <w:bookmarkStart w:id="1" w:name="_Hlk165289089"/>
      <w:r>
        <w:t xml:space="preserve">small </w:t>
      </w:r>
      <w:r w:rsidR="00EA38CA">
        <w:t xml:space="preserve">geographic </w:t>
      </w:r>
      <w:r>
        <w:t>clusters called “primary sampling units” (PSUs)</w:t>
      </w:r>
      <w:r w:rsidR="00EA1343">
        <w:t xml:space="preserve">. </w:t>
      </w:r>
      <w:r>
        <w:t>The</w:t>
      </w:r>
      <w:r w:rsidR="006072B2">
        <w:t>se</w:t>
      </w:r>
      <w:r>
        <w:t xml:space="preserve"> are </w:t>
      </w:r>
      <w:r w:rsidR="008A061E">
        <w:t xml:space="preserve">the </w:t>
      </w:r>
      <w:r>
        <w:t xml:space="preserve">“core-based statistical areas” </w:t>
      </w:r>
      <w:r w:rsidR="0093769D">
        <w:t xml:space="preserve">(CBSAs) </w:t>
      </w:r>
      <w:r>
        <w:t>defined by the Office of Management and Budget</w:t>
      </w:r>
      <w:r w:rsidR="00EE2F0D">
        <w:t xml:space="preserve"> (OMB)</w:t>
      </w:r>
      <w:r w:rsidR="00673F04">
        <w:t>.</w:t>
      </w:r>
      <w:bookmarkEnd w:id="1"/>
      <w:r w:rsidRPr="00FE0828" w:rsidR="00FE0828">
        <w:rPr>
          <w:rStyle w:val="FootnoteReference"/>
        </w:rPr>
        <w:t xml:space="preserve"> </w:t>
      </w:r>
      <w:r>
        <w:rPr>
          <w:rStyle w:val="FootnoteReference"/>
        </w:rPr>
        <w:footnoteReference w:id="2"/>
      </w:r>
      <w:r w:rsidR="00673F04">
        <w:t xml:space="preserve"> T</w:t>
      </w:r>
      <w:r w:rsidR="005F2C67">
        <w:t xml:space="preserve">hey range in size from 1 </w:t>
      </w:r>
      <w:r w:rsidR="00C9743A">
        <w:t xml:space="preserve">county </w:t>
      </w:r>
      <w:r w:rsidR="005F2C67">
        <w:t>to 29 counties</w:t>
      </w:r>
      <w:r w:rsidR="00C34135">
        <w:t>,</w:t>
      </w:r>
      <w:r w:rsidR="005F2C67">
        <w:t xml:space="preserve"> </w:t>
      </w:r>
      <w:r>
        <w:t xml:space="preserve">with the </w:t>
      </w:r>
      <w:r w:rsidR="00542D87">
        <w:t xml:space="preserve">average size </w:t>
      </w:r>
      <w:r>
        <w:t>being</w:t>
      </w:r>
      <w:r w:rsidR="005F2C67">
        <w:t xml:space="preserve"> </w:t>
      </w:r>
      <w:r w:rsidR="00FE2862">
        <w:t>2</w:t>
      </w:r>
      <w:r w:rsidR="005F2C67">
        <w:t xml:space="preserve"> counties</w:t>
      </w:r>
      <w:r w:rsidR="005E57BF">
        <w:t>.</w:t>
      </w:r>
      <w:r>
        <w:rPr>
          <w:rStyle w:val="FootnoteReference"/>
        </w:rPr>
        <w:footnoteReference w:id="3"/>
      </w:r>
      <w:r w:rsidR="000C5430">
        <w:t xml:space="preserve"> </w:t>
      </w:r>
    </w:p>
    <w:p w:rsidR="00BD7AA0" w:rsidP="00E50881" w14:paraId="0410405D" w14:textId="77777777">
      <w:pPr>
        <w:pStyle w:val="BodyTextIndent3"/>
        <w:ind w:left="0"/>
      </w:pPr>
    </w:p>
    <w:p w:rsidR="00866DE0" w:rsidP="00E50881" w14:paraId="51656CF7" w14:textId="3D3EABF0">
      <w:pPr>
        <w:pStyle w:val="BodyTextIndent3"/>
        <w:ind w:left="0"/>
      </w:pPr>
      <w:r>
        <w:t xml:space="preserve">Then </w:t>
      </w:r>
      <w:r w:rsidR="006D2FAE">
        <w:t>the PSUs are partitioned into three size classes</w:t>
      </w:r>
      <w:r w:rsidR="009C7971">
        <w:t xml:space="preserve"> (S, N, R)</w:t>
      </w:r>
      <w:r w:rsidR="006D2FAE">
        <w:t xml:space="preserve">, and </w:t>
      </w:r>
      <w:r>
        <w:t xml:space="preserve">a representative sample of 91 </w:t>
      </w:r>
      <w:r w:rsidR="00E22157">
        <w:t>PSUs</w:t>
      </w:r>
      <w:r>
        <w:t xml:space="preserve"> is randomly selected for the </w:t>
      </w:r>
      <w:r w:rsidRPr="00FF6091" w:rsidR="00291C69">
        <w:t xml:space="preserve">Interview </w:t>
      </w:r>
      <w:r w:rsidR="00D53844">
        <w:t>and</w:t>
      </w:r>
      <w:r w:rsidR="00E0760B">
        <w:t xml:space="preserve"> </w:t>
      </w:r>
      <w:r w:rsidR="00291C69">
        <w:t>Diary Surveys</w:t>
      </w:r>
      <w:r>
        <w:t xml:space="preserve">. </w:t>
      </w:r>
      <w:r w:rsidR="005F2C67">
        <w:t xml:space="preserve">The same 91 PSUs </w:t>
      </w:r>
      <w:r w:rsidR="0022511B">
        <w:t>are</w:t>
      </w:r>
      <w:r w:rsidR="005F2C67">
        <w:t xml:space="preserve"> used in both</w:t>
      </w:r>
      <w:r w:rsidR="008A061E">
        <w:t xml:space="preserve"> surveys</w:t>
      </w:r>
      <w:r w:rsidR="005E57BF">
        <w:t>.</w:t>
      </w:r>
    </w:p>
    <w:p w:rsidR="00F54805" w:rsidP="00F54805" w14:paraId="40A13283" w14:textId="77777777">
      <w:pPr>
        <w:tabs>
          <w:tab w:val="left" w:pos="1176"/>
          <w:tab w:val="left" w:pos="1656"/>
          <w:tab w:val="left" w:pos="5016"/>
          <w:tab w:val="left" w:pos="6696"/>
          <w:tab w:val="left" w:pos="8256"/>
        </w:tabs>
      </w:pPr>
    </w:p>
    <w:tbl>
      <w:tblPr>
        <w:tblW w:w="10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298"/>
        <w:gridCol w:w="1363"/>
        <w:gridCol w:w="1362"/>
        <w:gridCol w:w="6342"/>
      </w:tblGrid>
      <w:tr w14:paraId="3713BCFB" w14:textId="77777777" w:rsidTr="00942F21">
        <w:tblPrEx>
          <w:tblW w:w="10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Ex>
        <w:trPr>
          <w:jc w:val="center"/>
        </w:trPr>
        <w:tc>
          <w:tcPr>
            <w:tcW w:w="1303" w:type="dxa"/>
            <w:tcBorders>
              <w:top w:val="double" w:sz="4" w:space="0" w:color="auto"/>
              <w:bottom w:val="single" w:sz="24" w:space="0" w:color="auto"/>
            </w:tcBorders>
            <w:tcMar>
              <w:left w:w="72" w:type="dxa"/>
              <w:right w:w="72" w:type="dxa"/>
            </w:tcMar>
            <w:vAlign w:val="center"/>
          </w:tcPr>
          <w:p w:rsidR="0058365A" w:rsidRPr="00E3685C" w:rsidP="0058365A" w14:paraId="79BA60FF" w14:textId="77777777">
            <w:pPr>
              <w:keepNext/>
              <w:tabs>
                <w:tab w:val="left" w:pos="1176"/>
                <w:tab w:val="left" w:pos="1656"/>
                <w:tab w:val="left" w:pos="5016"/>
                <w:tab w:val="left" w:pos="6696"/>
                <w:tab w:val="left" w:pos="8256"/>
              </w:tabs>
              <w:jc w:val="center"/>
              <w:rPr>
                <w:b/>
                <w:bCs/>
              </w:rPr>
            </w:pPr>
            <w:r>
              <w:rPr>
                <w:b/>
                <w:bCs/>
              </w:rPr>
              <w:t>PSU</w:t>
            </w:r>
          </w:p>
          <w:p w:rsidR="0058365A" w:rsidP="0058365A" w14:paraId="7E280B38" w14:textId="77777777">
            <w:pPr>
              <w:keepNext/>
              <w:tabs>
                <w:tab w:val="left" w:pos="1176"/>
                <w:tab w:val="left" w:pos="1656"/>
                <w:tab w:val="left" w:pos="5016"/>
                <w:tab w:val="left" w:pos="6696"/>
                <w:tab w:val="left" w:pos="8256"/>
              </w:tabs>
              <w:jc w:val="center"/>
              <w:rPr>
                <w:b/>
                <w:bCs/>
              </w:rPr>
            </w:pPr>
            <w:r w:rsidRPr="00E3685C">
              <w:rPr>
                <w:b/>
                <w:bCs/>
              </w:rPr>
              <w:t>“</w:t>
            </w:r>
            <w:r w:rsidRPr="00E3685C">
              <w:rPr>
                <w:b/>
                <w:bCs/>
              </w:rPr>
              <w:t>size</w:t>
            </w:r>
            <w:r w:rsidRPr="00E3685C">
              <w:rPr>
                <w:b/>
                <w:bCs/>
              </w:rPr>
              <w:t xml:space="preserve"> class”</w:t>
            </w:r>
          </w:p>
        </w:tc>
        <w:tc>
          <w:tcPr>
            <w:tcW w:w="1366" w:type="dxa"/>
            <w:tcBorders>
              <w:top w:val="double" w:sz="4" w:space="0" w:color="auto"/>
              <w:bottom w:val="single" w:sz="24" w:space="0" w:color="auto"/>
            </w:tcBorders>
            <w:vAlign w:val="center"/>
          </w:tcPr>
          <w:p w:rsidR="0058365A" w:rsidRPr="00E3685C" w:rsidP="0058365A" w14:paraId="20110B0C" w14:textId="77777777">
            <w:pPr>
              <w:keepNext/>
              <w:tabs>
                <w:tab w:val="left" w:pos="1176"/>
                <w:tab w:val="left" w:pos="1656"/>
                <w:tab w:val="left" w:pos="5016"/>
                <w:tab w:val="left" w:pos="6696"/>
                <w:tab w:val="left" w:pos="8256"/>
              </w:tabs>
              <w:jc w:val="center"/>
              <w:rPr>
                <w:b/>
                <w:bCs/>
              </w:rPr>
            </w:pPr>
            <w:r w:rsidRPr="00E3685C">
              <w:rPr>
                <w:b/>
                <w:bCs/>
              </w:rPr>
              <w:t>Number</w:t>
            </w:r>
          </w:p>
          <w:p w:rsidR="0058365A" w:rsidRPr="00E3685C" w:rsidP="0058365A" w14:paraId="473034D4" w14:textId="4008A3EA">
            <w:pPr>
              <w:keepNext/>
              <w:tabs>
                <w:tab w:val="left" w:pos="1176"/>
                <w:tab w:val="left" w:pos="1656"/>
                <w:tab w:val="left" w:pos="5016"/>
                <w:tab w:val="left" w:pos="6696"/>
                <w:tab w:val="left" w:pos="8256"/>
              </w:tabs>
              <w:jc w:val="center"/>
              <w:rPr>
                <w:b/>
                <w:bCs/>
              </w:rPr>
            </w:pPr>
            <w:r w:rsidRPr="00E3685C">
              <w:rPr>
                <w:b/>
                <w:bCs/>
              </w:rPr>
              <w:t>of PSUs</w:t>
            </w:r>
            <w:r>
              <w:rPr>
                <w:b/>
                <w:bCs/>
              </w:rPr>
              <w:t xml:space="preserve"> in the U.S.</w:t>
            </w:r>
          </w:p>
        </w:tc>
        <w:tc>
          <w:tcPr>
            <w:tcW w:w="1366" w:type="dxa"/>
            <w:tcBorders>
              <w:top w:val="double" w:sz="4" w:space="0" w:color="auto"/>
              <w:bottom w:val="single" w:sz="24" w:space="0" w:color="auto"/>
            </w:tcBorders>
            <w:tcMar>
              <w:left w:w="72" w:type="dxa"/>
              <w:right w:w="72" w:type="dxa"/>
            </w:tcMar>
            <w:vAlign w:val="center"/>
          </w:tcPr>
          <w:p w:rsidR="0058365A" w:rsidRPr="00E3685C" w:rsidP="0058365A" w14:paraId="61434DF7" w14:textId="7AB32F72">
            <w:pPr>
              <w:keepNext/>
              <w:tabs>
                <w:tab w:val="left" w:pos="1176"/>
                <w:tab w:val="left" w:pos="1656"/>
                <w:tab w:val="left" w:pos="5016"/>
                <w:tab w:val="left" w:pos="6696"/>
                <w:tab w:val="left" w:pos="8256"/>
              </w:tabs>
              <w:jc w:val="center"/>
              <w:rPr>
                <w:b/>
                <w:bCs/>
              </w:rPr>
            </w:pPr>
            <w:r w:rsidRPr="00E3685C">
              <w:rPr>
                <w:b/>
                <w:bCs/>
              </w:rPr>
              <w:t>Number</w:t>
            </w:r>
          </w:p>
          <w:p w:rsidR="0058365A" w:rsidP="0058365A" w14:paraId="6E12E8D9" w14:textId="6B869CF9">
            <w:pPr>
              <w:keepNext/>
              <w:tabs>
                <w:tab w:val="left" w:pos="1176"/>
                <w:tab w:val="left" w:pos="1656"/>
                <w:tab w:val="left" w:pos="5016"/>
                <w:tab w:val="left" w:pos="6696"/>
                <w:tab w:val="left" w:pos="8256"/>
              </w:tabs>
              <w:jc w:val="center"/>
              <w:rPr>
                <w:b/>
                <w:bCs/>
              </w:rPr>
            </w:pPr>
            <w:r w:rsidRPr="00E3685C">
              <w:rPr>
                <w:b/>
                <w:bCs/>
              </w:rPr>
              <w:t>of PSUs</w:t>
            </w:r>
            <w:r>
              <w:rPr>
                <w:b/>
                <w:bCs/>
              </w:rPr>
              <w:t xml:space="preserve"> in the sample</w:t>
            </w:r>
          </w:p>
        </w:tc>
        <w:tc>
          <w:tcPr>
            <w:tcW w:w="6390" w:type="dxa"/>
            <w:tcBorders>
              <w:top w:val="double" w:sz="4" w:space="0" w:color="auto"/>
              <w:bottom w:val="single" w:sz="24" w:space="0" w:color="auto"/>
            </w:tcBorders>
            <w:tcMar>
              <w:left w:w="72" w:type="dxa"/>
              <w:right w:w="72" w:type="dxa"/>
            </w:tcMar>
            <w:vAlign w:val="center"/>
          </w:tcPr>
          <w:p w:rsidR="0058365A" w:rsidP="0058365A" w14:paraId="667BD127" w14:textId="77777777">
            <w:pPr>
              <w:keepNext/>
              <w:tabs>
                <w:tab w:val="left" w:pos="1176"/>
                <w:tab w:val="left" w:pos="1656"/>
                <w:tab w:val="left" w:pos="5016"/>
                <w:tab w:val="left" w:pos="6696"/>
                <w:tab w:val="left" w:pos="8256"/>
              </w:tabs>
              <w:jc w:val="center"/>
              <w:rPr>
                <w:b/>
                <w:bCs/>
              </w:rPr>
            </w:pPr>
            <w:r w:rsidRPr="00E3685C">
              <w:rPr>
                <w:b/>
                <w:bCs/>
              </w:rPr>
              <w:t>Description</w:t>
            </w:r>
          </w:p>
        </w:tc>
      </w:tr>
      <w:tr w14:paraId="68E370ED" w14:textId="77777777" w:rsidTr="00942F21">
        <w:tblPrEx>
          <w:tblW w:w="10365" w:type="dxa"/>
          <w:jc w:val="center"/>
          <w:tblLook w:val="0000"/>
        </w:tblPrEx>
        <w:trPr>
          <w:jc w:val="center"/>
        </w:trPr>
        <w:tc>
          <w:tcPr>
            <w:tcW w:w="1303" w:type="dxa"/>
            <w:tcBorders>
              <w:top w:val="single" w:sz="24" w:space="0" w:color="auto"/>
            </w:tcBorders>
            <w:tcMar>
              <w:left w:w="72" w:type="dxa"/>
              <w:right w:w="72" w:type="dxa"/>
            </w:tcMar>
            <w:vAlign w:val="center"/>
          </w:tcPr>
          <w:p w:rsidR="0058365A" w:rsidP="0058365A" w14:paraId="0B45ADAC" w14:textId="77777777">
            <w:pPr>
              <w:keepNext/>
              <w:tabs>
                <w:tab w:val="left" w:pos="1176"/>
                <w:tab w:val="left" w:pos="1656"/>
                <w:tab w:val="left" w:pos="5016"/>
                <w:tab w:val="left" w:pos="6696"/>
                <w:tab w:val="left" w:pos="8256"/>
              </w:tabs>
              <w:jc w:val="center"/>
            </w:pPr>
            <w:r>
              <w:t>S</w:t>
            </w:r>
          </w:p>
        </w:tc>
        <w:tc>
          <w:tcPr>
            <w:tcW w:w="1366" w:type="dxa"/>
            <w:tcBorders>
              <w:top w:val="single" w:sz="24" w:space="0" w:color="auto"/>
            </w:tcBorders>
            <w:vAlign w:val="center"/>
          </w:tcPr>
          <w:p w:rsidR="0058365A" w:rsidRPr="00E3685C" w:rsidP="0058365A" w14:paraId="635E42D9" w14:textId="7AB1614F">
            <w:pPr>
              <w:keepNext/>
              <w:tabs>
                <w:tab w:val="left" w:pos="1176"/>
                <w:tab w:val="left" w:pos="1656"/>
                <w:tab w:val="left" w:pos="5016"/>
                <w:tab w:val="left" w:pos="6696"/>
                <w:tab w:val="left" w:pos="8256"/>
              </w:tabs>
              <w:jc w:val="center"/>
            </w:pPr>
            <w:r>
              <w:t>23</w:t>
            </w:r>
          </w:p>
        </w:tc>
        <w:tc>
          <w:tcPr>
            <w:tcW w:w="1366" w:type="dxa"/>
            <w:tcBorders>
              <w:top w:val="single" w:sz="24" w:space="0" w:color="auto"/>
            </w:tcBorders>
            <w:tcMar>
              <w:left w:w="72" w:type="dxa"/>
              <w:right w:w="72" w:type="dxa"/>
            </w:tcMar>
            <w:vAlign w:val="center"/>
          </w:tcPr>
          <w:p w:rsidR="0058365A" w:rsidP="0058365A" w14:paraId="0B2453B7" w14:textId="1F679224">
            <w:pPr>
              <w:keepNext/>
              <w:tabs>
                <w:tab w:val="left" w:pos="1176"/>
                <w:tab w:val="left" w:pos="1656"/>
                <w:tab w:val="left" w:pos="5016"/>
                <w:tab w:val="left" w:pos="6696"/>
                <w:tab w:val="left" w:pos="8256"/>
              </w:tabs>
              <w:jc w:val="center"/>
            </w:pPr>
            <w:r w:rsidRPr="00E3685C">
              <w:t>2</w:t>
            </w:r>
            <w:r>
              <w:t>3</w:t>
            </w:r>
          </w:p>
        </w:tc>
        <w:tc>
          <w:tcPr>
            <w:tcW w:w="6390" w:type="dxa"/>
            <w:tcBorders>
              <w:top w:val="single" w:sz="24" w:space="0" w:color="auto"/>
            </w:tcBorders>
            <w:tcMar>
              <w:left w:w="72" w:type="dxa"/>
              <w:right w:w="72" w:type="dxa"/>
            </w:tcMar>
            <w:vAlign w:val="center"/>
          </w:tcPr>
          <w:p w:rsidR="0058365A" w:rsidP="0058365A" w14:paraId="0BAC37C0" w14:textId="0AC0F039">
            <w:pPr>
              <w:keepNext/>
              <w:tabs>
                <w:tab w:val="left" w:pos="1176"/>
                <w:tab w:val="left" w:pos="1656"/>
                <w:tab w:val="left" w:pos="5016"/>
                <w:tab w:val="left" w:pos="6696"/>
                <w:tab w:val="left" w:pos="8256"/>
              </w:tabs>
            </w:pPr>
            <w:r w:rsidRPr="00E3685C">
              <w:t>Large C</w:t>
            </w:r>
            <w:r>
              <w:t xml:space="preserve">ore </w:t>
            </w:r>
            <w:r w:rsidRPr="00E3685C">
              <w:t>B</w:t>
            </w:r>
            <w:r>
              <w:t xml:space="preserve">ased </w:t>
            </w:r>
            <w:r w:rsidRPr="00E3685C">
              <w:t>S</w:t>
            </w:r>
            <w:r>
              <w:t xml:space="preserve">tatistical </w:t>
            </w:r>
            <w:r w:rsidRPr="00E3685C">
              <w:t>A</w:t>
            </w:r>
            <w:r>
              <w:t>rea</w:t>
            </w:r>
            <w:r w:rsidRPr="00E3685C">
              <w:t>s</w:t>
            </w:r>
            <w:r>
              <w:t xml:space="preserve">. These are CBSAs with over 2.8 million people, plus Anchorage and Honolulu. They are </w:t>
            </w:r>
            <w:r w:rsidRPr="00101429">
              <w:rPr>
                <w:b/>
                <w:bCs/>
              </w:rPr>
              <w:t>self-representing</w:t>
            </w:r>
            <w:r w:rsidRPr="00E3685C">
              <w:t xml:space="preserve"> PSUs</w:t>
            </w:r>
            <w:r w:rsidR="00C544BB">
              <w:t xml:space="preserve"> (S PSUs)</w:t>
            </w:r>
            <w:r>
              <w:t>.</w:t>
            </w:r>
          </w:p>
        </w:tc>
      </w:tr>
      <w:tr w14:paraId="366763B0" w14:textId="77777777" w:rsidTr="00942F21">
        <w:tblPrEx>
          <w:tblW w:w="10365" w:type="dxa"/>
          <w:jc w:val="center"/>
          <w:tblLook w:val="0000"/>
        </w:tblPrEx>
        <w:trPr>
          <w:jc w:val="center"/>
        </w:trPr>
        <w:tc>
          <w:tcPr>
            <w:tcW w:w="1303" w:type="dxa"/>
            <w:tcMar>
              <w:left w:w="72" w:type="dxa"/>
              <w:right w:w="72" w:type="dxa"/>
            </w:tcMar>
            <w:vAlign w:val="center"/>
          </w:tcPr>
          <w:p w:rsidR="0058365A" w:rsidP="0058365A" w14:paraId="78702C6E" w14:textId="77777777">
            <w:pPr>
              <w:keepNext/>
              <w:tabs>
                <w:tab w:val="left" w:pos="1176"/>
                <w:tab w:val="left" w:pos="1656"/>
                <w:tab w:val="left" w:pos="5016"/>
                <w:tab w:val="left" w:pos="6696"/>
                <w:tab w:val="left" w:pos="8256"/>
              </w:tabs>
              <w:jc w:val="center"/>
            </w:pPr>
            <w:r>
              <w:t>N</w:t>
            </w:r>
          </w:p>
        </w:tc>
        <w:tc>
          <w:tcPr>
            <w:tcW w:w="1366" w:type="dxa"/>
            <w:vAlign w:val="center"/>
          </w:tcPr>
          <w:p w:rsidR="0058365A" w:rsidP="0058365A" w14:paraId="10BECB3F" w14:textId="06B2B25D">
            <w:pPr>
              <w:keepNext/>
              <w:tabs>
                <w:tab w:val="left" w:pos="1176"/>
                <w:tab w:val="left" w:pos="1656"/>
                <w:tab w:val="left" w:pos="5016"/>
                <w:tab w:val="left" w:pos="6696"/>
                <w:tab w:val="left" w:pos="8256"/>
              </w:tabs>
              <w:jc w:val="center"/>
            </w:pPr>
            <w:r>
              <w:t>904</w:t>
            </w:r>
          </w:p>
        </w:tc>
        <w:tc>
          <w:tcPr>
            <w:tcW w:w="1366" w:type="dxa"/>
            <w:tcMar>
              <w:left w:w="72" w:type="dxa"/>
              <w:right w:w="72" w:type="dxa"/>
            </w:tcMar>
            <w:vAlign w:val="center"/>
          </w:tcPr>
          <w:p w:rsidR="0058365A" w:rsidP="0058365A" w14:paraId="02656D3A" w14:textId="32375B85">
            <w:pPr>
              <w:keepNext/>
              <w:tabs>
                <w:tab w:val="left" w:pos="1176"/>
                <w:tab w:val="left" w:pos="1656"/>
                <w:tab w:val="left" w:pos="5016"/>
                <w:tab w:val="left" w:pos="6696"/>
                <w:tab w:val="left" w:pos="8256"/>
              </w:tabs>
              <w:jc w:val="center"/>
            </w:pPr>
            <w:r>
              <w:t>52</w:t>
            </w:r>
          </w:p>
        </w:tc>
        <w:tc>
          <w:tcPr>
            <w:tcW w:w="6390" w:type="dxa"/>
            <w:tcMar>
              <w:left w:w="72" w:type="dxa"/>
              <w:right w:w="72" w:type="dxa"/>
            </w:tcMar>
            <w:vAlign w:val="center"/>
          </w:tcPr>
          <w:p w:rsidR="0058365A" w:rsidP="0058365A" w14:paraId="081C07E4" w14:textId="22F2725D">
            <w:pPr>
              <w:keepNext/>
              <w:tabs>
                <w:tab w:val="left" w:pos="1176"/>
                <w:tab w:val="left" w:pos="1656"/>
                <w:tab w:val="left" w:pos="5016"/>
                <w:tab w:val="left" w:pos="6696"/>
                <w:tab w:val="left" w:pos="8256"/>
              </w:tabs>
            </w:pPr>
            <w:r w:rsidRPr="00E3685C">
              <w:t>Small C</w:t>
            </w:r>
            <w:r>
              <w:t xml:space="preserve">ore </w:t>
            </w:r>
            <w:r w:rsidRPr="00E3685C">
              <w:t>B</w:t>
            </w:r>
            <w:r>
              <w:t xml:space="preserve">ased </w:t>
            </w:r>
            <w:r w:rsidRPr="00E3685C">
              <w:t>S</w:t>
            </w:r>
            <w:r>
              <w:t xml:space="preserve">tatistical </w:t>
            </w:r>
            <w:r w:rsidRPr="00E3685C">
              <w:t>A</w:t>
            </w:r>
            <w:r>
              <w:t>rea</w:t>
            </w:r>
            <w:r w:rsidRPr="00E3685C">
              <w:t>s</w:t>
            </w:r>
            <w:r>
              <w:t xml:space="preserve">. These are CBSAs with under 2.8 million people. They are </w:t>
            </w:r>
            <w:r w:rsidRPr="00101429">
              <w:rPr>
                <w:b/>
                <w:bCs/>
              </w:rPr>
              <w:t>non-self-representing</w:t>
            </w:r>
            <w:r>
              <w:t xml:space="preserve"> </w:t>
            </w:r>
            <w:r w:rsidRPr="00E3685C">
              <w:t>PSUs</w:t>
            </w:r>
            <w:r w:rsidR="00C544BB">
              <w:t xml:space="preserve"> (N PSUs)</w:t>
            </w:r>
            <w:r>
              <w:t>.</w:t>
            </w:r>
          </w:p>
        </w:tc>
      </w:tr>
      <w:tr w14:paraId="5849426F" w14:textId="77777777" w:rsidTr="00942F21">
        <w:tblPrEx>
          <w:tblW w:w="10365" w:type="dxa"/>
          <w:jc w:val="center"/>
          <w:tblLook w:val="0000"/>
        </w:tblPrEx>
        <w:trPr>
          <w:jc w:val="center"/>
        </w:trPr>
        <w:tc>
          <w:tcPr>
            <w:tcW w:w="1303" w:type="dxa"/>
            <w:tcMar>
              <w:left w:w="72" w:type="dxa"/>
              <w:right w:w="72" w:type="dxa"/>
            </w:tcMar>
            <w:vAlign w:val="center"/>
          </w:tcPr>
          <w:p w:rsidR="0058365A" w:rsidP="00C06CE0" w14:paraId="6B7E4346" w14:textId="77777777">
            <w:pPr>
              <w:keepNext/>
              <w:tabs>
                <w:tab w:val="left" w:pos="1176"/>
                <w:tab w:val="left" w:pos="1656"/>
                <w:tab w:val="left" w:pos="5016"/>
                <w:tab w:val="left" w:pos="6696"/>
                <w:tab w:val="left" w:pos="8256"/>
              </w:tabs>
              <w:jc w:val="center"/>
            </w:pPr>
            <w:r>
              <w:t>R</w:t>
            </w:r>
          </w:p>
        </w:tc>
        <w:tc>
          <w:tcPr>
            <w:tcW w:w="1366" w:type="dxa"/>
            <w:vAlign w:val="center"/>
          </w:tcPr>
          <w:p w:rsidR="0058365A" w:rsidRPr="00E3685C" w:rsidP="00C06CE0" w14:paraId="65E7C160" w14:textId="6FD9A7B5">
            <w:pPr>
              <w:keepNext/>
              <w:tabs>
                <w:tab w:val="left" w:pos="1176"/>
                <w:tab w:val="left" w:pos="1656"/>
                <w:tab w:val="left" w:pos="5016"/>
                <w:tab w:val="left" w:pos="6696"/>
                <w:tab w:val="left" w:pos="8256"/>
              </w:tabs>
              <w:jc w:val="center"/>
            </w:pPr>
            <w:r>
              <w:t>565</w:t>
            </w:r>
          </w:p>
        </w:tc>
        <w:tc>
          <w:tcPr>
            <w:tcW w:w="1366" w:type="dxa"/>
            <w:tcMar>
              <w:left w:w="72" w:type="dxa"/>
              <w:right w:w="72" w:type="dxa"/>
            </w:tcMar>
            <w:vAlign w:val="center"/>
          </w:tcPr>
          <w:p w:rsidR="0058365A" w:rsidP="00C06CE0" w14:paraId="06F25DEA" w14:textId="77777777">
            <w:pPr>
              <w:keepNext/>
              <w:tabs>
                <w:tab w:val="left" w:pos="1176"/>
                <w:tab w:val="left" w:pos="1656"/>
                <w:tab w:val="left" w:pos="5016"/>
                <w:tab w:val="left" w:pos="6696"/>
                <w:tab w:val="left" w:pos="8256"/>
              </w:tabs>
              <w:jc w:val="center"/>
            </w:pPr>
            <w:r w:rsidRPr="00E3685C">
              <w:t>16</w:t>
            </w:r>
          </w:p>
        </w:tc>
        <w:tc>
          <w:tcPr>
            <w:tcW w:w="6390" w:type="dxa"/>
            <w:tcMar>
              <w:left w:w="72" w:type="dxa"/>
              <w:right w:w="72" w:type="dxa"/>
            </w:tcMar>
            <w:vAlign w:val="center"/>
          </w:tcPr>
          <w:p w:rsidR="0058365A" w:rsidP="00C06CE0" w14:paraId="1B098BEA" w14:textId="66C5819A">
            <w:pPr>
              <w:keepNext/>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t>. These are small clusters of “</w:t>
            </w:r>
            <w:r w:rsidRPr="00101429">
              <w:rPr>
                <w:b/>
                <w:bCs/>
              </w:rPr>
              <w:t>rural</w:t>
            </w:r>
            <w:r>
              <w:t xml:space="preserve">” counties that are created by </w:t>
            </w:r>
            <w:r w:rsidR="002A7C17">
              <w:t>BLS</w:t>
            </w:r>
            <w:r>
              <w:t xml:space="preserve"> staff. They are </w:t>
            </w:r>
            <w:r w:rsidRPr="00E3685C">
              <w:t>non-self-representing PSUs</w:t>
            </w:r>
            <w:r w:rsidR="00C544BB">
              <w:t xml:space="preserve"> (R PSUs)</w:t>
            </w:r>
            <w:r>
              <w:t>.</w:t>
            </w:r>
          </w:p>
        </w:tc>
      </w:tr>
      <w:tr w14:paraId="5080CD38" w14:textId="77777777" w:rsidTr="00942F21">
        <w:tblPrEx>
          <w:tblW w:w="10365" w:type="dxa"/>
          <w:jc w:val="center"/>
          <w:tblLook w:val="0000"/>
        </w:tblPrEx>
        <w:trPr>
          <w:jc w:val="center"/>
        </w:trPr>
        <w:tc>
          <w:tcPr>
            <w:tcW w:w="1303" w:type="dxa"/>
            <w:tcMar>
              <w:left w:w="72" w:type="dxa"/>
              <w:right w:w="72" w:type="dxa"/>
            </w:tcMar>
            <w:vAlign w:val="center"/>
          </w:tcPr>
          <w:p w:rsidR="0058365A" w:rsidRPr="00942F21" w:rsidP="0058365A" w14:paraId="376827B4" w14:textId="01044CB8">
            <w:pPr>
              <w:keepNext/>
              <w:tabs>
                <w:tab w:val="left" w:pos="1176"/>
                <w:tab w:val="left" w:pos="1656"/>
                <w:tab w:val="left" w:pos="5016"/>
                <w:tab w:val="left" w:pos="6696"/>
                <w:tab w:val="left" w:pos="8256"/>
              </w:tabs>
              <w:jc w:val="center"/>
              <w:rPr>
                <w:b/>
                <w:bCs/>
              </w:rPr>
            </w:pPr>
            <w:r w:rsidRPr="00942F21">
              <w:rPr>
                <w:b/>
                <w:bCs/>
              </w:rPr>
              <w:t>Total</w:t>
            </w:r>
          </w:p>
        </w:tc>
        <w:tc>
          <w:tcPr>
            <w:tcW w:w="1366" w:type="dxa"/>
            <w:vAlign w:val="center"/>
          </w:tcPr>
          <w:p w:rsidR="0058365A" w:rsidRPr="00942F21" w:rsidP="0058365A" w14:paraId="31A03EAA" w14:textId="568F03A6">
            <w:pPr>
              <w:keepNext/>
              <w:tabs>
                <w:tab w:val="left" w:pos="1176"/>
                <w:tab w:val="left" w:pos="1656"/>
                <w:tab w:val="left" w:pos="5016"/>
                <w:tab w:val="left" w:pos="6696"/>
                <w:tab w:val="left" w:pos="8256"/>
              </w:tabs>
              <w:jc w:val="center"/>
              <w:rPr>
                <w:b/>
                <w:bCs/>
              </w:rPr>
            </w:pPr>
            <w:r w:rsidRPr="00942F21">
              <w:rPr>
                <w:b/>
                <w:bCs/>
              </w:rPr>
              <w:t>1,492</w:t>
            </w:r>
          </w:p>
        </w:tc>
        <w:tc>
          <w:tcPr>
            <w:tcW w:w="1366" w:type="dxa"/>
            <w:tcMar>
              <w:left w:w="72" w:type="dxa"/>
              <w:right w:w="72" w:type="dxa"/>
            </w:tcMar>
            <w:vAlign w:val="center"/>
          </w:tcPr>
          <w:p w:rsidR="0058365A" w:rsidRPr="00942F21" w:rsidP="0058365A" w14:paraId="31C7E79A" w14:textId="71812969">
            <w:pPr>
              <w:keepNext/>
              <w:tabs>
                <w:tab w:val="left" w:pos="1176"/>
                <w:tab w:val="left" w:pos="1656"/>
                <w:tab w:val="left" w:pos="5016"/>
                <w:tab w:val="left" w:pos="6696"/>
                <w:tab w:val="left" w:pos="8256"/>
              </w:tabs>
              <w:jc w:val="center"/>
              <w:rPr>
                <w:b/>
                <w:bCs/>
              </w:rPr>
            </w:pPr>
            <w:r w:rsidRPr="00942F21">
              <w:rPr>
                <w:b/>
                <w:bCs/>
              </w:rPr>
              <w:t>91</w:t>
            </w:r>
          </w:p>
        </w:tc>
        <w:tc>
          <w:tcPr>
            <w:tcW w:w="6390" w:type="dxa"/>
            <w:tcMar>
              <w:left w:w="72" w:type="dxa"/>
              <w:right w:w="72" w:type="dxa"/>
            </w:tcMar>
            <w:vAlign w:val="center"/>
          </w:tcPr>
          <w:p w:rsidR="0058365A" w:rsidRPr="00942F21" w:rsidP="0058365A" w14:paraId="5D0CD629" w14:textId="3DFF5E2B">
            <w:pPr>
              <w:keepNext/>
              <w:tabs>
                <w:tab w:val="left" w:pos="1176"/>
                <w:tab w:val="left" w:pos="1656"/>
                <w:tab w:val="left" w:pos="5016"/>
                <w:tab w:val="left" w:pos="6696"/>
                <w:tab w:val="left" w:pos="8256"/>
              </w:tabs>
              <w:rPr>
                <w:b/>
                <w:bCs/>
              </w:rPr>
            </w:pPr>
          </w:p>
        </w:tc>
      </w:tr>
    </w:tbl>
    <w:p w:rsidR="00F54805" w:rsidP="00F54805" w14:paraId="2A97F3CD" w14:textId="77777777">
      <w:pPr>
        <w:tabs>
          <w:tab w:val="left" w:pos="1176"/>
          <w:tab w:val="left" w:pos="1656"/>
          <w:tab w:val="left" w:pos="5016"/>
          <w:tab w:val="left" w:pos="6696"/>
          <w:tab w:val="left" w:pos="8256"/>
        </w:tabs>
      </w:pPr>
    </w:p>
    <w:p w:rsidR="00C455ED" w:rsidP="00C455ED" w14:paraId="1AADD61E" w14:textId="6DD2D510">
      <w:pPr>
        <w:tabs>
          <w:tab w:val="left" w:pos="1176"/>
          <w:tab w:val="left" w:pos="1656"/>
          <w:tab w:val="left" w:pos="5016"/>
          <w:tab w:val="left" w:pos="6696"/>
          <w:tab w:val="left" w:pos="8256"/>
        </w:tabs>
      </w:pPr>
      <w:r>
        <w:t xml:space="preserve">All 91 PSUs are used by the </w:t>
      </w:r>
      <w:r w:rsidRPr="00FF6091" w:rsidR="00291C69">
        <w:t xml:space="preserve">Interview </w:t>
      </w:r>
      <w:r w:rsidR="002A7C17">
        <w:t>and</w:t>
      </w:r>
      <w:r w:rsidR="00291C69">
        <w:t xml:space="preserve"> Diary Surveys</w:t>
      </w:r>
      <w:r w:rsidR="005E57BF">
        <w:t xml:space="preserve">. </w:t>
      </w:r>
      <w:r w:rsidR="006E5D3D">
        <w:t xml:space="preserve">However, only the 75 (=23+52) </w:t>
      </w:r>
      <w:r w:rsidR="000C5E4C">
        <w:t>CBSA</w:t>
      </w:r>
      <w:r w:rsidR="006E5D3D">
        <w:t xml:space="preserve"> PSUs are used by the Consumer Price Index (CPI). The CPI is one of CE’s major customers, and it</w:t>
      </w:r>
      <w:r w:rsidRPr="00E9093D" w:rsidR="00E9093D">
        <w:t xml:space="preserve"> </w:t>
      </w:r>
      <w:r w:rsidR="00E9093D">
        <w:t xml:space="preserve">uses CE’s data for </w:t>
      </w:r>
      <w:r w:rsidR="006D2FAE">
        <w:t xml:space="preserve">its </w:t>
      </w:r>
      <w:r w:rsidR="00E9093D">
        <w:t xml:space="preserve">expenditure weights. The CPI </w:t>
      </w:r>
      <w:r w:rsidR="006E5D3D">
        <w:t>is an urban survey</w:t>
      </w:r>
      <w:r w:rsidR="000425E4">
        <w:t>,</w:t>
      </w:r>
      <w:r w:rsidR="006E5D3D">
        <w:t xml:space="preserve"> </w:t>
      </w:r>
      <w:r w:rsidR="00893055">
        <w:t xml:space="preserve">not </w:t>
      </w:r>
      <w:r w:rsidR="006E5D3D">
        <w:t>a national survey</w:t>
      </w:r>
      <w:r w:rsidR="00E9093D">
        <w:t xml:space="preserve">, </w:t>
      </w:r>
      <w:r w:rsidR="007C0627">
        <w:t xml:space="preserve">which is </w:t>
      </w:r>
      <w:r w:rsidR="002A7C17">
        <w:t xml:space="preserve">why </w:t>
      </w:r>
      <w:r w:rsidR="00E9093D">
        <w:t xml:space="preserve">it uses </w:t>
      </w:r>
      <w:r w:rsidR="00C97F45">
        <w:t xml:space="preserve">only the </w:t>
      </w:r>
      <w:r w:rsidR="006D2FAE">
        <w:t xml:space="preserve">75 </w:t>
      </w:r>
      <w:r w:rsidR="000C5E4C">
        <w:t>CBSA</w:t>
      </w:r>
      <w:r w:rsidR="00C97F45">
        <w:t xml:space="preserve"> PSUs.</w:t>
      </w:r>
    </w:p>
    <w:p w:rsidR="00EE71DE" w:rsidP="00EE71DE" w14:paraId="3842FF30" w14:textId="77777777">
      <w:pPr>
        <w:tabs>
          <w:tab w:val="left" w:pos="1176"/>
          <w:tab w:val="left" w:pos="1656"/>
          <w:tab w:val="left" w:pos="5016"/>
          <w:tab w:val="left" w:pos="6696"/>
          <w:tab w:val="left" w:pos="8256"/>
        </w:tabs>
      </w:pPr>
    </w:p>
    <w:p w:rsidR="007C0A7B" w:rsidRPr="00B17854" w:rsidP="007C0A7B" w14:paraId="1D089E09" w14:textId="416B1E83">
      <w:pPr>
        <w:rPr>
          <w:u w:val="single"/>
        </w:rPr>
      </w:pPr>
      <w:bookmarkStart w:id="2" w:name="_Hlk164850889"/>
      <w:r w:rsidRPr="00B17854">
        <w:rPr>
          <w:u w:val="single"/>
        </w:rPr>
        <w:t>A New S</w:t>
      </w:r>
      <w:r w:rsidR="00866DE0">
        <w:rPr>
          <w:u w:val="single"/>
        </w:rPr>
        <w:t>ample</w:t>
      </w:r>
      <w:r w:rsidRPr="00B17854">
        <w:rPr>
          <w:u w:val="single"/>
        </w:rPr>
        <w:t xml:space="preserve"> of PSUs in 2025</w:t>
      </w:r>
    </w:p>
    <w:p w:rsidR="005224B4" w:rsidP="007C0A7B" w14:paraId="7B9C01A9" w14:textId="6D2EFCC5">
      <w:r>
        <w:t xml:space="preserve">A </w:t>
      </w:r>
      <w:r w:rsidRPr="00B17854" w:rsidR="0019439F">
        <w:t xml:space="preserve">new sample of PSUs </w:t>
      </w:r>
      <w:r>
        <w:t xml:space="preserve">was recently drawn </w:t>
      </w:r>
      <w:r w:rsidR="008877EA">
        <w:t xml:space="preserve">for the </w:t>
      </w:r>
      <w:r w:rsidRPr="00FF6091" w:rsidR="00291C69">
        <w:t xml:space="preserve">Interview </w:t>
      </w:r>
      <w:r w:rsidR="00291C69">
        <w:t>and Diary S</w:t>
      </w:r>
      <w:r w:rsidRPr="00FF6091" w:rsidR="00291C69">
        <w:t>urvey</w:t>
      </w:r>
      <w:r w:rsidR="00291C69">
        <w:t>s</w:t>
      </w:r>
      <w:r w:rsidR="008877EA">
        <w:t xml:space="preserve"> </w:t>
      </w:r>
      <w:r w:rsidR="00E96921">
        <w:t xml:space="preserve">based on the 2020 census. The old sample was based on the 2010 census, and the new sample is based on the 2020 census. </w:t>
      </w:r>
      <w:r>
        <w:t xml:space="preserve">CE’s </w:t>
      </w:r>
      <w:r w:rsidRPr="00B17854" w:rsidR="00E96921">
        <w:t xml:space="preserve">sample </w:t>
      </w:r>
      <w:r w:rsidR="009C7971">
        <w:t xml:space="preserve">is updated </w:t>
      </w:r>
      <w:r w:rsidRPr="00B17854" w:rsidR="00E96921">
        <w:t xml:space="preserve">every ten years to make sure </w:t>
      </w:r>
      <w:r w:rsidR="00E96921">
        <w:t>it</w:t>
      </w:r>
      <w:r w:rsidRPr="00B17854" w:rsidR="00E96921">
        <w:t xml:space="preserve"> accurately reflect</w:t>
      </w:r>
      <w:r w:rsidR="00E96921">
        <w:t>s</w:t>
      </w:r>
      <w:r w:rsidRPr="00B17854" w:rsidR="00E96921">
        <w:t xml:space="preserve"> the latest geographic shifts in the American population</w:t>
      </w:r>
      <w:r w:rsidR="00E96921">
        <w:t xml:space="preserve">. The CE program started using the new sample </w:t>
      </w:r>
      <w:r w:rsidR="000425E4">
        <w:t xml:space="preserve">of PSUs </w:t>
      </w:r>
      <w:r w:rsidR="00E96921">
        <w:t xml:space="preserve">in </w:t>
      </w:r>
      <w:r w:rsidR="00E96921">
        <w:t>2025</w:t>
      </w:r>
      <w:r w:rsidR="00ED2F63">
        <w:t>,</w:t>
      </w:r>
      <w:r w:rsidR="00E96921">
        <w:t xml:space="preserve"> and</w:t>
      </w:r>
      <w:r w:rsidR="00E96921">
        <w:t xml:space="preserve"> will continue using it </w:t>
      </w:r>
      <w:r w:rsidR="0063197D">
        <w:t>for</w:t>
      </w:r>
      <w:r w:rsidR="00E96921">
        <w:t xml:space="preserve"> the ten-year period 2025-2034.</w:t>
      </w:r>
    </w:p>
    <w:p w:rsidR="00363EC4" w:rsidP="007C0A7B" w14:paraId="0942C7C4" w14:textId="77777777"/>
    <w:p w:rsidR="00437A96" w:rsidP="00437A96" w14:paraId="00BFF81D" w14:textId="56EE65C8">
      <w:pPr>
        <w:tabs>
          <w:tab w:val="left" w:pos="1176"/>
          <w:tab w:val="left" w:pos="1656"/>
          <w:tab w:val="left" w:pos="5016"/>
          <w:tab w:val="left" w:pos="6696"/>
          <w:tab w:val="left" w:pos="8256"/>
        </w:tabs>
      </w:pPr>
      <w:r w:rsidRPr="00E3685C">
        <w:t xml:space="preserve">BLS selected </w:t>
      </w:r>
      <w:r>
        <w:t xml:space="preserve">its </w:t>
      </w:r>
      <w:r w:rsidR="000F6CD7">
        <w:t xml:space="preserve">new </w:t>
      </w:r>
      <w:r>
        <w:t>sample of 91</w:t>
      </w:r>
      <w:r w:rsidRPr="00E3685C">
        <w:t xml:space="preserve"> PSUs from a stratified sampl</w:t>
      </w:r>
      <w:r>
        <w:t>e</w:t>
      </w:r>
      <w:r w:rsidRPr="00E3685C">
        <w:t xml:space="preserve"> design in which</w:t>
      </w:r>
      <w:r>
        <w:t xml:space="preserve"> all 23 self-representing PSUs (the S PSUs) were selected for the survey with certainty, and</w:t>
      </w:r>
      <w:r w:rsidRPr="00E3685C">
        <w:t xml:space="preserve"> </w:t>
      </w:r>
      <w:r>
        <w:t xml:space="preserve">all </w:t>
      </w:r>
      <w:r w:rsidRPr="00E3685C">
        <w:t xml:space="preserve">non-self-representing PSUs (the </w:t>
      </w:r>
      <w:r>
        <w:t>N</w:t>
      </w:r>
      <w:r w:rsidRPr="00E3685C">
        <w:t xml:space="preserve"> and </w:t>
      </w:r>
      <w:r>
        <w:t>R</w:t>
      </w:r>
      <w:r w:rsidRPr="00E3685C">
        <w:t xml:space="preserve"> PSUs) </w:t>
      </w:r>
      <w:r>
        <w:t xml:space="preserve">were stratified into 68 (=52+16) strata </w:t>
      </w:r>
      <w:r w:rsidRPr="00E3685C">
        <w:t>us</w:t>
      </w:r>
      <w:r>
        <w:t xml:space="preserve">ing four variables to stratify them: income, education, computer ownership, and urbanicity. Then one PSU was randomly selected from each of the N and R strata with probability proportional to </w:t>
      </w:r>
      <w:r w:rsidR="000F6CD7">
        <w:t>its</w:t>
      </w:r>
      <w:r>
        <w:t xml:space="preserve"> population.</w:t>
      </w:r>
    </w:p>
    <w:p w:rsidR="00437A96" w:rsidP="00437A96" w14:paraId="5F9E17F2" w14:textId="77777777">
      <w:pPr>
        <w:tabs>
          <w:tab w:val="left" w:pos="1176"/>
          <w:tab w:val="left" w:pos="1656"/>
          <w:tab w:val="left" w:pos="5016"/>
          <w:tab w:val="left" w:pos="6696"/>
          <w:tab w:val="left" w:pos="8256"/>
        </w:tabs>
      </w:pPr>
    </w:p>
    <w:p w:rsidR="007C0A7B" w:rsidRPr="00B17854" w:rsidP="007C0A7B" w14:paraId="6EA36E19" w14:textId="73ABE4C7">
      <w:r>
        <w:t>O</w:t>
      </w:r>
      <w:r w:rsidRPr="00B17854">
        <w:t>verall</w:t>
      </w:r>
      <w:r>
        <w:t>,</w:t>
      </w:r>
      <w:r w:rsidRPr="00B17854">
        <w:t xml:space="preserve"> </w:t>
      </w:r>
      <w:r>
        <w:t xml:space="preserve">the </w:t>
      </w:r>
      <w:r w:rsidR="00321156">
        <w:t xml:space="preserve">new </w:t>
      </w:r>
      <w:r w:rsidRPr="00B17854">
        <w:t>sample design</w:t>
      </w:r>
      <w:r w:rsidR="00341324">
        <w:t>’s basic framework</w:t>
      </w:r>
      <w:r w:rsidRPr="00B17854">
        <w:t xml:space="preserve"> remains unchanged from </w:t>
      </w:r>
      <w:r w:rsidR="00341324">
        <w:t xml:space="preserve">that of </w:t>
      </w:r>
      <w:r w:rsidR="00596930">
        <w:t>the old sample design</w:t>
      </w:r>
      <w:r w:rsidRPr="00B17854">
        <w:t xml:space="preserve">. </w:t>
      </w:r>
      <w:r w:rsidR="00237F33">
        <w:t>It</w:t>
      </w:r>
      <w:r w:rsidRPr="00B17854">
        <w:t xml:space="preserve"> still consists of the 23 largest CBSAs in the United States; </w:t>
      </w:r>
      <w:r w:rsidRPr="00B17854">
        <w:t>plus</w:t>
      </w:r>
      <w:r w:rsidRPr="00B17854">
        <w:t xml:space="preserve"> a random sample of 52 smaller CBSAs to represent the rest of the </w:t>
      </w:r>
      <w:r w:rsidR="000C5E4C">
        <w:t>CBSA</w:t>
      </w:r>
      <w:r w:rsidRPr="00B17854">
        <w:t xml:space="preserve"> parts of the country; </w:t>
      </w:r>
      <w:r w:rsidR="00ED2F63">
        <w:t>plus</w:t>
      </w:r>
      <w:r w:rsidRPr="00B17854">
        <w:t xml:space="preserve"> a random sample of 16 non-CBSA areas to represent the </w:t>
      </w:r>
      <w:r w:rsidR="000C5E4C">
        <w:t>non-CBSA</w:t>
      </w:r>
      <w:r w:rsidRPr="00B17854">
        <w:t xml:space="preserve"> parts of the country.</w:t>
      </w:r>
    </w:p>
    <w:p w:rsidR="007C0A7B" w:rsidRPr="00B17854" w:rsidP="007C0A7B" w14:paraId="0EC3A315" w14:textId="77777777"/>
    <w:p w:rsidR="000C1246" w:rsidP="007C0A7B" w14:paraId="25A6EF5A" w14:textId="77BEE1D0">
      <w:r w:rsidRPr="00B17854">
        <w:t>However, there are two key differences between the old and new sample designs. One difference is the addition of geographic clustering to the sample design</w:t>
      </w:r>
      <w:r w:rsidR="00CE2BDE">
        <w:t xml:space="preserve">. </w:t>
      </w:r>
      <w:r w:rsidR="00D43D49">
        <w:t>Geographic</w:t>
      </w:r>
      <w:r w:rsidR="00352711">
        <w:t xml:space="preserve"> clustering </w:t>
      </w:r>
      <w:r w:rsidR="00CE2BDE">
        <w:t>was</w:t>
      </w:r>
      <w:r w:rsidR="00352711">
        <w:t xml:space="preserve"> added to </w:t>
      </w:r>
      <w:r w:rsidR="00066090">
        <w:t xml:space="preserve">facilitate data collection. Small PSUs </w:t>
      </w:r>
      <w:r w:rsidR="000F23CA">
        <w:t xml:space="preserve">in the sample </w:t>
      </w:r>
      <w:r w:rsidR="00B510C1">
        <w:t xml:space="preserve">(under 200,000 people) </w:t>
      </w:r>
      <w:r w:rsidR="00066090">
        <w:t>are required to be geographically close to large PSUs</w:t>
      </w:r>
      <w:r w:rsidR="00B247DF">
        <w:t xml:space="preserve"> </w:t>
      </w:r>
      <w:r w:rsidR="00B510C1">
        <w:t>in the sample (over 200,000 people)</w:t>
      </w:r>
      <w:r w:rsidR="00066090">
        <w:t xml:space="preserve">, so that when data collectors get sick or go on vacation, </w:t>
      </w:r>
      <w:r w:rsidR="00363EC4">
        <w:t>those</w:t>
      </w:r>
      <w:r w:rsidR="00066090">
        <w:t xml:space="preserve"> from a nearby PSU can </w:t>
      </w:r>
      <w:r w:rsidR="000F6CD7">
        <w:t xml:space="preserve">easily </w:t>
      </w:r>
      <w:r w:rsidR="00066090">
        <w:t>fill in for them.</w:t>
      </w:r>
    </w:p>
    <w:p w:rsidR="00D40AB3" w:rsidP="00D40AB3" w14:paraId="7B4B7C8D" w14:textId="77777777"/>
    <w:p w:rsidR="00D917FB" w:rsidP="00D40AB3" w14:paraId="4EF7D3D1" w14:textId="4BA5E18D">
      <w:pPr>
        <w:rPr>
          <w:rFonts w:eastAsiaTheme="minorHAnsi"/>
          <w:kern w:val="2"/>
          <w14:ligatures w14:val="standardContextual"/>
        </w:rPr>
      </w:pPr>
      <w:r>
        <w:t xml:space="preserve">The </w:t>
      </w:r>
      <w:r w:rsidR="000C5E4C">
        <w:t xml:space="preserve">other difference </w:t>
      </w:r>
      <w:r>
        <w:t xml:space="preserve">is the longer phase-in/phase-out </w:t>
      </w:r>
      <w:r w:rsidR="0034209A">
        <w:t xml:space="preserve">(PIPO) </w:t>
      </w:r>
      <w:r>
        <w:t>time period</w:t>
      </w:r>
      <w:r>
        <w:t xml:space="preserve">. </w:t>
      </w:r>
      <w:r>
        <w:rPr>
          <w:rFonts w:eastAsiaTheme="minorHAnsi"/>
          <w:kern w:val="2"/>
          <w14:ligatures w14:val="standardContextual"/>
        </w:rPr>
        <w:t>PSU</w:t>
      </w:r>
      <w:r w:rsidR="00AC05C5">
        <w:rPr>
          <w:rFonts w:eastAsiaTheme="minorHAnsi"/>
          <w:kern w:val="2"/>
          <w14:ligatures w14:val="standardContextual"/>
        </w:rPr>
        <w:t>s</w:t>
      </w:r>
      <w:r>
        <w:rPr>
          <w:rFonts w:eastAsiaTheme="minorHAnsi"/>
          <w:kern w:val="2"/>
          <w14:ligatures w14:val="standardContextual"/>
        </w:rPr>
        <w:t xml:space="preserve"> </w:t>
      </w:r>
      <w:r w:rsidR="008877EA">
        <w:rPr>
          <w:rFonts w:eastAsiaTheme="minorHAnsi"/>
          <w:kern w:val="2"/>
          <w14:ligatures w14:val="standardContextual"/>
        </w:rPr>
        <w:t xml:space="preserve">are normally </w:t>
      </w:r>
      <w:r>
        <w:rPr>
          <w:rFonts w:eastAsiaTheme="minorHAnsi"/>
          <w:kern w:val="2"/>
          <w14:ligatures w14:val="standardContextual"/>
        </w:rPr>
        <w:t>phase</w:t>
      </w:r>
      <w:r w:rsidR="008877EA">
        <w:rPr>
          <w:rFonts w:eastAsiaTheme="minorHAnsi"/>
          <w:kern w:val="2"/>
          <w14:ligatures w14:val="standardContextual"/>
        </w:rPr>
        <w:t>d</w:t>
      </w:r>
      <w:r>
        <w:rPr>
          <w:rFonts w:eastAsiaTheme="minorHAnsi"/>
          <w:kern w:val="2"/>
          <w14:ligatures w14:val="standardContextual"/>
        </w:rPr>
        <w:t>-in</w:t>
      </w:r>
      <w:r w:rsidR="008877EA">
        <w:rPr>
          <w:rFonts w:eastAsiaTheme="minorHAnsi"/>
          <w:kern w:val="2"/>
          <w14:ligatures w14:val="standardContextual"/>
        </w:rPr>
        <w:t xml:space="preserve"> and </w:t>
      </w:r>
      <w:r>
        <w:rPr>
          <w:rFonts w:eastAsiaTheme="minorHAnsi"/>
          <w:kern w:val="2"/>
          <w14:ligatures w14:val="standardContextual"/>
        </w:rPr>
        <w:t>phase</w:t>
      </w:r>
      <w:r w:rsidR="008877EA">
        <w:rPr>
          <w:rFonts w:eastAsiaTheme="minorHAnsi"/>
          <w:kern w:val="2"/>
          <w14:ligatures w14:val="standardContextual"/>
        </w:rPr>
        <w:t>d</w:t>
      </w:r>
      <w:r>
        <w:rPr>
          <w:rFonts w:eastAsiaTheme="minorHAnsi"/>
          <w:kern w:val="2"/>
          <w14:ligatures w14:val="standardContextual"/>
        </w:rPr>
        <w:t xml:space="preserve">-out </w:t>
      </w:r>
      <w:r>
        <w:rPr>
          <w:rFonts w:eastAsiaTheme="minorHAnsi"/>
          <w:kern w:val="2"/>
          <w14:ligatures w14:val="standardContextual"/>
        </w:rPr>
        <w:t xml:space="preserve">in a </w:t>
      </w:r>
      <w:r w:rsidR="00085282">
        <w:rPr>
          <w:rFonts w:eastAsiaTheme="minorHAnsi"/>
          <w:kern w:val="2"/>
          <w14:ligatures w14:val="standardContextual"/>
        </w:rPr>
        <w:t>one-step process over a one-year period</w:t>
      </w:r>
      <w:r>
        <w:rPr>
          <w:rFonts w:eastAsiaTheme="minorHAnsi"/>
          <w:kern w:val="2"/>
          <w14:ligatures w14:val="standardContextual"/>
        </w:rPr>
        <w:t xml:space="preserve">. This time, however, </w:t>
      </w:r>
      <w:r w:rsidR="000D3CBA">
        <w:rPr>
          <w:rFonts w:eastAsiaTheme="minorHAnsi"/>
          <w:kern w:val="2"/>
          <w14:ligatures w14:val="standardContextual"/>
        </w:rPr>
        <w:t>they will be phase</w:t>
      </w:r>
      <w:r w:rsidR="00A46C76">
        <w:rPr>
          <w:rFonts w:eastAsiaTheme="minorHAnsi"/>
          <w:kern w:val="2"/>
          <w14:ligatures w14:val="standardContextual"/>
        </w:rPr>
        <w:t>d</w:t>
      </w:r>
      <w:r w:rsidR="000D3CBA">
        <w:rPr>
          <w:rFonts w:eastAsiaTheme="minorHAnsi"/>
          <w:kern w:val="2"/>
          <w14:ligatures w14:val="standardContextual"/>
        </w:rPr>
        <w:t>-in and phase</w:t>
      </w:r>
      <w:r w:rsidR="00A46C76">
        <w:rPr>
          <w:rFonts w:eastAsiaTheme="minorHAnsi"/>
          <w:kern w:val="2"/>
          <w14:ligatures w14:val="standardContextual"/>
        </w:rPr>
        <w:t>d</w:t>
      </w:r>
      <w:r w:rsidR="000D3CBA">
        <w:rPr>
          <w:rFonts w:eastAsiaTheme="minorHAnsi"/>
          <w:kern w:val="2"/>
          <w14:ligatures w14:val="standardContextual"/>
        </w:rPr>
        <w:t xml:space="preserve">-out </w:t>
      </w:r>
      <w:r w:rsidR="00085282">
        <w:rPr>
          <w:rFonts w:eastAsiaTheme="minorHAnsi"/>
          <w:kern w:val="2"/>
          <w14:ligatures w14:val="standardContextual"/>
        </w:rPr>
        <w:t>in</w:t>
      </w:r>
      <w:r>
        <w:rPr>
          <w:rFonts w:eastAsiaTheme="minorHAnsi"/>
          <w:kern w:val="2"/>
          <w14:ligatures w14:val="standardContextual"/>
        </w:rPr>
        <w:t xml:space="preserve"> a two-step process over </w:t>
      </w:r>
      <w:r w:rsidR="004C73F0">
        <w:rPr>
          <w:rFonts w:eastAsiaTheme="minorHAnsi"/>
          <w:kern w:val="2"/>
          <w14:ligatures w14:val="standardContextual"/>
        </w:rPr>
        <w:t xml:space="preserve">multiple </w:t>
      </w:r>
      <w:r>
        <w:rPr>
          <w:rFonts w:eastAsiaTheme="minorHAnsi"/>
          <w:kern w:val="2"/>
          <w14:ligatures w14:val="standardContextual"/>
        </w:rPr>
        <w:t>year</w:t>
      </w:r>
      <w:r w:rsidR="004C73F0">
        <w:rPr>
          <w:rFonts w:eastAsiaTheme="minorHAnsi"/>
          <w:kern w:val="2"/>
          <w14:ligatures w14:val="standardContextual"/>
        </w:rPr>
        <w:t>s</w:t>
      </w:r>
      <w:r>
        <w:rPr>
          <w:rFonts w:eastAsiaTheme="minorHAnsi"/>
          <w:kern w:val="2"/>
          <w14:ligatures w14:val="standardContextual"/>
        </w:rPr>
        <w:t xml:space="preserve">. This two-step process is designed to </w:t>
      </w:r>
      <w:r w:rsidR="00B97A28">
        <w:rPr>
          <w:rFonts w:eastAsiaTheme="minorHAnsi"/>
          <w:kern w:val="2"/>
          <w14:ligatures w14:val="standardContextual"/>
        </w:rPr>
        <w:t xml:space="preserve">alleviate </w:t>
      </w:r>
      <w:r>
        <w:rPr>
          <w:rFonts w:eastAsiaTheme="minorHAnsi"/>
          <w:kern w:val="2"/>
          <w14:ligatures w14:val="standardContextual"/>
        </w:rPr>
        <w:t xml:space="preserve">financial and hiring </w:t>
      </w:r>
      <w:r w:rsidR="00B97A28">
        <w:rPr>
          <w:rFonts w:eastAsiaTheme="minorHAnsi"/>
          <w:kern w:val="2"/>
          <w14:ligatures w14:val="standardContextual"/>
        </w:rPr>
        <w:t xml:space="preserve">difficulties </w:t>
      </w:r>
      <w:r w:rsidR="0014738F">
        <w:rPr>
          <w:rFonts w:eastAsiaTheme="minorHAnsi"/>
          <w:kern w:val="2"/>
          <w14:ligatures w14:val="standardContextual"/>
        </w:rPr>
        <w:t xml:space="preserve">that </w:t>
      </w:r>
      <w:r w:rsidR="00CF22CA">
        <w:rPr>
          <w:rFonts w:eastAsiaTheme="minorHAnsi"/>
          <w:kern w:val="2"/>
          <w14:ligatures w14:val="standardContextual"/>
        </w:rPr>
        <w:t>were recently encountered</w:t>
      </w:r>
      <w:r>
        <w:rPr>
          <w:rFonts w:eastAsiaTheme="minorHAnsi"/>
          <w:kern w:val="2"/>
          <w14:ligatures w14:val="standardContextual"/>
        </w:rPr>
        <w:t>.</w:t>
      </w:r>
    </w:p>
    <w:p w:rsidR="00D917FB" w:rsidP="00D40AB3" w14:paraId="66D8B9B6" w14:textId="77777777">
      <w:pPr>
        <w:rPr>
          <w:rFonts w:eastAsiaTheme="minorHAnsi"/>
          <w:kern w:val="2"/>
          <w14:ligatures w14:val="standardContextual"/>
        </w:rPr>
      </w:pPr>
    </w:p>
    <w:p w:rsidR="00CF22CA" w:rsidP="00D40AB3" w14:paraId="45D5F7D4" w14:textId="03A09065">
      <w:r>
        <w:t xml:space="preserve">Step 1 occurred in </w:t>
      </w:r>
      <w:r>
        <w:t>2025</w:t>
      </w:r>
      <w:r>
        <w:t xml:space="preserve"> and</w:t>
      </w:r>
      <w:r w:rsidR="00D40AB3">
        <w:t xml:space="preserve"> </w:t>
      </w:r>
      <w:r w:rsidR="0034209A">
        <w:t>18</w:t>
      </w:r>
      <w:r w:rsidR="00D40AB3">
        <w:t xml:space="preserve"> old PSUs </w:t>
      </w:r>
      <w:r>
        <w:t>were</w:t>
      </w:r>
      <w:r w:rsidR="00F6226F">
        <w:t xml:space="preserve"> </w:t>
      </w:r>
      <w:r w:rsidR="00D40AB3">
        <w:t xml:space="preserve">dropped from the sample, and </w:t>
      </w:r>
      <w:r w:rsidR="0034209A">
        <w:t>8</w:t>
      </w:r>
      <w:r w:rsidR="00D40AB3">
        <w:t xml:space="preserve"> new PSUs </w:t>
      </w:r>
      <w:r>
        <w:t>were</w:t>
      </w:r>
      <w:r w:rsidR="0034209A">
        <w:t xml:space="preserve"> ad</w:t>
      </w:r>
      <w:r w:rsidR="00D40AB3">
        <w:t xml:space="preserve">ded to the sample. </w:t>
      </w:r>
      <w:r w:rsidR="000D3CBA">
        <w:t xml:space="preserve">This will </w:t>
      </w:r>
      <w:r w:rsidR="00A46C76">
        <w:t xml:space="preserve">temporarily </w:t>
      </w:r>
      <w:r w:rsidR="000D3CBA">
        <w:t xml:space="preserve">decrease the number of PSUs in the sample to 81. </w:t>
      </w:r>
      <w:r>
        <w:t xml:space="preserve">In </w:t>
      </w:r>
      <w:r w:rsidR="000D3CBA">
        <w:t>Step 2</w:t>
      </w:r>
      <w:r w:rsidR="0034209A">
        <w:t>, 6</w:t>
      </w:r>
      <w:r w:rsidR="00D40AB3">
        <w:t xml:space="preserve"> old PSUs will be dropped from the sample, and </w:t>
      </w:r>
      <w:r w:rsidR="0034209A">
        <w:t>16</w:t>
      </w:r>
      <w:r w:rsidR="00D40AB3">
        <w:t xml:space="preserve"> new PSUs will be added to the sample.</w:t>
      </w:r>
      <w:r w:rsidR="0014738F">
        <w:t xml:space="preserve"> </w:t>
      </w:r>
      <w:r w:rsidR="000D3CBA">
        <w:t xml:space="preserve">This will return the number of PSUs </w:t>
      </w:r>
      <w:r w:rsidR="00FE249B">
        <w:t xml:space="preserve">in the sample </w:t>
      </w:r>
      <w:r w:rsidR="000D3CBA">
        <w:t xml:space="preserve">to 91. </w:t>
      </w:r>
      <w:r w:rsidR="00A46C76">
        <w:t>Between</w:t>
      </w:r>
      <w:r w:rsidR="00FE249B">
        <w:t xml:space="preserve"> the two steps</w:t>
      </w:r>
      <w:r w:rsidR="0014738F">
        <w:t>, 24</w:t>
      </w:r>
      <w:r w:rsidRPr="00B17854" w:rsidR="0014738F">
        <w:t xml:space="preserve"> old PSUs </w:t>
      </w:r>
      <w:r w:rsidR="0014738F">
        <w:t xml:space="preserve">will be </w:t>
      </w:r>
      <w:r w:rsidRPr="00B17854" w:rsidR="0014738F">
        <w:t xml:space="preserve">dropped from the sample, and </w:t>
      </w:r>
      <w:r w:rsidR="0014738F">
        <w:t>24</w:t>
      </w:r>
      <w:r w:rsidRPr="00B17854" w:rsidR="0014738F">
        <w:t xml:space="preserve"> new PSUs </w:t>
      </w:r>
      <w:r w:rsidR="0014738F">
        <w:t>will be</w:t>
      </w:r>
      <w:r w:rsidRPr="00B17854" w:rsidR="0014738F">
        <w:t xml:space="preserve"> added to the sample</w:t>
      </w:r>
      <w:r w:rsidR="00A46C76">
        <w:t xml:space="preserve">. So, in its entirety, </w:t>
      </w:r>
      <w:r>
        <w:t xml:space="preserve">once the </w:t>
      </w:r>
      <w:r w:rsidR="00A46C76">
        <w:t xml:space="preserve">sample design </w:t>
      </w:r>
      <w:r>
        <w:t xml:space="preserve">is fully implemented, there </w:t>
      </w:r>
      <w:r w:rsidR="00A46C76">
        <w:t>will continue to</w:t>
      </w:r>
      <w:r>
        <w:t xml:space="preserve"> be</w:t>
      </w:r>
      <w:r w:rsidR="00A46C76">
        <w:t xml:space="preserve"> 91 PSUs</w:t>
      </w:r>
      <w:r>
        <w:t xml:space="preserve"> in the sample.</w:t>
      </w:r>
    </w:p>
    <w:p w:rsidR="00EF1E06" w:rsidP="00D40AB3" w14:paraId="1C1F6256" w14:textId="77777777">
      <w:bookmarkStart w:id="3" w:name="_Hlk205883202"/>
    </w:p>
    <w:p w:rsidR="00A870EE" w:rsidP="00D40AB3" w14:paraId="2C53882E" w14:textId="1DF8B4DC">
      <w:r>
        <w:t xml:space="preserve">Step 2 </w:t>
      </w:r>
      <w:r>
        <w:t xml:space="preserve">was </w:t>
      </w:r>
      <w:r w:rsidR="00341324">
        <w:t xml:space="preserve">originally </w:t>
      </w:r>
      <w:r>
        <w:t>scheduled to be implemented in 2026</w:t>
      </w:r>
      <w:r w:rsidR="00F6226F">
        <w:t>; h</w:t>
      </w:r>
      <w:r w:rsidR="004965BD">
        <w:t xml:space="preserve">owever, </w:t>
      </w:r>
      <w:r w:rsidR="00AC05C5">
        <w:t xml:space="preserve">due to unforeseen </w:t>
      </w:r>
      <w:r w:rsidR="00426D9B">
        <w:rPr>
          <w:rFonts w:eastAsiaTheme="minorHAnsi"/>
          <w:kern w:val="2"/>
          <w14:ligatures w14:val="standardContextual"/>
        </w:rPr>
        <w:t>financial and hiring difficulties</w:t>
      </w:r>
      <w:r w:rsidR="00AC05C5">
        <w:t xml:space="preserve">, </w:t>
      </w:r>
      <w:r w:rsidR="00EF1E06">
        <w:t xml:space="preserve">it </w:t>
      </w:r>
      <w:r w:rsidR="00EA3207">
        <w:t>was pos</w:t>
      </w:r>
      <w:r w:rsidR="00EF1E06">
        <w:t>t</w:t>
      </w:r>
      <w:r w:rsidR="00EA3207">
        <w:t>poned</w:t>
      </w:r>
      <w:r>
        <w:t xml:space="preserve">. That means the 2026 sample will remain at Step 1, </w:t>
      </w:r>
      <w:r w:rsidR="00005D41">
        <w:t>and</w:t>
      </w:r>
      <w:r>
        <w:t xml:space="preserve"> the </w:t>
      </w:r>
      <w:r w:rsidR="00145C3A">
        <w:t>PSUs</w:t>
      </w:r>
      <w:r>
        <w:t xml:space="preserve"> will </w:t>
      </w:r>
      <w:r w:rsidR="00426D9B">
        <w:t>remain</w:t>
      </w:r>
      <w:r>
        <w:t xml:space="preserve"> the same</w:t>
      </w:r>
      <w:r w:rsidR="00426D9B">
        <w:t xml:space="preserve"> as </w:t>
      </w:r>
      <w:r w:rsidR="004965BD">
        <w:t xml:space="preserve">in </w:t>
      </w:r>
      <w:r w:rsidR="00426D9B">
        <w:t>the 2025 sample</w:t>
      </w:r>
      <w:r>
        <w:t>.</w:t>
      </w:r>
      <w:r w:rsidR="004C73F0">
        <w:t xml:space="preserve"> A decision on whether to move forward with step 2 will be made after funds and staffing are reassessed in 2026.  </w:t>
      </w:r>
      <w:r>
        <w:t xml:space="preserve"> The</w:t>
      </w:r>
      <w:r w:rsidR="00F6226F">
        <w:t xml:space="preserve"> first</w:t>
      </w:r>
      <w:r>
        <w:t xml:space="preserve"> table below </w:t>
      </w:r>
      <w:r w:rsidR="00B80441">
        <w:t>show</w:t>
      </w:r>
      <w:r w:rsidR="00F6226F">
        <w:t>s</w:t>
      </w:r>
      <w:r w:rsidR="004C73F0">
        <w:t xml:space="preserve"> </w:t>
      </w:r>
      <w:r w:rsidR="00B80441">
        <w:t xml:space="preserve"> </w:t>
      </w:r>
      <w:r w:rsidR="004C73F0">
        <w:t>the</w:t>
      </w:r>
      <w:r w:rsidR="004C73F0">
        <w:t xml:space="preserve"> </w:t>
      </w:r>
      <w:r w:rsidR="00B80441">
        <w:t>number of PSUs in the sample</w:t>
      </w:r>
      <w:r w:rsidR="004C73F0">
        <w:t xml:space="preserve"> </w:t>
      </w:r>
      <w:r w:rsidR="00F6226F">
        <w:t>if Step 1 is held constan</w:t>
      </w:r>
      <w:r w:rsidR="00291C69">
        <w:t>t</w:t>
      </w:r>
      <w:r w:rsidR="00F6226F">
        <w:t xml:space="preserve"> and </w:t>
      </w:r>
      <w:r w:rsidR="004C73F0">
        <w:t xml:space="preserve">Step 2 is </w:t>
      </w:r>
      <w:r w:rsidR="00F6226F">
        <w:t xml:space="preserve">not </w:t>
      </w:r>
      <w:r w:rsidR="004C73F0">
        <w:t xml:space="preserve">implemented </w:t>
      </w:r>
      <w:r w:rsidR="00F6226F">
        <w:t xml:space="preserve">until a later date. The second table shows the number of PSUs in the sample if a decision is made to implement </w:t>
      </w:r>
      <w:r w:rsidR="004C73F0">
        <w:t xml:space="preserve">step 2 </w:t>
      </w:r>
      <w:r w:rsidR="00F6226F">
        <w:t>in 2027</w:t>
      </w:r>
      <w:r w:rsidR="0032295C">
        <w:t>.</w:t>
      </w:r>
    </w:p>
    <w:p w:rsidR="00F6226F" w:rsidP="00D40AB3" w14:paraId="60F8C7D5" w14:textId="77777777"/>
    <w:tbl>
      <w:tblPr>
        <w:tblStyle w:val="TableGrid"/>
        <w:tblW w:w="0" w:type="auto"/>
        <w:jc w:val="center"/>
        <w:tblBorders>
          <w:insideH w:val="none" w:sz="0" w:space="0" w:color="auto"/>
          <w:insideV w:val="none" w:sz="0" w:space="0" w:color="auto"/>
        </w:tblBorders>
        <w:tblLook w:val="04A0"/>
      </w:tblPr>
      <w:tblGrid>
        <w:gridCol w:w="2705"/>
        <w:gridCol w:w="929"/>
        <w:gridCol w:w="930"/>
      </w:tblGrid>
      <w:tr w14:paraId="22BF15DD" w14:textId="77777777" w:rsidTr="00F2185E">
        <w:tblPrEx>
          <w:tblW w:w="0" w:type="auto"/>
          <w:jc w:val="center"/>
          <w:tblBorders>
            <w:insideH w:val="none" w:sz="0" w:space="0" w:color="auto"/>
            <w:insideV w:val="none" w:sz="0" w:space="0" w:color="auto"/>
          </w:tblBorders>
          <w:tblLook w:val="04A0"/>
        </w:tblPrEx>
        <w:trPr>
          <w:jc w:val="center"/>
        </w:trPr>
        <w:tc>
          <w:tcPr>
            <w:tcW w:w="4564" w:type="dxa"/>
            <w:gridSpan w:val="3"/>
            <w:tcBorders>
              <w:top w:val="single" w:sz="4" w:space="0" w:color="auto"/>
              <w:bottom w:val="nil"/>
            </w:tcBorders>
            <w:vAlign w:val="center"/>
          </w:tcPr>
          <w:p w:rsidR="00F6226F" w:rsidRPr="00920AB2" w:rsidP="00AB5E04" w14:paraId="365D38AA" w14:textId="44C88716">
            <w:pPr>
              <w:keepNext/>
              <w:jc w:val="center"/>
              <w:rPr>
                <w:rFonts w:eastAsiaTheme="minorHAnsi"/>
                <w:b/>
                <w:bCs/>
                <w:kern w:val="2"/>
                <w:sz w:val="18"/>
                <w:szCs w:val="18"/>
                <w14:ligatures w14:val="standardContextual"/>
              </w:rPr>
            </w:pPr>
            <w:r w:rsidRPr="00920AB2">
              <w:rPr>
                <w:rFonts w:eastAsiaTheme="minorHAnsi"/>
                <w:b/>
                <w:bCs/>
                <w:kern w:val="2"/>
                <w:sz w:val="18"/>
                <w:szCs w:val="18"/>
                <w14:ligatures w14:val="standardContextual"/>
              </w:rPr>
              <w:t>Number of PSUs Being Dropped from the Old Sample Design and Added to the New Sample Design</w:t>
            </w:r>
          </w:p>
        </w:tc>
      </w:tr>
      <w:tr w14:paraId="63FBE7BC" w14:textId="77777777" w:rsidTr="00AB5E04">
        <w:tblPrEx>
          <w:tblW w:w="0" w:type="auto"/>
          <w:jc w:val="center"/>
          <w:tblLook w:val="04A0"/>
        </w:tblPrEx>
        <w:trPr>
          <w:jc w:val="center"/>
        </w:trPr>
        <w:tc>
          <w:tcPr>
            <w:tcW w:w="2705" w:type="dxa"/>
            <w:tcBorders>
              <w:top w:val="nil"/>
              <w:bottom w:val="single" w:sz="4" w:space="0" w:color="auto"/>
            </w:tcBorders>
            <w:vAlign w:val="center"/>
          </w:tcPr>
          <w:p w:rsidR="00F6226F" w:rsidRPr="00065D72" w:rsidP="00AB5E04" w14:paraId="17B6772E" w14:textId="65C1A8BB">
            <w:pPr>
              <w:rPr>
                <w:sz w:val="20"/>
                <w:szCs w:val="20"/>
              </w:rPr>
            </w:pPr>
          </w:p>
        </w:tc>
        <w:tc>
          <w:tcPr>
            <w:tcW w:w="929" w:type="dxa"/>
            <w:tcBorders>
              <w:top w:val="nil"/>
              <w:bottom w:val="single" w:sz="4" w:space="0" w:color="auto"/>
            </w:tcBorders>
            <w:vAlign w:val="center"/>
          </w:tcPr>
          <w:p w:rsidR="00F6226F" w:rsidRPr="00065D72" w:rsidP="00AB5E04" w14:paraId="4E06DEE0" w14:textId="77777777">
            <w:pPr>
              <w:jc w:val="center"/>
              <w:rPr>
                <w:sz w:val="20"/>
                <w:szCs w:val="20"/>
              </w:rPr>
            </w:pPr>
            <w:r>
              <w:rPr>
                <w:sz w:val="20"/>
                <w:szCs w:val="20"/>
              </w:rPr>
              <w:t>2025</w:t>
            </w:r>
          </w:p>
        </w:tc>
        <w:tc>
          <w:tcPr>
            <w:tcW w:w="930" w:type="dxa"/>
            <w:tcBorders>
              <w:top w:val="nil"/>
              <w:bottom w:val="single" w:sz="4" w:space="0" w:color="auto"/>
            </w:tcBorders>
            <w:vAlign w:val="center"/>
          </w:tcPr>
          <w:p w:rsidR="00F6226F" w:rsidP="00AB5E04" w14:paraId="78A115EE" w14:textId="513B0114">
            <w:pPr>
              <w:jc w:val="center"/>
              <w:rPr>
                <w:sz w:val="20"/>
                <w:szCs w:val="20"/>
              </w:rPr>
            </w:pPr>
            <w:r>
              <w:rPr>
                <w:sz w:val="20"/>
                <w:szCs w:val="20"/>
              </w:rPr>
              <w:t>2026-2028</w:t>
            </w:r>
          </w:p>
        </w:tc>
      </w:tr>
      <w:tr w14:paraId="329684C4" w14:textId="77777777" w:rsidTr="00AB5E04">
        <w:tblPrEx>
          <w:tblW w:w="0" w:type="auto"/>
          <w:jc w:val="center"/>
          <w:tblLook w:val="04A0"/>
        </w:tblPrEx>
        <w:trPr>
          <w:jc w:val="center"/>
        </w:trPr>
        <w:tc>
          <w:tcPr>
            <w:tcW w:w="2705" w:type="dxa"/>
            <w:tcBorders>
              <w:top w:val="single" w:sz="4" w:space="0" w:color="auto"/>
              <w:bottom w:val="nil"/>
              <w:right w:val="single" w:sz="4" w:space="0" w:color="auto"/>
            </w:tcBorders>
            <w:vAlign w:val="center"/>
          </w:tcPr>
          <w:p w:rsidR="00F6226F" w:rsidRPr="00065D72" w:rsidP="00AB5E04" w14:paraId="51F6103B" w14:textId="77777777">
            <w:pPr>
              <w:rPr>
                <w:sz w:val="20"/>
                <w:szCs w:val="20"/>
              </w:rPr>
            </w:pPr>
            <w:r>
              <w:rPr>
                <w:sz w:val="20"/>
                <w:szCs w:val="20"/>
              </w:rPr>
              <w:t>Starting number of PSUs</w:t>
            </w:r>
          </w:p>
        </w:tc>
        <w:tc>
          <w:tcPr>
            <w:tcW w:w="929" w:type="dxa"/>
            <w:tcBorders>
              <w:top w:val="single" w:sz="4" w:space="0" w:color="auto"/>
              <w:left w:val="single" w:sz="4" w:space="0" w:color="auto"/>
            </w:tcBorders>
            <w:vAlign w:val="center"/>
          </w:tcPr>
          <w:p w:rsidR="00F6226F" w:rsidRPr="00065D72" w:rsidP="00AB5E04" w14:paraId="67D987B7" w14:textId="77777777">
            <w:pPr>
              <w:jc w:val="center"/>
              <w:rPr>
                <w:sz w:val="20"/>
                <w:szCs w:val="20"/>
              </w:rPr>
            </w:pPr>
            <w:r>
              <w:rPr>
                <w:sz w:val="20"/>
                <w:szCs w:val="20"/>
              </w:rPr>
              <w:t>91</w:t>
            </w:r>
          </w:p>
        </w:tc>
        <w:tc>
          <w:tcPr>
            <w:tcW w:w="930" w:type="dxa"/>
            <w:tcBorders>
              <w:top w:val="single" w:sz="4" w:space="0" w:color="auto"/>
            </w:tcBorders>
            <w:vAlign w:val="center"/>
          </w:tcPr>
          <w:p w:rsidR="00F6226F" w:rsidP="00AB5E04" w14:paraId="1F3860FB" w14:textId="77777777">
            <w:pPr>
              <w:jc w:val="center"/>
              <w:rPr>
                <w:sz w:val="20"/>
                <w:szCs w:val="20"/>
              </w:rPr>
            </w:pPr>
            <w:r>
              <w:rPr>
                <w:sz w:val="20"/>
                <w:szCs w:val="20"/>
              </w:rPr>
              <w:t>81</w:t>
            </w:r>
          </w:p>
        </w:tc>
      </w:tr>
      <w:tr w14:paraId="06222989" w14:textId="77777777" w:rsidTr="00AB5E04">
        <w:tblPrEx>
          <w:tblW w:w="0" w:type="auto"/>
          <w:jc w:val="center"/>
          <w:tblLook w:val="04A0"/>
        </w:tblPrEx>
        <w:trPr>
          <w:jc w:val="center"/>
        </w:trPr>
        <w:tc>
          <w:tcPr>
            <w:tcW w:w="2705" w:type="dxa"/>
            <w:tcBorders>
              <w:top w:val="nil"/>
              <w:bottom w:val="nil"/>
              <w:right w:val="single" w:sz="4" w:space="0" w:color="auto"/>
            </w:tcBorders>
            <w:vAlign w:val="center"/>
          </w:tcPr>
          <w:p w:rsidR="00F6226F" w:rsidRPr="00065D72" w:rsidP="00AB5E04" w14:paraId="5370155E" w14:textId="77777777">
            <w:pPr>
              <w:rPr>
                <w:sz w:val="20"/>
                <w:szCs w:val="20"/>
              </w:rPr>
            </w:pPr>
            <w:r>
              <w:rPr>
                <w:sz w:val="20"/>
                <w:szCs w:val="20"/>
              </w:rPr>
              <w:t>Number of old PSUs dropped</w:t>
            </w:r>
          </w:p>
        </w:tc>
        <w:tc>
          <w:tcPr>
            <w:tcW w:w="929" w:type="dxa"/>
            <w:tcBorders>
              <w:left w:val="single" w:sz="4" w:space="0" w:color="auto"/>
              <w:bottom w:val="nil"/>
            </w:tcBorders>
            <w:vAlign w:val="center"/>
          </w:tcPr>
          <w:p w:rsidR="00F6226F" w:rsidRPr="00065D72" w:rsidP="00AB5E04" w14:paraId="0DF0908B" w14:textId="77777777">
            <w:pPr>
              <w:jc w:val="center"/>
              <w:rPr>
                <w:sz w:val="20"/>
                <w:szCs w:val="20"/>
              </w:rPr>
            </w:pPr>
            <w:r>
              <w:rPr>
                <w:sz w:val="20"/>
                <w:szCs w:val="20"/>
              </w:rPr>
              <w:t>–18</w:t>
            </w:r>
          </w:p>
        </w:tc>
        <w:tc>
          <w:tcPr>
            <w:tcW w:w="930" w:type="dxa"/>
            <w:tcBorders>
              <w:bottom w:val="nil"/>
            </w:tcBorders>
            <w:vAlign w:val="center"/>
          </w:tcPr>
          <w:p w:rsidR="00F6226F" w:rsidP="00AB5E04" w14:paraId="60E5CC5B" w14:textId="77777777">
            <w:pPr>
              <w:jc w:val="center"/>
              <w:rPr>
                <w:sz w:val="20"/>
                <w:szCs w:val="20"/>
              </w:rPr>
            </w:pPr>
            <w:r>
              <w:rPr>
                <w:sz w:val="20"/>
                <w:szCs w:val="20"/>
              </w:rPr>
              <w:t>–0</w:t>
            </w:r>
          </w:p>
        </w:tc>
      </w:tr>
      <w:tr w14:paraId="3E8A4193" w14:textId="77777777" w:rsidTr="00AB5E04">
        <w:tblPrEx>
          <w:tblW w:w="0" w:type="auto"/>
          <w:jc w:val="center"/>
          <w:tblLook w:val="04A0"/>
        </w:tblPrEx>
        <w:trPr>
          <w:jc w:val="center"/>
        </w:trPr>
        <w:tc>
          <w:tcPr>
            <w:tcW w:w="2705" w:type="dxa"/>
            <w:tcBorders>
              <w:top w:val="nil"/>
              <w:bottom w:val="nil"/>
              <w:right w:val="single" w:sz="4" w:space="0" w:color="auto"/>
            </w:tcBorders>
            <w:vAlign w:val="center"/>
          </w:tcPr>
          <w:p w:rsidR="00F6226F" w:rsidRPr="00065D72" w:rsidP="00AB5E04" w14:paraId="67A013F4" w14:textId="77777777">
            <w:pPr>
              <w:rPr>
                <w:sz w:val="20"/>
                <w:szCs w:val="20"/>
              </w:rPr>
            </w:pPr>
            <w:r>
              <w:rPr>
                <w:sz w:val="20"/>
                <w:szCs w:val="20"/>
              </w:rPr>
              <w:t>Number of new PSUs added</w:t>
            </w:r>
          </w:p>
        </w:tc>
        <w:tc>
          <w:tcPr>
            <w:tcW w:w="929" w:type="dxa"/>
            <w:tcBorders>
              <w:top w:val="nil"/>
              <w:left w:val="single" w:sz="4" w:space="0" w:color="auto"/>
              <w:bottom w:val="nil"/>
            </w:tcBorders>
            <w:vAlign w:val="center"/>
          </w:tcPr>
          <w:p w:rsidR="00F6226F" w:rsidRPr="00065D72" w:rsidP="00AB5E04" w14:paraId="032A77C6" w14:textId="77777777">
            <w:pPr>
              <w:jc w:val="center"/>
              <w:rPr>
                <w:sz w:val="20"/>
                <w:szCs w:val="20"/>
              </w:rPr>
            </w:pPr>
            <w:r>
              <w:rPr>
                <w:sz w:val="20"/>
                <w:szCs w:val="20"/>
              </w:rPr>
              <w:t>+8</w:t>
            </w:r>
          </w:p>
        </w:tc>
        <w:tc>
          <w:tcPr>
            <w:tcW w:w="930" w:type="dxa"/>
            <w:tcBorders>
              <w:top w:val="nil"/>
              <w:bottom w:val="nil"/>
            </w:tcBorders>
            <w:vAlign w:val="center"/>
          </w:tcPr>
          <w:p w:rsidR="00F6226F" w:rsidP="00AB5E04" w14:paraId="0F418B46" w14:textId="77777777">
            <w:pPr>
              <w:jc w:val="center"/>
              <w:rPr>
                <w:sz w:val="20"/>
                <w:szCs w:val="20"/>
              </w:rPr>
            </w:pPr>
            <w:r>
              <w:rPr>
                <w:sz w:val="20"/>
                <w:szCs w:val="20"/>
              </w:rPr>
              <w:t>+0</w:t>
            </w:r>
          </w:p>
        </w:tc>
      </w:tr>
      <w:tr w14:paraId="44FB5553" w14:textId="77777777" w:rsidTr="00AB5E04">
        <w:tblPrEx>
          <w:tblW w:w="0" w:type="auto"/>
          <w:jc w:val="center"/>
          <w:tblLook w:val="04A0"/>
        </w:tblPrEx>
        <w:trPr>
          <w:jc w:val="center"/>
        </w:trPr>
        <w:tc>
          <w:tcPr>
            <w:tcW w:w="2705" w:type="dxa"/>
            <w:tcBorders>
              <w:top w:val="nil"/>
              <w:bottom w:val="single" w:sz="4" w:space="0" w:color="auto"/>
              <w:right w:val="single" w:sz="4" w:space="0" w:color="auto"/>
            </w:tcBorders>
            <w:vAlign w:val="center"/>
          </w:tcPr>
          <w:p w:rsidR="00F6226F" w:rsidRPr="00065D72" w:rsidP="00AB5E04" w14:paraId="59028A61" w14:textId="77777777">
            <w:pPr>
              <w:rPr>
                <w:sz w:val="20"/>
                <w:szCs w:val="20"/>
              </w:rPr>
            </w:pPr>
            <w:r>
              <w:rPr>
                <w:sz w:val="20"/>
                <w:szCs w:val="20"/>
              </w:rPr>
              <w:t>Ending number of PSUs</w:t>
            </w:r>
          </w:p>
        </w:tc>
        <w:tc>
          <w:tcPr>
            <w:tcW w:w="929" w:type="dxa"/>
            <w:tcBorders>
              <w:top w:val="nil"/>
              <w:left w:val="single" w:sz="4" w:space="0" w:color="auto"/>
              <w:bottom w:val="single" w:sz="4" w:space="0" w:color="auto"/>
            </w:tcBorders>
            <w:vAlign w:val="center"/>
          </w:tcPr>
          <w:p w:rsidR="00F6226F" w:rsidRPr="00065D72" w:rsidP="00AB5E04" w14:paraId="51838D3E" w14:textId="77777777">
            <w:pPr>
              <w:jc w:val="center"/>
              <w:rPr>
                <w:sz w:val="20"/>
                <w:szCs w:val="20"/>
              </w:rPr>
            </w:pPr>
            <w:r>
              <w:rPr>
                <w:sz w:val="20"/>
                <w:szCs w:val="20"/>
              </w:rPr>
              <w:t>81</w:t>
            </w:r>
          </w:p>
        </w:tc>
        <w:tc>
          <w:tcPr>
            <w:tcW w:w="930" w:type="dxa"/>
            <w:tcBorders>
              <w:top w:val="nil"/>
              <w:bottom w:val="single" w:sz="4" w:space="0" w:color="auto"/>
            </w:tcBorders>
            <w:vAlign w:val="center"/>
          </w:tcPr>
          <w:p w:rsidR="00F6226F" w:rsidP="00AB5E04" w14:paraId="3ECE73D7" w14:textId="77777777">
            <w:pPr>
              <w:jc w:val="center"/>
              <w:rPr>
                <w:sz w:val="20"/>
                <w:szCs w:val="20"/>
              </w:rPr>
            </w:pPr>
            <w:r>
              <w:rPr>
                <w:sz w:val="20"/>
                <w:szCs w:val="20"/>
              </w:rPr>
              <w:t>81</w:t>
            </w:r>
          </w:p>
        </w:tc>
      </w:tr>
    </w:tbl>
    <w:p w:rsidR="00F6226F" w:rsidP="00D40AB3" w14:paraId="4D2944E1" w14:textId="77777777"/>
    <w:p w:rsidR="00B91E2E" w:rsidP="00B91E2E" w14:paraId="4BC2E927" w14:textId="77777777"/>
    <w:tbl>
      <w:tblPr>
        <w:tblStyle w:val="TableGrid"/>
        <w:tblW w:w="0" w:type="auto"/>
        <w:jc w:val="center"/>
        <w:tblBorders>
          <w:insideH w:val="none" w:sz="0" w:space="0" w:color="auto"/>
          <w:insideV w:val="none" w:sz="0" w:space="0" w:color="auto"/>
        </w:tblBorders>
        <w:tblLook w:val="04A0"/>
      </w:tblPr>
      <w:tblGrid>
        <w:gridCol w:w="2705"/>
        <w:gridCol w:w="929"/>
        <w:gridCol w:w="930"/>
        <w:gridCol w:w="961"/>
        <w:gridCol w:w="961"/>
        <w:gridCol w:w="930"/>
      </w:tblGrid>
      <w:tr w14:paraId="2ED88E88" w14:textId="77777777" w:rsidTr="00BE5E0C">
        <w:tblPrEx>
          <w:tblW w:w="0" w:type="auto"/>
          <w:jc w:val="center"/>
          <w:tblBorders>
            <w:insideH w:val="none" w:sz="0" w:space="0" w:color="auto"/>
            <w:insideV w:val="none" w:sz="0" w:space="0" w:color="auto"/>
          </w:tblBorders>
          <w:tblLook w:val="04A0"/>
        </w:tblPrEx>
        <w:trPr>
          <w:jc w:val="center"/>
        </w:trPr>
        <w:tc>
          <w:tcPr>
            <w:tcW w:w="7416" w:type="dxa"/>
            <w:gridSpan w:val="6"/>
            <w:tcBorders>
              <w:top w:val="single" w:sz="4" w:space="0" w:color="auto"/>
              <w:bottom w:val="nil"/>
            </w:tcBorders>
            <w:vAlign w:val="center"/>
          </w:tcPr>
          <w:p w:rsidR="00B91E2E" w:rsidRPr="00920AB2" w:rsidP="00B91E2E" w14:paraId="3D6E1F4E" w14:textId="77777777">
            <w:pPr>
              <w:keepNext/>
              <w:jc w:val="center"/>
              <w:rPr>
                <w:rFonts w:eastAsiaTheme="minorHAnsi"/>
                <w:b/>
                <w:bCs/>
                <w:kern w:val="2"/>
                <w:sz w:val="18"/>
                <w:szCs w:val="18"/>
                <w14:ligatures w14:val="standardContextual"/>
              </w:rPr>
            </w:pPr>
            <w:r w:rsidRPr="00920AB2">
              <w:rPr>
                <w:rFonts w:eastAsiaTheme="minorHAnsi"/>
                <w:b/>
                <w:bCs/>
                <w:kern w:val="2"/>
                <w:sz w:val="18"/>
                <w:szCs w:val="18"/>
                <w14:ligatures w14:val="standardContextual"/>
              </w:rPr>
              <w:t>Number of PSUs Being Dropped from the Old Sample Design</w:t>
            </w:r>
          </w:p>
          <w:p w:rsidR="00B91E2E" w:rsidRPr="00065D72" w:rsidP="00B91E2E" w14:paraId="64EE8E5E" w14:textId="1B996DE2">
            <w:pPr>
              <w:jc w:val="center"/>
              <w:rPr>
                <w:sz w:val="20"/>
                <w:szCs w:val="20"/>
              </w:rPr>
            </w:pPr>
            <w:r>
              <w:rPr>
                <w:rFonts w:eastAsiaTheme="minorHAnsi"/>
                <w:b/>
                <w:bCs/>
                <w:kern w:val="2"/>
                <w:sz w:val="18"/>
                <w:szCs w:val="18"/>
                <w14:ligatures w14:val="standardContextual"/>
              </w:rPr>
              <w:t>a</w:t>
            </w:r>
            <w:r w:rsidRPr="00920AB2">
              <w:rPr>
                <w:rFonts w:eastAsiaTheme="minorHAnsi"/>
                <w:b/>
                <w:bCs/>
                <w:kern w:val="2"/>
                <w:sz w:val="18"/>
                <w:szCs w:val="18"/>
                <w14:ligatures w14:val="standardContextual"/>
              </w:rPr>
              <w:t>nd Added to the New Sample Design</w:t>
            </w:r>
          </w:p>
        </w:tc>
      </w:tr>
      <w:tr w14:paraId="40DA83A4" w14:textId="77777777" w:rsidTr="00B91E2E">
        <w:tblPrEx>
          <w:tblW w:w="0" w:type="auto"/>
          <w:jc w:val="center"/>
          <w:tblLook w:val="04A0"/>
        </w:tblPrEx>
        <w:trPr>
          <w:jc w:val="center"/>
        </w:trPr>
        <w:tc>
          <w:tcPr>
            <w:tcW w:w="2705" w:type="dxa"/>
            <w:tcBorders>
              <w:top w:val="nil"/>
              <w:bottom w:val="single" w:sz="4" w:space="0" w:color="auto"/>
            </w:tcBorders>
            <w:vAlign w:val="center"/>
          </w:tcPr>
          <w:p w:rsidR="00B91E2E" w:rsidRPr="00065D72" w:rsidP="00B91E2E" w14:paraId="7F54E3E4" w14:textId="77777777">
            <w:pPr>
              <w:rPr>
                <w:sz w:val="20"/>
                <w:szCs w:val="20"/>
              </w:rPr>
            </w:pPr>
          </w:p>
        </w:tc>
        <w:tc>
          <w:tcPr>
            <w:tcW w:w="929" w:type="dxa"/>
            <w:tcBorders>
              <w:top w:val="nil"/>
              <w:bottom w:val="single" w:sz="4" w:space="0" w:color="auto"/>
            </w:tcBorders>
            <w:vAlign w:val="center"/>
          </w:tcPr>
          <w:p w:rsidR="00B91E2E" w:rsidRPr="00065D72" w:rsidP="00B91E2E" w14:paraId="76B78EC5" w14:textId="77777777">
            <w:pPr>
              <w:jc w:val="center"/>
              <w:rPr>
                <w:sz w:val="20"/>
                <w:szCs w:val="20"/>
              </w:rPr>
            </w:pPr>
            <w:r>
              <w:rPr>
                <w:sz w:val="20"/>
                <w:szCs w:val="20"/>
              </w:rPr>
              <w:t>2025</w:t>
            </w:r>
          </w:p>
        </w:tc>
        <w:tc>
          <w:tcPr>
            <w:tcW w:w="930" w:type="dxa"/>
            <w:tcBorders>
              <w:top w:val="nil"/>
              <w:bottom w:val="single" w:sz="4" w:space="0" w:color="auto"/>
            </w:tcBorders>
            <w:vAlign w:val="center"/>
          </w:tcPr>
          <w:p w:rsidR="00B91E2E" w:rsidP="00B91E2E" w14:paraId="7AED1FF6" w14:textId="77777777">
            <w:pPr>
              <w:jc w:val="center"/>
              <w:rPr>
                <w:sz w:val="20"/>
                <w:szCs w:val="20"/>
              </w:rPr>
            </w:pPr>
            <w:r>
              <w:rPr>
                <w:sz w:val="20"/>
                <w:szCs w:val="20"/>
              </w:rPr>
              <w:t>2026</w:t>
            </w:r>
          </w:p>
        </w:tc>
        <w:tc>
          <w:tcPr>
            <w:tcW w:w="961" w:type="dxa"/>
            <w:tcBorders>
              <w:top w:val="nil"/>
              <w:bottom w:val="single" w:sz="4" w:space="0" w:color="auto"/>
            </w:tcBorders>
            <w:vAlign w:val="center"/>
          </w:tcPr>
          <w:p w:rsidR="00B91E2E" w:rsidP="00B91E2E" w14:paraId="63F92C8F" w14:textId="08C4C1DF">
            <w:pPr>
              <w:jc w:val="center"/>
              <w:rPr>
                <w:sz w:val="20"/>
                <w:szCs w:val="20"/>
              </w:rPr>
            </w:pPr>
            <w:r>
              <w:rPr>
                <w:sz w:val="20"/>
                <w:szCs w:val="20"/>
              </w:rPr>
              <w:t>2027</w:t>
            </w:r>
          </w:p>
        </w:tc>
        <w:tc>
          <w:tcPr>
            <w:tcW w:w="961" w:type="dxa"/>
            <w:tcBorders>
              <w:top w:val="nil"/>
              <w:bottom w:val="single" w:sz="4" w:space="0" w:color="auto"/>
            </w:tcBorders>
            <w:vAlign w:val="center"/>
          </w:tcPr>
          <w:p w:rsidR="00B91E2E" w:rsidP="00B91E2E" w14:paraId="75F01F11" w14:textId="711E2242">
            <w:pPr>
              <w:jc w:val="center"/>
              <w:rPr>
                <w:sz w:val="20"/>
                <w:szCs w:val="20"/>
              </w:rPr>
            </w:pPr>
            <w:r>
              <w:rPr>
                <w:sz w:val="20"/>
                <w:szCs w:val="20"/>
              </w:rPr>
              <w:t>2028</w:t>
            </w:r>
          </w:p>
        </w:tc>
        <w:tc>
          <w:tcPr>
            <w:tcW w:w="930" w:type="dxa"/>
            <w:tcBorders>
              <w:top w:val="nil"/>
              <w:bottom w:val="single" w:sz="4" w:space="0" w:color="auto"/>
            </w:tcBorders>
            <w:vAlign w:val="center"/>
          </w:tcPr>
          <w:p w:rsidR="00B91E2E" w:rsidRPr="00065D72" w:rsidP="00B91E2E" w14:paraId="17E4D560" w14:textId="77777777">
            <w:pPr>
              <w:jc w:val="center"/>
              <w:rPr>
                <w:sz w:val="20"/>
                <w:szCs w:val="20"/>
              </w:rPr>
            </w:pPr>
            <w:r>
              <w:rPr>
                <w:sz w:val="20"/>
                <w:szCs w:val="20"/>
              </w:rPr>
              <w:t>Overall</w:t>
            </w:r>
          </w:p>
        </w:tc>
      </w:tr>
      <w:tr w14:paraId="1531C93D" w14:textId="77777777" w:rsidTr="00850033">
        <w:tblPrEx>
          <w:tblW w:w="0" w:type="auto"/>
          <w:jc w:val="center"/>
          <w:tblLook w:val="04A0"/>
        </w:tblPrEx>
        <w:trPr>
          <w:jc w:val="center"/>
        </w:trPr>
        <w:tc>
          <w:tcPr>
            <w:tcW w:w="2705" w:type="dxa"/>
            <w:tcBorders>
              <w:top w:val="single" w:sz="4" w:space="0" w:color="auto"/>
              <w:bottom w:val="nil"/>
              <w:right w:val="single" w:sz="4" w:space="0" w:color="auto"/>
            </w:tcBorders>
            <w:vAlign w:val="center"/>
          </w:tcPr>
          <w:p w:rsidR="00B91E2E" w:rsidRPr="00065D72" w:rsidP="00B91E2E" w14:paraId="19F8F429" w14:textId="77777777">
            <w:pPr>
              <w:rPr>
                <w:sz w:val="20"/>
                <w:szCs w:val="20"/>
              </w:rPr>
            </w:pPr>
            <w:r>
              <w:rPr>
                <w:sz w:val="20"/>
                <w:szCs w:val="20"/>
              </w:rPr>
              <w:t>Starting number of PSUs</w:t>
            </w:r>
          </w:p>
        </w:tc>
        <w:tc>
          <w:tcPr>
            <w:tcW w:w="929" w:type="dxa"/>
            <w:tcBorders>
              <w:top w:val="single" w:sz="4" w:space="0" w:color="auto"/>
              <w:left w:val="single" w:sz="4" w:space="0" w:color="auto"/>
            </w:tcBorders>
            <w:vAlign w:val="center"/>
          </w:tcPr>
          <w:p w:rsidR="00B91E2E" w:rsidRPr="00065D72" w:rsidP="00B91E2E" w14:paraId="7EBB8A9A" w14:textId="77777777">
            <w:pPr>
              <w:jc w:val="center"/>
              <w:rPr>
                <w:sz w:val="20"/>
                <w:szCs w:val="20"/>
              </w:rPr>
            </w:pPr>
            <w:r>
              <w:rPr>
                <w:sz w:val="20"/>
                <w:szCs w:val="20"/>
              </w:rPr>
              <w:t>91</w:t>
            </w:r>
          </w:p>
        </w:tc>
        <w:tc>
          <w:tcPr>
            <w:tcW w:w="930" w:type="dxa"/>
            <w:tcBorders>
              <w:top w:val="single" w:sz="4" w:space="0" w:color="auto"/>
            </w:tcBorders>
            <w:vAlign w:val="center"/>
          </w:tcPr>
          <w:p w:rsidR="00B91E2E" w:rsidP="00B91E2E" w14:paraId="7BC1419C" w14:textId="77777777">
            <w:pPr>
              <w:jc w:val="center"/>
              <w:rPr>
                <w:sz w:val="20"/>
                <w:szCs w:val="20"/>
              </w:rPr>
            </w:pPr>
            <w:r>
              <w:rPr>
                <w:sz w:val="20"/>
                <w:szCs w:val="20"/>
              </w:rPr>
              <w:t>81</w:t>
            </w:r>
          </w:p>
        </w:tc>
        <w:tc>
          <w:tcPr>
            <w:tcW w:w="961" w:type="dxa"/>
            <w:tcBorders>
              <w:top w:val="single" w:sz="4" w:space="0" w:color="auto"/>
            </w:tcBorders>
            <w:vAlign w:val="center"/>
          </w:tcPr>
          <w:p w:rsidR="00B91E2E" w:rsidP="00B91E2E" w14:paraId="5830EC8F" w14:textId="681925C8">
            <w:pPr>
              <w:jc w:val="center"/>
              <w:rPr>
                <w:sz w:val="20"/>
                <w:szCs w:val="20"/>
              </w:rPr>
            </w:pPr>
            <w:r>
              <w:rPr>
                <w:sz w:val="20"/>
                <w:szCs w:val="20"/>
              </w:rPr>
              <w:t>9</w:t>
            </w:r>
            <w:r>
              <w:rPr>
                <w:sz w:val="20"/>
                <w:szCs w:val="20"/>
              </w:rPr>
              <w:t>1</w:t>
            </w:r>
          </w:p>
        </w:tc>
        <w:tc>
          <w:tcPr>
            <w:tcW w:w="961" w:type="dxa"/>
            <w:tcBorders>
              <w:top w:val="single" w:sz="4" w:space="0" w:color="auto"/>
              <w:right w:val="single" w:sz="4" w:space="0" w:color="auto"/>
            </w:tcBorders>
            <w:vAlign w:val="center"/>
          </w:tcPr>
          <w:p w:rsidR="00B91E2E" w:rsidP="00B91E2E" w14:paraId="3FFEEDB1" w14:textId="27CB49B7">
            <w:pPr>
              <w:jc w:val="center"/>
              <w:rPr>
                <w:sz w:val="20"/>
                <w:szCs w:val="20"/>
              </w:rPr>
            </w:pPr>
            <w:r>
              <w:rPr>
                <w:sz w:val="20"/>
                <w:szCs w:val="20"/>
              </w:rPr>
              <w:t>9</w:t>
            </w:r>
            <w:r>
              <w:rPr>
                <w:sz w:val="20"/>
                <w:szCs w:val="20"/>
              </w:rPr>
              <w:t>1</w:t>
            </w:r>
          </w:p>
        </w:tc>
        <w:tc>
          <w:tcPr>
            <w:tcW w:w="930" w:type="dxa"/>
            <w:tcBorders>
              <w:top w:val="single" w:sz="4" w:space="0" w:color="auto"/>
              <w:left w:val="single" w:sz="4" w:space="0" w:color="auto"/>
              <w:bottom w:val="nil"/>
            </w:tcBorders>
            <w:vAlign w:val="center"/>
          </w:tcPr>
          <w:p w:rsidR="00B91E2E" w:rsidRPr="00065D72" w:rsidP="00B91E2E" w14:paraId="31F1680F" w14:textId="77777777">
            <w:pPr>
              <w:jc w:val="center"/>
              <w:rPr>
                <w:sz w:val="20"/>
                <w:szCs w:val="20"/>
              </w:rPr>
            </w:pPr>
            <w:r>
              <w:rPr>
                <w:sz w:val="20"/>
                <w:szCs w:val="20"/>
              </w:rPr>
              <w:t>91</w:t>
            </w:r>
          </w:p>
        </w:tc>
      </w:tr>
      <w:tr w14:paraId="732B36F7" w14:textId="77777777" w:rsidTr="00850033">
        <w:tblPrEx>
          <w:tblW w:w="0" w:type="auto"/>
          <w:jc w:val="center"/>
          <w:tblLook w:val="04A0"/>
        </w:tblPrEx>
        <w:trPr>
          <w:jc w:val="center"/>
        </w:trPr>
        <w:tc>
          <w:tcPr>
            <w:tcW w:w="2705" w:type="dxa"/>
            <w:tcBorders>
              <w:top w:val="nil"/>
              <w:bottom w:val="nil"/>
              <w:right w:val="single" w:sz="4" w:space="0" w:color="auto"/>
            </w:tcBorders>
            <w:vAlign w:val="center"/>
          </w:tcPr>
          <w:p w:rsidR="00B91E2E" w:rsidRPr="00065D72" w:rsidP="00B91E2E" w14:paraId="3201EF12" w14:textId="77777777">
            <w:pPr>
              <w:rPr>
                <w:sz w:val="20"/>
                <w:szCs w:val="20"/>
              </w:rPr>
            </w:pPr>
            <w:r>
              <w:rPr>
                <w:sz w:val="20"/>
                <w:szCs w:val="20"/>
              </w:rPr>
              <w:t>Number of old PSUs dropped</w:t>
            </w:r>
          </w:p>
        </w:tc>
        <w:tc>
          <w:tcPr>
            <w:tcW w:w="929" w:type="dxa"/>
            <w:tcBorders>
              <w:left w:val="single" w:sz="4" w:space="0" w:color="auto"/>
              <w:bottom w:val="nil"/>
            </w:tcBorders>
            <w:vAlign w:val="center"/>
          </w:tcPr>
          <w:p w:rsidR="00B91E2E" w:rsidRPr="00065D72" w:rsidP="00B91E2E" w14:paraId="0F3D4B13" w14:textId="77777777">
            <w:pPr>
              <w:jc w:val="center"/>
              <w:rPr>
                <w:sz w:val="20"/>
                <w:szCs w:val="20"/>
              </w:rPr>
            </w:pPr>
            <w:r>
              <w:rPr>
                <w:sz w:val="20"/>
                <w:szCs w:val="20"/>
              </w:rPr>
              <w:t>–18</w:t>
            </w:r>
          </w:p>
        </w:tc>
        <w:tc>
          <w:tcPr>
            <w:tcW w:w="930" w:type="dxa"/>
            <w:tcBorders>
              <w:bottom w:val="nil"/>
            </w:tcBorders>
            <w:vAlign w:val="center"/>
          </w:tcPr>
          <w:p w:rsidR="00B91E2E" w:rsidP="00B91E2E" w14:paraId="3D75E0F5" w14:textId="77777777">
            <w:pPr>
              <w:jc w:val="center"/>
              <w:rPr>
                <w:sz w:val="20"/>
                <w:szCs w:val="20"/>
              </w:rPr>
            </w:pPr>
            <w:r>
              <w:rPr>
                <w:sz w:val="20"/>
                <w:szCs w:val="20"/>
              </w:rPr>
              <w:t>–0</w:t>
            </w:r>
          </w:p>
        </w:tc>
        <w:tc>
          <w:tcPr>
            <w:tcW w:w="961" w:type="dxa"/>
            <w:tcBorders>
              <w:bottom w:val="nil"/>
            </w:tcBorders>
            <w:vAlign w:val="center"/>
          </w:tcPr>
          <w:p w:rsidR="00B91E2E" w:rsidP="00B91E2E" w14:paraId="7EC2830F" w14:textId="3CD7C613">
            <w:pPr>
              <w:jc w:val="center"/>
              <w:rPr>
                <w:sz w:val="20"/>
                <w:szCs w:val="20"/>
              </w:rPr>
            </w:pPr>
            <w:r>
              <w:rPr>
                <w:sz w:val="20"/>
                <w:szCs w:val="20"/>
              </w:rPr>
              <w:t>–</w:t>
            </w:r>
            <w:r w:rsidR="004C73F0">
              <w:rPr>
                <w:sz w:val="20"/>
                <w:szCs w:val="20"/>
              </w:rPr>
              <w:t>6</w:t>
            </w:r>
          </w:p>
        </w:tc>
        <w:tc>
          <w:tcPr>
            <w:tcW w:w="961" w:type="dxa"/>
            <w:tcBorders>
              <w:bottom w:val="nil"/>
              <w:right w:val="single" w:sz="4" w:space="0" w:color="auto"/>
            </w:tcBorders>
            <w:vAlign w:val="center"/>
          </w:tcPr>
          <w:p w:rsidR="00B91E2E" w:rsidP="00B91E2E" w14:paraId="6E43F4A9" w14:textId="3CD6A384">
            <w:pPr>
              <w:jc w:val="center"/>
              <w:rPr>
                <w:sz w:val="20"/>
                <w:szCs w:val="20"/>
              </w:rPr>
            </w:pPr>
            <w:r>
              <w:rPr>
                <w:sz w:val="20"/>
                <w:szCs w:val="20"/>
              </w:rPr>
              <w:t>–</w:t>
            </w:r>
            <w:r w:rsidR="004C73F0">
              <w:rPr>
                <w:sz w:val="20"/>
                <w:szCs w:val="20"/>
              </w:rPr>
              <w:t>0</w:t>
            </w:r>
          </w:p>
        </w:tc>
        <w:tc>
          <w:tcPr>
            <w:tcW w:w="930" w:type="dxa"/>
            <w:tcBorders>
              <w:top w:val="nil"/>
              <w:left w:val="single" w:sz="4" w:space="0" w:color="auto"/>
              <w:bottom w:val="nil"/>
            </w:tcBorders>
            <w:vAlign w:val="center"/>
          </w:tcPr>
          <w:p w:rsidR="00B91E2E" w:rsidRPr="00065D72" w:rsidP="00B91E2E" w14:paraId="400DF98C" w14:textId="77777777">
            <w:pPr>
              <w:jc w:val="center"/>
              <w:rPr>
                <w:sz w:val="20"/>
                <w:szCs w:val="20"/>
              </w:rPr>
            </w:pPr>
            <w:r>
              <w:rPr>
                <w:sz w:val="20"/>
                <w:szCs w:val="20"/>
              </w:rPr>
              <w:t>–24</w:t>
            </w:r>
          </w:p>
        </w:tc>
      </w:tr>
      <w:tr w14:paraId="561C7C7C" w14:textId="77777777" w:rsidTr="00850033">
        <w:tblPrEx>
          <w:tblW w:w="0" w:type="auto"/>
          <w:jc w:val="center"/>
          <w:tblLook w:val="04A0"/>
        </w:tblPrEx>
        <w:trPr>
          <w:jc w:val="center"/>
        </w:trPr>
        <w:tc>
          <w:tcPr>
            <w:tcW w:w="2705" w:type="dxa"/>
            <w:tcBorders>
              <w:top w:val="nil"/>
              <w:bottom w:val="nil"/>
              <w:right w:val="single" w:sz="4" w:space="0" w:color="auto"/>
            </w:tcBorders>
            <w:vAlign w:val="center"/>
          </w:tcPr>
          <w:p w:rsidR="00B91E2E" w:rsidRPr="00065D72" w:rsidP="00B91E2E" w14:paraId="5BE88A07" w14:textId="77777777">
            <w:pPr>
              <w:rPr>
                <w:sz w:val="20"/>
                <w:szCs w:val="20"/>
              </w:rPr>
            </w:pPr>
            <w:r>
              <w:rPr>
                <w:sz w:val="20"/>
                <w:szCs w:val="20"/>
              </w:rPr>
              <w:t>Number of new PSUs added</w:t>
            </w:r>
          </w:p>
        </w:tc>
        <w:tc>
          <w:tcPr>
            <w:tcW w:w="929" w:type="dxa"/>
            <w:tcBorders>
              <w:top w:val="nil"/>
              <w:left w:val="single" w:sz="4" w:space="0" w:color="auto"/>
              <w:bottom w:val="nil"/>
            </w:tcBorders>
            <w:vAlign w:val="center"/>
          </w:tcPr>
          <w:p w:rsidR="00B91E2E" w:rsidRPr="00065D72" w:rsidP="00B91E2E" w14:paraId="030428C1" w14:textId="77777777">
            <w:pPr>
              <w:jc w:val="center"/>
              <w:rPr>
                <w:sz w:val="20"/>
                <w:szCs w:val="20"/>
              </w:rPr>
            </w:pPr>
            <w:r>
              <w:rPr>
                <w:sz w:val="20"/>
                <w:szCs w:val="20"/>
              </w:rPr>
              <w:t>+8</w:t>
            </w:r>
          </w:p>
        </w:tc>
        <w:tc>
          <w:tcPr>
            <w:tcW w:w="930" w:type="dxa"/>
            <w:tcBorders>
              <w:top w:val="nil"/>
              <w:bottom w:val="nil"/>
            </w:tcBorders>
            <w:vAlign w:val="center"/>
          </w:tcPr>
          <w:p w:rsidR="00B91E2E" w:rsidP="00B91E2E" w14:paraId="519C3167" w14:textId="77777777">
            <w:pPr>
              <w:jc w:val="center"/>
              <w:rPr>
                <w:sz w:val="20"/>
                <w:szCs w:val="20"/>
              </w:rPr>
            </w:pPr>
            <w:r>
              <w:rPr>
                <w:sz w:val="20"/>
                <w:szCs w:val="20"/>
              </w:rPr>
              <w:t>+0</w:t>
            </w:r>
          </w:p>
        </w:tc>
        <w:tc>
          <w:tcPr>
            <w:tcW w:w="961" w:type="dxa"/>
            <w:tcBorders>
              <w:top w:val="nil"/>
              <w:bottom w:val="nil"/>
            </w:tcBorders>
            <w:vAlign w:val="center"/>
          </w:tcPr>
          <w:p w:rsidR="00B91E2E" w:rsidP="00B91E2E" w14:paraId="10A7BFEF" w14:textId="114BC5EA">
            <w:pPr>
              <w:jc w:val="center"/>
              <w:rPr>
                <w:sz w:val="20"/>
                <w:szCs w:val="20"/>
              </w:rPr>
            </w:pPr>
            <w:r>
              <w:rPr>
                <w:sz w:val="20"/>
                <w:szCs w:val="20"/>
              </w:rPr>
              <w:t>+</w:t>
            </w:r>
            <w:r w:rsidR="00262E0F">
              <w:rPr>
                <w:sz w:val="20"/>
                <w:szCs w:val="20"/>
              </w:rPr>
              <w:t>16</w:t>
            </w:r>
          </w:p>
        </w:tc>
        <w:tc>
          <w:tcPr>
            <w:tcW w:w="961" w:type="dxa"/>
            <w:tcBorders>
              <w:top w:val="nil"/>
              <w:bottom w:val="nil"/>
              <w:right w:val="single" w:sz="4" w:space="0" w:color="auto"/>
            </w:tcBorders>
            <w:vAlign w:val="center"/>
          </w:tcPr>
          <w:p w:rsidR="00B91E2E" w:rsidP="00B91E2E" w14:paraId="70202C96" w14:textId="22F45603">
            <w:pPr>
              <w:jc w:val="center"/>
              <w:rPr>
                <w:sz w:val="20"/>
                <w:szCs w:val="20"/>
              </w:rPr>
            </w:pPr>
            <w:r>
              <w:rPr>
                <w:sz w:val="20"/>
                <w:szCs w:val="20"/>
              </w:rPr>
              <w:t>+</w:t>
            </w:r>
            <w:r w:rsidR="004C73F0">
              <w:rPr>
                <w:sz w:val="20"/>
                <w:szCs w:val="20"/>
              </w:rPr>
              <w:t>0</w:t>
            </w:r>
          </w:p>
        </w:tc>
        <w:tc>
          <w:tcPr>
            <w:tcW w:w="930" w:type="dxa"/>
            <w:tcBorders>
              <w:top w:val="nil"/>
              <w:left w:val="single" w:sz="4" w:space="0" w:color="auto"/>
              <w:bottom w:val="nil"/>
            </w:tcBorders>
            <w:vAlign w:val="center"/>
          </w:tcPr>
          <w:p w:rsidR="00B91E2E" w:rsidRPr="00065D72" w:rsidP="00B91E2E" w14:paraId="1D5B641D" w14:textId="77777777">
            <w:pPr>
              <w:jc w:val="center"/>
              <w:rPr>
                <w:sz w:val="20"/>
                <w:szCs w:val="20"/>
              </w:rPr>
            </w:pPr>
            <w:r>
              <w:rPr>
                <w:sz w:val="20"/>
                <w:szCs w:val="20"/>
              </w:rPr>
              <w:t>+24</w:t>
            </w:r>
          </w:p>
        </w:tc>
      </w:tr>
      <w:tr w14:paraId="1AF71362" w14:textId="77777777" w:rsidTr="00850033">
        <w:tblPrEx>
          <w:tblW w:w="0" w:type="auto"/>
          <w:jc w:val="center"/>
          <w:tblLook w:val="04A0"/>
        </w:tblPrEx>
        <w:trPr>
          <w:jc w:val="center"/>
        </w:trPr>
        <w:tc>
          <w:tcPr>
            <w:tcW w:w="2705" w:type="dxa"/>
            <w:tcBorders>
              <w:top w:val="nil"/>
              <w:bottom w:val="single" w:sz="4" w:space="0" w:color="auto"/>
              <w:right w:val="single" w:sz="4" w:space="0" w:color="auto"/>
            </w:tcBorders>
            <w:vAlign w:val="center"/>
          </w:tcPr>
          <w:p w:rsidR="00B91E2E" w:rsidRPr="00065D72" w:rsidP="00B91E2E" w14:paraId="1DE0739F" w14:textId="77777777">
            <w:pPr>
              <w:rPr>
                <w:sz w:val="20"/>
                <w:szCs w:val="20"/>
              </w:rPr>
            </w:pPr>
            <w:r>
              <w:rPr>
                <w:sz w:val="20"/>
                <w:szCs w:val="20"/>
              </w:rPr>
              <w:t>Ending number of PSUs</w:t>
            </w:r>
          </w:p>
        </w:tc>
        <w:tc>
          <w:tcPr>
            <w:tcW w:w="929" w:type="dxa"/>
            <w:tcBorders>
              <w:top w:val="nil"/>
              <w:left w:val="single" w:sz="4" w:space="0" w:color="auto"/>
              <w:bottom w:val="single" w:sz="4" w:space="0" w:color="auto"/>
            </w:tcBorders>
            <w:vAlign w:val="center"/>
          </w:tcPr>
          <w:p w:rsidR="00B91E2E" w:rsidRPr="00065D72" w:rsidP="00B91E2E" w14:paraId="46C054AE" w14:textId="77777777">
            <w:pPr>
              <w:jc w:val="center"/>
              <w:rPr>
                <w:sz w:val="20"/>
                <w:szCs w:val="20"/>
              </w:rPr>
            </w:pPr>
            <w:r>
              <w:rPr>
                <w:sz w:val="20"/>
                <w:szCs w:val="20"/>
              </w:rPr>
              <w:t>81</w:t>
            </w:r>
          </w:p>
        </w:tc>
        <w:tc>
          <w:tcPr>
            <w:tcW w:w="930" w:type="dxa"/>
            <w:tcBorders>
              <w:top w:val="nil"/>
              <w:bottom w:val="single" w:sz="4" w:space="0" w:color="auto"/>
            </w:tcBorders>
            <w:vAlign w:val="center"/>
          </w:tcPr>
          <w:p w:rsidR="00B91E2E" w:rsidP="00B91E2E" w14:paraId="5B7D80B5" w14:textId="77777777">
            <w:pPr>
              <w:jc w:val="center"/>
              <w:rPr>
                <w:sz w:val="20"/>
                <w:szCs w:val="20"/>
              </w:rPr>
            </w:pPr>
            <w:r>
              <w:rPr>
                <w:sz w:val="20"/>
                <w:szCs w:val="20"/>
              </w:rPr>
              <w:t>81</w:t>
            </w:r>
          </w:p>
        </w:tc>
        <w:tc>
          <w:tcPr>
            <w:tcW w:w="961" w:type="dxa"/>
            <w:tcBorders>
              <w:top w:val="nil"/>
              <w:bottom w:val="single" w:sz="4" w:space="0" w:color="auto"/>
            </w:tcBorders>
            <w:vAlign w:val="center"/>
          </w:tcPr>
          <w:p w:rsidR="00B91E2E" w:rsidP="00B91E2E" w14:paraId="1D24D9D8" w14:textId="129466D1">
            <w:pPr>
              <w:jc w:val="center"/>
              <w:rPr>
                <w:sz w:val="20"/>
                <w:szCs w:val="20"/>
              </w:rPr>
            </w:pPr>
            <w:r>
              <w:rPr>
                <w:sz w:val="20"/>
                <w:szCs w:val="20"/>
              </w:rPr>
              <w:t>91</w:t>
            </w:r>
          </w:p>
        </w:tc>
        <w:tc>
          <w:tcPr>
            <w:tcW w:w="961" w:type="dxa"/>
            <w:tcBorders>
              <w:top w:val="nil"/>
              <w:bottom w:val="single" w:sz="4" w:space="0" w:color="auto"/>
              <w:right w:val="single" w:sz="4" w:space="0" w:color="auto"/>
            </w:tcBorders>
            <w:vAlign w:val="center"/>
          </w:tcPr>
          <w:p w:rsidR="00B91E2E" w:rsidP="00B91E2E" w14:paraId="78BF965D" w14:textId="636EA5DA">
            <w:pPr>
              <w:jc w:val="center"/>
              <w:rPr>
                <w:sz w:val="20"/>
                <w:szCs w:val="20"/>
              </w:rPr>
            </w:pPr>
            <w:r>
              <w:rPr>
                <w:sz w:val="20"/>
                <w:szCs w:val="20"/>
              </w:rPr>
              <w:t>91</w:t>
            </w:r>
          </w:p>
        </w:tc>
        <w:tc>
          <w:tcPr>
            <w:tcW w:w="930" w:type="dxa"/>
            <w:tcBorders>
              <w:top w:val="nil"/>
              <w:left w:val="single" w:sz="4" w:space="0" w:color="auto"/>
              <w:bottom w:val="single" w:sz="4" w:space="0" w:color="auto"/>
            </w:tcBorders>
            <w:vAlign w:val="center"/>
          </w:tcPr>
          <w:p w:rsidR="00B91E2E" w:rsidRPr="00065D72" w:rsidP="00B91E2E" w14:paraId="68F85C3A" w14:textId="77777777">
            <w:pPr>
              <w:jc w:val="center"/>
              <w:rPr>
                <w:sz w:val="20"/>
                <w:szCs w:val="20"/>
              </w:rPr>
            </w:pPr>
            <w:r>
              <w:rPr>
                <w:sz w:val="20"/>
                <w:szCs w:val="20"/>
              </w:rPr>
              <w:t>91</w:t>
            </w:r>
          </w:p>
        </w:tc>
      </w:tr>
    </w:tbl>
    <w:p w:rsidR="00B91E2E" w:rsidP="00B91E2E" w14:paraId="13AF692D" w14:textId="77777777"/>
    <w:p w:rsidR="007A1892" w:rsidP="007C0A7B" w14:paraId="48D26D3D" w14:textId="77777777">
      <w:bookmarkStart w:id="4" w:name="_Hlk202174541"/>
    </w:p>
    <w:bookmarkEnd w:id="4"/>
    <w:p w:rsidR="002C0F1B" w:rsidP="00E50881" w14:paraId="19FC0D4D" w14:textId="77777777">
      <w:pPr>
        <w:tabs>
          <w:tab w:val="left" w:pos="1176"/>
          <w:tab w:val="left" w:pos="1656"/>
          <w:tab w:val="left" w:pos="5016"/>
          <w:tab w:val="left" w:pos="6696"/>
          <w:tab w:val="left" w:pos="8256"/>
        </w:tabs>
      </w:pPr>
    </w:p>
    <w:p w:rsidR="00873CF4" w:rsidP="00873CF4" w14:paraId="08C29E59" w14:textId="77777777">
      <w:pPr>
        <w:tabs>
          <w:tab w:val="left" w:pos="1176"/>
          <w:tab w:val="left" w:pos="1656"/>
          <w:tab w:val="left" w:pos="5016"/>
          <w:tab w:val="left" w:pos="6696"/>
          <w:tab w:val="left" w:pos="8256"/>
        </w:tabs>
        <w:rPr>
          <w:u w:val="single"/>
        </w:rPr>
      </w:pPr>
      <w:r>
        <w:rPr>
          <w:u w:val="single"/>
        </w:rPr>
        <w:t>Sampling Households Within PSUs</w:t>
      </w:r>
    </w:p>
    <w:p w:rsidR="00DF0CBF" w:rsidP="003F3226" w14:paraId="15F1A3E1" w14:textId="06F8F2F9">
      <w:r>
        <w:t>After selecting a sample of PSUs, a sample of households is selected in those PSUs. Households (or more technically “addresses”) are selected from the Census Bureau’s Master Address File (MAF), which</w:t>
      </w:r>
      <w:r w:rsidR="000C5E4C">
        <w:t xml:space="preserve"> is a list of all</w:t>
      </w:r>
      <w:r>
        <w:t xml:space="preserve"> residential addresses in the United States.</w:t>
      </w:r>
      <w:r w:rsidR="002F6A50">
        <w:t xml:space="preserve"> </w:t>
      </w:r>
      <w:r w:rsidR="00F3760B">
        <w:t>It</w:t>
      </w:r>
      <w:r>
        <w:t xml:space="preserve"> is updated twice per year with information from the U.S. Postal Service.</w:t>
      </w:r>
      <w:r>
        <w:rPr>
          <w:rStyle w:val="FootnoteReference"/>
        </w:rPr>
        <w:footnoteReference w:id="4"/>
      </w:r>
    </w:p>
    <w:p w:rsidR="00DF0CBF" w:rsidP="003F3226" w14:paraId="01D6D3E3" w14:textId="77777777"/>
    <w:p w:rsidR="007500C1" w:rsidP="00484AB9" w14:paraId="777CF8C7" w14:textId="48D54F45">
      <w:r>
        <w:t>For sampling, t</w:t>
      </w:r>
      <w:r w:rsidR="00DF0CBF">
        <w:t xml:space="preserve">he </w:t>
      </w:r>
      <w:r w:rsidR="000D639E">
        <w:t xml:space="preserve">addresses on the </w:t>
      </w:r>
      <w:r w:rsidR="00DF0CBF">
        <w:t xml:space="preserve">MAF </w:t>
      </w:r>
      <w:r w:rsidR="000D639E">
        <w:t>are</w:t>
      </w:r>
      <w:r w:rsidR="00DF0CBF">
        <w:t xml:space="preserve"> partitioned </w:t>
      </w:r>
      <w:r w:rsidR="002F6A50">
        <w:t xml:space="preserve">into two smaller lists </w:t>
      </w:r>
      <w:r w:rsidR="00DF0CBF">
        <w:t xml:space="preserve">of addresses </w:t>
      </w:r>
      <w:r w:rsidR="002F6A50">
        <w:t xml:space="preserve">called the </w:t>
      </w:r>
      <w:r w:rsidR="00DF0CBF">
        <w:t>Unit frame, and the Group Quarters (GQ) frame.</w:t>
      </w:r>
      <w:r w:rsidRPr="00DF0CBF" w:rsidR="00DF0CBF">
        <w:t xml:space="preserve"> </w:t>
      </w:r>
      <w:r w:rsidR="00DF0CBF">
        <w:t xml:space="preserve">The Unit frame is the larger of the two frames. It has 99% of the MAF’s </w:t>
      </w:r>
      <w:r>
        <w:t xml:space="preserve">residential </w:t>
      </w:r>
      <w:r w:rsidR="00DF0CBF">
        <w:t>addresses</w:t>
      </w:r>
      <w:r w:rsidR="00484AB9">
        <w:t>.</w:t>
      </w:r>
      <w:r w:rsidRPr="00484AB9" w:rsidR="00484AB9">
        <w:t xml:space="preserve"> </w:t>
      </w:r>
      <w:r w:rsidR="00F3760B">
        <w:t>T</w:t>
      </w:r>
      <w:r w:rsidR="00484AB9">
        <w:t xml:space="preserve">he GQ frame is the smaller of the two frames. It has the remaining 1% of </w:t>
      </w:r>
      <w:r w:rsidR="00B80441">
        <w:t>its</w:t>
      </w:r>
      <w:r w:rsidR="00484AB9">
        <w:t xml:space="preserve"> addresses. The Unit frame is updated twice per year, and the GQ frame is updated </w:t>
      </w:r>
      <w:r w:rsidR="00B80441">
        <w:t xml:space="preserve">once </w:t>
      </w:r>
      <w:r w:rsidR="00484AB9">
        <w:t xml:space="preserve">every three years. </w:t>
      </w:r>
      <w:r w:rsidR="003F3226">
        <w:t xml:space="preserve">Addresses for </w:t>
      </w:r>
      <w:r w:rsidR="00484AB9">
        <w:t xml:space="preserve">both </w:t>
      </w:r>
      <w:r w:rsidR="003F3226">
        <w:t xml:space="preserve">surveys are selected from </w:t>
      </w:r>
      <w:r w:rsidR="00484AB9">
        <w:t xml:space="preserve">both </w:t>
      </w:r>
      <w:r w:rsidR="003F3226">
        <w:t>frames</w:t>
      </w:r>
      <w:r>
        <w:t>.</w:t>
      </w:r>
    </w:p>
    <w:p w:rsidR="003F3226" w:rsidP="003F3226" w14:paraId="22FBF791" w14:textId="77777777"/>
    <w:p w:rsidR="003F3226" w:rsidP="003F3226" w14:paraId="42E43B9C" w14:textId="297B6959">
      <w:r>
        <w:t>W</w:t>
      </w:r>
      <w:r w:rsidR="007A798D">
        <w:t>ithin each PSU a “systematic sample” of addresses is selected for both surveys</w:t>
      </w:r>
      <w:r w:rsidRPr="00FA524C" w:rsidR="00FA524C">
        <w:t xml:space="preserve"> </w:t>
      </w:r>
      <w:r w:rsidR="00FA524C">
        <w:t>from both frames</w:t>
      </w:r>
      <w:r w:rsidR="007A798D">
        <w:t xml:space="preserve">. </w:t>
      </w:r>
      <w:r>
        <w:rPr>
          <w:color w:val="000000"/>
        </w:rPr>
        <w:t>Systematic sampling is where the list of addresses is sorted, and then every k-</w:t>
      </w:r>
      <w:r>
        <w:rPr>
          <w:color w:val="000000"/>
        </w:rPr>
        <w:t>th</w:t>
      </w:r>
      <w:r>
        <w:rPr>
          <w:color w:val="000000"/>
        </w:rPr>
        <w:t xml:space="preserve"> address on the list is systematically selected for the sample. The number “k” is called the “sampling interval.” </w:t>
      </w:r>
      <w:r>
        <w:t xml:space="preserve">The first address in the sample is randomly selected from the </w:t>
      </w:r>
      <w:r>
        <w:t>first k</w:t>
      </w:r>
      <w:r>
        <w:t xml:space="preserve"> addresses on the list. Then, after that, every k-</w:t>
      </w:r>
      <w:r>
        <w:t>th</w:t>
      </w:r>
      <w:r>
        <w:t xml:space="preserve"> address down the list is systematically selected. For example, if the first address selected is the 7-th address on the list, then the sample will consist of addresses 7, 7+k, 7+2k, 7+3k, and so on.</w:t>
      </w:r>
    </w:p>
    <w:p w:rsidR="00423E73" w:rsidP="00E50881" w14:paraId="558BFF37" w14:textId="77777777">
      <w:pPr>
        <w:pStyle w:val="Pa5"/>
        <w:spacing w:line="240" w:lineRule="auto"/>
        <w:rPr>
          <w:color w:val="000000"/>
        </w:rPr>
      </w:pPr>
      <w:bookmarkStart w:id="5" w:name="_Hlk164860068"/>
      <w:bookmarkStart w:id="6" w:name="_Hlk164860042"/>
      <w:bookmarkEnd w:id="2"/>
    </w:p>
    <w:p w:rsidR="00423E73" w:rsidRPr="00E3685C" w:rsidP="00423E73" w14:paraId="7CA35304" w14:textId="651C3993">
      <w:r>
        <w:t>For</w:t>
      </w:r>
      <w:r>
        <w:t xml:space="preserve"> the Unit frame, the addresses are sorted first by PSU</w:t>
      </w:r>
      <w:r>
        <w:t>;</w:t>
      </w:r>
      <w:r>
        <w:t xml:space="preserve"> then by the</w:t>
      </w:r>
      <w:r w:rsidR="00237486">
        <w:t>ir</w:t>
      </w:r>
      <w:r>
        <w:t xml:space="preserve"> State Federal Information and Processing Standards (FIPS) code</w:t>
      </w:r>
      <w:r w:rsidR="00301158">
        <w:t>;</w:t>
      </w:r>
      <w:r>
        <w:t xml:space="preserve"> then by the</w:t>
      </w:r>
      <w:r w:rsidR="00237486">
        <w:t>ir</w:t>
      </w:r>
      <w:r>
        <w:t xml:space="preserve"> County FIPS code</w:t>
      </w:r>
      <w:r w:rsidR="00301158">
        <w:t>;</w:t>
      </w:r>
      <w:r>
        <w:t xml:space="preserve"> then by a CE stratification variable described below</w:t>
      </w:r>
      <w:r>
        <w:t>;</w:t>
      </w:r>
      <w:r>
        <w:t xml:space="preserve"> and then by </w:t>
      </w:r>
      <w:r w:rsidR="00237486">
        <w:t xml:space="preserve">their </w:t>
      </w:r>
      <w:r>
        <w:t xml:space="preserve">Census Tract code, Census Block code, Street name, Street number, </w:t>
      </w:r>
      <w:r>
        <w:rPr>
          <w:color w:val="000000"/>
        </w:rPr>
        <w:t>and MAFID code.</w:t>
      </w:r>
    </w:p>
    <w:p w:rsidR="00423E73" w:rsidRPr="00E3685C" w:rsidP="00423E73" w14:paraId="20B4AB14" w14:textId="77777777"/>
    <w:p w:rsidR="002C0F1B" w:rsidP="00E50881" w14:paraId="7C6D1B8E" w14:textId="21C98045">
      <w:pPr>
        <w:pStyle w:val="Pa5"/>
        <w:spacing w:line="240" w:lineRule="auto"/>
        <w:rPr>
          <w:color w:val="000000"/>
        </w:rPr>
      </w:pPr>
      <w:r>
        <w:rPr>
          <w:color w:val="000000"/>
        </w:rPr>
        <w:t xml:space="preserve">For the Unit frame, </w:t>
      </w:r>
      <w:r w:rsidR="00F7448D">
        <w:rPr>
          <w:color w:val="000000"/>
        </w:rPr>
        <w:t>the</w:t>
      </w:r>
      <w:r>
        <w:rPr>
          <w:color w:val="000000"/>
        </w:rPr>
        <w:t xml:space="preserve"> </w:t>
      </w:r>
      <w:r w:rsidR="00F7448D">
        <w:rPr>
          <w:color w:val="000000"/>
        </w:rPr>
        <w:t xml:space="preserve">CE stratification variable </w:t>
      </w:r>
      <w:r w:rsidR="001C1CC4">
        <w:rPr>
          <w:color w:val="000000"/>
        </w:rPr>
        <w:t>is created from other variables</w:t>
      </w:r>
      <w:r w:rsidR="00D947BA">
        <w:rPr>
          <w:color w:val="000000"/>
        </w:rPr>
        <w:t xml:space="preserve"> that are correlated with</w:t>
      </w:r>
      <w:r w:rsidR="001C1CC4">
        <w:rPr>
          <w:color w:val="000000"/>
        </w:rPr>
        <w:t xml:space="preserve"> </w:t>
      </w:r>
      <w:r w:rsidR="00F7448D">
        <w:rPr>
          <w:color w:val="000000"/>
        </w:rPr>
        <w:t xml:space="preserve">household </w:t>
      </w:r>
      <w:r>
        <w:rPr>
          <w:color w:val="000000"/>
        </w:rPr>
        <w:t>expenditures</w:t>
      </w:r>
      <w:r w:rsidR="006D2548">
        <w:rPr>
          <w:color w:val="000000"/>
        </w:rPr>
        <w:t xml:space="preserve">. </w:t>
      </w:r>
      <w:r>
        <w:rPr>
          <w:color w:val="000000"/>
        </w:rPr>
        <w:t>The purpose of th</w:t>
      </w:r>
      <w:r w:rsidR="006025AF">
        <w:rPr>
          <w:color w:val="000000"/>
        </w:rPr>
        <w:t>e</w:t>
      </w:r>
      <w:r>
        <w:rPr>
          <w:color w:val="000000"/>
        </w:rPr>
        <w:t xml:space="preserve"> </w:t>
      </w:r>
      <w:r w:rsidR="006D2548">
        <w:rPr>
          <w:color w:val="000000"/>
        </w:rPr>
        <w:t xml:space="preserve">variable </w:t>
      </w:r>
      <w:r>
        <w:rPr>
          <w:color w:val="000000"/>
        </w:rPr>
        <w:t>is to ensure that households of every wealth level are well-represented in the sample</w:t>
      </w:r>
      <w:r w:rsidR="005E57BF">
        <w:rPr>
          <w:color w:val="000000"/>
        </w:rPr>
        <w:t xml:space="preserve">. </w:t>
      </w:r>
      <w:bookmarkEnd w:id="5"/>
      <w:r w:rsidR="00AE731D">
        <w:rPr>
          <w:color w:val="000000"/>
        </w:rPr>
        <w:t>Table 1 below shows how the households are sorted</w:t>
      </w:r>
      <w:r w:rsidR="005E57BF">
        <w:rPr>
          <w:color w:val="000000"/>
        </w:rPr>
        <w:t xml:space="preserve">. </w:t>
      </w:r>
      <w:r w:rsidR="00AE731D">
        <w:rPr>
          <w:color w:val="000000"/>
        </w:rPr>
        <w:t>It has codes ranging from 10 to 99 with the lower codes being for low-wealth households, and the higher codes being for high-wealth households</w:t>
      </w:r>
      <w:r w:rsidR="005E57BF">
        <w:rPr>
          <w:color w:val="000000"/>
        </w:rPr>
        <w:t xml:space="preserve">. </w:t>
      </w:r>
      <w:r w:rsidR="006025AF">
        <w:rPr>
          <w:color w:val="000000"/>
        </w:rPr>
        <w:t>This</w:t>
      </w:r>
      <w:r>
        <w:rPr>
          <w:color w:val="000000"/>
        </w:rPr>
        <w:t xml:space="preserv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Pr>
          <w:color w:val="000000"/>
        </w:rPr>
        <w:t>)</w:t>
      </w:r>
      <w:r w:rsidR="005E57BF">
        <w:rPr>
          <w:color w:val="000000"/>
        </w:rPr>
        <w:t xml:space="preserve">. </w:t>
      </w:r>
      <w:r>
        <w:rPr>
          <w:color w:val="000000"/>
        </w:rPr>
        <w:t>These variables are correlated with expenditures</w:t>
      </w:r>
      <w:r w:rsidR="008352C1">
        <w:rPr>
          <w:color w:val="000000"/>
        </w:rPr>
        <w:t>.</w:t>
      </w:r>
      <w:r w:rsidR="00E94DE2">
        <w:rPr>
          <w:color w:val="000000"/>
        </w:rPr>
        <w:t xml:space="preserve"> </w:t>
      </w:r>
      <w:r w:rsidR="008352C1">
        <w:rPr>
          <w:color w:val="000000"/>
        </w:rPr>
        <w:t>H</w:t>
      </w:r>
      <w:r>
        <w:rPr>
          <w:color w:val="000000"/>
        </w:rPr>
        <w:t xml:space="preserve">ouseholds with more people tend to </w:t>
      </w:r>
      <w:r w:rsidR="00B80441">
        <w:rPr>
          <w:color w:val="000000"/>
        </w:rPr>
        <w:t xml:space="preserve">spend more </w:t>
      </w:r>
      <w:r>
        <w:rPr>
          <w:color w:val="000000"/>
        </w:rPr>
        <w:t xml:space="preserve">than those with fewer people; homeowners tend to </w:t>
      </w:r>
      <w:r w:rsidR="00B80441">
        <w:rPr>
          <w:color w:val="000000"/>
        </w:rPr>
        <w:t>spend more</w:t>
      </w:r>
      <w:r>
        <w:rPr>
          <w:color w:val="000000"/>
        </w:rPr>
        <w:t xml:space="preserve"> than renters; and people living in high-price housing units tend to </w:t>
      </w:r>
      <w:r w:rsidR="00B80441">
        <w:rPr>
          <w:color w:val="000000"/>
        </w:rPr>
        <w:t xml:space="preserve">spend more </w:t>
      </w:r>
      <w:r>
        <w:rPr>
          <w:color w:val="000000"/>
        </w:rPr>
        <w:t xml:space="preserve">than </w:t>
      </w:r>
      <w:r w:rsidR="002C68CC">
        <w:rPr>
          <w:color w:val="000000"/>
        </w:rPr>
        <w:t>people</w:t>
      </w:r>
      <w:r>
        <w:rPr>
          <w:color w:val="000000"/>
        </w:rPr>
        <w:t xml:space="preserve"> </w:t>
      </w:r>
      <w:r w:rsidR="00AE731D">
        <w:rPr>
          <w:color w:val="000000"/>
        </w:rPr>
        <w:t xml:space="preserve">living </w:t>
      </w:r>
      <w:r>
        <w:rPr>
          <w:color w:val="000000"/>
        </w:rPr>
        <w:t>in low-price housing units.</w:t>
      </w:r>
    </w:p>
    <w:bookmarkEnd w:id="6"/>
    <w:p w:rsidR="002C0F1B" w:rsidRPr="000955A0" w:rsidP="00E50881" w14:paraId="6C974028" w14:textId="77777777"/>
    <w:bookmarkEnd w:id="3"/>
    <w:p w:rsidR="002C0F1B" w:rsidRPr="00E3685C" w:rsidP="003E2586" w14:paraId="01852A0F" w14:textId="6C3F2207">
      <w:pPr>
        <w:pStyle w:val="Pa5"/>
        <w:keepNext/>
        <w:spacing w:line="240" w:lineRule="auto"/>
        <w:jc w:val="center"/>
        <w:rPr>
          <w:color w:val="000000"/>
        </w:rPr>
      </w:pPr>
      <w:r w:rsidRPr="00E3685C">
        <w:rPr>
          <w:color w:val="000000"/>
        </w:rPr>
        <w:t>Table 1</w:t>
      </w:r>
      <w:r w:rsidR="005E57BF">
        <w:rPr>
          <w:color w:val="000000"/>
        </w:rPr>
        <w:t xml:space="preserve">. </w:t>
      </w:r>
      <w:r w:rsidRPr="00E3685C">
        <w:rPr>
          <w:color w:val="000000"/>
        </w:rPr>
        <w:t>CE Unit Frame Stratification Code Values</w:t>
      </w:r>
    </w:p>
    <w:p w:rsidR="002C0F1B" w:rsidRPr="00E3685C" w:rsidP="003E2586" w14:paraId="6CAB27BC" w14:textId="77777777">
      <w:pPr>
        <w:keepNext/>
      </w:pPr>
    </w:p>
    <w:tbl>
      <w:tblPr>
        <w:tblW w:w="7560" w:type="dxa"/>
        <w:jc w:val="center"/>
        <w:tblLook w:val="0000"/>
      </w:tblPr>
      <w:tblGrid>
        <w:gridCol w:w="2020"/>
        <w:gridCol w:w="1130"/>
        <w:gridCol w:w="1170"/>
        <w:gridCol w:w="1080"/>
        <w:gridCol w:w="1057"/>
        <w:gridCol w:w="1103"/>
      </w:tblGrid>
      <w:tr w14:paraId="2F78F4B4" w14:textId="77777777" w:rsidTr="00753AB4">
        <w:tblPrEx>
          <w:tblW w:w="7560" w:type="dxa"/>
          <w:jc w:val="center"/>
          <w:tblLook w:val="0000"/>
        </w:tblPrEx>
        <w:trPr>
          <w:trHeight w:val="255"/>
          <w:jc w:val="center"/>
        </w:trPr>
        <w:tc>
          <w:tcPr>
            <w:tcW w:w="2020" w:type="dxa"/>
            <w:tcBorders>
              <w:top w:val="single" w:sz="4" w:space="0" w:color="auto"/>
              <w:left w:val="nil"/>
              <w:bottom w:val="nil"/>
              <w:right w:val="nil"/>
            </w:tcBorders>
            <w:noWrap/>
            <w:vAlign w:val="center"/>
          </w:tcPr>
          <w:p w:rsidR="002C0F1B" w:rsidRPr="00E3685C" w:rsidP="003E2586" w14:paraId="7D205087" w14:textId="77777777">
            <w:pPr>
              <w:keepNext/>
              <w:rPr>
                <w:sz w:val="20"/>
                <w:szCs w:val="20"/>
              </w:rPr>
            </w:pPr>
            <w:r w:rsidRPr="00E3685C">
              <w:rPr>
                <w:sz w:val="20"/>
                <w:szCs w:val="20"/>
              </w:rPr>
              <w:t>Renter/Owner Quartile</w:t>
            </w:r>
          </w:p>
        </w:tc>
        <w:tc>
          <w:tcPr>
            <w:tcW w:w="5540" w:type="dxa"/>
            <w:gridSpan w:val="5"/>
            <w:tcBorders>
              <w:top w:val="single" w:sz="4" w:space="0" w:color="auto"/>
              <w:left w:val="nil"/>
              <w:bottom w:val="single" w:sz="4" w:space="0" w:color="auto"/>
              <w:right w:val="nil"/>
            </w:tcBorders>
            <w:noWrap/>
            <w:vAlign w:val="center"/>
          </w:tcPr>
          <w:p w:rsidR="002C0F1B" w:rsidRPr="00E3685C" w:rsidP="003E2586" w14:paraId="5BBE52BD" w14:textId="77777777">
            <w:pPr>
              <w:keepNext/>
              <w:jc w:val="center"/>
              <w:rPr>
                <w:sz w:val="20"/>
                <w:szCs w:val="20"/>
              </w:rPr>
            </w:pPr>
            <w:r w:rsidRPr="00E3685C">
              <w:rPr>
                <w:sz w:val="20"/>
                <w:szCs w:val="20"/>
              </w:rPr>
              <w:t>Number of Occupants</w:t>
            </w:r>
          </w:p>
        </w:tc>
      </w:tr>
      <w:tr w14:paraId="497B6F7E" w14:textId="77777777" w:rsidTr="00753AB4">
        <w:tblPrEx>
          <w:tblW w:w="7560" w:type="dxa"/>
          <w:jc w:val="center"/>
          <w:tblLook w:val="0000"/>
        </w:tblPrEx>
        <w:trPr>
          <w:trHeight w:val="315"/>
          <w:jc w:val="center"/>
        </w:trPr>
        <w:tc>
          <w:tcPr>
            <w:tcW w:w="2020" w:type="dxa"/>
            <w:tcBorders>
              <w:top w:val="nil"/>
              <w:left w:val="nil"/>
              <w:bottom w:val="nil"/>
              <w:right w:val="nil"/>
            </w:tcBorders>
            <w:noWrap/>
            <w:vAlign w:val="center"/>
          </w:tcPr>
          <w:p w:rsidR="002C0F1B" w:rsidRPr="00E3685C" w:rsidP="003E2586" w14:paraId="4E506146" w14:textId="77777777">
            <w:pPr>
              <w:keepNext/>
              <w:rPr>
                <w:sz w:val="20"/>
                <w:szCs w:val="20"/>
              </w:rPr>
            </w:pPr>
          </w:p>
        </w:tc>
        <w:tc>
          <w:tcPr>
            <w:tcW w:w="1130" w:type="dxa"/>
            <w:tcBorders>
              <w:top w:val="nil"/>
              <w:left w:val="nil"/>
              <w:bottom w:val="nil"/>
              <w:right w:val="nil"/>
            </w:tcBorders>
            <w:noWrap/>
            <w:tcMar>
              <w:left w:w="29" w:type="dxa"/>
              <w:right w:w="29" w:type="dxa"/>
            </w:tcMar>
            <w:vAlign w:val="center"/>
          </w:tcPr>
          <w:p w:rsidR="002C0F1B" w:rsidRPr="00E3685C" w:rsidP="003E2586" w14:paraId="7CB0A9FF" w14:textId="77777777">
            <w:pPr>
              <w:keepNext/>
              <w:jc w:val="center"/>
              <w:rPr>
                <w:sz w:val="20"/>
                <w:szCs w:val="20"/>
              </w:rPr>
            </w:pPr>
            <w:r>
              <w:rPr>
                <w:sz w:val="20"/>
                <w:szCs w:val="20"/>
              </w:rPr>
              <w:t>1 person</w:t>
            </w:r>
          </w:p>
        </w:tc>
        <w:tc>
          <w:tcPr>
            <w:tcW w:w="1170" w:type="dxa"/>
            <w:tcBorders>
              <w:top w:val="nil"/>
              <w:left w:val="nil"/>
              <w:bottom w:val="nil"/>
              <w:right w:val="nil"/>
            </w:tcBorders>
            <w:noWrap/>
            <w:tcMar>
              <w:left w:w="29" w:type="dxa"/>
              <w:right w:w="29" w:type="dxa"/>
            </w:tcMar>
            <w:vAlign w:val="center"/>
          </w:tcPr>
          <w:p w:rsidR="002C0F1B" w:rsidRPr="00E3685C" w:rsidP="003E2586" w14:paraId="2076873C" w14:textId="77777777">
            <w:pPr>
              <w:keepNext/>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noWrap/>
            <w:tcMar>
              <w:left w:w="29" w:type="dxa"/>
              <w:right w:w="29" w:type="dxa"/>
            </w:tcMar>
            <w:vAlign w:val="center"/>
          </w:tcPr>
          <w:p w:rsidR="002C0F1B" w:rsidRPr="00E3685C" w:rsidP="003E2586" w14:paraId="7E2EDC57" w14:textId="77777777">
            <w:pPr>
              <w:keepNext/>
              <w:jc w:val="center"/>
              <w:rPr>
                <w:sz w:val="20"/>
                <w:szCs w:val="20"/>
              </w:rPr>
            </w:pPr>
            <w:r>
              <w:rPr>
                <w:sz w:val="20"/>
                <w:szCs w:val="20"/>
              </w:rPr>
              <w:t>Vacant</w:t>
            </w:r>
          </w:p>
        </w:tc>
        <w:tc>
          <w:tcPr>
            <w:tcW w:w="1057" w:type="dxa"/>
            <w:tcBorders>
              <w:top w:val="nil"/>
              <w:left w:val="nil"/>
              <w:bottom w:val="nil"/>
              <w:right w:val="nil"/>
            </w:tcBorders>
            <w:noWrap/>
            <w:tcMar>
              <w:left w:w="29" w:type="dxa"/>
              <w:right w:w="29" w:type="dxa"/>
            </w:tcMar>
            <w:vAlign w:val="center"/>
          </w:tcPr>
          <w:p w:rsidR="002C0F1B" w:rsidRPr="00E3685C" w:rsidP="003E2586" w14:paraId="66C7E3BF" w14:textId="77777777">
            <w:pPr>
              <w:keepNext/>
              <w:jc w:val="center"/>
              <w:rPr>
                <w:sz w:val="20"/>
                <w:szCs w:val="20"/>
              </w:rPr>
            </w:pPr>
            <w:r w:rsidRPr="00E3685C">
              <w:rPr>
                <w:sz w:val="20"/>
                <w:szCs w:val="20"/>
              </w:rPr>
              <w:t>3 persons</w:t>
            </w:r>
          </w:p>
        </w:tc>
        <w:tc>
          <w:tcPr>
            <w:tcW w:w="1103" w:type="dxa"/>
            <w:tcBorders>
              <w:top w:val="nil"/>
              <w:left w:val="nil"/>
              <w:bottom w:val="nil"/>
              <w:right w:val="nil"/>
            </w:tcBorders>
            <w:noWrap/>
            <w:tcMar>
              <w:left w:w="29" w:type="dxa"/>
              <w:right w:w="29" w:type="dxa"/>
            </w:tcMar>
            <w:vAlign w:val="center"/>
          </w:tcPr>
          <w:p w:rsidR="002C0F1B" w:rsidRPr="00E3685C" w:rsidP="003E2586" w14:paraId="1D791731" w14:textId="77777777">
            <w:pPr>
              <w:keepNext/>
              <w:jc w:val="center"/>
              <w:rPr>
                <w:sz w:val="20"/>
                <w:szCs w:val="20"/>
              </w:rPr>
            </w:pPr>
            <w:r w:rsidRPr="00E3685C">
              <w:rPr>
                <w:sz w:val="20"/>
                <w:szCs w:val="20"/>
              </w:rPr>
              <w:t>4+ persons</w:t>
            </w:r>
          </w:p>
        </w:tc>
      </w:tr>
      <w:tr w14:paraId="08A78FC7"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1F71138F" w14:textId="77777777">
            <w:pPr>
              <w:keepNext/>
              <w:rPr>
                <w:sz w:val="20"/>
                <w:szCs w:val="20"/>
              </w:rPr>
            </w:pPr>
            <w:r w:rsidRPr="00E3685C">
              <w:rPr>
                <w:sz w:val="20"/>
                <w:szCs w:val="20"/>
              </w:rPr>
              <w:t>Renters</w:t>
            </w:r>
            <w:r w:rsidRPr="00E3685C">
              <w:rPr>
                <w:sz w:val="20"/>
                <w:szCs w:val="20"/>
              </w:rPr>
              <w:t xml:space="preserve">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noWrap/>
            <w:tcMar>
              <w:left w:w="29" w:type="dxa"/>
              <w:right w:w="29" w:type="dxa"/>
            </w:tcMar>
            <w:vAlign w:val="center"/>
          </w:tcPr>
          <w:p w:rsidR="002C0F1B" w:rsidRPr="00E3685C" w:rsidP="003E2586" w14:paraId="5008262C" w14:textId="77777777">
            <w:pPr>
              <w:jc w:val="center"/>
              <w:rPr>
                <w:sz w:val="20"/>
                <w:szCs w:val="20"/>
              </w:rPr>
            </w:pPr>
            <w:r w:rsidRPr="00E3685C">
              <w:rPr>
                <w:sz w:val="20"/>
                <w:szCs w:val="20"/>
              </w:rPr>
              <w:t>10</w:t>
            </w:r>
          </w:p>
        </w:tc>
        <w:tc>
          <w:tcPr>
            <w:tcW w:w="1170" w:type="dxa"/>
            <w:tcBorders>
              <w:top w:val="nil"/>
              <w:left w:val="nil"/>
              <w:bottom w:val="nil"/>
              <w:right w:val="nil"/>
            </w:tcBorders>
            <w:noWrap/>
            <w:tcMar>
              <w:left w:w="29" w:type="dxa"/>
              <w:right w:w="29" w:type="dxa"/>
            </w:tcMar>
            <w:vAlign w:val="center"/>
          </w:tcPr>
          <w:p w:rsidR="002C0F1B" w:rsidRPr="00E3685C" w:rsidP="003E2586" w14:paraId="63AD3BED" w14:textId="77777777">
            <w:pPr>
              <w:jc w:val="center"/>
              <w:rPr>
                <w:sz w:val="20"/>
                <w:szCs w:val="20"/>
              </w:rPr>
            </w:pPr>
            <w:r w:rsidRPr="00E3685C">
              <w:rPr>
                <w:sz w:val="20"/>
                <w:szCs w:val="20"/>
              </w:rPr>
              <w:t>11</w:t>
            </w:r>
          </w:p>
        </w:tc>
        <w:tc>
          <w:tcPr>
            <w:tcW w:w="1080" w:type="dxa"/>
            <w:tcBorders>
              <w:top w:val="nil"/>
              <w:left w:val="nil"/>
              <w:bottom w:val="nil"/>
              <w:right w:val="nil"/>
            </w:tcBorders>
            <w:noWrap/>
            <w:tcMar>
              <w:left w:w="29" w:type="dxa"/>
              <w:right w:w="29" w:type="dxa"/>
            </w:tcMar>
            <w:vAlign w:val="center"/>
          </w:tcPr>
          <w:p w:rsidR="002C0F1B" w:rsidRPr="00E3685C" w:rsidP="003E2586" w14:paraId="07E0DA0E" w14:textId="77777777">
            <w:pPr>
              <w:jc w:val="center"/>
              <w:rPr>
                <w:sz w:val="20"/>
                <w:szCs w:val="20"/>
              </w:rPr>
            </w:pPr>
            <w:r w:rsidRPr="00E3685C">
              <w:rPr>
                <w:sz w:val="20"/>
                <w:szCs w:val="20"/>
              </w:rPr>
              <w:t>12</w:t>
            </w:r>
          </w:p>
        </w:tc>
        <w:tc>
          <w:tcPr>
            <w:tcW w:w="1057" w:type="dxa"/>
            <w:tcBorders>
              <w:top w:val="nil"/>
              <w:left w:val="nil"/>
              <w:bottom w:val="nil"/>
              <w:right w:val="nil"/>
            </w:tcBorders>
            <w:noWrap/>
            <w:tcMar>
              <w:left w:w="29" w:type="dxa"/>
              <w:right w:w="29" w:type="dxa"/>
            </w:tcMar>
            <w:vAlign w:val="center"/>
          </w:tcPr>
          <w:p w:rsidR="002C0F1B" w:rsidRPr="00E3685C" w:rsidP="003E2586" w14:paraId="5819EE3A" w14:textId="77777777">
            <w:pPr>
              <w:jc w:val="center"/>
              <w:rPr>
                <w:sz w:val="20"/>
                <w:szCs w:val="20"/>
              </w:rPr>
            </w:pPr>
            <w:r w:rsidRPr="00E3685C">
              <w:rPr>
                <w:sz w:val="20"/>
                <w:szCs w:val="20"/>
              </w:rPr>
              <w:t>13</w:t>
            </w:r>
          </w:p>
        </w:tc>
        <w:tc>
          <w:tcPr>
            <w:tcW w:w="1103" w:type="dxa"/>
            <w:tcBorders>
              <w:top w:val="nil"/>
              <w:left w:val="nil"/>
              <w:bottom w:val="nil"/>
              <w:right w:val="nil"/>
            </w:tcBorders>
            <w:noWrap/>
            <w:tcMar>
              <w:left w:w="29" w:type="dxa"/>
              <w:right w:w="29" w:type="dxa"/>
            </w:tcMar>
            <w:vAlign w:val="center"/>
          </w:tcPr>
          <w:p w:rsidR="002C0F1B" w:rsidRPr="00E3685C" w:rsidP="003E2586" w14:paraId="75D5082D" w14:textId="77777777">
            <w:pPr>
              <w:jc w:val="center"/>
              <w:rPr>
                <w:sz w:val="20"/>
                <w:szCs w:val="20"/>
              </w:rPr>
            </w:pPr>
            <w:r w:rsidRPr="00E3685C">
              <w:rPr>
                <w:sz w:val="20"/>
                <w:szCs w:val="20"/>
              </w:rPr>
              <w:t>14</w:t>
            </w:r>
          </w:p>
        </w:tc>
      </w:tr>
      <w:tr w14:paraId="035A11B6"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1F436849" w14:textId="77777777">
            <w:pPr>
              <w:keepNext/>
              <w:rPr>
                <w:sz w:val="20"/>
                <w:szCs w:val="20"/>
              </w:rPr>
            </w:pPr>
            <w:r w:rsidRPr="00E3685C">
              <w:rPr>
                <w:sz w:val="20"/>
                <w:szCs w:val="20"/>
              </w:rPr>
              <w:t>Renters</w:t>
            </w:r>
            <w:r w:rsidRPr="00E3685C">
              <w:rPr>
                <w:sz w:val="20"/>
                <w:szCs w:val="20"/>
              </w:rPr>
              <w:t xml:space="preserve">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noWrap/>
            <w:tcMar>
              <w:left w:w="29" w:type="dxa"/>
              <w:right w:w="29" w:type="dxa"/>
            </w:tcMar>
            <w:vAlign w:val="center"/>
          </w:tcPr>
          <w:p w:rsidR="002C0F1B" w:rsidRPr="00E3685C" w:rsidP="003E2586" w14:paraId="78048BB0" w14:textId="77777777">
            <w:pPr>
              <w:keepNext/>
              <w:jc w:val="center"/>
              <w:rPr>
                <w:sz w:val="20"/>
                <w:szCs w:val="20"/>
              </w:rPr>
            </w:pPr>
            <w:r w:rsidRPr="00E3685C">
              <w:rPr>
                <w:sz w:val="20"/>
                <w:szCs w:val="20"/>
              </w:rPr>
              <w:t>25</w:t>
            </w:r>
          </w:p>
        </w:tc>
        <w:tc>
          <w:tcPr>
            <w:tcW w:w="1170" w:type="dxa"/>
            <w:tcBorders>
              <w:top w:val="nil"/>
              <w:left w:val="nil"/>
              <w:bottom w:val="nil"/>
              <w:right w:val="nil"/>
            </w:tcBorders>
            <w:noWrap/>
            <w:tcMar>
              <w:left w:w="29" w:type="dxa"/>
              <w:right w:w="29" w:type="dxa"/>
            </w:tcMar>
            <w:vAlign w:val="center"/>
          </w:tcPr>
          <w:p w:rsidR="002C0F1B" w:rsidRPr="00E3685C" w:rsidP="003E2586" w14:paraId="616FD09A" w14:textId="77777777">
            <w:pPr>
              <w:keepNext/>
              <w:jc w:val="center"/>
              <w:rPr>
                <w:sz w:val="20"/>
                <w:szCs w:val="20"/>
              </w:rPr>
            </w:pPr>
            <w:r w:rsidRPr="00E3685C">
              <w:rPr>
                <w:sz w:val="20"/>
                <w:szCs w:val="20"/>
              </w:rPr>
              <w:t>24</w:t>
            </w:r>
          </w:p>
        </w:tc>
        <w:tc>
          <w:tcPr>
            <w:tcW w:w="1080" w:type="dxa"/>
            <w:tcBorders>
              <w:top w:val="nil"/>
              <w:left w:val="nil"/>
              <w:bottom w:val="nil"/>
              <w:right w:val="nil"/>
            </w:tcBorders>
            <w:noWrap/>
            <w:tcMar>
              <w:left w:w="29" w:type="dxa"/>
              <w:right w:w="29" w:type="dxa"/>
            </w:tcMar>
            <w:vAlign w:val="center"/>
          </w:tcPr>
          <w:p w:rsidR="002C0F1B" w:rsidRPr="00E3685C" w:rsidP="003E2586" w14:paraId="19A292EB" w14:textId="77777777">
            <w:pPr>
              <w:keepNext/>
              <w:jc w:val="center"/>
              <w:rPr>
                <w:sz w:val="20"/>
                <w:szCs w:val="20"/>
              </w:rPr>
            </w:pPr>
            <w:r w:rsidRPr="00E3685C">
              <w:rPr>
                <w:sz w:val="20"/>
                <w:szCs w:val="20"/>
              </w:rPr>
              <w:t>23</w:t>
            </w:r>
          </w:p>
        </w:tc>
        <w:tc>
          <w:tcPr>
            <w:tcW w:w="1057" w:type="dxa"/>
            <w:tcBorders>
              <w:top w:val="nil"/>
              <w:left w:val="nil"/>
              <w:bottom w:val="nil"/>
              <w:right w:val="nil"/>
            </w:tcBorders>
            <w:noWrap/>
            <w:tcMar>
              <w:left w:w="29" w:type="dxa"/>
              <w:right w:w="29" w:type="dxa"/>
            </w:tcMar>
            <w:vAlign w:val="center"/>
          </w:tcPr>
          <w:p w:rsidR="002C0F1B" w:rsidRPr="00E3685C" w:rsidP="003E2586" w14:paraId="0CEAF53A" w14:textId="77777777">
            <w:pPr>
              <w:keepNext/>
              <w:jc w:val="center"/>
              <w:rPr>
                <w:sz w:val="20"/>
                <w:szCs w:val="20"/>
              </w:rPr>
            </w:pPr>
            <w:r w:rsidRPr="00E3685C">
              <w:rPr>
                <w:sz w:val="20"/>
                <w:szCs w:val="20"/>
              </w:rPr>
              <w:t>22</w:t>
            </w:r>
          </w:p>
        </w:tc>
        <w:tc>
          <w:tcPr>
            <w:tcW w:w="1103" w:type="dxa"/>
            <w:tcBorders>
              <w:top w:val="nil"/>
              <w:left w:val="nil"/>
              <w:bottom w:val="nil"/>
              <w:right w:val="nil"/>
            </w:tcBorders>
            <w:noWrap/>
            <w:tcMar>
              <w:left w:w="29" w:type="dxa"/>
              <w:right w:w="29" w:type="dxa"/>
            </w:tcMar>
            <w:vAlign w:val="center"/>
          </w:tcPr>
          <w:p w:rsidR="002C0F1B" w:rsidRPr="00E3685C" w:rsidP="003E2586" w14:paraId="2CCE59DC" w14:textId="77777777">
            <w:pPr>
              <w:keepNext/>
              <w:jc w:val="center"/>
              <w:rPr>
                <w:sz w:val="20"/>
                <w:szCs w:val="20"/>
              </w:rPr>
            </w:pPr>
            <w:r w:rsidRPr="00E3685C">
              <w:rPr>
                <w:sz w:val="20"/>
                <w:szCs w:val="20"/>
              </w:rPr>
              <w:t>21</w:t>
            </w:r>
          </w:p>
        </w:tc>
      </w:tr>
      <w:tr w14:paraId="2A96B903"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31661CDA" w14:textId="77777777">
            <w:pPr>
              <w:keepNext/>
              <w:rPr>
                <w:sz w:val="20"/>
                <w:szCs w:val="20"/>
              </w:rPr>
            </w:pPr>
            <w:r>
              <w:rPr>
                <w:sz w:val="20"/>
                <w:szCs w:val="20"/>
              </w:rPr>
              <w:t>Renters</w:t>
            </w:r>
            <w:r>
              <w:rPr>
                <w:sz w:val="20"/>
                <w:szCs w:val="20"/>
              </w:rPr>
              <w:t xml:space="preserve">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noWrap/>
            <w:tcMar>
              <w:left w:w="29" w:type="dxa"/>
              <w:right w:w="29" w:type="dxa"/>
            </w:tcMar>
            <w:vAlign w:val="center"/>
          </w:tcPr>
          <w:p w:rsidR="002C0F1B" w:rsidRPr="00E3685C" w:rsidP="003E2586" w14:paraId="356DB7B4" w14:textId="77777777">
            <w:pPr>
              <w:keepNext/>
              <w:jc w:val="center"/>
              <w:rPr>
                <w:sz w:val="20"/>
                <w:szCs w:val="20"/>
              </w:rPr>
            </w:pPr>
            <w:r w:rsidRPr="00E3685C">
              <w:rPr>
                <w:sz w:val="20"/>
                <w:szCs w:val="20"/>
              </w:rPr>
              <w:t>30</w:t>
            </w:r>
          </w:p>
        </w:tc>
        <w:tc>
          <w:tcPr>
            <w:tcW w:w="1170" w:type="dxa"/>
            <w:tcBorders>
              <w:top w:val="nil"/>
              <w:left w:val="nil"/>
              <w:bottom w:val="nil"/>
              <w:right w:val="nil"/>
            </w:tcBorders>
            <w:noWrap/>
            <w:tcMar>
              <w:left w:w="29" w:type="dxa"/>
              <w:right w:w="29" w:type="dxa"/>
            </w:tcMar>
            <w:vAlign w:val="center"/>
          </w:tcPr>
          <w:p w:rsidR="002C0F1B" w:rsidRPr="00E3685C" w:rsidP="003E2586" w14:paraId="4D2D4C6E" w14:textId="77777777">
            <w:pPr>
              <w:keepNext/>
              <w:jc w:val="center"/>
              <w:rPr>
                <w:sz w:val="20"/>
                <w:szCs w:val="20"/>
              </w:rPr>
            </w:pPr>
            <w:r w:rsidRPr="00E3685C">
              <w:rPr>
                <w:sz w:val="20"/>
                <w:szCs w:val="20"/>
              </w:rPr>
              <w:t>31</w:t>
            </w:r>
          </w:p>
        </w:tc>
        <w:tc>
          <w:tcPr>
            <w:tcW w:w="1080" w:type="dxa"/>
            <w:tcBorders>
              <w:top w:val="nil"/>
              <w:left w:val="nil"/>
              <w:bottom w:val="nil"/>
              <w:right w:val="nil"/>
            </w:tcBorders>
            <w:noWrap/>
            <w:tcMar>
              <w:left w:w="29" w:type="dxa"/>
              <w:right w:w="29" w:type="dxa"/>
            </w:tcMar>
            <w:vAlign w:val="center"/>
          </w:tcPr>
          <w:p w:rsidR="002C0F1B" w:rsidRPr="00E3685C" w:rsidP="003E2586" w14:paraId="5DDA0235" w14:textId="77777777">
            <w:pPr>
              <w:keepNext/>
              <w:jc w:val="center"/>
              <w:rPr>
                <w:sz w:val="20"/>
                <w:szCs w:val="20"/>
              </w:rPr>
            </w:pPr>
            <w:r w:rsidRPr="00E3685C">
              <w:rPr>
                <w:sz w:val="20"/>
                <w:szCs w:val="20"/>
              </w:rPr>
              <w:t>32</w:t>
            </w:r>
          </w:p>
        </w:tc>
        <w:tc>
          <w:tcPr>
            <w:tcW w:w="1057" w:type="dxa"/>
            <w:tcBorders>
              <w:top w:val="nil"/>
              <w:left w:val="nil"/>
              <w:bottom w:val="nil"/>
              <w:right w:val="nil"/>
            </w:tcBorders>
            <w:noWrap/>
            <w:tcMar>
              <w:left w:w="29" w:type="dxa"/>
              <w:right w:w="29" w:type="dxa"/>
            </w:tcMar>
            <w:vAlign w:val="center"/>
          </w:tcPr>
          <w:p w:rsidR="002C0F1B" w:rsidRPr="00E3685C" w:rsidP="003E2586" w14:paraId="0F939AD3" w14:textId="77777777">
            <w:pPr>
              <w:keepNext/>
              <w:jc w:val="center"/>
              <w:rPr>
                <w:sz w:val="20"/>
                <w:szCs w:val="20"/>
              </w:rPr>
            </w:pPr>
            <w:r w:rsidRPr="00E3685C">
              <w:rPr>
                <w:sz w:val="20"/>
                <w:szCs w:val="20"/>
              </w:rPr>
              <w:t>33</w:t>
            </w:r>
          </w:p>
        </w:tc>
        <w:tc>
          <w:tcPr>
            <w:tcW w:w="1103" w:type="dxa"/>
            <w:tcBorders>
              <w:top w:val="nil"/>
              <w:left w:val="nil"/>
              <w:bottom w:val="nil"/>
              <w:right w:val="nil"/>
            </w:tcBorders>
            <w:noWrap/>
            <w:tcMar>
              <w:left w:w="29" w:type="dxa"/>
              <w:right w:w="29" w:type="dxa"/>
            </w:tcMar>
            <w:vAlign w:val="center"/>
          </w:tcPr>
          <w:p w:rsidR="002C0F1B" w:rsidRPr="00E3685C" w:rsidP="003E2586" w14:paraId="2CA755E3" w14:textId="77777777">
            <w:pPr>
              <w:keepNext/>
              <w:jc w:val="center"/>
              <w:rPr>
                <w:sz w:val="20"/>
                <w:szCs w:val="20"/>
              </w:rPr>
            </w:pPr>
            <w:r w:rsidRPr="00E3685C">
              <w:rPr>
                <w:sz w:val="20"/>
                <w:szCs w:val="20"/>
              </w:rPr>
              <w:t>34</w:t>
            </w:r>
          </w:p>
        </w:tc>
      </w:tr>
      <w:tr w14:paraId="67D30AA2"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73446FDE" w14:textId="77777777">
            <w:pPr>
              <w:keepNext/>
              <w:rPr>
                <w:sz w:val="20"/>
                <w:szCs w:val="20"/>
              </w:rPr>
            </w:pPr>
            <w:r>
              <w:rPr>
                <w:sz w:val="20"/>
                <w:szCs w:val="20"/>
              </w:rPr>
              <w:t>Renters</w:t>
            </w:r>
            <w:r>
              <w:rPr>
                <w:sz w:val="20"/>
                <w:szCs w:val="20"/>
              </w:rPr>
              <w:t xml:space="preserve">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noWrap/>
            <w:tcMar>
              <w:left w:w="29" w:type="dxa"/>
              <w:right w:w="29" w:type="dxa"/>
            </w:tcMar>
            <w:vAlign w:val="center"/>
          </w:tcPr>
          <w:p w:rsidR="002C0F1B" w:rsidRPr="00E3685C" w:rsidP="003E2586" w14:paraId="2384984D" w14:textId="77777777">
            <w:pPr>
              <w:keepNext/>
              <w:jc w:val="center"/>
              <w:rPr>
                <w:sz w:val="20"/>
                <w:szCs w:val="20"/>
              </w:rPr>
            </w:pPr>
            <w:r w:rsidRPr="00E3685C">
              <w:rPr>
                <w:sz w:val="20"/>
                <w:szCs w:val="20"/>
              </w:rPr>
              <w:t>45</w:t>
            </w:r>
          </w:p>
        </w:tc>
        <w:tc>
          <w:tcPr>
            <w:tcW w:w="1170" w:type="dxa"/>
            <w:tcBorders>
              <w:top w:val="nil"/>
              <w:left w:val="nil"/>
              <w:bottom w:val="nil"/>
              <w:right w:val="nil"/>
            </w:tcBorders>
            <w:noWrap/>
            <w:tcMar>
              <w:left w:w="29" w:type="dxa"/>
              <w:right w:w="29" w:type="dxa"/>
            </w:tcMar>
            <w:vAlign w:val="center"/>
          </w:tcPr>
          <w:p w:rsidR="002C0F1B" w:rsidRPr="00E3685C" w:rsidP="003E2586" w14:paraId="30D3972B" w14:textId="77777777">
            <w:pPr>
              <w:keepNext/>
              <w:jc w:val="center"/>
              <w:rPr>
                <w:sz w:val="20"/>
                <w:szCs w:val="20"/>
              </w:rPr>
            </w:pPr>
            <w:r w:rsidRPr="00E3685C">
              <w:rPr>
                <w:sz w:val="20"/>
                <w:szCs w:val="20"/>
              </w:rPr>
              <w:t>44</w:t>
            </w:r>
          </w:p>
        </w:tc>
        <w:tc>
          <w:tcPr>
            <w:tcW w:w="1080" w:type="dxa"/>
            <w:tcBorders>
              <w:top w:val="nil"/>
              <w:left w:val="nil"/>
              <w:bottom w:val="nil"/>
              <w:right w:val="nil"/>
            </w:tcBorders>
            <w:noWrap/>
            <w:tcMar>
              <w:left w:w="29" w:type="dxa"/>
              <w:right w:w="29" w:type="dxa"/>
            </w:tcMar>
            <w:vAlign w:val="center"/>
          </w:tcPr>
          <w:p w:rsidR="002C0F1B" w:rsidRPr="00E3685C" w:rsidP="003E2586" w14:paraId="405B1441" w14:textId="77777777">
            <w:pPr>
              <w:keepNext/>
              <w:jc w:val="center"/>
              <w:rPr>
                <w:sz w:val="20"/>
                <w:szCs w:val="20"/>
              </w:rPr>
            </w:pPr>
            <w:r w:rsidRPr="00E3685C">
              <w:rPr>
                <w:sz w:val="20"/>
                <w:szCs w:val="20"/>
              </w:rPr>
              <w:t>43</w:t>
            </w:r>
          </w:p>
        </w:tc>
        <w:tc>
          <w:tcPr>
            <w:tcW w:w="1057" w:type="dxa"/>
            <w:tcBorders>
              <w:top w:val="nil"/>
              <w:left w:val="nil"/>
              <w:bottom w:val="nil"/>
              <w:right w:val="nil"/>
            </w:tcBorders>
            <w:noWrap/>
            <w:tcMar>
              <w:left w:w="29" w:type="dxa"/>
              <w:right w:w="29" w:type="dxa"/>
            </w:tcMar>
            <w:vAlign w:val="center"/>
          </w:tcPr>
          <w:p w:rsidR="002C0F1B" w:rsidRPr="00E3685C" w:rsidP="003E2586" w14:paraId="0124CDF8" w14:textId="77777777">
            <w:pPr>
              <w:keepNext/>
              <w:jc w:val="center"/>
              <w:rPr>
                <w:sz w:val="20"/>
                <w:szCs w:val="20"/>
              </w:rPr>
            </w:pPr>
            <w:r w:rsidRPr="00E3685C">
              <w:rPr>
                <w:sz w:val="20"/>
                <w:szCs w:val="20"/>
              </w:rPr>
              <w:t>42</w:t>
            </w:r>
          </w:p>
        </w:tc>
        <w:tc>
          <w:tcPr>
            <w:tcW w:w="1103" w:type="dxa"/>
            <w:tcBorders>
              <w:top w:val="nil"/>
              <w:left w:val="nil"/>
              <w:bottom w:val="nil"/>
              <w:right w:val="nil"/>
            </w:tcBorders>
            <w:noWrap/>
            <w:tcMar>
              <w:left w:w="29" w:type="dxa"/>
              <w:right w:w="29" w:type="dxa"/>
            </w:tcMar>
            <w:vAlign w:val="center"/>
          </w:tcPr>
          <w:p w:rsidR="002C0F1B" w:rsidRPr="00E3685C" w:rsidP="003E2586" w14:paraId="7BFE5A16" w14:textId="77777777">
            <w:pPr>
              <w:keepNext/>
              <w:jc w:val="center"/>
              <w:rPr>
                <w:sz w:val="20"/>
                <w:szCs w:val="20"/>
              </w:rPr>
            </w:pPr>
            <w:r w:rsidRPr="00E3685C">
              <w:rPr>
                <w:sz w:val="20"/>
                <w:szCs w:val="20"/>
              </w:rPr>
              <w:t>41</w:t>
            </w:r>
          </w:p>
        </w:tc>
      </w:tr>
      <w:tr w14:paraId="476AEEAF"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264BCBFC" w14:textId="77777777">
            <w:pPr>
              <w:keepNext/>
              <w:rPr>
                <w:sz w:val="20"/>
                <w:szCs w:val="20"/>
              </w:rPr>
            </w:pPr>
            <w:r>
              <w:rPr>
                <w:sz w:val="20"/>
                <w:szCs w:val="20"/>
              </w:rPr>
              <w:t>Owners</w:t>
            </w:r>
            <w:r>
              <w:rPr>
                <w:sz w:val="20"/>
                <w:szCs w:val="20"/>
              </w:rPr>
              <w:t xml:space="preserve">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noWrap/>
            <w:tcMar>
              <w:left w:w="29" w:type="dxa"/>
              <w:right w:w="29" w:type="dxa"/>
            </w:tcMar>
            <w:vAlign w:val="center"/>
          </w:tcPr>
          <w:p w:rsidR="002C0F1B" w:rsidRPr="00E3685C" w:rsidP="003E2586" w14:paraId="44DD41F0" w14:textId="77777777">
            <w:pPr>
              <w:keepNext/>
              <w:jc w:val="center"/>
              <w:rPr>
                <w:sz w:val="20"/>
                <w:szCs w:val="20"/>
              </w:rPr>
            </w:pPr>
            <w:r w:rsidRPr="00E3685C">
              <w:rPr>
                <w:sz w:val="20"/>
                <w:szCs w:val="20"/>
              </w:rPr>
              <w:t>50</w:t>
            </w:r>
          </w:p>
        </w:tc>
        <w:tc>
          <w:tcPr>
            <w:tcW w:w="1170" w:type="dxa"/>
            <w:tcBorders>
              <w:top w:val="nil"/>
              <w:left w:val="nil"/>
              <w:bottom w:val="nil"/>
              <w:right w:val="nil"/>
            </w:tcBorders>
            <w:noWrap/>
            <w:tcMar>
              <w:left w:w="29" w:type="dxa"/>
              <w:right w:w="29" w:type="dxa"/>
            </w:tcMar>
            <w:vAlign w:val="center"/>
          </w:tcPr>
          <w:p w:rsidR="002C0F1B" w:rsidRPr="00E3685C" w:rsidP="003E2586" w14:paraId="77376149" w14:textId="77777777">
            <w:pPr>
              <w:keepNext/>
              <w:jc w:val="center"/>
              <w:rPr>
                <w:sz w:val="20"/>
                <w:szCs w:val="20"/>
              </w:rPr>
            </w:pPr>
            <w:r w:rsidRPr="00E3685C">
              <w:rPr>
                <w:sz w:val="20"/>
                <w:szCs w:val="20"/>
              </w:rPr>
              <w:t>51</w:t>
            </w:r>
          </w:p>
        </w:tc>
        <w:tc>
          <w:tcPr>
            <w:tcW w:w="1080" w:type="dxa"/>
            <w:tcBorders>
              <w:top w:val="nil"/>
              <w:left w:val="nil"/>
              <w:bottom w:val="nil"/>
              <w:right w:val="nil"/>
            </w:tcBorders>
            <w:noWrap/>
            <w:tcMar>
              <w:left w:w="29" w:type="dxa"/>
              <w:right w:w="29" w:type="dxa"/>
            </w:tcMar>
            <w:vAlign w:val="center"/>
          </w:tcPr>
          <w:p w:rsidR="002C0F1B" w:rsidRPr="00E3685C" w:rsidP="003E2586" w14:paraId="229C2A34" w14:textId="77777777">
            <w:pPr>
              <w:keepNext/>
              <w:jc w:val="center"/>
              <w:rPr>
                <w:sz w:val="20"/>
                <w:szCs w:val="20"/>
              </w:rPr>
            </w:pPr>
            <w:r w:rsidRPr="00E3685C">
              <w:rPr>
                <w:sz w:val="20"/>
                <w:szCs w:val="20"/>
              </w:rPr>
              <w:t>52</w:t>
            </w:r>
          </w:p>
        </w:tc>
        <w:tc>
          <w:tcPr>
            <w:tcW w:w="1057" w:type="dxa"/>
            <w:tcBorders>
              <w:top w:val="nil"/>
              <w:left w:val="nil"/>
              <w:bottom w:val="nil"/>
              <w:right w:val="nil"/>
            </w:tcBorders>
            <w:noWrap/>
            <w:tcMar>
              <w:left w:w="29" w:type="dxa"/>
              <w:right w:w="29" w:type="dxa"/>
            </w:tcMar>
            <w:vAlign w:val="center"/>
          </w:tcPr>
          <w:p w:rsidR="002C0F1B" w:rsidRPr="00E3685C" w:rsidP="003E2586" w14:paraId="5C0BC9F5" w14:textId="77777777">
            <w:pPr>
              <w:keepNext/>
              <w:jc w:val="center"/>
              <w:rPr>
                <w:sz w:val="20"/>
                <w:szCs w:val="20"/>
              </w:rPr>
            </w:pPr>
            <w:r w:rsidRPr="00E3685C">
              <w:rPr>
                <w:sz w:val="20"/>
                <w:szCs w:val="20"/>
              </w:rPr>
              <w:t>53</w:t>
            </w:r>
          </w:p>
        </w:tc>
        <w:tc>
          <w:tcPr>
            <w:tcW w:w="1103" w:type="dxa"/>
            <w:tcBorders>
              <w:top w:val="nil"/>
              <w:left w:val="nil"/>
              <w:bottom w:val="nil"/>
              <w:right w:val="nil"/>
            </w:tcBorders>
            <w:noWrap/>
            <w:tcMar>
              <w:left w:w="29" w:type="dxa"/>
              <w:right w:w="29" w:type="dxa"/>
            </w:tcMar>
            <w:vAlign w:val="center"/>
          </w:tcPr>
          <w:p w:rsidR="002C0F1B" w:rsidRPr="00E3685C" w:rsidP="003E2586" w14:paraId="4B4F9744" w14:textId="77777777">
            <w:pPr>
              <w:keepNext/>
              <w:jc w:val="center"/>
              <w:rPr>
                <w:sz w:val="20"/>
                <w:szCs w:val="20"/>
              </w:rPr>
            </w:pPr>
            <w:r w:rsidRPr="00E3685C">
              <w:rPr>
                <w:sz w:val="20"/>
                <w:szCs w:val="20"/>
              </w:rPr>
              <w:t>54</w:t>
            </w:r>
          </w:p>
        </w:tc>
      </w:tr>
      <w:tr w14:paraId="072426CD"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6C538763" w14:textId="77777777">
            <w:pPr>
              <w:keepNext/>
              <w:rPr>
                <w:sz w:val="20"/>
                <w:szCs w:val="20"/>
              </w:rPr>
            </w:pPr>
            <w:r>
              <w:rPr>
                <w:sz w:val="20"/>
                <w:szCs w:val="20"/>
              </w:rPr>
              <w:t>Owners</w:t>
            </w:r>
            <w:r>
              <w:rPr>
                <w:sz w:val="20"/>
                <w:szCs w:val="20"/>
              </w:rPr>
              <w:t xml:space="preserve">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noWrap/>
            <w:tcMar>
              <w:left w:w="29" w:type="dxa"/>
              <w:right w:w="29" w:type="dxa"/>
            </w:tcMar>
            <w:vAlign w:val="center"/>
          </w:tcPr>
          <w:p w:rsidR="002C0F1B" w:rsidRPr="00E3685C" w:rsidP="003E2586" w14:paraId="5B7DDCAC" w14:textId="77777777">
            <w:pPr>
              <w:keepNext/>
              <w:jc w:val="center"/>
              <w:rPr>
                <w:sz w:val="20"/>
                <w:szCs w:val="20"/>
              </w:rPr>
            </w:pPr>
            <w:r w:rsidRPr="00E3685C">
              <w:rPr>
                <w:sz w:val="20"/>
                <w:szCs w:val="20"/>
              </w:rPr>
              <w:t>65</w:t>
            </w:r>
          </w:p>
        </w:tc>
        <w:tc>
          <w:tcPr>
            <w:tcW w:w="1170" w:type="dxa"/>
            <w:tcBorders>
              <w:top w:val="nil"/>
              <w:left w:val="nil"/>
              <w:bottom w:val="nil"/>
              <w:right w:val="nil"/>
            </w:tcBorders>
            <w:noWrap/>
            <w:tcMar>
              <w:left w:w="29" w:type="dxa"/>
              <w:right w:w="29" w:type="dxa"/>
            </w:tcMar>
            <w:vAlign w:val="center"/>
          </w:tcPr>
          <w:p w:rsidR="002C0F1B" w:rsidRPr="00E3685C" w:rsidP="003E2586" w14:paraId="06878822" w14:textId="77777777">
            <w:pPr>
              <w:keepNext/>
              <w:jc w:val="center"/>
              <w:rPr>
                <w:sz w:val="20"/>
                <w:szCs w:val="20"/>
              </w:rPr>
            </w:pPr>
            <w:r w:rsidRPr="00E3685C">
              <w:rPr>
                <w:sz w:val="20"/>
                <w:szCs w:val="20"/>
              </w:rPr>
              <w:t>64</w:t>
            </w:r>
          </w:p>
        </w:tc>
        <w:tc>
          <w:tcPr>
            <w:tcW w:w="1080" w:type="dxa"/>
            <w:tcBorders>
              <w:top w:val="nil"/>
              <w:left w:val="nil"/>
              <w:bottom w:val="nil"/>
              <w:right w:val="nil"/>
            </w:tcBorders>
            <w:noWrap/>
            <w:tcMar>
              <w:left w:w="29" w:type="dxa"/>
              <w:right w:w="29" w:type="dxa"/>
            </w:tcMar>
            <w:vAlign w:val="center"/>
          </w:tcPr>
          <w:p w:rsidR="002C0F1B" w:rsidRPr="00E3685C" w:rsidP="003E2586" w14:paraId="187E2512" w14:textId="77777777">
            <w:pPr>
              <w:keepNext/>
              <w:jc w:val="center"/>
              <w:rPr>
                <w:sz w:val="20"/>
                <w:szCs w:val="20"/>
              </w:rPr>
            </w:pPr>
            <w:r w:rsidRPr="00E3685C">
              <w:rPr>
                <w:sz w:val="20"/>
                <w:szCs w:val="20"/>
              </w:rPr>
              <w:t>63</w:t>
            </w:r>
          </w:p>
        </w:tc>
        <w:tc>
          <w:tcPr>
            <w:tcW w:w="1057" w:type="dxa"/>
            <w:tcBorders>
              <w:top w:val="nil"/>
              <w:left w:val="nil"/>
              <w:bottom w:val="nil"/>
              <w:right w:val="nil"/>
            </w:tcBorders>
            <w:noWrap/>
            <w:tcMar>
              <w:left w:w="29" w:type="dxa"/>
              <w:right w:w="29" w:type="dxa"/>
            </w:tcMar>
            <w:vAlign w:val="center"/>
          </w:tcPr>
          <w:p w:rsidR="002C0F1B" w:rsidRPr="00E3685C" w:rsidP="003E2586" w14:paraId="3A60D72A" w14:textId="77777777">
            <w:pPr>
              <w:keepNext/>
              <w:jc w:val="center"/>
              <w:rPr>
                <w:sz w:val="20"/>
                <w:szCs w:val="20"/>
              </w:rPr>
            </w:pPr>
            <w:r w:rsidRPr="00E3685C">
              <w:rPr>
                <w:sz w:val="20"/>
                <w:szCs w:val="20"/>
              </w:rPr>
              <w:t>62</w:t>
            </w:r>
          </w:p>
        </w:tc>
        <w:tc>
          <w:tcPr>
            <w:tcW w:w="1103" w:type="dxa"/>
            <w:tcBorders>
              <w:top w:val="nil"/>
              <w:left w:val="nil"/>
              <w:bottom w:val="nil"/>
              <w:right w:val="nil"/>
            </w:tcBorders>
            <w:noWrap/>
            <w:tcMar>
              <w:left w:w="29" w:type="dxa"/>
              <w:right w:w="29" w:type="dxa"/>
            </w:tcMar>
            <w:vAlign w:val="center"/>
          </w:tcPr>
          <w:p w:rsidR="002C0F1B" w:rsidRPr="00E3685C" w:rsidP="003E2586" w14:paraId="302B45DE" w14:textId="77777777">
            <w:pPr>
              <w:keepNext/>
              <w:jc w:val="center"/>
              <w:rPr>
                <w:sz w:val="20"/>
                <w:szCs w:val="20"/>
              </w:rPr>
            </w:pPr>
            <w:r w:rsidRPr="00E3685C">
              <w:rPr>
                <w:sz w:val="20"/>
                <w:szCs w:val="20"/>
              </w:rPr>
              <w:t>61</w:t>
            </w:r>
          </w:p>
        </w:tc>
      </w:tr>
      <w:tr w14:paraId="5AF54A94" w14:textId="77777777" w:rsidTr="00753AB4">
        <w:tblPrEx>
          <w:tblW w:w="7560" w:type="dxa"/>
          <w:jc w:val="center"/>
          <w:tblLook w:val="0000"/>
        </w:tblPrEx>
        <w:trPr>
          <w:jc w:val="center"/>
        </w:trPr>
        <w:tc>
          <w:tcPr>
            <w:tcW w:w="2020" w:type="dxa"/>
            <w:tcBorders>
              <w:top w:val="nil"/>
              <w:left w:val="nil"/>
              <w:bottom w:val="nil"/>
              <w:right w:val="nil"/>
            </w:tcBorders>
            <w:noWrap/>
            <w:vAlign w:val="center"/>
          </w:tcPr>
          <w:p w:rsidR="002C0F1B" w:rsidRPr="00E3685C" w:rsidP="003E2586" w14:paraId="10F12F16" w14:textId="77777777">
            <w:pPr>
              <w:keepNext/>
              <w:rPr>
                <w:sz w:val="20"/>
                <w:szCs w:val="20"/>
              </w:rPr>
            </w:pPr>
            <w:r w:rsidRPr="00E3685C">
              <w:rPr>
                <w:sz w:val="20"/>
                <w:szCs w:val="20"/>
              </w:rPr>
              <w:t>Owners</w:t>
            </w:r>
            <w:r w:rsidRPr="00E3685C">
              <w:rPr>
                <w:sz w:val="20"/>
                <w:szCs w:val="20"/>
              </w:rPr>
              <w:t xml:space="preserve">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noWrap/>
            <w:tcMar>
              <w:left w:w="29" w:type="dxa"/>
              <w:right w:w="29" w:type="dxa"/>
            </w:tcMar>
            <w:vAlign w:val="center"/>
          </w:tcPr>
          <w:p w:rsidR="002C0F1B" w:rsidRPr="00E3685C" w:rsidP="003E2586" w14:paraId="0FA823B4" w14:textId="77777777">
            <w:pPr>
              <w:keepNext/>
              <w:jc w:val="center"/>
              <w:rPr>
                <w:sz w:val="20"/>
                <w:szCs w:val="20"/>
              </w:rPr>
            </w:pPr>
            <w:r w:rsidRPr="00E3685C">
              <w:rPr>
                <w:sz w:val="20"/>
                <w:szCs w:val="20"/>
              </w:rPr>
              <w:t>70</w:t>
            </w:r>
          </w:p>
        </w:tc>
        <w:tc>
          <w:tcPr>
            <w:tcW w:w="1170" w:type="dxa"/>
            <w:tcBorders>
              <w:top w:val="nil"/>
              <w:left w:val="nil"/>
              <w:bottom w:val="nil"/>
              <w:right w:val="nil"/>
            </w:tcBorders>
            <w:noWrap/>
            <w:tcMar>
              <w:left w:w="29" w:type="dxa"/>
              <w:right w:w="29" w:type="dxa"/>
            </w:tcMar>
            <w:vAlign w:val="center"/>
          </w:tcPr>
          <w:p w:rsidR="002C0F1B" w:rsidRPr="00E3685C" w:rsidP="003E2586" w14:paraId="406E7985" w14:textId="77777777">
            <w:pPr>
              <w:keepNext/>
              <w:jc w:val="center"/>
              <w:rPr>
                <w:sz w:val="20"/>
                <w:szCs w:val="20"/>
              </w:rPr>
            </w:pPr>
            <w:r w:rsidRPr="00E3685C">
              <w:rPr>
                <w:sz w:val="20"/>
                <w:szCs w:val="20"/>
              </w:rPr>
              <w:t>71</w:t>
            </w:r>
          </w:p>
        </w:tc>
        <w:tc>
          <w:tcPr>
            <w:tcW w:w="1080" w:type="dxa"/>
            <w:tcBorders>
              <w:top w:val="nil"/>
              <w:left w:val="nil"/>
              <w:bottom w:val="nil"/>
              <w:right w:val="nil"/>
            </w:tcBorders>
            <w:noWrap/>
            <w:tcMar>
              <w:left w:w="29" w:type="dxa"/>
              <w:right w:w="29" w:type="dxa"/>
            </w:tcMar>
            <w:vAlign w:val="center"/>
          </w:tcPr>
          <w:p w:rsidR="002C0F1B" w:rsidRPr="00E3685C" w:rsidP="003E2586" w14:paraId="6938C7F1" w14:textId="77777777">
            <w:pPr>
              <w:keepNext/>
              <w:jc w:val="center"/>
              <w:rPr>
                <w:sz w:val="20"/>
                <w:szCs w:val="20"/>
              </w:rPr>
            </w:pPr>
            <w:r w:rsidRPr="00E3685C">
              <w:rPr>
                <w:sz w:val="20"/>
                <w:szCs w:val="20"/>
              </w:rPr>
              <w:t>72</w:t>
            </w:r>
          </w:p>
        </w:tc>
        <w:tc>
          <w:tcPr>
            <w:tcW w:w="1057" w:type="dxa"/>
            <w:tcBorders>
              <w:top w:val="nil"/>
              <w:left w:val="nil"/>
              <w:bottom w:val="nil"/>
              <w:right w:val="nil"/>
            </w:tcBorders>
            <w:noWrap/>
            <w:tcMar>
              <w:left w:w="29" w:type="dxa"/>
              <w:right w:w="29" w:type="dxa"/>
            </w:tcMar>
            <w:vAlign w:val="center"/>
          </w:tcPr>
          <w:p w:rsidR="002C0F1B" w:rsidRPr="00E3685C" w:rsidP="003E2586" w14:paraId="425B6695" w14:textId="77777777">
            <w:pPr>
              <w:keepNext/>
              <w:jc w:val="center"/>
              <w:rPr>
                <w:sz w:val="20"/>
                <w:szCs w:val="20"/>
              </w:rPr>
            </w:pPr>
            <w:r w:rsidRPr="00E3685C">
              <w:rPr>
                <w:sz w:val="20"/>
                <w:szCs w:val="20"/>
              </w:rPr>
              <w:t>73</w:t>
            </w:r>
          </w:p>
        </w:tc>
        <w:tc>
          <w:tcPr>
            <w:tcW w:w="1103" w:type="dxa"/>
            <w:tcBorders>
              <w:top w:val="nil"/>
              <w:left w:val="nil"/>
              <w:bottom w:val="nil"/>
              <w:right w:val="nil"/>
            </w:tcBorders>
            <w:noWrap/>
            <w:tcMar>
              <w:left w:w="29" w:type="dxa"/>
              <w:right w:w="29" w:type="dxa"/>
            </w:tcMar>
            <w:vAlign w:val="center"/>
          </w:tcPr>
          <w:p w:rsidR="002C0F1B" w:rsidRPr="00E3685C" w:rsidP="003E2586" w14:paraId="477B2989" w14:textId="77777777">
            <w:pPr>
              <w:keepNext/>
              <w:jc w:val="center"/>
              <w:rPr>
                <w:sz w:val="20"/>
                <w:szCs w:val="20"/>
              </w:rPr>
            </w:pPr>
            <w:r w:rsidRPr="00E3685C">
              <w:rPr>
                <w:sz w:val="20"/>
                <w:szCs w:val="20"/>
              </w:rPr>
              <w:t>74</w:t>
            </w:r>
          </w:p>
        </w:tc>
      </w:tr>
      <w:tr w14:paraId="5517E920" w14:textId="77777777" w:rsidTr="00753AB4">
        <w:tblPrEx>
          <w:tblW w:w="7560" w:type="dxa"/>
          <w:jc w:val="center"/>
          <w:tblLook w:val="0000"/>
        </w:tblPrEx>
        <w:trPr>
          <w:jc w:val="center"/>
        </w:trPr>
        <w:tc>
          <w:tcPr>
            <w:tcW w:w="2020" w:type="dxa"/>
            <w:tcBorders>
              <w:top w:val="nil"/>
              <w:left w:val="nil"/>
              <w:right w:val="nil"/>
            </w:tcBorders>
            <w:noWrap/>
            <w:vAlign w:val="center"/>
          </w:tcPr>
          <w:p w:rsidR="002C0F1B" w:rsidRPr="00E3685C" w:rsidP="003E2586" w14:paraId="0F3AF97E" w14:textId="77777777">
            <w:pPr>
              <w:keepNext/>
              <w:rPr>
                <w:sz w:val="20"/>
                <w:szCs w:val="20"/>
              </w:rPr>
            </w:pPr>
            <w:r w:rsidRPr="00E3685C">
              <w:rPr>
                <w:sz w:val="20"/>
                <w:szCs w:val="20"/>
              </w:rPr>
              <w:t>Owners</w:t>
            </w:r>
            <w:r w:rsidRPr="00E3685C">
              <w:rPr>
                <w:sz w:val="20"/>
                <w:szCs w:val="20"/>
              </w:rPr>
              <w:t xml:space="preserve">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noWrap/>
            <w:tcMar>
              <w:left w:w="29" w:type="dxa"/>
              <w:right w:w="29" w:type="dxa"/>
            </w:tcMar>
            <w:vAlign w:val="center"/>
          </w:tcPr>
          <w:p w:rsidR="002C0F1B" w:rsidRPr="00E3685C" w:rsidP="003E2586" w14:paraId="64821590" w14:textId="77777777">
            <w:pPr>
              <w:keepNext/>
              <w:jc w:val="center"/>
              <w:rPr>
                <w:sz w:val="20"/>
                <w:szCs w:val="20"/>
              </w:rPr>
            </w:pPr>
            <w:r w:rsidRPr="00E3685C">
              <w:rPr>
                <w:sz w:val="20"/>
                <w:szCs w:val="20"/>
              </w:rPr>
              <w:t>85</w:t>
            </w:r>
          </w:p>
        </w:tc>
        <w:tc>
          <w:tcPr>
            <w:tcW w:w="1170" w:type="dxa"/>
            <w:tcBorders>
              <w:top w:val="nil"/>
              <w:left w:val="nil"/>
              <w:right w:val="nil"/>
            </w:tcBorders>
            <w:noWrap/>
            <w:tcMar>
              <w:left w:w="29" w:type="dxa"/>
              <w:right w:w="29" w:type="dxa"/>
            </w:tcMar>
            <w:vAlign w:val="center"/>
          </w:tcPr>
          <w:p w:rsidR="002C0F1B" w:rsidRPr="00E3685C" w:rsidP="003E2586" w14:paraId="6D821764" w14:textId="77777777">
            <w:pPr>
              <w:keepNext/>
              <w:jc w:val="center"/>
              <w:rPr>
                <w:sz w:val="20"/>
                <w:szCs w:val="20"/>
              </w:rPr>
            </w:pPr>
            <w:r w:rsidRPr="00E3685C">
              <w:rPr>
                <w:sz w:val="20"/>
                <w:szCs w:val="20"/>
              </w:rPr>
              <w:t>84</w:t>
            </w:r>
          </w:p>
        </w:tc>
        <w:tc>
          <w:tcPr>
            <w:tcW w:w="1080" w:type="dxa"/>
            <w:tcBorders>
              <w:top w:val="nil"/>
              <w:left w:val="nil"/>
              <w:right w:val="nil"/>
            </w:tcBorders>
            <w:noWrap/>
            <w:tcMar>
              <w:left w:w="29" w:type="dxa"/>
              <w:right w:w="29" w:type="dxa"/>
            </w:tcMar>
            <w:vAlign w:val="center"/>
          </w:tcPr>
          <w:p w:rsidR="002C0F1B" w:rsidRPr="00E3685C" w:rsidP="003E2586" w14:paraId="32C84E9D" w14:textId="77777777">
            <w:pPr>
              <w:keepNext/>
              <w:jc w:val="center"/>
              <w:rPr>
                <w:sz w:val="20"/>
                <w:szCs w:val="20"/>
              </w:rPr>
            </w:pPr>
            <w:r w:rsidRPr="00E3685C">
              <w:rPr>
                <w:sz w:val="20"/>
                <w:szCs w:val="20"/>
              </w:rPr>
              <w:t>83</w:t>
            </w:r>
          </w:p>
        </w:tc>
        <w:tc>
          <w:tcPr>
            <w:tcW w:w="1057" w:type="dxa"/>
            <w:tcBorders>
              <w:top w:val="nil"/>
              <w:left w:val="nil"/>
              <w:right w:val="nil"/>
            </w:tcBorders>
            <w:noWrap/>
            <w:tcMar>
              <w:left w:w="29" w:type="dxa"/>
              <w:right w:w="29" w:type="dxa"/>
            </w:tcMar>
            <w:vAlign w:val="center"/>
          </w:tcPr>
          <w:p w:rsidR="002C0F1B" w:rsidRPr="00E3685C" w:rsidP="003E2586" w14:paraId="497CBD78" w14:textId="77777777">
            <w:pPr>
              <w:keepNext/>
              <w:jc w:val="center"/>
              <w:rPr>
                <w:sz w:val="20"/>
                <w:szCs w:val="20"/>
              </w:rPr>
            </w:pPr>
            <w:r w:rsidRPr="00E3685C">
              <w:rPr>
                <w:sz w:val="20"/>
                <w:szCs w:val="20"/>
              </w:rPr>
              <w:t>82</w:t>
            </w:r>
          </w:p>
        </w:tc>
        <w:tc>
          <w:tcPr>
            <w:tcW w:w="1103" w:type="dxa"/>
            <w:tcBorders>
              <w:top w:val="nil"/>
              <w:left w:val="nil"/>
              <w:right w:val="nil"/>
            </w:tcBorders>
            <w:noWrap/>
            <w:tcMar>
              <w:left w:w="29" w:type="dxa"/>
              <w:right w:w="29" w:type="dxa"/>
            </w:tcMar>
            <w:vAlign w:val="center"/>
          </w:tcPr>
          <w:p w:rsidR="002C0F1B" w:rsidRPr="00E3685C" w:rsidP="003E2586" w14:paraId="517D75AA" w14:textId="77777777">
            <w:pPr>
              <w:keepNext/>
              <w:jc w:val="center"/>
              <w:rPr>
                <w:sz w:val="20"/>
                <w:szCs w:val="20"/>
              </w:rPr>
            </w:pPr>
            <w:r w:rsidRPr="00E3685C">
              <w:rPr>
                <w:sz w:val="20"/>
                <w:szCs w:val="20"/>
              </w:rPr>
              <w:t>81</w:t>
            </w:r>
          </w:p>
        </w:tc>
      </w:tr>
      <w:tr w14:paraId="53C6E9F6" w14:textId="77777777" w:rsidTr="00753AB4">
        <w:tblPrEx>
          <w:tblW w:w="7560" w:type="dxa"/>
          <w:jc w:val="center"/>
          <w:tblLook w:val="0000"/>
        </w:tblPrEx>
        <w:trPr>
          <w:jc w:val="center"/>
        </w:trPr>
        <w:tc>
          <w:tcPr>
            <w:tcW w:w="2020" w:type="dxa"/>
            <w:tcBorders>
              <w:left w:val="nil"/>
              <w:bottom w:val="single" w:sz="4" w:space="0" w:color="auto"/>
              <w:right w:val="nil"/>
            </w:tcBorders>
            <w:noWrap/>
            <w:tcMar>
              <w:left w:w="115" w:type="dxa"/>
              <w:right w:w="115" w:type="dxa"/>
            </w:tcMar>
            <w:vAlign w:val="center"/>
          </w:tcPr>
          <w:p w:rsidR="002C0F1B" w:rsidRPr="00E3685C" w:rsidP="003E2586" w14:paraId="11575FD2" w14:textId="77777777">
            <w:pPr>
              <w:keepNext/>
              <w:rPr>
                <w:sz w:val="20"/>
                <w:szCs w:val="20"/>
              </w:rPr>
            </w:pPr>
            <w:r>
              <w:rPr>
                <w:sz w:val="20"/>
                <w:szCs w:val="20"/>
              </w:rPr>
              <w:t>Other</w:t>
            </w:r>
          </w:p>
        </w:tc>
        <w:tc>
          <w:tcPr>
            <w:tcW w:w="1130" w:type="dxa"/>
            <w:tcBorders>
              <w:left w:val="nil"/>
              <w:bottom w:val="single" w:sz="4" w:space="0" w:color="auto"/>
              <w:right w:val="nil"/>
            </w:tcBorders>
            <w:noWrap/>
            <w:tcMar>
              <w:left w:w="115" w:type="dxa"/>
              <w:right w:w="115" w:type="dxa"/>
            </w:tcMar>
            <w:vAlign w:val="center"/>
          </w:tcPr>
          <w:p w:rsidR="002C0F1B" w:rsidRPr="00E3685C" w:rsidP="003E2586" w14:paraId="6003C40B" w14:textId="77777777">
            <w:pPr>
              <w:keepNext/>
              <w:jc w:val="center"/>
              <w:rPr>
                <w:sz w:val="20"/>
                <w:szCs w:val="20"/>
              </w:rPr>
            </w:pPr>
          </w:p>
        </w:tc>
        <w:tc>
          <w:tcPr>
            <w:tcW w:w="1170" w:type="dxa"/>
            <w:tcBorders>
              <w:left w:val="nil"/>
              <w:bottom w:val="single" w:sz="4" w:space="0" w:color="auto"/>
              <w:right w:val="nil"/>
            </w:tcBorders>
            <w:noWrap/>
            <w:tcMar>
              <w:left w:w="115" w:type="dxa"/>
              <w:right w:w="115" w:type="dxa"/>
            </w:tcMar>
            <w:vAlign w:val="center"/>
          </w:tcPr>
          <w:p w:rsidR="002C0F1B" w:rsidRPr="00E3685C" w:rsidP="003E2586" w14:paraId="0B84C226" w14:textId="77777777">
            <w:pPr>
              <w:keepNext/>
              <w:jc w:val="center"/>
              <w:rPr>
                <w:sz w:val="20"/>
                <w:szCs w:val="20"/>
              </w:rPr>
            </w:pPr>
          </w:p>
        </w:tc>
        <w:tc>
          <w:tcPr>
            <w:tcW w:w="1080" w:type="dxa"/>
            <w:tcBorders>
              <w:left w:val="nil"/>
              <w:bottom w:val="single" w:sz="4" w:space="0" w:color="auto"/>
              <w:right w:val="nil"/>
            </w:tcBorders>
            <w:noWrap/>
            <w:tcMar>
              <w:left w:w="115" w:type="dxa"/>
              <w:right w:w="115" w:type="dxa"/>
            </w:tcMar>
            <w:vAlign w:val="center"/>
          </w:tcPr>
          <w:p w:rsidR="002C0F1B" w:rsidRPr="00E3685C" w:rsidP="003E2586" w14:paraId="7F18F1B6" w14:textId="77777777">
            <w:pPr>
              <w:keepNext/>
              <w:jc w:val="center"/>
              <w:rPr>
                <w:sz w:val="20"/>
                <w:szCs w:val="20"/>
              </w:rPr>
            </w:pPr>
            <w:r>
              <w:rPr>
                <w:sz w:val="20"/>
                <w:szCs w:val="20"/>
              </w:rPr>
              <w:t>99</w:t>
            </w:r>
          </w:p>
        </w:tc>
        <w:tc>
          <w:tcPr>
            <w:tcW w:w="1057" w:type="dxa"/>
            <w:tcBorders>
              <w:left w:val="nil"/>
              <w:bottom w:val="single" w:sz="4" w:space="0" w:color="auto"/>
              <w:right w:val="nil"/>
            </w:tcBorders>
            <w:noWrap/>
            <w:tcMar>
              <w:left w:w="115" w:type="dxa"/>
              <w:right w:w="115" w:type="dxa"/>
            </w:tcMar>
            <w:vAlign w:val="center"/>
          </w:tcPr>
          <w:p w:rsidR="002C0F1B" w:rsidRPr="00E3685C" w:rsidP="003E2586" w14:paraId="7AFDBF03" w14:textId="77777777">
            <w:pPr>
              <w:keepNext/>
              <w:jc w:val="center"/>
              <w:rPr>
                <w:sz w:val="20"/>
                <w:szCs w:val="20"/>
              </w:rPr>
            </w:pPr>
          </w:p>
        </w:tc>
        <w:tc>
          <w:tcPr>
            <w:tcW w:w="1103" w:type="dxa"/>
            <w:tcBorders>
              <w:left w:val="nil"/>
              <w:bottom w:val="single" w:sz="4" w:space="0" w:color="auto"/>
              <w:right w:val="nil"/>
            </w:tcBorders>
            <w:noWrap/>
            <w:tcMar>
              <w:left w:w="115" w:type="dxa"/>
              <w:right w:w="115" w:type="dxa"/>
            </w:tcMar>
            <w:vAlign w:val="center"/>
          </w:tcPr>
          <w:p w:rsidR="002C0F1B" w:rsidRPr="00E3685C" w:rsidP="003E2586" w14:paraId="7395C581" w14:textId="77777777">
            <w:pPr>
              <w:keepNext/>
              <w:jc w:val="center"/>
              <w:rPr>
                <w:sz w:val="20"/>
                <w:szCs w:val="20"/>
              </w:rPr>
            </w:pPr>
          </w:p>
        </w:tc>
      </w:tr>
    </w:tbl>
    <w:p w:rsidR="00884F82" w:rsidRPr="004B74F3" w:rsidP="00884F82" w14:paraId="087600C5" w14:textId="77777777"/>
    <w:p w:rsidR="00884F82" w:rsidP="00884F82" w14:paraId="32084BED" w14:textId="184C4BD7">
      <w:pPr>
        <w:pStyle w:val="Pa5"/>
        <w:spacing w:line="240" w:lineRule="auto"/>
      </w:pPr>
      <w:r>
        <w:rPr>
          <w:color w:val="000000"/>
        </w:rPr>
        <w:t>All the renters are at one end of the stratification</w:t>
      </w:r>
      <w:r w:rsidR="00630DA7">
        <w:rPr>
          <w:color w:val="000000"/>
        </w:rPr>
        <w:t>,</w:t>
      </w:r>
      <w:r>
        <w:rPr>
          <w:color w:val="000000"/>
        </w:rPr>
        <w:t xml:space="preserve"> and all the owners are at the other end of the stratification. The renters and owners are further subdivided into quartiles based on monthly rental and property values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of them will be occupied, and they could be in any of the four non-zero categories. Therefore</w:t>
      </w:r>
      <w:r w:rsidR="003D79D8">
        <w:rPr>
          <w:color w:val="000000"/>
        </w:rPr>
        <w:t>,</w:t>
      </w:r>
      <w:r>
        <w:rPr>
          <w:color w:val="000000"/>
        </w:rPr>
        <w:t xml:space="preserve"> the middle column is their “expected” location.</w:t>
      </w:r>
    </w:p>
    <w:p w:rsidR="002C0F1B" w:rsidP="00E50881" w14:paraId="110A6533" w14:textId="77777777"/>
    <w:p w:rsidR="003E2586" w:rsidP="003E2586" w14:paraId="7739A47D" w14:textId="071D0FBE">
      <w:r>
        <w:t xml:space="preserve">For </w:t>
      </w:r>
      <w:r>
        <w:t>the GQ frame, the addresses are sorted first by PSU</w:t>
      </w:r>
      <w:r>
        <w:t>;</w:t>
      </w:r>
      <w:r>
        <w:t xml:space="preserve"> then by the</w:t>
      </w:r>
      <w:r>
        <w:t>ir</w:t>
      </w:r>
      <w:r>
        <w:t xml:space="preserve"> State FIPS code</w:t>
      </w:r>
      <w:r>
        <w:t>; then by their</w:t>
      </w:r>
      <w:r>
        <w:t xml:space="preserve"> County FIPS code</w:t>
      </w:r>
      <w:r>
        <w:t>; then b</w:t>
      </w:r>
      <w:r w:rsidR="00884F82">
        <w:t>y</w:t>
      </w:r>
      <w:r>
        <w:t xml:space="preserve"> their</w:t>
      </w:r>
      <w:r>
        <w:t xml:space="preserve"> Census Tract code</w:t>
      </w:r>
      <w:r>
        <w:t>; then by</w:t>
      </w:r>
      <w:r>
        <w:t xml:space="preserve"> CHPCT (the </w:t>
      </w:r>
      <w:r>
        <w:t>percent</w:t>
      </w:r>
      <w:r>
        <w:t xml:space="preserve"> of people in the tract living in college housing), and Census Block code.</w:t>
      </w:r>
      <w:r>
        <w:rPr>
          <w:rStyle w:val="FootnoteReference"/>
        </w:rPr>
        <w:footnoteReference w:id="5"/>
      </w:r>
    </w:p>
    <w:p w:rsidR="003E2586" w:rsidP="003E2586" w14:paraId="796851C8" w14:textId="77777777">
      <w:pPr>
        <w:pStyle w:val="Pa5"/>
        <w:spacing w:line="240" w:lineRule="auto"/>
        <w:rPr>
          <w:color w:val="000000"/>
        </w:rPr>
      </w:pPr>
    </w:p>
    <w:p w:rsidR="00534454" w:rsidP="00534454" w14:paraId="6967DD3F" w14:textId="59ADD131">
      <w:pPr>
        <w:tabs>
          <w:tab w:val="left" w:pos="1176"/>
          <w:tab w:val="left" w:pos="1656"/>
          <w:tab w:val="left" w:pos="5016"/>
          <w:tab w:val="left" w:pos="6696"/>
          <w:tab w:val="left" w:pos="8256"/>
        </w:tabs>
        <w:rPr>
          <w:color w:val="000000"/>
        </w:rPr>
      </w:pPr>
      <w:r>
        <w:rPr>
          <w:color w:val="000000"/>
        </w:rPr>
        <w:t xml:space="preserve">The Unit and GQ frames </w:t>
      </w:r>
      <w:r w:rsidR="00FE50EE">
        <w:rPr>
          <w:color w:val="000000"/>
        </w:rPr>
        <w:t>use</w:t>
      </w:r>
      <w:r w:rsidRPr="00E3685C">
        <w:rPr>
          <w:color w:val="000000"/>
        </w:rPr>
        <w:t xml:space="preserve"> different sort</w:t>
      </w:r>
      <w:r>
        <w:rPr>
          <w:color w:val="000000"/>
        </w:rPr>
        <w:t>ing</w:t>
      </w:r>
      <w:r w:rsidRPr="00E3685C">
        <w:rPr>
          <w:color w:val="000000"/>
        </w:rPr>
        <w:t xml:space="preserve"> variables</w:t>
      </w:r>
      <w:r>
        <w:rPr>
          <w:color w:val="000000"/>
        </w:rPr>
        <w:t xml:space="preserve">, but they </w:t>
      </w:r>
      <w:r w:rsidR="00884F82">
        <w:rPr>
          <w:color w:val="000000"/>
        </w:rPr>
        <w:t>use</w:t>
      </w:r>
      <w:r>
        <w:rPr>
          <w:color w:val="000000"/>
        </w:rPr>
        <w:t xml:space="preserve"> the same sampling interval</w:t>
      </w:r>
      <w:r w:rsidR="00B80441">
        <w:rPr>
          <w:color w:val="000000"/>
        </w:rPr>
        <w:t xml:space="preserve">, </w:t>
      </w:r>
      <w:r w:rsidR="00340804">
        <w:rPr>
          <w:color w:val="000000"/>
        </w:rPr>
        <w:t>“</w:t>
      </w:r>
      <w:r w:rsidR="004965BD">
        <w:rPr>
          <w:color w:val="000000"/>
        </w:rPr>
        <w:t>k.</w:t>
      </w:r>
      <w:r w:rsidR="00340804">
        <w:rPr>
          <w:color w:val="000000"/>
        </w:rPr>
        <w:t>”</w:t>
      </w:r>
    </w:p>
    <w:p w:rsidR="00D947BA" w:rsidP="00534454" w14:paraId="67C2CEAE" w14:textId="77777777">
      <w:pPr>
        <w:tabs>
          <w:tab w:val="left" w:pos="1176"/>
          <w:tab w:val="left" w:pos="1656"/>
          <w:tab w:val="left" w:pos="5016"/>
          <w:tab w:val="left" w:pos="6696"/>
          <w:tab w:val="left" w:pos="8256"/>
        </w:tabs>
      </w:pPr>
    </w:p>
    <w:p w:rsidR="00534454" w:rsidP="00534454" w14:paraId="509F9AD8" w14:textId="1C40BE6B">
      <w:pPr>
        <w:tabs>
          <w:tab w:val="left" w:pos="1176"/>
          <w:tab w:val="left" w:pos="1656"/>
          <w:tab w:val="left" w:pos="5016"/>
          <w:tab w:val="left" w:pos="6696"/>
          <w:tab w:val="left" w:pos="8256"/>
        </w:tabs>
      </w:pPr>
      <w:r>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0B3434">
        <w:t>S</w:t>
      </w:r>
      <w:r>
        <w:t>); or the paper by Danielle Neiman et. al., “Review of the 2010 Sample Redesign of the Consumer Expenditure Survey” (</w:t>
      </w:r>
      <w:r w:rsidRPr="00252F5B">
        <w:t xml:space="preserve">Attachment </w:t>
      </w:r>
      <w:r w:rsidR="000B3434">
        <w:t>T</w:t>
      </w:r>
      <w:r w:rsidRPr="00CE58A1">
        <w:t>)</w:t>
      </w:r>
      <w:r w:rsidR="005E57BF">
        <w:t xml:space="preserve">. </w:t>
      </w:r>
      <w:bookmarkStart w:id="7" w:name="_Hlk144798308"/>
      <w:r>
        <w:t xml:space="preserve">For more information on the geographic portion of CE’s sample design, please </w:t>
      </w:r>
      <w:bookmarkStart w:id="8" w:name="_Hlk149655410"/>
      <w:r>
        <w:t>see the memorandum</w:t>
      </w:r>
      <w:r w:rsidRPr="00293BD0">
        <w:t xml:space="preserve"> </w:t>
      </w:r>
      <w:r>
        <w:t xml:space="preserve">from </w:t>
      </w:r>
      <w:r w:rsidR="00902EC1">
        <w:t>Adam Safir</w:t>
      </w:r>
      <w:r>
        <w:t xml:space="preserve"> </w:t>
      </w:r>
      <w:r w:rsidR="00AE79D9">
        <w:t xml:space="preserve">to </w:t>
      </w:r>
      <w:r w:rsidR="00902EC1">
        <w:t>Jennifer Epps</w:t>
      </w:r>
      <w:r w:rsidR="00902EC1">
        <w:t xml:space="preserve"> </w:t>
      </w:r>
      <w:r>
        <w:t>on “</w:t>
      </w:r>
      <w:r w:rsidRPr="00902EC1" w:rsidR="00902EC1">
        <w:t>CE sample redesign PSU Memo for Census.</w:t>
      </w:r>
      <w:r w:rsidR="006A2F49">
        <w:t>,</w:t>
      </w:r>
      <w:r>
        <w:t>”</w:t>
      </w:r>
      <w:r w:rsidR="006A2F49">
        <w:t xml:space="preserve"> </w:t>
      </w:r>
      <w:r w:rsidR="00902EC1">
        <w:t>July 21, 2023</w:t>
      </w:r>
      <w:r w:rsidRPr="00293BD0">
        <w:t xml:space="preserve"> </w:t>
      </w:r>
      <w:bookmarkEnd w:id="8"/>
      <w:r w:rsidR="00A52646">
        <w:t xml:space="preserve">(Attachment </w:t>
      </w:r>
      <w:r w:rsidR="000B3434">
        <w:t>U</w:t>
      </w:r>
      <w:r w:rsidR="00A52646">
        <w:t>).</w:t>
      </w:r>
    </w:p>
    <w:bookmarkEnd w:id="7"/>
    <w:p w:rsidR="00807513" w:rsidP="00E50881" w14:paraId="16042BF6" w14:textId="77777777">
      <w:pPr>
        <w:tabs>
          <w:tab w:val="left" w:pos="1176"/>
          <w:tab w:val="left" w:pos="1656"/>
          <w:tab w:val="left" w:pos="5016"/>
          <w:tab w:val="left" w:pos="6696"/>
          <w:tab w:val="left" w:pos="8256"/>
        </w:tabs>
        <w:rPr>
          <w:u w:val="single"/>
        </w:rPr>
      </w:pPr>
    </w:p>
    <w:p w:rsidR="00807513" w:rsidP="00E50881" w14:paraId="39172787" w14:textId="77777777">
      <w:pPr>
        <w:tabs>
          <w:tab w:val="left" w:pos="1176"/>
          <w:tab w:val="left" w:pos="1656"/>
          <w:tab w:val="left" w:pos="5016"/>
          <w:tab w:val="left" w:pos="6696"/>
          <w:tab w:val="left" w:pos="8256"/>
        </w:tabs>
        <w:rPr>
          <w:u w:val="single"/>
        </w:rPr>
      </w:pPr>
      <w:r>
        <w:rPr>
          <w:u w:val="single"/>
        </w:rPr>
        <w:t>Consumer Units</w:t>
      </w:r>
    </w:p>
    <w:p w:rsidR="00BF08ED" w:rsidP="00E50881" w14:paraId="2CA38AA2" w14:textId="49837A0D">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5E57BF">
        <w:t xml:space="preserve">. </w:t>
      </w:r>
      <w:r w:rsidR="002C6F80">
        <w:t>A CU</w:t>
      </w:r>
      <w:r w:rsidR="00F83A72">
        <w:t xml:space="preserve"> is basically</w:t>
      </w:r>
      <w:r w:rsidR="00EE2F0D">
        <w:t xml:space="preserve"> the same as a “household</w:t>
      </w:r>
      <w:r w:rsidR="008A4460">
        <w:t>,</w:t>
      </w:r>
      <w:r w:rsidR="00F83A72">
        <w:t>”</w:t>
      </w:r>
      <w:r w:rsidRPr="008C77EF" w:rsidR="008C77EF">
        <w:t xml:space="preserve"> </w:t>
      </w:r>
      <w:r w:rsidR="008C77EF">
        <w:t>so the terms are often used interchangeably</w:t>
      </w:r>
      <w:r w:rsidR="005E57BF">
        <w:t xml:space="preserve">. </w:t>
      </w:r>
      <w:r w:rsidRPr="00495EC3" w:rsidR="00495EC3">
        <w:t xml:space="preserve"> </w:t>
      </w:r>
      <w:r w:rsidR="00495EC3">
        <w:t xml:space="preserve">However, there is a technical difference between them. </w:t>
      </w:r>
      <w:r w:rsidRPr="004278FC" w:rsidR="00495EC3">
        <w:rPr>
          <w:color w:val="000000"/>
        </w:rPr>
        <w:t xml:space="preserve">A household is a group of people </w:t>
      </w:r>
      <w:r w:rsidR="00495EC3">
        <w:rPr>
          <w:color w:val="000000"/>
        </w:rPr>
        <w:t>who live</w:t>
      </w:r>
      <w:r w:rsidRPr="004278FC" w:rsidR="00495EC3">
        <w:rPr>
          <w:color w:val="000000"/>
        </w:rPr>
        <w:t xml:space="preserve"> together </w:t>
      </w:r>
      <w:r w:rsidR="00495EC3">
        <w:rPr>
          <w:color w:val="000000"/>
        </w:rPr>
        <w:t>in</w:t>
      </w:r>
      <w:r w:rsidRPr="004278FC" w:rsidR="00495EC3">
        <w:rPr>
          <w:color w:val="000000"/>
        </w:rPr>
        <w:t xml:space="preserve"> a housing unit. </w:t>
      </w:r>
      <w:r w:rsidRPr="004278FC" w:rsidR="00476FAB">
        <w:rPr>
          <w:color w:val="000000"/>
        </w:rPr>
        <w:t>The</w:t>
      </w:r>
      <w:r w:rsidR="00476FAB">
        <w:rPr>
          <w:color w:val="000000"/>
        </w:rPr>
        <w:t>y</w:t>
      </w:r>
      <w:r w:rsidRPr="004278FC" w:rsidR="00476FAB">
        <w:rPr>
          <w:color w:val="000000"/>
        </w:rPr>
        <w:t xml:space="preserve"> are usually related</w:t>
      </w:r>
      <w:r w:rsidR="00476FAB">
        <w:rPr>
          <w:color w:val="000000"/>
        </w:rPr>
        <w:t xml:space="preserve"> </w:t>
      </w:r>
      <w:r w:rsidR="00B32482">
        <w:rPr>
          <w:color w:val="000000"/>
        </w:rPr>
        <w:t>by blood, marriage, adoption, or some other legal arrangement</w:t>
      </w:r>
      <w:r w:rsidRPr="004278FC" w:rsidR="00476FAB">
        <w:rPr>
          <w:color w:val="000000"/>
        </w:rPr>
        <w:t xml:space="preserve">, but the key </w:t>
      </w:r>
      <w:r w:rsidR="00476FAB">
        <w:rPr>
          <w:color w:val="000000"/>
        </w:rPr>
        <w:t xml:space="preserve">point </w:t>
      </w:r>
      <w:r w:rsidRPr="004278FC" w:rsidR="00476FAB">
        <w:rPr>
          <w:color w:val="000000"/>
        </w:rPr>
        <w:t>is that they live together.</w:t>
      </w:r>
      <w:r w:rsidR="00476FAB">
        <w:rPr>
          <w:color w:val="000000"/>
        </w:rPr>
        <w:t xml:space="preserve"> </w:t>
      </w:r>
      <w:r w:rsidRPr="004278FC" w:rsidR="00495EC3">
        <w:t xml:space="preserve">By contrast, </w:t>
      </w:r>
      <w:r w:rsidRPr="004278FC" w:rsidR="00495EC3">
        <w:t>a CU</w:t>
      </w:r>
      <w:r w:rsidRPr="004278FC" w:rsidR="00495EC3">
        <w:t xml:space="preserve"> </w:t>
      </w:r>
      <w:r w:rsidRPr="004278FC" w:rsidR="00495EC3">
        <w:rPr>
          <w:color w:val="000000"/>
        </w:rPr>
        <w:t xml:space="preserve">is a group of people who live together, </w:t>
      </w:r>
      <w:r w:rsidRPr="000772AE" w:rsidR="00495EC3">
        <w:rPr>
          <w:i/>
          <w:iCs/>
          <w:color w:val="000000"/>
        </w:rPr>
        <w:t>and</w:t>
      </w:r>
      <w:r w:rsidRPr="004278FC" w:rsidR="00495EC3">
        <w:rPr>
          <w:color w:val="000000"/>
        </w:rPr>
        <w:t xml:space="preserve"> </w:t>
      </w:r>
      <w:r w:rsidR="00476FAB">
        <w:rPr>
          <w:color w:val="000000"/>
        </w:rPr>
        <w:t xml:space="preserve">who </w:t>
      </w:r>
      <w:r w:rsidR="00495EC3">
        <w:rPr>
          <w:color w:val="000000"/>
        </w:rPr>
        <w:t>p</w:t>
      </w:r>
      <w:r w:rsidRPr="004278FC" w:rsidR="00495EC3">
        <w:rPr>
          <w:color w:val="000000"/>
        </w:rPr>
        <w:t xml:space="preserve">ool their incomes to make joint </w:t>
      </w:r>
      <w:r w:rsidRPr="004278FC" w:rsidR="00495EC3">
        <w:rPr>
          <w:color w:val="000000"/>
        </w:rPr>
        <w:t>expenditure decisions. T</w:t>
      </w:r>
      <w:r w:rsidR="00495EC3">
        <w:rPr>
          <w:color w:val="000000"/>
        </w:rPr>
        <w:t>h</w:t>
      </w:r>
      <w:r w:rsidR="007A7485">
        <w:rPr>
          <w:color w:val="000000"/>
        </w:rPr>
        <w:t>us</w:t>
      </w:r>
      <w:r w:rsidR="003D79D8">
        <w:rPr>
          <w:color w:val="000000"/>
        </w:rPr>
        <w:t>,</w:t>
      </w:r>
      <w:r w:rsidR="007A7485">
        <w:rPr>
          <w:color w:val="000000"/>
        </w:rPr>
        <w:t xml:space="preserve"> th</w:t>
      </w:r>
      <w:r w:rsidR="00495EC3">
        <w:rPr>
          <w:color w:val="000000"/>
        </w:rPr>
        <w:t>e</w:t>
      </w:r>
      <w:r w:rsidRPr="004278FC" w:rsidR="00495EC3">
        <w:rPr>
          <w:color w:val="000000"/>
        </w:rPr>
        <w:t xml:space="preserve"> difference between households and CUs is the financial relationship between the people</w:t>
      </w:r>
      <w:r w:rsidR="00476FAB">
        <w:rPr>
          <w:color w:val="000000"/>
        </w:rPr>
        <w:t xml:space="preserve"> </w:t>
      </w:r>
      <w:r w:rsidR="009D12E4">
        <w:rPr>
          <w:color w:val="000000"/>
        </w:rPr>
        <w:t>who live</w:t>
      </w:r>
      <w:r w:rsidR="001604BC">
        <w:rPr>
          <w:color w:val="000000"/>
        </w:rPr>
        <w:t xml:space="preserve"> together</w:t>
      </w:r>
      <w:r w:rsidRPr="004278FC" w:rsidR="00495EC3">
        <w:rPr>
          <w:color w:val="000000"/>
        </w:rPr>
        <w:t>. The people in a CU are financially interdependent on each other,</w:t>
      </w:r>
      <w:r w:rsidR="00B32482">
        <w:rPr>
          <w:color w:val="000000"/>
        </w:rPr>
        <w:t xml:space="preserve"> </w:t>
      </w:r>
      <w:r w:rsidR="00BE7C60">
        <w:rPr>
          <w:color w:val="000000"/>
        </w:rPr>
        <w:t>while</w:t>
      </w:r>
      <w:r w:rsidRPr="004278FC" w:rsidR="00495EC3">
        <w:rPr>
          <w:color w:val="000000"/>
        </w:rPr>
        <w:t xml:space="preserve"> the financial relationship </w:t>
      </w:r>
      <w:r w:rsidR="00010A8F">
        <w:rPr>
          <w:color w:val="000000"/>
        </w:rPr>
        <w:t xml:space="preserve">of the people in a household </w:t>
      </w:r>
      <w:r w:rsidR="000C514B">
        <w:rPr>
          <w:color w:val="000000"/>
        </w:rPr>
        <w:t xml:space="preserve">is </w:t>
      </w:r>
      <w:r w:rsidR="001604BC">
        <w:rPr>
          <w:color w:val="000000"/>
        </w:rPr>
        <w:t>not taken into consideration</w:t>
      </w:r>
      <w:r w:rsidRPr="004278FC" w:rsidR="00495EC3">
        <w:rPr>
          <w:color w:val="000000"/>
        </w:rPr>
        <w:t>.</w:t>
      </w:r>
      <w:r w:rsidRPr="00A553A1" w:rsidR="00A553A1">
        <w:t xml:space="preserve"> </w:t>
      </w:r>
      <w:r w:rsidR="00A553A1">
        <w:t>Approximately 99 percent of all occupied housing units have one CU</w:t>
      </w:r>
      <w:r w:rsidR="004965BD">
        <w:t xml:space="preserve">, which is why the terms </w:t>
      </w:r>
      <w:r w:rsidR="00B80441">
        <w:t>“</w:t>
      </w:r>
      <w:r w:rsidR="004965BD">
        <w:t>C</w:t>
      </w:r>
      <w:r w:rsidR="00951F07">
        <w:t>U</w:t>
      </w:r>
      <w:r w:rsidR="004965BD">
        <w:t>s</w:t>
      </w:r>
      <w:r w:rsidR="00B80441">
        <w:t>”</w:t>
      </w:r>
      <w:r w:rsidR="004965BD">
        <w:t xml:space="preserve"> and </w:t>
      </w:r>
      <w:r w:rsidR="00B80441">
        <w:t>“</w:t>
      </w:r>
      <w:r w:rsidR="004965BD">
        <w:t>households</w:t>
      </w:r>
      <w:r w:rsidR="00B80441">
        <w:t>”</w:t>
      </w:r>
      <w:r w:rsidR="004965BD">
        <w:t xml:space="preserve"> are often used interchangeably</w:t>
      </w:r>
      <w:r w:rsidR="00A553A1">
        <w:t>.</w:t>
      </w:r>
      <w:r w:rsidRPr="00274A86" w:rsidR="00274A86">
        <w:rPr>
          <w:rStyle w:val="FootnoteReference"/>
        </w:rPr>
        <w:t xml:space="preserve"> </w:t>
      </w:r>
      <w:r>
        <w:rPr>
          <w:rStyle w:val="FootnoteReference"/>
        </w:rPr>
        <w:footnoteReference w:id="6"/>
      </w:r>
    </w:p>
    <w:p w:rsidR="00476FAB" w:rsidP="00E50881" w14:paraId="5944CE3A" w14:textId="77777777">
      <w:pPr>
        <w:tabs>
          <w:tab w:val="left" w:pos="1176"/>
          <w:tab w:val="left" w:pos="1656"/>
          <w:tab w:val="left" w:pos="5016"/>
          <w:tab w:val="left" w:pos="6696"/>
          <w:tab w:val="left" w:pos="8256"/>
        </w:tabs>
      </w:pPr>
    </w:p>
    <w:p w:rsidR="006847E4" w:rsidP="00E50881" w14:paraId="4104EEAA" w14:textId="08E9F2E5">
      <w:pPr>
        <w:tabs>
          <w:tab w:val="left" w:pos="1176"/>
          <w:tab w:val="left" w:pos="1656"/>
          <w:tab w:val="left" w:pos="5016"/>
          <w:tab w:val="left" w:pos="6696"/>
          <w:tab w:val="left" w:pos="8256"/>
        </w:tabs>
      </w:pPr>
      <w:r>
        <w:t>T</w:t>
      </w:r>
      <w:r w:rsidR="00534454">
        <w:t xml:space="preserve">here are approximately </w:t>
      </w:r>
      <w:r w:rsidR="00127C43">
        <w:t>135</w:t>
      </w:r>
      <w:r w:rsidR="00345794">
        <w:t xml:space="preserve"> million </w:t>
      </w:r>
      <w:r w:rsidR="00721090">
        <w:t xml:space="preserve">CUs </w:t>
      </w:r>
      <w:r w:rsidR="00534454">
        <w:t>in the United States</w:t>
      </w:r>
      <w:r w:rsidR="005E57BF">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55CBC">
        <w:t>the</w:t>
      </w:r>
      <w:r w:rsidR="001041FE">
        <w:t xml:space="preserve"> </w:t>
      </w:r>
      <w:r w:rsidR="003641A5">
        <w:t xml:space="preserve">81 strata in CE’s 2026 </w:t>
      </w:r>
      <w:r w:rsidR="00DA0FCF">
        <w:t>sample</w:t>
      </w:r>
      <w:r w:rsidR="001041FE">
        <w:t>.</w:t>
      </w:r>
      <w:r>
        <w:rPr>
          <w:rStyle w:val="FootnoteReference"/>
        </w:rPr>
        <w:footnoteReference w:id="7"/>
      </w:r>
      <w:r w:rsidR="00BF08ED">
        <w:t xml:space="preserve"> The stratum code is a 4-character variable where the first character is the stratum’s size class (S/N/R)</w:t>
      </w:r>
      <w:r w:rsidR="005E57BF">
        <w:t xml:space="preserve">. </w:t>
      </w:r>
      <w:r w:rsidR="00BF08ED">
        <w:t>The second character is the stratum’s region of the country (1=Northeast, 2=Midwest, 3=South, 4=West)</w:t>
      </w:r>
      <w:r w:rsidR="005E57BF">
        <w:t xml:space="preserve">. </w:t>
      </w:r>
      <w:r w:rsidR="00BF08ED">
        <w:t>The third character is the stratum’s division of the country (1=New England, 2=Middle Atlantic, 3=East North Central, etc.)</w:t>
      </w:r>
      <w:r w:rsidR="005E57BF">
        <w:t xml:space="preserve">. </w:t>
      </w:r>
      <w:r w:rsidR="00BF08ED">
        <w:t xml:space="preserve">And the fourth character </w:t>
      </w:r>
      <w:r w:rsidR="007007E7">
        <w:t>is a unique identifier of the strata within their size/region/division classes.</w:t>
      </w:r>
    </w:p>
    <w:p w:rsidR="00AC4BB2" w:rsidP="00E50881" w14:paraId="497035F9" w14:textId="77777777">
      <w:pPr>
        <w:tabs>
          <w:tab w:val="left" w:pos="1176"/>
          <w:tab w:val="left" w:pos="1656"/>
          <w:tab w:val="left" w:pos="5016"/>
          <w:tab w:val="left" w:pos="6696"/>
          <w:tab w:val="left" w:pos="8256"/>
        </w:tabs>
      </w:pPr>
    </w:p>
    <w:p w:rsidR="00AC4BB2" w:rsidRPr="00E3685C" w:rsidP="00AC4BB2" w14:paraId="411B444B" w14:textId="01598286">
      <w:pPr>
        <w:tabs>
          <w:tab w:val="left" w:pos="1176"/>
          <w:tab w:val="left" w:pos="1656"/>
          <w:tab w:val="left" w:pos="5016"/>
          <w:tab w:val="left" w:pos="6696"/>
          <w:tab w:val="left" w:pos="8256"/>
        </w:tabs>
        <w:jc w:val="center"/>
        <w:rPr>
          <w:b/>
          <w:u w:val="single"/>
        </w:rPr>
      </w:pPr>
      <w:bookmarkStart w:id="9" w:name="_Hlk165124387"/>
      <w:r w:rsidRPr="00E3685C">
        <w:rPr>
          <w:b/>
          <w:u w:val="single"/>
        </w:rPr>
        <w:t xml:space="preserve">Estimated Number of CUs in CE’s </w:t>
      </w:r>
      <w:r w:rsidR="00BD0234">
        <w:rPr>
          <w:b/>
          <w:u w:val="single"/>
        </w:rPr>
        <w:t>8</w:t>
      </w:r>
      <w:r w:rsidRPr="00E3685C">
        <w:rPr>
          <w:b/>
          <w:u w:val="single"/>
        </w:rPr>
        <w:t>1 Strata</w:t>
      </w:r>
    </w:p>
    <w:p w:rsidR="00AC4BB2" w:rsidP="00AC4BB2" w14:paraId="79CF4D75" w14:textId="77777777">
      <w:pPr>
        <w:tabs>
          <w:tab w:val="left" w:pos="1176"/>
          <w:tab w:val="left" w:pos="1656"/>
          <w:tab w:val="left" w:pos="5016"/>
          <w:tab w:val="left" w:pos="6696"/>
          <w:tab w:val="left" w:pos="8256"/>
        </w:tabs>
      </w:pPr>
    </w:p>
    <w:p w:rsidR="00AC4BB2" w:rsidRPr="00E3685C" w:rsidP="00AC4BB2" w14:paraId="20DB6FCD" w14:textId="77777777">
      <w:pPr>
        <w:tabs>
          <w:tab w:val="left" w:pos="1176"/>
          <w:tab w:val="left" w:pos="1656"/>
          <w:tab w:val="left" w:pos="5016"/>
          <w:tab w:val="left" w:pos="6696"/>
          <w:tab w:val="left" w:pos="8256"/>
        </w:tabs>
        <w:rPr>
          <w:sz w:val="16"/>
          <w:szCs w:val="16"/>
        </w:rPr>
        <w:sectPr w:rsidSect="00AC4BB2">
          <w:headerReference w:type="default" r:id="rId7"/>
          <w:footerReference w:type="default" r:id="rId8"/>
          <w:type w:val="continuous"/>
          <w:pgSz w:w="12240" w:h="15840"/>
          <w:pgMar w:top="1440" w:right="1440" w:bottom="1440" w:left="1440" w:header="720" w:footer="720" w:gutter="0"/>
          <w:cols w:space="720"/>
          <w:docGrid w:linePitch="360"/>
        </w:sectPr>
      </w:pP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968"/>
        <w:gridCol w:w="1642"/>
      </w:tblGrid>
      <w:tr w14:paraId="621850BE" w14:textId="77777777" w:rsidTr="001E6B95">
        <w:tblPrEx>
          <w:tblW w:w="0" w:type="auto"/>
          <w:tblBorders>
            <w:top w:val="double" w:sz="4" w:space="0" w:color="auto"/>
            <w:left w:val="double" w:sz="4" w:space="0" w:color="auto"/>
            <w:bottom w:val="double" w:sz="4" w:space="0" w:color="auto"/>
            <w:right w:val="double" w:sz="4" w:space="0" w:color="auto"/>
          </w:tblBorders>
          <w:tblLook w:val="04A0"/>
        </w:tblPrEx>
        <w:tc>
          <w:tcPr>
            <w:tcW w:w="968" w:type="dxa"/>
            <w:vAlign w:val="center"/>
          </w:tcPr>
          <w:p w:rsidR="00BD0234" w:rsidRPr="005C76C9" w:rsidP="00BB0A94" w14:paraId="0E066C63" w14:textId="77777777">
            <w:pPr>
              <w:autoSpaceDE w:val="0"/>
              <w:autoSpaceDN w:val="0"/>
              <w:adjustRightInd w:val="0"/>
              <w:jc w:val="center"/>
              <w:rPr>
                <w:b/>
                <w:bCs/>
                <w:sz w:val="20"/>
                <w:szCs w:val="20"/>
              </w:rPr>
            </w:pPr>
            <w:r w:rsidRPr="005C76C9">
              <w:rPr>
                <w:b/>
                <w:bCs/>
                <w:sz w:val="20"/>
                <w:szCs w:val="20"/>
              </w:rPr>
              <w:t>Stratum Code</w:t>
            </w:r>
          </w:p>
        </w:tc>
        <w:tc>
          <w:tcPr>
            <w:tcW w:w="1642" w:type="dxa"/>
            <w:vAlign w:val="center"/>
          </w:tcPr>
          <w:p w:rsidR="00BD0234" w:rsidRPr="005C76C9" w:rsidP="00BB0A94" w14:paraId="2778D88D" w14:textId="77777777">
            <w:pPr>
              <w:autoSpaceDE w:val="0"/>
              <w:autoSpaceDN w:val="0"/>
              <w:adjustRightInd w:val="0"/>
              <w:jc w:val="center"/>
              <w:rPr>
                <w:b/>
                <w:bCs/>
                <w:sz w:val="20"/>
                <w:szCs w:val="20"/>
              </w:rPr>
            </w:pPr>
            <w:r w:rsidRPr="005C76C9">
              <w:rPr>
                <w:b/>
                <w:bCs/>
                <w:sz w:val="20"/>
                <w:szCs w:val="20"/>
              </w:rPr>
              <w:t>Estimated Number of CUs in the Stratum</w:t>
            </w:r>
          </w:p>
        </w:tc>
      </w:tr>
      <w:tr w14:paraId="0A347E0D" w14:textId="77777777" w:rsidTr="001E6B95">
        <w:tblPrEx>
          <w:tblW w:w="0" w:type="auto"/>
          <w:tblLook w:val="04A0"/>
        </w:tblPrEx>
        <w:tc>
          <w:tcPr>
            <w:tcW w:w="968" w:type="dxa"/>
            <w:vAlign w:val="center"/>
          </w:tcPr>
          <w:p w:rsidR="00BD0234" w:rsidRPr="005C76C9" w:rsidP="00BB0A94" w14:paraId="59DE79B7" w14:textId="77777777">
            <w:pPr>
              <w:autoSpaceDE w:val="0"/>
              <w:autoSpaceDN w:val="0"/>
              <w:adjustRightInd w:val="0"/>
              <w:jc w:val="center"/>
              <w:rPr>
                <w:sz w:val="20"/>
                <w:szCs w:val="20"/>
              </w:rPr>
            </w:pPr>
            <w:r w:rsidRPr="005C76C9">
              <w:rPr>
                <w:sz w:val="20"/>
                <w:szCs w:val="20"/>
              </w:rPr>
              <w:t>S11A</w:t>
            </w:r>
          </w:p>
        </w:tc>
        <w:tc>
          <w:tcPr>
            <w:tcW w:w="1642" w:type="dxa"/>
            <w:vAlign w:val="center"/>
          </w:tcPr>
          <w:p w:rsidR="00BD0234" w:rsidRPr="005C76C9" w:rsidP="00BB0A94" w14:paraId="46F04283" w14:textId="77777777">
            <w:pPr>
              <w:autoSpaceDE w:val="0"/>
              <w:autoSpaceDN w:val="0"/>
              <w:adjustRightInd w:val="0"/>
              <w:jc w:val="center"/>
              <w:rPr>
                <w:sz w:val="20"/>
                <w:szCs w:val="20"/>
              </w:rPr>
            </w:pPr>
            <w:r w:rsidRPr="005C76C9">
              <w:rPr>
                <w:sz w:val="20"/>
                <w:szCs w:val="20"/>
              </w:rPr>
              <w:t>2,012,737</w:t>
            </w:r>
          </w:p>
        </w:tc>
      </w:tr>
      <w:tr w14:paraId="71E37E10" w14:textId="77777777" w:rsidTr="001E6B95">
        <w:tblPrEx>
          <w:tblW w:w="0" w:type="auto"/>
          <w:tblLook w:val="04A0"/>
        </w:tblPrEx>
        <w:tc>
          <w:tcPr>
            <w:tcW w:w="968" w:type="dxa"/>
            <w:vAlign w:val="center"/>
          </w:tcPr>
          <w:p w:rsidR="00BD0234" w:rsidRPr="005C76C9" w:rsidP="00BB0A94" w14:paraId="1AD45FC3" w14:textId="77777777">
            <w:pPr>
              <w:autoSpaceDE w:val="0"/>
              <w:autoSpaceDN w:val="0"/>
              <w:adjustRightInd w:val="0"/>
              <w:jc w:val="center"/>
              <w:rPr>
                <w:sz w:val="20"/>
                <w:szCs w:val="20"/>
              </w:rPr>
            </w:pPr>
            <w:r w:rsidRPr="005C76C9">
              <w:rPr>
                <w:sz w:val="20"/>
                <w:szCs w:val="20"/>
              </w:rPr>
              <w:t>S12A</w:t>
            </w:r>
          </w:p>
        </w:tc>
        <w:tc>
          <w:tcPr>
            <w:tcW w:w="1642" w:type="dxa"/>
            <w:vAlign w:val="center"/>
          </w:tcPr>
          <w:p w:rsidR="00BD0234" w:rsidRPr="005C76C9" w:rsidP="00BB0A94" w14:paraId="606A87AA" w14:textId="77777777">
            <w:pPr>
              <w:autoSpaceDE w:val="0"/>
              <w:autoSpaceDN w:val="0"/>
              <w:adjustRightInd w:val="0"/>
              <w:jc w:val="center"/>
              <w:rPr>
                <w:sz w:val="20"/>
                <w:szCs w:val="20"/>
              </w:rPr>
            </w:pPr>
            <w:r w:rsidRPr="005C76C9">
              <w:rPr>
                <w:sz w:val="20"/>
                <w:szCs w:val="20"/>
              </w:rPr>
              <w:t>8,203,256</w:t>
            </w:r>
          </w:p>
        </w:tc>
      </w:tr>
      <w:tr w14:paraId="3ED9F17E" w14:textId="77777777" w:rsidTr="001E6B95">
        <w:tblPrEx>
          <w:tblW w:w="0" w:type="auto"/>
          <w:tblLook w:val="04A0"/>
        </w:tblPrEx>
        <w:tc>
          <w:tcPr>
            <w:tcW w:w="968" w:type="dxa"/>
            <w:vAlign w:val="center"/>
          </w:tcPr>
          <w:p w:rsidR="00BD0234" w:rsidRPr="005C76C9" w:rsidP="00BB0A94" w14:paraId="3F682EF0" w14:textId="77777777">
            <w:pPr>
              <w:autoSpaceDE w:val="0"/>
              <w:autoSpaceDN w:val="0"/>
              <w:adjustRightInd w:val="0"/>
              <w:jc w:val="center"/>
              <w:rPr>
                <w:sz w:val="20"/>
                <w:szCs w:val="20"/>
              </w:rPr>
            </w:pPr>
            <w:r w:rsidRPr="005C76C9">
              <w:rPr>
                <w:sz w:val="20"/>
                <w:szCs w:val="20"/>
              </w:rPr>
              <w:t>S12B</w:t>
            </w:r>
          </w:p>
        </w:tc>
        <w:tc>
          <w:tcPr>
            <w:tcW w:w="1642" w:type="dxa"/>
            <w:vAlign w:val="center"/>
          </w:tcPr>
          <w:p w:rsidR="00BD0234" w:rsidRPr="005C76C9" w:rsidP="00BB0A94" w14:paraId="1ADD823C" w14:textId="77777777">
            <w:pPr>
              <w:autoSpaceDE w:val="0"/>
              <w:autoSpaceDN w:val="0"/>
              <w:adjustRightInd w:val="0"/>
              <w:jc w:val="center"/>
              <w:rPr>
                <w:sz w:val="20"/>
                <w:szCs w:val="20"/>
              </w:rPr>
            </w:pPr>
            <w:r w:rsidRPr="005C76C9">
              <w:rPr>
                <w:sz w:val="20"/>
                <w:szCs w:val="20"/>
              </w:rPr>
              <w:t>2,543,623</w:t>
            </w:r>
          </w:p>
        </w:tc>
      </w:tr>
      <w:tr w14:paraId="14AD84CD" w14:textId="77777777" w:rsidTr="001E6B95">
        <w:tblPrEx>
          <w:tblW w:w="0" w:type="auto"/>
          <w:tblLook w:val="04A0"/>
        </w:tblPrEx>
        <w:tc>
          <w:tcPr>
            <w:tcW w:w="968" w:type="dxa"/>
            <w:vAlign w:val="center"/>
          </w:tcPr>
          <w:p w:rsidR="00BD0234" w:rsidRPr="005C76C9" w:rsidP="00BB0A94" w14:paraId="4A12435E" w14:textId="77777777">
            <w:pPr>
              <w:autoSpaceDE w:val="0"/>
              <w:autoSpaceDN w:val="0"/>
              <w:adjustRightInd w:val="0"/>
              <w:jc w:val="center"/>
              <w:rPr>
                <w:sz w:val="20"/>
                <w:szCs w:val="20"/>
              </w:rPr>
            </w:pPr>
            <w:r w:rsidRPr="005C76C9">
              <w:rPr>
                <w:sz w:val="20"/>
                <w:szCs w:val="20"/>
              </w:rPr>
              <w:t>S23A</w:t>
            </w:r>
          </w:p>
        </w:tc>
        <w:tc>
          <w:tcPr>
            <w:tcW w:w="1642" w:type="dxa"/>
            <w:vAlign w:val="center"/>
          </w:tcPr>
          <w:p w:rsidR="00BD0234" w:rsidRPr="005C76C9" w:rsidP="00BB0A94" w14:paraId="39AF49C3" w14:textId="77777777">
            <w:pPr>
              <w:autoSpaceDE w:val="0"/>
              <w:autoSpaceDN w:val="0"/>
              <w:adjustRightInd w:val="0"/>
              <w:jc w:val="center"/>
              <w:rPr>
                <w:sz w:val="20"/>
                <w:szCs w:val="20"/>
              </w:rPr>
            </w:pPr>
            <w:r w:rsidRPr="005C76C9">
              <w:rPr>
                <w:sz w:val="20"/>
                <w:szCs w:val="20"/>
              </w:rPr>
              <w:t>3,917,636</w:t>
            </w:r>
          </w:p>
        </w:tc>
      </w:tr>
      <w:tr w14:paraId="495C2EE7" w14:textId="77777777" w:rsidTr="001E6B95">
        <w:tblPrEx>
          <w:tblW w:w="0" w:type="auto"/>
          <w:tblLook w:val="04A0"/>
        </w:tblPrEx>
        <w:tc>
          <w:tcPr>
            <w:tcW w:w="968" w:type="dxa"/>
            <w:vAlign w:val="center"/>
          </w:tcPr>
          <w:p w:rsidR="00BD0234" w:rsidRPr="005C76C9" w:rsidP="00BB0A94" w14:paraId="5FCC6079" w14:textId="77777777">
            <w:pPr>
              <w:autoSpaceDE w:val="0"/>
              <w:autoSpaceDN w:val="0"/>
              <w:adjustRightInd w:val="0"/>
              <w:jc w:val="center"/>
              <w:rPr>
                <w:sz w:val="20"/>
                <w:szCs w:val="20"/>
              </w:rPr>
            </w:pPr>
            <w:r w:rsidRPr="005C76C9">
              <w:rPr>
                <w:sz w:val="20"/>
                <w:szCs w:val="20"/>
              </w:rPr>
              <w:t>S23B</w:t>
            </w:r>
          </w:p>
        </w:tc>
        <w:tc>
          <w:tcPr>
            <w:tcW w:w="1642" w:type="dxa"/>
            <w:vAlign w:val="center"/>
          </w:tcPr>
          <w:p w:rsidR="00BD0234" w:rsidRPr="005C76C9" w:rsidP="00BB0A94" w14:paraId="3E9DDE0B" w14:textId="77777777">
            <w:pPr>
              <w:autoSpaceDE w:val="0"/>
              <w:autoSpaceDN w:val="0"/>
              <w:adjustRightInd w:val="0"/>
              <w:jc w:val="center"/>
              <w:rPr>
                <w:sz w:val="20"/>
                <w:szCs w:val="20"/>
              </w:rPr>
            </w:pPr>
            <w:r w:rsidRPr="005C76C9">
              <w:rPr>
                <w:sz w:val="20"/>
                <w:szCs w:val="20"/>
              </w:rPr>
              <w:t>1,788,888</w:t>
            </w:r>
          </w:p>
        </w:tc>
      </w:tr>
      <w:tr w14:paraId="08FD1178" w14:textId="77777777" w:rsidTr="001E6B95">
        <w:tblPrEx>
          <w:tblW w:w="0" w:type="auto"/>
          <w:tblLook w:val="04A0"/>
        </w:tblPrEx>
        <w:tc>
          <w:tcPr>
            <w:tcW w:w="968" w:type="dxa"/>
            <w:vAlign w:val="center"/>
          </w:tcPr>
          <w:p w:rsidR="00BD0234" w:rsidRPr="005C76C9" w:rsidP="00BB0A94" w14:paraId="708024C3" w14:textId="77777777">
            <w:pPr>
              <w:autoSpaceDE w:val="0"/>
              <w:autoSpaceDN w:val="0"/>
              <w:adjustRightInd w:val="0"/>
              <w:jc w:val="center"/>
              <w:rPr>
                <w:sz w:val="20"/>
                <w:szCs w:val="20"/>
              </w:rPr>
            </w:pPr>
            <w:r w:rsidRPr="005C76C9">
              <w:rPr>
                <w:sz w:val="20"/>
                <w:szCs w:val="20"/>
              </w:rPr>
              <w:t>S24A</w:t>
            </w:r>
          </w:p>
        </w:tc>
        <w:tc>
          <w:tcPr>
            <w:tcW w:w="1642" w:type="dxa"/>
            <w:vAlign w:val="center"/>
          </w:tcPr>
          <w:p w:rsidR="00BD0234" w:rsidRPr="005C76C9" w:rsidP="00BB0A94" w14:paraId="7F0F4CAA" w14:textId="77777777">
            <w:pPr>
              <w:autoSpaceDE w:val="0"/>
              <w:autoSpaceDN w:val="0"/>
              <w:adjustRightInd w:val="0"/>
              <w:jc w:val="center"/>
              <w:rPr>
                <w:sz w:val="20"/>
                <w:szCs w:val="20"/>
              </w:rPr>
            </w:pPr>
            <w:r w:rsidRPr="005C76C9">
              <w:rPr>
                <w:sz w:val="20"/>
                <w:szCs w:val="20"/>
              </w:rPr>
              <w:t>1,503,051</w:t>
            </w:r>
          </w:p>
        </w:tc>
      </w:tr>
      <w:tr w14:paraId="066C7748" w14:textId="77777777" w:rsidTr="001E6B95">
        <w:tblPrEx>
          <w:tblW w:w="0" w:type="auto"/>
          <w:tblLook w:val="04A0"/>
        </w:tblPrEx>
        <w:tc>
          <w:tcPr>
            <w:tcW w:w="968" w:type="dxa"/>
            <w:vAlign w:val="center"/>
          </w:tcPr>
          <w:p w:rsidR="00BD0234" w:rsidRPr="005C76C9" w:rsidP="00BB0A94" w14:paraId="6F93D7DF" w14:textId="77777777">
            <w:pPr>
              <w:autoSpaceDE w:val="0"/>
              <w:autoSpaceDN w:val="0"/>
              <w:adjustRightInd w:val="0"/>
              <w:jc w:val="center"/>
              <w:rPr>
                <w:sz w:val="20"/>
                <w:szCs w:val="20"/>
              </w:rPr>
            </w:pPr>
            <w:r w:rsidRPr="005C76C9">
              <w:rPr>
                <w:sz w:val="20"/>
                <w:szCs w:val="20"/>
              </w:rPr>
              <w:t>S24B</w:t>
            </w:r>
          </w:p>
        </w:tc>
        <w:tc>
          <w:tcPr>
            <w:tcW w:w="1642" w:type="dxa"/>
            <w:vAlign w:val="center"/>
          </w:tcPr>
          <w:p w:rsidR="00BD0234" w:rsidRPr="005C76C9" w:rsidP="00BB0A94" w14:paraId="15CD7775" w14:textId="77777777">
            <w:pPr>
              <w:autoSpaceDE w:val="0"/>
              <w:autoSpaceDN w:val="0"/>
              <w:adjustRightInd w:val="0"/>
              <w:jc w:val="center"/>
              <w:rPr>
                <w:sz w:val="20"/>
                <w:szCs w:val="20"/>
              </w:rPr>
            </w:pPr>
            <w:r w:rsidRPr="005C76C9">
              <w:rPr>
                <w:sz w:val="20"/>
                <w:szCs w:val="20"/>
              </w:rPr>
              <w:t>1,148,695</w:t>
            </w:r>
          </w:p>
        </w:tc>
      </w:tr>
      <w:tr w14:paraId="1551E751" w14:textId="77777777" w:rsidTr="001E6B95">
        <w:tblPrEx>
          <w:tblW w:w="0" w:type="auto"/>
          <w:tblLook w:val="04A0"/>
        </w:tblPrEx>
        <w:tc>
          <w:tcPr>
            <w:tcW w:w="968" w:type="dxa"/>
            <w:vAlign w:val="center"/>
          </w:tcPr>
          <w:p w:rsidR="00BD0234" w:rsidRPr="005C76C9" w:rsidP="00BB0A94" w14:paraId="0A28CC57" w14:textId="77777777">
            <w:pPr>
              <w:autoSpaceDE w:val="0"/>
              <w:autoSpaceDN w:val="0"/>
              <w:adjustRightInd w:val="0"/>
              <w:jc w:val="center"/>
              <w:rPr>
                <w:sz w:val="20"/>
                <w:szCs w:val="20"/>
              </w:rPr>
            </w:pPr>
            <w:r w:rsidRPr="005C76C9">
              <w:rPr>
                <w:sz w:val="20"/>
                <w:szCs w:val="20"/>
              </w:rPr>
              <w:t>S35A</w:t>
            </w:r>
          </w:p>
        </w:tc>
        <w:tc>
          <w:tcPr>
            <w:tcW w:w="1642" w:type="dxa"/>
            <w:vAlign w:val="center"/>
          </w:tcPr>
          <w:p w:rsidR="00BD0234" w:rsidRPr="005C76C9" w:rsidP="00BB0A94" w14:paraId="5A33EE82" w14:textId="77777777">
            <w:pPr>
              <w:autoSpaceDE w:val="0"/>
              <w:autoSpaceDN w:val="0"/>
              <w:adjustRightInd w:val="0"/>
              <w:jc w:val="center"/>
              <w:rPr>
                <w:sz w:val="20"/>
                <w:szCs w:val="20"/>
              </w:rPr>
            </w:pPr>
            <w:r w:rsidRPr="005C76C9">
              <w:rPr>
                <w:sz w:val="20"/>
                <w:szCs w:val="20"/>
              </w:rPr>
              <w:t>2,600,690</w:t>
            </w:r>
          </w:p>
        </w:tc>
      </w:tr>
      <w:tr w14:paraId="2DD09761" w14:textId="77777777" w:rsidTr="001E6B95">
        <w:tblPrEx>
          <w:tblW w:w="0" w:type="auto"/>
          <w:tblLook w:val="04A0"/>
        </w:tblPrEx>
        <w:tc>
          <w:tcPr>
            <w:tcW w:w="968" w:type="dxa"/>
            <w:vAlign w:val="center"/>
          </w:tcPr>
          <w:p w:rsidR="00BD0234" w:rsidRPr="005C76C9" w:rsidP="00BB0A94" w14:paraId="0223CC19" w14:textId="77777777">
            <w:pPr>
              <w:autoSpaceDE w:val="0"/>
              <w:autoSpaceDN w:val="0"/>
              <w:adjustRightInd w:val="0"/>
              <w:jc w:val="center"/>
              <w:rPr>
                <w:sz w:val="20"/>
                <w:szCs w:val="20"/>
              </w:rPr>
            </w:pPr>
            <w:r w:rsidRPr="005C76C9">
              <w:rPr>
                <w:sz w:val="20"/>
                <w:szCs w:val="20"/>
              </w:rPr>
              <w:t>S35B</w:t>
            </w:r>
          </w:p>
        </w:tc>
        <w:tc>
          <w:tcPr>
            <w:tcW w:w="1642" w:type="dxa"/>
            <w:vAlign w:val="center"/>
          </w:tcPr>
          <w:p w:rsidR="00BD0234" w:rsidRPr="005C76C9" w:rsidP="00BB0A94" w14:paraId="32597B01" w14:textId="77777777">
            <w:pPr>
              <w:autoSpaceDE w:val="0"/>
              <w:autoSpaceDN w:val="0"/>
              <w:adjustRightInd w:val="0"/>
              <w:jc w:val="center"/>
              <w:rPr>
                <w:sz w:val="20"/>
                <w:szCs w:val="20"/>
              </w:rPr>
            </w:pPr>
            <w:r w:rsidRPr="005C76C9">
              <w:rPr>
                <w:sz w:val="20"/>
                <w:szCs w:val="20"/>
              </w:rPr>
              <w:t>2,500,156</w:t>
            </w:r>
          </w:p>
        </w:tc>
      </w:tr>
      <w:tr w14:paraId="41A2A392" w14:textId="77777777" w:rsidTr="001E6B95">
        <w:tblPrEx>
          <w:tblW w:w="0" w:type="auto"/>
          <w:tblLook w:val="04A0"/>
        </w:tblPrEx>
        <w:tc>
          <w:tcPr>
            <w:tcW w:w="968" w:type="dxa"/>
            <w:vAlign w:val="center"/>
          </w:tcPr>
          <w:p w:rsidR="00BD0234" w:rsidRPr="005C76C9" w:rsidP="00BB0A94" w14:paraId="364C2FB1" w14:textId="77777777">
            <w:pPr>
              <w:autoSpaceDE w:val="0"/>
              <w:autoSpaceDN w:val="0"/>
              <w:adjustRightInd w:val="0"/>
              <w:jc w:val="center"/>
              <w:rPr>
                <w:sz w:val="20"/>
                <w:szCs w:val="20"/>
              </w:rPr>
            </w:pPr>
            <w:r w:rsidRPr="005C76C9">
              <w:rPr>
                <w:sz w:val="20"/>
                <w:szCs w:val="20"/>
              </w:rPr>
              <w:t>S35C</w:t>
            </w:r>
          </w:p>
        </w:tc>
        <w:tc>
          <w:tcPr>
            <w:tcW w:w="1642" w:type="dxa"/>
            <w:vAlign w:val="center"/>
          </w:tcPr>
          <w:p w:rsidR="00BD0234" w:rsidRPr="005C76C9" w:rsidP="00BB0A94" w14:paraId="23CE6FC5" w14:textId="77777777">
            <w:pPr>
              <w:autoSpaceDE w:val="0"/>
              <w:autoSpaceDN w:val="0"/>
              <w:adjustRightInd w:val="0"/>
              <w:jc w:val="center"/>
              <w:rPr>
                <w:sz w:val="20"/>
                <w:szCs w:val="20"/>
              </w:rPr>
            </w:pPr>
            <w:r w:rsidRPr="005C76C9">
              <w:rPr>
                <w:sz w:val="20"/>
                <w:szCs w:val="20"/>
              </w:rPr>
              <w:t>2,480,395</w:t>
            </w:r>
          </w:p>
        </w:tc>
      </w:tr>
      <w:tr w14:paraId="186DEF7D" w14:textId="77777777" w:rsidTr="001E6B95">
        <w:tblPrEx>
          <w:tblW w:w="0" w:type="auto"/>
          <w:tblLook w:val="04A0"/>
        </w:tblPrEx>
        <w:tc>
          <w:tcPr>
            <w:tcW w:w="968" w:type="dxa"/>
            <w:vAlign w:val="center"/>
          </w:tcPr>
          <w:p w:rsidR="00BD0234" w:rsidRPr="005C76C9" w:rsidP="00BB0A94" w14:paraId="1769EB10" w14:textId="77777777">
            <w:pPr>
              <w:autoSpaceDE w:val="0"/>
              <w:autoSpaceDN w:val="0"/>
              <w:adjustRightInd w:val="0"/>
              <w:jc w:val="center"/>
              <w:rPr>
                <w:sz w:val="20"/>
                <w:szCs w:val="20"/>
              </w:rPr>
            </w:pPr>
            <w:r w:rsidRPr="005C76C9">
              <w:rPr>
                <w:sz w:val="20"/>
                <w:szCs w:val="20"/>
              </w:rPr>
              <w:t>S35D</w:t>
            </w:r>
          </w:p>
        </w:tc>
        <w:tc>
          <w:tcPr>
            <w:tcW w:w="1642" w:type="dxa"/>
            <w:vAlign w:val="center"/>
          </w:tcPr>
          <w:p w:rsidR="00BD0234" w:rsidRPr="005C76C9" w:rsidP="00BB0A94" w14:paraId="556B822E" w14:textId="77777777">
            <w:pPr>
              <w:autoSpaceDE w:val="0"/>
              <w:autoSpaceDN w:val="0"/>
              <w:adjustRightInd w:val="0"/>
              <w:jc w:val="center"/>
              <w:rPr>
                <w:sz w:val="20"/>
                <w:szCs w:val="20"/>
              </w:rPr>
            </w:pPr>
            <w:r w:rsidRPr="005C76C9">
              <w:rPr>
                <w:sz w:val="20"/>
                <w:szCs w:val="20"/>
              </w:rPr>
              <w:t>1,293,296</w:t>
            </w:r>
          </w:p>
        </w:tc>
      </w:tr>
      <w:tr w14:paraId="23A655D2" w14:textId="77777777" w:rsidTr="001E6B95">
        <w:tblPrEx>
          <w:tblW w:w="0" w:type="auto"/>
          <w:tblLook w:val="04A0"/>
        </w:tblPrEx>
        <w:tc>
          <w:tcPr>
            <w:tcW w:w="968" w:type="dxa"/>
            <w:vAlign w:val="center"/>
          </w:tcPr>
          <w:p w:rsidR="00BD0234" w:rsidRPr="005C76C9" w:rsidP="00BB0A94" w14:paraId="4C893A8B" w14:textId="77777777">
            <w:pPr>
              <w:autoSpaceDE w:val="0"/>
              <w:autoSpaceDN w:val="0"/>
              <w:adjustRightInd w:val="0"/>
              <w:jc w:val="center"/>
              <w:rPr>
                <w:sz w:val="20"/>
                <w:szCs w:val="20"/>
              </w:rPr>
            </w:pPr>
            <w:r w:rsidRPr="005C76C9">
              <w:rPr>
                <w:sz w:val="20"/>
                <w:szCs w:val="20"/>
              </w:rPr>
              <w:t>S35E</w:t>
            </w:r>
          </w:p>
        </w:tc>
        <w:tc>
          <w:tcPr>
            <w:tcW w:w="1642" w:type="dxa"/>
            <w:vAlign w:val="center"/>
          </w:tcPr>
          <w:p w:rsidR="00BD0234" w:rsidRPr="005C76C9" w:rsidP="00BB0A94" w14:paraId="4797BFCF" w14:textId="77777777">
            <w:pPr>
              <w:autoSpaceDE w:val="0"/>
              <w:autoSpaceDN w:val="0"/>
              <w:adjustRightInd w:val="0"/>
              <w:jc w:val="center"/>
              <w:rPr>
                <w:sz w:val="20"/>
                <w:szCs w:val="20"/>
              </w:rPr>
            </w:pPr>
            <w:r w:rsidRPr="005C76C9">
              <w:rPr>
                <w:sz w:val="20"/>
                <w:szCs w:val="20"/>
              </w:rPr>
              <w:t>1,158,575</w:t>
            </w:r>
          </w:p>
        </w:tc>
      </w:tr>
      <w:tr w14:paraId="38F50B54" w14:textId="77777777" w:rsidTr="001E6B95">
        <w:tblPrEx>
          <w:tblW w:w="0" w:type="auto"/>
          <w:tblLook w:val="04A0"/>
        </w:tblPrEx>
        <w:tc>
          <w:tcPr>
            <w:tcW w:w="968" w:type="dxa"/>
            <w:vAlign w:val="center"/>
          </w:tcPr>
          <w:p w:rsidR="00BD0234" w:rsidRPr="005C76C9" w:rsidP="00BB0A94" w14:paraId="3F37292A" w14:textId="77777777">
            <w:pPr>
              <w:autoSpaceDE w:val="0"/>
              <w:autoSpaceDN w:val="0"/>
              <w:adjustRightInd w:val="0"/>
              <w:jc w:val="center"/>
              <w:rPr>
                <w:sz w:val="20"/>
                <w:szCs w:val="20"/>
              </w:rPr>
            </w:pPr>
            <w:r w:rsidRPr="005C76C9">
              <w:rPr>
                <w:sz w:val="20"/>
                <w:szCs w:val="20"/>
              </w:rPr>
              <w:t>S37A</w:t>
            </w:r>
          </w:p>
        </w:tc>
        <w:tc>
          <w:tcPr>
            <w:tcW w:w="1642" w:type="dxa"/>
            <w:vAlign w:val="center"/>
          </w:tcPr>
          <w:p w:rsidR="00BD0234" w:rsidRPr="005C76C9" w:rsidP="00BB0A94" w14:paraId="4232FBDC" w14:textId="77777777">
            <w:pPr>
              <w:autoSpaceDE w:val="0"/>
              <w:autoSpaceDN w:val="0"/>
              <w:adjustRightInd w:val="0"/>
              <w:jc w:val="center"/>
              <w:rPr>
                <w:sz w:val="20"/>
                <w:szCs w:val="20"/>
              </w:rPr>
            </w:pPr>
            <w:r w:rsidRPr="005C76C9">
              <w:rPr>
                <w:sz w:val="20"/>
                <w:szCs w:val="20"/>
              </w:rPr>
              <w:t>3,110,724</w:t>
            </w:r>
          </w:p>
        </w:tc>
      </w:tr>
      <w:tr w14:paraId="714FC3FF" w14:textId="77777777" w:rsidTr="001E6B95">
        <w:tblPrEx>
          <w:tblW w:w="0" w:type="auto"/>
          <w:tblLook w:val="04A0"/>
        </w:tblPrEx>
        <w:tc>
          <w:tcPr>
            <w:tcW w:w="968" w:type="dxa"/>
            <w:vAlign w:val="center"/>
          </w:tcPr>
          <w:p w:rsidR="00BD0234" w:rsidRPr="005C76C9" w:rsidP="00BB0A94" w14:paraId="2BC05847" w14:textId="77777777">
            <w:pPr>
              <w:autoSpaceDE w:val="0"/>
              <w:autoSpaceDN w:val="0"/>
              <w:adjustRightInd w:val="0"/>
              <w:jc w:val="center"/>
              <w:rPr>
                <w:sz w:val="20"/>
                <w:szCs w:val="20"/>
              </w:rPr>
            </w:pPr>
            <w:r w:rsidRPr="005C76C9">
              <w:rPr>
                <w:sz w:val="20"/>
                <w:szCs w:val="20"/>
              </w:rPr>
              <w:t>S37B</w:t>
            </w:r>
          </w:p>
        </w:tc>
        <w:tc>
          <w:tcPr>
            <w:tcW w:w="1642" w:type="dxa"/>
            <w:vAlign w:val="center"/>
          </w:tcPr>
          <w:p w:rsidR="00BD0234" w:rsidRPr="005C76C9" w:rsidP="00BB0A94" w14:paraId="0D076F91" w14:textId="77777777">
            <w:pPr>
              <w:autoSpaceDE w:val="0"/>
              <w:autoSpaceDN w:val="0"/>
              <w:adjustRightInd w:val="0"/>
              <w:jc w:val="center"/>
              <w:rPr>
                <w:sz w:val="20"/>
                <w:szCs w:val="20"/>
              </w:rPr>
            </w:pPr>
            <w:r w:rsidRPr="005C76C9">
              <w:rPr>
                <w:sz w:val="20"/>
                <w:szCs w:val="20"/>
              </w:rPr>
              <w:t>2,900,904</w:t>
            </w:r>
          </w:p>
        </w:tc>
      </w:tr>
      <w:tr w14:paraId="601B6111" w14:textId="77777777" w:rsidTr="001E6B95">
        <w:tblPrEx>
          <w:tblW w:w="0" w:type="auto"/>
          <w:tblLook w:val="04A0"/>
        </w:tblPrEx>
        <w:tc>
          <w:tcPr>
            <w:tcW w:w="968" w:type="dxa"/>
            <w:vAlign w:val="center"/>
          </w:tcPr>
          <w:p w:rsidR="00BD0234" w:rsidRPr="005C76C9" w:rsidP="00BB0A94" w14:paraId="1C1F01EE" w14:textId="77777777">
            <w:pPr>
              <w:autoSpaceDE w:val="0"/>
              <w:autoSpaceDN w:val="0"/>
              <w:adjustRightInd w:val="0"/>
              <w:jc w:val="center"/>
              <w:rPr>
                <w:sz w:val="20"/>
                <w:szCs w:val="20"/>
              </w:rPr>
            </w:pPr>
            <w:r w:rsidRPr="005C76C9">
              <w:rPr>
                <w:sz w:val="20"/>
                <w:szCs w:val="20"/>
              </w:rPr>
              <w:t>S48A</w:t>
            </w:r>
          </w:p>
        </w:tc>
        <w:tc>
          <w:tcPr>
            <w:tcW w:w="1642" w:type="dxa"/>
            <w:vAlign w:val="center"/>
          </w:tcPr>
          <w:p w:rsidR="00BD0234" w:rsidRPr="005C76C9" w:rsidP="00BB0A94" w14:paraId="6C99B756" w14:textId="77777777">
            <w:pPr>
              <w:autoSpaceDE w:val="0"/>
              <w:autoSpaceDN w:val="0"/>
              <w:adjustRightInd w:val="0"/>
              <w:jc w:val="center"/>
              <w:rPr>
                <w:sz w:val="20"/>
                <w:szCs w:val="20"/>
              </w:rPr>
            </w:pPr>
            <w:r w:rsidRPr="005C76C9">
              <w:rPr>
                <w:sz w:val="20"/>
                <w:szCs w:val="20"/>
              </w:rPr>
              <w:t>1,973,718</w:t>
            </w:r>
          </w:p>
        </w:tc>
      </w:tr>
      <w:tr w14:paraId="1870EEB5" w14:textId="77777777" w:rsidTr="001E6B95">
        <w:tblPrEx>
          <w:tblW w:w="0" w:type="auto"/>
          <w:tblLook w:val="04A0"/>
        </w:tblPrEx>
        <w:tc>
          <w:tcPr>
            <w:tcW w:w="968" w:type="dxa"/>
            <w:vAlign w:val="center"/>
          </w:tcPr>
          <w:p w:rsidR="00BD0234" w:rsidRPr="005C76C9" w:rsidP="00BB0A94" w14:paraId="1567A8B6" w14:textId="77777777">
            <w:pPr>
              <w:autoSpaceDE w:val="0"/>
              <w:autoSpaceDN w:val="0"/>
              <w:adjustRightInd w:val="0"/>
              <w:jc w:val="center"/>
              <w:rPr>
                <w:sz w:val="20"/>
                <w:szCs w:val="20"/>
              </w:rPr>
            </w:pPr>
            <w:r w:rsidRPr="005C76C9">
              <w:rPr>
                <w:sz w:val="20"/>
                <w:szCs w:val="20"/>
              </w:rPr>
              <w:t>S48B</w:t>
            </w:r>
          </w:p>
        </w:tc>
        <w:tc>
          <w:tcPr>
            <w:tcW w:w="1642" w:type="dxa"/>
            <w:vAlign w:val="center"/>
          </w:tcPr>
          <w:p w:rsidR="00BD0234" w:rsidRPr="005C76C9" w:rsidP="00BB0A94" w14:paraId="44C0184C" w14:textId="77777777">
            <w:pPr>
              <w:autoSpaceDE w:val="0"/>
              <w:autoSpaceDN w:val="0"/>
              <w:adjustRightInd w:val="0"/>
              <w:jc w:val="center"/>
              <w:rPr>
                <w:sz w:val="20"/>
                <w:szCs w:val="20"/>
              </w:rPr>
            </w:pPr>
            <w:r w:rsidRPr="005C76C9">
              <w:rPr>
                <w:sz w:val="20"/>
                <w:szCs w:val="20"/>
              </w:rPr>
              <w:t>1,207,171</w:t>
            </w:r>
          </w:p>
        </w:tc>
      </w:tr>
      <w:tr w14:paraId="1918AC9A" w14:textId="77777777" w:rsidTr="001E6B95">
        <w:tblPrEx>
          <w:tblW w:w="0" w:type="auto"/>
          <w:tblLook w:val="04A0"/>
        </w:tblPrEx>
        <w:tc>
          <w:tcPr>
            <w:tcW w:w="968" w:type="dxa"/>
            <w:vAlign w:val="center"/>
          </w:tcPr>
          <w:p w:rsidR="00BD0234" w:rsidRPr="005C76C9" w:rsidP="00BB0A94" w14:paraId="3F825A17" w14:textId="77777777">
            <w:pPr>
              <w:autoSpaceDE w:val="0"/>
              <w:autoSpaceDN w:val="0"/>
              <w:adjustRightInd w:val="0"/>
              <w:jc w:val="center"/>
              <w:rPr>
                <w:sz w:val="20"/>
                <w:szCs w:val="20"/>
              </w:rPr>
            </w:pPr>
            <w:r w:rsidRPr="005C76C9">
              <w:rPr>
                <w:sz w:val="20"/>
                <w:szCs w:val="20"/>
              </w:rPr>
              <w:t>S49A</w:t>
            </w:r>
          </w:p>
        </w:tc>
        <w:tc>
          <w:tcPr>
            <w:tcW w:w="1642" w:type="dxa"/>
            <w:vAlign w:val="center"/>
          </w:tcPr>
          <w:p w:rsidR="00BD0234" w:rsidRPr="005C76C9" w:rsidP="00BB0A94" w14:paraId="06C6F103" w14:textId="77777777">
            <w:pPr>
              <w:autoSpaceDE w:val="0"/>
              <w:autoSpaceDN w:val="0"/>
              <w:adjustRightInd w:val="0"/>
              <w:jc w:val="center"/>
              <w:rPr>
                <w:sz w:val="20"/>
                <w:szCs w:val="20"/>
              </w:rPr>
            </w:pPr>
            <w:r w:rsidRPr="005C76C9">
              <w:rPr>
                <w:sz w:val="20"/>
                <w:szCs w:val="20"/>
              </w:rPr>
              <w:t>5,376,795</w:t>
            </w:r>
          </w:p>
        </w:tc>
      </w:tr>
      <w:tr w14:paraId="39BBE293" w14:textId="77777777" w:rsidTr="001E6B95">
        <w:tblPrEx>
          <w:tblW w:w="0" w:type="auto"/>
          <w:tblLook w:val="04A0"/>
        </w:tblPrEx>
        <w:tc>
          <w:tcPr>
            <w:tcW w:w="968" w:type="dxa"/>
            <w:vAlign w:val="center"/>
          </w:tcPr>
          <w:p w:rsidR="00BD0234" w:rsidRPr="005C76C9" w:rsidP="00BB0A94" w14:paraId="62A23F60" w14:textId="77777777">
            <w:pPr>
              <w:autoSpaceDE w:val="0"/>
              <w:autoSpaceDN w:val="0"/>
              <w:adjustRightInd w:val="0"/>
              <w:jc w:val="center"/>
              <w:rPr>
                <w:sz w:val="20"/>
                <w:szCs w:val="20"/>
              </w:rPr>
            </w:pPr>
            <w:r w:rsidRPr="005C76C9">
              <w:rPr>
                <w:sz w:val="20"/>
                <w:szCs w:val="20"/>
              </w:rPr>
              <w:t>S49B</w:t>
            </w:r>
          </w:p>
        </w:tc>
        <w:tc>
          <w:tcPr>
            <w:tcW w:w="1642" w:type="dxa"/>
            <w:vAlign w:val="center"/>
          </w:tcPr>
          <w:p w:rsidR="00BD0234" w:rsidRPr="005C76C9" w:rsidP="00BB0A94" w14:paraId="05661EE5" w14:textId="77777777">
            <w:pPr>
              <w:autoSpaceDE w:val="0"/>
              <w:autoSpaceDN w:val="0"/>
              <w:adjustRightInd w:val="0"/>
              <w:jc w:val="center"/>
              <w:rPr>
                <w:sz w:val="20"/>
                <w:szCs w:val="20"/>
              </w:rPr>
            </w:pPr>
            <w:r w:rsidRPr="005C76C9">
              <w:rPr>
                <w:sz w:val="20"/>
                <w:szCs w:val="20"/>
              </w:rPr>
              <w:t>1,934,281</w:t>
            </w:r>
          </w:p>
        </w:tc>
      </w:tr>
      <w:tr w14:paraId="50ED931E" w14:textId="77777777" w:rsidTr="001E6B95">
        <w:tblPrEx>
          <w:tblW w:w="0" w:type="auto"/>
          <w:tblLook w:val="04A0"/>
        </w:tblPrEx>
        <w:tc>
          <w:tcPr>
            <w:tcW w:w="968" w:type="dxa"/>
            <w:vAlign w:val="center"/>
          </w:tcPr>
          <w:p w:rsidR="00BD0234" w:rsidRPr="005C76C9" w:rsidP="00BB0A94" w14:paraId="77F001C2" w14:textId="77777777">
            <w:pPr>
              <w:autoSpaceDE w:val="0"/>
              <w:autoSpaceDN w:val="0"/>
              <w:adjustRightInd w:val="0"/>
              <w:jc w:val="center"/>
              <w:rPr>
                <w:sz w:val="20"/>
                <w:szCs w:val="20"/>
              </w:rPr>
            </w:pPr>
            <w:r w:rsidRPr="005C76C9">
              <w:rPr>
                <w:sz w:val="20"/>
                <w:szCs w:val="20"/>
              </w:rPr>
              <w:t>S49C</w:t>
            </w:r>
          </w:p>
        </w:tc>
        <w:tc>
          <w:tcPr>
            <w:tcW w:w="1642" w:type="dxa"/>
            <w:vAlign w:val="center"/>
          </w:tcPr>
          <w:p w:rsidR="00BD0234" w:rsidRPr="005C76C9" w:rsidP="00BB0A94" w14:paraId="4D805FF2" w14:textId="77777777">
            <w:pPr>
              <w:autoSpaceDE w:val="0"/>
              <w:autoSpaceDN w:val="0"/>
              <w:adjustRightInd w:val="0"/>
              <w:jc w:val="center"/>
              <w:rPr>
                <w:sz w:val="20"/>
                <w:szCs w:val="20"/>
              </w:rPr>
            </w:pPr>
            <w:r w:rsidRPr="005C76C9">
              <w:rPr>
                <w:sz w:val="20"/>
                <w:szCs w:val="20"/>
              </w:rPr>
              <w:t>1,873,524</w:t>
            </w:r>
          </w:p>
        </w:tc>
      </w:tr>
      <w:tr w14:paraId="433A2277" w14:textId="77777777" w:rsidTr="001E6B95">
        <w:tblPrEx>
          <w:tblW w:w="0" w:type="auto"/>
          <w:tblLook w:val="04A0"/>
        </w:tblPrEx>
        <w:tc>
          <w:tcPr>
            <w:tcW w:w="968" w:type="dxa"/>
            <w:vAlign w:val="center"/>
          </w:tcPr>
          <w:p w:rsidR="00BD0234" w:rsidRPr="005C76C9" w:rsidP="00BB0A94" w14:paraId="4531B553" w14:textId="77777777">
            <w:pPr>
              <w:autoSpaceDE w:val="0"/>
              <w:autoSpaceDN w:val="0"/>
              <w:adjustRightInd w:val="0"/>
              <w:jc w:val="center"/>
              <w:rPr>
                <w:sz w:val="20"/>
                <w:szCs w:val="20"/>
              </w:rPr>
            </w:pPr>
            <w:r w:rsidRPr="005C76C9">
              <w:rPr>
                <w:sz w:val="20"/>
                <w:szCs w:val="20"/>
              </w:rPr>
              <w:t>S49D</w:t>
            </w:r>
          </w:p>
        </w:tc>
        <w:tc>
          <w:tcPr>
            <w:tcW w:w="1642" w:type="dxa"/>
            <w:vAlign w:val="center"/>
          </w:tcPr>
          <w:p w:rsidR="00BD0234" w:rsidRPr="005C76C9" w:rsidP="00BB0A94" w14:paraId="1F05F950" w14:textId="77777777">
            <w:pPr>
              <w:autoSpaceDE w:val="0"/>
              <w:autoSpaceDN w:val="0"/>
              <w:adjustRightInd w:val="0"/>
              <w:jc w:val="center"/>
              <w:rPr>
                <w:sz w:val="20"/>
                <w:szCs w:val="20"/>
              </w:rPr>
            </w:pPr>
            <w:r w:rsidRPr="005C76C9">
              <w:rPr>
                <w:sz w:val="20"/>
                <w:szCs w:val="20"/>
              </w:rPr>
              <w:t>1,636,850</w:t>
            </w:r>
          </w:p>
        </w:tc>
      </w:tr>
      <w:tr w14:paraId="7528EEFB" w14:textId="77777777" w:rsidTr="001E6B95">
        <w:tblPrEx>
          <w:tblW w:w="0" w:type="auto"/>
          <w:tblLook w:val="04A0"/>
        </w:tblPrEx>
        <w:tc>
          <w:tcPr>
            <w:tcW w:w="968" w:type="dxa"/>
            <w:vAlign w:val="center"/>
          </w:tcPr>
          <w:p w:rsidR="00BD0234" w:rsidRPr="005C76C9" w:rsidP="00BB0A94" w14:paraId="2849161C" w14:textId="77777777">
            <w:pPr>
              <w:autoSpaceDE w:val="0"/>
              <w:autoSpaceDN w:val="0"/>
              <w:adjustRightInd w:val="0"/>
              <w:jc w:val="center"/>
              <w:rPr>
                <w:sz w:val="20"/>
                <w:szCs w:val="20"/>
              </w:rPr>
            </w:pPr>
            <w:r w:rsidRPr="005C76C9">
              <w:rPr>
                <w:sz w:val="20"/>
                <w:szCs w:val="20"/>
              </w:rPr>
              <w:t>S49E</w:t>
            </w:r>
          </w:p>
        </w:tc>
        <w:tc>
          <w:tcPr>
            <w:tcW w:w="1642" w:type="dxa"/>
            <w:vAlign w:val="center"/>
          </w:tcPr>
          <w:p w:rsidR="00BD0234" w:rsidRPr="005C76C9" w:rsidP="00BB0A94" w14:paraId="16E1F2B6" w14:textId="77777777">
            <w:pPr>
              <w:autoSpaceDE w:val="0"/>
              <w:autoSpaceDN w:val="0"/>
              <w:adjustRightInd w:val="0"/>
              <w:jc w:val="center"/>
              <w:rPr>
                <w:sz w:val="20"/>
                <w:szCs w:val="20"/>
              </w:rPr>
            </w:pPr>
            <w:r w:rsidRPr="005C76C9">
              <w:rPr>
                <w:sz w:val="20"/>
                <w:szCs w:val="20"/>
              </w:rPr>
              <w:t>1,343,541</w:t>
            </w:r>
          </w:p>
        </w:tc>
      </w:tr>
      <w:tr w14:paraId="3D65CC22" w14:textId="77777777" w:rsidTr="001E6B95">
        <w:tblPrEx>
          <w:tblW w:w="0" w:type="auto"/>
          <w:tblLook w:val="04A0"/>
        </w:tblPrEx>
        <w:tc>
          <w:tcPr>
            <w:tcW w:w="968" w:type="dxa"/>
            <w:vAlign w:val="center"/>
          </w:tcPr>
          <w:p w:rsidR="00BD0234" w:rsidRPr="005C76C9" w:rsidP="00BB0A94" w14:paraId="3E64FC3C" w14:textId="77777777">
            <w:pPr>
              <w:autoSpaceDE w:val="0"/>
              <w:autoSpaceDN w:val="0"/>
              <w:adjustRightInd w:val="0"/>
              <w:jc w:val="center"/>
              <w:rPr>
                <w:sz w:val="20"/>
                <w:szCs w:val="20"/>
              </w:rPr>
            </w:pPr>
            <w:r w:rsidRPr="005C76C9">
              <w:rPr>
                <w:sz w:val="20"/>
                <w:szCs w:val="20"/>
              </w:rPr>
              <w:t>S49F</w:t>
            </w:r>
          </w:p>
        </w:tc>
        <w:tc>
          <w:tcPr>
            <w:tcW w:w="1642" w:type="dxa"/>
            <w:vAlign w:val="center"/>
          </w:tcPr>
          <w:p w:rsidR="00BD0234" w:rsidRPr="005C76C9" w:rsidP="00BB0A94" w14:paraId="432D56C0" w14:textId="77777777">
            <w:pPr>
              <w:autoSpaceDE w:val="0"/>
              <w:autoSpaceDN w:val="0"/>
              <w:adjustRightInd w:val="0"/>
              <w:jc w:val="center"/>
              <w:rPr>
                <w:sz w:val="20"/>
                <w:szCs w:val="20"/>
              </w:rPr>
            </w:pPr>
            <w:r w:rsidRPr="005C76C9">
              <w:rPr>
                <w:sz w:val="20"/>
                <w:szCs w:val="20"/>
              </w:rPr>
              <w:t>592,702</w:t>
            </w:r>
          </w:p>
        </w:tc>
      </w:tr>
      <w:tr w14:paraId="5548884E" w14:textId="77777777" w:rsidTr="001E6B95">
        <w:tblPrEx>
          <w:tblW w:w="0" w:type="auto"/>
          <w:tblLook w:val="04A0"/>
        </w:tblPrEx>
        <w:tc>
          <w:tcPr>
            <w:tcW w:w="968" w:type="dxa"/>
            <w:vAlign w:val="center"/>
          </w:tcPr>
          <w:p w:rsidR="00BD0234" w:rsidRPr="005C76C9" w:rsidP="00BB0A94" w14:paraId="0554F9AA" w14:textId="77777777">
            <w:pPr>
              <w:autoSpaceDE w:val="0"/>
              <w:autoSpaceDN w:val="0"/>
              <w:adjustRightInd w:val="0"/>
              <w:jc w:val="center"/>
              <w:rPr>
                <w:sz w:val="20"/>
                <w:szCs w:val="20"/>
              </w:rPr>
            </w:pPr>
            <w:r w:rsidRPr="005C76C9">
              <w:rPr>
                <w:sz w:val="20"/>
                <w:szCs w:val="20"/>
              </w:rPr>
              <w:t>S49G</w:t>
            </w:r>
          </w:p>
        </w:tc>
        <w:tc>
          <w:tcPr>
            <w:tcW w:w="1642" w:type="dxa"/>
            <w:vAlign w:val="center"/>
          </w:tcPr>
          <w:p w:rsidR="00BD0234" w:rsidRPr="005C76C9" w:rsidP="00BB0A94" w14:paraId="27FAA2E9" w14:textId="77777777">
            <w:pPr>
              <w:autoSpaceDE w:val="0"/>
              <w:autoSpaceDN w:val="0"/>
              <w:adjustRightInd w:val="0"/>
              <w:jc w:val="center"/>
              <w:rPr>
                <w:sz w:val="20"/>
                <w:szCs w:val="20"/>
              </w:rPr>
            </w:pPr>
            <w:r w:rsidRPr="005C76C9">
              <w:rPr>
                <w:sz w:val="20"/>
                <w:szCs w:val="20"/>
              </w:rPr>
              <w:t>220,019</w:t>
            </w:r>
          </w:p>
        </w:tc>
      </w:tr>
      <w:tr w14:paraId="5C607800" w14:textId="77777777" w:rsidTr="001E6B95">
        <w:tblPrEx>
          <w:tblW w:w="0" w:type="auto"/>
          <w:tblLook w:val="04A0"/>
        </w:tblPrEx>
        <w:tc>
          <w:tcPr>
            <w:tcW w:w="968" w:type="dxa"/>
            <w:vAlign w:val="center"/>
          </w:tcPr>
          <w:p w:rsidR="00BD0234" w:rsidRPr="005C76C9" w:rsidP="00BB0A94" w14:paraId="5AA1F2FF" w14:textId="77777777">
            <w:pPr>
              <w:autoSpaceDE w:val="0"/>
              <w:autoSpaceDN w:val="0"/>
              <w:adjustRightInd w:val="0"/>
              <w:jc w:val="center"/>
              <w:rPr>
                <w:sz w:val="20"/>
                <w:szCs w:val="20"/>
              </w:rPr>
            </w:pPr>
            <w:r w:rsidRPr="005C76C9">
              <w:rPr>
                <w:sz w:val="20"/>
                <w:szCs w:val="20"/>
              </w:rPr>
              <w:t>N11B</w:t>
            </w:r>
          </w:p>
        </w:tc>
        <w:tc>
          <w:tcPr>
            <w:tcW w:w="1642" w:type="dxa"/>
            <w:vAlign w:val="center"/>
          </w:tcPr>
          <w:p w:rsidR="00BD0234" w:rsidRPr="005C76C9" w:rsidP="00BB0A94" w14:paraId="11F4189A" w14:textId="77777777">
            <w:pPr>
              <w:autoSpaceDE w:val="0"/>
              <w:autoSpaceDN w:val="0"/>
              <w:adjustRightInd w:val="0"/>
              <w:jc w:val="center"/>
              <w:rPr>
                <w:sz w:val="20"/>
                <w:szCs w:val="20"/>
              </w:rPr>
            </w:pPr>
            <w:r w:rsidRPr="005C76C9">
              <w:rPr>
                <w:sz w:val="20"/>
                <w:szCs w:val="20"/>
              </w:rPr>
              <w:t>1,660,062</w:t>
            </w:r>
          </w:p>
        </w:tc>
      </w:tr>
      <w:tr w14:paraId="571D14C9" w14:textId="77777777" w:rsidTr="001E6B95">
        <w:tblPrEx>
          <w:tblW w:w="0" w:type="auto"/>
          <w:tblLook w:val="04A0"/>
        </w:tblPrEx>
        <w:tc>
          <w:tcPr>
            <w:tcW w:w="968" w:type="dxa"/>
            <w:vAlign w:val="center"/>
          </w:tcPr>
          <w:p w:rsidR="00BD0234" w:rsidRPr="005C76C9" w:rsidP="00BB0A94" w14:paraId="7BE890B5" w14:textId="77777777">
            <w:pPr>
              <w:autoSpaceDE w:val="0"/>
              <w:autoSpaceDN w:val="0"/>
              <w:adjustRightInd w:val="0"/>
              <w:jc w:val="center"/>
              <w:rPr>
                <w:sz w:val="20"/>
                <w:szCs w:val="20"/>
              </w:rPr>
            </w:pPr>
            <w:r w:rsidRPr="005C76C9">
              <w:rPr>
                <w:sz w:val="20"/>
                <w:szCs w:val="20"/>
              </w:rPr>
              <w:t>N11C</w:t>
            </w:r>
          </w:p>
        </w:tc>
        <w:tc>
          <w:tcPr>
            <w:tcW w:w="1642" w:type="dxa"/>
            <w:vAlign w:val="center"/>
          </w:tcPr>
          <w:p w:rsidR="00BD0234" w:rsidRPr="005C76C9" w:rsidP="00BB0A94" w14:paraId="2404617F" w14:textId="77777777">
            <w:pPr>
              <w:autoSpaceDE w:val="0"/>
              <w:autoSpaceDN w:val="0"/>
              <w:adjustRightInd w:val="0"/>
              <w:jc w:val="center"/>
              <w:rPr>
                <w:sz w:val="20"/>
                <w:szCs w:val="20"/>
              </w:rPr>
            </w:pPr>
            <w:r w:rsidRPr="005C76C9">
              <w:rPr>
                <w:sz w:val="20"/>
                <w:szCs w:val="20"/>
              </w:rPr>
              <w:t>1,653,386</w:t>
            </w:r>
          </w:p>
        </w:tc>
      </w:tr>
      <w:tr w14:paraId="49758AE8" w14:textId="77777777" w:rsidTr="001E6B95">
        <w:tblPrEx>
          <w:tblW w:w="0" w:type="auto"/>
          <w:tblLook w:val="04A0"/>
        </w:tblPrEx>
        <w:tc>
          <w:tcPr>
            <w:tcW w:w="968" w:type="dxa"/>
            <w:vAlign w:val="center"/>
          </w:tcPr>
          <w:p w:rsidR="00BD0234" w:rsidRPr="005C76C9" w:rsidP="00BB0A94" w14:paraId="11B34015" w14:textId="77777777">
            <w:pPr>
              <w:autoSpaceDE w:val="0"/>
              <w:autoSpaceDN w:val="0"/>
              <w:adjustRightInd w:val="0"/>
              <w:jc w:val="center"/>
              <w:rPr>
                <w:sz w:val="20"/>
                <w:szCs w:val="20"/>
              </w:rPr>
            </w:pPr>
            <w:r w:rsidRPr="005C76C9">
              <w:rPr>
                <w:sz w:val="20"/>
                <w:szCs w:val="20"/>
              </w:rPr>
              <w:t>N11E</w:t>
            </w:r>
          </w:p>
        </w:tc>
        <w:tc>
          <w:tcPr>
            <w:tcW w:w="1642" w:type="dxa"/>
            <w:vAlign w:val="center"/>
          </w:tcPr>
          <w:p w:rsidR="00BD0234" w:rsidRPr="005C76C9" w:rsidP="00BB0A94" w14:paraId="24AE3009" w14:textId="77777777">
            <w:pPr>
              <w:autoSpaceDE w:val="0"/>
              <w:autoSpaceDN w:val="0"/>
              <w:adjustRightInd w:val="0"/>
              <w:jc w:val="center"/>
              <w:rPr>
                <w:sz w:val="20"/>
                <w:szCs w:val="20"/>
              </w:rPr>
            </w:pPr>
            <w:r w:rsidRPr="005C76C9">
              <w:rPr>
                <w:sz w:val="20"/>
                <w:szCs w:val="20"/>
              </w:rPr>
              <w:t>561,549</w:t>
            </w:r>
          </w:p>
        </w:tc>
      </w:tr>
      <w:tr w14:paraId="43B219A7" w14:textId="77777777" w:rsidTr="001E6B95">
        <w:tblPrEx>
          <w:tblW w:w="0" w:type="auto"/>
          <w:tblLook w:val="04A0"/>
        </w:tblPrEx>
        <w:tc>
          <w:tcPr>
            <w:tcW w:w="968" w:type="dxa"/>
            <w:vAlign w:val="center"/>
          </w:tcPr>
          <w:p w:rsidR="00BD0234" w:rsidRPr="005C76C9" w:rsidP="00BB0A94" w14:paraId="3D5EC49E" w14:textId="77777777">
            <w:pPr>
              <w:autoSpaceDE w:val="0"/>
              <w:autoSpaceDN w:val="0"/>
              <w:adjustRightInd w:val="0"/>
              <w:jc w:val="center"/>
              <w:rPr>
                <w:sz w:val="20"/>
                <w:szCs w:val="20"/>
              </w:rPr>
            </w:pPr>
            <w:r w:rsidRPr="005C76C9">
              <w:rPr>
                <w:sz w:val="20"/>
                <w:szCs w:val="20"/>
              </w:rPr>
              <w:t>N12C</w:t>
            </w:r>
          </w:p>
        </w:tc>
        <w:tc>
          <w:tcPr>
            <w:tcW w:w="1642" w:type="dxa"/>
            <w:vAlign w:val="center"/>
          </w:tcPr>
          <w:p w:rsidR="00BD0234" w:rsidRPr="005C76C9" w:rsidP="00BB0A94" w14:paraId="77A9AF2C" w14:textId="77777777">
            <w:pPr>
              <w:autoSpaceDE w:val="0"/>
              <w:autoSpaceDN w:val="0"/>
              <w:adjustRightInd w:val="0"/>
              <w:jc w:val="center"/>
              <w:rPr>
                <w:sz w:val="20"/>
                <w:szCs w:val="20"/>
              </w:rPr>
            </w:pPr>
            <w:r w:rsidRPr="005C76C9">
              <w:rPr>
                <w:sz w:val="20"/>
                <w:szCs w:val="20"/>
              </w:rPr>
              <w:t>1,987,224</w:t>
            </w:r>
          </w:p>
        </w:tc>
      </w:tr>
      <w:tr w14:paraId="1D7AADFC" w14:textId="77777777" w:rsidTr="001E6B95">
        <w:tblPrEx>
          <w:tblW w:w="0" w:type="auto"/>
          <w:tblLook w:val="04A0"/>
        </w:tblPrEx>
        <w:tc>
          <w:tcPr>
            <w:tcW w:w="968" w:type="dxa"/>
            <w:vAlign w:val="center"/>
          </w:tcPr>
          <w:p w:rsidR="00BD0234" w:rsidRPr="005C76C9" w:rsidP="00BB0A94" w14:paraId="228F0073" w14:textId="77777777">
            <w:pPr>
              <w:autoSpaceDE w:val="0"/>
              <w:autoSpaceDN w:val="0"/>
              <w:adjustRightInd w:val="0"/>
              <w:jc w:val="center"/>
              <w:rPr>
                <w:sz w:val="20"/>
                <w:szCs w:val="20"/>
              </w:rPr>
            </w:pPr>
            <w:r w:rsidRPr="005C76C9">
              <w:rPr>
                <w:sz w:val="20"/>
                <w:szCs w:val="20"/>
              </w:rPr>
              <w:t>N12D</w:t>
            </w:r>
          </w:p>
        </w:tc>
        <w:tc>
          <w:tcPr>
            <w:tcW w:w="1642" w:type="dxa"/>
            <w:vAlign w:val="center"/>
          </w:tcPr>
          <w:p w:rsidR="00BD0234" w:rsidRPr="005C76C9" w:rsidP="00BB0A94" w14:paraId="6310FB04" w14:textId="77777777">
            <w:pPr>
              <w:autoSpaceDE w:val="0"/>
              <w:autoSpaceDN w:val="0"/>
              <w:adjustRightInd w:val="0"/>
              <w:jc w:val="center"/>
              <w:rPr>
                <w:sz w:val="20"/>
                <w:szCs w:val="20"/>
              </w:rPr>
            </w:pPr>
            <w:r w:rsidRPr="005C76C9">
              <w:rPr>
                <w:sz w:val="20"/>
                <w:szCs w:val="20"/>
              </w:rPr>
              <w:t>1,362,127</w:t>
            </w:r>
          </w:p>
        </w:tc>
      </w:tr>
      <w:tr w14:paraId="02AEDEB3" w14:textId="77777777" w:rsidTr="001E6B95">
        <w:tblPrEx>
          <w:tblW w:w="0" w:type="auto"/>
          <w:tblLook w:val="04A0"/>
        </w:tblPrEx>
        <w:tc>
          <w:tcPr>
            <w:tcW w:w="968" w:type="dxa"/>
            <w:vAlign w:val="center"/>
          </w:tcPr>
          <w:p w:rsidR="00BD0234" w:rsidRPr="005C76C9" w:rsidP="00BB0A94" w14:paraId="067154BF" w14:textId="77777777">
            <w:pPr>
              <w:autoSpaceDE w:val="0"/>
              <w:autoSpaceDN w:val="0"/>
              <w:adjustRightInd w:val="0"/>
              <w:jc w:val="center"/>
              <w:rPr>
                <w:sz w:val="20"/>
                <w:szCs w:val="20"/>
              </w:rPr>
            </w:pPr>
            <w:r w:rsidRPr="005C76C9">
              <w:rPr>
                <w:sz w:val="20"/>
                <w:szCs w:val="20"/>
              </w:rPr>
              <w:t>N12E</w:t>
            </w:r>
          </w:p>
        </w:tc>
        <w:tc>
          <w:tcPr>
            <w:tcW w:w="1642" w:type="dxa"/>
            <w:vAlign w:val="center"/>
          </w:tcPr>
          <w:p w:rsidR="00BD0234" w:rsidRPr="005C76C9" w:rsidP="00BB0A94" w14:paraId="44CCDFB4" w14:textId="77777777">
            <w:pPr>
              <w:autoSpaceDE w:val="0"/>
              <w:autoSpaceDN w:val="0"/>
              <w:adjustRightInd w:val="0"/>
              <w:jc w:val="center"/>
              <w:rPr>
                <w:sz w:val="20"/>
                <w:szCs w:val="20"/>
              </w:rPr>
            </w:pPr>
            <w:r w:rsidRPr="005C76C9">
              <w:rPr>
                <w:sz w:val="20"/>
                <w:szCs w:val="20"/>
              </w:rPr>
              <w:t>925,025</w:t>
            </w:r>
          </w:p>
        </w:tc>
      </w:tr>
      <w:tr w14:paraId="464600A9" w14:textId="77777777" w:rsidTr="001E6B95">
        <w:tblPrEx>
          <w:tblW w:w="0" w:type="auto"/>
          <w:tblLook w:val="04A0"/>
        </w:tblPrEx>
        <w:tc>
          <w:tcPr>
            <w:tcW w:w="968" w:type="dxa"/>
            <w:vAlign w:val="center"/>
          </w:tcPr>
          <w:p w:rsidR="00BD0234" w:rsidRPr="005C76C9" w:rsidP="00BB0A94" w14:paraId="09A2387F" w14:textId="77777777">
            <w:pPr>
              <w:autoSpaceDE w:val="0"/>
              <w:autoSpaceDN w:val="0"/>
              <w:adjustRightInd w:val="0"/>
              <w:jc w:val="center"/>
              <w:rPr>
                <w:sz w:val="20"/>
                <w:szCs w:val="20"/>
              </w:rPr>
            </w:pPr>
            <w:r w:rsidRPr="005C76C9">
              <w:rPr>
                <w:sz w:val="20"/>
                <w:szCs w:val="20"/>
              </w:rPr>
              <w:t>N12F</w:t>
            </w:r>
          </w:p>
        </w:tc>
        <w:tc>
          <w:tcPr>
            <w:tcW w:w="1642" w:type="dxa"/>
            <w:vAlign w:val="center"/>
          </w:tcPr>
          <w:p w:rsidR="00BD0234" w:rsidRPr="005C76C9" w:rsidP="00BB0A94" w14:paraId="2F5E0DD9" w14:textId="77777777">
            <w:pPr>
              <w:autoSpaceDE w:val="0"/>
              <w:autoSpaceDN w:val="0"/>
              <w:adjustRightInd w:val="0"/>
              <w:jc w:val="center"/>
              <w:rPr>
                <w:sz w:val="20"/>
                <w:szCs w:val="20"/>
              </w:rPr>
            </w:pPr>
            <w:r w:rsidRPr="005C76C9">
              <w:rPr>
                <w:sz w:val="20"/>
                <w:szCs w:val="20"/>
              </w:rPr>
              <w:t>1,072,781</w:t>
            </w:r>
          </w:p>
        </w:tc>
      </w:tr>
      <w:tr w14:paraId="53A7B6FC" w14:textId="77777777" w:rsidTr="001E6B95">
        <w:tblPrEx>
          <w:tblW w:w="0" w:type="auto"/>
          <w:tblLook w:val="04A0"/>
        </w:tblPrEx>
        <w:tc>
          <w:tcPr>
            <w:tcW w:w="968" w:type="dxa"/>
            <w:vAlign w:val="center"/>
          </w:tcPr>
          <w:p w:rsidR="00BD0234" w:rsidRPr="005C76C9" w:rsidP="00BB0A94" w14:paraId="06941EE3" w14:textId="77777777">
            <w:pPr>
              <w:autoSpaceDE w:val="0"/>
              <w:autoSpaceDN w:val="0"/>
              <w:adjustRightInd w:val="0"/>
              <w:jc w:val="center"/>
              <w:rPr>
                <w:sz w:val="20"/>
                <w:szCs w:val="20"/>
              </w:rPr>
            </w:pPr>
            <w:r w:rsidRPr="005C76C9">
              <w:rPr>
                <w:sz w:val="20"/>
                <w:szCs w:val="20"/>
              </w:rPr>
              <w:t>N12H</w:t>
            </w:r>
          </w:p>
        </w:tc>
        <w:tc>
          <w:tcPr>
            <w:tcW w:w="1642" w:type="dxa"/>
            <w:vAlign w:val="center"/>
          </w:tcPr>
          <w:p w:rsidR="00BD0234" w:rsidRPr="005C76C9" w:rsidP="00BB0A94" w14:paraId="7B71B132" w14:textId="77777777">
            <w:pPr>
              <w:autoSpaceDE w:val="0"/>
              <w:autoSpaceDN w:val="0"/>
              <w:adjustRightInd w:val="0"/>
              <w:jc w:val="center"/>
              <w:rPr>
                <w:sz w:val="20"/>
                <w:szCs w:val="20"/>
              </w:rPr>
            </w:pPr>
            <w:r w:rsidRPr="005C76C9">
              <w:rPr>
                <w:sz w:val="20"/>
                <w:szCs w:val="20"/>
              </w:rPr>
              <w:t>1,133,614</w:t>
            </w:r>
          </w:p>
        </w:tc>
      </w:tr>
      <w:tr w14:paraId="0300D72E" w14:textId="77777777" w:rsidTr="001E6B95">
        <w:tblPrEx>
          <w:tblW w:w="0" w:type="auto"/>
          <w:tblLook w:val="04A0"/>
        </w:tblPrEx>
        <w:tc>
          <w:tcPr>
            <w:tcW w:w="968" w:type="dxa"/>
            <w:vAlign w:val="center"/>
          </w:tcPr>
          <w:p w:rsidR="00BD0234" w:rsidRPr="005C76C9" w:rsidP="00BB0A94" w14:paraId="6423CA12" w14:textId="77777777">
            <w:pPr>
              <w:autoSpaceDE w:val="0"/>
              <w:autoSpaceDN w:val="0"/>
              <w:adjustRightInd w:val="0"/>
              <w:jc w:val="center"/>
              <w:rPr>
                <w:sz w:val="20"/>
                <w:szCs w:val="20"/>
              </w:rPr>
            </w:pPr>
            <w:r w:rsidRPr="005C76C9">
              <w:rPr>
                <w:sz w:val="20"/>
                <w:szCs w:val="20"/>
              </w:rPr>
              <w:t>N23C</w:t>
            </w:r>
          </w:p>
        </w:tc>
        <w:tc>
          <w:tcPr>
            <w:tcW w:w="1642" w:type="dxa"/>
            <w:vAlign w:val="center"/>
          </w:tcPr>
          <w:p w:rsidR="00BD0234" w:rsidRPr="005C76C9" w:rsidP="00BB0A94" w14:paraId="4C0BFD4A" w14:textId="77777777">
            <w:pPr>
              <w:autoSpaceDE w:val="0"/>
              <w:autoSpaceDN w:val="0"/>
              <w:adjustRightInd w:val="0"/>
              <w:jc w:val="center"/>
              <w:rPr>
                <w:sz w:val="20"/>
                <w:szCs w:val="20"/>
              </w:rPr>
            </w:pPr>
            <w:r w:rsidRPr="005C76C9">
              <w:rPr>
                <w:sz w:val="20"/>
                <w:szCs w:val="20"/>
              </w:rPr>
              <w:t>1,790,423</w:t>
            </w:r>
          </w:p>
        </w:tc>
      </w:tr>
      <w:tr w14:paraId="3EA27453" w14:textId="77777777" w:rsidTr="001E6B95">
        <w:tblPrEx>
          <w:tblW w:w="0" w:type="auto"/>
          <w:tblLook w:val="04A0"/>
        </w:tblPrEx>
        <w:tc>
          <w:tcPr>
            <w:tcW w:w="968" w:type="dxa"/>
            <w:vAlign w:val="center"/>
          </w:tcPr>
          <w:p w:rsidR="00BD0234" w:rsidRPr="005C76C9" w:rsidP="00BB0A94" w14:paraId="524BA446" w14:textId="77777777">
            <w:pPr>
              <w:autoSpaceDE w:val="0"/>
              <w:autoSpaceDN w:val="0"/>
              <w:adjustRightInd w:val="0"/>
              <w:jc w:val="center"/>
              <w:rPr>
                <w:sz w:val="20"/>
                <w:szCs w:val="20"/>
              </w:rPr>
            </w:pPr>
            <w:r w:rsidRPr="005C76C9">
              <w:rPr>
                <w:sz w:val="20"/>
                <w:szCs w:val="20"/>
              </w:rPr>
              <w:t>N23D</w:t>
            </w:r>
          </w:p>
        </w:tc>
        <w:tc>
          <w:tcPr>
            <w:tcW w:w="1642" w:type="dxa"/>
            <w:vAlign w:val="center"/>
          </w:tcPr>
          <w:p w:rsidR="00BD0234" w:rsidRPr="005C76C9" w:rsidP="00BB0A94" w14:paraId="3AEA03D9" w14:textId="77777777">
            <w:pPr>
              <w:autoSpaceDE w:val="0"/>
              <w:autoSpaceDN w:val="0"/>
              <w:adjustRightInd w:val="0"/>
              <w:jc w:val="center"/>
              <w:rPr>
                <w:sz w:val="20"/>
                <w:szCs w:val="20"/>
              </w:rPr>
            </w:pPr>
            <w:r w:rsidRPr="005C76C9">
              <w:rPr>
                <w:sz w:val="20"/>
                <w:szCs w:val="20"/>
              </w:rPr>
              <w:t>1,866,204</w:t>
            </w:r>
          </w:p>
        </w:tc>
      </w:tr>
      <w:tr w14:paraId="4CAE4462" w14:textId="77777777" w:rsidTr="001E6B95">
        <w:tblPrEx>
          <w:tblW w:w="0" w:type="auto"/>
          <w:tblLook w:val="04A0"/>
        </w:tblPrEx>
        <w:tc>
          <w:tcPr>
            <w:tcW w:w="968" w:type="dxa"/>
            <w:vAlign w:val="center"/>
          </w:tcPr>
          <w:p w:rsidR="00BD0234" w:rsidRPr="005C76C9" w:rsidP="00BB0A94" w14:paraId="79555B7B" w14:textId="77777777">
            <w:pPr>
              <w:autoSpaceDE w:val="0"/>
              <w:autoSpaceDN w:val="0"/>
              <w:adjustRightInd w:val="0"/>
              <w:jc w:val="center"/>
              <w:rPr>
                <w:sz w:val="20"/>
                <w:szCs w:val="20"/>
              </w:rPr>
            </w:pPr>
            <w:r w:rsidRPr="005C76C9">
              <w:rPr>
                <w:sz w:val="20"/>
                <w:szCs w:val="20"/>
              </w:rPr>
              <w:t>N23F</w:t>
            </w:r>
          </w:p>
        </w:tc>
        <w:tc>
          <w:tcPr>
            <w:tcW w:w="1642" w:type="dxa"/>
            <w:vAlign w:val="center"/>
          </w:tcPr>
          <w:p w:rsidR="00BD0234" w:rsidRPr="005C76C9" w:rsidP="00BB0A94" w14:paraId="5AA37AE3" w14:textId="77777777">
            <w:pPr>
              <w:autoSpaceDE w:val="0"/>
              <w:autoSpaceDN w:val="0"/>
              <w:adjustRightInd w:val="0"/>
              <w:jc w:val="center"/>
              <w:rPr>
                <w:sz w:val="20"/>
                <w:szCs w:val="20"/>
              </w:rPr>
            </w:pPr>
            <w:r w:rsidRPr="005C76C9">
              <w:rPr>
                <w:sz w:val="20"/>
                <w:szCs w:val="20"/>
              </w:rPr>
              <w:t>1,374,551</w:t>
            </w:r>
          </w:p>
        </w:tc>
      </w:tr>
      <w:tr w14:paraId="577F1377" w14:textId="77777777" w:rsidTr="001E6B95">
        <w:tblPrEx>
          <w:tblW w:w="0" w:type="auto"/>
          <w:tblLook w:val="04A0"/>
        </w:tblPrEx>
        <w:tc>
          <w:tcPr>
            <w:tcW w:w="968" w:type="dxa"/>
            <w:vAlign w:val="center"/>
          </w:tcPr>
          <w:p w:rsidR="00BD0234" w:rsidRPr="005C76C9" w:rsidP="00BB0A94" w14:paraId="54824F59" w14:textId="77777777">
            <w:pPr>
              <w:autoSpaceDE w:val="0"/>
              <w:autoSpaceDN w:val="0"/>
              <w:adjustRightInd w:val="0"/>
              <w:jc w:val="center"/>
              <w:rPr>
                <w:sz w:val="20"/>
                <w:szCs w:val="20"/>
              </w:rPr>
            </w:pPr>
            <w:r w:rsidRPr="005C76C9">
              <w:rPr>
                <w:sz w:val="20"/>
                <w:szCs w:val="20"/>
              </w:rPr>
              <w:t>N23I</w:t>
            </w:r>
          </w:p>
        </w:tc>
        <w:tc>
          <w:tcPr>
            <w:tcW w:w="1642" w:type="dxa"/>
            <w:vAlign w:val="center"/>
          </w:tcPr>
          <w:p w:rsidR="00BD0234" w:rsidRPr="005C76C9" w:rsidP="00BB0A94" w14:paraId="262AEAD1" w14:textId="77777777">
            <w:pPr>
              <w:autoSpaceDE w:val="0"/>
              <w:autoSpaceDN w:val="0"/>
              <w:adjustRightInd w:val="0"/>
              <w:jc w:val="center"/>
              <w:rPr>
                <w:sz w:val="20"/>
                <w:szCs w:val="20"/>
              </w:rPr>
            </w:pPr>
            <w:r w:rsidRPr="005C76C9">
              <w:rPr>
                <w:sz w:val="20"/>
                <w:szCs w:val="20"/>
              </w:rPr>
              <w:t>2,711,006</w:t>
            </w:r>
          </w:p>
        </w:tc>
      </w:tr>
      <w:tr w14:paraId="4A544942" w14:textId="77777777" w:rsidTr="001E6B95">
        <w:tblPrEx>
          <w:tblW w:w="0" w:type="auto"/>
          <w:tblLook w:val="04A0"/>
        </w:tblPrEx>
        <w:tc>
          <w:tcPr>
            <w:tcW w:w="968" w:type="dxa"/>
            <w:vAlign w:val="center"/>
          </w:tcPr>
          <w:p w:rsidR="00BD0234" w:rsidRPr="005C76C9" w:rsidP="00BB0A94" w14:paraId="411A9745" w14:textId="77777777">
            <w:pPr>
              <w:autoSpaceDE w:val="0"/>
              <w:autoSpaceDN w:val="0"/>
              <w:adjustRightInd w:val="0"/>
              <w:jc w:val="center"/>
              <w:rPr>
                <w:sz w:val="20"/>
                <w:szCs w:val="20"/>
              </w:rPr>
            </w:pPr>
            <w:r w:rsidRPr="005C76C9">
              <w:rPr>
                <w:sz w:val="20"/>
                <w:szCs w:val="20"/>
              </w:rPr>
              <w:t>N23J</w:t>
            </w:r>
          </w:p>
        </w:tc>
        <w:tc>
          <w:tcPr>
            <w:tcW w:w="1642" w:type="dxa"/>
            <w:vAlign w:val="center"/>
          </w:tcPr>
          <w:p w:rsidR="00BD0234" w:rsidRPr="005C76C9" w:rsidP="00BB0A94" w14:paraId="342A0025" w14:textId="77777777">
            <w:pPr>
              <w:autoSpaceDE w:val="0"/>
              <w:autoSpaceDN w:val="0"/>
              <w:adjustRightInd w:val="0"/>
              <w:jc w:val="center"/>
              <w:rPr>
                <w:sz w:val="20"/>
                <w:szCs w:val="20"/>
              </w:rPr>
            </w:pPr>
            <w:r w:rsidRPr="005C76C9">
              <w:rPr>
                <w:sz w:val="20"/>
                <w:szCs w:val="20"/>
              </w:rPr>
              <w:t>1,172,495</w:t>
            </w:r>
          </w:p>
        </w:tc>
      </w:tr>
      <w:tr w14:paraId="41CE4A2C" w14:textId="77777777" w:rsidTr="001E6B95">
        <w:tblPrEx>
          <w:tblW w:w="0" w:type="auto"/>
          <w:tblLook w:val="04A0"/>
        </w:tblPrEx>
        <w:tc>
          <w:tcPr>
            <w:tcW w:w="968" w:type="dxa"/>
            <w:vAlign w:val="center"/>
          </w:tcPr>
          <w:p w:rsidR="00BD0234" w:rsidRPr="005C76C9" w:rsidP="00BB0A94" w14:paraId="1E8B3D33" w14:textId="77777777">
            <w:pPr>
              <w:autoSpaceDE w:val="0"/>
              <w:autoSpaceDN w:val="0"/>
              <w:adjustRightInd w:val="0"/>
              <w:jc w:val="center"/>
              <w:rPr>
                <w:sz w:val="20"/>
                <w:szCs w:val="20"/>
              </w:rPr>
            </w:pPr>
            <w:r w:rsidRPr="005C76C9">
              <w:rPr>
                <w:sz w:val="20"/>
                <w:szCs w:val="20"/>
              </w:rPr>
              <w:t>N23K</w:t>
            </w:r>
          </w:p>
        </w:tc>
        <w:tc>
          <w:tcPr>
            <w:tcW w:w="1642" w:type="dxa"/>
            <w:vAlign w:val="center"/>
          </w:tcPr>
          <w:p w:rsidR="00BD0234" w:rsidRPr="005C76C9" w:rsidP="00BB0A94" w14:paraId="5EB7874C" w14:textId="77777777">
            <w:pPr>
              <w:autoSpaceDE w:val="0"/>
              <w:autoSpaceDN w:val="0"/>
              <w:adjustRightInd w:val="0"/>
              <w:jc w:val="center"/>
              <w:rPr>
                <w:sz w:val="20"/>
                <w:szCs w:val="20"/>
              </w:rPr>
            </w:pPr>
            <w:r w:rsidRPr="005C76C9">
              <w:rPr>
                <w:sz w:val="20"/>
                <w:szCs w:val="20"/>
              </w:rPr>
              <w:t>1,882,500</w:t>
            </w:r>
          </w:p>
        </w:tc>
      </w:tr>
      <w:tr w14:paraId="2E72B283" w14:textId="77777777" w:rsidTr="001E6B95">
        <w:tblPrEx>
          <w:tblW w:w="0" w:type="auto"/>
          <w:tblLook w:val="04A0"/>
        </w:tblPrEx>
        <w:tc>
          <w:tcPr>
            <w:tcW w:w="968" w:type="dxa"/>
            <w:vAlign w:val="center"/>
          </w:tcPr>
          <w:p w:rsidR="00BD0234" w:rsidRPr="005C76C9" w:rsidP="00BB0A94" w14:paraId="2200527A" w14:textId="77777777">
            <w:pPr>
              <w:autoSpaceDE w:val="0"/>
              <w:autoSpaceDN w:val="0"/>
              <w:adjustRightInd w:val="0"/>
              <w:jc w:val="center"/>
              <w:rPr>
                <w:sz w:val="20"/>
                <w:szCs w:val="20"/>
              </w:rPr>
            </w:pPr>
            <w:r w:rsidRPr="005C76C9">
              <w:rPr>
                <w:sz w:val="20"/>
                <w:szCs w:val="20"/>
              </w:rPr>
              <w:t>N23L</w:t>
            </w:r>
          </w:p>
        </w:tc>
        <w:tc>
          <w:tcPr>
            <w:tcW w:w="1642" w:type="dxa"/>
            <w:vAlign w:val="center"/>
          </w:tcPr>
          <w:p w:rsidR="00BD0234" w:rsidRPr="005C76C9" w:rsidP="00BB0A94" w14:paraId="0168D9A8" w14:textId="77777777">
            <w:pPr>
              <w:autoSpaceDE w:val="0"/>
              <w:autoSpaceDN w:val="0"/>
              <w:adjustRightInd w:val="0"/>
              <w:jc w:val="center"/>
              <w:rPr>
                <w:sz w:val="20"/>
                <w:szCs w:val="20"/>
              </w:rPr>
            </w:pPr>
            <w:r w:rsidRPr="005C76C9">
              <w:rPr>
                <w:sz w:val="20"/>
                <w:szCs w:val="20"/>
              </w:rPr>
              <w:t>1,174,544</w:t>
            </w:r>
          </w:p>
        </w:tc>
      </w:tr>
      <w:tr w14:paraId="0C2B0B2F" w14:textId="77777777" w:rsidTr="001E6B95">
        <w:tblPrEx>
          <w:tblW w:w="0" w:type="auto"/>
          <w:tblLook w:val="04A0"/>
        </w:tblPrEx>
        <w:tc>
          <w:tcPr>
            <w:tcW w:w="968" w:type="dxa"/>
            <w:vAlign w:val="center"/>
          </w:tcPr>
          <w:p w:rsidR="00BD0234" w:rsidRPr="005C76C9" w:rsidP="00BB0A94" w14:paraId="01371314" w14:textId="77777777">
            <w:pPr>
              <w:autoSpaceDE w:val="0"/>
              <w:autoSpaceDN w:val="0"/>
              <w:adjustRightInd w:val="0"/>
              <w:jc w:val="center"/>
              <w:rPr>
                <w:sz w:val="20"/>
                <w:szCs w:val="20"/>
              </w:rPr>
            </w:pPr>
            <w:r w:rsidRPr="005C76C9">
              <w:rPr>
                <w:sz w:val="20"/>
                <w:szCs w:val="20"/>
              </w:rPr>
              <w:t>N24D</w:t>
            </w:r>
          </w:p>
        </w:tc>
        <w:tc>
          <w:tcPr>
            <w:tcW w:w="1642" w:type="dxa"/>
            <w:vAlign w:val="center"/>
          </w:tcPr>
          <w:p w:rsidR="00BD0234" w:rsidRPr="005C76C9" w:rsidP="00BB0A94" w14:paraId="38E389D2" w14:textId="77777777">
            <w:pPr>
              <w:autoSpaceDE w:val="0"/>
              <w:autoSpaceDN w:val="0"/>
              <w:adjustRightInd w:val="0"/>
              <w:jc w:val="center"/>
              <w:rPr>
                <w:sz w:val="20"/>
                <w:szCs w:val="20"/>
              </w:rPr>
            </w:pPr>
            <w:r w:rsidRPr="005C76C9">
              <w:rPr>
                <w:sz w:val="20"/>
                <w:szCs w:val="20"/>
              </w:rPr>
              <w:t>2,033,312</w:t>
            </w:r>
          </w:p>
        </w:tc>
      </w:tr>
      <w:tr w14:paraId="2A75FD1F" w14:textId="77777777" w:rsidTr="001E6B95">
        <w:tblPrEx>
          <w:tblW w:w="0" w:type="auto"/>
          <w:tblLook w:val="04A0"/>
        </w:tblPrEx>
        <w:tc>
          <w:tcPr>
            <w:tcW w:w="968" w:type="dxa"/>
            <w:vAlign w:val="center"/>
          </w:tcPr>
          <w:p w:rsidR="00BD0234" w:rsidRPr="005C76C9" w:rsidP="00BB0A94" w14:paraId="6A58AEC9" w14:textId="77777777">
            <w:pPr>
              <w:autoSpaceDE w:val="0"/>
              <w:autoSpaceDN w:val="0"/>
              <w:adjustRightInd w:val="0"/>
              <w:jc w:val="center"/>
              <w:rPr>
                <w:sz w:val="20"/>
                <w:szCs w:val="20"/>
              </w:rPr>
            </w:pPr>
            <w:r w:rsidRPr="005C76C9">
              <w:rPr>
                <w:sz w:val="20"/>
                <w:szCs w:val="20"/>
              </w:rPr>
              <w:t>N24E</w:t>
            </w:r>
          </w:p>
        </w:tc>
        <w:tc>
          <w:tcPr>
            <w:tcW w:w="1642" w:type="dxa"/>
            <w:vAlign w:val="center"/>
          </w:tcPr>
          <w:p w:rsidR="00BD0234" w:rsidRPr="005C76C9" w:rsidP="00BB0A94" w14:paraId="6736555F" w14:textId="77777777">
            <w:pPr>
              <w:autoSpaceDE w:val="0"/>
              <w:autoSpaceDN w:val="0"/>
              <w:adjustRightInd w:val="0"/>
              <w:jc w:val="center"/>
              <w:rPr>
                <w:sz w:val="20"/>
                <w:szCs w:val="20"/>
              </w:rPr>
            </w:pPr>
            <w:r w:rsidRPr="005C76C9">
              <w:rPr>
                <w:sz w:val="20"/>
                <w:szCs w:val="20"/>
              </w:rPr>
              <w:t>1,014,026</w:t>
            </w:r>
          </w:p>
        </w:tc>
      </w:tr>
      <w:tr w14:paraId="68DB7FF8" w14:textId="77777777" w:rsidTr="001E6B95">
        <w:tblPrEx>
          <w:tblW w:w="0" w:type="auto"/>
          <w:tblLook w:val="04A0"/>
        </w:tblPrEx>
        <w:tc>
          <w:tcPr>
            <w:tcW w:w="968" w:type="dxa"/>
            <w:vAlign w:val="center"/>
          </w:tcPr>
          <w:p w:rsidR="00BD0234" w:rsidRPr="005C76C9" w:rsidP="00BB0A94" w14:paraId="0B7C5F6A" w14:textId="77777777">
            <w:pPr>
              <w:autoSpaceDE w:val="0"/>
              <w:autoSpaceDN w:val="0"/>
              <w:adjustRightInd w:val="0"/>
              <w:jc w:val="center"/>
              <w:rPr>
                <w:sz w:val="20"/>
                <w:szCs w:val="20"/>
              </w:rPr>
            </w:pPr>
            <w:r w:rsidRPr="005C76C9">
              <w:rPr>
                <w:sz w:val="20"/>
                <w:szCs w:val="20"/>
              </w:rPr>
              <w:t>N24F</w:t>
            </w:r>
          </w:p>
        </w:tc>
        <w:tc>
          <w:tcPr>
            <w:tcW w:w="1642" w:type="dxa"/>
            <w:vAlign w:val="center"/>
          </w:tcPr>
          <w:p w:rsidR="00BD0234" w:rsidRPr="005C76C9" w:rsidP="00BB0A94" w14:paraId="3D650E1F" w14:textId="77777777">
            <w:pPr>
              <w:autoSpaceDE w:val="0"/>
              <w:autoSpaceDN w:val="0"/>
              <w:adjustRightInd w:val="0"/>
              <w:jc w:val="center"/>
              <w:rPr>
                <w:sz w:val="20"/>
                <w:szCs w:val="20"/>
              </w:rPr>
            </w:pPr>
            <w:r w:rsidRPr="005C76C9">
              <w:rPr>
                <w:sz w:val="20"/>
                <w:szCs w:val="20"/>
              </w:rPr>
              <w:t>2,226,429</w:t>
            </w:r>
          </w:p>
        </w:tc>
      </w:tr>
      <w:tr w14:paraId="69511BED" w14:textId="77777777" w:rsidTr="001E6B95">
        <w:tblPrEx>
          <w:tblW w:w="0" w:type="auto"/>
          <w:tblLook w:val="04A0"/>
        </w:tblPrEx>
        <w:tc>
          <w:tcPr>
            <w:tcW w:w="968" w:type="dxa"/>
            <w:vAlign w:val="center"/>
          </w:tcPr>
          <w:p w:rsidR="00BD0234" w:rsidRPr="005C76C9" w:rsidP="00BB0A94" w14:paraId="47C93C96" w14:textId="77777777">
            <w:pPr>
              <w:autoSpaceDE w:val="0"/>
              <w:autoSpaceDN w:val="0"/>
              <w:adjustRightInd w:val="0"/>
              <w:jc w:val="center"/>
              <w:rPr>
                <w:sz w:val="20"/>
                <w:szCs w:val="20"/>
              </w:rPr>
            </w:pPr>
            <w:r w:rsidRPr="005C76C9">
              <w:rPr>
                <w:sz w:val="20"/>
                <w:szCs w:val="20"/>
              </w:rPr>
              <w:t>N35F</w:t>
            </w:r>
          </w:p>
        </w:tc>
        <w:tc>
          <w:tcPr>
            <w:tcW w:w="1642" w:type="dxa"/>
            <w:vAlign w:val="center"/>
          </w:tcPr>
          <w:p w:rsidR="00BD0234" w:rsidRPr="005C76C9" w:rsidP="00BB0A94" w14:paraId="0E262B20" w14:textId="77777777">
            <w:pPr>
              <w:autoSpaceDE w:val="0"/>
              <w:autoSpaceDN w:val="0"/>
              <w:adjustRightInd w:val="0"/>
              <w:jc w:val="center"/>
              <w:rPr>
                <w:sz w:val="20"/>
                <w:szCs w:val="20"/>
              </w:rPr>
            </w:pPr>
            <w:r w:rsidRPr="005C76C9">
              <w:rPr>
                <w:sz w:val="20"/>
                <w:szCs w:val="20"/>
              </w:rPr>
              <w:t>2,311,095</w:t>
            </w:r>
          </w:p>
        </w:tc>
      </w:tr>
      <w:tr w14:paraId="6C100C3A" w14:textId="77777777" w:rsidTr="001E6B95">
        <w:tblPrEx>
          <w:tblW w:w="0" w:type="auto"/>
          <w:tblLook w:val="04A0"/>
        </w:tblPrEx>
        <w:tc>
          <w:tcPr>
            <w:tcW w:w="968" w:type="dxa"/>
            <w:vAlign w:val="center"/>
          </w:tcPr>
          <w:p w:rsidR="00BD0234" w:rsidRPr="005C76C9" w:rsidP="00BB0A94" w14:paraId="67A940DE" w14:textId="77777777">
            <w:pPr>
              <w:autoSpaceDE w:val="0"/>
              <w:autoSpaceDN w:val="0"/>
              <w:adjustRightInd w:val="0"/>
              <w:jc w:val="center"/>
              <w:rPr>
                <w:sz w:val="20"/>
                <w:szCs w:val="20"/>
              </w:rPr>
            </w:pPr>
            <w:r w:rsidRPr="005C76C9">
              <w:rPr>
                <w:sz w:val="20"/>
                <w:szCs w:val="20"/>
              </w:rPr>
              <w:t>N35G</w:t>
            </w:r>
          </w:p>
        </w:tc>
        <w:tc>
          <w:tcPr>
            <w:tcW w:w="1642" w:type="dxa"/>
            <w:vAlign w:val="center"/>
          </w:tcPr>
          <w:p w:rsidR="00BD0234" w:rsidRPr="005C76C9" w:rsidP="00BB0A94" w14:paraId="632A6275" w14:textId="77777777">
            <w:pPr>
              <w:autoSpaceDE w:val="0"/>
              <w:autoSpaceDN w:val="0"/>
              <w:adjustRightInd w:val="0"/>
              <w:jc w:val="center"/>
              <w:rPr>
                <w:sz w:val="20"/>
                <w:szCs w:val="20"/>
              </w:rPr>
            </w:pPr>
            <w:r w:rsidRPr="005C76C9">
              <w:rPr>
                <w:sz w:val="20"/>
                <w:szCs w:val="20"/>
              </w:rPr>
              <w:t>1,886,609</w:t>
            </w:r>
          </w:p>
        </w:tc>
      </w:tr>
      <w:tr w14:paraId="4762140C" w14:textId="77777777" w:rsidTr="001E6B95">
        <w:tblPrEx>
          <w:tblW w:w="0" w:type="auto"/>
          <w:tblLook w:val="04A0"/>
        </w:tblPrEx>
        <w:tc>
          <w:tcPr>
            <w:tcW w:w="968" w:type="dxa"/>
            <w:vAlign w:val="center"/>
          </w:tcPr>
          <w:p w:rsidR="00BD0234" w:rsidRPr="005C76C9" w:rsidP="00BB0A94" w14:paraId="3EB1F239" w14:textId="77777777">
            <w:pPr>
              <w:autoSpaceDE w:val="0"/>
              <w:autoSpaceDN w:val="0"/>
              <w:adjustRightInd w:val="0"/>
              <w:jc w:val="center"/>
              <w:rPr>
                <w:sz w:val="20"/>
                <w:szCs w:val="20"/>
              </w:rPr>
            </w:pPr>
            <w:r w:rsidRPr="005C76C9">
              <w:rPr>
                <w:sz w:val="20"/>
                <w:szCs w:val="20"/>
              </w:rPr>
              <w:t>N35H</w:t>
            </w:r>
          </w:p>
        </w:tc>
        <w:tc>
          <w:tcPr>
            <w:tcW w:w="1642" w:type="dxa"/>
            <w:vAlign w:val="center"/>
          </w:tcPr>
          <w:p w:rsidR="00BD0234" w:rsidRPr="005C76C9" w:rsidP="00BB0A94" w14:paraId="4BA656F0" w14:textId="77777777">
            <w:pPr>
              <w:autoSpaceDE w:val="0"/>
              <w:autoSpaceDN w:val="0"/>
              <w:adjustRightInd w:val="0"/>
              <w:jc w:val="center"/>
              <w:rPr>
                <w:sz w:val="20"/>
                <w:szCs w:val="20"/>
              </w:rPr>
            </w:pPr>
            <w:r w:rsidRPr="005C76C9">
              <w:rPr>
                <w:sz w:val="20"/>
                <w:szCs w:val="20"/>
              </w:rPr>
              <w:t>1,372,937</w:t>
            </w:r>
          </w:p>
        </w:tc>
      </w:tr>
      <w:tr w14:paraId="6A92FC52" w14:textId="77777777" w:rsidTr="001E6B95">
        <w:tblPrEx>
          <w:tblW w:w="0" w:type="auto"/>
          <w:tblLook w:val="04A0"/>
        </w:tblPrEx>
        <w:tc>
          <w:tcPr>
            <w:tcW w:w="968" w:type="dxa"/>
            <w:vAlign w:val="center"/>
          </w:tcPr>
          <w:p w:rsidR="00BD0234" w:rsidRPr="005C76C9" w:rsidP="00BB0A94" w14:paraId="18A7E88D" w14:textId="77777777">
            <w:pPr>
              <w:autoSpaceDE w:val="0"/>
              <w:autoSpaceDN w:val="0"/>
              <w:adjustRightInd w:val="0"/>
              <w:jc w:val="center"/>
              <w:rPr>
                <w:sz w:val="20"/>
                <w:szCs w:val="20"/>
              </w:rPr>
            </w:pPr>
            <w:r w:rsidRPr="005C76C9">
              <w:rPr>
                <w:sz w:val="20"/>
                <w:szCs w:val="20"/>
              </w:rPr>
              <w:t>N35I</w:t>
            </w:r>
          </w:p>
        </w:tc>
        <w:tc>
          <w:tcPr>
            <w:tcW w:w="1642" w:type="dxa"/>
            <w:vAlign w:val="center"/>
          </w:tcPr>
          <w:p w:rsidR="00BD0234" w:rsidRPr="005C76C9" w:rsidP="00BB0A94" w14:paraId="7C913B0A" w14:textId="77777777">
            <w:pPr>
              <w:autoSpaceDE w:val="0"/>
              <w:autoSpaceDN w:val="0"/>
              <w:adjustRightInd w:val="0"/>
              <w:jc w:val="center"/>
              <w:rPr>
                <w:sz w:val="20"/>
                <w:szCs w:val="20"/>
              </w:rPr>
            </w:pPr>
            <w:r w:rsidRPr="005C76C9">
              <w:rPr>
                <w:sz w:val="20"/>
                <w:szCs w:val="20"/>
              </w:rPr>
              <w:t>2,188,172</w:t>
            </w:r>
          </w:p>
        </w:tc>
      </w:tr>
      <w:tr w14:paraId="57F3E42B" w14:textId="77777777" w:rsidTr="001E6B95">
        <w:tblPrEx>
          <w:tblW w:w="0" w:type="auto"/>
          <w:tblLook w:val="04A0"/>
        </w:tblPrEx>
        <w:tc>
          <w:tcPr>
            <w:tcW w:w="968" w:type="dxa"/>
            <w:vAlign w:val="center"/>
          </w:tcPr>
          <w:p w:rsidR="00BD0234" w:rsidRPr="005C76C9" w:rsidP="00BB0A94" w14:paraId="23E6C236" w14:textId="77777777">
            <w:pPr>
              <w:autoSpaceDE w:val="0"/>
              <w:autoSpaceDN w:val="0"/>
              <w:adjustRightInd w:val="0"/>
              <w:jc w:val="center"/>
              <w:rPr>
                <w:sz w:val="20"/>
                <w:szCs w:val="20"/>
              </w:rPr>
            </w:pPr>
            <w:r w:rsidRPr="005C76C9">
              <w:rPr>
                <w:sz w:val="20"/>
                <w:szCs w:val="20"/>
              </w:rPr>
              <w:t>N35L</w:t>
            </w:r>
          </w:p>
        </w:tc>
        <w:tc>
          <w:tcPr>
            <w:tcW w:w="1642" w:type="dxa"/>
            <w:vAlign w:val="center"/>
          </w:tcPr>
          <w:p w:rsidR="00BD0234" w:rsidRPr="005C76C9" w:rsidP="00BB0A94" w14:paraId="66B56516" w14:textId="77777777">
            <w:pPr>
              <w:autoSpaceDE w:val="0"/>
              <w:autoSpaceDN w:val="0"/>
              <w:adjustRightInd w:val="0"/>
              <w:jc w:val="center"/>
              <w:rPr>
                <w:sz w:val="20"/>
                <w:szCs w:val="20"/>
              </w:rPr>
            </w:pPr>
            <w:r w:rsidRPr="005C76C9">
              <w:rPr>
                <w:sz w:val="20"/>
                <w:szCs w:val="20"/>
              </w:rPr>
              <w:t>1,734,422</w:t>
            </w:r>
          </w:p>
        </w:tc>
      </w:tr>
      <w:tr w14:paraId="666599DA" w14:textId="77777777" w:rsidTr="001E6B95">
        <w:tblPrEx>
          <w:tblW w:w="0" w:type="auto"/>
          <w:tblLook w:val="04A0"/>
        </w:tblPrEx>
        <w:tc>
          <w:tcPr>
            <w:tcW w:w="968" w:type="dxa"/>
            <w:vAlign w:val="center"/>
          </w:tcPr>
          <w:p w:rsidR="00BD0234" w:rsidRPr="005C76C9" w:rsidP="00BB0A94" w14:paraId="42852408" w14:textId="77777777">
            <w:pPr>
              <w:autoSpaceDE w:val="0"/>
              <w:autoSpaceDN w:val="0"/>
              <w:adjustRightInd w:val="0"/>
              <w:jc w:val="center"/>
              <w:rPr>
                <w:sz w:val="20"/>
                <w:szCs w:val="20"/>
              </w:rPr>
            </w:pPr>
            <w:r w:rsidRPr="005C76C9">
              <w:rPr>
                <w:sz w:val="20"/>
                <w:szCs w:val="20"/>
              </w:rPr>
              <w:t>N35N</w:t>
            </w:r>
          </w:p>
        </w:tc>
        <w:tc>
          <w:tcPr>
            <w:tcW w:w="1642" w:type="dxa"/>
            <w:vAlign w:val="center"/>
          </w:tcPr>
          <w:p w:rsidR="00BD0234" w:rsidRPr="005C76C9" w:rsidP="00BB0A94" w14:paraId="08C41BA7" w14:textId="77777777">
            <w:pPr>
              <w:autoSpaceDE w:val="0"/>
              <w:autoSpaceDN w:val="0"/>
              <w:adjustRightInd w:val="0"/>
              <w:jc w:val="center"/>
              <w:rPr>
                <w:sz w:val="20"/>
                <w:szCs w:val="20"/>
              </w:rPr>
            </w:pPr>
            <w:r w:rsidRPr="005C76C9">
              <w:rPr>
                <w:sz w:val="20"/>
                <w:szCs w:val="20"/>
              </w:rPr>
              <w:t>1,067,285</w:t>
            </w:r>
          </w:p>
        </w:tc>
      </w:tr>
      <w:tr w14:paraId="4E46AE8A" w14:textId="77777777" w:rsidTr="001E6B95">
        <w:tblPrEx>
          <w:tblW w:w="0" w:type="auto"/>
          <w:tblLook w:val="04A0"/>
        </w:tblPrEx>
        <w:tc>
          <w:tcPr>
            <w:tcW w:w="968" w:type="dxa"/>
            <w:vAlign w:val="center"/>
          </w:tcPr>
          <w:p w:rsidR="00BD0234" w:rsidRPr="005C76C9" w:rsidP="00BB0A94" w14:paraId="62CC2546" w14:textId="77777777">
            <w:pPr>
              <w:autoSpaceDE w:val="0"/>
              <w:autoSpaceDN w:val="0"/>
              <w:adjustRightInd w:val="0"/>
              <w:jc w:val="center"/>
              <w:rPr>
                <w:sz w:val="20"/>
                <w:szCs w:val="20"/>
              </w:rPr>
            </w:pPr>
            <w:r w:rsidRPr="005C76C9">
              <w:rPr>
                <w:sz w:val="20"/>
                <w:szCs w:val="20"/>
              </w:rPr>
              <w:t>N35P</w:t>
            </w:r>
          </w:p>
        </w:tc>
        <w:tc>
          <w:tcPr>
            <w:tcW w:w="1642" w:type="dxa"/>
            <w:vAlign w:val="center"/>
          </w:tcPr>
          <w:p w:rsidR="00BD0234" w:rsidRPr="005C76C9" w:rsidP="00BB0A94" w14:paraId="4CBEC98B" w14:textId="77777777">
            <w:pPr>
              <w:autoSpaceDE w:val="0"/>
              <w:autoSpaceDN w:val="0"/>
              <w:adjustRightInd w:val="0"/>
              <w:jc w:val="center"/>
              <w:rPr>
                <w:sz w:val="20"/>
                <w:szCs w:val="20"/>
              </w:rPr>
            </w:pPr>
            <w:r w:rsidRPr="005C76C9">
              <w:rPr>
                <w:sz w:val="20"/>
                <w:szCs w:val="20"/>
              </w:rPr>
              <w:t>1,169,124</w:t>
            </w:r>
          </w:p>
        </w:tc>
      </w:tr>
      <w:tr w14:paraId="1E77DF4E" w14:textId="77777777" w:rsidTr="001E6B95">
        <w:tblPrEx>
          <w:tblW w:w="0" w:type="auto"/>
          <w:tblLook w:val="04A0"/>
        </w:tblPrEx>
        <w:tc>
          <w:tcPr>
            <w:tcW w:w="968" w:type="dxa"/>
            <w:vAlign w:val="center"/>
          </w:tcPr>
          <w:p w:rsidR="00BD0234" w:rsidRPr="005C76C9" w:rsidP="00BB0A94" w14:paraId="08A2C432" w14:textId="77777777">
            <w:pPr>
              <w:autoSpaceDE w:val="0"/>
              <w:autoSpaceDN w:val="0"/>
              <w:adjustRightInd w:val="0"/>
              <w:jc w:val="center"/>
              <w:rPr>
                <w:sz w:val="20"/>
                <w:szCs w:val="20"/>
              </w:rPr>
            </w:pPr>
            <w:r w:rsidRPr="005C76C9">
              <w:rPr>
                <w:sz w:val="20"/>
                <w:szCs w:val="20"/>
              </w:rPr>
              <w:t>N35Q</w:t>
            </w:r>
          </w:p>
        </w:tc>
        <w:tc>
          <w:tcPr>
            <w:tcW w:w="1642" w:type="dxa"/>
            <w:vAlign w:val="center"/>
          </w:tcPr>
          <w:p w:rsidR="00BD0234" w:rsidRPr="005C76C9" w:rsidP="00BB0A94" w14:paraId="674D6065" w14:textId="77777777">
            <w:pPr>
              <w:autoSpaceDE w:val="0"/>
              <w:autoSpaceDN w:val="0"/>
              <w:adjustRightInd w:val="0"/>
              <w:jc w:val="center"/>
              <w:rPr>
                <w:sz w:val="20"/>
                <w:szCs w:val="20"/>
              </w:rPr>
            </w:pPr>
            <w:r w:rsidRPr="005C76C9">
              <w:rPr>
                <w:sz w:val="20"/>
                <w:szCs w:val="20"/>
              </w:rPr>
              <w:t>3,112,020</w:t>
            </w:r>
          </w:p>
        </w:tc>
      </w:tr>
      <w:tr w14:paraId="30EE61E9" w14:textId="77777777" w:rsidTr="001E6B95">
        <w:tblPrEx>
          <w:tblW w:w="0" w:type="auto"/>
          <w:tblLook w:val="04A0"/>
        </w:tblPrEx>
        <w:tc>
          <w:tcPr>
            <w:tcW w:w="968" w:type="dxa"/>
            <w:vAlign w:val="center"/>
          </w:tcPr>
          <w:p w:rsidR="00BD0234" w:rsidRPr="005C76C9" w:rsidP="00BB0A94" w14:paraId="77BE7A4A" w14:textId="77777777">
            <w:pPr>
              <w:autoSpaceDE w:val="0"/>
              <w:autoSpaceDN w:val="0"/>
              <w:adjustRightInd w:val="0"/>
              <w:jc w:val="center"/>
              <w:rPr>
                <w:sz w:val="20"/>
                <w:szCs w:val="20"/>
              </w:rPr>
            </w:pPr>
            <w:r w:rsidRPr="005C76C9">
              <w:rPr>
                <w:sz w:val="20"/>
                <w:szCs w:val="20"/>
              </w:rPr>
              <w:t>N35S</w:t>
            </w:r>
          </w:p>
        </w:tc>
        <w:tc>
          <w:tcPr>
            <w:tcW w:w="1642" w:type="dxa"/>
            <w:vAlign w:val="center"/>
          </w:tcPr>
          <w:p w:rsidR="00BD0234" w:rsidRPr="005C76C9" w:rsidP="00BB0A94" w14:paraId="6166699C" w14:textId="77777777">
            <w:pPr>
              <w:autoSpaceDE w:val="0"/>
              <w:autoSpaceDN w:val="0"/>
              <w:adjustRightInd w:val="0"/>
              <w:jc w:val="center"/>
              <w:rPr>
                <w:sz w:val="20"/>
                <w:szCs w:val="20"/>
              </w:rPr>
            </w:pPr>
            <w:r w:rsidRPr="005C76C9">
              <w:rPr>
                <w:sz w:val="20"/>
                <w:szCs w:val="20"/>
              </w:rPr>
              <w:t>560,416</w:t>
            </w:r>
          </w:p>
        </w:tc>
      </w:tr>
      <w:tr w14:paraId="4BF677A6" w14:textId="77777777" w:rsidTr="001E6B95">
        <w:tblPrEx>
          <w:tblW w:w="0" w:type="auto"/>
          <w:tblLook w:val="04A0"/>
        </w:tblPrEx>
        <w:tc>
          <w:tcPr>
            <w:tcW w:w="968" w:type="dxa"/>
            <w:vAlign w:val="center"/>
          </w:tcPr>
          <w:p w:rsidR="00BD0234" w:rsidRPr="005C76C9" w:rsidP="00BB0A94" w14:paraId="442EF220" w14:textId="77777777">
            <w:pPr>
              <w:autoSpaceDE w:val="0"/>
              <w:autoSpaceDN w:val="0"/>
              <w:adjustRightInd w:val="0"/>
              <w:jc w:val="center"/>
              <w:rPr>
                <w:sz w:val="20"/>
                <w:szCs w:val="20"/>
              </w:rPr>
            </w:pPr>
            <w:r w:rsidRPr="005C76C9">
              <w:rPr>
                <w:sz w:val="20"/>
                <w:szCs w:val="20"/>
              </w:rPr>
              <w:t>N36A</w:t>
            </w:r>
          </w:p>
        </w:tc>
        <w:tc>
          <w:tcPr>
            <w:tcW w:w="1642" w:type="dxa"/>
            <w:vAlign w:val="center"/>
          </w:tcPr>
          <w:p w:rsidR="00BD0234" w:rsidRPr="005C76C9" w:rsidP="00BB0A94" w14:paraId="580B7E3B" w14:textId="77777777">
            <w:pPr>
              <w:autoSpaceDE w:val="0"/>
              <w:autoSpaceDN w:val="0"/>
              <w:adjustRightInd w:val="0"/>
              <w:jc w:val="center"/>
              <w:rPr>
                <w:sz w:val="20"/>
                <w:szCs w:val="20"/>
              </w:rPr>
            </w:pPr>
            <w:r w:rsidRPr="005C76C9">
              <w:rPr>
                <w:sz w:val="20"/>
                <w:szCs w:val="20"/>
              </w:rPr>
              <w:t>1,579,995</w:t>
            </w:r>
          </w:p>
        </w:tc>
      </w:tr>
      <w:tr w14:paraId="065BD0FC" w14:textId="77777777" w:rsidTr="001E6B95">
        <w:tblPrEx>
          <w:tblW w:w="0" w:type="auto"/>
          <w:tblLook w:val="04A0"/>
        </w:tblPrEx>
        <w:tc>
          <w:tcPr>
            <w:tcW w:w="968" w:type="dxa"/>
            <w:vAlign w:val="center"/>
          </w:tcPr>
          <w:p w:rsidR="00BD0234" w:rsidRPr="005C76C9" w:rsidP="00BB0A94" w14:paraId="4958E974" w14:textId="77777777">
            <w:pPr>
              <w:autoSpaceDE w:val="0"/>
              <w:autoSpaceDN w:val="0"/>
              <w:adjustRightInd w:val="0"/>
              <w:jc w:val="center"/>
              <w:rPr>
                <w:sz w:val="20"/>
                <w:szCs w:val="20"/>
              </w:rPr>
            </w:pPr>
            <w:r w:rsidRPr="005C76C9">
              <w:rPr>
                <w:sz w:val="20"/>
                <w:szCs w:val="20"/>
              </w:rPr>
              <w:t>N36B</w:t>
            </w:r>
          </w:p>
        </w:tc>
        <w:tc>
          <w:tcPr>
            <w:tcW w:w="1642" w:type="dxa"/>
            <w:vAlign w:val="center"/>
          </w:tcPr>
          <w:p w:rsidR="00BD0234" w:rsidRPr="005C76C9" w:rsidP="00BB0A94" w14:paraId="7300F249" w14:textId="77777777">
            <w:pPr>
              <w:autoSpaceDE w:val="0"/>
              <w:autoSpaceDN w:val="0"/>
              <w:adjustRightInd w:val="0"/>
              <w:jc w:val="center"/>
              <w:rPr>
                <w:sz w:val="20"/>
                <w:szCs w:val="20"/>
              </w:rPr>
            </w:pPr>
            <w:r w:rsidRPr="005C76C9">
              <w:rPr>
                <w:sz w:val="20"/>
                <w:szCs w:val="20"/>
              </w:rPr>
              <w:t>1,809,475</w:t>
            </w:r>
          </w:p>
        </w:tc>
      </w:tr>
      <w:tr w14:paraId="6CD9B8BE" w14:textId="77777777" w:rsidTr="001E6B95">
        <w:tblPrEx>
          <w:tblW w:w="0" w:type="auto"/>
          <w:tblLook w:val="04A0"/>
        </w:tblPrEx>
        <w:tc>
          <w:tcPr>
            <w:tcW w:w="968" w:type="dxa"/>
            <w:vAlign w:val="center"/>
          </w:tcPr>
          <w:p w:rsidR="00BD0234" w:rsidRPr="005C76C9" w:rsidP="00BB0A94" w14:paraId="0B6D0DC5" w14:textId="77777777">
            <w:pPr>
              <w:autoSpaceDE w:val="0"/>
              <w:autoSpaceDN w:val="0"/>
              <w:adjustRightInd w:val="0"/>
              <w:jc w:val="center"/>
              <w:rPr>
                <w:sz w:val="20"/>
                <w:szCs w:val="20"/>
              </w:rPr>
            </w:pPr>
            <w:r w:rsidRPr="005C76C9">
              <w:rPr>
                <w:sz w:val="20"/>
                <w:szCs w:val="20"/>
              </w:rPr>
              <w:t>N36C</w:t>
            </w:r>
          </w:p>
        </w:tc>
        <w:tc>
          <w:tcPr>
            <w:tcW w:w="1642" w:type="dxa"/>
            <w:vAlign w:val="center"/>
          </w:tcPr>
          <w:p w:rsidR="00BD0234" w:rsidRPr="005C76C9" w:rsidP="00BB0A94" w14:paraId="71B5F736" w14:textId="77777777">
            <w:pPr>
              <w:autoSpaceDE w:val="0"/>
              <w:autoSpaceDN w:val="0"/>
              <w:adjustRightInd w:val="0"/>
              <w:jc w:val="center"/>
              <w:rPr>
                <w:sz w:val="20"/>
                <w:szCs w:val="20"/>
              </w:rPr>
            </w:pPr>
            <w:r w:rsidRPr="005C76C9">
              <w:rPr>
                <w:sz w:val="20"/>
                <w:szCs w:val="20"/>
              </w:rPr>
              <w:t>1,229,066</w:t>
            </w:r>
          </w:p>
        </w:tc>
      </w:tr>
      <w:tr w14:paraId="30C4ACFA" w14:textId="77777777" w:rsidTr="001E6B95">
        <w:tblPrEx>
          <w:tblW w:w="0" w:type="auto"/>
          <w:tblLook w:val="04A0"/>
        </w:tblPrEx>
        <w:tc>
          <w:tcPr>
            <w:tcW w:w="968" w:type="dxa"/>
            <w:vAlign w:val="center"/>
          </w:tcPr>
          <w:p w:rsidR="00BD0234" w:rsidRPr="005C76C9" w:rsidP="00BB0A94" w14:paraId="7791410A" w14:textId="77777777">
            <w:pPr>
              <w:autoSpaceDE w:val="0"/>
              <w:autoSpaceDN w:val="0"/>
              <w:adjustRightInd w:val="0"/>
              <w:jc w:val="center"/>
              <w:rPr>
                <w:sz w:val="20"/>
                <w:szCs w:val="20"/>
              </w:rPr>
            </w:pPr>
            <w:r w:rsidRPr="005C76C9">
              <w:rPr>
                <w:sz w:val="20"/>
                <w:szCs w:val="20"/>
              </w:rPr>
              <w:t>N36E</w:t>
            </w:r>
          </w:p>
        </w:tc>
        <w:tc>
          <w:tcPr>
            <w:tcW w:w="1642" w:type="dxa"/>
            <w:vAlign w:val="center"/>
          </w:tcPr>
          <w:p w:rsidR="00BD0234" w:rsidRPr="005C76C9" w:rsidP="00BB0A94" w14:paraId="1A790BC1" w14:textId="77777777">
            <w:pPr>
              <w:autoSpaceDE w:val="0"/>
              <w:autoSpaceDN w:val="0"/>
              <w:adjustRightInd w:val="0"/>
              <w:jc w:val="center"/>
              <w:rPr>
                <w:sz w:val="20"/>
                <w:szCs w:val="20"/>
              </w:rPr>
            </w:pPr>
            <w:r w:rsidRPr="005C76C9">
              <w:rPr>
                <w:sz w:val="20"/>
                <w:szCs w:val="20"/>
              </w:rPr>
              <w:t>2,232,359</w:t>
            </w:r>
          </w:p>
        </w:tc>
      </w:tr>
      <w:tr w14:paraId="299B737B" w14:textId="77777777" w:rsidTr="001E6B95">
        <w:tblPrEx>
          <w:tblW w:w="0" w:type="auto"/>
          <w:tblLook w:val="04A0"/>
        </w:tblPrEx>
        <w:tc>
          <w:tcPr>
            <w:tcW w:w="968" w:type="dxa"/>
            <w:vAlign w:val="center"/>
          </w:tcPr>
          <w:p w:rsidR="00BD0234" w:rsidRPr="005C76C9" w:rsidP="00BB0A94" w14:paraId="042CBFB3" w14:textId="77777777">
            <w:pPr>
              <w:autoSpaceDE w:val="0"/>
              <w:autoSpaceDN w:val="0"/>
              <w:adjustRightInd w:val="0"/>
              <w:jc w:val="center"/>
              <w:rPr>
                <w:sz w:val="20"/>
                <w:szCs w:val="20"/>
              </w:rPr>
            </w:pPr>
            <w:r w:rsidRPr="005C76C9">
              <w:rPr>
                <w:sz w:val="20"/>
                <w:szCs w:val="20"/>
              </w:rPr>
              <w:t>N37C</w:t>
            </w:r>
          </w:p>
        </w:tc>
        <w:tc>
          <w:tcPr>
            <w:tcW w:w="1642" w:type="dxa"/>
            <w:vAlign w:val="center"/>
          </w:tcPr>
          <w:p w:rsidR="00BD0234" w:rsidRPr="005C76C9" w:rsidP="00BB0A94" w14:paraId="43C2F771" w14:textId="77777777">
            <w:pPr>
              <w:autoSpaceDE w:val="0"/>
              <w:autoSpaceDN w:val="0"/>
              <w:adjustRightInd w:val="0"/>
              <w:jc w:val="center"/>
              <w:rPr>
                <w:sz w:val="20"/>
                <w:szCs w:val="20"/>
              </w:rPr>
            </w:pPr>
            <w:r w:rsidRPr="005C76C9">
              <w:rPr>
                <w:sz w:val="20"/>
                <w:szCs w:val="20"/>
              </w:rPr>
              <w:t>1,750,496</w:t>
            </w:r>
          </w:p>
        </w:tc>
      </w:tr>
      <w:tr w14:paraId="37E452A6" w14:textId="77777777" w:rsidTr="001E6B95">
        <w:tblPrEx>
          <w:tblW w:w="0" w:type="auto"/>
          <w:tblLook w:val="04A0"/>
        </w:tblPrEx>
        <w:tc>
          <w:tcPr>
            <w:tcW w:w="968" w:type="dxa"/>
            <w:vAlign w:val="center"/>
          </w:tcPr>
          <w:p w:rsidR="00BD0234" w:rsidRPr="005C76C9" w:rsidP="00BB0A94" w14:paraId="4BAA0FD2" w14:textId="77777777">
            <w:pPr>
              <w:autoSpaceDE w:val="0"/>
              <w:autoSpaceDN w:val="0"/>
              <w:adjustRightInd w:val="0"/>
              <w:jc w:val="center"/>
              <w:rPr>
                <w:sz w:val="20"/>
                <w:szCs w:val="20"/>
              </w:rPr>
            </w:pPr>
            <w:r w:rsidRPr="005C76C9">
              <w:rPr>
                <w:sz w:val="20"/>
                <w:szCs w:val="20"/>
              </w:rPr>
              <w:t>N37D</w:t>
            </w:r>
          </w:p>
        </w:tc>
        <w:tc>
          <w:tcPr>
            <w:tcW w:w="1642" w:type="dxa"/>
            <w:vAlign w:val="center"/>
          </w:tcPr>
          <w:p w:rsidR="00BD0234" w:rsidRPr="005C76C9" w:rsidP="00BB0A94" w14:paraId="562DD8D5" w14:textId="77777777">
            <w:pPr>
              <w:autoSpaceDE w:val="0"/>
              <w:autoSpaceDN w:val="0"/>
              <w:adjustRightInd w:val="0"/>
              <w:jc w:val="center"/>
              <w:rPr>
                <w:sz w:val="20"/>
                <w:szCs w:val="20"/>
              </w:rPr>
            </w:pPr>
            <w:r w:rsidRPr="005C76C9">
              <w:rPr>
                <w:sz w:val="20"/>
                <w:szCs w:val="20"/>
              </w:rPr>
              <w:t>2,171,520</w:t>
            </w:r>
          </w:p>
        </w:tc>
      </w:tr>
      <w:tr w14:paraId="01DFC7B0" w14:textId="77777777" w:rsidTr="001E6B95">
        <w:tblPrEx>
          <w:tblW w:w="0" w:type="auto"/>
          <w:tblLook w:val="04A0"/>
        </w:tblPrEx>
        <w:tc>
          <w:tcPr>
            <w:tcW w:w="968" w:type="dxa"/>
            <w:vAlign w:val="center"/>
          </w:tcPr>
          <w:p w:rsidR="00BD0234" w:rsidRPr="005C76C9" w:rsidP="00BB0A94" w14:paraId="4D437A07" w14:textId="77777777">
            <w:pPr>
              <w:autoSpaceDE w:val="0"/>
              <w:autoSpaceDN w:val="0"/>
              <w:adjustRightInd w:val="0"/>
              <w:jc w:val="center"/>
              <w:rPr>
                <w:sz w:val="20"/>
                <w:szCs w:val="20"/>
              </w:rPr>
            </w:pPr>
            <w:r w:rsidRPr="005C76C9">
              <w:rPr>
                <w:sz w:val="20"/>
                <w:szCs w:val="20"/>
              </w:rPr>
              <w:t>N37F</w:t>
            </w:r>
          </w:p>
        </w:tc>
        <w:tc>
          <w:tcPr>
            <w:tcW w:w="1642" w:type="dxa"/>
            <w:vAlign w:val="center"/>
          </w:tcPr>
          <w:p w:rsidR="00BD0234" w:rsidRPr="005C76C9" w:rsidP="00BB0A94" w14:paraId="30AD4293" w14:textId="77777777">
            <w:pPr>
              <w:autoSpaceDE w:val="0"/>
              <w:autoSpaceDN w:val="0"/>
              <w:adjustRightInd w:val="0"/>
              <w:jc w:val="center"/>
              <w:rPr>
                <w:sz w:val="20"/>
                <w:szCs w:val="20"/>
              </w:rPr>
            </w:pPr>
            <w:r w:rsidRPr="005C76C9">
              <w:rPr>
                <w:sz w:val="20"/>
                <w:szCs w:val="20"/>
              </w:rPr>
              <w:t>936,578</w:t>
            </w:r>
          </w:p>
        </w:tc>
      </w:tr>
      <w:tr w14:paraId="022145E4" w14:textId="77777777" w:rsidTr="001E6B95">
        <w:tblPrEx>
          <w:tblW w:w="0" w:type="auto"/>
          <w:tblLook w:val="04A0"/>
        </w:tblPrEx>
        <w:tc>
          <w:tcPr>
            <w:tcW w:w="968" w:type="dxa"/>
            <w:vAlign w:val="center"/>
          </w:tcPr>
          <w:p w:rsidR="00BD0234" w:rsidRPr="005C76C9" w:rsidP="00BB0A94" w14:paraId="00FC6CF4" w14:textId="77777777">
            <w:pPr>
              <w:autoSpaceDE w:val="0"/>
              <w:autoSpaceDN w:val="0"/>
              <w:adjustRightInd w:val="0"/>
              <w:jc w:val="center"/>
              <w:rPr>
                <w:sz w:val="20"/>
                <w:szCs w:val="20"/>
              </w:rPr>
            </w:pPr>
            <w:r w:rsidRPr="005C76C9">
              <w:rPr>
                <w:sz w:val="20"/>
                <w:szCs w:val="20"/>
              </w:rPr>
              <w:t>N37G</w:t>
            </w:r>
          </w:p>
        </w:tc>
        <w:tc>
          <w:tcPr>
            <w:tcW w:w="1642" w:type="dxa"/>
            <w:vAlign w:val="center"/>
          </w:tcPr>
          <w:p w:rsidR="00BD0234" w:rsidRPr="005C76C9" w:rsidP="00BB0A94" w14:paraId="6EEC8117" w14:textId="77777777">
            <w:pPr>
              <w:autoSpaceDE w:val="0"/>
              <w:autoSpaceDN w:val="0"/>
              <w:adjustRightInd w:val="0"/>
              <w:jc w:val="center"/>
              <w:rPr>
                <w:sz w:val="20"/>
                <w:szCs w:val="20"/>
              </w:rPr>
            </w:pPr>
            <w:r w:rsidRPr="005C76C9">
              <w:rPr>
                <w:sz w:val="20"/>
                <w:szCs w:val="20"/>
              </w:rPr>
              <w:t>938,766</w:t>
            </w:r>
          </w:p>
        </w:tc>
      </w:tr>
      <w:tr w14:paraId="0DB355FF" w14:textId="77777777" w:rsidTr="001E6B95">
        <w:tblPrEx>
          <w:tblW w:w="0" w:type="auto"/>
          <w:tblLook w:val="04A0"/>
        </w:tblPrEx>
        <w:tc>
          <w:tcPr>
            <w:tcW w:w="968" w:type="dxa"/>
            <w:vAlign w:val="center"/>
          </w:tcPr>
          <w:p w:rsidR="00BD0234" w:rsidRPr="005C76C9" w:rsidP="00BB0A94" w14:paraId="5182E9E9" w14:textId="77777777">
            <w:pPr>
              <w:autoSpaceDE w:val="0"/>
              <w:autoSpaceDN w:val="0"/>
              <w:adjustRightInd w:val="0"/>
              <w:jc w:val="center"/>
              <w:rPr>
                <w:sz w:val="20"/>
                <w:szCs w:val="20"/>
              </w:rPr>
            </w:pPr>
            <w:r w:rsidRPr="005C76C9">
              <w:rPr>
                <w:sz w:val="20"/>
                <w:szCs w:val="20"/>
              </w:rPr>
              <w:t>N37H</w:t>
            </w:r>
          </w:p>
        </w:tc>
        <w:tc>
          <w:tcPr>
            <w:tcW w:w="1642" w:type="dxa"/>
            <w:vAlign w:val="center"/>
          </w:tcPr>
          <w:p w:rsidR="00BD0234" w:rsidRPr="005C76C9" w:rsidP="00BB0A94" w14:paraId="26545E53" w14:textId="77777777">
            <w:pPr>
              <w:autoSpaceDE w:val="0"/>
              <w:autoSpaceDN w:val="0"/>
              <w:adjustRightInd w:val="0"/>
              <w:jc w:val="center"/>
              <w:rPr>
                <w:sz w:val="20"/>
                <w:szCs w:val="20"/>
              </w:rPr>
            </w:pPr>
            <w:r w:rsidRPr="005C76C9">
              <w:rPr>
                <w:sz w:val="20"/>
                <w:szCs w:val="20"/>
              </w:rPr>
              <w:t>1,473,230</w:t>
            </w:r>
          </w:p>
        </w:tc>
      </w:tr>
      <w:tr w14:paraId="08162534" w14:textId="77777777" w:rsidTr="001E6B95">
        <w:tblPrEx>
          <w:tblW w:w="0" w:type="auto"/>
          <w:tblLook w:val="04A0"/>
        </w:tblPrEx>
        <w:tc>
          <w:tcPr>
            <w:tcW w:w="968" w:type="dxa"/>
            <w:vAlign w:val="center"/>
          </w:tcPr>
          <w:p w:rsidR="00BD0234" w:rsidRPr="005C76C9" w:rsidP="00BB0A94" w14:paraId="33F6C1D3" w14:textId="77777777">
            <w:pPr>
              <w:autoSpaceDE w:val="0"/>
              <w:autoSpaceDN w:val="0"/>
              <w:adjustRightInd w:val="0"/>
              <w:jc w:val="center"/>
              <w:rPr>
                <w:sz w:val="20"/>
                <w:szCs w:val="20"/>
              </w:rPr>
            </w:pPr>
            <w:r w:rsidRPr="005C76C9">
              <w:rPr>
                <w:sz w:val="20"/>
                <w:szCs w:val="20"/>
              </w:rPr>
              <w:t>N37I</w:t>
            </w:r>
          </w:p>
        </w:tc>
        <w:tc>
          <w:tcPr>
            <w:tcW w:w="1642" w:type="dxa"/>
            <w:vAlign w:val="center"/>
          </w:tcPr>
          <w:p w:rsidR="00BD0234" w:rsidRPr="005C76C9" w:rsidP="00BB0A94" w14:paraId="1C76793F" w14:textId="77777777">
            <w:pPr>
              <w:autoSpaceDE w:val="0"/>
              <w:autoSpaceDN w:val="0"/>
              <w:adjustRightInd w:val="0"/>
              <w:jc w:val="center"/>
              <w:rPr>
                <w:sz w:val="20"/>
                <w:szCs w:val="20"/>
              </w:rPr>
            </w:pPr>
            <w:r w:rsidRPr="005C76C9">
              <w:rPr>
                <w:sz w:val="20"/>
                <w:szCs w:val="20"/>
              </w:rPr>
              <w:t>1,042,312</w:t>
            </w:r>
          </w:p>
        </w:tc>
      </w:tr>
      <w:tr w14:paraId="0F2CE275" w14:textId="77777777" w:rsidTr="001E6B95">
        <w:tblPrEx>
          <w:tblW w:w="0" w:type="auto"/>
          <w:tblLook w:val="04A0"/>
        </w:tblPrEx>
        <w:tc>
          <w:tcPr>
            <w:tcW w:w="968" w:type="dxa"/>
            <w:vAlign w:val="center"/>
          </w:tcPr>
          <w:p w:rsidR="00BD0234" w:rsidRPr="005C76C9" w:rsidP="00BB0A94" w14:paraId="549E0206" w14:textId="77777777">
            <w:pPr>
              <w:autoSpaceDE w:val="0"/>
              <w:autoSpaceDN w:val="0"/>
              <w:adjustRightInd w:val="0"/>
              <w:jc w:val="center"/>
              <w:rPr>
                <w:sz w:val="20"/>
                <w:szCs w:val="20"/>
              </w:rPr>
            </w:pPr>
            <w:r w:rsidRPr="005C76C9">
              <w:rPr>
                <w:sz w:val="20"/>
                <w:szCs w:val="20"/>
              </w:rPr>
              <w:t>N37J</w:t>
            </w:r>
          </w:p>
        </w:tc>
        <w:tc>
          <w:tcPr>
            <w:tcW w:w="1642" w:type="dxa"/>
            <w:vAlign w:val="center"/>
          </w:tcPr>
          <w:p w:rsidR="00BD0234" w:rsidRPr="005C76C9" w:rsidP="00BB0A94" w14:paraId="4CC07A9E" w14:textId="77777777">
            <w:pPr>
              <w:autoSpaceDE w:val="0"/>
              <w:autoSpaceDN w:val="0"/>
              <w:adjustRightInd w:val="0"/>
              <w:jc w:val="center"/>
              <w:rPr>
                <w:sz w:val="20"/>
                <w:szCs w:val="20"/>
              </w:rPr>
            </w:pPr>
            <w:r w:rsidRPr="005C76C9">
              <w:rPr>
                <w:sz w:val="20"/>
                <w:szCs w:val="20"/>
              </w:rPr>
              <w:t>1,171,770</w:t>
            </w:r>
          </w:p>
        </w:tc>
      </w:tr>
      <w:tr w14:paraId="2AB6AABC" w14:textId="77777777" w:rsidTr="001E6B95">
        <w:tblPrEx>
          <w:tblW w:w="0" w:type="auto"/>
          <w:tblLook w:val="04A0"/>
        </w:tblPrEx>
        <w:tc>
          <w:tcPr>
            <w:tcW w:w="968" w:type="dxa"/>
            <w:vAlign w:val="center"/>
          </w:tcPr>
          <w:p w:rsidR="00BD0234" w:rsidRPr="005C76C9" w:rsidP="00BB0A94" w14:paraId="47F85AED" w14:textId="77777777">
            <w:pPr>
              <w:autoSpaceDE w:val="0"/>
              <w:autoSpaceDN w:val="0"/>
              <w:adjustRightInd w:val="0"/>
              <w:jc w:val="center"/>
              <w:rPr>
                <w:sz w:val="20"/>
                <w:szCs w:val="20"/>
              </w:rPr>
            </w:pPr>
            <w:r w:rsidRPr="005C76C9">
              <w:rPr>
                <w:sz w:val="20"/>
                <w:szCs w:val="20"/>
              </w:rPr>
              <w:t>N48C</w:t>
            </w:r>
          </w:p>
        </w:tc>
        <w:tc>
          <w:tcPr>
            <w:tcW w:w="1642" w:type="dxa"/>
            <w:vAlign w:val="center"/>
          </w:tcPr>
          <w:p w:rsidR="00BD0234" w:rsidRPr="005C76C9" w:rsidP="00BB0A94" w14:paraId="1DC50753" w14:textId="77777777">
            <w:pPr>
              <w:autoSpaceDE w:val="0"/>
              <w:autoSpaceDN w:val="0"/>
              <w:adjustRightInd w:val="0"/>
              <w:jc w:val="center"/>
              <w:rPr>
                <w:sz w:val="20"/>
                <w:szCs w:val="20"/>
              </w:rPr>
            </w:pPr>
            <w:r w:rsidRPr="005C76C9">
              <w:rPr>
                <w:sz w:val="20"/>
                <w:szCs w:val="20"/>
              </w:rPr>
              <w:t>1,860,080</w:t>
            </w:r>
          </w:p>
        </w:tc>
      </w:tr>
      <w:tr w14:paraId="335F2234" w14:textId="77777777" w:rsidTr="001E6B95">
        <w:tblPrEx>
          <w:tblW w:w="0" w:type="auto"/>
          <w:tblLook w:val="04A0"/>
        </w:tblPrEx>
        <w:tc>
          <w:tcPr>
            <w:tcW w:w="968" w:type="dxa"/>
            <w:vAlign w:val="center"/>
          </w:tcPr>
          <w:p w:rsidR="00BD0234" w:rsidRPr="005C76C9" w:rsidP="00BB0A94" w14:paraId="3CC0AEE3" w14:textId="77777777">
            <w:pPr>
              <w:autoSpaceDE w:val="0"/>
              <w:autoSpaceDN w:val="0"/>
              <w:adjustRightInd w:val="0"/>
              <w:jc w:val="center"/>
              <w:rPr>
                <w:sz w:val="20"/>
                <w:szCs w:val="20"/>
              </w:rPr>
            </w:pPr>
            <w:r w:rsidRPr="005C76C9">
              <w:rPr>
                <w:sz w:val="20"/>
                <w:szCs w:val="20"/>
              </w:rPr>
              <w:t>N48D</w:t>
            </w:r>
          </w:p>
        </w:tc>
        <w:tc>
          <w:tcPr>
            <w:tcW w:w="1642" w:type="dxa"/>
            <w:vAlign w:val="center"/>
          </w:tcPr>
          <w:p w:rsidR="00BD0234" w:rsidRPr="005C76C9" w:rsidP="00BB0A94" w14:paraId="470203F8" w14:textId="77777777">
            <w:pPr>
              <w:autoSpaceDE w:val="0"/>
              <w:autoSpaceDN w:val="0"/>
              <w:adjustRightInd w:val="0"/>
              <w:jc w:val="center"/>
              <w:rPr>
                <w:sz w:val="20"/>
                <w:szCs w:val="20"/>
              </w:rPr>
            </w:pPr>
            <w:r w:rsidRPr="005C76C9">
              <w:rPr>
                <w:sz w:val="20"/>
                <w:szCs w:val="20"/>
              </w:rPr>
              <w:t>1,073,282</w:t>
            </w:r>
          </w:p>
        </w:tc>
      </w:tr>
      <w:tr w14:paraId="4AFADDF0" w14:textId="77777777" w:rsidTr="001E6B95">
        <w:tblPrEx>
          <w:tblW w:w="0" w:type="auto"/>
          <w:tblLook w:val="04A0"/>
        </w:tblPrEx>
        <w:tc>
          <w:tcPr>
            <w:tcW w:w="968" w:type="dxa"/>
            <w:vAlign w:val="center"/>
          </w:tcPr>
          <w:p w:rsidR="00BD0234" w:rsidRPr="005C76C9" w:rsidP="00BB0A94" w14:paraId="63AFE7F3" w14:textId="77777777">
            <w:pPr>
              <w:autoSpaceDE w:val="0"/>
              <w:autoSpaceDN w:val="0"/>
              <w:adjustRightInd w:val="0"/>
              <w:jc w:val="center"/>
              <w:rPr>
                <w:sz w:val="20"/>
                <w:szCs w:val="20"/>
              </w:rPr>
            </w:pPr>
            <w:r w:rsidRPr="005C76C9">
              <w:rPr>
                <w:sz w:val="20"/>
                <w:szCs w:val="20"/>
              </w:rPr>
              <w:t>N48E</w:t>
            </w:r>
          </w:p>
        </w:tc>
        <w:tc>
          <w:tcPr>
            <w:tcW w:w="1642" w:type="dxa"/>
            <w:vAlign w:val="center"/>
          </w:tcPr>
          <w:p w:rsidR="00BD0234" w:rsidRPr="005C76C9" w:rsidP="00BB0A94" w14:paraId="6E6244EB" w14:textId="77777777">
            <w:pPr>
              <w:autoSpaceDE w:val="0"/>
              <w:autoSpaceDN w:val="0"/>
              <w:adjustRightInd w:val="0"/>
              <w:jc w:val="center"/>
              <w:rPr>
                <w:sz w:val="20"/>
                <w:szCs w:val="20"/>
              </w:rPr>
            </w:pPr>
            <w:r w:rsidRPr="005C76C9">
              <w:rPr>
                <w:sz w:val="20"/>
                <w:szCs w:val="20"/>
              </w:rPr>
              <w:t>1,445,767</w:t>
            </w:r>
          </w:p>
        </w:tc>
      </w:tr>
      <w:tr w14:paraId="794D1275" w14:textId="77777777" w:rsidTr="001E6B95">
        <w:tblPrEx>
          <w:tblW w:w="0" w:type="auto"/>
          <w:tblLook w:val="04A0"/>
        </w:tblPrEx>
        <w:tc>
          <w:tcPr>
            <w:tcW w:w="968" w:type="dxa"/>
            <w:vAlign w:val="center"/>
          </w:tcPr>
          <w:p w:rsidR="00BD0234" w:rsidRPr="005C76C9" w:rsidP="00BB0A94" w14:paraId="15210FB0" w14:textId="77777777">
            <w:pPr>
              <w:autoSpaceDE w:val="0"/>
              <w:autoSpaceDN w:val="0"/>
              <w:adjustRightInd w:val="0"/>
              <w:jc w:val="center"/>
              <w:rPr>
                <w:sz w:val="20"/>
                <w:szCs w:val="20"/>
              </w:rPr>
            </w:pPr>
            <w:r w:rsidRPr="005C76C9">
              <w:rPr>
                <w:sz w:val="20"/>
                <w:szCs w:val="20"/>
              </w:rPr>
              <w:t>N48F</w:t>
            </w:r>
          </w:p>
        </w:tc>
        <w:tc>
          <w:tcPr>
            <w:tcW w:w="1642" w:type="dxa"/>
            <w:vAlign w:val="center"/>
          </w:tcPr>
          <w:p w:rsidR="00BD0234" w:rsidRPr="005C76C9" w:rsidP="00BB0A94" w14:paraId="3063A210" w14:textId="77777777">
            <w:pPr>
              <w:autoSpaceDE w:val="0"/>
              <w:autoSpaceDN w:val="0"/>
              <w:adjustRightInd w:val="0"/>
              <w:jc w:val="center"/>
              <w:rPr>
                <w:sz w:val="20"/>
                <w:szCs w:val="20"/>
              </w:rPr>
            </w:pPr>
            <w:r w:rsidRPr="005C76C9">
              <w:rPr>
                <w:sz w:val="20"/>
                <w:szCs w:val="20"/>
              </w:rPr>
              <w:t>2,066,728</w:t>
            </w:r>
          </w:p>
        </w:tc>
      </w:tr>
      <w:tr w14:paraId="2CC5E024" w14:textId="77777777" w:rsidTr="001E6B95">
        <w:tblPrEx>
          <w:tblW w:w="0" w:type="auto"/>
          <w:tblLook w:val="04A0"/>
        </w:tblPrEx>
        <w:tc>
          <w:tcPr>
            <w:tcW w:w="968" w:type="dxa"/>
            <w:vAlign w:val="center"/>
          </w:tcPr>
          <w:p w:rsidR="00BD0234" w:rsidRPr="005C76C9" w:rsidP="00BB0A94" w14:paraId="1CC9F9C2" w14:textId="77777777">
            <w:pPr>
              <w:autoSpaceDE w:val="0"/>
              <w:autoSpaceDN w:val="0"/>
              <w:adjustRightInd w:val="0"/>
              <w:jc w:val="center"/>
              <w:rPr>
                <w:sz w:val="20"/>
                <w:szCs w:val="20"/>
              </w:rPr>
            </w:pPr>
            <w:r w:rsidRPr="005C76C9">
              <w:rPr>
                <w:sz w:val="20"/>
                <w:szCs w:val="20"/>
              </w:rPr>
              <w:t>N49H</w:t>
            </w:r>
          </w:p>
        </w:tc>
        <w:tc>
          <w:tcPr>
            <w:tcW w:w="1642" w:type="dxa"/>
            <w:vAlign w:val="center"/>
          </w:tcPr>
          <w:p w:rsidR="00BD0234" w:rsidRPr="005C76C9" w:rsidP="00BB0A94" w14:paraId="0B7F46A5" w14:textId="77777777">
            <w:pPr>
              <w:autoSpaceDE w:val="0"/>
              <w:autoSpaceDN w:val="0"/>
              <w:adjustRightInd w:val="0"/>
              <w:jc w:val="center"/>
              <w:rPr>
                <w:sz w:val="20"/>
                <w:szCs w:val="20"/>
              </w:rPr>
            </w:pPr>
            <w:r w:rsidRPr="005C76C9">
              <w:rPr>
                <w:sz w:val="20"/>
                <w:szCs w:val="20"/>
              </w:rPr>
              <w:t>1,842,096</w:t>
            </w:r>
          </w:p>
        </w:tc>
      </w:tr>
      <w:tr w14:paraId="766ED976" w14:textId="77777777" w:rsidTr="001E6B95">
        <w:tblPrEx>
          <w:tblW w:w="0" w:type="auto"/>
          <w:tblLook w:val="04A0"/>
        </w:tblPrEx>
        <w:tc>
          <w:tcPr>
            <w:tcW w:w="968" w:type="dxa"/>
            <w:vAlign w:val="center"/>
          </w:tcPr>
          <w:p w:rsidR="00BD0234" w:rsidRPr="005C76C9" w:rsidP="00BB0A94" w14:paraId="3E348165" w14:textId="77777777">
            <w:pPr>
              <w:autoSpaceDE w:val="0"/>
              <w:autoSpaceDN w:val="0"/>
              <w:adjustRightInd w:val="0"/>
              <w:jc w:val="center"/>
              <w:rPr>
                <w:sz w:val="20"/>
                <w:szCs w:val="20"/>
              </w:rPr>
            </w:pPr>
            <w:r w:rsidRPr="005C76C9">
              <w:rPr>
                <w:sz w:val="20"/>
                <w:szCs w:val="20"/>
              </w:rPr>
              <w:t>N49I</w:t>
            </w:r>
          </w:p>
        </w:tc>
        <w:tc>
          <w:tcPr>
            <w:tcW w:w="1642" w:type="dxa"/>
            <w:vAlign w:val="center"/>
          </w:tcPr>
          <w:p w:rsidR="00BD0234" w:rsidRPr="005C76C9" w:rsidP="00BB0A94" w14:paraId="7F54E1FE" w14:textId="77777777">
            <w:pPr>
              <w:autoSpaceDE w:val="0"/>
              <w:autoSpaceDN w:val="0"/>
              <w:adjustRightInd w:val="0"/>
              <w:jc w:val="center"/>
              <w:rPr>
                <w:sz w:val="20"/>
                <w:szCs w:val="20"/>
              </w:rPr>
            </w:pPr>
            <w:r w:rsidRPr="005C76C9">
              <w:rPr>
                <w:sz w:val="20"/>
                <w:szCs w:val="20"/>
              </w:rPr>
              <w:t>1,664,017</w:t>
            </w:r>
          </w:p>
        </w:tc>
      </w:tr>
      <w:tr w14:paraId="4867F930" w14:textId="77777777" w:rsidTr="001E6B95">
        <w:tblPrEx>
          <w:tblW w:w="0" w:type="auto"/>
          <w:tblLook w:val="04A0"/>
        </w:tblPrEx>
        <w:tc>
          <w:tcPr>
            <w:tcW w:w="968" w:type="dxa"/>
            <w:vAlign w:val="center"/>
          </w:tcPr>
          <w:p w:rsidR="00BD0234" w:rsidRPr="005C76C9" w:rsidP="00BB0A94" w14:paraId="15997E61" w14:textId="77777777">
            <w:pPr>
              <w:autoSpaceDE w:val="0"/>
              <w:autoSpaceDN w:val="0"/>
              <w:adjustRightInd w:val="0"/>
              <w:jc w:val="center"/>
              <w:rPr>
                <w:sz w:val="20"/>
                <w:szCs w:val="20"/>
              </w:rPr>
            </w:pPr>
            <w:r w:rsidRPr="005C76C9">
              <w:rPr>
                <w:sz w:val="20"/>
                <w:szCs w:val="20"/>
              </w:rPr>
              <w:t>N49J</w:t>
            </w:r>
          </w:p>
        </w:tc>
        <w:tc>
          <w:tcPr>
            <w:tcW w:w="1642" w:type="dxa"/>
            <w:vAlign w:val="center"/>
          </w:tcPr>
          <w:p w:rsidR="00BD0234" w:rsidRPr="005C76C9" w:rsidP="00BB0A94" w14:paraId="3C92021D" w14:textId="77777777">
            <w:pPr>
              <w:autoSpaceDE w:val="0"/>
              <w:autoSpaceDN w:val="0"/>
              <w:adjustRightInd w:val="0"/>
              <w:jc w:val="center"/>
              <w:rPr>
                <w:sz w:val="20"/>
                <w:szCs w:val="20"/>
              </w:rPr>
            </w:pPr>
            <w:r w:rsidRPr="005C76C9">
              <w:rPr>
                <w:sz w:val="20"/>
                <w:szCs w:val="20"/>
              </w:rPr>
              <w:t>1,512,464</w:t>
            </w:r>
          </w:p>
        </w:tc>
      </w:tr>
      <w:tr w14:paraId="77F96C25" w14:textId="77777777" w:rsidTr="001E6B95">
        <w:tblPrEx>
          <w:tblW w:w="0" w:type="auto"/>
          <w:tblLook w:val="04A0"/>
        </w:tblPrEx>
        <w:tc>
          <w:tcPr>
            <w:tcW w:w="968" w:type="dxa"/>
            <w:vAlign w:val="center"/>
          </w:tcPr>
          <w:p w:rsidR="00BD0234" w:rsidRPr="005C76C9" w:rsidP="00BB0A94" w14:paraId="57CF7A6E" w14:textId="77777777">
            <w:pPr>
              <w:autoSpaceDE w:val="0"/>
              <w:autoSpaceDN w:val="0"/>
              <w:adjustRightInd w:val="0"/>
              <w:jc w:val="center"/>
              <w:rPr>
                <w:sz w:val="20"/>
                <w:szCs w:val="20"/>
              </w:rPr>
            </w:pPr>
            <w:r w:rsidRPr="005C76C9">
              <w:rPr>
                <w:sz w:val="20"/>
                <w:szCs w:val="20"/>
              </w:rPr>
              <w:t>N49K</w:t>
            </w:r>
          </w:p>
        </w:tc>
        <w:tc>
          <w:tcPr>
            <w:tcW w:w="1642" w:type="dxa"/>
            <w:vAlign w:val="center"/>
          </w:tcPr>
          <w:p w:rsidR="00BD0234" w:rsidRPr="005C76C9" w:rsidP="00BB0A94" w14:paraId="4D98BF8D" w14:textId="77777777">
            <w:pPr>
              <w:autoSpaceDE w:val="0"/>
              <w:autoSpaceDN w:val="0"/>
              <w:adjustRightInd w:val="0"/>
              <w:jc w:val="center"/>
              <w:rPr>
                <w:sz w:val="20"/>
                <w:szCs w:val="20"/>
              </w:rPr>
            </w:pPr>
            <w:r w:rsidRPr="005C76C9">
              <w:rPr>
                <w:sz w:val="20"/>
                <w:szCs w:val="20"/>
              </w:rPr>
              <w:t>1,032,925</w:t>
            </w:r>
          </w:p>
        </w:tc>
      </w:tr>
      <w:tr w14:paraId="32C937C6" w14:textId="77777777" w:rsidTr="001E6B95">
        <w:tblPrEx>
          <w:tblW w:w="0" w:type="auto"/>
          <w:tblLook w:val="04A0"/>
        </w:tblPrEx>
        <w:tc>
          <w:tcPr>
            <w:tcW w:w="968" w:type="dxa"/>
            <w:vAlign w:val="center"/>
          </w:tcPr>
          <w:p w:rsidR="00BD0234" w:rsidRPr="005C76C9" w:rsidP="00BB0A94" w14:paraId="36B6C52C" w14:textId="77777777">
            <w:pPr>
              <w:autoSpaceDE w:val="0"/>
              <w:autoSpaceDN w:val="0"/>
              <w:adjustRightInd w:val="0"/>
              <w:jc w:val="center"/>
              <w:rPr>
                <w:sz w:val="20"/>
                <w:szCs w:val="20"/>
              </w:rPr>
            </w:pPr>
            <w:r w:rsidRPr="005C76C9">
              <w:rPr>
                <w:sz w:val="20"/>
                <w:szCs w:val="20"/>
              </w:rPr>
              <w:t>N49L</w:t>
            </w:r>
          </w:p>
        </w:tc>
        <w:tc>
          <w:tcPr>
            <w:tcW w:w="1642" w:type="dxa"/>
            <w:vAlign w:val="center"/>
          </w:tcPr>
          <w:p w:rsidR="00BD0234" w:rsidRPr="005C76C9" w:rsidP="00BB0A94" w14:paraId="1CB6FB09" w14:textId="77777777">
            <w:pPr>
              <w:autoSpaceDE w:val="0"/>
              <w:autoSpaceDN w:val="0"/>
              <w:adjustRightInd w:val="0"/>
              <w:jc w:val="center"/>
              <w:rPr>
                <w:sz w:val="20"/>
                <w:szCs w:val="20"/>
              </w:rPr>
            </w:pPr>
            <w:r w:rsidRPr="005C76C9">
              <w:rPr>
                <w:sz w:val="20"/>
                <w:szCs w:val="20"/>
              </w:rPr>
              <w:t>2,523,186</w:t>
            </w:r>
          </w:p>
        </w:tc>
      </w:tr>
      <w:tr w14:paraId="0E690396" w14:textId="77777777" w:rsidTr="001E6B95">
        <w:tblPrEx>
          <w:tblW w:w="0" w:type="auto"/>
          <w:tblLook w:val="04A0"/>
        </w:tblPrEx>
        <w:tc>
          <w:tcPr>
            <w:tcW w:w="968" w:type="dxa"/>
            <w:vAlign w:val="center"/>
          </w:tcPr>
          <w:p w:rsidR="00BD0234" w:rsidRPr="005C76C9" w:rsidP="00BB0A94" w14:paraId="6C6D86E9" w14:textId="77777777">
            <w:pPr>
              <w:autoSpaceDE w:val="0"/>
              <w:autoSpaceDN w:val="0"/>
              <w:adjustRightInd w:val="0"/>
              <w:jc w:val="center"/>
              <w:rPr>
                <w:sz w:val="20"/>
                <w:szCs w:val="20"/>
              </w:rPr>
            </w:pPr>
            <w:r w:rsidRPr="005C76C9">
              <w:rPr>
                <w:sz w:val="20"/>
                <w:szCs w:val="20"/>
              </w:rPr>
              <w:t>R11A</w:t>
            </w:r>
          </w:p>
        </w:tc>
        <w:tc>
          <w:tcPr>
            <w:tcW w:w="1642" w:type="dxa"/>
            <w:vAlign w:val="center"/>
          </w:tcPr>
          <w:p w:rsidR="00BD0234" w:rsidRPr="005C76C9" w:rsidP="00BB0A94" w14:paraId="40DD8CA2" w14:textId="77777777">
            <w:pPr>
              <w:autoSpaceDE w:val="0"/>
              <w:autoSpaceDN w:val="0"/>
              <w:adjustRightInd w:val="0"/>
              <w:jc w:val="center"/>
              <w:rPr>
                <w:sz w:val="20"/>
                <w:szCs w:val="20"/>
              </w:rPr>
            </w:pPr>
            <w:r w:rsidRPr="005C76C9">
              <w:rPr>
                <w:sz w:val="20"/>
                <w:szCs w:val="20"/>
              </w:rPr>
              <w:t>269,129</w:t>
            </w:r>
          </w:p>
        </w:tc>
      </w:tr>
      <w:tr w14:paraId="64F445C9" w14:textId="77777777" w:rsidTr="001E6B95">
        <w:tblPrEx>
          <w:tblW w:w="0" w:type="auto"/>
          <w:tblLook w:val="04A0"/>
        </w:tblPrEx>
        <w:tc>
          <w:tcPr>
            <w:tcW w:w="968" w:type="dxa"/>
            <w:vAlign w:val="center"/>
          </w:tcPr>
          <w:p w:rsidR="00BD0234" w:rsidRPr="005C76C9" w:rsidP="00BB0A94" w14:paraId="6DBB5812" w14:textId="77777777">
            <w:pPr>
              <w:autoSpaceDE w:val="0"/>
              <w:autoSpaceDN w:val="0"/>
              <w:adjustRightInd w:val="0"/>
              <w:jc w:val="center"/>
              <w:rPr>
                <w:sz w:val="20"/>
                <w:szCs w:val="20"/>
              </w:rPr>
            </w:pPr>
            <w:r w:rsidRPr="005C76C9">
              <w:rPr>
                <w:sz w:val="20"/>
                <w:szCs w:val="20"/>
              </w:rPr>
              <w:t>R12G</w:t>
            </w:r>
          </w:p>
        </w:tc>
        <w:tc>
          <w:tcPr>
            <w:tcW w:w="1642" w:type="dxa"/>
            <w:vAlign w:val="center"/>
          </w:tcPr>
          <w:p w:rsidR="00BD0234" w:rsidRPr="005C76C9" w:rsidP="00BB0A94" w14:paraId="472EAECA" w14:textId="77777777">
            <w:pPr>
              <w:autoSpaceDE w:val="0"/>
              <w:autoSpaceDN w:val="0"/>
              <w:adjustRightInd w:val="0"/>
              <w:jc w:val="center"/>
              <w:rPr>
                <w:sz w:val="20"/>
                <w:szCs w:val="20"/>
              </w:rPr>
            </w:pPr>
            <w:r w:rsidRPr="005C76C9">
              <w:rPr>
                <w:sz w:val="20"/>
                <w:szCs w:val="20"/>
              </w:rPr>
              <w:t>309,451</w:t>
            </w:r>
          </w:p>
        </w:tc>
      </w:tr>
      <w:tr w14:paraId="7419E3F1" w14:textId="77777777" w:rsidTr="001E6B95">
        <w:tblPrEx>
          <w:tblW w:w="0" w:type="auto"/>
          <w:tblLook w:val="04A0"/>
        </w:tblPrEx>
        <w:tc>
          <w:tcPr>
            <w:tcW w:w="968" w:type="dxa"/>
            <w:vAlign w:val="center"/>
          </w:tcPr>
          <w:p w:rsidR="00BD0234" w:rsidRPr="005C76C9" w:rsidP="00BB0A94" w14:paraId="0A261806" w14:textId="77777777">
            <w:pPr>
              <w:autoSpaceDE w:val="0"/>
              <w:autoSpaceDN w:val="0"/>
              <w:adjustRightInd w:val="0"/>
              <w:jc w:val="center"/>
              <w:rPr>
                <w:sz w:val="20"/>
                <w:szCs w:val="20"/>
              </w:rPr>
            </w:pPr>
            <w:r w:rsidRPr="005C76C9">
              <w:rPr>
                <w:sz w:val="20"/>
                <w:szCs w:val="20"/>
              </w:rPr>
              <w:t>R23B</w:t>
            </w:r>
          </w:p>
        </w:tc>
        <w:tc>
          <w:tcPr>
            <w:tcW w:w="1642" w:type="dxa"/>
            <w:vAlign w:val="center"/>
          </w:tcPr>
          <w:p w:rsidR="00BD0234" w:rsidRPr="005C76C9" w:rsidP="00BB0A94" w14:paraId="72745626" w14:textId="77777777">
            <w:pPr>
              <w:autoSpaceDE w:val="0"/>
              <w:autoSpaceDN w:val="0"/>
              <w:adjustRightInd w:val="0"/>
              <w:jc w:val="center"/>
              <w:rPr>
                <w:sz w:val="20"/>
                <w:szCs w:val="20"/>
              </w:rPr>
            </w:pPr>
            <w:r w:rsidRPr="005C76C9">
              <w:rPr>
                <w:sz w:val="20"/>
                <w:szCs w:val="20"/>
              </w:rPr>
              <w:t>1,221,851</w:t>
            </w:r>
          </w:p>
        </w:tc>
      </w:tr>
      <w:tr w14:paraId="1167BEA6" w14:textId="77777777" w:rsidTr="001E6B95">
        <w:tblPrEx>
          <w:tblW w:w="0" w:type="auto"/>
          <w:tblLook w:val="04A0"/>
        </w:tblPrEx>
        <w:tc>
          <w:tcPr>
            <w:tcW w:w="968" w:type="dxa"/>
            <w:vAlign w:val="center"/>
          </w:tcPr>
          <w:p w:rsidR="00BD0234" w:rsidRPr="005C76C9" w:rsidP="00BB0A94" w14:paraId="204A835F" w14:textId="77777777">
            <w:pPr>
              <w:autoSpaceDE w:val="0"/>
              <w:autoSpaceDN w:val="0"/>
              <w:adjustRightInd w:val="0"/>
              <w:jc w:val="center"/>
              <w:rPr>
                <w:sz w:val="20"/>
                <w:szCs w:val="20"/>
              </w:rPr>
            </w:pPr>
            <w:r w:rsidRPr="005C76C9">
              <w:rPr>
                <w:sz w:val="20"/>
                <w:szCs w:val="20"/>
              </w:rPr>
              <w:t>R24B</w:t>
            </w:r>
          </w:p>
        </w:tc>
        <w:tc>
          <w:tcPr>
            <w:tcW w:w="1642" w:type="dxa"/>
            <w:vAlign w:val="center"/>
          </w:tcPr>
          <w:p w:rsidR="00BD0234" w:rsidRPr="005C76C9" w:rsidP="00BB0A94" w14:paraId="659E9FDD" w14:textId="77777777">
            <w:pPr>
              <w:autoSpaceDE w:val="0"/>
              <w:autoSpaceDN w:val="0"/>
              <w:adjustRightInd w:val="0"/>
              <w:jc w:val="center"/>
              <w:rPr>
                <w:sz w:val="20"/>
                <w:szCs w:val="20"/>
              </w:rPr>
            </w:pPr>
            <w:r w:rsidRPr="005C76C9">
              <w:rPr>
                <w:sz w:val="20"/>
                <w:szCs w:val="20"/>
              </w:rPr>
              <w:t>1,316,071</w:t>
            </w:r>
          </w:p>
        </w:tc>
      </w:tr>
      <w:tr w14:paraId="0DC79CC2" w14:textId="77777777" w:rsidTr="001E6B95">
        <w:tblPrEx>
          <w:tblW w:w="0" w:type="auto"/>
          <w:tblLook w:val="04A0"/>
        </w:tblPrEx>
        <w:tc>
          <w:tcPr>
            <w:tcW w:w="968" w:type="dxa"/>
            <w:vAlign w:val="center"/>
          </w:tcPr>
          <w:p w:rsidR="00BD0234" w:rsidRPr="005C76C9" w:rsidP="00BB0A94" w14:paraId="5409A638" w14:textId="77777777">
            <w:pPr>
              <w:autoSpaceDE w:val="0"/>
              <w:autoSpaceDN w:val="0"/>
              <w:adjustRightInd w:val="0"/>
              <w:jc w:val="center"/>
              <w:rPr>
                <w:sz w:val="20"/>
                <w:szCs w:val="20"/>
              </w:rPr>
            </w:pPr>
            <w:r w:rsidRPr="005C76C9">
              <w:rPr>
                <w:sz w:val="20"/>
                <w:szCs w:val="20"/>
              </w:rPr>
              <w:t>R35A</w:t>
            </w:r>
          </w:p>
        </w:tc>
        <w:tc>
          <w:tcPr>
            <w:tcW w:w="1642" w:type="dxa"/>
            <w:vAlign w:val="center"/>
          </w:tcPr>
          <w:p w:rsidR="00BD0234" w:rsidRPr="005C76C9" w:rsidP="00BB0A94" w14:paraId="113A89DD" w14:textId="77777777">
            <w:pPr>
              <w:autoSpaceDE w:val="0"/>
              <w:autoSpaceDN w:val="0"/>
              <w:adjustRightInd w:val="0"/>
              <w:jc w:val="center"/>
              <w:rPr>
                <w:sz w:val="20"/>
                <w:szCs w:val="20"/>
              </w:rPr>
            </w:pPr>
            <w:r w:rsidRPr="005C76C9">
              <w:rPr>
                <w:sz w:val="20"/>
                <w:szCs w:val="20"/>
              </w:rPr>
              <w:t>640,398</w:t>
            </w:r>
          </w:p>
        </w:tc>
      </w:tr>
      <w:tr w14:paraId="776D95A1" w14:textId="77777777" w:rsidTr="001E6B95">
        <w:tblPrEx>
          <w:tblW w:w="0" w:type="auto"/>
          <w:tblLook w:val="04A0"/>
        </w:tblPrEx>
        <w:tc>
          <w:tcPr>
            <w:tcW w:w="968" w:type="dxa"/>
            <w:vAlign w:val="center"/>
          </w:tcPr>
          <w:p w:rsidR="00BD0234" w:rsidRPr="005C76C9" w:rsidP="00BB0A94" w14:paraId="3DD57E2B" w14:textId="77777777">
            <w:pPr>
              <w:autoSpaceDE w:val="0"/>
              <w:autoSpaceDN w:val="0"/>
              <w:adjustRightInd w:val="0"/>
              <w:jc w:val="center"/>
              <w:rPr>
                <w:sz w:val="20"/>
                <w:szCs w:val="20"/>
              </w:rPr>
            </w:pPr>
            <w:r w:rsidRPr="005C76C9">
              <w:rPr>
                <w:sz w:val="20"/>
                <w:szCs w:val="20"/>
              </w:rPr>
              <w:t>R35B</w:t>
            </w:r>
          </w:p>
        </w:tc>
        <w:tc>
          <w:tcPr>
            <w:tcW w:w="1642" w:type="dxa"/>
            <w:vAlign w:val="center"/>
          </w:tcPr>
          <w:p w:rsidR="00BD0234" w:rsidRPr="005C76C9" w:rsidP="00BB0A94" w14:paraId="4255FA3C" w14:textId="77777777">
            <w:pPr>
              <w:autoSpaceDE w:val="0"/>
              <w:autoSpaceDN w:val="0"/>
              <w:adjustRightInd w:val="0"/>
              <w:jc w:val="center"/>
              <w:rPr>
                <w:sz w:val="20"/>
                <w:szCs w:val="20"/>
              </w:rPr>
            </w:pPr>
            <w:r w:rsidRPr="005C76C9">
              <w:rPr>
                <w:sz w:val="20"/>
                <w:szCs w:val="20"/>
              </w:rPr>
              <w:t>640,398</w:t>
            </w:r>
          </w:p>
        </w:tc>
      </w:tr>
      <w:tr w14:paraId="5C9D1D84" w14:textId="77777777" w:rsidTr="001E6B95">
        <w:tblPrEx>
          <w:tblW w:w="0" w:type="auto"/>
          <w:tblLook w:val="04A0"/>
        </w:tblPrEx>
        <w:tc>
          <w:tcPr>
            <w:tcW w:w="968" w:type="dxa"/>
            <w:vAlign w:val="center"/>
          </w:tcPr>
          <w:p w:rsidR="00BD0234" w:rsidRPr="005C76C9" w:rsidP="00BB0A94" w14:paraId="4212266B" w14:textId="77777777">
            <w:pPr>
              <w:autoSpaceDE w:val="0"/>
              <w:autoSpaceDN w:val="0"/>
              <w:adjustRightInd w:val="0"/>
              <w:jc w:val="center"/>
              <w:rPr>
                <w:sz w:val="20"/>
                <w:szCs w:val="20"/>
              </w:rPr>
            </w:pPr>
            <w:r w:rsidRPr="005C76C9">
              <w:rPr>
                <w:sz w:val="20"/>
                <w:szCs w:val="20"/>
              </w:rPr>
              <w:t>R36G</w:t>
            </w:r>
          </w:p>
        </w:tc>
        <w:tc>
          <w:tcPr>
            <w:tcW w:w="1642" w:type="dxa"/>
            <w:vAlign w:val="center"/>
          </w:tcPr>
          <w:p w:rsidR="00BD0234" w:rsidRPr="005C76C9" w:rsidP="00BB0A94" w14:paraId="4D58A41F" w14:textId="77777777">
            <w:pPr>
              <w:autoSpaceDE w:val="0"/>
              <w:autoSpaceDN w:val="0"/>
              <w:adjustRightInd w:val="0"/>
              <w:jc w:val="center"/>
              <w:rPr>
                <w:sz w:val="20"/>
                <w:szCs w:val="20"/>
              </w:rPr>
            </w:pPr>
            <w:r w:rsidRPr="005C76C9">
              <w:rPr>
                <w:sz w:val="20"/>
                <w:szCs w:val="20"/>
              </w:rPr>
              <w:t>1,008,011</w:t>
            </w:r>
          </w:p>
        </w:tc>
      </w:tr>
      <w:tr w14:paraId="1D08774C" w14:textId="77777777" w:rsidTr="001E6B95">
        <w:tblPrEx>
          <w:tblW w:w="0" w:type="auto"/>
          <w:tblLook w:val="04A0"/>
        </w:tblPrEx>
        <w:tc>
          <w:tcPr>
            <w:tcW w:w="968" w:type="dxa"/>
            <w:vAlign w:val="center"/>
          </w:tcPr>
          <w:p w:rsidR="00BD0234" w:rsidRPr="005C76C9" w:rsidP="00BB0A94" w14:paraId="12822C25" w14:textId="77777777">
            <w:pPr>
              <w:autoSpaceDE w:val="0"/>
              <w:autoSpaceDN w:val="0"/>
              <w:adjustRightInd w:val="0"/>
              <w:jc w:val="center"/>
              <w:rPr>
                <w:sz w:val="20"/>
                <w:szCs w:val="20"/>
              </w:rPr>
            </w:pPr>
            <w:r w:rsidRPr="005C76C9">
              <w:rPr>
                <w:sz w:val="20"/>
                <w:szCs w:val="20"/>
              </w:rPr>
              <w:t>R37A</w:t>
            </w:r>
          </w:p>
        </w:tc>
        <w:tc>
          <w:tcPr>
            <w:tcW w:w="1642" w:type="dxa"/>
            <w:vAlign w:val="center"/>
          </w:tcPr>
          <w:p w:rsidR="00BD0234" w:rsidRPr="005C76C9" w:rsidP="00BB0A94" w14:paraId="26E43D18" w14:textId="77777777">
            <w:pPr>
              <w:autoSpaceDE w:val="0"/>
              <w:autoSpaceDN w:val="0"/>
              <w:adjustRightInd w:val="0"/>
              <w:jc w:val="center"/>
              <w:rPr>
                <w:sz w:val="20"/>
                <w:szCs w:val="20"/>
              </w:rPr>
            </w:pPr>
            <w:r w:rsidRPr="005C76C9">
              <w:rPr>
                <w:sz w:val="20"/>
                <w:szCs w:val="20"/>
              </w:rPr>
              <w:t>541,933</w:t>
            </w:r>
          </w:p>
        </w:tc>
      </w:tr>
      <w:tr w14:paraId="4F755B41" w14:textId="77777777" w:rsidTr="001E6B95">
        <w:tblPrEx>
          <w:tblW w:w="0" w:type="auto"/>
          <w:tblLook w:val="04A0"/>
        </w:tblPrEx>
        <w:tc>
          <w:tcPr>
            <w:tcW w:w="968" w:type="dxa"/>
            <w:vAlign w:val="center"/>
          </w:tcPr>
          <w:p w:rsidR="00BD0234" w:rsidRPr="005C76C9" w:rsidP="00BB0A94" w14:paraId="68D54D36" w14:textId="77777777">
            <w:pPr>
              <w:autoSpaceDE w:val="0"/>
              <w:autoSpaceDN w:val="0"/>
              <w:adjustRightInd w:val="0"/>
              <w:jc w:val="center"/>
              <w:rPr>
                <w:sz w:val="20"/>
                <w:szCs w:val="20"/>
              </w:rPr>
            </w:pPr>
            <w:r w:rsidRPr="005C76C9">
              <w:rPr>
                <w:sz w:val="20"/>
                <w:szCs w:val="20"/>
              </w:rPr>
              <w:t>R37B</w:t>
            </w:r>
          </w:p>
        </w:tc>
        <w:tc>
          <w:tcPr>
            <w:tcW w:w="1642" w:type="dxa"/>
            <w:vAlign w:val="center"/>
          </w:tcPr>
          <w:p w:rsidR="00BD0234" w:rsidRPr="005C76C9" w:rsidP="00BB0A94" w14:paraId="5A001012" w14:textId="77777777">
            <w:pPr>
              <w:autoSpaceDE w:val="0"/>
              <w:autoSpaceDN w:val="0"/>
              <w:adjustRightInd w:val="0"/>
              <w:jc w:val="center"/>
              <w:rPr>
                <w:sz w:val="20"/>
                <w:szCs w:val="20"/>
              </w:rPr>
            </w:pPr>
            <w:r w:rsidRPr="005C76C9">
              <w:rPr>
                <w:sz w:val="20"/>
                <w:szCs w:val="20"/>
              </w:rPr>
              <w:t>541,933</w:t>
            </w:r>
          </w:p>
        </w:tc>
      </w:tr>
      <w:tr w14:paraId="121E1E75" w14:textId="77777777" w:rsidTr="001E6B95">
        <w:tblPrEx>
          <w:tblW w:w="0" w:type="auto"/>
          <w:tblLook w:val="04A0"/>
        </w:tblPrEx>
        <w:tc>
          <w:tcPr>
            <w:tcW w:w="968" w:type="dxa"/>
            <w:vAlign w:val="center"/>
          </w:tcPr>
          <w:p w:rsidR="00BD0234" w:rsidRPr="005C76C9" w:rsidP="00BB0A94" w14:paraId="643AA8D9" w14:textId="77777777">
            <w:pPr>
              <w:autoSpaceDE w:val="0"/>
              <w:autoSpaceDN w:val="0"/>
              <w:adjustRightInd w:val="0"/>
              <w:jc w:val="center"/>
              <w:rPr>
                <w:sz w:val="20"/>
                <w:szCs w:val="20"/>
              </w:rPr>
            </w:pPr>
            <w:r w:rsidRPr="005C76C9">
              <w:rPr>
                <w:sz w:val="20"/>
                <w:szCs w:val="20"/>
              </w:rPr>
              <w:t>R48H</w:t>
            </w:r>
          </w:p>
        </w:tc>
        <w:tc>
          <w:tcPr>
            <w:tcW w:w="1642" w:type="dxa"/>
            <w:vAlign w:val="center"/>
          </w:tcPr>
          <w:p w:rsidR="00BD0234" w:rsidRPr="005C76C9" w:rsidP="00BB0A94" w14:paraId="396C7DAD" w14:textId="77777777">
            <w:pPr>
              <w:autoSpaceDE w:val="0"/>
              <w:autoSpaceDN w:val="0"/>
              <w:adjustRightInd w:val="0"/>
              <w:jc w:val="center"/>
              <w:rPr>
                <w:sz w:val="20"/>
                <w:szCs w:val="20"/>
              </w:rPr>
            </w:pPr>
            <w:r w:rsidRPr="005C76C9">
              <w:rPr>
                <w:sz w:val="20"/>
                <w:szCs w:val="20"/>
              </w:rPr>
              <w:t>521,616</w:t>
            </w:r>
          </w:p>
        </w:tc>
      </w:tr>
      <w:tr w14:paraId="5D859B66" w14:textId="77777777" w:rsidTr="001E6B95">
        <w:tblPrEx>
          <w:tblW w:w="0" w:type="auto"/>
          <w:tblLook w:val="04A0"/>
        </w:tblPrEx>
        <w:tc>
          <w:tcPr>
            <w:tcW w:w="968" w:type="dxa"/>
            <w:vAlign w:val="center"/>
          </w:tcPr>
          <w:p w:rsidR="00BD0234" w:rsidRPr="005C76C9" w:rsidP="00BB0A94" w14:paraId="2883225B" w14:textId="77777777">
            <w:pPr>
              <w:autoSpaceDE w:val="0"/>
              <w:autoSpaceDN w:val="0"/>
              <w:adjustRightInd w:val="0"/>
              <w:jc w:val="center"/>
              <w:rPr>
                <w:sz w:val="20"/>
                <w:szCs w:val="20"/>
              </w:rPr>
            </w:pPr>
            <w:r w:rsidRPr="005C76C9">
              <w:rPr>
                <w:sz w:val="20"/>
                <w:szCs w:val="20"/>
              </w:rPr>
              <w:t>R49A</w:t>
            </w:r>
          </w:p>
        </w:tc>
        <w:tc>
          <w:tcPr>
            <w:tcW w:w="1642" w:type="dxa"/>
            <w:vAlign w:val="center"/>
          </w:tcPr>
          <w:p w:rsidR="00BD0234" w:rsidRPr="005C76C9" w:rsidP="00BB0A94" w14:paraId="49C9CB35" w14:textId="77777777">
            <w:pPr>
              <w:autoSpaceDE w:val="0"/>
              <w:autoSpaceDN w:val="0"/>
              <w:adjustRightInd w:val="0"/>
              <w:jc w:val="center"/>
              <w:rPr>
                <w:sz w:val="20"/>
                <w:szCs w:val="20"/>
              </w:rPr>
            </w:pPr>
            <w:r w:rsidRPr="005C76C9">
              <w:rPr>
                <w:sz w:val="20"/>
                <w:szCs w:val="20"/>
              </w:rPr>
              <w:t>308,535</w:t>
            </w:r>
          </w:p>
        </w:tc>
      </w:tr>
      <w:tr w14:paraId="69500CE8" w14:textId="77777777" w:rsidTr="001E6B95">
        <w:tblPrEx>
          <w:tblW w:w="0" w:type="auto"/>
          <w:tblLook w:val="04A0"/>
        </w:tblPrEx>
        <w:tc>
          <w:tcPr>
            <w:tcW w:w="968" w:type="dxa"/>
            <w:vAlign w:val="center"/>
          </w:tcPr>
          <w:p w:rsidR="00BD0234" w:rsidRPr="005C76C9" w:rsidP="00BB0A94" w14:paraId="69A78E84" w14:textId="77777777">
            <w:pPr>
              <w:autoSpaceDE w:val="0"/>
              <w:autoSpaceDN w:val="0"/>
              <w:adjustRightInd w:val="0"/>
              <w:jc w:val="center"/>
              <w:rPr>
                <w:b/>
                <w:bCs/>
                <w:sz w:val="20"/>
                <w:szCs w:val="20"/>
              </w:rPr>
            </w:pPr>
            <w:r w:rsidRPr="005C76C9">
              <w:rPr>
                <w:b/>
                <w:bCs/>
                <w:sz w:val="20"/>
                <w:szCs w:val="20"/>
              </w:rPr>
              <w:t>Total</w:t>
            </w:r>
          </w:p>
        </w:tc>
        <w:tc>
          <w:tcPr>
            <w:tcW w:w="1642" w:type="dxa"/>
            <w:vAlign w:val="center"/>
          </w:tcPr>
          <w:p w:rsidR="00BD0234" w:rsidRPr="005C76C9" w:rsidP="00BB0A94" w14:paraId="5C133E76" w14:textId="77777777">
            <w:pPr>
              <w:autoSpaceDE w:val="0"/>
              <w:autoSpaceDN w:val="0"/>
              <w:adjustRightInd w:val="0"/>
              <w:jc w:val="center"/>
              <w:rPr>
                <w:b/>
                <w:bCs/>
                <w:sz w:val="20"/>
                <w:szCs w:val="20"/>
              </w:rPr>
            </w:pPr>
            <w:r w:rsidRPr="005C76C9">
              <w:rPr>
                <w:b/>
                <w:bCs/>
                <w:sz w:val="20"/>
                <w:szCs w:val="20"/>
              </w:rPr>
              <w:t>135,000,000</w:t>
            </w:r>
          </w:p>
        </w:tc>
      </w:tr>
    </w:tbl>
    <w:p w:rsidR="00BD0234" w:rsidP="00AC4BB2" w14:paraId="4CF293DA" w14:textId="77777777">
      <w:pPr>
        <w:tabs>
          <w:tab w:val="left" w:pos="1176"/>
          <w:tab w:val="left" w:pos="1656"/>
          <w:tab w:val="left" w:pos="5016"/>
          <w:tab w:val="left" w:pos="6696"/>
          <w:tab w:val="left" w:pos="8256"/>
        </w:tabs>
      </w:pPr>
    </w:p>
    <w:p w:rsidR="00BD0234" w:rsidP="00AC4BB2" w14:paraId="7434A3B3" w14:textId="77777777">
      <w:pPr>
        <w:tabs>
          <w:tab w:val="left" w:pos="1176"/>
          <w:tab w:val="left" w:pos="1656"/>
          <w:tab w:val="left" w:pos="5016"/>
          <w:tab w:val="left" w:pos="6696"/>
          <w:tab w:val="left" w:pos="8256"/>
        </w:tabs>
        <w:sectPr w:rsidSect="00AC4BB2">
          <w:type w:val="continuous"/>
          <w:pgSz w:w="12240" w:h="15840"/>
          <w:pgMar w:top="1440" w:right="1440" w:bottom="1440" w:left="1440" w:header="720" w:footer="720" w:gutter="0"/>
          <w:cols w:num="3" w:space="720"/>
          <w:docGrid w:linePitch="360"/>
        </w:sectPr>
      </w:pPr>
    </w:p>
    <w:p w:rsidR="00AC4BB2" w:rsidP="00A94269" w14:paraId="39A51EEA" w14:textId="77777777">
      <w:pPr>
        <w:tabs>
          <w:tab w:val="left" w:pos="1176"/>
          <w:tab w:val="left" w:pos="1656"/>
          <w:tab w:val="left" w:pos="5016"/>
          <w:tab w:val="left" w:pos="6696"/>
          <w:tab w:val="left" w:pos="8256"/>
        </w:tabs>
        <w:rPr>
          <w:bCs/>
          <w:iCs/>
        </w:rPr>
      </w:pPr>
    </w:p>
    <w:p w:rsidR="003367B0" w:rsidP="003367B0" w14:paraId="44DEDD68" w14:textId="555299B8">
      <w:pPr>
        <w:tabs>
          <w:tab w:val="left" w:pos="1176"/>
          <w:tab w:val="left" w:pos="1656"/>
          <w:tab w:val="left" w:pos="5016"/>
          <w:tab w:val="left" w:pos="6696"/>
          <w:tab w:val="left" w:pos="8256"/>
        </w:tabs>
      </w:pPr>
      <w:r>
        <w:rPr>
          <w:bCs/>
          <w:iCs/>
        </w:rPr>
        <w:t>Again, t</w:t>
      </w:r>
      <w:r>
        <w:rPr>
          <w:bCs/>
          <w:iCs/>
        </w:rPr>
        <w:t xml:space="preserve">hese are the </w:t>
      </w:r>
      <w:r>
        <w:rPr>
          <w:bCs/>
          <w:iCs/>
        </w:rPr>
        <w:t xml:space="preserve">estimated </w:t>
      </w:r>
      <w:r>
        <w:t xml:space="preserve">number of CUs </w:t>
      </w:r>
      <w:r>
        <w:t>in the 81 strata in CE’s 2026</w:t>
      </w:r>
      <w:r w:rsidR="008F3E82">
        <w:t xml:space="preserve"> </w:t>
      </w:r>
      <w:r>
        <w:t>sample</w:t>
      </w:r>
      <w:r>
        <w:t xml:space="preserve">. </w:t>
      </w:r>
      <w:r w:rsidR="008F3E82">
        <w:t>If the BLS decides to implement phase 2 of the sample redesign in 2027 or 2028, then the sample size and number of CUs allocated per stratum will change</w:t>
      </w:r>
      <w:r w:rsidR="0032295C">
        <w:t>.</w:t>
      </w:r>
    </w:p>
    <w:p w:rsidR="0078793C" w:rsidP="00E50881" w14:paraId="1F63DD5E" w14:textId="77777777">
      <w:pPr>
        <w:tabs>
          <w:tab w:val="left" w:pos="1176"/>
          <w:tab w:val="left" w:pos="1656"/>
          <w:tab w:val="left" w:pos="5016"/>
          <w:tab w:val="left" w:pos="6696"/>
          <w:tab w:val="left" w:pos="8256"/>
        </w:tabs>
        <w:rPr>
          <w:u w:val="single"/>
        </w:rPr>
      </w:pPr>
    </w:p>
    <w:p w:rsidR="00A11522" w:rsidP="00E50881" w14:paraId="55302667" w14:textId="77777777">
      <w:pPr>
        <w:tabs>
          <w:tab w:val="left" w:pos="1176"/>
          <w:tab w:val="left" w:pos="1656"/>
          <w:tab w:val="left" w:pos="5016"/>
          <w:tab w:val="left" w:pos="6696"/>
          <w:tab w:val="left" w:pos="8256"/>
        </w:tabs>
      </w:pPr>
      <w:bookmarkStart w:id="10" w:name="_Hlk165125243"/>
      <w:bookmarkStart w:id="11" w:name="_Hlk165189943"/>
      <w:r>
        <w:rPr>
          <w:u w:val="single"/>
        </w:rPr>
        <w:t xml:space="preserve">Sample Size and </w:t>
      </w:r>
      <w:r>
        <w:rPr>
          <w:u w:val="single"/>
        </w:rPr>
        <w:t>Response Rates</w:t>
      </w:r>
    </w:p>
    <w:bookmarkEnd w:id="9"/>
    <w:p w:rsidR="00F62350" w:rsidP="00F62350" w14:paraId="380A0704" w14:textId="30472F70">
      <w:pPr>
        <w:tabs>
          <w:tab w:val="left" w:pos="1176"/>
          <w:tab w:val="left" w:pos="1656"/>
          <w:tab w:val="left" w:pos="5016"/>
          <w:tab w:val="left" w:pos="6696"/>
          <w:tab w:val="left" w:pos="8256"/>
        </w:tabs>
      </w:pPr>
      <w:r>
        <w:t xml:space="preserve">The table below shows the expected annual sample sizes and response rates for the </w:t>
      </w:r>
      <w:r w:rsidRPr="00FF6091" w:rsidR="00291C69">
        <w:t xml:space="preserve">Interview </w:t>
      </w:r>
      <w:r w:rsidR="00291C69">
        <w:t xml:space="preserve">and Diary Surveys </w:t>
      </w:r>
      <w:r>
        <w:t>for</w:t>
      </w:r>
      <w:r w:rsidR="00291C69">
        <w:t xml:space="preserve"> </w:t>
      </w:r>
      <w:r w:rsidR="00BB6FCD">
        <w:t>2026-2028</w:t>
      </w:r>
      <w:r w:rsidR="004C4F20">
        <w:t xml:space="preserve"> and reflects what samples would be if the BLS decides to continue postponing Phase 2 of the sample design. </w:t>
      </w:r>
    </w:p>
    <w:p w:rsidR="00716FC4" w:rsidP="00716FC4" w14:paraId="34CC6FCF" w14:textId="77777777">
      <w:pPr>
        <w:tabs>
          <w:tab w:val="left" w:pos="1176"/>
          <w:tab w:val="left" w:pos="1656"/>
          <w:tab w:val="left" w:pos="5016"/>
          <w:tab w:val="left" w:pos="6696"/>
          <w:tab w:val="left" w:pos="8256"/>
        </w:tabs>
      </w:pPr>
    </w:p>
    <w:tbl>
      <w:tblPr>
        <w:tblStyle w:val="TableGrid"/>
        <w:tblW w:w="10384" w:type="dxa"/>
        <w:jc w:val="center"/>
        <w:tblLayout w:type="fixed"/>
        <w:tblLook w:val="04A0"/>
      </w:tblPr>
      <w:tblGrid>
        <w:gridCol w:w="4753"/>
        <w:gridCol w:w="938"/>
        <w:gridCol w:w="938"/>
        <w:gridCol w:w="939"/>
        <w:gridCol w:w="938"/>
        <w:gridCol w:w="939"/>
        <w:gridCol w:w="939"/>
      </w:tblGrid>
      <w:tr w14:paraId="65F2C9D0" w14:textId="77777777" w:rsidTr="00BE1333">
        <w:tblPrEx>
          <w:tblW w:w="10384" w:type="dxa"/>
          <w:jc w:val="center"/>
          <w:tblLayout w:type="fixed"/>
          <w:tblLook w:val="04A0"/>
        </w:tblPrEx>
        <w:trPr>
          <w:jc w:val="center"/>
        </w:trPr>
        <w:tc>
          <w:tcPr>
            <w:tcW w:w="4753" w:type="dxa"/>
            <w:tcBorders>
              <w:top w:val="single" w:sz="4" w:space="0" w:color="auto"/>
              <w:left w:val="single" w:sz="4" w:space="0" w:color="auto"/>
              <w:bottom w:val="nil"/>
              <w:right w:val="nil"/>
            </w:tcBorders>
            <w:vAlign w:val="center"/>
          </w:tcPr>
          <w:p w:rsidR="00716FC4" w:rsidRPr="00B37BBE" w:rsidP="00BE1333" w14:paraId="21EA27B3" w14:textId="77777777">
            <w:pPr>
              <w:keepNext/>
              <w:autoSpaceDE w:val="0"/>
              <w:autoSpaceDN w:val="0"/>
              <w:adjustRightInd w:val="0"/>
              <w:jc w:val="center"/>
              <w:rPr>
                <w:color w:val="000000"/>
              </w:rPr>
            </w:pPr>
          </w:p>
        </w:tc>
        <w:tc>
          <w:tcPr>
            <w:tcW w:w="2815" w:type="dxa"/>
            <w:gridSpan w:val="3"/>
            <w:tcBorders>
              <w:top w:val="single" w:sz="4" w:space="0" w:color="auto"/>
              <w:left w:val="nil"/>
              <w:bottom w:val="nil"/>
              <w:right w:val="nil"/>
            </w:tcBorders>
            <w:vAlign w:val="center"/>
          </w:tcPr>
          <w:p w:rsidR="00716FC4" w:rsidRPr="00B37BBE" w:rsidP="00BE1333" w14:paraId="2F01CD27" w14:textId="77777777">
            <w:pPr>
              <w:keepNext/>
              <w:autoSpaceDE w:val="0"/>
              <w:autoSpaceDN w:val="0"/>
              <w:adjustRightInd w:val="0"/>
              <w:jc w:val="center"/>
              <w:rPr>
                <w:b/>
                <w:color w:val="000000"/>
              </w:rPr>
            </w:pPr>
            <w:r>
              <w:rPr>
                <w:b/>
                <w:color w:val="000000"/>
              </w:rPr>
              <w:t>Quarterly Interview Survey</w:t>
            </w:r>
          </w:p>
        </w:tc>
        <w:tc>
          <w:tcPr>
            <w:tcW w:w="2816" w:type="dxa"/>
            <w:gridSpan w:val="3"/>
            <w:tcBorders>
              <w:top w:val="single" w:sz="4" w:space="0" w:color="auto"/>
              <w:left w:val="nil"/>
              <w:bottom w:val="nil"/>
              <w:right w:val="single" w:sz="4" w:space="0" w:color="auto"/>
            </w:tcBorders>
            <w:vAlign w:val="center"/>
          </w:tcPr>
          <w:p w:rsidR="00716FC4" w:rsidRPr="00B37BBE" w:rsidP="00BE1333" w14:paraId="732823D0" w14:textId="77777777">
            <w:pPr>
              <w:keepNext/>
              <w:autoSpaceDE w:val="0"/>
              <w:autoSpaceDN w:val="0"/>
              <w:adjustRightInd w:val="0"/>
              <w:jc w:val="center"/>
              <w:rPr>
                <w:b/>
                <w:color w:val="000000"/>
              </w:rPr>
            </w:pPr>
            <w:r>
              <w:rPr>
                <w:b/>
                <w:color w:val="000000"/>
              </w:rPr>
              <w:t>Diary Survey</w:t>
            </w:r>
          </w:p>
        </w:tc>
      </w:tr>
      <w:tr w14:paraId="728D30EE" w14:textId="77777777" w:rsidTr="00BE1333">
        <w:tblPrEx>
          <w:tblW w:w="10384" w:type="dxa"/>
          <w:jc w:val="center"/>
          <w:tblLayout w:type="fixed"/>
          <w:tblLook w:val="04A0"/>
        </w:tblPrEx>
        <w:trPr>
          <w:jc w:val="center"/>
        </w:trPr>
        <w:tc>
          <w:tcPr>
            <w:tcW w:w="4753" w:type="dxa"/>
            <w:tcBorders>
              <w:top w:val="nil"/>
              <w:left w:val="single" w:sz="4" w:space="0" w:color="auto"/>
              <w:bottom w:val="single" w:sz="4" w:space="0" w:color="auto"/>
              <w:right w:val="nil"/>
            </w:tcBorders>
            <w:vAlign w:val="center"/>
          </w:tcPr>
          <w:p w:rsidR="00716FC4" w:rsidRPr="00B37BBE" w:rsidP="00BE1333" w14:paraId="2E351617" w14:textId="77777777">
            <w:pPr>
              <w:keepNext/>
              <w:autoSpaceDE w:val="0"/>
              <w:autoSpaceDN w:val="0"/>
              <w:adjustRightInd w:val="0"/>
              <w:jc w:val="center"/>
              <w:rPr>
                <w:color w:val="000000"/>
              </w:rPr>
            </w:pPr>
            <w:r w:rsidRPr="00B37BBE">
              <w:rPr>
                <w:b/>
                <w:color w:val="000000"/>
              </w:rPr>
              <w:t>Category</w:t>
            </w:r>
          </w:p>
        </w:tc>
        <w:tc>
          <w:tcPr>
            <w:tcW w:w="938" w:type="dxa"/>
            <w:tcBorders>
              <w:top w:val="nil"/>
              <w:left w:val="nil"/>
              <w:bottom w:val="single" w:sz="4" w:space="0" w:color="auto"/>
              <w:right w:val="nil"/>
            </w:tcBorders>
            <w:vAlign w:val="center"/>
          </w:tcPr>
          <w:p w:rsidR="00716FC4" w:rsidRPr="00B37BBE" w:rsidP="00BE1333" w14:paraId="459D4EEA" w14:textId="2B2AE34C">
            <w:pPr>
              <w:keepNext/>
              <w:autoSpaceDE w:val="0"/>
              <w:autoSpaceDN w:val="0"/>
              <w:adjustRightInd w:val="0"/>
              <w:jc w:val="center"/>
              <w:rPr>
                <w:b/>
                <w:color w:val="000000"/>
              </w:rPr>
            </w:pPr>
            <w:r>
              <w:rPr>
                <w:b/>
                <w:color w:val="000000"/>
              </w:rPr>
              <w:t>2026</w:t>
            </w:r>
          </w:p>
        </w:tc>
        <w:tc>
          <w:tcPr>
            <w:tcW w:w="938" w:type="dxa"/>
            <w:tcBorders>
              <w:top w:val="nil"/>
              <w:left w:val="nil"/>
              <w:bottom w:val="single" w:sz="4" w:space="0" w:color="auto"/>
              <w:right w:val="nil"/>
            </w:tcBorders>
            <w:vAlign w:val="center"/>
          </w:tcPr>
          <w:p w:rsidR="00716FC4" w:rsidRPr="00B37BBE" w:rsidP="00BE1333" w14:paraId="3EE949B0" w14:textId="3A0513D1">
            <w:pPr>
              <w:keepNext/>
              <w:autoSpaceDE w:val="0"/>
              <w:autoSpaceDN w:val="0"/>
              <w:adjustRightInd w:val="0"/>
              <w:jc w:val="center"/>
              <w:rPr>
                <w:b/>
                <w:color w:val="000000"/>
              </w:rPr>
            </w:pPr>
            <w:r>
              <w:rPr>
                <w:b/>
                <w:color w:val="000000"/>
              </w:rPr>
              <w:t>2027</w:t>
            </w:r>
          </w:p>
        </w:tc>
        <w:tc>
          <w:tcPr>
            <w:tcW w:w="939" w:type="dxa"/>
            <w:tcBorders>
              <w:top w:val="nil"/>
              <w:left w:val="nil"/>
              <w:bottom w:val="single" w:sz="4" w:space="0" w:color="auto"/>
              <w:right w:val="nil"/>
            </w:tcBorders>
            <w:vAlign w:val="center"/>
          </w:tcPr>
          <w:p w:rsidR="00716FC4" w:rsidRPr="00B37BBE" w:rsidP="00BE1333" w14:paraId="16BCC73F" w14:textId="009DA252">
            <w:pPr>
              <w:keepNext/>
              <w:autoSpaceDE w:val="0"/>
              <w:autoSpaceDN w:val="0"/>
              <w:adjustRightInd w:val="0"/>
              <w:jc w:val="center"/>
              <w:rPr>
                <w:b/>
                <w:color w:val="000000"/>
              </w:rPr>
            </w:pPr>
            <w:r>
              <w:rPr>
                <w:b/>
                <w:color w:val="000000"/>
              </w:rPr>
              <w:t>2028</w:t>
            </w:r>
          </w:p>
        </w:tc>
        <w:tc>
          <w:tcPr>
            <w:tcW w:w="938" w:type="dxa"/>
            <w:tcBorders>
              <w:top w:val="nil"/>
              <w:left w:val="nil"/>
              <w:bottom w:val="single" w:sz="4" w:space="0" w:color="auto"/>
              <w:right w:val="nil"/>
            </w:tcBorders>
            <w:vAlign w:val="center"/>
          </w:tcPr>
          <w:p w:rsidR="00716FC4" w:rsidRPr="00B37BBE" w:rsidP="00BE1333" w14:paraId="63347B59" w14:textId="74272629">
            <w:pPr>
              <w:keepNext/>
              <w:autoSpaceDE w:val="0"/>
              <w:autoSpaceDN w:val="0"/>
              <w:adjustRightInd w:val="0"/>
              <w:jc w:val="center"/>
              <w:rPr>
                <w:b/>
                <w:color w:val="000000"/>
              </w:rPr>
            </w:pPr>
            <w:r>
              <w:rPr>
                <w:b/>
                <w:color w:val="000000"/>
              </w:rPr>
              <w:t>2026</w:t>
            </w:r>
          </w:p>
        </w:tc>
        <w:tc>
          <w:tcPr>
            <w:tcW w:w="939" w:type="dxa"/>
            <w:tcBorders>
              <w:top w:val="nil"/>
              <w:left w:val="nil"/>
              <w:bottom w:val="single" w:sz="4" w:space="0" w:color="auto"/>
              <w:right w:val="nil"/>
            </w:tcBorders>
            <w:vAlign w:val="center"/>
          </w:tcPr>
          <w:p w:rsidR="00716FC4" w:rsidRPr="00B37BBE" w:rsidP="00BE1333" w14:paraId="6F6CFFC3" w14:textId="6796EBAF">
            <w:pPr>
              <w:keepNext/>
              <w:autoSpaceDE w:val="0"/>
              <w:autoSpaceDN w:val="0"/>
              <w:adjustRightInd w:val="0"/>
              <w:jc w:val="center"/>
              <w:rPr>
                <w:b/>
                <w:color w:val="000000"/>
              </w:rPr>
            </w:pPr>
            <w:r>
              <w:rPr>
                <w:b/>
                <w:color w:val="000000"/>
              </w:rPr>
              <w:t>2027</w:t>
            </w:r>
          </w:p>
        </w:tc>
        <w:tc>
          <w:tcPr>
            <w:tcW w:w="939" w:type="dxa"/>
            <w:tcBorders>
              <w:top w:val="nil"/>
              <w:left w:val="nil"/>
              <w:bottom w:val="single" w:sz="4" w:space="0" w:color="auto"/>
              <w:right w:val="single" w:sz="4" w:space="0" w:color="auto"/>
            </w:tcBorders>
            <w:vAlign w:val="center"/>
          </w:tcPr>
          <w:p w:rsidR="00716FC4" w:rsidRPr="00B37BBE" w:rsidP="00BE1333" w14:paraId="439CD466" w14:textId="3147BA95">
            <w:pPr>
              <w:keepNext/>
              <w:autoSpaceDE w:val="0"/>
              <w:autoSpaceDN w:val="0"/>
              <w:adjustRightInd w:val="0"/>
              <w:jc w:val="center"/>
              <w:rPr>
                <w:b/>
                <w:color w:val="000000"/>
              </w:rPr>
            </w:pPr>
            <w:r>
              <w:rPr>
                <w:b/>
                <w:color w:val="000000"/>
              </w:rPr>
              <w:t>2028</w:t>
            </w:r>
          </w:p>
        </w:tc>
      </w:tr>
      <w:tr w14:paraId="12DEBB5B" w14:textId="77777777" w:rsidTr="00BE1333">
        <w:tblPrEx>
          <w:tblW w:w="10384" w:type="dxa"/>
          <w:jc w:val="center"/>
          <w:tblLayout w:type="fixed"/>
          <w:tblLook w:val="04A0"/>
        </w:tblPrEx>
        <w:trPr>
          <w:jc w:val="center"/>
        </w:trPr>
        <w:tc>
          <w:tcPr>
            <w:tcW w:w="4753" w:type="dxa"/>
            <w:tcBorders>
              <w:top w:val="single" w:sz="4" w:space="0" w:color="auto"/>
              <w:left w:val="single" w:sz="4" w:space="0" w:color="auto"/>
              <w:bottom w:val="nil"/>
              <w:right w:val="single" w:sz="4" w:space="0" w:color="auto"/>
            </w:tcBorders>
            <w:vAlign w:val="center"/>
            <w:hideMark/>
          </w:tcPr>
          <w:p w:rsidR="00716FC4" w:rsidP="00716FC4" w14:paraId="2D9B1F89" w14:textId="77777777">
            <w:pPr>
              <w:keepNext/>
              <w:autoSpaceDE w:val="0"/>
              <w:autoSpaceDN w:val="0"/>
              <w:adjustRightInd w:val="0"/>
              <w:rPr>
                <w:color w:val="000000"/>
              </w:rPr>
            </w:pPr>
            <w:r>
              <w:rPr>
                <w:color w:val="000000"/>
              </w:rPr>
              <w:t>Total Sample Size (addresses)</w:t>
            </w:r>
          </w:p>
        </w:tc>
        <w:tc>
          <w:tcPr>
            <w:tcW w:w="938" w:type="dxa"/>
            <w:tcBorders>
              <w:top w:val="single" w:sz="4" w:space="0" w:color="auto"/>
              <w:left w:val="nil"/>
              <w:bottom w:val="nil"/>
              <w:right w:val="nil"/>
            </w:tcBorders>
            <w:vAlign w:val="center"/>
          </w:tcPr>
          <w:p w:rsidR="00716FC4" w:rsidP="00716FC4" w14:paraId="33159506" w14:textId="6146B1D7">
            <w:pPr>
              <w:keepNext/>
              <w:autoSpaceDE w:val="0"/>
              <w:autoSpaceDN w:val="0"/>
              <w:adjustRightInd w:val="0"/>
              <w:jc w:val="center"/>
              <w:rPr>
                <w:color w:val="000000"/>
              </w:rPr>
            </w:pPr>
            <w:r>
              <w:rPr>
                <w:color w:val="000000"/>
              </w:rPr>
              <w:t>50,000</w:t>
            </w:r>
          </w:p>
        </w:tc>
        <w:tc>
          <w:tcPr>
            <w:tcW w:w="938" w:type="dxa"/>
            <w:tcBorders>
              <w:top w:val="single" w:sz="4" w:space="0" w:color="auto"/>
              <w:left w:val="nil"/>
              <w:bottom w:val="nil"/>
              <w:right w:val="nil"/>
            </w:tcBorders>
            <w:vAlign w:val="center"/>
          </w:tcPr>
          <w:p w:rsidR="00716FC4" w:rsidP="00716FC4" w14:paraId="5E02E13E" w14:textId="506BB73A">
            <w:pPr>
              <w:keepNext/>
              <w:autoSpaceDE w:val="0"/>
              <w:autoSpaceDN w:val="0"/>
              <w:adjustRightInd w:val="0"/>
              <w:jc w:val="center"/>
              <w:rPr>
                <w:color w:val="000000"/>
              </w:rPr>
            </w:pPr>
            <w:r>
              <w:rPr>
                <w:color w:val="000000"/>
              </w:rPr>
              <w:t>50,000</w:t>
            </w:r>
          </w:p>
        </w:tc>
        <w:tc>
          <w:tcPr>
            <w:tcW w:w="939" w:type="dxa"/>
            <w:tcBorders>
              <w:top w:val="single" w:sz="4" w:space="0" w:color="auto"/>
              <w:left w:val="nil"/>
              <w:bottom w:val="nil"/>
              <w:right w:val="single" w:sz="4" w:space="0" w:color="auto"/>
            </w:tcBorders>
            <w:vAlign w:val="center"/>
          </w:tcPr>
          <w:p w:rsidR="00716FC4" w:rsidP="00716FC4" w14:paraId="2F87EE1A" w14:textId="5ABBEFD4">
            <w:pPr>
              <w:keepNext/>
              <w:autoSpaceDE w:val="0"/>
              <w:autoSpaceDN w:val="0"/>
              <w:adjustRightInd w:val="0"/>
              <w:jc w:val="center"/>
              <w:rPr>
                <w:color w:val="000000"/>
              </w:rPr>
            </w:pPr>
            <w:r>
              <w:rPr>
                <w:color w:val="000000"/>
              </w:rPr>
              <w:t>50,000</w:t>
            </w:r>
          </w:p>
        </w:tc>
        <w:tc>
          <w:tcPr>
            <w:tcW w:w="938" w:type="dxa"/>
            <w:tcBorders>
              <w:top w:val="single" w:sz="4" w:space="0" w:color="auto"/>
              <w:left w:val="nil"/>
              <w:bottom w:val="nil"/>
              <w:right w:val="nil"/>
            </w:tcBorders>
            <w:vAlign w:val="center"/>
          </w:tcPr>
          <w:p w:rsidR="00716FC4" w:rsidP="00716FC4" w14:paraId="0CC6287A" w14:textId="45542BF3">
            <w:pPr>
              <w:keepNext/>
              <w:autoSpaceDE w:val="0"/>
              <w:autoSpaceDN w:val="0"/>
              <w:adjustRightInd w:val="0"/>
              <w:jc w:val="center"/>
              <w:rPr>
                <w:color w:val="000000"/>
              </w:rPr>
            </w:pPr>
            <w:r>
              <w:rPr>
                <w:color w:val="000000"/>
              </w:rPr>
              <w:t>16,700</w:t>
            </w:r>
          </w:p>
        </w:tc>
        <w:tc>
          <w:tcPr>
            <w:tcW w:w="939" w:type="dxa"/>
            <w:tcBorders>
              <w:top w:val="single" w:sz="4" w:space="0" w:color="auto"/>
              <w:left w:val="nil"/>
              <w:bottom w:val="nil"/>
              <w:right w:val="nil"/>
            </w:tcBorders>
            <w:vAlign w:val="center"/>
          </w:tcPr>
          <w:p w:rsidR="00716FC4" w:rsidP="00716FC4" w14:paraId="290B794F" w14:textId="752B78D3">
            <w:pPr>
              <w:keepNext/>
              <w:autoSpaceDE w:val="0"/>
              <w:autoSpaceDN w:val="0"/>
              <w:adjustRightInd w:val="0"/>
              <w:jc w:val="center"/>
              <w:rPr>
                <w:color w:val="000000"/>
              </w:rPr>
            </w:pPr>
            <w:r>
              <w:rPr>
                <w:color w:val="000000"/>
              </w:rPr>
              <w:t>16,700</w:t>
            </w:r>
          </w:p>
        </w:tc>
        <w:tc>
          <w:tcPr>
            <w:tcW w:w="939" w:type="dxa"/>
            <w:tcBorders>
              <w:top w:val="single" w:sz="4" w:space="0" w:color="auto"/>
              <w:left w:val="nil"/>
              <w:bottom w:val="nil"/>
              <w:right w:val="single" w:sz="4" w:space="0" w:color="auto"/>
            </w:tcBorders>
            <w:vAlign w:val="center"/>
          </w:tcPr>
          <w:p w:rsidR="00716FC4" w:rsidP="00716FC4" w14:paraId="38398CE3" w14:textId="3714D261">
            <w:pPr>
              <w:keepNext/>
              <w:autoSpaceDE w:val="0"/>
              <w:autoSpaceDN w:val="0"/>
              <w:adjustRightInd w:val="0"/>
              <w:jc w:val="center"/>
              <w:rPr>
                <w:color w:val="000000"/>
              </w:rPr>
            </w:pPr>
            <w:r>
              <w:rPr>
                <w:color w:val="000000"/>
              </w:rPr>
              <w:t>16,700</w:t>
            </w:r>
          </w:p>
        </w:tc>
      </w:tr>
      <w:tr w14:paraId="458250A6"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716FC4" w:rsidP="00716FC4" w14:paraId="05C65233"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716FC4" w:rsidP="00716FC4" w14:paraId="244C3496"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1A8A31F7"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42AB918B"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4AFB5FE8"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289B1C07"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618EFCBA" w14:textId="77777777">
            <w:pPr>
              <w:keepNext/>
              <w:autoSpaceDE w:val="0"/>
              <w:autoSpaceDN w:val="0"/>
              <w:adjustRightInd w:val="0"/>
              <w:jc w:val="center"/>
              <w:rPr>
                <w:color w:val="000000"/>
              </w:rPr>
            </w:pPr>
          </w:p>
        </w:tc>
      </w:tr>
      <w:tr w14:paraId="2E78A923"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335CCB6B" w14:textId="77777777">
            <w:pPr>
              <w:keepNext/>
              <w:autoSpaceDE w:val="0"/>
              <w:autoSpaceDN w:val="0"/>
              <w:adjustRightInd w:val="0"/>
              <w:rPr>
                <w:color w:val="000000"/>
              </w:rPr>
            </w:pPr>
            <w:r>
              <w:rPr>
                <w:color w:val="000000"/>
              </w:rPr>
              <w:t xml:space="preserve">Type B and C </w:t>
            </w:r>
            <w:r>
              <w:rPr>
                <w:color w:val="000000"/>
              </w:rPr>
              <w:t>Noninterviews</w:t>
            </w:r>
            <w:r>
              <w:rPr>
                <w:color w:val="000000"/>
              </w:rPr>
              <w:t xml:space="preserve"> (vacant, demolished, etc.)</w:t>
            </w:r>
          </w:p>
        </w:tc>
        <w:tc>
          <w:tcPr>
            <w:tcW w:w="938" w:type="dxa"/>
            <w:tcBorders>
              <w:top w:val="nil"/>
              <w:left w:val="nil"/>
              <w:bottom w:val="nil"/>
              <w:right w:val="nil"/>
            </w:tcBorders>
            <w:vAlign w:val="center"/>
          </w:tcPr>
          <w:p w:rsidR="00716FC4" w:rsidP="00716FC4" w14:paraId="09F49CEB"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08349D12"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657A69C5"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2438872E"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27A6B6AB"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41BA987C" w14:textId="77777777">
            <w:pPr>
              <w:keepNext/>
              <w:autoSpaceDE w:val="0"/>
              <w:autoSpaceDN w:val="0"/>
              <w:adjustRightInd w:val="0"/>
              <w:jc w:val="center"/>
              <w:rPr>
                <w:color w:val="000000"/>
              </w:rPr>
            </w:pPr>
          </w:p>
        </w:tc>
      </w:tr>
      <w:tr w14:paraId="51892F1F"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65FD6041"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716FC4" w:rsidP="00716FC4" w14:paraId="446294D3" w14:textId="0FA2E8A5">
            <w:pPr>
              <w:keepNext/>
              <w:autoSpaceDE w:val="0"/>
              <w:autoSpaceDN w:val="0"/>
              <w:adjustRightInd w:val="0"/>
              <w:jc w:val="center"/>
              <w:rPr>
                <w:color w:val="000000"/>
              </w:rPr>
            </w:pPr>
            <w:r>
              <w:rPr>
                <w:color w:val="000000"/>
              </w:rPr>
              <w:t>7,500</w:t>
            </w:r>
          </w:p>
        </w:tc>
        <w:tc>
          <w:tcPr>
            <w:tcW w:w="938" w:type="dxa"/>
            <w:tcBorders>
              <w:top w:val="nil"/>
              <w:left w:val="nil"/>
              <w:bottom w:val="nil"/>
              <w:right w:val="nil"/>
            </w:tcBorders>
            <w:vAlign w:val="center"/>
          </w:tcPr>
          <w:p w:rsidR="00716FC4" w:rsidP="00716FC4" w14:paraId="14F43C1F" w14:textId="2C162465">
            <w:pPr>
              <w:keepNext/>
              <w:autoSpaceDE w:val="0"/>
              <w:autoSpaceDN w:val="0"/>
              <w:adjustRightInd w:val="0"/>
              <w:jc w:val="center"/>
              <w:rPr>
                <w:color w:val="000000"/>
              </w:rPr>
            </w:pPr>
            <w:r>
              <w:rPr>
                <w:color w:val="000000"/>
              </w:rPr>
              <w:t>7,500</w:t>
            </w:r>
          </w:p>
        </w:tc>
        <w:tc>
          <w:tcPr>
            <w:tcW w:w="939" w:type="dxa"/>
            <w:tcBorders>
              <w:top w:val="nil"/>
              <w:left w:val="nil"/>
              <w:bottom w:val="nil"/>
              <w:right w:val="single" w:sz="4" w:space="0" w:color="auto"/>
            </w:tcBorders>
            <w:vAlign w:val="center"/>
          </w:tcPr>
          <w:p w:rsidR="00716FC4" w:rsidP="00716FC4" w14:paraId="78B32017" w14:textId="6C4B52DA">
            <w:pPr>
              <w:keepNext/>
              <w:autoSpaceDE w:val="0"/>
              <w:autoSpaceDN w:val="0"/>
              <w:adjustRightInd w:val="0"/>
              <w:jc w:val="center"/>
              <w:rPr>
                <w:color w:val="000000"/>
              </w:rPr>
            </w:pPr>
            <w:r>
              <w:rPr>
                <w:color w:val="000000"/>
              </w:rPr>
              <w:t>7,500</w:t>
            </w:r>
          </w:p>
        </w:tc>
        <w:tc>
          <w:tcPr>
            <w:tcW w:w="938" w:type="dxa"/>
            <w:tcBorders>
              <w:top w:val="nil"/>
              <w:left w:val="nil"/>
              <w:bottom w:val="nil"/>
              <w:right w:val="nil"/>
            </w:tcBorders>
            <w:vAlign w:val="center"/>
          </w:tcPr>
          <w:p w:rsidR="00716FC4" w:rsidP="00716FC4" w14:paraId="0AE3005B" w14:textId="2A4D7BE9">
            <w:pPr>
              <w:keepNext/>
              <w:autoSpaceDE w:val="0"/>
              <w:autoSpaceDN w:val="0"/>
              <w:adjustRightInd w:val="0"/>
              <w:jc w:val="center"/>
              <w:rPr>
                <w:color w:val="000000"/>
              </w:rPr>
            </w:pPr>
            <w:r>
              <w:rPr>
                <w:color w:val="000000"/>
              </w:rPr>
              <w:t>2,500</w:t>
            </w:r>
          </w:p>
        </w:tc>
        <w:tc>
          <w:tcPr>
            <w:tcW w:w="939" w:type="dxa"/>
            <w:tcBorders>
              <w:top w:val="nil"/>
              <w:left w:val="nil"/>
              <w:bottom w:val="nil"/>
              <w:right w:val="nil"/>
            </w:tcBorders>
            <w:vAlign w:val="center"/>
          </w:tcPr>
          <w:p w:rsidR="00716FC4" w:rsidP="00716FC4" w14:paraId="4191490C" w14:textId="3FA3EB56">
            <w:pPr>
              <w:keepNext/>
              <w:autoSpaceDE w:val="0"/>
              <w:autoSpaceDN w:val="0"/>
              <w:adjustRightInd w:val="0"/>
              <w:jc w:val="center"/>
              <w:rPr>
                <w:color w:val="000000"/>
              </w:rPr>
            </w:pPr>
            <w:r>
              <w:rPr>
                <w:color w:val="000000"/>
              </w:rPr>
              <w:t>2,500</w:t>
            </w:r>
          </w:p>
        </w:tc>
        <w:tc>
          <w:tcPr>
            <w:tcW w:w="939" w:type="dxa"/>
            <w:tcBorders>
              <w:top w:val="nil"/>
              <w:left w:val="nil"/>
              <w:bottom w:val="nil"/>
              <w:right w:val="single" w:sz="4" w:space="0" w:color="auto"/>
            </w:tcBorders>
            <w:vAlign w:val="center"/>
          </w:tcPr>
          <w:p w:rsidR="00716FC4" w:rsidP="00716FC4" w14:paraId="7DAC2EB7" w14:textId="144E7E76">
            <w:pPr>
              <w:keepNext/>
              <w:autoSpaceDE w:val="0"/>
              <w:autoSpaceDN w:val="0"/>
              <w:adjustRightInd w:val="0"/>
              <w:jc w:val="center"/>
              <w:rPr>
                <w:color w:val="000000"/>
              </w:rPr>
            </w:pPr>
            <w:r>
              <w:rPr>
                <w:color w:val="000000"/>
              </w:rPr>
              <w:t>2,500</w:t>
            </w:r>
          </w:p>
        </w:tc>
      </w:tr>
      <w:tr w14:paraId="48498C40"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16E18FDB" w14:textId="77777777">
            <w:pPr>
              <w:keepNext/>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716FC4" w:rsidP="00716FC4" w14:paraId="665884FF" w14:textId="0C0EB1C8">
            <w:pPr>
              <w:keepNext/>
              <w:autoSpaceDE w:val="0"/>
              <w:autoSpaceDN w:val="0"/>
              <w:adjustRightInd w:val="0"/>
              <w:jc w:val="center"/>
              <w:rPr>
                <w:color w:val="000000"/>
              </w:rPr>
            </w:pPr>
            <w:r>
              <w:rPr>
                <w:color w:val="000000"/>
              </w:rPr>
              <w:t>15</w:t>
            </w:r>
          </w:p>
        </w:tc>
        <w:tc>
          <w:tcPr>
            <w:tcW w:w="938" w:type="dxa"/>
            <w:tcBorders>
              <w:top w:val="nil"/>
              <w:left w:val="nil"/>
              <w:bottom w:val="nil"/>
              <w:right w:val="nil"/>
            </w:tcBorders>
            <w:vAlign w:val="center"/>
          </w:tcPr>
          <w:p w:rsidR="00716FC4" w:rsidP="00716FC4" w14:paraId="6CF30C91" w14:textId="21F914DE">
            <w:pPr>
              <w:keepNext/>
              <w:autoSpaceDE w:val="0"/>
              <w:autoSpaceDN w:val="0"/>
              <w:adjustRightInd w:val="0"/>
              <w:jc w:val="center"/>
              <w:rPr>
                <w:color w:val="000000"/>
              </w:rPr>
            </w:pPr>
            <w:r>
              <w:rPr>
                <w:color w:val="000000"/>
              </w:rPr>
              <w:t>15</w:t>
            </w:r>
          </w:p>
        </w:tc>
        <w:tc>
          <w:tcPr>
            <w:tcW w:w="939" w:type="dxa"/>
            <w:tcBorders>
              <w:top w:val="nil"/>
              <w:left w:val="nil"/>
              <w:bottom w:val="nil"/>
              <w:right w:val="single" w:sz="4" w:space="0" w:color="auto"/>
            </w:tcBorders>
            <w:vAlign w:val="center"/>
          </w:tcPr>
          <w:p w:rsidR="00716FC4" w:rsidP="00716FC4" w14:paraId="43360006" w14:textId="042C35A4">
            <w:pPr>
              <w:keepNext/>
              <w:autoSpaceDE w:val="0"/>
              <w:autoSpaceDN w:val="0"/>
              <w:adjustRightInd w:val="0"/>
              <w:jc w:val="center"/>
              <w:rPr>
                <w:color w:val="000000"/>
              </w:rPr>
            </w:pPr>
            <w:r>
              <w:rPr>
                <w:color w:val="000000"/>
              </w:rPr>
              <w:t>15</w:t>
            </w:r>
          </w:p>
        </w:tc>
        <w:tc>
          <w:tcPr>
            <w:tcW w:w="938" w:type="dxa"/>
            <w:tcBorders>
              <w:top w:val="nil"/>
              <w:left w:val="nil"/>
              <w:bottom w:val="nil"/>
              <w:right w:val="nil"/>
            </w:tcBorders>
            <w:vAlign w:val="center"/>
          </w:tcPr>
          <w:p w:rsidR="00716FC4" w:rsidP="00716FC4" w14:paraId="09ABCF02" w14:textId="5B3455B8">
            <w:pPr>
              <w:keepNext/>
              <w:autoSpaceDE w:val="0"/>
              <w:autoSpaceDN w:val="0"/>
              <w:adjustRightInd w:val="0"/>
              <w:jc w:val="center"/>
              <w:rPr>
                <w:color w:val="000000"/>
              </w:rPr>
            </w:pPr>
            <w:r>
              <w:rPr>
                <w:color w:val="000000"/>
              </w:rPr>
              <w:t>15</w:t>
            </w:r>
          </w:p>
        </w:tc>
        <w:tc>
          <w:tcPr>
            <w:tcW w:w="939" w:type="dxa"/>
            <w:tcBorders>
              <w:top w:val="nil"/>
              <w:left w:val="nil"/>
              <w:bottom w:val="nil"/>
              <w:right w:val="nil"/>
            </w:tcBorders>
            <w:vAlign w:val="center"/>
          </w:tcPr>
          <w:p w:rsidR="00716FC4" w:rsidP="00716FC4" w14:paraId="1F3137A0" w14:textId="5FB3B2AA">
            <w:pPr>
              <w:keepNext/>
              <w:autoSpaceDE w:val="0"/>
              <w:autoSpaceDN w:val="0"/>
              <w:adjustRightInd w:val="0"/>
              <w:jc w:val="center"/>
              <w:rPr>
                <w:color w:val="000000"/>
              </w:rPr>
            </w:pPr>
            <w:r>
              <w:rPr>
                <w:color w:val="000000"/>
              </w:rPr>
              <w:t>15</w:t>
            </w:r>
          </w:p>
        </w:tc>
        <w:tc>
          <w:tcPr>
            <w:tcW w:w="939" w:type="dxa"/>
            <w:tcBorders>
              <w:top w:val="nil"/>
              <w:left w:val="nil"/>
              <w:bottom w:val="nil"/>
              <w:right w:val="single" w:sz="4" w:space="0" w:color="auto"/>
            </w:tcBorders>
            <w:vAlign w:val="center"/>
          </w:tcPr>
          <w:p w:rsidR="00716FC4" w:rsidP="00716FC4" w14:paraId="3E2FBBEF" w14:textId="6988024D">
            <w:pPr>
              <w:keepNext/>
              <w:autoSpaceDE w:val="0"/>
              <w:autoSpaceDN w:val="0"/>
              <w:adjustRightInd w:val="0"/>
              <w:jc w:val="center"/>
              <w:rPr>
                <w:color w:val="000000"/>
              </w:rPr>
            </w:pPr>
            <w:r>
              <w:rPr>
                <w:color w:val="000000"/>
              </w:rPr>
              <w:t>15</w:t>
            </w:r>
          </w:p>
        </w:tc>
      </w:tr>
      <w:tr w14:paraId="77212A86"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716FC4" w:rsidP="00716FC4" w14:paraId="48965794"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716FC4" w:rsidP="00716FC4" w14:paraId="4AAAAAEC"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106BF7A1"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19079170"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52634722"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45ACCE33"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116F551E" w14:textId="77777777">
            <w:pPr>
              <w:keepNext/>
              <w:autoSpaceDE w:val="0"/>
              <w:autoSpaceDN w:val="0"/>
              <w:adjustRightInd w:val="0"/>
              <w:jc w:val="center"/>
              <w:rPr>
                <w:color w:val="000000"/>
              </w:rPr>
            </w:pPr>
          </w:p>
        </w:tc>
      </w:tr>
      <w:tr w14:paraId="051363B1"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4E695396" w14:textId="77777777">
            <w:pPr>
              <w:keepNext/>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716FC4" w:rsidP="00716FC4" w14:paraId="39B8738A"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74354AFF"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3B8B1EFC"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6330773F"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555B9396"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3539CA51" w14:textId="77777777">
            <w:pPr>
              <w:keepNext/>
              <w:autoSpaceDE w:val="0"/>
              <w:autoSpaceDN w:val="0"/>
              <w:adjustRightInd w:val="0"/>
              <w:jc w:val="center"/>
              <w:rPr>
                <w:color w:val="000000"/>
              </w:rPr>
            </w:pPr>
          </w:p>
        </w:tc>
      </w:tr>
      <w:tr w14:paraId="79BB53ED"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53E41DBE"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716FC4" w:rsidP="00716FC4" w14:paraId="7155F4D0" w14:textId="3D743F9B">
            <w:pPr>
              <w:keepNext/>
              <w:autoSpaceDE w:val="0"/>
              <w:autoSpaceDN w:val="0"/>
              <w:adjustRightInd w:val="0"/>
              <w:jc w:val="center"/>
              <w:rPr>
                <w:color w:val="000000"/>
              </w:rPr>
            </w:pPr>
            <w:r>
              <w:rPr>
                <w:color w:val="000000"/>
              </w:rPr>
              <w:t>42,500</w:t>
            </w:r>
          </w:p>
        </w:tc>
        <w:tc>
          <w:tcPr>
            <w:tcW w:w="938" w:type="dxa"/>
            <w:tcBorders>
              <w:top w:val="nil"/>
              <w:left w:val="nil"/>
              <w:bottom w:val="nil"/>
              <w:right w:val="nil"/>
            </w:tcBorders>
            <w:vAlign w:val="center"/>
          </w:tcPr>
          <w:p w:rsidR="00716FC4" w:rsidP="00716FC4" w14:paraId="099DB3E5" w14:textId="63F4553C">
            <w:pPr>
              <w:keepNext/>
              <w:autoSpaceDE w:val="0"/>
              <w:autoSpaceDN w:val="0"/>
              <w:adjustRightInd w:val="0"/>
              <w:jc w:val="center"/>
              <w:rPr>
                <w:color w:val="000000"/>
              </w:rPr>
            </w:pPr>
            <w:r>
              <w:rPr>
                <w:color w:val="000000"/>
              </w:rPr>
              <w:t>42,500</w:t>
            </w:r>
          </w:p>
        </w:tc>
        <w:tc>
          <w:tcPr>
            <w:tcW w:w="939" w:type="dxa"/>
            <w:tcBorders>
              <w:top w:val="nil"/>
              <w:left w:val="nil"/>
              <w:bottom w:val="nil"/>
              <w:right w:val="single" w:sz="4" w:space="0" w:color="auto"/>
            </w:tcBorders>
            <w:vAlign w:val="center"/>
          </w:tcPr>
          <w:p w:rsidR="00716FC4" w:rsidP="00716FC4" w14:paraId="020B1410" w14:textId="7DBA9BA7">
            <w:pPr>
              <w:keepNext/>
              <w:autoSpaceDE w:val="0"/>
              <w:autoSpaceDN w:val="0"/>
              <w:adjustRightInd w:val="0"/>
              <w:jc w:val="center"/>
              <w:rPr>
                <w:color w:val="000000"/>
              </w:rPr>
            </w:pPr>
            <w:r>
              <w:rPr>
                <w:color w:val="000000"/>
              </w:rPr>
              <w:t>42,500</w:t>
            </w:r>
          </w:p>
        </w:tc>
        <w:tc>
          <w:tcPr>
            <w:tcW w:w="938" w:type="dxa"/>
            <w:tcBorders>
              <w:top w:val="nil"/>
              <w:left w:val="nil"/>
              <w:bottom w:val="nil"/>
              <w:right w:val="nil"/>
            </w:tcBorders>
            <w:vAlign w:val="center"/>
          </w:tcPr>
          <w:p w:rsidR="00716FC4" w:rsidP="00716FC4" w14:paraId="7E0D624E" w14:textId="45974381">
            <w:pPr>
              <w:keepNext/>
              <w:autoSpaceDE w:val="0"/>
              <w:autoSpaceDN w:val="0"/>
              <w:adjustRightInd w:val="0"/>
              <w:jc w:val="center"/>
              <w:rPr>
                <w:color w:val="000000"/>
              </w:rPr>
            </w:pPr>
            <w:r>
              <w:rPr>
                <w:color w:val="000000"/>
              </w:rPr>
              <w:t>14,200</w:t>
            </w:r>
          </w:p>
        </w:tc>
        <w:tc>
          <w:tcPr>
            <w:tcW w:w="939" w:type="dxa"/>
            <w:tcBorders>
              <w:top w:val="nil"/>
              <w:left w:val="nil"/>
              <w:bottom w:val="nil"/>
              <w:right w:val="nil"/>
            </w:tcBorders>
            <w:vAlign w:val="center"/>
          </w:tcPr>
          <w:p w:rsidR="00716FC4" w:rsidP="00716FC4" w14:paraId="628148E4" w14:textId="0AC4721C">
            <w:pPr>
              <w:keepNext/>
              <w:autoSpaceDE w:val="0"/>
              <w:autoSpaceDN w:val="0"/>
              <w:adjustRightInd w:val="0"/>
              <w:jc w:val="center"/>
              <w:rPr>
                <w:color w:val="000000"/>
              </w:rPr>
            </w:pPr>
            <w:r>
              <w:rPr>
                <w:color w:val="000000"/>
              </w:rPr>
              <w:t>14,200</w:t>
            </w:r>
          </w:p>
        </w:tc>
        <w:tc>
          <w:tcPr>
            <w:tcW w:w="939" w:type="dxa"/>
            <w:tcBorders>
              <w:top w:val="nil"/>
              <w:left w:val="nil"/>
              <w:bottom w:val="nil"/>
              <w:right w:val="single" w:sz="4" w:space="0" w:color="auto"/>
            </w:tcBorders>
            <w:vAlign w:val="center"/>
          </w:tcPr>
          <w:p w:rsidR="00716FC4" w:rsidP="00716FC4" w14:paraId="14D63BA8" w14:textId="7B0D97BA">
            <w:pPr>
              <w:keepNext/>
              <w:autoSpaceDE w:val="0"/>
              <w:autoSpaceDN w:val="0"/>
              <w:adjustRightInd w:val="0"/>
              <w:jc w:val="center"/>
              <w:rPr>
                <w:color w:val="000000"/>
              </w:rPr>
            </w:pPr>
            <w:r>
              <w:rPr>
                <w:color w:val="000000"/>
              </w:rPr>
              <w:t>14,200</w:t>
            </w:r>
          </w:p>
        </w:tc>
      </w:tr>
      <w:tr w14:paraId="05E97B9D"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228F9845" w14:textId="77777777">
            <w:pPr>
              <w:keepNext/>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716FC4" w:rsidP="00716FC4" w14:paraId="79D15B91" w14:textId="349DB880">
            <w:pPr>
              <w:keepNext/>
              <w:autoSpaceDE w:val="0"/>
              <w:autoSpaceDN w:val="0"/>
              <w:adjustRightInd w:val="0"/>
              <w:jc w:val="center"/>
              <w:rPr>
                <w:color w:val="000000"/>
              </w:rPr>
            </w:pPr>
            <w:r>
              <w:rPr>
                <w:color w:val="000000"/>
              </w:rPr>
              <w:t>85</w:t>
            </w:r>
          </w:p>
        </w:tc>
        <w:tc>
          <w:tcPr>
            <w:tcW w:w="938" w:type="dxa"/>
            <w:tcBorders>
              <w:top w:val="nil"/>
              <w:left w:val="nil"/>
              <w:bottom w:val="nil"/>
              <w:right w:val="nil"/>
            </w:tcBorders>
            <w:vAlign w:val="center"/>
          </w:tcPr>
          <w:p w:rsidR="00716FC4" w:rsidP="00716FC4" w14:paraId="6FB2B4F8" w14:textId="39AF7204">
            <w:pPr>
              <w:keepNext/>
              <w:autoSpaceDE w:val="0"/>
              <w:autoSpaceDN w:val="0"/>
              <w:adjustRightInd w:val="0"/>
              <w:jc w:val="center"/>
              <w:rPr>
                <w:color w:val="000000"/>
              </w:rPr>
            </w:pPr>
            <w:r>
              <w:rPr>
                <w:color w:val="000000"/>
              </w:rPr>
              <w:t>85</w:t>
            </w:r>
          </w:p>
        </w:tc>
        <w:tc>
          <w:tcPr>
            <w:tcW w:w="939" w:type="dxa"/>
            <w:tcBorders>
              <w:top w:val="nil"/>
              <w:left w:val="nil"/>
              <w:bottom w:val="nil"/>
              <w:right w:val="single" w:sz="4" w:space="0" w:color="auto"/>
            </w:tcBorders>
            <w:vAlign w:val="center"/>
          </w:tcPr>
          <w:p w:rsidR="00716FC4" w:rsidP="00716FC4" w14:paraId="35D5927E" w14:textId="15B4B96E">
            <w:pPr>
              <w:keepNext/>
              <w:autoSpaceDE w:val="0"/>
              <w:autoSpaceDN w:val="0"/>
              <w:adjustRightInd w:val="0"/>
              <w:jc w:val="center"/>
              <w:rPr>
                <w:color w:val="000000"/>
              </w:rPr>
            </w:pPr>
            <w:r>
              <w:rPr>
                <w:color w:val="000000"/>
              </w:rPr>
              <w:t>85</w:t>
            </w:r>
          </w:p>
        </w:tc>
        <w:tc>
          <w:tcPr>
            <w:tcW w:w="938" w:type="dxa"/>
            <w:tcBorders>
              <w:top w:val="nil"/>
              <w:left w:val="nil"/>
              <w:bottom w:val="nil"/>
              <w:right w:val="nil"/>
            </w:tcBorders>
            <w:vAlign w:val="center"/>
          </w:tcPr>
          <w:p w:rsidR="00716FC4" w:rsidP="00716FC4" w14:paraId="5D61C41D" w14:textId="60D8C86E">
            <w:pPr>
              <w:keepNext/>
              <w:autoSpaceDE w:val="0"/>
              <w:autoSpaceDN w:val="0"/>
              <w:adjustRightInd w:val="0"/>
              <w:jc w:val="center"/>
              <w:rPr>
                <w:color w:val="000000"/>
              </w:rPr>
            </w:pPr>
            <w:r>
              <w:rPr>
                <w:color w:val="000000"/>
              </w:rPr>
              <w:t>85</w:t>
            </w:r>
          </w:p>
        </w:tc>
        <w:tc>
          <w:tcPr>
            <w:tcW w:w="939" w:type="dxa"/>
            <w:tcBorders>
              <w:top w:val="nil"/>
              <w:left w:val="nil"/>
              <w:bottom w:val="nil"/>
              <w:right w:val="nil"/>
            </w:tcBorders>
            <w:vAlign w:val="center"/>
          </w:tcPr>
          <w:p w:rsidR="00716FC4" w:rsidP="00716FC4" w14:paraId="0AAD6C4C" w14:textId="1B5B0248">
            <w:pPr>
              <w:keepNext/>
              <w:autoSpaceDE w:val="0"/>
              <w:autoSpaceDN w:val="0"/>
              <w:adjustRightInd w:val="0"/>
              <w:jc w:val="center"/>
              <w:rPr>
                <w:color w:val="000000"/>
              </w:rPr>
            </w:pPr>
            <w:r>
              <w:rPr>
                <w:color w:val="000000"/>
              </w:rPr>
              <w:t>85</w:t>
            </w:r>
          </w:p>
        </w:tc>
        <w:tc>
          <w:tcPr>
            <w:tcW w:w="939" w:type="dxa"/>
            <w:tcBorders>
              <w:top w:val="nil"/>
              <w:left w:val="nil"/>
              <w:bottom w:val="nil"/>
              <w:right w:val="single" w:sz="4" w:space="0" w:color="auto"/>
            </w:tcBorders>
            <w:vAlign w:val="center"/>
          </w:tcPr>
          <w:p w:rsidR="00716FC4" w:rsidP="00716FC4" w14:paraId="3A205855" w14:textId="02679AB3">
            <w:pPr>
              <w:keepNext/>
              <w:autoSpaceDE w:val="0"/>
              <w:autoSpaceDN w:val="0"/>
              <w:adjustRightInd w:val="0"/>
              <w:jc w:val="center"/>
              <w:rPr>
                <w:color w:val="000000"/>
              </w:rPr>
            </w:pPr>
            <w:r>
              <w:rPr>
                <w:color w:val="000000"/>
              </w:rPr>
              <w:t>85</w:t>
            </w:r>
          </w:p>
        </w:tc>
      </w:tr>
      <w:tr w14:paraId="57CD9F70"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716FC4" w:rsidP="00716FC4" w14:paraId="6937FB7E"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716FC4" w:rsidP="00716FC4" w14:paraId="23B7F93A"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63E0E17D"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453753D3"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76979034"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2F8410D4"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78866B41" w14:textId="77777777">
            <w:pPr>
              <w:keepNext/>
              <w:autoSpaceDE w:val="0"/>
              <w:autoSpaceDN w:val="0"/>
              <w:adjustRightInd w:val="0"/>
              <w:jc w:val="center"/>
              <w:rPr>
                <w:color w:val="000000"/>
              </w:rPr>
            </w:pPr>
          </w:p>
        </w:tc>
      </w:tr>
      <w:tr w14:paraId="612680A2"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066A6B3A" w14:textId="77777777">
            <w:pPr>
              <w:keepNext/>
              <w:autoSpaceDE w:val="0"/>
              <w:autoSpaceDN w:val="0"/>
              <w:adjustRightInd w:val="0"/>
              <w:rPr>
                <w:color w:val="000000"/>
              </w:rPr>
            </w:pPr>
            <w:r>
              <w:rPr>
                <w:color w:val="000000"/>
              </w:rPr>
              <w:t xml:space="preserve">Type A </w:t>
            </w:r>
            <w:r>
              <w:rPr>
                <w:color w:val="000000"/>
              </w:rPr>
              <w:t>Noninterviews</w:t>
            </w:r>
          </w:p>
        </w:tc>
        <w:tc>
          <w:tcPr>
            <w:tcW w:w="938" w:type="dxa"/>
            <w:tcBorders>
              <w:top w:val="nil"/>
              <w:left w:val="nil"/>
              <w:bottom w:val="nil"/>
              <w:right w:val="nil"/>
            </w:tcBorders>
            <w:vAlign w:val="center"/>
          </w:tcPr>
          <w:p w:rsidR="00716FC4" w:rsidP="00716FC4" w14:paraId="3BA033E3"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0BF35E90"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127F7EA6"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402A72F5"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3788F3E0"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1C00AE2C" w14:textId="77777777">
            <w:pPr>
              <w:keepNext/>
              <w:autoSpaceDE w:val="0"/>
              <w:autoSpaceDN w:val="0"/>
              <w:adjustRightInd w:val="0"/>
              <w:jc w:val="center"/>
              <w:rPr>
                <w:color w:val="000000"/>
              </w:rPr>
            </w:pPr>
          </w:p>
        </w:tc>
      </w:tr>
      <w:tr w14:paraId="448B9FAD"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1D21BEF7"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716FC4" w:rsidP="00716FC4" w14:paraId="32A7C3BA" w14:textId="5D9B2CAF">
            <w:pPr>
              <w:keepNext/>
              <w:autoSpaceDE w:val="0"/>
              <w:autoSpaceDN w:val="0"/>
              <w:adjustRightInd w:val="0"/>
              <w:jc w:val="center"/>
              <w:rPr>
                <w:color w:val="000000"/>
              </w:rPr>
            </w:pPr>
            <w:r>
              <w:rPr>
                <w:color w:val="000000"/>
              </w:rPr>
              <w:t>25,500</w:t>
            </w:r>
          </w:p>
        </w:tc>
        <w:tc>
          <w:tcPr>
            <w:tcW w:w="938" w:type="dxa"/>
            <w:tcBorders>
              <w:top w:val="nil"/>
              <w:left w:val="nil"/>
              <w:bottom w:val="nil"/>
              <w:right w:val="nil"/>
            </w:tcBorders>
            <w:vAlign w:val="center"/>
          </w:tcPr>
          <w:p w:rsidR="00716FC4" w:rsidP="00716FC4" w14:paraId="690C80AC" w14:textId="2B7738E2">
            <w:pPr>
              <w:keepNext/>
              <w:autoSpaceDE w:val="0"/>
              <w:autoSpaceDN w:val="0"/>
              <w:adjustRightInd w:val="0"/>
              <w:jc w:val="center"/>
              <w:rPr>
                <w:color w:val="000000"/>
              </w:rPr>
            </w:pPr>
            <w:r>
              <w:rPr>
                <w:color w:val="000000"/>
              </w:rPr>
              <w:t>25,500</w:t>
            </w:r>
          </w:p>
        </w:tc>
        <w:tc>
          <w:tcPr>
            <w:tcW w:w="939" w:type="dxa"/>
            <w:tcBorders>
              <w:top w:val="nil"/>
              <w:left w:val="nil"/>
              <w:bottom w:val="nil"/>
              <w:right w:val="single" w:sz="4" w:space="0" w:color="auto"/>
            </w:tcBorders>
            <w:vAlign w:val="center"/>
          </w:tcPr>
          <w:p w:rsidR="00716FC4" w:rsidP="00716FC4" w14:paraId="1FB138FA" w14:textId="54948143">
            <w:pPr>
              <w:keepNext/>
              <w:autoSpaceDE w:val="0"/>
              <w:autoSpaceDN w:val="0"/>
              <w:adjustRightInd w:val="0"/>
              <w:jc w:val="center"/>
              <w:rPr>
                <w:color w:val="000000"/>
              </w:rPr>
            </w:pPr>
            <w:r>
              <w:rPr>
                <w:color w:val="000000"/>
              </w:rPr>
              <w:t>25,500</w:t>
            </w:r>
          </w:p>
        </w:tc>
        <w:tc>
          <w:tcPr>
            <w:tcW w:w="938" w:type="dxa"/>
            <w:tcBorders>
              <w:top w:val="nil"/>
              <w:left w:val="nil"/>
              <w:bottom w:val="nil"/>
              <w:right w:val="nil"/>
            </w:tcBorders>
            <w:vAlign w:val="center"/>
          </w:tcPr>
          <w:p w:rsidR="00716FC4" w:rsidP="00716FC4" w14:paraId="6CE39746" w14:textId="3B8E189B">
            <w:pPr>
              <w:keepNext/>
              <w:autoSpaceDE w:val="0"/>
              <w:autoSpaceDN w:val="0"/>
              <w:adjustRightInd w:val="0"/>
              <w:jc w:val="center"/>
              <w:rPr>
                <w:color w:val="000000"/>
              </w:rPr>
            </w:pPr>
            <w:r>
              <w:rPr>
                <w:color w:val="000000"/>
              </w:rPr>
              <w:t>8,</w:t>
            </w:r>
            <w:r w:rsidR="006D62B9">
              <w:rPr>
                <w:color w:val="000000"/>
              </w:rPr>
              <w:t>5</w:t>
            </w:r>
            <w:r>
              <w:rPr>
                <w:color w:val="000000"/>
              </w:rPr>
              <w:t>00</w:t>
            </w:r>
          </w:p>
        </w:tc>
        <w:tc>
          <w:tcPr>
            <w:tcW w:w="939" w:type="dxa"/>
            <w:tcBorders>
              <w:top w:val="nil"/>
              <w:left w:val="nil"/>
              <w:bottom w:val="nil"/>
              <w:right w:val="nil"/>
            </w:tcBorders>
            <w:vAlign w:val="center"/>
          </w:tcPr>
          <w:p w:rsidR="00716FC4" w:rsidP="00716FC4" w14:paraId="722F4B11" w14:textId="5552D06B">
            <w:pPr>
              <w:keepNext/>
              <w:autoSpaceDE w:val="0"/>
              <w:autoSpaceDN w:val="0"/>
              <w:adjustRightInd w:val="0"/>
              <w:jc w:val="center"/>
              <w:rPr>
                <w:color w:val="000000"/>
              </w:rPr>
            </w:pPr>
            <w:r>
              <w:rPr>
                <w:color w:val="000000"/>
              </w:rPr>
              <w:t>8,</w:t>
            </w:r>
            <w:r w:rsidR="00941519">
              <w:rPr>
                <w:color w:val="000000"/>
              </w:rPr>
              <w:t>5</w:t>
            </w:r>
            <w:r>
              <w:rPr>
                <w:color w:val="000000"/>
              </w:rPr>
              <w:t>00</w:t>
            </w:r>
          </w:p>
        </w:tc>
        <w:tc>
          <w:tcPr>
            <w:tcW w:w="939" w:type="dxa"/>
            <w:tcBorders>
              <w:top w:val="nil"/>
              <w:left w:val="nil"/>
              <w:bottom w:val="nil"/>
              <w:right w:val="single" w:sz="4" w:space="0" w:color="auto"/>
            </w:tcBorders>
            <w:vAlign w:val="center"/>
          </w:tcPr>
          <w:p w:rsidR="00716FC4" w:rsidP="00716FC4" w14:paraId="1B5FC815" w14:textId="6512781A">
            <w:pPr>
              <w:keepNext/>
              <w:autoSpaceDE w:val="0"/>
              <w:autoSpaceDN w:val="0"/>
              <w:adjustRightInd w:val="0"/>
              <w:jc w:val="center"/>
              <w:rPr>
                <w:color w:val="000000"/>
              </w:rPr>
            </w:pPr>
            <w:r>
              <w:rPr>
                <w:color w:val="000000"/>
              </w:rPr>
              <w:t>8,</w:t>
            </w:r>
            <w:r w:rsidR="00941519">
              <w:rPr>
                <w:color w:val="000000"/>
              </w:rPr>
              <w:t>5</w:t>
            </w:r>
            <w:r>
              <w:rPr>
                <w:color w:val="000000"/>
              </w:rPr>
              <w:t>00</w:t>
            </w:r>
          </w:p>
        </w:tc>
      </w:tr>
      <w:tr w14:paraId="3C4EE317"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3B7985B7" w14:textId="77777777">
            <w:pPr>
              <w:keepNext/>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716FC4" w:rsidP="00716FC4" w14:paraId="400B9D77" w14:textId="0A5D472C">
            <w:pPr>
              <w:keepNext/>
              <w:autoSpaceDE w:val="0"/>
              <w:autoSpaceDN w:val="0"/>
              <w:adjustRightInd w:val="0"/>
              <w:jc w:val="center"/>
              <w:rPr>
                <w:color w:val="000000"/>
              </w:rPr>
            </w:pPr>
            <w:r>
              <w:rPr>
                <w:color w:val="000000"/>
              </w:rPr>
              <w:t>60</w:t>
            </w:r>
          </w:p>
        </w:tc>
        <w:tc>
          <w:tcPr>
            <w:tcW w:w="938" w:type="dxa"/>
            <w:tcBorders>
              <w:top w:val="nil"/>
              <w:left w:val="nil"/>
              <w:bottom w:val="nil"/>
              <w:right w:val="nil"/>
            </w:tcBorders>
            <w:vAlign w:val="center"/>
          </w:tcPr>
          <w:p w:rsidR="00716FC4" w:rsidP="00716FC4" w14:paraId="18A4ABDC" w14:textId="529038CC">
            <w:pPr>
              <w:keepNext/>
              <w:autoSpaceDE w:val="0"/>
              <w:autoSpaceDN w:val="0"/>
              <w:adjustRightInd w:val="0"/>
              <w:jc w:val="center"/>
              <w:rPr>
                <w:color w:val="000000"/>
              </w:rPr>
            </w:pPr>
            <w:r>
              <w:rPr>
                <w:color w:val="000000"/>
              </w:rPr>
              <w:t>60</w:t>
            </w:r>
          </w:p>
        </w:tc>
        <w:tc>
          <w:tcPr>
            <w:tcW w:w="939" w:type="dxa"/>
            <w:tcBorders>
              <w:top w:val="nil"/>
              <w:left w:val="nil"/>
              <w:bottom w:val="nil"/>
              <w:right w:val="single" w:sz="4" w:space="0" w:color="auto"/>
            </w:tcBorders>
            <w:vAlign w:val="center"/>
          </w:tcPr>
          <w:p w:rsidR="00716FC4" w:rsidP="00716FC4" w14:paraId="0061D14C" w14:textId="1D1D59EF">
            <w:pPr>
              <w:keepNext/>
              <w:autoSpaceDE w:val="0"/>
              <w:autoSpaceDN w:val="0"/>
              <w:adjustRightInd w:val="0"/>
              <w:jc w:val="center"/>
              <w:rPr>
                <w:color w:val="000000"/>
              </w:rPr>
            </w:pPr>
            <w:r>
              <w:rPr>
                <w:color w:val="000000"/>
              </w:rPr>
              <w:t>60</w:t>
            </w:r>
          </w:p>
        </w:tc>
        <w:tc>
          <w:tcPr>
            <w:tcW w:w="938" w:type="dxa"/>
            <w:tcBorders>
              <w:top w:val="nil"/>
              <w:left w:val="nil"/>
              <w:bottom w:val="nil"/>
              <w:right w:val="nil"/>
            </w:tcBorders>
            <w:vAlign w:val="center"/>
          </w:tcPr>
          <w:p w:rsidR="00716FC4" w:rsidP="00716FC4" w14:paraId="43A6F0D4" w14:textId="1096787B">
            <w:pPr>
              <w:keepNext/>
              <w:autoSpaceDE w:val="0"/>
              <w:autoSpaceDN w:val="0"/>
              <w:adjustRightInd w:val="0"/>
              <w:jc w:val="center"/>
              <w:rPr>
                <w:color w:val="000000"/>
              </w:rPr>
            </w:pPr>
            <w:r>
              <w:rPr>
                <w:color w:val="000000"/>
              </w:rPr>
              <w:t>6</w:t>
            </w:r>
            <w:r w:rsidR="00941519">
              <w:rPr>
                <w:color w:val="000000"/>
              </w:rPr>
              <w:t>0</w:t>
            </w:r>
          </w:p>
        </w:tc>
        <w:tc>
          <w:tcPr>
            <w:tcW w:w="939" w:type="dxa"/>
            <w:tcBorders>
              <w:top w:val="nil"/>
              <w:left w:val="nil"/>
              <w:bottom w:val="nil"/>
              <w:right w:val="nil"/>
            </w:tcBorders>
            <w:vAlign w:val="center"/>
          </w:tcPr>
          <w:p w:rsidR="00716FC4" w:rsidP="00716FC4" w14:paraId="7671D2E6" w14:textId="7798C3E6">
            <w:pPr>
              <w:keepNext/>
              <w:autoSpaceDE w:val="0"/>
              <w:autoSpaceDN w:val="0"/>
              <w:adjustRightInd w:val="0"/>
              <w:jc w:val="center"/>
              <w:rPr>
                <w:color w:val="000000"/>
              </w:rPr>
            </w:pPr>
            <w:r>
              <w:rPr>
                <w:color w:val="000000"/>
              </w:rPr>
              <w:t>6</w:t>
            </w:r>
            <w:r w:rsidR="00941519">
              <w:rPr>
                <w:color w:val="000000"/>
              </w:rPr>
              <w:t>0</w:t>
            </w:r>
          </w:p>
        </w:tc>
        <w:tc>
          <w:tcPr>
            <w:tcW w:w="939" w:type="dxa"/>
            <w:tcBorders>
              <w:top w:val="nil"/>
              <w:left w:val="nil"/>
              <w:bottom w:val="nil"/>
              <w:right w:val="single" w:sz="4" w:space="0" w:color="auto"/>
            </w:tcBorders>
            <w:vAlign w:val="center"/>
          </w:tcPr>
          <w:p w:rsidR="00716FC4" w:rsidP="00716FC4" w14:paraId="07B4C0A3" w14:textId="3AA037C1">
            <w:pPr>
              <w:keepNext/>
              <w:autoSpaceDE w:val="0"/>
              <w:autoSpaceDN w:val="0"/>
              <w:adjustRightInd w:val="0"/>
              <w:jc w:val="center"/>
              <w:rPr>
                <w:color w:val="000000"/>
              </w:rPr>
            </w:pPr>
            <w:r>
              <w:rPr>
                <w:color w:val="000000"/>
              </w:rPr>
              <w:t>6</w:t>
            </w:r>
            <w:r w:rsidR="00941519">
              <w:rPr>
                <w:color w:val="000000"/>
              </w:rPr>
              <w:t>0</w:t>
            </w:r>
          </w:p>
        </w:tc>
      </w:tr>
      <w:tr w14:paraId="5DEDF90D"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tcPr>
          <w:p w:rsidR="00716FC4" w:rsidP="00716FC4" w14:paraId="396AB3D6" w14:textId="77777777">
            <w:pPr>
              <w:keepNext/>
              <w:autoSpaceDE w:val="0"/>
              <w:autoSpaceDN w:val="0"/>
              <w:adjustRightInd w:val="0"/>
              <w:rPr>
                <w:color w:val="000000"/>
              </w:rPr>
            </w:pPr>
          </w:p>
        </w:tc>
        <w:tc>
          <w:tcPr>
            <w:tcW w:w="938" w:type="dxa"/>
            <w:tcBorders>
              <w:top w:val="nil"/>
              <w:left w:val="nil"/>
              <w:bottom w:val="nil"/>
              <w:right w:val="nil"/>
            </w:tcBorders>
            <w:vAlign w:val="center"/>
          </w:tcPr>
          <w:p w:rsidR="00716FC4" w:rsidP="00716FC4" w14:paraId="4D81E159"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0AAEED8D"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73DBE202"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557A51E0"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50A3CE9F"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373A9835" w14:textId="77777777">
            <w:pPr>
              <w:keepNext/>
              <w:autoSpaceDE w:val="0"/>
              <w:autoSpaceDN w:val="0"/>
              <w:adjustRightInd w:val="0"/>
              <w:jc w:val="center"/>
              <w:rPr>
                <w:color w:val="000000"/>
              </w:rPr>
            </w:pPr>
          </w:p>
        </w:tc>
      </w:tr>
      <w:tr w14:paraId="0E0EAD9D" w14:textId="77777777" w:rsidTr="00BE1333">
        <w:tblPrEx>
          <w:tblW w:w="10384" w:type="dxa"/>
          <w:jc w:val="center"/>
          <w:tblLayout w:type="fixed"/>
          <w:tblLook w:val="04A0"/>
        </w:tblPrEx>
        <w:trPr>
          <w:trHeight w:val="297"/>
          <w:jc w:val="center"/>
        </w:trPr>
        <w:tc>
          <w:tcPr>
            <w:tcW w:w="4753" w:type="dxa"/>
            <w:tcBorders>
              <w:top w:val="nil"/>
              <w:left w:val="single" w:sz="4" w:space="0" w:color="auto"/>
              <w:bottom w:val="nil"/>
              <w:right w:val="single" w:sz="4" w:space="0" w:color="auto"/>
            </w:tcBorders>
            <w:vAlign w:val="center"/>
            <w:hideMark/>
          </w:tcPr>
          <w:p w:rsidR="00716FC4" w:rsidP="00716FC4" w14:paraId="0D7852B9" w14:textId="77777777">
            <w:pPr>
              <w:keepNext/>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716FC4" w:rsidP="00716FC4" w14:paraId="5C0A455E"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11140FE7"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49B2C1D9" w14:textId="77777777">
            <w:pPr>
              <w:keepNext/>
              <w:autoSpaceDE w:val="0"/>
              <w:autoSpaceDN w:val="0"/>
              <w:adjustRightInd w:val="0"/>
              <w:jc w:val="center"/>
              <w:rPr>
                <w:color w:val="000000"/>
              </w:rPr>
            </w:pPr>
          </w:p>
        </w:tc>
        <w:tc>
          <w:tcPr>
            <w:tcW w:w="938" w:type="dxa"/>
            <w:tcBorders>
              <w:top w:val="nil"/>
              <w:left w:val="nil"/>
              <w:bottom w:val="nil"/>
              <w:right w:val="nil"/>
            </w:tcBorders>
            <w:vAlign w:val="center"/>
          </w:tcPr>
          <w:p w:rsidR="00716FC4" w:rsidP="00716FC4" w14:paraId="69C36CC2" w14:textId="77777777">
            <w:pPr>
              <w:keepNext/>
              <w:autoSpaceDE w:val="0"/>
              <w:autoSpaceDN w:val="0"/>
              <w:adjustRightInd w:val="0"/>
              <w:jc w:val="center"/>
              <w:rPr>
                <w:color w:val="000000"/>
              </w:rPr>
            </w:pPr>
          </w:p>
        </w:tc>
        <w:tc>
          <w:tcPr>
            <w:tcW w:w="939" w:type="dxa"/>
            <w:tcBorders>
              <w:top w:val="nil"/>
              <w:left w:val="nil"/>
              <w:bottom w:val="nil"/>
              <w:right w:val="nil"/>
            </w:tcBorders>
            <w:vAlign w:val="center"/>
          </w:tcPr>
          <w:p w:rsidR="00716FC4" w:rsidP="00716FC4" w14:paraId="093040E5" w14:textId="77777777">
            <w:pPr>
              <w:keepNext/>
              <w:autoSpaceDE w:val="0"/>
              <w:autoSpaceDN w:val="0"/>
              <w:adjustRightInd w:val="0"/>
              <w:jc w:val="center"/>
              <w:rPr>
                <w:color w:val="000000"/>
              </w:rPr>
            </w:pPr>
          </w:p>
        </w:tc>
        <w:tc>
          <w:tcPr>
            <w:tcW w:w="939" w:type="dxa"/>
            <w:tcBorders>
              <w:top w:val="nil"/>
              <w:left w:val="nil"/>
              <w:bottom w:val="nil"/>
              <w:right w:val="single" w:sz="4" w:space="0" w:color="auto"/>
            </w:tcBorders>
            <w:vAlign w:val="center"/>
          </w:tcPr>
          <w:p w:rsidR="00716FC4" w:rsidP="00716FC4" w14:paraId="1B3652AE" w14:textId="77777777">
            <w:pPr>
              <w:keepNext/>
              <w:autoSpaceDE w:val="0"/>
              <w:autoSpaceDN w:val="0"/>
              <w:adjustRightInd w:val="0"/>
              <w:jc w:val="center"/>
              <w:rPr>
                <w:color w:val="000000"/>
              </w:rPr>
            </w:pPr>
          </w:p>
        </w:tc>
      </w:tr>
      <w:tr w14:paraId="6BD71146" w14:textId="77777777" w:rsidTr="00BE1333">
        <w:tblPrEx>
          <w:tblW w:w="10384" w:type="dxa"/>
          <w:jc w:val="center"/>
          <w:tblLayout w:type="fixed"/>
          <w:tblLook w:val="04A0"/>
        </w:tblPrEx>
        <w:trPr>
          <w:jc w:val="center"/>
        </w:trPr>
        <w:tc>
          <w:tcPr>
            <w:tcW w:w="4753" w:type="dxa"/>
            <w:tcBorders>
              <w:top w:val="nil"/>
              <w:left w:val="single" w:sz="4" w:space="0" w:color="auto"/>
              <w:bottom w:val="nil"/>
              <w:right w:val="single" w:sz="4" w:space="0" w:color="auto"/>
            </w:tcBorders>
            <w:vAlign w:val="center"/>
            <w:hideMark/>
          </w:tcPr>
          <w:p w:rsidR="00716FC4" w:rsidP="00716FC4" w14:paraId="64270FB0" w14:textId="77777777">
            <w:pPr>
              <w:keepNext/>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716FC4" w:rsidP="00716FC4" w14:paraId="4991C0DB" w14:textId="1F41CBCE">
            <w:pPr>
              <w:keepNext/>
              <w:autoSpaceDE w:val="0"/>
              <w:autoSpaceDN w:val="0"/>
              <w:adjustRightInd w:val="0"/>
              <w:jc w:val="center"/>
              <w:rPr>
                <w:color w:val="000000"/>
              </w:rPr>
            </w:pPr>
            <w:r>
              <w:rPr>
                <w:color w:val="000000"/>
              </w:rPr>
              <w:t>17,000</w:t>
            </w:r>
          </w:p>
        </w:tc>
        <w:tc>
          <w:tcPr>
            <w:tcW w:w="938" w:type="dxa"/>
            <w:tcBorders>
              <w:top w:val="nil"/>
              <w:left w:val="nil"/>
              <w:bottom w:val="nil"/>
              <w:right w:val="nil"/>
            </w:tcBorders>
            <w:vAlign w:val="center"/>
          </w:tcPr>
          <w:p w:rsidR="00716FC4" w:rsidP="00716FC4" w14:paraId="77A07D4D" w14:textId="07B8125B">
            <w:pPr>
              <w:keepNext/>
              <w:autoSpaceDE w:val="0"/>
              <w:autoSpaceDN w:val="0"/>
              <w:adjustRightInd w:val="0"/>
              <w:jc w:val="center"/>
              <w:rPr>
                <w:color w:val="000000"/>
              </w:rPr>
            </w:pPr>
            <w:r>
              <w:rPr>
                <w:color w:val="000000"/>
              </w:rPr>
              <w:t>17,000</w:t>
            </w:r>
          </w:p>
        </w:tc>
        <w:tc>
          <w:tcPr>
            <w:tcW w:w="939" w:type="dxa"/>
            <w:tcBorders>
              <w:top w:val="nil"/>
              <w:left w:val="nil"/>
              <w:bottom w:val="nil"/>
              <w:right w:val="single" w:sz="4" w:space="0" w:color="auto"/>
            </w:tcBorders>
            <w:vAlign w:val="center"/>
          </w:tcPr>
          <w:p w:rsidR="00716FC4" w:rsidP="00716FC4" w14:paraId="62F3FAD1" w14:textId="3D0D930C">
            <w:pPr>
              <w:keepNext/>
              <w:autoSpaceDE w:val="0"/>
              <w:autoSpaceDN w:val="0"/>
              <w:adjustRightInd w:val="0"/>
              <w:jc w:val="center"/>
              <w:rPr>
                <w:color w:val="000000"/>
              </w:rPr>
            </w:pPr>
            <w:r>
              <w:rPr>
                <w:color w:val="000000"/>
              </w:rPr>
              <w:t>17,000</w:t>
            </w:r>
          </w:p>
        </w:tc>
        <w:tc>
          <w:tcPr>
            <w:tcW w:w="938" w:type="dxa"/>
            <w:tcBorders>
              <w:top w:val="nil"/>
              <w:left w:val="nil"/>
              <w:bottom w:val="nil"/>
              <w:right w:val="nil"/>
            </w:tcBorders>
            <w:vAlign w:val="center"/>
          </w:tcPr>
          <w:p w:rsidR="00716FC4" w:rsidP="00716FC4" w14:paraId="44EA09E7" w14:textId="2F87C1DA">
            <w:pPr>
              <w:keepNext/>
              <w:autoSpaceDE w:val="0"/>
              <w:autoSpaceDN w:val="0"/>
              <w:adjustRightInd w:val="0"/>
              <w:jc w:val="center"/>
              <w:rPr>
                <w:color w:val="000000"/>
              </w:rPr>
            </w:pPr>
            <w:r>
              <w:rPr>
                <w:color w:val="000000"/>
              </w:rPr>
              <w:t>5,</w:t>
            </w:r>
            <w:r w:rsidR="00941519">
              <w:rPr>
                <w:color w:val="000000"/>
              </w:rPr>
              <w:t>7</w:t>
            </w:r>
            <w:r>
              <w:rPr>
                <w:color w:val="000000"/>
              </w:rPr>
              <w:t>00</w:t>
            </w:r>
          </w:p>
        </w:tc>
        <w:tc>
          <w:tcPr>
            <w:tcW w:w="939" w:type="dxa"/>
            <w:tcBorders>
              <w:top w:val="nil"/>
              <w:left w:val="nil"/>
              <w:bottom w:val="nil"/>
              <w:right w:val="nil"/>
            </w:tcBorders>
            <w:vAlign w:val="center"/>
          </w:tcPr>
          <w:p w:rsidR="00716FC4" w:rsidP="00716FC4" w14:paraId="618AC4EC" w14:textId="0624A0C4">
            <w:pPr>
              <w:keepNext/>
              <w:autoSpaceDE w:val="0"/>
              <w:autoSpaceDN w:val="0"/>
              <w:adjustRightInd w:val="0"/>
              <w:jc w:val="center"/>
              <w:rPr>
                <w:color w:val="000000"/>
              </w:rPr>
            </w:pPr>
            <w:r>
              <w:rPr>
                <w:color w:val="000000"/>
              </w:rPr>
              <w:t>5,</w:t>
            </w:r>
            <w:r w:rsidR="00941519">
              <w:rPr>
                <w:color w:val="000000"/>
              </w:rPr>
              <w:t>7</w:t>
            </w:r>
            <w:r>
              <w:rPr>
                <w:color w:val="000000"/>
              </w:rPr>
              <w:t>00</w:t>
            </w:r>
          </w:p>
        </w:tc>
        <w:tc>
          <w:tcPr>
            <w:tcW w:w="939" w:type="dxa"/>
            <w:tcBorders>
              <w:top w:val="nil"/>
              <w:left w:val="nil"/>
              <w:bottom w:val="nil"/>
              <w:right w:val="single" w:sz="4" w:space="0" w:color="auto"/>
            </w:tcBorders>
            <w:vAlign w:val="center"/>
          </w:tcPr>
          <w:p w:rsidR="00716FC4" w:rsidP="00716FC4" w14:paraId="23B1820E" w14:textId="46382724">
            <w:pPr>
              <w:keepNext/>
              <w:autoSpaceDE w:val="0"/>
              <w:autoSpaceDN w:val="0"/>
              <w:adjustRightInd w:val="0"/>
              <w:jc w:val="center"/>
              <w:rPr>
                <w:color w:val="000000"/>
              </w:rPr>
            </w:pPr>
            <w:r>
              <w:rPr>
                <w:color w:val="000000"/>
              </w:rPr>
              <w:t>5,</w:t>
            </w:r>
            <w:r w:rsidR="00941519">
              <w:rPr>
                <w:color w:val="000000"/>
              </w:rPr>
              <w:t>7</w:t>
            </w:r>
            <w:r>
              <w:rPr>
                <w:color w:val="000000"/>
              </w:rPr>
              <w:t>00</w:t>
            </w:r>
          </w:p>
        </w:tc>
      </w:tr>
      <w:tr w14:paraId="0024D270" w14:textId="77777777" w:rsidTr="00BE1333">
        <w:tblPrEx>
          <w:tblW w:w="10384" w:type="dxa"/>
          <w:jc w:val="center"/>
          <w:tblLayout w:type="fixed"/>
          <w:tblLook w:val="04A0"/>
        </w:tblPrEx>
        <w:trPr>
          <w:jc w:val="center"/>
        </w:trPr>
        <w:tc>
          <w:tcPr>
            <w:tcW w:w="4753" w:type="dxa"/>
            <w:tcBorders>
              <w:top w:val="nil"/>
              <w:left w:val="single" w:sz="4" w:space="0" w:color="auto"/>
              <w:bottom w:val="single" w:sz="4" w:space="0" w:color="auto"/>
              <w:right w:val="single" w:sz="4" w:space="0" w:color="auto"/>
            </w:tcBorders>
            <w:vAlign w:val="center"/>
            <w:hideMark/>
          </w:tcPr>
          <w:p w:rsidR="00716FC4" w:rsidP="00716FC4" w14:paraId="34BEA17E" w14:textId="77777777">
            <w:pPr>
              <w:keepNext/>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sz="4" w:space="0" w:color="auto"/>
              <w:right w:val="nil"/>
            </w:tcBorders>
            <w:vAlign w:val="center"/>
          </w:tcPr>
          <w:p w:rsidR="00716FC4" w:rsidP="00716FC4" w14:paraId="10462A61" w14:textId="07F9FBD3">
            <w:pPr>
              <w:keepNext/>
              <w:autoSpaceDE w:val="0"/>
              <w:autoSpaceDN w:val="0"/>
              <w:adjustRightInd w:val="0"/>
              <w:jc w:val="center"/>
              <w:rPr>
                <w:color w:val="000000"/>
              </w:rPr>
            </w:pPr>
            <w:r>
              <w:rPr>
                <w:color w:val="000000"/>
              </w:rPr>
              <w:t>40</w:t>
            </w:r>
          </w:p>
        </w:tc>
        <w:tc>
          <w:tcPr>
            <w:tcW w:w="938" w:type="dxa"/>
            <w:tcBorders>
              <w:top w:val="nil"/>
              <w:left w:val="nil"/>
              <w:bottom w:val="single" w:sz="4" w:space="0" w:color="auto"/>
              <w:right w:val="nil"/>
            </w:tcBorders>
            <w:vAlign w:val="center"/>
          </w:tcPr>
          <w:p w:rsidR="00716FC4" w:rsidP="00716FC4" w14:paraId="6ED48947" w14:textId="3510E3E5">
            <w:pPr>
              <w:keepNext/>
              <w:autoSpaceDE w:val="0"/>
              <w:autoSpaceDN w:val="0"/>
              <w:adjustRightInd w:val="0"/>
              <w:jc w:val="center"/>
              <w:rPr>
                <w:color w:val="000000"/>
              </w:rPr>
            </w:pPr>
            <w:r>
              <w:rPr>
                <w:color w:val="000000"/>
              </w:rPr>
              <w:t>40</w:t>
            </w:r>
          </w:p>
        </w:tc>
        <w:tc>
          <w:tcPr>
            <w:tcW w:w="939" w:type="dxa"/>
            <w:tcBorders>
              <w:top w:val="nil"/>
              <w:left w:val="nil"/>
              <w:bottom w:val="single" w:sz="4" w:space="0" w:color="auto"/>
              <w:right w:val="single" w:sz="4" w:space="0" w:color="auto"/>
            </w:tcBorders>
            <w:vAlign w:val="center"/>
          </w:tcPr>
          <w:p w:rsidR="00716FC4" w:rsidP="00716FC4" w14:paraId="6AA351EA" w14:textId="79C8CCCF">
            <w:pPr>
              <w:keepNext/>
              <w:autoSpaceDE w:val="0"/>
              <w:autoSpaceDN w:val="0"/>
              <w:adjustRightInd w:val="0"/>
              <w:jc w:val="center"/>
              <w:rPr>
                <w:color w:val="000000"/>
              </w:rPr>
            </w:pPr>
            <w:r>
              <w:rPr>
                <w:color w:val="000000"/>
              </w:rPr>
              <w:t>40</w:t>
            </w:r>
          </w:p>
        </w:tc>
        <w:tc>
          <w:tcPr>
            <w:tcW w:w="938" w:type="dxa"/>
            <w:tcBorders>
              <w:top w:val="nil"/>
              <w:left w:val="nil"/>
              <w:bottom w:val="single" w:sz="4" w:space="0" w:color="auto"/>
              <w:right w:val="nil"/>
            </w:tcBorders>
            <w:vAlign w:val="center"/>
          </w:tcPr>
          <w:p w:rsidR="00716FC4" w:rsidP="00716FC4" w14:paraId="168A7838" w14:textId="734262CC">
            <w:pPr>
              <w:keepNext/>
              <w:autoSpaceDE w:val="0"/>
              <w:autoSpaceDN w:val="0"/>
              <w:adjustRightInd w:val="0"/>
              <w:jc w:val="center"/>
              <w:rPr>
                <w:color w:val="000000"/>
              </w:rPr>
            </w:pPr>
            <w:r>
              <w:rPr>
                <w:color w:val="000000"/>
              </w:rPr>
              <w:t>40</w:t>
            </w:r>
          </w:p>
        </w:tc>
        <w:tc>
          <w:tcPr>
            <w:tcW w:w="939" w:type="dxa"/>
            <w:tcBorders>
              <w:top w:val="nil"/>
              <w:left w:val="nil"/>
              <w:bottom w:val="single" w:sz="4" w:space="0" w:color="auto"/>
              <w:right w:val="nil"/>
            </w:tcBorders>
            <w:vAlign w:val="center"/>
          </w:tcPr>
          <w:p w:rsidR="00716FC4" w:rsidP="00716FC4" w14:paraId="5932B9A2" w14:textId="54D51A54">
            <w:pPr>
              <w:keepNext/>
              <w:autoSpaceDE w:val="0"/>
              <w:autoSpaceDN w:val="0"/>
              <w:adjustRightInd w:val="0"/>
              <w:jc w:val="center"/>
              <w:rPr>
                <w:color w:val="000000"/>
              </w:rPr>
            </w:pPr>
            <w:r>
              <w:rPr>
                <w:color w:val="000000"/>
              </w:rPr>
              <w:t>40</w:t>
            </w:r>
          </w:p>
        </w:tc>
        <w:tc>
          <w:tcPr>
            <w:tcW w:w="939" w:type="dxa"/>
            <w:tcBorders>
              <w:top w:val="nil"/>
              <w:left w:val="nil"/>
              <w:bottom w:val="single" w:sz="4" w:space="0" w:color="auto"/>
              <w:right w:val="single" w:sz="4" w:space="0" w:color="auto"/>
            </w:tcBorders>
            <w:vAlign w:val="center"/>
          </w:tcPr>
          <w:p w:rsidR="00716FC4" w:rsidP="00716FC4" w14:paraId="0A086C06" w14:textId="0E5FE9DA">
            <w:pPr>
              <w:keepNext/>
              <w:autoSpaceDE w:val="0"/>
              <w:autoSpaceDN w:val="0"/>
              <w:adjustRightInd w:val="0"/>
              <w:jc w:val="center"/>
              <w:rPr>
                <w:color w:val="000000"/>
              </w:rPr>
            </w:pPr>
            <w:r>
              <w:rPr>
                <w:color w:val="000000"/>
              </w:rPr>
              <w:t>40</w:t>
            </w:r>
          </w:p>
        </w:tc>
      </w:tr>
    </w:tbl>
    <w:p w:rsidR="00716FC4" w:rsidP="00716FC4" w14:paraId="1FA9C544" w14:textId="77777777">
      <w:pPr>
        <w:tabs>
          <w:tab w:val="left" w:pos="1176"/>
          <w:tab w:val="left" w:pos="1656"/>
          <w:tab w:val="left" w:pos="5016"/>
          <w:tab w:val="left" w:pos="6696"/>
          <w:tab w:val="left" w:pos="8256"/>
        </w:tabs>
      </w:pPr>
    </w:p>
    <w:bookmarkEnd w:id="10"/>
    <w:p w:rsidR="004763DE" w:rsidP="004763DE" w14:paraId="7EFBE7B4" w14:textId="35DD7473">
      <w:pPr>
        <w:tabs>
          <w:tab w:val="left" w:pos="1176"/>
          <w:tab w:val="left" w:pos="1656"/>
          <w:tab w:val="left" w:pos="5016"/>
          <w:tab w:val="left" w:pos="6696"/>
          <w:tab w:val="left" w:pos="8256"/>
        </w:tabs>
        <w:rPr>
          <w:bCs/>
          <w:iCs/>
        </w:rPr>
      </w:pPr>
      <w:r>
        <w:t xml:space="preserve">Each year the </w:t>
      </w:r>
      <w:r w:rsidRPr="00FF6091" w:rsidR="00291C69">
        <w:t xml:space="preserve">Interview </w:t>
      </w:r>
      <w:r w:rsidR="00291C69">
        <w:t>S</w:t>
      </w:r>
      <w:r w:rsidRPr="00FF6091" w:rsidR="00291C69">
        <w:t>urvey</w:t>
      </w:r>
      <w:r>
        <w:t xml:space="preserve">’s sample will have approximately </w:t>
      </w:r>
      <w:r w:rsidR="00330DAB">
        <w:t>50,000</w:t>
      </w:r>
      <w:r>
        <w:t xml:space="preserve"> addresses. Of those addresses, 85% </w:t>
      </w:r>
      <w:r>
        <w:rPr>
          <w:bCs/>
          <w:iCs/>
        </w:rPr>
        <w:t>are expected to be occupied housing units, and the other</w:t>
      </w:r>
      <w:r>
        <w:t xml:space="preserve"> 15</w:t>
      </w:r>
      <w:r>
        <w:rPr>
          <w:bCs/>
          <w:iCs/>
        </w:rPr>
        <w:t xml:space="preserve">% are expected to be “Type B/C” </w:t>
      </w:r>
      <w:r>
        <w:rPr>
          <w:bCs/>
          <w:iCs/>
        </w:rPr>
        <w:t>noninterviews</w:t>
      </w:r>
      <w:r>
        <w:rPr>
          <w:bCs/>
          <w:iCs/>
        </w:rPr>
        <w:t>, which are addresses that are not occupied housing units (</w:t>
      </w:r>
      <w:r w:rsidR="00D6464E">
        <w:rPr>
          <w:bCs/>
          <w:iCs/>
        </w:rPr>
        <w:t>i.e.</w:t>
      </w:r>
      <w:r w:rsidR="00F978C1">
        <w:rPr>
          <w:bCs/>
          <w:iCs/>
        </w:rPr>
        <w:t xml:space="preserve">, </w:t>
      </w:r>
      <w:r>
        <w:rPr>
          <w:bCs/>
          <w:iCs/>
        </w:rPr>
        <w:t xml:space="preserve">nonexistent, nonresidential, vacant, demolished, etc.). Of the occupied housing units, 40% are expected to complete an interview, and the other 60% are expected to be “Type A” </w:t>
      </w:r>
      <w:r>
        <w:rPr>
          <w:bCs/>
          <w:iCs/>
        </w:rPr>
        <w:t>noninterviews</w:t>
      </w:r>
      <w:r>
        <w:rPr>
          <w:bCs/>
          <w:iCs/>
        </w:rPr>
        <w:t xml:space="preserve">, which are occupied housing units that do not participate in the survey. This is expected to yield approximately </w:t>
      </w:r>
      <w:r w:rsidR="00330DAB">
        <w:rPr>
          <w:bCs/>
          <w:iCs/>
        </w:rPr>
        <w:t>17,000</w:t>
      </w:r>
      <w:r>
        <w:rPr>
          <w:bCs/>
          <w:iCs/>
        </w:rPr>
        <w:t xml:space="preserve"> </w:t>
      </w:r>
      <w:r>
        <w:rPr>
          <w:bCs/>
          <w:iCs/>
        </w:rPr>
        <w:t>completed</w:t>
      </w:r>
      <w:r>
        <w:rPr>
          <w:bCs/>
          <w:iCs/>
        </w:rPr>
        <w:t xml:space="preserve"> interviews per year.</w:t>
      </w:r>
    </w:p>
    <w:p w:rsidR="004763DE" w:rsidP="004763DE" w14:paraId="20F4DBFA" w14:textId="77777777">
      <w:pPr>
        <w:tabs>
          <w:tab w:val="left" w:pos="1176"/>
          <w:tab w:val="left" w:pos="1656"/>
          <w:tab w:val="left" w:pos="5016"/>
          <w:tab w:val="left" w:pos="6696"/>
          <w:tab w:val="left" w:pos="8256"/>
        </w:tabs>
        <w:rPr>
          <w:bCs/>
          <w:iCs/>
        </w:rPr>
      </w:pPr>
    </w:p>
    <w:p w:rsidR="004763DE" w:rsidP="004763DE" w14:paraId="6CA7DBC3" w14:textId="6B2230A1">
      <w:pPr>
        <w:tabs>
          <w:tab w:val="left" w:pos="1176"/>
          <w:tab w:val="left" w:pos="1656"/>
          <w:tab w:val="left" w:pos="5016"/>
          <w:tab w:val="left" w:pos="6696"/>
          <w:tab w:val="left" w:pos="8256"/>
        </w:tabs>
        <w:rPr>
          <w:bCs/>
          <w:iCs/>
        </w:rPr>
      </w:pPr>
      <w:r>
        <w:rPr>
          <w:bCs/>
          <w:iCs/>
        </w:rPr>
        <w:t>Similarly, e</w:t>
      </w:r>
      <w:r>
        <w:t>ach year the</w:t>
      </w:r>
      <w:r w:rsidR="00291C69">
        <w:t xml:space="preserve"> Diary Survey</w:t>
      </w:r>
      <w:r>
        <w:t xml:space="preserve">’s sample will have approximately </w:t>
      </w:r>
      <w:r w:rsidR="00330DAB">
        <w:t>16,700</w:t>
      </w:r>
      <w:r>
        <w:t xml:space="preserve"> addresses. Of those addresses, </w:t>
      </w:r>
      <w:r>
        <w:rPr>
          <w:bCs/>
          <w:iCs/>
        </w:rPr>
        <w:t xml:space="preserve">85% are expected to be occupied housing units, and the other 15% are expected to be “Type B/C” </w:t>
      </w:r>
      <w:r>
        <w:rPr>
          <w:bCs/>
          <w:iCs/>
        </w:rPr>
        <w:t>noninterviews</w:t>
      </w:r>
      <w:r>
        <w:rPr>
          <w:bCs/>
          <w:iCs/>
        </w:rPr>
        <w:t xml:space="preserve">. Of the occupied housing units, </w:t>
      </w:r>
      <w:r w:rsidR="00941519">
        <w:rPr>
          <w:bCs/>
          <w:iCs/>
        </w:rPr>
        <w:t>40</w:t>
      </w:r>
      <w:r>
        <w:rPr>
          <w:bCs/>
          <w:iCs/>
        </w:rPr>
        <w:t xml:space="preserve">% are expected to complete their diaries, and the other </w:t>
      </w:r>
      <w:r w:rsidR="00330DAB">
        <w:rPr>
          <w:bCs/>
          <w:iCs/>
        </w:rPr>
        <w:t>6</w:t>
      </w:r>
      <w:r w:rsidR="00941519">
        <w:rPr>
          <w:bCs/>
          <w:iCs/>
        </w:rPr>
        <w:t>0</w:t>
      </w:r>
      <w:r>
        <w:rPr>
          <w:bCs/>
          <w:iCs/>
        </w:rPr>
        <w:t xml:space="preserve">% are expected to be “Type A” </w:t>
      </w:r>
      <w:r>
        <w:rPr>
          <w:bCs/>
          <w:iCs/>
        </w:rPr>
        <w:t>noninterviews</w:t>
      </w:r>
      <w:r>
        <w:rPr>
          <w:bCs/>
          <w:iCs/>
        </w:rPr>
        <w:t xml:space="preserve">. This is expected to yield approximately </w:t>
      </w:r>
      <w:r w:rsidR="00330DAB">
        <w:rPr>
          <w:bCs/>
          <w:iCs/>
        </w:rPr>
        <w:t>1</w:t>
      </w:r>
      <w:r w:rsidR="00941519">
        <w:rPr>
          <w:bCs/>
          <w:iCs/>
        </w:rPr>
        <w:t>1</w:t>
      </w:r>
      <w:r w:rsidR="00330DAB">
        <w:rPr>
          <w:bCs/>
          <w:iCs/>
        </w:rPr>
        <w:t>,</w:t>
      </w:r>
      <w:r w:rsidR="00941519">
        <w:rPr>
          <w:bCs/>
          <w:iCs/>
        </w:rPr>
        <w:t>4</w:t>
      </w:r>
      <w:r w:rsidR="00330DAB">
        <w:rPr>
          <w:bCs/>
          <w:iCs/>
        </w:rPr>
        <w:t>00 (= 5,</w:t>
      </w:r>
      <w:r w:rsidR="00941519">
        <w:rPr>
          <w:bCs/>
          <w:iCs/>
        </w:rPr>
        <w:t>7</w:t>
      </w:r>
      <w:r w:rsidR="00330DAB">
        <w:rPr>
          <w:bCs/>
          <w:iCs/>
        </w:rPr>
        <w:t xml:space="preserve">00 × 2) </w:t>
      </w:r>
      <w:r>
        <w:rPr>
          <w:bCs/>
          <w:iCs/>
        </w:rPr>
        <w:t>weekly diaries per year.</w:t>
      </w:r>
    </w:p>
    <w:bookmarkEnd w:id="11"/>
    <w:p w:rsidR="00191863" w:rsidP="00191863" w14:paraId="0478DAC8" w14:textId="77777777">
      <w:pPr>
        <w:tabs>
          <w:tab w:val="left" w:pos="1176"/>
          <w:tab w:val="left" w:pos="1656"/>
          <w:tab w:val="left" w:pos="5016"/>
          <w:tab w:val="left" w:pos="6696"/>
          <w:tab w:val="left" w:pos="8256"/>
        </w:tabs>
      </w:pPr>
    </w:p>
    <w:p w:rsidR="00DB7E67" w:rsidRPr="00DB7E67" w:rsidP="00E50881" w14:paraId="0E0EEC4A" w14:textId="77777777">
      <w:pPr>
        <w:pStyle w:val="BlockText"/>
        <w:ind w:left="0" w:right="0"/>
        <w:rPr>
          <w:u w:val="single"/>
        </w:rPr>
      </w:pPr>
      <w:r w:rsidRPr="00DB7E67">
        <w:rPr>
          <w:u w:val="single"/>
        </w:rPr>
        <w:t>Nonresponse Bias</w:t>
      </w:r>
    </w:p>
    <w:p w:rsidR="00EF23D8" w:rsidRPr="00D5420B" w:rsidP="00E50881" w14:paraId="6D8B9950" w14:textId="761001A1">
      <w:pPr>
        <w:pStyle w:val="BlockText"/>
        <w:ind w:left="0" w:right="0"/>
      </w:pPr>
      <w:r w:rsidRPr="00B776E5">
        <w:t>In</w:t>
      </w:r>
      <w:r w:rsidR="00B96A33">
        <w:t xml:space="preserve"> </w:t>
      </w:r>
      <w:r w:rsidR="003F10B6">
        <w:t>2022</w:t>
      </w:r>
      <w:r w:rsidRPr="00B776E5">
        <w:t xml:space="preserve"> CE staff </w:t>
      </w:r>
      <w:r w:rsidR="003F10B6">
        <w:t xml:space="preserve">completed </w:t>
      </w:r>
      <w:r w:rsidRPr="00B776E5">
        <w:t>a nonresponse bias study to determine whether the</w:t>
      </w:r>
      <w:r w:rsidR="00291C69">
        <w:t xml:space="preserve"> </w:t>
      </w:r>
      <w:r w:rsidRPr="00FF6091" w:rsidR="00291C69">
        <w:t xml:space="preserve">Interview </w:t>
      </w:r>
      <w:r w:rsidR="00291C69">
        <w:t>S</w:t>
      </w:r>
      <w:r w:rsidRPr="00FF6091" w:rsidR="00291C69">
        <w:t>urvey</w:t>
      </w:r>
      <w:r w:rsidR="00FD0E1E">
        <w:t xml:space="preserve"> and </w:t>
      </w:r>
      <w:r w:rsidR="00291C69">
        <w:t>Diary Surveys</w:t>
      </w:r>
      <w:r>
        <w:t xml:space="preserve">’ </w:t>
      </w:r>
      <w:r w:rsidRPr="00B776E5">
        <w:t xml:space="preserve">nonrespondents </w:t>
      </w:r>
      <w:r w:rsidR="003F10B6">
        <w:t>we</w:t>
      </w:r>
      <w:r w:rsidR="00FB5C94">
        <w:t>re</w:t>
      </w:r>
      <w:r w:rsidR="001B3782">
        <w:t xml:space="preserve"> “missing completely at random</w:t>
      </w:r>
      <w:r w:rsidR="00790585">
        <w:t>”</w:t>
      </w:r>
      <w:r>
        <w:t xml:space="preserve"> (MCAR)</w:t>
      </w:r>
      <w:r w:rsidR="001B3782">
        <w:t xml:space="preserve">, and whether </w:t>
      </w:r>
      <w:r w:rsidR="00FB5C94">
        <w:t>their</w:t>
      </w:r>
      <w:r w:rsidR="001B3782">
        <w:t xml:space="preserve"> missing-ness </w:t>
      </w:r>
      <w:r w:rsidRPr="00B776E5">
        <w:t>generate</w:t>
      </w:r>
      <w:r w:rsidR="003F10B6">
        <w:t>d</w:t>
      </w:r>
      <w:r w:rsidRPr="00B776E5">
        <w:t xml:space="preserve"> any bias in </w:t>
      </w:r>
      <w:r w:rsidR="000B22CD">
        <w:t>the</w:t>
      </w:r>
      <w:r w:rsidRPr="00B776E5">
        <w:t xml:space="preserve"> published </w:t>
      </w:r>
      <w:r w:rsidR="007D5342">
        <w:t xml:space="preserve">expenditure </w:t>
      </w:r>
      <w:r w:rsidRPr="00B776E5">
        <w:t>estimates</w:t>
      </w:r>
      <w:r w:rsidR="003F10B6">
        <w:t xml:space="preserve"> </w:t>
      </w:r>
      <w:r w:rsidR="00F72B41">
        <w:t xml:space="preserve">over </w:t>
      </w:r>
      <w:r w:rsidR="003F10B6">
        <w:t>the ten-year period 2010-2019</w:t>
      </w:r>
      <w:r w:rsidR="005E57BF">
        <w:t xml:space="preserve">. </w:t>
      </w:r>
      <w:r w:rsidRPr="00B776E5">
        <w:t xml:space="preserve">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t xml:space="preserve"> </w:t>
      </w:r>
      <w:r w:rsidR="003F10B6">
        <w:t>we</w:t>
      </w:r>
      <w:r>
        <w:t xml:space="preserve">re not MCAR, </w:t>
      </w:r>
      <w:r w:rsidR="00501602">
        <w:t>and</w:t>
      </w:r>
      <w:r w:rsidR="006B1B9D">
        <w:t xml:space="preserve"> </w:t>
      </w:r>
      <w:r>
        <w:t xml:space="preserve">the </w:t>
      </w:r>
      <w:r w:rsidRPr="00D5420B">
        <w:t xml:space="preserve">amount of bias </w:t>
      </w:r>
      <w:r w:rsidRPr="00D5420B" w:rsidR="00F95565">
        <w:t xml:space="preserve">they </w:t>
      </w:r>
      <w:r w:rsidRPr="00D5420B">
        <w:t>generate</w:t>
      </w:r>
      <w:r w:rsidR="003F10B6">
        <w:t>d was</w:t>
      </w:r>
      <w:r w:rsidRPr="00D5420B">
        <w:t xml:space="preserve"> small.</w:t>
      </w:r>
    </w:p>
    <w:p w:rsidR="00EF23D8" w:rsidP="00E50881" w14:paraId="1F858860" w14:textId="77777777">
      <w:pPr>
        <w:pStyle w:val="BlockText"/>
        <w:ind w:left="0" w:right="0"/>
      </w:pPr>
    </w:p>
    <w:p w:rsidR="00A37186" w:rsidP="00E50881" w14:paraId="4B20DE91" w14:textId="2CE2E92B">
      <w:pPr>
        <w:pStyle w:val="BlockText"/>
        <w:ind w:left="0" w:right="0"/>
      </w:pPr>
      <w:r>
        <w:t xml:space="preserve">The </w:t>
      </w:r>
      <w:r w:rsidR="001E28C9">
        <w:t>MCAR part of th</w:t>
      </w:r>
      <w:r w:rsidR="00DC7408">
        <w:t>e</w:t>
      </w:r>
      <w:r w:rsidR="001E28C9">
        <w:t xml:space="preserve"> </w:t>
      </w:r>
      <w:r w:rsidR="00BD7A41">
        <w:t xml:space="preserve">study </w:t>
      </w:r>
      <w:r w:rsidR="004E0A7E">
        <w:t>had four sub-studies</w:t>
      </w:r>
      <w:r w:rsidR="005E57BF">
        <w:t xml:space="preserve">. </w:t>
      </w:r>
      <w:r w:rsidR="004E0A7E">
        <w:t xml:space="preserve">They </w:t>
      </w:r>
      <w:r>
        <w:t>found d</w:t>
      </w:r>
      <w:r w:rsidR="00CD6CE1">
        <w:t>ifferent demographic groups ha</w:t>
      </w:r>
      <w:r w:rsidR="003F10B6">
        <w:t>d</w:t>
      </w:r>
      <w:r w:rsidR="00CD6CE1">
        <w:t xml:space="preserve"> different response rates; respondents </w:t>
      </w:r>
      <w:r w:rsidR="00F95565">
        <w:t>ha</w:t>
      </w:r>
      <w:r w:rsidR="003F10B6">
        <w:t>d</w:t>
      </w:r>
      <w:r w:rsidR="00F95565">
        <w:t xml:space="preser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3F10B6">
        <w:t>d</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variables </w:t>
      </w:r>
      <w:r w:rsidR="00EE210D">
        <w:t>that were</w:t>
      </w:r>
      <w:r w:rsidR="00DC7408">
        <w:t xml:space="preserve"> statistically significant</w:t>
      </w:r>
      <w:r w:rsidR="005E57BF">
        <w:t xml:space="preserve">. </w:t>
      </w:r>
      <w:r w:rsidR="008C3115">
        <w:t>A</w:t>
      </w:r>
      <w:r w:rsidR="009B75E2">
        <w:t xml:space="preserve">ll four sub-studies indicated that CE’s nonrespondents </w:t>
      </w:r>
      <w:r w:rsidR="003F10B6">
        <w:t>we</w:t>
      </w:r>
      <w:r w:rsidR="009B75E2">
        <w:t>re not MCAR</w:t>
      </w:r>
      <w:r w:rsidR="005E57BF">
        <w:t xml:space="preserve">. </w:t>
      </w:r>
      <w:r w:rsidR="00D02A20">
        <w:t xml:space="preserve">The most significant finding </w:t>
      </w:r>
      <w:r w:rsidR="00D02A20">
        <w:t>within</w:t>
      </w:r>
      <w:r w:rsidR="00D02A20">
        <w:t xml:space="preserve"> </w:t>
      </w:r>
      <w:r w:rsidR="00294D26">
        <w:t>the four sub-studies</w:t>
      </w:r>
      <w:r w:rsidR="00342465">
        <w:t xml:space="preserve"> </w:t>
      </w:r>
      <w:r w:rsidR="00FC23A5">
        <w:t>wa</w:t>
      </w:r>
      <w:r w:rsidR="00342465">
        <w:t>s that high-income households ha</w:t>
      </w:r>
      <w:r w:rsidR="003F10B6">
        <w:t>d</w:t>
      </w:r>
      <w:r w:rsidR="00342465">
        <w:t xml:space="preserve"> lower response rates than low-income households, which </w:t>
      </w:r>
      <w:r w:rsidR="00FC23A5">
        <w:t>i</w:t>
      </w:r>
      <w:r w:rsidR="00342465">
        <w:t xml:space="preserve">s a concern </w:t>
      </w:r>
      <w:r w:rsidR="00296FFA">
        <w:t>because</w:t>
      </w:r>
      <w:r w:rsidR="00342465">
        <w:t xml:space="preserve"> </w:t>
      </w:r>
      <w:r w:rsidR="008C3115">
        <w:t xml:space="preserve">the </w:t>
      </w:r>
      <w:r w:rsidR="00342465">
        <w:t xml:space="preserve">CE </w:t>
      </w:r>
      <w:r w:rsidR="008C3115">
        <w:t xml:space="preserve">surveys </w:t>
      </w:r>
      <w:r w:rsidR="00D30B6C">
        <w:t>focus</w:t>
      </w:r>
      <w:r w:rsidR="00342465">
        <w:t xml:space="preserve"> on expenditures</w:t>
      </w:r>
      <w:r w:rsidR="00294D26">
        <w:t>, and income is correlated with expenditures</w:t>
      </w:r>
      <w:r w:rsidR="00342465">
        <w:t>.</w:t>
      </w:r>
    </w:p>
    <w:p w:rsidR="00D02A20" w:rsidP="00E50881" w14:paraId="08744A65" w14:textId="77777777">
      <w:pPr>
        <w:pStyle w:val="BlockText"/>
        <w:ind w:left="0" w:right="0"/>
      </w:pPr>
    </w:p>
    <w:p w:rsidR="00D5420B" w:rsidP="00E50881" w14:paraId="4707460E" w14:textId="3A7E5A65">
      <w:pPr>
        <w:pStyle w:val="BlockText"/>
        <w:ind w:left="0" w:right="0"/>
      </w:pPr>
      <w:r>
        <w:t xml:space="preserve">The </w:t>
      </w:r>
      <w:r w:rsidR="00D03253">
        <w:t xml:space="preserve">bias part of the </w:t>
      </w:r>
      <w:r w:rsidR="00BD7A41">
        <w:t xml:space="preserve">study </w:t>
      </w:r>
      <w:r w:rsidR="004E0A7E">
        <w:t>also had four sub-studies</w:t>
      </w:r>
      <w:r w:rsidR="005E57BF">
        <w:t xml:space="preserve">. </w:t>
      </w:r>
      <w:r w:rsidR="004E0A7E">
        <w:t xml:space="preserve">They </w:t>
      </w:r>
      <w:r w:rsidR="003D33B6">
        <w:t>examined</w:t>
      </w:r>
      <w:r w:rsidR="007D5342">
        <w:t xml:space="preserve"> </w:t>
      </w:r>
      <w:r w:rsidR="00BD7A41">
        <w:t xml:space="preserve">four different nonresponse </w:t>
      </w:r>
      <w:r w:rsidR="00F66467">
        <w:t xml:space="preserve">weighting </w:t>
      </w:r>
      <w:r w:rsidR="00BD7A41">
        <w:t xml:space="preserve">adjustment procedures </w:t>
      </w:r>
      <w:r w:rsidR="005714C7">
        <w:t>to</w:t>
      </w:r>
      <w:r w:rsidR="00A37186">
        <w:t xml:space="preserve"> get an idea of the range of </w:t>
      </w:r>
      <w:r w:rsidR="00095029">
        <w:t xml:space="preserve">possible values </w:t>
      </w:r>
      <w:r w:rsidR="00D02A20">
        <w:t xml:space="preserve">that </w:t>
      </w:r>
      <w:r w:rsidR="00095029">
        <w:t>the “correct” nonresponse</w:t>
      </w:r>
      <w:r w:rsidR="00297C2D">
        <w:t>-</w:t>
      </w:r>
      <w:r w:rsidR="00095029">
        <w:t>adjust</w:t>
      </w:r>
      <w:r w:rsidR="00297C2D">
        <w:t>ed expenditure estimates</w:t>
      </w:r>
      <w:r w:rsidR="00BE146C">
        <w:t xml:space="preserve"> might </w:t>
      </w:r>
      <w:r w:rsidR="0032468F">
        <w:t>have</w:t>
      </w:r>
      <w:r w:rsidR="005E57BF">
        <w:t xml:space="preserve">. </w:t>
      </w:r>
      <w:r w:rsidR="00297C2D">
        <w:t xml:space="preserve">All four procedures increased the </w:t>
      </w:r>
      <w:r w:rsidRPr="00FF6091" w:rsidR="00291C69">
        <w:t xml:space="preserve">Interview </w:t>
      </w:r>
      <w:r w:rsidR="00291C69">
        <w:t>S</w:t>
      </w:r>
      <w:r w:rsidRPr="00FF6091" w:rsidR="00291C69">
        <w:t>urvey</w:t>
      </w:r>
      <w:r w:rsidR="00297C2D">
        <w:t xml:space="preserve">’s expenditure estimates </w:t>
      </w:r>
      <w:r w:rsidR="00546D51">
        <w:t xml:space="preserve">by </w:t>
      </w:r>
      <w:r w:rsidR="005B426B">
        <w:t xml:space="preserve">about </w:t>
      </w:r>
      <w:r w:rsidR="00297C2D">
        <w:t>one percent</w:t>
      </w:r>
      <w:r w:rsidRPr="001730EF" w:rsidR="001730EF">
        <w:t xml:space="preserve"> </w:t>
      </w:r>
      <w:r w:rsidR="001730EF">
        <w:t xml:space="preserve">from </w:t>
      </w:r>
      <w:r w:rsidR="00FD0E1E">
        <w:t>its</w:t>
      </w:r>
      <w:r w:rsidR="001730EF">
        <w:t xml:space="preserve"> base-weighted </w:t>
      </w:r>
      <w:r w:rsidR="00D03253">
        <w:t xml:space="preserve">(i.e., unadjusted) </w:t>
      </w:r>
      <w:r w:rsidR="007D2F07">
        <w:t>values</w:t>
      </w:r>
      <w:r w:rsidR="00297C2D">
        <w:t xml:space="preserve">, and all four procedures decreased the </w:t>
      </w:r>
      <w:r w:rsidR="00291C69">
        <w:t>Diary Survey</w:t>
      </w:r>
      <w:r w:rsidR="00297C2D">
        <w:t xml:space="preserve">’s expenditure estimates by </w:t>
      </w:r>
      <w:r w:rsidR="005B426B">
        <w:t xml:space="preserve">about </w:t>
      </w:r>
      <w:r w:rsidR="00297C2D">
        <w:t>one percent</w:t>
      </w:r>
      <w:r w:rsidRPr="00D30B6C" w:rsidR="00D30B6C">
        <w:t xml:space="preserve"> </w:t>
      </w:r>
      <w:r w:rsidR="00D30B6C">
        <w:t xml:space="preserve">from </w:t>
      </w:r>
      <w:r w:rsidR="00FD0E1E">
        <w:t>its</w:t>
      </w:r>
      <w:r w:rsidR="00D30B6C">
        <w:t xml:space="preserve"> base-weighted values</w:t>
      </w:r>
      <w:r w:rsidR="005E57BF">
        <w:t xml:space="preserve">. </w:t>
      </w:r>
      <w:r w:rsidR="000B22CD">
        <w:t>Th</w:t>
      </w:r>
      <w:r w:rsidR="0032468F">
        <w:t>u</w:t>
      </w:r>
      <w:r w:rsidR="000B22CD">
        <w:t>s</w:t>
      </w:r>
      <w:r w:rsidR="003D79D8">
        <w:t>,</w:t>
      </w:r>
      <w:r w:rsidR="000B22CD">
        <w:t xml:space="preserve"> </w:t>
      </w:r>
      <w:r w:rsidR="00EE210D">
        <w:t xml:space="preserve">in </w:t>
      </w:r>
      <w:r w:rsidR="005B426B">
        <w:t>both surveys</w:t>
      </w:r>
      <w:r w:rsidR="00EE210D">
        <w:t xml:space="preserve"> </w:t>
      </w:r>
      <w:r w:rsidR="007D2F07">
        <w:t xml:space="preserve">CE’s </w:t>
      </w:r>
      <w:r w:rsidR="00BE146C">
        <w:t xml:space="preserve">expenditure estimates would have </w:t>
      </w:r>
      <w:r>
        <w:t>been</w:t>
      </w:r>
      <w:r w:rsidR="000B22CD">
        <w:t xml:space="preserve"> </w:t>
      </w:r>
      <w:r w:rsidR="00DF00F5">
        <w:t xml:space="preserve">biased </w:t>
      </w:r>
      <w:r w:rsidR="007D2F07">
        <w:t xml:space="preserve">by </w:t>
      </w:r>
      <w:r w:rsidR="000B22CD">
        <w:t xml:space="preserve">about one percent if </w:t>
      </w:r>
      <w:r w:rsidR="009F01C2">
        <w:t xml:space="preserve">the </w:t>
      </w:r>
      <w:r>
        <w:t xml:space="preserve">nonresponse </w:t>
      </w:r>
      <w:r w:rsidR="009F01C2">
        <w:t>weighting adjustment</w:t>
      </w:r>
      <w:r w:rsidR="00D30B6C">
        <w:t xml:space="preserve"> procedure</w:t>
      </w:r>
      <w:r w:rsidR="009F01C2">
        <w:t xml:space="preserve"> </w:t>
      </w:r>
      <w:r w:rsidR="00093005">
        <w:t xml:space="preserve">had </w:t>
      </w:r>
      <w:r w:rsidR="00BE146C">
        <w:t>been ignored</w:t>
      </w:r>
      <w:r w:rsidR="005E57BF">
        <w:t xml:space="preserve">. </w:t>
      </w:r>
      <w:bookmarkStart w:id="12" w:name="_Hlk171583935"/>
      <w:r w:rsidR="00FC23A5">
        <w:t>The consistency of all four</w:t>
      </w:r>
      <w:r w:rsidR="003D79D8">
        <w:t xml:space="preserve"> sub-studies </w:t>
      </w:r>
      <w:r w:rsidR="00FC23A5">
        <w:t>suggests that the results are robust.</w:t>
      </w:r>
      <w:bookmarkEnd w:id="12"/>
    </w:p>
    <w:p w:rsidR="00D5420B" w:rsidP="00E50881" w14:paraId="7D1757B5" w14:textId="77777777">
      <w:pPr>
        <w:pStyle w:val="BlockText"/>
        <w:ind w:left="0" w:right="0"/>
      </w:pPr>
    </w:p>
    <w:p w:rsidR="00CD53B7" w:rsidP="00E50881" w14:paraId="038CA5AE" w14:textId="607F8A49">
      <w:pPr>
        <w:pStyle w:val="BlockText"/>
        <w:ind w:left="0" w:right="0"/>
      </w:pPr>
      <w:r>
        <w:t>O</w:t>
      </w:r>
      <w:r w:rsidR="00FC23A5">
        <w:t>verall</w:t>
      </w:r>
      <w:r w:rsidR="00D30B6C">
        <w:t>,</w:t>
      </w:r>
      <w:r w:rsidR="00FC23A5">
        <w:t xml:space="preserve"> the </w:t>
      </w:r>
      <w:r>
        <w:t xml:space="preserve">nonresponse bias </w:t>
      </w:r>
      <w:r w:rsidR="00FC23A5">
        <w:t xml:space="preserve">study showed that CE’s nonresponse </w:t>
      </w:r>
      <w:r>
        <w:t>weighting adjustment</w:t>
      </w:r>
      <w:r w:rsidR="005B426B">
        <w:t xml:space="preserve"> procedure</w:t>
      </w:r>
      <w:r w:rsidR="00FD0E1E">
        <w:t xml:space="preserve"> is</w:t>
      </w:r>
      <w:r>
        <w:t xml:space="preserve"> working well</w:t>
      </w:r>
      <w:r w:rsidR="005E57BF">
        <w:t xml:space="preserve">. </w:t>
      </w:r>
      <w:r w:rsidR="00D30B6C">
        <w:t xml:space="preserve">The </w:t>
      </w:r>
      <w:r w:rsidR="005B426B">
        <w:t>nonrespondents</w:t>
      </w:r>
      <w:r w:rsidR="00D30B6C">
        <w:t xml:space="preserve"> are not MCAR, but the amount of bias they generate is small</w:t>
      </w:r>
      <w:r w:rsidR="00FD0E1E">
        <w:t xml:space="preserve">, and the 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5E57BF">
        <w:t xml:space="preserve">. </w:t>
      </w:r>
      <w:r w:rsidR="009F01C2">
        <w:t>The study provided a counterexample to the commonly</w:t>
      </w:r>
      <w:r w:rsidR="003D79D8">
        <w:t xml:space="preserve"> </w:t>
      </w:r>
      <w:r w:rsidR="009F01C2">
        <w:t xml:space="preserve">held belief that if a survey’s data </w:t>
      </w:r>
      <w:r w:rsidR="009F01C2">
        <w:t>are</w:t>
      </w:r>
      <w:r w:rsidR="009F01C2">
        <w:t xml:space="preserve"> not missing completely at random</w:t>
      </w:r>
      <w:r w:rsidR="008C1D3C">
        <w:t>,</w:t>
      </w:r>
      <w:r w:rsidR="009F01C2">
        <w:t xml:space="preserve"> then its estimates are subject to nonresponse bias.</w:t>
      </w:r>
    </w:p>
    <w:p w:rsidR="00FC23A5" w:rsidP="00E50881" w14:paraId="45BCBF7B" w14:textId="77777777">
      <w:pPr>
        <w:pStyle w:val="BlockText"/>
        <w:ind w:left="0" w:right="0"/>
      </w:pPr>
    </w:p>
    <w:p w:rsidR="00CE635D" w:rsidRPr="008B321E" w:rsidP="00CE635D" w14:paraId="750A9F28" w14:textId="1C5EB726">
      <w:pPr>
        <w:pStyle w:val="BlockText"/>
        <w:ind w:left="0" w:right="0"/>
        <w:rPr>
          <w:szCs w:val="24"/>
        </w:rPr>
      </w:pPr>
      <w:r w:rsidRPr="008B321E">
        <w:rPr>
          <w:szCs w:val="24"/>
        </w:rPr>
        <w:t xml:space="preserve">For more information on the calculation of response rates, see the memorandum from Sharon Krieger </w:t>
      </w:r>
      <w:r w:rsidRPr="008B321E" w:rsidR="001A6C5C">
        <w:rPr>
          <w:szCs w:val="24"/>
        </w:rPr>
        <w:t>to</w:t>
      </w:r>
      <w:r w:rsidRPr="008B321E">
        <w:rPr>
          <w:szCs w:val="24"/>
        </w:rPr>
        <w:t xml:space="preserve"> David Swanson on “</w:t>
      </w:r>
      <w:r w:rsidR="00611F15">
        <w:rPr>
          <w:szCs w:val="24"/>
        </w:rPr>
        <w:t>202</w:t>
      </w:r>
      <w:r w:rsidR="002C06B5">
        <w:rPr>
          <w:szCs w:val="24"/>
        </w:rPr>
        <w:t>4</w:t>
      </w:r>
      <w:r w:rsidR="00611F15">
        <w:rPr>
          <w:szCs w:val="24"/>
        </w:rPr>
        <w:t xml:space="preserve"> Response Rates for the Interview and Diary Surveys</w:t>
      </w:r>
      <w:r w:rsidRPr="008B321E">
        <w:rPr>
          <w:szCs w:val="24"/>
        </w:rPr>
        <w:t xml:space="preserve">” (Attachment </w:t>
      </w:r>
      <w:r w:rsidR="000B3434">
        <w:rPr>
          <w:szCs w:val="24"/>
        </w:rPr>
        <w:t>V</w:t>
      </w:r>
      <w:r w:rsidRPr="008B321E">
        <w:rPr>
          <w:szCs w:val="24"/>
        </w:rPr>
        <w:t>)</w:t>
      </w:r>
      <w:r w:rsidRPr="008B321E" w:rsidR="005E57BF">
        <w:rPr>
          <w:szCs w:val="24"/>
        </w:rPr>
        <w:t xml:space="preserve">. </w:t>
      </w:r>
      <w:r w:rsidRPr="008B321E" w:rsidR="00DF2DE5">
        <w:rPr>
          <w:szCs w:val="24"/>
        </w:rPr>
        <w:t>For more information on the nonresponse bias studies, see “</w:t>
      </w:r>
      <w:r w:rsidRPr="008B321E" w:rsidR="008B321E">
        <w:rPr>
          <w:szCs w:val="24"/>
        </w:rPr>
        <w:t>A Nonresponse Bias Study of the Consumer Expenditure Survey for the Ten-Year Period 2010-2019</w:t>
      </w:r>
      <w:r w:rsidRPr="008B321E" w:rsidR="00DF2DE5">
        <w:rPr>
          <w:szCs w:val="24"/>
        </w:rPr>
        <w:t xml:space="preserve">” (Attachment </w:t>
      </w:r>
      <w:r w:rsidR="000B3434">
        <w:rPr>
          <w:szCs w:val="24"/>
        </w:rPr>
        <w:t>W</w:t>
      </w:r>
      <w:r w:rsidRPr="008B321E" w:rsidR="00DF2DE5">
        <w:rPr>
          <w:szCs w:val="24"/>
        </w:rPr>
        <w:t>).</w:t>
      </w:r>
    </w:p>
    <w:p w:rsidR="009959F2" w:rsidP="00CE635D" w14:paraId="3388BAB1" w14:textId="77777777">
      <w:pPr>
        <w:pStyle w:val="BlockText"/>
        <w:ind w:left="0" w:right="0"/>
      </w:pPr>
    </w:p>
    <w:p w:rsidR="00D02A20" w:rsidP="005B2881" w14:paraId="05EAF39F" w14:textId="77777777"/>
    <w:p w:rsidR="00D02A20" w:rsidP="005B2881" w14:paraId="2190C9E5" w14:textId="77777777"/>
    <w:p w:rsidR="00731BD6" w:rsidRPr="00731BD6" w:rsidP="00731BD6" w14:paraId="7DCB8213" w14:textId="1F561F57">
      <w:pPr>
        <w:rPr>
          <w:b/>
        </w:rPr>
      </w:pPr>
      <w:r w:rsidRPr="00731BD6">
        <w:rPr>
          <w:b/>
        </w:rPr>
        <w:t>2</w:t>
      </w:r>
      <w:r w:rsidR="005E57BF">
        <w:rPr>
          <w:b/>
        </w:rPr>
        <w:t xml:space="preserve">. </w:t>
      </w:r>
      <w:r w:rsidRPr="00731BD6">
        <w:rPr>
          <w:b/>
        </w:rPr>
        <w:t>Describe the procedures for the collection of information including:</w:t>
      </w:r>
    </w:p>
    <w:p w:rsidR="00731BD6" w:rsidRPr="00731BD6" w:rsidP="00731BD6" w14:paraId="034A0493" w14:textId="68366E18">
      <w:pPr>
        <w:widowControl w:val="0"/>
        <w:numPr>
          <w:ilvl w:val="0"/>
          <w:numId w:val="47"/>
        </w:numPr>
        <w:autoSpaceDE w:val="0"/>
        <w:autoSpaceDN w:val="0"/>
        <w:adjustRightInd w:val="0"/>
        <w:spacing w:after="120"/>
        <w:rPr>
          <w:b/>
        </w:rPr>
      </w:pPr>
      <w:r w:rsidRPr="00731BD6">
        <w:rPr>
          <w:b/>
        </w:rPr>
        <w:t xml:space="preserve">Statistical methodology for stratification and sample </w:t>
      </w:r>
      <w:r w:rsidRPr="00731BD6">
        <w:rPr>
          <w:b/>
        </w:rPr>
        <w:t>selection</w:t>
      </w:r>
      <w:r w:rsidR="00D02A20">
        <w:rPr>
          <w:b/>
        </w:rPr>
        <w:t>;</w:t>
      </w:r>
    </w:p>
    <w:p w:rsidR="00731BD6" w:rsidRPr="00731BD6" w:rsidP="00731BD6" w14:paraId="499E1DA5" w14:textId="7986333E">
      <w:pPr>
        <w:widowControl w:val="0"/>
        <w:numPr>
          <w:ilvl w:val="0"/>
          <w:numId w:val="47"/>
        </w:numPr>
        <w:autoSpaceDE w:val="0"/>
        <w:autoSpaceDN w:val="0"/>
        <w:adjustRightInd w:val="0"/>
        <w:spacing w:after="120"/>
        <w:rPr>
          <w:b/>
        </w:rPr>
      </w:pPr>
      <w:r w:rsidRPr="00731BD6">
        <w:rPr>
          <w:b/>
        </w:rPr>
        <w:t xml:space="preserve">Estimation </w:t>
      </w:r>
      <w:r w:rsidRPr="00731BD6">
        <w:rPr>
          <w:b/>
        </w:rPr>
        <w:t>procedure</w:t>
      </w:r>
      <w:r w:rsidR="00D02A20">
        <w:rPr>
          <w:b/>
        </w:rPr>
        <w:t>;</w:t>
      </w:r>
    </w:p>
    <w:p w:rsidR="00731BD6" w:rsidRPr="00731BD6" w:rsidP="00731BD6" w14:paraId="51E41D28" w14:textId="4948E0AA">
      <w:pPr>
        <w:widowControl w:val="0"/>
        <w:numPr>
          <w:ilvl w:val="0"/>
          <w:numId w:val="47"/>
        </w:numPr>
        <w:autoSpaceDE w:val="0"/>
        <w:autoSpaceDN w:val="0"/>
        <w:adjustRightInd w:val="0"/>
        <w:spacing w:after="120"/>
        <w:rPr>
          <w:b/>
        </w:rPr>
      </w:pPr>
      <w:r w:rsidRPr="00731BD6">
        <w:rPr>
          <w:b/>
        </w:rPr>
        <w:t xml:space="preserve">Degree of accuracy needed for the purpose described in the </w:t>
      </w:r>
      <w:r w:rsidRPr="00731BD6">
        <w:rPr>
          <w:b/>
        </w:rPr>
        <w:t>justification</w:t>
      </w:r>
      <w:r w:rsidR="00D02A20">
        <w:rPr>
          <w:b/>
        </w:rPr>
        <w:t>;</w:t>
      </w:r>
    </w:p>
    <w:p w:rsidR="00731BD6" w:rsidRPr="00731BD6" w:rsidP="00731BD6" w14:paraId="373F6CAF" w14:textId="1EEE7249">
      <w:pPr>
        <w:widowControl w:val="0"/>
        <w:numPr>
          <w:ilvl w:val="0"/>
          <w:numId w:val="47"/>
        </w:numPr>
        <w:autoSpaceDE w:val="0"/>
        <w:autoSpaceDN w:val="0"/>
        <w:adjustRightInd w:val="0"/>
        <w:spacing w:after="120"/>
        <w:rPr>
          <w:b/>
        </w:rPr>
      </w:pPr>
      <w:r w:rsidRPr="00731BD6">
        <w:rPr>
          <w:b/>
        </w:rPr>
        <w:t>Unusual problems requiring specialized sampling procedures</w:t>
      </w:r>
      <w:r w:rsidR="00D02A20">
        <w:rPr>
          <w:b/>
        </w:rPr>
        <w:t>;</w:t>
      </w:r>
      <w:r w:rsidRPr="00731BD6">
        <w:rPr>
          <w:b/>
        </w:rPr>
        <w:t xml:space="preserve"> and</w:t>
      </w:r>
    </w:p>
    <w:p w:rsidR="00731BD6" w:rsidRPr="00731BD6" w:rsidP="00731BD6" w14:paraId="173957A8" w14:textId="4A9E1355">
      <w:pPr>
        <w:widowControl w:val="0"/>
        <w:numPr>
          <w:ilvl w:val="0"/>
          <w:numId w:val="46"/>
        </w:numPr>
        <w:autoSpaceDE w:val="0"/>
        <w:autoSpaceDN w:val="0"/>
        <w:adjustRightInd w:val="0"/>
        <w:contextualSpacing/>
        <w:rPr>
          <w:b/>
        </w:rPr>
      </w:pPr>
      <w:r w:rsidRPr="00731BD6">
        <w:rPr>
          <w:b/>
        </w:rPr>
        <w:t>Any use of periodic (less frequent than annual) data collection cycles to reduce burden.</w:t>
      </w:r>
    </w:p>
    <w:p w:rsidR="00D02A20" w:rsidP="00B33073" w14:paraId="2D58861D" w14:textId="77777777">
      <w:pPr>
        <w:tabs>
          <w:tab w:val="left" w:pos="1176"/>
          <w:tab w:val="left" w:pos="1656"/>
          <w:tab w:val="left" w:pos="5016"/>
          <w:tab w:val="left" w:pos="6696"/>
          <w:tab w:val="left" w:pos="8256"/>
        </w:tabs>
        <w:outlineLvl w:val="0"/>
      </w:pPr>
    </w:p>
    <w:p w:rsidR="005C34B5" w:rsidRPr="005C34B5" w:rsidP="005C34B5" w14:paraId="3C276E75" w14:textId="311A433D">
      <w:pPr>
        <w:pStyle w:val="NormalWeb"/>
        <w:spacing w:before="0" w:beforeAutospacing="0" w:after="0" w:afterAutospacing="0"/>
      </w:pPr>
      <w:r w:rsidRPr="005C34B5">
        <w:t xml:space="preserve">Field representatives </w:t>
      </w:r>
      <w:r w:rsidR="00616AE5">
        <w:t xml:space="preserve">(FRs) </w:t>
      </w:r>
      <w:r w:rsidRPr="005C34B5">
        <w:t>from the U.S. Census Bureau, under contract with BLS, collect data from CE’s sample households both in-person and by telephone. Historically, the preference has been to collect data in-person, but during the COVID pandemic interviewing by telephone became the primary way of collecting data. The reason was to safeguard the health of CE’s field representatives and the people in the sample households</w:t>
      </w:r>
      <w:r w:rsidR="00EA474D">
        <w:t>, and</w:t>
      </w:r>
      <w:r w:rsidRPr="00EA474D" w:rsidR="00EA474D">
        <w:t xml:space="preserve"> </w:t>
      </w:r>
      <w:r w:rsidR="00EA474D">
        <w:t xml:space="preserve">to </w:t>
      </w:r>
      <w:r w:rsidRPr="005C34B5" w:rsidR="00EA474D">
        <w:t>prevent the spread of the COVID virus</w:t>
      </w:r>
      <w:r w:rsidRPr="005C34B5">
        <w:t xml:space="preserve">. In 2021 approximately 30% of </w:t>
      </w:r>
      <w:r w:rsidR="00291C69">
        <w:t xml:space="preserve">the </w:t>
      </w:r>
      <w:r w:rsidRPr="00FF6091" w:rsidR="00291C69">
        <w:t xml:space="preserve">Interview </w:t>
      </w:r>
      <w:r w:rsidR="00291C69">
        <w:t>S</w:t>
      </w:r>
      <w:r w:rsidRPr="00FF6091" w:rsidR="00291C69">
        <w:t>urvey</w:t>
      </w:r>
      <w:r w:rsidRPr="005C34B5">
        <w:t xml:space="preserve">’s interviews were conducted in-person and 70% were conducted by telephone; and for </w:t>
      </w:r>
      <w:r w:rsidR="00291C69">
        <w:t xml:space="preserve">the Diary Survey </w:t>
      </w:r>
      <w:r w:rsidRPr="005C34B5">
        <w:t xml:space="preserve">approximately 60% of the interviews were conducted in-person and 40% were conducted by telephone. This practice will continue for the foreseeable future. See Attachment </w:t>
      </w:r>
      <w:r w:rsidR="005F5FDC">
        <w:t>H</w:t>
      </w:r>
      <w:r w:rsidRPr="005C34B5" w:rsidR="00537FBF">
        <w:t xml:space="preserve"> </w:t>
      </w:r>
      <w:r w:rsidRPr="005C34B5">
        <w:t xml:space="preserve">- </w:t>
      </w:r>
      <w:r w:rsidR="00291C69">
        <w:t>Diary Survey</w:t>
      </w:r>
      <w:r w:rsidRPr="005C34B5">
        <w:t xml:space="preserve"> </w:t>
      </w:r>
      <w:r w:rsidR="00FA1CF7">
        <w:t>Advance Letter</w:t>
      </w:r>
      <w:r w:rsidRPr="005C34B5">
        <w:t xml:space="preserve"> Procedures and Diary Email Template for additional information on modifications resulting from COVID.</w:t>
      </w:r>
    </w:p>
    <w:p w:rsidR="00FB2DC2" w:rsidP="005E2F7B" w14:paraId="1496749A" w14:textId="77777777">
      <w:pPr>
        <w:pStyle w:val="BlockText"/>
        <w:ind w:left="0" w:right="0"/>
      </w:pPr>
    </w:p>
    <w:p w:rsidR="005E2F7B" w:rsidP="005E2F7B" w14:paraId="50835677" w14:textId="24214F2F">
      <w:pPr>
        <w:pStyle w:val="BlockText"/>
        <w:ind w:left="0" w:right="0"/>
      </w:pPr>
      <w:r>
        <w:t xml:space="preserve">FRs </w:t>
      </w:r>
      <w:r>
        <w:t>visit</w:t>
      </w:r>
      <w:r>
        <w:t xml:space="preserve"> or phone</w:t>
      </w:r>
      <w:r>
        <w:t xml:space="preserve"> each household in the </w:t>
      </w:r>
      <w:r w:rsidRPr="00FF6091" w:rsidR="00291C69">
        <w:t xml:space="preserve">Interview </w:t>
      </w:r>
      <w:r w:rsidR="00291C69">
        <w:t>S</w:t>
      </w:r>
      <w:r w:rsidRPr="00FF6091" w:rsidR="00291C69">
        <w:t>urvey</w:t>
      </w:r>
      <w:r>
        <w:t xml:space="preserve">’s sample every 3 months for 4 consecutive quarters to collect information on the expenditures the households made during the previous 3 months. After participating in the survey for 4 quarters, the household is dropped from the survey and replaced by another household. The households in the </w:t>
      </w:r>
      <w:r w:rsidRPr="00FF6091" w:rsidR="00291C69">
        <w:t xml:space="preserve">Interview </w:t>
      </w:r>
      <w:r w:rsidR="00291C69">
        <w:t>S</w:t>
      </w:r>
      <w:r w:rsidRPr="00FF6091" w:rsidR="00291C69">
        <w:t>urvey</w:t>
      </w:r>
      <w:r>
        <w:t xml:space="preserve"> are on a rotating schedule with approximately one-fourth of the households in the sample being new to the survey each quarter.</w:t>
      </w:r>
    </w:p>
    <w:p w:rsidR="005E2F7B" w:rsidP="00B33073" w14:paraId="696B25AE" w14:textId="77777777">
      <w:pPr>
        <w:tabs>
          <w:tab w:val="left" w:pos="1176"/>
          <w:tab w:val="left" w:pos="1656"/>
          <w:tab w:val="left" w:pos="5016"/>
          <w:tab w:val="left" w:pos="6696"/>
          <w:tab w:val="left" w:pos="8256"/>
        </w:tabs>
        <w:outlineLvl w:val="0"/>
      </w:pPr>
    </w:p>
    <w:p w:rsidR="0004108B" w:rsidP="005E2F7B" w14:paraId="5A2AD16B" w14:textId="43FE6FEB">
      <w:pPr>
        <w:tabs>
          <w:tab w:val="left" w:pos="1176"/>
          <w:tab w:val="left" w:pos="1656"/>
          <w:tab w:val="left" w:pos="5016"/>
          <w:tab w:val="left" w:pos="6696"/>
          <w:tab w:val="left" w:pos="8256"/>
        </w:tabs>
        <w:outlineLvl w:val="0"/>
      </w:pPr>
      <w:r>
        <w:t xml:space="preserve">Prior to the first visit, </w:t>
      </w:r>
      <w:r w:rsidR="005E2F7B">
        <w:t>the sample households</w:t>
      </w:r>
      <w:r>
        <w:t xml:space="preserve"> are sent an advance letter informing them that they </w:t>
      </w:r>
      <w:r w:rsidR="00062159">
        <w:t xml:space="preserve">were </w:t>
      </w:r>
      <w:r>
        <w:t xml:space="preserve">selected for the </w:t>
      </w:r>
      <w:r w:rsidR="007C65F2">
        <w:t>survey and</w:t>
      </w:r>
      <w:r>
        <w:t xml:space="preserve"> asking </w:t>
      </w:r>
      <w:r w:rsidR="00062159">
        <w:t xml:space="preserve">them </w:t>
      </w:r>
      <w:r>
        <w:t>for their cooperation</w:t>
      </w:r>
      <w:r w:rsidR="005E57BF">
        <w:t xml:space="preserve">. </w:t>
      </w:r>
      <w:r>
        <w:t xml:space="preserve">For subsequent visits in the </w:t>
      </w:r>
      <w:r w:rsidRPr="00FF6091" w:rsidR="00291C69">
        <w:t xml:space="preserve">Interview </w:t>
      </w:r>
      <w:r w:rsidR="00291C69">
        <w:t>S</w:t>
      </w:r>
      <w:r w:rsidRPr="00FF6091" w:rsidR="00291C69">
        <w:t>urvey</w:t>
      </w:r>
      <w:r>
        <w:t xml:space="preserve">, </w:t>
      </w:r>
      <w:r w:rsidR="005E2F7B">
        <w:t>the households</w:t>
      </w:r>
      <w:r>
        <w:t xml:space="preserve"> are sent an advance letter reminding them that </w:t>
      </w:r>
      <w:r w:rsidR="000E60EA">
        <w:t xml:space="preserve">it </w:t>
      </w:r>
      <w:r>
        <w:t xml:space="preserve">has been 3 months since they last participated in the </w:t>
      </w:r>
      <w:r w:rsidR="007C65F2">
        <w:t>survey and</w:t>
      </w:r>
      <w:r>
        <w:t xml:space="preserve"> asking </w:t>
      </w:r>
      <w:r w:rsidR="00062159">
        <w:t xml:space="preserve">them </w:t>
      </w:r>
      <w:r>
        <w:t>for their cooperation again</w:t>
      </w:r>
      <w:r w:rsidR="005E57BF">
        <w:t xml:space="preserve">. </w:t>
      </w:r>
      <w:r w:rsidR="003627EA">
        <w:t>F</w:t>
      </w:r>
      <w:r>
        <w:t>ield representatives enter the</w:t>
      </w:r>
      <w:r w:rsidR="006D0A65">
        <w:t xml:space="preserve"> household’s</w:t>
      </w:r>
      <w:r>
        <w:t xml:space="preserve"> responses into a laptop computer.</w:t>
      </w:r>
    </w:p>
    <w:p w:rsidR="001D729C" w:rsidP="005B2881" w14:paraId="044A6E07" w14:textId="77777777">
      <w:pPr>
        <w:pStyle w:val="BlockText"/>
        <w:ind w:left="0" w:right="0"/>
      </w:pPr>
    </w:p>
    <w:p w:rsidR="00FB2DC2" w:rsidP="00287475" w14:paraId="2202221A" w14:textId="63036AAF">
      <w:pPr>
        <w:pStyle w:val="BlockText"/>
        <w:ind w:left="0" w:right="0"/>
      </w:pPr>
      <w:r w:rsidRPr="006A745F">
        <w:t>For the</w:t>
      </w:r>
      <w:r w:rsidR="00291C69">
        <w:t xml:space="preserve"> Diary Survey</w:t>
      </w:r>
      <w:r w:rsidRPr="006A745F">
        <w:t xml:space="preserve">, field representatives visit </w:t>
      </w:r>
      <w:r>
        <w:t xml:space="preserve">or telephone </w:t>
      </w:r>
      <w:r w:rsidRPr="006A745F">
        <w:t>each household in the sample t</w:t>
      </w:r>
      <w:r w:rsidRPr="006A745F" w:rsidR="006A745F">
        <w:t>wo</w:t>
      </w:r>
      <w:r w:rsidRPr="006A745F">
        <w:t xml:space="preserve"> times to collect information on the expenditures they ma</w:t>
      </w:r>
      <w:r w:rsidRPr="006A745F" w:rsidR="004C7B96">
        <w:t>k</w:t>
      </w:r>
      <w:r w:rsidRPr="006A745F">
        <w:t>e during a 2-week period.</w:t>
      </w:r>
    </w:p>
    <w:p w:rsidR="00FB2DC2" w:rsidP="00287475" w14:paraId="777DE281" w14:textId="77777777">
      <w:pPr>
        <w:pStyle w:val="BlockText"/>
        <w:ind w:left="0" w:right="0"/>
      </w:pPr>
    </w:p>
    <w:p w:rsidR="005C34B5" w:rsidP="005C34B5" w14:paraId="0CEFB132" w14:textId="201EDD84">
      <w:r>
        <w:t>On the first visit in the</w:t>
      </w:r>
      <w:r w:rsidR="00291C69">
        <w:t xml:space="preserve"> Diary Survey</w:t>
      </w:r>
      <w:r>
        <w:t xml:space="preserve">, the field representatives introduce themselves, explain the survey, and help the households choose between filling out the diaries on paper or online. Households choosing to fill out the diaries on paper are given two weekly diary forms, one for each week of the survey period, while households choosing to fill out the diaries online are given an electronic link to the diary and an Online Diary User Guide. </w:t>
      </w:r>
      <w:r w:rsidR="008C0485">
        <w:t>H</w:t>
      </w:r>
      <w:r>
        <w:t xml:space="preserve">ouseholds are asked to record </w:t>
      </w:r>
      <w:r>
        <w:t xml:space="preserve">all the expenditures they make over the 2-week survey period. </w:t>
      </w:r>
      <w:r w:rsidR="008C0485">
        <w:t>F</w:t>
      </w:r>
      <w:r>
        <w:t xml:space="preserve">or the households </w:t>
      </w:r>
      <w:r w:rsidR="00C874C8">
        <w:t>choosing to fill</w:t>
      </w:r>
      <w:r>
        <w:t xml:space="preserve"> out the diaries on paper, the field representatives make a second visit to pick up the completed </w:t>
      </w:r>
      <w:r w:rsidR="007C65F2">
        <w:t>diaries and</w:t>
      </w:r>
      <w:r>
        <w:t xml:space="preserve"> thank them for participating in the survey. All the households are dropped from the survey</w:t>
      </w:r>
      <w:r w:rsidR="008C0485">
        <w:t xml:space="preserve"> after their 2-week period</w:t>
      </w:r>
      <w:r>
        <w:t xml:space="preserve"> and replaced by other households.</w:t>
      </w:r>
    </w:p>
    <w:p w:rsidR="009C67B7" w:rsidP="009C67B7" w14:paraId="7195FD4B" w14:textId="77777777">
      <w:pPr>
        <w:pStyle w:val="BlockText"/>
        <w:ind w:left="0" w:right="0"/>
      </w:pPr>
    </w:p>
    <w:p w:rsidR="009C67B7" w:rsidP="009C67B7" w14:paraId="2223210E" w14:textId="2E764BC7">
      <w:pPr>
        <w:pStyle w:val="BlockText"/>
        <w:ind w:left="0" w:right="0"/>
      </w:pPr>
      <w:r>
        <w:t xml:space="preserve">After completing the second week of the </w:t>
      </w:r>
      <w:r w:rsidR="00291C69">
        <w:t xml:space="preserve">Diary Survey </w:t>
      </w:r>
      <w:r>
        <w:t xml:space="preserve">and the fourth quarter of the </w:t>
      </w:r>
      <w:r w:rsidRPr="00FF6091" w:rsidR="00291C69">
        <w:t xml:space="preserve">Interview </w:t>
      </w:r>
      <w:r w:rsidR="00291C69">
        <w:t>S</w:t>
      </w:r>
      <w:r w:rsidRPr="00FF6091" w:rsidR="00291C69">
        <w:t>urvey</w:t>
      </w:r>
      <w:r>
        <w:t>, the households are sent a Thank You letter and a certificate of appreciation for their participation in the survey.</w:t>
      </w:r>
    </w:p>
    <w:p w:rsidR="005C34B5" w:rsidP="005C34B5" w14:paraId="626D7C17" w14:textId="77777777"/>
    <w:p w:rsidR="005C34B5" w:rsidP="005C34B5" w14:paraId="1D3E6FA6" w14:textId="1BAD64AB">
      <w:r>
        <w:t xml:space="preserve">During the COVID pandemic, procedures were </w:t>
      </w:r>
      <w:r w:rsidRPr="00150E03">
        <w:t>modified to allow field representatives to contact households by telephone in lieu of personal visits. Whichever way the households are initially contacted, the field representatives give them three options</w:t>
      </w:r>
      <w:r>
        <w:t xml:space="preserve"> for filling out the diaries: mailing them a diary form that allows them to fill it out by hand; emailing them a link to a diary form that allows them to fill it out online; or calling them on the telephone and having them report their expenditures </w:t>
      </w:r>
      <w:r w:rsidR="0096474E">
        <w:t>verbally</w:t>
      </w:r>
      <w:r>
        <w:t>.</w:t>
      </w:r>
    </w:p>
    <w:p w:rsidR="00505B67" w:rsidP="005B2881" w14:paraId="730D5C97" w14:textId="77777777">
      <w:pPr>
        <w:pStyle w:val="BodyTextIndent2"/>
        <w:ind w:left="0"/>
      </w:pPr>
    </w:p>
    <w:p w:rsidR="001041FE" w:rsidP="005B2881" w14:paraId="62A5F740" w14:textId="77777777">
      <w:pPr>
        <w:pStyle w:val="BodyText"/>
        <w:rPr>
          <w:u w:val="single"/>
        </w:rPr>
      </w:pPr>
      <w:r>
        <w:rPr>
          <w:u w:val="single"/>
        </w:rPr>
        <w:t>Estimation</w:t>
      </w:r>
    </w:p>
    <w:p w:rsidR="001041FE" w:rsidRPr="00E3685C" w:rsidP="005B2881" w14:paraId="140B4FC2" w14:textId="0B45E4C4">
      <w:pPr>
        <w:pStyle w:val="BodyText"/>
      </w:pPr>
      <w:r w:rsidRPr="004A73A8">
        <w:rPr>
          <w:szCs w:val="24"/>
        </w:rPr>
        <w:t>The primary statistic calculated by the C</w:t>
      </w:r>
      <w:r w:rsidR="00A8555C">
        <w:rPr>
          <w:szCs w:val="24"/>
        </w:rPr>
        <w:t>E survey</w:t>
      </w:r>
      <w:r w:rsidRPr="004A73A8">
        <w:rPr>
          <w:szCs w:val="24"/>
        </w:rPr>
        <w:t xml:space="preserve"> is the average annual expenditure per consumer unit. It is a weighted average whose calculation follows </w:t>
      </w:r>
      <w:r>
        <w:t>well-</w:t>
      </w:r>
      <w:r w:rsidRPr="00E3685C">
        <w:t>established</w:t>
      </w:r>
      <w:r>
        <w:t xml:space="preserve"> statistical principles</w:t>
      </w:r>
      <w:r w:rsidR="005E57BF">
        <w:t xml:space="preserve">. </w:t>
      </w:r>
      <w:r w:rsidRPr="00E3685C">
        <w:t xml:space="preserve">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812D55">
        <w:t xml:space="preserve"> </w:t>
      </w:r>
      <w:r w:rsidR="00EC671D">
        <w:t>n</w:t>
      </w:r>
      <w:r w:rsidR="00812D55">
        <w:t>onresponse</w:t>
      </w:r>
      <w:r>
        <w:t xml:space="preserve"> adjustment </w:t>
      </w:r>
      <w:r w:rsidR="00086F87">
        <w:t xml:space="preserve">factor </w:t>
      </w:r>
      <w:r w:rsidR="00EA474D">
        <w:t>(</w:t>
      </w:r>
      <w:r>
        <w:t xml:space="preserve">to account for </w:t>
      </w:r>
      <w:r>
        <w:t>noninterviews</w:t>
      </w:r>
      <w:r w:rsidR="00EA474D">
        <w:t>)</w:t>
      </w:r>
      <w:r>
        <w:t xml:space="preserve">; and a </w:t>
      </w:r>
      <w:r w:rsidRPr="00E3685C">
        <w:t>calibration</w:t>
      </w:r>
      <w:r>
        <w:t xml:space="preserve"> adjustment </w:t>
      </w:r>
      <w:r w:rsidR="00086F87">
        <w:t xml:space="preserve">factor </w:t>
      </w:r>
      <w:r w:rsidR="00EA474D">
        <w:t>(</w:t>
      </w:r>
      <w:r>
        <w:t>t</w:t>
      </w:r>
      <w:r w:rsidR="00812D55">
        <w:t>o</w:t>
      </w:r>
      <w:r>
        <w:t xml:space="preserve"> post-</w:t>
      </w:r>
      <w:r w:rsidRPr="00E3685C">
        <w:t>stratif</w:t>
      </w:r>
      <w:r w:rsidR="00812D55">
        <w:t>y</w:t>
      </w:r>
      <w:r w:rsidRPr="00E3685C">
        <w:t xml:space="preserve"> the weights</w:t>
      </w:r>
      <w:r>
        <w:t xml:space="preserve"> to </w:t>
      </w:r>
      <w:r w:rsidRPr="00E3685C">
        <w:t>account</w:t>
      </w:r>
      <w:r>
        <w:t xml:space="preserve"> for population </w:t>
      </w:r>
      <w:r w:rsidRPr="00E3685C">
        <w:t>undercoverage</w:t>
      </w:r>
      <w:r w:rsidR="00EA474D">
        <w:t>)</w:t>
      </w:r>
      <w:r w:rsidR="005E57BF">
        <w:t xml:space="preserve">. </w:t>
      </w:r>
      <w:r w:rsidR="00B3703D">
        <w:t xml:space="preserve">A typical base weight for a CU </w:t>
      </w:r>
      <w:r w:rsidR="00463A00">
        <w:t xml:space="preserve">in the </w:t>
      </w:r>
      <w:r w:rsidRPr="00FF6091" w:rsidR="00291C69">
        <w:t xml:space="preserve">Interview </w:t>
      </w:r>
      <w:r w:rsidR="00291C69">
        <w:t>S</w:t>
      </w:r>
      <w:r w:rsidRPr="00FF6091" w:rsidR="00291C69">
        <w:t xml:space="preserve">urvey </w:t>
      </w:r>
      <w:r w:rsidR="00B3703D">
        <w:t xml:space="preserve">is </w:t>
      </w:r>
      <w:r w:rsidR="007E0399">
        <w:t xml:space="preserve">approximately </w:t>
      </w:r>
      <w:r w:rsidR="00B3703D">
        <w:t>10,000, which means it represents 10,000 CUs</w:t>
      </w:r>
      <w:r w:rsidR="00440530">
        <w:t xml:space="preserve"> in the population</w:t>
      </w:r>
      <w:r w:rsidR="00A93DE7">
        <w:t xml:space="preserve"> </w:t>
      </w:r>
      <w:r w:rsidR="00B3703D">
        <w:t>– itself plus 9,999 other CUs that were not selected for the survey</w:t>
      </w:r>
      <w:r w:rsidR="005E57BF">
        <w:t xml:space="preserve">. </w:t>
      </w:r>
      <w:r w:rsidR="00B3703D">
        <w:t xml:space="preserve">A typical final weight is </w:t>
      </w:r>
      <w:r w:rsidR="007E0399">
        <w:t xml:space="preserve">approximately </w:t>
      </w:r>
      <w:r w:rsidR="00B60583">
        <w:t>30</w:t>
      </w:r>
      <w:r w:rsidR="00B3703D">
        <w:t xml:space="preserve">,000, which means it represents </w:t>
      </w:r>
      <w:r w:rsidR="00B60583">
        <w:t>30</w:t>
      </w:r>
      <w:r w:rsidR="00B3703D">
        <w:t>,000 CUs</w:t>
      </w:r>
      <w:r w:rsidR="00BC57D8">
        <w:t xml:space="preserve"> in the population</w:t>
      </w:r>
      <w:r w:rsidR="00B3703D">
        <w:t xml:space="preserve"> – itself plus</w:t>
      </w:r>
      <w:r w:rsidR="0060357C">
        <w:t xml:space="preserve"> </w:t>
      </w:r>
      <w:r w:rsidR="00D63514">
        <w:t>29</w:t>
      </w:r>
      <w:r w:rsidR="00B3703D">
        <w:t xml:space="preserve">,999 other CUs that </w:t>
      </w:r>
      <w:r w:rsidR="0015295A">
        <w:t xml:space="preserve">were not selected for the survey and/or </w:t>
      </w:r>
      <w:r w:rsidR="00B3703D">
        <w:t>did not participate in the survey.</w:t>
      </w:r>
    </w:p>
    <w:p w:rsidR="001041FE" w:rsidRPr="00E3685C" w:rsidP="005B2881" w14:paraId="10FF8279" w14:textId="77777777">
      <w:pPr>
        <w:pStyle w:val="BodyText"/>
      </w:pPr>
    </w:p>
    <w:p w:rsidR="001041FE" w:rsidP="005B2881" w14:paraId="353D09E4" w14:textId="2CBD5DCF">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0B3434">
        <w:t>X</w:t>
      </w:r>
      <w:r>
        <w:t>)</w:t>
      </w:r>
      <w:r w:rsidR="007E0399">
        <w:t xml:space="preserve">; </w:t>
      </w:r>
      <w:r w:rsidR="00FA1CF7">
        <w:t>see the memorandum</w:t>
      </w:r>
      <w:r w:rsidRPr="00293BD0" w:rsidR="00FA1CF7">
        <w:t xml:space="preserve"> </w:t>
      </w:r>
      <w:r w:rsidR="00FA1CF7">
        <w:t>from Adam Safir to Jennifer Epps</w:t>
      </w:r>
      <w:r w:rsidR="00FA1CF7">
        <w:t xml:space="preserve"> </w:t>
      </w:r>
      <w:r w:rsidR="00FA1CF7">
        <w:t>on “</w:t>
      </w:r>
      <w:r w:rsidRPr="00902EC1" w:rsidR="00FA1CF7">
        <w:t>CE sample redesign PSU Memo for Census.</w:t>
      </w:r>
      <w:r w:rsidR="00FA1CF7">
        <w:t>,” July 21, 2023</w:t>
      </w:r>
      <w:r w:rsidRPr="00293BD0" w:rsidR="00FA1CF7">
        <w:t xml:space="preserve"> </w:t>
      </w:r>
      <w:r w:rsidR="00B01841">
        <w:t xml:space="preserve">(Attachment </w:t>
      </w:r>
      <w:r w:rsidR="000B3434">
        <w:t>U</w:t>
      </w:r>
      <w:r w:rsidR="00B01841">
        <w:t xml:space="preserve">); </w:t>
      </w:r>
      <w:r w:rsidR="00935707">
        <w:t>and</w:t>
      </w:r>
      <w:r w:rsidR="004A73A8">
        <w:t xml:space="preserve"> </w:t>
      </w:r>
      <w:r w:rsidR="005F2E84">
        <w:t>Lauren Vermeer</w:t>
      </w:r>
      <w:r w:rsidR="00032E11">
        <w:t xml:space="preserve"> and Sharon Krieger</w:t>
      </w:r>
      <w:r w:rsidR="00935707">
        <w:t xml:space="preserve">’s memo on </w:t>
      </w:r>
      <w:r w:rsidR="005F2E84">
        <w:t xml:space="preserve">“Response Rate Computations for the Consumer Expenditure Survey” </w:t>
      </w:r>
      <w:r w:rsidR="00935707">
        <w:t xml:space="preserve">(Attachment </w:t>
      </w:r>
      <w:r w:rsidR="000B3434">
        <w:t>Y</w:t>
      </w:r>
      <w:r w:rsidR="00935707">
        <w:t>)</w:t>
      </w:r>
      <w:r w:rsidR="00B01841">
        <w:t>.</w:t>
      </w:r>
    </w:p>
    <w:p w:rsidR="00812D55" w:rsidP="005B2881" w14:paraId="02A5507F" w14:textId="77777777">
      <w:pPr>
        <w:tabs>
          <w:tab w:val="left" w:pos="1176"/>
          <w:tab w:val="left" w:pos="1656"/>
          <w:tab w:val="left" w:pos="5016"/>
          <w:tab w:val="left" w:pos="6696"/>
          <w:tab w:val="left" w:pos="8256"/>
        </w:tabs>
      </w:pPr>
    </w:p>
    <w:p w:rsidR="001041FE" w:rsidP="005B2881" w14:paraId="7FC8B668" w14:textId="77777777">
      <w:pPr>
        <w:tabs>
          <w:tab w:val="left" w:pos="1176"/>
          <w:tab w:val="left" w:pos="1656"/>
          <w:tab w:val="left" w:pos="5016"/>
          <w:tab w:val="left" w:pos="6696"/>
          <w:tab w:val="left" w:pos="8256"/>
        </w:tabs>
      </w:pPr>
    </w:p>
    <w:p w:rsidR="00731BD6" w:rsidRPr="00541F1C" w:rsidP="00731BD6" w14:paraId="4DDEC3B8" w14:textId="18C7DE45">
      <w:pPr>
        <w:rPr>
          <w:b/>
        </w:rPr>
      </w:pPr>
      <w:r w:rsidRPr="00541F1C">
        <w:rPr>
          <w:b/>
        </w:rPr>
        <w:t>3</w:t>
      </w:r>
      <w:r w:rsidR="005E57BF">
        <w:rPr>
          <w:b/>
        </w:rPr>
        <w:t xml:space="preserve">. </w:t>
      </w:r>
      <w:r w:rsidRPr="00541F1C">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31BD6" w:rsidP="00B33073" w14:paraId="11D30A32" w14:textId="77777777">
      <w:pPr>
        <w:tabs>
          <w:tab w:val="left" w:pos="1176"/>
          <w:tab w:val="left" w:pos="1656"/>
          <w:tab w:val="left" w:pos="5016"/>
          <w:tab w:val="left" w:pos="6696"/>
          <w:tab w:val="left" w:pos="8256"/>
        </w:tabs>
        <w:rPr>
          <w:b/>
          <w:u w:val="single"/>
        </w:rPr>
      </w:pPr>
    </w:p>
    <w:p w:rsidR="00C77D1B" w:rsidRPr="00C77D1B" w:rsidP="00B33073" w14:paraId="7E93A8B5" w14:textId="7AECC207">
      <w:pPr>
        <w:tabs>
          <w:tab w:val="left" w:pos="1176"/>
          <w:tab w:val="left" w:pos="1656"/>
          <w:tab w:val="left" w:pos="5016"/>
          <w:tab w:val="left" w:pos="6696"/>
          <w:tab w:val="left" w:pos="8256"/>
        </w:tabs>
      </w:pPr>
      <w:r w:rsidRPr="00C77D1B">
        <w:t xml:space="preserve">Keeping the </w:t>
      </w:r>
      <w:r w:rsidRPr="00FF6091" w:rsidR="00291C69">
        <w:t>Interview</w:t>
      </w:r>
      <w:r w:rsidRPr="00C77D1B">
        <w:t xml:space="preserve"> and </w:t>
      </w:r>
      <w:r w:rsidR="00291C69">
        <w:t>Diary Survey</w:t>
      </w:r>
      <w:r w:rsidRPr="00C77D1B">
        <w:t>’s response rates as high as possible requires special efforts, particularly from the Census Bureau’s field staff</w:t>
      </w:r>
      <w:r w:rsidR="005E57BF">
        <w:t xml:space="preserve">. </w:t>
      </w:r>
      <w:r w:rsidRPr="00C77D1B">
        <w:t xml:space="preserve">The field staff are trained in a variety of techniques designed to persuade people to participate in the survey, </w:t>
      </w:r>
      <w:r w:rsidR="000F2D1D">
        <w:t xml:space="preserve">such as </w:t>
      </w:r>
      <w:r w:rsidRPr="00C77D1B">
        <w:t>“refusal conversion”</w:t>
      </w:r>
      <w:r w:rsidR="000F2D1D">
        <w:t xml:space="preserve"> techniques which are</w:t>
      </w:r>
      <w:r w:rsidRPr="00C77D1B">
        <w:t xml:space="preserve"> designed to change the mind</w:t>
      </w:r>
      <w:r w:rsidR="008B1E45">
        <w:t>s</w:t>
      </w:r>
      <w:r w:rsidRPr="00C77D1B">
        <w:t xml:space="preserve"> of </w:t>
      </w:r>
      <w:r w:rsidR="008B1E45">
        <w:t>people</w:t>
      </w:r>
      <w:r w:rsidRPr="00C77D1B">
        <w:t xml:space="preserve"> who</w:t>
      </w:r>
      <w:r w:rsidR="008B1E45">
        <w:t xml:space="preserve"> </w:t>
      </w:r>
      <w:r w:rsidR="000F2D1D">
        <w:t>are hesitant</w:t>
      </w:r>
      <w:r w:rsidR="008B1E45">
        <w:t xml:space="preserve"> </w:t>
      </w:r>
      <w:r w:rsidRPr="00C77D1B">
        <w:t xml:space="preserve">to participate in </w:t>
      </w:r>
      <w:r w:rsidRPr="00C77D1B">
        <w:t>the survey</w:t>
      </w:r>
      <w:r w:rsidR="005E57BF">
        <w:t xml:space="preserve">. </w:t>
      </w:r>
      <w:r w:rsidRPr="00C77D1B">
        <w:t xml:space="preserve">If </w:t>
      </w:r>
      <w:r w:rsidR="00FE5F1B">
        <w:t>someone</w:t>
      </w:r>
      <w:r w:rsidRPr="00C77D1B">
        <w:t xml:space="preserve"> </w:t>
      </w:r>
      <w:r w:rsidR="00812D55">
        <w:t xml:space="preserve">continues to </w:t>
      </w:r>
      <w:r w:rsidRPr="00C77D1B">
        <w:t>refuse to participate in the survey, the field office sends a letter trying to persuade them to participate in the survey</w:t>
      </w:r>
      <w:r w:rsidR="00440530">
        <w:t>,</w:t>
      </w:r>
      <w:r w:rsidRPr="00C77D1B">
        <w:t xml:space="preserve"> and a senior interviewer or supervisory field representative is assigned to the case for </w:t>
      </w:r>
      <w:r w:rsidR="000F2D1D">
        <w:t>more</w:t>
      </w:r>
      <w:r w:rsidRPr="00C77D1B">
        <w:t xml:space="preserve"> refusal conversion efforts</w:t>
      </w:r>
      <w:r w:rsidR="005E57BF">
        <w:t xml:space="preserve">. </w:t>
      </w:r>
      <w:r w:rsidRPr="00C77D1B">
        <w:t>Of course</w:t>
      </w:r>
      <w:r w:rsidR="00481AC4">
        <w:t>,</w:t>
      </w:r>
      <w:r w:rsidRPr="00C77D1B">
        <w:t xml:space="preserve"> refusal conversion efforts take time and cost money, so regional office staff try to decide which cases to work on and how much effort to put into them based on cost-effectiveness considerations.</w:t>
      </w:r>
    </w:p>
    <w:p w:rsidR="00EB575E" w:rsidRPr="00C77D1B" w:rsidP="00EB575E" w14:paraId="01BC141B" w14:textId="77777777">
      <w:pPr>
        <w:tabs>
          <w:tab w:val="left" w:pos="1176"/>
          <w:tab w:val="left" w:pos="1656"/>
          <w:tab w:val="left" w:pos="5016"/>
          <w:tab w:val="left" w:pos="6696"/>
          <w:tab w:val="left" w:pos="8256"/>
        </w:tabs>
      </w:pPr>
    </w:p>
    <w:p w:rsidR="006B01D7" w:rsidP="00EB575E" w14:paraId="275BF619" w14:textId="67DC7117">
      <w:pPr>
        <w:tabs>
          <w:tab w:val="left" w:pos="1176"/>
          <w:tab w:val="left" w:pos="1656"/>
          <w:tab w:val="left" w:pos="5016"/>
          <w:tab w:val="left" w:pos="6696"/>
          <w:tab w:val="left" w:pos="8256"/>
        </w:tabs>
      </w:pPr>
      <w:r>
        <w:t xml:space="preserve">Special computer processing techniques are also </w:t>
      </w:r>
      <w:r w:rsidR="004021B2">
        <w:t>used</w:t>
      </w:r>
      <w:r>
        <w:t xml:space="preserve"> in the </w:t>
      </w:r>
      <w:r w:rsidRPr="00FF6091" w:rsidR="00291C69">
        <w:t xml:space="preserve">Interview </w:t>
      </w:r>
      <w:r w:rsidR="00291C69">
        <w:t>S</w:t>
      </w:r>
      <w:r w:rsidRPr="00FF6091" w:rsidR="00291C69">
        <w:t>urvey</w:t>
      </w:r>
      <w:r>
        <w:t xml:space="preserve">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5E57BF">
        <w:t xml:space="preserve">. </w:t>
      </w:r>
      <w:r w:rsidR="00843FDF">
        <w:t xml:space="preserve">For example, </w:t>
      </w:r>
      <w:r w:rsidR="004021B2">
        <w:t>some data collected in one interview are carried forward to subsequent interviews</w:t>
      </w:r>
      <w:r w:rsidR="00487767">
        <w:t>, such as</w:t>
      </w:r>
      <w:r w:rsidR="004021B2">
        <w:t xml:space="preserve"> data on </w:t>
      </w:r>
      <w:r>
        <w:t xml:space="preserve">household members and their personal characteristics, along with data on </w:t>
      </w:r>
      <w:r w:rsidR="00D1102D">
        <w:t xml:space="preserve">their </w:t>
      </w:r>
      <w:r w:rsidR="004021B2">
        <w:t>properties, mortgages, vehicles, and insurance policies</w:t>
      </w:r>
      <w:r w:rsidR="005E57BF">
        <w:t xml:space="preserve">. </w:t>
      </w:r>
      <w:r>
        <w:t xml:space="preserve">Minimizing </w:t>
      </w:r>
      <w:r w:rsidR="00AE79D9">
        <w:t>respondent burden</w:t>
      </w:r>
      <w:r w:rsidR="006A2F49">
        <w:t xml:space="preserve">, including </w:t>
      </w:r>
      <w:r w:rsidR="00865AEC">
        <w:t xml:space="preserve">reducing </w:t>
      </w:r>
      <w:r>
        <w:t>interview length</w:t>
      </w:r>
      <w:r w:rsidR="006A2F49">
        <w:t>,</w:t>
      </w:r>
      <w:r>
        <w:t xml:space="preserve"> </w:t>
      </w:r>
      <w:r w:rsidR="00440530">
        <w:t>is</w:t>
      </w:r>
      <w:r>
        <w:t xml:space="preserve"> important in the effort to keep response rates up.</w:t>
      </w:r>
    </w:p>
    <w:p w:rsidR="001041FE" w:rsidP="005B2881" w14:paraId="0DFCEFF5" w14:textId="77777777">
      <w:pPr>
        <w:tabs>
          <w:tab w:val="left" w:pos="1176"/>
          <w:tab w:val="left" w:pos="1656"/>
          <w:tab w:val="left" w:pos="5016"/>
          <w:tab w:val="left" w:pos="6696"/>
          <w:tab w:val="left" w:pos="8256"/>
        </w:tabs>
      </w:pPr>
    </w:p>
    <w:p w:rsidR="00086F87" w:rsidP="005B2881" w14:paraId="3B8E5070" w14:textId="0EEB6496">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w:t>
      </w:r>
      <w:r>
        <w:t xml:space="preserve"> to</w:t>
      </w:r>
      <w:r w:rsidR="001041FE">
        <w:t xml:space="preserve"> interviews, the </w:t>
      </w:r>
      <w:r w:rsidR="001413A4">
        <w:t xml:space="preserve">estimation process </w:t>
      </w:r>
      <w:r>
        <w:t>has</w:t>
      </w:r>
      <w:r w:rsidR="001041FE">
        <w:t xml:space="preserve"> a </w:t>
      </w:r>
      <w:r w:rsidR="001041FE">
        <w:t>noninterview</w:t>
      </w:r>
      <w:r w:rsidR="001041FE">
        <w:t xml:space="preserve"> adjustment </w:t>
      </w:r>
      <w:r w:rsidR="001413A4">
        <w:t xml:space="preserve">to </w:t>
      </w:r>
      <w:r>
        <w:t>account for them</w:t>
      </w:r>
      <w:r w:rsidR="005E57BF">
        <w:t xml:space="preserve">. </w:t>
      </w:r>
      <w:r>
        <w:t>As mentioned above, every CU in the sample has a base weight equal to the number of CUs in the population it represents</w:t>
      </w:r>
      <w:r w:rsidR="005E57BF">
        <w:t xml:space="preserve">. </w:t>
      </w:r>
      <w:r w:rsidR="006B01D7">
        <w:t>In this process t</w:t>
      </w:r>
      <w:r>
        <w:t xml:space="preserve">he respondent CUs weights </w:t>
      </w:r>
      <w:r w:rsidR="00AC2FC1">
        <w:t xml:space="preserve">are </w:t>
      </w:r>
      <w:r w:rsidR="00D11356">
        <w:t>increased to account for the nonrespondent CUs</w:t>
      </w:r>
      <w:r w:rsidR="005E57BF">
        <w:t xml:space="preserve">.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Pr>
          <w:rStyle w:val="FootnoteReference"/>
        </w:rPr>
        <w:footnoteReference w:id="8"/>
      </w:r>
      <w:r w:rsidRPr="0040481E" w:rsidR="0040481E">
        <w:t xml:space="preserve"> </w:t>
      </w:r>
      <w:r w:rsidR="0040481E">
        <w:t xml:space="preserve">Then </w:t>
      </w:r>
      <w:r w:rsidR="00A52646">
        <w:t>within each subset</w:t>
      </w:r>
      <w:r w:rsidR="00DF4D12">
        <w:t>,</w:t>
      </w:r>
      <w:r w:rsidR="00A52646">
        <w:t xml:space="preserve"> </w:t>
      </w:r>
      <w:r w:rsidR="0040481E">
        <w:t xml:space="preserve">the </w:t>
      </w:r>
      <w:r w:rsidR="00AE79D9">
        <w:t xml:space="preserve">base </w:t>
      </w:r>
      <w:r w:rsidR="0040481E">
        <w:t>weights of the respondents are increased by multiplying them by a factor</w:t>
      </w:r>
      <w:r w:rsidR="00DF4D12">
        <w:t>. The factor is</w:t>
      </w:r>
      <w:r w:rsidR="0040481E">
        <w:t xml:space="preserve"> equal to the sum of the base weights for all CUs (both respondents and nonrespondents) divided by the sum of the base weights from just the respondent CUs</w:t>
      </w:r>
      <w:r w:rsidR="005E57BF">
        <w:t xml:space="preserve">. </w:t>
      </w:r>
      <w:r w:rsidR="00487767">
        <w:t>This makes the final weights of the respondents add up to the total number of CUs in the population.</w:t>
      </w:r>
    </w:p>
    <w:p w:rsidR="00405B2A" w:rsidP="005B2881" w14:paraId="5DB0A8A2" w14:textId="77777777">
      <w:pPr>
        <w:tabs>
          <w:tab w:val="left" w:pos="1176"/>
          <w:tab w:val="left" w:pos="1656"/>
          <w:tab w:val="left" w:pos="5016"/>
          <w:tab w:val="left" w:pos="6696"/>
          <w:tab w:val="left" w:pos="8256"/>
        </w:tabs>
      </w:pPr>
    </w:p>
    <w:p w:rsidR="00731BD6" w:rsidP="00731BD6" w14:paraId="360E0AE2" w14:textId="4F4026A9">
      <w:pPr>
        <w:rPr>
          <w:b/>
        </w:rPr>
      </w:pPr>
      <w:r w:rsidRPr="00731BD6">
        <w:rPr>
          <w:b/>
        </w:rPr>
        <w:t>4</w:t>
      </w:r>
      <w:r w:rsidR="005E57BF">
        <w:rPr>
          <w:b/>
        </w:rPr>
        <w:t xml:space="preserve">. </w:t>
      </w:r>
      <w:r w:rsidRPr="00731BD6">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D63514">
        <w:rPr>
          <w:b/>
        </w:rPr>
        <w:t>s</w:t>
      </w:r>
      <w:r w:rsidRPr="00731BD6">
        <w:rPr>
          <w:b/>
        </w:rPr>
        <w:t xml:space="preserve"> may be submitted for approval separately or in combination with the main collection of information.</w:t>
      </w:r>
    </w:p>
    <w:p w:rsidR="00326B22" w:rsidP="00731BD6" w14:paraId="49104744" w14:textId="77777777">
      <w:pPr>
        <w:rPr>
          <w:b/>
        </w:rPr>
      </w:pPr>
    </w:p>
    <w:p w:rsidR="005B2881" w:rsidP="005B2881" w14:paraId="52C8CA4D" w14:textId="4D343BD0">
      <w:pPr>
        <w:pStyle w:val="BodyTextIndent2"/>
        <w:ind w:left="0"/>
      </w:pPr>
    </w:p>
    <w:p w:rsidR="008B7892" w:rsidP="005B2881" w14:paraId="35DB7B6F" w14:textId="6D1C5609">
      <w:pPr>
        <w:pStyle w:val="BodyTextIndent2"/>
        <w:ind w:left="0"/>
      </w:pPr>
      <w:r>
        <w:t>CE plans to perform the following</w:t>
      </w:r>
      <w:r w:rsidRPr="0086592C" w:rsidR="0086592C">
        <w:t xml:space="preserve"> </w:t>
      </w:r>
      <w:r w:rsidR="0086592C">
        <w:t>test in the production sample</w:t>
      </w:r>
      <w:r w:rsidR="00717B40">
        <w:t>:</w:t>
      </w:r>
      <w:r w:rsidR="008E68E1">
        <w:t xml:space="preserve"> </w:t>
      </w:r>
    </w:p>
    <w:p w:rsidR="008B7892" w:rsidP="005B2881" w14:paraId="699B6A48" w14:textId="77777777">
      <w:pPr>
        <w:pStyle w:val="BodyTextIndent2"/>
        <w:ind w:left="0"/>
      </w:pPr>
    </w:p>
    <w:p w:rsidR="0086592C" w:rsidP="0086592C" w14:paraId="2D8F383B" w14:textId="77777777">
      <w:pPr>
        <w:pStyle w:val="BodyTextIndent2"/>
        <w:ind w:left="0"/>
      </w:pPr>
      <w:bookmarkStart w:id="13" w:name="_Hlk214625319"/>
      <w:r>
        <w:rPr>
          <w:i/>
          <w:iCs/>
        </w:rPr>
        <w:t>DICE Bridge Test</w:t>
      </w:r>
      <w:r>
        <w:t xml:space="preserve"> 2027</w:t>
      </w:r>
    </w:p>
    <w:bookmarkEnd w:id="13"/>
    <w:p w:rsidR="00620EC3" w:rsidP="0086592C" w14:paraId="0FEF4963" w14:textId="350B735A">
      <w:pPr>
        <w:pStyle w:val="BodyTextIndent2"/>
        <w:ind w:left="0"/>
      </w:pPr>
      <w:r w:rsidRPr="00B9258C">
        <w:t xml:space="preserve">The Census Bureau is in the process of implementing a new system to develop, manage, administer, and process its surveys called “Data Ingest and Collection for the Enterprise (DICE).”  Some of the key components of DICE include a new system for managing survey cases, a new system for capturing survey requirements, and new programs for Computer Assisted Personal Interviews (CAPI) and Computer Assisted Self-Administered Interviews (CASI). The Consumer Expenditure Surveys are currently scheduled to be implemented into </w:t>
      </w:r>
      <w:r w:rsidRPr="00B9258C">
        <w:t>DICE in 2027, with portions of DICE, such as its case management platform transitioning sooner.</w:t>
      </w:r>
      <w:r>
        <w:t xml:space="preserve"> </w:t>
      </w:r>
      <w:r w:rsidRPr="00B9258C">
        <w:t xml:space="preserve">Although the CE requirements will not change and the Census Bureau intends to meet all BLS requirements with the new system, there is risk associated with implementing a new system – specifically, risks associated with diminished data quality and increased respondent burden.  The risk to data quality may result in the need for a break in CE’s time-series which will impact end data users. The risk of increased respondent burden may lead to increased breakoffs and lower overall survey response impacting either the resulting sample size and variances (if we do not supplement our sample), or costs if additional effort is required to obtain a minimum sample size. In order to provide a way to mitigate or account for these risks to the survey, the BLS </w:t>
      </w:r>
      <w:r>
        <w:t xml:space="preserve">will </w:t>
      </w:r>
      <w:r w:rsidRPr="00B9258C">
        <w:t xml:space="preserve">conduct a bridge test of the DICE systems, focusing on the </w:t>
      </w:r>
      <w:r>
        <w:t>CAPI</w:t>
      </w:r>
      <w:r w:rsidRPr="00B9258C">
        <w:t xml:space="preserve"> instruments</w:t>
      </w:r>
      <w:r>
        <w:t xml:space="preserve"> using half of its production sample from January 2027-June 2027 for the Diary survey and April 2027-September 2027 for the Interview Survey</w:t>
      </w:r>
      <w:r w:rsidRPr="00B9258C">
        <w:t>.</w:t>
      </w:r>
      <w:r>
        <w:t xml:space="preserve"> The objectives of the test will be to (1)</w:t>
      </w:r>
      <w:r w:rsidRPr="00B9258C">
        <w:t xml:space="preserve"> </w:t>
      </w:r>
      <w:r>
        <w:t>i</w:t>
      </w:r>
      <w:r w:rsidRPr="00B9258C">
        <w:t>dentify any insurmountable problems that would prevent the CE surveys from transitioning to DICE with the given schedule</w:t>
      </w:r>
      <w:r>
        <w:t>, (2) identify any needed changes to training, protocols, or instruments that were not identified prior to fielding, and (3) perform analysis on a selection of metrics and variables that can be attributable to the DICE transition and document findings so that end-users can be informed of the mode effects.</w:t>
      </w:r>
      <w:r>
        <w:t xml:space="preserve"> </w:t>
      </w:r>
    </w:p>
    <w:p w:rsidR="00620EC3" w:rsidP="0086592C" w14:paraId="3F7B2F0F" w14:textId="77777777">
      <w:pPr>
        <w:pStyle w:val="BodyTextIndent2"/>
        <w:ind w:left="0"/>
      </w:pPr>
    </w:p>
    <w:p w:rsidR="00620EC3" w:rsidRPr="00B9258C" w:rsidP="0086592C" w14:paraId="07FCC153" w14:textId="752E92D7">
      <w:pPr>
        <w:pStyle w:val="BodyTextIndent2"/>
        <w:ind w:left="0"/>
      </w:pPr>
      <w:r>
        <w:t xml:space="preserve">A </w:t>
      </w:r>
      <w:r>
        <w:t>nonsubstantive</w:t>
      </w:r>
      <w:r>
        <w:t xml:space="preserve"> change request will be submitted for the DICE test, if needed.</w:t>
      </w:r>
    </w:p>
    <w:p w:rsidR="0086592C" w:rsidP="0086592C" w14:paraId="70B6BA61" w14:textId="77777777">
      <w:pPr>
        <w:pStyle w:val="BodyTextIndent2"/>
        <w:ind w:left="0"/>
      </w:pPr>
    </w:p>
    <w:p w:rsidR="00564837" w:rsidP="005B2881" w14:paraId="7C654526" w14:textId="77777777">
      <w:pPr>
        <w:tabs>
          <w:tab w:val="left" w:pos="1176"/>
          <w:tab w:val="left" w:pos="1656"/>
          <w:tab w:val="left" w:pos="5016"/>
          <w:tab w:val="left" w:pos="6696"/>
          <w:tab w:val="left" w:pos="8256"/>
        </w:tabs>
      </w:pPr>
    </w:p>
    <w:p w:rsidR="00731BD6" w:rsidRPr="00731BD6" w:rsidP="00731BD6" w14:paraId="68B86F68" w14:textId="5D0F36AE">
      <w:pPr>
        <w:rPr>
          <w:b/>
        </w:rPr>
      </w:pPr>
      <w:r w:rsidRPr="00731BD6">
        <w:rPr>
          <w:b/>
        </w:rPr>
        <w:t>5</w:t>
      </w:r>
      <w:r w:rsidR="005E57BF">
        <w:rPr>
          <w:b/>
        </w:rPr>
        <w:t xml:space="preserve">. </w:t>
      </w:r>
      <w:r w:rsidR="002B40A6">
        <w:rPr>
          <w:b/>
          <w:bCs/>
        </w:rPr>
        <w:t xml:space="preserve">Provide the name and telephone number of individuals consulted on statistical aspects of the design and the name of the agency unit, contractor(s), grantee(s), or other person(s) who will </w:t>
      </w:r>
      <w:r w:rsidR="002B40A6">
        <w:rPr>
          <w:b/>
          <w:bCs/>
        </w:rPr>
        <w:t>actually collect</w:t>
      </w:r>
      <w:r w:rsidR="002B40A6">
        <w:rPr>
          <w:b/>
          <w:bCs/>
        </w:rPr>
        <w:t xml:space="preserve"> and/or analyze the information for the agency.</w:t>
      </w:r>
    </w:p>
    <w:p w:rsidR="005B2881" w:rsidRPr="00564837" w:rsidP="005B2881" w14:paraId="4E21C637" w14:textId="226A9B54">
      <w:pPr>
        <w:tabs>
          <w:tab w:val="left" w:pos="1176"/>
          <w:tab w:val="left" w:pos="1656"/>
          <w:tab w:val="left" w:pos="5016"/>
          <w:tab w:val="left" w:pos="6696"/>
          <w:tab w:val="left" w:pos="8256"/>
        </w:tabs>
      </w:pPr>
    </w:p>
    <w:p w:rsidR="007801DB" w:rsidRPr="009F352B" w:rsidP="005B2881" w14:paraId="00BE1136" w14:textId="577AC004">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w:t>
      </w:r>
      <w:r w:rsidR="005E57BF">
        <w:t xml:space="preserve">. </w:t>
      </w:r>
      <w:r w:rsidR="00B22090">
        <w:t>BLS focuses on the PSUs, and the Census Bureau focuses on the households</w:t>
      </w:r>
      <w:r w:rsidR="005E57BF">
        <w:t xml:space="preserve">. </w:t>
      </w:r>
      <w:r>
        <w:t>For more information on the sample design or the data collection effort</w:t>
      </w:r>
      <w:r w:rsidRPr="009F352B">
        <w:t>, you may con</w:t>
      </w:r>
      <w:r w:rsidR="005E644C">
        <w:t>tact</w:t>
      </w:r>
      <w:r w:rsidRPr="009F352B">
        <w:t xml:space="preserve"> the following individuals.</w:t>
      </w:r>
    </w:p>
    <w:p w:rsidR="00E34105" w:rsidRPr="009F352B" w:rsidP="005B2881" w14:paraId="16A7074E" w14:textId="77777777">
      <w:pPr>
        <w:tabs>
          <w:tab w:val="left" w:pos="1176"/>
          <w:tab w:val="left" w:pos="1656"/>
          <w:tab w:val="left" w:pos="5016"/>
          <w:tab w:val="left" w:pos="6696"/>
          <w:tab w:val="left" w:pos="8256"/>
        </w:tab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3150"/>
        <w:gridCol w:w="1800"/>
      </w:tblGrid>
      <w:tr w14:paraId="5A357A1B" w14:textId="77777777" w:rsidTr="004A3FD4">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890" w:type="dxa"/>
          </w:tcPr>
          <w:p w:rsidR="00137802" w:rsidRPr="009F352B" w:rsidP="005B2881" w14:paraId="20D00824" w14:textId="77777777">
            <w:pPr>
              <w:tabs>
                <w:tab w:val="left" w:pos="1176"/>
                <w:tab w:val="left" w:pos="1656"/>
                <w:tab w:val="left" w:pos="5016"/>
                <w:tab w:val="left" w:pos="6696"/>
                <w:tab w:val="left" w:pos="8256"/>
              </w:tabs>
            </w:pPr>
            <w:r w:rsidRPr="009F352B">
              <w:t>Sample Design:</w:t>
            </w:r>
          </w:p>
        </w:tc>
        <w:tc>
          <w:tcPr>
            <w:tcW w:w="3150" w:type="dxa"/>
          </w:tcPr>
          <w:p w:rsidR="00564837" w:rsidP="005B2881" w14:paraId="3D58B0BF" w14:textId="77777777">
            <w:pPr>
              <w:tabs>
                <w:tab w:val="left" w:pos="1176"/>
                <w:tab w:val="left" w:pos="1656"/>
                <w:tab w:val="left" w:pos="5016"/>
                <w:tab w:val="left" w:pos="6696"/>
                <w:tab w:val="left" w:pos="8256"/>
              </w:tabs>
            </w:pPr>
            <w:r>
              <w:t>David Swanson (BLS)</w:t>
            </w:r>
          </w:p>
          <w:p w:rsidR="000064F2" w:rsidRPr="009F352B" w:rsidP="00564837" w14:paraId="7447A960" w14:textId="2C77DC9E">
            <w:pPr>
              <w:tabs>
                <w:tab w:val="left" w:pos="1176"/>
                <w:tab w:val="left" w:pos="1656"/>
                <w:tab w:val="left" w:pos="5016"/>
                <w:tab w:val="left" w:pos="6696"/>
                <w:tab w:val="left" w:pos="8256"/>
              </w:tabs>
            </w:pPr>
            <w:r>
              <w:t>Matthew Herbstritt</w:t>
            </w:r>
            <w:r w:rsidR="005E644C">
              <w:t xml:space="preserve"> (Census)</w:t>
            </w:r>
          </w:p>
        </w:tc>
        <w:tc>
          <w:tcPr>
            <w:tcW w:w="1800" w:type="dxa"/>
          </w:tcPr>
          <w:p w:rsidR="00564837" w:rsidP="005B2881" w14:paraId="62BD079E" w14:textId="77777777">
            <w:pPr>
              <w:tabs>
                <w:tab w:val="left" w:pos="1176"/>
                <w:tab w:val="left" w:pos="1656"/>
                <w:tab w:val="left" w:pos="5016"/>
                <w:tab w:val="left" w:pos="6696"/>
                <w:tab w:val="left" w:pos="8256"/>
              </w:tabs>
            </w:pPr>
            <w:r>
              <w:t>(202) 691-6917</w:t>
            </w:r>
          </w:p>
          <w:p w:rsidR="000064F2" w:rsidRPr="009F352B" w:rsidP="00564837" w14:paraId="4FCBD84A" w14:textId="0D576FB8">
            <w:pPr>
              <w:tabs>
                <w:tab w:val="left" w:pos="1176"/>
                <w:tab w:val="left" w:pos="1656"/>
                <w:tab w:val="left" w:pos="5016"/>
                <w:tab w:val="left" w:pos="6696"/>
                <w:tab w:val="left" w:pos="8256"/>
              </w:tabs>
            </w:pPr>
            <w:r w:rsidRPr="009F352B">
              <w:t>(301) 763-</w:t>
            </w:r>
            <w:r w:rsidR="004A3FD4">
              <w:t>9935</w:t>
            </w:r>
          </w:p>
        </w:tc>
      </w:tr>
      <w:tr w14:paraId="3F0BB625" w14:textId="77777777" w:rsidTr="004A3FD4">
        <w:tblPrEx>
          <w:tblW w:w="0" w:type="auto"/>
          <w:jc w:val="center"/>
          <w:tblLook w:val="04A0"/>
        </w:tblPrEx>
        <w:trPr>
          <w:jc w:val="center"/>
        </w:trPr>
        <w:tc>
          <w:tcPr>
            <w:tcW w:w="1890" w:type="dxa"/>
          </w:tcPr>
          <w:p w:rsidR="00137802" w:rsidRPr="009F352B" w:rsidP="005B2881" w14:paraId="509A34E0" w14:textId="77777777">
            <w:pPr>
              <w:tabs>
                <w:tab w:val="left" w:pos="1176"/>
                <w:tab w:val="left" w:pos="1656"/>
                <w:tab w:val="left" w:pos="5016"/>
                <w:tab w:val="left" w:pos="6696"/>
                <w:tab w:val="left" w:pos="8256"/>
              </w:tabs>
            </w:pPr>
            <w:r w:rsidRPr="009F352B">
              <w:t>Data Collection:</w:t>
            </w:r>
          </w:p>
        </w:tc>
        <w:tc>
          <w:tcPr>
            <w:tcW w:w="3150" w:type="dxa"/>
          </w:tcPr>
          <w:p w:rsidR="00564837" w:rsidP="005B2881" w14:paraId="34AB9BB9" w14:textId="37263862">
            <w:pPr>
              <w:tabs>
                <w:tab w:val="left" w:pos="1176"/>
                <w:tab w:val="left" w:pos="1656"/>
                <w:tab w:val="left" w:pos="5016"/>
                <w:tab w:val="left" w:pos="6696"/>
                <w:tab w:val="left" w:pos="8256"/>
              </w:tabs>
            </w:pPr>
            <w:r>
              <w:t xml:space="preserve">Laura Erhard </w:t>
            </w:r>
            <w:r>
              <w:t>(BLS)</w:t>
            </w:r>
          </w:p>
          <w:p w:rsidR="00FE5F1B" w:rsidRPr="009F352B" w:rsidP="00564837" w14:paraId="4CAC7E41" w14:textId="2CFB185D">
            <w:pPr>
              <w:tabs>
                <w:tab w:val="left" w:pos="1176"/>
                <w:tab w:val="left" w:pos="1656"/>
                <w:tab w:val="left" w:pos="5016"/>
                <w:tab w:val="left" w:pos="6696"/>
                <w:tab w:val="left" w:pos="8256"/>
              </w:tabs>
            </w:pPr>
            <w:r w:rsidRPr="009F352B">
              <w:t>Jennifer Epps</w:t>
            </w:r>
            <w:r w:rsidR="005E644C">
              <w:t xml:space="preserve"> (Census)</w:t>
            </w:r>
          </w:p>
        </w:tc>
        <w:tc>
          <w:tcPr>
            <w:tcW w:w="1800" w:type="dxa"/>
          </w:tcPr>
          <w:p w:rsidR="00564837" w:rsidP="005B2881" w14:paraId="0C0A8D9E" w14:textId="731D7C7F">
            <w:pPr>
              <w:tabs>
                <w:tab w:val="left" w:pos="1176"/>
                <w:tab w:val="left" w:pos="1656"/>
                <w:tab w:val="left" w:pos="5016"/>
                <w:tab w:val="left" w:pos="6696"/>
                <w:tab w:val="left" w:pos="8256"/>
              </w:tabs>
            </w:pPr>
            <w:r>
              <w:t>(202) 691-6900</w:t>
            </w:r>
          </w:p>
          <w:p w:rsidR="00FE5F1B" w:rsidP="00564837" w14:paraId="5D206691" w14:textId="04757A3A">
            <w:pPr>
              <w:tabs>
                <w:tab w:val="left" w:pos="1176"/>
                <w:tab w:val="left" w:pos="1656"/>
                <w:tab w:val="left" w:pos="5016"/>
                <w:tab w:val="left" w:pos="6696"/>
                <w:tab w:val="left" w:pos="8256"/>
              </w:tabs>
            </w:pPr>
            <w:r w:rsidRPr="009F352B">
              <w:t>(301) 763-5342</w:t>
            </w:r>
          </w:p>
        </w:tc>
      </w:tr>
      <w:bookmarkEnd w:id="0"/>
    </w:tbl>
    <w:p w:rsidR="00137802" w:rsidP="005B2881" w14:paraId="3F5791BE" w14:textId="77777777">
      <w:pPr>
        <w:tabs>
          <w:tab w:val="left" w:pos="1176"/>
          <w:tab w:val="left" w:pos="1656"/>
          <w:tab w:val="left" w:pos="5016"/>
          <w:tab w:val="left" w:pos="6696"/>
          <w:tab w:val="left" w:pos="8256"/>
        </w:tabs>
      </w:pPr>
    </w:p>
    <w:sectPr w:rsidSect="003C5259">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RPr="00F67CDF" w14:paraId="1453821E" w14:textId="77777777">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181D6D">
      <w:rPr>
        <w:rStyle w:val="PageNumber"/>
        <w:rFonts w:ascii="Times New Roman" w:hAnsi="Times New Roman"/>
        <w:noProof/>
        <w:sz w:val="24"/>
      </w:rPr>
      <w:t>5</w:t>
    </w:r>
    <w:r w:rsidRPr="00F67CDF">
      <w:rPr>
        <w:rStyle w:val="PageNumber"/>
        <w:rFonts w:ascii="Times New Roman" w:hAnsi="Times New Roman"/>
        <w:sz w:val="24"/>
      </w:rPr>
      <w:fldChar w:fldCharType="end"/>
    </w:r>
  </w:p>
  <w:p w:rsidR="00601561" w14:paraId="62B366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14:paraId="2D8AF8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1561" w14:paraId="47709280" w14:textId="77777777">
    <w:pPr>
      <w:pStyle w:val="Footer"/>
    </w:pPr>
  </w:p>
  <w:p w:rsidR="00601561" w14:paraId="44B10ED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RPr="00A46014" w14:paraId="2261BD53" w14:textId="77777777">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181D6D">
      <w:rPr>
        <w:rStyle w:val="PageNumber"/>
        <w:rFonts w:ascii="Times New Roman" w:hAnsi="Times New Roman"/>
        <w:noProof/>
        <w:sz w:val="24"/>
      </w:rPr>
      <w:t>11</w:t>
    </w:r>
    <w:r w:rsidRPr="00A46014">
      <w:rPr>
        <w:rStyle w:val="PageNumber"/>
        <w:rFonts w:ascii="Times New Roman" w:hAnsi="Times New Roman"/>
        <w:sz w:val="24"/>
      </w:rPr>
      <w:fldChar w:fldCharType="end"/>
    </w:r>
  </w:p>
  <w:p w:rsidR="00601561" w14:paraId="1AA8D5C6" w14:textId="77777777">
    <w:pPr>
      <w:pStyle w:val="Footer"/>
    </w:pPr>
  </w:p>
  <w:p w:rsidR="00601561" w14:paraId="5A1DBE6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4EF2" w14:paraId="6D162B45" w14:textId="77777777">
      <w:r>
        <w:separator/>
      </w:r>
    </w:p>
  </w:footnote>
  <w:footnote w:type="continuationSeparator" w:id="1">
    <w:p w:rsidR="00104EF2" w14:paraId="020A2DBF" w14:textId="77777777">
      <w:r>
        <w:continuationSeparator/>
      </w:r>
    </w:p>
  </w:footnote>
  <w:footnote w:id="2">
    <w:p w:rsidR="00FE0828" w:rsidP="00FE0828" w14:paraId="5EDE9D77" w14:textId="11A2ED50">
      <w:pPr>
        <w:pStyle w:val="FootnoteText"/>
      </w:pPr>
      <w:r>
        <w:rPr>
          <w:rStyle w:val="FootnoteReference"/>
        </w:rPr>
        <w:footnoteRef/>
      </w:r>
      <w:r>
        <w:t xml:space="preserve"> Non-CBSA PSUs are also defined.</w:t>
      </w:r>
      <w:r w:rsidRPr="006C33E6">
        <w:t xml:space="preserve"> </w:t>
      </w:r>
      <w:r>
        <w:t xml:space="preserve">The Office of Management and Budget partitions “urban” counties into CBSAs, but it does not partition “rural” counties into CBSAs. BLS staff in the CE program </w:t>
      </w:r>
      <w:r w:rsidR="00C544BB">
        <w:t>creates</w:t>
      </w:r>
      <w:r>
        <w:t xml:space="preserve"> clusters of “rural” </w:t>
      </w:r>
      <w:r w:rsidR="00B80441">
        <w:t>(technically</w:t>
      </w:r>
      <w:r>
        <w:t xml:space="preserve"> “non-CBSA”</w:t>
      </w:r>
      <w:r w:rsidR="00B80441">
        <w:t>)</w:t>
      </w:r>
      <w:r>
        <w:t xml:space="preserve"> counties</w:t>
      </w:r>
      <w:r w:rsidR="00C544BB">
        <w:t xml:space="preserve">, which </w:t>
      </w:r>
      <w:r>
        <w:t xml:space="preserve">are designed to be </w:t>
      </w:r>
      <w:r w:rsidR="00B80441">
        <w:t xml:space="preserve">similar in </w:t>
      </w:r>
      <w:r>
        <w:t xml:space="preserve">size </w:t>
      </w:r>
      <w:r w:rsidR="00B80441">
        <w:t>to</w:t>
      </w:r>
      <w:r>
        <w:t xml:space="preserve"> </w:t>
      </w:r>
      <w:r w:rsidR="00C544BB">
        <w:t xml:space="preserve">OMB’s </w:t>
      </w:r>
      <w:r>
        <w:t>CBSAs.</w:t>
      </w:r>
    </w:p>
  </w:footnote>
  <w:footnote w:id="3">
    <w:p w:rsidR="00FE2862" w14:paraId="4944C663" w14:textId="6157ACB5">
      <w:pPr>
        <w:pStyle w:val="FootnoteText"/>
      </w:pPr>
      <w:r>
        <w:rPr>
          <w:rStyle w:val="FootnoteReference"/>
        </w:rPr>
        <w:footnoteRef/>
      </w:r>
      <w:r>
        <w:t xml:space="preserve"> The average size of a PSU </w:t>
      </w:r>
      <w:r w:rsidR="007C0A7B">
        <w:t xml:space="preserve">in the United States </w:t>
      </w:r>
      <w:r>
        <w:t xml:space="preserve">is 2 counties, but the average size of a PSU </w:t>
      </w:r>
      <w:r w:rsidR="00D22F2B">
        <w:t>in</w:t>
      </w:r>
      <w:r>
        <w:t xml:space="preserve"> the </w:t>
      </w:r>
      <w:r w:rsidRPr="00FF6091" w:rsidR="00291C69">
        <w:t xml:space="preserve">Interview </w:t>
      </w:r>
      <w:r w:rsidR="00291C69">
        <w:t>S</w:t>
      </w:r>
      <w:r w:rsidRPr="00FF6091" w:rsidR="00291C69">
        <w:t>urvey</w:t>
      </w:r>
      <w:r w:rsidR="007C0A7B">
        <w:t>/</w:t>
      </w:r>
      <w:r w:rsidR="00291C69">
        <w:t xml:space="preserve">Diary Survey </w:t>
      </w:r>
      <w:r>
        <w:t xml:space="preserve">sample is 5 counties. </w:t>
      </w:r>
      <w:r w:rsidR="00EA474D">
        <w:t>Th</w:t>
      </w:r>
      <w:r w:rsidR="003C7343">
        <w:t>e differen</w:t>
      </w:r>
      <w:r w:rsidR="000425E4">
        <w:t>ce is</w:t>
      </w:r>
      <w:r w:rsidR="00EA474D">
        <w:t xml:space="preserve"> because the </w:t>
      </w:r>
      <w:r w:rsidRPr="00FF6091" w:rsidR="00291C69">
        <w:t xml:space="preserve">Interview </w:t>
      </w:r>
      <w:r w:rsidR="00291C69">
        <w:t>S</w:t>
      </w:r>
      <w:r w:rsidRPr="00FF6091" w:rsidR="00291C69">
        <w:t>urvey</w:t>
      </w:r>
      <w:r w:rsidR="00B32482">
        <w:t>/</w:t>
      </w:r>
      <w:r w:rsidR="00291C69">
        <w:t>Diary Surveys</w:t>
      </w:r>
      <w:r w:rsidR="00EA474D">
        <w:t xml:space="preserve"> select </w:t>
      </w:r>
      <w:r>
        <w:t xml:space="preserve">PSUs with probability proportional to </w:t>
      </w:r>
      <w:r w:rsidR="006C1512">
        <w:t xml:space="preserve">their </w:t>
      </w:r>
      <w:r w:rsidR="003C7343">
        <w:t xml:space="preserve">size, </w:t>
      </w:r>
      <w:r w:rsidR="00E9093D">
        <w:t>which</w:t>
      </w:r>
      <w:r>
        <w:t xml:space="preserve"> means larger PSUs are more likely to be selected than smaller PSUs.</w:t>
      </w:r>
    </w:p>
  </w:footnote>
  <w:footnote w:id="4">
    <w:p w:rsidR="005E273B" w14:paraId="1DC5CAE1" w14:textId="1FD745B0">
      <w:pPr>
        <w:pStyle w:val="FootnoteText"/>
      </w:pPr>
      <w:r>
        <w:rPr>
          <w:rStyle w:val="FootnoteReference"/>
        </w:rPr>
        <w:footnoteRef/>
      </w:r>
      <w:r>
        <w:t xml:space="preserve"> Technically, the sample is selected from the </w:t>
      </w:r>
      <w:r w:rsidRPr="005E273B">
        <w:rPr>
          <w:i/>
          <w:iCs/>
        </w:rPr>
        <w:t>civilian non-institutional</w:t>
      </w:r>
      <w:r>
        <w:t xml:space="preserve"> portion of the MAF. That </w:t>
      </w:r>
      <w:r w:rsidR="00B80441">
        <w:t xml:space="preserve">is CE’s target population. It </w:t>
      </w:r>
      <w:r>
        <w:t>includes people living in houses, condominiums, and apartments, as well as people living in group quarters, such as college dormitories and boarding houses. However, it excludes the non-civilian and institutional portions of the population, such as military personnel living on base, nursing home residents, and prison inmates</w:t>
      </w:r>
      <w:r w:rsidR="00B80441">
        <w:t>.</w:t>
      </w:r>
    </w:p>
  </w:footnote>
  <w:footnote w:id="5">
    <w:p w:rsidR="000772AE" w14:paraId="0B5C8A8B" w14:textId="6204B93E">
      <w:pPr>
        <w:pStyle w:val="FootnoteText"/>
      </w:pPr>
      <w:r>
        <w:rPr>
          <w:rStyle w:val="FootnoteReference"/>
        </w:rPr>
        <w:footnoteRef/>
      </w:r>
      <w:r>
        <w:t xml:space="preserve"> CHPCT is used because people living in college housing units are different than the rest of the people in the GQ frame, so using it as a stratification variable helps produce a more representative sample.</w:t>
      </w:r>
    </w:p>
  </w:footnote>
  <w:footnote w:id="6">
    <w:p w:rsidR="00274A86" w:rsidP="00274A86" w14:paraId="6B5C1D00" w14:textId="756738F5">
      <w:pPr>
        <w:pStyle w:val="FootnoteText"/>
      </w:pPr>
      <w:r>
        <w:rPr>
          <w:rStyle w:val="FootnoteReference"/>
        </w:rPr>
        <w:footnoteRef/>
      </w:r>
      <w:r>
        <w:t xml:space="preserve"> </w:t>
      </w:r>
      <w:r w:rsidR="00010A8F">
        <w:t>In addition to groups of related people, a</w:t>
      </w:r>
      <w:r w:rsidRPr="004278FC">
        <w:rPr>
          <w:color w:val="000000"/>
        </w:rPr>
        <w:t xml:space="preserve"> person </w:t>
      </w:r>
      <w:r>
        <w:rPr>
          <w:color w:val="000000"/>
        </w:rPr>
        <w:t>living alone</w:t>
      </w:r>
      <w:r w:rsidRPr="004278FC">
        <w:rPr>
          <w:color w:val="000000"/>
        </w:rPr>
        <w:t xml:space="preserve">, or a group of unrelated people sharing a housing unit, is also considered to be a household. </w:t>
      </w:r>
      <w:r>
        <w:rPr>
          <w:color w:val="000000"/>
        </w:rPr>
        <w:t>U</w:t>
      </w:r>
      <w:r>
        <w:t xml:space="preserve">nrelated people who share a housing unit </w:t>
      </w:r>
      <w:r>
        <w:t>are considered to be</w:t>
      </w:r>
      <w:r>
        <w:t xml:space="preserve"> separate CUs if they are responsible for paying their own expenses in at least two of these three categories: food, shelter, and all other expenses. Likewise</w:t>
      </w:r>
      <w:r w:rsidR="00ED20CF">
        <w:t>,</w:t>
      </w:r>
      <w:r>
        <w:t xml:space="preserve"> college students living away from home </w:t>
      </w:r>
      <w:r>
        <w:t>are considered to be</w:t>
      </w:r>
      <w:r>
        <w:t xml:space="preserve"> separate CUs from their parents if they are responsible for paying their own expenses in at least two of these three categories.</w:t>
      </w:r>
    </w:p>
  </w:footnote>
  <w:footnote w:id="7">
    <w:p w:rsidR="00601561" w:rsidP="00721090" w14:paraId="791184A4" w14:textId="39D0E39B">
      <w:pPr>
        <w:pStyle w:val="FootnoteText"/>
      </w:pPr>
      <w:r>
        <w:rPr>
          <w:rStyle w:val="FootnoteReference"/>
        </w:rPr>
        <w:footnoteRef/>
      </w:r>
      <w:r>
        <w:t xml:space="preserve"> The number of CUs comes from combining information about the total number of housing units in the Census Bureau’s sampling frames (the MAF) with observations made by CE’s field representatives about the number of CUs living in those housing units</w:t>
      </w:r>
      <w:r w:rsidR="005E57BF">
        <w:t xml:space="preserve">. </w:t>
      </w:r>
      <w:r>
        <w:t>CE’s observations in the field show the average number of CUs per occupied housing unit is approximately 1.015</w:t>
      </w:r>
      <w:r w:rsidR="005E57BF">
        <w:t xml:space="preserve">. </w:t>
      </w:r>
      <w:r>
        <w:t>For every 1,000 occupied housing units there are approximately 1,015 CUs</w:t>
      </w:r>
      <w:r w:rsidR="005E57BF">
        <w:t xml:space="preserve">. </w:t>
      </w:r>
      <w:r>
        <w:t xml:space="preserve">The number of CUs per stratum shown in the table </w:t>
      </w:r>
      <w:r w:rsidR="00230520">
        <w:t>below</w:t>
      </w:r>
      <w:r>
        <w:t xml:space="preserve"> comes from allocating the nationwide total of </w:t>
      </w:r>
      <w:r w:rsidR="00127C43">
        <w:t>135</w:t>
      </w:r>
      <w:r>
        <w:t xml:space="preserve"> million CUs by the number of people living in each stratum according to the 20</w:t>
      </w:r>
      <w:r w:rsidR="00127C43">
        <w:t>2</w:t>
      </w:r>
      <w:r>
        <w:t>0 census.</w:t>
      </w:r>
    </w:p>
  </w:footnote>
  <w:footnote w:id="8">
    <w:p w:rsidR="00601561" w14:paraId="301A7DE4" w14:textId="61BCA4DC">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w:t>
      </w:r>
      <w:r w:rsidR="005E57BF">
        <w:t xml:space="preserve">. </w:t>
      </w:r>
      <w:r>
        <w:t>For nonrespondents the number of people in the CU is obtained from data collected in previous interviews or from talking to their neighbors</w:t>
      </w:r>
      <w:r w:rsidR="005E57BF">
        <w:t xml:space="preserve">. </w:t>
      </w:r>
      <w:r>
        <w:t xml:space="preserve">For all CUs (both respondents and nonrespondents) their income is estimated from a publicly available database from the IRS which has the average household income by </w:t>
      </w:r>
      <w:r>
        <w:t>zipcode</w:t>
      </w:r>
      <w:r w:rsidR="005E57BF">
        <w:t xml:space="preserve">. </w:t>
      </w:r>
      <w:r>
        <w:t xml:space="preserve">In the nonresponse adjustment process every CU is assumed to have its </w:t>
      </w:r>
      <w:r>
        <w:t>zipcode’s</w:t>
      </w:r>
      <w:r>
        <w:t xml:space="preserve"> average income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rsidP="00CA433D" w14:paraId="4E3789DF" w14:textId="77777777">
    <w:pPr>
      <w:pStyle w:val="Header"/>
    </w:pPr>
    <w:r>
      <w:t>Consumer Expenditure Surveys</w:t>
    </w:r>
  </w:p>
  <w:p w:rsidR="00601561" w:rsidP="00CA433D" w14:paraId="43B10F3F" w14:textId="784EF3CA">
    <w:pPr>
      <w:pStyle w:val="Header"/>
    </w:pPr>
    <w:r>
      <w:t>OMB Control Number 1220-0050</w:t>
    </w:r>
  </w:p>
  <w:p w:rsidR="00601561" w:rsidP="00CA433D" w14:paraId="7AA2B88D" w14:textId="61A413FE">
    <w:pPr>
      <w:pStyle w:val="Header"/>
    </w:pPr>
    <w:r>
      <w:t xml:space="preserve">OMB Expiration Date: </w:t>
    </w:r>
    <w:r w:rsidR="00626FAA">
      <w:t>March 31,</w:t>
    </w:r>
    <w:r w:rsidR="00DB3C71">
      <w:t xml:space="preserve"> 202</w:t>
    </w:r>
    <w:r w:rsidR="00626FAA">
      <w:t>7</w:t>
    </w:r>
  </w:p>
  <w:p w:rsidR="00601561" w14:paraId="4F8F03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561" w14:paraId="0389BC20" w14:textId="77777777">
    <w:pPr>
      <w:pStyle w:val="Header"/>
    </w:pPr>
  </w:p>
  <w:p w:rsidR="00601561" w14:paraId="5602CAE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B42D1"/>
    <w:multiLevelType w:val="hybridMultilevel"/>
    <w:tmpl w:val="0A92F046"/>
    <w:lvl w:ilvl="0">
      <w:start w:val="1"/>
      <w:numFmt w:val="decimal"/>
      <w:lvlText w:val="%1."/>
      <w:lvlJc w:val="left"/>
      <w:pPr>
        <w:tabs>
          <w:tab w:val="num" w:pos="1200"/>
        </w:tabs>
        <w:ind w:left="1200" w:hanging="360"/>
      </w:p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BAF7B65"/>
    <w:multiLevelType w:val="hybridMultilevel"/>
    <w:tmpl w:val="5266855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CE70F1"/>
    <w:multiLevelType w:val="hybridMultilevel"/>
    <w:tmpl w:val="24BE169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DC5"/>
    <w:multiLevelType w:val="hybridMultilevel"/>
    <w:tmpl w:val="8CE47A9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B247553"/>
    <w:multiLevelType w:val="hybridMultilevel"/>
    <w:tmpl w:val="47FA9F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nsid w:val="1BB8206B"/>
    <w:multiLevelType w:val="hybridMultilevel"/>
    <w:tmpl w:val="A3D22AFA"/>
    <w:lvl w:ilvl="0">
      <w:start w:val="17"/>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337A68"/>
    <w:multiLevelType w:val="singleLevel"/>
    <w:tmpl w:val="0409000F"/>
    <w:lvl w:ilvl="0">
      <w:start w:val="1"/>
      <w:numFmt w:val="decimal"/>
      <w:lvlText w:val="%1."/>
      <w:lvlJc w:val="left"/>
      <w:pPr>
        <w:tabs>
          <w:tab w:val="num" w:pos="360"/>
        </w:tabs>
        <w:ind w:left="360" w:hanging="360"/>
      </w:pPr>
    </w:lvl>
  </w:abstractNum>
  <w:abstractNum w:abstractNumId="12">
    <w:nsid w:val="1ECE6C43"/>
    <w:multiLevelType w:val="hybridMultilevel"/>
    <w:tmpl w:val="18666F70"/>
    <w:lvl w:ilvl="0">
      <w:start w:val="1"/>
      <w:numFmt w:val="decimal"/>
      <w:lvlText w:val="%1)"/>
      <w:lvlJc w:val="left"/>
      <w:pPr>
        <w:tabs>
          <w:tab w:val="num" w:pos="840"/>
        </w:tabs>
        <w:ind w:left="840" w:hanging="360"/>
      </w:pPr>
      <w:rPr>
        <w:rFonts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13">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nsid w:val="28132369"/>
    <w:multiLevelType w:val="hybridMultilevel"/>
    <w:tmpl w:val="7BE8E78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D025DA2"/>
    <w:multiLevelType w:val="hybridMultilevel"/>
    <w:tmpl w:val="8FD8E7D4"/>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016740B"/>
    <w:multiLevelType w:val="hybridMultilevel"/>
    <w:tmpl w:val="56EE640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B5456B"/>
    <w:multiLevelType w:val="hybridMultilevel"/>
    <w:tmpl w:val="9EF0C9EE"/>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51E0509"/>
    <w:multiLevelType w:val="singleLevel"/>
    <w:tmpl w:val="0409000F"/>
    <w:lvl w:ilvl="0">
      <w:start w:val="1"/>
      <w:numFmt w:val="decimal"/>
      <w:lvlText w:val="%1."/>
      <w:lvlJc w:val="left"/>
      <w:pPr>
        <w:tabs>
          <w:tab w:val="num" w:pos="360"/>
        </w:tabs>
        <w:ind w:left="360" w:hanging="360"/>
      </w:pPr>
    </w:lvl>
  </w:abstractNum>
  <w:abstractNum w:abstractNumId="24">
    <w:nsid w:val="3DD855AD"/>
    <w:multiLevelType w:val="hybridMultilevel"/>
    <w:tmpl w:val="1F30F644"/>
    <w:lvl w:ilvl="0">
      <w:start w:val="1"/>
      <w:numFmt w:val="bullet"/>
      <w:lvlText w:val=""/>
      <w:lvlJc w:val="left"/>
      <w:pPr>
        <w:tabs>
          <w:tab w:val="num" w:pos="1200"/>
        </w:tabs>
        <w:ind w:left="1200" w:hanging="360"/>
      </w:pPr>
      <w:rPr>
        <w:rFonts w:ascii="Symbol" w:hAnsi="Symbol" w:hint="default"/>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25">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nsid w:val="42D92FB1"/>
    <w:multiLevelType w:val="hybridMultilevel"/>
    <w:tmpl w:val="8B804170"/>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72F0B34"/>
    <w:multiLevelType w:val="hybridMultilevel"/>
    <w:tmpl w:val="D8FAAD5C"/>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D7A10A6"/>
    <w:multiLevelType w:val="hybridMultilevel"/>
    <w:tmpl w:val="76DE89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F507306"/>
    <w:multiLevelType w:val="hybridMultilevel"/>
    <w:tmpl w:val="324E44F8"/>
    <w:lvl w:ilvl="0">
      <w:start w:val="1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1">
    <w:nsid w:val="51114477"/>
    <w:multiLevelType w:val="hybridMultilevel"/>
    <w:tmpl w:val="B54A6C04"/>
    <w:lvl w:ilvl="0">
      <w:start w:val="15"/>
      <w:numFmt w:val="decimal"/>
      <w:lvlText w:val="%1."/>
      <w:lvlJc w:val="left"/>
      <w:pPr>
        <w:tabs>
          <w:tab w:val="num" w:pos="1821"/>
        </w:tabs>
        <w:ind w:left="1821"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3841EB"/>
    <w:multiLevelType w:val="hybridMultilevel"/>
    <w:tmpl w:val="42869A7C"/>
    <w:lvl w:ilvl="0">
      <w:start w:val="8"/>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D972B75"/>
    <w:multiLevelType w:val="hybridMultilevel"/>
    <w:tmpl w:val="D01A116E"/>
    <w:lvl w:ilvl="0">
      <w:start w:val="9"/>
      <w:numFmt w:val="decimal"/>
      <w:lvlText w:val="%1."/>
      <w:lvlJc w:val="left"/>
      <w:pPr>
        <w:tabs>
          <w:tab w:val="num" w:pos="1335"/>
        </w:tabs>
        <w:ind w:left="1335"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532F57"/>
    <w:multiLevelType w:val="hybridMultilevel"/>
    <w:tmpl w:val="D2B869E4"/>
    <w:lvl w:ilvl="0">
      <w:start w:val="8"/>
      <w:numFmt w:val="decimal"/>
      <w:lvlText w:val="%1."/>
      <w:lvlJc w:val="left"/>
      <w:pPr>
        <w:tabs>
          <w:tab w:val="num" w:pos="2253"/>
        </w:tabs>
        <w:ind w:left="2253"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1641699"/>
    <w:multiLevelType w:val="singleLevel"/>
    <w:tmpl w:val="0409000F"/>
    <w:lvl w:ilvl="0">
      <w:start w:val="1"/>
      <w:numFmt w:val="decimal"/>
      <w:lvlText w:val="%1."/>
      <w:lvlJc w:val="left"/>
      <w:pPr>
        <w:tabs>
          <w:tab w:val="num" w:pos="360"/>
        </w:tabs>
        <w:ind w:left="360" w:hanging="360"/>
      </w:pPr>
    </w:lvl>
  </w:abstractNum>
  <w:abstractNum w:abstractNumId="37">
    <w:nsid w:val="6454477B"/>
    <w:multiLevelType w:val="hybridMultilevel"/>
    <w:tmpl w:val="3BC41E56"/>
    <w:lvl w:ilvl="0">
      <w:start w:val="1"/>
      <w:numFmt w:val="decimal"/>
      <w:lvlText w:val="%1."/>
      <w:lvlJc w:val="left"/>
      <w:pPr>
        <w:tabs>
          <w:tab w:val="num" w:pos="216"/>
        </w:tabs>
        <w:ind w:left="216" w:hanging="360"/>
      </w:pPr>
      <w:rPr>
        <w:rFonts w:hint="default"/>
      </w:rPr>
    </w:lvl>
    <w:lvl w:ilvl="1" w:tentative="1">
      <w:start w:val="1"/>
      <w:numFmt w:val="lowerLetter"/>
      <w:lvlText w:val="%2."/>
      <w:lvlJc w:val="left"/>
      <w:pPr>
        <w:tabs>
          <w:tab w:val="num" w:pos="936"/>
        </w:tabs>
        <w:ind w:left="936" w:hanging="360"/>
      </w:pPr>
    </w:lvl>
    <w:lvl w:ilvl="2" w:tentative="1">
      <w:start w:val="1"/>
      <w:numFmt w:val="lowerRoman"/>
      <w:lvlText w:val="%3."/>
      <w:lvlJc w:val="right"/>
      <w:pPr>
        <w:tabs>
          <w:tab w:val="num" w:pos="1656"/>
        </w:tabs>
        <w:ind w:left="1656" w:hanging="180"/>
      </w:pPr>
    </w:lvl>
    <w:lvl w:ilvl="3" w:tentative="1">
      <w:start w:val="1"/>
      <w:numFmt w:val="decimal"/>
      <w:lvlText w:val="%4."/>
      <w:lvlJc w:val="left"/>
      <w:pPr>
        <w:tabs>
          <w:tab w:val="num" w:pos="2376"/>
        </w:tabs>
        <w:ind w:left="2376" w:hanging="360"/>
      </w:pPr>
    </w:lvl>
    <w:lvl w:ilvl="4" w:tentative="1">
      <w:start w:val="1"/>
      <w:numFmt w:val="lowerLetter"/>
      <w:lvlText w:val="%5."/>
      <w:lvlJc w:val="left"/>
      <w:pPr>
        <w:tabs>
          <w:tab w:val="num" w:pos="3096"/>
        </w:tabs>
        <w:ind w:left="3096" w:hanging="360"/>
      </w:pPr>
    </w:lvl>
    <w:lvl w:ilvl="5" w:tentative="1">
      <w:start w:val="1"/>
      <w:numFmt w:val="lowerRoman"/>
      <w:lvlText w:val="%6."/>
      <w:lvlJc w:val="right"/>
      <w:pPr>
        <w:tabs>
          <w:tab w:val="num" w:pos="3816"/>
        </w:tabs>
        <w:ind w:left="3816" w:hanging="180"/>
      </w:pPr>
    </w:lvl>
    <w:lvl w:ilvl="6" w:tentative="1">
      <w:start w:val="1"/>
      <w:numFmt w:val="decimal"/>
      <w:lvlText w:val="%7."/>
      <w:lvlJc w:val="left"/>
      <w:pPr>
        <w:tabs>
          <w:tab w:val="num" w:pos="4536"/>
        </w:tabs>
        <w:ind w:left="4536" w:hanging="360"/>
      </w:pPr>
    </w:lvl>
    <w:lvl w:ilvl="7" w:tentative="1">
      <w:start w:val="1"/>
      <w:numFmt w:val="lowerLetter"/>
      <w:lvlText w:val="%8."/>
      <w:lvlJc w:val="left"/>
      <w:pPr>
        <w:tabs>
          <w:tab w:val="num" w:pos="5256"/>
        </w:tabs>
        <w:ind w:left="5256" w:hanging="360"/>
      </w:pPr>
    </w:lvl>
    <w:lvl w:ilvl="8" w:tentative="1">
      <w:start w:val="1"/>
      <w:numFmt w:val="lowerRoman"/>
      <w:lvlText w:val="%9."/>
      <w:lvlJc w:val="right"/>
      <w:pPr>
        <w:tabs>
          <w:tab w:val="num" w:pos="5976"/>
        </w:tabs>
        <w:ind w:left="5976" w:hanging="180"/>
      </w:pPr>
    </w:lvl>
  </w:abstractNum>
  <w:abstractNum w:abstractNumId="38">
    <w:nsid w:val="678C2395"/>
    <w:multiLevelType w:val="hybridMultilevel"/>
    <w:tmpl w:val="FA4821B8"/>
    <w:lvl w:ilvl="0">
      <w:start w:val="1"/>
      <w:numFmt w:val="decimal"/>
      <w:lvlText w:val="%1)"/>
      <w:lvlJc w:val="left"/>
      <w:pPr>
        <w:tabs>
          <w:tab w:val="num" w:pos="840"/>
        </w:tabs>
        <w:ind w:left="84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9">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A0C84"/>
    <w:multiLevelType w:val="singleLevel"/>
    <w:tmpl w:val="D9C02A58"/>
    <w:lvl w:ilvl="0">
      <w:start w:val="1"/>
      <w:numFmt w:val="none"/>
      <w:lvlText w:val="3."/>
      <w:lvlJc w:val="left"/>
      <w:pPr>
        <w:tabs>
          <w:tab w:val="num" w:pos="360"/>
        </w:tabs>
        <w:ind w:left="360" w:hanging="360"/>
      </w:pPr>
    </w:lvl>
  </w:abstractNum>
  <w:abstractNum w:abstractNumId="41">
    <w:nsid w:val="6BF61887"/>
    <w:multiLevelType w:val="hybridMultilevel"/>
    <w:tmpl w:val="7154433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F9D2B52"/>
    <w:multiLevelType w:val="singleLevel"/>
    <w:tmpl w:val="C922D49A"/>
    <w:lvl w:ilvl="0">
      <w:start w:val="3"/>
      <w:numFmt w:val="none"/>
      <w:lvlText w:val="3"/>
      <w:lvlJc w:val="left"/>
      <w:pPr>
        <w:tabs>
          <w:tab w:val="num" w:pos="360"/>
        </w:tabs>
        <w:ind w:left="360" w:hanging="360"/>
      </w:pPr>
    </w:lvl>
  </w:abstractNum>
  <w:abstractNum w:abstractNumId="43">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4">
    <w:nsid w:val="758E0ED4"/>
    <w:multiLevelType w:val="hybridMultilevel"/>
    <w:tmpl w:val="CB78637E"/>
    <w:lvl w:ilvl="0">
      <w:start w:val="1"/>
      <w:numFmt w:val="decimal"/>
      <w:lvlText w:val="%1."/>
      <w:lvlJc w:val="left"/>
      <w:pPr>
        <w:tabs>
          <w:tab w:val="num" w:pos="1170"/>
        </w:tabs>
        <w:ind w:left="1170" w:hanging="69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5">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16cid:durableId="1072896026">
    <w:abstractNumId w:val="13"/>
  </w:num>
  <w:num w:numId="2" w16cid:durableId="1636376816">
    <w:abstractNumId w:val="16"/>
  </w:num>
  <w:num w:numId="3" w16cid:durableId="923883435">
    <w:abstractNumId w:val="30"/>
  </w:num>
  <w:num w:numId="4" w16cid:durableId="537550041">
    <w:abstractNumId w:val="14"/>
  </w:num>
  <w:num w:numId="5" w16cid:durableId="1777095517">
    <w:abstractNumId w:val="43"/>
  </w:num>
  <w:num w:numId="6" w16cid:durableId="1365787008">
    <w:abstractNumId w:val="5"/>
  </w:num>
  <w:num w:numId="7" w16cid:durableId="1365255655">
    <w:abstractNumId w:val="22"/>
  </w:num>
  <w:num w:numId="8" w16cid:durableId="1086344490">
    <w:abstractNumId w:val="45"/>
  </w:num>
  <w:num w:numId="9" w16cid:durableId="937328323">
    <w:abstractNumId w:val="25"/>
  </w:num>
  <w:num w:numId="10" w16cid:durableId="1883858956">
    <w:abstractNumId w:val="42"/>
  </w:num>
  <w:num w:numId="11" w16cid:durableId="2079399493">
    <w:abstractNumId w:val="40"/>
  </w:num>
  <w:num w:numId="12" w16cid:durableId="1984043834">
    <w:abstractNumId w:val="11"/>
  </w:num>
  <w:num w:numId="13" w16cid:durableId="57095804">
    <w:abstractNumId w:val="23"/>
  </w:num>
  <w:num w:numId="14" w16cid:durableId="1539510870">
    <w:abstractNumId w:val="36"/>
  </w:num>
  <w:num w:numId="15" w16cid:durableId="1781488724">
    <w:abstractNumId w:val="6"/>
  </w:num>
  <w:num w:numId="16" w16cid:durableId="85807444">
    <w:abstractNumId w:val="2"/>
  </w:num>
  <w:num w:numId="17" w16cid:durableId="1020357812">
    <w:abstractNumId w:val="10"/>
  </w:num>
  <w:num w:numId="18" w16cid:durableId="286160508">
    <w:abstractNumId w:val="29"/>
  </w:num>
  <w:num w:numId="19" w16cid:durableId="1574271105">
    <w:abstractNumId w:val="34"/>
  </w:num>
  <w:num w:numId="20" w16cid:durableId="782116828">
    <w:abstractNumId w:val="33"/>
  </w:num>
  <w:num w:numId="21" w16cid:durableId="1580209250">
    <w:abstractNumId w:val="39"/>
  </w:num>
  <w:num w:numId="22" w16cid:durableId="476190697">
    <w:abstractNumId w:val="17"/>
  </w:num>
  <w:num w:numId="23" w16cid:durableId="2138451854">
    <w:abstractNumId w:val="31"/>
  </w:num>
  <w:num w:numId="24" w16cid:durableId="1059474516">
    <w:abstractNumId w:val="35"/>
  </w:num>
  <w:num w:numId="25" w16cid:durableId="484518017">
    <w:abstractNumId w:val="9"/>
  </w:num>
  <w:num w:numId="26" w16cid:durableId="1830706583">
    <w:abstractNumId w:val="15"/>
  </w:num>
  <w:num w:numId="27" w16cid:durableId="1043872226">
    <w:abstractNumId w:val="4"/>
  </w:num>
  <w:num w:numId="28" w16cid:durableId="1304654155">
    <w:abstractNumId w:val="41"/>
  </w:num>
  <w:num w:numId="29" w16cid:durableId="1219971242">
    <w:abstractNumId w:val="1"/>
  </w:num>
  <w:num w:numId="30" w16cid:durableId="1116634982">
    <w:abstractNumId w:val="44"/>
  </w:num>
  <w:num w:numId="31" w16cid:durableId="591815704">
    <w:abstractNumId w:val="26"/>
  </w:num>
  <w:num w:numId="32" w16cid:durableId="170222464">
    <w:abstractNumId w:val="38"/>
  </w:num>
  <w:num w:numId="33" w16cid:durableId="845557254">
    <w:abstractNumId w:val="18"/>
  </w:num>
  <w:num w:numId="34" w16cid:durableId="1823037442">
    <w:abstractNumId w:val="7"/>
  </w:num>
  <w:num w:numId="35" w16cid:durableId="1153255217">
    <w:abstractNumId w:val="24"/>
  </w:num>
  <w:num w:numId="36" w16cid:durableId="479885601">
    <w:abstractNumId w:val="12"/>
  </w:num>
  <w:num w:numId="37" w16cid:durableId="194315248">
    <w:abstractNumId w:val="27"/>
  </w:num>
  <w:num w:numId="38" w16cid:durableId="233971778">
    <w:abstractNumId w:val="20"/>
  </w:num>
  <w:num w:numId="39" w16cid:durableId="588854524">
    <w:abstractNumId w:val="37"/>
  </w:num>
  <w:num w:numId="40" w16cid:durableId="1700544947">
    <w:abstractNumId w:val="8"/>
  </w:num>
  <w:num w:numId="41" w16cid:durableId="1960333562">
    <w:abstractNumId w:val="0"/>
  </w:num>
  <w:num w:numId="42" w16cid:durableId="915169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9760710">
    <w:abstractNumId w:val="3"/>
    <w:lvlOverride w:ilvl="0">
      <w:startOverride w:val="1"/>
    </w:lvlOverride>
    <w:lvlOverride w:ilvl="1"/>
    <w:lvlOverride w:ilvl="2"/>
    <w:lvlOverride w:ilvl="3"/>
    <w:lvlOverride w:ilvl="4"/>
    <w:lvlOverride w:ilvl="5"/>
    <w:lvlOverride w:ilvl="6"/>
    <w:lvlOverride w:ilvl="7"/>
    <w:lvlOverride w:ilvl="8"/>
  </w:num>
  <w:num w:numId="44" w16cid:durableId="455295566">
    <w:abstractNumId w:val="28"/>
  </w:num>
  <w:num w:numId="45" w16cid:durableId="278731857">
    <w:abstractNumId w:val="19"/>
  </w:num>
  <w:num w:numId="46" w16cid:durableId="560016805">
    <w:abstractNumId w:val="21"/>
  </w:num>
  <w:num w:numId="47" w16cid:durableId="18036473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FB"/>
    <w:rsid w:val="00001463"/>
    <w:rsid w:val="000014E5"/>
    <w:rsid w:val="00001A88"/>
    <w:rsid w:val="0000379B"/>
    <w:rsid w:val="00004351"/>
    <w:rsid w:val="00005D41"/>
    <w:rsid w:val="00006365"/>
    <w:rsid w:val="000064F2"/>
    <w:rsid w:val="000104C6"/>
    <w:rsid w:val="00010526"/>
    <w:rsid w:val="00010A8F"/>
    <w:rsid w:val="00017580"/>
    <w:rsid w:val="00024F80"/>
    <w:rsid w:val="0002500E"/>
    <w:rsid w:val="00026B78"/>
    <w:rsid w:val="000328CC"/>
    <w:rsid w:val="00032E11"/>
    <w:rsid w:val="000332C6"/>
    <w:rsid w:val="000335A4"/>
    <w:rsid w:val="00033E66"/>
    <w:rsid w:val="00034707"/>
    <w:rsid w:val="000352E8"/>
    <w:rsid w:val="000358D4"/>
    <w:rsid w:val="00037AEA"/>
    <w:rsid w:val="000406FF"/>
    <w:rsid w:val="00041011"/>
    <w:rsid w:val="0004108B"/>
    <w:rsid w:val="000425E4"/>
    <w:rsid w:val="00042D62"/>
    <w:rsid w:val="00045379"/>
    <w:rsid w:val="00050A7C"/>
    <w:rsid w:val="000556E5"/>
    <w:rsid w:val="0005755B"/>
    <w:rsid w:val="000576EA"/>
    <w:rsid w:val="0005778F"/>
    <w:rsid w:val="000612F4"/>
    <w:rsid w:val="00062159"/>
    <w:rsid w:val="00063CA0"/>
    <w:rsid w:val="00065D72"/>
    <w:rsid w:val="00066090"/>
    <w:rsid w:val="00066270"/>
    <w:rsid w:val="00072BA3"/>
    <w:rsid w:val="000772AE"/>
    <w:rsid w:val="00077A45"/>
    <w:rsid w:val="00084C77"/>
    <w:rsid w:val="00085282"/>
    <w:rsid w:val="00086F87"/>
    <w:rsid w:val="00090DE1"/>
    <w:rsid w:val="00092DF1"/>
    <w:rsid w:val="00093005"/>
    <w:rsid w:val="00094625"/>
    <w:rsid w:val="00095029"/>
    <w:rsid w:val="0009531C"/>
    <w:rsid w:val="000955A0"/>
    <w:rsid w:val="00095975"/>
    <w:rsid w:val="00095A11"/>
    <w:rsid w:val="00096FB5"/>
    <w:rsid w:val="000A0A0E"/>
    <w:rsid w:val="000A116F"/>
    <w:rsid w:val="000A1A44"/>
    <w:rsid w:val="000A1C63"/>
    <w:rsid w:val="000A2810"/>
    <w:rsid w:val="000A2BC8"/>
    <w:rsid w:val="000A2CD0"/>
    <w:rsid w:val="000A2EED"/>
    <w:rsid w:val="000A6627"/>
    <w:rsid w:val="000B22CD"/>
    <w:rsid w:val="000B2FEC"/>
    <w:rsid w:val="000B3434"/>
    <w:rsid w:val="000B3C30"/>
    <w:rsid w:val="000B5D36"/>
    <w:rsid w:val="000B632A"/>
    <w:rsid w:val="000C1246"/>
    <w:rsid w:val="000C12FA"/>
    <w:rsid w:val="000C1DEC"/>
    <w:rsid w:val="000C4534"/>
    <w:rsid w:val="000C514B"/>
    <w:rsid w:val="000C5430"/>
    <w:rsid w:val="000C5E4C"/>
    <w:rsid w:val="000C6623"/>
    <w:rsid w:val="000D14C7"/>
    <w:rsid w:val="000D3819"/>
    <w:rsid w:val="000D3CBA"/>
    <w:rsid w:val="000D639E"/>
    <w:rsid w:val="000D6F99"/>
    <w:rsid w:val="000E1156"/>
    <w:rsid w:val="000E2EFE"/>
    <w:rsid w:val="000E329B"/>
    <w:rsid w:val="000E4EFB"/>
    <w:rsid w:val="000E60EA"/>
    <w:rsid w:val="000F09FE"/>
    <w:rsid w:val="000F1433"/>
    <w:rsid w:val="000F1BE7"/>
    <w:rsid w:val="000F23CA"/>
    <w:rsid w:val="000F2D1D"/>
    <w:rsid w:val="000F4CB3"/>
    <w:rsid w:val="000F5324"/>
    <w:rsid w:val="000F6CD7"/>
    <w:rsid w:val="0010027E"/>
    <w:rsid w:val="00101429"/>
    <w:rsid w:val="00101F59"/>
    <w:rsid w:val="001041FE"/>
    <w:rsid w:val="00104EF2"/>
    <w:rsid w:val="00106C16"/>
    <w:rsid w:val="00110713"/>
    <w:rsid w:val="001136FE"/>
    <w:rsid w:val="00113B2A"/>
    <w:rsid w:val="00114AF0"/>
    <w:rsid w:val="0012063A"/>
    <w:rsid w:val="001226D4"/>
    <w:rsid w:val="001255FA"/>
    <w:rsid w:val="0012749D"/>
    <w:rsid w:val="00127C43"/>
    <w:rsid w:val="001309A9"/>
    <w:rsid w:val="00131463"/>
    <w:rsid w:val="00132F17"/>
    <w:rsid w:val="00135CF0"/>
    <w:rsid w:val="00137802"/>
    <w:rsid w:val="001404E0"/>
    <w:rsid w:val="0014116F"/>
    <w:rsid w:val="00141345"/>
    <w:rsid w:val="001413A4"/>
    <w:rsid w:val="001426B7"/>
    <w:rsid w:val="00145C3A"/>
    <w:rsid w:val="001462FA"/>
    <w:rsid w:val="00146DC6"/>
    <w:rsid w:val="00147160"/>
    <w:rsid w:val="0014738F"/>
    <w:rsid w:val="00150506"/>
    <w:rsid w:val="00150E03"/>
    <w:rsid w:val="00150F8E"/>
    <w:rsid w:val="001514DD"/>
    <w:rsid w:val="0015295A"/>
    <w:rsid w:val="00153801"/>
    <w:rsid w:val="00155CBC"/>
    <w:rsid w:val="00157750"/>
    <w:rsid w:val="001604BC"/>
    <w:rsid w:val="00163B24"/>
    <w:rsid w:val="00165DD5"/>
    <w:rsid w:val="00165F05"/>
    <w:rsid w:val="00170505"/>
    <w:rsid w:val="001730EF"/>
    <w:rsid w:val="00173789"/>
    <w:rsid w:val="0017441B"/>
    <w:rsid w:val="00177A87"/>
    <w:rsid w:val="00181D6D"/>
    <w:rsid w:val="0018208E"/>
    <w:rsid w:val="00186135"/>
    <w:rsid w:val="00190C4F"/>
    <w:rsid w:val="00191863"/>
    <w:rsid w:val="001930A9"/>
    <w:rsid w:val="00193C92"/>
    <w:rsid w:val="00193EED"/>
    <w:rsid w:val="0019402E"/>
    <w:rsid w:val="0019433C"/>
    <w:rsid w:val="0019439F"/>
    <w:rsid w:val="0019444C"/>
    <w:rsid w:val="00194EA6"/>
    <w:rsid w:val="00194FE3"/>
    <w:rsid w:val="00196FFB"/>
    <w:rsid w:val="00197D08"/>
    <w:rsid w:val="00197D9E"/>
    <w:rsid w:val="001A1BBB"/>
    <w:rsid w:val="001A3A09"/>
    <w:rsid w:val="001A4479"/>
    <w:rsid w:val="001A481D"/>
    <w:rsid w:val="001A560C"/>
    <w:rsid w:val="001A5A66"/>
    <w:rsid w:val="001A6C5C"/>
    <w:rsid w:val="001A6C7A"/>
    <w:rsid w:val="001A6DF5"/>
    <w:rsid w:val="001B2015"/>
    <w:rsid w:val="001B3782"/>
    <w:rsid w:val="001B4633"/>
    <w:rsid w:val="001B4DFE"/>
    <w:rsid w:val="001B5064"/>
    <w:rsid w:val="001B67C0"/>
    <w:rsid w:val="001B6A70"/>
    <w:rsid w:val="001B6C2E"/>
    <w:rsid w:val="001B7D60"/>
    <w:rsid w:val="001C1CC4"/>
    <w:rsid w:val="001C5BAD"/>
    <w:rsid w:val="001C6325"/>
    <w:rsid w:val="001D4AC3"/>
    <w:rsid w:val="001D557B"/>
    <w:rsid w:val="001D5847"/>
    <w:rsid w:val="001D5FF2"/>
    <w:rsid w:val="001D6ABA"/>
    <w:rsid w:val="001D729C"/>
    <w:rsid w:val="001D7D83"/>
    <w:rsid w:val="001E13AC"/>
    <w:rsid w:val="001E1EA5"/>
    <w:rsid w:val="001E242F"/>
    <w:rsid w:val="001E2879"/>
    <w:rsid w:val="001E28C9"/>
    <w:rsid w:val="001E6B95"/>
    <w:rsid w:val="001E7808"/>
    <w:rsid w:val="001F309D"/>
    <w:rsid w:val="001F4333"/>
    <w:rsid w:val="001F537D"/>
    <w:rsid w:val="002007FB"/>
    <w:rsid w:val="00203BA7"/>
    <w:rsid w:val="00206786"/>
    <w:rsid w:val="002128BF"/>
    <w:rsid w:val="002129D8"/>
    <w:rsid w:val="002131BE"/>
    <w:rsid w:val="0021510F"/>
    <w:rsid w:val="0021665C"/>
    <w:rsid w:val="002173BF"/>
    <w:rsid w:val="00217A71"/>
    <w:rsid w:val="00221704"/>
    <w:rsid w:val="00223241"/>
    <w:rsid w:val="002243AF"/>
    <w:rsid w:val="0022511B"/>
    <w:rsid w:val="00225901"/>
    <w:rsid w:val="00227777"/>
    <w:rsid w:val="00230520"/>
    <w:rsid w:val="002319E0"/>
    <w:rsid w:val="002329E7"/>
    <w:rsid w:val="0023411A"/>
    <w:rsid w:val="00237486"/>
    <w:rsid w:val="002374B8"/>
    <w:rsid w:val="00237F33"/>
    <w:rsid w:val="00241013"/>
    <w:rsid w:val="00241B3D"/>
    <w:rsid w:val="002502B2"/>
    <w:rsid w:val="00251935"/>
    <w:rsid w:val="00252F5B"/>
    <w:rsid w:val="00253A90"/>
    <w:rsid w:val="00260982"/>
    <w:rsid w:val="00261C1A"/>
    <w:rsid w:val="00262E0F"/>
    <w:rsid w:val="00263BC5"/>
    <w:rsid w:val="00263EE6"/>
    <w:rsid w:val="0027074F"/>
    <w:rsid w:val="00271C7A"/>
    <w:rsid w:val="002729E6"/>
    <w:rsid w:val="00273892"/>
    <w:rsid w:val="00274A86"/>
    <w:rsid w:val="00276479"/>
    <w:rsid w:val="00276D9A"/>
    <w:rsid w:val="00280A6F"/>
    <w:rsid w:val="00280B35"/>
    <w:rsid w:val="00281188"/>
    <w:rsid w:val="00285820"/>
    <w:rsid w:val="002858B7"/>
    <w:rsid w:val="002863FB"/>
    <w:rsid w:val="002866EB"/>
    <w:rsid w:val="00287475"/>
    <w:rsid w:val="00291898"/>
    <w:rsid w:val="00291C69"/>
    <w:rsid w:val="00293BD0"/>
    <w:rsid w:val="00294D26"/>
    <w:rsid w:val="00296FFA"/>
    <w:rsid w:val="002971F3"/>
    <w:rsid w:val="00297C2D"/>
    <w:rsid w:val="00297CA7"/>
    <w:rsid w:val="00297DA2"/>
    <w:rsid w:val="002A0728"/>
    <w:rsid w:val="002A5A87"/>
    <w:rsid w:val="002A5F72"/>
    <w:rsid w:val="002A7031"/>
    <w:rsid w:val="002A70E6"/>
    <w:rsid w:val="002A7C17"/>
    <w:rsid w:val="002A7FD3"/>
    <w:rsid w:val="002B1873"/>
    <w:rsid w:val="002B2DEF"/>
    <w:rsid w:val="002B3240"/>
    <w:rsid w:val="002B40A6"/>
    <w:rsid w:val="002B60A0"/>
    <w:rsid w:val="002C026E"/>
    <w:rsid w:val="002C06B5"/>
    <w:rsid w:val="002C0787"/>
    <w:rsid w:val="002C0D7B"/>
    <w:rsid w:val="002C0F1B"/>
    <w:rsid w:val="002C1A84"/>
    <w:rsid w:val="002C264E"/>
    <w:rsid w:val="002C3335"/>
    <w:rsid w:val="002C4751"/>
    <w:rsid w:val="002C4770"/>
    <w:rsid w:val="002C68CC"/>
    <w:rsid w:val="002C6B3A"/>
    <w:rsid w:val="002C6DD7"/>
    <w:rsid w:val="002C6F80"/>
    <w:rsid w:val="002D007B"/>
    <w:rsid w:val="002D18F5"/>
    <w:rsid w:val="002D2A21"/>
    <w:rsid w:val="002D2BA8"/>
    <w:rsid w:val="002D59E8"/>
    <w:rsid w:val="002D73BE"/>
    <w:rsid w:val="002E1361"/>
    <w:rsid w:val="002F0066"/>
    <w:rsid w:val="002F1A9C"/>
    <w:rsid w:val="002F51BB"/>
    <w:rsid w:val="002F619C"/>
    <w:rsid w:val="002F6A50"/>
    <w:rsid w:val="002F7E84"/>
    <w:rsid w:val="00300B3A"/>
    <w:rsid w:val="00301041"/>
    <w:rsid w:val="00301158"/>
    <w:rsid w:val="003011B7"/>
    <w:rsid w:val="00302B48"/>
    <w:rsid w:val="003044E9"/>
    <w:rsid w:val="00304CDC"/>
    <w:rsid w:val="003103A5"/>
    <w:rsid w:val="0031059D"/>
    <w:rsid w:val="0031079A"/>
    <w:rsid w:val="00313FC9"/>
    <w:rsid w:val="00314E36"/>
    <w:rsid w:val="00316245"/>
    <w:rsid w:val="00321156"/>
    <w:rsid w:val="00321C7C"/>
    <w:rsid w:val="0032295C"/>
    <w:rsid w:val="00322AE6"/>
    <w:rsid w:val="0032468F"/>
    <w:rsid w:val="00326B22"/>
    <w:rsid w:val="00330DAB"/>
    <w:rsid w:val="00331247"/>
    <w:rsid w:val="00332148"/>
    <w:rsid w:val="0033578F"/>
    <w:rsid w:val="00335839"/>
    <w:rsid w:val="00336552"/>
    <w:rsid w:val="003367B0"/>
    <w:rsid w:val="00336A1F"/>
    <w:rsid w:val="0033757E"/>
    <w:rsid w:val="00340351"/>
    <w:rsid w:val="00340804"/>
    <w:rsid w:val="00340FEE"/>
    <w:rsid w:val="00341324"/>
    <w:rsid w:val="0034209A"/>
    <w:rsid w:val="00342465"/>
    <w:rsid w:val="00345794"/>
    <w:rsid w:val="003457B3"/>
    <w:rsid w:val="003463A7"/>
    <w:rsid w:val="00347119"/>
    <w:rsid w:val="003520A2"/>
    <w:rsid w:val="00352711"/>
    <w:rsid w:val="00353410"/>
    <w:rsid w:val="003537F4"/>
    <w:rsid w:val="003627EA"/>
    <w:rsid w:val="00363EC4"/>
    <w:rsid w:val="003641A5"/>
    <w:rsid w:val="00365BBD"/>
    <w:rsid w:val="00366AA6"/>
    <w:rsid w:val="00367158"/>
    <w:rsid w:val="00367229"/>
    <w:rsid w:val="00371BD6"/>
    <w:rsid w:val="003733A4"/>
    <w:rsid w:val="003744DB"/>
    <w:rsid w:val="003753AE"/>
    <w:rsid w:val="00376086"/>
    <w:rsid w:val="00382638"/>
    <w:rsid w:val="003850D8"/>
    <w:rsid w:val="00395E35"/>
    <w:rsid w:val="003A14F3"/>
    <w:rsid w:val="003A2B53"/>
    <w:rsid w:val="003A30C6"/>
    <w:rsid w:val="003A5178"/>
    <w:rsid w:val="003B0735"/>
    <w:rsid w:val="003B0D9A"/>
    <w:rsid w:val="003B47E4"/>
    <w:rsid w:val="003B49E5"/>
    <w:rsid w:val="003B6907"/>
    <w:rsid w:val="003C1161"/>
    <w:rsid w:val="003C2E7E"/>
    <w:rsid w:val="003C49C6"/>
    <w:rsid w:val="003C5259"/>
    <w:rsid w:val="003C7343"/>
    <w:rsid w:val="003D0F80"/>
    <w:rsid w:val="003D2223"/>
    <w:rsid w:val="003D2A3D"/>
    <w:rsid w:val="003D33B6"/>
    <w:rsid w:val="003D5E29"/>
    <w:rsid w:val="003D79D8"/>
    <w:rsid w:val="003E0972"/>
    <w:rsid w:val="003E2586"/>
    <w:rsid w:val="003E2CF1"/>
    <w:rsid w:val="003E3C40"/>
    <w:rsid w:val="003E40D0"/>
    <w:rsid w:val="003E630C"/>
    <w:rsid w:val="003E7639"/>
    <w:rsid w:val="003F0B95"/>
    <w:rsid w:val="003F10B6"/>
    <w:rsid w:val="003F3226"/>
    <w:rsid w:val="003F478F"/>
    <w:rsid w:val="003F60DD"/>
    <w:rsid w:val="003F7588"/>
    <w:rsid w:val="00401028"/>
    <w:rsid w:val="004021B2"/>
    <w:rsid w:val="0040270D"/>
    <w:rsid w:val="00402D5F"/>
    <w:rsid w:val="00403980"/>
    <w:rsid w:val="0040481E"/>
    <w:rsid w:val="00405216"/>
    <w:rsid w:val="00405B2A"/>
    <w:rsid w:val="004063B0"/>
    <w:rsid w:val="00406829"/>
    <w:rsid w:val="00407B59"/>
    <w:rsid w:val="0041099F"/>
    <w:rsid w:val="00410A7B"/>
    <w:rsid w:val="004120BD"/>
    <w:rsid w:val="004129E1"/>
    <w:rsid w:val="00413B75"/>
    <w:rsid w:val="00414B4E"/>
    <w:rsid w:val="00416A6B"/>
    <w:rsid w:val="00417BCF"/>
    <w:rsid w:val="0042117A"/>
    <w:rsid w:val="004218A7"/>
    <w:rsid w:val="004224A1"/>
    <w:rsid w:val="004225B3"/>
    <w:rsid w:val="00423376"/>
    <w:rsid w:val="00423E73"/>
    <w:rsid w:val="0042539F"/>
    <w:rsid w:val="004253BD"/>
    <w:rsid w:val="004259FD"/>
    <w:rsid w:val="00426D9B"/>
    <w:rsid w:val="004278FC"/>
    <w:rsid w:val="00431FB5"/>
    <w:rsid w:val="004336EC"/>
    <w:rsid w:val="00436B9C"/>
    <w:rsid w:val="004379A2"/>
    <w:rsid w:val="00437A96"/>
    <w:rsid w:val="00437DEB"/>
    <w:rsid w:val="004401E9"/>
    <w:rsid w:val="00440530"/>
    <w:rsid w:val="00442CFD"/>
    <w:rsid w:val="0044638A"/>
    <w:rsid w:val="00451B4E"/>
    <w:rsid w:val="00453AFB"/>
    <w:rsid w:val="00455103"/>
    <w:rsid w:val="00460DAE"/>
    <w:rsid w:val="00463A00"/>
    <w:rsid w:val="00465A52"/>
    <w:rsid w:val="00467182"/>
    <w:rsid w:val="0047131D"/>
    <w:rsid w:val="00472EAE"/>
    <w:rsid w:val="00474884"/>
    <w:rsid w:val="00475220"/>
    <w:rsid w:val="00475B5E"/>
    <w:rsid w:val="00475C76"/>
    <w:rsid w:val="00475CD3"/>
    <w:rsid w:val="004761F7"/>
    <w:rsid w:val="004763DE"/>
    <w:rsid w:val="00476FAB"/>
    <w:rsid w:val="00480E76"/>
    <w:rsid w:val="00481AC4"/>
    <w:rsid w:val="00482DCA"/>
    <w:rsid w:val="00484AB9"/>
    <w:rsid w:val="00486FF3"/>
    <w:rsid w:val="00487043"/>
    <w:rsid w:val="00487767"/>
    <w:rsid w:val="004878BE"/>
    <w:rsid w:val="00490F81"/>
    <w:rsid w:val="004922BC"/>
    <w:rsid w:val="00492F39"/>
    <w:rsid w:val="00494AA0"/>
    <w:rsid w:val="00494EF9"/>
    <w:rsid w:val="00495A44"/>
    <w:rsid w:val="00495EC3"/>
    <w:rsid w:val="004965BD"/>
    <w:rsid w:val="00497070"/>
    <w:rsid w:val="004A23E4"/>
    <w:rsid w:val="004A3FD4"/>
    <w:rsid w:val="004A651E"/>
    <w:rsid w:val="004A73A8"/>
    <w:rsid w:val="004B5A99"/>
    <w:rsid w:val="004B71EE"/>
    <w:rsid w:val="004B74F3"/>
    <w:rsid w:val="004C0A47"/>
    <w:rsid w:val="004C0B99"/>
    <w:rsid w:val="004C145D"/>
    <w:rsid w:val="004C3150"/>
    <w:rsid w:val="004C4069"/>
    <w:rsid w:val="004C43C8"/>
    <w:rsid w:val="004C4F20"/>
    <w:rsid w:val="004C73F0"/>
    <w:rsid w:val="004C7B96"/>
    <w:rsid w:val="004D19F1"/>
    <w:rsid w:val="004D1ADC"/>
    <w:rsid w:val="004D2ECD"/>
    <w:rsid w:val="004D3CA7"/>
    <w:rsid w:val="004D4E5C"/>
    <w:rsid w:val="004E0086"/>
    <w:rsid w:val="004E0A7E"/>
    <w:rsid w:val="004E1442"/>
    <w:rsid w:val="004E1AB7"/>
    <w:rsid w:val="004E3073"/>
    <w:rsid w:val="004E4AA4"/>
    <w:rsid w:val="004E5426"/>
    <w:rsid w:val="004E5FCE"/>
    <w:rsid w:val="004E7021"/>
    <w:rsid w:val="004F2F91"/>
    <w:rsid w:val="004F5B32"/>
    <w:rsid w:val="004F5FB3"/>
    <w:rsid w:val="005013F8"/>
    <w:rsid w:val="00501602"/>
    <w:rsid w:val="00501BCE"/>
    <w:rsid w:val="00502207"/>
    <w:rsid w:val="00505B67"/>
    <w:rsid w:val="005127B7"/>
    <w:rsid w:val="00514BD8"/>
    <w:rsid w:val="005152CD"/>
    <w:rsid w:val="00516362"/>
    <w:rsid w:val="00517B05"/>
    <w:rsid w:val="005217B8"/>
    <w:rsid w:val="005224B4"/>
    <w:rsid w:val="005241DA"/>
    <w:rsid w:val="00524533"/>
    <w:rsid w:val="005249D1"/>
    <w:rsid w:val="00531AB6"/>
    <w:rsid w:val="005335E8"/>
    <w:rsid w:val="00534454"/>
    <w:rsid w:val="005355D0"/>
    <w:rsid w:val="00535657"/>
    <w:rsid w:val="005367DF"/>
    <w:rsid w:val="00537249"/>
    <w:rsid w:val="00537FBF"/>
    <w:rsid w:val="00541F1C"/>
    <w:rsid w:val="00542D87"/>
    <w:rsid w:val="00543022"/>
    <w:rsid w:val="005454D4"/>
    <w:rsid w:val="005459B0"/>
    <w:rsid w:val="00546D51"/>
    <w:rsid w:val="00551051"/>
    <w:rsid w:val="005530F0"/>
    <w:rsid w:val="00553343"/>
    <w:rsid w:val="00562465"/>
    <w:rsid w:val="00563CF6"/>
    <w:rsid w:val="00564837"/>
    <w:rsid w:val="005653DD"/>
    <w:rsid w:val="00566264"/>
    <w:rsid w:val="005714C7"/>
    <w:rsid w:val="00571A4D"/>
    <w:rsid w:val="00571A74"/>
    <w:rsid w:val="00571E53"/>
    <w:rsid w:val="005735DB"/>
    <w:rsid w:val="00573652"/>
    <w:rsid w:val="00577E32"/>
    <w:rsid w:val="00580A69"/>
    <w:rsid w:val="0058365A"/>
    <w:rsid w:val="00584A95"/>
    <w:rsid w:val="00585E44"/>
    <w:rsid w:val="0058694A"/>
    <w:rsid w:val="00587393"/>
    <w:rsid w:val="005874FB"/>
    <w:rsid w:val="00593419"/>
    <w:rsid w:val="00593725"/>
    <w:rsid w:val="00596930"/>
    <w:rsid w:val="0059760C"/>
    <w:rsid w:val="005A026A"/>
    <w:rsid w:val="005A0FD4"/>
    <w:rsid w:val="005A3E9E"/>
    <w:rsid w:val="005A552D"/>
    <w:rsid w:val="005B16B3"/>
    <w:rsid w:val="005B242E"/>
    <w:rsid w:val="005B2881"/>
    <w:rsid w:val="005B3D64"/>
    <w:rsid w:val="005B426B"/>
    <w:rsid w:val="005B65A8"/>
    <w:rsid w:val="005B6839"/>
    <w:rsid w:val="005B68E3"/>
    <w:rsid w:val="005B7063"/>
    <w:rsid w:val="005C0125"/>
    <w:rsid w:val="005C2456"/>
    <w:rsid w:val="005C348E"/>
    <w:rsid w:val="005C34B5"/>
    <w:rsid w:val="005C42FA"/>
    <w:rsid w:val="005C461E"/>
    <w:rsid w:val="005C4E46"/>
    <w:rsid w:val="005C5867"/>
    <w:rsid w:val="005C76C9"/>
    <w:rsid w:val="005D247E"/>
    <w:rsid w:val="005D5723"/>
    <w:rsid w:val="005D5C97"/>
    <w:rsid w:val="005D7247"/>
    <w:rsid w:val="005E1776"/>
    <w:rsid w:val="005E273B"/>
    <w:rsid w:val="005E2E3F"/>
    <w:rsid w:val="005E2F7B"/>
    <w:rsid w:val="005E57BF"/>
    <w:rsid w:val="005E644C"/>
    <w:rsid w:val="005E67FC"/>
    <w:rsid w:val="005E7115"/>
    <w:rsid w:val="005F2AC7"/>
    <w:rsid w:val="005F2C67"/>
    <w:rsid w:val="005F2E84"/>
    <w:rsid w:val="005F4C92"/>
    <w:rsid w:val="005F5FDC"/>
    <w:rsid w:val="00601561"/>
    <w:rsid w:val="00601A2E"/>
    <w:rsid w:val="006025AF"/>
    <w:rsid w:val="0060357C"/>
    <w:rsid w:val="0060371C"/>
    <w:rsid w:val="00603F65"/>
    <w:rsid w:val="00604940"/>
    <w:rsid w:val="00604AE4"/>
    <w:rsid w:val="00605944"/>
    <w:rsid w:val="0060636F"/>
    <w:rsid w:val="006072B2"/>
    <w:rsid w:val="00607B49"/>
    <w:rsid w:val="00610037"/>
    <w:rsid w:val="00610CB5"/>
    <w:rsid w:val="00611F15"/>
    <w:rsid w:val="0061234B"/>
    <w:rsid w:val="00612C6C"/>
    <w:rsid w:val="00612E67"/>
    <w:rsid w:val="006165E7"/>
    <w:rsid w:val="00616AE5"/>
    <w:rsid w:val="00620EC3"/>
    <w:rsid w:val="0062127E"/>
    <w:rsid w:val="006213D7"/>
    <w:rsid w:val="00622A1A"/>
    <w:rsid w:val="00626FAA"/>
    <w:rsid w:val="00630DA7"/>
    <w:rsid w:val="0063197D"/>
    <w:rsid w:val="006342C4"/>
    <w:rsid w:val="00634A1E"/>
    <w:rsid w:val="00636757"/>
    <w:rsid w:val="006374BA"/>
    <w:rsid w:val="0063755F"/>
    <w:rsid w:val="00641257"/>
    <w:rsid w:val="006460DF"/>
    <w:rsid w:val="00653887"/>
    <w:rsid w:val="0065799B"/>
    <w:rsid w:val="00661059"/>
    <w:rsid w:val="0066167C"/>
    <w:rsid w:val="0066587A"/>
    <w:rsid w:val="0066588F"/>
    <w:rsid w:val="0066600E"/>
    <w:rsid w:val="00670394"/>
    <w:rsid w:val="00670EC8"/>
    <w:rsid w:val="00672009"/>
    <w:rsid w:val="00673B1B"/>
    <w:rsid w:val="00673F04"/>
    <w:rsid w:val="0067543C"/>
    <w:rsid w:val="006754C6"/>
    <w:rsid w:val="0067592C"/>
    <w:rsid w:val="00682AD6"/>
    <w:rsid w:val="006834D6"/>
    <w:rsid w:val="00683677"/>
    <w:rsid w:val="006847E4"/>
    <w:rsid w:val="0069181E"/>
    <w:rsid w:val="00692389"/>
    <w:rsid w:val="00693B18"/>
    <w:rsid w:val="00694B60"/>
    <w:rsid w:val="0069550A"/>
    <w:rsid w:val="00696913"/>
    <w:rsid w:val="00696B74"/>
    <w:rsid w:val="006A20C1"/>
    <w:rsid w:val="006A2F49"/>
    <w:rsid w:val="006A47CD"/>
    <w:rsid w:val="006A4BFD"/>
    <w:rsid w:val="006A58DB"/>
    <w:rsid w:val="006A745F"/>
    <w:rsid w:val="006A7B40"/>
    <w:rsid w:val="006B01D7"/>
    <w:rsid w:val="006B1B9D"/>
    <w:rsid w:val="006B28AF"/>
    <w:rsid w:val="006B7B0F"/>
    <w:rsid w:val="006C1512"/>
    <w:rsid w:val="006C177C"/>
    <w:rsid w:val="006C33E6"/>
    <w:rsid w:val="006C563C"/>
    <w:rsid w:val="006C6669"/>
    <w:rsid w:val="006C7C02"/>
    <w:rsid w:val="006D02F4"/>
    <w:rsid w:val="006D0999"/>
    <w:rsid w:val="006D0A65"/>
    <w:rsid w:val="006D0ED1"/>
    <w:rsid w:val="006D2416"/>
    <w:rsid w:val="006D2548"/>
    <w:rsid w:val="006D2FAE"/>
    <w:rsid w:val="006D53CD"/>
    <w:rsid w:val="006D62B9"/>
    <w:rsid w:val="006D68AD"/>
    <w:rsid w:val="006D7615"/>
    <w:rsid w:val="006E048E"/>
    <w:rsid w:val="006E09AD"/>
    <w:rsid w:val="006E14FE"/>
    <w:rsid w:val="006E20BC"/>
    <w:rsid w:val="006E31AF"/>
    <w:rsid w:val="006E46EC"/>
    <w:rsid w:val="006E5D3D"/>
    <w:rsid w:val="006F09A2"/>
    <w:rsid w:val="006F339D"/>
    <w:rsid w:val="006F4286"/>
    <w:rsid w:val="006F554F"/>
    <w:rsid w:val="006F56B6"/>
    <w:rsid w:val="007007E7"/>
    <w:rsid w:val="00700897"/>
    <w:rsid w:val="00701C6F"/>
    <w:rsid w:val="00703740"/>
    <w:rsid w:val="00703BC2"/>
    <w:rsid w:val="00704181"/>
    <w:rsid w:val="00704A86"/>
    <w:rsid w:val="00705047"/>
    <w:rsid w:val="00706125"/>
    <w:rsid w:val="0070646F"/>
    <w:rsid w:val="00707B51"/>
    <w:rsid w:val="00707FCD"/>
    <w:rsid w:val="00714619"/>
    <w:rsid w:val="007151BC"/>
    <w:rsid w:val="0071560C"/>
    <w:rsid w:val="00716FC4"/>
    <w:rsid w:val="00717B40"/>
    <w:rsid w:val="00721090"/>
    <w:rsid w:val="00721680"/>
    <w:rsid w:val="007216C6"/>
    <w:rsid w:val="00721DB3"/>
    <w:rsid w:val="0072254E"/>
    <w:rsid w:val="00722E1F"/>
    <w:rsid w:val="00723582"/>
    <w:rsid w:val="007241F1"/>
    <w:rsid w:val="00725BAC"/>
    <w:rsid w:val="00731BD6"/>
    <w:rsid w:val="007320E4"/>
    <w:rsid w:val="00732CAB"/>
    <w:rsid w:val="00735F76"/>
    <w:rsid w:val="00737C21"/>
    <w:rsid w:val="00741F6D"/>
    <w:rsid w:val="00742949"/>
    <w:rsid w:val="00743B79"/>
    <w:rsid w:val="00743CB7"/>
    <w:rsid w:val="00744D2E"/>
    <w:rsid w:val="00746EC0"/>
    <w:rsid w:val="00747FFD"/>
    <w:rsid w:val="007500C1"/>
    <w:rsid w:val="00753AB4"/>
    <w:rsid w:val="00754BC2"/>
    <w:rsid w:val="00754D78"/>
    <w:rsid w:val="00757257"/>
    <w:rsid w:val="00763946"/>
    <w:rsid w:val="00763E85"/>
    <w:rsid w:val="00773C3D"/>
    <w:rsid w:val="00773D3F"/>
    <w:rsid w:val="007801DB"/>
    <w:rsid w:val="00780D1B"/>
    <w:rsid w:val="00782571"/>
    <w:rsid w:val="00785FD2"/>
    <w:rsid w:val="0078680B"/>
    <w:rsid w:val="0078739C"/>
    <w:rsid w:val="0078793C"/>
    <w:rsid w:val="00787EC4"/>
    <w:rsid w:val="00790585"/>
    <w:rsid w:val="007909BE"/>
    <w:rsid w:val="0079377E"/>
    <w:rsid w:val="00794CF0"/>
    <w:rsid w:val="00795545"/>
    <w:rsid w:val="00795C57"/>
    <w:rsid w:val="007A15CD"/>
    <w:rsid w:val="007A1892"/>
    <w:rsid w:val="007A250D"/>
    <w:rsid w:val="007A2D7E"/>
    <w:rsid w:val="007A3675"/>
    <w:rsid w:val="007A45A8"/>
    <w:rsid w:val="007A5DC3"/>
    <w:rsid w:val="007A62B8"/>
    <w:rsid w:val="007A662F"/>
    <w:rsid w:val="007A7485"/>
    <w:rsid w:val="007A798D"/>
    <w:rsid w:val="007B2F0F"/>
    <w:rsid w:val="007B31C1"/>
    <w:rsid w:val="007B3408"/>
    <w:rsid w:val="007B3489"/>
    <w:rsid w:val="007B5867"/>
    <w:rsid w:val="007B5991"/>
    <w:rsid w:val="007B7D10"/>
    <w:rsid w:val="007C0627"/>
    <w:rsid w:val="007C0A7B"/>
    <w:rsid w:val="007C3709"/>
    <w:rsid w:val="007C51AA"/>
    <w:rsid w:val="007C543F"/>
    <w:rsid w:val="007C65F2"/>
    <w:rsid w:val="007C7177"/>
    <w:rsid w:val="007D2F07"/>
    <w:rsid w:val="007D48AC"/>
    <w:rsid w:val="007D5342"/>
    <w:rsid w:val="007D54FA"/>
    <w:rsid w:val="007E0399"/>
    <w:rsid w:val="007E1F2E"/>
    <w:rsid w:val="007E2C71"/>
    <w:rsid w:val="007E4072"/>
    <w:rsid w:val="007F3911"/>
    <w:rsid w:val="007F5680"/>
    <w:rsid w:val="007F76D2"/>
    <w:rsid w:val="008017B9"/>
    <w:rsid w:val="008031C1"/>
    <w:rsid w:val="008032A0"/>
    <w:rsid w:val="00803914"/>
    <w:rsid w:val="00803F0D"/>
    <w:rsid w:val="00804444"/>
    <w:rsid w:val="00806D5D"/>
    <w:rsid w:val="00806D97"/>
    <w:rsid w:val="008072C9"/>
    <w:rsid w:val="00807513"/>
    <w:rsid w:val="00810EC3"/>
    <w:rsid w:val="008118A8"/>
    <w:rsid w:val="00811B8A"/>
    <w:rsid w:val="00812D55"/>
    <w:rsid w:val="00812EFF"/>
    <w:rsid w:val="0081306A"/>
    <w:rsid w:val="00815912"/>
    <w:rsid w:val="008165A2"/>
    <w:rsid w:val="00817535"/>
    <w:rsid w:val="0082008C"/>
    <w:rsid w:val="0082773E"/>
    <w:rsid w:val="00830181"/>
    <w:rsid w:val="008319B3"/>
    <w:rsid w:val="008352C1"/>
    <w:rsid w:val="0083564A"/>
    <w:rsid w:val="00836526"/>
    <w:rsid w:val="00837917"/>
    <w:rsid w:val="00841B58"/>
    <w:rsid w:val="00842CA6"/>
    <w:rsid w:val="00843188"/>
    <w:rsid w:val="00843FDF"/>
    <w:rsid w:val="00847A57"/>
    <w:rsid w:val="008506A8"/>
    <w:rsid w:val="008537B1"/>
    <w:rsid w:val="00860FC9"/>
    <w:rsid w:val="00863DB9"/>
    <w:rsid w:val="00864F00"/>
    <w:rsid w:val="0086592C"/>
    <w:rsid w:val="00865989"/>
    <w:rsid w:val="00865AEC"/>
    <w:rsid w:val="008663C1"/>
    <w:rsid w:val="008667BA"/>
    <w:rsid w:val="00866DE0"/>
    <w:rsid w:val="00870BD0"/>
    <w:rsid w:val="00871E9E"/>
    <w:rsid w:val="00872C48"/>
    <w:rsid w:val="00872CE5"/>
    <w:rsid w:val="00873032"/>
    <w:rsid w:val="00873477"/>
    <w:rsid w:val="00873CF4"/>
    <w:rsid w:val="00875A4E"/>
    <w:rsid w:val="008768FC"/>
    <w:rsid w:val="0087690F"/>
    <w:rsid w:val="00880CE7"/>
    <w:rsid w:val="0088395E"/>
    <w:rsid w:val="00884F82"/>
    <w:rsid w:val="008858A9"/>
    <w:rsid w:val="008862E0"/>
    <w:rsid w:val="008864E4"/>
    <w:rsid w:val="00886C85"/>
    <w:rsid w:val="008877EA"/>
    <w:rsid w:val="0089011E"/>
    <w:rsid w:val="0089117A"/>
    <w:rsid w:val="00891924"/>
    <w:rsid w:val="00892F33"/>
    <w:rsid w:val="00893055"/>
    <w:rsid w:val="008975E6"/>
    <w:rsid w:val="008A061E"/>
    <w:rsid w:val="008A2D20"/>
    <w:rsid w:val="008A36A3"/>
    <w:rsid w:val="008A375B"/>
    <w:rsid w:val="008A4460"/>
    <w:rsid w:val="008A6C20"/>
    <w:rsid w:val="008A791B"/>
    <w:rsid w:val="008B16E3"/>
    <w:rsid w:val="008B1A2E"/>
    <w:rsid w:val="008B1E45"/>
    <w:rsid w:val="008B1F50"/>
    <w:rsid w:val="008B1FA6"/>
    <w:rsid w:val="008B2BA1"/>
    <w:rsid w:val="008B2E3E"/>
    <w:rsid w:val="008B321E"/>
    <w:rsid w:val="008B3C59"/>
    <w:rsid w:val="008B417F"/>
    <w:rsid w:val="008B5832"/>
    <w:rsid w:val="008B59CD"/>
    <w:rsid w:val="008B6AB3"/>
    <w:rsid w:val="008B7892"/>
    <w:rsid w:val="008C0348"/>
    <w:rsid w:val="008C0485"/>
    <w:rsid w:val="008C148F"/>
    <w:rsid w:val="008C1612"/>
    <w:rsid w:val="008C1D3C"/>
    <w:rsid w:val="008C3115"/>
    <w:rsid w:val="008C3706"/>
    <w:rsid w:val="008C3F3F"/>
    <w:rsid w:val="008C72A4"/>
    <w:rsid w:val="008C77EF"/>
    <w:rsid w:val="008D128A"/>
    <w:rsid w:val="008D1545"/>
    <w:rsid w:val="008D1E4F"/>
    <w:rsid w:val="008D3362"/>
    <w:rsid w:val="008D526C"/>
    <w:rsid w:val="008D58C8"/>
    <w:rsid w:val="008E1F80"/>
    <w:rsid w:val="008E2D07"/>
    <w:rsid w:val="008E4C9F"/>
    <w:rsid w:val="008E68E1"/>
    <w:rsid w:val="008E6F26"/>
    <w:rsid w:val="008F060F"/>
    <w:rsid w:val="008F2567"/>
    <w:rsid w:val="008F3E82"/>
    <w:rsid w:val="008F56FE"/>
    <w:rsid w:val="008F5AD0"/>
    <w:rsid w:val="008F65AC"/>
    <w:rsid w:val="00901571"/>
    <w:rsid w:val="00902EC1"/>
    <w:rsid w:val="00903D14"/>
    <w:rsid w:val="0090494B"/>
    <w:rsid w:val="009075EA"/>
    <w:rsid w:val="009172E6"/>
    <w:rsid w:val="00920AB2"/>
    <w:rsid w:val="00920FF5"/>
    <w:rsid w:val="00921694"/>
    <w:rsid w:val="00922782"/>
    <w:rsid w:val="00922D42"/>
    <w:rsid w:val="009232E3"/>
    <w:rsid w:val="009243E4"/>
    <w:rsid w:val="00924B5E"/>
    <w:rsid w:val="00924F38"/>
    <w:rsid w:val="009309E9"/>
    <w:rsid w:val="009310C5"/>
    <w:rsid w:val="009340B7"/>
    <w:rsid w:val="00935707"/>
    <w:rsid w:val="009357E0"/>
    <w:rsid w:val="00935DD1"/>
    <w:rsid w:val="0093617F"/>
    <w:rsid w:val="009375EF"/>
    <w:rsid w:val="0093769D"/>
    <w:rsid w:val="00940150"/>
    <w:rsid w:val="009408CE"/>
    <w:rsid w:val="00941519"/>
    <w:rsid w:val="00941D58"/>
    <w:rsid w:val="00942F21"/>
    <w:rsid w:val="00943074"/>
    <w:rsid w:val="00945788"/>
    <w:rsid w:val="00945A89"/>
    <w:rsid w:val="00945F78"/>
    <w:rsid w:val="00951F07"/>
    <w:rsid w:val="00953FEA"/>
    <w:rsid w:val="0095415E"/>
    <w:rsid w:val="009549F8"/>
    <w:rsid w:val="00954D4A"/>
    <w:rsid w:val="00955E30"/>
    <w:rsid w:val="00955EDE"/>
    <w:rsid w:val="0096474E"/>
    <w:rsid w:val="00965484"/>
    <w:rsid w:val="009662E1"/>
    <w:rsid w:val="009663D9"/>
    <w:rsid w:val="00972BAA"/>
    <w:rsid w:val="009739FB"/>
    <w:rsid w:val="00974C1C"/>
    <w:rsid w:val="00980855"/>
    <w:rsid w:val="009818C8"/>
    <w:rsid w:val="009840C4"/>
    <w:rsid w:val="0098415C"/>
    <w:rsid w:val="00984740"/>
    <w:rsid w:val="0098598D"/>
    <w:rsid w:val="00987D12"/>
    <w:rsid w:val="009955A8"/>
    <w:rsid w:val="009959F2"/>
    <w:rsid w:val="009A150F"/>
    <w:rsid w:val="009A1C4D"/>
    <w:rsid w:val="009A2739"/>
    <w:rsid w:val="009A2ECD"/>
    <w:rsid w:val="009A3026"/>
    <w:rsid w:val="009B08E5"/>
    <w:rsid w:val="009B0CC1"/>
    <w:rsid w:val="009B14F3"/>
    <w:rsid w:val="009B2F2E"/>
    <w:rsid w:val="009B435D"/>
    <w:rsid w:val="009B6470"/>
    <w:rsid w:val="009B75E2"/>
    <w:rsid w:val="009C0E03"/>
    <w:rsid w:val="009C1191"/>
    <w:rsid w:val="009C16B7"/>
    <w:rsid w:val="009C47CF"/>
    <w:rsid w:val="009C4D19"/>
    <w:rsid w:val="009C64AF"/>
    <w:rsid w:val="009C67B7"/>
    <w:rsid w:val="009C7971"/>
    <w:rsid w:val="009D12E4"/>
    <w:rsid w:val="009D1885"/>
    <w:rsid w:val="009D22D1"/>
    <w:rsid w:val="009D75C0"/>
    <w:rsid w:val="009E1A8C"/>
    <w:rsid w:val="009E1C79"/>
    <w:rsid w:val="009E6ACE"/>
    <w:rsid w:val="009E7B66"/>
    <w:rsid w:val="009E7C63"/>
    <w:rsid w:val="009F01C2"/>
    <w:rsid w:val="009F136C"/>
    <w:rsid w:val="009F287E"/>
    <w:rsid w:val="009F3524"/>
    <w:rsid w:val="009F352B"/>
    <w:rsid w:val="009F7693"/>
    <w:rsid w:val="00A0149C"/>
    <w:rsid w:val="00A03EF4"/>
    <w:rsid w:val="00A04A8A"/>
    <w:rsid w:val="00A06F6C"/>
    <w:rsid w:val="00A0761C"/>
    <w:rsid w:val="00A07CA6"/>
    <w:rsid w:val="00A07CFB"/>
    <w:rsid w:val="00A11492"/>
    <w:rsid w:val="00A11522"/>
    <w:rsid w:val="00A13CB5"/>
    <w:rsid w:val="00A16680"/>
    <w:rsid w:val="00A17A01"/>
    <w:rsid w:val="00A22445"/>
    <w:rsid w:val="00A2315B"/>
    <w:rsid w:val="00A2454D"/>
    <w:rsid w:val="00A25165"/>
    <w:rsid w:val="00A27B90"/>
    <w:rsid w:val="00A30E7F"/>
    <w:rsid w:val="00A318BC"/>
    <w:rsid w:val="00A34830"/>
    <w:rsid w:val="00A35CFC"/>
    <w:rsid w:val="00A36E6B"/>
    <w:rsid w:val="00A37186"/>
    <w:rsid w:val="00A40778"/>
    <w:rsid w:val="00A40BB3"/>
    <w:rsid w:val="00A42539"/>
    <w:rsid w:val="00A42C67"/>
    <w:rsid w:val="00A43BD7"/>
    <w:rsid w:val="00A43D11"/>
    <w:rsid w:val="00A44173"/>
    <w:rsid w:val="00A44652"/>
    <w:rsid w:val="00A44A2E"/>
    <w:rsid w:val="00A46014"/>
    <w:rsid w:val="00A464D0"/>
    <w:rsid w:val="00A46C76"/>
    <w:rsid w:val="00A46FB0"/>
    <w:rsid w:val="00A52646"/>
    <w:rsid w:val="00A553A1"/>
    <w:rsid w:val="00A57AD7"/>
    <w:rsid w:val="00A62614"/>
    <w:rsid w:val="00A675F6"/>
    <w:rsid w:val="00A67B5E"/>
    <w:rsid w:val="00A710A3"/>
    <w:rsid w:val="00A75780"/>
    <w:rsid w:val="00A75DF4"/>
    <w:rsid w:val="00A77CAC"/>
    <w:rsid w:val="00A81250"/>
    <w:rsid w:val="00A8191E"/>
    <w:rsid w:val="00A81FA9"/>
    <w:rsid w:val="00A83EA4"/>
    <w:rsid w:val="00A8555C"/>
    <w:rsid w:val="00A870EE"/>
    <w:rsid w:val="00A87276"/>
    <w:rsid w:val="00A91347"/>
    <w:rsid w:val="00A93705"/>
    <w:rsid w:val="00A9388C"/>
    <w:rsid w:val="00A93DE7"/>
    <w:rsid w:val="00A94269"/>
    <w:rsid w:val="00A9634F"/>
    <w:rsid w:val="00AA043D"/>
    <w:rsid w:val="00AA13D9"/>
    <w:rsid w:val="00AA51D1"/>
    <w:rsid w:val="00AA5A24"/>
    <w:rsid w:val="00AA5F3D"/>
    <w:rsid w:val="00AA6936"/>
    <w:rsid w:val="00AB1521"/>
    <w:rsid w:val="00AB3512"/>
    <w:rsid w:val="00AB38D5"/>
    <w:rsid w:val="00AB5E04"/>
    <w:rsid w:val="00AC05C5"/>
    <w:rsid w:val="00AC1D96"/>
    <w:rsid w:val="00AC2FC1"/>
    <w:rsid w:val="00AC300A"/>
    <w:rsid w:val="00AC4BB2"/>
    <w:rsid w:val="00AD14B0"/>
    <w:rsid w:val="00AD1C2B"/>
    <w:rsid w:val="00AD23AE"/>
    <w:rsid w:val="00AD260A"/>
    <w:rsid w:val="00AD3001"/>
    <w:rsid w:val="00AD4886"/>
    <w:rsid w:val="00AD4C14"/>
    <w:rsid w:val="00AD7615"/>
    <w:rsid w:val="00AD7A67"/>
    <w:rsid w:val="00AD7AB9"/>
    <w:rsid w:val="00AE00AB"/>
    <w:rsid w:val="00AE0264"/>
    <w:rsid w:val="00AE36B8"/>
    <w:rsid w:val="00AE4F4F"/>
    <w:rsid w:val="00AE6B27"/>
    <w:rsid w:val="00AE731D"/>
    <w:rsid w:val="00AE79D9"/>
    <w:rsid w:val="00AF0774"/>
    <w:rsid w:val="00AF3D0B"/>
    <w:rsid w:val="00AF412F"/>
    <w:rsid w:val="00AF4572"/>
    <w:rsid w:val="00AF5E3C"/>
    <w:rsid w:val="00AF63B7"/>
    <w:rsid w:val="00B0054D"/>
    <w:rsid w:val="00B01841"/>
    <w:rsid w:val="00B03B25"/>
    <w:rsid w:val="00B041D9"/>
    <w:rsid w:val="00B07CD0"/>
    <w:rsid w:val="00B11767"/>
    <w:rsid w:val="00B119AC"/>
    <w:rsid w:val="00B127A4"/>
    <w:rsid w:val="00B17854"/>
    <w:rsid w:val="00B21A1C"/>
    <w:rsid w:val="00B22090"/>
    <w:rsid w:val="00B221CC"/>
    <w:rsid w:val="00B245FF"/>
    <w:rsid w:val="00B247DF"/>
    <w:rsid w:val="00B24BA4"/>
    <w:rsid w:val="00B24CDF"/>
    <w:rsid w:val="00B2624E"/>
    <w:rsid w:val="00B264F0"/>
    <w:rsid w:val="00B26F20"/>
    <w:rsid w:val="00B27662"/>
    <w:rsid w:val="00B301E0"/>
    <w:rsid w:val="00B31505"/>
    <w:rsid w:val="00B32482"/>
    <w:rsid w:val="00B327DA"/>
    <w:rsid w:val="00B33073"/>
    <w:rsid w:val="00B33C33"/>
    <w:rsid w:val="00B344E6"/>
    <w:rsid w:val="00B34AB1"/>
    <w:rsid w:val="00B3569A"/>
    <w:rsid w:val="00B3703D"/>
    <w:rsid w:val="00B37BBE"/>
    <w:rsid w:val="00B41B0A"/>
    <w:rsid w:val="00B428E9"/>
    <w:rsid w:val="00B44411"/>
    <w:rsid w:val="00B44B3C"/>
    <w:rsid w:val="00B453E7"/>
    <w:rsid w:val="00B464AC"/>
    <w:rsid w:val="00B510C1"/>
    <w:rsid w:val="00B51A80"/>
    <w:rsid w:val="00B53CB5"/>
    <w:rsid w:val="00B60583"/>
    <w:rsid w:val="00B62B4B"/>
    <w:rsid w:val="00B63E63"/>
    <w:rsid w:val="00B648D7"/>
    <w:rsid w:val="00B64DB2"/>
    <w:rsid w:val="00B701C1"/>
    <w:rsid w:val="00B776E5"/>
    <w:rsid w:val="00B7789F"/>
    <w:rsid w:val="00B77DE4"/>
    <w:rsid w:val="00B80441"/>
    <w:rsid w:val="00B815B2"/>
    <w:rsid w:val="00B8340A"/>
    <w:rsid w:val="00B85605"/>
    <w:rsid w:val="00B91E2E"/>
    <w:rsid w:val="00B9258C"/>
    <w:rsid w:val="00B937A4"/>
    <w:rsid w:val="00B93E94"/>
    <w:rsid w:val="00B94B4F"/>
    <w:rsid w:val="00B96A33"/>
    <w:rsid w:val="00B96E88"/>
    <w:rsid w:val="00B97240"/>
    <w:rsid w:val="00B97A28"/>
    <w:rsid w:val="00BA0602"/>
    <w:rsid w:val="00BA3C9E"/>
    <w:rsid w:val="00BA4C62"/>
    <w:rsid w:val="00BA4E15"/>
    <w:rsid w:val="00BA652C"/>
    <w:rsid w:val="00BA6B68"/>
    <w:rsid w:val="00BA759C"/>
    <w:rsid w:val="00BB0A94"/>
    <w:rsid w:val="00BB4302"/>
    <w:rsid w:val="00BB4782"/>
    <w:rsid w:val="00BB4E89"/>
    <w:rsid w:val="00BB5934"/>
    <w:rsid w:val="00BB6FCD"/>
    <w:rsid w:val="00BC12A1"/>
    <w:rsid w:val="00BC287D"/>
    <w:rsid w:val="00BC3729"/>
    <w:rsid w:val="00BC44D0"/>
    <w:rsid w:val="00BC4DA2"/>
    <w:rsid w:val="00BC57D8"/>
    <w:rsid w:val="00BC6008"/>
    <w:rsid w:val="00BC6052"/>
    <w:rsid w:val="00BC6085"/>
    <w:rsid w:val="00BC620F"/>
    <w:rsid w:val="00BC672F"/>
    <w:rsid w:val="00BD020C"/>
    <w:rsid w:val="00BD0234"/>
    <w:rsid w:val="00BD0D88"/>
    <w:rsid w:val="00BD3F1B"/>
    <w:rsid w:val="00BD6C4E"/>
    <w:rsid w:val="00BD7778"/>
    <w:rsid w:val="00BD7A41"/>
    <w:rsid w:val="00BD7AA0"/>
    <w:rsid w:val="00BE000E"/>
    <w:rsid w:val="00BE1333"/>
    <w:rsid w:val="00BE13DD"/>
    <w:rsid w:val="00BE146C"/>
    <w:rsid w:val="00BE3524"/>
    <w:rsid w:val="00BE4CCB"/>
    <w:rsid w:val="00BE5D9D"/>
    <w:rsid w:val="00BE7C60"/>
    <w:rsid w:val="00BF08ED"/>
    <w:rsid w:val="00BF0EF4"/>
    <w:rsid w:val="00BF1649"/>
    <w:rsid w:val="00BF4E36"/>
    <w:rsid w:val="00BF652C"/>
    <w:rsid w:val="00BF7B4B"/>
    <w:rsid w:val="00C0147F"/>
    <w:rsid w:val="00C0182D"/>
    <w:rsid w:val="00C06CE0"/>
    <w:rsid w:val="00C0755F"/>
    <w:rsid w:val="00C10F3B"/>
    <w:rsid w:val="00C1219B"/>
    <w:rsid w:val="00C14103"/>
    <w:rsid w:val="00C15607"/>
    <w:rsid w:val="00C214CF"/>
    <w:rsid w:val="00C22CBF"/>
    <w:rsid w:val="00C26E53"/>
    <w:rsid w:val="00C270BE"/>
    <w:rsid w:val="00C275B8"/>
    <w:rsid w:val="00C31001"/>
    <w:rsid w:val="00C3132A"/>
    <w:rsid w:val="00C31E6C"/>
    <w:rsid w:val="00C31F6F"/>
    <w:rsid w:val="00C34135"/>
    <w:rsid w:val="00C364F6"/>
    <w:rsid w:val="00C37309"/>
    <w:rsid w:val="00C408B1"/>
    <w:rsid w:val="00C40EE3"/>
    <w:rsid w:val="00C40EED"/>
    <w:rsid w:val="00C41336"/>
    <w:rsid w:val="00C42E3D"/>
    <w:rsid w:val="00C455ED"/>
    <w:rsid w:val="00C45BE4"/>
    <w:rsid w:val="00C47015"/>
    <w:rsid w:val="00C51C02"/>
    <w:rsid w:val="00C540D3"/>
    <w:rsid w:val="00C544BB"/>
    <w:rsid w:val="00C54851"/>
    <w:rsid w:val="00C574E2"/>
    <w:rsid w:val="00C57815"/>
    <w:rsid w:val="00C6051A"/>
    <w:rsid w:val="00C62B2A"/>
    <w:rsid w:val="00C64F6C"/>
    <w:rsid w:val="00C65110"/>
    <w:rsid w:val="00C66A5F"/>
    <w:rsid w:val="00C67408"/>
    <w:rsid w:val="00C7177A"/>
    <w:rsid w:val="00C725BE"/>
    <w:rsid w:val="00C73786"/>
    <w:rsid w:val="00C73DBA"/>
    <w:rsid w:val="00C777FF"/>
    <w:rsid w:val="00C7783D"/>
    <w:rsid w:val="00C77D1B"/>
    <w:rsid w:val="00C77F02"/>
    <w:rsid w:val="00C8406A"/>
    <w:rsid w:val="00C842A0"/>
    <w:rsid w:val="00C874C8"/>
    <w:rsid w:val="00C87DAD"/>
    <w:rsid w:val="00C949D8"/>
    <w:rsid w:val="00C9743A"/>
    <w:rsid w:val="00C97F45"/>
    <w:rsid w:val="00CA01FD"/>
    <w:rsid w:val="00CA3E67"/>
    <w:rsid w:val="00CA433D"/>
    <w:rsid w:val="00CB011F"/>
    <w:rsid w:val="00CB3166"/>
    <w:rsid w:val="00CB340C"/>
    <w:rsid w:val="00CB4783"/>
    <w:rsid w:val="00CB5DEA"/>
    <w:rsid w:val="00CB69B3"/>
    <w:rsid w:val="00CB6A9E"/>
    <w:rsid w:val="00CB6CE9"/>
    <w:rsid w:val="00CB796A"/>
    <w:rsid w:val="00CC05E8"/>
    <w:rsid w:val="00CC13ED"/>
    <w:rsid w:val="00CC442F"/>
    <w:rsid w:val="00CC7B5A"/>
    <w:rsid w:val="00CD1A76"/>
    <w:rsid w:val="00CD2FF5"/>
    <w:rsid w:val="00CD3BE4"/>
    <w:rsid w:val="00CD4810"/>
    <w:rsid w:val="00CD53B7"/>
    <w:rsid w:val="00CD6B92"/>
    <w:rsid w:val="00CD6CE1"/>
    <w:rsid w:val="00CD6EE6"/>
    <w:rsid w:val="00CD720D"/>
    <w:rsid w:val="00CD7E27"/>
    <w:rsid w:val="00CE0A4E"/>
    <w:rsid w:val="00CE2BDE"/>
    <w:rsid w:val="00CE3726"/>
    <w:rsid w:val="00CE4292"/>
    <w:rsid w:val="00CE54DE"/>
    <w:rsid w:val="00CE58A1"/>
    <w:rsid w:val="00CE635D"/>
    <w:rsid w:val="00CE767A"/>
    <w:rsid w:val="00CF0C08"/>
    <w:rsid w:val="00CF22CA"/>
    <w:rsid w:val="00CF41DB"/>
    <w:rsid w:val="00CF497F"/>
    <w:rsid w:val="00CF6D5E"/>
    <w:rsid w:val="00CF7199"/>
    <w:rsid w:val="00D00EB6"/>
    <w:rsid w:val="00D02A20"/>
    <w:rsid w:val="00D03253"/>
    <w:rsid w:val="00D04AE1"/>
    <w:rsid w:val="00D05ADE"/>
    <w:rsid w:val="00D063D5"/>
    <w:rsid w:val="00D1102D"/>
    <w:rsid w:val="00D11356"/>
    <w:rsid w:val="00D11C5F"/>
    <w:rsid w:val="00D12FC6"/>
    <w:rsid w:val="00D1404A"/>
    <w:rsid w:val="00D14CA6"/>
    <w:rsid w:val="00D17A85"/>
    <w:rsid w:val="00D21F06"/>
    <w:rsid w:val="00D22F2B"/>
    <w:rsid w:val="00D26CA3"/>
    <w:rsid w:val="00D30B6C"/>
    <w:rsid w:val="00D3790C"/>
    <w:rsid w:val="00D37E41"/>
    <w:rsid w:val="00D40AB3"/>
    <w:rsid w:val="00D414BA"/>
    <w:rsid w:val="00D4179B"/>
    <w:rsid w:val="00D41E6B"/>
    <w:rsid w:val="00D42C09"/>
    <w:rsid w:val="00D43D49"/>
    <w:rsid w:val="00D44497"/>
    <w:rsid w:val="00D45EBC"/>
    <w:rsid w:val="00D46B32"/>
    <w:rsid w:val="00D5035E"/>
    <w:rsid w:val="00D50F3C"/>
    <w:rsid w:val="00D51852"/>
    <w:rsid w:val="00D520B1"/>
    <w:rsid w:val="00D52564"/>
    <w:rsid w:val="00D53844"/>
    <w:rsid w:val="00D541E0"/>
    <w:rsid w:val="00D5420B"/>
    <w:rsid w:val="00D55723"/>
    <w:rsid w:val="00D56138"/>
    <w:rsid w:val="00D56CF1"/>
    <w:rsid w:val="00D604E5"/>
    <w:rsid w:val="00D61D63"/>
    <w:rsid w:val="00D63008"/>
    <w:rsid w:val="00D63514"/>
    <w:rsid w:val="00D6464E"/>
    <w:rsid w:val="00D647A5"/>
    <w:rsid w:val="00D654C8"/>
    <w:rsid w:val="00D66342"/>
    <w:rsid w:val="00D67D1B"/>
    <w:rsid w:val="00D701C7"/>
    <w:rsid w:val="00D75991"/>
    <w:rsid w:val="00D76955"/>
    <w:rsid w:val="00D76BA4"/>
    <w:rsid w:val="00D81077"/>
    <w:rsid w:val="00D82E61"/>
    <w:rsid w:val="00D84E97"/>
    <w:rsid w:val="00D871B6"/>
    <w:rsid w:val="00D91232"/>
    <w:rsid w:val="00D917FB"/>
    <w:rsid w:val="00D935E4"/>
    <w:rsid w:val="00D9456E"/>
    <w:rsid w:val="00D947BA"/>
    <w:rsid w:val="00D95881"/>
    <w:rsid w:val="00D96D2B"/>
    <w:rsid w:val="00DA0FCF"/>
    <w:rsid w:val="00DA12E6"/>
    <w:rsid w:val="00DA30EB"/>
    <w:rsid w:val="00DA420A"/>
    <w:rsid w:val="00DA50FB"/>
    <w:rsid w:val="00DA5FEF"/>
    <w:rsid w:val="00DA6CA3"/>
    <w:rsid w:val="00DB0A4E"/>
    <w:rsid w:val="00DB3C71"/>
    <w:rsid w:val="00DB3F6E"/>
    <w:rsid w:val="00DB3FDD"/>
    <w:rsid w:val="00DB59FB"/>
    <w:rsid w:val="00DB5E07"/>
    <w:rsid w:val="00DB6426"/>
    <w:rsid w:val="00DB7E67"/>
    <w:rsid w:val="00DC06B0"/>
    <w:rsid w:val="00DC1A48"/>
    <w:rsid w:val="00DC1D2B"/>
    <w:rsid w:val="00DC60A3"/>
    <w:rsid w:val="00DC64DD"/>
    <w:rsid w:val="00DC7362"/>
    <w:rsid w:val="00DC7408"/>
    <w:rsid w:val="00DD0AC6"/>
    <w:rsid w:val="00DD209F"/>
    <w:rsid w:val="00DD39FB"/>
    <w:rsid w:val="00DD3E8E"/>
    <w:rsid w:val="00DD4109"/>
    <w:rsid w:val="00DD4B14"/>
    <w:rsid w:val="00DE190C"/>
    <w:rsid w:val="00DE1A93"/>
    <w:rsid w:val="00DE2016"/>
    <w:rsid w:val="00DE2F80"/>
    <w:rsid w:val="00DE4FAC"/>
    <w:rsid w:val="00DF00F5"/>
    <w:rsid w:val="00DF0CBF"/>
    <w:rsid w:val="00DF0FCD"/>
    <w:rsid w:val="00DF27B5"/>
    <w:rsid w:val="00DF2DE5"/>
    <w:rsid w:val="00DF4D12"/>
    <w:rsid w:val="00E00ECF"/>
    <w:rsid w:val="00E01BA2"/>
    <w:rsid w:val="00E01E76"/>
    <w:rsid w:val="00E0760B"/>
    <w:rsid w:val="00E12632"/>
    <w:rsid w:val="00E12D48"/>
    <w:rsid w:val="00E16BA6"/>
    <w:rsid w:val="00E2198C"/>
    <w:rsid w:val="00E22157"/>
    <w:rsid w:val="00E22BA7"/>
    <w:rsid w:val="00E278AB"/>
    <w:rsid w:val="00E30207"/>
    <w:rsid w:val="00E30779"/>
    <w:rsid w:val="00E31519"/>
    <w:rsid w:val="00E31E43"/>
    <w:rsid w:val="00E34105"/>
    <w:rsid w:val="00E35C9B"/>
    <w:rsid w:val="00E3685C"/>
    <w:rsid w:val="00E374A5"/>
    <w:rsid w:val="00E37BBA"/>
    <w:rsid w:val="00E40AE0"/>
    <w:rsid w:val="00E4346B"/>
    <w:rsid w:val="00E50881"/>
    <w:rsid w:val="00E5133F"/>
    <w:rsid w:val="00E513ED"/>
    <w:rsid w:val="00E5450B"/>
    <w:rsid w:val="00E54741"/>
    <w:rsid w:val="00E61029"/>
    <w:rsid w:val="00E66B8F"/>
    <w:rsid w:val="00E66E14"/>
    <w:rsid w:val="00E70E4D"/>
    <w:rsid w:val="00E72DC8"/>
    <w:rsid w:val="00E73546"/>
    <w:rsid w:val="00E74064"/>
    <w:rsid w:val="00E75430"/>
    <w:rsid w:val="00E7706B"/>
    <w:rsid w:val="00E77087"/>
    <w:rsid w:val="00E80008"/>
    <w:rsid w:val="00E80137"/>
    <w:rsid w:val="00E802A0"/>
    <w:rsid w:val="00E81295"/>
    <w:rsid w:val="00E8147E"/>
    <w:rsid w:val="00E82BA0"/>
    <w:rsid w:val="00E836B8"/>
    <w:rsid w:val="00E83CE9"/>
    <w:rsid w:val="00E84310"/>
    <w:rsid w:val="00E866E9"/>
    <w:rsid w:val="00E869DA"/>
    <w:rsid w:val="00E86C0F"/>
    <w:rsid w:val="00E86F74"/>
    <w:rsid w:val="00E86F93"/>
    <w:rsid w:val="00E872F2"/>
    <w:rsid w:val="00E87C0E"/>
    <w:rsid w:val="00E9093D"/>
    <w:rsid w:val="00E913BC"/>
    <w:rsid w:val="00E92273"/>
    <w:rsid w:val="00E92A29"/>
    <w:rsid w:val="00E93881"/>
    <w:rsid w:val="00E93AF2"/>
    <w:rsid w:val="00E93D12"/>
    <w:rsid w:val="00E94715"/>
    <w:rsid w:val="00E94DE2"/>
    <w:rsid w:val="00E96921"/>
    <w:rsid w:val="00E97328"/>
    <w:rsid w:val="00E975B3"/>
    <w:rsid w:val="00EA09A5"/>
    <w:rsid w:val="00EA1343"/>
    <w:rsid w:val="00EA263F"/>
    <w:rsid w:val="00EA3207"/>
    <w:rsid w:val="00EA38CA"/>
    <w:rsid w:val="00EA3CE7"/>
    <w:rsid w:val="00EA474D"/>
    <w:rsid w:val="00EA770E"/>
    <w:rsid w:val="00EB002A"/>
    <w:rsid w:val="00EB06E2"/>
    <w:rsid w:val="00EB575E"/>
    <w:rsid w:val="00EB5B53"/>
    <w:rsid w:val="00EB670C"/>
    <w:rsid w:val="00EC06C9"/>
    <w:rsid w:val="00EC0DF7"/>
    <w:rsid w:val="00EC2EBC"/>
    <w:rsid w:val="00EC49FA"/>
    <w:rsid w:val="00EC5590"/>
    <w:rsid w:val="00EC5F12"/>
    <w:rsid w:val="00EC671D"/>
    <w:rsid w:val="00EC6CD9"/>
    <w:rsid w:val="00EC7547"/>
    <w:rsid w:val="00ED1D05"/>
    <w:rsid w:val="00ED20CF"/>
    <w:rsid w:val="00ED2580"/>
    <w:rsid w:val="00ED2C8D"/>
    <w:rsid w:val="00ED2F63"/>
    <w:rsid w:val="00ED38BB"/>
    <w:rsid w:val="00ED38E0"/>
    <w:rsid w:val="00ED77E9"/>
    <w:rsid w:val="00EE121F"/>
    <w:rsid w:val="00EE210D"/>
    <w:rsid w:val="00EE2F0D"/>
    <w:rsid w:val="00EE403D"/>
    <w:rsid w:val="00EE4082"/>
    <w:rsid w:val="00EE4E76"/>
    <w:rsid w:val="00EE61AE"/>
    <w:rsid w:val="00EE71DE"/>
    <w:rsid w:val="00EE7B82"/>
    <w:rsid w:val="00EF1C79"/>
    <w:rsid w:val="00EF1E06"/>
    <w:rsid w:val="00EF23D8"/>
    <w:rsid w:val="00EF3CFE"/>
    <w:rsid w:val="00EF3FC7"/>
    <w:rsid w:val="00EF57E5"/>
    <w:rsid w:val="00EF601F"/>
    <w:rsid w:val="00EF60EB"/>
    <w:rsid w:val="00EF7332"/>
    <w:rsid w:val="00EF7F3B"/>
    <w:rsid w:val="00F00E55"/>
    <w:rsid w:val="00F023A6"/>
    <w:rsid w:val="00F063D4"/>
    <w:rsid w:val="00F070C5"/>
    <w:rsid w:val="00F10365"/>
    <w:rsid w:val="00F119C7"/>
    <w:rsid w:val="00F11DC0"/>
    <w:rsid w:val="00F12088"/>
    <w:rsid w:val="00F127F6"/>
    <w:rsid w:val="00F13F49"/>
    <w:rsid w:val="00F1734B"/>
    <w:rsid w:val="00F20B0D"/>
    <w:rsid w:val="00F2185E"/>
    <w:rsid w:val="00F23E74"/>
    <w:rsid w:val="00F240CB"/>
    <w:rsid w:val="00F24287"/>
    <w:rsid w:val="00F30F7D"/>
    <w:rsid w:val="00F349B2"/>
    <w:rsid w:val="00F3548B"/>
    <w:rsid w:val="00F36939"/>
    <w:rsid w:val="00F36C4A"/>
    <w:rsid w:val="00F3760B"/>
    <w:rsid w:val="00F4049B"/>
    <w:rsid w:val="00F411AB"/>
    <w:rsid w:val="00F44237"/>
    <w:rsid w:val="00F44BBF"/>
    <w:rsid w:val="00F45AE7"/>
    <w:rsid w:val="00F512D5"/>
    <w:rsid w:val="00F52F97"/>
    <w:rsid w:val="00F53A78"/>
    <w:rsid w:val="00F54805"/>
    <w:rsid w:val="00F610CC"/>
    <w:rsid w:val="00F6226F"/>
    <w:rsid w:val="00F62350"/>
    <w:rsid w:val="00F6355E"/>
    <w:rsid w:val="00F6490F"/>
    <w:rsid w:val="00F64DA0"/>
    <w:rsid w:val="00F66467"/>
    <w:rsid w:val="00F6683C"/>
    <w:rsid w:val="00F6721C"/>
    <w:rsid w:val="00F67352"/>
    <w:rsid w:val="00F67CDF"/>
    <w:rsid w:val="00F67FF3"/>
    <w:rsid w:val="00F717FA"/>
    <w:rsid w:val="00F721B6"/>
    <w:rsid w:val="00F72B41"/>
    <w:rsid w:val="00F7448D"/>
    <w:rsid w:val="00F7557A"/>
    <w:rsid w:val="00F80DC3"/>
    <w:rsid w:val="00F83A72"/>
    <w:rsid w:val="00F87DCE"/>
    <w:rsid w:val="00F90337"/>
    <w:rsid w:val="00F9086A"/>
    <w:rsid w:val="00F917D0"/>
    <w:rsid w:val="00F93209"/>
    <w:rsid w:val="00F93396"/>
    <w:rsid w:val="00F94465"/>
    <w:rsid w:val="00F94658"/>
    <w:rsid w:val="00F951E2"/>
    <w:rsid w:val="00F95565"/>
    <w:rsid w:val="00F95637"/>
    <w:rsid w:val="00F96A53"/>
    <w:rsid w:val="00F97339"/>
    <w:rsid w:val="00F978C1"/>
    <w:rsid w:val="00FA0E5B"/>
    <w:rsid w:val="00FA1CF7"/>
    <w:rsid w:val="00FA2D1E"/>
    <w:rsid w:val="00FA4B4C"/>
    <w:rsid w:val="00FA524C"/>
    <w:rsid w:val="00FB10ED"/>
    <w:rsid w:val="00FB2DC2"/>
    <w:rsid w:val="00FB52E8"/>
    <w:rsid w:val="00FB5C94"/>
    <w:rsid w:val="00FB6C6E"/>
    <w:rsid w:val="00FC0414"/>
    <w:rsid w:val="00FC23A5"/>
    <w:rsid w:val="00FC2470"/>
    <w:rsid w:val="00FC3B8E"/>
    <w:rsid w:val="00FC4D81"/>
    <w:rsid w:val="00FC4F6C"/>
    <w:rsid w:val="00FC625D"/>
    <w:rsid w:val="00FD0E1E"/>
    <w:rsid w:val="00FD3270"/>
    <w:rsid w:val="00FD382B"/>
    <w:rsid w:val="00FD4E39"/>
    <w:rsid w:val="00FD7395"/>
    <w:rsid w:val="00FD7E10"/>
    <w:rsid w:val="00FE0828"/>
    <w:rsid w:val="00FE0A5F"/>
    <w:rsid w:val="00FE0ED4"/>
    <w:rsid w:val="00FE249B"/>
    <w:rsid w:val="00FE2862"/>
    <w:rsid w:val="00FE3262"/>
    <w:rsid w:val="00FE3DC7"/>
    <w:rsid w:val="00FE45B4"/>
    <w:rsid w:val="00FE496D"/>
    <w:rsid w:val="00FE50EE"/>
    <w:rsid w:val="00FE526C"/>
    <w:rsid w:val="00FE5F1B"/>
    <w:rsid w:val="00FE6308"/>
    <w:rsid w:val="00FE7652"/>
    <w:rsid w:val="00FF27C1"/>
    <w:rsid w:val="00FF599E"/>
    <w:rsid w:val="00FF60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8DAC2C"/>
  <w15:docId w15:val="{D3A1D621-A4DF-4C66-B57C-384FFE74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uiPriority w:val="99"/>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uiPriority w:val="99"/>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customStyle="1" w:styleId="ListParagraphChar">
    <w:name w:val="List Paragraph Char"/>
    <w:link w:val="ListParagraph"/>
    <w:uiPriority w:val="34"/>
    <w:locked/>
    <w:rsid w:val="009959F2"/>
    <w:rPr>
      <w:sz w:val="24"/>
      <w:szCs w:val="24"/>
    </w:rPr>
  </w:style>
  <w:style w:type="paragraph" w:customStyle="1" w:styleId="Basic">
    <w:name w:val="Basic"/>
    <w:basedOn w:val="Normal"/>
    <w:qFormat/>
    <w:rsid w:val="009959F2"/>
    <w:rPr>
      <w:rFonts w:ascii="Calibri" w:hAnsi="Calibri"/>
    </w:rPr>
  </w:style>
  <w:style w:type="character" w:customStyle="1" w:styleId="FootnoteTextChar">
    <w:name w:val="Footnote Text Char"/>
    <w:basedOn w:val="DefaultParagraphFont"/>
    <w:link w:val="FootnoteText"/>
    <w:uiPriority w:val="99"/>
    <w:semiHidden/>
    <w:rsid w:val="00FC625D"/>
    <w:rPr>
      <w:rFonts w:ascii="CG Times" w:hAnsi="CG Times"/>
    </w:rPr>
  </w:style>
  <w:style w:type="paragraph" w:styleId="NormalWeb">
    <w:name w:val="Normal (Web)"/>
    <w:basedOn w:val="Normal"/>
    <w:uiPriority w:val="99"/>
    <w:semiHidden/>
    <w:unhideWhenUsed/>
    <w:rsid w:val="005C34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65C3-FFDE-4ECA-B570-B88C834B0D3E}">
  <ds:schemaRefs>
    <ds:schemaRef ds:uri="http://schemas.openxmlformats.org/officeDocument/2006/bibliography"/>
  </ds:schemaRefs>
</ds:datastoreItem>
</file>

<file path=customXml/itemProps2.xml><?xml version="1.0" encoding="utf-8"?>
<ds:datastoreItem xmlns:ds="http://schemas.openxmlformats.org/officeDocument/2006/customXml" ds:itemID="{8BA25A97-2BA5-4BB0-BA71-09D442EE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Kincaid, Nora - BLS</cp:lastModifiedBy>
  <cp:revision>2</cp:revision>
  <cp:lastPrinted>2025-09-25T11:57:00Z</cp:lastPrinted>
  <dcterms:created xsi:type="dcterms:W3CDTF">2025-12-16T12:24:00Z</dcterms:created>
  <dcterms:modified xsi:type="dcterms:W3CDTF">2025-12-16T12:24:00Z</dcterms:modified>
</cp:coreProperties>
</file>