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3446" w:rsidP="00A71D8E" w14:paraId="621C2AA2" w14:textId="137F72F4">
      <w:pPr>
        <w:pStyle w:val="Header"/>
        <w:spacing w:before="240" w:after="240"/>
        <w:jc w:val="center"/>
      </w:pPr>
      <w:r w:rsidRPr="00AC0636">
        <w:rPr>
          <w:b/>
          <w:bCs/>
        </w:rPr>
        <w:t>SUPPORTING STATEMENT FOR</w:t>
      </w:r>
      <w:r w:rsidR="00613AE8">
        <w:rPr>
          <w:b/>
          <w:bCs/>
        </w:rPr>
        <w:t xml:space="preserve"> </w:t>
      </w:r>
      <w:r w:rsidR="00613AE8">
        <w:rPr>
          <w:b/>
          <w:bCs/>
        </w:rPr>
        <w:br/>
        <w:t>LABOR STANDARDS FOR FEDE</w:t>
      </w:r>
      <w:r w:rsidR="00042CF4">
        <w:rPr>
          <w:b/>
          <w:bCs/>
        </w:rPr>
        <w:t>RA</w:t>
      </w:r>
      <w:r w:rsidR="00613AE8">
        <w:rPr>
          <w:b/>
          <w:bCs/>
        </w:rPr>
        <w:t>L SERVICE CONTRACTS</w:t>
      </w:r>
    </w:p>
    <w:p w:rsidR="00AC0636" w:rsidRPr="00AC0636" w:rsidP="00AC0636" w14:paraId="1A86714A" w14:textId="0085C7D5">
      <w:pPr>
        <w:jc w:val="center"/>
        <w:rPr>
          <w:b/>
          <w:bCs/>
        </w:rPr>
      </w:pPr>
      <w:r w:rsidRPr="00AC0636">
        <w:rPr>
          <w:b/>
          <w:bCs/>
        </w:rPr>
        <w:t xml:space="preserve">OMB CONTROL NO. </w:t>
      </w:r>
      <w:r w:rsidR="006F41BA">
        <w:rPr>
          <w:b/>
          <w:bCs/>
        </w:rPr>
        <w:t>1235</w:t>
      </w:r>
      <w:r w:rsidRPr="00AC0636">
        <w:rPr>
          <w:b/>
          <w:bCs/>
        </w:rPr>
        <w:t>-</w:t>
      </w:r>
      <w:r w:rsidR="00C73446">
        <w:rPr>
          <w:b/>
          <w:bCs/>
        </w:rPr>
        <w:t>0007</w:t>
      </w:r>
    </w:p>
    <w:p w:rsidR="00AC0636" w:rsidP="00AE56DD" w14:paraId="60C1EA0E" w14:textId="3A60FCD6">
      <w:pPr>
        <w:pStyle w:val="Header"/>
        <w:spacing w:after="240"/>
      </w:pPr>
      <w:r w:rsidRPr="004D07BB">
        <w:t>The U.S. Department of Labor (</w:t>
      </w:r>
      <w:r>
        <w:t>Department</w:t>
      </w:r>
      <w:r w:rsidRPr="004D07BB">
        <w:t xml:space="preserve">) </w:t>
      </w:r>
      <w:r>
        <w:t>submits this</w:t>
      </w:r>
      <w:r w:rsidRPr="004D07BB">
        <w:t xml:space="preserve"> information collection request (ICR)</w:t>
      </w:r>
      <w:r w:rsidRPr="000E3CB9">
        <w:t xml:space="preserve"> as an extension without change </w:t>
      </w:r>
      <w:r>
        <w:t>of a currently approved collection</w:t>
      </w:r>
      <w:r w:rsidRPr="000E3CB9">
        <w:t>.</w:t>
      </w:r>
    </w:p>
    <w:p w:rsidR="00AC0636" w:rsidRPr="00AC0636" w:rsidP="00AC0636" w14:paraId="6442D38E" w14:textId="77332EE4">
      <w:pPr>
        <w:pStyle w:val="Heading1"/>
      </w:pPr>
      <w:r>
        <w:t xml:space="preserve">Part </w:t>
      </w:r>
      <w:r w:rsidRPr="00AC0636">
        <w:t>A.</w:t>
      </w:r>
      <w:r w:rsidR="001D0819">
        <w:t xml:space="preserve">: </w:t>
      </w:r>
      <w:r w:rsidRPr="00AC0636">
        <w:t>JUSTIFICATION</w:t>
      </w:r>
    </w:p>
    <w:p w:rsidR="00AC0636" w:rsidRPr="0010671B" w:rsidP="0004166A" w14:paraId="02BECE3D" w14:textId="2D80A445">
      <w:pPr>
        <w:pStyle w:val="Heading2"/>
      </w:pPr>
      <w:r w:rsidRPr="0010671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1073F" w:rsidP="0039144A" w14:paraId="4D384826" w14:textId="6772CF15">
      <w:pPr>
        <w:widowControl/>
        <w:tabs>
          <w:tab w:val="left" w:pos="576"/>
          <w:tab w:val="left" w:pos="1152"/>
          <w:tab w:val="left" w:pos="1728"/>
          <w:tab w:val="left" w:pos="2304"/>
          <w:tab w:val="left" w:pos="2880"/>
          <w:tab w:val="left" w:pos="3456"/>
          <w:tab w:val="left" w:pos="4032"/>
          <w:tab w:val="left" w:pos="4608"/>
          <w:tab w:val="left" w:pos="6048"/>
        </w:tabs>
        <w:rPr>
          <w:color w:val="000000"/>
        </w:rPr>
      </w:pPr>
      <w:r>
        <w:rPr>
          <w:color w:val="000000"/>
        </w:rPr>
        <w:t xml:space="preserve">The Wage and Hour Division (WHD) administers the McNamara-O’Hara Service Contract Act (SCA), 41 U.S.C. 6703 </w:t>
      </w:r>
      <w:r w:rsidRPr="00DA2EDD">
        <w:rPr>
          <w:i/>
          <w:color w:val="000000"/>
        </w:rPr>
        <w:t>et seq</w:t>
      </w:r>
      <w:r>
        <w:rPr>
          <w:color w:val="000000"/>
        </w:rPr>
        <w:t xml:space="preserve">. The SCA applies to every contract </w:t>
      </w:r>
      <w:r>
        <w:rPr>
          <w:color w:val="000000"/>
        </w:rPr>
        <w:t>entered into</w:t>
      </w:r>
      <w:r>
        <w:rPr>
          <w:color w:val="000000"/>
        </w:rPr>
        <w:t xml:space="preserve"> by the United States or the District of Columbia, the principal purpose of which is to furnish services to the United States </w:t>
      </w:r>
      <w:r>
        <w:rPr>
          <w:color w:val="000000"/>
        </w:rPr>
        <w:t>through the use of</w:t>
      </w:r>
      <w:r>
        <w:rPr>
          <w:color w:val="000000"/>
        </w:rPr>
        <w:t xml:space="preserve"> service employees. The SCA requires contractors and subcontractors performing services on covered federal or District of Columbia contracts </w:t>
      </w:r>
      <w:r>
        <w:rPr>
          <w:color w:val="000000"/>
        </w:rPr>
        <w:t>in excess of</w:t>
      </w:r>
      <w:r>
        <w:rPr>
          <w:color w:val="000000"/>
        </w:rPr>
        <w:t xml:space="preserve"> $2,500 to pay service employees in various classes no less than the monetary wage rates and fringe benefits found prevailing in the locality, or the rates (including prospective increases) contained in a predecessor contractor</w:t>
      </w:r>
      <w:r w:rsidR="00684695">
        <w:rPr>
          <w:color w:val="000000"/>
        </w:rPr>
        <w:t>’</w:t>
      </w:r>
      <w:r>
        <w:rPr>
          <w:color w:val="000000"/>
        </w:rPr>
        <w:t>s collective bargaining agreement. Safety and health standards also apply to such contracts. WHD enforces the compensation requirements of the SCA.</w:t>
      </w:r>
    </w:p>
    <w:p w:rsidR="000C48A7" w:rsidRPr="00C53225" w:rsidP="002A1F31" w14:paraId="3D5AA4BE" w14:textId="50089417">
      <w:pPr>
        <w:pStyle w:val="Heading3"/>
      </w:pPr>
      <w:r w:rsidRPr="00C53225">
        <w:t>Vacation Benefit Seniority List</w:t>
      </w:r>
    </w:p>
    <w:p w:rsidR="00A1073F" w:rsidRPr="00323404" w:rsidP="00323404" w14:paraId="195521AD" w14:textId="05E6C209">
      <w:pPr>
        <w:pStyle w:val="ListParagraph"/>
      </w:pPr>
      <w:r w:rsidRPr="00323404">
        <w:t>Section 2(a) of the SCA provides that every contract subject to the Act must contain a provision specifying the minimum monetary wages and fringe benefits to be paid to the various classes of service employees performing work on the contract. Many wage determinations issued for recurring services performed at the same federal facility provide for certain vested fringe benefits (e.g., vacations), which are based on the employee</w:t>
      </w:r>
      <w:r w:rsidRPr="00323404" w:rsidR="00684695">
        <w:t>’</w:t>
      </w:r>
      <w:r w:rsidRPr="00323404">
        <w:t xml:space="preserve">s total length of service with a contractor or any predecessor contractor. </w:t>
      </w:r>
      <w:r w:rsidRPr="00C72E07">
        <w:rPr>
          <w:i/>
          <w:iCs/>
        </w:rPr>
        <w:t>See</w:t>
      </w:r>
      <w:r w:rsidRPr="00323404">
        <w:t xml:space="preserve"> </w:t>
      </w:r>
      <w:hyperlink r:id="rId10" w:history="1">
        <w:r w:rsidRPr="00F47108">
          <w:rPr>
            <w:rStyle w:val="Hyperlink"/>
          </w:rPr>
          <w:t>29 CFR 4.162</w:t>
        </w:r>
      </w:hyperlink>
      <w:r w:rsidRPr="00323404">
        <w:t>. When found to prevail, such fringe benefits are incorporated in wage determinations and are usually stated as “one-week paid vacation after one year's service with a contractor or successor, two weeks after two years”, etc. These provisions ensure that employees receive the vacation benefit payments that they have earned and accrued by requiring that such payments be made by successor contractors that hire the same employees who have worked over the years at the same facility in the same locality for predecessor contractors.</w:t>
      </w:r>
    </w:p>
    <w:p w:rsidR="00CD030F" w:rsidRPr="00F05328" w:rsidP="00F05328" w14:paraId="38AD9FBF" w14:textId="717954A8">
      <w:pPr>
        <w:pStyle w:val="ListParagraph"/>
        <w:widowControl/>
        <w:tabs>
          <w:tab w:val="left" w:pos="576"/>
          <w:tab w:val="left" w:pos="1152"/>
          <w:tab w:val="left" w:pos="1728"/>
          <w:tab w:val="left" w:pos="2304"/>
          <w:tab w:val="left" w:pos="2880"/>
          <w:tab w:val="left" w:pos="3456"/>
          <w:tab w:val="left" w:pos="4032"/>
          <w:tab w:val="left" w:pos="4608"/>
          <w:tab w:val="left" w:pos="6048"/>
        </w:tabs>
        <w:rPr>
          <w:color w:val="000000"/>
        </w:rPr>
      </w:pPr>
      <w:r w:rsidRPr="00FB4D5A">
        <w:rPr>
          <w:color w:val="000000"/>
        </w:rPr>
        <w:t xml:space="preserve">However, WHD enforcement experience has revealed that </w:t>
      </w:r>
      <w:r w:rsidRPr="00FB4D5A">
        <w:rPr>
          <w:color w:val="000000"/>
        </w:rPr>
        <w:t>a number of</w:t>
      </w:r>
      <w:r w:rsidRPr="00FB4D5A">
        <w:rPr>
          <w:color w:val="000000"/>
        </w:rPr>
        <w:t xml:space="preserve"> service contractors have had difficulty in obtaining length of service data for those employees who have been employed by predecessor contractors, and they are reluctant to rely on any information provided by individual employees. Contractors need to know what their vacation payment liability is, based </w:t>
      </w:r>
      <w:r w:rsidRPr="00FB4D5A">
        <w:rPr>
          <w:color w:val="000000"/>
        </w:rPr>
        <w:t xml:space="preserve">on accurate information, early in the contract period. Contractors that may unintentionally fail to meet their vacation pay obligations because of a lack of timely and accurate information could be held liable for large back wage payments, which could lead to debarment from bidding on future contracts. </w:t>
      </w:r>
      <w:r w:rsidRPr="00FB4D5A">
        <w:rPr>
          <w:i/>
          <w:color w:val="000000"/>
        </w:rPr>
        <w:t>See</w:t>
      </w:r>
      <w:r w:rsidRPr="00FB4D5A">
        <w:rPr>
          <w:color w:val="000000"/>
        </w:rPr>
        <w:t xml:space="preserve"> </w:t>
      </w:r>
      <w:hyperlink r:id="rId11" w:history="1">
        <w:r w:rsidRPr="00B454E8">
          <w:rPr>
            <w:rStyle w:val="Hyperlink"/>
          </w:rPr>
          <w:t>29 CFR 4.188</w:t>
        </w:r>
      </w:hyperlink>
      <w:r w:rsidRPr="009A299A">
        <w:rPr>
          <w:color w:val="000000"/>
        </w:rPr>
        <w:t xml:space="preserve">. In addition, efficient transmittal of such information will save the costs of protracted labor standards investigations and disputes. </w:t>
      </w:r>
      <w:r w:rsidRPr="009A299A">
        <w:rPr>
          <w:color w:val="000000"/>
        </w:rPr>
        <w:t>A number of</w:t>
      </w:r>
      <w:r w:rsidRPr="009A299A">
        <w:rPr>
          <w:color w:val="000000"/>
        </w:rPr>
        <w:t xml:space="preserve"> service contractors have informed WHD that obtaining accurate information from a predecessor contractor would contribute to greater voluntary compliance with the vacation fringe benefit provision by successor contractors. To ensure that proper vacation benefits are paid to service employees and that contractors have reasonably accurate information available to them on which to determine fringe benefit liability, </w:t>
      </w:r>
      <w:hyperlink r:id="rId12" w:anchor="p-4.6(l)(2)" w:history="1">
        <w:r w:rsidRPr="009C571F">
          <w:rPr>
            <w:rStyle w:val="Hyperlink"/>
          </w:rPr>
          <w:t>29 CFR 4.6(</w:t>
        </w:r>
        <w:r w:rsidRPr="009C571F" w:rsidR="00220EED">
          <w:rPr>
            <w:rStyle w:val="Hyperlink"/>
          </w:rPr>
          <w:t>l</w:t>
        </w:r>
        <w:r w:rsidRPr="009C571F">
          <w:rPr>
            <w:rStyle w:val="Hyperlink"/>
          </w:rPr>
          <w:t>)</w:t>
        </w:r>
        <w:r w:rsidRPr="009C571F" w:rsidR="00220EED">
          <w:rPr>
            <w:rStyle w:val="Hyperlink"/>
          </w:rPr>
          <w:t>(2)</w:t>
        </w:r>
      </w:hyperlink>
      <w:r w:rsidRPr="009A299A">
        <w:rPr>
          <w:color w:val="000000"/>
        </w:rPr>
        <w:t xml:space="preserve"> and </w:t>
      </w:r>
      <w:hyperlink r:id="rId13" w:history="1">
        <w:r w:rsidRPr="007E3CE6">
          <w:rPr>
            <w:rStyle w:val="Hyperlink"/>
          </w:rPr>
          <w:t>4.173</w:t>
        </w:r>
      </w:hyperlink>
      <w:r w:rsidRPr="009A299A">
        <w:rPr>
          <w:color w:val="000000"/>
        </w:rPr>
        <w:t xml:space="preserve"> provide for the transfer of a list of the anniversary dates of employment of service employees from incumbent c</w:t>
      </w:r>
      <w:r>
        <w:rPr>
          <w:color w:val="000000"/>
        </w:rPr>
        <w:t>o</w:t>
      </w:r>
      <w:r w:rsidRPr="009A299A">
        <w:rPr>
          <w:color w:val="000000"/>
        </w:rPr>
        <w:t>ntractors to successor contractors through the contracting agency.</w:t>
      </w:r>
    </w:p>
    <w:p w:rsidR="00286BC7" w:rsidRPr="00C53225" w:rsidP="002A1F31" w14:paraId="31D583B5" w14:textId="56B195CF">
      <w:pPr>
        <w:pStyle w:val="Heading3"/>
      </w:pPr>
      <w:r w:rsidRPr="00C53225">
        <w:t>Conformance Record</w:t>
      </w:r>
    </w:p>
    <w:p w:rsidR="00A1073F" w:rsidRPr="00F05328" w:rsidP="00323404" w14:paraId="7864C2B0" w14:textId="7A2B268E">
      <w:pPr>
        <w:pStyle w:val="ListParagraph"/>
      </w:pPr>
      <w:r>
        <w:t>S</w:t>
      </w:r>
      <w:r w:rsidRPr="00FB4D5A">
        <w:t xml:space="preserve">ection 2(a) of the SCA provides that every contract subject to the Act must contain a provision specifying the minimum monetary wage and fringe benefits to be </w:t>
      </w:r>
      <w:r w:rsidRPr="00FB4D5A">
        <w:t>paid</w:t>
      </w:r>
      <w:r w:rsidRPr="00FB4D5A">
        <w:t xml:space="preserve"> the various classes of service employees employed on the contract work. </w:t>
      </w:r>
      <w:r w:rsidRPr="00FB4D5A">
        <w:rPr>
          <w:i/>
        </w:rPr>
        <w:t>See</w:t>
      </w:r>
      <w:r w:rsidRPr="00FB4D5A">
        <w:t xml:space="preserve"> 41 U.S.C. 6703, </w:t>
      </w:r>
      <w:r w:rsidRPr="00FB4D5A">
        <w:rPr>
          <w:i/>
        </w:rPr>
        <w:t>et seq</w:t>
      </w:r>
      <w:r w:rsidRPr="00FB4D5A">
        <w:t xml:space="preserve">. Problems sometimes arise when employees are working on service contracts in job classifications that </w:t>
      </w:r>
      <w:r>
        <w:t>the Department</w:t>
      </w:r>
      <w:r w:rsidRPr="00FB4D5A">
        <w:t xml:space="preserve"> was not previously informed about and when there are job classifications for which no wage data are available.</w:t>
      </w:r>
    </w:p>
    <w:p w:rsidR="00A1073F" w:rsidP="00323404" w14:paraId="02B3388F" w14:textId="5408ACF1">
      <w:pPr>
        <w:pStyle w:val="ListParagraph"/>
      </w:pPr>
      <w:hyperlink r:id="rId12" w:anchor="p-4.6(b)(2)" w:history="1">
        <w:r w:rsidRPr="00DF1D4A">
          <w:rPr>
            <w:rStyle w:val="Hyperlink"/>
          </w:rPr>
          <w:t>29 CFR 4.6(b)(2)</w:t>
        </w:r>
      </w:hyperlink>
      <w:r>
        <w:t xml:space="preserve"> provides a process for “conforming” (i.e., adding) classifications and wage rates to wage determinations for classes of service employees not previously listed on a wage determination, but where employees are </w:t>
      </w:r>
      <w:r>
        <w:t>actually working</w:t>
      </w:r>
      <w:r>
        <w:t xml:space="preserve"> on an SCA covered contract. This process ensures that the requirements of section 2(a) of the Act are fulfilled and that a formal record exists as part of the contract which documents the wage rate and fringe benefits to be paid for a conformed classification while a service employee(s) is employed on the contract.</w:t>
      </w:r>
    </w:p>
    <w:p w:rsidR="00A1073F" w:rsidP="00323404" w14:paraId="3E839BC1" w14:textId="698F479F">
      <w:pPr>
        <w:pStyle w:val="ListParagraph"/>
      </w:pPr>
      <w:r>
        <w:t xml:space="preserve">The contracting officer is required to review each contractor-proposed conformance to determine if the unlisted classes have been properly classified by the contractor </w:t>
      </w:r>
      <w:r>
        <w:t>so as to</w:t>
      </w:r>
      <w:r>
        <w:t xml:space="preserve"> provide a reasonable relationship (i.e., appropriate level of skill comparison) between such unlisted classifications and the classifications and wages listed in the wage determination. </w:t>
      </w:r>
      <w:r>
        <w:rPr>
          <w:i/>
        </w:rPr>
        <w:t>See</w:t>
      </w:r>
      <w:r>
        <w:t xml:space="preserve"> </w:t>
      </w:r>
      <w:hyperlink r:id="rId12" w:anchor="p-4.6(b)(2)" w:history="1">
        <w:r w:rsidRPr="00DF1D4A">
          <w:rPr>
            <w:rStyle w:val="Hyperlink"/>
          </w:rPr>
          <w:t>29 CFR 4.6(b)(2)</w:t>
        </w:r>
      </w:hyperlink>
      <w:r>
        <w:t xml:space="preserve">. The contractor burden is addressed in item 12 and covers the contractor and any employees of the contractor who are included in burden. Moreover, the contracting agency is required to forward the conformance action to WHD for review and approval. </w:t>
      </w:r>
      <w:r w:rsidRPr="00C45912">
        <w:rPr>
          <w:i/>
        </w:rPr>
        <w:t>Id.</w:t>
      </w:r>
    </w:p>
    <w:p w:rsidR="00382E05" w:rsidRPr="00C53225" w:rsidP="002A1F31" w14:paraId="228F3568" w14:textId="75CD0BE0">
      <w:pPr>
        <w:pStyle w:val="Heading3"/>
      </w:pPr>
      <w:r w:rsidRPr="00C53225">
        <w:t>Indexing</w:t>
      </w:r>
    </w:p>
    <w:p w:rsidR="00A1073F" w:rsidRPr="00323404" w:rsidP="00323404" w14:paraId="11487BD7" w14:textId="5B7B251C">
      <w:pPr>
        <w:pStyle w:val="ListParagraph"/>
      </w:pPr>
      <w:r w:rsidRPr="00323404">
        <w:t xml:space="preserve">In any case where a contract </w:t>
      </w:r>
      <w:r w:rsidRPr="00323404">
        <w:t>succeeds</w:t>
      </w:r>
      <w:r w:rsidRPr="00323404">
        <w:t xml:space="preserve"> a contract under which a class was previously conformed, the contractor may use an optional procedure known as indexing (i.e., adjusting) to determine a new wage rate for a previously conformed class. </w:t>
      </w:r>
      <w:r w:rsidRPr="00C72E07">
        <w:rPr>
          <w:i/>
          <w:iCs/>
        </w:rPr>
        <w:t>See</w:t>
      </w:r>
      <w:r w:rsidRPr="00323404">
        <w:t xml:space="preserve"> </w:t>
      </w:r>
      <w:hyperlink r:id="rId12" w:anchor="p-4.6(b)(2)(iv)(B)" w:history="1">
        <w:r w:rsidRPr="00071D3D">
          <w:rPr>
            <w:rStyle w:val="Hyperlink"/>
          </w:rPr>
          <w:t>29 CFR 4.6(b)(2)(iv)(B)</w:t>
        </w:r>
      </w:hyperlink>
      <w:r w:rsidRPr="00323404">
        <w:t>. This procedure does not require Department approval but requires the contractor to notify the contracting agency in writing that a previously conformed class has been indexed and to include information describing how the new rate was computed. Id.</w:t>
      </w:r>
    </w:p>
    <w:p w:rsidR="00382E05" w:rsidRPr="00C53225" w:rsidP="002A1F31" w14:paraId="7B35FA4D" w14:textId="564D7CDF">
      <w:pPr>
        <w:pStyle w:val="Heading3"/>
      </w:pPr>
      <w:r w:rsidRPr="00C53225">
        <w:t>Submission of Collective Bargaining Agreement (CBA)</w:t>
      </w:r>
    </w:p>
    <w:p w:rsidR="00A1073F" w:rsidRPr="00A1073F" w:rsidP="007331E5" w14:paraId="1949E036" w14:textId="0E9D8857">
      <w:pPr>
        <w:pStyle w:val="ListParagraph"/>
        <w:widowControl/>
        <w:adjustRightInd/>
        <w:rPr>
          <w:color w:val="000000"/>
        </w:rPr>
      </w:pPr>
      <w:r w:rsidRPr="006B00DA">
        <w:rPr>
          <w:color w:val="000000"/>
        </w:rPr>
        <w:t xml:space="preserve">Sections 2(a) and 4(c) of the SCA provide that any contractor that </w:t>
      </w:r>
      <w:r w:rsidRPr="006B00DA">
        <w:rPr>
          <w:color w:val="000000"/>
        </w:rPr>
        <w:t>succeeds</w:t>
      </w:r>
      <w:r w:rsidRPr="006B00DA">
        <w:rPr>
          <w:color w:val="000000"/>
        </w:rPr>
        <w:t xml:space="preserve"> a contract subject to the Act and under which substantially the same services are furnished shall pay any service workers employed on the contract no less than the wages and fringe benefits to which such workers would have been entitled if employed under the predecessor contract. </w:t>
      </w:r>
      <w:r w:rsidRPr="006B00DA">
        <w:rPr>
          <w:i/>
          <w:color w:val="000000"/>
        </w:rPr>
        <w:t>See</w:t>
      </w:r>
      <w:r w:rsidRPr="006B00DA">
        <w:rPr>
          <w:color w:val="000000"/>
        </w:rPr>
        <w:t xml:space="preserve"> </w:t>
      </w:r>
      <w:hyperlink r:id="rId14" w:anchor="p-4.163(a)" w:history="1">
        <w:r w:rsidRPr="00A36151">
          <w:rPr>
            <w:rStyle w:val="Hyperlink"/>
          </w:rPr>
          <w:t>29 CFR 4.163(a)</w:t>
        </w:r>
      </w:hyperlink>
      <w:r w:rsidRPr="006B00DA">
        <w:rPr>
          <w:color w:val="000000"/>
        </w:rPr>
        <w:t xml:space="preserve">. </w:t>
      </w:r>
      <w:hyperlink r:id="rId12" w:anchor="p-4.6(l)(1)" w:history="1">
        <w:r w:rsidRPr="00D96A72">
          <w:rPr>
            <w:rStyle w:val="Hyperlink"/>
          </w:rPr>
          <w:t>29 CFR 4.6(l)(1)</w:t>
        </w:r>
      </w:hyperlink>
      <w:r w:rsidRPr="006B00DA">
        <w:rPr>
          <w:color w:val="000000"/>
        </w:rPr>
        <w:t xml:space="preserve"> requires a predecessor contractor to </w:t>
      </w:r>
      <w:r w:rsidRPr="006B00DA">
        <w:rPr>
          <w:color w:val="000000"/>
        </w:rPr>
        <w:t>provide to</w:t>
      </w:r>
      <w:r w:rsidRPr="006B00DA">
        <w:rPr>
          <w:color w:val="000000"/>
        </w:rPr>
        <w:t xml:space="preserve"> the contracting </w:t>
      </w:r>
      <w:r w:rsidRPr="006B00DA">
        <w:rPr>
          <w:color w:val="000000"/>
        </w:rPr>
        <w:t>officer</w:t>
      </w:r>
      <w:r w:rsidRPr="006B00DA">
        <w:rPr>
          <w:color w:val="000000"/>
        </w:rPr>
        <w:t xml:space="preserve"> a copy of any CBA governing the wages and fringe benefits paid to service employees performing work on the contract during the contract period. The contracting agency submits these CBAs to WHD where they are used in issuing wage determinations for successor contracts subject to sections 2(a) and 4(c) of SCA. </w:t>
      </w:r>
      <w:r w:rsidRPr="006B00DA">
        <w:rPr>
          <w:i/>
          <w:iCs/>
          <w:color w:val="000000"/>
        </w:rPr>
        <w:t>See</w:t>
      </w:r>
      <w:r w:rsidRPr="006B00DA">
        <w:rPr>
          <w:color w:val="000000"/>
        </w:rPr>
        <w:t xml:space="preserve"> </w:t>
      </w:r>
      <w:hyperlink r:id="rId15" w:anchor="p-4.4(c)" w:history="1">
        <w:r w:rsidRPr="00CC4E58">
          <w:rPr>
            <w:rStyle w:val="Hyperlink"/>
          </w:rPr>
          <w:t>29 CFR 4.4(c)</w:t>
        </w:r>
      </w:hyperlink>
      <w:r w:rsidRPr="006B00DA">
        <w:rPr>
          <w:color w:val="000000"/>
        </w:rPr>
        <w:t>.</w:t>
      </w:r>
    </w:p>
    <w:p w:rsidR="00AC0636" w:rsidRPr="00AC0636" w:rsidP="006D00E7" w14:paraId="7F29707E" w14:textId="552AC800">
      <w:pPr>
        <w:pStyle w:val="Heading2"/>
      </w:pPr>
      <w:r w:rsidRPr="00AC0636">
        <w:t>Indicate how, by whom, and for what purpose the information is to be used.</w:t>
      </w:r>
      <w:r>
        <w:t xml:space="preserve"> </w:t>
      </w:r>
      <w:r w:rsidRPr="00AC0636">
        <w:t>Except for a new collection, indicate the actual use the agency has made of the information received from the current collection.</w:t>
      </w:r>
    </w:p>
    <w:p w:rsidR="003509BB" w:rsidRPr="002A1F31" w:rsidP="00A9333F" w14:paraId="07091D97" w14:textId="75BC5172">
      <w:pPr>
        <w:pStyle w:val="Heading3"/>
        <w:numPr>
          <w:ilvl w:val="0"/>
          <w:numId w:val="12"/>
        </w:numPr>
        <w:ind w:left="1080"/>
      </w:pPr>
      <w:r w:rsidRPr="002A1F31">
        <w:t>Vacation Benefit Seniority List</w:t>
      </w:r>
    </w:p>
    <w:p w:rsidR="00690079" w:rsidRPr="003509BB" w:rsidP="003509BB" w14:paraId="7ED9F2CD" w14:textId="7EBBD5E1">
      <w:pPr>
        <w:widowControl/>
        <w:tabs>
          <w:tab w:val="right" w:pos="360"/>
          <w:tab w:val="left" w:pos="720"/>
        </w:tabs>
        <w:autoSpaceDE/>
        <w:autoSpaceDN/>
        <w:adjustRightInd/>
        <w:rPr>
          <w:color w:val="000000"/>
        </w:rPr>
      </w:pPr>
      <w:r w:rsidRPr="003509BB">
        <w:rPr>
          <w:color w:val="000000"/>
        </w:rPr>
        <w:t xml:space="preserve">Successor contractors use the information submitted to determine </w:t>
      </w:r>
      <w:r w:rsidRPr="003509BB">
        <w:rPr>
          <w:color w:val="000000"/>
        </w:rPr>
        <w:t>vacation fringe benefit</w:t>
      </w:r>
      <w:r w:rsidRPr="003509BB">
        <w:rPr>
          <w:color w:val="000000"/>
        </w:rPr>
        <w:t xml:space="preserve"> entitlements earned and accrued by service employees who were employed by predecessor contractors and have </w:t>
      </w:r>
      <w:r w:rsidRPr="003509BB">
        <w:rPr>
          <w:color w:val="000000"/>
        </w:rPr>
        <w:t>continued on</w:t>
      </w:r>
      <w:r w:rsidRPr="003509BB">
        <w:rPr>
          <w:color w:val="000000"/>
        </w:rPr>
        <w:t xml:space="preserve"> with the successor contractor. Failure to collect this information would result in the difficulties outlined in item 1A above.</w:t>
      </w:r>
    </w:p>
    <w:p w:rsidR="003509BB" w:rsidRPr="00A9333F" w:rsidP="00A9333F" w14:paraId="7E119FA3" w14:textId="548D8BD5">
      <w:pPr>
        <w:pStyle w:val="Heading3"/>
      </w:pPr>
      <w:r w:rsidRPr="00A9333F">
        <w:t>Conformance Record</w:t>
      </w:r>
    </w:p>
    <w:p w:rsidR="00690079" w:rsidRPr="003509BB" w:rsidP="003509BB" w14:paraId="04DCC74A" w14:textId="1A746349">
      <w:pPr>
        <w:widowControl/>
        <w:tabs>
          <w:tab w:val="right" w:pos="360"/>
          <w:tab w:val="left" w:pos="720"/>
        </w:tabs>
        <w:autoSpaceDE/>
        <w:autoSpaceDN/>
        <w:adjustRightInd/>
        <w:rPr>
          <w:color w:val="000000"/>
        </w:rPr>
      </w:pPr>
      <w:r w:rsidRPr="003509BB">
        <w:rPr>
          <w:color w:val="000000"/>
        </w:rPr>
        <w:t>WHD staff review conformance actions to determine the appropriateness of the conformance and to determine whether the contractor has complied with the requirements of the SCA. This review is necessary to ensure that employees are properly classified and compensated.</w:t>
      </w:r>
    </w:p>
    <w:p w:rsidR="003509BB" w:rsidRPr="00A9333F" w:rsidP="00A9333F" w14:paraId="49CE68E0" w14:textId="381B6139">
      <w:pPr>
        <w:pStyle w:val="Heading3"/>
        <w:rPr>
          <w:color w:val="000000"/>
        </w:rPr>
      </w:pPr>
      <w:r w:rsidRPr="00A9333F">
        <w:t>Indexing</w:t>
      </w:r>
    </w:p>
    <w:p w:rsidR="00690079" w:rsidRPr="003509BB" w:rsidP="003509BB" w14:paraId="410FFDD9" w14:textId="16D378CF">
      <w:pPr>
        <w:widowControl/>
        <w:tabs>
          <w:tab w:val="right" w:pos="360"/>
          <w:tab w:val="left" w:pos="720"/>
        </w:tabs>
        <w:autoSpaceDE/>
        <w:autoSpaceDN/>
        <w:adjustRightInd/>
        <w:rPr>
          <w:color w:val="000000"/>
        </w:rPr>
      </w:pPr>
      <w:r w:rsidRPr="00AC3E4E">
        <w:t xml:space="preserve">Successor contracts can update previous conformances through indexing instead of submitting a new conformance. </w:t>
      </w:r>
      <w:r>
        <w:t>The</w:t>
      </w:r>
      <w:r w:rsidRPr="00064101">
        <w:t xml:space="preserve"> contracting agency </w:t>
      </w:r>
      <w:r>
        <w:t>may review the indexed conformance to ensure that the minimum wage rate of the new contract is correct.</w:t>
      </w:r>
    </w:p>
    <w:p w:rsidR="003509BB" w:rsidRPr="00A9333F" w:rsidP="00A9333F" w14:paraId="4716DCD5" w14:textId="0D6D9569">
      <w:pPr>
        <w:pStyle w:val="Heading3"/>
      </w:pPr>
      <w:r w:rsidRPr="00A9333F">
        <w:t>Submission of CBA</w:t>
      </w:r>
    </w:p>
    <w:p w:rsidR="00690079" w:rsidRPr="003509BB" w:rsidP="003509BB" w14:paraId="08C4A567" w14:textId="0057E5C8">
      <w:pPr>
        <w:widowControl/>
        <w:tabs>
          <w:tab w:val="right" w:pos="360"/>
          <w:tab w:val="left" w:pos="720"/>
        </w:tabs>
        <w:autoSpaceDE/>
        <w:autoSpaceDN/>
        <w:adjustRightInd/>
        <w:rPr>
          <w:color w:val="000000"/>
        </w:rPr>
      </w:pPr>
      <w:r w:rsidRPr="003509BB">
        <w:rPr>
          <w:color w:val="000000"/>
        </w:rPr>
        <w:t>In general, the contracting agency submits CBAs to WHD for use in the issuance of wage determinations for successor contracts subject to sections 2(a) and 4(c) of SCA. However, due to the creation of the System for Award Management (</w:t>
      </w:r>
      <w:r w:rsidRPr="003509BB" w:rsidR="00E559C6">
        <w:rPr>
          <w:color w:val="000000"/>
        </w:rPr>
        <w:t>SAM</w:t>
      </w:r>
      <w:r w:rsidRPr="003509BB">
        <w:rPr>
          <w:color w:val="000000"/>
        </w:rPr>
        <w:t>.gov), contracting agencies now have the option to independently create CBA wage determinations online for incorporation into federal service contracts without prior DOL approval or issuance. If the contracting agency chooses to have the Department issue the CBA wage determination, then the appropriate CBAs must be submitted to WHD. Without submission of these CBAs, WHD would be unable to provide contractors with the wage rates and fringe benefits required by law to be paid to service employees performing work on the contract.</w:t>
      </w:r>
    </w:p>
    <w:p w:rsidR="00AC0636" w:rsidRPr="00AC0636" w:rsidP="006D00E7" w14:paraId="32294130" w14:textId="5279EAC3">
      <w:pPr>
        <w:pStyle w:val="Heading2"/>
      </w:pPr>
      <w:r w:rsidRPr="00AC0636">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t xml:space="preserve"> </w:t>
      </w:r>
      <w:r w:rsidRPr="00AC0636">
        <w:t>Also, describe any consideration of using information technology to reduce burden.</w:t>
      </w:r>
    </w:p>
    <w:p w:rsidR="00B21EFB" w:rsidP="00B21EFB" w14:paraId="7C5B31EF" w14:textId="216DDDDC">
      <w:pPr>
        <w:widowControl/>
        <w:rPr>
          <w:color w:val="000000"/>
        </w:rPr>
      </w:pPr>
      <w:r>
        <w:rPr>
          <w:color w:val="000000"/>
        </w:rPr>
        <w:t xml:space="preserve">The vacation benefit seniority list and the record of conformance may be submitted in any format. Per the Government Paperwork Elimination Act, paper or electronic copies of CBAs and other relevant information is acceptable. The Department uses </w:t>
      </w:r>
      <w:r w:rsidR="001F05C6">
        <w:rPr>
          <w:color w:val="000000"/>
        </w:rPr>
        <w:t>SAM</w:t>
      </w:r>
      <w:r w:rsidRPr="0020331A">
        <w:rPr>
          <w:color w:val="000000"/>
        </w:rPr>
        <w:t>.gov</w:t>
      </w:r>
      <w:r>
        <w:rPr>
          <w:color w:val="000000"/>
        </w:rPr>
        <w:t>, which allows contracting agencies to independently create CBA wage determinations online for incorporation into federal service contracts without prior Department approval.</w:t>
      </w:r>
    </w:p>
    <w:p w:rsidR="00AC0636" w:rsidRPr="009F0615" w:rsidP="009F0615" w14:paraId="421A7530" w14:textId="40099E7B">
      <w:pPr>
        <w:pStyle w:val="Heading2"/>
      </w:pPr>
      <w:r w:rsidRPr="009F0615">
        <w:rPr>
          <w:rStyle w:val="Heading2Char"/>
          <w:b/>
        </w:rPr>
        <w:t>Describe efforts to identify duplication. Show specifically why any similar information already available cannot be used or modified for use for the purposes described in Item 2 above.</w:t>
      </w:r>
    </w:p>
    <w:p w:rsidR="00AC0636" w:rsidRPr="0039144A" w:rsidP="0039144A" w14:paraId="0C0E90C7" w14:textId="5FA0027C">
      <w:pPr>
        <w:widowControl/>
        <w:rPr>
          <w:color w:val="000000"/>
        </w:rPr>
      </w:pPr>
      <w:r>
        <w:rPr>
          <w:color w:val="000000"/>
        </w:rPr>
        <w:t xml:space="preserve">This </w:t>
      </w:r>
      <w:r w:rsidR="0039144A">
        <w:rPr>
          <w:color w:val="000000"/>
        </w:rPr>
        <w:t>information collection duplicate</w:t>
      </w:r>
      <w:r w:rsidR="00C74755">
        <w:rPr>
          <w:color w:val="000000"/>
        </w:rPr>
        <w:t>s</w:t>
      </w:r>
      <w:r w:rsidR="0039144A">
        <w:rPr>
          <w:color w:val="000000"/>
        </w:rPr>
        <w:t xml:space="preserve"> no other known WHD requirements. Basic records required to be kept contained in </w:t>
      </w:r>
      <w:hyperlink r:id="rId12" w:anchor="p-4.6(g)(1)(i)" w:history="1">
        <w:r w:rsidRPr="008A3839" w:rsidR="0039144A">
          <w:rPr>
            <w:rStyle w:val="Hyperlink"/>
          </w:rPr>
          <w:t>29 CFR 4.6(g)(1)(i)</w:t>
        </w:r>
      </w:hyperlink>
      <w:r w:rsidR="0039144A">
        <w:rPr>
          <w:color w:val="000000"/>
        </w:rPr>
        <w:t xml:space="preserve"> through (</w:t>
      </w:r>
      <w:hyperlink r:id="rId12" w:anchor="p-4.6(g)(1)(iv)" w:history="1">
        <w:r w:rsidRPr="00720638" w:rsidR="0039144A">
          <w:rPr>
            <w:rStyle w:val="Hyperlink"/>
          </w:rPr>
          <w:t>iv</w:t>
        </w:r>
      </w:hyperlink>
      <w:r w:rsidR="0039144A">
        <w:rPr>
          <w:color w:val="000000"/>
        </w:rPr>
        <w:t>) have been previously approved under Fair Labor Standards Act recordkeeping requirements through OMB 1235-0018. This information collection contains four requirements that were not cleared under OMB 1235-0018 and are not available from any other source: 1) vacation benefit seniority lists; 2) conformance record reports; 3) indexed conformances; and 4) collective bargaining agreements.</w:t>
      </w:r>
    </w:p>
    <w:p w:rsidR="00AC0636" w:rsidRPr="006D00E7" w:rsidP="006D00E7" w14:paraId="25D4C9B5" w14:textId="729EF896">
      <w:pPr>
        <w:pStyle w:val="Heading2"/>
      </w:pPr>
      <w:r w:rsidRPr="006D00E7">
        <w:rPr>
          <w:rStyle w:val="Heading2Char"/>
          <w:b/>
        </w:rPr>
        <w:t>If the collection of information impacts small businesses or other small entities, describe any methods used to minimize burden.</w:t>
      </w:r>
    </w:p>
    <w:p w:rsidR="00C1602C" w:rsidP="00C1602C" w14:paraId="2A66E943" w14:textId="224F85FE">
      <w:pPr>
        <w:widowControl/>
        <w:rPr>
          <w:color w:val="000000"/>
        </w:rPr>
      </w:pPr>
      <w:r>
        <w:rPr>
          <w:color w:val="000000"/>
        </w:rPr>
        <w:t xml:space="preserve">This </w:t>
      </w:r>
      <w:r>
        <w:rPr>
          <w:color w:val="000000"/>
        </w:rPr>
        <w:t>information collection do</w:t>
      </w:r>
      <w:r>
        <w:rPr>
          <w:color w:val="000000"/>
        </w:rPr>
        <w:t>es</w:t>
      </w:r>
      <w:r>
        <w:rPr>
          <w:color w:val="000000"/>
        </w:rPr>
        <w:t xml:space="preserve"> not have a significant economic impact on a substantial number of small entities. The vacation benefit seniority list and the CBA are documents that an employer would maintain to determine liabilities to employees even if this information were not required by </w:t>
      </w:r>
      <w:hyperlink r:id="rId16" w:history="1">
        <w:r w:rsidRPr="00FD5B0D">
          <w:rPr>
            <w:rStyle w:val="Hyperlink"/>
          </w:rPr>
          <w:t>29 CFR part 4</w:t>
        </w:r>
      </w:hyperlink>
      <w:r>
        <w:rPr>
          <w:color w:val="000000"/>
        </w:rPr>
        <w:t xml:space="preserve">. The information in the conformance action report is the minimum necessary to determine whether the contractor has </w:t>
      </w:r>
      <w:r>
        <w:rPr>
          <w:color w:val="000000"/>
        </w:rPr>
        <w:t>conformed</w:t>
      </w:r>
      <w:r>
        <w:rPr>
          <w:color w:val="000000"/>
        </w:rPr>
        <w:t xml:space="preserve"> wage rates and fringe benefits in accordance with the requirements of the SCA and its regulations.</w:t>
      </w:r>
    </w:p>
    <w:p w:rsidR="00AE56DD" w:rsidP="006D00E7" w14:paraId="17CDD525" w14:textId="0A141A16">
      <w:pPr>
        <w:pStyle w:val="Heading2"/>
      </w:pPr>
      <w:r w:rsidRPr="00AC0636">
        <w:t xml:space="preserve">Describe the </w:t>
      </w:r>
      <w:r w:rsidRPr="00AC0636">
        <w:t>consequence</w:t>
      </w:r>
      <w:r w:rsidRPr="00AC0636">
        <w:t xml:space="preserve"> </w:t>
      </w:r>
      <w:r w:rsidRPr="00AC0636">
        <w:t>to</w:t>
      </w:r>
      <w:r w:rsidRPr="00AC0636">
        <w:t xml:space="preserve"> federal program or policy activities if the collection is not conducted or is conducted less frequently, as well as any technical or legal obstacles to reducing burden.</w:t>
      </w:r>
    </w:p>
    <w:p w:rsidR="00901B9F" w:rsidP="00901B9F" w14:paraId="55F08575" w14:textId="03D59211">
      <w:pPr>
        <w:widowControl/>
        <w:rPr>
          <w:color w:val="000000"/>
        </w:rPr>
      </w:pPr>
      <w:r>
        <w:rPr>
          <w:color w:val="000000"/>
        </w:rPr>
        <w:t xml:space="preserve">The seniority list must be transmitted through the contracting agency to the successor contractor at the end of the predecessor's contract, usually annually, if it is to achieve its purpose. CBAs are submitted once during the contract period, unless subsequently amended CBAs can also be submitted through indexing, </w:t>
      </w:r>
      <w:r>
        <w:t>in which s</w:t>
      </w:r>
      <w:r w:rsidRPr="00AC3E4E">
        <w:t>uccessor contracts can update previous conformances instead of submitting a new conformance.</w:t>
      </w:r>
      <w:r>
        <w:rPr>
          <w:color w:val="000000"/>
        </w:rPr>
        <w:t xml:space="preserve"> The record of conformance actions must be submitted to the contracting agency within 30 days of the initial performance on the contract of the class of workers not listed on the wage determination to ensure that the provisions of section 2(a) of the SCA are satisfied (</w:t>
      </w:r>
      <w:r w:rsidRPr="00F21BC5">
        <w:rPr>
          <w:i/>
          <w:iCs/>
          <w:color w:val="000000"/>
        </w:rPr>
        <w:t>see</w:t>
      </w:r>
      <w:r>
        <w:rPr>
          <w:color w:val="000000"/>
        </w:rPr>
        <w:t xml:space="preserve"> </w:t>
      </w:r>
      <w:r w:rsidR="001558FF">
        <w:rPr>
          <w:color w:val="000000"/>
        </w:rPr>
        <w:t xml:space="preserve">Item </w:t>
      </w:r>
      <w:r>
        <w:rPr>
          <w:color w:val="000000"/>
        </w:rPr>
        <w:t>1B above). Less frequent submission of the seniority list, CBA, or record of conformance action is not feasible.</w:t>
      </w:r>
    </w:p>
    <w:p w:rsidR="00AC0636" w:rsidRPr="00AC0636" w:rsidP="006D00E7" w14:paraId="78F87472" w14:textId="1AD99965">
      <w:pPr>
        <w:pStyle w:val="Heading2"/>
      </w:pPr>
      <w:r w:rsidRPr="00AC0636">
        <w:t>Explain any special circumstances that would cause an information collection to be conducted in a manner:</w:t>
      </w:r>
    </w:p>
    <w:p w:rsidR="00AC0636" w:rsidRPr="00AC0636" w:rsidP="00AC0636" w14:paraId="5D01C0F2" w14:textId="474E1D20">
      <w:pPr>
        <w:pStyle w:val="ListParagraph"/>
        <w:numPr>
          <w:ilvl w:val="0"/>
          <w:numId w:val="1"/>
        </w:numPr>
        <w:rPr>
          <w:b/>
          <w:bCs/>
        </w:rPr>
      </w:pPr>
      <w:r w:rsidRPr="00AC0636">
        <w:rPr>
          <w:b/>
          <w:bCs/>
        </w:rPr>
        <w:t xml:space="preserve">requiring respondents to report information to the agency more often than </w:t>
      </w:r>
      <w:r w:rsidRPr="00AC0636">
        <w:rPr>
          <w:b/>
          <w:bCs/>
        </w:rPr>
        <w:t>quarterly;</w:t>
      </w:r>
    </w:p>
    <w:p w:rsidR="00AC0636" w:rsidRPr="00AC0636" w:rsidP="00AC0636" w14:paraId="58F5F532" w14:textId="58256F86">
      <w:pPr>
        <w:pStyle w:val="ListParagraph"/>
        <w:numPr>
          <w:ilvl w:val="0"/>
          <w:numId w:val="1"/>
        </w:numPr>
        <w:rPr>
          <w:b/>
          <w:bCs/>
        </w:rPr>
      </w:pPr>
      <w:r w:rsidRPr="00AC0636">
        <w:rPr>
          <w:b/>
          <w:bCs/>
        </w:rPr>
        <w:t xml:space="preserve">requiring respondents to prepare a written response to a collection of information in fewer than 30 days after receipt of </w:t>
      </w:r>
      <w:r w:rsidRPr="00AC0636">
        <w:rPr>
          <w:b/>
          <w:bCs/>
        </w:rPr>
        <w:t>it;</w:t>
      </w:r>
    </w:p>
    <w:p w:rsidR="00AC0636" w:rsidRPr="00AC0636" w:rsidP="00AC0636" w14:paraId="32ACF3F2" w14:textId="0562FEBB">
      <w:pPr>
        <w:pStyle w:val="ListParagraph"/>
        <w:numPr>
          <w:ilvl w:val="0"/>
          <w:numId w:val="1"/>
        </w:numPr>
        <w:rPr>
          <w:b/>
          <w:bCs/>
        </w:rPr>
      </w:pPr>
      <w:r w:rsidRPr="00AC0636">
        <w:rPr>
          <w:b/>
          <w:bCs/>
        </w:rPr>
        <w:t xml:space="preserve">requiring respondents to submit more than an original and two copies of any </w:t>
      </w:r>
      <w:r w:rsidRPr="00AC0636">
        <w:rPr>
          <w:b/>
          <w:bCs/>
        </w:rPr>
        <w:t>document;</w:t>
      </w:r>
    </w:p>
    <w:p w:rsidR="00AC0636" w:rsidRPr="00AC0636" w:rsidP="00AC0636" w14:paraId="0D5B87F6" w14:textId="082F9BC2">
      <w:pPr>
        <w:pStyle w:val="ListParagraph"/>
        <w:numPr>
          <w:ilvl w:val="0"/>
          <w:numId w:val="1"/>
        </w:numPr>
        <w:rPr>
          <w:b/>
          <w:bCs/>
        </w:rPr>
      </w:pPr>
      <w:r w:rsidRPr="00AC0636">
        <w:rPr>
          <w:b/>
          <w:bCs/>
        </w:rPr>
        <w:t xml:space="preserve">requiring respondents to retain records, other than health, medical, government contract, grant-in-aid, or tax records for more than three </w:t>
      </w:r>
      <w:r w:rsidRPr="00AC0636">
        <w:rPr>
          <w:b/>
          <w:bCs/>
        </w:rPr>
        <w:t>years;</w:t>
      </w:r>
    </w:p>
    <w:p w:rsidR="00AC0636" w:rsidRPr="00AC0636" w:rsidP="00AC0636" w14:paraId="1F13CAC8" w14:textId="646E862E">
      <w:pPr>
        <w:pStyle w:val="ListParagraph"/>
        <w:numPr>
          <w:ilvl w:val="0"/>
          <w:numId w:val="1"/>
        </w:numPr>
        <w:rPr>
          <w:b/>
          <w:bCs/>
        </w:rPr>
      </w:pPr>
      <w:r w:rsidRPr="00AC0636">
        <w:rPr>
          <w:b/>
          <w:bCs/>
        </w:rPr>
        <w:t xml:space="preserve">in connection with a statistical survey, that is not designed to produce valid and reliable results that can be generalized to the universe of </w:t>
      </w:r>
      <w:r w:rsidRPr="00AC0636">
        <w:rPr>
          <w:b/>
          <w:bCs/>
        </w:rPr>
        <w:t>study;</w:t>
      </w:r>
    </w:p>
    <w:p w:rsidR="00AC0636" w:rsidRPr="00AC0636" w:rsidP="00AC0636" w14:paraId="0B8BD493" w14:textId="52479491">
      <w:pPr>
        <w:pStyle w:val="ListParagraph"/>
        <w:numPr>
          <w:ilvl w:val="0"/>
          <w:numId w:val="1"/>
        </w:numPr>
        <w:rPr>
          <w:b/>
          <w:bCs/>
        </w:rPr>
      </w:pPr>
      <w:r w:rsidRPr="00AC0636">
        <w:rPr>
          <w:b/>
          <w:bCs/>
        </w:rPr>
        <w:t xml:space="preserve">requiring the use of statistical data classification that has not been reviewed and approved by </w:t>
      </w:r>
      <w:r w:rsidRPr="00AC0636">
        <w:rPr>
          <w:b/>
          <w:bCs/>
        </w:rPr>
        <w:t>OMB;</w:t>
      </w:r>
    </w:p>
    <w:p w:rsidR="00AC0636" w:rsidRPr="00AC0636" w:rsidP="00AC0636" w14:paraId="161A5666" w14:textId="37500AB3">
      <w:pPr>
        <w:pStyle w:val="ListParagraph"/>
        <w:numPr>
          <w:ilvl w:val="0"/>
          <w:numId w:val="1"/>
        </w:numPr>
        <w:rPr>
          <w:b/>
          <w:bCs/>
        </w:rPr>
      </w:pPr>
      <w:r w:rsidRPr="00AC0636">
        <w:rPr>
          <w:b/>
          <w:bCs/>
        </w:rPr>
        <w:t xml:space="preserve">that includes a pledge of </w:t>
      </w:r>
      <w:r w:rsidRPr="00AC0636" w:rsidR="00527C53">
        <w:rPr>
          <w:b/>
          <w:bCs/>
        </w:rPr>
        <w:t>confidentiality</w:t>
      </w:r>
      <w:r>
        <w:rPr>
          <w:b/>
          <w:bCs/>
        </w:rPr>
        <w:t xml:space="preserve"> </w:t>
      </w:r>
      <w:r w:rsidRPr="00AC0636">
        <w:rPr>
          <w:b/>
          <w:bCs/>
        </w:rPr>
        <w:t>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C0636" w:rsidP="00AC0636" w14:paraId="10A8D30C" w14:textId="2D54DB60">
      <w:pPr>
        <w:pStyle w:val="ListParagraph"/>
        <w:numPr>
          <w:ilvl w:val="0"/>
          <w:numId w:val="1"/>
        </w:numPr>
      </w:pPr>
      <w:r w:rsidRPr="00AC0636">
        <w:rPr>
          <w:b/>
          <w:bCs/>
        </w:rPr>
        <w:t>requiring</w:t>
      </w:r>
      <w:r w:rsidRPr="00AC0636">
        <w:rPr>
          <w:b/>
          <w:bCs/>
        </w:rPr>
        <w:t xml:space="preserve"> respondents to submit proprietary trade secret</w:t>
      </w:r>
      <w:r w:rsidR="00903047">
        <w:rPr>
          <w:b/>
          <w:bCs/>
        </w:rPr>
        <w:t>s</w:t>
      </w:r>
      <w:r w:rsidRPr="00AC0636">
        <w:rPr>
          <w:b/>
          <w:bCs/>
        </w:rPr>
        <w:t xml:space="preserve">, or other confidential </w:t>
      </w:r>
      <w:r w:rsidRPr="00AC0636">
        <w:rPr>
          <w:b/>
          <w:bCs/>
        </w:rPr>
        <w:t>information</w:t>
      </w:r>
      <w:r w:rsidRPr="00AC0636">
        <w:rPr>
          <w:b/>
          <w:bCs/>
        </w:rPr>
        <w:t xml:space="preserve"> unless the </w:t>
      </w:r>
      <w:r w:rsidRPr="00AC0636">
        <w:rPr>
          <w:b/>
          <w:bCs/>
        </w:rPr>
        <w:t>agency can</w:t>
      </w:r>
      <w:r w:rsidRPr="00AC0636">
        <w:rPr>
          <w:b/>
          <w:bCs/>
        </w:rPr>
        <w:t xml:space="preserve"> demonstrate that it has instituted procedures to protect the information's confidentially</w:t>
      </w:r>
      <w:r>
        <w:rPr>
          <w:b/>
          <w:bCs/>
        </w:rPr>
        <w:t xml:space="preserve"> </w:t>
      </w:r>
      <w:r w:rsidRPr="00AC0636">
        <w:rPr>
          <w:b/>
          <w:bCs/>
        </w:rPr>
        <w:t>to the extent permitted by law</w:t>
      </w:r>
      <w:r w:rsidRPr="00AC0636">
        <w:t>.</w:t>
      </w:r>
    </w:p>
    <w:p w:rsidR="00367048" w:rsidRPr="00367048" w:rsidP="00367048" w14:paraId="5758E88A" w14:textId="28DE8372">
      <w:pPr>
        <w:widowControl/>
        <w:rPr>
          <w:color w:val="000000"/>
        </w:rPr>
      </w:pPr>
      <w:r>
        <w:rPr>
          <w:color w:val="000000"/>
        </w:rPr>
        <w:t>There are</w:t>
      </w:r>
      <w:r w:rsidRPr="00367048">
        <w:rPr>
          <w:color w:val="000000"/>
        </w:rPr>
        <w:t xml:space="preserve"> no special circumstances associated with this information collection. </w:t>
      </w:r>
    </w:p>
    <w:p w:rsidR="00AC0636" w:rsidRPr="00AC0636" w:rsidP="006D00E7" w14:paraId="0F76F3E1" w14:textId="691551EA">
      <w:pPr>
        <w:pStyle w:val="Heading2"/>
      </w:pPr>
      <w:r w:rsidRPr="00AC0636">
        <w:t xml:space="preserve">If applicable, provide a copy and identify the date and page number of </w:t>
      </w:r>
      <w:r w:rsidRPr="00AC0636">
        <w:t>publication</w:t>
      </w:r>
      <w:r w:rsidRPr="00AC0636">
        <w:t xml:space="preserve"> in the Federal Register of the agency's notice, required by 5 CFR 1320.8(d), soliciting comments on the information collection prior to submission to OMB.</w:t>
      </w:r>
      <w:r>
        <w:t xml:space="preserve"> </w:t>
      </w:r>
      <w:r w:rsidRPr="00AC0636">
        <w:t>Summarize public comments received in response to that notice and describe actions taken by the agency in response to these comments.</w:t>
      </w:r>
      <w:r>
        <w:t xml:space="preserve"> </w:t>
      </w:r>
      <w:r w:rsidRPr="00AC0636">
        <w:t>Specifically address comments received on cost and hour burden.</w:t>
      </w:r>
    </w:p>
    <w:p w:rsidR="00AC0636" w:rsidRPr="00AC0636" w:rsidP="003B745C" w14:paraId="25572ED9" w14:textId="77777777">
      <w:pPr>
        <w:ind w:left="720"/>
        <w:rPr>
          <w:b/>
          <w:bCs/>
        </w:rPr>
      </w:pPr>
      <w:r w:rsidRPr="00AC0636">
        <w:rPr>
          <w:b/>
          <w:bCs/>
        </w:rPr>
        <w:t xml:space="preserve">Describe efforts to consult with </w:t>
      </w:r>
      <w:r w:rsidRPr="00AC0636">
        <w:rPr>
          <w:b/>
          <w:bCs/>
        </w:rPr>
        <w:t>persons</w:t>
      </w:r>
      <w:r w:rsidRPr="00AC0636">
        <w:rPr>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AC0636" w:rsidRPr="00AC0636" w:rsidP="003B745C" w14:paraId="33BA61CB" w14:textId="17A2F77E">
      <w:pPr>
        <w:ind w:left="720"/>
        <w:rPr>
          <w:b/>
          <w:bCs/>
        </w:rPr>
      </w:pPr>
      <w:r w:rsidRPr="00AC0636">
        <w:rPr>
          <w:b/>
          <w:bCs/>
        </w:rPr>
        <w:t xml:space="preserve">Consultation with representatives of those from whom information is to be obtained or those who must compile records should occur at least once every 3 years -- even if </w:t>
      </w:r>
      <w:r w:rsidRPr="00AC0636">
        <w:rPr>
          <w:b/>
          <w:bCs/>
        </w:rPr>
        <w:t>the collection-of-information activity is the same as in prior periods.</w:t>
      </w:r>
      <w:r>
        <w:rPr>
          <w:b/>
          <w:bCs/>
        </w:rPr>
        <w:t xml:space="preserve"> </w:t>
      </w:r>
      <w:r w:rsidRPr="00AC0636">
        <w:rPr>
          <w:b/>
          <w:bCs/>
        </w:rPr>
        <w:t>There may be circumstances that may preclude consultation in a specific situation.</w:t>
      </w:r>
      <w:r>
        <w:rPr>
          <w:b/>
          <w:bCs/>
        </w:rPr>
        <w:t xml:space="preserve"> </w:t>
      </w:r>
      <w:r w:rsidRPr="00AC0636">
        <w:rPr>
          <w:b/>
          <w:bCs/>
        </w:rPr>
        <w:t>These circumstances should be explained.</w:t>
      </w:r>
    </w:p>
    <w:p w:rsidR="00AC0636" w:rsidRPr="00E072C0" w:rsidP="00AC0636" w14:paraId="104665BE" w14:textId="7B657863">
      <w:pPr>
        <w:rPr>
          <w:bCs/>
        </w:rPr>
      </w:pPr>
      <w:r w:rsidRPr="00EE4EC6">
        <w:rPr>
          <w:bCs/>
        </w:rPr>
        <w:t xml:space="preserve">On </w:t>
      </w:r>
      <w:r w:rsidRPr="00EE4EC6" w:rsidR="005F1F27">
        <w:rPr>
          <w:bCs/>
        </w:rPr>
        <w:t>August 7</w:t>
      </w:r>
      <w:r w:rsidRPr="00EE4EC6">
        <w:rPr>
          <w:bCs/>
        </w:rPr>
        <w:t xml:space="preserve">, 2025, the Department published a notice in the </w:t>
      </w:r>
      <w:r w:rsidRPr="00EE4EC6">
        <w:rPr>
          <w:bCs/>
          <w:i/>
          <w:iCs/>
        </w:rPr>
        <w:t>Federal Register</w:t>
      </w:r>
      <w:r w:rsidRPr="00EE4EC6">
        <w:rPr>
          <w:bCs/>
        </w:rPr>
        <w:t xml:space="preserve"> inviting public comment about this information collection (</w:t>
      </w:r>
      <w:hyperlink r:id="rId17" w:history="1">
        <w:r w:rsidRPr="002360E0" w:rsidR="00EE4EC6">
          <w:rPr>
            <w:rStyle w:val="Hyperlink"/>
          </w:rPr>
          <w:t>90</w:t>
        </w:r>
        <w:r w:rsidRPr="002360E0">
          <w:rPr>
            <w:rStyle w:val="Hyperlink"/>
          </w:rPr>
          <w:t xml:space="preserve"> FR </w:t>
        </w:r>
        <w:r w:rsidRPr="002360E0" w:rsidR="00EE4EC6">
          <w:rPr>
            <w:rStyle w:val="Hyperlink"/>
          </w:rPr>
          <w:t>38185</w:t>
        </w:r>
      </w:hyperlink>
      <w:r w:rsidRPr="00EE4EC6">
        <w:rPr>
          <w:bCs/>
        </w:rPr>
        <w:t xml:space="preserve">). </w:t>
      </w:r>
      <w:r w:rsidR="00FE704F">
        <w:rPr>
          <w:bCs/>
        </w:rPr>
        <w:t>No</w:t>
      </w:r>
      <w:r w:rsidRPr="00EE4EC6" w:rsidR="00167A90">
        <w:rPr>
          <w:bCs/>
        </w:rPr>
        <w:t xml:space="preserve"> </w:t>
      </w:r>
      <w:r w:rsidRPr="00EE4EC6">
        <w:rPr>
          <w:bCs/>
        </w:rPr>
        <w:t>comments were received.</w:t>
      </w:r>
    </w:p>
    <w:p w:rsidR="00AC0636" w:rsidRPr="00AC0636" w:rsidP="006D00E7" w14:paraId="2F9E92BE" w14:textId="4D53193E">
      <w:pPr>
        <w:pStyle w:val="Heading2"/>
      </w:pPr>
      <w:r w:rsidRPr="00AC0636">
        <w:t>Explain any decision to provide any payments or gifts to respondents, other than remuneration of contractors or grantees.</w:t>
      </w:r>
    </w:p>
    <w:p w:rsidR="001A5877" w:rsidP="001A5877" w14:paraId="665D9801" w14:textId="77777777">
      <w:pPr>
        <w:widowControl/>
        <w:rPr>
          <w:color w:val="000000"/>
        </w:rPr>
      </w:pPr>
      <w:r>
        <w:rPr>
          <w:color w:val="000000"/>
        </w:rPr>
        <w:t xml:space="preserve">The Department makes no payments or gifts to respondents completing these recordkeeping requirements. </w:t>
      </w:r>
    </w:p>
    <w:p w:rsidR="00AC0636" w:rsidRPr="00AC0636" w:rsidP="006D00E7" w14:paraId="2CB2630B" w14:textId="4D4E9E03">
      <w:pPr>
        <w:pStyle w:val="Heading2"/>
      </w:pPr>
      <w:r w:rsidRPr="00AC0636">
        <w:t>Describe any assurance of confidentiality provided to respondents and the basis for the assurance in statute, regulation, or agency policy.</w:t>
      </w:r>
      <w:r w:rsidR="00450AF1">
        <w:t xml:space="preserve"> </w:t>
      </w:r>
      <w:r w:rsidRPr="00450AF1" w:rsidR="00450AF1">
        <w:t xml:space="preserve">If the collection requires a </w:t>
      </w:r>
      <w:r w:rsidRPr="00450AF1" w:rsidR="00450AF1">
        <w:t>systems</w:t>
      </w:r>
      <w:r w:rsidRPr="00450AF1" w:rsidR="00450AF1">
        <w:t xml:space="preserve"> of records notice (SORN) or privacy impact assessment (PIA), those should be cited and described here.</w:t>
      </w:r>
    </w:p>
    <w:p w:rsidR="00043E2F" w:rsidP="00043E2F" w14:paraId="0D391A30" w14:textId="1199105B">
      <w:pPr>
        <w:widowControl/>
        <w:rPr>
          <w:color w:val="000000"/>
        </w:rPr>
      </w:pPr>
      <w:r>
        <w:rPr>
          <w:color w:val="000000"/>
        </w:rPr>
        <w:t xml:space="preserve">The Department makes no assurances of confidentiality to respondents. As a practical matter, the Department would only disclose information collected under this request in accordance with the provisions of the Freedom of Information Act, 5 U.S.C. 552, and the attendant regulations, </w:t>
      </w:r>
      <w:hyperlink r:id="rId18" w:history="1">
        <w:r w:rsidRPr="00010A9D">
          <w:rPr>
            <w:rStyle w:val="Hyperlink"/>
          </w:rPr>
          <w:t>29 CFR part 70</w:t>
        </w:r>
      </w:hyperlink>
      <w:r>
        <w:rPr>
          <w:color w:val="000000"/>
        </w:rPr>
        <w:t xml:space="preserve">, and the Privacy Act, 5 U.S.C. 552a with its attendant regulations, </w:t>
      </w:r>
      <w:hyperlink r:id="rId19" w:history="1">
        <w:r w:rsidRPr="00010A9D">
          <w:rPr>
            <w:rStyle w:val="Hyperlink"/>
          </w:rPr>
          <w:t>29 CFR part 71</w:t>
        </w:r>
      </w:hyperlink>
      <w:r>
        <w:rPr>
          <w:color w:val="000000"/>
        </w:rPr>
        <w:t xml:space="preserve">. </w:t>
      </w:r>
    </w:p>
    <w:p w:rsidR="00AC0636" w:rsidRPr="00AC0636" w:rsidP="006D00E7" w14:paraId="09E0E6E5" w14:textId="3B8E84F6">
      <w:pPr>
        <w:pStyle w:val="Heading2"/>
      </w:pPr>
      <w:r w:rsidRPr="00AC0636">
        <w:t>Provide additional justification for any questions of a sensitive nature, such as sexual behavior and attitudes, religious beliefs, and other matters that are commonly considered private.</w:t>
      </w:r>
      <w:r>
        <w:t xml:space="preserve"> </w:t>
      </w:r>
      <w:r w:rsidRPr="00AC0636">
        <w:t xml:space="preserve">This justification should include the reasons why the agency considers the questions necessary, the specific uses to be made of the information, the explanation to be given to </w:t>
      </w:r>
      <w:r w:rsidRPr="00AC0636">
        <w:t>persons</w:t>
      </w:r>
      <w:r w:rsidRPr="00AC0636">
        <w:t xml:space="preserve"> from whom the information is requested, and any steps to be taken to obtain their consent.</w:t>
      </w:r>
    </w:p>
    <w:p w:rsidR="001A44EB" w:rsidP="001A44EB" w14:paraId="0B68CCDF" w14:textId="6B456D35">
      <w:r>
        <w:t xml:space="preserve">The Department does not request </w:t>
      </w:r>
      <w:r w:rsidRPr="00DA3348">
        <w:t xml:space="preserve">sensitive information in </w:t>
      </w:r>
      <w:r w:rsidRPr="00DA3348" w:rsidR="00B92B57">
        <w:t>th</w:t>
      </w:r>
      <w:r w:rsidR="00B92B57">
        <w:t xml:space="preserve">is </w:t>
      </w:r>
      <w:r w:rsidRPr="00DA3348">
        <w:t>information collection.</w:t>
      </w:r>
    </w:p>
    <w:p w:rsidR="00AC0636" w:rsidRPr="0010671B" w:rsidP="006D00E7" w14:paraId="52D7AD19" w14:textId="07B7E52A">
      <w:pPr>
        <w:pStyle w:val="Heading2"/>
      </w:pPr>
      <w:r w:rsidRPr="0010671B">
        <w:t>Provide estimates of the hour burden of the collection of information. The statement should:</w:t>
      </w:r>
    </w:p>
    <w:p w:rsidR="00AC0636" w:rsidRPr="00AC0636" w:rsidP="00517EBF" w14:paraId="3F7580CE" w14:textId="75832075">
      <w:pPr>
        <w:ind w:left="720"/>
        <w:rPr>
          <w:b/>
          <w:bCs/>
        </w:rPr>
      </w:pPr>
      <w:r w:rsidRPr="00AC0636">
        <w:rPr>
          <w:b/>
          <w:bCs/>
        </w:rPr>
        <w:t>Indicate the number of respondents, frequency of response, annual hour burden, and an explanation of how the burden was estimated.</w:t>
      </w:r>
      <w:r>
        <w:rPr>
          <w:b/>
          <w:bCs/>
        </w:rPr>
        <w:t xml:space="preserve"> </w:t>
      </w:r>
      <w:r w:rsidRPr="00AC0636">
        <w:rPr>
          <w:b/>
          <w:bCs/>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AC0636" w:rsidR="00D465E9">
        <w:rPr>
          <w:b/>
          <w:bCs/>
        </w:rPr>
        <w:t>General</w:t>
      </w:r>
      <w:r w:rsidR="00D465E9">
        <w:rPr>
          <w:b/>
          <w:bCs/>
        </w:rPr>
        <w:t>ly,</w:t>
      </w:r>
      <w:r w:rsidRPr="00AC0636">
        <w:rPr>
          <w:b/>
          <w:bCs/>
        </w:rPr>
        <w:t xml:space="preserve"> estimates should not include burden hours for customary and usual business practices.</w:t>
      </w:r>
    </w:p>
    <w:p w:rsidR="00AC0636" w:rsidRPr="00AC0636" w:rsidP="00517EBF" w14:paraId="08092E52" w14:textId="7283F403">
      <w:pPr>
        <w:ind w:left="720"/>
        <w:rPr>
          <w:b/>
          <w:bCs/>
        </w:rPr>
      </w:pPr>
      <w:r w:rsidRPr="00AC0636">
        <w:rPr>
          <w:b/>
          <w:bCs/>
        </w:rPr>
        <w:t xml:space="preserve">If this request for approval covers more than one form, provide separate hour </w:t>
      </w:r>
      <w:r w:rsidRPr="00AC0636">
        <w:rPr>
          <w:b/>
          <w:bCs/>
        </w:rPr>
        <w:t>burden estimates for each form</w:t>
      </w:r>
      <w:r w:rsidR="003B6433">
        <w:rPr>
          <w:b/>
          <w:bCs/>
        </w:rPr>
        <w:t xml:space="preserve"> </w:t>
      </w:r>
      <w:r w:rsidRPr="003B6433" w:rsidR="003B6433">
        <w:rPr>
          <w:b/>
          <w:bCs/>
        </w:rPr>
        <w:t>and aggregate the hour burdens</w:t>
      </w:r>
      <w:r w:rsidRPr="00AC0636">
        <w:rPr>
          <w:b/>
          <w:bCs/>
        </w:rPr>
        <w:t>.</w:t>
      </w:r>
    </w:p>
    <w:p w:rsidR="00AC0636" w:rsidRPr="00AC0636" w:rsidP="00517EBF" w14:paraId="0F79D9AC" w14:textId="617B8D4D">
      <w:pPr>
        <w:ind w:left="720"/>
        <w:rPr>
          <w:b/>
          <w:bCs/>
        </w:rPr>
      </w:pPr>
      <w:r w:rsidRPr="00AC0636">
        <w:rPr>
          <w:b/>
          <w:bCs/>
        </w:rPr>
        <w:t>Provide estimates of annualized cost to respondents for the hour burdens for collections of information, identifying and using appropriate wage rate categories.</w:t>
      </w:r>
      <w:r>
        <w:rPr>
          <w:b/>
          <w:bCs/>
        </w:rPr>
        <w:t xml:space="preserve"> </w:t>
      </w:r>
      <w:r w:rsidRPr="00AC0636">
        <w:rPr>
          <w:b/>
          <w:bCs/>
        </w:rPr>
        <w:t>The cost of contracting out or paying outside parties for information collection activities should not be included here.</w:t>
      </w:r>
      <w:r>
        <w:rPr>
          <w:b/>
          <w:bCs/>
        </w:rPr>
        <w:t xml:space="preserve"> </w:t>
      </w:r>
      <w:r w:rsidRPr="00AC0636">
        <w:rPr>
          <w:b/>
          <w:bCs/>
        </w:rPr>
        <w:t xml:space="preserve">Instead, this cost should be included </w:t>
      </w:r>
      <w:r w:rsidR="00606EBE">
        <w:rPr>
          <w:b/>
          <w:bCs/>
        </w:rPr>
        <w:t xml:space="preserve">under </w:t>
      </w:r>
      <w:r w:rsidR="00144908">
        <w:rPr>
          <w:b/>
          <w:bCs/>
        </w:rPr>
        <w:t>‘</w:t>
      </w:r>
      <w:r w:rsidRPr="00606EBE" w:rsidR="00606EBE">
        <w:rPr>
          <w:b/>
          <w:bCs/>
        </w:rPr>
        <w:t>Annual Cost to Federal Government’</w:t>
      </w:r>
      <w:r w:rsidRPr="00AC0636">
        <w:rPr>
          <w:b/>
          <w:bCs/>
        </w:rPr>
        <w:t>.</w:t>
      </w:r>
    </w:p>
    <w:p w:rsidR="000C387F" w:rsidRPr="000764F3" w:rsidP="002A1F31" w14:paraId="2A6A44A3" w14:textId="6FCA0D32">
      <w:pPr>
        <w:pStyle w:val="Heading3"/>
        <w:numPr>
          <w:ilvl w:val="0"/>
          <w:numId w:val="7"/>
        </w:numPr>
      </w:pPr>
      <w:r w:rsidRPr="000764F3">
        <w:rPr>
          <w:rStyle w:val="CommentReference"/>
          <w:sz w:val="24"/>
          <w:szCs w:val="24"/>
        </w:rPr>
        <w:t>V</w:t>
      </w:r>
      <w:r w:rsidRPr="000764F3">
        <w:t>acation Benefit Seniority List</w:t>
      </w:r>
    </w:p>
    <w:p w:rsidR="000C387F" w:rsidP="000C387F" w14:paraId="49D7F55C" w14:textId="5BE8B756">
      <w:pPr>
        <w:widowControl/>
        <w:rPr>
          <w:color w:val="000000"/>
        </w:rPr>
      </w:pPr>
      <w:r>
        <w:rPr>
          <w:color w:val="000000"/>
        </w:rPr>
        <w:t xml:space="preserve">Virtually all SCA covered contracts contain wage determinations providing vacation requirements that apply to successor contracts. However, about </w:t>
      </w:r>
      <w:r w:rsidRPr="00DF4FF6">
        <w:rPr>
          <w:color w:val="000000"/>
        </w:rPr>
        <w:t>one-half are multi-year contracts (generally three years),</w:t>
      </w:r>
      <w:r>
        <w:rPr>
          <w:color w:val="000000"/>
        </w:rPr>
        <w:t xml:space="preserve"> where the contractor </w:t>
      </w:r>
      <w:r w:rsidRPr="00C80CAB">
        <w:rPr>
          <w:color w:val="000000"/>
        </w:rPr>
        <w:t xml:space="preserve">succeeds itself in two of the three years and would only need to submit the vacation list in the third year. </w:t>
      </w:r>
      <w:r w:rsidR="005A3932">
        <w:rPr>
          <w:color w:val="000000"/>
        </w:rPr>
        <w:t>Using data from</w:t>
      </w:r>
      <w:r w:rsidRPr="00C80CAB">
        <w:rPr>
          <w:color w:val="000000"/>
        </w:rPr>
        <w:t xml:space="preserve"> USAspending.gov,</w:t>
      </w:r>
      <w:r w:rsidR="005A3932">
        <w:rPr>
          <w:color w:val="000000"/>
        </w:rPr>
        <w:t xml:space="preserve"> the Department estimates that</w:t>
      </w:r>
      <w:r w:rsidRPr="00C80CAB">
        <w:rPr>
          <w:color w:val="000000"/>
        </w:rPr>
        <w:t xml:space="preserve"> </w:t>
      </w:r>
      <w:r w:rsidRPr="0006041B" w:rsidR="006B0291">
        <w:t>191,084</w:t>
      </w:r>
      <w:r w:rsidRPr="00C80CAB" w:rsidR="006B0291">
        <w:t xml:space="preserve"> </w:t>
      </w:r>
      <w:r w:rsidRPr="00C80CAB">
        <w:rPr>
          <w:color w:val="000000"/>
        </w:rPr>
        <w:t xml:space="preserve">federal government contract actions were subject to the SCA during FY </w:t>
      </w:r>
      <w:r w:rsidRPr="00C80CAB" w:rsidR="00A43FD1">
        <w:rPr>
          <w:color w:val="000000"/>
        </w:rPr>
        <w:t>2024</w:t>
      </w:r>
      <w:r w:rsidRPr="00C80CAB">
        <w:rPr>
          <w:color w:val="000000"/>
        </w:rPr>
        <w:t>.</w:t>
      </w:r>
      <w:r>
        <w:rPr>
          <w:rStyle w:val="FootnoteReference"/>
          <w:color w:val="000000"/>
        </w:rPr>
        <w:footnoteReference w:id="3"/>
      </w:r>
      <w:r>
        <w:rPr>
          <w:color w:val="000000"/>
        </w:rPr>
        <w:t xml:space="preserve"> </w:t>
      </w:r>
    </w:p>
    <w:p w:rsidR="000C387F" w:rsidP="00C56424" w14:paraId="7CECA395" w14:textId="2222C230">
      <w:pPr>
        <w:widowControl/>
        <w:ind w:left="360"/>
        <w:rPr>
          <w:color w:val="000000"/>
        </w:rPr>
      </w:pPr>
      <w:r w:rsidRPr="16552903">
        <w:rPr>
          <w:color w:val="000000" w:themeColor="text1"/>
        </w:rPr>
        <w:t>95,542</w:t>
      </w:r>
      <w:r w:rsidRPr="16552903">
        <w:rPr>
          <w:color w:val="000000" w:themeColor="text1"/>
        </w:rPr>
        <w:t xml:space="preserve"> one-year contracts + </w:t>
      </w:r>
      <w:r w:rsidR="005068CA">
        <w:rPr>
          <w:color w:val="000000" w:themeColor="text1"/>
        </w:rPr>
        <w:t>31,847</w:t>
      </w:r>
      <w:r w:rsidRPr="16552903" w:rsidR="0006041B">
        <w:rPr>
          <w:color w:val="000000" w:themeColor="text1"/>
        </w:rPr>
        <w:t xml:space="preserve"> </w:t>
      </w:r>
      <w:r w:rsidR="005068CA">
        <w:rPr>
          <w:color w:val="000000" w:themeColor="text1"/>
        </w:rPr>
        <w:t xml:space="preserve">estimated </w:t>
      </w:r>
      <w:r w:rsidR="008258A9">
        <w:rPr>
          <w:color w:val="000000" w:themeColor="text1"/>
        </w:rPr>
        <w:t>contracts in the third year</w:t>
      </w:r>
      <w:r w:rsidRPr="16552903">
        <w:rPr>
          <w:color w:val="000000" w:themeColor="text1"/>
        </w:rPr>
        <w:t xml:space="preserve"> = </w:t>
      </w:r>
      <w:r w:rsidR="004773F3">
        <w:rPr>
          <w:color w:val="000000" w:themeColor="text1"/>
        </w:rPr>
        <w:t>127,389</w:t>
      </w:r>
      <w:r w:rsidRPr="16552903" w:rsidR="0006041B">
        <w:rPr>
          <w:color w:val="000000" w:themeColor="text1"/>
        </w:rPr>
        <w:t xml:space="preserve"> </w:t>
      </w:r>
      <w:r w:rsidRPr="16552903">
        <w:rPr>
          <w:color w:val="000000" w:themeColor="text1"/>
        </w:rPr>
        <w:t>contractors would submit a vacation benefit seniority list each year.</w:t>
      </w:r>
    </w:p>
    <w:p w:rsidR="000C387F" w:rsidP="000C387F" w14:paraId="1D4C912E" w14:textId="77777777">
      <w:pPr>
        <w:widowControl/>
        <w:rPr>
          <w:color w:val="000000"/>
        </w:rPr>
      </w:pPr>
      <w:r>
        <w:rPr>
          <w:color w:val="000000"/>
        </w:rPr>
        <w:t xml:space="preserve">Based on the ready availability of payroll and employment records, an estimate of one hour per response has been made for this requirement. The only variation would be the size of the contractor's work force and large contractors would submit a larger list of employees. </w:t>
      </w:r>
    </w:p>
    <w:p w:rsidR="000C387F" w:rsidP="00C56424" w14:paraId="1D6A438A" w14:textId="7AAADE16">
      <w:pPr>
        <w:widowControl/>
        <w:ind w:firstLine="360"/>
        <w:rPr>
          <w:color w:val="000000"/>
        </w:rPr>
      </w:pPr>
      <w:r>
        <w:rPr>
          <w:color w:val="000000"/>
        </w:rPr>
        <w:t xml:space="preserve">Annual burden: </w:t>
      </w:r>
      <w:r w:rsidR="004773F3">
        <w:rPr>
          <w:color w:val="000000" w:themeColor="text1"/>
        </w:rPr>
        <w:t>127,</w:t>
      </w:r>
      <w:r w:rsidR="00701052">
        <w:rPr>
          <w:color w:val="000000" w:themeColor="text1"/>
        </w:rPr>
        <w:t>389</w:t>
      </w:r>
      <w:r w:rsidR="0006041B">
        <w:rPr>
          <w:color w:val="000000"/>
        </w:rPr>
        <w:t xml:space="preserve"> </w:t>
      </w:r>
      <w:r>
        <w:rPr>
          <w:color w:val="000000"/>
        </w:rPr>
        <w:t xml:space="preserve">contractors × 1 response </w:t>
      </w:r>
      <w:r w:rsidR="007C6691">
        <w:rPr>
          <w:color w:val="000000"/>
        </w:rPr>
        <w:t>×</w:t>
      </w:r>
      <w:r>
        <w:rPr>
          <w:color w:val="000000"/>
        </w:rPr>
        <w:t xml:space="preserve"> 1 hour = </w:t>
      </w:r>
      <w:r w:rsidR="004D2E39">
        <w:rPr>
          <w:color w:val="000000" w:themeColor="text1"/>
        </w:rPr>
        <w:t>127,</w:t>
      </w:r>
      <w:r w:rsidR="00701052">
        <w:rPr>
          <w:color w:val="000000" w:themeColor="text1"/>
        </w:rPr>
        <w:t>389</w:t>
      </w:r>
      <w:r w:rsidR="0006041B">
        <w:rPr>
          <w:color w:val="000000"/>
        </w:rPr>
        <w:t xml:space="preserve"> </w:t>
      </w:r>
      <w:r>
        <w:rPr>
          <w:color w:val="000000"/>
        </w:rPr>
        <w:t xml:space="preserve">hours. </w:t>
      </w:r>
    </w:p>
    <w:p w:rsidR="000C387F" w:rsidRPr="00C56424" w:rsidP="002A1F31" w14:paraId="10ADD6F5" w14:textId="00115C0D">
      <w:pPr>
        <w:pStyle w:val="Heading3"/>
        <w:numPr>
          <w:ilvl w:val="0"/>
          <w:numId w:val="7"/>
        </w:numPr>
      </w:pPr>
      <w:r w:rsidRPr="00C56424">
        <w:t>Conformance Record</w:t>
      </w:r>
    </w:p>
    <w:p w:rsidR="000C387F" w:rsidRPr="005030FB" w:rsidP="000B3BA8" w14:paraId="781C35F7" w14:textId="0816ECBA">
      <w:pPr>
        <w:widowControl/>
        <w:rPr>
          <w:color w:val="000000"/>
        </w:rPr>
      </w:pPr>
      <w:r w:rsidRPr="005030FB">
        <w:rPr>
          <w:color w:val="000000"/>
        </w:rPr>
        <w:t xml:space="preserve">The Department </w:t>
      </w:r>
      <w:r w:rsidR="00B93394">
        <w:rPr>
          <w:color w:val="000000"/>
        </w:rPr>
        <w:t>received</w:t>
      </w:r>
      <w:r w:rsidR="00B834B8">
        <w:rPr>
          <w:color w:val="000000"/>
        </w:rPr>
        <w:t xml:space="preserve"> 141</w:t>
      </w:r>
      <w:r w:rsidRPr="005030FB">
        <w:rPr>
          <w:color w:val="000000"/>
        </w:rPr>
        <w:t xml:space="preserve"> contracts </w:t>
      </w:r>
      <w:r w:rsidR="00B834B8">
        <w:rPr>
          <w:color w:val="000000"/>
        </w:rPr>
        <w:t xml:space="preserve">that </w:t>
      </w:r>
      <w:r w:rsidRPr="005030FB">
        <w:rPr>
          <w:color w:val="000000"/>
        </w:rPr>
        <w:t xml:space="preserve">required conformance in FY </w:t>
      </w:r>
      <w:r w:rsidRPr="005030FB" w:rsidR="00B834B8">
        <w:rPr>
          <w:color w:val="000000"/>
        </w:rPr>
        <w:t>202</w:t>
      </w:r>
      <w:r w:rsidR="00B834B8">
        <w:rPr>
          <w:color w:val="000000"/>
        </w:rPr>
        <w:t>4</w:t>
      </w:r>
      <w:r w:rsidRPr="005030FB">
        <w:rPr>
          <w:color w:val="000000"/>
        </w:rPr>
        <w:t xml:space="preserve">. The annual burden is 30 minutes per contract to assemble and transmit the conformance record to the contracting agency for a total annual burden of </w:t>
      </w:r>
      <w:r w:rsidR="008E4738">
        <w:rPr>
          <w:color w:val="000000"/>
        </w:rPr>
        <w:t>7</w:t>
      </w:r>
      <w:r w:rsidR="0006041B">
        <w:rPr>
          <w:color w:val="000000"/>
        </w:rPr>
        <w:t xml:space="preserve">1 </w:t>
      </w:r>
      <w:r w:rsidRPr="005030FB">
        <w:rPr>
          <w:color w:val="000000"/>
        </w:rPr>
        <w:t>hours</w:t>
      </w:r>
      <w:r w:rsidR="0006041B">
        <w:rPr>
          <w:color w:val="000000"/>
        </w:rPr>
        <w:t xml:space="preserve"> (rounded)</w:t>
      </w:r>
      <w:r w:rsidRPr="005030FB">
        <w:rPr>
          <w:color w:val="000000"/>
        </w:rPr>
        <w:t xml:space="preserve">. These estimates are based on workload in processing conformance actions. This burden </w:t>
      </w:r>
      <w:r w:rsidRPr="005030FB">
        <w:rPr>
          <w:color w:val="000000"/>
        </w:rPr>
        <w:t>estimate</w:t>
      </w:r>
      <w:r w:rsidRPr="005030FB">
        <w:rPr>
          <w:color w:val="000000"/>
        </w:rPr>
        <w:t xml:space="preserve"> includes burden </w:t>
      </w:r>
      <w:r w:rsidRPr="005030FB">
        <w:rPr>
          <w:color w:val="000000"/>
        </w:rPr>
        <w:t>to</w:t>
      </w:r>
      <w:r w:rsidRPr="005030FB">
        <w:rPr>
          <w:color w:val="000000"/>
        </w:rPr>
        <w:t xml:space="preserve"> the contractor and any employees of the contractor. For burden to the contracting agency, if any, </w:t>
      </w:r>
      <w:r w:rsidRPr="00C827AA">
        <w:rPr>
          <w:i/>
          <w:iCs/>
          <w:color w:val="000000"/>
        </w:rPr>
        <w:t>see</w:t>
      </w:r>
      <w:r w:rsidRPr="005030FB">
        <w:rPr>
          <w:color w:val="000000"/>
        </w:rPr>
        <w:t xml:space="preserve"> federal costs </w:t>
      </w:r>
      <w:r w:rsidR="0083104D">
        <w:rPr>
          <w:color w:val="000000"/>
        </w:rPr>
        <w:t>in Item 14</w:t>
      </w:r>
      <w:r w:rsidRPr="005030FB">
        <w:rPr>
          <w:color w:val="000000"/>
        </w:rPr>
        <w:t>.</w:t>
      </w:r>
    </w:p>
    <w:p w:rsidR="000C387F" w:rsidP="0006041B" w14:paraId="6D4F3113" w14:textId="5BE72DDA">
      <w:pPr>
        <w:widowControl/>
        <w:ind w:left="360"/>
        <w:rPr>
          <w:color w:val="000000"/>
        </w:rPr>
      </w:pPr>
      <w:r w:rsidRPr="005030FB">
        <w:rPr>
          <w:color w:val="000000"/>
        </w:rPr>
        <w:t xml:space="preserve">Annual burden: </w:t>
      </w:r>
      <w:r w:rsidR="00B834B8">
        <w:rPr>
          <w:color w:val="000000"/>
        </w:rPr>
        <w:t>141</w:t>
      </w:r>
      <w:r w:rsidRPr="005030FB" w:rsidR="00B834B8">
        <w:rPr>
          <w:color w:val="000000"/>
        </w:rPr>
        <w:t xml:space="preserve"> </w:t>
      </w:r>
      <w:r w:rsidRPr="005030FB">
        <w:rPr>
          <w:color w:val="000000"/>
        </w:rPr>
        <w:t xml:space="preserve">contracts × 1 response </w:t>
      </w:r>
      <w:r w:rsidR="00A25CB0">
        <w:rPr>
          <w:color w:val="000000"/>
        </w:rPr>
        <w:t>×</w:t>
      </w:r>
      <w:r w:rsidRPr="005030FB">
        <w:rPr>
          <w:color w:val="000000"/>
        </w:rPr>
        <w:t xml:space="preserve"> 30 minutes ÷ 60 minutes = </w:t>
      </w:r>
      <w:r w:rsidR="0006041B">
        <w:rPr>
          <w:color w:val="000000"/>
        </w:rPr>
        <w:t>71</w:t>
      </w:r>
      <w:r w:rsidRPr="005030FB" w:rsidR="008E4738">
        <w:rPr>
          <w:color w:val="000000"/>
        </w:rPr>
        <w:t xml:space="preserve"> </w:t>
      </w:r>
      <w:r w:rsidRPr="005030FB">
        <w:rPr>
          <w:color w:val="000000"/>
        </w:rPr>
        <w:t>hours</w:t>
      </w:r>
      <w:r w:rsidR="0006041B">
        <w:rPr>
          <w:color w:val="000000"/>
        </w:rPr>
        <w:t xml:space="preserve"> (rounded)</w:t>
      </w:r>
      <w:r w:rsidRPr="005030FB">
        <w:rPr>
          <w:color w:val="000000"/>
        </w:rPr>
        <w:t>.</w:t>
      </w:r>
      <w:r>
        <w:rPr>
          <w:rStyle w:val="FootnoteReference"/>
          <w:color w:val="000000"/>
        </w:rPr>
        <w:footnoteReference w:id="4"/>
      </w:r>
    </w:p>
    <w:p w:rsidR="000C387F" w:rsidRPr="00C56424" w:rsidP="002A1F31" w14:paraId="121A98EC" w14:textId="5F8710F2">
      <w:pPr>
        <w:pStyle w:val="Heading3"/>
        <w:numPr>
          <w:ilvl w:val="0"/>
          <w:numId w:val="7"/>
        </w:numPr>
      </w:pPr>
      <w:r w:rsidRPr="00C56424">
        <w:t>Indexing Costs</w:t>
      </w:r>
    </w:p>
    <w:p w:rsidR="000C387F" w:rsidP="000C387F" w14:paraId="21694252" w14:textId="77777777">
      <w:pPr>
        <w:widowControl/>
        <w:rPr>
          <w:color w:val="000000"/>
        </w:rPr>
      </w:pPr>
      <w:r>
        <w:rPr>
          <w:color w:val="000000"/>
        </w:rPr>
        <w:t xml:space="preserve">As noted earlier, in a case where a contract succeeds a contract under which a class was previously conformed, the contractor may use a procedure known as indexing to determine a </w:t>
      </w:r>
      <w:r>
        <w:rPr>
          <w:color w:val="000000"/>
        </w:rPr>
        <w:t>new wage rate for a previously conformed class. This procedure does not require Department approval but requires the contractor to notify the contracting agency in writing that the previously conformed class has been indexed and to include information describing how the new rate was computed.</w:t>
      </w:r>
    </w:p>
    <w:p w:rsidR="000C387F" w:rsidRPr="005030FB" w:rsidP="00B834B8" w14:paraId="5E21FA2F" w14:textId="1FDC101D">
      <w:pPr>
        <w:widowControl/>
        <w:rPr>
          <w:color w:val="000000"/>
        </w:rPr>
      </w:pPr>
      <w:r w:rsidRPr="005030FB">
        <w:rPr>
          <w:color w:val="000000"/>
        </w:rPr>
        <w:t>The Department estimates that 20% of the annual conformed contracts are subject to indexing.</w:t>
      </w:r>
    </w:p>
    <w:p w:rsidR="000C387F" w:rsidRPr="005030FB" w:rsidP="000C387F" w14:paraId="5887D855" w14:textId="0EA56A65">
      <w:pPr>
        <w:widowControl/>
        <w:ind w:firstLine="360"/>
        <w:rPr>
          <w:color w:val="000000"/>
        </w:rPr>
      </w:pPr>
      <w:r>
        <w:rPr>
          <w:color w:val="000000"/>
        </w:rPr>
        <w:t>141</w:t>
      </w:r>
      <w:r w:rsidRPr="005030FB">
        <w:rPr>
          <w:color w:val="000000"/>
        </w:rPr>
        <w:t xml:space="preserve"> </w:t>
      </w:r>
      <w:r w:rsidRPr="005030FB">
        <w:rPr>
          <w:color w:val="000000"/>
        </w:rPr>
        <w:t>contracts × 20</w:t>
      </w:r>
      <w:r w:rsidRPr="005030FB">
        <w:rPr>
          <w:color w:val="000000"/>
        </w:rPr>
        <w:t xml:space="preserve">% = </w:t>
      </w:r>
      <w:r w:rsidR="00A9103D">
        <w:rPr>
          <w:color w:val="000000"/>
        </w:rPr>
        <w:t>28</w:t>
      </w:r>
      <w:r w:rsidRPr="005030FB">
        <w:rPr>
          <w:color w:val="000000"/>
        </w:rPr>
        <w:t xml:space="preserve"> contracts (rounde</w:t>
      </w:r>
      <w:r w:rsidR="00764359">
        <w:rPr>
          <w:color w:val="000000"/>
        </w:rPr>
        <w:t>d).</w:t>
      </w:r>
      <w:r w:rsidRPr="005030FB">
        <w:rPr>
          <w:color w:val="000000"/>
        </w:rPr>
        <w:t xml:space="preserve"> </w:t>
      </w:r>
    </w:p>
    <w:p w:rsidR="000C387F" w:rsidRPr="005030FB" w:rsidP="000C387F" w14:paraId="6E8306FF" w14:textId="77777777">
      <w:pPr>
        <w:widowControl/>
        <w:rPr>
          <w:color w:val="000000"/>
        </w:rPr>
      </w:pPr>
      <w:r w:rsidRPr="005030FB">
        <w:rPr>
          <w:color w:val="000000"/>
        </w:rPr>
        <w:t>Due to the dynamic changing rates and mathematical computations, approximately two hours of time is required to complete the indexing procedure and notify the contracting agency in writing.</w:t>
      </w:r>
    </w:p>
    <w:p w:rsidR="000C387F" w:rsidRPr="005030FB" w:rsidP="000C387F" w14:paraId="118C58AF" w14:textId="31F50560">
      <w:pPr>
        <w:widowControl/>
        <w:ind w:firstLine="360"/>
        <w:rPr>
          <w:color w:val="000000"/>
        </w:rPr>
      </w:pPr>
      <w:r w:rsidRPr="005030FB">
        <w:rPr>
          <w:color w:val="000000"/>
        </w:rPr>
        <w:t xml:space="preserve">Annual burden: </w:t>
      </w:r>
      <w:r w:rsidR="00A9103D">
        <w:rPr>
          <w:color w:val="000000"/>
        </w:rPr>
        <w:t>28</w:t>
      </w:r>
      <w:r w:rsidRPr="005030FB" w:rsidR="00A9103D">
        <w:rPr>
          <w:color w:val="000000"/>
        </w:rPr>
        <w:t xml:space="preserve"> </w:t>
      </w:r>
      <w:r w:rsidRPr="005030FB">
        <w:rPr>
          <w:color w:val="000000"/>
        </w:rPr>
        <w:t xml:space="preserve">contracts </w:t>
      </w:r>
      <w:r w:rsidR="00A25CB0">
        <w:rPr>
          <w:color w:val="000000"/>
        </w:rPr>
        <w:t>×</w:t>
      </w:r>
      <w:r w:rsidRPr="005030FB">
        <w:rPr>
          <w:color w:val="000000"/>
        </w:rPr>
        <w:t xml:space="preserve"> 1 response × 2 hours = </w:t>
      </w:r>
      <w:r w:rsidR="00FB6914">
        <w:rPr>
          <w:color w:val="000000"/>
        </w:rPr>
        <w:t>56</w:t>
      </w:r>
      <w:r w:rsidRPr="005030FB" w:rsidR="00FB6914">
        <w:rPr>
          <w:color w:val="000000"/>
        </w:rPr>
        <w:t xml:space="preserve"> </w:t>
      </w:r>
      <w:r w:rsidRPr="005030FB">
        <w:rPr>
          <w:color w:val="000000"/>
        </w:rPr>
        <w:t>hours</w:t>
      </w:r>
      <w:r w:rsidR="0022138B">
        <w:rPr>
          <w:color w:val="000000"/>
        </w:rPr>
        <w:t>.</w:t>
      </w:r>
    </w:p>
    <w:p w:rsidR="000B3BA8" w:rsidRPr="00C56424" w:rsidP="002A1F31" w14:paraId="4686150E" w14:textId="68DEEB50">
      <w:pPr>
        <w:pStyle w:val="Heading3"/>
        <w:numPr>
          <w:ilvl w:val="0"/>
          <w:numId w:val="0"/>
        </w:numPr>
        <w:ind w:left="720"/>
      </w:pPr>
      <w:r>
        <w:t>D</w:t>
      </w:r>
      <w:r w:rsidR="000C48A7">
        <w:t>.</w:t>
      </w:r>
      <w:r>
        <w:tab/>
      </w:r>
      <w:r w:rsidRPr="00C56424" w:rsidR="000C387F">
        <w:t xml:space="preserve">Collective Bargaining Agreements </w:t>
      </w:r>
    </w:p>
    <w:p w:rsidR="000C387F" w:rsidRPr="005030FB" w:rsidP="00CE25E6" w14:paraId="4ACF1DCD" w14:textId="5862F303">
      <w:pPr>
        <w:widowControl/>
        <w:rPr>
          <w:color w:val="000000"/>
        </w:rPr>
      </w:pPr>
      <w:r>
        <w:rPr>
          <w:color w:val="000000"/>
        </w:rPr>
        <w:t xml:space="preserve">In </w:t>
      </w:r>
      <w:r w:rsidR="000B3BA8">
        <w:rPr>
          <w:color w:val="000000"/>
        </w:rPr>
        <w:t>FY</w:t>
      </w:r>
      <w:r>
        <w:rPr>
          <w:color w:val="000000"/>
        </w:rPr>
        <w:t xml:space="preserve"> 2024,</w:t>
      </w:r>
      <w:r w:rsidRPr="005030FB">
        <w:rPr>
          <w:color w:val="000000"/>
        </w:rPr>
        <w:t xml:space="preserve"> contracting agencies receive</w:t>
      </w:r>
      <w:r>
        <w:rPr>
          <w:color w:val="000000"/>
        </w:rPr>
        <w:t>d</w:t>
      </w:r>
      <w:r w:rsidRPr="005030FB">
        <w:rPr>
          <w:color w:val="000000"/>
        </w:rPr>
        <w:t xml:space="preserve"> 1,0</w:t>
      </w:r>
      <w:r>
        <w:rPr>
          <w:color w:val="000000"/>
        </w:rPr>
        <w:t>90</w:t>
      </w:r>
      <w:r w:rsidRPr="005030FB">
        <w:rPr>
          <w:color w:val="000000"/>
        </w:rPr>
        <w:t xml:space="preserve"> CBAs annually. Based on workload, the transmitting of each CBA by the contractor to the contracting agency takes approximately five minutes, for a total annual burden of approximately 83 hours (rounded).</w:t>
      </w:r>
    </w:p>
    <w:p w:rsidR="000C387F" w:rsidRPr="00CE25E6" w:rsidP="000C387F" w14:paraId="39747FAD" w14:textId="6711A90E">
      <w:pPr>
        <w:widowControl/>
        <w:ind w:firstLine="270"/>
        <w:rPr>
          <w:b/>
          <w:bCs/>
          <w:color w:val="000000" w:themeColor="text1"/>
        </w:rPr>
      </w:pPr>
      <w:r w:rsidRPr="005030FB">
        <w:rPr>
          <w:color w:val="000000" w:themeColor="text1"/>
        </w:rPr>
        <w:t>Annual burden: 1,0</w:t>
      </w:r>
      <w:r>
        <w:rPr>
          <w:color w:val="000000" w:themeColor="text1"/>
        </w:rPr>
        <w:t>90</w:t>
      </w:r>
      <w:r w:rsidRPr="005030FB">
        <w:rPr>
          <w:color w:val="000000" w:themeColor="text1"/>
        </w:rPr>
        <w:t xml:space="preserve"> CBAs </w:t>
      </w:r>
      <w:r w:rsidR="00A25CB0">
        <w:rPr>
          <w:color w:val="000000"/>
        </w:rPr>
        <w:t>×</w:t>
      </w:r>
      <w:r w:rsidRPr="005030FB">
        <w:rPr>
          <w:color w:val="000000" w:themeColor="text1"/>
        </w:rPr>
        <w:t xml:space="preserve"> 1 response × 5 minutes ÷ 60 minutes = </w:t>
      </w:r>
      <w:r w:rsidR="007138C9">
        <w:rPr>
          <w:color w:val="000000" w:themeColor="text1"/>
        </w:rPr>
        <w:t xml:space="preserve">91 </w:t>
      </w:r>
      <w:r w:rsidRPr="005030FB">
        <w:rPr>
          <w:color w:val="000000" w:themeColor="text1"/>
        </w:rPr>
        <w:t>hours (rounded).</w:t>
      </w:r>
    </w:p>
    <w:p w:rsidR="009F3BAF" w:rsidRPr="00CE25E6" w:rsidP="00CE25E6" w14:paraId="439A739A" w14:textId="4F82592B">
      <w:pPr>
        <w:widowControl/>
        <w:ind w:left="270"/>
        <w:rPr>
          <w:b/>
          <w:bCs/>
          <w:color w:val="000000"/>
        </w:rPr>
      </w:pPr>
      <w:r w:rsidRPr="3D1642A1">
        <w:rPr>
          <w:b/>
          <w:bCs/>
          <w:color w:val="000000" w:themeColor="text1"/>
        </w:rPr>
        <w:t xml:space="preserve">Total Annual Burden Hours: </w:t>
      </w:r>
      <w:r w:rsidR="00701052">
        <w:rPr>
          <w:b/>
          <w:bCs/>
          <w:color w:val="000000" w:themeColor="text1"/>
        </w:rPr>
        <w:t>127,389</w:t>
      </w:r>
      <w:r w:rsidR="00FC37A8">
        <w:rPr>
          <w:color w:val="000000" w:themeColor="text1"/>
        </w:rPr>
        <w:t xml:space="preserve"> </w:t>
      </w:r>
      <w:r w:rsidRPr="3D1642A1">
        <w:rPr>
          <w:b/>
          <w:bCs/>
          <w:color w:val="000000" w:themeColor="text1"/>
        </w:rPr>
        <w:t xml:space="preserve">+ </w:t>
      </w:r>
      <w:r w:rsidRPr="3D1642A1" w:rsidR="007742BF">
        <w:rPr>
          <w:b/>
          <w:bCs/>
          <w:color w:val="000000" w:themeColor="text1"/>
        </w:rPr>
        <w:t>7</w:t>
      </w:r>
      <w:r w:rsidRPr="3D1642A1" w:rsidR="0022138B">
        <w:rPr>
          <w:b/>
          <w:bCs/>
          <w:color w:val="000000" w:themeColor="text1"/>
        </w:rPr>
        <w:t>1</w:t>
      </w:r>
      <w:r w:rsidRPr="3D1642A1">
        <w:rPr>
          <w:b/>
          <w:bCs/>
          <w:color w:val="000000" w:themeColor="text1"/>
        </w:rPr>
        <w:t xml:space="preserve"> + </w:t>
      </w:r>
      <w:r w:rsidRPr="3D1642A1" w:rsidR="007742BF">
        <w:rPr>
          <w:b/>
          <w:bCs/>
          <w:color w:val="000000" w:themeColor="text1"/>
        </w:rPr>
        <w:t>56</w:t>
      </w:r>
      <w:r w:rsidRPr="3D1642A1">
        <w:rPr>
          <w:b/>
          <w:bCs/>
          <w:color w:val="000000" w:themeColor="text1"/>
        </w:rPr>
        <w:t xml:space="preserve"> + </w:t>
      </w:r>
      <w:r w:rsidRPr="3D1642A1" w:rsidR="007742BF">
        <w:rPr>
          <w:b/>
          <w:bCs/>
          <w:color w:val="000000" w:themeColor="text1"/>
        </w:rPr>
        <w:t>91</w:t>
      </w:r>
      <w:r w:rsidRPr="3D1642A1">
        <w:rPr>
          <w:b/>
          <w:bCs/>
          <w:color w:val="000000" w:themeColor="text1"/>
        </w:rPr>
        <w:t xml:space="preserve"> = </w:t>
      </w:r>
      <w:r w:rsidR="00C0166F">
        <w:rPr>
          <w:b/>
          <w:bCs/>
          <w:color w:val="000000" w:themeColor="text1"/>
        </w:rPr>
        <w:t>127,607</w:t>
      </w:r>
      <w:r w:rsidRPr="3D1642A1" w:rsidR="005F30D9">
        <w:rPr>
          <w:b/>
          <w:bCs/>
          <w:color w:val="000000" w:themeColor="text1"/>
        </w:rPr>
        <w:t xml:space="preserve"> </w:t>
      </w:r>
      <w:r w:rsidRPr="3D1642A1">
        <w:rPr>
          <w:b/>
          <w:bCs/>
          <w:color w:val="000000" w:themeColor="text1"/>
        </w:rPr>
        <w:t>hours.</w:t>
      </w:r>
    </w:p>
    <w:p w:rsidR="000C387F" w:rsidP="000C387F" w14:paraId="6801F7F3" w14:textId="4AA215B2">
      <w:pPr>
        <w:widowControl/>
        <w:rPr>
          <w:b/>
          <w:color w:val="000000"/>
        </w:rPr>
      </w:pPr>
      <w:r>
        <w:rPr>
          <w:color w:val="000000"/>
        </w:rPr>
        <w:t xml:space="preserve">Without specific wage data regarding respondents, the Department used the average hourly earnings of </w:t>
      </w:r>
      <w:r w:rsidR="0063370F">
        <w:rPr>
          <w:color w:val="000000"/>
        </w:rPr>
        <w:t xml:space="preserve">production or nonsupervisory </w:t>
      </w:r>
      <w:r>
        <w:rPr>
          <w:color w:val="000000"/>
        </w:rPr>
        <w:t xml:space="preserve">employees in private, service-providing industries, which was </w:t>
      </w:r>
      <w:bookmarkStart w:id="0" w:name="_Hlk214445336"/>
      <w:r>
        <w:rPr>
          <w:color w:val="000000"/>
        </w:rPr>
        <w:t>$3</w:t>
      </w:r>
      <w:r w:rsidR="001550B5">
        <w:rPr>
          <w:color w:val="000000"/>
        </w:rPr>
        <w:t>1</w:t>
      </w:r>
      <w:r>
        <w:rPr>
          <w:color w:val="000000"/>
        </w:rPr>
        <w:t>.</w:t>
      </w:r>
      <w:bookmarkEnd w:id="0"/>
      <w:r w:rsidR="008A33F3">
        <w:rPr>
          <w:color w:val="000000"/>
        </w:rPr>
        <w:t xml:space="preserve">29 </w:t>
      </w:r>
      <w:r>
        <w:rPr>
          <w:color w:val="000000"/>
        </w:rPr>
        <w:t xml:space="preserve">in </w:t>
      </w:r>
      <w:r w:rsidR="001550B5">
        <w:rPr>
          <w:color w:val="000000"/>
        </w:rPr>
        <w:t xml:space="preserve">September </w:t>
      </w:r>
      <w:r w:rsidR="00924030">
        <w:rPr>
          <w:color w:val="000000"/>
        </w:rPr>
        <w:t>2025</w:t>
      </w:r>
      <w:r>
        <w:rPr>
          <w:color w:val="000000"/>
        </w:rPr>
        <w:t>, to estimate respondent costs.</w:t>
      </w:r>
      <w:r>
        <w:rPr>
          <w:rStyle w:val="FootnoteReference"/>
          <w:color w:val="000000"/>
        </w:rPr>
        <w:footnoteReference w:id="5"/>
      </w:r>
      <w:r>
        <w:rPr>
          <w:color w:val="000000"/>
        </w:rPr>
        <w:t xml:space="preserve"> In addition, the </w:t>
      </w:r>
      <w:r w:rsidRPr="004D459E">
        <w:rPr>
          <w:color w:val="000000"/>
        </w:rPr>
        <w:t>Department estimates an additional benefits cost of 4</w:t>
      </w:r>
      <w:r w:rsidRPr="004D459E" w:rsidR="00095ABC">
        <w:rPr>
          <w:color w:val="000000"/>
        </w:rPr>
        <w:t>2</w:t>
      </w:r>
      <w:r w:rsidRPr="004D459E">
        <w:rPr>
          <w:color w:val="000000"/>
        </w:rPr>
        <w:t>%</w:t>
      </w:r>
      <w:r>
        <w:rPr>
          <w:rStyle w:val="FootnoteReference"/>
        </w:rPr>
        <w:footnoteReference w:id="6"/>
      </w:r>
      <w:r>
        <w:rPr>
          <w:color w:val="000000"/>
        </w:rPr>
        <w:t xml:space="preserve"> and an overhead cost of 17% of average hourly earnings.</w:t>
      </w:r>
    </w:p>
    <w:p w:rsidR="00E673D2" w:rsidRPr="002C77FC" w:rsidP="00F056BD" w14:paraId="0EF945C3" w14:textId="471A2F65">
      <w:pPr>
        <w:widowControl/>
        <w:tabs>
          <w:tab w:val="left" w:pos="0"/>
        </w:tabs>
        <w:spacing w:after="0"/>
        <w:ind w:firstLine="360"/>
        <w:rPr>
          <w:bCs/>
          <w:color w:val="000000"/>
        </w:rPr>
      </w:pPr>
      <w:r w:rsidRPr="002C77FC">
        <w:rPr>
          <w:color w:val="000000"/>
        </w:rPr>
        <w:t>$31.2</w:t>
      </w:r>
      <w:r w:rsidRPr="002C77FC" w:rsidR="008A33F3">
        <w:rPr>
          <w:color w:val="000000"/>
        </w:rPr>
        <w:t>9</w:t>
      </w:r>
      <w:r w:rsidRPr="002C77FC" w:rsidR="00A25CB0">
        <w:rPr>
          <w:color w:val="000000"/>
        </w:rPr>
        <w:t xml:space="preserve"> </w:t>
      </w:r>
      <w:r w:rsidRPr="002C77FC">
        <w:rPr>
          <w:color w:val="000000"/>
        </w:rPr>
        <w:t>×</w:t>
      </w:r>
      <w:r w:rsidRPr="002C77FC">
        <w:rPr>
          <w:bCs/>
          <w:color w:val="000000"/>
        </w:rPr>
        <w:t xml:space="preserve"> 4</w:t>
      </w:r>
      <w:r w:rsidRPr="002C77FC" w:rsidR="00095ABC">
        <w:rPr>
          <w:bCs/>
          <w:color w:val="000000"/>
        </w:rPr>
        <w:t>2</w:t>
      </w:r>
      <w:r w:rsidRPr="002C77FC">
        <w:rPr>
          <w:bCs/>
          <w:color w:val="000000"/>
        </w:rPr>
        <w:t>% = $</w:t>
      </w:r>
      <w:r w:rsidRPr="002C77FC" w:rsidR="00484527">
        <w:rPr>
          <w:bCs/>
          <w:color w:val="000000"/>
        </w:rPr>
        <w:t>1</w:t>
      </w:r>
      <w:r w:rsidRPr="002C77FC" w:rsidR="00CE7F92">
        <w:rPr>
          <w:bCs/>
          <w:color w:val="000000"/>
        </w:rPr>
        <w:t>3.</w:t>
      </w:r>
      <w:r w:rsidRPr="002C77FC" w:rsidR="002C77FC">
        <w:rPr>
          <w:bCs/>
          <w:color w:val="000000"/>
        </w:rPr>
        <w:t>14</w:t>
      </w:r>
    </w:p>
    <w:p w:rsidR="00C56424" w:rsidRPr="00F056BD" w:rsidP="00F056BD" w14:paraId="5BDAD1B3" w14:textId="52D37EA6">
      <w:pPr>
        <w:widowControl/>
        <w:ind w:left="-86" w:firstLine="446"/>
        <w:rPr>
          <w:bCs/>
          <w:color w:val="000000"/>
        </w:rPr>
      </w:pPr>
      <w:r w:rsidRPr="002F5520">
        <w:rPr>
          <w:color w:val="000000"/>
        </w:rPr>
        <w:t>$31.2</w:t>
      </w:r>
      <w:r w:rsidRPr="002F5520" w:rsidR="008A33F3">
        <w:rPr>
          <w:color w:val="000000"/>
        </w:rPr>
        <w:t>9</w:t>
      </w:r>
      <w:r w:rsidRPr="002F5520" w:rsidR="00E673D2">
        <w:rPr>
          <w:bCs/>
          <w:color w:val="000000"/>
        </w:rPr>
        <w:t xml:space="preserve"> </w:t>
      </w:r>
      <w:r w:rsidRPr="002F5520" w:rsidR="00E673D2">
        <w:rPr>
          <w:color w:val="000000"/>
        </w:rPr>
        <w:t>×</w:t>
      </w:r>
      <w:r w:rsidRPr="002F5520" w:rsidR="00E673D2">
        <w:rPr>
          <w:bCs/>
          <w:color w:val="000000"/>
        </w:rPr>
        <w:t xml:space="preserve"> 17% = $</w:t>
      </w:r>
      <w:r w:rsidRPr="002F5520" w:rsidR="00484527">
        <w:rPr>
          <w:bCs/>
          <w:color w:val="000000"/>
        </w:rPr>
        <w:t>5.</w:t>
      </w:r>
      <w:r w:rsidRPr="002F5520" w:rsidR="00324135">
        <w:rPr>
          <w:bCs/>
          <w:color w:val="000000"/>
        </w:rPr>
        <w:t>32</w:t>
      </w:r>
    </w:p>
    <w:p w:rsidR="00070C6B" w:rsidRPr="00F056BD" w:rsidP="00F056BD" w14:paraId="0D7C3842" w14:textId="4EBDBB5E">
      <w:pPr>
        <w:widowControl/>
        <w:ind w:firstLine="360"/>
        <w:rPr>
          <w:b/>
          <w:color w:val="000000"/>
          <w:highlight w:val="yellow"/>
        </w:rPr>
      </w:pPr>
      <w:r w:rsidRPr="00E607E8">
        <w:rPr>
          <w:b/>
          <w:color w:val="000000"/>
        </w:rPr>
        <w:t xml:space="preserve">Total Hourly Wage Rate: </w:t>
      </w:r>
      <w:r w:rsidRPr="00E607E8" w:rsidR="00484527">
        <w:rPr>
          <w:b/>
          <w:color w:val="000000"/>
        </w:rPr>
        <w:t>$</w:t>
      </w:r>
      <w:r w:rsidRPr="00E607E8" w:rsidR="009B0BF7">
        <w:rPr>
          <w:b/>
          <w:color w:val="000000"/>
        </w:rPr>
        <w:t>31.</w:t>
      </w:r>
      <w:r w:rsidRPr="00E607E8" w:rsidR="00324135">
        <w:rPr>
          <w:b/>
          <w:color w:val="000000"/>
        </w:rPr>
        <w:t>29</w:t>
      </w:r>
      <w:r w:rsidRPr="00E607E8" w:rsidR="00324135">
        <w:rPr>
          <w:color w:val="000000"/>
        </w:rPr>
        <w:t xml:space="preserve"> </w:t>
      </w:r>
      <w:r w:rsidRPr="00E607E8" w:rsidR="00484527">
        <w:rPr>
          <w:b/>
          <w:color w:val="000000"/>
        </w:rPr>
        <w:t xml:space="preserve">+ </w:t>
      </w:r>
      <w:r w:rsidRPr="00E607E8" w:rsidR="00DE6E0F">
        <w:rPr>
          <w:b/>
          <w:color w:val="000000"/>
        </w:rPr>
        <w:t>$</w:t>
      </w:r>
      <w:r w:rsidRPr="00E607E8" w:rsidR="00FE1F93">
        <w:rPr>
          <w:b/>
          <w:color w:val="000000"/>
        </w:rPr>
        <w:t>13.14</w:t>
      </w:r>
      <w:r w:rsidRPr="00E607E8" w:rsidR="00DE6E0F">
        <w:rPr>
          <w:b/>
          <w:color w:val="000000"/>
        </w:rPr>
        <w:t xml:space="preserve"> + $</w:t>
      </w:r>
      <w:r w:rsidRPr="00E607E8" w:rsidR="005C2D4F">
        <w:rPr>
          <w:b/>
          <w:color w:val="000000"/>
        </w:rPr>
        <w:t>5.</w:t>
      </w:r>
      <w:r w:rsidRPr="00E607E8" w:rsidR="00324135">
        <w:rPr>
          <w:b/>
          <w:color w:val="000000"/>
        </w:rPr>
        <w:t xml:space="preserve">32 </w:t>
      </w:r>
      <w:r w:rsidRPr="00E607E8" w:rsidR="00DE6E0F">
        <w:rPr>
          <w:b/>
          <w:color w:val="000000"/>
        </w:rPr>
        <w:t>= $</w:t>
      </w:r>
      <w:r w:rsidRPr="00E607E8" w:rsidR="00E607E8">
        <w:rPr>
          <w:b/>
          <w:color w:val="000000"/>
        </w:rPr>
        <w:t>49.75</w:t>
      </w:r>
    </w:p>
    <w:p w:rsidR="008A01AE" w:rsidRPr="00580386" w:rsidP="00C56424" w14:paraId="66FAA41D" w14:textId="411A9D09">
      <w:pPr>
        <w:widowControl/>
        <w:tabs>
          <w:tab w:val="left" w:pos="90"/>
          <w:tab w:val="left" w:pos="180"/>
        </w:tabs>
        <w:ind w:left="360"/>
        <w:rPr>
          <w:b/>
          <w:color w:val="000000"/>
        </w:rPr>
      </w:pPr>
      <w:r w:rsidRPr="00BB5F59">
        <w:rPr>
          <w:b/>
          <w:bCs/>
          <w:color w:val="000000"/>
        </w:rPr>
        <w:t>DOL estimates total annual respondent costs for the value of their time to be $</w:t>
      </w:r>
      <w:r w:rsidRPr="00BB5F59" w:rsidR="00DE58E6">
        <w:rPr>
          <w:b/>
          <w:bCs/>
          <w:color w:val="000000"/>
        </w:rPr>
        <w:t>6,348</w:t>
      </w:r>
      <w:r w:rsidRPr="00BB5F59" w:rsidR="00BB5F59">
        <w:rPr>
          <w:b/>
          <w:bCs/>
          <w:color w:val="000000"/>
        </w:rPr>
        <w:t>,448.25</w:t>
      </w:r>
      <w:r w:rsidRPr="00BB5F59">
        <w:rPr>
          <w:b/>
          <w:bCs/>
          <w:color w:val="000000"/>
        </w:rPr>
        <w:t xml:space="preserve"> (</w:t>
      </w:r>
      <w:r w:rsidRPr="00BB5F59" w:rsidR="00E93CEE">
        <w:rPr>
          <w:b/>
          <w:bCs/>
          <w:color w:val="000000"/>
        </w:rPr>
        <w:t>127,607</w:t>
      </w:r>
      <w:r w:rsidRPr="00BB5F59" w:rsidR="00F103F1">
        <w:rPr>
          <w:b/>
          <w:bCs/>
          <w:color w:val="000000"/>
        </w:rPr>
        <w:t xml:space="preserve"> hours</w:t>
      </w:r>
      <w:r w:rsidRPr="00BB5F59" w:rsidR="00F103F1">
        <w:rPr>
          <w:b/>
          <w:bCs/>
          <w:color w:val="000000"/>
        </w:rPr>
        <w:t xml:space="preserve"> </w:t>
      </w:r>
      <w:r w:rsidRPr="00BB5F59" w:rsidR="00F103F1">
        <w:rPr>
          <w:color w:val="000000"/>
        </w:rPr>
        <w:t>×</w:t>
      </w:r>
      <w:r w:rsidRPr="00BB5F59">
        <w:rPr>
          <w:b/>
          <w:bCs/>
          <w:color w:val="000000"/>
        </w:rPr>
        <w:t xml:space="preserve"> </w:t>
      </w:r>
      <w:r w:rsidRPr="00BB5F59" w:rsidR="00F103F1">
        <w:rPr>
          <w:b/>
          <w:color w:val="000000"/>
        </w:rPr>
        <w:t>$</w:t>
      </w:r>
      <w:r w:rsidRPr="00BB5F59" w:rsidR="00E607E8">
        <w:rPr>
          <w:b/>
          <w:color w:val="000000"/>
        </w:rPr>
        <w:t>49.75</w:t>
      </w:r>
      <w:r w:rsidRPr="00BB5F59" w:rsidR="00F103F1">
        <w:rPr>
          <w:b/>
          <w:bCs/>
          <w:color w:val="000000"/>
        </w:rPr>
        <w:t>)</w:t>
      </w:r>
    </w:p>
    <w:tbl>
      <w:tblPr>
        <w:tblW w:w="11266"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9"/>
        <w:gridCol w:w="1291"/>
        <w:gridCol w:w="1343"/>
        <w:gridCol w:w="1511"/>
        <w:gridCol w:w="1338"/>
        <w:gridCol w:w="1656"/>
        <w:gridCol w:w="955"/>
        <w:gridCol w:w="1853"/>
      </w:tblGrid>
      <w:tr w14:paraId="31971F66" w14:textId="77777777" w:rsidTr="004F04A9">
        <w:tblPrEx>
          <w:tblW w:w="11266"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0"/>
        </w:trPr>
        <w:tc>
          <w:tcPr>
            <w:tcW w:w="131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E60FB0" w:rsidP="003F3CE2" w14:paraId="026DFAEE" w14:textId="77777777">
            <w:pPr>
              <w:spacing w:line="276" w:lineRule="auto"/>
              <w:jc w:val="center"/>
              <w:rPr>
                <w:b/>
                <w:sz w:val="22"/>
                <w:szCs w:val="22"/>
              </w:rPr>
            </w:pPr>
            <w:r w:rsidRPr="00E60FB0">
              <w:rPr>
                <w:b/>
                <w:sz w:val="22"/>
                <w:szCs w:val="22"/>
              </w:rPr>
              <w:t>Activity</w:t>
            </w:r>
          </w:p>
        </w:tc>
        <w:tc>
          <w:tcPr>
            <w:tcW w:w="129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E60FB0" w:rsidP="003F3CE2" w14:paraId="50403242" w14:textId="77777777">
            <w:pPr>
              <w:spacing w:line="276" w:lineRule="auto"/>
              <w:jc w:val="center"/>
              <w:rPr>
                <w:b/>
                <w:sz w:val="22"/>
                <w:szCs w:val="22"/>
              </w:rPr>
            </w:pPr>
            <w:r w:rsidRPr="00F935EE">
              <w:rPr>
                <w:b/>
                <w:sz w:val="22"/>
                <w:szCs w:val="22"/>
              </w:rPr>
              <w:t>No.</w:t>
            </w:r>
            <w:r w:rsidRPr="00E60FB0">
              <w:rPr>
                <w:b/>
                <w:sz w:val="22"/>
                <w:szCs w:val="22"/>
              </w:rPr>
              <w:t xml:space="preserve"> of Respondents</w:t>
            </w:r>
          </w:p>
        </w:tc>
        <w:tc>
          <w:tcPr>
            <w:tcW w:w="1343" w:type="dxa"/>
            <w:tcBorders>
              <w:top w:val="single" w:sz="4" w:space="0" w:color="auto"/>
              <w:left w:val="single" w:sz="4" w:space="0" w:color="auto"/>
              <w:bottom w:val="single" w:sz="4" w:space="0" w:color="auto"/>
              <w:right w:val="single" w:sz="4" w:space="0" w:color="auto"/>
            </w:tcBorders>
            <w:shd w:val="clear" w:color="auto" w:fill="8DB3E2"/>
            <w:vAlign w:val="center"/>
          </w:tcPr>
          <w:p w:rsidR="00AC0636" w:rsidRPr="00E60FB0" w:rsidP="00AD5C04" w14:paraId="3961D9DF" w14:textId="4D5BC806">
            <w:pPr>
              <w:spacing w:line="276" w:lineRule="auto"/>
              <w:jc w:val="center"/>
              <w:rPr>
                <w:b/>
                <w:sz w:val="22"/>
                <w:szCs w:val="22"/>
              </w:rPr>
            </w:pPr>
            <w:r w:rsidRPr="00E60FB0">
              <w:rPr>
                <w:b/>
                <w:sz w:val="22"/>
                <w:szCs w:val="22"/>
              </w:rPr>
              <w:t>No. of Responses per</w:t>
            </w:r>
            <w:r>
              <w:rPr>
                <w:b/>
                <w:sz w:val="22"/>
                <w:szCs w:val="22"/>
              </w:rPr>
              <w:t xml:space="preserve"> Respondent</w:t>
            </w:r>
          </w:p>
        </w:tc>
        <w:tc>
          <w:tcPr>
            <w:tcW w:w="151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E60FB0" w:rsidP="003F3CE2" w14:paraId="79F01281" w14:textId="77777777">
            <w:pPr>
              <w:spacing w:line="276" w:lineRule="auto"/>
              <w:jc w:val="center"/>
              <w:rPr>
                <w:b/>
                <w:sz w:val="22"/>
                <w:szCs w:val="22"/>
              </w:rPr>
            </w:pPr>
            <w:r w:rsidRPr="00E60FB0">
              <w:rPr>
                <w:b/>
                <w:sz w:val="22"/>
                <w:szCs w:val="22"/>
              </w:rPr>
              <w:t>Total Responses</w:t>
            </w:r>
          </w:p>
        </w:tc>
        <w:tc>
          <w:tcPr>
            <w:tcW w:w="133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E60FB0" w:rsidP="003F3CE2" w14:paraId="0A02DE8B" w14:textId="77777777">
            <w:pPr>
              <w:spacing w:line="276" w:lineRule="auto"/>
              <w:jc w:val="center"/>
              <w:rPr>
                <w:b/>
                <w:sz w:val="22"/>
                <w:szCs w:val="22"/>
              </w:rPr>
            </w:pPr>
            <w:r w:rsidRPr="006626FF">
              <w:rPr>
                <w:b/>
                <w:sz w:val="22"/>
                <w:szCs w:val="22"/>
              </w:rPr>
              <w:t>Average Burden (H</w:t>
            </w:r>
            <w:r w:rsidRPr="00E60FB0">
              <w:rPr>
                <w:b/>
                <w:sz w:val="22"/>
                <w:szCs w:val="22"/>
              </w:rPr>
              <w:t>our</w:t>
            </w:r>
            <w:r>
              <w:rPr>
                <w:b/>
                <w:sz w:val="22"/>
                <w:szCs w:val="22"/>
              </w:rPr>
              <w:t>s)</w:t>
            </w:r>
          </w:p>
        </w:tc>
        <w:tc>
          <w:tcPr>
            <w:tcW w:w="165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E60FB0" w:rsidP="003F3CE2" w14:paraId="2B2041C1" w14:textId="77777777">
            <w:pPr>
              <w:spacing w:line="276" w:lineRule="auto"/>
              <w:jc w:val="center"/>
              <w:rPr>
                <w:b/>
                <w:sz w:val="22"/>
                <w:szCs w:val="22"/>
              </w:rPr>
            </w:pPr>
            <w:r w:rsidRPr="00E60FB0">
              <w:rPr>
                <w:b/>
                <w:sz w:val="22"/>
                <w:szCs w:val="22"/>
              </w:rPr>
              <w:t>Total Burden (Hours)</w:t>
            </w:r>
          </w:p>
        </w:tc>
        <w:tc>
          <w:tcPr>
            <w:tcW w:w="95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E60FB0" w:rsidP="00AD5C04" w14:paraId="566DAD83" w14:textId="307E026A">
            <w:pPr>
              <w:spacing w:line="276" w:lineRule="auto"/>
              <w:jc w:val="center"/>
              <w:rPr>
                <w:b/>
                <w:sz w:val="22"/>
                <w:szCs w:val="22"/>
              </w:rPr>
            </w:pPr>
            <w:r w:rsidRPr="00E60FB0">
              <w:rPr>
                <w:b/>
                <w:sz w:val="22"/>
                <w:szCs w:val="22"/>
              </w:rPr>
              <w:t>Hourly</w:t>
            </w:r>
            <w:r w:rsidR="00AD5C04">
              <w:rPr>
                <w:b/>
                <w:sz w:val="22"/>
                <w:szCs w:val="22"/>
              </w:rPr>
              <w:t xml:space="preserve"> </w:t>
            </w:r>
            <w:r w:rsidRPr="00E60FB0">
              <w:rPr>
                <w:b/>
                <w:sz w:val="22"/>
                <w:szCs w:val="22"/>
              </w:rPr>
              <w:t>Wage Rate</w:t>
            </w:r>
          </w:p>
        </w:tc>
        <w:tc>
          <w:tcPr>
            <w:tcW w:w="18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E60FB0" w:rsidP="003F3CE2" w14:paraId="48A65EFE" w14:textId="77777777">
            <w:pPr>
              <w:spacing w:line="276" w:lineRule="auto"/>
              <w:jc w:val="center"/>
              <w:rPr>
                <w:b/>
                <w:sz w:val="22"/>
                <w:szCs w:val="22"/>
              </w:rPr>
            </w:pPr>
            <w:r w:rsidRPr="00E60FB0">
              <w:rPr>
                <w:b/>
                <w:sz w:val="22"/>
                <w:szCs w:val="22"/>
              </w:rPr>
              <w:t>Total Burden Cost</w:t>
            </w:r>
          </w:p>
        </w:tc>
      </w:tr>
      <w:tr w14:paraId="5D1B2369" w14:textId="77777777" w:rsidTr="004F04A9">
        <w:tblPrEx>
          <w:tblW w:w="11266" w:type="dxa"/>
          <w:tblInd w:w="-958" w:type="dxa"/>
          <w:tblLayout w:type="fixed"/>
          <w:tblLook w:val="04A0"/>
        </w:tblPrEx>
        <w:trPr>
          <w:trHeight w:val="1427"/>
        </w:trPr>
        <w:tc>
          <w:tcPr>
            <w:tcW w:w="1319" w:type="dxa"/>
            <w:tcBorders>
              <w:top w:val="single" w:sz="4" w:space="0" w:color="auto"/>
              <w:left w:val="single" w:sz="4" w:space="0" w:color="auto"/>
              <w:bottom w:val="single" w:sz="4" w:space="0" w:color="auto"/>
              <w:right w:val="single" w:sz="4" w:space="0" w:color="auto"/>
            </w:tcBorders>
            <w:vAlign w:val="bottom"/>
            <w:hideMark/>
          </w:tcPr>
          <w:p w:rsidR="00AC0636" w:rsidRPr="00E60FB0" w:rsidP="003F3CE2" w14:paraId="0D9C5FD4" w14:textId="4D9AA471">
            <w:pPr>
              <w:spacing w:line="276" w:lineRule="auto"/>
              <w:rPr>
                <w:sz w:val="22"/>
                <w:szCs w:val="22"/>
              </w:rPr>
            </w:pPr>
            <w:r>
              <w:rPr>
                <w:sz w:val="22"/>
                <w:szCs w:val="22"/>
              </w:rPr>
              <w:t>Vacation Benefit Seniority List</w:t>
            </w:r>
          </w:p>
        </w:tc>
        <w:tc>
          <w:tcPr>
            <w:tcW w:w="1291" w:type="dxa"/>
            <w:tcBorders>
              <w:top w:val="single" w:sz="4" w:space="0" w:color="auto"/>
              <w:left w:val="single" w:sz="4" w:space="0" w:color="auto"/>
              <w:bottom w:val="single" w:sz="4" w:space="0" w:color="auto"/>
              <w:right w:val="single" w:sz="4" w:space="0" w:color="auto"/>
            </w:tcBorders>
            <w:vAlign w:val="center"/>
          </w:tcPr>
          <w:p w:rsidR="00AC0636" w:rsidRPr="00E60FB0" w:rsidP="003F3CE2" w14:paraId="176E1D89" w14:textId="35074A46">
            <w:pPr>
              <w:spacing w:line="276" w:lineRule="auto"/>
              <w:jc w:val="center"/>
              <w:rPr>
                <w:sz w:val="22"/>
                <w:szCs w:val="22"/>
              </w:rPr>
            </w:pPr>
            <w:r>
              <w:rPr>
                <w:color w:val="000000"/>
              </w:rPr>
              <w:t>127,</w:t>
            </w:r>
            <w:r w:rsidR="00701052">
              <w:rPr>
                <w:color w:val="000000"/>
              </w:rPr>
              <w:t>389</w:t>
            </w:r>
          </w:p>
        </w:tc>
        <w:tc>
          <w:tcPr>
            <w:tcW w:w="1343" w:type="dxa"/>
            <w:tcBorders>
              <w:top w:val="single" w:sz="4" w:space="0" w:color="auto"/>
              <w:left w:val="single" w:sz="4" w:space="0" w:color="auto"/>
              <w:bottom w:val="single" w:sz="4" w:space="0" w:color="auto"/>
              <w:right w:val="single" w:sz="4" w:space="0" w:color="auto"/>
            </w:tcBorders>
            <w:vAlign w:val="center"/>
          </w:tcPr>
          <w:p w:rsidR="00AC0636" w:rsidRPr="00E60FB0" w:rsidP="003F3CE2" w14:paraId="383E7CC4" w14:textId="723AB38D">
            <w:pPr>
              <w:spacing w:line="276" w:lineRule="auto"/>
              <w:jc w:val="center"/>
              <w:rPr>
                <w:sz w:val="22"/>
                <w:szCs w:val="22"/>
              </w:rPr>
            </w:pPr>
            <w:r>
              <w:rPr>
                <w:sz w:val="22"/>
                <w:szCs w:val="22"/>
              </w:rPr>
              <w:t>1</w:t>
            </w:r>
          </w:p>
        </w:tc>
        <w:tc>
          <w:tcPr>
            <w:tcW w:w="1511" w:type="dxa"/>
            <w:tcBorders>
              <w:top w:val="single" w:sz="4" w:space="0" w:color="auto"/>
              <w:left w:val="single" w:sz="4" w:space="0" w:color="auto"/>
              <w:bottom w:val="single" w:sz="4" w:space="0" w:color="auto"/>
              <w:right w:val="single" w:sz="4" w:space="0" w:color="auto"/>
            </w:tcBorders>
            <w:vAlign w:val="center"/>
          </w:tcPr>
          <w:p w:rsidR="00AC0636" w:rsidRPr="00E60FB0" w:rsidP="003F3CE2" w14:paraId="0D50FED8" w14:textId="73B922DD">
            <w:pPr>
              <w:spacing w:line="276" w:lineRule="auto"/>
              <w:jc w:val="center"/>
              <w:rPr>
                <w:sz w:val="22"/>
                <w:szCs w:val="22"/>
              </w:rPr>
            </w:pPr>
            <w:r>
              <w:rPr>
                <w:color w:val="000000"/>
              </w:rPr>
              <w:t>127,</w:t>
            </w:r>
            <w:r w:rsidR="00701052">
              <w:rPr>
                <w:color w:val="000000"/>
              </w:rPr>
              <w:t>38</w:t>
            </w:r>
            <w:r>
              <w:rPr>
                <w:color w:val="000000"/>
              </w:rPr>
              <w:t>9</w:t>
            </w:r>
          </w:p>
        </w:tc>
        <w:tc>
          <w:tcPr>
            <w:tcW w:w="1338" w:type="dxa"/>
            <w:tcBorders>
              <w:top w:val="single" w:sz="4" w:space="0" w:color="auto"/>
              <w:left w:val="single" w:sz="4" w:space="0" w:color="auto"/>
              <w:bottom w:val="single" w:sz="4" w:space="0" w:color="auto"/>
              <w:right w:val="single" w:sz="4" w:space="0" w:color="auto"/>
            </w:tcBorders>
            <w:vAlign w:val="center"/>
          </w:tcPr>
          <w:p w:rsidR="00AC0636" w:rsidRPr="00E60FB0" w:rsidP="003F3CE2" w14:paraId="2E4909B9" w14:textId="293DE06B">
            <w:pPr>
              <w:spacing w:line="276" w:lineRule="auto"/>
              <w:jc w:val="center"/>
              <w:rPr>
                <w:sz w:val="22"/>
                <w:szCs w:val="22"/>
              </w:rPr>
            </w:pPr>
            <w:r>
              <w:rPr>
                <w:sz w:val="22"/>
                <w:szCs w:val="22"/>
              </w:rPr>
              <w:t>1 hour</w:t>
            </w:r>
          </w:p>
        </w:tc>
        <w:tc>
          <w:tcPr>
            <w:tcW w:w="1656" w:type="dxa"/>
            <w:tcBorders>
              <w:top w:val="single" w:sz="4" w:space="0" w:color="auto"/>
              <w:left w:val="single" w:sz="4" w:space="0" w:color="auto"/>
              <w:bottom w:val="single" w:sz="4" w:space="0" w:color="auto"/>
              <w:right w:val="single" w:sz="4" w:space="0" w:color="auto"/>
            </w:tcBorders>
            <w:vAlign w:val="center"/>
          </w:tcPr>
          <w:p w:rsidR="00AC0636" w:rsidRPr="00E60FB0" w:rsidP="003F3CE2" w14:paraId="7792A1ED" w14:textId="207B6469">
            <w:pPr>
              <w:spacing w:line="276" w:lineRule="auto"/>
              <w:jc w:val="center"/>
              <w:rPr>
                <w:sz w:val="22"/>
                <w:szCs w:val="22"/>
              </w:rPr>
            </w:pPr>
            <w:r>
              <w:rPr>
                <w:color w:val="000000"/>
              </w:rPr>
              <w:t>127,</w:t>
            </w:r>
            <w:r w:rsidR="00701052">
              <w:rPr>
                <w:color w:val="000000"/>
              </w:rPr>
              <w:t>38</w:t>
            </w:r>
            <w:r>
              <w:rPr>
                <w:color w:val="000000"/>
              </w:rPr>
              <w:t>9</w:t>
            </w:r>
            <w:r w:rsidR="001C1B84">
              <w:rPr>
                <w:color w:val="000000"/>
              </w:rPr>
              <w:t xml:space="preserve"> </w:t>
            </w:r>
            <w:r w:rsidR="00EC224D">
              <w:rPr>
                <w:color w:val="000000"/>
              </w:rPr>
              <w:t>hours</w:t>
            </w:r>
          </w:p>
        </w:tc>
        <w:tc>
          <w:tcPr>
            <w:tcW w:w="955" w:type="dxa"/>
            <w:tcBorders>
              <w:top w:val="single" w:sz="4" w:space="0" w:color="auto"/>
              <w:left w:val="single" w:sz="4" w:space="0" w:color="auto"/>
              <w:bottom w:val="single" w:sz="4" w:space="0" w:color="auto"/>
              <w:right w:val="single" w:sz="4" w:space="0" w:color="auto"/>
            </w:tcBorders>
            <w:vAlign w:val="center"/>
          </w:tcPr>
          <w:p w:rsidR="00AC0636" w:rsidRPr="00CE7F92" w:rsidP="003F3CE2" w14:paraId="70900141" w14:textId="38C7C7D1">
            <w:pPr>
              <w:spacing w:line="276" w:lineRule="auto"/>
              <w:jc w:val="center"/>
              <w:rPr>
                <w:bCs/>
                <w:sz w:val="22"/>
                <w:szCs w:val="22"/>
              </w:rPr>
            </w:pPr>
            <w:r w:rsidRPr="00CE7F92">
              <w:rPr>
                <w:bCs/>
                <w:color w:val="000000"/>
              </w:rPr>
              <w:t>$</w:t>
            </w:r>
            <w:r w:rsidR="00273C4E">
              <w:rPr>
                <w:bCs/>
                <w:color w:val="000000"/>
              </w:rPr>
              <w:t>49.75</w:t>
            </w:r>
          </w:p>
        </w:tc>
        <w:tc>
          <w:tcPr>
            <w:tcW w:w="1853" w:type="dxa"/>
            <w:tcBorders>
              <w:top w:val="single" w:sz="4" w:space="0" w:color="auto"/>
              <w:left w:val="single" w:sz="4" w:space="0" w:color="auto"/>
              <w:bottom w:val="single" w:sz="4" w:space="0" w:color="auto"/>
              <w:right w:val="single" w:sz="4" w:space="0" w:color="auto"/>
            </w:tcBorders>
            <w:vAlign w:val="center"/>
          </w:tcPr>
          <w:p w:rsidR="00AC0636" w:rsidRPr="007A5716" w:rsidP="003F3CE2" w14:paraId="3F09269D" w14:textId="39E6F231">
            <w:pPr>
              <w:spacing w:line="276" w:lineRule="auto"/>
              <w:jc w:val="center"/>
              <w:rPr>
                <w:sz w:val="22"/>
                <w:szCs w:val="22"/>
              </w:rPr>
            </w:pPr>
            <w:r w:rsidRPr="007A5716">
              <w:rPr>
                <w:sz w:val="22"/>
                <w:szCs w:val="22"/>
              </w:rPr>
              <w:t>$</w:t>
            </w:r>
            <w:r w:rsidRPr="007A5716" w:rsidR="00CC08B2">
              <w:rPr>
                <w:sz w:val="22"/>
                <w:szCs w:val="22"/>
              </w:rPr>
              <w:t>6,337,602.75</w:t>
            </w:r>
          </w:p>
        </w:tc>
      </w:tr>
      <w:tr w14:paraId="366FEA2A" w14:textId="77777777" w:rsidTr="004F04A9">
        <w:tblPrEx>
          <w:tblW w:w="11266" w:type="dxa"/>
          <w:tblInd w:w="-958" w:type="dxa"/>
          <w:tblLayout w:type="fixed"/>
          <w:tblLook w:val="04A0"/>
        </w:tblPrEx>
        <w:trPr>
          <w:trHeight w:val="829"/>
        </w:trPr>
        <w:tc>
          <w:tcPr>
            <w:tcW w:w="1319" w:type="dxa"/>
            <w:tcBorders>
              <w:top w:val="single" w:sz="4" w:space="0" w:color="auto"/>
              <w:left w:val="single" w:sz="4" w:space="0" w:color="auto"/>
              <w:bottom w:val="single" w:sz="4" w:space="0" w:color="auto"/>
              <w:right w:val="single" w:sz="4" w:space="0" w:color="auto"/>
            </w:tcBorders>
            <w:vAlign w:val="bottom"/>
          </w:tcPr>
          <w:p w:rsidR="005E1C28" w:rsidRPr="000A4FB1" w:rsidP="003F3CE2" w14:paraId="27CA66A3" w14:textId="1FD20D1D">
            <w:pPr>
              <w:spacing w:line="276" w:lineRule="auto"/>
              <w:rPr>
                <w:sz w:val="22"/>
                <w:szCs w:val="22"/>
              </w:rPr>
            </w:pPr>
            <w:r w:rsidRPr="000A4FB1">
              <w:rPr>
                <w:sz w:val="22"/>
                <w:szCs w:val="22"/>
              </w:rPr>
              <w:t>Conformance Record</w:t>
            </w:r>
          </w:p>
        </w:tc>
        <w:tc>
          <w:tcPr>
            <w:tcW w:w="1291" w:type="dxa"/>
            <w:tcBorders>
              <w:top w:val="single" w:sz="4" w:space="0" w:color="auto"/>
              <w:left w:val="single" w:sz="4" w:space="0" w:color="auto"/>
              <w:bottom w:val="single" w:sz="4" w:space="0" w:color="auto"/>
              <w:right w:val="single" w:sz="4" w:space="0" w:color="auto"/>
            </w:tcBorders>
            <w:vAlign w:val="center"/>
          </w:tcPr>
          <w:p w:rsidR="005E1C28" w:rsidRPr="000A4FB1" w:rsidP="003F3CE2" w14:paraId="1AD047CB" w14:textId="11C1C130">
            <w:pPr>
              <w:spacing w:line="276" w:lineRule="auto"/>
              <w:jc w:val="center"/>
              <w:rPr>
                <w:sz w:val="22"/>
                <w:szCs w:val="22"/>
              </w:rPr>
            </w:pPr>
            <w:r w:rsidRPr="000A4FB1">
              <w:rPr>
                <w:sz w:val="22"/>
                <w:szCs w:val="22"/>
              </w:rPr>
              <w:t>141</w:t>
            </w:r>
          </w:p>
        </w:tc>
        <w:tc>
          <w:tcPr>
            <w:tcW w:w="1343" w:type="dxa"/>
            <w:tcBorders>
              <w:top w:val="single" w:sz="4" w:space="0" w:color="auto"/>
              <w:left w:val="single" w:sz="4" w:space="0" w:color="auto"/>
              <w:bottom w:val="single" w:sz="4" w:space="0" w:color="auto"/>
              <w:right w:val="single" w:sz="4" w:space="0" w:color="auto"/>
            </w:tcBorders>
            <w:vAlign w:val="center"/>
          </w:tcPr>
          <w:p w:rsidR="005E1C28" w:rsidRPr="000A4FB1" w:rsidP="003F3CE2" w14:paraId="435F02A6" w14:textId="511D0429">
            <w:pPr>
              <w:spacing w:line="276" w:lineRule="auto"/>
              <w:jc w:val="center"/>
              <w:rPr>
                <w:sz w:val="22"/>
                <w:szCs w:val="22"/>
              </w:rPr>
            </w:pPr>
            <w:r w:rsidRPr="000A4FB1">
              <w:rPr>
                <w:sz w:val="22"/>
                <w:szCs w:val="22"/>
              </w:rPr>
              <w:t>1</w:t>
            </w:r>
          </w:p>
        </w:tc>
        <w:tc>
          <w:tcPr>
            <w:tcW w:w="1511" w:type="dxa"/>
            <w:tcBorders>
              <w:top w:val="single" w:sz="4" w:space="0" w:color="auto"/>
              <w:left w:val="single" w:sz="4" w:space="0" w:color="auto"/>
              <w:bottom w:val="single" w:sz="4" w:space="0" w:color="auto"/>
              <w:right w:val="single" w:sz="4" w:space="0" w:color="auto"/>
            </w:tcBorders>
            <w:vAlign w:val="center"/>
          </w:tcPr>
          <w:p w:rsidR="005E1C28" w:rsidRPr="000A4FB1" w:rsidP="003F3CE2" w14:paraId="2EF57438" w14:textId="040C7B42">
            <w:pPr>
              <w:spacing w:line="276" w:lineRule="auto"/>
              <w:jc w:val="center"/>
              <w:rPr>
                <w:sz w:val="22"/>
                <w:szCs w:val="22"/>
              </w:rPr>
            </w:pPr>
            <w:r w:rsidRPr="000A4FB1">
              <w:rPr>
                <w:sz w:val="22"/>
                <w:szCs w:val="22"/>
              </w:rPr>
              <w:t>141</w:t>
            </w:r>
          </w:p>
        </w:tc>
        <w:tc>
          <w:tcPr>
            <w:tcW w:w="1338" w:type="dxa"/>
            <w:tcBorders>
              <w:top w:val="single" w:sz="4" w:space="0" w:color="auto"/>
              <w:left w:val="single" w:sz="4" w:space="0" w:color="auto"/>
              <w:bottom w:val="single" w:sz="4" w:space="0" w:color="auto"/>
              <w:right w:val="single" w:sz="4" w:space="0" w:color="auto"/>
            </w:tcBorders>
            <w:vAlign w:val="center"/>
          </w:tcPr>
          <w:p w:rsidR="005E1C28" w:rsidRPr="000A4FB1" w:rsidP="003F3CE2" w14:paraId="197860FD" w14:textId="2E9AF034">
            <w:pPr>
              <w:spacing w:line="276" w:lineRule="auto"/>
              <w:jc w:val="center"/>
              <w:rPr>
                <w:sz w:val="22"/>
                <w:szCs w:val="22"/>
              </w:rPr>
            </w:pPr>
            <w:r w:rsidRPr="000A4FB1">
              <w:rPr>
                <w:sz w:val="22"/>
                <w:szCs w:val="22"/>
              </w:rPr>
              <w:t>.5 hour</w:t>
            </w:r>
          </w:p>
        </w:tc>
        <w:tc>
          <w:tcPr>
            <w:tcW w:w="1656" w:type="dxa"/>
            <w:tcBorders>
              <w:top w:val="single" w:sz="4" w:space="0" w:color="auto"/>
              <w:left w:val="single" w:sz="4" w:space="0" w:color="auto"/>
              <w:bottom w:val="single" w:sz="4" w:space="0" w:color="auto"/>
              <w:right w:val="single" w:sz="4" w:space="0" w:color="auto"/>
            </w:tcBorders>
            <w:vAlign w:val="center"/>
          </w:tcPr>
          <w:p w:rsidR="005E1C28" w:rsidRPr="000A4FB1" w:rsidP="003F3CE2" w14:paraId="3A2D78D1" w14:textId="6BDED284">
            <w:pPr>
              <w:spacing w:line="276" w:lineRule="auto"/>
              <w:jc w:val="center"/>
              <w:rPr>
                <w:sz w:val="22"/>
                <w:szCs w:val="22"/>
              </w:rPr>
            </w:pPr>
            <w:r w:rsidRPr="000A4FB1">
              <w:rPr>
                <w:sz w:val="22"/>
                <w:szCs w:val="22"/>
              </w:rPr>
              <w:t>71 hours</w:t>
            </w:r>
          </w:p>
        </w:tc>
        <w:tc>
          <w:tcPr>
            <w:tcW w:w="955" w:type="dxa"/>
            <w:tcBorders>
              <w:top w:val="single" w:sz="4" w:space="0" w:color="auto"/>
              <w:left w:val="single" w:sz="4" w:space="0" w:color="auto"/>
              <w:bottom w:val="single" w:sz="4" w:space="0" w:color="auto"/>
              <w:right w:val="single" w:sz="4" w:space="0" w:color="auto"/>
            </w:tcBorders>
            <w:vAlign w:val="center"/>
          </w:tcPr>
          <w:p w:rsidR="005E1C28" w:rsidRPr="001C1B84" w:rsidP="003F3CE2" w14:paraId="7D80B886" w14:textId="6BE62381">
            <w:pPr>
              <w:spacing w:line="276" w:lineRule="auto"/>
              <w:jc w:val="center"/>
              <w:rPr>
                <w:bCs/>
                <w:sz w:val="22"/>
                <w:szCs w:val="22"/>
              </w:rPr>
            </w:pPr>
            <w:r w:rsidRPr="00CE7F92">
              <w:rPr>
                <w:bCs/>
                <w:color w:val="000000"/>
              </w:rPr>
              <w:t>$</w:t>
            </w:r>
            <w:r w:rsidR="00273C4E">
              <w:rPr>
                <w:bCs/>
                <w:color w:val="000000"/>
              </w:rPr>
              <w:t>49.75</w:t>
            </w:r>
          </w:p>
        </w:tc>
        <w:tc>
          <w:tcPr>
            <w:tcW w:w="1853" w:type="dxa"/>
            <w:tcBorders>
              <w:top w:val="single" w:sz="4" w:space="0" w:color="auto"/>
              <w:left w:val="single" w:sz="4" w:space="0" w:color="auto"/>
              <w:bottom w:val="single" w:sz="4" w:space="0" w:color="auto"/>
              <w:right w:val="single" w:sz="4" w:space="0" w:color="auto"/>
            </w:tcBorders>
            <w:vAlign w:val="center"/>
          </w:tcPr>
          <w:p w:rsidR="005E1C28" w:rsidRPr="007A5716" w:rsidP="003F3CE2" w14:paraId="4E33DB46" w14:textId="7E25C33B">
            <w:pPr>
              <w:spacing w:line="276" w:lineRule="auto"/>
              <w:jc w:val="center"/>
              <w:rPr>
                <w:sz w:val="22"/>
                <w:szCs w:val="22"/>
              </w:rPr>
            </w:pPr>
            <w:r w:rsidRPr="007A5716">
              <w:rPr>
                <w:sz w:val="22"/>
                <w:szCs w:val="22"/>
              </w:rPr>
              <w:t>$3,</w:t>
            </w:r>
            <w:r w:rsidRPr="007A5716" w:rsidR="00474513">
              <w:rPr>
                <w:sz w:val="22"/>
                <w:szCs w:val="22"/>
              </w:rPr>
              <w:t>5</w:t>
            </w:r>
            <w:r w:rsidRPr="007A5716" w:rsidR="00474513">
              <w:rPr>
                <w:sz w:val="22"/>
                <w:szCs w:val="22"/>
              </w:rPr>
              <w:t>32</w:t>
            </w:r>
            <w:r w:rsidRPr="007A5716" w:rsidR="006147B7">
              <w:rPr>
                <w:sz w:val="22"/>
                <w:szCs w:val="22"/>
              </w:rPr>
              <w:t>.</w:t>
            </w:r>
            <w:r w:rsidRPr="007A5716" w:rsidR="00474513">
              <w:rPr>
                <w:sz w:val="22"/>
                <w:szCs w:val="22"/>
              </w:rPr>
              <w:t>2</w:t>
            </w:r>
            <w:r w:rsidRPr="007A5716" w:rsidR="00474513">
              <w:rPr>
                <w:sz w:val="22"/>
                <w:szCs w:val="22"/>
              </w:rPr>
              <w:t>5</w:t>
            </w:r>
          </w:p>
        </w:tc>
      </w:tr>
      <w:tr w14:paraId="4450490E" w14:textId="77777777" w:rsidTr="004F04A9">
        <w:tblPrEx>
          <w:tblW w:w="11266" w:type="dxa"/>
          <w:tblInd w:w="-958" w:type="dxa"/>
          <w:tblLayout w:type="fixed"/>
          <w:tblLook w:val="04A0"/>
        </w:tblPrEx>
        <w:trPr>
          <w:trHeight w:val="829"/>
        </w:trPr>
        <w:tc>
          <w:tcPr>
            <w:tcW w:w="1319" w:type="dxa"/>
            <w:tcBorders>
              <w:top w:val="single" w:sz="4" w:space="0" w:color="auto"/>
              <w:left w:val="single" w:sz="4" w:space="0" w:color="auto"/>
              <w:bottom w:val="single" w:sz="4" w:space="0" w:color="auto"/>
              <w:right w:val="single" w:sz="4" w:space="0" w:color="auto"/>
            </w:tcBorders>
            <w:vAlign w:val="bottom"/>
          </w:tcPr>
          <w:p w:rsidR="001C1B84" w:rsidRPr="000A4FB1" w:rsidP="001C1B84" w14:paraId="19A563A1" w14:textId="616C0B46">
            <w:pPr>
              <w:spacing w:line="276" w:lineRule="auto"/>
              <w:rPr>
                <w:sz w:val="22"/>
                <w:szCs w:val="22"/>
              </w:rPr>
            </w:pPr>
            <w:r w:rsidRPr="000A4FB1">
              <w:rPr>
                <w:sz w:val="22"/>
                <w:szCs w:val="22"/>
              </w:rPr>
              <w:t>Indexing Costs</w:t>
            </w:r>
          </w:p>
        </w:tc>
        <w:tc>
          <w:tcPr>
            <w:tcW w:w="1291" w:type="dxa"/>
            <w:tcBorders>
              <w:top w:val="single" w:sz="4" w:space="0" w:color="auto"/>
              <w:left w:val="single" w:sz="4" w:space="0" w:color="auto"/>
              <w:bottom w:val="single" w:sz="4" w:space="0" w:color="auto"/>
              <w:right w:val="single" w:sz="4" w:space="0" w:color="auto"/>
            </w:tcBorders>
            <w:vAlign w:val="center"/>
          </w:tcPr>
          <w:p w:rsidR="001C1B84" w:rsidRPr="000A4FB1" w:rsidP="001C1B84" w14:paraId="78EBD84C" w14:textId="63D37FAE">
            <w:pPr>
              <w:spacing w:line="276" w:lineRule="auto"/>
              <w:jc w:val="center"/>
              <w:rPr>
                <w:sz w:val="22"/>
                <w:szCs w:val="22"/>
              </w:rPr>
            </w:pPr>
            <w:r w:rsidRPr="000A4FB1">
              <w:rPr>
                <w:sz w:val="22"/>
                <w:szCs w:val="22"/>
              </w:rPr>
              <w:t>28</w:t>
            </w:r>
          </w:p>
        </w:tc>
        <w:tc>
          <w:tcPr>
            <w:tcW w:w="1343" w:type="dxa"/>
            <w:tcBorders>
              <w:top w:val="single" w:sz="4" w:space="0" w:color="auto"/>
              <w:left w:val="single" w:sz="4" w:space="0" w:color="auto"/>
              <w:bottom w:val="single" w:sz="4" w:space="0" w:color="auto"/>
              <w:right w:val="single" w:sz="4" w:space="0" w:color="auto"/>
            </w:tcBorders>
            <w:vAlign w:val="center"/>
          </w:tcPr>
          <w:p w:rsidR="001C1B84" w:rsidRPr="000A4FB1" w:rsidP="001C1B84" w14:paraId="0AD5E063" w14:textId="43D62508">
            <w:pPr>
              <w:spacing w:line="276" w:lineRule="auto"/>
              <w:jc w:val="center"/>
              <w:rPr>
                <w:sz w:val="22"/>
                <w:szCs w:val="22"/>
              </w:rPr>
            </w:pPr>
            <w:r w:rsidRPr="000A4FB1">
              <w:rPr>
                <w:sz w:val="22"/>
                <w:szCs w:val="22"/>
              </w:rPr>
              <w:t>1</w:t>
            </w:r>
          </w:p>
        </w:tc>
        <w:tc>
          <w:tcPr>
            <w:tcW w:w="1511" w:type="dxa"/>
            <w:tcBorders>
              <w:top w:val="single" w:sz="4" w:space="0" w:color="auto"/>
              <w:left w:val="single" w:sz="4" w:space="0" w:color="auto"/>
              <w:bottom w:val="single" w:sz="4" w:space="0" w:color="auto"/>
              <w:right w:val="single" w:sz="4" w:space="0" w:color="auto"/>
            </w:tcBorders>
            <w:vAlign w:val="center"/>
          </w:tcPr>
          <w:p w:rsidR="001C1B84" w:rsidRPr="000A4FB1" w:rsidP="001C1B84" w14:paraId="4A0DE458" w14:textId="7A779177">
            <w:pPr>
              <w:spacing w:line="276" w:lineRule="auto"/>
              <w:jc w:val="center"/>
              <w:rPr>
                <w:sz w:val="22"/>
                <w:szCs w:val="22"/>
              </w:rPr>
            </w:pPr>
            <w:r w:rsidRPr="000A4FB1">
              <w:rPr>
                <w:sz w:val="22"/>
                <w:szCs w:val="22"/>
              </w:rPr>
              <w:t>28</w:t>
            </w:r>
          </w:p>
        </w:tc>
        <w:tc>
          <w:tcPr>
            <w:tcW w:w="1338" w:type="dxa"/>
            <w:tcBorders>
              <w:top w:val="single" w:sz="4" w:space="0" w:color="auto"/>
              <w:left w:val="single" w:sz="4" w:space="0" w:color="auto"/>
              <w:bottom w:val="single" w:sz="4" w:space="0" w:color="auto"/>
              <w:right w:val="single" w:sz="4" w:space="0" w:color="auto"/>
            </w:tcBorders>
            <w:vAlign w:val="center"/>
          </w:tcPr>
          <w:p w:rsidR="001C1B84" w:rsidRPr="000A4FB1" w:rsidP="001C1B84" w14:paraId="11FDEE85" w14:textId="58146CA1">
            <w:pPr>
              <w:spacing w:line="276" w:lineRule="auto"/>
              <w:jc w:val="center"/>
              <w:rPr>
                <w:sz w:val="22"/>
                <w:szCs w:val="22"/>
              </w:rPr>
            </w:pPr>
            <w:r w:rsidRPr="000A4FB1">
              <w:rPr>
                <w:sz w:val="22"/>
                <w:szCs w:val="22"/>
              </w:rPr>
              <w:t>2</w:t>
            </w:r>
          </w:p>
        </w:tc>
        <w:tc>
          <w:tcPr>
            <w:tcW w:w="1656" w:type="dxa"/>
            <w:tcBorders>
              <w:top w:val="single" w:sz="4" w:space="0" w:color="auto"/>
              <w:left w:val="single" w:sz="4" w:space="0" w:color="auto"/>
              <w:bottom w:val="single" w:sz="4" w:space="0" w:color="auto"/>
              <w:right w:val="single" w:sz="4" w:space="0" w:color="auto"/>
            </w:tcBorders>
            <w:vAlign w:val="center"/>
          </w:tcPr>
          <w:p w:rsidR="001C1B84" w:rsidRPr="000A4FB1" w:rsidP="001C1B84" w14:paraId="55B42308" w14:textId="764F8110">
            <w:pPr>
              <w:spacing w:line="276" w:lineRule="auto"/>
              <w:jc w:val="center"/>
              <w:rPr>
                <w:sz w:val="22"/>
                <w:szCs w:val="22"/>
              </w:rPr>
            </w:pPr>
            <w:r w:rsidRPr="000A4FB1">
              <w:rPr>
                <w:sz w:val="22"/>
                <w:szCs w:val="22"/>
              </w:rPr>
              <w:t>56 hours</w:t>
            </w:r>
          </w:p>
        </w:tc>
        <w:tc>
          <w:tcPr>
            <w:tcW w:w="955" w:type="dxa"/>
            <w:tcBorders>
              <w:top w:val="single" w:sz="4" w:space="0" w:color="auto"/>
              <w:left w:val="single" w:sz="4" w:space="0" w:color="auto"/>
              <w:bottom w:val="single" w:sz="4" w:space="0" w:color="auto"/>
              <w:right w:val="single" w:sz="4" w:space="0" w:color="auto"/>
            </w:tcBorders>
            <w:vAlign w:val="center"/>
          </w:tcPr>
          <w:p w:rsidR="001C1B84" w:rsidP="001C1B84" w14:paraId="7AB0C504" w14:textId="09BFAB0B">
            <w:pPr>
              <w:spacing w:line="276" w:lineRule="auto"/>
              <w:jc w:val="center"/>
              <w:rPr>
                <w:sz w:val="22"/>
                <w:szCs w:val="22"/>
              </w:rPr>
            </w:pPr>
            <w:r w:rsidRPr="00CE7F92">
              <w:rPr>
                <w:bCs/>
                <w:color w:val="000000"/>
              </w:rPr>
              <w:t>$</w:t>
            </w:r>
            <w:r w:rsidR="00273C4E">
              <w:rPr>
                <w:bCs/>
                <w:color w:val="000000"/>
              </w:rPr>
              <w:t>49.75</w:t>
            </w:r>
          </w:p>
        </w:tc>
        <w:tc>
          <w:tcPr>
            <w:tcW w:w="1853" w:type="dxa"/>
            <w:tcBorders>
              <w:top w:val="single" w:sz="4" w:space="0" w:color="auto"/>
              <w:left w:val="single" w:sz="4" w:space="0" w:color="auto"/>
              <w:bottom w:val="single" w:sz="4" w:space="0" w:color="auto"/>
              <w:right w:val="single" w:sz="4" w:space="0" w:color="auto"/>
            </w:tcBorders>
            <w:vAlign w:val="center"/>
          </w:tcPr>
          <w:p w:rsidR="001C1B84" w:rsidRPr="007A5716" w:rsidP="001C1B84" w14:paraId="6A8325DC" w14:textId="2BAB5CF1">
            <w:pPr>
              <w:spacing w:line="276" w:lineRule="auto"/>
              <w:jc w:val="center"/>
              <w:rPr>
                <w:sz w:val="22"/>
                <w:szCs w:val="22"/>
              </w:rPr>
            </w:pPr>
            <w:r w:rsidRPr="007A5716">
              <w:rPr>
                <w:sz w:val="22"/>
                <w:szCs w:val="22"/>
              </w:rPr>
              <w:t>$2,</w:t>
            </w:r>
            <w:r w:rsidRPr="007A5716" w:rsidR="000B1A28">
              <w:rPr>
                <w:sz w:val="22"/>
                <w:szCs w:val="22"/>
              </w:rPr>
              <w:t>78</w:t>
            </w:r>
            <w:r w:rsidRPr="007A5716" w:rsidR="006B1ABB">
              <w:rPr>
                <w:sz w:val="22"/>
                <w:szCs w:val="22"/>
              </w:rPr>
              <w:t>6.00</w:t>
            </w:r>
          </w:p>
        </w:tc>
      </w:tr>
      <w:tr w14:paraId="726603E1" w14:textId="77777777" w:rsidTr="004F04A9">
        <w:tblPrEx>
          <w:tblW w:w="11266" w:type="dxa"/>
          <w:tblInd w:w="-958" w:type="dxa"/>
          <w:tblLayout w:type="fixed"/>
          <w:tblLook w:val="04A0"/>
        </w:tblPrEx>
        <w:trPr>
          <w:trHeight w:val="1123"/>
        </w:trPr>
        <w:tc>
          <w:tcPr>
            <w:tcW w:w="1319" w:type="dxa"/>
            <w:tcBorders>
              <w:top w:val="single" w:sz="4" w:space="0" w:color="auto"/>
              <w:left w:val="single" w:sz="4" w:space="0" w:color="auto"/>
              <w:bottom w:val="single" w:sz="4" w:space="0" w:color="auto"/>
              <w:right w:val="single" w:sz="4" w:space="0" w:color="auto"/>
            </w:tcBorders>
            <w:vAlign w:val="bottom"/>
          </w:tcPr>
          <w:p w:rsidR="001C1B84" w:rsidRPr="000A4FB1" w:rsidP="001C1B84" w14:paraId="6B53D05E" w14:textId="3FD2DEFC">
            <w:pPr>
              <w:spacing w:line="276" w:lineRule="auto"/>
              <w:rPr>
                <w:sz w:val="22"/>
                <w:szCs w:val="22"/>
              </w:rPr>
            </w:pPr>
            <w:r w:rsidRPr="000A4FB1">
              <w:rPr>
                <w:sz w:val="22"/>
                <w:szCs w:val="22"/>
              </w:rPr>
              <w:t>Collective Bargaining Agreements</w:t>
            </w:r>
          </w:p>
        </w:tc>
        <w:tc>
          <w:tcPr>
            <w:tcW w:w="1291" w:type="dxa"/>
            <w:tcBorders>
              <w:top w:val="single" w:sz="4" w:space="0" w:color="auto"/>
              <w:left w:val="single" w:sz="4" w:space="0" w:color="auto"/>
              <w:bottom w:val="single" w:sz="4" w:space="0" w:color="auto"/>
              <w:right w:val="single" w:sz="4" w:space="0" w:color="auto"/>
            </w:tcBorders>
            <w:vAlign w:val="center"/>
          </w:tcPr>
          <w:p w:rsidR="001C1B84" w:rsidRPr="000A4FB1" w:rsidP="001C1B84" w14:paraId="096D8DEE" w14:textId="22880A01">
            <w:pPr>
              <w:spacing w:line="276" w:lineRule="auto"/>
              <w:jc w:val="center"/>
              <w:rPr>
                <w:sz w:val="22"/>
                <w:szCs w:val="22"/>
              </w:rPr>
            </w:pPr>
            <w:r w:rsidRPr="000A4FB1">
              <w:rPr>
                <w:sz w:val="22"/>
                <w:szCs w:val="22"/>
              </w:rPr>
              <w:t>1,090</w:t>
            </w:r>
          </w:p>
        </w:tc>
        <w:tc>
          <w:tcPr>
            <w:tcW w:w="1343" w:type="dxa"/>
            <w:tcBorders>
              <w:top w:val="single" w:sz="4" w:space="0" w:color="auto"/>
              <w:left w:val="single" w:sz="4" w:space="0" w:color="auto"/>
              <w:bottom w:val="single" w:sz="4" w:space="0" w:color="auto"/>
              <w:right w:val="single" w:sz="4" w:space="0" w:color="auto"/>
            </w:tcBorders>
            <w:vAlign w:val="center"/>
          </w:tcPr>
          <w:p w:rsidR="001C1B84" w:rsidRPr="000A4FB1" w:rsidP="001C1B84" w14:paraId="4AEA869A" w14:textId="57F48235">
            <w:pPr>
              <w:spacing w:line="276" w:lineRule="auto"/>
              <w:jc w:val="center"/>
              <w:rPr>
                <w:sz w:val="22"/>
                <w:szCs w:val="22"/>
              </w:rPr>
            </w:pPr>
            <w:r w:rsidRPr="000A4FB1">
              <w:rPr>
                <w:sz w:val="22"/>
                <w:szCs w:val="22"/>
              </w:rPr>
              <w:t>1</w:t>
            </w:r>
          </w:p>
        </w:tc>
        <w:tc>
          <w:tcPr>
            <w:tcW w:w="1511" w:type="dxa"/>
            <w:tcBorders>
              <w:top w:val="single" w:sz="4" w:space="0" w:color="auto"/>
              <w:left w:val="single" w:sz="4" w:space="0" w:color="auto"/>
              <w:bottom w:val="single" w:sz="4" w:space="0" w:color="auto"/>
              <w:right w:val="single" w:sz="4" w:space="0" w:color="auto"/>
            </w:tcBorders>
            <w:vAlign w:val="center"/>
          </w:tcPr>
          <w:p w:rsidR="001C1B84" w:rsidRPr="000A4FB1" w:rsidP="001C1B84" w14:paraId="223AA30E" w14:textId="22BAB619">
            <w:pPr>
              <w:spacing w:line="276" w:lineRule="auto"/>
              <w:jc w:val="center"/>
              <w:rPr>
                <w:sz w:val="22"/>
                <w:szCs w:val="22"/>
              </w:rPr>
            </w:pPr>
            <w:r w:rsidRPr="000A4FB1">
              <w:rPr>
                <w:sz w:val="22"/>
                <w:szCs w:val="22"/>
              </w:rPr>
              <w:t>1,090</w:t>
            </w:r>
          </w:p>
        </w:tc>
        <w:tc>
          <w:tcPr>
            <w:tcW w:w="1338" w:type="dxa"/>
            <w:tcBorders>
              <w:top w:val="single" w:sz="4" w:space="0" w:color="auto"/>
              <w:left w:val="single" w:sz="4" w:space="0" w:color="auto"/>
              <w:bottom w:val="single" w:sz="4" w:space="0" w:color="auto"/>
              <w:right w:val="single" w:sz="4" w:space="0" w:color="auto"/>
            </w:tcBorders>
            <w:vAlign w:val="center"/>
          </w:tcPr>
          <w:p w:rsidR="001C1B84" w:rsidRPr="000A4FB1" w:rsidP="001C1B84" w14:paraId="3E8E1326" w14:textId="3B4EFDA2">
            <w:pPr>
              <w:spacing w:line="276" w:lineRule="auto"/>
              <w:jc w:val="center"/>
              <w:rPr>
                <w:sz w:val="22"/>
                <w:szCs w:val="22"/>
              </w:rPr>
            </w:pPr>
            <w:r w:rsidRPr="000A4FB1">
              <w:rPr>
                <w:sz w:val="22"/>
                <w:szCs w:val="22"/>
              </w:rPr>
              <w:t>.0833 hours</w:t>
            </w:r>
          </w:p>
        </w:tc>
        <w:tc>
          <w:tcPr>
            <w:tcW w:w="1656" w:type="dxa"/>
            <w:tcBorders>
              <w:top w:val="single" w:sz="4" w:space="0" w:color="auto"/>
              <w:left w:val="single" w:sz="4" w:space="0" w:color="auto"/>
              <w:bottom w:val="single" w:sz="4" w:space="0" w:color="auto"/>
              <w:right w:val="single" w:sz="4" w:space="0" w:color="auto"/>
            </w:tcBorders>
            <w:vAlign w:val="center"/>
          </w:tcPr>
          <w:p w:rsidR="001C1B84" w:rsidRPr="000A4FB1" w:rsidP="001C1B84" w14:paraId="6B816215" w14:textId="6069566D">
            <w:pPr>
              <w:spacing w:line="276" w:lineRule="auto"/>
              <w:jc w:val="center"/>
              <w:rPr>
                <w:sz w:val="22"/>
                <w:szCs w:val="22"/>
              </w:rPr>
            </w:pPr>
            <w:r w:rsidRPr="000A4FB1">
              <w:rPr>
                <w:sz w:val="22"/>
                <w:szCs w:val="22"/>
              </w:rPr>
              <w:t>91 hours</w:t>
            </w:r>
          </w:p>
        </w:tc>
        <w:tc>
          <w:tcPr>
            <w:tcW w:w="955" w:type="dxa"/>
            <w:tcBorders>
              <w:top w:val="single" w:sz="4" w:space="0" w:color="auto"/>
              <w:left w:val="single" w:sz="4" w:space="0" w:color="auto"/>
              <w:bottom w:val="single" w:sz="4" w:space="0" w:color="auto"/>
              <w:right w:val="single" w:sz="4" w:space="0" w:color="auto"/>
            </w:tcBorders>
            <w:vAlign w:val="center"/>
          </w:tcPr>
          <w:p w:rsidR="001C1B84" w:rsidP="001C1B84" w14:paraId="5D9CB231" w14:textId="68196543">
            <w:pPr>
              <w:spacing w:line="276" w:lineRule="auto"/>
              <w:jc w:val="center"/>
              <w:rPr>
                <w:sz w:val="22"/>
                <w:szCs w:val="22"/>
              </w:rPr>
            </w:pPr>
            <w:r w:rsidRPr="00CE7F92">
              <w:rPr>
                <w:bCs/>
                <w:color w:val="000000"/>
              </w:rPr>
              <w:t>$</w:t>
            </w:r>
            <w:r w:rsidR="00273C4E">
              <w:rPr>
                <w:bCs/>
                <w:color w:val="000000"/>
              </w:rPr>
              <w:t>49.75</w:t>
            </w:r>
          </w:p>
        </w:tc>
        <w:tc>
          <w:tcPr>
            <w:tcW w:w="1853" w:type="dxa"/>
            <w:tcBorders>
              <w:top w:val="single" w:sz="4" w:space="0" w:color="auto"/>
              <w:left w:val="single" w:sz="4" w:space="0" w:color="auto"/>
              <w:bottom w:val="single" w:sz="4" w:space="0" w:color="auto"/>
              <w:right w:val="single" w:sz="4" w:space="0" w:color="auto"/>
            </w:tcBorders>
            <w:vAlign w:val="center"/>
          </w:tcPr>
          <w:p w:rsidR="001C1B84" w:rsidRPr="007A5716" w:rsidP="001C1B84" w14:paraId="5F6CF7A9" w14:textId="223221A0">
            <w:pPr>
              <w:spacing w:line="276" w:lineRule="auto"/>
              <w:jc w:val="center"/>
              <w:rPr>
                <w:sz w:val="22"/>
                <w:szCs w:val="22"/>
              </w:rPr>
            </w:pPr>
            <w:r w:rsidRPr="007A5716">
              <w:rPr>
                <w:sz w:val="22"/>
                <w:szCs w:val="22"/>
              </w:rPr>
              <w:t>$4,</w:t>
            </w:r>
            <w:r w:rsidRPr="007A5716" w:rsidR="004F04A9">
              <w:rPr>
                <w:sz w:val="22"/>
                <w:szCs w:val="22"/>
              </w:rPr>
              <w:t>527.25</w:t>
            </w:r>
          </w:p>
        </w:tc>
      </w:tr>
      <w:tr w14:paraId="42E61702" w14:textId="77777777" w:rsidTr="004F04A9">
        <w:tblPrEx>
          <w:tblW w:w="11266" w:type="dxa"/>
          <w:tblInd w:w="-958" w:type="dxa"/>
          <w:tblLayout w:type="fixed"/>
          <w:tblLook w:val="04A0"/>
        </w:tblPrEx>
        <w:trPr>
          <w:trHeight w:val="536"/>
        </w:trPr>
        <w:tc>
          <w:tcPr>
            <w:tcW w:w="1319" w:type="dxa"/>
            <w:tcBorders>
              <w:top w:val="single" w:sz="4" w:space="0" w:color="auto"/>
              <w:left w:val="single" w:sz="4" w:space="0" w:color="auto"/>
              <w:bottom w:val="single" w:sz="4" w:space="0" w:color="auto"/>
              <w:right w:val="single" w:sz="4" w:space="0" w:color="auto"/>
            </w:tcBorders>
            <w:vAlign w:val="bottom"/>
          </w:tcPr>
          <w:p w:rsidR="001C1B84" w:rsidRPr="006371CD" w:rsidP="001C1B84" w14:paraId="4196B4D2" w14:textId="24AED356">
            <w:pPr>
              <w:spacing w:line="276" w:lineRule="auto"/>
              <w:rPr>
                <w:b/>
                <w:bCs/>
                <w:sz w:val="22"/>
                <w:szCs w:val="22"/>
              </w:rPr>
            </w:pPr>
            <w:r w:rsidRPr="006371CD">
              <w:rPr>
                <w:b/>
                <w:bCs/>
                <w:sz w:val="22"/>
                <w:szCs w:val="22"/>
              </w:rPr>
              <w:t>TOTAL</w:t>
            </w:r>
          </w:p>
        </w:tc>
        <w:tc>
          <w:tcPr>
            <w:tcW w:w="1291" w:type="dxa"/>
            <w:tcBorders>
              <w:top w:val="single" w:sz="4" w:space="0" w:color="auto"/>
              <w:left w:val="single" w:sz="4" w:space="0" w:color="auto"/>
              <w:bottom w:val="single" w:sz="4" w:space="0" w:color="auto"/>
              <w:right w:val="single" w:sz="4" w:space="0" w:color="auto"/>
            </w:tcBorders>
            <w:vAlign w:val="center"/>
          </w:tcPr>
          <w:p w:rsidR="001C1B84" w:rsidRPr="006371CD" w:rsidP="001C1B84" w14:paraId="4DA3C1D1" w14:textId="443BF38F">
            <w:pPr>
              <w:spacing w:line="276" w:lineRule="auto"/>
              <w:jc w:val="center"/>
              <w:rPr>
                <w:b/>
                <w:bCs/>
                <w:sz w:val="22"/>
                <w:szCs w:val="22"/>
              </w:rPr>
            </w:pPr>
            <w:r>
              <w:rPr>
                <w:b/>
                <w:bCs/>
                <w:sz w:val="22"/>
                <w:szCs w:val="22"/>
              </w:rPr>
              <w:t>128,648</w:t>
            </w:r>
          </w:p>
        </w:tc>
        <w:tc>
          <w:tcPr>
            <w:tcW w:w="1343" w:type="dxa"/>
            <w:tcBorders>
              <w:top w:val="single" w:sz="4" w:space="0" w:color="auto"/>
              <w:left w:val="single" w:sz="4" w:space="0" w:color="auto"/>
              <w:bottom w:val="single" w:sz="4" w:space="0" w:color="auto"/>
              <w:right w:val="single" w:sz="4" w:space="0" w:color="auto"/>
            </w:tcBorders>
            <w:vAlign w:val="center"/>
          </w:tcPr>
          <w:p w:rsidR="001C1B84" w:rsidRPr="006371CD" w:rsidP="001C1B84" w14:paraId="1E4F4D7D" w14:textId="20C34A23">
            <w:pPr>
              <w:spacing w:line="276" w:lineRule="auto"/>
              <w:jc w:val="center"/>
              <w:rPr>
                <w:b/>
                <w:bCs/>
                <w:sz w:val="22"/>
                <w:szCs w:val="22"/>
              </w:rPr>
            </w:pPr>
            <w:r>
              <w:rPr>
                <w:b/>
                <w:bCs/>
                <w:sz w:val="22"/>
                <w:szCs w:val="22"/>
              </w:rPr>
              <w:t>1</w:t>
            </w:r>
          </w:p>
        </w:tc>
        <w:tc>
          <w:tcPr>
            <w:tcW w:w="1511" w:type="dxa"/>
            <w:tcBorders>
              <w:top w:val="single" w:sz="4" w:space="0" w:color="auto"/>
              <w:left w:val="single" w:sz="4" w:space="0" w:color="auto"/>
              <w:bottom w:val="single" w:sz="4" w:space="0" w:color="auto"/>
              <w:right w:val="single" w:sz="4" w:space="0" w:color="auto"/>
            </w:tcBorders>
            <w:vAlign w:val="center"/>
          </w:tcPr>
          <w:p w:rsidR="001C1B84" w:rsidRPr="006371CD" w:rsidP="001C1B84" w14:paraId="635C70BA" w14:textId="24E1D0A5">
            <w:pPr>
              <w:spacing w:line="276" w:lineRule="auto"/>
              <w:jc w:val="center"/>
              <w:rPr>
                <w:b/>
                <w:bCs/>
                <w:sz w:val="22"/>
                <w:szCs w:val="22"/>
              </w:rPr>
            </w:pPr>
            <w:r>
              <w:rPr>
                <w:b/>
                <w:bCs/>
                <w:sz w:val="22"/>
                <w:szCs w:val="22"/>
              </w:rPr>
              <w:t>128,648</w:t>
            </w:r>
          </w:p>
        </w:tc>
        <w:tc>
          <w:tcPr>
            <w:tcW w:w="1338" w:type="dxa"/>
            <w:tcBorders>
              <w:top w:val="single" w:sz="4" w:space="0" w:color="auto"/>
              <w:left w:val="single" w:sz="4" w:space="0" w:color="auto"/>
              <w:bottom w:val="single" w:sz="4" w:space="0" w:color="auto"/>
              <w:right w:val="single" w:sz="4" w:space="0" w:color="auto"/>
            </w:tcBorders>
            <w:vAlign w:val="center"/>
          </w:tcPr>
          <w:p w:rsidR="001C1B84" w:rsidRPr="006371CD" w:rsidP="001C1B84" w14:paraId="6C5D71E0" w14:textId="251A18C0">
            <w:pPr>
              <w:spacing w:line="276" w:lineRule="auto"/>
              <w:jc w:val="center"/>
              <w:rPr>
                <w:b/>
                <w:bCs/>
                <w:sz w:val="22"/>
                <w:szCs w:val="22"/>
              </w:rPr>
            </w:pPr>
          </w:p>
        </w:tc>
        <w:tc>
          <w:tcPr>
            <w:tcW w:w="1656" w:type="dxa"/>
            <w:tcBorders>
              <w:top w:val="single" w:sz="4" w:space="0" w:color="auto"/>
              <w:left w:val="single" w:sz="4" w:space="0" w:color="auto"/>
              <w:bottom w:val="single" w:sz="4" w:space="0" w:color="auto"/>
              <w:right w:val="single" w:sz="4" w:space="0" w:color="auto"/>
            </w:tcBorders>
            <w:vAlign w:val="center"/>
          </w:tcPr>
          <w:p w:rsidR="001C1B84" w:rsidRPr="006371CD" w:rsidP="001C1B84" w14:paraId="57E68434" w14:textId="41EF4668">
            <w:pPr>
              <w:spacing w:line="276" w:lineRule="auto"/>
              <w:jc w:val="center"/>
              <w:rPr>
                <w:b/>
                <w:bCs/>
                <w:sz w:val="22"/>
                <w:szCs w:val="22"/>
              </w:rPr>
            </w:pPr>
            <w:r>
              <w:rPr>
                <w:b/>
                <w:bCs/>
                <w:sz w:val="22"/>
                <w:szCs w:val="22"/>
              </w:rPr>
              <w:t>127,607</w:t>
            </w:r>
          </w:p>
        </w:tc>
        <w:tc>
          <w:tcPr>
            <w:tcW w:w="955" w:type="dxa"/>
            <w:tcBorders>
              <w:top w:val="single" w:sz="4" w:space="0" w:color="auto"/>
              <w:left w:val="single" w:sz="4" w:space="0" w:color="auto"/>
              <w:bottom w:val="single" w:sz="4" w:space="0" w:color="auto"/>
              <w:right w:val="single" w:sz="4" w:space="0" w:color="auto"/>
            </w:tcBorders>
            <w:vAlign w:val="center"/>
          </w:tcPr>
          <w:p w:rsidR="001C1B84" w:rsidRPr="00CE7F92" w:rsidP="001C1B84" w14:paraId="416A9309" w14:textId="136CD083">
            <w:pPr>
              <w:spacing w:line="276" w:lineRule="auto"/>
              <w:jc w:val="center"/>
              <w:rPr>
                <w:b/>
                <w:sz w:val="22"/>
                <w:szCs w:val="22"/>
              </w:rPr>
            </w:pPr>
            <w:r w:rsidRPr="00CE7F92">
              <w:rPr>
                <w:b/>
                <w:color w:val="000000"/>
              </w:rPr>
              <w:t>$</w:t>
            </w:r>
            <w:r w:rsidR="00273C4E">
              <w:rPr>
                <w:b/>
                <w:color w:val="000000"/>
              </w:rPr>
              <w:t>49.75</w:t>
            </w:r>
          </w:p>
        </w:tc>
        <w:tc>
          <w:tcPr>
            <w:tcW w:w="1853" w:type="dxa"/>
            <w:tcBorders>
              <w:top w:val="single" w:sz="4" w:space="0" w:color="auto"/>
              <w:left w:val="single" w:sz="4" w:space="0" w:color="auto"/>
              <w:bottom w:val="single" w:sz="4" w:space="0" w:color="auto"/>
              <w:right w:val="single" w:sz="4" w:space="0" w:color="auto"/>
            </w:tcBorders>
            <w:vAlign w:val="center"/>
          </w:tcPr>
          <w:p w:rsidR="001C1B84" w:rsidRPr="007A5716" w:rsidP="001C1B84" w14:paraId="3097996F" w14:textId="4F102893">
            <w:pPr>
              <w:spacing w:line="276" w:lineRule="auto"/>
              <w:jc w:val="center"/>
              <w:rPr>
                <w:b/>
                <w:bCs/>
                <w:sz w:val="22"/>
                <w:szCs w:val="22"/>
              </w:rPr>
            </w:pPr>
            <w:r w:rsidRPr="007A5716">
              <w:rPr>
                <w:b/>
                <w:color w:val="000000"/>
              </w:rPr>
              <w:t>$</w:t>
            </w:r>
            <w:r w:rsidRPr="007A5716" w:rsidR="004F04A9">
              <w:rPr>
                <w:b/>
                <w:color w:val="000000"/>
              </w:rPr>
              <w:t>6</w:t>
            </w:r>
            <w:r w:rsidRPr="007A5716">
              <w:rPr>
                <w:b/>
                <w:color w:val="000000"/>
              </w:rPr>
              <w:t>,</w:t>
            </w:r>
            <w:r w:rsidRPr="007A5716" w:rsidR="004F04A9">
              <w:rPr>
                <w:b/>
                <w:color w:val="000000"/>
              </w:rPr>
              <w:t>348</w:t>
            </w:r>
            <w:r w:rsidRPr="007A5716">
              <w:rPr>
                <w:b/>
                <w:color w:val="000000"/>
              </w:rPr>
              <w:t>,</w:t>
            </w:r>
            <w:r w:rsidRPr="007A5716" w:rsidR="004F04A9">
              <w:rPr>
                <w:b/>
                <w:color w:val="000000"/>
              </w:rPr>
              <w:t>448</w:t>
            </w:r>
            <w:r w:rsidRPr="007A5716">
              <w:rPr>
                <w:b/>
                <w:color w:val="000000"/>
              </w:rPr>
              <w:t>.</w:t>
            </w:r>
            <w:r w:rsidRPr="007A5716" w:rsidR="004F04A9">
              <w:rPr>
                <w:b/>
                <w:color w:val="000000"/>
              </w:rPr>
              <w:t>25</w:t>
            </w:r>
          </w:p>
        </w:tc>
      </w:tr>
    </w:tbl>
    <w:p w:rsidR="00AC0636" w:rsidRPr="00AC0636" w:rsidP="006D00E7" w14:paraId="4118A668" w14:textId="39F181BE">
      <w:pPr>
        <w:pStyle w:val="Heading2"/>
      </w:pPr>
      <w:r w:rsidRPr="00AC0636">
        <w:t>Provide an estimate of the total annual cost burden to respondents or record</w:t>
      </w:r>
      <w:r w:rsidR="0063613C">
        <w:t xml:space="preserve"> </w:t>
      </w:r>
      <w:r w:rsidRPr="00AC0636">
        <w:t>keepers resulting from the collection of information.</w:t>
      </w:r>
      <w:r>
        <w:t xml:space="preserve"> </w:t>
      </w:r>
      <w:r w:rsidRPr="00AC0636">
        <w:t xml:space="preserve">(Do not include the cost of any hour burden </w:t>
      </w:r>
      <w:r w:rsidRPr="00AD2AED" w:rsidR="00AD2AED">
        <w:t>already reflected on the burden worksheet</w:t>
      </w:r>
      <w:r w:rsidRPr="00AC0636">
        <w:t>).</w:t>
      </w:r>
    </w:p>
    <w:p w:rsidR="00AC0636" w:rsidRPr="001A44EB" w:rsidP="001A44EB" w14:paraId="56B2E4BC" w14:textId="3C0C6014">
      <w:pPr>
        <w:pStyle w:val="ListParagraph"/>
        <w:numPr>
          <w:ilvl w:val="0"/>
          <w:numId w:val="2"/>
        </w:numPr>
        <w:rPr>
          <w:b/>
          <w:bCs/>
        </w:rPr>
      </w:pPr>
      <w:r w:rsidRPr="001A44EB">
        <w:rPr>
          <w:b/>
          <w:bCs/>
        </w:rPr>
        <w:t xml:space="preserve">The cost estimate should be split into two components: (a) a total capital and </w:t>
      </w:r>
      <w:r w:rsidRPr="001A44EB">
        <w:rPr>
          <w:b/>
          <w:bCs/>
        </w:rPr>
        <w:t>start up</w:t>
      </w:r>
      <w:r w:rsidRPr="001A44EB">
        <w:rPr>
          <w:b/>
          <w:bCs/>
        </w:rPr>
        <w:t xml:space="preserve"> cost component (annualized over its expected useful life); and (b) a total operation and maintenance and purchase of service</w:t>
      </w:r>
      <w:r w:rsidR="004F535F">
        <w:rPr>
          <w:b/>
          <w:bCs/>
        </w:rPr>
        <w:t>s</w:t>
      </w:r>
      <w:r w:rsidRPr="001A44EB">
        <w:rPr>
          <w:b/>
          <w:bCs/>
        </w:rPr>
        <w:t xml:space="preserve"> component. The estimates should </w:t>
      </w:r>
      <w:r w:rsidRPr="001A44EB">
        <w:rPr>
          <w:b/>
          <w:bCs/>
        </w:rPr>
        <w:t>take into account</w:t>
      </w:r>
      <w:r w:rsidRPr="001A44EB">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A44EB">
        <w:rPr>
          <w:b/>
          <w:bCs/>
        </w:rPr>
        <w:t>time period</w:t>
      </w:r>
      <w:r w:rsidRPr="001A44EB">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AC0636" w:rsidRPr="001A44EB" w:rsidP="001A44EB" w14:paraId="5041A6EA" w14:textId="4156A75F">
      <w:pPr>
        <w:pStyle w:val="ListParagraph"/>
        <w:numPr>
          <w:ilvl w:val="0"/>
          <w:numId w:val="2"/>
        </w:numPr>
        <w:rPr>
          <w:b/>
          <w:bCs/>
        </w:rPr>
      </w:pPr>
      <w:r w:rsidRPr="001A44EB">
        <w:rPr>
          <w:b/>
          <w:bCs/>
        </w:rPr>
        <w:t>If cost estimates are expected to vary widely, agencies should present ranges of cost burdens and explain the reasons for the variance. The cost of purchasing or contracting out information collection</w:t>
      </w:r>
      <w:r w:rsidR="00502DEB">
        <w:rPr>
          <w:b/>
          <w:bCs/>
        </w:rPr>
        <w:t>s</w:t>
      </w:r>
      <w:r w:rsidRPr="001A44EB">
        <w:rPr>
          <w:b/>
          <w:bCs/>
        </w:rPr>
        <w:t xml:space="preserve">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C0636" w:rsidP="001A44EB" w14:paraId="6BF7DF2F" w14:textId="0C46159D">
      <w:pPr>
        <w:pStyle w:val="ListParagraph"/>
        <w:numPr>
          <w:ilvl w:val="0"/>
          <w:numId w:val="2"/>
        </w:numPr>
        <w:rPr>
          <w:b/>
          <w:bCs/>
        </w:rPr>
      </w:pPr>
      <w:r w:rsidRPr="001A44EB">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72C1" w:rsidRPr="00B072C1" w:rsidP="00B072C1" w14:paraId="78ACC770" w14:textId="4F59CBFF">
      <w:pPr>
        <w:widowControl/>
        <w:rPr>
          <w:color w:val="000000"/>
        </w:rPr>
      </w:pPr>
      <w:r w:rsidRPr="00B072C1">
        <w:rPr>
          <w:color w:val="000000"/>
        </w:rPr>
        <w:t xml:space="preserve">The Department associates no capital, start-up, operation, or maintenance costs with this information collection. </w:t>
      </w:r>
      <w:r w:rsidR="00870388">
        <w:rPr>
          <w:color w:val="000000"/>
        </w:rPr>
        <w:t>Respondents directly provide c</w:t>
      </w:r>
      <w:r w:rsidRPr="00B072C1">
        <w:rPr>
          <w:color w:val="000000"/>
        </w:rPr>
        <w:t xml:space="preserve">opies of vacation benefit seniority lists, conformance records, </w:t>
      </w:r>
      <w:r>
        <w:t>indexed conformance records</w:t>
      </w:r>
      <w:r w:rsidRPr="00B072C1">
        <w:rPr>
          <w:color w:val="000000"/>
        </w:rPr>
        <w:t xml:space="preserve">, and </w:t>
      </w:r>
      <w:r w:rsidRPr="00B072C1">
        <w:rPr>
          <w:color w:val="000000"/>
        </w:rPr>
        <w:t>CBAs  to</w:t>
      </w:r>
      <w:r w:rsidRPr="00B072C1">
        <w:rPr>
          <w:color w:val="000000"/>
        </w:rPr>
        <w:t xml:space="preserve"> the contracting agency for appropriate action.</w:t>
      </w:r>
    </w:p>
    <w:p w:rsidR="00AC0636" w:rsidRPr="00AC0636" w:rsidP="006D00E7" w14:paraId="3CA7D86D" w14:textId="010B36E9">
      <w:pPr>
        <w:pStyle w:val="Heading2"/>
      </w:pPr>
      <w:r w:rsidRPr="00AC0636">
        <w:t>Provide estimates of the annualized cost to the Federal Government.</w:t>
      </w:r>
      <w:r>
        <w:t xml:space="preserve"> </w:t>
      </w:r>
      <w:r w:rsidRPr="00AC0636">
        <w:t xml:space="preserve">Also, provide a description of the method used to estimate cost, which should include quantification of hours, operational expenses (such as equipment, overhead, printing, and support staff), </w:t>
      </w:r>
      <w:r w:rsidR="00F22404">
        <w:t xml:space="preserve">and </w:t>
      </w:r>
      <w:r w:rsidRPr="00AC0636">
        <w:t xml:space="preserve">any other </w:t>
      </w:r>
      <w:r w:rsidRPr="00AC0636">
        <w:t>expense</w:t>
      </w:r>
      <w:r w:rsidRPr="00AC0636">
        <w:t xml:space="preserve"> that would not have been incurred without this collection of information.</w:t>
      </w:r>
      <w:r>
        <w:t xml:space="preserve"> </w:t>
      </w:r>
      <w:r w:rsidRPr="00AC0636">
        <w:t>Agencies also may aggregate cost estimates from Items 12, 13, and 14 in a single table.</w:t>
      </w:r>
    </w:p>
    <w:p w:rsidR="00C47269" w:rsidP="00C47269" w14:paraId="37FD5F29" w14:textId="4C51686E">
      <w:pPr>
        <w:widowControl/>
      </w:pPr>
      <w:r>
        <w:t>There are no estimated annualized costs to the federal government, as vacation benefit lists, conformance records, indexed conformance records, and collective bargaining agreements are all transmitted electronically.</w:t>
      </w:r>
    </w:p>
    <w:p w:rsidR="00AC0636" w:rsidRPr="00AC0636" w:rsidP="006D00E7" w14:paraId="45CDC8C7" w14:textId="1A4D92FA">
      <w:pPr>
        <w:pStyle w:val="Heading2"/>
      </w:pPr>
      <w:r w:rsidRPr="00AC0636">
        <w:t>Explain the reasons for any program changes or adjustments</w:t>
      </w:r>
      <w:r w:rsidR="001D6110">
        <w:t xml:space="preserve"> reported on the burden worksheet</w:t>
      </w:r>
      <w:r w:rsidRPr="00AC0636">
        <w:t>.</w:t>
      </w:r>
    </w:p>
    <w:p w:rsidR="009C0D55" w:rsidP="00C84E32" w14:paraId="460D7810" w14:textId="77777777">
      <w:pPr>
        <w:widowControl/>
      </w:pPr>
      <w:r w:rsidRPr="008E244F">
        <w:t>Changes reported on the burden worksheet do not result from changes to the regulations; they result because updated data has been used, resulting in adjustments to the burden worksheet.</w:t>
      </w:r>
    </w:p>
    <w:p w:rsidR="00D26BD0" w:rsidP="00C84E32" w14:paraId="6231E3A6" w14:textId="00980037">
      <w:pPr>
        <w:widowControl/>
        <w:rPr>
          <w:color w:val="000000"/>
        </w:rPr>
      </w:pPr>
      <w:r>
        <w:rPr>
          <w:color w:val="000000"/>
        </w:rPr>
        <w:t>The data used to calculate the benefits cost portion of a respondent’s hourly rate has been updated to use the ECEC data for private industry workers instead of civilian workers, resulting in benefits decrease from 45% to 42%.</w:t>
      </w:r>
    </w:p>
    <w:p w:rsidR="00AC0636" w:rsidRPr="00C84E32" w:rsidP="00C84E32" w14:paraId="41BEF4C0" w14:textId="42F3E847">
      <w:pPr>
        <w:widowControl/>
        <w:rPr>
          <w:color w:val="000000"/>
        </w:rPr>
      </w:pPr>
      <w:r>
        <w:rPr>
          <w:color w:val="000000"/>
        </w:rPr>
        <w:t>However, t</w:t>
      </w:r>
      <w:r w:rsidRPr="00EB03B8" w:rsidR="00C84E32">
        <w:rPr>
          <w:color w:val="000000"/>
        </w:rPr>
        <w:t>he overall burden</w:t>
      </w:r>
      <w:r w:rsidR="006371CD">
        <w:rPr>
          <w:color w:val="000000"/>
        </w:rPr>
        <w:t xml:space="preserve"> </w:t>
      </w:r>
      <w:r w:rsidRPr="00EB03B8" w:rsidR="00C84E32">
        <w:rPr>
          <w:color w:val="000000"/>
        </w:rPr>
        <w:t xml:space="preserve">has increased, because </w:t>
      </w:r>
      <w:r w:rsidR="00C84E32">
        <w:rPr>
          <w:color w:val="000000"/>
        </w:rPr>
        <w:t xml:space="preserve">compared to </w:t>
      </w:r>
      <w:r w:rsidR="007D5D6B">
        <w:rPr>
          <w:color w:val="000000"/>
        </w:rPr>
        <w:t>2022,</w:t>
      </w:r>
      <w:r w:rsidR="00C84E32">
        <w:rPr>
          <w:color w:val="000000"/>
        </w:rPr>
        <w:t xml:space="preserve"> when the Department last extended this paperwork package, there </w:t>
      </w:r>
      <w:r w:rsidR="006B0D5E">
        <w:rPr>
          <w:color w:val="000000"/>
        </w:rPr>
        <w:t>are increased</w:t>
      </w:r>
      <w:r w:rsidR="00C84E32">
        <w:rPr>
          <w:color w:val="000000"/>
        </w:rPr>
        <w:t xml:space="preserve"> c</w:t>
      </w:r>
      <w:r w:rsidR="00071D59">
        <w:rPr>
          <w:color w:val="000000"/>
        </w:rPr>
        <w:t>ontracts</w:t>
      </w:r>
      <w:r w:rsidR="00C84E32">
        <w:rPr>
          <w:color w:val="000000"/>
        </w:rPr>
        <w:t>,</w:t>
      </w:r>
      <w:r w:rsidR="006B0D5E">
        <w:rPr>
          <w:color w:val="000000"/>
        </w:rPr>
        <w:t xml:space="preserve"> and</w:t>
      </w:r>
      <w:r w:rsidR="00C84E32">
        <w:rPr>
          <w:color w:val="000000"/>
        </w:rPr>
        <w:t xml:space="preserve"> a greater number of </w:t>
      </w:r>
      <w:r w:rsidR="008C3B31">
        <w:rPr>
          <w:color w:val="000000"/>
        </w:rPr>
        <w:t>conform</w:t>
      </w:r>
      <w:r w:rsidR="00DC3149">
        <w:rPr>
          <w:color w:val="000000"/>
        </w:rPr>
        <w:t>ances</w:t>
      </w:r>
      <w:r w:rsidR="00C84E32">
        <w:rPr>
          <w:color w:val="000000"/>
        </w:rPr>
        <w:t>,</w:t>
      </w:r>
      <w:r w:rsidR="00DC3149">
        <w:rPr>
          <w:color w:val="000000"/>
        </w:rPr>
        <w:t xml:space="preserve"> indexed conformances, and collective bargaining agreements,</w:t>
      </w:r>
      <w:r w:rsidR="00C84E32">
        <w:rPr>
          <w:color w:val="000000"/>
        </w:rPr>
        <w:t xml:space="preserve"> which, coupled with wage increases, resulted in greater costs.</w:t>
      </w:r>
      <w:r w:rsidR="00B45EBC">
        <w:rPr>
          <w:color w:val="000000"/>
        </w:rPr>
        <w:t xml:space="preserve"> </w:t>
      </w:r>
    </w:p>
    <w:p w:rsidR="00AC0636" w:rsidRPr="00AC0636" w:rsidP="006D00E7" w14:paraId="55C03342" w14:textId="72655678">
      <w:pPr>
        <w:pStyle w:val="Heading2"/>
      </w:pPr>
      <w:r w:rsidRPr="00AC0636">
        <w:t>For collections of information whose results will be published, outline plans for tabulation and publication.</w:t>
      </w:r>
      <w:r>
        <w:t xml:space="preserve"> </w:t>
      </w:r>
      <w:r w:rsidRPr="00AC0636">
        <w:t>Address any complex analytical techniques that will be used.</w:t>
      </w:r>
      <w:r>
        <w:t xml:space="preserve"> </w:t>
      </w:r>
      <w:r w:rsidRPr="00AC0636">
        <w:t>Provide the time schedule for the entire project, including beginning and ending dates of the collection of information, completion of report, publication dates, and other actions.</w:t>
      </w:r>
    </w:p>
    <w:p w:rsidR="001A44EB" w:rsidRPr="00803422" w:rsidP="001A44EB" w14:paraId="5C305030" w14:textId="3C35E0F8">
      <w:pPr>
        <w:tabs>
          <w:tab w:val="left" w:pos="720"/>
        </w:tabs>
      </w:pPr>
      <w:r w:rsidRPr="00803422">
        <w:t>The D</w:t>
      </w:r>
      <w:r>
        <w:t xml:space="preserve">epartment </w:t>
      </w:r>
      <w:r w:rsidR="00A6313B">
        <w:t>does not plan to</w:t>
      </w:r>
      <w:r w:rsidRPr="00803422">
        <w:t xml:space="preserve"> publish the results of </w:t>
      </w:r>
      <w:r w:rsidRPr="00803422" w:rsidR="00A6313B">
        <w:t>th</w:t>
      </w:r>
      <w:r w:rsidR="00A6313B">
        <w:t xml:space="preserve">is </w:t>
      </w:r>
      <w:r w:rsidRPr="00803422">
        <w:t>information collection.</w:t>
      </w:r>
    </w:p>
    <w:p w:rsidR="00AC0636" w:rsidRPr="00AC0636" w:rsidP="006D00E7" w14:paraId="70A635C7" w14:textId="15ED40D3">
      <w:pPr>
        <w:pStyle w:val="Heading2"/>
      </w:pPr>
      <w:r w:rsidRPr="00AC0636">
        <w:t>If seeking approval to not display the expiration date for OMB approval of the information collection, explain the reasons that display would be inappropriate.</w:t>
      </w:r>
    </w:p>
    <w:p w:rsidR="001A44EB" w:rsidRPr="00803422" w:rsidP="001A44EB" w14:paraId="6917561D" w14:textId="69569B10">
      <w:pPr>
        <w:tabs>
          <w:tab w:val="left" w:pos="720"/>
        </w:tabs>
      </w:pPr>
      <w:r w:rsidRPr="00803422">
        <w:t>The</w:t>
      </w:r>
      <w:r>
        <w:t xml:space="preserve"> </w:t>
      </w:r>
      <w:r w:rsidRPr="00803422">
        <w:t>D</w:t>
      </w:r>
      <w:r>
        <w:t>epartment</w:t>
      </w:r>
      <w:r w:rsidRPr="00803422">
        <w:t xml:space="preserve"> does not seek an exception to the requirement to display the expiration date </w:t>
      </w:r>
      <w:r w:rsidR="00FD58BE">
        <w:t>on this</w:t>
      </w:r>
      <w:r w:rsidRPr="00803422">
        <w:t xml:space="preserve"> information collection.</w:t>
      </w:r>
    </w:p>
    <w:p w:rsidR="00AC0636" w:rsidRPr="00AC0636" w:rsidP="006D00E7" w14:paraId="36EDEC99" w14:textId="3A87A761">
      <w:pPr>
        <w:pStyle w:val="Heading2"/>
      </w:pPr>
      <w:r w:rsidRPr="00AC0636">
        <w:t xml:space="preserve">Explain each exception to </w:t>
      </w:r>
      <w:r w:rsidRPr="00DF4AE1" w:rsidR="00DF4AE1">
        <w:t>the topics of the certification statement identified in “Certification for Paperwork Reduction Act Submissions.”</w:t>
      </w:r>
    </w:p>
    <w:p w:rsidR="001A44EB" w:rsidRPr="00803422" w:rsidP="001A44EB" w14:paraId="19DD5888" w14:textId="0A49DFC8">
      <w:pPr>
        <w:widowControl/>
        <w:tabs>
          <w:tab w:val="left" w:pos="720"/>
        </w:tabs>
        <w:suppressAutoHyphens/>
      </w:pPr>
      <w:r w:rsidRPr="00803422">
        <w:t>The D</w:t>
      </w:r>
      <w:r>
        <w:t>epartment</w:t>
      </w:r>
      <w:r w:rsidRPr="00803422">
        <w:t xml:space="preserve"> is not requesting an exception to any of the certification requirements for </w:t>
      </w:r>
      <w:r w:rsidRPr="00803422" w:rsidR="00C74755">
        <w:t>th</w:t>
      </w:r>
      <w:r w:rsidR="00C74755">
        <w:t xml:space="preserve">is </w:t>
      </w:r>
      <w:r w:rsidRPr="00803422">
        <w:t>information collection.</w:t>
      </w:r>
    </w:p>
    <w:p w:rsidR="00AC0636" w:rsidP="007B2377" w14:paraId="30616660" w14:textId="441A7A4F">
      <w:pPr>
        <w:pStyle w:val="Heading1"/>
      </w:pPr>
      <w:r>
        <w:t xml:space="preserve">Part </w:t>
      </w:r>
      <w:r w:rsidRPr="00AC0636">
        <w:t>B. COLLECTIONS OF INFORMATON EMPLOYING STATISTICAL METHODS.</w:t>
      </w:r>
    </w:p>
    <w:p w:rsidR="001A44EB" w:rsidRPr="004D46F6" w:rsidP="001A44EB" w14:paraId="74DE7F85" w14:textId="248CE53F">
      <w:pPr>
        <w:suppressAutoHyphens/>
        <w:jc w:val="both"/>
      </w:pPr>
      <w:r>
        <w:t xml:space="preserve">This </w:t>
      </w:r>
      <w:r w:rsidR="006E6D0D">
        <w:t xml:space="preserve">information </w:t>
      </w:r>
      <w:r>
        <w:t>collection does not employ statistical methods.</w:t>
      </w:r>
    </w:p>
    <w:sectPr>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184" w14:paraId="0E6B82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6741071"/>
      <w:docPartObj>
        <w:docPartGallery w:val="Page Numbers (Bottom of Page)"/>
        <w:docPartUnique/>
      </w:docPartObj>
    </w:sdtPr>
    <w:sdtEndPr>
      <w:rPr>
        <w:noProof/>
      </w:rPr>
    </w:sdtEndPr>
    <w:sdtContent>
      <w:p w:rsidR="006E6D0D" w14:paraId="5A7FBCC6" w14:textId="385EC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184" w14:paraId="2B920B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21C7" w:rsidP="00AC0636" w14:paraId="26EEFE3E" w14:textId="77777777">
      <w:pPr>
        <w:spacing w:after="0"/>
      </w:pPr>
      <w:r>
        <w:separator/>
      </w:r>
    </w:p>
  </w:footnote>
  <w:footnote w:type="continuationSeparator" w:id="1">
    <w:p w:rsidR="000E21C7" w:rsidP="00AC0636" w14:paraId="3BC6DBB7" w14:textId="77777777">
      <w:pPr>
        <w:spacing w:after="0"/>
      </w:pPr>
      <w:r>
        <w:continuationSeparator/>
      </w:r>
    </w:p>
  </w:footnote>
  <w:footnote w:type="continuationNotice" w:id="2">
    <w:p w:rsidR="000E21C7" w14:paraId="154EAF37" w14:textId="77777777">
      <w:pPr>
        <w:spacing w:after="0"/>
      </w:pPr>
    </w:p>
  </w:footnote>
  <w:footnote w:id="3">
    <w:p w:rsidR="000C387F" w:rsidRPr="00306811" w:rsidP="000C387F" w14:paraId="053B560D" w14:textId="77777777">
      <w:pPr>
        <w:pStyle w:val="FootnoteText"/>
        <w:spacing w:before="0"/>
        <w:rPr>
          <w:sz w:val="24"/>
          <w:szCs w:val="24"/>
        </w:rPr>
      </w:pPr>
      <w:r w:rsidRPr="00306811">
        <w:rPr>
          <w:rStyle w:val="FootnoteReference"/>
          <w:sz w:val="24"/>
          <w:szCs w:val="24"/>
        </w:rPr>
        <w:footnoteRef/>
      </w:r>
      <w:r w:rsidRPr="00306811">
        <w:rPr>
          <w:sz w:val="24"/>
          <w:szCs w:val="24"/>
        </w:rPr>
        <w:t xml:space="preserve"> </w:t>
      </w:r>
      <w:hyperlink r:id="rId1" w:anchor="/" w:history="1">
        <w:r w:rsidRPr="00306811">
          <w:rPr>
            <w:rStyle w:val="Hyperlink"/>
            <w:sz w:val="24"/>
            <w:szCs w:val="24"/>
          </w:rPr>
          <w:t>USAspending</w:t>
        </w:r>
      </w:hyperlink>
      <w:r w:rsidRPr="00306811">
        <w:rPr>
          <w:sz w:val="24"/>
          <w:szCs w:val="24"/>
        </w:rPr>
        <w:t xml:space="preserve"> is the official source of spending data for the U.S. Government. The contract award data made available on USAspending was retrieved from the Federal Procurement Data System Next Generation (</w:t>
      </w:r>
      <w:hyperlink r:id="rId2" w:history="1">
        <w:r w:rsidRPr="00306811">
          <w:rPr>
            <w:rStyle w:val="Hyperlink"/>
            <w:sz w:val="24"/>
            <w:szCs w:val="24"/>
          </w:rPr>
          <w:t>FPDS-NG</w:t>
        </w:r>
      </w:hyperlink>
      <w:r w:rsidRPr="00306811">
        <w:rPr>
          <w:sz w:val="24"/>
          <w:szCs w:val="24"/>
        </w:rPr>
        <w:t xml:space="preserve">), which is the system of record for federal procurements. </w:t>
      </w:r>
    </w:p>
  </w:footnote>
  <w:footnote w:id="4">
    <w:p w:rsidR="00071BA9" w:rsidP="007F3D09" w14:paraId="12E169F1" w14:textId="1F7D0D4C">
      <w:pPr>
        <w:pStyle w:val="FootnoteText"/>
        <w:spacing w:before="0"/>
      </w:pPr>
      <w:r>
        <w:rPr>
          <w:rStyle w:val="FootnoteReference"/>
        </w:rPr>
        <w:footnoteRef/>
      </w:r>
      <w:r>
        <w:t xml:space="preserve"> </w:t>
      </w:r>
      <w:r w:rsidRPr="00306811">
        <w:rPr>
          <w:sz w:val="24"/>
          <w:szCs w:val="24"/>
        </w:rPr>
        <w:t>When needed, all numbers in this supporting statement are rounded to the nearest whole number or dollar amount.</w:t>
      </w:r>
    </w:p>
  </w:footnote>
  <w:footnote w:id="5">
    <w:p w:rsidR="000C387F" w:rsidRPr="00306811" w:rsidP="007F3D09" w14:paraId="2F16D619" w14:textId="4F1AA145">
      <w:pPr>
        <w:pStyle w:val="FootnoteText"/>
        <w:spacing w:before="0"/>
        <w:rPr>
          <w:sz w:val="24"/>
          <w:szCs w:val="24"/>
        </w:rPr>
      </w:pPr>
      <w:r w:rsidRPr="00306811">
        <w:rPr>
          <w:rStyle w:val="FootnoteReference"/>
          <w:sz w:val="24"/>
          <w:szCs w:val="24"/>
        </w:rPr>
        <w:footnoteRef/>
      </w:r>
      <w:r w:rsidRPr="00306811">
        <w:rPr>
          <w:sz w:val="24"/>
          <w:szCs w:val="24"/>
        </w:rPr>
        <w:t xml:space="preserve"> </w:t>
      </w:r>
      <w:r w:rsidRPr="00306811">
        <w:rPr>
          <w:i/>
          <w:color w:val="000000"/>
          <w:sz w:val="24"/>
          <w:szCs w:val="24"/>
        </w:rPr>
        <w:t xml:space="preserve">The Employment Situation, </w:t>
      </w:r>
      <w:r w:rsidR="001550B5">
        <w:rPr>
          <w:i/>
          <w:color w:val="000000"/>
          <w:sz w:val="24"/>
          <w:szCs w:val="24"/>
        </w:rPr>
        <w:t>September</w:t>
      </w:r>
      <w:r w:rsidR="00B6546D">
        <w:rPr>
          <w:i/>
          <w:color w:val="000000"/>
          <w:sz w:val="24"/>
          <w:szCs w:val="24"/>
        </w:rPr>
        <w:t xml:space="preserve"> 2025</w:t>
      </w:r>
      <w:r w:rsidRPr="00306811">
        <w:rPr>
          <w:color w:val="000000"/>
          <w:sz w:val="24"/>
          <w:szCs w:val="24"/>
        </w:rPr>
        <w:t xml:space="preserve">, Table B-8, U.S. Department of Labor, Bureau of Labor Statistics, </w:t>
      </w:r>
      <w:r w:rsidRPr="009B7938" w:rsidR="009B7938">
        <w:rPr>
          <w:color w:val="000000"/>
          <w:sz w:val="24"/>
          <w:szCs w:val="24"/>
        </w:rPr>
        <w:t>(</w:t>
      </w:r>
      <w:r w:rsidRPr="009B7938" w:rsidR="009B7938">
        <w:rPr>
          <w:sz w:val="24"/>
          <w:szCs w:val="24"/>
        </w:rPr>
        <w:t>https://www.bls.gov/news.release/archives/empsit_11202025.pdf</w:t>
      </w:r>
      <w:r w:rsidRPr="009B7938">
        <w:rPr>
          <w:color w:val="000000"/>
          <w:sz w:val="24"/>
          <w:szCs w:val="24"/>
        </w:rPr>
        <w:t>).</w:t>
      </w:r>
    </w:p>
  </w:footnote>
  <w:footnote w:id="6">
    <w:p w:rsidR="00334A3B" w:rsidRPr="00067D06" w:rsidP="007F3D09" w14:paraId="7F118DE4" w14:textId="479CA185">
      <w:pPr>
        <w:pStyle w:val="FootnoteText"/>
        <w:spacing w:before="0"/>
        <w:rPr>
          <w:sz w:val="24"/>
          <w:szCs w:val="24"/>
        </w:rPr>
      </w:pPr>
      <w:r w:rsidRPr="00067D06">
        <w:rPr>
          <w:rStyle w:val="FootnoteReference"/>
          <w:sz w:val="24"/>
          <w:szCs w:val="24"/>
        </w:rPr>
        <w:footnoteRef/>
      </w:r>
      <w:r w:rsidRPr="00067D06">
        <w:rPr>
          <w:sz w:val="24"/>
          <w:szCs w:val="24"/>
        </w:rPr>
        <w:t xml:space="preserve"> </w:t>
      </w:r>
      <w:r w:rsidRPr="00067D06" w:rsidR="00830CD6">
        <w:rPr>
          <w:i/>
          <w:iCs/>
          <w:sz w:val="24"/>
          <w:szCs w:val="24"/>
        </w:rPr>
        <w:t>Employer Costs for Employee Compensation,</w:t>
      </w:r>
      <w:r w:rsidR="00830CD6">
        <w:rPr>
          <w:i/>
          <w:iCs/>
          <w:sz w:val="24"/>
          <w:szCs w:val="24"/>
        </w:rPr>
        <w:t xml:space="preserve"> September 2024-</w:t>
      </w:r>
      <w:r w:rsidRPr="00067D06" w:rsidR="00830CD6">
        <w:rPr>
          <w:i/>
          <w:iCs/>
          <w:sz w:val="24"/>
          <w:szCs w:val="24"/>
        </w:rPr>
        <w:t>June 2025</w:t>
      </w:r>
      <w:r w:rsidRPr="00067D06" w:rsidR="00830CD6">
        <w:rPr>
          <w:sz w:val="24"/>
          <w:szCs w:val="24"/>
        </w:rPr>
        <w:t xml:space="preserve">, </w:t>
      </w:r>
      <w:r w:rsidR="00830CD6">
        <w:rPr>
          <w:sz w:val="24"/>
          <w:szCs w:val="24"/>
        </w:rPr>
        <w:t xml:space="preserve">Table 1, </w:t>
      </w:r>
      <w:r w:rsidRPr="00160D33" w:rsidR="00830CD6">
        <w:rPr>
          <w:sz w:val="24"/>
          <w:szCs w:val="24"/>
        </w:rPr>
        <w:t>quarterly total benefit private industry average</w:t>
      </w:r>
      <w:r w:rsidR="00830CD6">
        <w:rPr>
          <w:sz w:val="24"/>
          <w:szCs w:val="24"/>
        </w:rPr>
        <w:t xml:space="preserve">, </w:t>
      </w:r>
      <w:r w:rsidRPr="00067D06" w:rsidR="00830CD6">
        <w:rPr>
          <w:sz w:val="24"/>
          <w:szCs w:val="24"/>
        </w:rPr>
        <w:t>U.S. Department of Labor, Bureau of Labor Statistics (</w:t>
      </w:r>
      <w:r w:rsidRPr="001351D6" w:rsidR="00830CD6">
        <w:rPr>
          <w:sz w:val="24"/>
          <w:szCs w:val="24"/>
        </w:rPr>
        <w:t>https://www.bls.gov/bls/news-release/ecec.htm#current</w:t>
      </w:r>
      <w:r w:rsidRPr="00067D06" w:rsidR="00830CD6">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184" w14:paraId="2AF7F7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88A" w:rsidP="00AC0636" w14:paraId="5233D419" w14:textId="7C45544F">
    <w:pPr>
      <w:pStyle w:val="Header"/>
    </w:pPr>
    <w:r w:rsidRPr="00644EFA">
      <w:t xml:space="preserve">Labor Standards </w:t>
    </w:r>
    <w:r>
      <w:t>f</w:t>
    </w:r>
    <w:r w:rsidRPr="00644EFA">
      <w:t xml:space="preserve">or Federal Service Contracts </w:t>
    </w:r>
  </w:p>
  <w:p w:rsidR="00AC0636" w:rsidRPr="00AC0636" w:rsidP="00AC0636" w14:paraId="2F098413" w14:textId="1CCF2522">
    <w:pPr>
      <w:pStyle w:val="Header"/>
    </w:pPr>
    <w:r w:rsidRPr="00AC0636">
      <w:t>OMB Control Number</w:t>
    </w:r>
    <w:r w:rsidR="00093184">
      <w:t>:</w:t>
    </w:r>
    <w:r w:rsidRPr="00AC0636">
      <w:t xml:space="preserve"> </w:t>
    </w:r>
    <w:r w:rsidR="001A44EB">
      <w:t>1235-</w:t>
    </w:r>
    <w:r w:rsidR="008D388A">
      <w:t>0007</w:t>
    </w:r>
  </w:p>
  <w:p w:rsidR="00AC0636" w:rsidRPr="00AC0636" w:rsidP="00AC0636" w14:paraId="1DC11343" w14:textId="423DB05A">
    <w:pPr>
      <w:pStyle w:val="Header"/>
    </w:pPr>
    <w:r w:rsidRPr="00AC0636">
      <w:t>OMB Expiration Date:</w:t>
    </w:r>
    <w:r w:rsidR="008D388A">
      <w:t xml:space="preserve"> </w:t>
    </w:r>
    <w:r w:rsidR="00C73446">
      <w:t>12/31/2025</w:t>
    </w:r>
  </w:p>
  <w:p w:rsidR="00AC0636" w:rsidP="00AC0636" w14:paraId="2119F5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184" w14:paraId="76A3CD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F381D"/>
    <w:multiLevelType w:val="hybridMultilevel"/>
    <w:tmpl w:val="DBBAE7D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FC80293"/>
    <w:multiLevelType w:val="hybridMultilevel"/>
    <w:tmpl w:val="DCF43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B118A3"/>
    <w:multiLevelType w:val="hybridMultilevel"/>
    <w:tmpl w:val="DCECCAF4"/>
    <w:lvl w:ilvl="0">
      <w:start w:val="1"/>
      <w:numFmt w:val="decimal"/>
      <w:lvlText w:val="%1."/>
      <w:lvlJc w:val="left"/>
      <w:pPr>
        <w:ind w:left="36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7D95A11"/>
    <w:multiLevelType w:val="hybridMultilevel"/>
    <w:tmpl w:val="5E844494"/>
    <w:lvl w:ilvl="0">
      <w:start w:val="1"/>
      <w:numFmt w:val="upperLetter"/>
      <w:lvlText w:val="%1."/>
      <w:lvlJc w:val="left"/>
      <w:pPr>
        <w:ind w:left="1080" w:hanging="360"/>
      </w:pPr>
      <w:rPr>
        <w:rFonts w:hint="default"/>
        <w:b/>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84B0979"/>
    <w:multiLevelType w:val="hybridMultilevel"/>
    <w:tmpl w:val="20223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C420AEA"/>
    <w:multiLevelType w:val="hybridMultilevel"/>
    <w:tmpl w:val="62781244"/>
    <w:lvl w:ilvl="0">
      <w:start w:val="1"/>
      <w:numFmt w:val="upperLetter"/>
      <w:lvlText w:val="%1."/>
      <w:lvlJc w:val="left"/>
      <w:pPr>
        <w:ind w:left="936" w:hanging="360"/>
      </w:pPr>
      <w:rPr>
        <w:rFonts w:hint="default"/>
        <w:b w:val="0"/>
        <w:bCs/>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6">
    <w:nsid w:val="5C9F0F3C"/>
    <w:multiLevelType w:val="hybridMultilevel"/>
    <w:tmpl w:val="64C2D7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A71B07"/>
    <w:multiLevelType w:val="hybridMultilevel"/>
    <w:tmpl w:val="BBFC61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5896073"/>
    <w:multiLevelType w:val="hybridMultilevel"/>
    <w:tmpl w:val="85661A62"/>
    <w:lvl w:ilvl="0">
      <w:start w:val="1"/>
      <w:numFmt w:val="upperLetter"/>
      <w:pStyle w:val="Heading3"/>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7C7031E1"/>
    <w:multiLevelType w:val="hybridMultilevel"/>
    <w:tmpl w:val="687E2054"/>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50164">
    <w:abstractNumId w:val="4"/>
  </w:num>
  <w:num w:numId="2" w16cid:durableId="1711950059">
    <w:abstractNumId w:val="1"/>
  </w:num>
  <w:num w:numId="3" w16cid:durableId="1390113301">
    <w:abstractNumId w:val="5"/>
  </w:num>
  <w:num w:numId="4" w16cid:durableId="1214152340">
    <w:abstractNumId w:val="3"/>
  </w:num>
  <w:num w:numId="5" w16cid:durableId="1326473951">
    <w:abstractNumId w:val="2"/>
  </w:num>
  <w:num w:numId="6" w16cid:durableId="1304965901">
    <w:abstractNumId w:val="0"/>
  </w:num>
  <w:num w:numId="7" w16cid:durableId="1168710901">
    <w:abstractNumId w:val="7"/>
  </w:num>
  <w:num w:numId="8" w16cid:durableId="932979925">
    <w:abstractNumId w:val="6"/>
  </w:num>
  <w:num w:numId="9" w16cid:durableId="639113723">
    <w:abstractNumId w:val="8"/>
  </w:num>
  <w:num w:numId="10" w16cid:durableId="18628879">
    <w:abstractNumId w:val="8"/>
    <w:lvlOverride w:ilvl="0">
      <w:startOverride w:val="1"/>
    </w:lvlOverride>
  </w:num>
  <w:num w:numId="11" w16cid:durableId="1015419494">
    <w:abstractNumId w:val="8"/>
    <w:lvlOverride w:ilvl="0">
      <w:startOverride w:val="1"/>
    </w:lvlOverride>
  </w:num>
  <w:num w:numId="12" w16cid:durableId="860510827">
    <w:abstractNumId w:val="8"/>
    <w:lvlOverride w:ilvl="0">
      <w:startOverride w:val="1"/>
    </w:lvlOverride>
  </w:num>
  <w:num w:numId="13" w16cid:durableId="1762750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36"/>
    <w:rsid w:val="0000585A"/>
    <w:rsid w:val="000103CE"/>
    <w:rsid w:val="00010A9D"/>
    <w:rsid w:val="000141F2"/>
    <w:rsid w:val="0001614B"/>
    <w:rsid w:val="000247E0"/>
    <w:rsid w:val="0003066C"/>
    <w:rsid w:val="0004106F"/>
    <w:rsid w:val="0004166A"/>
    <w:rsid w:val="000419D5"/>
    <w:rsid w:val="00042CF4"/>
    <w:rsid w:val="00043E2F"/>
    <w:rsid w:val="00044076"/>
    <w:rsid w:val="000464DE"/>
    <w:rsid w:val="00047600"/>
    <w:rsid w:val="0005265C"/>
    <w:rsid w:val="00053685"/>
    <w:rsid w:val="0005621F"/>
    <w:rsid w:val="0006041B"/>
    <w:rsid w:val="00064101"/>
    <w:rsid w:val="000648EF"/>
    <w:rsid w:val="000656F1"/>
    <w:rsid w:val="00067D06"/>
    <w:rsid w:val="00070562"/>
    <w:rsid w:val="00070C6B"/>
    <w:rsid w:val="00071BA9"/>
    <w:rsid w:val="00071D3D"/>
    <w:rsid w:val="00071D59"/>
    <w:rsid w:val="000764E8"/>
    <w:rsid w:val="000764F3"/>
    <w:rsid w:val="00077380"/>
    <w:rsid w:val="00093184"/>
    <w:rsid w:val="00095ABC"/>
    <w:rsid w:val="000A4FB1"/>
    <w:rsid w:val="000A724D"/>
    <w:rsid w:val="000B1A28"/>
    <w:rsid w:val="000B1ED9"/>
    <w:rsid w:val="000B3BA8"/>
    <w:rsid w:val="000B4D6E"/>
    <w:rsid w:val="000C387F"/>
    <w:rsid w:val="000C48A7"/>
    <w:rsid w:val="000E21C7"/>
    <w:rsid w:val="000E3CB9"/>
    <w:rsid w:val="000E7668"/>
    <w:rsid w:val="000F783D"/>
    <w:rsid w:val="000F7C8A"/>
    <w:rsid w:val="000F7E0E"/>
    <w:rsid w:val="001034CE"/>
    <w:rsid w:val="0010671B"/>
    <w:rsid w:val="00112552"/>
    <w:rsid w:val="0011671D"/>
    <w:rsid w:val="00122E39"/>
    <w:rsid w:val="00126C8E"/>
    <w:rsid w:val="001276BA"/>
    <w:rsid w:val="00132E14"/>
    <w:rsid w:val="001351D6"/>
    <w:rsid w:val="001433CD"/>
    <w:rsid w:val="00144908"/>
    <w:rsid w:val="00145B2C"/>
    <w:rsid w:val="001464AD"/>
    <w:rsid w:val="00147DA9"/>
    <w:rsid w:val="001550B5"/>
    <w:rsid w:val="001558FF"/>
    <w:rsid w:val="00160D33"/>
    <w:rsid w:val="00161FA6"/>
    <w:rsid w:val="00167A90"/>
    <w:rsid w:val="00173BD8"/>
    <w:rsid w:val="001820C9"/>
    <w:rsid w:val="00187B59"/>
    <w:rsid w:val="00191426"/>
    <w:rsid w:val="00193F11"/>
    <w:rsid w:val="00197467"/>
    <w:rsid w:val="001A44EB"/>
    <w:rsid w:val="001A4B75"/>
    <w:rsid w:val="001A5877"/>
    <w:rsid w:val="001B3BAE"/>
    <w:rsid w:val="001C14D2"/>
    <w:rsid w:val="001C1B84"/>
    <w:rsid w:val="001C286A"/>
    <w:rsid w:val="001C5717"/>
    <w:rsid w:val="001C7AFA"/>
    <w:rsid w:val="001C7DF6"/>
    <w:rsid w:val="001D0819"/>
    <w:rsid w:val="001D3D65"/>
    <w:rsid w:val="001D6110"/>
    <w:rsid w:val="001E0845"/>
    <w:rsid w:val="001E14FF"/>
    <w:rsid w:val="001E2694"/>
    <w:rsid w:val="001E6F36"/>
    <w:rsid w:val="001F05C6"/>
    <w:rsid w:val="001F44D8"/>
    <w:rsid w:val="001F4941"/>
    <w:rsid w:val="001F56CF"/>
    <w:rsid w:val="001F5B11"/>
    <w:rsid w:val="001F6DCC"/>
    <w:rsid w:val="002021B6"/>
    <w:rsid w:val="0020331A"/>
    <w:rsid w:val="002033AF"/>
    <w:rsid w:val="002062AC"/>
    <w:rsid w:val="00214A87"/>
    <w:rsid w:val="00217F6D"/>
    <w:rsid w:val="00220EED"/>
    <w:rsid w:val="0022138B"/>
    <w:rsid w:val="002238D4"/>
    <w:rsid w:val="002360E0"/>
    <w:rsid w:val="002364D1"/>
    <w:rsid w:val="002415E0"/>
    <w:rsid w:val="00245318"/>
    <w:rsid w:val="002612C5"/>
    <w:rsid w:val="00271D07"/>
    <w:rsid w:val="00273C4E"/>
    <w:rsid w:val="002757FB"/>
    <w:rsid w:val="00276648"/>
    <w:rsid w:val="00284801"/>
    <w:rsid w:val="00286BC7"/>
    <w:rsid w:val="002A03A5"/>
    <w:rsid w:val="002A1F31"/>
    <w:rsid w:val="002A30A8"/>
    <w:rsid w:val="002A6519"/>
    <w:rsid w:val="002B39E7"/>
    <w:rsid w:val="002B7291"/>
    <w:rsid w:val="002C247C"/>
    <w:rsid w:val="002C5E09"/>
    <w:rsid w:val="002C7653"/>
    <w:rsid w:val="002C77FC"/>
    <w:rsid w:val="002D1739"/>
    <w:rsid w:val="002F12A4"/>
    <w:rsid w:val="002F41FF"/>
    <w:rsid w:val="002F5520"/>
    <w:rsid w:val="00306811"/>
    <w:rsid w:val="0030711E"/>
    <w:rsid w:val="00311162"/>
    <w:rsid w:val="00312244"/>
    <w:rsid w:val="00323404"/>
    <w:rsid w:val="00324135"/>
    <w:rsid w:val="00325787"/>
    <w:rsid w:val="00334A3B"/>
    <w:rsid w:val="0033584F"/>
    <w:rsid w:val="00340381"/>
    <w:rsid w:val="00341C73"/>
    <w:rsid w:val="00343D35"/>
    <w:rsid w:val="00347592"/>
    <w:rsid w:val="003509BB"/>
    <w:rsid w:val="003510F3"/>
    <w:rsid w:val="00357D38"/>
    <w:rsid w:val="00361215"/>
    <w:rsid w:val="0036288E"/>
    <w:rsid w:val="00367048"/>
    <w:rsid w:val="0037615E"/>
    <w:rsid w:val="00381FB2"/>
    <w:rsid w:val="00382E05"/>
    <w:rsid w:val="00387CDE"/>
    <w:rsid w:val="00390C0A"/>
    <w:rsid w:val="0039124C"/>
    <w:rsid w:val="0039144A"/>
    <w:rsid w:val="00391E98"/>
    <w:rsid w:val="00397DCA"/>
    <w:rsid w:val="003A5D04"/>
    <w:rsid w:val="003B07E4"/>
    <w:rsid w:val="003B5FB4"/>
    <w:rsid w:val="003B6433"/>
    <w:rsid w:val="003B745C"/>
    <w:rsid w:val="003B7539"/>
    <w:rsid w:val="003D0071"/>
    <w:rsid w:val="003D77D3"/>
    <w:rsid w:val="003F2460"/>
    <w:rsid w:val="003F3CE2"/>
    <w:rsid w:val="00401234"/>
    <w:rsid w:val="00415972"/>
    <w:rsid w:val="00421BD3"/>
    <w:rsid w:val="0043399F"/>
    <w:rsid w:val="0043456B"/>
    <w:rsid w:val="004426C8"/>
    <w:rsid w:val="004436A2"/>
    <w:rsid w:val="004477D6"/>
    <w:rsid w:val="00450AF1"/>
    <w:rsid w:val="0045217C"/>
    <w:rsid w:val="00453502"/>
    <w:rsid w:val="004614FE"/>
    <w:rsid w:val="00474513"/>
    <w:rsid w:val="00476284"/>
    <w:rsid w:val="004773F3"/>
    <w:rsid w:val="00477834"/>
    <w:rsid w:val="00481567"/>
    <w:rsid w:val="00483787"/>
    <w:rsid w:val="00484527"/>
    <w:rsid w:val="00484FF7"/>
    <w:rsid w:val="00487998"/>
    <w:rsid w:val="00491780"/>
    <w:rsid w:val="00492C71"/>
    <w:rsid w:val="004969A7"/>
    <w:rsid w:val="0049705D"/>
    <w:rsid w:val="004A1031"/>
    <w:rsid w:val="004A6EFB"/>
    <w:rsid w:val="004B5CF4"/>
    <w:rsid w:val="004C75ED"/>
    <w:rsid w:val="004D07BB"/>
    <w:rsid w:val="004D22B6"/>
    <w:rsid w:val="004D2B88"/>
    <w:rsid w:val="004D2E39"/>
    <w:rsid w:val="004D459E"/>
    <w:rsid w:val="004D46F6"/>
    <w:rsid w:val="004D4C3D"/>
    <w:rsid w:val="004E0200"/>
    <w:rsid w:val="004E790A"/>
    <w:rsid w:val="004F04A9"/>
    <w:rsid w:val="004F1370"/>
    <w:rsid w:val="004F2D6A"/>
    <w:rsid w:val="004F535F"/>
    <w:rsid w:val="00500285"/>
    <w:rsid w:val="00502DEB"/>
    <w:rsid w:val="005030FB"/>
    <w:rsid w:val="005068CA"/>
    <w:rsid w:val="00510E33"/>
    <w:rsid w:val="005162E7"/>
    <w:rsid w:val="00517EBF"/>
    <w:rsid w:val="005237E6"/>
    <w:rsid w:val="00527186"/>
    <w:rsid w:val="00527C53"/>
    <w:rsid w:val="00536578"/>
    <w:rsid w:val="00543040"/>
    <w:rsid w:val="00543407"/>
    <w:rsid w:val="00545D96"/>
    <w:rsid w:val="00553E3B"/>
    <w:rsid w:val="00554771"/>
    <w:rsid w:val="0055795F"/>
    <w:rsid w:val="005638E4"/>
    <w:rsid w:val="00565662"/>
    <w:rsid w:val="005666C8"/>
    <w:rsid w:val="005672C8"/>
    <w:rsid w:val="00575A6D"/>
    <w:rsid w:val="00576F26"/>
    <w:rsid w:val="00580386"/>
    <w:rsid w:val="005806F5"/>
    <w:rsid w:val="005854C3"/>
    <w:rsid w:val="005A09A7"/>
    <w:rsid w:val="005A1E78"/>
    <w:rsid w:val="005A3932"/>
    <w:rsid w:val="005B2E71"/>
    <w:rsid w:val="005B2ED7"/>
    <w:rsid w:val="005B5D7D"/>
    <w:rsid w:val="005C2D4F"/>
    <w:rsid w:val="005C4FC6"/>
    <w:rsid w:val="005C5BD9"/>
    <w:rsid w:val="005C7A99"/>
    <w:rsid w:val="005D264A"/>
    <w:rsid w:val="005D72CD"/>
    <w:rsid w:val="005E0FEA"/>
    <w:rsid w:val="005E1C28"/>
    <w:rsid w:val="005E3960"/>
    <w:rsid w:val="005E39E6"/>
    <w:rsid w:val="005F1F27"/>
    <w:rsid w:val="005F30D9"/>
    <w:rsid w:val="00602FE0"/>
    <w:rsid w:val="00605D0D"/>
    <w:rsid w:val="00606EBE"/>
    <w:rsid w:val="00607EAB"/>
    <w:rsid w:val="006100C1"/>
    <w:rsid w:val="00613AE8"/>
    <w:rsid w:val="006147B7"/>
    <w:rsid w:val="0062691D"/>
    <w:rsid w:val="0063370F"/>
    <w:rsid w:val="0063613C"/>
    <w:rsid w:val="006369EA"/>
    <w:rsid w:val="006371CD"/>
    <w:rsid w:val="00643910"/>
    <w:rsid w:val="00644EFA"/>
    <w:rsid w:val="006573E4"/>
    <w:rsid w:val="00660FA8"/>
    <w:rsid w:val="006626FF"/>
    <w:rsid w:val="00670D56"/>
    <w:rsid w:val="00684695"/>
    <w:rsid w:val="0068500D"/>
    <w:rsid w:val="00685FE5"/>
    <w:rsid w:val="00690079"/>
    <w:rsid w:val="006A4162"/>
    <w:rsid w:val="006B00DA"/>
    <w:rsid w:val="006B0291"/>
    <w:rsid w:val="006B0D5E"/>
    <w:rsid w:val="006B1ABB"/>
    <w:rsid w:val="006B3534"/>
    <w:rsid w:val="006B42C4"/>
    <w:rsid w:val="006B492C"/>
    <w:rsid w:val="006B6C6E"/>
    <w:rsid w:val="006C552E"/>
    <w:rsid w:val="006D00E7"/>
    <w:rsid w:val="006D1E7B"/>
    <w:rsid w:val="006E3318"/>
    <w:rsid w:val="006E6D0D"/>
    <w:rsid w:val="006F2008"/>
    <w:rsid w:val="006F2781"/>
    <w:rsid w:val="006F41BA"/>
    <w:rsid w:val="00701052"/>
    <w:rsid w:val="007116C7"/>
    <w:rsid w:val="007138C9"/>
    <w:rsid w:val="00720638"/>
    <w:rsid w:val="0072066D"/>
    <w:rsid w:val="007207B2"/>
    <w:rsid w:val="00725D87"/>
    <w:rsid w:val="00731F0A"/>
    <w:rsid w:val="007331E5"/>
    <w:rsid w:val="00735496"/>
    <w:rsid w:val="00737B15"/>
    <w:rsid w:val="00744FA5"/>
    <w:rsid w:val="00745702"/>
    <w:rsid w:val="00757B62"/>
    <w:rsid w:val="007642B5"/>
    <w:rsid w:val="00764359"/>
    <w:rsid w:val="00766AEA"/>
    <w:rsid w:val="007742BF"/>
    <w:rsid w:val="007904E8"/>
    <w:rsid w:val="00793264"/>
    <w:rsid w:val="00793641"/>
    <w:rsid w:val="007A04E8"/>
    <w:rsid w:val="007A4B94"/>
    <w:rsid w:val="007A5716"/>
    <w:rsid w:val="007A7EF9"/>
    <w:rsid w:val="007B2377"/>
    <w:rsid w:val="007B4B43"/>
    <w:rsid w:val="007B6AA3"/>
    <w:rsid w:val="007C6691"/>
    <w:rsid w:val="007D5D6B"/>
    <w:rsid w:val="007D6085"/>
    <w:rsid w:val="007E0974"/>
    <w:rsid w:val="007E3CE6"/>
    <w:rsid w:val="007E4C32"/>
    <w:rsid w:val="007F0455"/>
    <w:rsid w:val="007F2FE2"/>
    <w:rsid w:val="007F3D09"/>
    <w:rsid w:val="007F4489"/>
    <w:rsid w:val="007F4E2E"/>
    <w:rsid w:val="00801A2A"/>
    <w:rsid w:val="00803422"/>
    <w:rsid w:val="008034F7"/>
    <w:rsid w:val="0081195B"/>
    <w:rsid w:val="00820164"/>
    <w:rsid w:val="0082535B"/>
    <w:rsid w:val="008258A9"/>
    <w:rsid w:val="00827B35"/>
    <w:rsid w:val="00830CD6"/>
    <w:rsid w:val="0083104D"/>
    <w:rsid w:val="00831E2F"/>
    <w:rsid w:val="0083220E"/>
    <w:rsid w:val="00837102"/>
    <w:rsid w:val="00845BC7"/>
    <w:rsid w:val="00852718"/>
    <w:rsid w:val="008558AC"/>
    <w:rsid w:val="00864FAA"/>
    <w:rsid w:val="00870388"/>
    <w:rsid w:val="0087164B"/>
    <w:rsid w:val="00871659"/>
    <w:rsid w:val="00884CFF"/>
    <w:rsid w:val="00886C4F"/>
    <w:rsid w:val="00892647"/>
    <w:rsid w:val="00894041"/>
    <w:rsid w:val="00894EEE"/>
    <w:rsid w:val="008A01AE"/>
    <w:rsid w:val="008A1B4B"/>
    <w:rsid w:val="008A33F3"/>
    <w:rsid w:val="008A3839"/>
    <w:rsid w:val="008A72A8"/>
    <w:rsid w:val="008B0202"/>
    <w:rsid w:val="008B0FE7"/>
    <w:rsid w:val="008B50E4"/>
    <w:rsid w:val="008C2AE1"/>
    <w:rsid w:val="008C2BB4"/>
    <w:rsid w:val="008C3B31"/>
    <w:rsid w:val="008C4ED7"/>
    <w:rsid w:val="008D388A"/>
    <w:rsid w:val="008D48A5"/>
    <w:rsid w:val="008D79DB"/>
    <w:rsid w:val="008E244F"/>
    <w:rsid w:val="008E4738"/>
    <w:rsid w:val="008E649E"/>
    <w:rsid w:val="008F09D5"/>
    <w:rsid w:val="008F0F5B"/>
    <w:rsid w:val="00900501"/>
    <w:rsid w:val="00901B9F"/>
    <w:rsid w:val="00902B88"/>
    <w:rsid w:val="00903047"/>
    <w:rsid w:val="00905FB6"/>
    <w:rsid w:val="0092191B"/>
    <w:rsid w:val="00924030"/>
    <w:rsid w:val="00930B1C"/>
    <w:rsid w:val="0093500F"/>
    <w:rsid w:val="0094454D"/>
    <w:rsid w:val="009502DC"/>
    <w:rsid w:val="00960274"/>
    <w:rsid w:val="00961093"/>
    <w:rsid w:val="009653C7"/>
    <w:rsid w:val="00966D64"/>
    <w:rsid w:val="00970719"/>
    <w:rsid w:val="00971D68"/>
    <w:rsid w:val="0097757A"/>
    <w:rsid w:val="00980803"/>
    <w:rsid w:val="00984082"/>
    <w:rsid w:val="00985F14"/>
    <w:rsid w:val="00986889"/>
    <w:rsid w:val="00990CA9"/>
    <w:rsid w:val="00995762"/>
    <w:rsid w:val="009A1D01"/>
    <w:rsid w:val="009A299A"/>
    <w:rsid w:val="009B0BF7"/>
    <w:rsid w:val="009B15AB"/>
    <w:rsid w:val="009B3EF1"/>
    <w:rsid w:val="009B7938"/>
    <w:rsid w:val="009C0D55"/>
    <w:rsid w:val="009C15A6"/>
    <w:rsid w:val="009C571F"/>
    <w:rsid w:val="009C7493"/>
    <w:rsid w:val="009D40B5"/>
    <w:rsid w:val="009D5E3C"/>
    <w:rsid w:val="009D75DD"/>
    <w:rsid w:val="009F0615"/>
    <w:rsid w:val="009F2F37"/>
    <w:rsid w:val="009F3BAF"/>
    <w:rsid w:val="00A1073F"/>
    <w:rsid w:val="00A16287"/>
    <w:rsid w:val="00A2480C"/>
    <w:rsid w:val="00A25CB0"/>
    <w:rsid w:val="00A262E9"/>
    <w:rsid w:val="00A3267D"/>
    <w:rsid w:val="00A36151"/>
    <w:rsid w:val="00A37577"/>
    <w:rsid w:val="00A427E8"/>
    <w:rsid w:val="00A43FD1"/>
    <w:rsid w:val="00A57A99"/>
    <w:rsid w:val="00A628D2"/>
    <w:rsid w:val="00A6313B"/>
    <w:rsid w:val="00A671F0"/>
    <w:rsid w:val="00A71D8E"/>
    <w:rsid w:val="00A71E70"/>
    <w:rsid w:val="00A76141"/>
    <w:rsid w:val="00A779AA"/>
    <w:rsid w:val="00A8521D"/>
    <w:rsid w:val="00A869E2"/>
    <w:rsid w:val="00A906BB"/>
    <w:rsid w:val="00A9103D"/>
    <w:rsid w:val="00A92558"/>
    <w:rsid w:val="00A9333F"/>
    <w:rsid w:val="00AA7F9C"/>
    <w:rsid w:val="00AB243E"/>
    <w:rsid w:val="00AB2D00"/>
    <w:rsid w:val="00AC0636"/>
    <w:rsid w:val="00AC38DC"/>
    <w:rsid w:val="00AC3E4E"/>
    <w:rsid w:val="00AD1BC1"/>
    <w:rsid w:val="00AD2AED"/>
    <w:rsid w:val="00AD5C04"/>
    <w:rsid w:val="00AE56DD"/>
    <w:rsid w:val="00AE69BD"/>
    <w:rsid w:val="00B06764"/>
    <w:rsid w:val="00B072C1"/>
    <w:rsid w:val="00B2170C"/>
    <w:rsid w:val="00B21EFB"/>
    <w:rsid w:val="00B32B3E"/>
    <w:rsid w:val="00B43278"/>
    <w:rsid w:val="00B454E8"/>
    <w:rsid w:val="00B45EBC"/>
    <w:rsid w:val="00B46FCA"/>
    <w:rsid w:val="00B53665"/>
    <w:rsid w:val="00B54A46"/>
    <w:rsid w:val="00B54BC9"/>
    <w:rsid w:val="00B56272"/>
    <w:rsid w:val="00B61A3A"/>
    <w:rsid w:val="00B63D93"/>
    <w:rsid w:val="00B6546D"/>
    <w:rsid w:val="00B67038"/>
    <w:rsid w:val="00B67B52"/>
    <w:rsid w:val="00B7255F"/>
    <w:rsid w:val="00B81DE1"/>
    <w:rsid w:val="00B834B8"/>
    <w:rsid w:val="00B92B57"/>
    <w:rsid w:val="00B93394"/>
    <w:rsid w:val="00B93716"/>
    <w:rsid w:val="00BB216B"/>
    <w:rsid w:val="00BB5F59"/>
    <w:rsid w:val="00BC2848"/>
    <w:rsid w:val="00BC3866"/>
    <w:rsid w:val="00BC3B92"/>
    <w:rsid w:val="00BC76BA"/>
    <w:rsid w:val="00BD1CAA"/>
    <w:rsid w:val="00BD249F"/>
    <w:rsid w:val="00BE4C9B"/>
    <w:rsid w:val="00BF39D5"/>
    <w:rsid w:val="00BF4869"/>
    <w:rsid w:val="00C0166F"/>
    <w:rsid w:val="00C02940"/>
    <w:rsid w:val="00C05ED8"/>
    <w:rsid w:val="00C1321F"/>
    <w:rsid w:val="00C1602C"/>
    <w:rsid w:val="00C26643"/>
    <w:rsid w:val="00C35DD8"/>
    <w:rsid w:val="00C36DB3"/>
    <w:rsid w:val="00C42580"/>
    <w:rsid w:val="00C42A6D"/>
    <w:rsid w:val="00C44B97"/>
    <w:rsid w:val="00C45912"/>
    <w:rsid w:val="00C47269"/>
    <w:rsid w:val="00C53225"/>
    <w:rsid w:val="00C54153"/>
    <w:rsid w:val="00C56424"/>
    <w:rsid w:val="00C60E63"/>
    <w:rsid w:val="00C65039"/>
    <w:rsid w:val="00C70E5D"/>
    <w:rsid w:val="00C72E07"/>
    <w:rsid w:val="00C73446"/>
    <w:rsid w:val="00C735AD"/>
    <w:rsid w:val="00C73E57"/>
    <w:rsid w:val="00C74755"/>
    <w:rsid w:val="00C80CAB"/>
    <w:rsid w:val="00C81075"/>
    <w:rsid w:val="00C827AA"/>
    <w:rsid w:val="00C84E32"/>
    <w:rsid w:val="00C9117F"/>
    <w:rsid w:val="00C933D1"/>
    <w:rsid w:val="00C96FBE"/>
    <w:rsid w:val="00CA28DB"/>
    <w:rsid w:val="00CC08B2"/>
    <w:rsid w:val="00CC4E58"/>
    <w:rsid w:val="00CC5024"/>
    <w:rsid w:val="00CC6BCF"/>
    <w:rsid w:val="00CD0256"/>
    <w:rsid w:val="00CD030F"/>
    <w:rsid w:val="00CD0DE6"/>
    <w:rsid w:val="00CD32AE"/>
    <w:rsid w:val="00CD32F4"/>
    <w:rsid w:val="00CE25E6"/>
    <w:rsid w:val="00CE4FC4"/>
    <w:rsid w:val="00CE7F92"/>
    <w:rsid w:val="00CF0F26"/>
    <w:rsid w:val="00CF1486"/>
    <w:rsid w:val="00CF5060"/>
    <w:rsid w:val="00D031EA"/>
    <w:rsid w:val="00D05A08"/>
    <w:rsid w:val="00D17205"/>
    <w:rsid w:val="00D2658C"/>
    <w:rsid w:val="00D26BD0"/>
    <w:rsid w:val="00D31479"/>
    <w:rsid w:val="00D3289C"/>
    <w:rsid w:val="00D33901"/>
    <w:rsid w:val="00D351AF"/>
    <w:rsid w:val="00D465E9"/>
    <w:rsid w:val="00D5278D"/>
    <w:rsid w:val="00D527A7"/>
    <w:rsid w:val="00D539B5"/>
    <w:rsid w:val="00D85459"/>
    <w:rsid w:val="00D863D7"/>
    <w:rsid w:val="00D916AC"/>
    <w:rsid w:val="00D927A3"/>
    <w:rsid w:val="00D94276"/>
    <w:rsid w:val="00D95DE0"/>
    <w:rsid w:val="00D96A72"/>
    <w:rsid w:val="00DA1C3B"/>
    <w:rsid w:val="00DA28C1"/>
    <w:rsid w:val="00DA2C5D"/>
    <w:rsid w:val="00DA2EDD"/>
    <w:rsid w:val="00DA3348"/>
    <w:rsid w:val="00DA34C5"/>
    <w:rsid w:val="00DB0050"/>
    <w:rsid w:val="00DC2108"/>
    <w:rsid w:val="00DC3149"/>
    <w:rsid w:val="00DC5C73"/>
    <w:rsid w:val="00DC7E91"/>
    <w:rsid w:val="00DD5B8F"/>
    <w:rsid w:val="00DE0563"/>
    <w:rsid w:val="00DE0E90"/>
    <w:rsid w:val="00DE58E6"/>
    <w:rsid w:val="00DE6E0F"/>
    <w:rsid w:val="00DF1D4A"/>
    <w:rsid w:val="00DF4AE1"/>
    <w:rsid w:val="00DF4FF6"/>
    <w:rsid w:val="00E00BC5"/>
    <w:rsid w:val="00E00D2F"/>
    <w:rsid w:val="00E072C0"/>
    <w:rsid w:val="00E21FDA"/>
    <w:rsid w:val="00E3374F"/>
    <w:rsid w:val="00E40248"/>
    <w:rsid w:val="00E5471D"/>
    <w:rsid w:val="00E54EBE"/>
    <w:rsid w:val="00E559C6"/>
    <w:rsid w:val="00E607E8"/>
    <w:rsid w:val="00E60FB0"/>
    <w:rsid w:val="00E65B9F"/>
    <w:rsid w:val="00E673D2"/>
    <w:rsid w:val="00E67977"/>
    <w:rsid w:val="00E700F6"/>
    <w:rsid w:val="00E722A2"/>
    <w:rsid w:val="00E73CB0"/>
    <w:rsid w:val="00E74B7E"/>
    <w:rsid w:val="00E76845"/>
    <w:rsid w:val="00E76D4C"/>
    <w:rsid w:val="00E83424"/>
    <w:rsid w:val="00E8461F"/>
    <w:rsid w:val="00E86251"/>
    <w:rsid w:val="00E92666"/>
    <w:rsid w:val="00E93CEE"/>
    <w:rsid w:val="00EA0F09"/>
    <w:rsid w:val="00EA4A0E"/>
    <w:rsid w:val="00EA4CBB"/>
    <w:rsid w:val="00EA64B8"/>
    <w:rsid w:val="00EB03B8"/>
    <w:rsid w:val="00EB260A"/>
    <w:rsid w:val="00EB2CBD"/>
    <w:rsid w:val="00EB58E7"/>
    <w:rsid w:val="00EB7CD6"/>
    <w:rsid w:val="00EC0CAF"/>
    <w:rsid w:val="00EC1B6E"/>
    <w:rsid w:val="00EC224D"/>
    <w:rsid w:val="00EC2DCB"/>
    <w:rsid w:val="00EC38BD"/>
    <w:rsid w:val="00EE4EC6"/>
    <w:rsid w:val="00EE5333"/>
    <w:rsid w:val="00EF5172"/>
    <w:rsid w:val="00EF69C9"/>
    <w:rsid w:val="00F05328"/>
    <w:rsid w:val="00F056BD"/>
    <w:rsid w:val="00F103F1"/>
    <w:rsid w:val="00F107F2"/>
    <w:rsid w:val="00F11F6C"/>
    <w:rsid w:val="00F14163"/>
    <w:rsid w:val="00F1674E"/>
    <w:rsid w:val="00F16F1A"/>
    <w:rsid w:val="00F21BC5"/>
    <w:rsid w:val="00F22404"/>
    <w:rsid w:val="00F23B52"/>
    <w:rsid w:val="00F271C9"/>
    <w:rsid w:val="00F27CC0"/>
    <w:rsid w:val="00F47108"/>
    <w:rsid w:val="00F51A1B"/>
    <w:rsid w:val="00F525F0"/>
    <w:rsid w:val="00F625DA"/>
    <w:rsid w:val="00F63476"/>
    <w:rsid w:val="00F65A7E"/>
    <w:rsid w:val="00F669A1"/>
    <w:rsid w:val="00F75A09"/>
    <w:rsid w:val="00F81AC2"/>
    <w:rsid w:val="00F935EE"/>
    <w:rsid w:val="00FB4D5A"/>
    <w:rsid w:val="00FB6914"/>
    <w:rsid w:val="00FC0B8E"/>
    <w:rsid w:val="00FC37A8"/>
    <w:rsid w:val="00FD38ED"/>
    <w:rsid w:val="00FD58BE"/>
    <w:rsid w:val="00FD5B0D"/>
    <w:rsid w:val="00FE1F93"/>
    <w:rsid w:val="00FE6570"/>
    <w:rsid w:val="00FE704F"/>
    <w:rsid w:val="00FE7208"/>
    <w:rsid w:val="00FF1827"/>
    <w:rsid w:val="16552903"/>
    <w:rsid w:val="3D1642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B853C0"/>
  <w15:chartTrackingRefBased/>
  <w15:docId w15:val="{8EFEE005-4C94-44BC-9EDD-CADCD8CF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6DD"/>
    <w:pPr>
      <w:widowControl w:val="0"/>
      <w:autoSpaceDE w:val="0"/>
      <w:autoSpaceDN w:val="0"/>
      <w:adjustRightInd w:val="0"/>
      <w:spacing w:after="24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00D2F"/>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4166A"/>
    <w:pPr>
      <w:keepNext/>
      <w:keepLines/>
      <w:numPr>
        <w:numId w:val="13"/>
      </w:numPr>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A1F31"/>
    <w:pPr>
      <w:keepNext/>
      <w:keepLines/>
      <w:numPr>
        <w:numId w:val="9"/>
      </w:numPr>
      <w:spacing w:before="240"/>
      <w:ind w:left="108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0636"/>
    <w:pPr>
      <w:tabs>
        <w:tab w:val="center" w:pos="4680"/>
        <w:tab w:val="right" w:pos="9360"/>
      </w:tabs>
      <w:spacing w:after="0"/>
    </w:pPr>
  </w:style>
  <w:style w:type="character" w:customStyle="1" w:styleId="HeaderChar">
    <w:name w:val="Header Char"/>
    <w:basedOn w:val="DefaultParagraphFont"/>
    <w:link w:val="Header"/>
    <w:uiPriority w:val="99"/>
    <w:rsid w:val="00AC0636"/>
  </w:style>
  <w:style w:type="paragraph" w:styleId="Footer">
    <w:name w:val="footer"/>
    <w:basedOn w:val="Normal"/>
    <w:link w:val="FooterChar"/>
    <w:uiPriority w:val="99"/>
    <w:unhideWhenUsed/>
    <w:rsid w:val="00AC0636"/>
    <w:pPr>
      <w:tabs>
        <w:tab w:val="center" w:pos="4680"/>
        <w:tab w:val="right" w:pos="9360"/>
      </w:tabs>
      <w:spacing w:after="0"/>
    </w:pPr>
  </w:style>
  <w:style w:type="character" w:customStyle="1" w:styleId="FooterChar">
    <w:name w:val="Footer Char"/>
    <w:basedOn w:val="DefaultParagraphFont"/>
    <w:link w:val="Footer"/>
    <w:uiPriority w:val="99"/>
    <w:rsid w:val="00AC0636"/>
  </w:style>
  <w:style w:type="character" w:customStyle="1" w:styleId="Heading1Char">
    <w:name w:val="Heading 1 Char"/>
    <w:basedOn w:val="DefaultParagraphFont"/>
    <w:link w:val="Heading1"/>
    <w:uiPriority w:val="9"/>
    <w:rsid w:val="00E00D2F"/>
    <w:rPr>
      <w:rFonts w:ascii="Times New Roman" w:hAnsi="Times New Roman" w:eastAsiaTheme="majorEastAsia" w:cstheme="majorBidi"/>
      <w:b/>
      <w:kern w:val="0"/>
      <w:sz w:val="24"/>
      <w:szCs w:val="32"/>
      <w14:ligatures w14:val="none"/>
    </w:rPr>
  </w:style>
  <w:style w:type="paragraph" w:customStyle="1" w:styleId="Question">
    <w:name w:val="Question"/>
    <w:basedOn w:val="Heading2"/>
    <w:link w:val="QuestionChar"/>
    <w:qFormat/>
    <w:rsid w:val="00AC0636"/>
    <w:pPr>
      <w:spacing w:before="0"/>
    </w:pPr>
    <w:rPr>
      <w:b w:val="0"/>
    </w:rPr>
  </w:style>
  <w:style w:type="character" w:customStyle="1" w:styleId="Heading2Char">
    <w:name w:val="Heading 2 Char"/>
    <w:basedOn w:val="DefaultParagraphFont"/>
    <w:link w:val="Heading2"/>
    <w:uiPriority w:val="9"/>
    <w:rsid w:val="0004166A"/>
    <w:rPr>
      <w:rFonts w:ascii="Times New Roman" w:hAnsi="Times New Roman" w:eastAsiaTheme="majorEastAsia" w:cstheme="majorBidi"/>
      <w:b/>
      <w:kern w:val="0"/>
      <w:sz w:val="24"/>
      <w:szCs w:val="26"/>
      <w14:ligatures w14:val="none"/>
    </w:rPr>
  </w:style>
  <w:style w:type="character" w:customStyle="1" w:styleId="QuestionChar">
    <w:name w:val="Question Char"/>
    <w:basedOn w:val="Heading2Char"/>
    <w:link w:val="Question"/>
    <w:rsid w:val="00AC0636"/>
    <w:rPr>
      <w:rFonts w:ascii="Times New Roman" w:hAnsi="Times New Roman" w:eastAsiaTheme="majorEastAsia" w:cstheme="majorBidi"/>
      <w:b w:val="0"/>
      <w:kern w:val="0"/>
      <w:sz w:val="24"/>
      <w:szCs w:val="26"/>
      <w14:ligatures w14:val="none"/>
    </w:rPr>
  </w:style>
  <w:style w:type="paragraph" w:styleId="ListParagraph">
    <w:name w:val="List Paragraph"/>
    <w:basedOn w:val="Normal"/>
    <w:link w:val="ListParagraphChar"/>
    <w:uiPriority w:val="34"/>
    <w:qFormat/>
    <w:rsid w:val="00323404"/>
  </w:style>
  <w:style w:type="character" w:styleId="CommentReference">
    <w:name w:val="annotation reference"/>
    <w:basedOn w:val="DefaultParagraphFont"/>
    <w:uiPriority w:val="99"/>
    <w:semiHidden/>
    <w:unhideWhenUsed/>
    <w:rsid w:val="001A44EB"/>
    <w:rPr>
      <w:sz w:val="16"/>
      <w:szCs w:val="16"/>
    </w:rPr>
  </w:style>
  <w:style w:type="paragraph" w:styleId="CommentText">
    <w:name w:val="annotation text"/>
    <w:basedOn w:val="Normal"/>
    <w:link w:val="CommentTextChar"/>
    <w:uiPriority w:val="99"/>
    <w:unhideWhenUsed/>
    <w:rsid w:val="001A44EB"/>
    <w:rPr>
      <w:sz w:val="20"/>
      <w:szCs w:val="20"/>
    </w:rPr>
  </w:style>
  <w:style w:type="character" w:customStyle="1" w:styleId="CommentTextChar">
    <w:name w:val="Comment Text Char"/>
    <w:basedOn w:val="DefaultParagraphFont"/>
    <w:link w:val="CommentText"/>
    <w:uiPriority w:val="99"/>
    <w:rsid w:val="001A44E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A44EB"/>
    <w:rPr>
      <w:b/>
      <w:bCs/>
    </w:rPr>
  </w:style>
  <w:style w:type="character" w:customStyle="1" w:styleId="CommentSubjectChar">
    <w:name w:val="Comment Subject Char"/>
    <w:basedOn w:val="CommentTextChar"/>
    <w:link w:val="CommentSubject"/>
    <w:uiPriority w:val="99"/>
    <w:semiHidden/>
    <w:rsid w:val="001A44EB"/>
    <w:rPr>
      <w:rFonts w:ascii="Times New Roman" w:eastAsia="Times New Roman" w:hAnsi="Times New Roman" w:cs="Times New Roman"/>
      <w:b/>
      <w:bCs/>
      <w:kern w:val="0"/>
      <w:sz w:val="20"/>
      <w:szCs w:val="20"/>
      <w14:ligatures w14:val="none"/>
    </w:rPr>
  </w:style>
  <w:style w:type="character" w:customStyle="1" w:styleId="ListParagraphChar">
    <w:name w:val="List Paragraph Char"/>
    <w:basedOn w:val="DefaultParagraphFont"/>
    <w:link w:val="ListParagraph"/>
    <w:uiPriority w:val="34"/>
    <w:rsid w:val="00323404"/>
    <w:rPr>
      <w:rFonts w:ascii="Times New Roman" w:eastAsia="Times New Roman" w:hAnsi="Times New Roman" w:cs="Times New Roman"/>
      <w:kern w:val="0"/>
      <w:sz w:val="24"/>
      <w:szCs w:val="24"/>
      <w14:ligatures w14:val="none"/>
    </w:rPr>
  </w:style>
  <w:style w:type="character" w:styleId="Hyperlink">
    <w:name w:val="Hyperlink"/>
    <w:rsid w:val="00AE56DD"/>
    <w:rPr>
      <w:color w:val="0000FF"/>
      <w:u w:val="single"/>
    </w:rPr>
  </w:style>
  <w:style w:type="table" w:styleId="TableGrid">
    <w:name w:val="Table Grid"/>
    <w:basedOn w:val="TableNormal"/>
    <w:rsid w:val="000C387F"/>
    <w:pPr>
      <w:widowControl w:val="0"/>
      <w:autoSpaceDE w:val="0"/>
      <w:autoSpaceDN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C387F"/>
    <w:pPr>
      <w:adjustRightInd/>
      <w:spacing w:before="240" w:after="0"/>
    </w:pPr>
    <w:rPr>
      <w:sz w:val="20"/>
      <w:szCs w:val="20"/>
    </w:rPr>
  </w:style>
  <w:style w:type="character" w:customStyle="1" w:styleId="FootnoteTextChar">
    <w:name w:val="Footnote Text Char"/>
    <w:basedOn w:val="DefaultParagraphFont"/>
    <w:link w:val="FootnoteText"/>
    <w:rsid w:val="000C387F"/>
    <w:rPr>
      <w:rFonts w:ascii="Times New Roman" w:eastAsia="Times New Roman" w:hAnsi="Times New Roman" w:cs="Times New Roman"/>
      <w:kern w:val="0"/>
      <w:sz w:val="20"/>
      <w:szCs w:val="20"/>
      <w14:ligatures w14:val="none"/>
    </w:rPr>
  </w:style>
  <w:style w:type="character" w:styleId="FootnoteReference">
    <w:name w:val="footnote reference"/>
    <w:rsid w:val="000C387F"/>
    <w:rPr>
      <w:vertAlign w:val="superscript"/>
    </w:rPr>
  </w:style>
  <w:style w:type="character" w:customStyle="1" w:styleId="normaltextrun">
    <w:name w:val="normaltextrun"/>
    <w:basedOn w:val="DefaultParagraphFont"/>
    <w:rsid w:val="000C387F"/>
  </w:style>
  <w:style w:type="character" w:customStyle="1" w:styleId="eop">
    <w:name w:val="eop"/>
    <w:basedOn w:val="DefaultParagraphFont"/>
    <w:rsid w:val="000C387F"/>
  </w:style>
  <w:style w:type="character" w:styleId="FollowedHyperlink">
    <w:name w:val="FollowedHyperlink"/>
    <w:basedOn w:val="DefaultParagraphFont"/>
    <w:uiPriority w:val="99"/>
    <w:semiHidden/>
    <w:unhideWhenUsed/>
    <w:rsid w:val="000C387F"/>
    <w:rPr>
      <w:color w:val="954F72" w:themeColor="followedHyperlink"/>
      <w:u w:val="single"/>
    </w:rPr>
  </w:style>
  <w:style w:type="paragraph" w:styleId="Revision">
    <w:name w:val="Revision"/>
    <w:hidden/>
    <w:uiPriority w:val="99"/>
    <w:semiHidden/>
    <w:rsid w:val="005D72CD"/>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4477D6"/>
    <w:rPr>
      <w:color w:val="605E5C"/>
      <w:shd w:val="clear" w:color="auto" w:fill="E1DFDD"/>
    </w:rPr>
  </w:style>
  <w:style w:type="character" w:customStyle="1" w:styleId="Heading3Char">
    <w:name w:val="Heading 3 Char"/>
    <w:basedOn w:val="DefaultParagraphFont"/>
    <w:link w:val="Heading3"/>
    <w:uiPriority w:val="9"/>
    <w:rsid w:val="002A1F31"/>
    <w:rPr>
      <w:rFonts w:ascii="Times New Roman" w:hAnsi="Times New Roman" w:eastAsiaTheme="majorEastAsia" w:cstheme="majorBidi"/>
      <w:b/>
      <w:i/>
      <w:kern w:val="0"/>
      <w:sz w:val="24"/>
      <w:szCs w:val="24"/>
      <w14:ligatures w14:val="none"/>
    </w:rPr>
  </w:style>
  <w:style w:type="character" w:styleId="Mention">
    <w:name w:val="Mention"/>
    <w:basedOn w:val="DefaultParagraphFont"/>
    <w:uiPriority w:val="99"/>
    <w:unhideWhenUsed/>
    <w:rsid w:val="00E73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29/subtitle-A/part-4/subpart-D/section-4.162" TargetMode="External" /><Relationship Id="rId11" Type="http://schemas.openxmlformats.org/officeDocument/2006/relationships/hyperlink" Target="https://www.ecfr.gov/current/title-29/subtitle-A/part-4/subpart-E/section-4.188" TargetMode="External" /><Relationship Id="rId12" Type="http://schemas.openxmlformats.org/officeDocument/2006/relationships/hyperlink" Target="https://www.ecfr.gov/current/title-29/part-4/section-4.6" TargetMode="External" /><Relationship Id="rId13" Type="http://schemas.openxmlformats.org/officeDocument/2006/relationships/hyperlink" Target="https://www.ecfr.gov/current/title-29/subtitle-A/part-4/subpart-D/subject-group-ECFR2c50d9c2d69b435/section-4.173" TargetMode="External" /><Relationship Id="rId14" Type="http://schemas.openxmlformats.org/officeDocument/2006/relationships/hyperlink" Target="https://www.ecfr.gov/current/title-29/part-4/section-4.163" TargetMode="External" /><Relationship Id="rId15" Type="http://schemas.openxmlformats.org/officeDocument/2006/relationships/hyperlink" Target="https://www.ecfr.gov/current/title-29/part-4/section-4.4" TargetMode="External" /><Relationship Id="rId16" Type="http://schemas.openxmlformats.org/officeDocument/2006/relationships/hyperlink" Target="https://www.ecfr.gov/current/title-29/subtitle-A/part-4" TargetMode="External" /><Relationship Id="rId17" Type="http://schemas.openxmlformats.org/officeDocument/2006/relationships/hyperlink" Target="https://www.federalregister.gov/documents/2025/08/07/2025-15024/agency-information-collection-activities-comment-request-information-collections-labor-standards-for" TargetMode="External" /><Relationship Id="rId18" Type="http://schemas.openxmlformats.org/officeDocument/2006/relationships/hyperlink" Target="https://www.ecfr.gov/current/title-29/subtitle-A/part-70" TargetMode="External" /><Relationship Id="rId19" Type="http://schemas.openxmlformats.org/officeDocument/2006/relationships/hyperlink" Target="https://www.ecfr.gov/current/title-29/subtitle-A/part-71"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usaspending.gov/" TargetMode="External" /><Relationship Id="rId2" Type="http://schemas.openxmlformats.org/officeDocument/2006/relationships/hyperlink" Target="https://www.fpds.gov/fpdsng_cms/index.php/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3b5d08978b5a529057266b15e664f3ec">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3fec12f812fe11c70a7d8c3fe92167b2"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iginal_x0020_Created_x0020_Date xmlns="bb71f7cc-13ce-42b7-b421-3beaac50452e" xsi:nil="true"/>
    <_dlc_DocId xmlns="bb71f7cc-13ce-42b7-b421-3beaac50452e">2K3ES4NJPSMZ-263107863-111094</_dlc_DocId>
    <Rights_x0020_Security_x0020_Classification xmlns="bb71f7cc-13ce-42b7-b421-3beaac50452e">Unclassified</Rights_x0020_Security_x0020_Classification>
    <Fiscal_x0020_Year xmlns="bb71f7cc-13ce-42b7-b421-3beaac50452e"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RoutingRuleDescription xmlns="http://schemas.microsoft.com/sharepoint/v3" xsi:nil="true"/>
    <IconOverlay xmlns="http://schemas.microsoft.com/sharepoint/v4" xsi:nil="true"/>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Wage determinations</TermName>
          <TermId xmlns="http://schemas.microsoft.com/office/infopath/2007/PartnerControls">2a906288-bcc4-4868-8d17-7c1302687eff</TermId>
        </TermInfo>
        <TermInfo xmlns="http://schemas.microsoft.com/office/infopath/2007/PartnerControls">
          <TermName xmlns="http://schemas.microsoft.com/office/infopath/2007/PartnerControls">4(c) wage determinations</TermName>
          <TermId xmlns="http://schemas.microsoft.com/office/infopath/2007/PartnerControls">f0d88524-f96b-4fec-953b-b597113435b0</TermId>
        </TermInfo>
        <TermInfo xmlns="http://schemas.microsoft.com/office/infopath/2007/PartnerControls">
          <TermName xmlns="http://schemas.microsoft.com/office/infopath/2007/PartnerControls">Fringe benefits</TermName>
          <TermId xmlns="http://schemas.microsoft.com/office/infopath/2007/PartnerControls">6ebebc90-4a98-4bce-aed5-75b130dabe1f</TermId>
        </TermInfo>
        <TermInfo xmlns="http://schemas.microsoft.com/office/infopath/2007/PartnerControls">
          <TermName xmlns="http://schemas.microsoft.com/office/infopath/2007/PartnerControls">Government contracts</TermName>
          <TermId xmlns="http://schemas.microsoft.com/office/infopath/2007/PartnerControls">84f9f781-b17c-4f5b-8112-dcb0975d351d</TermId>
        </TermInfo>
        <TermInfo xmlns="http://schemas.microsoft.com/office/infopath/2007/PartnerControls">
          <TermName xmlns="http://schemas.microsoft.com/office/infopath/2007/PartnerControls">Service employees</TermName>
          <TermId xmlns="http://schemas.microsoft.com/office/infopath/2007/PartnerControls">f4248099-f5f5-45c3-8c41-95498bd657d5</TermId>
        </TermInfo>
        <TermInfo xmlns="http://schemas.microsoft.com/office/infopath/2007/PartnerControls">
          <TermName xmlns="http://schemas.microsoft.com/office/infopath/2007/PartnerControls">Length of service</TermName>
          <TermId xmlns="http://schemas.microsoft.com/office/infopath/2007/PartnerControls">79371267-9c10-4baa-b0cf-75e5888e0e18</TermId>
        </TermInfo>
        <TermInfo xmlns="http://schemas.microsoft.com/office/infopath/2007/PartnerControls">
          <TermName xmlns="http://schemas.microsoft.com/office/infopath/2007/PartnerControls">Service Contract Act coverage</TermName>
          <TermId xmlns="http://schemas.microsoft.com/office/infopath/2007/PartnerControls">e2586476-960d-4ae2-9e4f-88195e399da9</TermId>
        </TermInfo>
        <TermInfo xmlns="http://schemas.microsoft.com/office/infopath/2007/PartnerControls">
          <TermName xmlns="http://schemas.microsoft.com/office/infopath/2007/PartnerControls">SCA wage determinations</TermName>
          <TermId xmlns="http://schemas.microsoft.com/office/infopath/2007/PartnerControls">7b2c854f-1aa1-4c54-92fe-32ac9315908d</TermId>
        </TermInfo>
      </Terms>
    </n93623b497a8460e85f134e1f0bab844>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Service Contract Act</TermName>
          <TermId xmlns="http://schemas.microsoft.com/office/infopath/2007/PartnerControls">a37a3949-52b1-44be-ab53-542fcaea70f0</TermId>
        </TermInfo>
        <TermInfo xmlns="http://schemas.microsoft.com/office/infopath/2007/PartnerControls">
          <TermName xmlns="http://schemas.microsoft.com/office/infopath/2007/PartnerControls">29 USC 202(a)</TermName>
          <TermId xmlns="http://schemas.microsoft.com/office/infopath/2007/PartnerControls">d905e3d6-6d50-4a5d-a1ae-640b9e1758dc</TermId>
        </TermInfo>
        <TermInfo xmlns="http://schemas.microsoft.com/office/infopath/2007/PartnerControls">
          <TermName xmlns="http://schemas.microsoft.com/office/infopath/2007/PartnerControls">29 USC 202</TermName>
          <TermId xmlns="http://schemas.microsoft.com/office/infopath/2007/PartnerControls">c93dc878-5104-4c3a-a8ee-383afee9635d</TermId>
        </TermInfo>
        <TermInfo xmlns="http://schemas.microsoft.com/office/infopath/2007/PartnerControls">
          <TermName xmlns="http://schemas.microsoft.com/office/infopath/2007/PartnerControls">Fair Labor Standards Act</TermName>
          <TermId xmlns="http://schemas.microsoft.com/office/infopath/2007/PartnerControls">810f69fa-e7c3-4000-8eb9-d5b7690c1728</TermId>
        </TermInfo>
        <TermInfo xmlns="http://schemas.microsoft.com/office/infopath/2007/PartnerControls">
          <TermName xmlns="http://schemas.microsoft.com/office/infopath/2007/PartnerControls">29 CFR 4.162</TermName>
          <TermId xmlns="http://schemas.microsoft.com/office/infopath/2007/PartnerControls">efcb7eb5-3a55-4757-abc3-535a24d2191d</TermId>
        </TermInfo>
        <TermInfo xmlns="http://schemas.microsoft.com/office/infopath/2007/PartnerControls">
          <TermName xmlns="http://schemas.microsoft.com/office/infopath/2007/PartnerControls">29 CFR 4.163</TermName>
          <TermId xmlns="http://schemas.microsoft.com/office/infopath/2007/PartnerControls">33559b9c-9d69-4ce2-bdee-c0113bbaf48c</TermId>
        </TermInfo>
        <TermInfo xmlns="http://schemas.microsoft.com/office/infopath/2007/PartnerControls">
          <TermName xmlns="http://schemas.microsoft.com/office/infopath/2007/PartnerControls">29 CFR 4.188</TermName>
          <TermId xmlns="http://schemas.microsoft.com/office/infopath/2007/PartnerControls">5b52134f-9b56-43d7-aa66-2a77cd5fe8be</TermId>
        </TermInfo>
        <TermInfo xmlns="http://schemas.microsoft.com/office/infopath/2007/PartnerControls">
          <TermName xmlns="http://schemas.microsoft.com/office/infopath/2007/PartnerControls">29 CFR 4.4</TermName>
          <TermId xmlns="http://schemas.microsoft.com/office/infopath/2007/PartnerControls">068f371c-e7b6-4d93-9648-b1babf0a7c63</TermId>
        </TermInfo>
        <TermInfo xmlns="http://schemas.microsoft.com/office/infopath/2007/PartnerControls">
          <TermName xmlns="http://schemas.microsoft.com/office/infopath/2007/PartnerControls">29 CFR 4.6</TermName>
          <TermId xmlns="http://schemas.microsoft.com/office/infopath/2007/PartnerControls">88a1000c-58c8-4bc9-8852-1370cb040123</TermId>
        </TermInfo>
        <TermInfo xmlns="http://schemas.microsoft.com/office/infopath/2007/PartnerControls">
          <TermName xmlns="http://schemas.microsoft.com/office/infopath/2007/PartnerControls">29 USC 211(c)</TermName>
          <TermId xmlns="http://schemas.microsoft.com/office/infopath/2007/PartnerControls">d00cfad0-1c69-47b1-a50d-23fb53963144</TermId>
        </TermInfo>
        <TermInfo xmlns="http://schemas.microsoft.com/office/infopath/2007/PartnerControls">
          <TermName xmlns="http://schemas.microsoft.com/office/infopath/2007/PartnerControls">29 CFR 4</TermName>
          <TermId xmlns="http://schemas.microsoft.com/office/infopath/2007/PartnerControls">1d2c4792-6dc5-43e0-8cc2-7da0d4f66872</TermId>
        </TermInfo>
        <TermInfo xmlns="http://schemas.microsoft.com/office/infopath/2007/PartnerControls">
          <TermName xmlns="http://schemas.microsoft.com/office/infopath/2007/PartnerControls">29 USC 206(g)(1)</TermName>
          <TermId xmlns="http://schemas.microsoft.com/office/infopath/2007/PartnerControls">583b03da-9aec-44e2-96d7-68300ebe1389</TermId>
        </TermInfo>
      </Terms>
    </g85beb90b1e94069bf4c5a2d20a7e739>
    <kae2c6f4d4974805af7dd5c4a93c11b1 xmlns="bb71f7cc-13ce-42b7-b421-3beaac50452e">
      <Terms xmlns="http://schemas.microsoft.com/office/infopath/2007/PartnerControls"/>
    </kae2c6f4d4974805af7dd5c4a93c11b1>
    <_ip_UnifiedCompliancePolicyUIAction xmlns="http://schemas.microsoft.com/sharepoint/v3" xsi:nil="true"/>
    <bd31ad2283c6430b9b78dce7aa004a55 xmlns="bb71f7cc-13ce-42b7-b421-3beaac50452e">
      <Terms xmlns="http://schemas.microsoft.com/office/infopath/2007/PartnerControls"/>
    </bd31ad2283c6430b9b78dce7aa004a55>
    <_dlc_DocIdUrl xmlns="bb71f7cc-13ce-42b7-b421-3beaac50452e">
      <Url>https://usdol.sharepoint.com/sites/WHD/no/pol/drli/_layouts/15/DocIdRedir.aspx?ID=2K3ES4NJPSMZ-263107863-111094</Url>
      <Description>2K3ES4NJPSMZ-263107863-111094</Description>
    </_dlc_DocIdUrl>
    <_ip_UnifiedCompliancePolicyProperties xmlns="http://schemas.microsoft.com/sharepoint/v3" xsi:nil="true"/>
    <lcf76f155ced4ddcb4097134ff3c332f xmlns="46f75661-c5f1-4fe7-86e4-4b25eecd0c38">
      <Terms xmlns="http://schemas.microsoft.com/office/infopath/2007/PartnerControls"/>
    </lcf76f155ced4ddcb4097134ff3c332f>
    <TaxCatchAll xmlns="bb71f7cc-13ce-42b7-b421-3beaac50452e">
      <Value>502</Value>
      <Value>119</Value>
      <Value>811</Value>
      <Value>2388</Value>
      <Value>2881</Value>
      <Value>436</Value>
      <Value>435</Value>
      <Value>619</Value>
      <Value>432</Value>
      <Value>430</Value>
      <Value>1908</Value>
      <Value>624</Value>
      <Value>1552</Value>
      <Value>607</Value>
      <Value>2650</Value>
      <Value>452</Value>
      <Value>525</Value>
      <Value>298</Value>
      <Value>2186</Value>
      <Value>615</Value>
      <Value>2184</Value>
    </TaxCatchAll>
    <SharedWithUsers xmlns="bb71f7cc-13ce-42b7-b421-3beaac50452e">
      <UserInfo>
        <DisplayName>Navarrete, Daniel - WHD</DisplayName>
        <AccountId>2118</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6243AE-E831-4D74-B99D-ACA470401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EF3FF-54E6-4642-AC21-36B67A014B76}">
  <ds:schemaRefs>
    <ds:schemaRef ds:uri="http://schemas.microsoft.com/sharepoint/v3/contenttype/forms"/>
  </ds:schemaRefs>
</ds:datastoreItem>
</file>

<file path=customXml/itemProps3.xml><?xml version="1.0" encoding="utf-8"?>
<ds:datastoreItem xmlns:ds="http://schemas.openxmlformats.org/officeDocument/2006/customXml" ds:itemID="{2D721A6D-7DE1-40AB-9260-079C9CD5DAFC}">
  <ds:schemaRefs>
    <ds:schemaRef ds:uri="http://schemas.openxmlformats.org/officeDocument/2006/bibliography"/>
  </ds:schemaRefs>
</ds:datastoreItem>
</file>

<file path=customXml/itemProps4.xml><?xml version="1.0" encoding="utf-8"?>
<ds:datastoreItem xmlns:ds="http://schemas.openxmlformats.org/officeDocument/2006/customXml" ds:itemID="{6CAFD359-F6AC-47CC-8745-352973391040}">
  <ds:schemaRefs>
    <ds:schemaRef ds:uri="http://purl.org/dc/elements/1.1/"/>
    <ds:schemaRef ds:uri="http://purl.org/dc/dcmitype/"/>
    <ds:schemaRef ds:uri="http://schemas.microsoft.com/office/2006/metadata/properties"/>
    <ds:schemaRef ds:uri="http://schemas.microsoft.com/office/infopath/2007/PartnerControls"/>
    <ds:schemaRef ds:uri="http://schemas.microsoft.com/sharepoint/v4"/>
    <ds:schemaRef ds:uri="http://schemas.microsoft.com/office/2006/documentManagement/types"/>
    <ds:schemaRef ds:uri="http://schemas.openxmlformats.org/package/2006/metadata/core-properties"/>
    <ds:schemaRef ds:uri="46f75661-c5f1-4fe7-86e4-4b25eecd0c38"/>
    <ds:schemaRef ds:uri="bb71f7cc-13ce-42b7-b421-3beaac50452e"/>
    <ds:schemaRef ds:uri="http://schemas.microsoft.com/sharepoint/v3"/>
    <ds:schemaRef ds:uri="http://www.w3.org/XML/1998/namespace"/>
    <ds:schemaRef ds:uri="http://purl.org/dc/terms/"/>
  </ds:schemaRefs>
</ds:datastoreItem>
</file>

<file path=customXml/itemProps5.xml><?xml version="1.0" encoding="utf-8"?>
<ds:datastoreItem xmlns:ds="http://schemas.openxmlformats.org/officeDocument/2006/customXml" ds:itemID="{D95A7F60-31BA-404B-88D5-28384678E4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4017</Words>
  <Characters>22526</Characters>
  <Application>Microsoft Office Word</Application>
  <DocSecurity>0</DocSecurity>
  <Lines>408</Lines>
  <Paragraphs>147</Paragraphs>
  <ScaleCrop>false</ScaleCrop>
  <Company>U.S. Department of Labor</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Hunter</dc:creator>
  <cp:lastModifiedBy>WHD</cp:lastModifiedBy>
  <cp:revision>7</cp:revision>
  <dcterms:created xsi:type="dcterms:W3CDTF">2025-12-18T22:54:00Z</dcterms:created>
  <dcterms:modified xsi:type="dcterms:W3CDTF">2025-12-22T18:13:00Z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607;#Service Contract Act|a37a3949-52b1-44be-ab53-542fcaea70f0;#2184;#29 USC 202(a)|d905e3d6-6d50-4a5d-a1ae-640b9e1758dc;#2186;#29 USC 202|c93dc878-5104-4c3a-a8ee-383afee9635d;#119;#Fair Labor Standards Act|810f69fa-e7c3-4000-8eb9-d5b7690c1728;#2881;#29 CFR 4.162|efcb7eb5-3a55-4757-abc3-535a24d2191d;#624;#29 CFR 4.163|33559b9c-9d69-4ce2-bdee-c0113bbaf48c;#615;#29 CFR 4.188|5b52134f-9b56-43d7-aa66-2a77cd5fe8be;#619;#29 CFR 4.4|068f371c-e7b6-4d93-9648-b1babf0a7c63;#811;#29 CFR 4.6|88a1000c-58c8-4bc9-8852-1370cb040123;#1552;#29 USC 211(c)|d00cfad0-1c69-47b1-a50d-23fb53963144;#298;#29 CFR 4|1d2c4792-6dc5-43e0-8cc2-7da0d4f66872;#2388;#29 USC 206(g)(1)|583b03da-9aec-44e2-96d7-68300ebe1389</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Geographic_x0020_Coverage">
    <vt:lpwstr/>
  </property>
  <property fmtid="{D5CDD505-2E9C-101B-9397-08002B2CF9AE}" pid="6" name="Industry (NAICS)">
    <vt:lpwstr/>
  </property>
  <property fmtid="{D5CDD505-2E9C-101B-9397-08002B2CF9AE}" pid="7" name="Industry_x0020__x0028_NAICS_x0029_">
    <vt:lpwstr/>
  </property>
  <property fmtid="{D5CDD505-2E9C-101B-9397-08002B2CF9AE}" pid="8" name="MediaServiceImageTags">
    <vt:lpwstr/>
  </property>
  <property fmtid="{D5CDD505-2E9C-101B-9397-08002B2CF9AE}" pid="9" name="WHD Record Type">
    <vt:lpwstr>2650;#4.1: 040 Forms Management Records|ad9e89f0-a775-4f43-9e28-7ce48771fece</vt:lpwstr>
  </property>
  <property fmtid="{D5CDD505-2E9C-101B-9397-08002B2CF9AE}" pid="10" name="WHD Subject">
    <vt:lpwstr>430;#Wage determinations|2a906288-bcc4-4868-8d17-7c1302687eff;#1908;#4(c) wage determinations|f0d88524-f96b-4fec-953b-b597113435b0;#435;#Fringe benefits|6ebebc90-4a98-4bce-aed5-75b130dabe1f;#452;#Government contracts|84f9f781-b17c-4f5b-8112-dcb0975d351d;#432;#Service employees|f4248099-f5f5-45c3-8c41-95498bd657d5;#525;#Length of service|79371267-9c10-4baa-b0cf-75e5888e0e18;#502;#Service Contract Act coverage|e2586476-960d-4ae2-9e4f-88195e399da9;#436;#SCA wage determinations|7b2c854f-1aa1-4c54-92fe-32ac9315908d</vt:lpwstr>
  </property>
  <property fmtid="{D5CDD505-2E9C-101B-9397-08002B2CF9AE}" pid="11" name="WHD_x0020_Record_x0020_Type">
    <vt:lpwstr>2650;#4.1: 040 Forms Management Records|ad9e89f0-a775-4f43-9e28-7ce48771fece</vt:lpwstr>
  </property>
  <property fmtid="{D5CDD505-2E9C-101B-9397-08002B2CF9AE}" pid="12" name="WHD_x0020_Subject">
    <vt:lpwstr>430;#Wage determinations|2a906288-bcc4-4868-8d17-7c1302687eff;#1908;#4(c) wage determinations|f0d88524-f96b-4fec-953b-b597113435b0;#435;#Fringe benefits|6ebebc90-4a98-4bce-aed5-75b130dabe1f;#452;#Government contracts|84f9f781-b17c-4f5b-8112-dcb0975d351d;#432;#Service employees|f4248099-f5f5-45c3-8c41-95498bd657d5;#525;#Length of service|79371267-9c10-4baa-b0cf-75e5888e0e18;#502;#Service Contract Act coverage|e2586476-960d-4ae2-9e4f-88195e399da9;#436;#SCA wage determinations|7b2c854f-1aa1-4c54-92fe-32ac9315908d</vt:lpwstr>
  </property>
  <property fmtid="{D5CDD505-2E9C-101B-9397-08002B2CF9AE}" pid="13" name="_dlc_DocIdItemGuid">
    <vt:lpwstr>6609eb3e-876a-4e5d-a4b0-17371a4b67b3</vt:lpwstr>
  </property>
</Properties>
</file>