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37A93" w:rsidRPr="00AC770D" w14:paraId="20160434" w14:textId="77777777">
      <w:pPr>
        <w:jc w:val="center"/>
        <w:rPr>
          <w:bCs/>
          <w:u w:val="single"/>
        </w:rPr>
      </w:pPr>
      <w:bookmarkStart w:id="0" w:name="_Hlk157355842"/>
      <w:r w:rsidRPr="00AC770D">
        <w:rPr>
          <w:bCs/>
          <w:u w:val="single"/>
        </w:rPr>
        <w:t>Supporting Statement</w:t>
      </w:r>
    </w:p>
    <w:p w:rsidR="00C37A93" w:rsidRPr="00AC770D" w:rsidP="00EA038B" w14:paraId="07AC0D92" w14:textId="3D9A3AE6">
      <w:pPr>
        <w:spacing w:after="240"/>
        <w:jc w:val="center"/>
        <w:rPr>
          <w:bCs/>
          <w:u w:val="single"/>
        </w:rPr>
      </w:pPr>
      <w:r>
        <w:rPr>
          <w:bCs/>
          <w:u w:val="single"/>
        </w:rPr>
        <w:t xml:space="preserve">OMB Control Number </w:t>
      </w:r>
      <w:r w:rsidR="00DE4545">
        <w:rPr>
          <w:bCs/>
          <w:u w:val="single"/>
        </w:rPr>
        <w:t>1506</w:t>
      </w:r>
      <w:r w:rsidRPr="00DE4545" w:rsidR="00DE4545">
        <w:rPr>
          <w:bCs/>
          <w:u w:val="single"/>
        </w:rPr>
        <w:t>-</w:t>
      </w:r>
      <w:r w:rsidRPr="005C1F9A" w:rsidR="00C8545E">
        <w:rPr>
          <w:u w:val="single"/>
        </w:rPr>
        <w:t>XXX</w:t>
      </w:r>
      <w:r w:rsidRPr="00DE4545" w:rsidR="00DE4545">
        <w:rPr>
          <w:u w:val="single"/>
        </w:rPr>
        <w:t>X</w:t>
      </w:r>
    </w:p>
    <w:p w:rsidR="00AC770D" w:rsidRPr="00AC770D" w:rsidP="00EA038B" w14:paraId="6E9142DF" w14:textId="2142A247">
      <w:pPr>
        <w:spacing w:after="240"/>
        <w:jc w:val="center"/>
        <w:rPr>
          <w:bCs/>
          <w:u w:val="single"/>
        </w:rPr>
      </w:pPr>
    </w:p>
    <w:p w:rsidR="00C37A93" w:rsidP="00EA038B" w14:paraId="79CC8B7D" w14:textId="2DD5633D">
      <w:pPr>
        <w:spacing w:after="240"/>
        <w:rPr>
          <w:b/>
          <w:bCs/>
        </w:rPr>
      </w:pPr>
      <w:r>
        <w:rPr>
          <w:bCs/>
          <w:u w:val="single"/>
        </w:rPr>
        <w:t xml:space="preserve">Proposal </w:t>
      </w:r>
      <w:r w:rsidRPr="00AC770D">
        <w:rPr>
          <w:bCs/>
          <w:u w:val="single"/>
        </w:rPr>
        <w:t xml:space="preserve">of Special Measure </w:t>
      </w:r>
      <w:r>
        <w:rPr>
          <w:bCs/>
          <w:u w:val="single"/>
        </w:rPr>
        <w:t>Regarding</w:t>
      </w:r>
      <w:r w:rsidR="00223946">
        <w:rPr>
          <w:bCs/>
          <w:u w:val="single"/>
        </w:rPr>
        <w:t xml:space="preserve"> </w:t>
      </w:r>
      <w:r w:rsidRPr="00BA67C3" w:rsidR="00BA67C3">
        <w:rPr>
          <w:bCs/>
          <w:u w:val="single"/>
        </w:rPr>
        <w:t xml:space="preserve">Transactions Involving Ten Mexican Gambling Establishments as a Class of Transactions </w:t>
      </w:r>
      <w:r w:rsidRPr="009C5F8D" w:rsidR="00BE3C8C">
        <w:rPr>
          <w:u w:val="single"/>
        </w:rPr>
        <w:t xml:space="preserve">of Primary Money </w:t>
      </w:r>
      <w:r w:rsidRPr="00AC770D" w:rsidR="00BE3C8C">
        <w:rPr>
          <w:u w:val="single"/>
        </w:rPr>
        <w:t>Laundering Concern</w:t>
      </w:r>
      <w:r w:rsidR="0027414A">
        <w:rPr>
          <w:u w:val="single"/>
        </w:rPr>
        <w:t xml:space="preserve"> </w:t>
      </w:r>
    </w:p>
    <w:p w:rsidR="00C37A93" w:rsidP="00EA038B" w14:paraId="061565C5" w14:textId="104C1A4C">
      <w:pPr>
        <w:spacing w:after="240"/>
      </w:pPr>
      <w:r>
        <w:t xml:space="preserve">1.  </w:t>
      </w:r>
      <w:r>
        <w:rPr>
          <w:u w:val="single"/>
        </w:rPr>
        <w:t>Circumstances that make the collection necessary</w:t>
      </w:r>
      <w:r>
        <w:t>:</w:t>
      </w:r>
    </w:p>
    <w:p w:rsidR="00F65846" w:rsidRPr="00D72794" w:rsidP="00EA038B" w14:paraId="400DDDE9" w14:textId="2778BA16">
      <w:pPr>
        <w:spacing w:after="240"/>
        <w:ind w:firstLine="720"/>
      </w:pPr>
      <w:r w:rsidRPr="00D72794">
        <w:t>The legislative framework generally referred to as the Bank Secrecy Act (BSA) consists of the Currency and Foreign Transactions Reporting Act of 1970,</w:t>
      </w:r>
      <w:r>
        <w:rPr>
          <w:rStyle w:val="FootnoteReference"/>
          <w:vertAlign w:val="superscript"/>
        </w:rPr>
        <w:footnoteReference w:id="3"/>
      </w:r>
      <w:r w:rsidRPr="00D72794">
        <w:t xml:space="preserve"> as amended by the Uniting and Strengthening America by Providing Appropriate Tools Required to Intercept and Obstruct Terrorism Act of 2001 (USA PATRIOT Act),</w:t>
      </w:r>
      <w:r>
        <w:rPr>
          <w:rStyle w:val="FootnoteReference"/>
          <w:vertAlign w:val="superscript"/>
        </w:rPr>
        <w:footnoteReference w:id="4"/>
      </w:r>
      <w:r w:rsidRPr="00D72794">
        <w:t xml:space="preserve"> and other legislation, including the Anti-Money Laundering Act of 2020 (AML Act).</w:t>
      </w:r>
      <w:r>
        <w:rPr>
          <w:rFonts w:eastAsia="Calibri"/>
          <w:vertAlign w:val="superscript"/>
        </w:rPr>
        <w:footnoteReference w:id="5"/>
      </w:r>
      <w:r w:rsidRPr="00D72794">
        <w:rPr>
          <w:rFonts w:eastAsia="Calibri"/>
        </w:rPr>
        <w:t xml:space="preserve">  </w:t>
      </w:r>
      <w:r w:rsidRPr="00D72794">
        <w:t xml:space="preserve">The BSA is codified at 12 U.S.C. 1829b </w:t>
      </w:r>
      <w:r w:rsidR="10648732">
        <w:t>and</w:t>
      </w:r>
      <w:r w:rsidRPr="00D72794">
        <w:t xml:space="preserve"> 1951–1960,</w:t>
      </w:r>
      <w:r>
        <w:t xml:space="preserve"> </w:t>
      </w:r>
      <w:r w:rsidRPr="00D72794">
        <w:t xml:space="preserve">31 U.S.C. 5311–5314 and 5316–5336, </w:t>
      </w:r>
      <w:r>
        <w:t xml:space="preserve">including </w:t>
      </w:r>
      <w:r w:rsidRPr="00D72794">
        <w:t xml:space="preserve">notes thereto, with implementing regulations at 31 CFR Chapter X.  </w:t>
      </w:r>
    </w:p>
    <w:p w:rsidR="0027414A" w:rsidP="00EA038B" w14:paraId="5B69D7F8" w14:textId="5B6FB803">
      <w:pPr>
        <w:spacing w:after="240"/>
        <w:ind w:firstLine="720"/>
      </w:pPr>
      <w:r w:rsidRPr="00D72794">
        <w:t>The BSA authorizes the Secretary of the Treasury (Secretary)</w:t>
      </w:r>
      <w:r w:rsidR="00E12E47">
        <w:t xml:space="preserve"> to</w:t>
      </w:r>
      <w:r w:rsidRPr="00D72794">
        <w:t xml:space="preserve">, </w:t>
      </w:r>
      <w:r w:rsidRPr="00D72794">
        <w:rPr>
          <w:i/>
        </w:rPr>
        <w:t>inter alia</w:t>
      </w:r>
      <w:r w:rsidRPr="00D72794">
        <w:t xml:space="preserve">, require financial institutions to keep records and file reports that are determined to have a high degree of usefulness in criminal, tax, </w:t>
      </w:r>
      <w:r>
        <w:t>or</w:t>
      </w:r>
      <w:r w:rsidRPr="00D72794">
        <w:t xml:space="preserve"> regulatory </w:t>
      </w:r>
      <w:r>
        <w:t>investigations, risk assessments or proceedings, or in</w:t>
      </w:r>
      <w:r w:rsidRPr="00D72794">
        <w:t xml:space="preserve"> intelligence or counter-intelligence activities</w:t>
      </w:r>
      <w:r>
        <w:t>, including analysis,</w:t>
      </w:r>
      <w:r w:rsidRPr="00D72794">
        <w:t xml:space="preserve"> to protect against terrorism, and to implement </w:t>
      </w:r>
      <w:r>
        <w:t>anti-money laundering/countering the financing of terrorism</w:t>
      </w:r>
      <w:r w:rsidRPr="00D72794">
        <w:t xml:space="preserve"> </w:t>
      </w:r>
      <w:r>
        <w:t>(</w:t>
      </w:r>
      <w:r w:rsidRPr="00D72794">
        <w:t>AML</w:t>
      </w:r>
      <w:r>
        <w:t>/CFT)</w:t>
      </w:r>
      <w:r w:rsidRPr="00D72794">
        <w:t xml:space="preserve"> programs and compliance procedures.</w:t>
      </w:r>
      <w:r>
        <w:rPr>
          <w:vertAlign w:val="superscript"/>
        </w:rPr>
        <w:footnoteReference w:id="6"/>
      </w:r>
      <w:r w:rsidRPr="00D72794">
        <w:t xml:space="preserve">  The Secretary has delegated to the Director of </w:t>
      </w:r>
      <w:r>
        <w:t>the Financial Crimes Enforcement Network (</w:t>
      </w:r>
      <w:r w:rsidRPr="00D72794">
        <w:t>FinCEN</w:t>
      </w:r>
      <w:r>
        <w:t>) the authority to administer the BSA</w:t>
      </w:r>
      <w:r w:rsidRPr="00D72794">
        <w:t>.</w:t>
      </w:r>
      <w:r>
        <w:rPr>
          <w:vertAlign w:val="superscript"/>
        </w:rPr>
        <w:footnoteReference w:id="7"/>
      </w:r>
      <w:r w:rsidR="0085488B">
        <w:tab/>
      </w:r>
    </w:p>
    <w:p w:rsidR="0027414A" w:rsidRPr="0083243E" w:rsidP="00EA038B" w14:paraId="09011620" w14:textId="07BE52F6">
      <w:pPr>
        <w:autoSpaceDE w:val="0"/>
        <w:autoSpaceDN w:val="0"/>
        <w:adjustRightInd w:val="0"/>
        <w:spacing w:after="240"/>
        <w:ind w:firstLine="720"/>
      </w:pPr>
      <w:r w:rsidRPr="003F5EAC">
        <w:t xml:space="preserve">Section 311 of the USA PATRIOT Act, codified at </w:t>
      </w:r>
      <w:bookmarkStart w:id="1" w:name="_Hlk213093142"/>
      <w:r w:rsidRPr="003F5EAC">
        <w:t>31 U.S.C. 5318A</w:t>
      </w:r>
      <w:bookmarkEnd w:id="1"/>
      <w:r w:rsidRPr="003F5EAC">
        <w:t xml:space="preserve">, grants </w:t>
      </w:r>
      <w:r w:rsidR="00CD4352">
        <w:t xml:space="preserve">the Secretary of the </w:t>
      </w:r>
      <w:r w:rsidR="00856A8A">
        <w:t>Treasury</w:t>
      </w:r>
      <w:r w:rsidRPr="003F5EAC" w:rsidR="00856A8A">
        <w:t xml:space="preserve"> </w:t>
      </w:r>
      <w:r w:rsidRPr="003F5EAC">
        <w:t xml:space="preserve">the authority, upon finding that </w:t>
      </w:r>
      <w:r w:rsidR="0057627E">
        <w:t>“</w:t>
      </w:r>
      <w:r w:rsidRPr="003F5EAC">
        <w:t>reasonable grounds exist for concluding</w:t>
      </w:r>
      <w:r w:rsidR="0057627E">
        <w:t>”</w:t>
      </w:r>
      <w:r w:rsidRPr="003F5EAC">
        <w:t xml:space="preserve"> that a </w:t>
      </w:r>
      <w:r w:rsidRPr="00CD4352" w:rsidR="00CD4352">
        <w:t xml:space="preserve">jurisdiction outside of the United States, </w:t>
      </w:r>
      <w:r w:rsidR="00CD4352">
        <w:t>one</w:t>
      </w:r>
      <w:r w:rsidRPr="00CD4352" w:rsidR="00CD4352">
        <w:t xml:space="preserve"> or more financial institutions operating outside of the United States, </w:t>
      </w:r>
      <w:r w:rsidR="00CD4352">
        <w:t>one</w:t>
      </w:r>
      <w:r w:rsidRPr="00CD4352" w:rsidR="00CD4352">
        <w:t xml:space="preserve"> or more classes of transactions within, or involving, a jurisdiction outside of the United States, or </w:t>
      </w:r>
      <w:r w:rsidR="00CD4352">
        <w:t>one</w:t>
      </w:r>
      <w:r w:rsidRPr="00CD4352" w:rsidR="00CD4352">
        <w:t xml:space="preserve"> or more types of accounts</w:t>
      </w:r>
      <w:r w:rsidRPr="003F5EAC">
        <w:t xml:space="preserve"> is of </w:t>
      </w:r>
      <w:r>
        <w:t>“</w:t>
      </w:r>
      <w:r w:rsidRPr="003F5EAC">
        <w:t>primary money laundering concern,</w:t>
      </w:r>
      <w:r>
        <w:t>”</w:t>
      </w:r>
      <w:r w:rsidRPr="003F5EAC">
        <w:t xml:space="preserve"> to require domestic financial institutions and </w:t>
      </w:r>
      <w:r w:rsidR="005713AD">
        <w:t xml:space="preserve">domestic </w:t>
      </w:r>
      <w:r w:rsidRPr="0083243E">
        <w:t>financial agencies to take one or more “special measures.”</w:t>
      </w:r>
      <w:r w:rsidRPr="00D11CD5" w:rsidR="00D11CD5">
        <w:rPr>
          <w:color w:val="212121"/>
        </w:rPr>
        <w:t xml:space="preserve"> </w:t>
      </w:r>
      <w:r w:rsidR="00D11CD5">
        <w:rPr>
          <w:color w:val="212121"/>
        </w:rPr>
        <w:t xml:space="preserve"> Special measures are</w:t>
      </w:r>
      <w:r w:rsidRPr="00BB4692" w:rsidR="00D11CD5">
        <w:rPr>
          <w:color w:val="212121"/>
        </w:rPr>
        <w:t xml:space="preserve"> safeguards that protect the U.S. financial system from money laundering and terrorist financing.</w:t>
      </w:r>
    </w:p>
    <w:p w:rsidR="0027414A" w:rsidP="00EA038B" w14:paraId="46DCCCA0" w14:textId="2B816256">
      <w:pPr>
        <w:autoSpaceDE w:val="0"/>
        <w:autoSpaceDN w:val="0"/>
        <w:adjustRightInd w:val="0"/>
        <w:spacing w:after="240"/>
        <w:ind w:firstLine="720"/>
      </w:pPr>
      <w:r w:rsidRPr="0083243E">
        <w:t xml:space="preserve">Special measures one through four, codified at 31 U.S.C. 5318A(b)(1)–(4), </w:t>
      </w:r>
      <w:r w:rsidR="00435F3A">
        <w:t xml:space="preserve">allow Treasury to </w:t>
      </w:r>
      <w:r w:rsidRPr="0083243E">
        <w:t xml:space="preserve">impose additional recordkeeping, information collection, and reporting </w:t>
      </w:r>
      <w:r w:rsidRPr="0083243E">
        <w:t xml:space="preserve">requirements on covered U.S. financial institutions. </w:t>
      </w:r>
      <w:r>
        <w:t xml:space="preserve"> </w:t>
      </w:r>
      <w:r w:rsidR="0082092C">
        <w:t>S</w:t>
      </w:r>
      <w:r w:rsidRPr="0083243E">
        <w:t>pecial measure</w:t>
      </w:r>
      <w:r w:rsidR="0082092C">
        <w:t xml:space="preserve"> five</w:t>
      </w:r>
      <w:r w:rsidRPr="0083243E">
        <w:t xml:space="preserve">, codified at 31 U.S.C. 5318A(b)(5), allows </w:t>
      </w:r>
      <w:r w:rsidR="00435F3A">
        <w:t>Treasury</w:t>
      </w:r>
      <w:r w:rsidRPr="0083243E" w:rsidR="00435F3A">
        <w:t xml:space="preserve"> </w:t>
      </w:r>
      <w:r w:rsidRPr="0083243E">
        <w:t>to impose prohibitions or conditions on the opening or maint</w:t>
      </w:r>
      <w:r w:rsidR="001A3C50">
        <w:t>aining in the United States</w:t>
      </w:r>
      <w:r w:rsidR="0059563F">
        <w:t xml:space="preserve"> </w:t>
      </w:r>
      <w:r w:rsidRPr="0083243E">
        <w:t>of certain correspondent accounts.</w:t>
      </w:r>
      <w:r w:rsidRPr="003F5EAC">
        <w:t xml:space="preserve"> </w:t>
      </w:r>
      <w:r>
        <w:t xml:space="preserve"> </w:t>
      </w:r>
      <w:r w:rsidRPr="00BB4692">
        <w:rPr>
          <w:color w:val="212121"/>
        </w:rPr>
        <w:t xml:space="preserve"> </w:t>
      </w:r>
      <w:r>
        <w:t xml:space="preserve"> </w:t>
      </w:r>
    </w:p>
    <w:p w:rsidR="00B727CF" w:rsidRPr="009A4BA3" w:rsidP="00EA038B" w14:paraId="2771C881" w14:textId="1DA65536">
      <w:pPr>
        <w:autoSpaceDE w:val="0"/>
        <w:autoSpaceDN w:val="0"/>
        <w:spacing w:after="240"/>
        <w:ind w:firstLine="720"/>
      </w:pPr>
      <w:r>
        <w:t xml:space="preserve">On </w:t>
      </w:r>
      <w:r w:rsidR="00095A76">
        <w:t xml:space="preserve">November </w:t>
      </w:r>
      <w:r w:rsidRPr="00206893" w:rsidR="00206893">
        <w:t>13</w:t>
      </w:r>
      <w:r>
        <w:t xml:space="preserve">, </w:t>
      </w:r>
      <w:r w:rsidRPr="005A4FD9" w:rsidR="005A003B">
        <w:t>202</w:t>
      </w:r>
      <w:r w:rsidR="008A09C7">
        <w:t>5</w:t>
      </w:r>
      <w:r w:rsidRPr="005A4FD9" w:rsidR="00B346C0">
        <w:t>,</w:t>
      </w:r>
      <w:r w:rsidRPr="00F05967" w:rsidR="00BB48D4">
        <w:t xml:space="preserve"> </w:t>
      </w:r>
      <w:r w:rsidR="00C37A93">
        <w:t>FinCEN issu</w:t>
      </w:r>
      <w:r w:rsidR="0085488B">
        <w:t>ed</w:t>
      </w:r>
      <w:r w:rsidR="00C37A93">
        <w:t xml:space="preserve"> a </w:t>
      </w:r>
      <w:r w:rsidR="00282F35">
        <w:t>Notice of Proposed Rulemaking (NPRM)</w:t>
      </w:r>
      <w:r>
        <w:rPr>
          <w:rStyle w:val="FootnoteReference"/>
          <w:vertAlign w:val="superscript"/>
        </w:rPr>
        <w:footnoteReference w:id="8"/>
      </w:r>
      <w:r w:rsidR="00BB48D4">
        <w:t xml:space="preserve"> </w:t>
      </w:r>
      <w:r w:rsidRPr="00D21C24" w:rsidR="00EA1A7B">
        <w:t xml:space="preserve">that </w:t>
      </w:r>
      <w:r w:rsidR="00EA1A7B">
        <w:t>finds transactions involving 10 identified Mexico-based gambling establishments (“Gambling Establishments”)</w:t>
      </w:r>
      <w:r w:rsidRPr="00221251" w:rsidR="00EA1A7B">
        <w:t>,</w:t>
      </w:r>
      <w:bookmarkStart w:id="2" w:name="_Hlk212803380"/>
      <w:r>
        <w:rPr>
          <w:rStyle w:val="FootnoteReference"/>
          <w:vertAlign w:val="superscript"/>
        </w:rPr>
        <w:footnoteReference w:id="9"/>
      </w:r>
      <w:bookmarkEnd w:id="2"/>
      <w:r w:rsidRPr="00221251" w:rsidR="00EA1A7B">
        <w:t xml:space="preserve"> </w:t>
      </w:r>
      <w:r w:rsidR="00EA1A7B">
        <w:t xml:space="preserve">to be a class of transactions of primary money laundering concern, and </w:t>
      </w:r>
      <w:r w:rsidR="00D11CD5">
        <w:t>proposes imposing</w:t>
      </w:r>
      <w:r w:rsidR="00EA1A7B">
        <w:t xml:space="preserve"> special measure </w:t>
      </w:r>
      <w:r w:rsidR="00B52D35">
        <w:t xml:space="preserve">five </w:t>
      </w:r>
      <w:r w:rsidR="00EA1A7B">
        <w:t xml:space="preserve">to </w:t>
      </w:r>
      <w:r w:rsidRPr="00221251" w:rsidR="00095A76">
        <w:t>(1)</w:t>
      </w:r>
      <w:r w:rsidR="005C1F9A">
        <w:t xml:space="preserve"> </w:t>
      </w:r>
      <w:r w:rsidRPr="00221251" w:rsidR="00095A76">
        <w:t xml:space="preserve">prohibit </w:t>
      </w:r>
      <w:r w:rsidR="00C62E96">
        <w:t xml:space="preserve">covered </w:t>
      </w:r>
      <w:r w:rsidRPr="00221251" w:rsidR="00095A76">
        <w:t xml:space="preserve">U.S. financial institutions from opening or maintaining a correspondent account for any foreign banking institution if such account is used to process transactions that involve any of </w:t>
      </w:r>
      <w:r w:rsidR="006114E3">
        <w:t xml:space="preserve">the </w:t>
      </w:r>
      <w:r w:rsidR="00EA1A7B">
        <w:t>Gambling Establishments</w:t>
      </w:r>
      <w:r w:rsidR="00E8779D">
        <w:t>;</w:t>
      </w:r>
      <w:r w:rsidR="00BA67C3">
        <w:t xml:space="preserve"> </w:t>
      </w:r>
      <w:r w:rsidRPr="00221251" w:rsidR="00095A76">
        <w:t>and (2)</w:t>
      </w:r>
      <w:r w:rsidR="00095A76">
        <w:t xml:space="preserve"> to</w:t>
      </w:r>
      <w:r w:rsidRPr="00221251" w:rsidR="00095A76">
        <w:t xml:space="preserve"> require </w:t>
      </w:r>
      <w:r w:rsidR="00C62E96">
        <w:t xml:space="preserve">covered </w:t>
      </w:r>
      <w:r w:rsidRPr="00221251" w:rsidR="00095A76">
        <w:t xml:space="preserve">U.S. financial institutions to apply </w:t>
      </w:r>
      <w:r w:rsidR="00095A76">
        <w:t xml:space="preserve">certain </w:t>
      </w:r>
      <w:r w:rsidRPr="00221251" w:rsidR="00095A76">
        <w:t>special due diligence</w:t>
      </w:r>
      <w:r w:rsidRPr="009A4BA3" w:rsidR="00271A07">
        <w:t xml:space="preserve">.  </w:t>
      </w:r>
    </w:p>
    <w:p w:rsidR="009141F6" w:rsidP="00EA038B" w14:paraId="2D7A3FAD" w14:textId="111FB589">
      <w:pPr>
        <w:spacing w:after="240"/>
        <w:ind w:firstLine="720"/>
      </w:pPr>
      <w:r>
        <w:rPr>
          <w:color w:val="000000" w:themeColor="text1"/>
        </w:rPr>
        <w:t>S</w:t>
      </w:r>
      <w:r w:rsidRPr="005D71B3">
        <w:rPr>
          <w:color w:val="000000" w:themeColor="text1"/>
        </w:rPr>
        <w:t xml:space="preserve">hould </w:t>
      </w:r>
      <w:r w:rsidR="006D3B7E">
        <w:rPr>
          <w:color w:val="000000" w:themeColor="text1"/>
        </w:rPr>
        <w:t>F</w:t>
      </w:r>
      <w:r w:rsidR="00947E19">
        <w:rPr>
          <w:color w:val="000000" w:themeColor="text1"/>
        </w:rPr>
        <w:t>i</w:t>
      </w:r>
      <w:r w:rsidR="006D3B7E">
        <w:rPr>
          <w:color w:val="000000" w:themeColor="text1"/>
        </w:rPr>
        <w:t>nCEN issue a final rule</w:t>
      </w:r>
      <w:r w:rsidR="00C62E96">
        <w:rPr>
          <w:color w:val="000000" w:themeColor="text1"/>
        </w:rPr>
        <w:t xml:space="preserve"> imposing the proposed special measure</w:t>
      </w:r>
      <w:r>
        <w:rPr>
          <w:color w:val="000000" w:themeColor="text1"/>
        </w:rPr>
        <w:t>,</w:t>
      </w:r>
      <w:r w:rsidRPr="009A4BA3">
        <w:t xml:space="preserve"> </w:t>
      </w:r>
      <w:r w:rsidR="00C62E96">
        <w:t xml:space="preserve">covered </w:t>
      </w:r>
      <w:r w:rsidRPr="009A4BA3" w:rsidR="00B727CF">
        <w:t xml:space="preserve">U.S. financial institutions </w:t>
      </w:r>
      <w:r w:rsidR="005957F5">
        <w:t>would be</w:t>
      </w:r>
      <w:r w:rsidRPr="009A4BA3" w:rsidR="00B727CF">
        <w:t xml:space="preserve"> required to </w:t>
      </w:r>
      <w:r w:rsidRPr="00BC77BC" w:rsidR="00B727CF">
        <w:t>notify their foreign correspondent account</w:t>
      </w:r>
      <w:r w:rsidRPr="00BC77BC" w:rsidR="00274B92">
        <w:t xml:space="preserve"> holder</w:t>
      </w:r>
      <w:r w:rsidRPr="00BC77BC" w:rsidR="00B727CF">
        <w:t xml:space="preserve">s that they may not provide </w:t>
      </w:r>
      <w:r w:rsidR="00EA1A7B">
        <w:t xml:space="preserve">any of the Gambling Establishments </w:t>
      </w:r>
      <w:r w:rsidRPr="00BC77BC" w:rsidR="00B727CF">
        <w:t xml:space="preserve">with access to </w:t>
      </w:r>
      <w:r w:rsidRPr="00BC77BC" w:rsidR="00274B92">
        <w:t xml:space="preserve">correspondent accounts maintained at the </w:t>
      </w:r>
      <w:r w:rsidR="00C62E96">
        <w:t xml:space="preserve">covered </w:t>
      </w:r>
      <w:r w:rsidRPr="00BC77BC" w:rsidR="00274B92">
        <w:t>U.S. financial institution</w:t>
      </w:r>
      <w:r w:rsidRPr="00BC77BC" w:rsidR="00B727CF">
        <w:t xml:space="preserve">.  The </w:t>
      </w:r>
      <w:r w:rsidRPr="00BC77BC" w:rsidR="009411A0">
        <w:t xml:space="preserve">proposed </w:t>
      </w:r>
      <w:r w:rsidRPr="00BC77BC" w:rsidR="00B727CF">
        <w:t>requirement is intended to ensure cooperation from correspondent</w:t>
      </w:r>
      <w:r w:rsidRPr="009A4BA3" w:rsidR="00B727CF">
        <w:t xml:space="preserve"> account holders in </w:t>
      </w:r>
      <w:r w:rsidRPr="009A4BA3" w:rsidR="005977AF">
        <w:t>preventing</w:t>
      </w:r>
      <w:r w:rsidRPr="009A4BA3" w:rsidR="00B727CF">
        <w:t xml:space="preserve"> </w:t>
      </w:r>
      <w:r w:rsidR="007A7151">
        <w:t xml:space="preserve">the </w:t>
      </w:r>
      <w:r w:rsidR="00EA1A7B">
        <w:t>Gambling Establishments</w:t>
      </w:r>
      <w:r w:rsidR="007A7151">
        <w:t>’</w:t>
      </w:r>
      <w:r w:rsidRPr="009A4BA3" w:rsidR="005977AF">
        <w:t xml:space="preserve"> </w:t>
      </w:r>
      <w:r w:rsidRPr="009A4BA3" w:rsidR="00B727CF">
        <w:t xml:space="preserve">access to the U.S. financial system.  </w:t>
      </w:r>
      <w:r w:rsidR="00435F3A">
        <w:t xml:space="preserve">Covered </w:t>
      </w:r>
      <w:r w:rsidRPr="009A4BA3" w:rsidR="00B727CF">
        <w:t xml:space="preserve">U.S. financial institutions </w:t>
      </w:r>
      <w:r w:rsidR="00A961BC">
        <w:t>would be</w:t>
      </w:r>
      <w:r w:rsidRPr="009A4BA3" w:rsidR="00B727CF">
        <w:t xml:space="preserve"> required to document compliance with the notification requirement.  The information </w:t>
      </w:r>
      <w:r w:rsidR="00A961BC">
        <w:t>would be</w:t>
      </w:r>
      <w:r w:rsidRPr="009A4BA3" w:rsidR="00B727CF">
        <w:t xml:space="preserve"> used by Federal agencies and certain self-regulatory organizations to verify compliance with </w:t>
      </w:r>
      <w:r w:rsidR="009411A0">
        <w:t>the rule</w:t>
      </w:r>
      <w:r w:rsidRPr="009A4BA3" w:rsidR="00B727CF">
        <w:t>.</w:t>
      </w:r>
    </w:p>
    <w:p w:rsidR="00C37A93" w:rsidP="00EA038B" w14:paraId="2CAA3E71" w14:textId="08841619">
      <w:pPr>
        <w:spacing w:after="240"/>
      </w:pPr>
      <w:r>
        <w:t xml:space="preserve">2.  </w:t>
      </w:r>
      <w:r>
        <w:rPr>
          <w:u w:val="single"/>
        </w:rPr>
        <w:t>Use of the information</w:t>
      </w:r>
      <w:r>
        <w:t>:</w:t>
      </w:r>
    </w:p>
    <w:p w:rsidR="00C37A93" w:rsidP="00EA038B" w14:paraId="648E8D95" w14:textId="0195D19F">
      <w:pPr>
        <w:spacing w:after="240"/>
        <w:ind w:firstLine="720"/>
      </w:pPr>
      <w:r>
        <w:t xml:space="preserve">The collection of information in the </w:t>
      </w:r>
      <w:r w:rsidR="00860946">
        <w:t xml:space="preserve">proposed </w:t>
      </w:r>
      <w:r>
        <w:t xml:space="preserve">rule relates to both disclosure and recordkeeping.  The information required to be disclosed by </w:t>
      </w:r>
      <w:r w:rsidR="00C62E96">
        <w:t xml:space="preserve">covered </w:t>
      </w:r>
      <w:r w:rsidR="00C72F82">
        <w:t>U.S.</w:t>
      </w:r>
      <w:r>
        <w:t xml:space="preserve"> financia</w:t>
      </w:r>
      <w:r w:rsidR="008054C6">
        <w:t>l institutions to a third-party</w:t>
      </w:r>
      <w:r w:rsidR="00FA04EB">
        <w:t>—</w:t>
      </w:r>
      <w:r w:rsidRPr="00EA1A7B">
        <w:rPr>
          <w:i/>
          <w:iCs/>
        </w:rPr>
        <w:t>i.e.</w:t>
      </w:r>
      <w:r>
        <w:t>, a notice to correspondent accou</w:t>
      </w:r>
      <w:r w:rsidR="008054C6">
        <w:t>nt holders</w:t>
      </w:r>
      <w:r w:rsidR="00FA04EB">
        <w:t>—</w:t>
      </w:r>
      <w:r>
        <w:t xml:space="preserve">is intended to ensure cooperation from correspondent account holders in </w:t>
      </w:r>
      <w:r w:rsidR="008051E2">
        <w:t>preventing</w:t>
      </w:r>
      <w:r>
        <w:t xml:space="preserve"> </w:t>
      </w:r>
      <w:r w:rsidR="007A7151">
        <w:t xml:space="preserve">the </w:t>
      </w:r>
      <w:r w:rsidR="00EA1A7B">
        <w:t>Gambling Establishments</w:t>
      </w:r>
      <w:r w:rsidR="007A7151">
        <w:t>’</w:t>
      </w:r>
      <w:r w:rsidR="00821140">
        <w:t xml:space="preserve"> </w:t>
      </w:r>
      <w:r>
        <w:t xml:space="preserve">access to the U.S. financial system, as well as to increase awareness within the international financial community of the risks and deficiencies of </w:t>
      </w:r>
      <w:r w:rsidR="007A7151">
        <w:t xml:space="preserve">the </w:t>
      </w:r>
      <w:r w:rsidR="00921344">
        <w:t>Gambling Establishments</w:t>
      </w:r>
      <w:r w:rsidR="00365AF4">
        <w:t>.</w:t>
      </w:r>
      <w:r w:rsidRPr="009C5F8D" w:rsidR="009C5F8D">
        <w:t xml:space="preserve"> </w:t>
      </w:r>
      <w:r w:rsidR="00365AF4">
        <w:t xml:space="preserve"> </w:t>
      </w:r>
      <w:r>
        <w:t xml:space="preserve">The information required to be maintained by </w:t>
      </w:r>
      <w:r w:rsidR="00C62E96">
        <w:t xml:space="preserve">covered </w:t>
      </w:r>
      <w:r w:rsidR="00C72F82">
        <w:t>U.S.</w:t>
      </w:r>
      <w:r>
        <w:t xml:space="preserve"> financial institutions will be used by </w:t>
      </w:r>
      <w:r w:rsidR="00C72F82">
        <w:t>F</w:t>
      </w:r>
      <w:r>
        <w:t xml:space="preserve">ederal agencies and certain self-regulatory organizations to verify compliance with the requirement that a </w:t>
      </w:r>
      <w:r w:rsidR="00C72F82">
        <w:t>U.S.</w:t>
      </w:r>
      <w:r>
        <w:t xml:space="preserve"> financial institution notify its correspondent account holders that they may not provide</w:t>
      </w:r>
      <w:r w:rsidRPr="009C5F8D" w:rsidR="009C5F8D">
        <w:t xml:space="preserve"> </w:t>
      </w:r>
      <w:r w:rsidR="007A7151">
        <w:t xml:space="preserve">the </w:t>
      </w:r>
      <w:r w:rsidR="00921344">
        <w:t xml:space="preserve">Gambling </w:t>
      </w:r>
      <w:r w:rsidR="00921344">
        <w:t xml:space="preserve">Establishments </w:t>
      </w:r>
      <w:r>
        <w:t xml:space="preserve">with access to the correspondent account maintained at the </w:t>
      </w:r>
      <w:r w:rsidR="0058723D">
        <w:t xml:space="preserve">covered </w:t>
      </w:r>
      <w:r>
        <w:t>institution.</w:t>
      </w:r>
    </w:p>
    <w:p w:rsidR="00C37A93" w:rsidP="00EA038B" w14:paraId="19E2CDC3" w14:textId="6B9776C8">
      <w:pPr>
        <w:spacing w:after="240"/>
      </w:pPr>
      <w:r>
        <w:t xml:space="preserve">3.  </w:t>
      </w:r>
      <w:r>
        <w:rPr>
          <w:u w:val="single"/>
        </w:rPr>
        <w:t>Use of</w:t>
      </w:r>
      <w:r w:rsidR="008D74F8">
        <w:rPr>
          <w:u w:val="single"/>
        </w:rPr>
        <w:t xml:space="preserve"> improved</w:t>
      </w:r>
      <w:r>
        <w:rPr>
          <w:u w:val="single"/>
        </w:rPr>
        <w:t xml:space="preserve"> information technology to reduce burden</w:t>
      </w:r>
      <w:r>
        <w:t>:</w:t>
      </w:r>
    </w:p>
    <w:p w:rsidR="00B91D30" w:rsidP="00EA038B" w14:paraId="1F183E5E" w14:textId="6B982AFA">
      <w:pPr>
        <w:spacing w:after="240"/>
        <w:ind w:firstLine="720"/>
      </w:pPr>
      <w:r>
        <w:t xml:space="preserve">Under the </w:t>
      </w:r>
      <w:r w:rsidR="001D7EBB">
        <w:t xml:space="preserve">proposed </w:t>
      </w:r>
      <w:r>
        <w:t xml:space="preserve">rule, </w:t>
      </w:r>
      <w:r w:rsidR="00C85654">
        <w:t>methods for compl</w:t>
      </w:r>
      <w:r w:rsidR="005E3911">
        <w:t>ying</w:t>
      </w:r>
      <w:r w:rsidR="00C85654">
        <w:t xml:space="preserve"> with the notice requirement for </w:t>
      </w:r>
      <w:r w:rsidR="00C62E96">
        <w:t xml:space="preserve">covered U.S. financial institutions </w:t>
      </w:r>
      <w:r w:rsidR="00C85654">
        <w:t xml:space="preserve">may include </w:t>
      </w:r>
      <w:r w:rsidR="0EAA9DC7">
        <w:t>transmitting</w:t>
      </w:r>
      <w:r>
        <w:t xml:space="preserve"> a notice by mail, fax, </w:t>
      </w:r>
      <w:r w:rsidR="00CA6B19">
        <w:t xml:space="preserve">or </w:t>
      </w:r>
      <w:r>
        <w:t>e-mail</w:t>
      </w:r>
      <w:r w:rsidR="00C85654">
        <w:t>.</w:t>
      </w:r>
      <w:r>
        <w:t xml:space="preserve">  </w:t>
      </w:r>
      <w:r w:rsidR="00CF22A7">
        <w:t xml:space="preserve">Covered </w:t>
      </w:r>
      <w:r w:rsidR="00D04DA4">
        <w:t>U.S.</w:t>
      </w:r>
      <w:r w:rsidR="00DB41D3">
        <w:t xml:space="preserve"> f</w:t>
      </w:r>
      <w:r>
        <w:t xml:space="preserve">inancial institutions may use any method of information technology to document </w:t>
      </w:r>
      <w:r w:rsidR="00F54455">
        <w:t>their</w:t>
      </w:r>
      <w:r>
        <w:t xml:space="preserve"> compliance with the notice requirement in the </w:t>
      </w:r>
      <w:r w:rsidR="00860946">
        <w:t xml:space="preserve">proposed </w:t>
      </w:r>
      <w:r>
        <w:t xml:space="preserve">rule, including keeping an electronic copy of the actual notice that is sent to </w:t>
      </w:r>
      <w:r w:rsidR="00B6171A">
        <w:t>correspondent account holders</w:t>
      </w:r>
      <w:r>
        <w:t>.</w:t>
      </w:r>
    </w:p>
    <w:p w:rsidR="00C37A93" w:rsidP="00EA038B" w14:paraId="2814AD30" w14:textId="47B5B760">
      <w:pPr>
        <w:spacing w:after="240"/>
      </w:pPr>
      <w:r>
        <w:t xml:space="preserve">4.  </w:t>
      </w:r>
      <w:r>
        <w:rPr>
          <w:u w:val="single"/>
        </w:rPr>
        <w:t>Efforts to identify duplication</w:t>
      </w:r>
      <w:r>
        <w:t>:</w:t>
      </w:r>
    </w:p>
    <w:p w:rsidR="00C37A93" w:rsidP="00EA038B" w14:paraId="390A9412" w14:textId="7C8C06DC">
      <w:pPr>
        <w:spacing w:after="240"/>
        <w:ind w:firstLine="720"/>
      </w:pPr>
      <w:r>
        <w:t xml:space="preserve">This NPRM is unique in that it is the only proposed </w:t>
      </w:r>
      <w:r w:rsidR="00CF22A7">
        <w:t>F</w:t>
      </w:r>
      <w:r>
        <w:t xml:space="preserve">ederal rule identifying </w:t>
      </w:r>
      <w:r w:rsidR="00B91D30">
        <w:t xml:space="preserve">transactions involving </w:t>
      </w:r>
      <w:r w:rsidR="007A7151">
        <w:t xml:space="preserve">the </w:t>
      </w:r>
      <w:r w:rsidR="00B91D30">
        <w:t xml:space="preserve">Gambling Establishments </w:t>
      </w:r>
      <w:r>
        <w:t>as</w:t>
      </w:r>
      <w:r w:rsidR="00B91D30">
        <w:t xml:space="preserve"> a class of transactions of</w:t>
      </w:r>
      <w:r>
        <w:t xml:space="preserve"> “primary money laundering concern” and </w:t>
      </w:r>
      <w:r w:rsidR="00B91D30">
        <w:t xml:space="preserve">proposing to prohibit </w:t>
      </w:r>
      <w:r w:rsidR="00CF22A7">
        <w:t xml:space="preserve">covered </w:t>
      </w:r>
      <w:r>
        <w:t>U.S. financial institutions</w:t>
      </w:r>
      <w:r w:rsidRPr="00221251" w:rsidR="007A7151">
        <w:t xml:space="preserve"> from opening or maintaining a correspondent account for any foreign banking institution if such account is used to process transactions that involve any of the </w:t>
      </w:r>
      <w:r w:rsidR="00B91D30">
        <w:t>Gambling Establishments</w:t>
      </w:r>
      <w:r w:rsidRPr="00221251" w:rsidR="007A7151">
        <w:t xml:space="preserve"> and </w:t>
      </w:r>
      <w:r w:rsidR="00CF22A7">
        <w:t xml:space="preserve">to </w:t>
      </w:r>
      <w:r w:rsidRPr="00221251" w:rsidR="007A7151">
        <w:t>requir</w:t>
      </w:r>
      <w:r w:rsidR="00CF22A7">
        <w:t>e</w:t>
      </w:r>
      <w:r w:rsidRPr="00221251" w:rsidR="007A7151">
        <w:t xml:space="preserve"> </w:t>
      </w:r>
      <w:r w:rsidR="00CF22A7">
        <w:t xml:space="preserve">covered </w:t>
      </w:r>
      <w:r w:rsidRPr="00221251" w:rsidR="007A7151">
        <w:t xml:space="preserve">U.S. financial institutions to apply </w:t>
      </w:r>
      <w:r w:rsidR="007A7151">
        <w:t xml:space="preserve">certain </w:t>
      </w:r>
      <w:r w:rsidRPr="00221251" w:rsidR="007A7151">
        <w:t>special due diligence</w:t>
      </w:r>
      <w:r w:rsidR="007A7151">
        <w:t>.</w:t>
      </w:r>
    </w:p>
    <w:p w:rsidR="00C37A93" w:rsidP="00EA038B" w14:paraId="41F0785C" w14:textId="22F00E26">
      <w:pPr>
        <w:spacing w:after="240"/>
      </w:pPr>
      <w:r>
        <w:t xml:space="preserve">5.  </w:t>
      </w:r>
      <w:r>
        <w:rPr>
          <w:u w:val="single"/>
        </w:rPr>
        <w:t>Methods used to minimize burden on small businesses or other small entities</w:t>
      </w:r>
      <w:r>
        <w:t>:</w:t>
      </w:r>
    </w:p>
    <w:p w:rsidR="00C37A93" w:rsidP="00EA038B" w14:paraId="3F480068" w14:textId="6E5B94C1">
      <w:pPr>
        <w:spacing w:after="240"/>
        <w:ind w:firstLine="720"/>
      </w:pPr>
      <w:r>
        <w:t xml:space="preserve">Typically, </w:t>
      </w:r>
      <w:r w:rsidR="006907FE">
        <w:t xml:space="preserve">U.S. </w:t>
      </w:r>
      <w:r>
        <w:t xml:space="preserve">financial institutions engaged in correspondent banking are large financial institutions.  </w:t>
      </w:r>
      <w:r w:rsidR="004B3B0E">
        <w:t>The notice to correspondent account holders and the requirement to document compliance</w:t>
      </w:r>
      <w:r w:rsidR="00751808">
        <w:t xml:space="preserve"> </w:t>
      </w:r>
      <w:r w:rsidR="004B3B0E">
        <w:t xml:space="preserve">with that notice requirement are not expected to impose a significant economic burden </w:t>
      </w:r>
      <w:r>
        <w:t xml:space="preserve">on </w:t>
      </w:r>
      <w:r w:rsidR="00CF22A7">
        <w:t xml:space="preserve">covered </w:t>
      </w:r>
      <w:r w:rsidR="006907FE">
        <w:t>U.S.</w:t>
      </w:r>
      <w:r>
        <w:t xml:space="preserve"> financial institutions.  For these reasons,</w:t>
      </w:r>
      <w:r w:rsidR="008867EA">
        <w:t xml:space="preserve"> </w:t>
      </w:r>
      <w:r w:rsidRPr="005D71B3" w:rsidR="008867EA">
        <w:t>FinCEN does not anticipate that the proposal</w:t>
      </w:r>
      <w:r w:rsidR="00C14272">
        <w:t>s</w:t>
      </w:r>
      <w:r w:rsidRPr="005D71B3" w:rsidR="008867EA">
        <w:t xml:space="preserve"> contained in this rulemaking will have a significant impact on a substantial number of small financial institutions or other potentially affected businesses.  Accordingly, FinCEN certifies that this rule will not have a significant economic impact on a substantial number of small entities.</w:t>
      </w:r>
    </w:p>
    <w:p w:rsidR="00C37A93" w:rsidP="00EA038B" w14:paraId="05836C8A" w14:textId="4A669EDB">
      <w:pPr>
        <w:spacing w:after="240"/>
      </w:pPr>
      <w:r>
        <w:t xml:space="preserve">6.  </w:t>
      </w:r>
      <w:r>
        <w:rPr>
          <w:u w:val="single"/>
        </w:rPr>
        <w:t>Consequences to Federal program or policy activities if collection is not conducted or is conducted less frequently</w:t>
      </w:r>
      <w:r>
        <w:t>:</w:t>
      </w:r>
    </w:p>
    <w:p w:rsidR="00C37A93" w:rsidP="00EA038B" w14:paraId="5A31745C" w14:textId="53FF28B0">
      <w:pPr>
        <w:spacing w:after="240"/>
        <w:ind w:firstLine="720"/>
      </w:pPr>
      <w:r>
        <w:t xml:space="preserve">Under the </w:t>
      </w:r>
      <w:r w:rsidR="00860946">
        <w:t xml:space="preserve">proposed </w:t>
      </w:r>
      <w:r>
        <w:t>rule, a</w:t>
      </w:r>
      <w:r w:rsidR="009C3847">
        <w:t xml:space="preserve"> </w:t>
      </w:r>
      <w:r w:rsidR="001C1A4E">
        <w:t xml:space="preserve">covered </w:t>
      </w:r>
      <w:r w:rsidR="009C3847">
        <w:t>U.S.</w:t>
      </w:r>
      <w:r>
        <w:t xml:space="preserve"> financial institution </w:t>
      </w:r>
      <w:r w:rsidR="642F4149">
        <w:t>must</w:t>
      </w:r>
      <w:r w:rsidR="00B35500">
        <w:t xml:space="preserve"> </w:t>
      </w:r>
      <w:r>
        <w:t xml:space="preserve">notify its correspondent account holders that they may not </w:t>
      </w:r>
      <w:r w:rsidRPr="00221251" w:rsidR="007A7151">
        <w:t xml:space="preserve">open or maintain a correspondent account for any foreign banking institution if such account is used to process transactions that involve any of the </w:t>
      </w:r>
      <w:r w:rsidR="00543CC0">
        <w:t>Gambling Establishments</w:t>
      </w:r>
      <w:r>
        <w:t xml:space="preserve">.  The failure to transmit such notice </w:t>
      </w:r>
      <w:r w:rsidR="008867EA">
        <w:t xml:space="preserve">would </w:t>
      </w:r>
      <w:r>
        <w:t xml:space="preserve">make it more difficult for the special measure to achieve its goal of </w:t>
      </w:r>
      <w:r w:rsidR="008051E2">
        <w:t>prevent</w:t>
      </w:r>
      <w:r>
        <w:t xml:space="preserve">ing </w:t>
      </w:r>
      <w:r w:rsidR="00CB373B">
        <w:t xml:space="preserve">the </w:t>
      </w:r>
      <w:r w:rsidR="00543CC0">
        <w:t>Gambling Establishments</w:t>
      </w:r>
      <w:r w:rsidR="00CB373B">
        <w:t>’</w:t>
      </w:r>
      <w:r w:rsidR="008051E2">
        <w:t xml:space="preserve"> </w:t>
      </w:r>
      <w:r>
        <w:t xml:space="preserve">access to the U.S. financial system.  </w:t>
      </w:r>
      <w:r w:rsidR="008867EA">
        <w:t>Further, a</w:t>
      </w:r>
      <w:r w:rsidR="009C3847">
        <w:t xml:space="preserve"> </w:t>
      </w:r>
      <w:r w:rsidR="00E42A1D">
        <w:t xml:space="preserve">covered </w:t>
      </w:r>
      <w:r w:rsidR="009C3847">
        <w:t>U.S.</w:t>
      </w:r>
      <w:r>
        <w:t xml:space="preserve"> financial institution </w:t>
      </w:r>
      <w:r w:rsidR="66AC9081">
        <w:t>must</w:t>
      </w:r>
      <w:r>
        <w:t xml:space="preserve"> document its compliance with the requirement</w:t>
      </w:r>
      <w:r w:rsidR="008B420E">
        <w:t>.</w:t>
      </w:r>
      <w:r>
        <w:t xml:space="preserve">  </w:t>
      </w:r>
      <w:r w:rsidR="152F8089">
        <w:t>F</w:t>
      </w:r>
      <w:r>
        <w:t xml:space="preserve">ailure to maintain such documentation </w:t>
      </w:r>
      <w:r w:rsidR="008867EA">
        <w:t xml:space="preserve">would </w:t>
      </w:r>
      <w:r>
        <w:t xml:space="preserve">make it impossible to verify compliance with </w:t>
      </w:r>
      <w:r w:rsidR="008867EA">
        <w:t xml:space="preserve">the proposed </w:t>
      </w:r>
      <w:r>
        <w:t xml:space="preserve">notice requirement, and by extension, to guard against the use of the U.S. financial </w:t>
      </w:r>
      <w:r w:rsidR="00274B92">
        <w:t xml:space="preserve">system </w:t>
      </w:r>
      <w:r>
        <w:t xml:space="preserve">by a </w:t>
      </w:r>
      <w:r w:rsidR="0056133E">
        <w:t>class of transaction</w:t>
      </w:r>
      <w:r>
        <w:t xml:space="preserve"> found to be of primary money laundering concern.  </w:t>
      </w:r>
    </w:p>
    <w:p w:rsidR="00C37A93" w:rsidP="00EA038B" w14:paraId="48821A99" w14:textId="7EC8C9B7">
      <w:pPr>
        <w:spacing w:after="240"/>
      </w:pPr>
      <w:r>
        <w:t xml:space="preserve">7.  </w:t>
      </w:r>
      <w:r>
        <w:rPr>
          <w:u w:val="single"/>
        </w:rPr>
        <w:t>Special circumstances requiring data collection inconsistent with the guidelines in 5 CFR 1320.5(d)(2)</w:t>
      </w:r>
      <w:r>
        <w:t>:</w:t>
      </w:r>
    </w:p>
    <w:p w:rsidR="009A4BA3" w:rsidP="00EA038B" w14:paraId="7F6E3463" w14:textId="77EF7341">
      <w:pPr>
        <w:spacing w:after="240"/>
        <w:ind w:firstLine="720"/>
      </w:pPr>
      <w:r w:rsidRPr="000B0B5C">
        <w:rPr>
          <w:szCs w:val="4"/>
        </w:rPr>
        <w:t>Und</w:t>
      </w:r>
      <w:r w:rsidRPr="000B0B5C">
        <w:t xml:space="preserve">er 31 CFR 1010.430(d), </w:t>
      </w:r>
      <w:r w:rsidRPr="000B0B5C">
        <w:rPr>
          <w:lang w:val="en"/>
        </w:rPr>
        <w:t xml:space="preserve">all records that are required to be retained by 31 CFR Chapter X must be retained for a period of five years.  </w:t>
      </w:r>
      <w:r w:rsidRPr="000B0B5C" w:rsidR="008679DB">
        <w:rPr>
          <w:lang w:val="en"/>
        </w:rPr>
        <w:t>The requirement that financial institutions maintain records of notification to their foreign correspondent account holders must be kept for</w:t>
      </w:r>
      <w:r w:rsidRPr="000B0B5C" w:rsidR="008679DB">
        <w:t xml:space="preserve"> five years to verify compliance with the requirement as such records may relate to civil penalty actions that are subject to statutes of limitation longer than three years.</w:t>
      </w:r>
    </w:p>
    <w:p w:rsidR="00581F64" w:rsidP="00EA038B" w14:paraId="4DC20B72" w14:textId="48FEC051">
      <w:pPr>
        <w:spacing w:after="240"/>
      </w:pPr>
      <w:r>
        <w:t xml:space="preserve">8.  </w:t>
      </w:r>
      <w:r>
        <w:rPr>
          <w:u w:val="single"/>
        </w:rPr>
        <w:t xml:space="preserve">Efforts to consult with </w:t>
      </w:r>
      <w:r>
        <w:rPr>
          <w:u w:val="single"/>
        </w:rPr>
        <w:t>persons</w:t>
      </w:r>
      <w:r>
        <w:rPr>
          <w:u w:val="single"/>
        </w:rPr>
        <w:t xml:space="preserve"> outside the agency</w:t>
      </w:r>
      <w:r w:rsidR="001C1A4E">
        <w:t>:</w:t>
      </w:r>
      <w:bookmarkEnd w:id="0"/>
    </w:p>
    <w:p w:rsidR="002814B9" w:rsidP="00EA038B" w14:paraId="3A2BC390" w14:textId="09CCE131">
      <w:pPr>
        <w:pStyle w:val="CommentText"/>
        <w:spacing w:after="240"/>
        <w:ind w:firstLine="720"/>
        <w:rPr>
          <w:sz w:val="24"/>
          <w:szCs w:val="24"/>
        </w:rPr>
      </w:pPr>
      <w:bookmarkStart w:id="3" w:name="_Hlk157355881"/>
      <w:r>
        <w:rPr>
          <w:sz w:val="24"/>
          <w:szCs w:val="24"/>
        </w:rPr>
        <w:t xml:space="preserve">On </w:t>
      </w:r>
      <w:r w:rsidR="00CB373B">
        <w:rPr>
          <w:sz w:val="24"/>
          <w:szCs w:val="24"/>
        </w:rPr>
        <w:t xml:space="preserve">November </w:t>
      </w:r>
      <w:r w:rsidR="009872B1">
        <w:rPr>
          <w:sz w:val="24"/>
          <w:szCs w:val="24"/>
        </w:rPr>
        <w:t>17</w:t>
      </w:r>
      <w:r w:rsidRPr="00BD244B">
        <w:rPr>
          <w:sz w:val="24"/>
          <w:szCs w:val="24"/>
        </w:rPr>
        <w:t>,</w:t>
      </w:r>
      <w:r w:rsidRPr="00632E4E">
        <w:rPr>
          <w:sz w:val="24"/>
          <w:szCs w:val="24"/>
        </w:rPr>
        <w:t xml:space="preserve"> 202</w:t>
      </w:r>
      <w:r w:rsidR="005A4D7C">
        <w:rPr>
          <w:sz w:val="24"/>
          <w:szCs w:val="24"/>
        </w:rPr>
        <w:t>5</w:t>
      </w:r>
      <w:r>
        <w:rPr>
          <w:sz w:val="24"/>
          <w:szCs w:val="24"/>
        </w:rPr>
        <w:t xml:space="preserve">, FinCEN published in the </w:t>
      </w:r>
      <w:r w:rsidRPr="00F218FE">
        <w:rPr>
          <w:i/>
          <w:iCs/>
          <w:sz w:val="24"/>
          <w:szCs w:val="24"/>
        </w:rPr>
        <w:t>Federal Register</w:t>
      </w:r>
      <w:r w:rsidR="003A65B1">
        <w:rPr>
          <w:sz w:val="24"/>
          <w:szCs w:val="24"/>
        </w:rPr>
        <w:t xml:space="preserve"> </w:t>
      </w:r>
      <w:r>
        <w:rPr>
          <w:sz w:val="24"/>
          <w:szCs w:val="24"/>
        </w:rPr>
        <w:t>a</w:t>
      </w:r>
      <w:r w:rsidR="00CA4A56">
        <w:rPr>
          <w:sz w:val="24"/>
          <w:szCs w:val="24"/>
        </w:rPr>
        <w:t xml:space="preserve"> notice and </w:t>
      </w:r>
      <w:r>
        <w:rPr>
          <w:sz w:val="24"/>
          <w:szCs w:val="24"/>
        </w:rPr>
        <w:t xml:space="preserve">request for comments of its intention to </w:t>
      </w:r>
      <w:r w:rsidR="00BD244B">
        <w:rPr>
          <w:sz w:val="24"/>
          <w:szCs w:val="24"/>
        </w:rPr>
        <w:t xml:space="preserve">impose information collection requirements </w:t>
      </w:r>
      <w:r>
        <w:rPr>
          <w:sz w:val="24"/>
          <w:szCs w:val="24"/>
        </w:rPr>
        <w:t>in connection with the im</w:t>
      </w:r>
      <w:r w:rsidRPr="00543CC0">
        <w:rPr>
          <w:sz w:val="24"/>
          <w:szCs w:val="24"/>
        </w:rPr>
        <w:t>posit</w:t>
      </w:r>
      <w:r w:rsidRPr="00543CC0" w:rsidR="00040637">
        <w:rPr>
          <w:sz w:val="24"/>
          <w:szCs w:val="24"/>
        </w:rPr>
        <w:t>i</w:t>
      </w:r>
      <w:r w:rsidRPr="00543CC0">
        <w:rPr>
          <w:sz w:val="24"/>
          <w:szCs w:val="24"/>
        </w:rPr>
        <w:t>on</w:t>
      </w:r>
      <w:r w:rsidRPr="00543CC0" w:rsidR="00040637">
        <w:rPr>
          <w:sz w:val="24"/>
          <w:szCs w:val="24"/>
        </w:rPr>
        <w:t xml:space="preserve"> of a</w:t>
      </w:r>
      <w:r w:rsidRPr="00543CC0" w:rsidR="008867EA">
        <w:rPr>
          <w:sz w:val="24"/>
          <w:szCs w:val="24"/>
        </w:rPr>
        <w:t xml:space="preserve"> </w:t>
      </w:r>
      <w:r w:rsidRPr="00543CC0" w:rsidR="00040637">
        <w:rPr>
          <w:sz w:val="24"/>
          <w:szCs w:val="24"/>
        </w:rPr>
        <w:t>special measure concerning</w:t>
      </w:r>
      <w:r w:rsidRPr="00543CC0" w:rsidR="00282F35">
        <w:rPr>
          <w:sz w:val="24"/>
          <w:szCs w:val="24"/>
        </w:rPr>
        <w:t xml:space="preserve"> </w:t>
      </w:r>
      <w:bookmarkStart w:id="4" w:name="_Hlk157355897"/>
      <w:bookmarkEnd w:id="3"/>
      <w:r w:rsidRPr="00543CC0" w:rsidR="00543CC0">
        <w:rPr>
          <w:sz w:val="24"/>
          <w:szCs w:val="24"/>
        </w:rPr>
        <w:t xml:space="preserve">transactions involving any of </w:t>
      </w:r>
      <w:r w:rsidRPr="00543CC0" w:rsidR="00CB373B">
        <w:rPr>
          <w:sz w:val="24"/>
          <w:szCs w:val="24"/>
        </w:rPr>
        <w:t xml:space="preserve">the </w:t>
      </w:r>
      <w:r w:rsidRPr="00543CC0" w:rsidR="00543CC0">
        <w:rPr>
          <w:sz w:val="24"/>
          <w:szCs w:val="24"/>
        </w:rPr>
        <w:t xml:space="preserve">Gambling Establishments </w:t>
      </w:r>
      <w:r w:rsidRPr="00543CC0" w:rsidR="00040637">
        <w:rPr>
          <w:sz w:val="24"/>
          <w:szCs w:val="24"/>
        </w:rPr>
        <w:t xml:space="preserve">as </w:t>
      </w:r>
      <w:r w:rsidRPr="00543CC0" w:rsidR="00543CC0">
        <w:rPr>
          <w:sz w:val="24"/>
          <w:szCs w:val="24"/>
        </w:rPr>
        <w:t xml:space="preserve">a class of transactions </w:t>
      </w:r>
      <w:r w:rsidRPr="00543CC0" w:rsidR="00040637">
        <w:rPr>
          <w:sz w:val="24"/>
          <w:szCs w:val="24"/>
        </w:rPr>
        <w:t>of prim</w:t>
      </w:r>
      <w:r w:rsidRPr="00543CC0" w:rsidR="009411A0">
        <w:rPr>
          <w:sz w:val="24"/>
          <w:szCs w:val="24"/>
        </w:rPr>
        <w:t>ary</w:t>
      </w:r>
      <w:r w:rsidR="00040637">
        <w:rPr>
          <w:sz w:val="24"/>
          <w:szCs w:val="24"/>
        </w:rPr>
        <w:t xml:space="preserve"> money laundering concern</w:t>
      </w:r>
      <w:r w:rsidR="005136A7">
        <w:rPr>
          <w:sz w:val="24"/>
          <w:szCs w:val="24"/>
        </w:rPr>
        <w:t>.</w:t>
      </w:r>
      <w:r>
        <w:rPr>
          <w:rStyle w:val="FootnoteReference"/>
          <w:sz w:val="24"/>
          <w:szCs w:val="24"/>
          <w:vertAlign w:val="superscript"/>
        </w:rPr>
        <w:footnoteReference w:id="10"/>
      </w:r>
      <w:r w:rsidR="00040637">
        <w:rPr>
          <w:sz w:val="24"/>
          <w:szCs w:val="24"/>
        </w:rPr>
        <w:t xml:space="preserve"> </w:t>
      </w:r>
    </w:p>
    <w:p w:rsidR="002814B9" w:rsidP="00EA038B" w14:paraId="4285AFCB" w14:textId="33C2A702">
      <w:pPr>
        <w:pStyle w:val="CommentText"/>
        <w:spacing w:after="240"/>
      </w:pPr>
      <w:r w:rsidRPr="002814B9">
        <w:rPr>
          <w:sz w:val="24"/>
          <w:szCs w:val="24"/>
        </w:rPr>
        <w:t xml:space="preserve">9.  </w:t>
      </w:r>
      <w:r w:rsidRPr="002814B9">
        <w:rPr>
          <w:sz w:val="24"/>
          <w:szCs w:val="24"/>
          <w:u w:val="single"/>
        </w:rPr>
        <w:t>Payment or gift to respondents</w:t>
      </w:r>
      <w:r w:rsidRPr="002814B9" w:rsidR="001C1A4E">
        <w:rPr>
          <w:sz w:val="24"/>
          <w:szCs w:val="24"/>
        </w:rPr>
        <w:t>:</w:t>
      </w:r>
      <w:r w:rsidRPr="002814B9">
        <w:rPr>
          <w:sz w:val="24"/>
          <w:szCs w:val="24"/>
        </w:rPr>
        <w:t xml:space="preserve"> </w:t>
      </w:r>
    </w:p>
    <w:p w:rsidR="002814B9" w:rsidP="00EA038B" w14:paraId="636A095C" w14:textId="4D8DC474">
      <w:pPr>
        <w:pStyle w:val="CommentText"/>
        <w:spacing w:after="240"/>
        <w:rPr>
          <w:sz w:val="24"/>
          <w:szCs w:val="24"/>
        </w:rPr>
      </w:pPr>
      <w:r w:rsidRPr="002814B9">
        <w:rPr>
          <w:sz w:val="24"/>
          <w:szCs w:val="24"/>
        </w:rPr>
        <w:t>No payments or gifts will be provided to respondents.</w:t>
      </w:r>
    </w:p>
    <w:p w:rsidR="002814B9" w:rsidP="00EA038B" w14:paraId="6C6C2166" w14:textId="52B66FFB">
      <w:pPr>
        <w:pStyle w:val="CommentText"/>
        <w:spacing w:after="240"/>
      </w:pPr>
      <w:r w:rsidRPr="002814B9">
        <w:rPr>
          <w:sz w:val="24"/>
          <w:szCs w:val="24"/>
        </w:rPr>
        <w:t xml:space="preserve">10.  </w:t>
      </w:r>
      <w:r w:rsidRPr="002814B9">
        <w:rPr>
          <w:sz w:val="24"/>
          <w:szCs w:val="24"/>
          <w:u w:val="single"/>
        </w:rPr>
        <w:t>Assurance of confidentiality provided to respondents and basis for the assurance in statute, regulation, or agency policy</w:t>
      </w:r>
      <w:r w:rsidRPr="002814B9">
        <w:rPr>
          <w:sz w:val="24"/>
          <w:szCs w:val="24"/>
        </w:rPr>
        <w:t>:</w:t>
      </w:r>
    </w:p>
    <w:p w:rsidR="0099485E" w:rsidP="00EA038B" w14:paraId="11B06B3A" w14:textId="3BF2C1DB">
      <w:pPr>
        <w:spacing w:after="240"/>
        <w:ind w:firstLine="720"/>
      </w:pPr>
      <w:r w:rsidRPr="0099485E">
        <w:t>The information collected would be available to Treasury or its designee to verify compliance with the notice requirement; all such information collections under the BSA must be used consistent with a purpose set forth in 31 U.S.C. 5311, including furthering a criminal, tax, or regulatory investigation, risk assessment, or proceeding, or use in intelligence or counterintelligence activities, including analysis, to protect against terrorism.</w:t>
      </w:r>
    </w:p>
    <w:p w:rsidR="0099485E" w:rsidP="00EA038B" w14:paraId="44EC2F1E" w14:textId="6B03C7F2">
      <w:pPr>
        <w:spacing w:after="240"/>
      </w:pPr>
      <w:r>
        <w:t xml:space="preserve">11.  </w:t>
      </w:r>
      <w:r>
        <w:rPr>
          <w:u w:val="single"/>
        </w:rPr>
        <w:t>Justification for questions of a sensitive nature</w:t>
      </w:r>
      <w:r>
        <w:t>:</w:t>
      </w:r>
      <w:r>
        <w:tab/>
      </w:r>
    </w:p>
    <w:p w:rsidR="0099485E" w:rsidP="00EA038B" w14:paraId="1D1E20D9" w14:textId="0B1A8382">
      <w:pPr>
        <w:spacing w:after="240"/>
        <w:ind w:firstLine="720"/>
      </w:pPr>
      <w:r w:rsidRPr="00537765">
        <w:t>There are no questions of a sensitive nature in the</w:t>
      </w:r>
      <w:r>
        <w:t xml:space="preserve"> collection of</w:t>
      </w:r>
      <w:r w:rsidRPr="00537765">
        <w:t xml:space="preserve"> information</w:t>
      </w:r>
      <w:r>
        <w:t xml:space="preserve"> under the proposed rule, </w:t>
      </w:r>
      <w:r w:rsidRPr="00232FAF">
        <w:t>such as sexual behavior and attitudes, religious beliefs, and other matters that are commonly considered private.</w:t>
      </w:r>
      <w:r w:rsidRPr="00537765">
        <w:t xml:space="preserve">  Any </w:t>
      </w:r>
      <w:r>
        <w:t>personally identifiable</w:t>
      </w:r>
      <w:r w:rsidRPr="00537765">
        <w:t xml:space="preserve"> information collected under the </w:t>
      </w:r>
      <w:r>
        <w:t>BSA</w:t>
      </w:r>
      <w:r w:rsidRPr="00537765">
        <w:t xml:space="preserve"> is strictly controlled as outlined in FinCEN’s </w:t>
      </w:r>
      <w:r>
        <w:t xml:space="preserve">Privacy Act </w:t>
      </w:r>
      <w:r w:rsidRPr="00537765">
        <w:t>System of Records Notice</w:t>
      </w:r>
      <w:r>
        <w:t xml:space="preserve"> for BSA reports.</w:t>
      </w:r>
      <w:r>
        <w:rPr>
          <w:rStyle w:val="FootnoteReference"/>
          <w:vertAlign w:val="superscript"/>
        </w:rPr>
        <w:footnoteReference w:id="11"/>
      </w:r>
    </w:p>
    <w:p w:rsidR="0099485E" w:rsidP="00EA038B" w14:paraId="67ADACF3" w14:textId="1333B79E">
      <w:pPr>
        <w:spacing w:after="240"/>
      </w:pPr>
      <w:r>
        <w:t xml:space="preserve">12.  </w:t>
      </w:r>
      <w:r w:rsidRPr="00905F3D">
        <w:rPr>
          <w:u w:val="single"/>
        </w:rPr>
        <w:t>Estimated burden</w:t>
      </w:r>
      <w:r>
        <w:t>:</w:t>
      </w:r>
    </w:p>
    <w:p w:rsidR="00E87031" w:rsidP="00EA038B" w14:paraId="666EAF96" w14:textId="3E181BCD">
      <w:pPr>
        <w:spacing w:after="240"/>
      </w:pPr>
      <w:r w:rsidRPr="009512A8">
        <w:rPr>
          <w:u w:val="single"/>
        </w:rPr>
        <w:t xml:space="preserve">Estimated </w:t>
      </w:r>
      <w:r>
        <w:rPr>
          <w:u w:val="single"/>
        </w:rPr>
        <w:t>N</w:t>
      </w:r>
      <w:r w:rsidRPr="00D04DA4">
        <w:rPr>
          <w:u w:val="single"/>
        </w:rPr>
        <w:t xml:space="preserve">umber of </w:t>
      </w:r>
      <w:r>
        <w:rPr>
          <w:u w:val="single"/>
        </w:rPr>
        <w:t>Respondents</w:t>
      </w:r>
      <w:r w:rsidRPr="00F218FE">
        <w:t>:</w:t>
      </w:r>
    </w:p>
    <w:p w:rsidR="00E87031" w:rsidP="00EA038B" w14:paraId="15E732D1" w14:textId="4217F460">
      <w:pPr>
        <w:keepNext/>
        <w:keepLines/>
        <w:ind w:firstLine="360"/>
      </w:pPr>
      <w:r w:rsidRPr="1B5BEC5E">
        <w:rPr>
          <w:i/>
          <w:iCs/>
        </w:rPr>
        <w:t xml:space="preserve">Estimated Number of Potential Respondents: </w:t>
      </w:r>
      <w:r>
        <w:t xml:space="preserve">Approximately </w:t>
      </w:r>
      <w:r w:rsidRPr="000D2855">
        <w:t>1</w:t>
      </w:r>
      <w:r>
        <w:t>5</w:t>
      </w:r>
      <w:r w:rsidRPr="000D2855">
        <w:t>,</w:t>
      </w:r>
      <w:r>
        <w:t>710.</w:t>
      </w:r>
      <w:r>
        <w:rPr>
          <w:vertAlign w:val="superscript"/>
        </w:rPr>
        <w:footnoteReference w:id="12"/>
      </w:r>
    </w:p>
    <w:p w:rsidR="0056133E" w:rsidP="00EA038B" w14:paraId="765B2995" w14:textId="2C06E7C2">
      <w:pPr>
        <w:pStyle w:val="CommentText"/>
        <w:spacing w:after="240"/>
        <w:ind w:firstLine="360"/>
      </w:pPr>
      <w:r w:rsidRPr="00E87031">
        <w:rPr>
          <w:i/>
          <w:iCs/>
          <w:sz w:val="24"/>
          <w:szCs w:val="24"/>
        </w:rPr>
        <w:t xml:space="preserve">Estimated Number of Expected Respondents: </w:t>
      </w:r>
      <w:r w:rsidRPr="00E87031">
        <w:rPr>
          <w:sz w:val="24"/>
          <w:szCs w:val="24"/>
        </w:rPr>
        <w:t>Approximately 127</w:t>
      </w:r>
      <w:r w:rsidR="00573E78">
        <w:rPr>
          <w:sz w:val="24"/>
          <w:szCs w:val="24"/>
        </w:rPr>
        <w:t>.</w:t>
      </w:r>
      <w:r>
        <w:rPr>
          <w:rStyle w:val="FootnoteReference"/>
          <w:sz w:val="24"/>
          <w:szCs w:val="24"/>
          <w:vertAlign w:val="superscript"/>
        </w:rPr>
        <w:footnoteReference w:id="13"/>
      </w:r>
    </w:p>
    <w:p w:rsidR="003D5074" w:rsidP="00EA038B" w14:paraId="28A8BCD5" w14:textId="77777777">
      <w:pPr>
        <w:spacing w:after="240"/>
      </w:pPr>
      <w:r w:rsidRPr="00D04DA4">
        <w:rPr>
          <w:u w:val="single"/>
        </w:rPr>
        <w:t xml:space="preserve">Estimated </w:t>
      </w:r>
      <w:r>
        <w:rPr>
          <w:u w:val="single"/>
        </w:rPr>
        <w:t>Time per Respondent</w:t>
      </w:r>
      <w:r w:rsidRPr="00F218FE">
        <w:t>:</w:t>
      </w:r>
      <w:r>
        <w:t xml:space="preserve">  </w:t>
      </w:r>
    </w:p>
    <w:p w:rsidR="003D5074" w:rsidP="00EA038B" w14:paraId="6C60FDA9" w14:textId="77777777">
      <w:pPr>
        <w:ind w:firstLine="360"/>
      </w:pPr>
      <w:r w:rsidRPr="00EA038B">
        <w:rPr>
          <w:i/>
          <w:iCs/>
        </w:rPr>
        <w:t>Year 1:</w:t>
      </w:r>
      <w:r>
        <w:t xml:space="preserve"> 8 hours.</w:t>
      </w:r>
      <w:r>
        <w:rPr>
          <w:rStyle w:val="FootnoteReference"/>
          <w:vertAlign w:val="superscript"/>
        </w:rPr>
        <w:footnoteReference w:id="14"/>
      </w:r>
    </w:p>
    <w:p w:rsidR="003D5074" w:rsidP="00EA038B" w14:paraId="5FF024C5" w14:textId="77777777">
      <w:pPr>
        <w:ind w:firstLine="360"/>
      </w:pPr>
      <w:r w:rsidRPr="00EA038B">
        <w:rPr>
          <w:i/>
          <w:iCs/>
        </w:rPr>
        <w:t>Years 2+:</w:t>
      </w:r>
      <w:r>
        <w:t xml:space="preserve"> 0.25 hours.</w:t>
      </w:r>
      <w:r>
        <w:rPr>
          <w:rStyle w:val="FootnoteReference"/>
          <w:vertAlign w:val="superscript"/>
        </w:rPr>
        <w:footnoteReference w:id="15"/>
      </w:r>
    </w:p>
    <w:p w:rsidR="003D5074" w:rsidP="00EA038B" w14:paraId="3DE36CA5" w14:textId="3485F948">
      <w:pPr>
        <w:spacing w:after="240"/>
        <w:ind w:firstLine="360"/>
      </w:pPr>
      <w:r w:rsidRPr="00EA038B">
        <w:rPr>
          <w:i/>
          <w:iCs/>
        </w:rPr>
        <w:t>Three-year Average:</w:t>
      </w:r>
      <w:r>
        <w:t xml:space="preserve"> </w:t>
      </w:r>
      <w:r w:rsidR="00954C18">
        <w:rPr>
          <w:iCs/>
        </w:rPr>
        <w:t>Approximately</w:t>
      </w:r>
      <w:r w:rsidR="00954C18">
        <w:t xml:space="preserve"> </w:t>
      </w:r>
      <w:r>
        <w:t>2.83 hours.</w:t>
      </w:r>
      <w:r>
        <w:rPr>
          <w:rStyle w:val="FootnoteReference"/>
          <w:vertAlign w:val="superscript"/>
        </w:rPr>
        <w:footnoteReference w:id="16"/>
      </w:r>
    </w:p>
    <w:p w:rsidR="003D5074" w:rsidP="00EA038B" w14:paraId="58CBBC00" w14:textId="77777777">
      <w:pPr>
        <w:spacing w:after="240"/>
      </w:pPr>
      <w:r w:rsidRPr="00D04DA4">
        <w:rPr>
          <w:u w:val="single"/>
        </w:rPr>
        <w:t xml:space="preserve">Estimated </w:t>
      </w:r>
      <w:r>
        <w:rPr>
          <w:u w:val="single"/>
        </w:rPr>
        <w:t>Total Annual Burden</w:t>
      </w:r>
      <w:r w:rsidRPr="00F218FE">
        <w:t>:</w:t>
      </w:r>
      <w:r>
        <w:t xml:space="preserve">  </w:t>
      </w:r>
    </w:p>
    <w:p w:rsidR="003D5074" w:rsidP="00EA038B" w14:paraId="1AF81F79" w14:textId="77777777">
      <w:pPr>
        <w:ind w:firstLine="360"/>
      </w:pPr>
      <w:r w:rsidRPr="00EA038B">
        <w:rPr>
          <w:i/>
          <w:iCs/>
        </w:rPr>
        <w:t>Year 1:</w:t>
      </w:r>
      <w:r>
        <w:t xml:space="preserve"> 1,016</w:t>
      </w:r>
      <w:r w:rsidRPr="000D2855">
        <w:rPr>
          <w:iCs/>
        </w:rPr>
        <w:t xml:space="preserve"> hours</w:t>
      </w:r>
      <w:r>
        <w:rPr>
          <w:iCs/>
        </w:rPr>
        <w:t>.</w:t>
      </w:r>
      <w:r>
        <w:rPr>
          <w:rStyle w:val="FootnoteReference"/>
          <w:iCs/>
          <w:vertAlign w:val="superscript"/>
        </w:rPr>
        <w:footnoteReference w:id="17"/>
      </w:r>
    </w:p>
    <w:p w:rsidR="003D5074" w:rsidP="00EA038B" w14:paraId="3BDC25C5" w14:textId="77777777">
      <w:pPr>
        <w:ind w:firstLine="360"/>
        <w:rPr>
          <w:iCs/>
        </w:rPr>
      </w:pPr>
      <w:r w:rsidRPr="00EA038B">
        <w:rPr>
          <w:i/>
        </w:rPr>
        <w:t>Years 2+:</w:t>
      </w:r>
      <w:r>
        <w:rPr>
          <w:iCs/>
        </w:rPr>
        <w:t xml:space="preserve"> 31.75 hours.</w:t>
      </w:r>
    </w:p>
    <w:p w:rsidR="00C6086F" w:rsidP="00EA038B" w14:paraId="54A5349E" w14:textId="12B90A3D">
      <w:pPr>
        <w:ind w:firstLine="360"/>
      </w:pPr>
      <w:r w:rsidRPr="00EA038B">
        <w:rPr>
          <w:i/>
        </w:rPr>
        <w:t>Three-year Average:</w:t>
      </w:r>
      <w:r>
        <w:rPr>
          <w:iCs/>
        </w:rPr>
        <w:t xml:space="preserve"> </w:t>
      </w:r>
      <w:r w:rsidR="00954C18">
        <w:rPr>
          <w:iCs/>
        </w:rPr>
        <w:t>A</w:t>
      </w:r>
      <w:r w:rsidR="00D11CD5">
        <w:rPr>
          <w:iCs/>
        </w:rPr>
        <w:t xml:space="preserve">pproximately </w:t>
      </w:r>
      <w:r>
        <w:rPr>
          <w:iCs/>
        </w:rPr>
        <w:t>360 hours.</w:t>
      </w:r>
    </w:p>
    <w:p w:rsidR="00166F96" w:rsidRPr="00166F96" w:rsidP="00166F96" w14:paraId="249E52BE" w14:textId="14766E95">
      <w:pPr>
        <w:jc w:val="center"/>
      </w:pPr>
    </w:p>
    <w:p w:rsidR="00C37A93" w14:paraId="7DD9F451" w14:textId="29BA164B">
      <w:r>
        <w:t xml:space="preserve">13.  </w:t>
      </w:r>
      <w:r>
        <w:rPr>
          <w:u w:val="single"/>
        </w:rPr>
        <w:t>Estimated total annual cost burden</w:t>
      </w:r>
      <w:r>
        <w:t>:</w:t>
      </w:r>
    </w:p>
    <w:p w:rsidR="00C37A93" w14:paraId="2D7ECB73" w14:textId="77777777"/>
    <w:p w:rsidR="00331453" w:rsidP="00EA038B" w14:paraId="7CD88FDA" w14:textId="75AEF3A0">
      <w:pPr>
        <w:ind w:left="360"/>
      </w:pPr>
      <w:r w:rsidRPr="00EA038B">
        <w:rPr>
          <w:i/>
          <w:iCs/>
        </w:rPr>
        <w:t>Year 1:</w:t>
      </w:r>
      <w:r>
        <w:t xml:space="preserve"> </w:t>
      </w:r>
      <w:r w:rsidR="007B4699">
        <w:t>A</w:t>
      </w:r>
      <w:r>
        <w:t>pproximately $121,920.</w:t>
      </w:r>
    </w:p>
    <w:p w:rsidR="00331453" w:rsidP="00EA038B" w14:paraId="1B1390EA" w14:textId="501A9443">
      <w:pPr>
        <w:ind w:left="360"/>
      </w:pPr>
      <w:r w:rsidRPr="00EA038B">
        <w:rPr>
          <w:i/>
          <w:iCs/>
        </w:rPr>
        <w:t>Years 2+:</w:t>
      </w:r>
      <w:r>
        <w:t xml:space="preserve"> </w:t>
      </w:r>
      <w:r w:rsidR="007B4699">
        <w:t>A</w:t>
      </w:r>
      <w:r>
        <w:t>pproximately $3,810.</w:t>
      </w:r>
    </w:p>
    <w:p w:rsidR="00331453" w:rsidP="00EA038B" w14:paraId="58AB1814" w14:textId="4BFF349C">
      <w:pPr>
        <w:spacing w:after="240"/>
        <w:ind w:left="360"/>
      </w:pPr>
      <w:r w:rsidRPr="00EA038B">
        <w:rPr>
          <w:i/>
          <w:iCs/>
        </w:rPr>
        <w:t>Three-year Average:</w:t>
      </w:r>
      <w:r>
        <w:t xml:space="preserve"> </w:t>
      </w:r>
      <w:r w:rsidR="007B4699">
        <w:t>A</w:t>
      </w:r>
      <w:r>
        <w:t>pproximately $43,180.</w:t>
      </w:r>
    </w:p>
    <w:p w:rsidR="00C37A93" w:rsidP="00EA038B" w14:paraId="35ECFF73" w14:textId="189229AE">
      <w:pPr>
        <w:spacing w:after="240"/>
        <w:ind w:firstLine="720"/>
      </w:pPr>
      <w:r w:rsidRPr="0054236D">
        <w:t xml:space="preserve">FinCEN has not separately estimated, or assigned a dollar value to, the non-labor costs associated with </w:t>
      </w:r>
      <w:r>
        <w:t>this information collection requirement</w:t>
      </w:r>
      <w:r w:rsidRPr="0054236D">
        <w:t>.</w:t>
      </w:r>
    </w:p>
    <w:p w:rsidR="00C37A93" w:rsidP="00EA038B" w14:paraId="7C70581A" w14:textId="3A55A5FE">
      <w:pPr>
        <w:spacing w:after="240"/>
      </w:pPr>
      <w:r>
        <w:t xml:space="preserve">14.  </w:t>
      </w:r>
      <w:r>
        <w:rPr>
          <w:u w:val="single"/>
        </w:rPr>
        <w:t>Estimated annual cost to the Federal government</w:t>
      </w:r>
      <w:r>
        <w:t>:</w:t>
      </w:r>
    </w:p>
    <w:p w:rsidR="00C37A93" w:rsidP="00EA038B" w14:paraId="3E93C524" w14:textId="2E41DA5F">
      <w:pPr>
        <w:spacing w:after="240"/>
        <w:ind w:firstLine="720"/>
      </w:pPr>
      <w:r>
        <w:t xml:space="preserve">FinCEN does not expect the final rule to incrementally increase </w:t>
      </w:r>
      <w:r w:rsidRPr="009B5052">
        <w:t>annual cost</w:t>
      </w:r>
      <w:r>
        <w:t>s</w:t>
      </w:r>
      <w:r w:rsidRPr="009B5052">
        <w:t xml:space="preserve"> to the Federal government.</w:t>
      </w:r>
    </w:p>
    <w:p w:rsidR="00DD2958" w:rsidP="00EA038B" w14:paraId="6341FF7D" w14:textId="2F6346A2">
      <w:pPr>
        <w:spacing w:after="240"/>
      </w:pPr>
      <w:r>
        <w:t xml:space="preserve">15.  </w:t>
      </w:r>
      <w:r>
        <w:rPr>
          <w:u w:val="single"/>
        </w:rPr>
        <w:t>Change in burden</w:t>
      </w:r>
      <w:r>
        <w:t>:</w:t>
      </w:r>
    </w:p>
    <w:p w:rsidR="00C37A93" w:rsidP="00EA038B" w14:paraId="32B7D48E" w14:textId="2F77C25A">
      <w:pPr>
        <w:spacing w:after="240"/>
        <w:ind w:firstLine="720"/>
      </w:pPr>
      <w:r>
        <w:t>None.  This is a new collection; however, financial institutions are accustomed to documenting their compliance with federal requirements.</w:t>
      </w:r>
    </w:p>
    <w:p w:rsidR="00C37A93" w:rsidP="00EA038B" w14:paraId="3BCCE915" w14:textId="2067BD21">
      <w:pPr>
        <w:spacing w:after="240"/>
      </w:pPr>
      <w:r>
        <w:t xml:space="preserve">16.  </w:t>
      </w:r>
      <w:r>
        <w:rPr>
          <w:u w:val="single"/>
        </w:rPr>
        <w:t>Plans for tabulation or publication</w:t>
      </w:r>
      <w:r>
        <w:t>:</w:t>
      </w:r>
    </w:p>
    <w:p w:rsidR="00C37A93" w:rsidP="00EA038B" w14:paraId="626B645E" w14:textId="1E464BC3">
      <w:pPr>
        <w:spacing w:after="240"/>
        <w:ind w:firstLine="720"/>
      </w:pPr>
      <w:r>
        <w:t>There are no plans for tabulation or publication</w:t>
      </w:r>
      <w:r w:rsidR="004B3B0E">
        <w:t>.</w:t>
      </w:r>
    </w:p>
    <w:p w:rsidR="00C37A93" w:rsidP="00EA038B" w14:paraId="29E8ABD0" w14:textId="09D531C3">
      <w:pPr>
        <w:spacing w:after="240"/>
      </w:pPr>
      <w:r>
        <w:t xml:space="preserve">17.  </w:t>
      </w:r>
      <w:r>
        <w:rPr>
          <w:u w:val="single"/>
        </w:rPr>
        <w:t>Reason why display of expiration date for OMB approval is not appropriate</w:t>
      </w:r>
      <w:r>
        <w:t>:</w:t>
      </w:r>
    </w:p>
    <w:p w:rsidR="00EB1DDD" w:rsidP="007B4699" w14:paraId="786D559E" w14:textId="0026D106">
      <w:pPr>
        <w:spacing w:after="240"/>
        <w:ind w:firstLine="720"/>
      </w:pPr>
      <w:r w:rsidRPr="005D71B3">
        <w:t xml:space="preserve">FinCEN requests that it </w:t>
      </w:r>
      <w:r w:rsidRPr="005D71B3">
        <w:t>not be</w:t>
      </w:r>
      <w:r w:rsidRPr="005D71B3">
        <w:t xml:space="preserve"> required to display the expiration date so that the regulations will not have to be amended for the new expiration date every three years.  </w:t>
      </w:r>
    </w:p>
    <w:p w:rsidR="00C37A93" w:rsidP="00EA038B" w14:paraId="6E147D18" w14:textId="52E2C8FA">
      <w:pPr>
        <w:spacing w:after="240"/>
      </w:pPr>
      <w:r>
        <w:t xml:space="preserve">18.  </w:t>
      </w:r>
      <w:r>
        <w:rPr>
          <w:u w:val="single"/>
        </w:rPr>
        <w:t>Exception to the certification statement in OMB Form 83-I</w:t>
      </w:r>
      <w:r>
        <w:t>:</w:t>
      </w:r>
    </w:p>
    <w:p w:rsidR="00C37A93" w:rsidP="00EA038B" w14:paraId="230FE8BF" w14:textId="6144EF11">
      <w:pPr>
        <w:spacing w:after="240"/>
        <w:ind w:firstLine="720"/>
      </w:pPr>
      <w:r>
        <w:t xml:space="preserve">There are no exceptions to the certification statement. </w:t>
      </w:r>
    </w:p>
    <w:p w:rsidR="00C37A93" w14:paraId="54DD78AA" w14:textId="5749D34B">
      <w:r>
        <w:t xml:space="preserve"> </w:t>
      </w:r>
      <w:bookmarkEnd w:id="4"/>
    </w:p>
    <w:sectPr>
      <w:footerReference w:type="even"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14:paraId="31BFAF3F" w14:textId="1AA407B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50EAA">
      <w:rPr>
        <w:rStyle w:val="PageNumber"/>
        <w:noProof/>
      </w:rPr>
      <w:t>4</w:t>
    </w:r>
    <w:r>
      <w:rPr>
        <w:rStyle w:val="PageNumber"/>
      </w:rPr>
      <w:fldChar w:fldCharType="end"/>
    </w:r>
  </w:p>
  <w:p w:rsidR="00C37A93" w14:paraId="21B2DD5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7A93" w:rsidP="00450EAA" w14:paraId="23B54F39" w14:textId="603ED5D9">
    <w:pPr>
      <w:pStyle w:val="Footer"/>
      <w:jc w:val="center"/>
    </w:pPr>
    <w:r>
      <w:fldChar w:fldCharType="begin"/>
    </w:r>
    <w:r>
      <w:instrText xml:space="preserve"> PAGE   \* MERGEFORMAT </w:instrText>
    </w:r>
    <w:r>
      <w:fldChar w:fldCharType="separate"/>
    </w:r>
    <w:r w:rsidR="00142795">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5CE0" w14:paraId="595B72A7" w14:textId="77777777">
      <w:r>
        <w:separator/>
      </w:r>
    </w:p>
  </w:footnote>
  <w:footnote w:type="continuationSeparator" w:id="1">
    <w:p w:rsidR="00C25CE0" w14:paraId="52A8BCEC" w14:textId="77777777">
      <w:r>
        <w:continuationSeparator/>
      </w:r>
    </w:p>
  </w:footnote>
  <w:footnote w:type="continuationNotice" w:id="2">
    <w:p w:rsidR="00C25CE0" w14:paraId="616BCC52" w14:textId="77777777"/>
  </w:footnote>
  <w:footnote w:id="3">
    <w:p w:rsidR="006A5A03" w14:paraId="7D963786" w14:textId="08BD0258">
      <w:pPr>
        <w:pStyle w:val="FootnoteText"/>
      </w:pPr>
      <w:r w:rsidRPr="00F218FE">
        <w:rPr>
          <w:rStyle w:val="FootnoteReference"/>
          <w:vertAlign w:val="superscript"/>
        </w:rPr>
        <w:footnoteRef/>
      </w:r>
      <w:r>
        <w:t xml:space="preserve"> </w:t>
      </w:r>
      <w:r w:rsidRPr="71E559B3">
        <w:t>Title II of Pub. L. 91–508, 84 Stat. 1118 (Oct. 26, 1970).</w:t>
      </w:r>
    </w:p>
  </w:footnote>
  <w:footnote w:id="4">
    <w:p w:rsidR="00F65846" w:rsidRPr="00F725B7" w:rsidP="00F65846" w14:paraId="1F938C62" w14:textId="65C565FC">
      <w:pPr>
        <w:pStyle w:val="FootnoteText"/>
      </w:pPr>
      <w:r w:rsidRPr="00920790">
        <w:rPr>
          <w:rStyle w:val="FootnoteReference"/>
          <w:vertAlign w:val="superscript"/>
        </w:rPr>
        <w:footnoteRef/>
      </w:r>
      <w:r w:rsidRPr="00F218FE">
        <w:t xml:space="preserve"> </w:t>
      </w:r>
      <w:r w:rsidRPr="009704C3">
        <w:t xml:space="preserve">Pub. L. </w:t>
      </w:r>
      <w:r w:rsidR="00BA036B">
        <w:t xml:space="preserve">No. </w:t>
      </w:r>
      <w:r w:rsidRPr="009704C3">
        <w:t>107–56, 115 Stat. 272 (Oct. 26, 2001).</w:t>
      </w:r>
    </w:p>
  </w:footnote>
  <w:footnote w:id="5">
    <w:p w:rsidR="00F65846" w:rsidRPr="00531FC5" w:rsidP="00F65846" w14:paraId="7A7D5075" w14:textId="77777777">
      <w:pPr>
        <w:pStyle w:val="FootnoteText"/>
      </w:pPr>
      <w:r w:rsidRPr="00590CBF">
        <w:rPr>
          <w:rStyle w:val="FootnoteReference"/>
          <w:vertAlign w:val="superscript"/>
        </w:rPr>
        <w:footnoteRef/>
      </w:r>
      <w:r w:rsidRPr="00F218FE">
        <w:t xml:space="preserve"> </w:t>
      </w:r>
      <w:r w:rsidRPr="00531FC5">
        <w:t>The AML Act was enacted as Division F, 6001-6511, of the William M. (Mac) Thornberry National</w:t>
      </w:r>
    </w:p>
    <w:p w:rsidR="00F65846" w:rsidRPr="00531FC5" w:rsidP="00F65846" w14:paraId="348495EF" w14:textId="6F1E52B6">
      <w:pPr>
        <w:pStyle w:val="FootnoteText"/>
      </w:pPr>
      <w:r w:rsidRPr="00531FC5">
        <w:t>Defense Authorization Act for Fiscal Year 2021, Pub. L.</w:t>
      </w:r>
      <w:r w:rsidR="008B784C">
        <w:t xml:space="preserve"> No.</w:t>
      </w:r>
      <w:r w:rsidRPr="00531FC5">
        <w:t xml:space="preserve"> 116-283, 134 Stat</w:t>
      </w:r>
      <w:r w:rsidR="0086040D">
        <w:t>.</w:t>
      </w:r>
      <w:r w:rsidRPr="00531FC5">
        <w:t xml:space="preserve"> 3388 (2021).</w:t>
      </w:r>
    </w:p>
  </w:footnote>
  <w:footnote w:id="6">
    <w:p w:rsidR="00F65846" w:rsidRPr="00531FC5" w:rsidP="00F65846" w14:paraId="5D78CE5C" w14:textId="77777777">
      <w:pPr>
        <w:pStyle w:val="FootnoteText"/>
      </w:pPr>
      <w:r w:rsidRPr="00590CBF">
        <w:rPr>
          <w:rStyle w:val="FootnoteReference"/>
          <w:vertAlign w:val="superscript"/>
        </w:rPr>
        <w:footnoteRef/>
      </w:r>
      <w:r w:rsidRPr="00F218FE">
        <w:t xml:space="preserve"> </w:t>
      </w:r>
      <w:r w:rsidRPr="00196F18">
        <w:rPr>
          <w:i/>
          <w:iCs/>
        </w:rPr>
        <w:t>See</w:t>
      </w:r>
      <w:r>
        <w:t xml:space="preserve"> 31 U.S.C. 5311(1) – (2).</w:t>
      </w:r>
      <w:r w:rsidRPr="00531FC5">
        <w:rPr>
          <w:color w:val="1F497D"/>
        </w:rPr>
        <w:t xml:space="preserve"> </w:t>
      </w:r>
    </w:p>
  </w:footnote>
  <w:footnote w:id="7">
    <w:p w:rsidR="00F65846" w:rsidRPr="00531FC5" w:rsidP="00F65846" w14:paraId="7E9185C5" w14:textId="6A18BD46">
      <w:pPr>
        <w:pStyle w:val="FootnoteText"/>
      </w:pPr>
      <w:r w:rsidRPr="00590CBF">
        <w:rPr>
          <w:rStyle w:val="FootnoteReference"/>
          <w:vertAlign w:val="superscript"/>
        </w:rPr>
        <w:footnoteRef/>
      </w:r>
      <w:r w:rsidRPr="00F218FE">
        <w:t xml:space="preserve"> </w:t>
      </w:r>
      <w:r w:rsidR="006A5A03">
        <w:rPr>
          <w:i/>
          <w:iCs/>
        </w:rPr>
        <w:t xml:space="preserve">See </w:t>
      </w:r>
      <w:r w:rsidRPr="000330A4">
        <w:t>Treasury Order 180-01 (</w:t>
      </w:r>
      <w:r w:rsidRPr="00972DD0" w:rsidR="00972DD0">
        <w:rPr>
          <w:i/>
          <w:iCs/>
        </w:rPr>
        <w:t>reaffirmed</w:t>
      </w:r>
      <w:r w:rsidRPr="00972DD0" w:rsidR="00972DD0">
        <w:t xml:space="preserve"> </w:t>
      </w:r>
      <w:r w:rsidRPr="000330A4">
        <w:t>Jan. 14, 2020)</w:t>
      </w:r>
      <w:r>
        <w:t xml:space="preserve">; </w:t>
      </w:r>
      <w:r w:rsidRPr="004A76F0">
        <w:rPr>
          <w:i/>
          <w:iCs/>
          <w:color w:val="000000"/>
        </w:rPr>
        <w:t xml:space="preserve">see also </w:t>
      </w:r>
      <w:r w:rsidRPr="004A76F0">
        <w:rPr>
          <w:color w:val="000000"/>
        </w:rPr>
        <w:t xml:space="preserve">31 U.S.C. 310(b)(2)(I) (providing that the Director of FinCEN </w:t>
      </w:r>
      <w:r w:rsidR="006A5A03">
        <w:rPr>
          <w:color w:val="000000"/>
        </w:rPr>
        <w:t xml:space="preserve">shall </w:t>
      </w:r>
      <w:r w:rsidRPr="004A76F0">
        <w:rPr>
          <w:color w:val="000000"/>
        </w:rPr>
        <w:t>“[a]</w:t>
      </w:r>
      <w:r w:rsidRPr="004A76F0">
        <w:rPr>
          <w:color w:val="000000"/>
        </w:rPr>
        <w:t>dminister</w:t>
      </w:r>
      <w:r w:rsidRPr="004A76F0">
        <w:rPr>
          <w:color w:val="000000"/>
        </w:rPr>
        <w:t xml:space="preserve"> the requirements of subchapter II of chapter 53 of this title, chapter 2 of title I of Public Law 91–508, and section 21 of the Federal Deposit Insurance Act, to the extent delegated such authority by the Secretary.”)</w:t>
      </w:r>
      <w:r w:rsidRPr="004A76F0">
        <w:t>.</w:t>
      </w:r>
    </w:p>
  </w:footnote>
  <w:footnote w:id="8">
    <w:p w:rsidR="00EA1A7B" w:rsidRPr="00566CF9" w:rsidP="00EA1A7B" w14:paraId="793A9722" w14:textId="43994A63">
      <w:pPr>
        <w:pStyle w:val="FootnoteText"/>
      </w:pPr>
      <w:r w:rsidRPr="00C72F82">
        <w:rPr>
          <w:rStyle w:val="FootnoteReference"/>
          <w:vertAlign w:val="superscript"/>
        </w:rPr>
        <w:footnoteRef/>
      </w:r>
      <w:r w:rsidRPr="00F218FE">
        <w:t xml:space="preserve"> </w:t>
      </w:r>
      <w:r w:rsidR="009872B1">
        <w:t>FinCEN, “</w:t>
      </w:r>
      <w:r w:rsidRPr="009872B1" w:rsidR="009872B1">
        <w:t>FinCEN Combats Financial Support to the Sinaloa Cartel by Finding Transactions Involving 10 Mexico-based Gambling Establishments to be of Primary Money Laundering Concern</w:t>
      </w:r>
      <w:r w:rsidR="009872B1">
        <w:t xml:space="preserve">,” (Nov. 13, 2025), </w:t>
      </w:r>
      <w:hyperlink r:id="rId1" w:history="1">
        <w:r w:rsidRPr="00DA62EC" w:rsidR="009872B1">
          <w:rPr>
            <w:rStyle w:val="Hyperlink"/>
          </w:rPr>
          <w:t>https://www.fincen.gov/news/news-releases/fincen-combats-financial-support-sinaloa-cartel-finding-transactions-involving</w:t>
        </w:r>
      </w:hyperlink>
      <w:r w:rsidR="009872B1">
        <w:t xml:space="preserve">; </w:t>
      </w:r>
      <w:r w:rsidRPr="00EA038B" w:rsidR="00EA038B">
        <w:t xml:space="preserve">FinCEN, </w:t>
      </w:r>
      <w:r w:rsidRPr="00EA038B" w:rsidR="00EA038B">
        <w:rPr>
          <w:i/>
          <w:iCs/>
        </w:rPr>
        <w:t xml:space="preserve">Proposal of Special Measure Regarding Transactions Involving Ten Mexican Gambling Establishments as a Class of Transactions of Primary Money Laundering </w:t>
      </w:r>
      <w:r w:rsidRPr="00791EDB" w:rsidR="00EA038B">
        <w:rPr>
          <w:i/>
          <w:iCs/>
        </w:rPr>
        <w:t>Concern</w:t>
      </w:r>
      <w:r w:rsidRPr="00791EDB" w:rsidR="00EA038B">
        <w:t xml:space="preserve">, </w:t>
      </w:r>
      <w:hyperlink r:id="rId2" w:history="1">
        <w:r w:rsidR="005528DE">
          <w:rPr>
            <w:rStyle w:val="Hyperlink"/>
          </w:rPr>
          <w:t>9</w:t>
        </w:r>
        <w:r w:rsidR="005528DE">
          <w:rPr>
            <w:rStyle w:val="Hyperlink"/>
          </w:rPr>
          <w:t>0</w:t>
        </w:r>
        <w:r w:rsidR="005528DE">
          <w:rPr>
            <w:rStyle w:val="Hyperlink"/>
          </w:rPr>
          <w:t xml:space="preserve"> FR 51234</w:t>
        </w:r>
      </w:hyperlink>
      <w:r w:rsidRPr="00791EDB" w:rsidR="00EA038B">
        <w:t xml:space="preserve"> (</w:t>
      </w:r>
      <w:r w:rsidRPr="00791EDB" w:rsidR="00971BBE">
        <w:t xml:space="preserve">Nov. </w:t>
      </w:r>
      <w:r w:rsidRPr="00791EDB" w:rsidR="00EA038B">
        <w:t>1</w:t>
      </w:r>
      <w:r w:rsidRPr="00791EDB" w:rsidR="00971BBE">
        <w:t>7</w:t>
      </w:r>
      <w:r w:rsidRPr="00791EDB" w:rsidR="00EA038B">
        <w:t>,</w:t>
      </w:r>
      <w:r w:rsidRPr="00EA038B" w:rsidR="00EA038B">
        <w:t xml:space="preserve"> 2025), proposed to be codified at 31 CFR 1010.66</w:t>
      </w:r>
      <w:r w:rsidR="00EA038B">
        <w:t>5</w:t>
      </w:r>
      <w:r w:rsidRPr="00EA038B" w:rsidR="00EA038B">
        <w:t xml:space="preserve">.  </w:t>
      </w:r>
    </w:p>
  </w:footnote>
  <w:footnote w:id="9">
    <w:p w:rsidR="00EA1A7B" w:rsidRPr="00BF180D" w:rsidP="00EA1A7B" w14:paraId="2C0BFBEA" w14:textId="3BFEA31C">
      <w:pPr>
        <w:pStyle w:val="FootnoteText"/>
        <w:rPr>
          <w:lang w:val="es-MX"/>
        </w:rPr>
      </w:pPr>
      <w:r w:rsidRPr="005854D3">
        <w:rPr>
          <w:rStyle w:val="FootnoteReference"/>
          <w:vertAlign w:val="superscript"/>
        </w:rPr>
        <w:footnoteRef/>
      </w:r>
      <w:r w:rsidRPr="00F218FE">
        <w:rPr>
          <w:lang w:val="es-MX"/>
        </w:rPr>
        <w:t xml:space="preserve"> </w:t>
      </w:r>
      <w:r w:rsidRPr="005854D3">
        <w:rPr>
          <w:lang w:val="es-MX"/>
        </w:rPr>
        <w:t>The</w:t>
      </w:r>
      <w:r w:rsidRPr="005854D3">
        <w:rPr>
          <w:lang w:val="es-MX"/>
        </w:rPr>
        <w:t xml:space="preserve"> </w:t>
      </w:r>
      <w:r w:rsidR="0057627E">
        <w:rPr>
          <w:lang w:val="es-MX"/>
        </w:rPr>
        <w:t>G</w:t>
      </w:r>
      <w:r w:rsidRPr="005854D3">
        <w:rPr>
          <w:lang w:val="es-MX"/>
        </w:rPr>
        <w:t>ambling</w:t>
      </w:r>
      <w:r w:rsidRPr="005854D3">
        <w:rPr>
          <w:lang w:val="es-MX"/>
        </w:rPr>
        <w:t xml:space="preserve"> </w:t>
      </w:r>
      <w:r w:rsidR="0057627E">
        <w:rPr>
          <w:lang w:val="es-MX"/>
        </w:rPr>
        <w:t>E</w:t>
      </w:r>
      <w:r w:rsidRPr="005854D3">
        <w:rPr>
          <w:lang w:val="es-MX"/>
        </w:rPr>
        <w:t>stablishments</w:t>
      </w:r>
      <w:r w:rsidRPr="005854D3">
        <w:rPr>
          <w:lang w:val="es-MX"/>
        </w:rPr>
        <w:t xml:space="preserve"> are: (1) Casino </w:t>
      </w:r>
      <w:r w:rsidRPr="005854D3">
        <w:rPr>
          <w:lang w:val="es-MX"/>
        </w:rPr>
        <w:t>Emine</w:t>
      </w:r>
      <w:r w:rsidRPr="005854D3">
        <w:rPr>
          <w:lang w:val="es-MX"/>
        </w:rPr>
        <w:t xml:space="preserve"> (San Luis Rio Colorado, Sonora); Casino </w:t>
      </w:r>
      <w:r w:rsidRPr="005854D3">
        <w:rPr>
          <w:lang w:val="es-MX"/>
        </w:rPr>
        <w:t>Mirage</w:t>
      </w:r>
      <w:r w:rsidRPr="00BF180D">
        <w:rPr>
          <w:lang w:val="es-MX"/>
        </w:rPr>
        <w:t xml:space="preserve"> (</w:t>
      </w:r>
      <w:r w:rsidRPr="00BF180D">
        <w:rPr>
          <w:lang w:val="es-MX"/>
        </w:rPr>
        <w:t>Culiacan</w:t>
      </w:r>
      <w:r w:rsidRPr="00BF180D">
        <w:rPr>
          <w:lang w:val="es-MX"/>
        </w:rPr>
        <w:t>, Sinaloa); Midas Casino (Agua Prieta, Sonora); Midas Casino (Guamúchil, Sinaloa); Midas Casino (Los Mochis, Baja California); Midas Casino (</w:t>
      </w:r>
      <w:r w:rsidRPr="00BF180D">
        <w:rPr>
          <w:lang w:val="es-MX"/>
        </w:rPr>
        <w:t>Mazatlan</w:t>
      </w:r>
      <w:r w:rsidRPr="00BF180D">
        <w:rPr>
          <w:lang w:val="es-MX"/>
        </w:rPr>
        <w:t xml:space="preserve">, Sinaloa); Midas Casino (Rosarito, Baja California); Palermo Casino (Nogales, Sonora); </w:t>
      </w:r>
      <w:r w:rsidRPr="00BF180D">
        <w:rPr>
          <w:lang w:val="es-MX"/>
        </w:rPr>
        <w:t>Skampa</w:t>
      </w:r>
      <w:r w:rsidRPr="00BF180D">
        <w:rPr>
          <w:lang w:val="es-MX"/>
        </w:rPr>
        <w:t xml:space="preserve"> Casino (Ensenada, Baja California); and </w:t>
      </w:r>
      <w:r w:rsidRPr="00BF180D">
        <w:rPr>
          <w:lang w:val="es-MX"/>
        </w:rPr>
        <w:t>Skampa</w:t>
      </w:r>
      <w:r w:rsidRPr="00BF180D">
        <w:rPr>
          <w:lang w:val="es-MX"/>
        </w:rPr>
        <w:t xml:space="preserve"> Casino (Villahermosa, Tabasco).</w:t>
      </w:r>
    </w:p>
  </w:footnote>
  <w:footnote w:id="10">
    <w:p w:rsidR="00040637" w:rsidRPr="005136A7" w:rsidP="0099485E" w14:paraId="3364A283" w14:textId="4AAACDD7">
      <w:pPr>
        <w:pStyle w:val="FootnoteText"/>
      </w:pPr>
      <w:r w:rsidRPr="00B346C0">
        <w:rPr>
          <w:rStyle w:val="FootnoteReference"/>
          <w:vertAlign w:val="superscript"/>
        </w:rPr>
        <w:footnoteRef/>
      </w:r>
      <w:r w:rsidRPr="00F218FE">
        <w:t xml:space="preserve"> </w:t>
      </w:r>
      <w:r w:rsidRPr="004D6945" w:rsidR="004D6945">
        <w:rPr>
          <w:i/>
          <w:iCs/>
        </w:rPr>
        <w:t>See supra</w:t>
      </w:r>
      <w:r w:rsidR="004D6945">
        <w:t xml:space="preserve"> note 6.</w:t>
      </w:r>
    </w:p>
  </w:footnote>
  <w:footnote w:id="11">
    <w:p w:rsidR="00E87031" w:rsidP="00E87031" w14:paraId="07603827" w14:textId="3D4EA02A">
      <w:pPr>
        <w:pStyle w:val="FootnoteText"/>
      </w:pPr>
      <w:r w:rsidRPr="00B346C0">
        <w:rPr>
          <w:rStyle w:val="FootnoteReference"/>
          <w:vertAlign w:val="superscript"/>
        </w:rPr>
        <w:footnoteRef/>
      </w:r>
      <w:r>
        <w:t xml:space="preserve"> </w:t>
      </w:r>
      <w:r w:rsidR="00B44202">
        <w:rPr>
          <w:i/>
          <w:iCs/>
        </w:rPr>
        <w:t xml:space="preserve">See </w:t>
      </w:r>
      <w:r>
        <w:t xml:space="preserve">FinCEN, </w:t>
      </w:r>
      <w:r>
        <w:rPr>
          <w:i/>
        </w:rPr>
        <w:t>Privacy Act of 1974, as Amended; System of Records Notice</w:t>
      </w:r>
      <w:r w:rsidRPr="0091669C">
        <w:rPr>
          <w:i/>
          <w:iCs/>
        </w:rPr>
        <w:t xml:space="preserve"> (FinCEN .002 - Suspicious Activity Report System)</w:t>
      </w:r>
      <w:r w:rsidRPr="0091669C">
        <w:t>,</w:t>
      </w:r>
      <w:r>
        <w:t xml:space="preserve"> 79 FR 20969</w:t>
      </w:r>
      <w:r w:rsidRPr="0091669C">
        <w:t xml:space="preserve"> (Apr. 14, 2014); FinCEN, </w:t>
      </w:r>
      <w:r w:rsidRPr="0091669C">
        <w:rPr>
          <w:i/>
          <w:iCs/>
        </w:rPr>
        <w:t>Privacy Act of 1974, as Amended; System of Records Notice (FinCEN .003 - Bank Secrecy Act Reports System)</w:t>
      </w:r>
      <w:r w:rsidRPr="0091669C">
        <w:t>,</w:t>
      </w:r>
      <w:r>
        <w:t xml:space="preserve"> 79 FR 20969 </w:t>
      </w:r>
      <w:r w:rsidRPr="0091669C">
        <w:t>(Apr. 14, 2014)</w:t>
      </w:r>
      <w:r>
        <w:t xml:space="preserve"> both available at </w:t>
      </w:r>
      <w:hyperlink r:id="rId3" w:history="1">
        <w:r w:rsidRPr="0040565B">
          <w:rPr>
            <w:rStyle w:val="Hyperlink"/>
          </w:rPr>
          <w:t>Federal Register :: Privacy Act of 1974, as Amended; System of Records Notice</w:t>
        </w:r>
      </w:hyperlink>
      <w:r>
        <w:t>.</w:t>
      </w:r>
    </w:p>
  </w:footnote>
  <w:footnote w:id="12">
    <w:p w:rsidR="00E87031" w:rsidRPr="00E5538A" w:rsidP="00E87031" w14:paraId="52EEF5AA" w14:textId="717F5F74">
      <w:pPr>
        <w:pStyle w:val="FootnoteText"/>
      </w:pPr>
      <w:r w:rsidRPr="006240E8">
        <w:rPr>
          <w:rStyle w:val="FootnoteReference"/>
          <w:vertAlign w:val="superscript"/>
        </w:rPr>
        <w:footnoteRef/>
      </w:r>
      <w:r w:rsidRPr="00F218FE">
        <w:t xml:space="preserve"> </w:t>
      </w:r>
      <w:r w:rsidRPr="00E5538A">
        <w:t>This estimate is informed by public and non-public data sources regarding both an expected maximum number of entities that may be affected and the number of active, or currently reporting, registered financial institutions</w:t>
      </w:r>
      <w:r>
        <w:t xml:space="preserve">, and is detailed in Table 1 of </w:t>
      </w:r>
      <w:r w:rsidR="00B133F9">
        <w:t>Section VIII.D of the</w:t>
      </w:r>
      <w:r w:rsidRPr="00B133F9">
        <w:t xml:space="preserve"> NPRM</w:t>
      </w:r>
      <w:r w:rsidRPr="00E5538A">
        <w:t>.</w:t>
      </w:r>
    </w:p>
  </w:footnote>
  <w:footnote w:id="13">
    <w:p w:rsidR="00E87031" w:rsidRPr="0056133E" w14:paraId="2DCF4CA7" w14:textId="7FC5A7D9">
      <w:pPr>
        <w:pStyle w:val="FootnoteText"/>
      </w:pPr>
      <w:r w:rsidRPr="00E87031">
        <w:rPr>
          <w:rStyle w:val="FootnoteReference"/>
          <w:vertAlign w:val="superscript"/>
        </w:rPr>
        <w:footnoteRef/>
      </w:r>
      <w:r w:rsidRPr="00F218FE">
        <w:t xml:space="preserve"> </w:t>
      </w:r>
      <w:r w:rsidRPr="0056133E">
        <w:t xml:space="preserve">While this </w:t>
      </w:r>
      <w:r w:rsidR="001C1A4E">
        <w:t>proposed regulation</w:t>
      </w:r>
      <w:r w:rsidRPr="0056133E" w:rsidR="001C1A4E">
        <w:t xml:space="preserve"> </w:t>
      </w:r>
      <w:r w:rsidRPr="0056133E">
        <w:t xml:space="preserve">applies to all covered institutions described in Table 1 of </w:t>
      </w:r>
      <w:r w:rsidR="00B133F9">
        <w:t xml:space="preserve">Section VIII.D of the </w:t>
      </w:r>
      <w:r w:rsidRPr="0056133E">
        <w:t xml:space="preserve">NPRM, in practice the burden will only be imposed on select institutions that maintain correspondent accounts for foreign banks.  Table 2 of </w:t>
      </w:r>
      <w:r w:rsidR="00B133F9">
        <w:t xml:space="preserve">Section VIII.D of the NPRM </w:t>
      </w:r>
      <w:r w:rsidRPr="0056133E">
        <w:t>presents an estimate of this subpopulation of banks, brokers or dealers in securities, mutual funds, futures commission merchants, and introducing brokers in commodities based on data from the most recent calendar year end</w:t>
      </w:r>
      <w:r w:rsidR="0056133E">
        <w:t>.</w:t>
      </w:r>
    </w:p>
  </w:footnote>
  <w:footnote w:id="14">
    <w:p w:rsidR="003D5074" w:rsidRPr="004244CE" w:rsidP="003D5074" w14:paraId="560EAA00" w14:textId="2396E31E">
      <w:pPr>
        <w:rPr>
          <w:sz w:val="20"/>
          <w:szCs w:val="20"/>
        </w:rPr>
      </w:pPr>
      <w:r w:rsidRPr="00791F4B">
        <w:rPr>
          <w:rStyle w:val="FootnoteReference"/>
          <w:sz w:val="20"/>
          <w:szCs w:val="20"/>
          <w:vertAlign w:val="superscript"/>
        </w:rPr>
        <w:footnoteRef/>
      </w:r>
      <w:r w:rsidRPr="00791F4B">
        <w:rPr>
          <w:sz w:val="20"/>
          <w:szCs w:val="20"/>
        </w:rPr>
        <w:t xml:space="preserve"> The estimated average annual burden associated with the collection of information in this proposed rule </w:t>
      </w:r>
      <w:r w:rsidRPr="004244CE">
        <w:rPr>
          <w:sz w:val="20"/>
          <w:szCs w:val="20"/>
        </w:rPr>
        <w:t xml:space="preserve">is, in total, one business day, or eight hours per affected financial institution in year one.  </w:t>
      </w:r>
      <w:r w:rsidRPr="004244CE">
        <w:rPr>
          <w:i/>
          <w:sz w:val="20"/>
          <w:szCs w:val="20"/>
        </w:rPr>
        <w:t>See</w:t>
      </w:r>
      <w:r w:rsidRPr="004244CE">
        <w:rPr>
          <w:sz w:val="20"/>
          <w:szCs w:val="20"/>
        </w:rPr>
        <w:t xml:space="preserve"> </w:t>
      </w:r>
      <w:r w:rsidRPr="004244CE" w:rsidR="00B133F9">
        <w:rPr>
          <w:sz w:val="20"/>
          <w:szCs w:val="20"/>
        </w:rPr>
        <w:t>Section VIII.D of the NPRM.</w:t>
      </w:r>
    </w:p>
  </w:footnote>
  <w:footnote w:id="15">
    <w:p w:rsidR="003D5074" w:rsidRPr="006250E7" w:rsidP="003D5074" w14:paraId="0B9C9D1E" w14:textId="6E93BD3A">
      <w:r w:rsidRPr="004244CE">
        <w:rPr>
          <w:rStyle w:val="FootnoteReference"/>
          <w:sz w:val="20"/>
          <w:szCs w:val="20"/>
          <w:vertAlign w:val="superscript"/>
        </w:rPr>
        <w:footnoteRef/>
      </w:r>
      <w:r w:rsidRPr="004244CE">
        <w:rPr>
          <w:sz w:val="20"/>
          <w:szCs w:val="20"/>
          <w:vertAlign w:val="superscript"/>
        </w:rPr>
        <w:t xml:space="preserve">  </w:t>
      </w:r>
      <w:r w:rsidRPr="004244CE">
        <w:rPr>
          <w:sz w:val="20"/>
          <w:szCs w:val="20"/>
        </w:rPr>
        <w:t>The</w:t>
      </w:r>
      <w:r w:rsidRPr="00312C49">
        <w:rPr>
          <w:sz w:val="20"/>
          <w:szCs w:val="20"/>
        </w:rPr>
        <w:t xml:space="preserve"> assigned average annual burden per affected covered financial institution in subsequent years is fifteen minutes (0.25 hours) per year.  </w:t>
      </w:r>
      <w:r w:rsidRPr="00312C49">
        <w:rPr>
          <w:i/>
          <w:iCs/>
          <w:sz w:val="20"/>
          <w:szCs w:val="20"/>
        </w:rPr>
        <w:t>See</w:t>
      </w:r>
      <w:r w:rsidRPr="00312C49">
        <w:rPr>
          <w:sz w:val="20"/>
          <w:szCs w:val="20"/>
        </w:rPr>
        <w:t xml:space="preserve"> </w:t>
      </w:r>
      <w:r w:rsidR="00B133F9">
        <w:rPr>
          <w:sz w:val="20"/>
          <w:szCs w:val="20"/>
        </w:rPr>
        <w:t>Section VIII.D of the NPRM</w:t>
      </w:r>
      <w:r>
        <w:rPr>
          <w:sz w:val="20"/>
          <w:szCs w:val="20"/>
        </w:rPr>
        <w:t>.</w:t>
      </w:r>
    </w:p>
  </w:footnote>
  <w:footnote w:id="16">
    <w:p w:rsidR="003D5074" w:rsidRPr="008464D0" w:rsidP="003D5074" w14:paraId="12443695" w14:textId="5CC535A7">
      <w:r w:rsidRPr="00325106">
        <w:rPr>
          <w:rStyle w:val="FootnoteReference"/>
          <w:sz w:val="20"/>
          <w:szCs w:val="20"/>
          <w:vertAlign w:val="superscript"/>
        </w:rPr>
        <w:footnoteRef/>
      </w:r>
      <w:r w:rsidRPr="00325106">
        <w:rPr>
          <w:sz w:val="20"/>
          <w:szCs w:val="20"/>
          <w:vertAlign w:val="superscript"/>
        </w:rPr>
        <w:t xml:space="preserve"> </w:t>
      </w:r>
      <w:r w:rsidRPr="00312C49">
        <w:rPr>
          <w:sz w:val="20"/>
          <w:szCs w:val="20"/>
          <w:vertAlign w:val="superscript"/>
        </w:rPr>
        <w:t xml:space="preserve"> </w:t>
      </w:r>
      <w:r w:rsidRPr="00312C49">
        <w:rPr>
          <w:sz w:val="20"/>
          <w:szCs w:val="20"/>
        </w:rPr>
        <w:t xml:space="preserve">The three-year average annual expected burden per affected covered financial institution includes one business day (8 hours) in year one, and </w:t>
      </w:r>
      <w:r w:rsidR="001412EA">
        <w:rPr>
          <w:sz w:val="20"/>
          <w:szCs w:val="20"/>
        </w:rPr>
        <w:t>15</w:t>
      </w:r>
      <w:r w:rsidRPr="00312C49">
        <w:rPr>
          <w:sz w:val="20"/>
          <w:szCs w:val="20"/>
        </w:rPr>
        <w:t xml:space="preserve"> minutes (0.25 hours) in years two and three, respectively.  </w:t>
      </w:r>
      <w:r w:rsidRPr="00312C49">
        <w:rPr>
          <w:i/>
          <w:iCs/>
          <w:sz w:val="20"/>
          <w:szCs w:val="20"/>
        </w:rPr>
        <w:t>See</w:t>
      </w:r>
      <w:r w:rsidRPr="00312C49">
        <w:rPr>
          <w:sz w:val="20"/>
          <w:szCs w:val="20"/>
        </w:rPr>
        <w:t xml:space="preserve"> </w:t>
      </w:r>
      <w:r w:rsidR="00B133F9">
        <w:rPr>
          <w:sz w:val="20"/>
          <w:szCs w:val="20"/>
        </w:rPr>
        <w:t>Section VIII.D of the NRPM</w:t>
      </w:r>
      <w:r>
        <w:rPr>
          <w:sz w:val="20"/>
          <w:szCs w:val="20"/>
        </w:rPr>
        <w:t>.</w:t>
      </w:r>
    </w:p>
  </w:footnote>
  <w:footnote w:id="17">
    <w:p w:rsidR="003D5074" w:rsidP="003D5074" w14:paraId="5DEEABD2" w14:textId="0DE84B21">
      <w:r w:rsidRPr="00312C49">
        <w:rPr>
          <w:rStyle w:val="FootnoteReference"/>
          <w:sz w:val="20"/>
          <w:szCs w:val="20"/>
          <w:vertAlign w:val="superscript"/>
        </w:rPr>
        <w:footnoteRef/>
      </w:r>
      <w:r w:rsidRPr="00312C49">
        <w:rPr>
          <w:sz w:val="20"/>
          <w:szCs w:val="20"/>
        </w:rPr>
        <w:t xml:space="preserve"> </w:t>
      </w:r>
      <w:r w:rsidR="00363A95">
        <w:rPr>
          <w:sz w:val="20"/>
          <w:szCs w:val="20"/>
        </w:rPr>
        <w:t xml:space="preserve">The number of expected respondents, </w:t>
      </w:r>
      <w:r w:rsidRPr="00312C49">
        <w:rPr>
          <w:sz w:val="20"/>
          <w:szCs w:val="20"/>
        </w:rPr>
        <w:t>127</w:t>
      </w:r>
      <w:r w:rsidR="00363A95">
        <w:rPr>
          <w:sz w:val="20"/>
          <w:szCs w:val="20"/>
        </w:rPr>
        <w:t>,</w:t>
      </w:r>
      <w:r w:rsidRPr="00312C49">
        <w:rPr>
          <w:sz w:val="20"/>
          <w:szCs w:val="20"/>
        </w:rPr>
        <w:t xml:space="preserve"> multiplied by eight hours per respondent equals 1,016 total annual burden hours. </w:t>
      </w:r>
      <w:r w:rsidR="001412EA">
        <w:rPr>
          <w:sz w:val="20"/>
          <w:szCs w:val="20"/>
        </w:rPr>
        <w:t xml:space="preserve"> </w:t>
      </w:r>
      <w:r w:rsidRPr="00312C49">
        <w:rPr>
          <w:i/>
          <w:iCs/>
          <w:sz w:val="20"/>
          <w:szCs w:val="20"/>
        </w:rPr>
        <w:t>See</w:t>
      </w:r>
      <w:r w:rsidRPr="00312C49">
        <w:rPr>
          <w:sz w:val="20"/>
          <w:szCs w:val="20"/>
        </w:rPr>
        <w:t xml:space="preserve"> </w:t>
      </w:r>
      <w:r w:rsidR="00B133F9">
        <w:rPr>
          <w:sz w:val="20"/>
          <w:szCs w:val="20"/>
        </w:rPr>
        <w:t>Section VIII.D of the NPRM</w:t>
      </w:r>
      <w:r>
        <w:rPr>
          <w:sz w:val="20"/>
          <w:szCs w:val="20"/>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B85E76"/>
    <w:multiLevelType w:val="hybridMultilevel"/>
    <w:tmpl w:val="530EC0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26807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8C"/>
    <w:rsid w:val="0000515A"/>
    <w:rsid w:val="00014823"/>
    <w:rsid w:val="000330A4"/>
    <w:rsid w:val="000330A8"/>
    <w:rsid w:val="00033950"/>
    <w:rsid w:val="00034C7E"/>
    <w:rsid w:val="00040637"/>
    <w:rsid w:val="00040FE4"/>
    <w:rsid w:val="00041C2B"/>
    <w:rsid w:val="00046837"/>
    <w:rsid w:val="00047CF3"/>
    <w:rsid w:val="00056AE6"/>
    <w:rsid w:val="00083E3A"/>
    <w:rsid w:val="000867B9"/>
    <w:rsid w:val="00090915"/>
    <w:rsid w:val="00095A76"/>
    <w:rsid w:val="0009601F"/>
    <w:rsid w:val="00096794"/>
    <w:rsid w:val="000A1860"/>
    <w:rsid w:val="000A1E38"/>
    <w:rsid w:val="000A3AEC"/>
    <w:rsid w:val="000B0B5C"/>
    <w:rsid w:val="000B3B57"/>
    <w:rsid w:val="000B5F13"/>
    <w:rsid w:val="000B6A15"/>
    <w:rsid w:val="000B6A91"/>
    <w:rsid w:val="000B6C3B"/>
    <w:rsid w:val="000B7C1C"/>
    <w:rsid w:val="000C24C6"/>
    <w:rsid w:val="000C409C"/>
    <w:rsid w:val="000D2826"/>
    <w:rsid w:val="000D2855"/>
    <w:rsid w:val="000D3DD0"/>
    <w:rsid w:val="000E204E"/>
    <w:rsid w:val="000F1DA1"/>
    <w:rsid w:val="000F24DB"/>
    <w:rsid w:val="000F4D4D"/>
    <w:rsid w:val="000F705C"/>
    <w:rsid w:val="000F7D09"/>
    <w:rsid w:val="001025EF"/>
    <w:rsid w:val="00105D35"/>
    <w:rsid w:val="00105E15"/>
    <w:rsid w:val="00106339"/>
    <w:rsid w:val="00107CBF"/>
    <w:rsid w:val="00114BEB"/>
    <w:rsid w:val="001168FB"/>
    <w:rsid w:val="001211FF"/>
    <w:rsid w:val="00125DD1"/>
    <w:rsid w:val="0013201D"/>
    <w:rsid w:val="00134075"/>
    <w:rsid w:val="00136BB2"/>
    <w:rsid w:val="001412EA"/>
    <w:rsid w:val="00142795"/>
    <w:rsid w:val="00152669"/>
    <w:rsid w:val="001556F9"/>
    <w:rsid w:val="00162062"/>
    <w:rsid w:val="00165096"/>
    <w:rsid w:val="0016682D"/>
    <w:rsid w:val="00166F96"/>
    <w:rsid w:val="00170277"/>
    <w:rsid w:val="00180643"/>
    <w:rsid w:val="0018377D"/>
    <w:rsid w:val="00183A25"/>
    <w:rsid w:val="001866F3"/>
    <w:rsid w:val="0019433B"/>
    <w:rsid w:val="0019475E"/>
    <w:rsid w:val="00196F18"/>
    <w:rsid w:val="00197D44"/>
    <w:rsid w:val="001A3C50"/>
    <w:rsid w:val="001B1658"/>
    <w:rsid w:val="001B2294"/>
    <w:rsid w:val="001B29E7"/>
    <w:rsid w:val="001B2E04"/>
    <w:rsid w:val="001C1A4E"/>
    <w:rsid w:val="001C29FC"/>
    <w:rsid w:val="001C6B54"/>
    <w:rsid w:val="001C7441"/>
    <w:rsid w:val="001D0FE8"/>
    <w:rsid w:val="001D1D42"/>
    <w:rsid w:val="001D54CC"/>
    <w:rsid w:val="001D7044"/>
    <w:rsid w:val="001D7EBB"/>
    <w:rsid w:val="001E53E4"/>
    <w:rsid w:val="001E65FF"/>
    <w:rsid w:val="001E66D0"/>
    <w:rsid w:val="001F0902"/>
    <w:rsid w:val="001F391B"/>
    <w:rsid w:val="001F7982"/>
    <w:rsid w:val="0020333A"/>
    <w:rsid w:val="00206893"/>
    <w:rsid w:val="002100A4"/>
    <w:rsid w:val="002112DF"/>
    <w:rsid w:val="00211657"/>
    <w:rsid w:val="0021190D"/>
    <w:rsid w:val="00215BE4"/>
    <w:rsid w:val="00215E45"/>
    <w:rsid w:val="002174A3"/>
    <w:rsid w:val="00221251"/>
    <w:rsid w:val="00221BF4"/>
    <w:rsid w:val="00223946"/>
    <w:rsid w:val="00226065"/>
    <w:rsid w:val="002270A8"/>
    <w:rsid w:val="00232FAF"/>
    <w:rsid w:val="00237D5B"/>
    <w:rsid w:val="00247113"/>
    <w:rsid w:val="0025338A"/>
    <w:rsid w:val="00256FCB"/>
    <w:rsid w:val="00263A0B"/>
    <w:rsid w:val="00264F7F"/>
    <w:rsid w:val="0027097C"/>
    <w:rsid w:val="00271A07"/>
    <w:rsid w:val="0027391A"/>
    <w:rsid w:val="0027414A"/>
    <w:rsid w:val="00274B92"/>
    <w:rsid w:val="0027552C"/>
    <w:rsid w:val="00280E10"/>
    <w:rsid w:val="002814B9"/>
    <w:rsid w:val="00282F35"/>
    <w:rsid w:val="00283FED"/>
    <w:rsid w:val="002849EF"/>
    <w:rsid w:val="002965A5"/>
    <w:rsid w:val="002A0887"/>
    <w:rsid w:val="002A427D"/>
    <w:rsid w:val="002B2E17"/>
    <w:rsid w:val="002B6ACC"/>
    <w:rsid w:val="002C513D"/>
    <w:rsid w:val="002D0245"/>
    <w:rsid w:val="002D0CC7"/>
    <w:rsid w:val="002D4CBB"/>
    <w:rsid w:val="002E7296"/>
    <w:rsid w:val="002F2C10"/>
    <w:rsid w:val="002F77FC"/>
    <w:rsid w:val="00301D54"/>
    <w:rsid w:val="003023FB"/>
    <w:rsid w:val="00302A0C"/>
    <w:rsid w:val="003073AB"/>
    <w:rsid w:val="00307CAA"/>
    <w:rsid w:val="00312C49"/>
    <w:rsid w:val="00312CDB"/>
    <w:rsid w:val="00314EF6"/>
    <w:rsid w:val="00322512"/>
    <w:rsid w:val="00325106"/>
    <w:rsid w:val="003262B0"/>
    <w:rsid w:val="00331453"/>
    <w:rsid w:val="003317C9"/>
    <w:rsid w:val="00331C6B"/>
    <w:rsid w:val="0033296E"/>
    <w:rsid w:val="003358F2"/>
    <w:rsid w:val="0036154B"/>
    <w:rsid w:val="00361D3B"/>
    <w:rsid w:val="00361E8E"/>
    <w:rsid w:val="00362EA3"/>
    <w:rsid w:val="00363A95"/>
    <w:rsid w:val="00364C48"/>
    <w:rsid w:val="00365AF4"/>
    <w:rsid w:val="00367D46"/>
    <w:rsid w:val="00372D37"/>
    <w:rsid w:val="0038177A"/>
    <w:rsid w:val="0038440D"/>
    <w:rsid w:val="00384E8C"/>
    <w:rsid w:val="0039127D"/>
    <w:rsid w:val="00394DDA"/>
    <w:rsid w:val="00396813"/>
    <w:rsid w:val="003A079A"/>
    <w:rsid w:val="003A14D2"/>
    <w:rsid w:val="003A1B05"/>
    <w:rsid w:val="003A5A90"/>
    <w:rsid w:val="003A65B1"/>
    <w:rsid w:val="003C3ACB"/>
    <w:rsid w:val="003D5074"/>
    <w:rsid w:val="003D5122"/>
    <w:rsid w:val="003D5F88"/>
    <w:rsid w:val="003E07A7"/>
    <w:rsid w:val="003F1BE8"/>
    <w:rsid w:val="003F5EAC"/>
    <w:rsid w:val="003F7502"/>
    <w:rsid w:val="0040565B"/>
    <w:rsid w:val="0041059A"/>
    <w:rsid w:val="00412FD7"/>
    <w:rsid w:val="00416AEA"/>
    <w:rsid w:val="004244CE"/>
    <w:rsid w:val="00434FA3"/>
    <w:rsid w:val="00435F3A"/>
    <w:rsid w:val="00436376"/>
    <w:rsid w:val="004376D2"/>
    <w:rsid w:val="00437FDA"/>
    <w:rsid w:val="00440229"/>
    <w:rsid w:val="00450EAA"/>
    <w:rsid w:val="00452768"/>
    <w:rsid w:val="004527EE"/>
    <w:rsid w:val="00452B5B"/>
    <w:rsid w:val="00464D50"/>
    <w:rsid w:val="00482CAA"/>
    <w:rsid w:val="00484777"/>
    <w:rsid w:val="0049339B"/>
    <w:rsid w:val="0049648B"/>
    <w:rsid w:val="004967C8"/>
    <w:rsid w:val="004A2090"/>
    <w:rsid w:val="004A23D8"/>
    <w:rsid w:val="004A76F0"/>
    <w:rsid w:val="004B3B0E"/>
    <w:rsid w:val="004B7840"/>
    <w:rsid w:val="004C18F9"/>
    <w:rsid w:val="004C4140"/>
    <w:rsid w:val="004C5A17"/>
    <w:rsid w:val="004C6FEA"/>
    <w:rsid w:val="004C7A41"/>
    <w:rsid w:val="004D1C72"/>
    <w:rsid w:val="004D27C3"/>
    <w:rsid w:val="004D3235"/>
    <w:rsid w:val="004D43A4"/>
    <w:rsid w:val="004D6945"/>
    <w:rsid w:val="004D7171"/>
    <w:rsid w:val="004D7610"/>
    <w:rsid w:val="004E2C7F"/>
    <w:rsid w:val="004E4929"/>
    <w:rsid w:val="004E7327"/>
    <w:rsid w:val="004F67B7"/>
    <w:rsid w:val="00501F87"/>
    <w:rsid w:val="005136A7"/>
    <w:rsid w:val="00516DDF"/>
    <w:rsid w:val="005209A0"/>
    <w:rsid w:val="005226A5"/>
    <w:rsid w:val="00522DB9"/>
    <w:rsid w:val="005264F9"/>
    <w:rsid w:val="00527C3F"/>
    <w:rsid w:val="00531FC5"/>
    <w:rsid w:val="00536107"/>
    <w:rsid w:val="00537765"/>
    <w:rsid w:val="00542257"/>
    <w:rsid w:val="0054236D"/>
    <w:rsid w:val="00543CC0"/>
    <w:rsid w:val="00551F28"/>
    <w:rsid w:val="005526FF"/>
    <w:rsid w:val="005528DE"/>
    <w:rsid w:val="005579EF"/>
    <w:rsid w:val="0056133E"/>
    <w:rsid w:val="00566058"/>
    <w:rsid w:val="00566CF9"/>
    <w:rsid w:val="00570714"/>
    <w:rsid w:val="005713AD"/>
    <w:rsid w:val="00573E78"/>
    <w:rsid w:val="0057627E"/>
    <w:rsid w:val="00581F64"/>
    <w:rsid w:val="005854D3"/>
    <w:rsid w:val="005868E3"/>
    <w:rsid w:val="0058723D"/>
    <w:rsid w:val="00590CBF"/>
    <w:rsid w:val="00593585"/>
    <w:rsid w:val="0059563F"/>
    <w:rsid w:val="005957F5"/>
    <w:rsid w:val="005977AF"/>
    <w:rsid w:val="005A003B"/>
    <w:rsid w:val="005A1732"/>
    <w:rsid w:val="005A39DF"/>
    <w:rsid w:val="005A462A"/>
    <w:rsid w:val="005A4D7C"/>
    <w:rsid w:val="005A4FD9"/>
    <w:rsid w:val="005A5172"/>
    <w:rsid w:val="005A556C"/>
    <w:rsid w:val="005B5EF4"/>
    <w:rsid w:val="005B6815"/>
    <w:rsid w:val="005C1F9A"/>
    <w:rsid w:val="005D409A"/>
    <w:rsid w:val="005D6606"/>
    <w:rsid w:val="005D71B3"/>
    <w:rsid w:val="005E005C"/>
    <w:rsid w:val="005E23AD"/>
    <w:rsid w:val="005E3911"/>
    <w:rsid w:val="005E4A36"/>
    <w:rsid w:val="005E75F2"/>
    <w:rsid w:val="005E7F84"/>
    <w:rsid w:val="005F0CD0"/>
    <w:rsid w:val="005F16B6"/>
    <w:rsid w:val="005F36C7"/>
    <w:rsid w:val="005F388D"/>
    <w:rsid w:val="005F4F9E"/>
    <w:rsid w:val="005F713F"/>
    <w:rsid w:val="00600675"/>
    <w:rsid w:val="006057AD"/>
    <w:rsid w:val="00610DCF"/>
    <w:rsid w:val="006114E3"/>
    <w:rsid w:val="00611F29"/>
    <w:rsid w:val="00612411"/>
    <w:rsid w:val="006173A1"/>
    <w:rsid w:val="006240E8"/>
    <w:rsid w:val="006250E7"/>
    <w:rsid w:val="00632E4E"/>
    <w:rsid w:val="0063353E"/>
    <w:rsid w:val="00633E9C"/>
    <w:rsid w:val="0063432E"/>
    <w:rsid w:val="00637570"/>
    <w:rsid w:val="00641299"/>
    <w:rsid w:val="00651688"/>
    <w:rsid w:val="00654779"/>
    <w:rsid w:val="00664AFF"/>
    <w:rsid w:val="00664DBF"/>
    <w:rsid w:val="00671708"/>
    <w:rsid w:val="00672390"/>
    <w:rsid w:val="00672A06"/>
    <w:rsid w:val="006740BE"/>
    <w:rsid w:val="006772C6"/>
    <w:rsid w:val="00686EC8"/>
    <w:rsid w:val="006907FE"/>
    <w:rsid w:val="006A1757"/>
    <w:rsid w:val="006A4C66"/>
    <w:rsid w:val="006A5A03"/>
    <w:rsid w:val="006B067D"/>
    <w:rsid w:val="006B0EF0"/>
    <w:rsid w:val="006B3806"/>
    <w:rsid w:val="006B4B2D"/>
    <w:rsid w:val="006B6617"/>
    <w:rsid w:val="006C39BA"/>
    <w:rsid w:val="006C4944"/>
    <w:rsid w:val="006C66B3"/>
    <w:rsid w:val="006D04B6"/>
    <w:rsid w:val="006D0CA7"/>
    <w:rsid w:val="006D1439"/>
    <w:rsid w:val="006D3B7E"/>
    <w:rsid w:val="006D4FF7"/>
    <w:rsid w:val="006D743F"/>
    <w:rsid w:val="006D7EC0"/>
    <w:rsid w:val="006E7CB0"/>
    <w:rsid w:val="006F0532"/>
    <w:rsid w:val="006F39DC"/>
    <w:rsid w:val="006F47AD"/>
    <w:rsid w:val="006F5006"/>
    <w:rsid w:val="006F6796"/>
    <w:rsid w:val="00703675"/>
    <w:rsid w:val="00704419"/>
    <w:rsid w:val="00704A68"/>
    <w:rsid w:val="007061B7"/>
    <w:rsid w:val="00706801"/>
    <w:rsid w:val="00707F2C"/>
    <w:rsid w:val="00711B73"/>
    <w:rsid w:val="00716CF9"/>
    <w:rsid w:val="00720785"/>
    <w:rsid w:val="00721D48"/>
    <w:rsid w:val="00730A3C"/>
    <w:rsid w:val="0073387D"/>
    <w:rsid w:val="007361D4"/>
    <w:rsid w:val="007370CB"/>
    <w:rsid w:val="00747704"/>
    <w:rsid w:val="00751808"/>
    <w:rsid w:val="00752C50"/>
    <w:rsid w:val="00755B7A"/>
    <w:rsid w:val="00760162"/>
    <w:rsid w:val="007714E9"/>
    <w:rsid w:val="00772DA2"/>
    <w:rsid w:val="00786148"/>
    <w:rsid w:val="0078719B"/>
    <w:rsid w:val="007879E9"/>
    <w:rsid w:val="00791EDB"/>
    <w:rsid w:val="00791F4B"/>
    <w:rsid w:val="00792233"/>
    <w:rsid w:val="00793481"/>
    <w:rsid w:val="00796DAC"/>
    <w:rsid w:val="007A0B4F"/>
    <w:rsid w:val="007A1036"/>
    <w:rsid w:val="007A276C"/>
    <w:rsid w:val="007A52EA"/>
    <w:rsid w:val="007A7151"/>
    <w:rsid w:val="007AEB7C"/>
    <w:rsid w:val="007B4699"/>
    <w:rsid w:val="007B5420"/>
    <w:rsid w:val="007B6049"/>
    <w:rsid w:val="007C07D1"/>
    <w:rsid w:val="007C65DB"/>
    <w:rsid w:val="007D2244"/>
    <w:rsid w:val="007D2DE8"/>
    <w:rsid w:val="007D2F1E"/>
    <w:rsid w:val="007D35CE"/>
    <w:rsid w:val="007D5F07"/>
    <w:rsid w:val="007E371A"/>
    <w:rsid w:val="007E7278"/>
    <w:rsid w:val="00800EFF"/>
    <w:rsid w:val="00801497"/>
    <w:rsid w:val="00804E3C"/>
    <w:rsid w:val="008051E2"/>
    <w:rsid w:val="008054C6"/>
    <w:rsid w:val="00807597"/>
    <w:rsid w:val="00812773"/>
    <w:rsid w:val="008154BF"/>
    <w:rsid w:val="0082092C"/>
    <w:rsid w:val="00821140"/>
    <w:rsid w:val="0082327B"/>
    <w:rsid w:val="00825514"/>
    <w:rsid w:val="00826131"/>
    <w:rsid w:val="00826A08"/>
    <w:rsid w:val="00830EC9"/>
    <w:rsid w:val="0083243E"/>
    <w:rsid w:val="00843D9D"/>
    <w:rsid w:val="008464D0"/>
    <w:rsid w:val="0085488B"/>
    <w:rsid w:val="00856A8A"/>
    <w:rsid w:val="0086040D"/>
    <w:rsid w:val="0086059D"/>
    <w:rsid w:val="00860946"/>
    <w:rsid w:val="0086445A"/>
    <w:rsid w:val="008679DB"/>
    <w:rsid w:val="00874390"/>
    <w:rsid w:val="00875B04"/>
    <w:rsid w:val="00877C37"/>
    <w:rsid w:val="008867EA"/>
    <w:rsid w:val="008875B1"/>
    <w:rsid w:val="008907A3"/>
    <w:rsid w:val="008962B3"/>
    <w:rsid w:val="008A09C7"/>
    <w:rsid w:val="008A1EE7"/>
    <w:rsid w:val="008A237F"/>
    <w:rsid w:val="008A4A94"/>
    <w:rsid w:val="008A5D40"/>
    <w:rsid w:val="008A6005"/>
    <w:rsid w:val="008B04AC"/>
    <w:rsid w:val="008B26BD"/>
    <w:rsid w:val="008B420E"/>
    <w:rsid w:val="008B4D2A"/>
    <w:rsid w:val="008B784C"/>
    <w:rsid w:val="008C1291"/>
    <w:rsid w:val="008C6375"/>
    <w:rsid w:val="008C74B0"/>
    <w:rsid w:val="008D1228"/>
    <w:rsid w:val="008D4993"/>
    <w:rsid w:val="008D74F8"/>
    <w:rsid w:val="008E3D60"/>
    <w:rsid w:val="008E50E1"/>
    <w:rsid w:val="008E6EE5"/>
    <w:rsid w:val="008F120E"/>
    <w:rsid w:val="008F4C96"/>
    <w:rsid w:val="00905F3D"/>
    <w:rsid w:val="009141F6"/>
    <w:rsid w:val="0091669C"/>
    <w:rsid w:val="00920790"/>
    <w:rsid w:val="00920DDD"/>
    <w:rsid w:val="00921344"/>
    <w:rsid w:val="00925919"/>
    <w:rsid w:val="009331B2"/>
    <w:rsid w:val="009411A0"/>
    <w:rsid w:val="00942F19"/>
    <w:rsid w:val="00947E19"/>
    <w:rsid w:val="009512A8"/>
    <w:rsid w:val="00954565"/>
    <w:rsid w:val="00954C18"/>
    <w:rsid w:val="00964EF4"/>
    <w:rsid w:val="009704C3"/>
    <w:rsid w:val="00971BBE"/>
    <w:rsid w:val="00972DD0"/>
    <w:rsid w:val="00972FB5"/>
    <w:rsid w:val="00975D14"/>
    <w:rsid w:val="009811A3"/>
    <w:rsid w:val="00982EDF"/>
    <w:rsid w:val="00984728"/>
    <w:rsid w:val="00986552"/>
    <w:rsid w:val="009872B1"/>
    <w:rsid w:val="0099485E"/>
    <w:rsid w:val="00997C82"/>
    <w:rsid w:val="009A1B51"/>
    <w:rsid w:val="009A1C05"/>
    <w:rsid w:val="009A3F30"/>
    <w:rsid w:val="009A4BA3"/>
    <w:rsid w:val="009B1710"/>
    <w:rsid w:val="009B192D"/>
    <w:rsid w:val="009B5052"/>
    <w:rsid w:val="009B536C"/>
    <w:rsid w:val="009C04DA"/>
    <w:rsid w:val="009C27A5"/>
    <w:rsid w:val="009C2D46"/>
    <w:rsid w:val="009C3847"/>
    <w:rsid w:val="009C5CAE"/>
    <w:rsid w:val="009C5F8D"/>
    <w:rsid w:val="009E3924"/>
    <w:rsid w:val="009E7322"/>
    <w:rsid w:val="009F1E2B"/>
    <w:rsid w:val="009F249D"/>
    <w:rsid w:val="009F6101"/>
    <w:rsid w:val="00A03769"/>
    <w:rsid w:val="00A1007B"/>
    <w:rsid w:val="00A30E30"/>
    <w:rsid w:val="00A31311"/>
    <w:rsid w:val="00A326F4"/>
    <w:rsid w:val="00A37580"/>
    <w:rsid w:val="00A42ED6"/>
    <w:rsid w:val="00A47635"/>
    <w:rsid w:val="00A51557"/>
    <w:rsid w:val="00A52EC5"/>
    <w:rsid w:val="00A55245"/>
    <w:rsid w:val="00A65D95"/>
    <w:rsid w:val="00A673C1"/>
    <w:rsid w:val="00A7431C"/>
    <w:rsid w:val="00A85808"/>
    <w:rsid w:val="00A941BF"/>
    <w:rsid w:val="00A961BC"/>
    <w:rsid w:val="00AA0AAE"/>
    <w:rsid w:val="00AA307F"/>
    <w:rsid w:val="00AB2863"/>
    <w:rsid w:val="00AB4F9B"/>
    <w:rsid w:val="00AB5185"/>
    <w:rsid w:val="00AB7AB7"/>
    <w:rsid w:val="00AC2E61"/>
    <w:rsid w:val="00AC3B03"/>
    <w:rsid w:val="00AC770D"/>
    <w:rsid w:val="00AE1039"/>
    <w:rsid w:val="00AE3CCA"/>
    <w:rsid w:val="00AE4184"/>
    <w:rsid w:val="00AF048F"/>
    <w:rsid w:val="00AF7C69"/>
    <w:rsid w:val="00B133F9"/>
    <w:rsid w:val="00B147D2"/>
    <w:rsid w:val="00B1598A"/>
    <w:rsid w:val="00B159DF"/>
    <w:rsid w:val="00B16982"/>
    <w:rsid w:val="00B23C7E"/>
    <w:rsid w:val="00B26656"/>
    <w:rsid w:val="00B26D25"/>
    <w:rsid w:val="00B31017"/>
    <w:rsid w:val="00B346C0"/>
    <w:rsid w:val="00B34F73"/>
    <w:rsid w:val="00B35500"/>
    <w:rsid w:val="00B41A81"/>
    <w:rsid w:val="00B42033"/>
    <w:rsid w:val="00B44202"/>
    <w:rsid w:val="00B46A55"/>
    <w:rsid w:val="00B520E1"/>
    <w:rsid w:val="00B52D35"/>
    <w:rsid w:val="00B53F2E"/>
    <w:rsid w:val="00B56014"/>
    <w:rsid w:val="00B6171A"/>
    <w:rsid w:val="00B727CF"/>
    <w:rsid w:val="00B753F9"/>
    <w:rsid w:val="00B75E07"/>
    <w:rsid w:val="00B830DC"/>
    <w:rsid w:val="00B90654"/>
    <w:rsid w:val="00B91D30"/>
    <w:rsid w:val="00B93BC8"/>
    <w:rsid w:val="00BA036B"/>
    <w:rsid w:val="00BA076B"/>
    <w:rsid w:val="00BA153D"/>
    <w:rsid w:val="00BA3782"/>
    <w:rsid w:val="00BA67C3"/>
    <w:rsid w:val="00BB2EBE"/>
    <w:rsid w:val="00BB4692"/>
    <w:rsid w:val="00BB48D4"/>
    <w:rsid w:val="00BB7A33"/>
    <w:rsid w:val="00BB7AF6"/>
    <w:rsid w:val="00BC26CC"/>
    <w:rsid w:val="00BC4BCF"/>
    <w:rsid w:val="00BC77BC"/>
    <w:rsid w:val="00BD244B"/>
    <w:rsid w:val="00BD2604"/>
    <w:rsid w:val="00BD4B5E"/>
    <w:rsid w:val="00BE1567"/>
    <w:rsid w:val="00BE3C8C"/>
    <w:rsid w:val="00BF180D"/>
    <w:rsid w:val="00BF34FC"/>
    <w:rsid w:val="00BF4D32"/>
    <w:rsid w:val="00BF7835"/>
    <w:rsid w:val="00C11097"/>
    <w:rsid w:val="00C14272"/>
    <w:rsid w:val="00C20F88"/>
    <w:rsid w:val="00C243D6"/>
    <w:rsid w:val="00C25CE0"/>
    <w:rsid w:val="00C31393"/>
    <w:rsid w:val="00C324CE"/>
    <w:rsid w:val="00C32E10"/>
    <w:rsid w:val="00C34690"/>
    <w:rsid w:val="00C37A93"/>
    <w:rsid w:val="00C41294"/>
    <w:rsid w:val="00C423D6"/>
    <w:rsid w:val="00C42AEC"/>
    <w:rsid w:val="00C44666"/>
    <w:rsid w:val="00C45ABE"/>
    <w:rsid w:val="00C45E62"/>
    <w:rsid w:val="00C47A38"/>
    <w:rsid w:val="00C5014B"/>
    <w:rsid w:val="00C548F8"/>
    <w:rsid w:val="00C6086F"/>
    <w:rsid w:val="00C62E96"/>
    <w:rsid w:val="00C632B8"/>
    <w:rsid w:val="00C72F82"/>
    <w:rsid w:val="00C761F0"/>
    <w:rsid w:val="00C76AD0"/>
    <w:rsid w:val="00C8024D"/>
    <w:rsid w:val="00C83BF1"/>
    <w:rsid w:val="00C8545E"/>
    <w:rsid w:val="00C85654"/>
    <w:rsid w:val="00C87903"/>
    <w:rsid w:val="00C90E39"/>
    <w:rsid w:val="00C9163C"/>
    <w:rsid w:val="00C96560"/>
    <w:rsid w:val="00C97F89"/>
    <w:rsid w:val="00CA4A56"/>
    <w:rsid w:val="00CA6B19"/>
    <w:rsid w:val="00CB08C3"/>
    <w:rsid w:val="00CB1AC6"/>
    <w:rsid w:val="00CB373B"/>
    <w:rsid w:val="00CB5088"/>
    <w:rsid w:val="00CC7B0D"/>
    <w:rsid w:val="00CD14E3"/>
    <w:rsid w:val="00CD4352"/>
    <w:rsid w:val="00CD4C14"/>
    <w:rsid w:val="00CD7321"/>
    <w:rsid w:val="00CE0C8B"/>
    <w:rsid w:val="00CE278E"/>
    <w:rsid w:val="00CF068D"/>
    <w:rsid w:val="00CF22A7"/>
    <w:rsid w:val="00CF5689"/>
    <w:rsid w:val="00CF63E7"/>
    <w:rsid w:val="00CF64B7"/>
    <w:rsid w:val="00D04DA4"/>
    <w:rsid w:val="00D05641"/>
    <w:rsid w:val="00D11CD5"/>
    <w:rsid w:val="00D1374D"/>
    <w:rsid w:val="00D21873"/>
    <w:rsid w:val="00D21C24"/>
    <w:rsid w:val="00D220DE"/>
    <w:rsid w:val="00D3326A"/>
    <w:rsid w:val="00D35AAA"/>
    <w:rsid w:val="00D35F57"/>
    <w:rsid w:val="00D42AC9"/>
    <w:rsid w:val="00D44690"/>
    <w:rsid w:val="00D5378B"/>
    <w:rsid w:val="00D537EC"/>
    <w:rsid w:val="00D5395E"/>
    <w:rsid w:val="00D552D3"/>
    <w:rsid w:val="00D555CB"/>
    <w:rsid w:val="00D631E0"/>
    <w:rsid w:val="00D72794"/>
    <w:rsid w:val="00D77F54"/>
    <w:rsid w:val="00D833BE"/>
    <w:rsid w:val="00D865B4"/>
    <w:rsid w:val="00D926E9"/>
    <w:rsid w:val="00D94893"/>
    <w:rsid w:val="00D959AA"/>
    <w:rsid w:val="00D95D79"/>
    <w:rsid w:val="00D9656C"/>
    <w:rsid w:val="00D9695F"/>
    <w:rsid w:val="00DA62EC"/>
    <w:rsid w:val="00DA7530"/>
    <w:rsid w:val="00DB3862"/>
    <w:rsid w:val="00DB41D3"/>
    <w:rsid w:val="00DB6424"/>
    <w:rsid w:val="00DB7537"/>
    <w:rsid w:val="00DC64BE"/>
    <w:rsid w:val="00DD066E"/>
    <w:rsid w:val="00DD2958"/>
    <w:rsid w:val="00DD7C96"/>
    <w:rsid w:val="00DD7DDA"/>
    <w:rsid w:val="00DE1D93"/>
    <w:rsid w:val="00DE4545"/>
    <w:rsid w:val="00DE65C0"/>
    <w:rsid w:val="00DF10D9"/>
    <w:rsid w:val="00DF5624"/>
    <w:rsid w:val="00E04971"/>
    <w:rsid w:val="00E12BDC"/>
    <w:rsid w:val="00E12E47"/>
    <w:rsid w:val="00E163C6"/>
    <w:rsid w:val="00E16CF9"/>
    <w:rsid w:val="00E17FEE"/>
    <w:rsid w:val="00E22190"/>
    <w:rsid w:val="00E22373"/>
    <w:rsid w:val="00E2493B"/>
    <w:rsid w:val="00E25B50"/>
    <w:rsid w:val="00E27208"/>
    <w:rsid w:val="00E3383D"/>
    <w:rsid w:val="00E41D62"/>
    <w:rsid w:val="00E423E5"/>
    <w:rsid w:val="00E42A1D"/>
    <w:rsid w:val="00E45784"/>
    <w:rsid w:val="00E50707"/>
    <w:rsid w:val="00E54C47"/>
    <w:rsid w:val="00E552A7"/>
    <w:rsid w:val="00E5538A"/>
    <w:rsid w:val="00E60BE6"/>
    <w:rsid w:val="00E61DB0"/>
    <w:rsid w:val="00E6245B"/>
    <w:rsid w:val="00E64276"/>
    <w:rsid w:val="00E64758"/>
    <w:rsid w:val="00E65DB4"/>
    <w:rsid w:val="00E70E2E"/>
    <w:rsid w:val="00E74876"/>
    <w:rsid w:val="00E75EF3"/>
    <w:rsid w:val="00E75F7E"/>
    <w:rsid w:val="00E86472"/>
    <w:rsid w:val="00E87031"/>
    <w:rsid w:val="00E8779D"/>
    <w:rsid w:val="00EA038B"/>
    <w:rsid w:val="00EA1A7B"/>
    <w:rsid w:val="00EB1DDD"/>
    <w:rsid w:val="00EB3453"/>
    <w:rsid w:val="00EB5861"/>
    <w:rsid w:val="00EC06D2"/>
    <w:rsid w:val="00EC0B46"/>
    <w:rsid w:val="00EC0D0A"/>
    <w:rsid w:val="00EC2332"/>
    <w:rsid w:val="00EC6B7E"/>
    <w:rsid w:val="00ED2602"/>
    <w:rsid w:val="00ED4040"/>
    <w:rsid w:val="00ED6D8C"/>
    <w:rsid w:val="00ED75A6"/>
    <w:rsid w:val="00EE03C2"/>
    <w:rsid w:val="00EE2BDB"/>
    <w:rsid w:val="00EE330E"/>
    <w:rsid w:val="00EF14F1"/>
    <w:rsid w:val="00EF42E3"/>
    <w:rsid w:val="00EF6FD7"/>
    <w:rsid w:val="00F01CD8"/>
    <w:rsid w:val="00F03C14"/>
    <w:rsid w:val="00F05967"/>
    <w:rsid w:val="00F07E07"/>
    <w:rsid w:val="00F07F5A"/>
    <w:rsid w:val="00F10BE3"/>
    <w:rsid w:val="00F13ECC"/>
    <w:rsid w:val="00F13FD3"/>
    <w:rsid w:val="00F1456F"/>
    <w:rsid w:val="00F205B5"/>
    <w:rsid w:val="00F218FE"/>
    <w:rsid w:val="00F22C1A"/>
    <w:rsid w:val="00F37B4C"/>
    <w:rsid w:val="00F454B1"/>
    <w:rsid w:val="00F455A7"/>
    <w:rsid w:val="00F53260"/>
    <w:rsid w:val="00F5408D"/>
    <w:rsid w:val="00F54455"/>
    <w:rsid w:val="00F6139D"/>
    <w:rsid w:val="00F62DD5"/>
    <w:rsid w:val="00F65846"/>
    <w:rsid w:val="00F66E4B"/>
    <w:rsid w:val="00F725B7"/>
    <w:rsid w:val="00F725B9"/>
    <w:rsid w:val="00F7493D"/>
    <w:rsid w:val="00F77EBD"/>
    <w:rsid w:val="00F805A6"/>
    <w:rsid w:val="00F8652C"/>
    <w:rsid w:val="00F90278"/>
    <w:rsid w:val="00F90BF4"/>
    <w:rsid w:val="00F92D7B"/>
    <w:rsid w:val="00F93FBD"/>
    <w:rsid w:val="00FA04EB"/>
    <w:rsid w:val="00FA1B85"/>
    <w:rsid w:val="00FA76B6"/>
    <w:rsid w:val="00FB0986"/>
    <w:rsid w:val="00FC2B15"/>
    <w:rsid w:val="00FD040E"/>
    <w:rsid w:val="00FD0683"/>
    <w:rsid w:val="00FD6123"/>
    <w:rsid w:val="00FD647A"/>
    <w:rsid w:val="00FE2434"/>
    <w:rsid w:val="00FE2A8C"/>
    <w:rsid w:val="00FE6DEA"/>
    <w:rsid w:val="00FF110E"/>
    <w:rsid w:val="00FF3651"/>
    <w:rsid w:val="00FF6F75"/>
    <w:rsid w:val="02E838AA"/>
    <w:rsid w:val="03D9F51E"/>
    <w:rsid w:val="095ED13C"/>
    <w:rsid w:val="0DB189D5"/>
    <w:rsid w:val="0EAA9DC7"/>
    <w:rsid w:val="10648732"/>
    <w:rsid w:val="152F8089"/>
    <w:rsid w:val="17A742B6"/>
    <w:rsid w:val="1B34166C"/>
    <w:rsid w:val="1B5BEC5E"/>
    <w:rsid w:val="1EB9637E"/>
    <w:rsid w:val="1EE8008F"/>
    <w:rsid w:val="28125C18"/>
    <w:rsid w:val="2A0C9338"/>
    <w:rsid w:val="2A8E94DE"/>
    <w:rsid w:val="2AC9016F"/>
    <w:rsid w:val="318FB850"/>
    <w:rsid w:val="32AED504"/>
    <w:rsid w:val="34EBEF00"/>
    <w:rsid w:val="37798940"/>
    <w:rsid w:val="377DE85D"/>
    <w:rsid w:val="3A53A7AE"/>
    <w:rsid w:val="3A95BBA7"/>
    <w:rsid w:val="3B4D4241"/>
    <w:rsid w:val="422174DD"/>
    <w:rsid w:val="42F09CFC"/>
    <w:rsid w:val="4AB69F27"/>
    <w:rsid w:val="4AD876E9"/>
    <w:rsid w:val="4F59CFBD"/>
    <w:rsid w:val="4FCE7F7F"/>
    <w:rsid w:val="510A708F"/>
    <w:rsid w:val="537356AA"/>
    <w:rsid w:val="53DDFB07"/>
    <w:rsid w:val="5AD730E0"/>
    <w:rsid w:val="5B346FD7"/>
    <w:rsid w:val="60BFFFAB"/>
    <w:rsid w:val="624972BF"/>
    <w:rsid w:val="642F4149"/>
    <w:rsid w:val="643D8CCC"/>
    <w:rsid w:val="66AC9081"/>
    <w:rsid w:val="6AF867CF"/>
    <w:rsid w:val="6E1FE232"/>
    <w:rsid w:val="6F5E08C1"/>
    <w:rsid w:val="6FAFD1A0"/>
    <w:rsid w:val="71E559B3"/>
    <w:rsid w:val="739E0440"/>
    <w:rsid w:val="742F6CEB"/>
    <w:rsid w:val="74DEE566"/>
    <w:rsid w:val="7771D2E5"/>
    <w:rsid w:val="790D3693"/>
    <w:rsid w:val="7A31BE8C"/>
    <w:rsid w:val="7D4F968F"/>
    <w:rsid w:val="7FF3618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5CAEADDB"/>
  <w15:chartTrackingRefBased/>
  <w15:docId w15:val="{782548B9-08C4-41C4-A5A7-38373E2A1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eastAsia="en-US"/>
    </w:rPr>
  </w:style>
  <w:style w:type="paragraph" w:styleId="Heading3">
    <w:name w:val="heading 3"/>
    <w:basedOn w:val="Normal"/>
    <w:link w:val="Heading3Char"/>
    <w:uiPriority w:val="9"/>
    <w:unhideWhenUsed/>
    <w:qFormat/>
    <w:rsid w:val="00D1374D"/>
    <w:pPr>
      <w:keepNext/>
      <w:spacing w:before="40"/>
      <w:outlineLvl w:val="2"/>
    </w:pPr>
    <w:rPr>
      <w:rFonts w:ascii="Calibri Light" w:hAnsi="Calibri Light" w:eastAsiaTheme="minorHAnsi"/>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12,BVI fnr,EN Footnote Reference,Exposant 3 Point,Footnote,Footnote Reference Superscript,Footnote reference number,Footnote symbol,SUPERS,Style 16,Style 19,Style 35,Times 10 Point,Voetnootverwijzing,fr,note TESI"/>
    <w:uiPriority w:val="99"/>
    <w:qFormat/>
  </w:style>
  <w:style w:type="paragraph" w:styleId="FootnoteText">
    <w:name w:val="footnote text"/>
    <w:aliases w:val="C,Footnote Text Char Char Char,Footnote Text Char Char Char Char Char,Footnote Text Char1,Footnote Text Char1 Char,Footnote Text Char1 Char Char,Footnote Text Char1 Char Char Char,Footnote Text Char1 Char Char Char Char Char,Style 15,fn,ft"/>
    <w:basedOn w:val="Normal"/>
    <w:link w:val="FootnoteTextChar"/>
    <w:qFormat/>
    <w:pPr>
      <w:widowControl w:val="0"/>
      <w:autoSpaceDE w:val="0"/>
      <w:autoSpaceDN w:val="0"/>
      <w:adjustRightInd w:val="0"/>
    </w:pPr>
    <w:rPr>
      <w:sz w:val="20"/>
      <w:szCs w:val="20"/>
    </w:rPr>
  </w:style>
  <w:style w:type="paragraph" w:styleId="BodyTextIndent2">
    <w:name w:val="Body Text Indent 2"/>
    <w:basedOn w:val="Normal"/>
    <w:semiHidden/>
    <w:pPr>
      <w:widowControl w:val="0"/>
      <w:spacing w:line="480" w:lineRule="auto"/>
      <w:ind w:left="720"/>
    </w:pPr>
    <w:rPr>
      <w:snapToGrid w:val="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character" w:styleId="Hyperlink">
    <w:name w:val="Hyperlink"/>
    <w:rsid w:val="008154BF"/>
    <w:rPr>
      <w:color w:val="0000FF"/>
      <w:u w:val="single"/>
    </w:rPr>
  </w:style>
  <w:style w:type="character" w:styleId="CommentReference">
    <w:name w:val="annotation reference"/>
    <w:uiPriority w:val="99"/>
    <w:unhideWhenUsed/>
    <w:rsid w:val="00C20F88"/>
    <w:rPr>
      <w:sz w:val="16"/>
      <w:szCs w:val="16"/>
    </w:rPr>
  </w:style>
  <w:style w:type="paragraph" w:styleId="CommentText">
    <w:name w:val="annotation text"/>
    <w:basedOn w:val="Normal"/>
    <w:link w:val="CommentTextChar"/>
    <w:uiPriority w:val="99"/>
    <w:unhideWhenUsed/>
    <w:rsid w:val="00C20F88"/>
    <w:rPr>
      <w:sz w:val="20"/>
      <w:szCs w:val="20"/>
    </w:rPr>
  </w:style>
  <w:style w:type="character" w:customStyle="1" w:styleId="CommentTextChar">
    <w:name w:val="Comment Text Char"/>
    <w:basedOn w:val="DefaultParagraphFont"/>
    <w:link w:val="CommentText"/>
    <w:uiPriority w:val="99"/>
    <w:rsid w:val="00C20F88"/>
  </w:style>
  <w:style w:type="paragraph" w:styleId="CommentSubject">
    <w:name w:val="annotation subject"/>
    <w:basedOn w:val="CommentText"/>
    <w:next w:val="CommentText"/>
    <w:link w:val="CommentSubjectChar"/>
    <w:uiPriority w:val="99"/>
    <w:semiHidden/>
    <w:unhideWhenUsed/>
    <w:rsid w:val="00C20F88"/>
    <w:rPr>
      <w:b/>
      <w:bCs/>
    </w:rPr>
  </w:style>
  <w:style w:type="character" w:customStyle="1" w:styleId="CommentSubjectChar">
    <w:name w:val="Comment Subject Char"/>
    <w:link w:val="CommentSubject"/>
    <w:uiPriority w:val="99"/>
    <w:semiHidden/>
    <w:rsid w:val="00C20F88"/>
    <w:rPr>
      <w:b/>
      <w:bCs/>
    </w:rPr>
  </w:style>
  <w:style w:type="paragraph" w:styleId="BalloonText">
    <w:name w:val="Balloon Text"/>
    <w:basedOn w:val="Normal"/>
    <w:link w:val="BalloonTextChar"/>
    <w:uiPriority w:val="99"/>
    <w:semiHidden/>
    <w:unhideWhenUsed/>
    <w:rsid w:val="00C20F88"/>
    <w:rPr>
      <w:rFonts w:ascii="Tahoma" w:hAnsi="Tahoma" w:cs="Tahoma"/>
      <w:sz w:val="16"/>
      <w:szCs w:val="16"/>
    </w:rPr>
  </w:style>
  <w:style w:type="character" w:customStyle="1" w:styleId="BalloonTextChar">
    <w:name w:val="Balloon Text Char"/>
    <w:link w:val="BalloonText"/>
    <w:uiPriority w:val="99"/>
    <w:semiHidden/>
    <w:rsid w:val="00C20F88"/>
    <w:rPr>
      <w:rFonts w:ascii="Tahoma" w:hAnsi="Tahoma" w:cs="Tahoma"/>
      <w:sz w:val="16"/>
      <w:szCs w:val="16"/>
    </w:rPr>
  </w:style>
  <w:style w:type="paragraph" w:styleId="Header">
    <w:name w:val="header"/>
    <w:basedOn w:val="Normal"/>
    <w:link w:val="HeaderChar"/>
    <w:uiPriority w:val="99"/>
    <w:unhideWhenUsed/>
    <w:rsid w:val="00F10BE3"/>
    <w:pPr>
      <w:tabs>
        <w:tab w:val="center" w:pos="4680"/>
        <w:tab w:val="right" w:pos="9360"/>
      </w:tabs>
    </w:pPr>
  </w:style>
  <w:style w:type="character" w:customStyle="1" w:styleId="HeaderChar">
    <w:name w:val="Header Char"/>
    <w:link w:val="Header"/>
    <w:uiPriority w:val="99"/>
    <w:rsid w:val="00F10BE3"/>
    <w:rPr>
      <w:sz w:val="24"/>
      <w:szCs w:val="24"/>
    </w:rPr>
  </w:style>
  <w:style w:type="character" w:customStyle="1" w:styleId="FooterChar">
    <w:name w:val="Footer Char"/>
    <w:link w:val="Footer"/>
    <w:uiPriority w:val="99"/>
    <w:rsid w:val="00F10BE3"/>
    <w:rPr>
      <w:sz w:val="24"/>
      <w:szCs w:val="24"/>
    </w:rPr>
  </w:style>
  <w:style w:type="character" w:customStyle="1" w:styleId="FootnoteTextChar">
    <w:name w:val="Footnote Text Char"/>
    <w:aliases w:val="C Char,Footnote Text Char Char Char Char,Footnote Text Char Char Char Char Char Char,Footnote Text Char1 Char Char Char Char,Footnote Text Char1 Char Char Char1,Footnote Text Char1 Char Char1,Footnote Text Char1 Char1,Style 15 Char"/>
    <w:basedOn w:val="DefaultParagraphFont"/>
    <w:link w:val="FootnoteText"/>
    <w:rsid w:val="006D1439"/>
    <w:rPr>
      <w:lang w:eastAsia="en-US"/>
    </w:rPr>
  </w:style>
  <w:style w:type="paragraph" w:styleId="Revision">
    <w:name w:val="Revision"/>
    <w:hidden/>
    <w:uiPriority w:val="99"/>
    <w:semiHidden/>
    <w:rsid w:val="00FE6DEA"/>
    <w:rPr>
      <w:sz w:val="24"/>
      <w:szCs w:val="24"/>
      <w:lang w:eastAsia="en-US"/>
    </w:rPr>
  </w:style>
  <w:style w:type="character" w:styleId="FollowedHyperlink">
    <w:name w:val="FollowedHyperlink"/>
    <w:basedOn w:val="DefaultParagraphFont"/>
    <w:uiPriority w:val="99"/>
    <w:semiHidden/>
    <w:unhideWhenUsed/>
    <w:rsid w:val="005264F9"/>
    <w:rPr>
      <w:color w:val="954F72" w:themeColor="followedHyperlink"/>
      <w:u w:val="single"/>
    </w:rPr>
  </w:style>
  <w:style w:type="character" w:styleId="UnresolvedMention">
    <w:name w:val="Unresolved Mention"/>
    <w:basedOn w:val="DefaultParagraphFont"/>
    <w:uiPriority w:val="99"/>
    <w:semiHidden/>
    <w:unhideWhenUsed/>
    <w:rsid w:val="005136A7"/>
    <w:rPr>
      <w:color w:val="605E5C"/>
      <w:shd w:val="clear" w:color="auto" w:fill="E1DFDD"/>
    </w:rPr>
  </w:style>
  <w:style w:type="character" w:styleId="Emphasis">
    <w:name w:val="Emphasis"/>
    <w:basedOn w:val="DefaultParagraphFont"/>
    <w:uiPriority w:val="20"/>
    <w:qFormat/>
    <w:rsid w:val="00046837"/>
    <w:rPr>
      <w:i/>
      <w:iCs/>
    </w:rPr>
  </w:style>
  <w:style w:type="character" w:customStyle="1" w:styleId="Heading3Char">
    <w:name w:val="Heading 3 Char"/>
    <w:basedOn w:val="DefaultParagraphFont"/>
    <w:link w:val="Heading3"/>
    <w:uiPriority w:val="9"/>
    <w:rsid w:val="00D1374D"/>
    <w:rPr>
      <w:rFonts w:ascii="Calibri Light" w:hAnsi="Calibri Light" w:eastAsiaTheme="minorHAnsi"/>
      <w:color w:val="1F4D78"/>
      <w:sz w:val="24"/>
      <w:szCs w:val="24"/>
      <w:lang w:eastAsia="en-US"/>
    </w:rPr>
  </w:style>
  <w:style w:type="character" w:styleId="Mention">
    <w:name w:val="Mention"/>
    <w:basedOn w:val="DefaultParagraphFont"/>
    <w:uiPriority w:val="99"/>
    <w:unhideWhenUsed/>
    <w:rsid w:val="006D7EC0"/>
    <w:rPr>
      <w:color w:val="2B579A"/>
      <w:shd w:val="clear" w:color="auto" w:fill="E1DFDD"/>
    </w:rPr>
  </w:style>
  <w:style w:type="paragraph" w:styleId="EndnoteText">
    <w:name w:val="endnote text"/>
    <w:basedOn w:val="Normal"/>
    <w:link w:val="EndnoteTextChar"/>
    <w:uiPriority w:val="99"/>
    <w:semiHidden/>
    <w:unhideWhenUsed/>
    <w:rsid w:val="00090915"/>
    <w:rPr>
      <w:sz w:val="20"/>
      <w:szCs w:val="20"/>
    </w:rPr>
  </w:style>
  <w:style w:type="character" w:customStyle="1" w:styleId="EndnoteTextChar">
    <w:name w:val="Endnote Text Char"/>
    <w:basedOn w:val="DefaultParagraphFont"/>
    <w:link w:val="EndnoteText"/>
    <w:uiPriority w:val="99"/>
    <w:semiHidden/>
    <w:rsid w:val="00090915"/>
    <w:rPr>
      <w:lang w:eastAsia="en-US"/>
    </w:rPr>
  </w:style>
  <w:style w:type="character" w:styleId="EndnoteReference">
    <w:name w:val="endnote reference"/>
    <w:basedOn w:val="DefaultParagraphFont"/>
    <w:uiPriority w:val="99"/>
    <w:semiHidden/>
    <w:unhideWhenUsed/>
    <w:rsid w:val="000909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fincen.gov/news/news-releases/fincen-combats-financial-support-sinaloa-cartel-finding-transactions-involving" TargetMode="External" /><Relationship Id="rId2" Type="http://schemas.openxmlformats.org/officeDocument/2006/relationships/hyperlink" Target="https://www.federalregister.gov/documents/2025/11/17/2025-19927/proposal-of-special-measure-regarding-transactions-involving-ten-mexican-gambling-establishments-as" TargetMode="External" /><Relationship Id="rId3" Type="http://schemas.openxmlformats.org/officeDocument/2006/relationships/hyperlink" Target="https://www.federalregister.gov/documents/2014/04/14/2014-08254/privacy-act-of-1974-as-amended-system-of-records-notic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CaseID xmlns="eaace8e0-6bb0-44c8-af21-3eebe469dfdd">20259-TFI-10756</CaseID>
    <DocID xmlns="eaace8e0-6bb0-44c8-af21-3eebe469dfdd">d28b7c02-a819-4306-aea4-0e159f8c2a2a</DocID>
    <Category xmlns="eaace8e0-6bb0-44c8-af21-3eebe469dfdd">Final</Category>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DFDDCE29A4A7B4281E10AE57A0BF828" ma:contentTypeVersion="4" ma:contentTypeDescription="Create a new document." ma:contentTypeScope="" ma:versionID="bc21d29a8552d984869f7816f9f939b1">
  <xsd:schema xmlns:xsd="http://www.w3.org/2001/XMLSchema" xmlns:xs="http://www.w3.org/2001/XMLSchema" xmlns:p="http://schemas.microsoft.com/office/2006/metadata/properties" xmlns:ns2="eaace8e0-6bb0-44c8-af21-3eebe469dfdd" xmlns:ns3="91882c98-ad7c-457b-bb99-16138be0c2aa" targetNamespace="http://schemas.microsoft.com/office/2006/metadata/properties" ma:root="true" ma:fieldsID="39f26d6c8012888219905916d8135075" ns2:_="" ns3:_="">
    <xsd:import namespace="eaace8e0-6bb0-44c8-af21-3eebe469dfdd"/>
    <xsd:import namespace="91882c98-ad7c-457b-bb99-16138be0c2aa"/>
    <xsd:element name="properties">
      <xsd:complexType>
        <xsd:sequence>
          <xsd:element name="documentManagement">
            <xsd:complexType>
              <xsd:all>
                <xsd:element ref="ns2:Category" minOccurs="0"/>
                <xsd:element ref="ns2:DocID" minOccurs="0"/>
                <xsd:element ref="ns2:Cas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ce8e0-6bb0-44c8-af21-3eebe469dfdd" elementFormDefault="qualified">
    <xsd:import namespace="http://schemas.microsoft.com/office/2006/documentManagement/types"/>
    <xsd:import namespace="http://schemas.microsoft.com/office/infopath/2007/PartnerControls"/>
    <xsd:element name="Category" ma:index="8" nillable="true" ma:displayName="Category" ma:internalName="Category">
      <xsd:simpleType>
        <xsd:restriction base="dms:Choice">
          <xsd:enumeration value="Final"/>
          <xsd:enumeration value="Draft"/>
          <xsd:enumeration value="IC"/>
        </xsd:restriction>
      </xsd:simpleType>
    </xsd:element>
    <xsd:element name="DocID" ma:index="9" nillable="true" ma:displayName="DocID" ma:internalName="DocID">
      <xsd:simpleType>
        <xsd:restriction base="dms:Text"/>
      </xsd:simpleType>
    </xsd:element>
    <xsd:element name="CaseID" ma:index="10" nillable="true" ma:displayName="CaseID" ma:internalName="Case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882c98-ad7c-457b-bb99-16138be0c2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56A8E-905E-4B62-AAEC-E87923AA4FA5}">
  <ds:schemaRefs>
    <ds:schemaRef ds:uri="http://purl.org/dc/elements/1.1/"/>
    <ds:schemaRef ds:uri="http://www.w3.org/XML/1998/namespace"/>
    <ds:schemaRef ds:uri="eaace8e0-6bb0-44c8-af21-3eebe469dfdd"/>
    <ds:schemaRef ds:uri="http://schemas.microsoft.com/office/2006/metadata/properties"/>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91882c98-ad7c-457b-bb99-16138be0c2aa"/>
    <ds:schemaRef ds:uri="http://purl.org/dc/dcmitype/"/>
  </ds:schemaRefs>
</ds:datastoreItem>
</file>

<file path=customXml/itemProps2.xml><?xml version="1.0" encoding="utf-8"?>
<ds:datastoreItem xmlns:ds="http://schemas.openxmlformats.org/officeDocument/2006/customXml" ds:itemID="{E7B0E5D7-E9A7-45AC-8C80-FB25D2CA328C}">
  <ds:schemaRefs>
    <ds:schemaRef ds:uri="http://schemas.openxmlformats.org/officeDocument/2006/bibliography"/>
  </ds:schemaRefs>
</ds:datastoreItem>
</file>

<file path=customXml/itemProps3.xml><?xml version="1.0" encoding="utf-8"?>
<ds:datastoreItem xmlns:ds="http://schemas.openxmlformats.org/officeDocument/2006/customXml" ds:itemID="{655319F9-2AAA-4559-9968-31B960D7D2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ce8e0-6bb0-44c8-af21-3eebe469dfdd"/>
    <ds:schemaRef ds:uri="91882c98-ad7c-457b-bb99-16138be0c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152744-4AC3-46F8-BB91-183EC3DC9D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1693</Words>
  <Characters>9652</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#1506-NEW_201606-1506-001 supporting statement</vt:lpstr>
    </vt:vector>
  </TitlesOfParts>
  <Company>Department of the Treasury</Company>
  <LinksUpToDate>false</LinksUpToDate>
  <CharactersWithSpaces>11323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#1506-NEW_201606-1506-001 supporting statement</dc:title>
  <dc:creator>FinCEN</dc:creator>
  <cp:lastModifiedBy>Stewart, Jaclyn</cp:lastModifiedBy>
  <cp:revision>2</cp:revision>
  <cp:lastPrinted>2004-04-06T00:34:00Z</cp:lastPrinted>
  <dcterms:created xsi:type="dcterms:W3CDTF">2025-11-17T13:25:00Z</dcterms:created>
  <dcterms:modified xsi:type="dcterms:W3CDTF">2025-11-17T13:25:00Z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0x0101009DFDDCE29A4A7B4281E10AE57A0BF828</vt:lpwstr>
  </property>
  <property fmtid="{D5CDD505-2E9C-101B-9397-08002B2CF9AE}" pid="3" name="MediaServiceImageTags">
    <vt:lpwstr/>
  </property>
</Properties>
</file>